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1.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22.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2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A96C45" w14:textId="77777777" w:rsidR="00AF0693" w:rsidRDefault="00AF0693">
      <w:bookmarkStart w:id="0" w:name="_GoBack"/>
      <w:bookmarkEnd w:id="0"/>
    </w:p>
    <w:p w14:paraId="1DAB4A71" w14:textId="77777777" w:rsidR="00AF0693" w:rsidRDefault="00AF0693"/>
    <w:p w14:paraId="4F538D71" w14:textId="77777777" w:rsidR="00AF0693" w:rsidRDefault="00AF0693"/>
    <w:p w14:paraId="53661153" w14:textId="77777777" w:rsidR="00AF0693" w:rsidRDefault="00AF0693"/>
    <w:p w14:paraId="0DB37EDD" w14:textId="77777777" w:rsidR="00AF0693" w:rsidRDefault="00AF0693"/>
    <w:p w14:paraId="3A16925E" w14:textId="77777777" w:rsidR="00AF0693" w:rsidRDefault="00AF0693"/>
    <w:p w14:paraId="0EF9EED4" w14:textId="77777777" w:rsidR="00AF0693" w:rsidRDefault="00AF0693"/>
    <w:p w14:paraId="254BE3DA" w14:textId="77777777" w:rsidR="00AF0693" w:rsidRPr="00AF0693" w:rsidRDefault="00AF0693" w:rsidP="00AF0693">
      <w:pPr>
        <w:jc w:val="center"/>
        <w:rPr>
          <w:b/>
          <w:bCs/>
          <w:sz w:val="44"/>
          <w:szCs w:val="44"/>
        </w:rPr>
      </w:pPr>
      <w:r w:rsidRPr="00AF0693">
        <w:rPr>
          <w:b/>
          <w:bCs/>
          <w:sz w:val="44"/>
          <w:szCs w:val="44"/>
        </w:rPr>
        <w:t>Przegląd Pracowniczych Planów Kapitałowych</w:t>
      </w:r>
    </w:p>
    <w:p w14:paraId="6B70FBCF" w14:textId="77777777" w:rsidR="00AF0693" w:rsidRDefault="00AF0693"/>
    <w:p w14:paraId="68791754" w14:textId="77777777" w:rsidR="00AF0693" w:rsidRDefault="00AF0693"/>
    <w:p w14:paraId="0880D759" w14:textId="77777777" w:rsidR="00AF0693" w:rsidRDefault="00AF0693"/>
    <w:p w14:paraId="51D21F0A" w14:textId="77777777" w:rsidR="00AF0693" w:rsidRDefault="00AF0693"/>
    <w:p w14:paraId="04FD94D5" w14:textId="77777777" w:rsidR="00AF0693" w:rsidRPr="00AF0693" w:rsidRDefault="00AF0693" w:rsidP="00AF0693">
      <w:pPr>
        <w:jc w:val="center"/>
        <w:rPr>
          <w:b/>
          <w:bCs/>
          <w:sz w:val="32"/>
          <w:szCs w:val="32"/>
        </w:rPr>
      </w:pPr>
      <w:r w:rsidRPr="00AF0693">
        <w:rPr>
          <w:b/>
          <w:bCs/>
          <w:sz w:val="32"/>
          <w:szCs w:val="32"/>
        </w:rPr>
        <w:t xml:space="preserve">Informacja Rady Ministrów dla Sejmu RP </w:t>
      </w:r>
    </w:p>
    <w:p w14:paraId="0F436CD3" w14:textId="77777777" w:rsidR="00AF0693" w:rsidRDefault="00AF0693" w:rsidP="00AF0693">
      <w:pPr>
        <w:jc w:val="center"/>
        <w:rPr>
          <w:b/>
          <w:bCs/>
          <w:sz w:val="32"/>
          <w:szCs w:val="32"/>
        </w:rPr>
      </w:pPr>
      <w:r w:rsidRPr="00AF0693">
        <w:rPr>
          <w:b/>
          <w:bCs/>
          <w:sz w:val="32"/>
          <w:szCs w:val="32"/>
        </w:rPr>
        <w:t xml:space="preserve">o skutkach obowiązywania ustawy z dnia z 4 października 2018 r. </w:t>
      </w:r>
    </w:p>
    <w:p w14:paraId="28B28C08" w14:textId="77777777" w:rsidR="00AF0693" w:rsidRDefault="00AF0693" w:rsidP="00AF0693">
      <w:pPr>
        <w:jc w:val="center"/>
        <w:rPr>
          <w:b/>
          <w:bCs/>
          <w:sz w:val="32"/>
          <w:szCs w:val="32"/>
        </w:rPr>
      </w:pPr>
      <w:r w:rsidRPr="00AF0693">
        <w:rPr>
          <w:b/>
          <w:bCs/>
          <w:sz w:val="32"/>
          <w:szCs w:val="32"/>
        </w:rPr>
        <w:t>o pracowniczych planach kapitałowych </w:t>
      </w:r>
    </w:p>
    <w:p w14:paraId="64B2DD48" w14:textId="3A18BB67" w:rsidR="00AF0693" w:rsidRDefault="00AF0693" w:rsidP="00AF0693">
      <w:pPr>
        <w:jc w:val="center"/>
        <w:rPr>
          <w:b/>
          <w:bCs/>
          <w:sz w:val="32"/>
          <w:szCs w:val="32"/>
        </w:rPr>
      </w:pPr>
      <w:r w:rsidRPr="00AF0693">
        <w:rPr>
          <w:b/>
          <w:bCs/>
          <w:sz w:val="32"/>
          <w:szCs w:val="32"/>
        </w:rPr>
        <w:t>(Dz.</w:t>
      </w:r>
      <w:r w:rsidR="00C12F49">
        <w:rPr>
          <w:b/>
          <w:bCs/>
          <w:sz w:val="32"/>
          <w:szCs w:val="32"/>
        </w:rPr>
        <w:t xml:space="preserve"> </w:t>
      </w:r>
      <w:r w:rsidR="00430CA6">
        <w:rPr>
          <w:b/>
          <w:bCs/>
          <w:sz w:val="32"/>
          <w:szCs w:val="32"/>
        </w:rPr>
        <w:t>U. z 2020 r.</w:t>
      </w:r>
      <w:r w:rsidRPr="00AF0693">
        <w:rPr>
          <w:b/>
          <w:bCs/>
          <w:sz w:val="32"/>
          <w:szCs w:val="32"/>
        </w:rPr>
        <w:t xml:space="preserve"> poz. 1342</w:t>
      </w:r>
      <w:r w:rsidR="004476CF">
        <w:rPr>
          <w:b/>
          <w:bCs/>
          <w:sz w:val="32"/>
          <w:szCs w:val="32"/>
        </w:rPr>
        <w:t>,</w:t>
      </w:r>
      <w:r w:rsidRPr="00AF0693">
        <w:rPr>
          <w:b/>
          <w:bCs/>
          <w:sz w:val="32"/>
          <w:szCs w:val="32"/>
        </w:rPr>
        <w:t xml:space="preserve"> z</w:t>
      </w:r>
      <w:r>
        <w:rPr>
          <w:b/>
          <w:bCs/>
          <w:sz w:val="32"/>
          <w:szCs w:val="32"/>
        </w:rPr>
        <w:t xml:space="preserve"> późn.</w:t>
      </w:r>
      <w:r w:rsidRPr="00AF0693">
        <w:rPr>
          <w:b/>
          <w:bCs/>
          <w:sz w:val="32"/>
          <w:szCs w:val="32"/>
        </w:rPr>
        <w:t xml:space="preserve"> zm.)</w:t>
      </w:r>
    </w:p>
    <w:p w14:paraId="3CDFECD9" w14:textId="77777777" w:rsidR="00AF0693" w:rsidRPr="00AF0693" w:rsidRDefault="00AF0693" w:rsidP="00AF0693">
      <w:pPr>
        <w:jc w:val="center"/>
        <w:rPr>
          <w:b/>
          <w:bCs/>
          <w:sz w:val="32"/>
          <w:szCs w:val="32"/>
        </w:rPr>
      </w:pPr>
    </w:p>
    <w:p w14:paraId="758E0490" w14:textId="077E2074" w:rsidR="00AF0693" w:rsidRPr="00AF0693" w:rsidRDefault="00AF0693" w:rsidP="00AF0693">
      <w:pPr>
        <w:jc w:val="center"/>
        <w:rPr>
          <w:b/>
          <w:bCs/>
          <w:sz w:val="32"/>
          <w:szCs w:val="32"/>
        </w:rPr>
      </w:pPr>
      <w:r w:rsidRPr="009A6934">
        <w:rPr>
          <w:b/>
          <w:bCs/>
          <w:sz w:val="32"/>
          <w:szCs w:val="32"/>
        </w:rPr>
        <w:t>wraz z propozycjami zmia</w:t>
      </w:r>
      <w:r w:rsidR="00C347A8">
        <w:rPr>
          <w:b/>
          <w:bCs/>
          <w:sz w:val="32"/>
          <w:szCs w:val="32"/>
        </w:rPr>
        <w:t>n</w:t>
      </w:r>
    </w:p>
    <w:p w14:paraId="6452104E" w14:textId="77777777" w:rsidR="00AF0693" w:rsidRDefault="00AF0693">
      <w:r>
        <w:br w:type="page"/>
      </w:r>
    </w:p>
    <w:p w14:paraId="3B487440" w14:textId="77777777" w:rsidR="00AF0693" w:rsidRDefault="00AF0693"/>
    <w:sdt>
      <w:sdtPr>
        <w:rPr>
          <w:rFonts w:asciiTheme="minorHAnsi" w:eastAsiaTheme="minorHAnsi" w:hAnsiTheme="minorHAnsi" w:cstheme="minorBidi"/>
          <w:color w:val="auto"/>
          <w:sz w:val="22"/>
          <w:szCs w:val="22"/>
          <w:lang w:eastAsia="en-US"/>
        </w:rPr>
        <w:id w:val="1378049100"/>
        <w:docPartObj>
          <w:docPartGallery w:val="Table of Contents"/>
          <w:docPartUnique/>
        </w:docPartObj>
      </w:sdtPr>
      <w:sdtEndPr>
        <w:rPr>
          <w:b/>
          <w:bCs/>
        </w:rPr>
      </w:sdtEndPr>
      <w:sdtContent>
        <w:p w14:paraId="65A09503" w14:textId="77777777" w:rsidR="00E67E7B" w:rsidRPr="00E67E7B" w:rsidRDefault="00E67E7B" w:rsidP="00FE7128">
          <w:pPr>
            <w:pStyle w:val="Nagwekspisutreci"/>
            <w:spacing w:before="6" w:after="6" w:line="288" w:lineRule="auto"/>
            <w:rPr>
              <w:sz w:val="28"/>
              <w:szCs w:val="28"/>
            </w:rPr>
          </w:pPr>
          <w:r w:rsidRPr="00E67E7B">
            <w:rPr>
              <w:sz w:val="28"/>
              <w:szCs w:val="28"/>
            </w:rPr>
            <w:t xml:space="preserve"> </w:t>
          </w:r>
        </w:p>
        <w:p w14:paraId="5C818528" w14:textId="77777777" w:rsidR="00E67E7B" w:rsidRDefault="00E67E7B" w:rsidP="000C001F">
          <w:pPr>
            <w:pStyle w:val="Nagwekspisutreci"/>
            <w:spacing w:before="6" w:after="6" w:line="288" w:lineRule="auto"/>
            <w:rPr>
              <w:rFonts w:asciiTheme="minorHAnsi" w:eastAsiaTheme="minorHAnsi" w:hAnsiTheme="minorHAnsi" w:cstheme="minorBidi"/>
              <w:color w:val="auto"/>
              <w:sz w:val="22"/>
              <w:szCs w:val="22"/>
              <w:lang w:eastAsia="en-US"/>
            </w:rPr>
          </w:pPr>
        </w:p>
        <w:p w14:paraId="6FDE2D0A" w14:textId="77777777" w:rsidR="001E4BAA" w:rsidRDefault="001E4BAA" w:rsidP="000C001F">
          <w:pPr>
            <w:pStyle w:val="Nagwekspisutreci"/>
            <w:spacing w:before="6" w:after="6" w:line="288" w:lineRule="auto"/>
          </w:pPr>
          <w:r>
            <w:t>Spis treści</w:t>
          </w:r>
        </w:p>
        <w:p w14:paraId="46E615A9" w14:textId="105AC9EC" w:rsidR="00F45903" w:rsidRDefault="001E4BAA">
          <w:pPr>
            <w:pStyle w:val="Spistreci1"/>
            <w:rPr>
              <w:rFonts w:eastAsiaTheme="minorEastAsia"/>
              <w:noProof/>
              <w:lang w:eastAsia="pl-PL"/>
            </w:rPr>
          </w:pPr>
          <w:r>
            <w:fldChar w:fldCharType="begin"/>
          </w:r>
          <w:r>
            <w:instrText xml:space="preserve"> TOC \o "1-3" \h \z \u </w:instrText>
          </w:r>
          <w:r>
            <w:fldChar w:fldCharType="separate"/>
          </w:r>
          <w:hyperlink w:anchor="_Toc121828599" w:history="1">
            <w:r w:rsidR="00F45903" w:rsidRPr="00167CAA">
              <w:rPr>
                <w:rStyle w:val="Hipercze"/>
                <w:noProof/>
              </w:rPr>
              <w:t>I.</w:t>
            </w:r>
            <w:r w:rsidR="00F45903">
              <w:rPr>
                <w:rFonts w:eastAsiaTheme="minorEastAsia"/>
                <w:noProof/>
                <w:lang w:eastAsia="pl-PL"/>
              </w:rPr>
              <w:tab/>
            </w:r>
            <w:r w:rsidR="00F45903" w:rsidRPr="00167CAA">
              <w:rPr>
                <w:rStyle w:val="Hipercze"/>
                <w:noProof/>
              </w:rPr>
              <w:t>Synteza</w:t>
            </w:r>
            <w:r w:rsidR="00F45903">
              <w:rPr>
                <w:noProof/>
                <w:webHidden/>
              </w:rPr>
              <w:tab/>
            </w:r>
            <w:r w:rsidR="00F45903">
              <w:rPr>
                <w:noProof/>
                <w:webHidden/>
              </w:rPr>
              <w:fldChar w:fldCharType="begin"/>
            </w:r>
            <w:r w:rsidR="00F45903">
              <w:rPr>
                <w:noProof/>
                <w:webHidden/>
              </w:rPr>
              <w:instrText xml:space="preserve"> PAGEREF _Toc121828599 \h </w:instrText>
            </w:r>
            <w:r w:rsidR="00F45903">
              <w:rPr>
                <w:noProof/>
                <w:webHidden/>
              </w:rPr>
            </w:r>
            <w:r w:rsidR="00F45903">
              <w:rPr>
                <w:noProof/>
                <w:webHidden/>
              </w:rPr>
              <w:fldChar w:fldCharType="separate"/>
            </w:r>
            <w:r w:rsidR="009D2CBD">
              <w:rPr>
                <w:noProof/>
                <w:webHidden/>
              </w:rPr>
              <w:t>4</w:t>
            </w:r>
            <w:r w:rsidR="00F45903">
              <w:rPr>
                <w:noProof/>
                <w:webHidden/>
              </w:rPr>
              <w:fldChar w:fldCharType="end"/>
            </w:r>
          </w:hyperlink>
        </w:p>
        <w:p w14:paraId="03D9D9B4" w14:textId="122A74E6" w:rsidR="00F45903" w:rsidRDefault="003700A7">
          <w:pPr>
            <w:pStyle w:val="Spistreci1"/>
            <w:rPr>
              <w:rFonts w:eastAsiaTheme="minorEastAsia"/>
              <w:noProof/>
              <w:lang w:eastAsia="pl-PL"/>
            </w:rPr>
          </w:pPr>
          <w:hyperlink w:anchor="_Toc121828600" w:history="1">
            <w:r w:rsidR="00F45903" w:rsidRPr="00167CAA">
              <w:rPr>
                <w:rStyle w:val="Hipercze"/>
                <w:noProof/>
              </w:rPr>
              <w:t>II.</w:t>
            </w:r>
            <w:r w:rsidR="00F45903">
              <w:rPr>
                <w:rFonts w:eastAsiaTheme="minorEastAsia"/>
                <w:noProof/>
                <w:lang w:eastAsia="pl-PL"/>
              </w:rPr>
              <w:tab/>
            </w:r>
            <w:r w:rsidR="00F45903" w:rsidRPr="00167CAA">
              <w:rPr>
                <w:rStyle w:val="Hipercze"/>
                <w:noProof/>
              </w:rPr>
              <w:t>Wprowadzenie - geneza ustawy z 4 października 2018 r. o pracowniczych planach kapitałowych</w:t>
            </w:r>
            <w:r w:rsidR="00F45903">
              <w:rPr>
                <w:noProof/>
                <w:webHidden/>
              </w:rPr>
              <w:tab/>
            </w:r>
            <w:r w:rsidR="00F45903">
              <w:rPr>
                <w:noProof/>
                <w:webHidden/>
              </w:rPr>
              <w:fldChar w:fldCharType="begin"/>
            </w:r>
            <w:r w:rsidR="00F45903">
              <w:rPr>
                <w:noProof/>
                <w:webHidden/>
              </w:rPr>
              <w:instrText xml:space="preserve"> PAGEREF _Toc121828600 \h </w:instrText>
            </w:r>
            <w:r w:rsidR="00F45903">
              <w:rPr>
                <w:noProof/>
                <w:webHidden/>
              </w:rPr>
            </w:r>
            <w:r w:rsidR="00F45903">
              <w:rPr>
                <w:noProof/>
                <w:webHidden/>
              </w:rPr>
              <w:fldChar w:fldCharType="separate"/>
            </w:r>
            <w:r w:rsidR="009D2CBD">
              <w:rPr>
                <w:noProof/>
                <w:webHidden/>
              </w:rPr>
              <w:t>5</w:t>
            </w:r>
            <w:r w:rsidR="00F45903">
              <w:rPr>
                <w:noProof/>
                <w:webHidden/>
              </w:rPr>
              <w:fldChar w:fldCharType="end"/>
            </w:r>
          </w:hyperlink>
        </w:p>
        <w:p w14:paraId="578171AE" w14:textId="12809720" w:rsidR="00F45903" w:rsidRDefault="003700A7">
          <w:pPr>
            <w:pStyle w:val="Spistreci2"/>
            <w:rPr>
              <w:rFonts w:eastAsiaTheme="minorEastAsia"/>
              <w:noProof/>
              <w:lang w:eastAsia="pl-PL"/>
            </w:rPr>
          </w:pPr>
          <w:hyperlink w:anchor="_Toc121828601" w:history="1">
            <w:r w:rsidR="00F45903" w:rsidRPr="00167CAA">
              <w:rPr>
                <w:rStyle w:val="Hipercze"/>
                <w:noProof/>
              </w:rPr>
              <w:t>1.</w:t>
            </w:r>
            <w:r w:rsidR="00F45903">
              <w:rPr>
                <w:rFonts w:eastAsiaTheme="minorEastAsia"/>
                <w:noProof/>
                <w:lang w:eastAsia="pl-PL"/>
              </w:rPr>
              <w:tab/>
            </w:r>
            <w:r w:rsidR="00F45903" w:rsidRPr="00167CAA">
              <w:rPr>
                <w:rStyle w:val="Hipercze"/>
                <w:noProof/>
              </w:rPr>
              <w:t>System emerytalny w Polsce</w:t>
            </w:r>
            <w:r w:rsidR="00F45903">
              <w:rPr>
                <w:noProof/>
                <w:webHidden/>
              </w:rPr>
              <w:tab/>
            </w:r>
            <w:r w:rsidR="00F45903">
              <w:rPr>
                <w:noProof/>
                <w:webHidden/>
              </w:rPr>
              <w:fldChar w:fldCharType="begin"/>
            </w:r>
            <w:r w:rsidR="00F45903">
              <w:rPr>
                <w:noProof/>
                <w:webHidden/>
              </w:rPr>
              <w:instrText xml:space="preserve"> PAGEREF _Toc121828601 \h </w:instrText>
            </w:r>
            <w:r w:rsidR="00F45903">
              <w:rPr>
                <w:noProof/>
                <w:webHidden/>
              </w:rPr>
            </w:r>
            <w:r w:rsidR="00F45903">
              <w:rPr>
                <w:noProof/>
                <w:webHidden/>
              </w:rPr>
              <w:fldChar w:fldCharType="separate"/>
            </w:r>
            <w:r w:rsidR="009D2CBD">
              <w:rPr>
                <w:noProof/>
                <w:webHidden/>
              </w:rPr>
              <w:t>5</w:t>
            </w:r>
            <w:r w:rsidR="00F45903">
              <w:rPr>
                <w:noProof/>
                <w:webHidden/>
              </w:rPr>
              <w:fldChar w:fldCharType="end"/>
            </w:r>
          </w:hyperlink>
        </w:p>
        <w:p w14:paraId="1BF30F42" w14:textId="09258D85" w:rsidR="00F45903" w:rsidRDefault="003700A7">
          <w:pPr>
            <w:pStyle w:val="Spistreci2"/>
            <w:rPr>
              <w:rFonts w:eastAsiaTheme="minorEastAsia"/>
              <w:noProof/>
              <w:lang w:eastAsia="pl-PL"/>
            </w:rPr>
          </w:pPr>
          <w:hyperlink w:anchor="_Toc121828602" w:history="1">
            <w:r w:rsidR="00F45903" w:rsidRPr="00167CAA">
              <w:rPr>
                <w:rStyle w:val="Hipercze"/>
                <w:noProof/>
              </w:rPr>
              <w:t>2.</w:t>
            </w:r>
            <w:r w:rsidR="00F45903">
              <w:rPr>
                <w:rFonts w:eastAsiaTheme="minorEastAsia"/>
                <w:noProof/>
                <w:lang w:eastAsia="pl-PL"/>
              </w:rPr>
              <w:tab/>
            </w:r>
            <w:r w:rsidR="00F45903" w:rsidRPr="00167CAA">
              <w:rPr>
                <w:rStyle w:val="Hipercze"/>
                <w:noProof/>
              </w:rPr>
              <w:t>Sytuacja demograficzna Polski</w:t>
            </w:r>
            <w:r w:rsidR="00F45903">
              <w:rPr>
                <w:noProof/>
                <w:webHidden/>
              </w:rPr>
              <w:tab/>
            </w:r>
            <w:r w:rsidR="00F45903">
              <w:rPr>
                <w:noProof/>
                <w:webHidden/>
              </w:rPr>
              <w:fldChar w:fldCharType="begin"/>
            </w:r>
            <w:r w:rsidR="00F45903">
              <w:rPr>
                <w:noProof/>
                <w:webHidden/>
              </w:rPr>
              <w:instrText xml:space="preserve"> PAGEREF _Toc121828602 \h </w:instrText>
            </w:r>
            <w:r w:rsidR="00F45903">
              <w:rPr>
                <w:noProof/>
                <w:webHidden/>
              </w:rPr>
            </w:r>
            <w:r w:rsidR="00F45903">
              <w:rPr>
                <w:noProof/>
                <w:webHidden/>
              </w:rPr>
              <w:fldChar w:fldCharType="separate"/>
            </w:r>
            <w:r w:rsidR="009D2CBD">
              <w:rPr>
                <w:noProof/>
                <w:webHidden/>
              </w:rPr>
              <w:t>8</w:t>
            </w:r>
            <w:r w:rsidR="00F45903">
              <w:rPr>
                <w:noProof/>
                <w:webHidden/>
              </w:rPr>
              <w:fldChar w:fldCharType="end"/>
            </w:r>
          </w:hyperlink>
        </w:p>
        <w:p w14:paraId="569D11CB" w14:textId="5546D950" w:rsidR="00F45903" w:rsidRDefault="003700A7">
          <w:pPr>
            <w:pStyle w:val="Spistreci2"/>
            <w:rPr>
              <w:rFonts w:eastAsiaTheme="minorEastAsia"/>
              <w:noProof/>
              <w:lang w:eastAsia="pl-PL"/>
            </w:rPr>
          </w:pPr>
          <w:hyperlink w:anchor="_Toc121828603" w:history="1">
            <w:r w:rsidR="00F45903" w:rsidRPr="00167CAA">
              <w:rPr>
                <w:rStyle w:val="Hipercze"/>
                <w:noProof/>
              </w:rPr>
              <w:t>3.</w:t>
            </w:r>
            <w:r w:rsidR="00F45903">
              <w:rPr>
                <w:rFonts w:eastAsiaTheme="minorEastAsia"/>
                <w:noProof/>
                <w:lang w:eastAsia="pl-PL"/>
              </w:rPr>
              <w:tab/>
            </w:r>
            <w:r w:rsidR="00F45903" w:rsidRPr="00167CAA">
              <w:rPr>
                <w:rStyle w:val="Hipercze"/>
                <w:noProof/>
              </w:rPr>
              <w:t>Stan systemu dodatkowych oszczędności przed PPK (PPE/IKE/IKZE)</w:t>
            </w:r>
            <w:r w:rsidR="00F45903">
              <w:rPr>
                <w:noProof/>
                <w:webHidden/>
              </w:rPr>
              <w:tab/>
            </w:r>
            <w:r w:rsidR="00F45903">
              <w:rPr>
                <w:noProof/>
                <w:webHidden/>
              </w:rPr>
              <w:fldChar w:fldCharType="begin"/>
            </w:r>
            <w:r w:rsidR="00F45903">
              <w:rPr>
                <w:noProof/>
                <w:webHidden/>
              </w:rPr>
              <w:instrText xml:space="preserve"> PAGEREF _Toc121828603 \h </w:instrText>
            </w:r>
            <w:r w:rsidR="00F45903">
              <w:rPr>
                <w:noProof/>
                <w:webHidden/>
              </w:rPr>
            </w:r>
            <w:r w:rsidR="00F45903">
              <w:rPr>
                <w:noProof/>
                <w:webHidden/>
              </w:rPr>
              <w:fldChar w:fldCharType="separate"/>
            </w:r>
            <w:r w:rsidR="009D2CBD">
              <w:rPr>
                <w:noProof/>
                <w:webHidden/>
              </w:rPr>
              <w:t>11</w:t>
            </w:r>
            <w:r w:rsidR="00F45903">
              <w:rPr>
                <w:noProof/>
                <w:webHidden/>
              </w:rPr>
              <w:fldChar w:fldCharType="end"/>
            </w:r>
          </w:hyperlink>
        </w:p>
        <w:p w14:paraId="62C08923" w14:textId="4106A8B2" w:rsidR="00F45903" w:rsidRDefault="003700A7">
          <w:pPr>
            <w:pStyle w:val="Spistreci3"/>
            <w:rPr>
              <w:rFonts w:cstheme="minorBidi"/>
              <w:noProof/>
            </w:rPr>
          </w:pPr>
          <w:hyperlink w:anchor="_Toc121828604" w:history="1">
            <w:r w:rsidR="00F45903" w:rsidRPr="00167CAA">
              <w:rPr>
                <w:rStyle w:val="Hipercze"/>
                <w:noProof/>
              </w:rPr>
              <w:t>3.1.</w:t>
            </w:r>
            <w:r w:rsidR="00F45903">
              <w:rPr>
                <w:rFonts w:cstheme="minorBidi"/>
                <w:noProof/>
              </w:rPr>
              <w:tab/>
            </w:r>
            <w:r w:rsidR="00F45903" w:rsidRPr="00167CAA">
              <w:rPr>
                <w:rStyle w:val="Hipercze"/>
                <w:noProof/>
              </w:rPr>
              <w:t>PPE</w:t>
            </w:r>
            <w:r w:rsidR="00F45903">
              <w:rPr>
                <w:noProof/>
                <w:webHidden/>
              </w:rPr>
              <w:tab/>
            </w:r>
            <w:r w:rsidR="00F45903">
              <w:rPr>
                <w:noProof/>
                <w:webHidden/>
              </w:rPr>
              <w:fldChar w:fldCharType="begin"/>
            </w:r>
            <w:r w:rsidR="00F45903">
              <w:rPr>
                <w:noProof/>
                <w:webHidden/>
              </w:rPr>
              <w:instrText xml:space="preserve"> PAGEREF _Toc121828604 \h </w:instrText>
            </w:r>
            <w:r w:rsidR="00F45903">
              <w:rPr>
                <w:noProof/>
                <w:webHidden/>
              </w:rPr>
            </w:r>
            <w:r w:rsidR="00F45903">
              <w:rPr>
                <w:noProof/>
                <w:webHidden/>
              </w:rPr>
              <w:fldChar w:fldCharType="separate"/>
            </w:r>
            <w:r w:rsidR="009D2CBD">
              <w:rPr>
                <w:noProof/>
                <w:webHidden/>
              </w:rPr>
              <w:t>13</w:t>
            </w:r>
            <w:r w:rsidR="00F45903">
              <w:rPr>
                <w:noProof/>
                <w:webHidden/>
              </w:rPr>
              <w:fldChar w:fldCharType="end"/>
            </w:r>
          </w:hyperlink>
        </w:p>
        <w:p w14:paraId="0F59EF3E" w14:textId="5AD85261" w:rsidR="00F45903" w:rsidRDefault="003700A7">
          <w:pPr>
            <w:pStyle w:val="Spistreci3"/>
            <w:rPr>
              <w:rFonts w:cstheme="minorBidi"/>
              <w:noProof/>
            </w:rPr>
          </w:pPr>
          <w:hyperlink w:anchor="_Toc121828605" w:history="1">
            <w:r w:rsidR="00F45903" w:rsidRPr="00167CAA">
              <w:rPr>
                <w:rStyle w:val="Hipercze"/>
                <w:noProof/>
              </w:rPr>
              <w:t>3.2.</w:t>
            </w:r>
            <w:r w:rsidR="00F45903">
              <w:rPr>
                <w:rFonts w:cstheme="minorBidi"/>
                <w:noProof/>
              </w:rPr>
              <w:tab/>
            </w:r>
            <w:r w:rsidR="00F45903" w:rsidRPr="00167CAA">
              <w:rPr>
                <w:rStyle w:val="Hipercze"/>
                <w:noProof/>
              </w:rPr>
              <w:t>IKE i IKZE</w:t>
            </w:r>
            <w:r w:rsidR="00F45903">
              <w:rPr>
                <w:noProof/>
                <w:webHidden/>
              </w:rPr>
              <w:tab/>
            </w:r>
            <w:r w:rsidR="00F45903">
              <w:rPr>
                <w:noProof/>
                <w:webHidden/>
              </w:rPr>
              <w:fldChar w:fldCharType="begin"/>
            </w:r>
            <w:r w:rsidR="00F45903">
              <w:rPr>
                <w:noProof/>
                <w:webHidden/>
              </w:rPr>
              <w:instrText xml:space="preserve"> PAGEREF _Toc121828605 \h </w:instrText>
            </w:r>
            <w:r w:rsidR="00F45903">
              <w:rPr>
                <w:noProof/>
                <w:webHidden/>
              </w:rPr>
            </w:r>
            <w:r w:rsidR="00F45903">
              <w:rPr>
                <w:noProof/>
                <w:webHidden/>
              </w:rPr>
              <w:fldChar w:fldCharType="separate"/>
            </w:r>
            <w:r w:rsidR="009D2CBD">
              <w:rPr>
                <w:noProof/>
                <w:webHidden/>
              </w:rPr>
              <w:t>14</w:t>
            </w:r>
            <w:r w:rsidR="00F45903">
              <w:rPr>
                <w:noProof/>
                <w:webHidden/>
              </w:rPr>
              <w:fldChar w:fldCharType="end"/>
            </w:r>
          </w:hyperlink>
        </w:p>
        <w:p w14:paraId="083BC3BE" w14:textId="4752D2A1" w:rsidR="00F45903" w:rsidRDefault="003700A7">
          <w:pPr>
            <w:pStyle w:val="Spistreci2"/>
            <w:rPr>
              <w:rFonts w:eastAsiaTheme="minorEastAsia"/>
              <w:noProof/>
              <w:lang w:eastAsia="pl-PL"/>
            </w:rPr>
          </w:pPr>
          <w:hyperlink w:anchor="_Toc121828606" w:history="1">
            <w:r w:rsidR="00F45903" w:rsidRPr="00167CAA">
              <w:rPr>
                <w:rStyle w:val="Hipercze"/>
                <w:noProof/>
              </w:rPr>
              <w:t>4.</w:t>
            </w:r>
            <w:r w:rsidR="00F45903">
              <w:rPr>
                <w:rFonts w:eastAsiaTheme="minorEastAsia"/>
                <w:noProof/>
                <w:lang w:eastAsia="pl-PL"/>
              </w:rPr>
              <w:tab/>
            </w:r>
            <w:r w:rsidR="00F45903" w:rsidRPr="00167CAA">
              <w:rPr>
                <w:rStyle w:val="Hipercze"/>
                <w:noProof/>
              </w:rPr>
              <w:t>Wzrost zamożności Polaków oraz sposoby gromadzenia przez nich nadwyżek finansowych</w:t>
            </w:r>
            <w:r w:rsidR="00F45903">
              <w:rPr>
                <w:noProof/>
                <w:webHidden/>
              </w:rPr>
              <w:tab/>
            </w:r>
            <w:r w:rsidR="00F45903">
              <w:rPr>
                <w:noProof/>
                <w:webHidden/>
              </w:rPr>
              <w:fldChar w:fldCharType="begin"/>
            </w:r>
            <w:r w:rsidR="00F45903">
              <w:rPr>
                <w:noProof/>
                <w:webHidden/>
              </w:rPr>
              <w:instrText xml:space="preserve"> PAGEREF _Toc121828606 \h </w:instrText>
            </w:r>
            <w:r w:rsidR="00F45903">
              <w:rPr>
                <w:noProof/>
                <w:webHidden/>
              </w:rPr>
            </w:r>
            <w:r w:rsidR="00F45903">
              <w:rPr>
                <w:noProof/>
                <w:webHidden/>
              </w:rPr>
              <w:fldChar w:fldCharType="separate"/>
            </w:r>
            <w:r w:rsidR="009D2CBD">
              <w:rPr>
                <w:noProof/>
                <w:webHidden/>
              </w:rPr>
              <w:t>15</w:t>
            </w:r>
            <w:r w:rsidR="00F45903">
              <w:rPr>
                <w:noProof/>
                <w:webHidden/>
              </w:rPr>
              <w:fldChar w:fldCharType="end"/>
            </w:r>
          </w:hyperlink>
        </w:p>
        <w:p w14:paraId="77D0F58F" w14:textId="0FBBE306" w:rsidR="00F45903" w:rsidRDefault="003700A7">
          <w:pPr>
            <w:pStyle w:val="Spistreci3"/>
            <w:rPr>
              <w:rFonts w:cstheme="minorBidi"/>
              <w:noProof/>
            </w:rPr>
          </w:pPr>
          <w:hyperlink w:anchor="_Toc121828607" w:history="1">
            <w:r w:rsidR="00F45903" w:rsidRPr="00167CAA">
              <w:rPr>
                <w:rStyle w:val="Hipercze"/>
                <w:noProof/>
              </w:rPr>
              <w:t>4.1.</w:t>
            </w:r>
            <w:r w:rsidR="00F45903">
              <w:rPr>
                <w:rFonts w:cstheme="minorBidi"/>
                <w:noProof/>
              </w:rPr>
              <w:tab/>
            </w:r>
            <w:r w:rsidR="00F45903" w:rsidRPr="00167CAA">
              <w:rPr>
                <w:rStyle w:val="Hipercze"/>
                <w:noProof/>
              </w:rPr>
              <w:t>Zamożność Polaków. Jak wypadamy na tle innych społeczeństw?</w:t>
            </w:r>
            <w:r w:rsidR="00F45903">
              <w:rPr>
                <w:noProof/>
                <w:webHidden/>
              </w:rPr>
              <w:tab/>
            </w:r>
            <w:r w:rsidR="00F45903">
              <w:rPr>
                <w:noProof/>
                <w:webHidden/>
              </w:rPr>
              <w:fldChar w:fldCharType="begin"/>
            </w:r>
            <w:r w:rsidR="00F45903">
              <w:rPr>
                <w:noProof/>
                <w:webHidden/>
              </w:rPr>
              <w:instrText xml:space="preserve"> PAGEREF _Toc121828607 \h </w:instrText>
            </w:r>
            <w:r w:rsidR="00F45903">
              <w:rPr>
                <w:noProof/>
                <w:webHidden/>
              </w:rPr>
            </w:r>
            <w:r w:rsidR="00F45903">
              <w:rPr>
                <w:noProof/>
                <w:webHidden/>
              </w:rPr>
              <w:fldChar w:fldCharType="separate"/>
            </w:r>
            <w:r w:rsidR="009D2CBD">
              <w:rPr>
                <w:noProof/>
                <w:webHidden/>
              </w:rPr>
              <w:t>17</w:t>
            </w:r>
            <w:r w:rsidR="00F45903">
              <w:rPr>
                <w:noProof/>
                <w:webHidden/>
              </w:rPr>
              <w:fldChar w:fldCharType="end"/>
            </w:r>
          </w:hyperlink>
        </w:p>
        <w:p w14:paraId="26696F3A" w14:textId="066020AB" w:rsidR="00F45903" w:rsidRDefault="003700A7">
          <w:pPr>
            <w:pStyle w:val="Spistreci3"/>
            <w:rPr>
              <w:rFonts w:cstheme="minorBidi"/>
              <w:noProof/>
            </w:rPr>
          </w:pPr>
          <w:hyperlink w:anchor="_Toc121828608" w:history="1">
            <w:r w:rsidR="00F45903" w:rsidRPr="00167CAA">
              <w:rPr>
                <w:rStyle w:val="Hipercze"/>
                <w:noProof/>
              </w:rPr>
              <w:t>4.2.</w:t>
            </w:r>
            <w:r w:rsidR="00F45903">
              <w:rPr>
                <w:rFonts w:cstheme="minorBidi"/>
                <w:noProof/>
              </w:rPr>
              <w:tab/>
            </w:r>
            <w:r w:rsidR="00F45903" w:rsidRPr="00167CAA">
              <w:rPr>
                <w:rStyle w:val="Hipercze"/>
                <w:noProof/>
              </w:rPr>
              <w:t>Jak oszczędzamy? Próba analizy z perspektywy porównawczej i badań</w:t>
            </w:r>
            <w:r w:rsidR="00F45903">
              <w:rPr>
                <w:noProof/>
                <w:webHidden/>
              </w:rPr>
              <w:tab/>
            </w:r>
            <w:r w:rsidR="00F45903">
              <w:rPr>
                <w:noProof/>
                <w:webHidden/>
              </w:rPr>
              <w:fldChar w:fldCharType="begin"/>
            </w:r>
            <w:r w:rsidR="00F45903">
              <w:rPr>
                <w:noProof/>
                <w:webHidden/>
              </w:rPr>
              <w:instrText xml:space="preserve"> PAGEREF _Toc121828608 \h </w:instrText>
            </w:r>
            <w:r w:rsidR="00F45903">
              <w:rPr>
                <w:noProof/>
                <w:webHidden/>
              </w:rPr>
            </w:r>
            <w:r w:rsidR="00F45903">
              <w:rPr>
                <w:noProof/>
                <w:webHidden/>
              </w:rPr>
              <w:fldChar w:fldCharType="separate"/>
            </w:r>
            <w:r w:rsidR="009D2CBD">
              <w:rPr>
                <w:noProof/>
                <w:webHidden/>
              </w:rPr>
              <w:t>18</w:t>
            </w:r>
            <w:r w:rsidR="00F45903">
              <w:rPr>
                <w:noProof/>
                <w:webHidden/>
              </w:rPr>
              <w:fldChar w:fldCharType="end"/>
            </w:r>
          </w:hyperlink>
        </w:p>
        <w:p w14:paraId="35DCDCB6" w14:textId="34088F6B" w:rsidR="00F45903" w:rsidRDefault="003700A7">
          <w:pPr>
            <w:pStyle w:val="Spistreci3"/>
            <w:rPr>
              <w:rFonts w:cstheme="minorBidi"/>
              <w:noProof/>
            </w:rPr>
          </w:pPr>
          <w:hyperlink w:anchor="_Toc121828609" w:history="1">
            <w:r w:rsidR="00F45903" w:rsidRPr="00167CAA">
              <w:rPr>
                <w:rStyle w:val="Hipercze"/>
                <w:noProof/>
              </w:rPr>
              <w:t>4.3.</w:t>
            </w:r>
            <w:r w:rsidR="00F45903">
              <w:rPr>
                <w:rFonts w:cstheme="minorBidi"/>
                <w:noProof/>
              </w:rPr>
              <w:tab/>
            </w:r>
            <w:r w:rsidR="00F45903" w:rsidRPr="00167CAA">
              <w:rPr>
                <w:rStyle w:val="Hipercze"/>
                <w:noProof/>
              </w:rPr>
              <w:t>Sposoby gromadzenia nadwyżek finansowych: bezpieczeństwo i rentowność</w:t>
            </w:r>
            <w:r w:rsidR="00F45903">
              <w:rPr>
                <w:noProof/>
                <w:webHidden/>
              </w:rPr>
              <w:tab/>
            </w:r>
            <w:r w:rsidR="00F45903">
              <w:rPr>
                <w:noProof/>
                <w:webHidden/>
              </w:rPr>
              <w:fldChar w:fldCharType="begin"/>
            </w:r>
            <w:r w:rsidR="00F45903">
              <w:rPr>
                <w:noProof/>
                <w:webHidden/>
              </w:rPr>
              <w:instrText xml:space="preserve"> PAGEREF _Toc121828609 \h </w:instrText>
            </w:r>
            <w:r w:rsidR="00F45903">
              <w:rPr>
                <w:noProof/>
                <w:webHidden/>
              </w:rPr>
            </w:r>
            <w:r w:rsidR="00F45903">
              <w:rPr>
                <w:noProof/>
                <w:webHidden/>
              </w:rPr>
              <w:fldChar w:fldCharType="separate"/>
            </w:r>
            <w:r w:rsidR="009D2CBD">
              <w:rPr>
                <w:noProof/>
                <w:webHidden/>
              </w:rPr>
              <w:t>19</w:t>
            </w:r>
            <w:r w:rsidR="00F45903">
              <w:rPr>
                <w:noProof/>
                <w:webHidden/>
              </w:rPr>
              <w:fldChar w:fldCharType="end"/>
            </w:r>
          </w:hyperlink>
        </w:p>
        <w:p w14:paraId="750C0762" w14:textId="5715FDC1" w:rsidR="00F45903" w:rsidRDefault="003700A7">
          <w:pPr>
            <w:pStyle w:val="Spistreci2"/>
            <w:rPr>
              <w:rFonts w:eastAsiaTheme="minorEastAsia"/>
              <w:noProof/>
              <w:lang w:eastAsia="pl-PL"/>
            </w:rPr>
          </w:pPr>
          <w:hyperlink w:anchor="_Toc121828610" w:history="1">
            <w:r w:rsidR="00F45903" w:rsidRPr="00167CAA">
              <w:rPr>
                <w:rStyle w:val="Hipercze"/>
                <w:noProof/>
              </w:rPr>
              <w:t>5.</w:t>
            </w:r>
            <w:r w:rsidR="00F45903">
              <w:rPr>
                <w:rFonts w:eastAsiaTheme="minorEastAsia"/>
                <w:noProof/>
                <w:lang w:eastAsia="pl-PL"/>
              </w:rPr>
              <w:tab/>
            </w:r>
            <w:r w:rsidR="00F45903" w:rsidRPr="00167CAA">
              <w:rPr>
                <w:rStyle w:val="Hipercze"/>
                <w:noProof/>
              </w:rPr>
              <w:t>Doświadczenia zagraniczne</w:t>
            </w:r>
            <w:r w:rsidR="00F45903">
              <w:rPr>
                <w:noProof/>
                <w:webHidden/>
              </w:rPr>
              <w:tab/>
            </w:r>
            <w:r w:rsidR="00F45903">
              <w:rPr>
                <w:noProof/>
                <w:webHidden/>
              </w:rPr>
              <w:fldChar w:fldCharType="begin"/>
            </w:r>
            <w:r w:rsidR="00F45903">
              <w:rPr>
                <w:noProof/>
                <w:webHidden/>
              </w:rPr>
              <w:instrText xml:space="preserve"> PAGEREF _Toc121828610 \h </w:instrText>
            </w:r>
            <w:r w:rsidR="00F45903">
              <w:rPr>
                <w:noProof/>
                <w:webHidden/>
              </w:rPr>
            </w:r>
            <w:r w:rsidR="00F45903">
              <w:rPr>
                <w:noProof/>
                <w:webHidden/>
              </w:rPr>
              <w:fldChar w:fldCharType="separate"/>
            </w:r>
            <w:r w:rsidR="009D2CBD">
              <w:rPr>
                <w:noProof/>
                <w:webHidden/>
              </w:rPr>
              <w:t>20</w:t>
            </w:r>
            <w:r w:rsidR="00F45903">
              <w:rPr>
                <w:noProof/>
                <w:webHidden/>
              </w:rPr>
              <w:fldChar w:fldCharType="end"/>
            </w:r>
          </w:hyperlink>
        </w:p>
        <w:p w14:paraId="69842F90" w14:textId="43B91C57" w:rsidR="00F45903" w:rsidRDefault="003700A7">
          <w:pPr>
            <w:pStyle w:val="Spistreci3"/>
            <w:rPr>
              <w:rFonts w:cstheme="minorBidi"/>
              <w:noProof/>
            </w:rPr>
          </w:pPr>
          <w:hyperlink w:anchor="_Toc121828611" w:history="1">
            <w:r w:rsidR="00F45903" w:rsidRPr="00167CAA">
              <w:rPr>
                <w:rStyle w:val="Hipercze"/>
                <w:noProof/>
              </w:rPr>
              <w:t>5.1.</w:t>
            </w:r>
            <w:r w:rsidR="00F45903">
              <w:rPr>
                <w:rFonts w:cstheme="minorBidi"/>
                <w:noProof/>
              </w:rPr>
              <w:tab/>
            </w:r>
            <w:r w:rsidR="00F45903" w:rsidRPr="00167CAA">
              <w:rPr>
                <w:rStyle w:val="Hipercze"/>
                <w:noProof/>
              </w:rPr>
              <w:t>Programy z automatycznym zapisem - przykłady</w:t>
            </w:r>
            <w:r w:rsidR="00F45903">
              <w:rPr>
                <w:noProof/>
                <w:webHidden/>
              </w:rPr>
              <w:tab/>
            </w:r>
            <w:r w:rsidR="00F45903">
              <w:rPr>
                <w:noProof/>
                <w:webHidden/>
              </w:rPr>
              <w:fldChar w:fldCharType="begin"/>
            </w:r>
            <w:r w:rsidR="00F45903">
              <w:rPr>
                <w:noProof/>
                <w:webHidden/>
              </w:rPr>
              <w:instrText xml:space="preserve"> PAGEREF _Toc121828611 \h </w:instrText>
            </w:r>
            <w:r w:rsidR="00F45903">
              <w:rPr>
                <w:noProof/>
                <w:webHidden/>
              </w:rPr>
            </w:r>
            <w:r w:rsidR="00F45903">
              <w:rPr>
                <w:noProof/>
                <w:webHidden/>
              </w:rPr>
              <w:fldChar w:fldCharType="separate"/>
            </w:r>
            <w:r w:rsidR="009D2CBD">
              <w:rPr>
                <w:noProof/>
                <w:webHidden/>
              </w:rPr>
              <w:t>21</w:t>
            </w:r>
            <w:r w:rsidR="00F45903">
              <w:rPr>
                <w:noProof/>
                <w:webHidden/>
              </w:rPr>
              <w:fldChar w:fldCharType="end"/>
            </w:r>
          </w:hyperlink>
        </w:p>
        <w:p w14:paraId="0F2195FC" w14:textId="7B07A423" w:rsidR="00F45903" w:rsidRDefault="003700A7">
          <w:pPr>
            <w:pStyle w:val="Spistreci2"/>
            <w:rPr>
              <w:rFonts w:eastAsiaTheme="minorEastAsia"/>
              <w:noProof/>
              <w:lang w:eastAsia="pl-PL"/>
            </w:rPr>
          </w:pPr>
          <w:hyperlink w:anchor="_Toc121828612" w:history="1">
            <w:r w:rsidR="00F45903" w:rsidRPr="00167CAA">
              <w:rPr>
                <w:rStyle w:val="Hipercze"/>
                <w:noProof/>
              </w:rPr>
              <w:t>6.</w:t>
            </w:r>
            <w:r w:rsidR="00F45903">
              <w:rPr>
                <w:rFonts w:eastAsiaTheme="minorEastAsia"/>
                <w:noProof/>
                <w:lang w:eastAsia="pl-PL"/>
              </w:rPr>
              <w:tab/>
            </w:r>
            <w:r w:rsidR="00F45903" w:rsidRPr="00167CAA">
              <w:rPr>
                <w:rStyle w:val="Hipercze"/>
                <w:noProof/>
              </w:rPr>
              <w:t>Prace nad ustawą o pracowniczych planach kapitałowych</w:t>
            </w:r>
            <w:r w:rsidR="00F45903">
              <w:rPr>
                <w:noProof/>
                <w:webHidden/>
              </w:rPr>
              <w:tab/>
            </w:r>
            <w:r w:rsidR="00F45903">
              <w:rPr>
                <w:noProof/>
                <w:webHidden/>
              </w:rPr>
              <w:fldChar w:fldCharType="begin"/>
            </w:r>
            <w:r w:rsidR="00F45903">
              <w:rPr>
                <w:noProof/>
                <w:webHidden/>
              </w:rPr>
              <w:instrText xml:space="preserve"> PAGEREF _Toc121828612 \h </w:instrText>
            </w:r>
            <w:r w:rsidR="00F45903">
              <w:rPr>
                <w:noProof/>
                <w:webHidden/>
              </w:rPr>
            </w:r>
            <w:r w:rsidR="00F45903">
              <w:rPr>
                <w:noProof/>
                <w:webHidden/>
              </w:rPr>
              <w:fldChar w:fldCharType="separate"/>
            </w:r>
            <w:r w:rsidR="009D2CBD">
              <w:rPr>
                <w:noProof/>
                <w:webHidden/>
              </w:rPr>
              <w:t>27</w:t>
            </w:r>
            <w:r w:rsidR="00F45903">
              <w:rPr>
                <w:noProof/>
                <w:webHidden/>
              </w:rPr>
              <w:fldChar w:fldCharType="end"/>
            </w:r>
          </w:hyperlink>
        </w:p>
        <w:p w14:paraId="1683A2E4" w14:textId="56F8F927" w:rsidR="00F45903" w:rsidRDefault="003700A7">
          <w:pPr>
            <w:pStyle w:val="Spistreci2"/>
            <w:rPr>
              <w:rFonts w:eastAsiaTheme="minorEastAsia"/>
              <w:noProof/>
              <w:lang w:eastAsia="pl-PL"/>
            </w:rPr>
          </w:pPr>
          <w:hyperlink w:anchor="_Toc121828613" w:history="1">
            <w:r w:rsidR="00F45903" w:rsidRPr="00167CAA">
              <w:rPr>
                <w:rStyle w:val="Hipercze"/>
                <w:noProof/>
              </w:rPr>
              <w:t>7.</w:t>
            </w:r>
            <w:r w:rsidR="00F45903">
              <w:rPr>
                <w:rFonts w:eastAsiaTheme="minorEastAsia"/>
                <w:noProof/>
                <w:lang w:eastAsia="pl-PL"/>
              </w:rPr>
              <w:tab/>
            </w:r>
            <w:r w:rsidR="00F45903" w:rsidRPr="00167CAA">
              <w:rPr>
                <w:rStyle w:val="Hipercze"/>
                <w:noProof/>
              </w:rPr>
              <w:t>Cele ustawy o PPK</w:t>
            </w:r>
            <w:r w:rsidR="00F45903">
              <w:rPr>
                <w:noProof/>
                <w:webHidden/>
              </w:rPr>
              <w:tab/>
            </w:r>
            <w:r w:rsidR="00F45903">
              <w:rPr>
                <w:noProof/>
                <w:webHidden/>
              </w:rPr>
              <w:fldChar w:fldCharType="begin"/>
            </w:r>
            <w:r w:rsidR="00F45903">
              <w:rPr>
                <w:noProof/>
                <w:webHidden/>
              </w:rPr>
              <w:instrText xml:space="preserve"> PAGEREF _Toc121828613 \h </w:instrText>
            </w:r>
            <w:r w:rsidR="00F45903">
              <w:rPr>
                <w:noProof/>
                <w:webHidden/>
              </w:rPr>
            </w:r>
            <w:r w:rsidR="00F45903">
              <w:rPr>
                <w:noProof/>
                <w:webHidden/>
              </w:rPr>
              <w:fldChar w:fldCharType="separate"/>
            </w:r>
            <w:r w:rsidR="009D2CBD">
              <w:rPr>
                <w:noProof/>
                <w:webHidden/>
              </w:rPr>
              <w:t>28</w:t>
            </w:r>
            <w:r w:rsidR="00F45903">
              <w:rPr>
                <w:noProof/>
                <w:webHidden/>
              </w:rPr>
              <w:fldChar w:fldCharType="end"/>
            </w:r>
          </w:hyperlink>
        </w:p>
        <w:p w14:paraId="530CBD19" w14:textId="2309F7BE" w:rsidR="00F45903" w:rsidRDefault="003700A7">
          <w:pPr>
            <w:pStyle w:val="Spistreci1"/>
            <w:rPr>
              <w:rFonts w:eastAsiaTheme="minorEastAsia"/>
              <w:noProof/>
              <w:lang w:eastAsia="pl-PL"/>
            </w:rPr>
          </w:pPr>
          <w:hyperlink w:anchor="_Toc121828614" w:history="1">
            <w:r w:rsidR="00F45903" w:rsidRPr="00167CAA">
              <w:rPr>
                <w:rStyle w:val="Hipercze"/>
                <w:noProof/>
              </w:rPr>
              <w:t>III.</w:t>
            </w:r>
            <w:r w:rsidR="00F45903">
              <w:rPr>
                <w:rFonts w:eastAsiaTheme="minorEastAsia"/>
                <w:noProof/>
                <w:lang w:eastAsia="pl-PL"/>
              </w:rPr>
              <w:tab/>
            </w:r>
            <w:r w:rsidR="00F45903" w:rsidRPr="00167CAA">
              <w:rPr>
                <w:rStyle w:val="Hipercze"/>
                <w:noProof/>
              </w:rPr>
              <w:t>Główne założenia pracowniczych planów kapitałowych</w:t>
            </w:r>
            <w:r w:rsidR="00F45903">
              <w:rPr>
                <w:noProof/>
                <w:webHidden/>
              </w:rPr>
              <w:tab/>
            </w:r>
            <w:r w:rsidR="00F45903">
              <w:rPr>
                <w:noProof/>
                <w:webHidden/>
              </w:rPr>
              <w:fldChar w:fldCharType="begin"/>
            </w:r>
            <w:r w:rsidR="00F45903">
              <w:rPr>
                <w:noProof/>
                <w:webHidden/>
              </w:rPr>
              <w:instrText xml:space="preserve"> PAGEREF _Toc121828614 \h </w:instrText>
            </w:r>
            <w:r w:rsidR="00F45903">
              <w:rPr>
                <w:noProof/>
                <w:webHidden/>
              </w:rPr>
            </w:r>
            <w:r w:rsidR="00F45903">
              <w:rPr>
                <w:noProof/>
                <w:webHidden/>
              </w:rPr>
              <w:fldChar w:fldCharType="separate"/>
            </w:r>
            <w:r w:rsidR="009D2CBD">
              <w:rPr>
                <w:noProof/>
                <w:webHidden/>
              </w:rPr>
              <w:t>29</w:t>
            </w:r>
            <w:r w:rsidR="00F45903">
              <w:rPr>
                <w:noProof/>
                <w:webHidden/>
              </w:rPr>
              <w:fldChar w:fldCharType="end"/>
            </w:r>
          </w:hyperlink>
        </w:p>
        <w:p w14:paraId="2ABF51BC" w14:textId="5CFD0CD2" w:rsidR="00F45903" w:rsidRDefault="003700A7">
          <w:pPr>
            <w:pStyle w:val="Spistreci2"/>
            <w:rPr>
              <w:rFonts w:eastAsiaTheme="minorEastAsia"/>
              <w:noProof/>
              <w:lang w:eastAsia="pl-PL"/>
            </w:rPr>
          </w:pPr>
          <w:hyperlink w:anchor="_Toc121828615" w:history="1">
            <w:r w:rsidR="00F45903" w:rsidRPr="00167CAA">
              <w:rPr>
                <w:rStyle w:val="Hipercze"/>
                <w:noProof/>
              </w:rPr>
              <w:t>1.</w:t>
            </w:r>
            <w:r w:rsidR="00F45903">
              <w:rPr>
                <w:rFonts w:eastAsiaTheme="minorEastAsia"/>
                <w:noProof/>
                <w:lang w:eastAsia="pl-PL"/>
              </w:rPr>
              <w:tab/>
            </w:r>
            <w:r w:rsidR="00F45903" w:rsidRPr="00167CAA">
              <w:rPr>
                <w:rStyle w:val="Hipercze"/>
                <w:noProof/>
              </w:rPr>
              <w:t>Zasady działania programu</w:t>
            </w:r>
            <w:r w:rsidR="00F45903">
              <w:rPr>
                <w:noProof/>
                <w:webHidden/>
              </w:rPr>
              <w:tab/>
            </w:r>
            <w:r w:rsidR="00F45903">
              <w:rPr>
                <w:noProof/>
                <w:webHidden/>
              </w:rPr>
              <w:fldChar w:fldCharType="begin"/>
            </w:r>
            <w:r w:rsidR="00F45903">
              <w:rPr>
                <w:noProof/>
                <w:webHidden/>
              </w:rPr>
              <w:instrText xml:space="preserve"> PAGEREF _Toc121828615 \h </w:instrText>
            </w:r>
            <w:r w:rsidR="00F45903">
              <w:rPr>
                <w:noProof/>
                <w:webHidden/>
              </w:rPr>
            </w:r>
            <w:r w:rsidR="00F45903">
              <w:rPr>
                <w:noProof/>
                <w:webHidden/>
              </w:rPr>
              <w:fldChar w:fldCharType="separate"/>
            </w:r>
            <w:r w:rsidR="009D2CBD">
              <w:rPr>
                <w:noProof/>
                <w:webHidden/>
              </w:rPr>
              <w:t>29</w:t>
            </w:r>
            <w:r w:rsidR="00F45903">
              <w:rPr>
                <w:noProof/>
                <w:webHidden/>
              </w:rPr>
              <w:fldChar w:fldCharType="end"/>
            </w:r>
          </w:hyperlink>
        </w:p>
        <w:p w14:paraId="08AF511F" w14:textId="1A7B2301" w:rsidR="00F45903" w:rsidRDefault="003700A7">
          <w:pPr>
            <w:pStyle w:val="Spistreci3"/>
            <w:rPr>
              <w:rFonts w:cstheme="minorBidi"/>
              <w:noProof/>
            </w:rPr>
          </w:pPr>
          <w:hyperlink w:anchor="_Toc121828616" w:history="1">
            <w:r w:rsidR="00F45903" w:rsidRPr="00167CAA">
              <w:rPr>
                <w:rStyle w:val="Hipercze"/>
                <w:noProof/>
              </w:rPr>
              <w:t>1.1.</w:t>
            </w:r>
            <w:r w:rsidR="00F45903">
              <w:rPr>
                <w:rFonts w:cstheme="minorBidi"/>
                <w:noProof/>
              </w:rPr>
              <w:tab/>
            </w:r>
            <w:r w:rsidR="00F45903" w:rsidRPr="00167CAA">
              <w:rPr>
                <w:rStyle w:val="Hipercze"/>
                <w:noProof/>
              </w:rPr>
              <w:t>Powszechny charakter</w:t>
            </w:r>
            <w:r w:rsidR="00F45903">
              <w:rPr>
                <w:noProof/>
                <w:webHidden/>
              </w:rPr>
              <w:tab/>
            </w:r>
            <w:r w:rsidR="00F45903">
              <w:rPr>
                <w:noProof/>
                <w:webHidden/>
              </w:rPr>
              <w:fldChar w:fldCharType="begin"/>
            </w:r>
            <w:r w:rsidR="00F45903">
              <w:rPr>
                <w:noProof/>
                <w:webHidden/>
              </w:rPr>
              <w:instrText xml:space="preserve"> PAGEREF _Toc121828616 \h </w:instrText>
            </w:r>
            <w:r w:rsidR="00F45903">
              <w:rPr>
                <w:noProof/>
                <w:webHidden/>
              </w:rPr>
            </w:r>
            <w:r w:rsidR="00F45903">
              <w:rPr>
                <w:noProof/>
                <w:webHidden/>
              </w:rPr>
              <w:fldChar w:fldCharType="separate"/>
            </w:r>
            <w:r w:rsidR="009D2CBD">
              <w:rPr>
                <w:noProof/>
                <w:webHidden/>
              </w:rPr>
              <w:t>29</w:t>
            </w:r>
            <w:r w:rsidR="00F45903">
              <w:rPr>
                <w:noProof/>
                <w:webHidden/>
              </w:rPr>
              <w:fldChar w:fldCharType="end"/>
            </w:r>
          </w:hyperlink>
        </w:p>
        <w:p w14:paraId="48C7D21A" w14:textId="1B3FE12F" w:rsidR="00F45903" w:rsidRDefault="003700A7">
          <w:pPr>
            <w:pStyle w:val="Spistreci3"/>
            <w:rPr>
              <w:rFonts w:cstheme="minorBidi"/>
              <w:noProof/>
            </w:rPr>
          </w:pPr>
          <w:hyperlink w:anchor="_Toc121828617" w:history="1">
            <w:r w:rsidR="00F45903" w:rsidRPr="00167CAA">
              <w:rPr>
                <w:rStyle w:val="Hipercze"/>
                <w:noProof/>
              </w:rPr>
              <w:t>1.2.</w:t>
            </w:r>
            <w:r w:rsidR="00F45903">
              <w:rPr>
                <w:rFonts w:cstheme="minorBidi"/>
                <w:noProof/>
              </w:rPr>
              <w:tab/>
            </w:r>
            <w:r w:rsidR="00F45903" w:rsidRPr="00167CAA">
              <w:rPr>
                <w:rStyle w:val="Hipercze"/>
                <w:noProof/>
              </w:rPr>
              <w:t>Uruchomienie w porozumieniu ze stroną społeczną</w:t>
            </w:r>
            <w:r w:rsidR="00F45903">
              <w:rPr>
                <w:noProof/>
                <w:webHidden/>
              </w:rPr>
              <w:tab/>
            </w:r>
            <w:r w:rsidR="00F45903">
              <w:rPr>
                <w:noProof/>
                <w:webHidden/>
              </w:rPr>
              <w:fldChar w:fldCharType="begin"/>
            </w:r>
            <w:r w:rsidR="00F45903">
              <w:rPr>
                <w:noProof/>
                <w:webHidden/>
              </w:rPr>
              <w:instrText xml:space="preserve"> PAGEREF _Toc121828617 \h </w:instrText>
            </w:r>
            <w:r w:rsidR="00F45903">
              <w:rPr>
                <w:noProof/>
                <w:webHidden/>
              </w:rPr>
            </w:r>
            <w:r w:rsidR="00F45903">
              <w:rPr>
                <w:noProof/>
                <w:webHidden/>
              </w:rPr>
              <w:fldChar w:fldCharType="separate"/>
            </w:r>
            <w:r w:rsidR="009D2CBD">
              <w:rPr>
                <w:noProof/>
                <w:webHidden/>
              </w:rPr>
              <w:t>29</w:t>
            </w:r>
            <w:r w:rsidR="00F45903">
              <w:rPr>
                <w:noProof/>
                <w:webHidden/>
              </w:rPr>
              <w:fldChar w:fldCharType="end"/>
            </w:r>
          </w:hyperlink>
        </w:p>
        <w:p w14:paraId="34D3FFFF" w14:textId="71101335" w:rsidR="00F45903" w:rsidRDefault="003700A7">
          <w:pPr>
            <w:pStyle w:val="Spistreci3"/>
            <w:rPr>
              <w:rFonts w:cstheme="minorBidi"/>
              <w:noProof/>
            </w:rPr>
          </w:pPr>
          <w:hyperlink w:anchor="_Toc121828618" w:history="1">
            <w:r w:rsidR="00F45903" w:rsidRPr="00167CAA">
              <w:rPr>
                <w:rStyle w:val="Hipercze"/>
                <w:noProof/>
              </w:rPr>
              <w:t>1.3.</w:t>
            </w:r>
            <w:r w:rsidR="00F45903">
              <w:rPr>
                <w:rFonts w:cstheme="minorBidi"/>
                <w:noProof/>
              </w:rPr>
              <w:tab/>
            </w:r>
            <w:r w:rsidR="00F45903" w:rsidRPr="00167CAA">
              <w:rPr>
                <w:rStyle w:val="Hipercze"/>
                <w:noProof/>
              </w:rPr>
              <w:t>Automatyczny zapis do programu</w:t>
            </w:r>
            <w:r w:rsidR="00F45903">
              <w:rPr>
                <w:noProof/>
                <w:webHidden/>
              </w:rPr>
              <w:tab/>
            </w:r>
            <w:r w:rsidR="00F45903">
              <w:rPr>
                <w:noProof/>
                <w:webHidden/>
              </w:rPr>
              <w:fldChar w:fldCharType="begin"/>
            </w:r>
            <w:r w:rsidR="00F45903">
              <w:rPr>
                <w:noProof/>
                <w:webHidden/>
              </w:rPr>
              <w:instrText xml:space="preserve"> PAGEREF _Toc121828618 \h </w:instrText>
            </w:r>
            <w:r w:rsidR="00F45903">
              <w:rPr>
                <w:noProof/>
                <w:webHidden/>
              </w:rPr>
            </w:r>
            <w:r w:rsidR="00F45903">
              <w:rPr>
                <w:noProof/>
                <w:webHidden/>
              </w:rPr>
              <w:fldChar w:fldCharType="separate"/>
            </w:r>
            <w:r w:rsidR="009D2CBD">
              <w:rPr>
                <w:noProof/>
                <w:webHidden/>
              </w:rPr>
              <w:t>30</w:t>
            </w:r>
            <w:r w:rsidR="00F45903">
              <w:rPr>
                <w:noProof/>
                <w:webHidden/>
              </w:rPr>
              <w:fldChar w:fldCharType="end"/>
            </w:r>
          </w:hyperlink>
        </w:p>
        <w:p w14:paraId="4410973A" w14:textId="29092E47" w:rsidR="00F45903" w:rsidRDefault="003700A7">
          <w:pPr>
            <w:pStyle w:val="Spistreci3"/>
            <w:rPr>
              <w:rFonts w:cstheme="minorBidi"/>
              <w:noProof/>
            </w:rPr>
          </w:pPr>
          <w:hyperlink w:anchor="_Toc121828619" w:history="1">
            <w:r w:rsidR="00F45903" w:rsidRPr="00167CAA">
              <w:rPr>
                <w:rStyle w:val="Hipercze"/>
                <w:noProof/>
              </w:rPr>
              <w:t>1.4.</w:t>
            </w:r>
            <w:r w:rsidR="00F45903">
              <w:rPr>
                <w:rFonts w:cstheme="minorBidi"/>
                <w:noProof/>
              </w:rPr>
              <w:tab/>
            </w:r>
            <w:r w:rsidR="00F45903" w:rsidRPr="00167CAA">
              <w:rPr>
                <w:rStyle w:val="Hipercze"/>
                <w:noProof/>
              </w:rPr>
              <w:t>Finansowanie wpłat</w:t>
            </w:r>
            <w:r w:rsidR="00F45903">
              <w:rPr>
                <w:noProof/>
                <w:webHidden/>
              </w:rPr>
              <w:tab/>
            </w:r>
            <w:r w:rsidR="00F45903">
              <w:rPr>
                <w:noProof/>
                <w:webHidden/>
              </w:rPr>
              <w:fldChar w:fldCharType="begin"/>
            </w:r>
            <w:r w:rsidR="00F45903">
              <w:rPr>
                <w:noProof/>
                <w:webHidden/>
              </w:rPr>
              <w:instrText xml:space="preserve"> PAGEREF _Toc121828619 \h </w:instrText>
            </w:r>
            <w:r w:rsidR="00F45903">
              <w:rPr>
                <w:noProof/>
                <w:webHidden/>
              </w:rPr>
            </w:r>
            <w:r w:rsidR="00F45903">
              <w:rPr>
                <w:noProof/>
                <w:webHidden/>
              </w:rPr>
              <w:fldChar w:fldCharType="separate"/>
            </w:r>
            <w:r w:rsidR="009D2CBD">
              <w:rPr>
                <w:noProof/>
                <w:webHidden/>
              </w:rPr>
              <w:t>31</w:t>
            </w:r>
            <w:r w:rsidR="00F45903">
              <w:rPr>
                <w:noProof/>
                <w:webHidden/>
              </w:rPr>
              <w:fldChar w:fldCharType="end"/>
            </w:r>
          </w:hyperlink>
        </w:p>
        <w:p w14:paraId="4B8671BF" w14:textId="463FD408" w:rsidR="00F45903" w:rsidRDefault="003700A7">
          <w:pPr>
            <w:pStyle w:val="Spistreci3"/>
            <w:rPr>
              <w:rFonts w:cstheme="minorBidi"/>
              <w:noProof/>
            </w:rPr>
          </w:pPr>
          <w:hyperlink w:anchor="_Toc121828620" w:history="1">
            <w:r w:rsidR="00F45903" w:rsidRPr="00167CAA">
              <w:rPr>
                <w:rStyle w:val="Hipercze"/>
                <w:noProof/>
              </w:rPr>
              <w:t>1.5.</w:t>
            </w:r>
            <w:r w:rsidR="00F45903">
              <w:rPr>
                <w:rFonts w:cstheme="minorBidi"/>
                <w:noProof/>
              </w:rPr>
              <w:tab/>
            </w:r>
            <w:r w:rsidR="00F45903" w:rsidRPr="00167CAA">
              <w:rPr>
                <w:rStyle w:val="Hipercze"/>
                <w:noProof/>
              </w:rPr>
              <w:t>Wpłaty na indywidualne rachunki uczestników</w:t>
            </w:r>
            <w:r w:rsidR="00F45903">
              <w:rPr>
                <w:noProof/>
                <w:webHidden/>
              </w:rPr>
              <w:tab/>
            </w:r>
            <w:r w:rsidR="00F45903">
              <w:rPr>
                <w:noProof/>
                <w:webHidden/>
              </w:rPr>
              <w:fldChar w:fldCharType="begin"/>
            </w:r>
            <w:r w:rsidR="00F45903">
              <w:rPr>
                <w:noProof/>
                <w:webHidden/>
              </w:rPr>
              <w:instrText xml:space="preserve"> PAGEREF _Toc121828620 \h </w:instrText>
            </w:r>
            <w:r w:rsidR="00F45903">
              <w:rPr>
                <w:noProof/>
                <w:webHidden/>
              </w:rPr>
            </w:r>
            <w:r w:rsidR="00F45903">
              <w:rPr>
                <w:noProof/>
                <w:webHidden/>
              </w:rPr>
              <w:fldChar w:fldCharType="separate"/>
            </w:r>
            <w:r w:rsidR="009D2CBD">
              <w:rPr>
                <w:noProof/>
                <w:webHidden/>
              </w:rPr>
              <w:t>32</w:t>
            </w:r>
            <w:r w:rsidR="00F45903">
              <w:rPr>
                <w:noProof/>
                <w:webHidden/>
              </w:rPr>
              <w:fldChar w:fldCharType="end"/>
            </w:r>
          </w:hyperlink>
        </w:p>
        <w:p w14:paraId="7FC698E1" w14:textId="31DCD7A1" w:rsidR="00F45903" w:rsidRDefault="003700A7">
          <w:pPr>
            <w:pStyle w:val="Spistreci3"/>
            <w:rPr>
              <w:rFonts w:cstheme="minorBidi"/>
              <w:noProof/>
            </w:rPr>
          </w:pPr>
          <w:hyperlink w:anchor="_Toc121828621" w:history="1">
            <w:r w:rsidR="00F45903" w:rsidRPr="00167CAA">
              <w:rPr>
                <w:rStyle w:val="Hipercze"/>
                <w:noProof/>
              </w:rPr>
              <w:t>1.6.</w:t>
            </w:r>
            <w:r w:rsidR="00F45903">
              <w:rPr>
                <w:rFonts w:cstheme="minorBidi"/>
                <w:noProof/>
              </w:rPr>
              <w:tab/>
            </w:r>
            <w:r w:rsidR="005365BF">
              <w:rPr>
                <w:rStyle w:val="Hipercze"/>
                <w:noProof/>
              </w:rPr>
              <w:t xml:space="preserve">Prywatność </w:t>
            </w:r>
            <w:r w:rsidR="00F45903" w:rsidRPr="00167CAA">
              <w:rPr>
                <w:rStyle w:val="Hipercze"/>
                <w:noProof/>
              </w:rPr>
              <w:t>środków</w:t>
            </w:r>
            <w:r w:rsidR="00F45903">
              <w:rPr>
                <w:noProof/>
                <w:webHidden/>
              </w:rPr>
              <w:tab/>
            </w:r>
            <w:r w:rsidR="00F45903">
              <w:rPr>
                <w:noProof/>
                <w:webHidden/>
              </w:rPr>
              <w:fldChar w:fldCharType="begin"/>
            </w:r>
            <w:r w:rsidR="00F45903">
              <w:rPr>
                <w:noProof/>
                <w:webHidden/>
              </w:rPr>
              <w:instrText xml:space="preserve"> PAGEREF _Toc121828621 \h </w:instrText>
            </w:r>
            <w:r w:rsidR="00F45903">
              <w:rPr>
                <w:noProof/>
                <w:webHidden/>
              </w:rPr>
            </w:r>
            <w:r w:rsidR="00F45903">
              <w:rPr>
                <w:noProof/>
                <w:webHidden/>
              </w:rPr>
              <w:fldChar w:fldCharType="separate"/>
            </w:r>
            <w:r w:rsidR="009D2CBD">
              <w:rPr>
                <w:noProof/>
                <w:webHidden/>
              </w:rPr>
              <w:t>32</w:t>
            </w:r>
            <w:r w:rsidR="00F45903">
              <w:rPr>
                <w:noProof/>
                <w:webHidden/>
              </w:rPr>
              <w:fldChar w:fldCharType="end"/>
            </w:r>
          </w:hyperlink>
        </w:p>
        <w:p w14:paraId="00E3F08B" w14:textId="0FBA6BC5" w:rsidR="00F45903" w:rsidRDefault="003700A7">
          <w:pPr>
            <w:pStyle w:val="Spistreci2"/>
            <w:rPr>
              <w:rFonts w:eastAsiaTheme="minorEastAsia"/>
              <w:noProof/>
              <w:lang w:eastAsia="pl-PL"/>
            </w:rPr>
          </w:pPr>
          <w:hyperlink w:anchor="_Toc121828622" w:history="1">
            <w:r w:rsidR="00F45903" w:rsidRPr="00167CAA">
              <w:rPr>
                <w:rStyle w:val="Hipercze"/>
                <w:noProof/>
              </w:rPr>
              <w:t>2.</w:t>
            </w:r>
            <w:r w:rsidR="00F45903">
              <w:rPr>
                <w:rFonts w:eastAsiaTheme="minorEastAsia"/>
                <w:noProof/>
                <w:lang w:eastAsia="pl-PL"/>
              </w:rPr>
              <w:tab/>
            </w:r>
            <w:r w:rsidR="00F45903" w:rsidRPr="00167CAA">
              <w:rPr>
                <w:rStyle w:val="Hipercze"/>
                <w:noProof/>
              </w:rPr>
              <w:t>Etapy wdrażania PPK</w:t>
            </w:r>
            <w:r w:rsidR="00F45903">
              <w:rPr>
                <w:noProof/>
                <w:webHidden/>
              </w:rPr>
              <w:tab/>
            </w:r>
            <w:r w:rsidR="00F45903">
              <w:rPr>
                <w:noProof/>
                <w:webHidden/>
              </w:rPr>
              <w:fldChar w:fldCharType="begin"/>
            </w:r>
            <w:r w:rsidR="00F45903">
              <w:rPr>
                <w:noProof/>
                <w:webHidden/>
              </w:rPr>
              <w:instrText xml:space="preserve"> PAGEREF _Toc121828622 \h </w:instrText>
            </w:r>
            <w:r w:rsidR="00F45903">
              <w:rPr>
                <w:noProof/>
                <w:webHidden/>
              </w:rPr>
            </w:r>
            <w:r w:rsidR="00F45903">
              <w:rPr>
                <w:noProof/>
                <w:webHidden/>
              </w:rPr>
              <w:fldChar w:fldCharType="separate"/>
            </w:r>
            <w:r w:rsidR="009D2CBD">
              <w:rPr>
                <w:noProof/>
                <w:webHidden/>
              </w:rPr>
              <w:t>32</w:t>
            </w:r>
            <w:r w:rsidR="00F45903">
              <w:rPr>
                <w:noProof/>
                <w:webHidden/>
              </w:rPr>
              <w:fldChar w:fldCharType="end"/>
            </w:r>
          </w:hyperlink>
        </w:p>
        <w:p w14:paraId="438FC143" w14:textId="0AA2CBC5" w:rsidR="00F45903" w:rsidRDefault="003700A7">
          <w:pPr>
            <w:pStyle w:val="Spistreci2"/>
            <w:rPr>
              <w:rFonts w:eastAsiaTheme="minorEastAsia"/>
              <w:noProof/>
              <w:lang w:eastAsia="pl-PL"/>
            </w:rPr>
          </w:pPr>
          <w:hyperlink w:anchor="_Toc121828623" w:history="1">
            <w:r w:rsidR="00F45903" w:rsidRPr="00167CAA">
              <w:rPr>
                <w:rStyle w:val="Hipercze"/>
                <w:noProof/>
              </w:rPr>
              <w:t>3.</w:t>
            </w:r>
            <w:r w:rsidR="00F45903">
              <w:rPr>
                <w:rFonts w:eastAsiaTheme="minorEastAsia"/>
                <w:noProof/>
                <w:lang w:eastAsia="pl-PL"/>
              </w:rPr>
              <w:tab/>
            </w:r>
            <w:r w:rsidR="00F45903" w:rsidRPr="00167CAA">
              <w:rPr>
                <w:rStyle w:val="Hipercze"/>
                <w:noProof/>
              </w:rPr>
              <w:t>Instytucje finansowe prowadzące PPK</w:t>
            </w:r>
            <w:r w:rsidR="00F45903">
              <w:rPr>
                <w:noProof/>
                <w:webHidden/>
              </w:rPr>
              <w:tab/>
            </w:r>
            <w:r w:rsidR="00F45903">
              <w:rPr>
                <w:noProof/>
                <w:webHidden/>
              </w:rPr>
              <w:fldChar w:fldCharType="begin"/>
            </w:r>
            <w:r w:rsidR="00F45903">
              <w:rPr>
                <w:noProof/>
                <w:webHidden/>
              </w:rPr>
              <w:instrText xml:space="preserve"> PAGEREF _Toc121828623 \h </w:instrText>
            </w:r>
            <w:r w:rsidR="00F45903">
              <w:rPr>
                <w:noProof/>
                <w:webHidden/>
              </w:rPr>
            </w:r>
            <w:r w:rsidR="00F45903">
              <w:rPr>
                <w:noProof/>
                <w:webHidden/>
              </w:rPr>
              <w:fldChar w:fldCharType="separate"/>
            </w:r>
            <w:r w:rsidR="009D2CBD">
              <w:rPr>
                <w:noProof/>
                <w:webHidden/>
              </w:rPr>
              <w:t>33</w:t>
            </w:r>
            <w:r w:rsidR="00F45903">
              <w:rPr>
                <w:noProof/>
                <w:webHidden/>
              </w:rPr>
              <w:fldChar w:fldCharType="end"/>
            </w:r>
          </w:hyperlink>
        </w:p>
        <w:p w14:paraId="7CF60D17" w14:textId="0DDBBF19" w:rsidR="00F45903" w:rsidRDefault="003700A7">
          <w:pPr>
            <w:pStyle w:val="Spistreci3"/>
            <w:rPr>
              <w:rFonts w:cstheme="minorBidi"/>
              <w:noProof/>
            </w:rPr>
          </w:pPr>
          <w:hyperlink w:anchor="_Toc121828624" w:history="1">
            <w:r w:rsidR="00F45903" w:rsidRPr="00167CAA">
              <w:rPr>
                <w:rStyle w:val="Hipercze"/>
                <w:noProof/>
              </w:rPr>
              <w:t>3.1.</w:t>
            </w:r>
            <w:r w:rsidR="00F45903">
              <w:rPr>
                <w:rFonts w:cstheme="minorBidi"/>
                <w:noProof/>
              </w:rPr>
              <w:tab/>
            </w:r>
            <w:r w:rsidR="00F45903" w:rsidRPr="00167CAA">
              <w:rPr>
                <w:rStyle w:val="Hipercze"/>
                <w:noProof/>
              </w:rPr>
              <w:t>Warunki uczestnictwa w rynku PPK</w:t>
            </w:r>
            <w:r w:rsidR="00F45903">
              <w:rPr>
                <w:noProof/>
                <w:webHidden/>
              </w:rPr>
              <w:tab/>
            </w:r>
            <w:r w:rsidR="00F45903">
              <w:rPr>
                <w:noProof/>
                <w:webHidden/>
              </w:rPr>
              <w:fldChar w:fldCharType="begin"/>
            </w:r>
            <w:r w:rsidR="00F45903">
              <w:rPr>
                <w:noProof/>
                <w:webHidden/>
              </w:rPr>
              <w:instrText xml:space="preserve"> PAGEREF _Toc121828624 \h </w:instrText>
            </w:r>
            <w:r w:rsidR="00F45903">
              <w:rPr>
                <w:noProof/>
                <w:webHidden/>
              </w:rPr>
            </w:r>
            <w:r w:rsidR="00F45903">
              <w:rPr>
                <w:noProof/>
                <w:webHidden/>
              </w:rPr>
              <w:fldChar w:fldCharType="separate"/>
            </w:r>
            <w:r w:rsidR="009D2CBD">
              <w:rPr>
                <w:noProof/>
                <w:webHidden/>
              </w:rPr>
              <w:t>34</w:t>
            </w:r>
            <w:r w:rsidR="00F45903">
              <w:rPr>
                <w:noProof/>
                <w:webHidden/>
              </w:rPr>
              <w:fldChar w:fldCharType="end"/>
            </w:r>
          </w:hyperlink>
        </w:p>
        <w:p w14:paraId="06612A4A" w14:textId="3BF984FF" w:rsidR="00F45903" w:rsidRDefault="003700A7">
          <w:pPr>
            <w:pStyle w:val="Spistreci3"/>
            <w:rPr>
              <w:rFonts w:cstheme="minorBidi"/>
              <w:noProof/>
            </w:rPr>
          </w:pPr>
          <w:hyperlink w:anchor="_Toc121828625" w:history="1">
            <w:r w:rsidR="00F45903" w:rsidRPr="00167CAA">
              <w:rPr>
                <w:rStyle w:val="Hipercze"/>
                <w:noProof/>
              </w:rPr>
              <w:t>3.2.</w:t>
            </w:r>
            <w:r w:rsidR="00F45903">
              <w:rPr>
                <w:rFonts w:cstheme="minorBidi"/>
                <w:noProof/>
              </w:rPr>
              <w:tab/>
            </w:r>
            <w:r w:rsidR="00F45903" w:rsidRPr="00167CAA">
              <w:rPr>
                <w:rStyle w:val="Hipercze"/>
                <w:noProof/>
              </w:rPr>
              <w:t>Nadzór nad rynkiem</w:t>
            </w:r>
            <w:r w:rsidR="00F45903">
              <w:rPr>
                <w:noProof/>
                <w:webHidden/>
              </w:rPr>
              <w:tab/>
            </w:r>
            <w:r w:rsidR="00F45903">
              <w:rPr>
                <w:noProof/>
                <w:webHidden/>
              </w:rPr>
              <w:fldChar w:fldCharType="begin"/>
            </w:r>
            <w:r w:rsidR="00F45903">
              <w:rPr>
                <w:noProof/>
                <w:webHidden/>
              </w:rPr>
              <w:instrText xml:space="preserve"> PAGEREF _Toc121828625 \h </w:instrText>
            </w:r>
            <w:r w:rsidR="00F45903">
              <w:rPr>
                <w:noProof/>
                <w:webHidden/>
              </w:rPr>
            </w:r>
            <w:r w:rsidR="00F45903">
              <w:rPr>
                <w:noProof/>
                <w:webHidden/>
              </w:rPr>
              <w:fldChar w:fldCharType="separate"/>
            </w:r>
            <w:r w:rsidR="009D2CBD">
              <w:rPr>
                <w:noProof/>
                <w:webHidden/>
              </w:rPr>
              <w:t>35</w:t>
            </w:r>
            <w:r w:rsidR="00F45903">
              <w:rPr>
                <w:noProof/>
                <w:webHidden/>
              </w:rPr>
              <w:fldChar w:fldCharType="end"/>
            </w:r>
          </w:hyperlink>
        </w:p>
        <w:p w14:paraId="58A000F8" w14:textId="0DCD851E" w:rsidR="00F45903" w:rsidRDefault="003700A7">
          <w:pPr>
            <w:pStyle w:val="Spistreci3"/>
            <w:rPr>
              <w:rFonts w:cstheme="minorBidi"/>
              <w:noProof/>
            </w:rPr>
          </w:pPr>
          <w:hyperlink w:anchor="_Toc121828626" w:history="1">
            <w:r w:rsidR="00F45903" w:rsidRPr="00167CAA">
              <w:rPr>
                <w:rStyle w:val="Hipercze"/>
                <w:noProof/>
              </w:rPr>
              <w:t>3.3.</w:t>
            </w:r>
            <w:r w:rsidR="00F45903">
              <w:rPr>
                <w:rFonts w:cstheme="minorBidi"/>
                <w:noProof/>
              </w:rPr>
              <w:tab/>
            </w:r>
            <w:r w:rsidR="00F45903" w:rsidRPr="00167CAA">
              <w:rPr>
                <w:rStyle w:val="Hipercze"/>
                <w:noProof/>
              </w:rPr>
              <w:t>Bezpieczeństwo gromadzonych środków</w:t>
            </w:r>
            <w:r w:rsidR="00F45903">
              <w:rPr>
                <w:noProof/>
                <w:webHidden/>
              </w:rPr>
              <w:tab/>
            </w:r>
            <w:r w:rsidR="00F45903">
              <w:rPr>
                <w:noProof/>
                <w:webHidden/>
              </w:rPr>
              <w:fldChar w:fldCharType="begin"/>
            </w:r>
            <w:r w:rsidR="00F45903">
              <w:rPr>
                <w:noProof/>
                <w:webHidden/>
              </w:rPr>
              <w:instrText xml:space="preserve"> PAGEREF _Toc121828626 \h </w:instrText>
            </w:r>
            <w:r w:rsidR="00F45903">
              <w:rPr>
                <w:noProof/>
                <w:webHidden/>
              </w:rPr>
            </w:r>
            <w:r w:rsidR="00F45903">
              <w:rPr>
                <w:noProof/>
                <w:webHidden/>
              </w:rPr>
              <w:fldChar w:fldCharType="separate"/>
            </w:r>
            <w:r w:rsidR="009D2CBD">
              <w:rPr>
                <w:noProof/>
                <w:webHidden/>
              </w:rPr>
              <w:t>35</w:t>
            </w:r>
            <w:r w:rsidR="00F45903">
              <w:rPr>
                <w:noProof/>
                <w:webHidden/>
              </w:rPr>
              <w:fldChar w:fldCharType="end"/>
            </w:r>
          </w:hyperlink>
        </w:p>
        <w:p w14:paraId="0D520AC1" w14:textId="1027F3C7" w:rsidR="00F45903" w:rsidRDefault="003700A7">
          <w:pPr>
            <w:pStyle w:val="Spistreci3"/>
            <w:rPr>
              <w:rFonts w:cstheme="minorBidi"/>
              <w:noProof/>
            </w:rPr>
          </w:pPr>
          <w:hyperlink w:anchor="_Toc121828627" w:history="1">
            <w:r w:rsidR="00F45903" w:rsidRPr="00167CAA">
              <w:rPr>
                <w:rStyle w:val="Hipercze"/>
                <w:noProof/>
              </w:rPr>
              <w:t>3.4.</w:t>
            </w:r>
            <w:r w:rsidR="00F45903">
              <w:rPr>
                <w:rFonts w:cstheme="minorBidi"/>
                <w:noProof/>
              </w:rPr>
              <w:tab/>
            </w:r>
            <w:r w:rsidR="00F45903" w:rsidRPr="00167CAA">
              <w:rPr>
                <w:rStyle w:val="Hipercze"/>
                <w:noProof/>
              </w:rPr>
              <w:t>Fundusze zdefiniowanej daty</w:t>
            </w:r>
            <w:r w:rsidR="00F45903">
              <w:rPr>
                <w:noProof/>
                <w:webHidden/>
              </w:rPr>
              <w:tab/>
            </w:r>
            <w:r w:rsidR="00F45903">
              <w:rPr>
                <w:noProof/>
                <w:webHidden/>
              </w:rPr>
              <w:fldChar w:fldCharType="begin"/>
            </w:r>
            <w:r w:rsidR="00F45903">
              <w:rPr>
                <w:noProof/>
                <w:webHidden/>
              </w:rPr>
              <w:instrText xml:space="preserve"> PAGEREF _Toc121828627 \h </w:instrText>
            </w:r>
            <w:r w:rsidR="00F45903">
              <w:rPr>
                <w:noProof/>
                <w:webHidden/>
              </w:rPr>
            </w:r>
            <w:r w:rsidR="00F45903">
              <w:rPr>
                <w:noProof/>
                <w:webHidden/>
              </w:rPr>
              <w:fldChar w:fldCharType="separate"/>
            </w:r>
            <w:r w:rsidR="009D2CBD">
              <w:rPr>
                <w:noProof/>
                <w:webHidden/>
              </w:rPr>
              <w:t>36</w:t>
            </w:r>
            <w:r w:rsidR="00F45903">
              <w:rPr>
                <w:noProof/>
                <w:webHidden/>
              </w:rPr>
              <w:fldChar w:fldCharType="end"/>
            </w:r>
          </w:hyperlink>
        </w:p>
        <w:p w14:paraId="1F734DBB" w14:textId="7DBAFA14" w:rsidR="00F45903" w:rsidRDefault="003700A7">
          <w:pPr>
            <w:pStyle w:val="Spistreci3"/>
            <w:rPr>
              <w:rFonts w:cstheme="minorBidi"/>
              <w:noProof/>
            </w:rPr>
          </w:pPr>
          <w:hyperlink w:anchor="_Toc121828628" w:history="1">
            <w:r w:rsidR="00F45903" w:rsidRPr="00167CAA">
              <w:rPr>
                <w:rStyle w:val="Hipercze"/>
                <w:noProof/>
              </w:rPr>
              <w:t>3.5.</w:t>
            </w:r>
            <w:r w:rsidR="00F45903">
              <w:rPr>
                <w:rFonts w:cstheme="minorBidi"/>
                <w:noProof/>
              </w:rPr>
              <w:tab/>
            </w:r>
            <w:r w:rsidR="00F45903" w:rsidRPr="00167CAA">
              <w:rPr>
                <w:rStyle w:val="Hipercze"/>
                <w:noProof/>
              </w:rPr>
              <w:t>Wynagrodzenie za zarządzanie</w:t>
            </w:r>
            <w:r w:rsidR="00F45903">
              <w:rPr>
                <w:noProof/>
                <w:webHidden/>
              </w:rPr>
              <w:tab/>
            </w:r>
            <w:r w:rsidR="00F45903">
              <w:rPr>
                <w:noProof/>
                <w:webHidden/>
              </w:rPr>
              <w:fldChar w:fldCharType="begin"/>
            </w:r>
            <w:r w:rsidR="00F45903">
              <w:rPr>
                <w:noProof/>
                <w:webHidden/>
              </w:rPr>
              <w:instrText xml:space="preserve"> PAGEREF _Toc121828628 \h </w:instrText>
            </w:r>
            <w:r w:rsidR="00F45903">
              <w:rPr>
                <w:noProof/>
                <w:webHidden/>
              </w:rPr>
            </w:r>
            <w:r w:rsidR="00F45903">
              <w:rPr>
                <w:noProof/>
                <w:webHidden/>
              </w:rPr>
              <w:fldChar w:fldCharType="separate"/>
            </w:r>
            <w:r w:rsidR="009D2CBD">
              <w:rPr>
                <w:noProof/>
                <w:webHidden/>
              </w:rPr>
              <w:t>40</w:t>
            </w:r>
            <w:r w:rsidR="00F45903">
              <w:rPr>
                <w:noProof/>
                <w:webHidden/>
              </w:rPr>
              <w:fldChar w:fldCharType="end"/>
            </w:r>
          </w:hyperlink>
        </w:p>
        <w:p w14:paraId="2579BA94" w14:textId="01A14A70" w:rsidR="00F45903" w:rsidRDefault="003700A7">
          <w:pPr>
            <w:pStyle w:val="Spistreci3"/>
            <w:rPr>
              <w:rFonts w:cstheme="minorBidi"/>
              <w:noProof/>
            </w:rPr>
          </w:pPr>
          <w:hyperlink w:anchor="_Toc121828629" w:history="1">
            <w:r w:rsidR="00F45903" w:rsidRPr="00167CAA">
              <w:rPr>
                <w:rStyle w:val="Hipercze"/>
                <w:noProof/>
              </w:rPr>
              <w:t>3.6.</w:t>
            </w:r>
            <w:r w:rsidR="00F45903">
              <w:rPr>
                <w:rFonts w:cstheme="minorBidi"/>
                <w:noProof/>
              </w:rPr>
              <w:tab/>
            </w:r>
            <w:r w:rsidR="00F45903" w:rsidRPr="00167CAA">
              <w:rPr>
                <w:rStyle w:val="Hipercze"/>
                <w:noProof/>
              </w:rPr>
              <w:t>Koszty pokrywane z aktywów funduszu</w:t>
            </w:r>
            <w:r w:rsidR="00F45903">
              <w:rPr>
                <w:noProof/>
                <w:webHidden/>
              </w:rPr>
              <w:tab/>
            </w:r>
            <w:r w:rsidR="00F45903">
              <w:rPr>
                <w:noProof/>
                <w:webHidden/>
              </w:rPr>
              <w:fldChar w:fldCharType="begin"/>
            </w:r>
            <w:r w:rsidR="00F45903">
              <w:rPr>
                <w:noProof/>
                <w:webHidden/>
              </w:rPr>
              <w:instrText xml:space="preserve"> PAGEREF _Toc121828629 \h </w:instrText>
            </w:r>
            <w:r w:rsidR="00F45903">
              <w:rPr>
                <w:noProof/>
                <w:webHidden/>
              </w:rPr>
            </w:r>
            <w:r w:rsidR="00F45903">
              <w:rPr>
                <w:noProof/>
                <w:webHidden/>
              </w:rPr>
              <w:fldChar w:fldCharType="separate"/>
            </w:r>
            <w:r w:rsidR="009D2CBD">
              <w:rPr>
                <w:noProof/>
                <w:webHidden/>
              </w:rPr>
              <w:t>41</w:t>
            </w:r>
            <w:r w:rsidR="00F45903">
              <w:rPr>
                <w:noProof/>
                <w:webHidden/>
              </w:rPr>
              <w:fldChar w:fldCharType="end"/>
            </w:r>
          </w:hyperlink>
        </w:p>
        <w:p w14:paraId="49F789B8" w14:textId="461AED63" w:rsidR="00F45903" w:rsidRDefault="003700A7">
          <w:pPr>
            <w:pStyle w:val="Spistreci1"/>
            <w:rPr>
              <w:rFonts w:eastAsiaTheme="minorEastAsia"/>
              <w:noProof/>
              <w:lang w:eastAsia="pl-PL"/>
            </w:rPr>
          </w:pPr>
          <w:hyperlink w:anchor="_Toc121828630" w:history="1">
            <w:r w:rsidR="00F45903" w:rsidRPr="00167CAA">
              <w:rPr>
                <w:rStyle w:val="Hipercze"/>
                <w:noProof/>
              </w:rPr>
              <w:t>IV.</w:t>
            </w:r>
            <w:r w:rsidR="00F45903">
              <w:rPr>
                <w:rFonts w:eastAsiaTheme="minorEastAsia"/>
                <w:noProof/>
                <w:lang w:eastAsia="pl-PL"/>
              </w:rPr>
              <w:tab/>
            </w:r>
            <w:r w:rsidR="00F45903" w:rsidRPr="00167CAA">
              <w:rPr>
                <w:rStyle w:val="Hipercze"/>
                <w:noProof/>
              </w:rPr>
              <w:t>Podsumowanie 4 lat funkcjonowania PPK</w:t>
            </w:r>
            <w:r w:rsidR="00F45903">
              <w:rPr>
                <w:noProof/>
                <w:webHidden/>
              </w:rPr>
              <w:tab/>
            </w:r>
            <w:r w:rsidR="00F45903">
              <w:rPr>
                <w:noProof/>
                <w:webHidden/>
              </w:rPr>
              <w:fldChar w:fldCharType="begin"/>
            </w:r>
            <w:r w:rsidR="00F45903">
              <w:rPr>
                <w:noProof/>
                <w:webHidden/>
              </w:rPr>
              <w:instrText xml:space="preserve"> PAGEREF _Toc121828630 \h </w:instrText>
            </w:r>
            <w:r w:rsidR="00F45903">
              <w:rPr>
                <w:noProof/>
                <w:webHidden/>
              </w:rPr>
            </w:r>
            <w:r w:rsidR="00F45903">
              <w:rPr>
                <w:noProof/>
                <w:webHidden/>
              </w:rPr>
              <w:fldChar w:fldCharType="separate"/>
            </w:r>
            <w:r w:rsidR="009D2CBD">
              <w:rPr>
                <w:noProof/>
                <w:webHidden/>
              </w:rPr>
              <w:t>43</w:t>
            </w:r>
            <w:r w:rsidR="00F45903">
              <w:rPr>
                <w:noProof/>
                <w:webHidden/>
              </w:rPr>
              <w:fldChar w:fldCharType="end"/>
            </w:r>
          </w:hyperlink>
        </w:p>
        <w:p w14:paraId="386B3C66" w14:textId="0FFA6E4D" w:rsidR="00F45903" w:rsidRDefault="003700A7">
          <w:pPr>
            <w:pStyle w:val="Spistreci2"/>
            <w:rPr>
              <w:rFonts w:eastAsiaTheme="minorEastAsia"/>
              <w:noProof/>
              <w:lang w:eastAsia="pl-PL"/>
            </w:rPr>
          </w:pPr>
          <w:hyperlink w:anchor="_Toc121828631" w:history="1">
            <w:r w:rsidR="00F45903" w:rsidRPr="00167CAA">
              <w:rPr>
                <w:rStyle w:val="Hipercze"/>
                <w:rFonts w:cstheme="majorHAnsi"/>
                <w:noProof/>
              </w:rPr>
              <w:t>1.</w:t>
            </w:r>
            <w:r w:rsidR="00F45903">
              <w:rPr>
                <w:rFonts w:eastAsiaTheme="minorEastAsia"/>
                <w:noProof/>
                <w:lang w:eastAsia="pl-PL"/>
              </w:rPr>
              <w:tab/>
            </w:r>
            <w:r w:rsidR="00F45903" w:rsidRPr="00167CAA">
              <w:rPr>
                <w:rStyle w:val="Hipercze"/>
                <w:noProof/>
              </w:rPr>
              <w:t>Partycypacja w programie</w:t>
            </w:r>
            <w:r w:rsidR="00F45903">
              <w:rPr>
                <w:noProof/>
                <w:webHidden/>
              </w:rPr>
              <w:tab/>
            </w:r>
            <w:r w:rsidR="00F45903">
              <w:rPr>
                <w:noProof/>
                <w:webHidden/>
              </w:rPr>
              <w:fldChar w:fldCharType="begin"/>
            </w:r>
            <w:r w:rsidR="00F45903">
              <w:rPr>
                <w:noProof/>
                <w:webHidden/>
              </w:rPr>
              <w:instrText xml:space="preserve"> PAGEREF _Toc121828631 \h </w:instrText>
            </w:r>
            <w:r w:rsidR="00F45903">
              <w:rPr>
                <w:noProof/>
                <w:webHidden/>
              </w:rPr>
            </w:r>
            <w:r w:rsidR="00F45903">
              <w:rPr>
                <w:noProof/>
                <w:webHidden/>
              </w:rPr>
              <w:fldChar w:fldCharType="separate"/>
            </w:r>
            <w:r w:rsidR="009D2CBD">
              <w:rPr>
                <w:noProof/>
                <w:webHidden/>
              </w:rPr>
              <w:t>43</w:t>
            </w:r>
            <w:r w:rsidR="00F45903">
              <w:rPr>
                <w:noProof/>
                <w:webHidden/>
              </w:rPr>
              <w:fldChar w:fldCharType="end"/>
            </w:r>
          </w:hyperlink>
        </w:p>
        <w:p w14:paraId="04F8E5C2" w14:textId="30C3D47C" w:rsidR="00F45903" w:rsidRDefault="003700A7">
          <w:pPr>
            <w:pStyle w:val="Spistreci2"/>
            <w:rPr>
              <w:rFonts w:eastAsiaTheme="minorEastAsia"/>
              <w:noProof/>
              <w:lang w:eastAsia="pl-PL"/>
            </w:rPr>
          </w:pPr>
          <w:hyperlink w:anchor="_Toc121828632" w:history="1">
            <w:r w:rsidR="00F45903" w:rsidRPr="00167CAA">
              <w:rPr>
                <w:rStyle w:val="Hipercze"/>
                <w:rFonts w:cstheme="majorHAnsi"/>
                <w:noProof/>
              </w:rPr>
              <w:t>2.</w:t>
            </w:r>
            <w:r w:rsidR="00F45903">
              <w:rPr>
                <w:rFonts w:eastAsiaTheme="minorEastAsia"/>
                <w:noProof/>
                <w:lang w:eastAsia="pl-PL"/>
              </w:rPr>
              <w:tab/>
            </w:r>
            <w:r w:rsidR="00F45903" w:rsidRPr="00167CAA">
              <w:rPr>
                <w:rStyle w:val="Hipercze"/>
                <w:noProof/>
              </w:rPr>
              <w:t>Podmioty zatrudniające</w:t>
            </w:r>
            <w:r w:rsidR="00F45903">
              <w:rPr>
                <w:noProof/>
                <w:webHidden/>
              </w:rPr>
              <w:tab/>
            </w:r>
            <w:r w:rsidR="00F45903">
              <w:rPr>
                <w:noProof/>
                <w:webHidden/>
              </w:rPr>
              <w:fldChar w:fldCharType="begin"/>
            </w:r>
            <w:r w:rsidR="00F45903">
              <w:rPr>
                <w:noProof/>
                <w:webHidden/>
              </w:rPr>
              <w:instrText xml:space="preserve"> PAGEREF _Toc121828632 \h </w:instrText>
            </w:r>
            <w:r w:rsidR="00F45903">
              <w:rPr>
                <w:noProof/>
                <w:webHidden/>
              </w:rPr>
            </w:r>
            <w:r w:rsidR="00F45903">
              <w:rPr>
                <w:noProof/>
                <w:webHidden/>
              </w:rPr>
              <w:fldChar w:fldCharType="separate"/>
            </w:r>
            <w:r w:rsidR="009D2CBD">
              <w:rPr>
                <w:noProof/>
                <w:webHidden/>
              </w:rPr>
              <w:t>45</w:t>
            </w:r>
            <w:r w:rsidR="00F45903">
              <w:rPr>
                <w:noProof/>
                <w:webHidden/>
              </w:rPr>
              <w:fldChar w:fldCharType="end"/>
            </w:r>
          </w:hyperlink>
        </w:p>
        <w:p w14:paraId="5B92E8A4" w14:textId="34425B9E" w:rsidR="00F45903" w:rsidRDefault="003700A7">
          <w:pPr>
            <w:pStyle w:val="Spistreci2"/>
            <w:rPr>
              <w:rFonts w:eastAsiaTheme="minorEastAsia"/>
              <w:noProof/>
              <w:lang w:eastAsia="pl-PL"/>
            </w:rPr>
          </w:pPr>
          <w:hyperlink w:anchor="_Toc121828633" w:history="1">
            <w:r w:rsidR="00F45903" w:rsidRPr="00167CAA">
              <w:rPr>
                <w:rStyle w:val="Hipercze"/>
                <w:rFonts w:cstheme="majorHAnsi"/>
                <w:noProof/>
              </w:rPr>
              <w:t>3.</w:t>
            </w:r>
            <w:r w:rsidR="00F45903">
              <w:rPr>
                <w:rFonts w:eastAsiaTheme="minorEastAsia"/>
                <w:noProof/>
                <w:lang w:eastAsia="pl-PL"/>
              </w:rPr>
              <w:tab/>
            </w:r>
            <w:r w:rsidR="00F45903" w:rsidRPr="00167CAA">
              <w:rPr>
                <w:rStyle w:val="Hipercze"/>
                <w:noProof/>
              </w:rPr>
              <w:t>Uczestnicy PPK</w:t>
            </w:r>
            <w:r w:rsidR="00F45903">
              <w:rPr>
                <w:noProof/>
                <w:webHidden/>
              </w:rPr>
              <w:tab/>
            </w:r>
            <w:r w:rsidR="00F45903">
              <w:rPr>
                <w:noProof/>
                <w:webHidden/>
              </w:rPr>
              <w:fldChar w:fldCharType="begin"/>
            </w:r>
            <w:r w:rsidR="00F45903">
              <w:rPr>
                <w:noProof/>
                <w:webHidden/>
              </w:rPr>
              <w:instrText xml:space="preserve"> PAGEREF _Toc121828633 \h </w:instrText>
            </w:r>
            <w:r w:rsidR="00F45903">
              <w:rPr>
                <w:noProof/>
                <w:webHidden/>
              </w:rPr>
            </w:r>
            <w:r w:rsidR="00F45903">
              <w:rPr>
                <w:noProof/>
                <w:webHidden/>
              </w:rPr>
              <w:fldChar w:fldCharType="separate"/>
            </w:r>
            <w:r w:rsidR="009D2CBD">
              <w:rPr>
                <w:noProof/>
                <w:webHidden/>
              </w:rPr>
              <w:t>46</w:t>
            </w:r>
            <w:r w:rsidR="00F45903">
              <w:rPr>
                <w:noProof/>
                <w:webHidden/>
              </w:rPr>
              <w:fldChar w:fldCharType="end"/>
            </w:r>
          </w:hyperlink>
        </w:p>
        <w:p w14:paraId="2DF3B904" w14:textId="78CD484B" w:rsidR="00F45903" w:rsidRDefault="003700A7">
          <w:pPr>
            <w:pStyle w:val="Spistreci2"/>
            <w:rPr>
              <w:rFonts w:eastAsiaTheme="minorEastAsia"/>
              <w:noProof/>
              <w:lang w:eastAsia="pl-PL"/>
            </w:rPr>
          </w:pPr>
          <w:hyperlink w:anchor="_Toc121828634" w:history="1">
            <w:r w:rsidR="00F45903" w:rsidRPr="00167CAA">
              <w:rPr>
                <w:rStyle w:val="Hipercze"/>
                <w:rFonts w:cstheme="majorHAnsi"/>
                <w:noProof/>
              </w:rPr>
              <w:t>4.</w:t>
            </w:r>
            <w:r w:rsidR="00F45903">
              <w:rPr>
                <w:rFonts w:eastAsiaTheme="minorEastAsia"/>
                <w:noProof/>
                <w:lang w:eastAsia="pl-PL"/>
              </w:rPr>
              <w:tab/>
            </w:r>
            <w:r w:rsidR="00F45903" w:rsidRPr="00167CAA">
              <w:rPr>
                <w:rStyle w:val="Hipercze"/>
                <w:noProof/>
              </w:rPr>
              <w:t>Rynek instytucji finansowych prowadzących PPK</w:t>
            </w:r>
            <w:r w:rsidR="00F45903">
              <w:rPr>
                <w:noProof/>
                <w:webHidden/>
              </w:rPr>
              <w:tab/>
            </w:r>
            <w:r w:rsidR="00F45903">
              <w:rPr>
                <w:noProof/>
                <w:webHidden/>
              </w:rPr>
              <w:fldChar w:fldCharType="begin"/>
            </w:r>
            <w:r w:rsidR="00F45903">
              <w:rPr>
                <w:noProof/>
                <w:webHidden/>
              </w:rPr>
              <w:instrText xml:space="preserve"> PAGEREF _Toc121828634 \h </w:instrText>
            </w:r>
            <w:r w:rsidR="00F45903">
              <w:rPr>
                <w:noProof/>
                <w:webHidden/>
              </w:rPr>
            </w:r>
            <w:r w:rsidR="00F45903">
              <w:rPr>
                <w:noProof/>
                <w:webHidden/>
              </w:rPr>
              <w:fldChar w:fldCharType="separate"/>
            </w:r>
            <w:r w:rsidR="009D2CBD">
              <w:rPr>
                <w:noProof/>
                <w:webHidden/>
              </w:rPr>
              <w:t>47</w:t>
            </w:r>
            <w:r w:rsidR="00F45903">
              <w:rPr>
                <w:noProof/>
                <w:webHidden/>
              </w:rPr>
              <w:fldChar w:fldCharType="end"/>
            </w:r>
          </w:hyperlink>
        </w:p>
        <w:p w14:paraId="7A0D9555" w14:textId="763C3497" w:rsidR="00F45903" w:rsidRDefault="003700A7">
          <w:pPr>
            <w:pStyle w:val="Spistreci2"/>
            <w:rPr>
              <w:rFonts w:eastAsiaTheme="minorEastAsia"/>
              <w:noProof/>
              <w:lang w:eastAsia="pl-PL"/>
            </w:rPr>
          </w:pPr>
          <w:hyperlink w:anchor="_Toc121828635" w:history="1">
            <w:r w:rsidR="00F45903" w:rsidRPr="00167CAA">
              <w:rPr>
                <w:rStyle w:val="Hipercze"/>
                <w:rFonts w:cstheme="majorHAnsi"/>
                <w:noProof/>
              </w:rPr>
              <w:t>5.</w:t>
            </w:r>
            <w:r w:rsidR="00F45903">
              <w:rPr>
                <w:rFonts w:eastAsiaTheme="minorEastAsia"/>
                <w:noProof/>
                <w:lang w:eastAsia="pl-PL"/>
              </w:rPr>
              <w:tab/>
            </w:r>
            <w:r w:rsidR="00F45903" w:rsidRPr="00167CAA">
              <w:rPr>
                <w:rStyle w:val="Hipercze"/>
                <w:noProof/>
              </w:rPr>
              <w:t>Aktywa PPK</w:t>
            </w:r>
            <w:r w:rsidR="00F45903">
              <w:rPr>
                <w:noProof/>
                <w:webHidden/>
              </w:rPr>
              <w:tab/>
            </w:r>
            <w:r w:rsidR="00F45903">
              <w:rPr>
                <w:noProof/>
                <w:webHidden/>
              </w:rPr>
              <w:fldChar w:fldCharType="begin"/>
            </w:r>
            <w:r w:rsidR="00F45903">
              <w:rPr>
                <w:noProof/>
                <w:webHidden/>
              </w:rPr>
              <w:instrText xml:space="preserve"> PAGEREF _Toc121828635 \h </w:instrText>
            </w:r>
            <w:r w:rsidR="00F45903">
              <w:rPr>
                <w:noProof/>
                <w:webHidden/>
              </w:rPr>
            </w:r>
            <w:r w:rsidR="00F45903">
              <w:rPr>
                <w:noProof/>
                <w:webHidden/>
              </w:rPr>
              <w:fldChar w:fldCharType="separate"/>
            </w:r>
            <w:r w:rsidR="009D2CBD">
              <w:rPr>
                <w:noProof/>
                <w:webHidden/>
              </w:rPr>
              <w:t>47</w:t>
            </w:r>
            <w:r w:rsidR="00F45903">
              <w:rPr>
                <w:noProof/>
                <w:webHidden/>
              </w:rPr>
              <w:fldChar w:fldCharType="end"/>
            </w:r>
          </w:hyperlink>
        </w:p>
        <w:p w14:paraId="7626D7A2" w14:textId="71087350" w:rsidR="00F45903" w:rsidRDefault="003700A7">
          <w:pPr>
            <w:pStyle w:val="Spistreci2"/>
            <w:rPr>
              <w:rFonts w:eastAsiaTheme="minorEastAsia"/>
              <w:noProof/>
              <w:lang w:eastAsia="pl-PL"/>
            </w:rPr>
          </w:pPr>
          <w:hyperlink w:anchor="_Toc121828636" w:history="1">
            <w:r w:rsidR="00F45903" w:rsidRPr="00167CAA">
              <w:rPr>
                <w:rStyle w:val="Hipercze"/>
                <w:rFonts w:cstheme="majorHAnsi"/>
                <w:noProof/>
              </w:rPr>
              <w:t>6.</w:t>
            </w:r>
            <w:r w:rsidR="00F45903">
              <w:rPr>
                <w:rFonts w:eastAsiaTheme="minorEastAsia"/>
                <w:noProof/>
                <w:lang w:eastAsia="pl-PL"/>
              </w:rPr>
              <w:tab/>
            </w:r>
            <w:r w:rsidR="00F45903" w:rsidRPr="00167CAA">
              <w:rPr>
                <w:rStyle w:val="Hipercze"/>
                <w:rFonts w:cstheme="minorHAnsi"/>
                <w:noProof/>
              </w:rPr>
              <w:t>Wynagrodzenie i opłaty</w:t>
            </w:r>
            <w:r w:rsidR="00F45903">
              <w:rPr>
                <w:noProof/>
                <w:webHidden/>
              </w:rPr>
              <w:tab/>
            </w:r>
            <w:r w:rsidR="00F45903">
              <w:rPr>
                <w:noProof/>
                <w:webHidden/>
              </w:rPr>
              <w:fldChar w:fldCharType="begin"/>
            </w:r>
            <w:r w:rsidR="00F45903">
              <w:rPr>
                <w:noProof/>
                <w:webHidden/>
              </w:rPr>
              <w:instrText xml:space="preserve"> PAGEREF _Toc121828636 \h </w:instrText>
            </w:r>
            <w:r w:rsidR="00F45903">
              <w:rPr>
                <w:noProof/>
                <w:webHidden/>
              </w:rPr>
            </w:r>
            <w:r w:rsidR="00F45903">
              <w:rPr>
                <w:noProof/>
                <w:webHidden/>
              </w:rPr>
              <w:fldChar w:fldCharType="separate"/>
            </w:r>
            <w:r w:rsidR="009D2CBD">
              <w:rPr>
                <w:noProof/>
                <w:webHidden/>
              </w:rPr>
              <w:t>53</w:t>
            </w:r>
            <w:r w:rsidR="00F45903">
              <w:rPr>
                <w:noProof/>
                <w:webHidden/>
              </w:rPr>
              <w:fldChar w:fldCharType="end"/>
            </w:r>
          </w:hyperlink>
        </w:p>
        <w:p w14:paraId="4B2B687F" w14:textId="2AE7D32E" w:rsidR="00F45903" w:rsidRDefault="003700A7">
          <w:pPr>
            <w:pStyle w:val="Spistreci2"/>
            <w:rPr>
              <w:rFonts w:eastAsiaTheme="minorEastAsia"/>
              <w:noProof/>
              <w:lang w:eastAsia="pl-PL"/>
            </w:rPr>
          </w:pPr>
          <w:hyperlink w:anchor="_Toc121828637" w:history="1">
            <w:r w:rsidR="00F45903" w:rsidRPr="00167CAA">
              <w:rPr>
                <w:rStyle w:val="Hipercze"/>
                <w:rFonts w:cstheme="majorHAnsi"/>
                <w:noProof/>
              </w:rPr>
              <w:t>7.</w:t>
            </w:r>
            <w:r w:rsidR="00F45903">
              <w:rPr>
                <w:rFonts w:eastAsiaTheme="minorEastAsia"/>
                <w:noProof/>
                <w:lang w:eastAsia="pl-PL"/>
              </w:rPr>
              <w:tab/>
            </w:r>
            <w:r w:rsidR="00F45903" w:rsidRPr="00167CAA">
              <w:rPr>
                <w:rStyle w:val="Hipercze"/>
                <w:noProof/>
              </w:rPr>
              <w:t>Rola PFR S.A. i PFR Portal PPK sp. z o.o.</w:t>
            </w:r>
            <w:r w:rsidR="00F45903">
              <w:rPr>
                <w:noProof/>
                <w:webHidden/>
              </w:rPr>
              <w:tab/>
            </w:r>
            <w:r w:rsidR="00F45903">
              <w:rPr>
                <w:noProof/>
                <w:webHidden/>
              </w:rPr>
              <w:fldChar w:fldCharType="begin"/>
            </w:r>
            <w:r w:rsidR="00F45903">
              <w:rPr>
                <w:noProof/>
                <w:webHidden/>
              </w:rPr>
              <w:instrText xml:space="preserve"> PAGEREF _Toc121828637 \h </w:instrText>
            </w:r>
            <w:r w:rsidR="00F45903">
              <w:rPr>
                <w:noProof/>
                <w:webHidden/>
              </w:rPr>
            </w:r>
            <w:r w:rsidR="00F45903">
              <w:rPr>
                <w:noProof/>
                <w:webHidden/>
              </w:rPr>
              <w:fldChar w:fldCharType="separate"/>
            </w:r>
            <w:r w:rsidR="009D2CBD">
              <w:rPr>
                <w:noProof/>
                <w:webHidden/>
              </w:rPr>
              <w:t>54</w:t>
            </w:r>
            <w:r w:rsidR="00F45903">
              <w:rPr>
                <w:noProof/>
                <w:webHidden/>
              </w:rPr>
              <w:fldChar w:fldCharType="end"/>
            </w:r>
          </w:hyperlink>
        </w:p>
        <w:p w14:paraId="5B54B9B6" w14:textId="12921BD3" w:rsidR="00F45903" w:rsidRDefault="003700A7">
          <w:pPr>
            <w:pStyle w:val="Spistreci2"/>
            <w:rPr>
              <w:rFonts w:eastAsiaTheme="minorEastAsia"/>
              <w:noProof/>
              <w:lang w:eastAsia="pl-PL"/>
            </w:rPr>
          </w:pPr>
          <w:hyperlink w:anchor="_Toc121828638" w:history="1">
            <w:r w:rsidR="00F45903" w:rsidRPr="00167CAA">
              <w:rPr>
                <w:rStyle w:val="Hipercze"/>
                <w:noProof/>
              </w:rPr>
              <w:t>8.</w:t>
            </w:r>
            <w:r w:rsidR="00F45903">
              <w:rPr>
                <w:rFonts w:eastAsiaTheme="minorEastAsia"/>
                <w:noProof/>
                <w:lang w:eastAsia="pl-PL"/>
              </w:rPr>
              <w:tab/>
            </w:r>
            <w:r w:rsidR="00F45903" w:rsidRPr="00167CAA">
              <w:rPr>
                <w:rStyle w:val="Hipercze"/>
                <w:noProof/>
              </w:rPr>
              <w:t>Wpływ PPK na gospodarkę</w:t>
            </w:r>
            <w:r w:rsidR="00F45903">
              <w:rPr>
                <w:noProof/>
                <w:webHidden/>
              </w:rPr>
              <w:tab/>
            </w:r>
            <w:r w:rsidR="00F45903">
              <w:rPr>
                <w:noProof/>
                <w:webHidden/>
              </w:rPr>
              <w:fldChar w:fldCharType="begin"/>
            </w:r>
            <w:r w:rsidR="00F45903">
              <w:rPr>
                <w:noProof/>
                <w:webHidden/>
              </w:rPr>
              <w:instrText xml:space="preserve"> PAGEREF _Toc121828638 \h </w:instrText>
            </w:r>
            <w:r w:rsidR="00F45903">
              <w:rPr>
                <w:noProof/>
                <w:webHidden/>
              </w:rPr>
            </w:r>
            <w:r w:rsidR="00F45903">
              <w:rPr>
                <w:noProof/>
                <w:webHidden/>
              </w:rPr>
              <w:fldChar w:fldCharType="separate"/>
            </w:r>
            <w:r w:rsidR="009D2CBD">
              <w:rPr>
                <w:noProof/>
                <w:webHidden/>
              </w:rPr>
              <w:t>55</w:t>
            </w:r>
            <w:r w:rsidR="00F45903">
              <w:rPr>
                <w:noProof/>
                <w:webHidden/>
              </w:rPr>
              <w:fldChar w:fldCharType="end"/>
            </w:r>
          </w:hyperlink>
        </w:p>
        <w:p w14:paraId="5C655255" w14:textId="0A9DCAFF" w:rsidR="00F45903" w:rsidRDefault="003700A7">
          <w:pPr>
            <w:pStyle w:val="Spistreci3"/>
            <w:rPr>
              <w:rFonts w:cstheme="minorBidi"/>
              <w:noProof/>
            </w:rPr>
          </w:pPr>
          <w:hyperlink w:anchor="_Toc121828639" w:history="1">
            <w:r w:rsidR="00F45903" w:rsidRPr="00167CAA">
              <w:rPr>
                <w:rStyle w:val="Hipercze"/>
                <w:noProof/>
              </w:rPr>
              <w:t>8.1.</w:t>
            </w:r>
            <w:r w:rsidR="00F45903">
              <w:rPr>
                <w:rFonts w:cstheme="minorBidi"/>
                <w:noProof/>
              </w:rPr>
              <w:tab/>
            </w:r>
            <w:r w:rsidR="00F45903" w:rsidRPr="00167CAA">
              <w:rPr>
                <w:rStyle w:val="Hipercze"/>
                <w:noProof/>
              </w:rPr>
              <w:t>PPK - pozytywny impuls makroekonomiczny</w:t>
            </w:r>
            <w:r w:rsidR="00F45903">
              <w:rPr>
                <w:noProof/>
                <w:webHidden/>
              </w:rPr>
              <w:tab/>
            </w:r>
            <w:r w:rsidR="00F45903">
              <w:rPr>
                <w:noProof/>
                <w:webHidden/>
              </w:rPr>
              <w:fldChar w:fldCharType="begin"/>
            </w:r>
            <w:r w:rsidR="00F45903">
              <w:rPr>
                <w:noProof/>
                <w:webHidden/>
              </w:rPr>
              <w:instrText xml:space="preserve"> PAGEREF _Toc121828639 \h </w:instrText>
            </w:r>
            <w:r w:rsidR="00F45903">
              <w:rPr>
                <w:noProof/>
                <w:webHidden/>
              </w:rPr>
            </w:r>
            <w:r w:rsidR="00F45903">
              <w:rPr>
                <w:noProof/>
                <w:webHidden/>
              </w:rPr>
              <w:fldChar w:fldCharType="separate"/>
            </w:r>
            <w:r w:rsidR="009D2CBD">
              <w:rPr>
                <w:noProof/>
                <w:webHidden/>
              </w:rPr>
              <w:t>56</w:t>
            </w:r>
            <w:r w:rsidR="00F45903">
              <w:rPr>
                <w:noProof/>
                <w:webHidden/>
              </w:rPr>
              <w:fldChar w:fldCharType="end"/>
            </w:r>
          </w:hyperlink>
        </w:p>
        <w:p w14:paraId="36147134" w14:textId="02A42AA0" w:rsidR="00F45903" w:rsidRDefault="003700A7">
          <w:pPr>
            <w:pStyle w:val="Spistreci3"/>
            <w:rPr>
              <w:rFonts w:cstheme="minorBidi"/>
              <w:noProof/>
            </w:rPr>
          </w:pPr>
          <w:hyperlink w:anchor="_Toc121828640" w:history="1">
            <w:r w:rsidR="00F45903" w:rsidRPr="00167CAA">
              <w:rPr>
                <w:rStyle w:val="Hipercze"/>
                <w:noProof/>
              </w:rPr>
              <w:t>8.2.</w:t>
            </w:r>
            <w:r w:rsidR="00F45903">
              <w:rPr>
                <w:rFonts w:cstheme="minorBidi"/>
                <w:noProof/>
              </w:rPr>
              <w:tab/>
            </w:r>
            <w:r w:rsidR="00F45903" w:rsidRPr="00167CAA">
              <w:rPr>
                <w:rStyle w:val="Hipercze"/>
                <w:noProof/>
              </w:rPr>
              <w:t>Dalszy rozwój dobrowolnego oszczędzania, eliminacja ograniczeń</w:t>
            </w:r>
            <w:r w:rsidR="00F45903">
              <w:rPr>
                <w:noProof/>
                <w:webHidden/>
              </w:rPr>
              <w:tab/>
            </w:r>
            <w:r w:rsidR="00F45903">
              <w:rPr>
                <w:noProof/>
                <w:webHidden/>
              </w:rPr>
              <w:fldChar w:fldCharType="begin"/>
            </w:r>
            <w:r w:rsidR="00F45903">
              <w:rPr>
                <w:noProof/>
                <w:webHidden/>
              </w:rPr>
              <w:instrText xml:space="preserve"> PAGEREF _Toc121828640 \h </w:instrText>
            </w:r>
            <w:r w:rsidR="00F45903">
              <w:rPr>
                <w:noProof/>
                <w:webHidden/>
              </w:rPr>
            </w:r>
            <w:r w:rsidR="00F45903">
              <w:rPr>
                <w:noProof/>
                <w:webHidden/>
              </w:rPr>
              <w:fldChar w:fldCharType="separate"/>
            </w:r>
            <w:r w:rsidR="009D2CBD">
              <w:rPr>
                <w:noProof/>
                <w:webHidden/>
              </w:rPr>
              <w:t>56</w:t>
            </w:r>
            <w:r w:rsidR="00F45903">
              <w:rPr>
                <w:noProof/>
                <w:webHidden/>
              </w:rPr>
              <w:fldChar w:fldCharType="end"/>
            </w:r>
          </w:hyperlink>
        </w:p>
        <w:p w14:paraId="4947A810" w14:textId="6ABD0296" w:rsidR="00F45903" w:rsidRDefault="003700A7">
          <w:pPr>
            <w:pStyle w:val="Spistreci3"/>
            <w:rPr>
              <w:rFonts w:cstheme="minorBidi"/>
              <w:noProof/>
            </w:rPr>
          </w:pPr>
          <w:hyperlink w:anchor="_Toc121828641" w:history="1">
            <w:r w:rsidR="00F45903" w:rsidRPr="00167CAA">
              <w:rPr>
                <w:rStyle w:val="Hipercze"/>
                <w:noProof/>
              </w:rPr>
              <w:t>8.3.</w:t>
            </w:r>
            <w:r w:rsidR="00F45903">
              <w:rPr>
                <w:rFonts w:cstheme="minorBidi"/>
                <w:noProof/>
              </w:rPr>
              <w:tab/>
            </w:r>
            <w:r w:rsidR="00F45903" w:rsidRPr="00167CAA">
              <w:rPr>
                <w:rStyle w:val="Hipercze"/>
                <w:noProof/>
              </w:rPr>
              <w:t>Zaufanie i bezpieczeństwo</w:t>
            </w:r>
            <w:r w:rsidR="00F45903">
              <w:rPr>
                <w:noProof/>
                <w:webHidden/>
              </w:rPr>
              <w:tab/>
            </w:r>
            <w:r w:rsidR="00F45903">
              <w:rPr>
                <w:noProof/>
                <w:webHidden/>
              </w:rPr>
              <w:fldChar w:fldCharType="begin"/>
            </w:r>
            <w:r w:rsidR="00F45903">
              <w:rPr>
                <w:noProof/>
                <w:webHidden/>
              </w:rPr>
              <w:instrText xml:space="preserve"> PAGEREF _Toc121828641 \h </w:instrText>
            </w:r>
            <w:r w:rsidR="00F45903">
              <w:rPr>
                <w:noProof/>
                <w:webHidden/>
              </w:rPr>
            </w:r>
            <w:r w:rsidR="00F45903">
              <w:rPr>
                <w:noProof/>
                <w:webHidden/>
              </w:rPr>
              <w:fldChar w:fldCharType="separate"/>
            </w:r>
            <w:r w:rsidR="009D2CBD">
              <w:rPr>
                <w:noProof/>
                <w:webHidden/>
              </w:rPr>
              <w:t>57</w:t>
            </w:r>
            <w:r w:rsidR="00F45903">
              <w:rPr>
                <w:noProof/>
                <w:webHidden/>
              </w:rPr>
              <w:fldChar w:fldCharType="end"/>
            </w:r>
          </w:hyperlink>
        </w:p>
        <w:p w14:paraId="5D075549" w14:textId="0D8AECE0" w:rsidR="00F45903" w:rsidRDefault="003700A7">
          <w:pPr>
            <w:pStyle w:val="Spistreci1"/>
            <w:rPr>
              <w:rFonts w:eastAsiaTheme="minorEastAsia"/>
              <w:noProof/>
              <w:lang w:eastAsia="pl-PL"/>
            </w:rPr>
          </w:pPr>
          <w:hyperlink w:anchor="_Toc121828642" w:history="1">
            <w:r w:rsidR="00F45903" w:rsidRPr="00167CAA">
              <w:rPr>
                <w:rStyle w:val="Hipercze"/>
                <w:noProof/>
              </w:rPr>
              <w:t>V.</w:t>
            </w:r>
            <w:r w:rsidR="00F45903">
              <w:rPr>
                <w:rFonts w:eastAsiaTheme="minorEastAsia"/>
                <w:noProof/>
                <w:lang w:eastAsia="pl-PL"/>
              </w:rPr>
              <w:tab/>
            </w:r>
            <w:r w:rsidR="00F45903" w:rsidRPr="00167CAA">
              <w:rPr>
                <w:rStyle w:val="Hipercze"/>
                <w:noProof/>
              </w:rPr>
              <w:t>Ramy prawne - ustawa o pracowniczych planach kapitałowych - dotychczasowe zmiany oraz wydane rozporządzenia</w:t>
            </w:r>
            <w:r w:rsidR="00F45903">
              <w:rPr>
                <w:noProof/>
                <w:webHidden/>
              </w:rPr>
              <w:tab/>
            </w:r>
            <w:r w:rsidR="00F45903">
              <w:rPr>
                <w:noProof/>
                <w:webHidden/>
              </w:rPr>
              <w:fldChar w:fldCharType="begin"/>
            </w:r>
            <w:r w:rsidR="00F45903">
              <w:rPr>
                <w:noProof/>
                <w:webHidden/>
              </w:rPr>
              <w:instrText xml:space="preserve"> PAGEREF _Toc121828642 \h </w:instrText>
            </w:r>
            <w:r w:rsidR="00F45903">
              <w:rPr>
                <w:noProof/>
                <w:webHidden/>
              </w:rPr>
            </w:r>
            <w:r w:rsidR="00F45903">
              <w:rPr>
                <w:noProof/>
                <w:webHidden/>
              </w:rPr>
              <w:fldChar w:fldCharType="separate"/>
            </w:r>
            <w:r w:rsidR="009D2CBD">
              <w:rPr>
                <w:noProof/>
                <w:webHidden/>
              </w:rPr>
              <w:t>58</w:t>
            </w:r>
            <w:r w:rsidR="00F45903">
              <w:rPr>
                <w:noProof/>
                <w:webHidden/>
              </w:rPr>
              <w:fldChar w:fldCharType="end"/>
            </w:r>
          </w:hyperlink>
        </w:p>
        <w:p w14:paraId="7D5FCBCD" w14:textId="2D6503AD" w:rsidR="00F45903" w:rsidRDefault="003700A7">
          <w:pPr>
            <w:pStyle w:val="Spistreci2"/>
            <w:rPr>
              <w:rFonts w:eastAsiaTheme="minorEastAsia"/>
              <w:noProof/>
              <w:lang w:eastAsia="pl-PL"/>
            </w:rPr>
          </w:pPr>
          <w:hyperlink w:anchor="_Toc121828643" w:history="1">
            <w:r w:rsidR="00F45903" w:rsidRPr="00167CAA">
              <w:rPr>
                <w:rStyle w:val="Hipercze"/>
                <w:noProof/>
              </w:rPr>
              <w:t>1.</w:t>
            </w:r>
            <w:r w:rsidR="00F45903">
              <w:rPr>
                <w:rFonts w:eastAsiaTheme="minorEastAsia"/>
                <w:noProof/>
                <w:lang w:eastAsia="pl-PL"/>
              </w:rPr>
              <w:tab/>
            </w:r>
            <w:r w:rsidR="00F45903" w:rsidRPr="00167CAA">
              <w:rPr>
                <w:rStyle w:val="Hipercze"/>
                <w:noProof/>
              </w:rPr>
              <w:t>Nowelizacje ustawy o PPK</w:t>
            </w:r>
            <w:r w:rsidR="00F45903">
              <w:rPr>
                <w:noProof/>
                <w:webHidden/>
              </w:rPr>
              <w:tab/>
            </w:r>
            <w:r w:rsidR="00F45903">
              <w:rPr>
                <w:noProof/>
                <w:webHidden/>
              </w:rPr>
              <w:fldChar w:fldCharType="begin"/>
            </w:r>
            <w:r w:rsidR="00F45903">
              <w:rPr>
                <w:noProof/>
                <w:webHidden/>
              </w:rPr>
              <w:instrText xml:space="preserve"> PAGEREF _Toc121828643 \h </w:instrText>
            </w:r>
            <w:r w:rsidR="00F45903">
              <w:rPr>
                <w:noProof/>
                <w:webHidden/>
              </w:rPr>
            </w:r>
            <w:r w:rsidR="00F45903">
              <w:rPr>
                <w:noProof/>
                <w:webHidden/>
              </w:rPr>
              <w:fldChar w:fldCharType="separate"/>
            </w:r>
            <w:r w:rsidR="009D2CBD">
              <w:rPr>
                <w:noProof/>
                <w:webHidden/>
              </w:rPr>
              <w:t>58</w:t>
            </w:r>
            <w:r w:rsidR="00F45903">
              <w:rPr>
                <w:noProof/>
                <w:webHidden/>
              </w:rPr>
              <w:fldChar w:fldCharType="end"/>
            </w:r>
          </w:hyperlink>
        </w:p>
        <w:p w14:paraId="5F1A6218" w14:textId="051F7735" w:rsidR="00F45903" w:rsidRDefault="003700A7">
          <w:pPr>
            <w:pStyle w:val="Spistreci2"/>
            <w:rPr>
              <w:rFonts w:eastAsiaTheme="minorEastAsia"/>
              <w:noProof/>
              <w:lang w:eastAsia="pl-PL"/>
            </w:rPr>
          </w:pPr>
          <w:hyperlink w:anchor="_Toc121828644" w:history="1">
            <w:r w:rsidR="00F45903" w:rsidRPr="00167CAA">
              <w:rPr>
                <w:rStyle w:val="Hipercze"/>
                <w:noProof/>
              </w:rPr>
              <w:t>2.</w:t>
            </w:r>
            <w:r w:rsidR="00F45903">
              <w:rPr>
                <w:rFonts w:eastAsiaTheme="minorEastAsia"/>
                <w:noProof/>
                <w:lang w:eastAsia="pl-PL"/>
              </w:rPr>
              <w:tab/>
            </w:r>
            <w:r w:rsidR="00F45903" w:rsidRPr="00167CAA">
              <w:rPr>
                <w:rStyle w:val="Hipercze"/>
                <w:noProof/>
              </w:rPr>
              <w:t>Akty wykonawcze</w:t>
            </w:r>
            <w:r w:rsidR="00F45903">
              <w:rPr>
                <w:noProof/>
                <w:webHidden/>
              </w:rPr>
              <w:tab/>
            </w:r>
            <w:r w:rsidR="00F45903">
              <w:rPr>
                <w:noProof/>
                <w:webHidden/>
              </w:rPr>
              <w:fldChar w:fldCharType="begin"/>
            </w:r>
            <w:r w:rsidR="00F45903">
              <w:rPr>
                <w:noProof/>
                <w:webHidden/>
              </w:rPr>
              <w:instrText xml:space="preserve"> PAGEREF _Toc121828644 \h </w:instrText>
            </w:r>
            <w:r w:rsidR="00F45903">
              <w:rPr>
                <w:noProof/>
                <w:webHidden/>
              </w:rPr>
            </w:r>
            <w:r w:rsidR="00F45903">
              <w:rPr>
                <w:noProof/>
                <w:webHidden/>
              </w:rPr>
              <w:fldChar w:fldCharType="separate"/>
            </w:r>
            <w:r w:rsidR="009D2CBD">
              <w:rPr>
                <w:noProof/>
                <w:webHidden/>
              </w:rPr>
              <w:t>67</w:t>
            </w:r>
            <w:r w:rsidR="00F45903">
              <w:rPr>
                <w:noProof/>
                <w:webHidden/>
              </w:rPr>
              <w:fldChar w:fldCharType="end"/>
            </w:r>
          </w:hyperlink>
        </w:p>
        <w:p w14:paraId="12321ED8" w14:textId="0716E071" w:rsidR="00F45903" w:rsidRDefault="003700A7">
          <w:pPr>
            <w:pStyle w:val="Spistreci1"/>
            <w:rPr>
              <w:rFonts w:eastAsiaTheme="minorEastAsia"/>
              <w:noProof/>
              <w:lang w:eastAsia="pl-PL"/>
            </w:rPr>
          </w:pPr>
          <w:hyperlink w:anchor="_Toc121828645" w:history="1">
            <w:r w:rsidR="00F45903" w:rsidRPr="00167CAA">
              <w:rPr>
                <w:rStyle w:val="Hipercze"/>
                <w:noProof/>
              </w:rPr>
              <w:t>VI.</w:t>
            </w:r>
            <w:r w:rsidR="00F45903">
              <w:rPr>
                <w:rFonts w:eastAsiaTheme="minorEastAsia"/>
                <w:noProof/>
                <w:lang w:eastAsia="pl-PL"/>
              </w:rPr>
              <w:tab/>
            </w:r>
            <w:r w:rsidR="00F45903" w:rsidRPr="00167CAA">
              <w:rPr>
                <w:rStyle w:val="Hipercze"/>
                <w:noProof/>
              </w:rPr>
              <w:t>Wnioski i postulaty legislacyjne</w:t>
            </w:r>
            <w:r w:rsidR="00F45903">
              <w:rPr>
                <w:noProof/>
                <w:webHidden/>
              </w:rPr>
              <w:tab/>
            </w:r>
            <w:r w:rsidR="00F45903">
              <w:rPr>
                <w:noProof/>
                <w:webHidden/>
              </w:rPr>
              <w:fldChar w:fldCharType="begin"/>
            </w:r>
            <w:r w:rsidR="00F45903">
              <w:rPr>
                <w:noProof/>
                <w:webHidden/>
              </w:rPr>
              <w:instrText xml:space="preserve"> PAGEREF _Toc121828645 \h </w:instrText>
            </w:r>
            <w:r w:rsidR="00F45903">
              <w:rPr>
                <w:noProof/>
                <w:webHidden/>
              </w:rPr>
            </w:r>
            <w:r w:rsidR="00F45903">
              <w:rPr>
                <w:noProof/>
                <w:webHidden/>
              </w:rPr>
              <w:fldChar w:fldCharType="separate"/>
            </w:r>
            <w:r w:rsidR="009D2CBD">
              <w:rPr>
                <w:noProof/>
                <w:webHidden/>
              </w:rPr>
              <w:t>71</w:t>
            </w:r>
            <w:r w:rsidR="00F45903">
              <w:rPr>
                <w:noProof/>
                <w:webHidden/>
              </w:rPr>
              <w:fldChar w:fldCharType="end"/>
            </w:r>
          </w:hyperlink>
        </w:p>
        <w:p w14:paraId="27D5FC11" w14:textId="0F73547E" w:rsidR="00F45903" w:rsidRDefault="003700A7">
          <w:pPr>
            <w:pStyle w:val="Spistreci2"/>
            <w:rPr>
              <w:rFonts w:eastAsiaTheme="minorEastAsia"/>
              <w:noProof/>
              <w:lang w:eastAsia="pl-PL"/>
            </w:rPr>
          </w:pPr>
          <w:hyperlink w:anchor="_Toc121828646" w:history="1">
            <w:r w:rsidR="00F45903" w:rsidRPr="00167CAA">
              <w:rPr>
                <w:rStyle w:val="Hipercze"/>
                <w:iCs/>
                <w:noProof/>
              </w:rPr>
              <w:t>1.</w:t>
            </w:r>
            <w:r w:rsidR="00F45903">
              <w:rPr>
                <w:rFonts w:eastAsiaTheme="minorEastAsia"/>
                <w:noProof/>
                <w:lang w:eastAsia="pl-PL"/>
              </w:rPr>
              <w:tab/>
            </w:r>
            <w:r w:rsidR="00F45903" w:rsidRPr="00167CAA">
              <w:rPr>
                <w:rStyle w:val="Hipercze"/>
                <w:noProof/>
              </w:rPr>
              <w:t>Powszechność PPK i partycypacja</w:t>
            </w:r>
            <w:r w:rsidR="00F45903">
              <w:rPr>
                <w:noProof/>
                <w:webHidden/>
              </w:rPr>
              <w:tab/>
            </w:r>
            <w:r w:rsidR="00F45903">
              <w:rPr>
                <w:noProof/>
                <w:webHidden/>
              </w:rPr>
              <w:fldChar w:fldCharType="begin"/>
            </w:r>
            <w:r w:rsidR="00F45903">
              <w:rPr>
                <w:noProof/>
                <w:webHidden/>
              </w:rPr>
              <w:instrText xml:space="preserve"> PAGEREF _Toc121828646 \h </w:instrText>
            </w:r>
            <w:r w:rsidR="00F45903">
              <w:rPr>
                <w:noProof/>
                <w:webHidden/>
              </w:rPr>
            </w:r>
            <w:r w:rsidR="00F45903">
              <w:rPr>
                <w:noProof/>
                <w:webHidden/>
              </w:rPr>
              <w:fldChar w:fldCharType="separate"/>
            </w:r>
            <w:r w:rsidR="009D2CBD">
              <w:rPr>
                <w:noProof/>
                <w:webHidden/>
              </w:rPr>
              <w:t>72</w:t>
            </w:r>
            <w:r w:rsidR="00F45903">
              <w:rPr>
                <w:noProof/>
                <w:webHidden/>
              </w:rPr>
              <w:fldChar w:fldCharType="end"/>
            </w:r>
          </w:hyperlink>
        </w:p>
        <w:p w14:paraId="5733E979" w14:textId="12B3201A" w:rsidR="00F45903" w:rsidRDefault="003700A7">
          <w:pPr>
            <w:pStyle w:val="Spistreci2"/>
            <w:rPr>
              <w:rFonts w:eastAsiaTheme="minorEastAsia"/>
              <w:noProof/>
              <w:lang w:eastAsia="pl-PL"/>
            </w:rPr>
          </w:pPr>
          <w:hyperlink w:anchor="_Toc121828647" w:history="1">
            <w:r w:rsidR="00F45903" w:rsidRPr="00167CAA">
              <w:rPr>
                <w:rStyle w:val="Hipercze"/>
                <w:iCs/>
                <w:noProof/>
              </w:rPr>
              <w:t>2.</w:t>
            </w:r>
            <w:r w:rsidR="00F45903">
              <w:rPr>
                <w:rFonts w:eastAsiaTheme="minorEastAsia"/>
                <w:noProof/>
                <w:lang w:eastAsia="pl-PL"/>
              </w:rPr>
              <w:tab/>
            </w:r>
            <w:r w:rsidR="00F45903" w:rsidRPr="00167CAA">
              <w:rPr>
                <w:rStyle w:val="Hipercze"/>
                <w:noProof/>
              </w:rPr>
              <w:t>Wpłaty dodatkowe</w:t>
            </w:r>
            <w:r w:rsidR="00F45903">
              <w:rPr>
                <w:noProof/>
                <w:webHidden/>
              </w:rPr>
              <w:tab/>
            </w:r>
            <w:r w:rsidR="00F45903">
              <w:rPr>
                <w:noProof/>
                <w:webHidden/>
              </w:rPr>
              <w:fldChar w:fldCharType="begin"/>
            </w:r>
            <w:r w:rsidR="00F45903">
              <w:rPr>
                <w:noProof/>
                <w:webHidden/>
              </w:rPr>
              <w:instrText xml:space="preserve"> PAGEREF _Toc121828647 \h </w:instrText>
            </w:r>
            <w:r w:rsidR="00F45903">
              <w:rPr>
                <w:noProof/>
                <w:webHidden/>
              </w:rPr>
            </w:r>
            <w:r w:rsidR="00F45903">
              <w:rPr>
                <w:noProof/>
                <w:webHidden/>
              </w:rPr>
              <w:fldChar w:fldCharType="separate"/>
            </w:r>
            <w:r w:rsidR="009D2CBD">
              <w:rPr>
                <w:noProof/>
                <w:webHidden/>
              </w:rPr>
              <w:t>72</w:t>
            </w:r>
            <w:r w:rsidR="00F45903">
              <w:rPr>
                <w:noProof/>
                <w:webHidden/>
              </w:rPr>
              <w:fldChar w:fldCharType="end"/>
            </w:r>
          </w:hyperlink>
        </w:p>
        <w:p w14:paraId="7D90A3DD" w14:textId="5328150A" w:rsidR="00F45903" w:rsidRDefault="003700A7">
          <w:pPr>
            <w:pStyle w:val="Spistreci2"/>
            <w:rPr>
              <w:rFonts w:eastAsiaTheme="minorEastAsia"/>
              <w:noProof/>
              <w:lang w:eastAsia="pl-PL"/>
            </w:rPr>
          </w:pPr>
          <w:hyperlink w:anchor="_Toc121828648" w:history="1">
            <w:r w:rsidR="00F45903" w:rsidRPr="00167CAA">
              <w:rPr>
                <w:rStyle w:val="Hipercze"/>
                <w:iCs/>
                <w:noProof/>
              </w:rPr>
              <w:t>3.</w:t>
            </w:r>
            <w:r w:rsidR="00F45903">
              <w:rPr>
                <w:rFonts w:eastAsiaTheme="minorEastAsia"/>
                <w:noProof/>
                <w:lang w:eastAsia="pl-PL"/>
              </w:rPr>
              <w:tab/>
            </w:r>
            <w:r w:rsidR="00F45903" w:rsidRPr="00167CAA">
              <w:rPr>
                <w:rStyle w:val="Hipercze"/>
                <w:noProof/>
              </w:rPr>
              <w:t>Dopłaty od państwa</w:t>
            </w:r>
            <w:r w:rsidR="00F45903">
              <w:rPr>
                <w:noProof/>
                <w:webHidden/>
              </w:rPr>
              <w:tab/>
            </w:r>
            <w:r w:rsidR="00F45903">
              <w:rPr>
                <w:noProof/>
                <w:webHidden/>
              </w:rPr>
              <w:fldChar w:fldCharType="begin"/>
            </w:r>
            <w:r w:rsidR="00F45903">
              <w:rPr>
                <w:noProof/>
                <w:webHidden/>
              </w:rPr>
              <w:instrText xml:space="preserve"> PAGEREF _Toc121828648 \h </w:instrText>
            </w:r>
            <w:r w:rsidR="00F45903">
              <w:rPr>
                <w:noProof/>
                <w:webHidden/>
              </w:rPr>
            </w:r>
            <w:r w:rsidR="00F45903">
              <w:rPr>
                <w:noProof/>
                <w:webHidden/>
              </w:rPr>
              <w:fldChar w:fldCharType="separate"/>
            </w:r>
            <w:r w:rsidR="009D2CBD">
              <w:rPr>
                <w:noProof/>
                <w:webHidden/>
              </w:rPr>
              <w:t>72</w:t>
            </w:r>
            <w:r w:rsidR="00F45903">
              <w:rPr>
                <w:noProof/>
                <w:webHidden/>
              </w:rPr>
              <w:fldChar w:fldCharType="end"/>
            </w:r>
          </w:hyperlink>
        </w:p>
        <w:p w14:paraId="30EB5E7B" w14:textId="627CB3A3" w:rsidR="00F45903" w:rsidRDefault="003700A7">
          <w:pPr>
            <w:pStyle w:val="Spistreci2"/>
            <w:rPr>
              <w:rFonts w:eastAsiaTheme="minorEastAsia"/>
              <w:noProof/>
              <w:lang w:eastAsia="pl-PL"/>
            </w:rPr>
          </w:pPr>
          <w:hyperlink w:anchor="_Toc121828649" w:history="1">
            <w:r w:rsidR="00F45903" w:rsidRPr="00167CAA">
              <w:rPr>
                <w:rStyle w:val="Hipercze"/>
                <w:iCs/>
                <w:noProof/>
              </w:rPr>
              <w:t>4.</w:t>
            </w:r>
            <w:r w:rsidR="00F45903">
              <w:rPr>
                <w:rFonts w:eastAsiaTheme="minorEastAsia"/>
                <w:noProof/>
                <w:lang w:eastAsia="pl-PL"/>
              </w:rPr>
              <w:tab/>
            </w:r>
            <w:r w:rsidR="00F45903" w:rsidRPr="00167CAA">
              <w:rPr>
                <w:rStyle w:val="Hipercze"/>
                <w:noProof/>
              </w:rPr>
              <w:t>Instytucje finansowe</w:t>
            </w:r>
            <w:r w:rsidR="00F45903">
              <w:rPr>
                <w:noProof/>
                <w:webHidden/>
              </w:rPr>
              <w:tab/>
            </w:r>
            <w:r w:rsidR="00F45903">
              <w:rPr>
                <w:noProof/>
                <w:webHidden/>
              </w:rPr>
              <w:fldChar w:fldCharType="begin"/>
            </w:r>
            <w:r w:rsidR="00F45903">
              <w:rPr>
                <w:noProof/>
                <w:webHidden/>
              </w:rPr>
              <w:instrText xml:space="preserve"> PAGEREF _Toc121828649 \h </w:instrText>
            </w:r>
            <w:r w:rsidR="00F45903">
              <w:rPr>
                <w:noProof/>
                <w:webHidden/>
              </w:rPr>
            </w:r>
            <w:r w:rsidR="00F45903">
              <w:rPr>
                <w:noProof/>
                <w:webHidden/>
              </w:rPr>
              <w:fldChar w:fldCharType="separate"/>
            </w:r>
            <w:r w:rsidR="009D2CBD">
              <w:rPr>
                <w:noProof/>
                <w:webHidden/>
              </w:rPr>
              <w:t>72</w:t>
            </w:r>
            <w:r w:rsidR="00F45903">
              <w:rPr>
                <w:noProof/>
                <w:webHidden/>
              </w:rPr>
              <w:fldChar w:fldCharType="end"/>
            </w:r>
          </w:hyperlink>
        </w:p>
        <w:p w14:paraId="50945EA3" w14:textId="67A46AA7" w:rsidR="00F45903" w:rsidRDefault="003700A7">
          <w:pPr>
            <w:pStyle w:val="Spistreci2"/>
            <w:rPr>
              <w:rFonts w:eastAsiaTheme="minorEastAsia"/>
              <w:noProof/>
              <w:lang w:eastAsia="pl-PL"/>
            </w:rPr>
          </w:pPr>
          <w:hyperlink w:anchor="_Toc121828650" w:history="1">
            <w:r w:rsidR="00F45903" w:rsidRPr="00167CAA">
              <w:rPr>
                <w:rStyle w:val="Hipercze"/>
                <w:iCs/>
                <w:noProof/>
              </w:rPr>
              <w:t>5.</w:t>
            </w:r>
            <w:r w:rsidR="00F45903">
              <w:rPr>
                <w:rFonts w:eastAsiaTheme="minorEastAsia"/>
                <w:noProof/>
                <w:lang w:eastAsia="pl-PL"/>
              </w:rPr>
              <w:tab/>
            </w:r>
            <w:r w:rsidR="00F45903" w:rsidRPr="00167CAA">
              <w:rPr>
                <w:rStyle w:val="Hipercze"/>
                <w:noProof/>
              </w:rPr>
              <w:t>Uelastycznienie systemu</w:t>
            </w:r>
            <w:r w:rsidR="00F45903">
              <w:rPr>
                <w:noProof/>
                <w:webHidden/>
              </w:rPr>
              <w:tab/>
            </w:r>
            <w:r w:rsidR="00F45903">
              <w:rPr>
                <w:noProof/>
                <w:webHidden/>
              </w:rPr>
              <w:fldChar w:fldCharType="begin"/>
            </w:r>
            <w:r w:rsidR="00F45903">
              <w:rPr>
                <w:noProof/>
                <w:webHidden/>
              </w:rPr>
              <w:instrText xml:space="preserve"> PAGEREF _Toc121828650 \h </w:instrText>
            </w:r>
            <w:r w:rsidR="00F45903">
              <w:rPr>
                <w:noProof/>
                <w:webHidden/>
              </w:rPr>
            </w:r>
            <w:r w:rsidR="00F45903">
              <w:rPr>
                <w:noProof/>
                <w:webHidden/>
              </w:rPr>
              <w:fldChar w:fldCharType="separate"/>
            </w:r>
            <w:r w:rsidR="009D2CBD">
              <w:rPr>
                <w:noProof/>
                <w:webHidden/>
              </w:rPr>
              <w:t>73</w:t>
            </w:r>
            <w:r w:rsidR="00F45903">
              <w:rPr>
                <w:noProof/>
                <w:webHidden/>
              </w:rPr>
              <w:fldChar w:fldCharType="end"/>
            </w:r>
          </w:hyperlink>
        </w:p>
        <w:p w14:paraId="66FF77C4" w14:textId="72F39DB4" w:rsidR="00F45903" w:rsidRDefault="003700A7">
          <w:pPr>
            <w:pStyle w:val="Spistreci2"/>
            <w:rPr>
              <w:rFonts w:eastAsiaTheme="minorEastAsia"/>
              <w:noProof/>
              <w:lang w:eastAsia="pl-PL"/>
            </w:rPr>
          </w:pPr>
          <w:hyperlink w:anchor="_Toc121828651" w:history="1">
            <w:r w:rsidR="00F45903" w:rsidRPr="00167CAA">
              <w:rPr>
                <w:rStyle w:val="Hipercze"/>
                <w:iCs/>
                <w:noProof/>
              </w:rPr>
              <w:t>6.</w:t>
            </w:r>
            <w:r w:rsidR="00F45903">
              <w:rPr>
                <w:rFonts w:eastAsiaTheme="minorEastAsia"/>
                <w:noProof/>
                <w:lang w:eastAsia="pl-PL"/>
              </w:rPr>
              <w:tab/>
            </w:r>
            <w:r w:rsidR="00F45903" w:rsidRPr="00167CAA">
              <w:rPr>
                <w:rStyle w:val="Hipercze"/>
                <w:noProof/>
              </w:rPr>
              <w:t>Tzw. autozapis</w:t>
            </w:r>
            <w:r w:rsidR="00F45903">
              <w:rPr>
                <w:noProof/>
                <w:webHidden/>
              </w:rPr>
              <w:tab/>
            </w:r>
            <w:r w:rsidR="00F45903">
              <w:rPr>
                <w:noProof/>
                <w:webHidden/>
              </w:rPr>
              <w:fldChar w:fldCharType="begin"/>
            </w:r>
            <w:r w:rsidR="00F45903">
              <w:rPr>
                <w:noProof/>
                <w:webHidden/>
              </w:rPr>
              <w:instrText xml:space="preserve"> PAGEREF _Toc121828651 \h </w:instrText>
            </w:r>
            <w:r w:rsidR="00F45903">
              <w:rPr>
                <w:noProof/>
                <w:webHidden/>
              </w:rPr>
            </w:r>
            <w:r w:rsidR="00F45903">
              <w:rPr>
                <w:noProof/>
                <w:webHidden/>
              </w:rPr>
              <w:fldChar w:fldCharType="separate"/>
            </w:r>
            <w:r w:rsidR="009D2CBD">
              <w:rPr>
                <w:noProof/>
                <w:webHidden/>
              </w:rPr>
              <w:t>73</w:t>
            </w:r>
            <w:r w:rsidR="00F45903">
              <w:rPr>
                <w:noProof/>
                <w:webHidden/>
              </w:rPr>
              <w:fldChar w:fldCharType="end"/>
            </w:r>
          </w:hyperlink>
        </w:p>
        <w:p w14:paraId="024A36CA" w14:textId="77777777" w:rsidR="001E4BAA" w:rsidRDefault="001E4BAA" w:rsidP="000C001F">
          <w:pPr>
            <w:spacing w:before="6" w:after="6" w:line="288" w:lineRule="auto"/>
          </w:pPr>
          <w:r>
            <w:rPr>
              <w:b/>
              <w:bCs/>
            </w:rPr>
            <w:fldChar w:fldCharType="end"/>
          </w:r>
        </w:p>
      </w:sdtContent>
    </w:sdt>
    <w:p w14:paraId="370FE4AE" w14:textId="478A1C74" w:rsidR="00BC189F" w:rsidRDefault="00A65D0A" w:rsidP="00A65D0A">
      <w:r>
        <w:br w:type="page"/>
      </w:r>
    </w:p>
    <w:p w14:paraId="77C4A9E5" w14:textId="77777777" w:rsidR="004F2940" w:rsidRPr="00D43F9A" w:rsidRDefault="006172DD">
      <w:pPr>
        <w:pStyle w:val="Nagwek1"/>
        <w:numPr>
          <w:ilvl w:val="0"/>
          <w:numId w:val="22"/>
        </w:numPr>
        <w:spacing w:before="6" w:after="6" w:line="288" w:lineRule="auto"/>
      </w:pPr>
      <w:bookmarkStart w:id="1" w:name="_Toc121828599"/>
      <w:r>
        <w:lastRenderedPageBreak/>
        <w:t>Synteza</w:t>
      </w:r>
      <w:bookmarkEnd w:id="1"/>
    </w:p>
    <w:p w14:paraId="4EB6A95B" w14:textId="77777777" w:rsidR="00D350E3" w:rsidRDefault="00D350E3" w:rsidP="000C001F">
      <w:pPr>
        <w:spacing w:before="6" w:after="6" w:line="288" w:lineRule="auto"/>
        <w:jc w:val="both"/>
      </w:pPr>
    </w:p>
    <w:p w14:paraId="508BE8F1" w14:textId="43A473DE" w:rsidR="002666E0" w:rsidRPr="002666E0" w:rsidRDefault="002666E0" w:rsidP="0062643C">
      <w:pPr>
        <w:spacing w:before="6" w:after="6" w:line="288" w:lineRule="auto"/>
        <w:jc w:val="both"/>
      </w:pPr>
      <w:r w:rsidRPr="002666E0">
        <w:t xml:space="preserve">Dokonanie przeglądu funkcjonowania </w:t>
      </w:r>
      <w:r w:rsidR="00A11099">
        <w:t>p</w:t>
      </w:r>
      <w:r w:rsidR="00BC189F">
        <w:t xml:space="preserve">racowniczych </w:t>
      </w:r>
      <w:r w:rsidR="00A11099">
        <w:t>p</w:t>
      </w:r>
      <w:r w:rsidR="00A22AF5">
        <w:t xml:space="preserve">lanów </w:t>
      </w:r>
      <w:r w:rsidR="00A11099">
        <w:t>k</w:t>
      </w:r>
      <w:r w:rsidR="00A22AF5">
        <w:t>apitałowych</w:t>
      </w:r>
      <w:r w:rsidRPr="002666E0">
        <w:t xml:space="preserve"> </w:t>
      </w:r>
      <w:r w:rsidR="00A22AF5">
        <w:t xml:space="preserve">(PPK) </w:t>
      </w:r>
      <w:r w:rsidRPr="002666E0">
        <w:t xml:space="preserve">to </w:t>
      </w:r>
      <w:r w:rsidR="00B22C30">
        <w:t>wymóg</w:t>
      </w:r>
      <w:r w:rsidR="00EA1E12">
        <w:t>,</w:t>
      </w:r>
      <w:r w:rsidRPr="002666E0">
        <w:t xml:space="preserve"> jaki</w:t>
      </w:r>
      <w:r w:rsidR="003D6725">
        <w:t> </w:t>
      </w:r>
      <w:r w:rsidRPr="002666E0">
        <w:t>u</w:t>
      </w:r>
      <w:r w:rsidR="005365BF">
        <w:t>stawa z 4 października 2018 r. </w:t>
      </w:r>
      <w:r w:rsidRPr="002666E0">
        <w:t>o</w:t>
      </w:r>
      <w:r w:rsidR="007F3ED8">
        <w:t> </w:t>
      </w:r>
      <w:r w:rsidRPr="002666E0">
        <w:t>pracowniczych planach kapitałowych (t.j. Dz.U. z 2020 r. poz.</w:t>
      </w:r>
      <w:r w:rsidR="003D6725">
        <w:t> </w:t>
      </w:r>
      <w:r w:rsidRPr="002666E0">
        <w:t>1342</w:t>
      </w:r>
      <w:r w:rsidR="004476CF">
        <w:t>, z późn. zm.</w:t>
      </w:r>
      <w:r w:rsidRPr="002666E0">
        <w:t>) nałożyła na Radę Ministrów. Zgodnie z art. 143 ustawy o PPK Rada Ministrów dokonuje przeglądu funkcjonowania PPK po wejściu w życie ustawy i przedkłada Sejmowi informację o skutkach jej obowiązywania wraz z</w:t>
      </w:r>
      <w:r w:rsidR="007F3ED8">
        <w:t> </w:t>
      </w:r>
      <w:r w:rsidRPr="002666E0">
        <w:t>ewentualnymi propozycjami zmian nie rzadziej niż co 4 lata. Pierwszy przegląd funkcjonowania PPK powinien zostać dokonany nie później niż do 31 grudnia 2022</w:t>
      </w:r>
      <w:r w:rsidR="003D6725">
        <w:t> </w:t>
      </w:r>
      <w:r w:rsidRPr="002666E0">
        <w:t xml:space="preserve">r. </w:t>
      </w:r>
    </w:p>
    <w:p w14:paraId="22743A12" w14:textId="77777777" w:rsidR="00863F2E" w:rsidRDefault="002666E0" w:rsidP="00863F2E">
      <w:pPr>
        <w:spacing w:before="6" w:after="6" w:line="288" w:lineRule="auto"/>
        <w:jc w:val="both"/>
      </w:pPr>
      <w:r w:rsidRPr="002666E0">
        <w:t xml:space="preserve">Za jego przygotowanie odpowiedzialne jest </w:t>
      </w:r>
      <w:r w:rsidR="002B4B5E">
        <w:t>M</w:t>
      </w:r>
      <w:r w:rsidRPr="002666E0">
        <w:t xml:space="preserve">inisterstwo </w:t>
      </w:r>
      <w:r w:rsidR="002B4B5E">
        <w:t>R</w:t>
      </w:r>
      <w:r w:rsidRPr="002666E0">
        <w:t xml:space="preserve">ozwoju i </w:t>
      </w:r>
      <w:r w:rsidR="002B4B5E">
        <w:t>T</w:t>
      </w:r>
      <w:r w:rsidRPr="002666E0">
        <w:t xml:space="preserve">echnologii. </w:t>
      </w:r>
    </w:p>
    <w:p w14:paraId="5FE49A2E" w14:textId="2ECC6EC2" w:rsidR="00863F2E" w:rsidRDefault="00863F2E" w:rsidP="00863F2E">
      <w:pPr>
        <w:spacing w:before="6" w:after="6" w:line="288" w:lineRule="auto"/>
        <w:jc w:val="both"/>
      </w:pPr>
      <w:r>
        <w:t>Prezentowany poniżej materiał pows</w:t>
      </w:r>
      <w:r w:rsidR="005365BF">
        <w:t xml:space="preserve">tał we współpracy z PFR S.A. i </w:t>
      </w:r>
      <w:r>
        <w:t xml:space="preserve">PFR Portal PPK sp. z.o.o. </w:t>
      </w:r>
      <w:r w:rsidR="00934FE6">
        <w:t>–</w:t>
      </w:r>
      <w:r>
        <w:t xml:space="preserve"> instytucjami odpowiedzialnymi za wdrożenie pracowniczych pla</w:t>
      </w:r>
      <w:r w:rsidR="005365BF">
        <w:t xml:space="preserve">nów kapitałowych, informowanie </w:t>
      </w:r>
      <w:r>
        <w:t>o tym programie oraz prowadzenie szkoleń na temat</w:t>
      </w:r>
      <w:r w:rsidDel="00F97A7C">
        <w:t xml:space="preserve"> </w:t>
      </w:r>
      <w:r>
        <w:t>zasad uczestnictwa w PPK. Wykorzystano również dane przekazane przez KNF wraz ze stanowiskiem UKNF w zakresie dotychczasowego funkcjonowania ustawy o PPK.</w:t>
      </w:r>
    </w:p>
    <w:p w14:paraId="5FFBC827" w14:textId="77777777" w:rsidR="002666E0" w:rsidRDefault="002666E0" w:rsidP="0062643C">
      <w:pPr>
        <w:spacing w:before="6" w:after="6" w:line="288" w:lineRule="auto"/>
        <w:jc w:val="both"/>
      </w:pPr>
    </w:p>
    <w:p w14:paraId="593A5A28" w14:textId="1F2AB551" w:rsidR="00B2492B" w:rsidRDefault="00B2492B" w:rsidP="00B2492B">
      <w:pPr>
        <w:spacing w:before="6" w:after="6" w:line="288" w:lineRule="auto"/>
        <w:jc w:val="both"/>
      </w:pPr>
      <w:r>
        <w:t xml:space="preserve">Systemy emerytalne mają na celu zabezpieczenie jego uczestnikom dochodów po zakończeniu aktywności zawodowej. Obecnie system </w:t>
      </w:r>
      <w:r w:rsidR="005365BF">
        <w:t>emerytalny w Polsce oparty jest</w:t>
      </w:r>
      <w:r>
        <w:t xml:space="preserve"> o trzy filary:</w:t>
      </w:r>
    </w:p>
    <w:p w14:paraId="2EA19024" w14:textId="77777777" w:rsidR="00886A10" w:rsidRDefault="00886A10" w:rsidP="00886A10">
      <w:pPr>
        <w:pStyle w:val="Akapitzlist"/>
        <w:numPr>
          <w:ilvl w:val="0"/>
          <w:numId w:val="32"/>
        </w:numPr>
        <w:spacing w:before="6" w:after="6" w:line="288" w:lineRule="auto"/>
        <w:jc w:val="both"/>
      </w:pPr>
      <w:r>
        <w:t>filar pierwszy obowiązkowy – środki gromadzone na</w:t>
      </w:r>
      <w:r w:rsidR="000D5817">
        <w:t xml:space="preserve"> </w:t>
      </w:r>
      <w:r>
        <w:t xml:space="preserve">koncie </w:t>
      </w:r>
      <w:r w:rsidR="008F1DC7">
        <w:t xml:space="preserve">ubezpieczonego </w:t>
      </w:r>
      <w:r>
        <w:t>w ZUS</w:t>
      </w:r>
      <w:r w:rsidR="00A76435">
        <w:t>,</w:t>
      </w:r>
      <w:r w:rsidR="00670C55">
        <w:t xml:space="preserve"> </w:t>
      </w:r>
    </w:p>
    <w:p w14:paraId="0723863B" w14:textId="77777777" w:rsidR="00886A10" w:rsidRDefault="00886A10" w:rsidP="00886A10">
      <w:pPr>
        <w:pStyle w:val="Akapitzlist"/>
        <w:numPr>
          <w:ilvl w:val="0"/>
          <w:numId w:val="32"/>
        </w:numPr>
        <w:spacing w:before="6" w:after="6" w:line="288" w:lineRule="auto"/>
        <w:jc w:val="both"/>
      </w:pPr>
      <w:r>
        <w:t>filar drugi obowiązkowy – środki gromadzone na subkoncie w ZUS lub w OFE,</w:t>
      </w:r>
    </w:p>
    <w:p w14:paraId="78E12E0B" w14:textId="77777777" w:rsidR="00234AFF" w:rsidRDefault="00886A10" w:rsidP="00886A10">
      <w:pPr>
        <w:pStyle w:val="Akapitzlist"/>
        <w:numPr>
          <w:ilvl w:val="0"/>
          <w:numId w:val="32"/>
        </w:numPr>
        <w:spacing w:before="6" w:after="6" w:line="288" w:lineRule="auto"/>
        <w:jc w:val="both"/>
      </w:pPr>
      <w:r>
        <w:t>filar trzeci dobrowolny – środki (oszczędności)</w:t>
      </w:r>
      <w:r w:rsidR="000178B8">
        <w:t xml:space="preserve"> </w:t>
      </w:r>
      <w:r>
        <w:t>gromadzone indywidualnie w ramach IKE i IKZE lub z pracodawcą w ramach PPE i PPK.</w:t>
      </w:r>
    </w:p>
    <w:p w14:paraId="71B04711" w14:textId="048C7B22" w:rsidR="00886A10" w:rsidRDefault="00234AFF" w:rsidP="007149CD">
      <w:pPr>
        <w:spacing w:before="6" w:after="6" w:line="288" w:lineRule="auto"/>
        <w:jc w:val="both"/>
      </w:pPr>
      <w:bookmarkStart w:id="2" w:name="_Hlk118286517"/>
      <w:r>
        <w:t xml:space="preserve">Obok powszechnego systemu ubezpieczeń społecznych funkcjonują w Polsce także system ubezpieczeń społecznych rolników (KRUS) oraz systemy zaopatrzeniowe (m.in. wojsko, policja). </w:t>
      </w:r>
    </w:p>
    <w:p w14:paraId="12A346BF" w14:textId="77777777" w:rsidR="00234AFF" w:rsidRDefault="00234AFF" w:rsidP="00FC1C49">
      <w:pPr>
        <w:spacing w:before="6" w:after="6" w:line="288" w:lineRule="auto"/>
        <w:jc w:val="both"/>
      </w:pPr>
    </w:p>
    <w:bookmarkEnd w:id="2"/>
    <w:p w14:paraId="1CDDD2B3" w14:textId="5729E49B" w:rsidR="00FE7128" w:rsidRDefault="00864F05" w:rsidP="00FC1C49">
      <w:pPr>
        <w:spacing w:before="6" w:after="6" w:line="288" w:lineRule="auto"/>
        <w:jc w:val="both"/>
      </w:pPr>
      <w:r>
        <w:t>P</w:t>
      </w:r>
      <w:r w:rsidR="00F42835">
        <w:t>rzemiany demograficzne</w:t>
      </w:r>
      <w:r>
        <w:t>, które mają miejsce na przestrzeni ostatnich kilkudziesięciu lat</w:t>
      </w:r>
      <w:r w:rsidR="00CF2819">
        <w:t>,</w:t>
      </w:r>
      <w:r w:rsidRPr="00E26980">
        <w:t xml:space="preserve"> </w:t>
      </w:r>
      <w:r w:rsidR="00F42835" w:rsidRPr="00E26980">
        <w:t>stanowią duże wyzwanie dla stabilności publicznych systemów emerytalnych na całym świecie</w:t>
      </w:r>
      <w:r w:rsidR="00F42835">
        <w:t>.</w:t>
      </w:r>
      <w:r w:rsidR="00F42835" w:rsidRPr="00E26980">
        <w:t xml:space="preserve"> </w:t>
      </w:r>
      <w:r w:rsidR="000178B8">
        <w:t xml:space="preserve">W Polsce nasila się proces starzenia demograficznego. </w:t>
      </w:r>
      <w:r w:rsidR="000178B8" w:rsidRPr="0029150C">
        <w:t>Zmiany zachodzące w strukturze wieku Polaków oznaczają systematyczny spadek liczby osób w wieku produkcyjnym i wzrost liczby osób starszych.</w:t>
      </w:r>
      <w:r w:rsidR="00F42835">
        <w:t xml:space="preserve"> W takiej sytuacji koniecznym jest zwiększenie wśród Polaków skłonności do systematycznego wieloletniego oszczędzania na potrzeby w wieku emerytalnym. </w:t>
      </w:r>
      <w:r w:rsidR="002263F6" w:rsidRPr="00076A15">
        <w:t>Systematyczne odkładanie nawet małych kwot i</w:t>
      </w:r>
      <w:r w:rsidR="00BF633E">
        <w:t> </w:t>
      </w:r>
      <w:r w:rsidR="002263F6" w:rsidRPr="00076A15">
        <w:t xml:space="preserve">trzymanie się tego przez wiele lat jest </w:t>
      </w:r>
      <w:r w:rsidR="002263F6">
        <w:t xml:space="preserve">niewątpliwie </w:t>
      </w:r>
      <w:r w:rsidR="002263F6" w:rsidRPr="00076A15">
        <w:t>najlepszym sposobem budowania kapitału na</w:t>
      </w:r>
      <w:r w:rsidR="00272518">
        <w:t> </w:t>
      </w:r>
      <w:r w:rsidR="002263F6" w:rsidRPr="00076A15">
        <w:t>przyszłość</w:t>
      </w:r>
      <w:r w:rsidR="002263F6">
        <w:t>.</w:t>
      </w:r>
      <w:r w:rsidR="002263F6" w:rsidRPr="00076A15">
        <w:t xml:space="preserve"> </w:t>
      </w:r>
    </w:p>
    <w:p w14:paraId="04E8D12E" w14:textId="3BF20768" w:rsidR="000178B8" w:rsidRDefault="000178B8" w:rsidP="000178B8">
      <w:pPr>
        <w:spacing w:before="6" w:after="6" w:line="288" w:lineRule="auto"/>
        <w:jc w:val="both"/>
      </w:pPr>
      <w:r>
        <w:t>Trzeci filar działa od 1999 r. Niestety ż</w:t>
      </w:r>
      <w:r w:rsidRPr="00E26980">
        <w:t xml:space="preserve">aden z </w:t>
      </w:r>
      <w:r w:rsidR="000C0A39">
        <w:t xml:space="preserve">istniejących do momentu wejścia w życie ustawy </w:t>
      </w:r>
      <w:r w:rsidR="00F42835">
        <w:t xml:space="preserve">o </w:t>
      </w:r>
      <w:r w:rsidR="000C0A39">
        <w:t>PPK</w:t>
      </w:r>
      <w:r w:rsidR="000C0A39" w:rsidRPr="00E26980">
        <w:t xml:space="preserve"> </w:t>
      </w:r>
      <w:r w:rsidRPr="00E26980">
        <w:t>dobrowolnych produktów oszczędzania na cele emerytalne</w:t>
      </w:r>
      <w:r w:rsidR="000C0A39">
        <w:t xml:space="preserve"> nie upowszechnił się </w:t>
      </w:r>
      <w:r w:rsidR="00934FE6">
        <w:t>–</w:t>
      </w:r>
      <w:r w:rsidR="000C0A39">
        <w:t xml:space="preserve"> m</w:t>
      </w:r>
      <w:r>
        <w:t>imo oferowanych zachęt</w:t>
      </w:r>
      <w:r w:rsidR="000C0A39">
        <w:t xml:space="preserve"> aktywnie oszczędza</w:t>
      </w:r>
      <w:r w:rsidR="005365BF">
        <w:t>ło w nim mniej niż milion osób.</w:t>
      </w:r>
      <w:r w:rsidR="000C0A39">
        <w:t xml:space="preserve"> </w:t>
      </w:r>
      <w:r w:rsidR="00864F05">
        <w:t>K</w:t>
      </w:r>
      <w:r w:rsidR="000C0A39">
        <w:t>oniecznym było poszukiwani</w:t>
      </w:r>
      <w:r w:rsidR="00864F05">
        <w:t>e</w:t>
      </w:r>
      <w:r w:rsidR="000C0A39">
        <w:t xml:space="preserve"> innego rozwiązania, które zachęci Polaków do oszczędzania na cele emerytalne. </w:t>
      </w:r>
      <w:r w:rsidR="00670C55">
        <w:t>Mając na uwadze doświadczenia innych państw</w:t>
      </w:r>
      <w:r w:rsidR="00CF2819">
        <w:t>,</w:t>
      </w:r>
      <w:r w:rsidR="00670C55">
        <w:t xml:space="preserve"> zdecydowano o zastosowaniu mechanizmu opartego o autozapis. R</w:t>
      </w:r>
      <w:r w:rsidR="000C0A39">
        <w:t xml:space="preserve">ozszerzenie trzeciego filaru o pracownicze plany kapitałowe </w:t>
      </w:r>
      <w:r w:rsidR="00670C55">
        <w:t xml:space="preserve">zdecydowanie </w:t>
      </w:r>
      <w:r w:rsidR="00B31E8C">
        <w:t xml:space="preserve">zwiększyło zainteresowanie Polaków gromadzeniem dobrowolnym środków na przyszłą emeryturę </w:t>
      </w:r>
      <w:r w:rsidR="00934FE6">
        <w:t>–</w:t>
      </w:r>
      <w:r w:rsidR="00B31E8C">
        <w:t xml:space="preserve"> p</w:t>
      </w:r>
      <w:r w:rsidR="000C0A39" w:rsidRPr="00E26980">
        <w:t xml:space="preserve">o niespełna czterech latach z możliwości oszczędzania w PPK </w:t>
      </w:r>
      <w:r w:rsidR="000C0A39" w:rsidRPr="002C51A3">
        <w:t xml:space="preserve">korzysta 2,44 mln </w:t>
      </w:r>
      <w:r w:rsidR="002263F6">
        <w:t>osób.</w:t>
      </w:r>
      <w:r w:rsidR="002263F6" w:rsidRPr="002263F6">
        <w:t xml:space="preserve"> </w:t>
      </w:r>
      <w:r w:rsidR="003A39A7">
        <w:t xml:space="preserve">Wartość aktywów netto zgromadzonych na koniec pierwszego półrocza 2022 r. wynosiła blisko 9 mld. </w:t>
      </w:r>
      <w:r w:rsidR="002263F6" w:rsidRPr="00076A15">
        <w:t>Dzięki</w:t>
      </w:r>
      <w:r w:rsidR="002263F6">
        <w:t xml:space="preserve"> PPK</w:t>
      </w:r>
      <w:r w:rsidR="002263F6" w:rsidRPr="00076A15">
        <w:t xml:space="preserve"> długoterminowe inwestowanie jest dostępne także dla osób z małym doświadczeniem i mniejszą </w:t>
      </w:r>
      <w:r w:rsidR="002263F6" w:rsidRPr="00076A15">
        <w:lastRenderedPageBreak/>
        <w:t>wiedzą o rynku kapitałowym</w:t>
      </w:r>
      <w:r w:rsidR="002263F6">
        <w:t xml:space="preserve"> – inwestycja w PPK nie wymaga od oszczędzającego na cele emerytalne uczestnika żadnych działań.</w:t>
      </w:r>
      <w:r w:rsidR="003A39A7">
        <w:t xml:space="preserve"> Jednocześnie PPK cechuje się niskim poziomem opłat za </w:t>
      </w:r>
      <w:r w:rsidR="00B009F5">
        <w:t>obsługę.</w:t>
      </w:r>
    </w:p>
    <w:p w14:paraId="72AD955E" w14:textId="34BCE153" w:rsidR="00DD487C" w:rsidRPr="00E26366" w:rsidRDefault="00DD487C" w:rsidP="00BF633E">
      <w:pPr>
        <w:spacing w:before="120" w:after="6" w:line="288" w:lineRule="auto"/>
        <w:jc w:val="both"/>
      </w:pPr>
      <w:r>
        <w:t xml:space="preserve">W 2023 roku będzie miał miejsce pierwszy tzw. ponowny autozapis do PPK. </w:t>
      </w:r>
      <w:r w:rsidRPr="008D7A62">
        <w:t xml:space="preserve">Odpowiednie przygotowanie się do </w:t>
      </w:r>
      <w:r>
        <w:t>niego</w:t>
      </w:r>
      <w:r w:rsidRPr="008D7A62">
        <w:t xml:space="preserve"> jest obecnie najistotniejszym wyzwaniem dla rynku PPK. To olbrzymia szansa </w:t>
      </w:r>
      <w:r>
        <w:t>na</w:t>
      </w:r>
      <w:r w:rsidRPr="008D7A62">
        <w:t xml:space="preserve"> </w:t>
      </w:r>
      <w:r>
        <w:t>zwiększenie uczestnictwa</w:t>
      </w:r>
      <w:r w:rsidRPr="008D7A62">
        <w:t xml:space="preserve"> </w:t>
      </w:r>
      <w:r>
        <w:t>w</w:t>
      </w:r>
      <w:r w:rsidRPr="008D7A62">
        <w:t xml:space="preserve"> </w:t>
      </w:r>
      <w:r w:rsidR="005365BF">
        <w:t xml:space="preserve">PPK i wzrost </w:t>
      </w:r>
      <w:r>
        <w:t>aktywów funduszy zdefiniowanej daty, co umożliwi pełniejszą realizację przyjętych celów programu. Doświadczenia uzyskane podczas tzw. ponownego autozapisu w 2023 roku pozwolą wyznaczyć kierunki pożądanych zmian w PPK, które mogą przełożyć się na potencjalne postulaty legislacyjne.</w:t>
      </w:r>
    </w:p>
    <w:p w14:paraId="0848382E" w14:textId="77777777" w:rsidR="000178B8" w:rsidRDefault="000178B8" w:rsidP="00FC1C49">
      <w:pPr>
        <w:spacing w:before="6" w:after="6" w:line="288" w:lineRule="auto"/>
        <w:jc w:val="both"/>
      </w:pPr>
    </w:p>
    <w:p w14:paraId="559FE818" w14:textId="77777777" w:rsidR="00374127" w:rsidRPr="00592FA8" w:rsidRDefault="00863F2E" w:rsidP="00374127">
      <w:pPr>
        <w:spacing w:before="6" w:after="6" w:line="288" w:lineRule="auto"/>
        <w:jc w:val="both"/>
      </w:pPr>
      <w:r>
        <w:t>Prezentowana informacja zawiera</w:t>
      </w:r>
      <w:r w:rsidR="00374127" w:rsidRPr="00592FA8">
        <w:t xml:space="preserve"> m.in. omówienie:</w:t>
      </w:r>
    </w:p>
    <w:p w14:paraId="7297C113" w14:textId="77777777" w:rsidR="00374127" w:rsidRPr="00592FA8" w:rsidRDefault="00374127">
      <w:pPr>
        <w:numPr>
          <w:ilvl w:val="0"/>
          <w:numId w:val="33"/>
        </w:numPr>
        <w:spacing w:before="6" w:after="6" w:line="288" w:lineRule="auto"/>
        <w:jc w:val="both"/>
      </w:pPr>
      <w:r w:rsidRPr="00592FA8">
        <w:t>genezy programu, w tym wskazanie celów</w:t>
      </w:r>
      <w:r w:rsidR="006B32F8">
        <w:t>,</w:t>
      </w:r>
      <w:r w:rsidRPr="00592FA8">
        <w:t xml:space="preserve"> jakie przyświecały ustawodawcy,</w:t>
      </w:r>
    </w:p>
    <w:p w14:paraId="42D6E65F" w14:textId="28BC9AF3" w:rsidR="00374127" w:rsidRPr="00592FA8" w:rsidRDefault="00374127">
      <w:pPr>
        <w:numPr>
          <w:ilvl w:val="0"/>
          <w:numId w:val="33"/>
        </w:numPr>
        <w:spacing w:before="6" w:after="6" w:line="288" w:lineRule="auto"/>
        <w:jc w:val="both"/>
      </w:pPr>
      <w:r w:rsidRPr="00592FA8">
        <w:t>doświadczeń płynących z zagranicznych programów opartych na autozapisie, na który</w:t>
      </w:r>
      <w:r w:rsidR="005365BF">
        <w:t xml:space="preserve">ch wzorowano się tworząc PPK, </w:t>
      </w:r>
    </w:p>
    <w:p w14:paraId="495096B7" w14:textId="77777777" w:rsidR="00374127" w:rsidRPr="00592FA8" w:rsidRDefault="00374127">
      <w:pPr>
        <w:numPr>
          <w:ilvl w:val="0"/>
          <w:numId w:val="33"/>
        </w:numPr>
        <w:spacing w:before="6" w:after="6" w:line="288" w:lineRule="auto"/>
        <w:jc w:val="both"/>
      </w:pPr>
      <w:r w:rsidRPr="00592FA8">
        <w:t>zasad funkcjonowania pracowniczych planów kapitałowych z punktu widzenia pracodawców, uczestników programu i instytucji finansowych zarządzających PPK</w:t>
      </w:r>
      <w:r w:rsidR="006B32F8">
        <w:t>,</w:t>
      </w:r>
      <w:r w:rsidRPr="00592FA8">
        <w:t xml:space="preserve"> z zaznaczeniem różnic między tym programem a innymi – podobnymi co do celu</w:t>
      </w:r>
      <w:r w:rsidR="006B32F8">
        <w:t xml:space="preserve"> </w:t>
      </w:r>
      <w:r w:rsidRPr="00592FA8">
        <w:t>– oferowanymi w Polsce formami długoterminowego oszczędzania na okres po zakończeniu aktywności zawodowej</w:t>
      </w:r>
      <w:r w:rsidR="006B32F8">
        <w:t>,</w:t>
      </w:r>
    </w:p>
    <w:p w14:paraId="33B2B9E8" w14:textId="77777777" w:rsidR="00374127" w:rsidRPr="00592FA8" w:rsidRDefault="00374127">
      <w:pPr>
        <w:numPr>
          <w:ilvl w:val="0"/>
          <w:numId w:val="33"/>
        </w:numPr>
        <w:spacing w:before="6" w:after="6" w:line="288" w:lineRule="auto"/>
        <w:jc w:val="both"/>
      </w:pPr>
      <w:r w:rsidRPr="00592FA8">
        <w:t>wniosków płynących z doświadczeń prawie 4 l</w:t>
      </w:r>
      <w:r w:rsidR="006F2C83">
        <w:t>at</w:t>
      </w:r>
      <w:r w:rsidRPr="00592FA8">
        <w:t xml:space="preserve"> funkcjonowania tego programu</w:t>
      </w:r>
      <w:r w:rsidR="006B32F8">
        <w:t>,</w:t>
      </w:r>
    </w:p>
    <w:p w14:paraId="6A92C16F" w14:textId="0AFE7A06" w:rsidR="00374127" w:rsidRPr="00592FA8" w:rsidRDefault="00374127">
      <w:pPr>
        <w:numPr>
          <w:ilvl w:val="0"/>
          <w:numId w:val="33"/>
        </w:numPr>
        <w:spacing w:before="6" w:after="6" w:line="288" w:lineRule="auto"/>
        <w:jc w:val="both"/>
      </w:pPr>
      <w:r w:rsidRPr="00592FA8">
        <w:t>dotychczasow</w:t>
      </w:r>
      <w:r w:rsidR="005D1A67">
        <w:t>ych</w:t>
      </w:r>
      <w:r w:rsidRPr="00592FA8">
        <w:t xml:space="preserve"> zmian wprowadzon</w:t>
      </w:r>
      <w:r w:rsidR="005D1A67">
        <w:t>ych</w:t>
      </w:r>
      <w:r w:rsidRPr="00592FA8">
        <w:t xml:space="preserve"> w ustawie o pracowniczych planach kapitałowych oraz wskazanie obszarów, które </w:t>
      </w:r>
      <w:r w:rsidR="00934FE6">
        <w:t>–</w:t>
      </w:r>
      <w:r w:rsidRPr="00592FA8">
        <w:t xml:space="preserve"> jak pokazuje praktyka </w:t>
      </w:r>
      <w:r w:rsidR="00934FE6">
        <w:t>–</w:t>
      </w:r>
      <w:r w:rsidRPr="00592FA8">
        <w:t xml:space="preserve"> wymagają jeszcze modyfikacji, aby</w:t>
      </w:r>
      <w:r w:rsidR="00272518">
        <w:t> </w:t>
      </w:r>
      <w:r w:rsidRPr="00592FA8">
        <w:t>ułatwić pracodawcom i instytucjom finansowym prowadzenie programu.</w:t>
      </w:r>
    </w:p>
    <w:p w14:paraId="1B13BC75" w14:textId="77777777" w:rsidR="005B3119" w:rsidRPr="00592FA8" w:rsidRDefault="005B3119" w:rsidP="005D0765">
      <w:pPr>
        <w:spacing w:before="6" w:after="6" w:line="288" w:lineRule="auto"/>
        <w:jc w:val="both"/>
        <w:rPr>
          <w:b/>
          <w:bCs/>
          <w:i/>
          <w:iCs/>
        </w:rPr>
      </w:pPr>
    </w:p>
    <w:p w14:paraId="5F319504" w14:textId="5F9BFF23" w:rsidR="004F2940" w:rsidRDefault="00863F2E">
      <w:pPr>
        <w:pStyle w:val="Nagwek1"/>
        <w:numPr>
          <w:ilvl w:val="0"/>
          <w:numId w:val="22"/>
        </w:numPr>
        <w:spacing w:before="6" w:after="6" w:line="288" w:lineRule="auto"/>
        <w:jc w:val="both"/>
      </w:pPr>
      <w:bookmarkStart w:id="3" w:name="_Toc121828600"/>
      <w:r>
        <w:t xml:space="preserve">Wprowadzenie </w:t>
      </w:r>
      <w:r w:rsidR="00934FE6">
        <w:t>–</w:t>
      </w:r>
      <w:r>
        <w:t xml:space="preserve"> g</w:t>
      </w:r>
      <w:r w:rsidR="004F2940" w:rsidRPr="004F2940">
        <w:t>eneza ustawy z 4 października 2018 r. o</w:t>
      </w:r>
      <w:r w:rsidR="00272518">
        <w:t> </w:t>
      </w:r>
      <w:r w:rsidR="004F2940" w:rsidRPr="004F2940">
        <w:t>pracowniczych planach kapitałowych</w:t>
      </w:r>
      <w:bookmarkEnd w:id="3"/>
      <w:r w:rsidR="004F2940" w:rsidRPr="004F2940">
        <w:t xml:space="preserve"> </w:t>
      </w:r>
    </w:p>
    <w:p w14:paraId="0C2EA35B" w14:textId="77777777" w:rsidR="003337F6" w:rsidRPr="003337F6" w:rsidRDefault="003337F6" w:rsidP="005D0765"/>
    <w:p w14:paraId="743D98EC" w14:textId="77777777" w:rsidR="0029150C" w:rsidRPr="00C92FAA" w:rsidRDefault="004F2940">
      <w:pPr>
        <w:pStyle w:val="Nagwek2"/>
        <w:numPr>
          <w:ilvl w:val="0"/>
          <w:numId w:val="23"/>
        </w:numPr>
        <w:spacing w:before="6" w:after="6" w:line="288" w:lineRule="auto"/>
        <w:jc w:val="both"/>
      </w:pPr>
      <w:bookmarkStart w:id="4" w:name="_Toc121828601"/>
      <w:r w:rsidRPr="00C92FAA">
        <w:t>System emerytalny w Polsce</w:t>
      </w:r>
      <w:bookmarkEnd w:id="4"/>
      <w:r w:rsidRPr="00C92FAA">
        <w:t xml:space="preserve"> </w:t>
      </w:r>
    </w:p>
    <w:p w14:paraId="7A207EC8" w14:textId="180DD4A5" w:rsidR="00094801" w:rsidRDefault="0029150C" w:rsidP="005D0765">
      <w:pPr>
        <w:spacing w:before="6" w:after="6" w:line="288" w:lineRule="auto"/>
        <w:jc w:val="both"/>
      </w:pPr>
      <w:r w:rsidRPr="0029150C">
        <w:t>Do 1998 r</w:t>
      </w:r>
      <w:r w:rsidR="006C1FF4">
        <w:t>oku</w:t>
      </w:r>
      <w:r w:rsidRPr="0029150C">
        <w:t xml:space="preserve"> obowiązywał w Polsce </w:t>
      </w:r>
      <w:r w:rsidR="00205AC5">
        <w:t xml:space="preserve">tzw. </w:t>
      </w:r>
      <w:r w:rsidRPr="0029150C">
        <w:t xml:space="preserve">system repartycyjny o zdefiniowanym świadczeniu. Oznacza to, że bieżące </w:t>
      </w:r>
      <w:r w:rsidR="00205AC5">
        <w:t xml:space="preserve">wypłaty dla </w:t>
      </w:r>
      <w:r w:rsidRPr="0029150C">
        <w:t>emerytów były pokrywane ze składek osób pracujących</w:t>
      </w:r>
      <w:r w:rsidR="00521582">
        <w:t>,</w:t>
      </w:r>
      <w:r w:rsidRPr="0029150C">
        <w:t xml:space="preserve"> a wysokość emerytury zależała od wysokości zarobków z wybranych lat i okresu podlegania ubezpieczeniom. System</w:t>
      </w:r>
      <w:r w:rsidR="00D9790D">
        <w:t xml:space="preserve"> ten</w:t>
      </w:r>
      <w:r w:rsidRPr="0029150C">
        <w:t xml:space="preserve"> charakteryzował</w:t>
      </w:r>
      <w:r w:rsidR="00BB3911">
        <w:t>y</w:t>
      </w:r>
      <w:r w:rsidRPr="0029150C">
        <w:t xml:space="preserve"> </w:t>
      </w:r>
      <w:r w:rsidR="00407C71">
        <w:t>liczne</w:t>
      </w:r>
      <w:r w:rsidRPr="0029150C">
        <w:t xml:space="preserve"> zachęt</w:t>
      </w:r>
      <w:r w:rsidR="00407C71">
        <w:t>y</w:t>
      </w:r>
      <w:r w:rsidRPr="0029150C">
        <w:t xml:space="preserve"> do wcześniejszej dezaktywizacji zawodowej i przywileje emerytalne dla różnych grup zawodowych. W łatwy sposób można było nabyć prawo do wcześniejszej emerytury, a wysokość pobieranego świadczenia nie była </w:t>
      </w:r>
      <w:r w:rsidR="00205AC5">
        <w:t xml:space="preserve">ściśle </w:t>
      </w:r>
      <w:r w:rsidRPr="0029150C">
        <w:t>powiązana z sumą wpłaconych składek.</w:t>
      </w:r>
      <w:r w:rsidR="009D4D78">
        <w:rPr>
          <w:rStyle w:val="Odwoanieprzypisudolnego"/>
        </w:rPr>
        <w:footnoteReference w:id="2"/>
      </w:r>
      <w:r w:rsidR="00EE4274" w:rsidRPr="004B6D6C">
        <w:rPr>
          <w:vertAlign w:val="superscript"/>
        </w:rPr>
        <w:t>)</w:t>
      </w:r>
    </w:p>
    <w:p w14:paraId="4BACB1F8" w14:textId="11C47144" w:rsidR="0029150C" w:rsidRPr="0029150C" w:rsidRDefault="0029150C" w:rsidP="005D0765">
      <w:pPr>
        <w:spacing w:before="6" w:after="6" w:line="288" w:lineRule="auto"/>
        <w:jc w:val="both"/>
      </w:pPr>
      <w:r w:rsidRPr="0029150C">
        <w:t>Szerokie zastosowanie w polskim systemie instytucji wcześniejszej emerytury przyczyniło się</w:t>
      </w:r>
      <w:r w:rsidR="00272518">
        <w:t> </w:t>
      </w:r>
      <w:r w:rsidRPr="0029150C">
        <w:t>do</w:t>
      </w:r>
      <w:r w:rsidR="00272518">
        <w:t> </w:t>
      </w:r>
      <w:r w:rsidRPr="0029150C">
        <w:t>obniżenia się w Polsce rzeczywistego wieku przejścia na emeryturę. Pomimo obowiązującego wieku emerytalnego 60 lat dla kobiet i 65 dla mężczyzn – efektywny wiek emerytalny był o około 5 lat niższy. W warunkach obserwowanego od połowy lat dziewięćdziesiątych stosunkowo szybkiego tempa wydłużania się przeciętnej długości życia w naszym kraju</w:t>
      </w:r>
      <w:r w:rsidR="00351389">
        <w:t>,</w:t>
      </w:r>
      <w:r w:rsidRPr="0029150C">
        <w:t xml:space="preserve"> miało to istotne przełożenie na sytuację </w:t>
      </w:r>
      <w:r w:rsidRPr="0029150C">
        <w:lastRenderedPageBreak/>
        <w:t>finansową systemu ubezpieczeń społecznych.</w:t>
      </w:r>
      <w:r w:rsidR="00533F57">
        <w:rPr>
          <w:rStyle w:val="Odwoanieprzypisudolnego"/>
        </w:rPr>
        <w:footnoteReference w:id="3"/>
      </w:r>
      <w:r w:rsidR="00EE4274" w:rsidRPr="004B6D6C">
        <w:rPr>
          <w:vertAlign w:val="superscript"/>
        </w:rPr>
        <w:t>)</w:t>
      </w:r>
      <w:r w:rsidRPr="0029150C">
        <w:t xml:space="preserve"> Zmniejszał się bowiem okres płacenia składek i</w:t>
      </w:r>
      <w:r w:rsidR="00272518">
        <w:t> </w:t>
      </w:r>
      <w:r w:rsidRPr="0029150C">
        <w:t>wydłużał okres pobierania świadczeń</w:t>
      </w:r>
      <w:r w:rsidR="00B8313E">
        <w:t xml:space="preserve"> </w:t>
      </w:r>
      <w:r w:rsidR="00934FE6">
        <w:t>–</w:t>
      </w:r>
      <w:r w:rsidRPr="0029150C">
        <w:t xml:space="preserve"> tym samym wydatki na emerytury stale rosły, a systemowi groziła utrata stabilności finansowej. </w:t>
      </w:r>
    </w:p>
    <w:p w14:paraId="3B3465EA" w14:textId="65FAEDA5" w:rsidR="0029150C" w:rsidRPr="005D0765" w:rsidRDefault="0029150C" w:rsidP="005D0765">
      <w:pPr>
        <w:spacing w:before="6" w:after="6" w:line="288" w:lineRule="auto"/>
        <w:jc w:val="both"/>
        <w:rPr>
          <w:strike/>
        </w:rPr>
      </w:pPr>
      <w:r w:rsidRPr="0029150C">
        <w:t>W 1999 roku</w:t>
      </w:r>
      <w:r w:rsidR="002408D8">
        <w:t>,</w:t>
      </w:r>
      <w:r w:rsidRPr="0029150C">
        <w:t xml:space="preserve"> w wyniku tzw. dużej reformy systemu emerytalnego</w:t>
      </w:r>
      <w:r w:rsidRPr="00EE4274">
        <w:rPr>
          <w:vertAlign w:val="superscript"/>
        </w:rPr>
        <w:footnoteReference w:id="4"/>
      </w:r>
      <w:r w:rsidR="00EE4274" w:rsidRPr="004B6D6C">
        <w:rPr>
          <w:vertAlign w:val="superscript"/>
        </w:rPr>
        <w:t>)</w:t>
      </w:r>
      <w:r w:rsidR="002408D8">
        <w:t>,</w:t>
      </w:r>
      <w:r w:rsidRPr="0029150C">
        <w:t xml:space="preserve"> zastąpiono system o</w:t>
      </w:r>
      <w:r w:rsidR="007F3ED8">
        <w:t> </w:t>
      </w:r>
      <w:r w:rsidRPr="0029150C">
        <w:t xml:space="preserve">zdefiniowanym świadczeniu systemem o zdefiniowanej składce, uzależniając tym samym </w:t>
      </w:r>
      <w:r w:rsidR="00714901">
        <w:t xml:space="preserve">bardzo ściśle </w:t>
      </w:r>
      <w:r w:rsidRPr="0029150C">
        <w:t>wysokość przyszłych świadczeń emerytalnych od wysokości wpłaconych składek oraz dalszego oczekiwanego trwania życia</w:t>
      </w:r>
      <w:r w:rsidR="0069306E">
        <w:t xml:space="preserve"> </w:t>
      </w:r>
      <w:r w:rsidR="00934FE6">
        <w:t>–</w:t>
      </w:r>
      <w:r w:rsidRPr="0029150C">
        <w:t xml:space="preserve"> w myśl zasady, że im dłużej pracujesz i więcej odłożysz oraz im jesteś starszy w chwili przejścia na emeryturę</w:t>
      </w:r>
      <w:r w:rsidR="0069306E">
        <w:t>,</w:t>
      </w:r>
      <w:r w:rsidRPr="0029150C">
        <w:t xml:space="preserve"> tym wyższe będzie twoje świadczenie. Stworzono system o</w:t>
      </w:r>
      <w:r w:rsidR="00BF633E">
        <w:t> </w:t>
      </w:r>
      <w:r w:rsidRPr="0029150C">
        <w:t xml:space="preserve">mieszanym finansowaniu, </w:t>
      </w:r>
      <w:r w:rsidR="00714901">
        <w:t xml:space="preserve">który docelowo miał się składać z </w:t>
      </w:r>
      <w:r w:rsidRPr="0029150C">
        <w:t>trz</w:t>
      </w:r>
      <w:r w:rsidR="005565FB">
        <w:t>ech</w:t>
      </w:r>
      <w:r w:rsidRPr="0029150C">
        <w:t xml:space="preserve"> tzw. filar</w:t>
      </w:r>
      <w:r w:rsidR="005565FB">
        <w:t>ów</w:t>
      </w:r>
      <w:r w:rsidRPr="0029150C">
        <w:t xml:space="preserve"> </w:t>
      </w:r>
      <w:r w:rsidR="00934FE6">
        <w:t>–</w:t>
      </w:r>
      <w:r w:rsidRPr="0029150C">
        <w:t xml:space="preserve"> dw</w:t>
      </w:r>
      <w:r w:rsidR="005565FB">
        <w:t>óch</w:t>
      </w:r>
      <w:r w:rsidRPr="0029150C">
        <w:t xml:space="preserve"> publiczn</w:t>
      </w:r>
      <w:r w:rsidR="005565FB">
        <w:t>ych</w:t>
      </w:r>
      <w:r w:rsidRPr="0029150C">
        <w:t xml:space="preserve"> i obowiązkow</w:t>
      </w:r>
      <w:r w:rsidR="005565FB">
        <w:t>ych</w:t>
      </w:r>
      <w:r w:rsidRPr="0029150C">
        <w:t xml:space="preserve"> </w:t>
      </w:r>
      <w:r w:rsidR="0082057E">
        <w:t>oraz</w:t>
      </w:r>
      <w:r w:rsidRPr="0029150C">
        <w:t xml:space="preserve"> jed</w:t>
      </w:r>
      <w:r w:rsidR="005565FB">
        <w:t>nego</w:t>
      </w:r>
      <w:r w:rsidRPr="0029150C">
        <w:t xml:space="preserve"> dobrowoln</w:t>
      </w:r>
      <w:r w:rsidR="005565FB">
        <w:t>ego</w:t>
      </w:r>
      <w:r w:rsidRPr="0029150C">
        <w:t xml:space="preserve">. Pierwszy (większy) </w:t>
      </w:r>
      <w:r w:rsidR="00934FE6">
        <w:t>–</w:t>
      </w:r>
      <w:r w:rsidR="00AA526F">
        <w:t xml:space="preserve"> </w:t>
      </w:r>
      <w:r w:rsidRPr="0029150C">
        <w:t xml:space="preserve">repartycyjny, w całości zarządzany przez Zakład Ubezpieczeń Społecznych (składki ewidencjonowane na utworzonych przez ZUS indywidualnych kontach ubezpieczonych). Drugi (mniejszy) </w:t>
      </w:r>
      <w:r w:rsidR="00934FE6">
        <w:t>–</w:t>
      </w:r>
      <w:r w:rsidR="00BF5EE2">
        <w:t xml:space="preserve"> </w:t>
      </w:r>
      <w:r w:rsidRPr="0029150C">
        <w:t>kapitałowy, w którym składki za</w:t>
      </w:r>
      <w:r w:rsidR="00BF633E">
        <w:t> </w:t>
      </w:r>
      <w:r w:rsidRPr="0029150C">
        <w:t xml:space="preserve">pośrednictwem ZUS przekazywane </w:t>
      </w:r>
      <w:r w:rsidR="00E42C0A">
        <w:t>były</w:t>
      </w:r>
      <w:r w:rsidRPr="0029150C">
        <w:t xml:space="preserve"> do otwartych funduszy emerytalnych</w:t>
      </w:r>
      <w:r w:rsidR="00714901">
        <w:t xml:space="preserve"> (OFE)</w:t>
      </w:r>
      <w:r w:rsidRPr="0029150C">
        <w:t xml:space="preserve">, zarządzanych przez Powszechne Towarzystwa Emerytalne. Trzeci filar </w:t>
      </w:r>
      <w:r w:rsidR="001A6538">
        <w:t>to</w:t>
      </w:r>
      <w:r w:rsidRPr="0029150C">
        <w:t xml:space="preserve"> dodatkowe formy oszczędzania na starość</w:t>
      </w:r>
      <w:r w:rsidR="000B0D77">
        <w:t>,</w:t>
      </w:r>
      <w:r w:rsidR="000E0FC2">
        <w:t xml:space="preserve"> </w:t>
      </w:r>
      <w:r w:rsidR="008960F5" w:rsidRPr="008960F5">
        <w:t>o uczestnictwie w których decyzję podej</w:t>
      </w:r>
      <w:r w:rsidR="00714901">
        <w:t>muje się</w:t>
      </w:r>
      <w:r w:rsidR="008960F5" w:rsidRPr="008960F5">
        <w:t xml:space="preserve"> samodzielnie</w:t>
      </w:r>
      <w:r w:rsidR="000D6C79">
        <w:t>.</w:t>
      </w:r>
      <w:r w:rsidRPr="005D0765">
        <w:rPr>
          <w:strike/>
        </w:rPr>
        <w:t xml:space="preserve"> </w:t>
      </w:r>
    </w:p>
    <w:p w14:paraId="64368E48" w14:textId="7C322B66" w:rsidR="0029150C" w:rsidRPr="0029150C" w:rsidRDefault="0029150C" w:rsidP="005D0765">
      <w:pPr>
        <w:spacing w:before="6" w:after="6" w:line="288" w:lineRule="auto"/>
        <w:jc w:val="both"/>
      </w:pPr>
      <w:r w:rsidRPr="0029150C">
        <w:t>Reforma objęła wszystkie osoby urodzone po 31 grudnia 1948 r. Przy czym osoby urodzone po</w:t>
      </w:r>
      <w:r w:rsidR="00BF633E">
        <w:t> </w:t>
      </w:r>
      <w:r w:rsidRPr="0029150C">
        <w:t>31</w:t>
      </w:r>
      <w:r w:rsidR="00BF633E">
        <w:t> </w:t>
      </w:r>
      <w:r w:rsidRPr="0029150C">
        <w:t>grudnia 1948 r.</w:t>
      </w:r>
      <w:r w:rsidR="00DB3E7B">
        <w:t>,</w:t>
      </w:r>
      <w:r w:rsidRPr="0029150C">
        <w:t xml:space="preserve"> ale przed 1 stycznia 1969 r.</w:t>
      </w:r>
      <w:r w:rsidR="00DB3E7B">
        <w:t>,</w:t>
      </w:r>
      <w:r w:rsidRPr="0029150C">
        <w:t xml:space="preserve"> mogły zdecydować, czy swoją składkę na</w:t>
      </w:r>
      <w:r w:rsidR="00BF633E">
        <w:t> </w:t>
      </w:r>
      <w:r w:rsidRPr="0029150C">
        <w:t>ubezpieczenie emerytalne w całości przekażą do ZUS czy też podzielą ją pomiędzy ZUS i OFE. Osoby urodzone przed 1 stycznia 1949 r. nie miały możliwości wyboru i pozostały w starym systemie emerytalnym.</w:t>
      </w:r>
      <w:r w:rsidR="000E71CC">
        <w:t xml:space="preserve"> </w:t>
      </w:r>
      <w:r w:rsidRPr="0029150C">
        <w:t>W</w:t>
      </w:r>
      <w:r w:rsidR="009B31EC">
        <w:t> </w:t>
      </w:r>
      <w:r w:rsidRPr="0029150C">
        <w:t>przypadku wszystkich pracowników, którzy rozpoczęli pracę przed 1999 r</w:t>
      </w:r>
      <w:r w:rsidR="00EF12EE">
        <w:t>okiem</w:t>
      </w:r>
      <w:r w:rsidR="007F5F72">
        <w:t>,</w:t>
      </w:r>
      <w:r w:rsidRPr="0029150C">
        <w:t xml:space="preserve"> składki wpłacone przez nich do 1999 r</w:t>
      </w:r>
      <w:r w:rsidR="00EC6C89">
        <w:t>oku</w:t>
      </w:r>
      <w:r w:rsidRPr="0029150C">
        <w:t xml:space="preserve"> zostały uwzględnione </w:t>
      </w:r>
      <w:r w:rsidR="007F5F72">
        <w:t>(</w:t>
      </w:r>
      <w:r w:rsidRPr="0029150C">
        <w:t>jako tzw. kapitał początkowy</w:t>
      </w:r>
      <w:r w:rsidR="007F5F72">
        <w:t>)</w:t>
      </w:r>
      <w:r w:rsidRPr="0029150C">
        <w:t xml:space="preserve"> i</w:t>
      </w:r>
      <w:r w:rsidR="00BF633E">
        <w:t> </w:t>
      </w:r>
      <w:r w:rsidRPr="0029150C">
        <w:t>zwiększyły indywidualne konta tych osób w ZUS.</w:t>
      </w:r>
    </w:p>
    <w:p w14:paraId="1BFD5CEA" w14:textId="5A477C2E" w:rsidR="0029150C" w:rsidRPr="0029150C" w:rsidRDefault="0029150C" w:rsidP="005D0765">
      <w:pPr>
        <w:spacing w:before="6" w:after="6" w:line="288" w:lineRule="auto"/>
        <w:jc w:val="both"/>
      </w:pPr>
      <w:r w:rsidRPr="0029150C">
        <w:t>W nowym systemie składk</w:t>
      </w:r>
      <w:r w:rsidR="007F57E0">
        <w:t>ę</w:t>
      </w:r>
      <w:r w:rsidRPr="0029150C">
        <w:t xml:space="preserve"> emerytaln</w:t>
      </w:r>
      <w:r w:rsidR="007F57E0">
        <w:t>ą</w:t>
      </w:r>
      <w:r w:rsidR="00A9729A">
        <w:t>,</w:t>
      </w:r>
      <w:r w:rsidRPr="0029150C">
        <w:t xml:space="preserve"> wynosząc</w:t>
      </w:r>
      <w:r w:rsidR="007F57E0">
        <w:t>ą</w:t>
      </w:r>
      <w:r w:rsidRPr="0029150C">
        <w:t xml:space="preserve"> 19,52% wynagrodzenia ubezpieczonego (finansowan</w:t>
      </w:r>
      <w:r w:rsidR="007F57E0">
        <w:t>ą</w:t>
      </w:r>
      <w:r w:rsidRPr="0029150C">
        <w:t xml:space="preserve"> po połowie przez pracownika i pracodawcę)</w:t>
      </w:r>
      <w:r w:rsidR="00A9729A">
        <w:t>,</w:t>
      </w:r>
      <w:r w:rsidRPr="0029150C">
        <w:t xml:space="preserve"> </w:t>
      </w:r>
      <w:r w:rsidRPr="0029150C" w:rsidDel="00B10960">
        <w:t>dzie</w:t>
      </w:r>
      <w:r w:rsidRPr="0029150C">
        <w:t>lon</w:t>
      </w:r>
      <w:r w:rsidR="007F57E0">
        <w:t>o</w:t>
      </w:r>
      <w:r w:rsidRPr="0029150C" w:rsidDel="00B10960">
        <w:t xml:space="preserve"> pomiędzy </w:t>
      </w:r>
      <w:r w:rsidR="009607AA" w:rsidDel="00B10960">
        <w:t>pierwszy</w:t>
      </w:r>
      <w:r w:rsidRPr="0029150C" w:rsidDel="00B10960">
        <w:t xml:space="preserve"> i </w:t>
      </w:r>
      <w:r w:rsidR="005365BF">
        <w:t>drugi</w:t>
      </w:r>
      <w:r w:rsidRPr="0029150C" w:rsidDel="00B10960">
        <w:t xml:space="preserve"> filar. </w:t>
      </w:r>
      <w:r w:rsidRPr="0029150C">
        <w:t>Do</w:t>
      </w:r>
      <w:r w:rsidR="005365BF">
        <w:t> </w:t>
      </w:r>
      <w:r w:rsidRPr="0029150C">
        <w:t>kwietnia 2011 r</w:t>
      </w:r>
      <w:r w:rsidR="00F83014">
        <w:t>oku</w:t>
      </w:r>
      <w:r w:rsidRPr="0029150C">
        <w:t xml:space="preserve"> 12,22% składki emerytalnej zasilało </w:t>
      </w:r>
      <w:r w:rsidR="00B941BE">
        <w:t>pierwszy</w:t>
      </w:r>
      <w:r w:rsidRPr="0029150C">
        <w:t xml:space="preserve"> filar, a pozostałe 7,3% składki emerytalnej było przekazywane do </w:t>
      </w:r>
      <w:bookmarkStart w:id="6" w:name="_Hlk112968593"/>
      <w:r w:rsidRPr="0029150C">
        <w:t xml:space="preserve">OFE. </w:t>
      </w:r>
      <w:bookmarkEnd w:id="6"/>
      <w:r w:rsidRPr="0029150C">
        <w:t xml:space="preserve">Od maja 2011 roku </w:t>
      </w:r>
      <w:r w:rsidR="00A43EAE">
        <w:t xml:space="preserve">zmniejszono tę wysokość </w:t>
      </w:r>
      <w:r w:rsidR="00934FE6">
        <w:t>–</w:t>
      </w:r>
      <w:r w:rsidR="00A43EAE">
        <w:t xml:space="preserve"> </w:t>
      </w:r>
      <w:r w:rsidRPr="0029150C">
        <w:t>2,3% trafiało do OFE</w:t>
      </w:r>
      <w:r w:rsidR="00324385">
        <w:t>,</w:t>
      </w:r>
      <w:r w:rsidRPr="0029150C">
        <w:t xml:space="preserve"> pozostała część składki przypadająca na </w:t>
      </w:r>
      <w:r w:rsidR="001307E5">
        <w:t>drugi</w:t>
      </w:r>
      <w:r w:rsidRPr="0029150C">
        <w:t xml:space="preserve"> filar </w:t>
      </w:r>
      <w:r w:rsidR="00940507">
        <w:t>była</w:t>
      </w:r>
      <w:r w:rsidRPr="0029150C">
        <w:t xml:space="preserve"> ewidencjonowana na specjalnych subkontach, wydzielonych w ramach </w:t>
      </w:r>
      <w:r w:rsidR="002F5CEF">
        <w:t xml:space="preserve">indywidualnych </w:t>
      </w:r>
      <w:r w:rsidRPr="0029150C">
        <w:t>kont ubezpieczon</w:t>
      </w:r>
      <w:r w:rsidR="006E36C1">
        <w:t>ych</w:t>
      </w:r>
      <w:r w:rsidR="00A43EAE">
        <w:t xml:space="preserve"> z ZUS</w:t>
      </w:r>
      <w:r w:rsidRPr="0029150C">
        <w:t xml:space="preserve">. Wysokość części składki </w:t>
      </w:r>
      <w:r w:rsidR="006A605C">
        <w:t xml:space="preserve">przekazywanej do OFE </w:t>
      </w:r>
      <w:r w:rsidRPr="0029150C">
        <w:t>miała być jednak sukcesywnie podwyższana i miała wynosić za okres: od</w:t>
      </w:r>
      <w:r w:rsidR="00BF633E">
        <w:t> </w:t>
      </w:r>
      <w:r w:rsidRPr="0029150C">
        <w:t>1</w:t>
      </w:r>
      <w:r w:rsidR="00A40C96">
        <w:t> </w:t>
      </w:r>
      <w:r w:rsidRPr="0029150C">
        <w:t>stycznia 2013</w:t>
      </w:r>
      <w:r w:rsidR="007F1C8D">
        <w:t xml:space="preserve"> r. do 31 grudnia 2013 r. – 2,8</w:t>
      </w:r>
      <w:r w:rsidRPr="0029150C">
        <w:t>%, od 1 stycznia do 31 grudnia 2014 r. – 3,1% oraz</w:t>
      </w:r>
      <w:r w:rsidR="00272518">
        <w:t> </w:t>
      </w:r>
      <w:r w:rsidRPr="0029150C">
        <w:t>od</w:t>
      </w:r>
      <w:r w:rsidR="00BF633E">
        <w:t> </w:t>
      </w:r>
      <w:r w:rsidRPr="0029150C">
        <w:t>1</w:t>
      </w:r>
      <w:r w:rsidR="00272518">
        <w:t> </w:t>
      </w:r>
      <w:r w:rsidRPr="0029150C">
        <w:t>stycznia 2015 r. do</w:t>
      </w:r>
      <w:r w:rsidR="008C1C74">
        <w:t xml:space="preserve"> </w:t>
      </w:r>
      <w:r w:rsidRPr="0029150C">
        <w:t xml:space="preserve">31 grudnia 2016 r. </w:t>
      </w:r>
      <w:r w:rsidR="00934FE6">
        <w:t>–</w:t>
      </w:r>
      <w:r w:rsidRPr="0029150C">
        <w:t xml:space="preserve"> 3,3%.</w:t>
      </w:r>
      <w:r w:rsidRPr="0029150C">
        <w:rPr>
          <w:vertAlign w:val="superscript"/>
        </w:rPr>
        <w:footnoteReference w:id="5"/>
      </w:r>
      <w:r w:rsidR="00EE4274" w:rsidRPr="004B6D6C">
        <w:rPr>
          <w:vertAlign w:val="superscript"/>
        </w:rPr>
        <w:t>)</w:t>
      </w:r>
      <w:r w:rsidRPr="0029150C">
        <w:t xml:space="preserve"> Jednak w 2014 r</w:t>
      </w:r>
      <w:r w:rsidR="005C4346">
        <w:t>oku</w:t>
      </w:r>
      <w:r w:rsidR="003E5FA1">
        <w:t>,</w:t>
      </w:r>
      <w:r w:rsidRPr="0029150C">
        <w:t xml:space="preserve"> na mocy ustawy wprowadzającej zasady wypłaty świadczeń ze środków zgromadzonych w </w:t>
      </w:r>
      <w:r w:rsidR="00A43EAE">
        <w:t>OFE</w:t>
      </w:r>
      <w:r w:rsidRPr="0029150C">
        <w:rPr>
          <w:vertAlign w:val="superscript"/>
        </w:rPr>
        <w:footnoteReference w:id="6"/>
      </w:r>
      <w:r w:rsidR="00EE4274" w:rsidRPr="004B6D6C">
        <w:rPr>
          <w:vertAlign w:val="superscript"/>
        </w:rPr>
        <w:t>)</w:t>
      </w:r>
      <w:r w:rsidRPr="0029150C">
        <w:t xml:space="preserve"> </w:t>
      </w:r>
      <w:r w:rsidR="00934FE6">
        <w:t>–</w:t>
      </w:r>
      <w:r w:rsidRPr="0029150C">
        <w:t xml:space="preserve"> obowiązującej od</w:t>
      </w:r>
      <w:r w:rsidR="00272518">
        <w:t> </w:t>
      </w:r>
      <w:r w:rsidRPr="0029150C">
        <w:t xml:space="preserve">połowy stycznia 2014 roku </w:t>
      </w:r>
      <w:r w:rsidR="00934FE6">
        <w:t>–</w:t>
      </w:r>
      <w:r w:rsidRPr="0029150C">
        <w:t xml:space="preserve"> jej wysokość została zmieniona po raz kolejny i do chwili obecnej wynosi 2,92% </w:t>
      </w:r>
      <w:r w:rsidR="00A43EAE">
        <w:t>podstawy wymiaru</w:t>
      </w:r>
      <w:r w:rsidRPr="0029150C">
        <w:t>.</w:t>
      </w:r>
    </w:p>
    <w:p w14:paraId="61E2410A" w14:textId="5314E295" w:rsidR="0029150C" w:rsidRDefault="0029150C" w:rsidP="00F57ACE">
      <w:pPr>
        <w:spacing w:before="6" w:after="6" w:line="288" w:lineRule="auto"/>
        <w:jc w:val="both"/>
      </w:pPr>
      <w:r w:rsidRPr="0029150C">
        <w:t>Wspomniana ustawa z 2014 roku</w:t>
      </w:r>
      <w:r w:rsidR="00940507">
        <w:t>,</w:t>
      </w:r>
      <w:r w:rsidRPr="0029150C">
        <w:t xml:space="preserve"> poza zmianą wysokości składki przekazywanej do OFE</w:t>
      </w:r>
      <w:r w:rsidR="00940507">
        <w:t>,</w:t>
      </w:r>
      <w:r w:rsidRPr="0029150C">
        <w:t xml:space="preserve"> wprowadziła </w:t>
      </w:r>
      <w:r w:rsidR="00A43EAE">
        <w:t xml:space="preserve">też </w:t>
      </w:r>
      <w:r w:rsidRPr="0029150C">
        <w:t xml:space="preserve">inne </w:t>
      </w:r>
      <w:r w:rsidR="00A43EAE">
        <w:t xml:space="preserve">fundamentalne </w:t>
      </w:r>
      <w:r w:rsidRPr="0029150C">
        <w:t xml:space="preserve">zmiany, które </w:t>
      </w:r>
      <w:r w:rsidR="00B7513C">
        <w:t xml:space="preserve">w bardzo istotny sposób </w:t>
      </w:r>
      <w:r w:rsidRPr="0029150C">
        <w:t>zmieniły kształt funkcjonującego systemu emerytalnego</w:t>
      </w:r>
      <w:r w:rsidR="00D848AB">
        <w:t>.</w:t>
      </w:r>
      <w:r w:rsidRPr="0029150C">
        <w:t xml:space="preserve"> </w:t>
      </w:r>
      <w:r w:rsidR="00D848AB">
        <w:t>D</w:t>
      </w:r>
      <w:r w:rsidRPr="0029150C">
        <w:t xml:space="preserve">o najważniejszych </w:t>
      </w:r>
      <w:r w:rsidR="00D848AB">
        <w:t>z tych zmian</w:t>
      </w:r>
      <w:r w:rsidRPr="0029150C">
        <w:t xml:space="preserve"> należ</w:t>
      </w:r>
      <w:r w:rsidR="003C54D9">
        <w:t>ało</w:t>
      </w:r>
      <w:r w:rsidRPr="0029150C">
        <w:t xml:space="preserve"> uszczuplenie środków w </w:t>
      </w:r>
      <w:r w:rsidR="00B7513C">
        <w:t xml:space="preserve">OFE </w:t>
      </w:r>
      <w:r w:rsidRPr="0029150C">
        <w:t xml:space="preserve">poprzez </w:t>
      </w:r>
      <w:r w:rsidR="00EC1253">
        <w:lastRenderedPageBreak/>
        <w:t xml:space="preserve">obowiązek </w:t>
      </w:r>
      <w:r w:rsidRPr="0029150C">
        <w:t>przekazani</w:t>
      </w:r>
      <w:r w:rsidR="00EC1253">
        <w:t>a</w:t>
      </w:r>
      <w:r w:rsidRPr="0029150C">
        <w:t xml:space="preserve"> części aktywów zgromadzonych w OFE do ZUS (OFE miały umorzyć 51,5%</w:t>
      </w:r>
      <w:r w:rsidR="00767A68">
        <w:t> </w:t>
      </w:r>
      <w:r w:rsidRPr="0029150C">
        <w:t>jednostek rozrachunkowych zapisanych na rachunku każdego członka na dzień 31 stycznia 2014</w:t>
      </w:r>
      <w:r w:rsidR="00767A68">
        <w:t> </w:t>
      </w:r>
      <w:r w:rsidRPr="0029150C">
        <w:t>r. i</w:t>
      </w:r>
      <w:r w:rsidR="00BF633E">
        <w:t> </w:t>
      </w:r>
      <w:r w:rsidRPr="0029150C">
        <w:t>przekazać do ZUS). Wprowadz</w:t>
      </w:r>
      <w:r w:rsidR="00D90AF8">
        <w:t>ono także</w:t>
      </w:r>
      <w:r w:rsidRPr="0029150C">
        <w:t xml:space="preserve"> dobrowolnoś</w:t>
      </w:r>
      <w:r w:rsidR="00D90AF8">
        <w:t>ć</w:t>
      </w:r>
      <w:r w:rsidRPr="0029150C">
        <w:t xml:space="preserve"> członkostwa w OFE. Od kwietnia 2014</w:t>
      </w:r>
      <w:r w:rsidR="00767A68">
        <w:t> </w:t>
      </w:r>
      <w:r w:rsidRPr="0029150C">
        <w:t>roku uczestnic</w:t>
      </w:r>
      <w:r w:rsidR="005365BF">
        <w:t xml:space="preserve">y systemu emerytalnego musieli </w:t>
      </w:r>
      <w:r w:rsidRPr="0029150C">
        <w:t>wybrać czy chcą, aby część ich składki emerytalnej trafiała do otwartych funduszy emerytalnych</w:t>
      </w:r>
      <w:r w:rsidR="00767A68">
        <w:t>,</w:t>
      </w:r>
      <w:r w:rsidRPr="0029150C">
        <w:t xml:space="preserve"> czy na subkonto w ZUS. Osoby, które nie podjęły żadnej decyzji, zostały „wypisane” z </w:t>
      </w:r>
      <w:r w:rsidR="00B7513C">
        <w:t xml:space="preserve">OFE </w:t>
      </w:r>
      <w:r w:rsidRPr="0029150C">
        <w:t xml:space="preserve">(pozostanie w </w:t>
      </w:r>
      <w:r w:rsidR="00B7513C">
        <w:t xml:space="preserve">funduszach </w:t>
      </w:r>
      <w:r w:rsidRPr="0029150C">
        <w:t>wymagało złożenia stosownego oświadczenia w</w:t>
      </w:r>
      <w:r w:rsidR="00BF633E">
        <w:t> </w:t>
      </w:r>
      <w:r w:rsidRPr="0029150C">
        <w:t xml:space="preserve">ZUS). Aktualni członkowie OFE pozostali nimi na dotychczasowych zasadach i nie tracili statusu członka funduszu emerytalnego. Wybór dotyczył przyszłych składek. Ustalono </w:t>
      </w:r>
      <w:r w:rsidR="00B7513C">
        <w:t>ponadto</w:t>
      </w:r>
      <w:r w:rsidR="00EF6844">
        <w:t>,</w:t>
      </w:r>
      <w:r w:rsidR="00606FFE">
        <w:t xml:space="preserve"> </w:t>
      </w:r>
      <w:r w:rsidRPr="0029150C">
        <w:t>że</w:t>
      </w:r>
      <w:r w:rsidR="00767A68">
        <w:t> </w:t>
      </w:r>
      <w:r w:rsidRPr="0029150C">
        <w:t>na</w:t>
      </w:r>
      <w:r w:rsidR="00767A68">
        <w:t> </w:t>
      </w:r>
      <w:r w:rsidRPr="0029150C">
        <w:t>10 lat przed osiągnięciem wieku emerytalnego środki gromadzone w OFE będą stopniow</w:t>
      </w:r>
      <w:r w:rsidR="00601CD2">
        <w:t>o</w:t>
      </w:r>
      <w:r w:rsidRPr="0029150C">
        <w:t xml:space="preserve"> przenoszone na subkonto w ZUS</w:t>
      </w:r>
      <w:r w:rsidR="007722FC">
        <w:t>,</w:t>
      </w:r>
      <w:r w:rsidRPr="0029150C">
        <w:t xml:space="preserve"> </w:t>
      </w:r>
      <w:r w:rsidR="00656D90">
        <w:t>w celu</w:t>
      </w:r>
      <w:r w:rsidRPr="0029150C">
        <w:t xml:space="preserve"> ogranicz</w:t>
      </w:r>
      <w:r w:rsidR="00656D90">
        <w:t>enia</w:t>
      </w:r>
      <w:r w:rsidRPr="0029150C">
        <w:t xml:space="preserve"> ich zmiennoś</w:t>
      </w:r>
      <w:r w:rsidR="00656D90">
        <w:t>ci</w:t>
      </w:r>
      <w:r w:rsidRPr="0029150C">
        <w:t xml:space="preserve"> tuż przed osiągnięciem wieku emerytalnego </w:t>
      </w:r>
      <w:r w:rsidR="00E1182C">
        <w:t>(</w:t>
      </w:r>
      <w:r w:rsidRPr="0029150C">
        <w:t>rozwiązanie to jest określane mianem „suwaka bezpieczeństwa”</w:t>
      </w:r>
      <w:r w:rsidR="00E1182C">
        <w:t>)</w:t>
      </w:r>
      <w:r w:rsidR="00564AA4">
        <w:t xml:space="preserve">, a </w:t>
      </w:r>
      <w:r w:rsidR="00564AA4" w:rsidRPr="00564AA4">
        <w:t xml:space="preserve">wypłatą emerytur ze środków gromadzonych w OFE </w:t>
      </w:r>
      <w:r w:rsidR="00601CD2">
        <w:t>będzie</w:t>
      </w:r>
      <w:r w:rsidR="00564AA4" w:rsidRPr="00564AA4">
        <w:t xml:space="preserve"> zajm</w:t>
      </w:r>
      <w:r w:rsidR="00601CD2">
        <w:t>ował</w:t>
      </w:r>
      <w:r w:rsidR="00564AA4" w:rsidRPr="00564AA4">
        <w:t xml:space="preserve"> się ZUS.</w:t>
      </w:r>
      <w:r w:rsidR="00B7513C">
        <w:t xml:space="preserve"> To definitywnie zmieniło system, gdyż</w:t>
      </w:r>
      <w:r w:rsidR="00767A68">
        <w:t> </w:t>
      </w:r>
      <w:r w:rsidR="00B7513C">
        <w:t>tzw.</w:t>
      </w:r>
      <w:r w:rsidR="00767A68">
        <w:t> </w:t>
      </w:r>
      <w:r w:rsidR="00B7513C">
        <w:t>ryzyko długowieczności i ciężar wypłaty całości świadczeń emerytalnych „wrócił” – jak to miało miejsce przed 1999 r</w:t>
      </w:r>
      <w:r w:rsidR="00EA4AC5">
        <w:t>okiem</w:t>
      </w:r>
      <w:r w:rsidR="00B7513C">
        <w:t xml:space="preserve"> – do ZUS.</w:t>
      </w:r>
    </w:p>
    <w:p w14:paraId="3FE61A23" w14:textId="4A133432" w:rsidR="00037B8A" w:rsidRDefault="00F645A3" w:rsidP="00F57ACE">
      <w:pPr>
        <w:spacing w:before="6" w:after="6" w:line="288" w:lineRule="auto"/>
        <w:jc w:val="both"/>
      </w:pPr>
      <w:r w:rsidRPr="00F645A3">
        <w:t>Poza oszczędzaniem środków na cele emerytalne za pośrednictwem ZUS</w:t>
      </w:r>
      <w:r w:rsidR="00037B8A">
        <w:t xml:space="preserve"> i OFE</w:t>
      </w:r>
      <w:r w:rsidRPr="00F645A3">
        <w:t xml:space="preserve"> Polacy mają również możliwość oszczędzania w programach organizowanych</w:t>
      </w:r>
      <w:r w:rsidR="005365BF">
        <w:t xml:space="preserve"> w miejscu pracy, takich jak </w:t>
      </w:r>
      <w:r w:rsidR="00934FE6">
        <w:t>–</w:t>
      </w:r>
      <w:r w:rsidR="005365BF">
        <w:t xml:space="preserve"> </w:t>
      </w:r>
      <w:r w:rsidR="00C94A0C">
        <w:t>p</w:t>
      </w:r>
      <w:r w:rsidRPr="00F645A3">
        <w:t xml:space="preserve">racownicze </w:t>
      </w:r>
      <w:r w:rsidR="00C94A0C">
        <w:t>p</w:t>
      </w:r>
      <w:r w:rsidRPr="00F645A3">
        <w:t xml:space="preserve">rogramy </w:t>
      </w:r>
      <w:r w:rsidR="00C94A0C">
        <w:t>e</w:t>
      </w:r>
      <w:r w:rsidRPr="00F645A3">
        <w:t xml:space="preserve">merytalne (PPE) </w:t>
      </w:r>
      <w:r w:rsidR="009578C7">
        <w:t>– powstałe w 199</w:t>
      </w:r>
      <w:r w:rsidR="000335A7">
        <w:t>9</w:t>
      </w:r>
      <w:r w:rsidR="009578C7">
        <w:t xml:space="preserve"> r</w:t>
      </w:r>
      <w:r w:rsidR="0029098D">
        <w:t>oku</w:t>
      </w:r>
      <w:r w:rsidR="009578C7">
        <w:t xml:space="preserve"> </w:t>
      </w:r>
      <w:r w:rsidRPr="00F645A3">
        <w:t xml:space="preserve">i </w:t>
      </w:r>
      <w:r w:rsidR="00C94A0C">
        <w:t>p</w:t>
      </w:r>
      <w:r w:rsidRPr="00F645A3">
        <w:t xml:space="preserve">racownicze </w:t>
      </w:r>
      <w:r w:rsidR="00C94A0C">
        <w:t>p</w:t>
      </w:r>
      <w:r w:rsidRPr="00F645A3">
        <w:t xml:space="preserve">lany </w:t>
      </w:r>
      <w:r w:rsidR="00C94A0C">
        <w:t>k</w:t>
      </w:r>
      <w:r w:rsidRPr="00F645A3">
        <w:t>apitałowe (PPK)</w:t>
      </w:r>
      <w:r w:rsidR="009578C7">
        <w:t xml:space="preserve"> – powstałe w </w:t>
      </w:r>
      <w:r w:rsidR="00072511">
        <w:t>2019 r</w:t>
      </w:r>
      <w:r w:rsidR="0029098D">
        <w:t>oku</w:t>
      </w:r>
      <w:r w:rsidR="00072511">
        <w:t>. O</w:t>
      </w:r>
      <w:r w:rsidR="00490CE7">
        <w:t>ba p</w:t>
      </w:r>
      <w:r w:rsidRPr="00F645A3">
        <w:t>rogram</w:t>
      </w:r>
      <w:r w:rsidR="00437667">
        <w:t>y</w:t>
      </w:r>
      <w:r w:rsidRPr="00F645A3">
        <w:t xml:space="preserve"> umożliwiają proste oszczędzanie na cele emerytalne, </w:t>
      </w:r>
      <w:r w:rsidR="00490CE7">
        <w:t>a ich</w:t>
      </w:r>
      <w:r w:rsidRPr="00F645A3">
        <w:t xml:space="preserve"> kapitałowy charakter pozwala na pomnażanie wpłacanych składek. I</w:t>
      </w:r>
      <w:r w:rsidR="00C0031E">
        <w:t>ch i</w:t>
      </w:r>
      <w:r w:rsidRPr="00F645A3">
        <w:t>stotą jest to, że gromadzone w ni</w:t>
      </w:r>
      <w:r w:rsidR="00FB6999">
        <w:t>ch</w:t>
      </w:r>
      <w:r w:rsidRPr="00F645A3">
        <w:t xml:space="preserve"> środki pochodzą </w:t>
      </w:r>
      <w:r w:rsidR="00FB6999">
        <w:t xml:space="preserve">także </w:t>
      </w:r>
      <w:r w:rsidRPr="00F645A3">
        <w:t xml:space="preserve">od pracodawcy, </w:t>
      </w:r>
      <w:r w:rsidR="00FB6999">
        <w:t>a w przypadku PPK</w:t>
      </w:r>
      <w:r w:rsidR="00B95F63">
        <w:t xml:space="preserve"> również od </w:t>
      </w:r>
      <w:r w:rsidR="00B21D4D">
        <w:t>p</w:t>
      </w:r>
      <w:r w:rsidR="00B95F63">
        <w:t xml:space="preserve">aństwa. </w:t>
      </w:r>
      <w:r w:rsidR="00B95F63" w:rsidRPr="00B95F63">
        <w:t xml:space="preserve">Środki gromadzone w obu programach </w:t>
      </w:r>
      <w:r w:rsidR="00B95F63">
        <w:t>s</w:t>
      </w:r>
      <w:r w:rsidR="004F79D1">
        <w:t>ą</w:t>
      </w:r>
      <w:r w:rsidR="00B95F63">
        <w:t xml:space="preserve"> prywatn</w:t>
      </w:r>
      <w:r w:rsidR="00037B8A">
        <w:t>ą</w:t>
      </w:r>
      <w:r w:rsidR="00B95F63">
        <w:t xml:space="preserve"> wła</w:t>
      </w:r>
      <w:r w:rsidR="004F79D1">
        <w:t>s</w:t>
      </w:r>
      <w:r w:rsidR="00B95F63">
        <w:t xml:space="preserve">nością </w:t>
      </w:r>
      <w:r w:rsidR="004F79D1">
        <w:t>u</w:t>
      </w:r>
      <w:r w:rsidR="00B95F63">
        <w:t xml:space="preserve">czestnika </w:t>
      </w:r>
      <w:r w:rsidR="00C3565C">
        <w:t xml:space="preserve">i </w:t>
      </w:r>
      <w:r w:rsidR="00B95F63" w:rsidRPr="00B95F63">
        <w:t>podlegają dziedziczeniu</w:t>
      </w:r>
      <w:r w:rsidR="004F79D1">
        <w:t>.</w:t>
      </w:r>
      <w:r w:rsidR="00B95F63" w:rsidRPr="00B95F63">
        <w:t xml:space="preserve"> </w:t>
      </w:r>
    </w:p>
    <w:p w14:paraId="79859411" w14:textId="77777777" w:rsidR="00392FE1" w:rsidRDefault="00392FE1" w:rsidP="00F57ACE">
      <w:pPr>
        <w:spacing w:before="6" w:after="6" w:line="288" w:lineRule="auto"/>
        <w:jc w:val="both"/>
      </w:pPr>
    </w:p>
    <w:p w14:paraId="148E4AD6" w14:textId="77377917" w:rsidR="00F645A3" w:rsidRDefault="005672B6" w:rsidP="00F57ACE">
      <w:pPr>
        <w:spacing w:before="6" w:after="6" w:line="288" w:lineRule="auto"/>
        <w:jc w:val="both"/>
      </w:pPr>
      <w:r>
        <w:t>Ponadto w</w:t>
      </w:r>
      <w:r w:rsidR="003C05FB">
        <w:t xml:space="preserve"> 2004 r</w:t>
      </w:r>
      <w:r w:rsidR="0029098D">
        <w:t>oku</w:t>
      </w:r>
      <w:r w:rsidR="00792326">
        <w:t xml:space="preserve"> </w:t>
      </w:r>
      <w:r w:rsidR="00D909D3">
        <w:t>s</w:t>
      </w:r>
      <w:r w:rsidR="00AC036B">
        <w:t xml:space="preserve">tworzono możliwość </w:t>
      </w:r>
      <w:r w:rsidR="00D470BC">
        <w:t xml:space="preserve">oszczędzania na przyszłą emeryturę </w:t>
      </w:r>
      <w:r w:rsidR="00F77472">
        <w:t xml:space="preserve">w ramach </w:t>
      </w:r>
      <w:r w:rsidR="00813A27" w:rsidRPr="00813A27">
        <w:t>systemu indywidualnych kont emerytalnych (IKE)</w:t>
      </w:r>
      <w:r w:rsidR="00877635">
        <w:t>,</w:t>
      </w:r>
      <w:r w:rsidR="00813A27" w:rsidRPr="00813A27">
        <w:t xml:space="preserve"> </w:t>
      </w:r>
      <w:r w:rsidR="00E14D15">
        <w:t>a później w 2012 r</w:t>
      </w:r>
      <w:r w:rsidR="0029098D">
        <w:t>oku</w:t>
      </w:r>
      <w:r w:rsidR="00813A27" w:rsidRPr="00813A27">
        <w:t xml:space="preserve"> indywidualnych kont zabezpieczenia emerytalnego (IKZE</w:t>
      </w:r>
      <w:r w:rsidR="00A81F62">
        <w:t>)</w:t>
      </w:r>
      <w:r w:rsidR="00885B77">
        <w:t>.</w:t>
      </w:r>
      <w:r w:rsidR="00EC1446">
        <w:t xml:space="preserve"> </w:t>
      </w:r>
      <w:r w:rsidR="0052469B">
        <w:t>IKE i IKZE</w:t>
      </w:r>
      <w:r w:rsidR="00CB43D3" w:rsidRPr="00CB43D3">
        <w:t xml:space="preserve"> </w:t>
      </w:r>
      <w:r w:rsidR="00D719F1" w:rsidRPr="00D719F1">
        <w:t xml:space="preserve">pozwalają </w:t>
      </w:r>
      <w:r w:rsidR="00614B8F">
        <w:t xml:space="preserve">na </w:t>
      </w:r>
      <w:r w:rsidR="00D719F1" w:rsidRPr="00D719F1">
        <w:t>samodzielne gromadz</w:t>
      </w:r>
      <w:r w:rsidR="00614B8F">
        <w:t>enie</w:t>
      </w:r>
      <w:r w:rsidR="00D719F1" w:rsidRPr="00D719F1">
        <w:t xml:space="preserve"> środk</w:t>
      </w:r>
      <w:r w:rsidR="00614B8F">
        <w:t>ów</w:t>
      </w:r>
      <w:r w:rsidR="00D719F1" w:rsidRPr="00D719F1">
        <w:t xml:space="preserve"> </w:t>
      </w:r>
      <w:r w:rsidR="0080095C">
        <w:t>emerytalnych</w:t>
      </w:r>
      <w:r w:rsidR="003F3D11">
        <w:t xml:space="preserve"> </w:t>
      </w:r>
      <w:r w:rsidR="00934FE6">
        <w:t>–</w:t>
      </w:r>
      <w:r w:rsidR="0080095C">
        <w:t xml:space="preserve"> o</w:t>
      </w:r>
      <w:r w:rsidR="00CF6F6E">
        <w:t xml:space="preserve">szczędzający </w:t>
      </w:r>
      <w:r w:rsidR="002266AA" w:rsidRPr="002266AA">
        <w:t>decyduj</w:t>
      </w:r>
      <w:r w:rsidR="00B8390E">
        <w:t>e</w:t>
      </w:r>
      <w:r w:rsidR="00CF6F6E">
        <w:t xml:space="preserve"> o tym</w:t>
      </w:r>
      <w:r w:rsidR="002266AA" w:rsidRPr="002266AA">
        <w:t xml:space="preserve"> kiedy i ile </w:t>
      </w:r>
      <w:r w:rsidR="00863F8E">
        <w:t>wpłaci</w:t>
      </w:r>
      <w:r w:rsidR="00041FC0">
        <w:t xml:space="preserve"> </w:t>
      </w:r>
      <w:r w:rsidR="00934FE6">
        <w:t>–</w:t>
      </w:r>
      <w:r w:rsidR="00B8390E">
        <w:t xml:space="preserve"> </w:t>
      </w:r>
      <w:r w:rsidR="00041FC0">
        <w:t>a oszczędzanie wiąże się z</w:t>
      </w:r>
      <w:r w:rsidR="002266AA" w:rsidRPr="002266AA">
        <w:t xml:space="preserve"> korzy</w:t>
      </w:r>
      <w:r w:rsidR="00041FC0">
        <w:t xml:space="preserve">ściami </w:t>
      </w:r>
      <w:r w:rsidR="002266AA" w:rsidRPr="002266AA">
        <w:t>podatkowy</w:t>
      </w:r>
      <w:r w:rsidR="00041FC0">
        <w:t>mi</w:t>
      </w:r>
      <w:r w:rsidR="002266AA" w:rsidRPr="002266AA">
        <w:t>.</w:t>
      </w:r>
      <w:r w:rsidR="00C540DF">
        <w:t xml:space="preserve"> Podobnie jak w przypadku PPK i PPE gromadzone na kontach ś</w:t>
      </w:r>
      <w:r w:rsidR="00C540DF" w:rsidRPr="00C540DF">
        <w:t>rodki są prywatn</w:t>
      </w:r>
      <w:r w:rsidR="00C540DF">
        <w:t>ą</w:t>
      </w:r>
      <w:r w:rsidR="00C540DF" w:rsidRPr="00C540DF">
        <w:t xml:space="preserve"> własnością </w:t>
      </w:r>
      <w:r w:rsidR="00781F5D">
        <w:t>posiadacza konta</w:t>
      </w:r>
      <w:r w:rsidR="00C540DF" w:rsidRPr="00C540DF">
        <w:t xml:space="preserve"> i podlegają dziedziczeniu. </w:t>
      </w:r>
    </w:p>
    <w:p w14:paraId="31D9B48E" w14:textId="77777777" w:rsidR="00037B8A" w:rsidRDefault="00037B8A" w:rsidP="00F57ACE">
      <w:pPr>
        <w:spacing w:before="6" w:after="6" w:line="288" w:lineRule="auto"/>
        <w:jc w:val="both"/>
      </w:pPr>
    </w:p>
    <w:p w14:paraId="07F08A00" w14:textId="78091C1C" w:rsidR="00037B8A" w:rsidRDefault="008D5A3C" w:rsidP="00F57ACE">
      <w:pPr>
        <w:spacing w:before="6" w:after="6" w:line="288" w:lineRule="auto"/>
        <w:jc w:val="both"/>
      </w:pPr>
      <w:r>
        <w:t xml:space="preserve">Po wprowadzeniu powyżej opisanych zmian </w:t>
      </w:r>
      <w:r w:rsidR="00444CBA">
        <w:t>system emerytaln</w:t>
      </w:r>
      <w:r>
        <w:t>y w Polsce</w:t>
      </w:r>
      <w:r w:rsidR="00444CBA">
        <w:t xml:space="preserve"> opart</w:t>
      </w:r>
      <w:r>
        <w:t xml:space="preserve">y jest </w:t>
      </w:r>
      <w:r w:rsidR="00444CBA">
        <w:t xml:space="preserve">o </w:t>
      </w:r>
      <w:r w:rsidR="00250F3A">
        <w:t xml:space="preserve">trzy </w:t>
      </w:r>
      <w:r w:rsidR="00444CBA">
        <w:t>filary:</w:t>
      </w:r>
    </w:p>
    <w:p w14:paraId="31EAD062" w14:textId="77777777" w:rsidR="00444CBA" w:rsidRDefault="003341D7">
      <w:pPr>
        <w:pStyle w:val="Akapitzlist"/>
        <w:numPr>
          <w:ilvl w:val="0"/>
          <w:numId w:val="32"/>
        </w:numPr>
        <w:spacing w:before="6" w:after="6" w:line="288" w:lineRule="auto"/>
        <w:jc w:val="both"/>
      </w:pPr>
      <w:r>
        <w:t>f</w:t>
      </w:r>
      <w:r w:rsidR="00444CBA">
        <w:t xml:space="preserve">ilar pierwszy </w:t>
      </w:r>
      <w:r w:rsidR="00886A10">
        <w:t xml:space="preserve">obowiązkowy </w:t>
      </w:r>
      <w:r w:rsidR="00444CBA">
        <w:t xml:space="preserve">– </w:t>
      </w:r>
      <w:r w:rsidR="00886A10">
        <w:t xml:space="preserve">środki gromadzone na koncie </w:t>
      </w:r>
      <w:r w:rsidR="00B255C3">
        <w:t xml:space="preserve">ubezpieczonego </w:t>
      </w:r>
      <w:r w:rsidR="00886A10">
        <w:t>w</w:t>
      </w:r>
      <w:r w:rsidR="00444CBA">
        <w:t xml:space="preserve"> ZUS, </w:t>
      </w:r>
    </w:p>
    <w:p w14:paraId="184903CA" w14:textId="15E6A0D7" w:rsidR="00444CBA" w:rsidRDefault="00045971">
      <w:pPr>
        <w:pStyle w:val="Akapitzlist"/>
        <w:numPr>
          <w:ilvl w:val="0"/>
          <w:numId w:val="32"/>
        </w:numPr>
        <w:spacing w:before="6" w:after="6" w:line="288" w:lineRule="auto"/>
        <w:jc w:val="both"/>
      </w:pPr>
      <w:r>
        <w:t>f</w:t>
      </w:r>
      <w:r w:rsidR="00444CBA">
        <w:t xml:space="preserve">ilar drugi </w:t>
      </w:r>
      <w:r w:rsidR="00886A10">
        <w:t xml:space="preserve">obowiązkowy </w:t>
      </w:r>
      <w:r w:rsidR="00AA3333">
        <w:t>–</w:t>
      </w:r>
      <w:r w:rsidR="00444CBA">
        <w:t xml:space="preserve"> </w:t>
      </w:r>
      <w:r w:rsidR="005365BF">
        <w:t xml:space="preserve">środki gromadzone na </w:t>
      </w:r>
      <w:r w:rsidR="00886A10">
        <w:t>subkoncie w ZUS lub w OFE</w:t>
      </w:r>
      <w:r w:rsidR="00D056B1">
        <w:t>,</w:t>
      </w:r>
    </w:p>
    <w:p w14:paraId="44231B19" w14:textId="2C53B0A6" w:rsidR="00AA3333" w:rsidRDefault="00045971">
      <w:pPr>
        <w:pStyle w:val="Akapitzlist"/>
        <w:numPr>
          <w:ilvl w:val="0"/>
          <w:numId w:val="32"/>
        </w:numPr>
        <w:spacing w:before="6" w:after="6" w:line="288" w:lineRule="auto"/>
        <w:jc w:val="both"/>
      </w:pPr>
      <w:r>
        <w:t>f</w:t>
      </w:r>
      <w:r w:rsidR="00AA3333">
        <w:t xml:space="preserve">ilar trzeci </w:t>
      </w:r>
      <w:r w:rsidR="00886A10">
        <w:t xml:space="preserve">dobrowolny </w:t>
      </w:r>
      <w:r w:rsidR="00AA3333">
        <w:t xml:space="preserve">– </w:t>
      </w:r>
      <w:r w:rsidR="00886A10">
        <w:t>środki (oszczędności)</w:t>
      </w:r>
      <w:r w:rsidR="00BF633E">
        <w:t xml:space="preserve"> </w:t>
      </w:r>
      <w:r w:rsidR="00AA3333">
        <w:t>gromadzone indywidualnie w ramach IKE i IKZE</w:t>
      </w:r>
      <w:r w:rsidR="00886A10">
        <w:t xml:space="preserve"> lub z pracodawcą w ramach PPE i PPK</w:t>
      </w:r>
      <w:r w:rsidR="00AA3333">
        <w:t xml:space="preserve">. </w:t>
      </w:r>
    </w:p>
    <w:p w14:paraId="11D36933" w14:textId="77777777" w:rsidR="00FE5E59" w:rsidRDefault="00FE5E59" w:rsidP="007149CD"/>
    <w:p w14:paraId="37A60CC2" w14:textId="77BE6DAC" w:rsidR="00F20307" w:rsidRDefault="00BC29A8" w:rsidP="00F20307">
      <w:pPr>
        <w:jc w:val="both"/>
      </w:pPr>
      <w:r w:rsidRPr="00BC29A8">
        <w:t>Obok powszechnego systemu ubezpieczeń społecznych funkcjonują w Polsce także system ubezpieczeń społecznych rolników (KRUS) oraz systemy zaopatrze</w:t>
      </w:r>
      <w:r w:rsidR="005365BF">
        <w:t xml:space="preserve">niowe (m.in. wojsko, policja). </w:t>
      </w:r>
    </w:p>
    <w:p w14:paraId="40F02762" w14:textId="6F0F473C" w:rsidR="007149CD" w:rsidRDefault="00F20307" w:rsidP="00F20307">
      <w:r>
        <w:br w:type="page"/>
      </w:r>
    </w:p>
    <w:p w14:paraId="5823BFAE" w14:textId="4A3B0FA9" w:rsidR="0029150C" w:rsidRPr="0029150C" w:rsidRDefault="0059084B" w:rsidP="00F57ACE">
      <w:pPr>
        <w:spacing w:before="6" w:after="6" w:line="288" w:lineRule="auto"/>
        <w:jc w:val="both"/>
      </w:pPr>
      <w:r>
        <w:lastRenderedPageBreak/>
        <w:t xml:space="preserve">Inne </w:t>
      </w:r>
      <w:r w:rsidR="00F8037A">
        <w:t xml:space="preserve">ważne </w:t>
      </w:r>
      <w:r>
        <w:t xml:space="preserve">zmiany, które </w:t>
      </w:r>
      <w:r w:rsidR="00C5435E" w:rsidRPr="00970ED9">
        <w:t>wprowadzono do systemu emerytalnego</w:t>
      </w:r>
      <w:r w:rsidR="00E00414" w:rsidRPr="00970ED9">
        <w:t xml:space="preserve"> po 1999 roku</w:t>
      </w:r>
      <w:r w:rsidR="00767A68">
        <w:t>,</w:t>
      </w:r>
      <w:r>
        <w:t xml:space="preserve"> to</w:t>
      </w:r>
      <w:r w:rsidR="0029150C" w:rsidRPr="00D64AEA">
        <w:t>:</w:t>
      </w:r>
      <w:r w:rsidR="0029150C" w:rsidRPr="00D64AEA">
        <w:rPr>
          <w:vertAlign w:val="superscript"/>
        </w:rPr>
        <w:footnoteReference w:id="7"/>
      </w:r>
      <w:r w:rsidR="00EE4274" w:rsidRPr="004B6D6C">
        <w:rPr>
          <w:vertAlign w:val="superscript"/>
        </w:rPr>
        <w:t>)</w:t>
      </w:r>
    </w:p>
    <w:p w14:paraId="6E7D5152" w14:textId="77777777" w:rsidR="0029150C" w:rsidRPr="0029150C" w:rsidRDefault="0029150C">
      <w:pPr>
        <w:pStyle w:val="Akapitzlist"/>
        <w:numPr>
          <w:ilvl w:val="0"/>
          <w:numId w:val="30"/>
        </w:numPr>
        <w:spacing w:before="6" w:after="6" w:line="288" w:lineRule="auto"/>
        <w:ind w:left="717"/>
        <w:jc w:val="both"/>
      </w:pPr>
      <w:r w:rsidRPr="0029150C">
        <w:t>w 2003 roku z powszechnego systemu emerytalnego wyłączono służby mundurowe;</w:t>
      </w:r>
    </w:p>
    <w:p w14:paraId="58A5B232" w14:textId="54EE8AF9" w:rsidR="0029150C" w:rsidRPr="0029150C" w:rsidRDefault="0029150C" w:rsidP="00F57ACE">
      <w:pPr>
        <w:numPr>
          <w:ilvl w:val="0"/>
          <w:numId w:val="13"/>
        </w:numPr>
        <w:spacing w:before="6" w:after="6" w:line="288" w:lineRule="auto"/>
        <w:ind w:left="714" w:hanging="357"/>
        <w:jc w:val="both"/>
      </w:pPr>
      <w:r w:rsidRPr="0029150C">
        <w:t xml:space="preserve">w 2004 roku zmieniono zasady waloryzacji kont emerytalnych w ZUS. Pierwotnym wskaźnikiem waloryzacji miała być średnia ważona wskaźnika inflacji (z wagą 25%) i wskaźnika nominalnego wzrostu sumy składek (z wagą 75%). Po zmianie kapitał był waloryzowany nominalnym wzrostem sumy składek (choć wskaźnik waloryzacji nie może być niższy od inflacji i od zera); </w:t>
      </w:r>
    </w:p>
    <w:p w14:paraId="67B2084C" w14:textId="77777777" w:rsidR="0029150C" w:rsidRPr="0029150C" w:rsidRDefault="0029150C" w:rsidP="00F57ACE">
      <w:pPr>
        <w:numPr>
          <w:ilvl w:val="0"/>
          <w:numId w:val="13"/>
        </w:numPr>
        <w:spacing w:before="6" w:after="6" w:line="288" w:lineRule="auto"/>
        <w:ind w:left="714" w:hanging="357"/>
        <w:jc w:val="both"/>
      </w:pPr>
      <w:r w:rsidRPr="0029150C">
        <w:t xml:space="preserve">w 2005 roku i 2007 roku przedłużono prawo do wcześniejszego nabywania emerytury. Prawo to obowiązywało do końca 2008 roku; </w:t>
      </w:r>
    </w:p>
    <w:p w14:paraId="33F5272C" w14:textId="77777777" w:rsidR="0029150C" w:rsidRPr="0029150C" w:rsidRDefault="0029150C" w:rsidP="00F57ACE">
      <w:pPr>
        <w:numPr>
          <w:ilvl w:val="0"/>
          <w:numId w:val="14"/>
        </w:numPr>
        <w:spacing w:before="6" w:after="6" w:line="288" w:lineRule="auto"/>
        <w:ind w:left="714" w:hanging="357"/>
        <w:jc w:val="both"/>
      </w:pPr>
      <w:r w:rsidRPr="0029150C">
        <w:t xml:space="preserve">w 2005 roku wprowadzono system emerytur górniczych; </w:t>
      </w:r>
    </w:p>
    <w:p w14:paraId="5EEC9B79" w14:textId="77777777" w:rsidR="0029150C" w:rsidRPr="0029150C" w:rsidRDefault="0029150C" w:rsidP="00F57ACE">
      <w:pPr>
        <w:numPr>
          <w:ilvl w:val="0"/>
          <w:numId w:val="14"/>
        </w:numPr>
        <w:spacing w:before="6" w:after="6" w:line="288" w:lineRule="auto"/>
        <w:ind w:left="714" w:hanging="357"/>
        <w:jc w:val="both"/>
      </w:pPr>
      <w:r w:rsidRPr="0029150C">
        <w:t xml:space="preserve">od 2009 roku </w:t>
      </w:r>
      <w:r w:rsidR="001244F9">
        <w:t>wprowadzono obowiązek przekazywania</w:t>
      </w:r>
      <w:r w:rsidRPr="0029150C">
        <w:t xml:space="preserve"> </w:t>
      </w:r>
      <w:r w:rsidR="00ED15C8">
        <w:t xml:space="preserve">do Funduszu Rezerwy Demograficznej </w:t>
      </w:r>
      <w:r w:rsidRPr="0029150C">
        <w:t xml:space="preserve">40% przychodów </w:t>
      </w:r>
      <w:r w:rsidR="001C7FB5" w:rsidRPr="001C7FB5">
        <w:t>z prywatyzacji mienia Skarbu Państwa, pomniejszonych o kwoty obowiązkowych odpisów na fundusz celow</w:t>
      </w:r>
      <w:r w:rsidR="00A854F0">
        <w:t>y</w:t>
      </w:r>
      <w:r w:rsidR="00E33FC1">
        <w:t xml:space="preserve">. Ponadto ustanowiono, że </w:t>
      </w:r>
      <w:r w:rsidR="009E22E0">
        <w:t>ś</w:t>
      </w:r>
      <w:r w:rsidR="00255742">
        <w:t xml:space="preserve">rodki z </w:t>
      </w:r>
      <w:r w:rsidR="009A30C2">
        <w:t>FRD</w:t>
      </w:r>
      <w:r w:rsidR="00255742">
        <w:t xml:space="preserve"> </w:t>
      </w:r>
      <w:r w:rsidR="00D41433" w:rsidRPr="00D41433">
        <w:t>mogą być wykorzystane wyłącznie na pokrycie deficytu FUS</w:t>
      </w:r>
      <w:r w:rsidR="001714F5">
        <w:t xml:space="preserve"> </w:t>
      </w:r>
      <w:r w:rsidRPr="0029150C">
        <w:t xml:space="preserve">(w 2010 roku było to 7,5 mld zł, w 2011 roku – 4,0 mld zł, w 2012 roku – 2,9 mld zł, a w 2013 roku – 2,5 mld zł); </w:t>
      </w:r>
    </w:p>
    <w:p w14:paraId="36155EA7" w14:textId="6F386FF8" w:rsidR="0029150C" w:rsidRPr="0029150C" w:rsidRDefault="0029150C" w:rsidP="00F57ACE">
      <w:pPr>
        <w:numPr>
          <w:ilvl w:val="0"/>
          <w:numId w:val="14"/>
        </w:numPr>
        <w:spacing w:before="6" w:after="6" w:line="288" w:lineRule="auto"/>
        <w:ind w:left="714" w:hanging="357"/>
        <w:jc w:val="both"/>
      </w:pPr>
      <w:r w:rsidRPr="0029150C">
        <w:t xml:space="preserve">wprowadzono stopniowe wydłużanie wieku emerytalnego </w:t>
      </w:r>
      <w:r w:rsidR="00934FE6">
        <w:t>–</w:t>
      </w:r>
      <w:r w:rsidRPr="0029150C">
        <w:t xml:space="preserve"> do 67. roku życia dla obu płci, począwszy od 1 stycznia 2013 r.; </w:t>
      </w:r>
    </w:p>
    <w:p w14:paraId="6CDD0382" w14:textId="07971C78" w:rsidR="009F0B1A" w:rsidRPr="0029150C" w:rsidRDefault="0029150C" w:rsidP="00F57ACE">
      <w:pPr>
        <w:numPr>
          <w:ilvl w:val="0"/>
          <w:numId w:val="14"/>
        </w:numPr>
        <w:spacing w:before="6" w:after="6" w:line="288" w:lineRule="auto"/>
        <w:ind w:left="714" w:hanging="357"/>
        <w:jc w:val="both"/>
      </w:pPr>
      <w:r w:rsidRPr="0029150C">
        <w:t xml:space="preserve">następnie obniżono wiek emerytalny </w:t>
      </w:r>
      <w:r w:rsidR="00934FE6">
        <w:t>–</w:t>
      </w:r>
      <w:r w:rsidRPr="0029150C">
        <w:t xml:space="preserve"> do 60 lat dla kobiet i 65 lat dla mężczyzn, począwszy od</w:t>
      </w:r>
      <w:r w:rsidR="00767A68">
        <w:t> </w:t>
      </w:r>
      <w:r w:rsidRPr="0029150C">
        <w:t xml:space="preserve">1 października 2017 r. </w:t>
      </w:r>
    </w:p>
    <w:p w14:paraId="75DC8012" w14:textId="77777777" w:rsidR="00E84A71" w:rsidRPr="0029150C" w:rsidRDefault="00E84A71" w:rsidP="00F57ACE">
      <w:pPr>
        <w:spacing w:before="6" w:after="6" w:line="288" w:lineRule="auto"/>
        <w:jc w:val="both"/>
      </w:pPr>
    </w:p>
    <w:p w14:paraId="272A1778" w14:textId="77777777" w:rsidR="0029150C" w:rsidRPr="00862BBC" w:rsidRDefault="0029150C">
      <w:pPr>
        <w:pStyle w:val="Nagwek2"/>
        <w:numPr>
          <w:ilvl w:val="0"/>
          <w:numId w:val="23"/>
        </w:numPr>
        <w:spacing w:before="6" w:after="6" w:line="288" w:lineRule="auto"/>
        <w:jc w:val="both"/>
      </w:pPr>
      <w:bookmarkStart w:id="9" w:name="_Toc121828602"/>
      <w:r w:rsidRPr="00862BBC">
        <w:t>Sytuacja demograficzna Polski</w:t>
      </w:r>
      <w:bookmarkEnd w:id="9"/>
      <w:r w:rsidRPr="00862BBC">
        <w:t xml:space="preserve"> </w:t>
      </w:r>
    </w:p>
    <w:p w14:paraId="14D323D9" w14:textId="7F300BE7" w:rsidR="00C37A2C" w:rsidRDefault="0029150C" w:rsidP="00F57ACE">
      <w:pPr>
        <w:spacing w:before="6" w:after="6" w:line="288" w:lineRule="auto"/>
        <w:jc w:val="both"/>
      </w:pPr>
      <w:r w:rsidRPr="0029150C">
        <w:t>W ciągu ostatnich kilkudziesięciu lat obserwujemy w Polsce spowolnienie rozwoju demograficznego i</w:t>
      </w:r>
      <w:r w:rsidR="00060DDA">
        <w:t> </w:t>
      </w:r>
      <w:r w:rsidRPr="0029150C">
        <w:t>znaczące zmiany w strukturze wieku mieszkańców, które świadczą o nasileniu się procesu starzenia demograficznego ludności. Od 1990 roku w Polsce notuje się spadek liczby urodzeń, który prowadzi do</w:t>
      </w:r>
      <w:r w:rsidR="00767A68">
        <w:t> </w:t>
      </w:r>
      <w:r w:rsidRPr="0029150C">
        <w:t xml:space="preserve">tzw. depresji urodzeniowej. Od 1998 roku liczba urodzeń nie osiąga 400 tys. (z wyjątkiem lat 2008–2010 oraz 2017 roku, kiedy nastąpiły jej wzrosty). W 2003 roku urodziło się jedynie 351 tys. dzieci – najmniej w całym okresie powojennym, a współczynniki urodzeń (9,2‰) i dzietności (1,22) osiągnęły najniższe z notowanych kiedykolwiek wartości. W 2019 roku zarejestrowano 375 tys. urodzeń żywych, natomiast w 2020 roku ich liczba zmniejszyła się w stosunku do poprzedniego roku o ok. 20 tys. </w:t>
      </w:r>
      <w:r w:rsidR="00A40C96">
        <w:t>i </w:t>
      </w:r>
      <w:r w:rsidRPr="0029150C">
        <w:t>wyniosła 355 tys. Zmniejszyły się również, w stosunku do roku poprzedniego: współczynnik urodzeń i</w:t>
      </w:r>
      <w:r w:rsidR="00A40C96">
        <w:t> </w:t>
      </w:r>
      <w:r w:rsidRPr="0029150C">
        <w:t>współczynnik dzietności, wynosząc odpowiednio: 9,3‰ i 1,378.</w:t>
      </w:r>
      <w:r w:rsidRPr="0029150C">
        <w:rPr>
          <w:vertAlign w:val="superscript"/>
        </w:rPr>
        <w:footnoteReference w:id="8"/>
      </w:r>
      <w:r w:rsidR="00EE4274" w:rsidRPr="004B6D6C">
        <w:rPr>
          <w:vertAlign w:val="superscript"/>
        </w:rPr>
        <w:t>)</w:t>
      </w:r>
      <w:r w:rsidRPr="0029150C">
        <w:t xml:space="preserve"> Równocześnie w dalszym ciągu następuje systematyczny wzrost przeciętnej długości trwania życi</w:t>
      </w:r>
      <w:r w:rsidR="007156D1">
        <w:t>a</w:t>
      </w:r>
      <w:r w:rsidR="001F2B23">
        <w:t xml:space="preserve"> (z wyjątkiem 2020 r.</w:t>
      </w:r>
      <w:r w:rsidR="00DF0230">
        <w:t>,</w:t>
      </w:r>
      <w:r w:rsidR="001F2B23">
        <w:t xml:space="preserve"> kiedy na</w:t>
      </w:r>
      <w:r w:rsidR="00465449">
        <w:t> </w:t>
      </w:r>
      <w:r w:rsidR="001F2B23">
        <w:t xml:space="preserve">skutek pandemii </w:t>
      </w:r>
      <w:r w:rsidR="00F2398E">
        <w:t xml:space="preserve">wywołanej </w:t>
      </w:r>
      <w:r w:rsidR="00F2398E" w:rsidRPr="00F2398E">
        <w:t>wirusem SARSCoV-2</w:t>
      </w:r>
      <w:r w:rsidR="00F2398E">
        <w:t xml:space="preserve"> nastąpił gwałtowny wzrost liczby zgonów</w:t>
      </w:r>
      <w:r w:rsidR="00A40F45">
        <w:t xml:space="preserve"> </w:t>
      </w:r>
      <w:r w:rsidR="00934FE6">
        <w:t>–</w:t>
      </w:r>
      <w:r w:rsidR="00A40F45">
        <w:t xml:space="preserve"> </w:t>
      </w:r>
      <w:r w:rsidR="00A40F45" w:rsidRPr="00A40F45">
        <w:t xml:space="preserve">zmarło ponad 477 tys. </w:t>
      </w:r>
      <w:r w:rsidR="00465449">
        <w:t>o</w:t>
      </w:r>
      <w:r w:rsidR="00A40F45" w:rsidRPr="00A40F45">
        <w:t>sób</w:t>
      </w:r>
      <w:r w:rsidR="00ED2F61">
        <w:t>,</w:t>
      </w:r>
      <w:r w:rsidR="00D203DD">
        <w:t xml:space="preserve"> z czego </w:t>
      </w:r>
      <w:r w:rsidR="001E053F">
        <w:t>b</w:t>
      </w:r>
      <w:r w:rsidR="001E053F" w:rsidRPr="001E053F">
        <w:t>ezpośrednie ofiary COVID-19 stanowią ok. 60% odnotowanego wzrostu umieralności</w:t>
      </w:r>
      <w:r w:rsidR="004D1254">
        <w:rPr>
          <w:rStyle w:val="Odwoanieprzypisudolnego"/>
        </w:rPr>
        <w:footnoteReference w:id="9"/>
      </w:r>
      <w:r w:rsidR="00EE4274" w:rsidRPr="004B6D6C">
        <w:rPr>
          <w:vertAlign w:val="superscript"/>
        </w:rPr>
        <w:t>)</w:t>
      </w:r>
      <w:r w:rsidR="001F2B23">
        <w:t>)</w:t>
      </w:r>
      <w:r w:rsidR="002F1A4A">
        <w:t>.</w:t>
      </w:r>
      <w:r w:rsidR="007156D1">
        <w:t xml:space="preserve"> </w:t>
      </w:r>
      <w:r w:rsidRPr="0029150C">
        <w:t>W 2020 roku przewidywane przeciętne dalsze trwanie życia noworodka płci męskiej wynosiło 72,6 roku (w 2021 r</w:t>
      </w:r>
      <w:r w:rsidR="00C71BA7">
        <w:t>oku</w:t>
      </w:r>
      <w:r w:rsidRPr="0029150C">
        <w:t xml:space="preserve"> było to 71,8 roku), a płci żeńskiej – 80,7 roku (w 2021 r</w:t>
      </w:r>
      <w:r w:rsidR="004B599D">
        <w:t>oku</w:t>
      </w:r>
      <w:r w:rsidRPr="0029150C">
        <w:t xml:space="preserve"> było to</w:t>
      </w:r>
      <w:r w:rsidR="00465449">
        <w:t> </w:t>
      </w:r>
      <w:r w:rsidRPr="0029150C">
        <w:t>79,7</w:t>
      </w:r>
      <w:r w:rsidR="00465449">
        <w:t> </w:t>
      </w:r>
      <w:r w:rsidRPr="0029150C">
        <w:t>roku). W porównaniu do dany</w:t>
      </w:r>
      <w:r w:rsidR="00465449">
        <w:t>ch z początków lat 90. XX wieku</w:t>
      </w:r>
      <w:r w:rsidRPr="0029150C">
        <w:t xml:space="preserve"> można stwierdzić, że trwanie życia wydłużyło się o ponad 6 lat dla mężczyzn i o ponad 5 lat dla kobiet.</w:t>
      </w:r>
      <w:r w:rsidRPr="0029150C">
        <w:rPr>
          <w:vertAlign w:val="superscript"/>
        </w:rPr>
        <w:footnoteReference w:id="10"/>
      </w:r>
      <w:r w:rsidR="00EE4274" w:rsidRPr="004B6D6C">
        <w:rPr>
          <w:vertAlign w:val="superscript"/>
        </w:rPr>
        <w:t>)</w:t>
      </w:r>
      <w:r w:rsidRPr="0029150C">
        <w:t xml:space="preserve"> </w:t>
      </w:r>
    </w:p>
    <w:p w14:paraId="6D0E4352" w14:textId="49A8ABE8" w:rsidR="003337F6" w:rsidRDefault="003337F6" w:rsidP="00FC1C49">
      <w:pPr>
        <w:spacing w:before="6" w:after="6" w:line="288" w:lineRule="auto"/>
        <w:jc w:val="both"/>
        <w:rPr>
          <w:b/>
          <w:sz w:val="20"/>
          <w:szCs w:val="20"/>
        </w:rPr>
      </w:pPr>
    </w:p>
    <w:p w14:paraId="573983CE" w14:textId="2D0A72C3" w:rsidR="00110397" w:rsidRPr="00673C52" w:rsidRDefault="00110397" w:rsidP="00110397">
      <w:pPr>
        <w:pStyle w:val="Legenda"/>
        <w:keepNext/>
        <w:jc w:val="both"/>
        <w:rPr>
          <w:sz w:val="22"/>
          <w:szCs w:val="22"/>
        </w:rPr>
      </w:pPr>
      <w:bookmarkStart w:id="12" w:name="_Toc121826551"/>
      <w:r w:rsidRPr="00CD5228">
        <w:rPr>
          <w:color w:val="auto"/>
          <w:sz w:val="20"/>
          <w:szCs w:val="20"/>
        </w:rPr>
        <w:lastRenderedPageBreak/>
        <w:t xml:space="preserve">Wykres </w:t>
      </w:r>
      <w:r w:rsidRPr="00CD5228">
        <w:rPr>
          <w:color w:val="auto"/>
          <w:sz w:val="20"/>
          <w:szCs w:val="20"/>
        </w:rPr>
        <w:fldChar w:fldCharType="begin"/>
      </w:r>
      <w:r w:rsidRPr="00CD5228">
        <w:rPr>
          <w:color w:val="auto"/>
          <w:sz w:val="20"/>
          <w:szCs w:val="20"/>
        </w:rPr>
        <w:instrText xml:space="preserve"> SEQ Wykres \* ARABIC </w:instrText>
      </w:r>
      <w:r w:rsidRPr="00CD5228">
        <w:rPr>
          <w:color w:val="auto"/>
          <w:sz w:val="20"/>
          <w:szCs w:val="20"/>
        </w:rPr>
        <w:fldChar w:fldCharType="separate"/>
      </w:r>
      <w:r w:rsidR="001F2919">
        <w:rPr>
          <w:noProof/>
          <w:color w:val="auto"/>
          <w:sz w:val="20"/>
          <w:szCs w:val="20"/>
        </w:rPr>
        <w:t>1</w:t>
      </w:r>
      <w:r w:rsidRPr="00CD5228">
        <w:rPr>
          <w:color w:val="auto"/>
          <w:sz w:val="20"/>
          <w:szCs w:val="20"/>
        </w:rPr>
        <w:fldChar w:fldCharType="end"/>
      </w:r>
      <w:r w:rsidRPr="00CD5228">
        <w:rPr>
          <w:b/>
          <w:color w:val="auto"/>
          <w:sz w:val="20"/>
          <w:szCs w:val="20"/>
        </w:rPr>
        <w:t xml:space="preserve"> </w:t>
      </w:r>
      <w:r w:rsidRPr="00CD5228">
        <w:rPr>
          <w:b/>
          <w:i w:val="0"/>
          <w:color w:val="auto"/>
          <w:sz w:val="20"/>
          <w:szCs w:val="20"/>
        </w:rPr>
        <w:t>Przeciętna długość trwania życia kobiet i mężczyzn w okresie 1</w:t>
      </w:r>
      <w:r w:rsidR="00465449">
        <w:rPr>
          <w:b/>
          <w:i w:val="0"/>
          <w:color w:val="auto"/>
          <w:sz w:val="20"/>
          <w:szCs w:val="20"/>
        </w:rPr>
        <w:t>990–</w:t>
      </w:r>
      <w:r w:rsidRPr="00CD5228">
        <w:rPr>
          <w:b/>
          <w:i w:val="0"/>
          <w:color w:val="auto"/>
          <w:sz w:val="20"/>
          <w:szCs w:val="20"/>
        </w:rPr>
        <w:t>2021 (w latach)</w:t>
      </w:r>
      <w:bookmarkEnd w:id="12"/>
    </w:p>
    <w:p w14:paraId="5482645B" w14:textId="77777777" w:rsidR="00DA0B4A" w:rsidRDefault="00894A06" w:rsidP="00F57ACE">
      <w:pPr>
        <w:spacing w:before="6" w:after="6" w:line="288" w:lineRule="auto"/>
        <w:jc w:val="both"/>
      </w:pPr>
      <w:r>
        <w:rPr>
          <w:noProof/>
          <w:lang w:eastAsia="pl-PL"/>
        </w:rPr>
        <w:drawing>
          <wp:inline distT="0" distB="0" distL="0" distR="0" wp14:anchorId="5A5C6C6A" wp14:editId="26B8175E">
            <wp:extent cx="5746750" cy="2190115"/>
            <wp:effectExtent l="0" t="0" r="6350" b="635"/>
            <wp:docPr id="3" name="Wykres 3">
              <a:extLst xmlns:a="http://schemas.openxmlformats.org/drawingml/2006/main">
                <a:ext uri="{FF2B5EF4-FFF2-40B4-BE49-F238E27FC236}">
                  <a16:creationId xmlns:a16="http://schemas.microsoft.com/office/drawing/2014/main" id="{2EC532E8-A282-D36C-E590-BB8F8EB97F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950CDD4" w14:textId="66D51B0D" w:rsidR="006C1FFC" w:rsidRPr="00525E33" w:rsidRDefault="00F13C8F" w:rsidP="00FC1C49">
      <w:pPr>
        <w:spacing w:before="6" w:after="6" w:line="288" w:lineRule="auto"/>
        <w:jc w:val="both"/>
        <w:rPr>
          <w:i/>
          <w:sz w:val="18"/>
          <w:szCs w:val="18"/>
        </w:rPr>
      </w:pPr>
      <w:r w:rsidRPr="00525E33">
        <w:rPr>
          <w:i/>
          <w:sz w:val="18"/>
          <w:szCs w:val="18"/>
        </w:rPr>
        <w:t>Źródł</w:t>
      </w:r>
      <w:r w:rsidR="00060D4D">
        <w:rPr>
          <w:i/>
          <w:sz w:val="18"/>
          <w:szCs w:val="18"/>
        </w:rPr>
        <w:t>o: Tablice trwania życia 1990</w:t>
      </w:r>
      <w:r w:rsidR="00934FE6">
        <w:rPr>
          <w:i/>
          <w:sz w:val="18"/>
          <w:szCs w:val="18"/>
        </w:rPr>
        <w:t>–</w:t>
      </w:r>
      <w:r w:rsidRPr="00525E33">
        <w:rPr>
          <w:i/>
          <w:sz w:val="18"/>
          <w:szCs w:val="18"/>
        </w:rPr>
        <w:t>2021, G</w:t>
      </w:r>
      <w:r w:rsidR="007402C1">
        <w:rPr>
          <w:i/>
          <w:sz w:val="18"/>
          <w:szCs w:val="18"/>
        </w:rPr>
        <w:t>US</w:t>
      </w:r>
    </w:p>
    <w:p w14:paraId="1BF4FE88" w14:textId="77777777" w:rsidR="003337F6" w:rsidRPr="00F13C8F" w:rsidRDefault="003337F6" w:rsidP="00F57ACE">
      <w:pPr>
        <w:spacing w:before="6" w:after="6" w:line="288" w:lineRule="auto"/>
        <w:jc w:val="both"/>
        <w:rPr>
          <w:i/>
          <w:iCs/>
          <w:sz w:val="20"/>
          <w:szCs w:val="20"/>
        </w:rPr>
      </w:pPr>
    </w:p>
    <w:p w14:paraId="20D569F2" w14:textId="63C19AE3" w:rsidR="0029150C" w:rsidRPr="0029150C" w:rsidRDefault="0029150C" w:rsidP="00F57ACE">
      <w:pPr>
        <w:spacing w:before="6" w:after="6" w:line="288" w:lineRule="auto"/>
        <w:jc w:val="both"/>
      </w:pPr>
      <w:r w:rsidRPr="0029150C">
        <w:t xml:space="preserve">Na koniec 2020 roku indeks starości wynosił 121 (w 2019 roku </w:t>
      </w:r>
      <w:r w:rsidR="00934FE6">
        <w:t>–</w:t>
      </w:r>
      <w:r w:rsidRPr="0029150C">
        <w:t xml:space="preserve"> 118), co oznacza, że</w:t>
      </w:r>
      <w:r w:rsidR="00465449">
        <w:t> </w:t>
      </w:r>
      <w:r w:rsidRPr="0029150C">
        <w:t>na</w:t>
      </w:r>
      <w:r w:rsidR="00465449">
        <w:t> </w:t>
      </w:r>
      <w:r w:rsidRPr="0029150C">
        <w:t>100</w:t>
      </w:r>
      <w:r w:rsidR="00465449">
        <w:t> </w:t>
      </w:r>
      <w:r w:rsidRPr="0029150C">
        <w:t>„wnuczków” (dzieci w wieku 0</w:t>
      </w:r>
      <w:r w:rsidR="00934FE6">
        <w:t>–</w:t>
      </w:r>
      <w:r w:rsidRPr="0029150C">
        <w:t>14 lat) przypadało 121 „dziadków” (osób w wieku 65 i więcej lat), a</w:t>
      </w:r>
      <w:r w:rsidR="00A40C96">
        <w:t> </w:t>
      </w:r>
      <w:r w:rsidRPr="0029150C">
        <w:t>różnica w wielkości tych populacji wynosiła 1,2 mln na niekorzyść dzieci (w miastach sięgała 1,3</w:t>
      </w:r>
      <w:r w:rsidR="00465449">
        <w:t> </w:t>
      </w:r>
      <w:r w:rsidRPr="0029150C">
        <w:t>mln, a na terenach wiejskich nadal jest więcej dzieci – o 99</w:t>
      </w:r>
      <w:r w:rsidR="00465449">
        <w:t xml:space="preserve"> tys.). W ostatnim ćwierćwieczu</w:t>
      </w:r>
      <w:r w:rsidRPr="0029150C">
        <w:t xml:space="preserve"> najszybsze tempo starzenia ludności miało miejsce w woj. opolskim, zachodniopomorskim i śląskim. W</w:t>
      </w:r>
      <w:r w:rsidR="00A40C96">
        <w:t> </w:t>
      </w:r>
      <w:r w:rsidRPr="0029150C">
        <w:t>najmniejszym stopniu zmieniły się od 1990 roku parametry demograficzne cechujące ludność woj.</w:t>
      </w:r>
      <w:r w:rsidR="00465449">
        <w:t> </w:t>
      </w:r>
      <w:r w:rsidRPr="0029150C">
        <w:t>mazowieckiego, wielkopolskiego, lubelskiego oraz łódzkiego, którego mieszkańcy obecnie są</w:t>
      </w:r>
      <w:r w:rsidR="00465449">
        <w:t> </w:t>
      </w:r>
      <w:r w:rsidRPr="0029150C">
        <w:t>określani jako najstarsi w Polsce.</w:t>
      </w:r>
      <w:r w:rsidRPr="0029150C">
        <w:rPr>
          <w:vertAlign w:val="superscript"/>
        </w:rPr>
        <w:footnoteReference w:id="11"/>
      </w:r>
      <w:r w:rsidR="00FE6826" w:rsidRPr="004B6D6C">
        <w:rPr>
          <w:vertAlign w:val="superscript"/>
        </w:rPr>
        <w:t>)</w:t>
      </w:r>
    </w:p>
    <w:p w14:paraId="364E27C8" w14:textId="4B9B49FC" w:rsidR="0029150C" w:rsidRPr="0029150C" w:rsidRDefault="0029150C" w:rsidP="00C4360D">
      <w:pPr>
        <w:spacing w:before="6" w:after="6" w:line="288" w:lineRule="auto"/>
        <w:jc w:val="both"/>
      </w:pPr>
      <w:r w:rsidRPr="0029150C">
        <w:t>Zmiany zachodzące w strukturze wieku Polaków oznaczają systematyczny spadek liczby osób w wieku produkcyjnym i wzrost liczby osób starszych. Od 2010 roku odsetek osób w wieku produkcyjnym obniża się</w:t>
      </w:r>
      <w:r w:rsidR="00A85CAB" w:rsidRPr="00C42091">
        <w:t xml:space="preserve">. </w:t>
      </w:r>
      <w:r w:rsidR="00C42091">
        <w:t>W 2010 roku</w:t>
      </w:r>
      <w:r w:rsidR="002334E8">
        <w:t xml:space="preserve"> </w:t>
      </w:r>
      <w:r w:rsidR="009E1DFC">
        <w:t xml:space="preserve">był on na poziomie </w:t>
      </w:r>
      <w:r w:rsidR="002334E8" w:rsidRPr="00C42091">
        <w:t>64,4%</w:t>
      </w:r>
      <w:r w:rsidR="0092792B">
        <w:t>,</w:t>
      </w:r>
      <w:r w:rsidRPr="00C42091">
        <w:t xml:space="preserve"> </w:t>
      </w:r>
      <w:r w:rsidR="009E1DFC">
        <w:t>a</w:t>
      </w:r>
      <w:r w:rsidR="009D452C" w:rsidRPr="00C42091">
        <w:t xml:space="preserve"> </w:t>
      </w:r>
      <w:r w:rsidRPr="00C42091">
        <w:t>w 2020 roku osiągnął poziom 60%.</w:t>
      </w:r>
      <w:r w:rsidRPr="0029150C">
        <w:t xml:space="preserve"> </w:t>
      </w:r>
      <w:r w:rsidRPr="0057073D">
        <w:t>Wielkość tej populacji wyniosła prawie 23 mln, tj. o 255 tys. mniej niż rok wcześniej</w:t>
      </w:r>
      <w:r w:rsidRPr="0029150C">
        <w:t xml:space="preserve">. Od 2010 roku liczba ludności w wieku produkcyjnym zmniejszyła się o ponad 2 mln. Zwiększa się natomiast odsetek osób w wieku poprodukcyjnym (kobiety </w:t>
      </w:r>
      <w:r w:rsidR="00934FE6">
        <w:t>–</w:t>
      </w:r>
      <w:r w:rsidRPr="0029150C">
        <w:t xml:space="preserve"> 60 lat i więcej, mężczyźni </w:t>
      </w:r>
      <w:r w:rsidR="00934FE6">
        <w:t>–</w:t>
      </w:r>
      <w:r w:rsidRPr="0029150C">
        <w:t xml:space="preserve"> 65 i więcej). W latach 2000</w:t>
      </w:r>
      <w:r w:rsidR="00934FE6">
        <w:t>–</w:t>
      </w:r>
      <w:r w:rsidRPr="0029150C">
        <w:t xml:space="preserve">2020 liczebność tej zbiorowości zwiększyła się o ponad 2,9 mln </w:t>
      </w:r>
      <w:r w:rsidR="00934FE6">
        <w:t>–</w:t>
      </w:r>
      <w:r w:rsidRPr="0029150C">
        <w:t xml:space="preserve"> do 8,5 mln osób, a jej odsetek wzrósł w tym okresie z</w:t>
      </w:r>
      <w:r w:rsidR="00263AAC">
        <w:t> </w:t>
      </w:r>
      <w:r w:rsidRPr="0029150C">
        <w:t>niespełna 15% do ponad 22%. Na zwiększanie się liczby osób w wieku poprodukcyjnym wpływ ma wzrost liczebności grupy osób w sędziwym wieku (80 i więcej lat), która w 2000 roku liczyła 774 tys. osób (2% ogółu ludności), a w 2020 r</w:t>
      </w:r>
      <w:r w:rsidR="00A26152">
        <w:t>oku</w:t>
      </w:r>
      <w:r w:rsidRPr="0029150C">
        <w:t xml:space="preserve"> już prawie 1,7 mln i stanowiła 4,4% ogólnej populacji Polski.</w:t>
      </w:r>
      <w:r w:rsidRPr="0029150C">
        <w:rPr>
          <w:vertAlign w:val="superscript"/>
        </w:rPr>
        <w:footnoteReference w:id="12"/>
      </w:r>
      <w:r w:rsidR="00EE4274" w:rsidRPr="004B6D6C">
        <w:rPr>
          <w:vertAlign w:val="superscript"/>
        </w:rPr>
        <w:t>)</w:t>
      </w:r>
      <w:r w:rsidRPr="0029150C">
        <w:t xml:space="preserve"> </w:t>
      </w:r>
      <w:bookmarkStart w:id="14" w:name="_Hlk96064755"/>
      <w:r w:rsidRPr="0029150C">
        <w:t>Wskaźnik obciążenia demograficznego osobami starszymi w 2020 r</w:t>
      </w:r>
      <w:r w:rsidR="00957A07">
        <w:t>oku</w:t>
      </w:r>
      <w:r w:rsidRPr="0029150C">
        <w:t xml:space="preserve"> wzrósł do poziomu 28,2</w:t>
      </w:r>
      <w:r w:rsidR="00465449">
        <w:t> </w:t>
      </w:r>
      <w:r w:rsidRPr="0029150C">
        <w:t>(z</w:t>
      </w:r>
      <w:r w:rsidR="00465449">
        <w:t> </w:t>
      </w:r>
      <w:r w:rsidRPr="0029150C">
        <w:t>27,2</w:t>
      </w:r>
      <w:r w:rsidR="00465449">
        <w:t> </w:t>
      </w:r>
      <w:r w:rsidRPr="0029150C">
        <w:t>w roku 2019), a wskaźnik ludności w wieku poprodukcyjnym na 100 osób w wieku produkcyjnym ukształtował się na poziomie 37,5 – podczas gdy rok wcześniej wy</w:t>
      </w:r>
      <w:r w:rsidR="00465449">
        <w:t>nosił 36,5. Według prognozy GUS</w:t>
      </w:r>
      <w:r w:rsidRPr="0029150C">
        <w:t xml:space="preserve"> liczba ludności w wieku 60 lat i więcej w Polsce w roku 2030 ma wzrosnąć do poziomu 10,8 mln, a</w:t>
      </w:r>
      <w:r w:rsidR="00910A95">
        <w:t> </w:t>
      </w:r>
      <w:r w:rsidRPr="0029150C">
        <w:t>w</w:t>
      </w:r>
      <w:r w:rsidR="00910A95">
        <w:t> </w:t>
      </w:r>
      <w:r w:rsidRPr="0029150C">
        <w:t xml:space="preserve">2050 roku wyniesie 13,7 mln </w:t>
      </w:r>
      <w:r w:rsidR="00934FE6">
        <w:t>–</w:t>
      </w:r>
      <w:r w:rsidRPr="0029150C">
        <w:t xml:space="preserve"> osoby te będą stanowiły </w:t>
      </w:r>
      <w:r w:rsidR="00465449">
        <w:t>około 40% ogółu ludności Polski</w:t>
      </w:r>
      <w:r w:rsidRPr="0029150C">
        <w:rPr>
          <w:vertAlign w:val="superscript"/>
        </w:rPr>
        <w:footnoteReference w:id="13"/>
      </w:r>
      <w:r w:rsidR="00FE6826" w:rsidRPr="004B6D6C">
        <w:rPr>
          <w:vertAlign w:val="superscript"/>
        </w:rPr>
        <w:t>)</w:t>
      </w:r>
      <w:bookmarkEnd w:id="14"/>
      <w:r w:rsidR="00465449" w:rsidRPr="0029150C">
        <w:t>.</w:t>
      </w:r>
    </w:p>
    <w:p w14:paraId="6F58E657" w14:textId="4B42119A" w:rsidR="00FA3CAF" w:rsidRDefault="0029150C" w:rsidP="00F57ACE">
      <w:pPr>
        <w:spacing w:before="6" w:after="6" w:line="288" w:lineRule="auto"/>
        <w:jc w:val="both"/>
      </w:pPr>
      <w:r w:rsidRPr="0029150C">
        <w:lastRenderedPageBreak/>
        <w:t>Wraz z wydłużaniem się przeciętnego dalszego trwania życia rośnie przeciętny okres pobierania emerytury. W związku z tym, że bieżące wydatki na świadczenia emerytalne finansowane są głównie z</w:t>
      </w:r>
      <w:r w:rsidR="00127128">
        <w:t> </w:t>
      </w:r>
      <w:r w:rsidRPr="0029150C">
        <w:t xml:space="preserve">bieżących składek pokolenia pracującego, wpłynie to na obniżenie stopy zastąpienia </w:t>
      </w:r>
      <w:r w:rsidR="00934FE6">
        <w:t>–</w:t>
      </w:r>
      <w:r w:rsidR="0091558F" w:rsidRPr="0091558F">
        <w:t xml:space="preserve"> relacji prognozowanego świadczenia do ostatniego lub przeciętnego wynagrodzenia (z danego okresu) osoby, która uzyska uprawnienie emerytalne</w:t>
      </w:r>
      <w:r w:rsidR="00233E40">
        <w:t xml:space="preserve"> </w:t>
      </w:r>
      <w:r w:rsidR="00934FE6">
        <w:t>–</w:t>
      </w:r>
      <w:r w:rsidR="003849AF">
        <w:t xml:space="preserve"> </w:t>
      </w:r>
      <w:r w:rsidRPr="0029150C">
        <w:t xml:space="preserve">z obecnych ok. 50% do ok. </w:t>
      </w:r>
      <w:r w:rsidR="00CD19A7">
        <w:t>25</w:t>
      </w:r>
      <w:r w:rsidRPr="0029150C">
        <w:t>% w 2060 roku</w:t>
      </w:r>
      <w:r w:rsidR="00CD19A7">
        <w:rPr>
          <w:rStyle w:val="Odwoanieprzypisudolnego"/>
        </w:rPr>
        <w:footnoteReference w:id="14"/>
      </w:r>
      <w:r w:rsidR="00FE6826" w:rsidRPr="004B6D6C">
        <w:rPr>
          <w:vertAlign w:val="superscript"/>
        </w:rPr>
        <w:t>)</w:t>
      </w:r>
      <w:r w:rsidRPr="0029150C">
        <w:t>.</w:t>
      </w:r>
    </w:p>
    <w:p w14:paraId="40898AC5" w14:textId="77777777" w:rsidR="000C6B24" w:rsidRDefault="000C6B24" w:rsidP="00F57ACE">
      <w:pPr>
        <w:spacing w:before="6" w:after="6" w:line="288" w:lineRule="auto"/>
        <w:jc w:val="both"/>
      </w:pPr>
    </w:p>
    <w:p w14:paraId="779D8872" w14:textId="5E8904FA" w:rsidR="00913490" w:rsidRPr="007D7F26" w:rsidRDefault="00913490" w:rsidP="007D7F26">
      <w:pPr>
        <w:pStyle w:val="Legenda"/>
        <w:keepNext/>
        <w:jc w:val="both"/>
        <w:rPr>
          <w:color w:val="auto"/>
          <w:sz w:val="20"/>
          <w:szCs w:val="20"/>
        </w:rPr>
      </w:pPr>
      <w:bookmarkStart w:id="15" w:name="_Toc121826552"/>
      <w:r w:rsidRPr="007D7F26">
        <w:rPr>
          <w:color w:val="auto"/>
          <w:sz w:val="20"/>
          <w:szCs w:val="20"/>
        </w:rPr>
        <w:t xml:space="preserve">Wykres </w:t>
      </w:r>
      <w:r w:rsidRPr="007D7F26">
        <w:rPr>
          <w:color w:val="auto"/>
          <w:sz w:val="20"/>
          <w:szCs w:val="20"/>
        </w:rPr>
        <w:fldChar w:fldCharType="begin"/>
      </w:r>
      <w:r w:rsidRPr="007D7F26">
        <w:rPr>
          <w:color w:val="auto"/>
          <w:sz w:val="20"/>
          <w:szCs w:val="20"/>
        </w:rPr>
        <w:instrText xml:space="preserve"> SEQ Wykres \* ARABIC </w:instrText>
      </w:r>
      <w:r w:rsidRPr="007D7F26">
        <w:rPr>
          <w:color w:val="auto"/>
          <w:sz w:val="20"/>
          <w:szCs w:val="20"/>
        </w:rPr>
        <w:fldChar w:fldCharType="separate"/>
      </w:r>
      <w:r w:rsidR="001F2919">
        <w:rPr>
          <w:noProof/>
          <w:color w:val="auto"/>
          <w:sz w:val="20"/>
          <w:szCs w:val="20"/>
        </w:rPr>
        <w:t>2</w:t>
      </w:r>
      <w:r w:rsidRPr="007D7F26">
        <w:rPr>
          <w:color w:val="auto"/>
          <w:sz w:val="20"/>
          <w:szCs w:val="20"/>
        </w:rPr>
        <w:fldChar w:fldCharType="end"/>
      </w:r>
      <w:r w:rsidRPr="007D7F26">
        <w:rPr>
          <w:color w:val="auto"/>
          <w:sz w:val="20"/>
          <w:szCs w:val="20"/>
        </w:rPr>
        <w:t xml:space="preserve"> </w:t>
      </w:r>
      <w:r w:rsidR="00AA673D" w:rsidRPr="007D7F26">
        <w:rPr>
          <w:b/>
          <w:bCs/>
          <w:i w:val="0"/>
          <w:iCs w:val="0"/>
          <w:color w:val="auto"/>
          <w:sz w:val="20"/>
          <w:szCs w:val="20"/>
        </w:rPr>
        <w:t>Stopa zastąpienia</w:t>
      </w:r>
      <w:bookmarkEnd w:id="15"/>
    </w:p>
    <w:p w14:paraId="7188784B" w14:textId="77777777" w:rsidR="00FA3CAF" w:rsidRDefault="009A7950" w:rsidP="00F57ACE">
      <w:pPr>
        <w:spacing w:before="6" w:after="6" w:line="288" w:lineRule="auto"/>
        <w:jc w:val="both"/>
      </w:pPr>
      <w:r>
        <w:rPr>
          <w:noProof/>
          <w:lang w:eastAsia="pl-PL"/>
        </w:rPr>
        <w:drawing>
          <wp:inline distT="0" distB="0" distL="0" distR="0" wp14:anchorId="7F654A76" wp14:editId="6BE67E7C">
            <wp:extent cx="5760000" cy="2880000"/>
            <wp:effectExtent l="0" t="0" r="12700" b="15875"/>
            <wp:docPr id="15" name="Wykres 15">
              <a:extLst xmlns:a="http://schemas.openxmlformats.org/drawingml/2006/main">
                <a:ext uri="{FF2B5EF4-FFF2-40B4-BE49-F238E27FC236}">
                  <a16:creationId xmlns:a16="http://schemas.microsoft.com/office/drawing/2014/main" id="{A49D7DA3-B083-E30B-01BA-DBE1E3F0F2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B7BD141" w14:textId="77777777" w:rsidR="00FA3CAF" w:rsidRDefault="00AA673D" w:rsidP="00F57ACE">
      <w:pPr>
        <w:spacing w:before="6" w:after="6" w:line="288" w:lineRule="auto"/>
        <w:jc w:val="both"/>
        <w:rPr>
          <w:i/>
          <w:sz w:val="18"/>
          <w:szCs w:val="18"/>
        </w:rPr>
      </w:pPr>
      <w:r w:rsidRPr="005D30EF">
        <w:rPr>
          <w:i/>
          <w:sz w:val="18"/>
          <w:szCs w:val="18"/>
        </w:rPr>
        <w:t>Źródło</w:t>
      </w:r>
      <w:r w:rsidR="005D30EF">
        <w:rPr>
          <w:i/>
          <w:iCs/>
          <w:sz w:val="18"/>
          <w:szCs w:val="18"/>
        </w:rPr>
        <w:t>:</w:t>
      </w:r>
      <w:r w:rsidR="00C04648" w:rsidRPr="005D30EF">
        <w:rPr>
          <w:i/>
          <w:sz w:val="18"/>
          <w:szCs w:val="18"/>
        </w:rPr>
        <w:t xml:space="preserve"> </w:t>
      </w:r>
      <w:r w:rsidR="0060732B" w:rsidRPr="0060732B">
        <w:rPr>
          <w:i/>
          <w:iCs/>
          <w:sz w:val="18"/>
          <w:szCs w:val="18"/>
        </w:rPr>
        <w:t xml:space="preserve">opracowanie </w:t>
      </w:r>
      <w:r w:rsidR="0051242D">
        <w:rPr>
          <w:i/>
          <w:iCs/>
          <w:sz w:val="18"/>
          <w:szCs w:val="18"/>
        </w:rPr>
        <w:t xml:space="preserve">PFR Portal PPK </w:t>
      </w:r>
      <w:r w:rsidR="0060732B" w:rsidRPr="0060732B">
        <w:rPr>
          <w:i/>
          <w:iCs/>
          <w:sz w:val="18"/>
          <w:szCs w:val="18"/>
        </w:rPr>
        <w:t>na podstawie danych GUS i ZUS</w:t>
      </w:r>
    </w:p>
    <w:p w14:paraId="781775C3" w14:textId="77777777" w:rsidR="00324A33" w:rsidRPr="007D7F26" w:rsidRDefault="00324A33" w:rsidP="00F57ACE">
      <w:pPr>
        <w:spacing w:before="6" w:after="6" w:line="288" w:lineRule="auto"/>
        <w:jc w:val="both"/>
        <w:rPr>
          <w:i/>
          <w:iCs/>
          <w:sz w:val="18"/>
          <w:szCs w:val="18"/>
        </w:rPr>
      </w:pPr>
    </w:p>
    <w:p w14:paraId="370DC129" w14:textId="3F4B1CDD" w:rsidR="0029150C" w:rsidRPr="0029150C" w:rsidRDefault="0029150C" w:rsidP="00F57ACE">
      <w:pPr>
        <w:spacing w:before="6" w:after="6" w:line="288" w:lineRule="auto"/>
        <w:jc w:val="both"/>
      </w:pPr>
      <w:r w:rsidRPr="0029150C">
        <w:t xml:space="preserve">Jeszcze w 2011 roku </w:t>
      </w:r>
      <w:r w:rsidR="00380355">
        <w:t xml:space="preserve">przeciętny </w:t>
      </w:r>
      <w:r w:rsidRPr="0029150C">
        <w:t>okres pobierania emerytur wynosił 16 lat i dwa miesiące</w:t>
      </w:r>
      <w:r w:rsidR="00157C20">
        <w:t xml:space="preserve"> </w:t>
      </w:r>
      <w:r w:rsidR="00934FE6">
        <w:t>–</w:t>
      </w:r>
      <w:r w:rsidR="00510D40">
        <w:t xml:space="preserve"> </w:t>
      </w:r>
      <w:r w:rsidR="00834BBA">
        <w:t>mężczy</w:t>
      </w:r>
      <w:r w:rsidR="00510D40">
        <w:t>źni</w:t>
      </w:r>
      <w:r w:rsidR="00834BBA">
        <w:t xml:space="preserve"> </w:t>
      </w:r>
      <w:r w:rsidR="00F01B1D">
        <w:t xml:space="preserve">pobierali emeryturę przez </w:t>
      </w:r>
      <w:r w:rsidR="00157C20">
        <w:t>15 lat i 4 miesiące, a kobiet</w:t>
      </w:r>
      <w:r w:rsidR="00F01B1D">
        <w:t>y</w:t>
      </w:r>
      <w:r w:rsidR="00157C20">
        <w:t xml:space="preserve"> </w:t>
      </w:r>
      <w:r w:rsidR="00B16543">
        <w:t>przez 17 lat i 6 miesięcy</w:t>
      </w:r>
      <w:r w:rsidRPr="0029150C">
        <w:t>, a w 2017 roku już</w:t>
      </w:r>
      <w:r w:rsidR="004C5CFB">
        <w:t> </w:t>
      </w:r>
      <w:r w:rsidRPr="0029150C">
        <w:t>18</w:t>
      </w:r>
      <w:r w:rsidR="00910A95">
        <w:t> </w:t>
      </w:r>
      <w:r w:rsidRPr="0029150C">
        <w:t>lat i dwa miesiące</w:t>
      </w:r>
      <w:r w:rsidR="005F7EB9">
        <w:t xml:space="preserve"> </w:t>
      </w:r>
      <w:r w:rsidR="00934FE6">
        <w:t>–</w:t>
      </w:r>
      <w:r w:rsidR="005F7EB9">
        <w:t xml:space="preserve"> </w:t>
      </w:r>
      <w:r w:rsidR="004B2236">
        <w:t xml:space="preserve">mężczyźni pobierali emeryturę przez 16 lat i 8 miesięcy, a kobiety </w:t>
      </w:r>
      <w:r w:rsidR="008B5946">
        <w:t xml:space="preserve">przez </w:t>
      </w:r>
      <w:r w:rsidR="0004519E">
        <w:t>20 lat i</w:t>
      </w:r>
      <w:r w:rsidR="00910A95">
        <w:t> </w:t>
      </w:r>
      <w:r w:rsidR="004B2236">
        <w:t>3</w:t>
      </w:r>
      <w:r w:rsidR="004C5CFB">
        <w:t> </w:t>
      </w:r>
      <w:r w:rsidR="0004519E">
        <w:t>miesiące</w:t>
      </w:r>
      <w:r w:rsidRPr="0029150C">
        <w:rPr>
          <w:vertAlign w:val="superscript"/>
        </w:rPr>
        <w:footnoteReference w:id="15"/>
      </w:r>
      <w:r w:rsidR="00FE6826" w:rsidRPr="004B6D6C">
        <w:rPr>
          <w:vertAlign w:val="superscript"/>
        </w:rPr>
        <w:t>)</w:t>
      </w:r>
      <w:r w:rsidRPr="0029150C">
        <w:t xml:space="preserve"> </w:t>
      </w:r>
      <w:r w:rsidRPr="002A7586">
        <w:rPr>
          <w:vertAlign w:val="superscript"/>
        </w:rPr>
        <w:footnoteReference w:id="16"/>
      </w:r>
      <w:r w:rsidR="00FE6826" w:rsidRPr="004B6D6C">
        <w:rPr>
          <w:vertAlign w:val="superscript"/>
        </w:rPr>
        <w:t>)</w:t>
      </w:r>
      <w:r w:rsidR="004C5CFB" w:rsidRPr="0029150C">
        <w:t>.</w:t>
      </w:r>
      <w:r w:rsidRPr="0029150C">
        <w:t xml:space="preserve"> W 2020 roku </w:t>
      </w:r>
      <w:r w:rsidR="00934FE6">
        <w:t>–</w:t>
      </w:r>
      <w:r w:rsidRPr="0029150C">
        <w:t xml:space="preserve"> w porównaniu do roku poprzedniego </w:t>
      </w:r>
      <w:r w:rsidR="00934FE6">
        <w:t>–</w:t>
      </w:r>
      <w:r w:rsidRPr="0029150C">
        <w:t xml:space="preserve"> we wszystkich województwach odnotowano wzrost liczby emerytów, pobierających świadczenia z ZUS, najwyższy w województwach: lubelskim i</w:t>
      </w:r>
      <w:r w:rsidR="00263AAC">
        <w:t> </w:t>
      </w:r>
      <w:r w:rsidRPr="0029150C">
        <w:t>warmińsko-mazurskim (o 3,5%), podlaskim (o 3,4%), a najniższy w wojewó</w:t>
      </w:r>
      <w:r w:rsidR="007F1C8D">
        <w:t>dztwie śląskim (o 1,3</w:t>
      </w:r>
      <w:r w:rsidRPr="0029150C">
        <w:t>%). Przeciętna miesięczna emerytura z</w:t>
      </w:r>
      <w:r w:rsidR="00435E83">
        <w:t> </w:t>
      </w:r>
      <w:r w:rsidRPr="0029150C">
        <w:t xml:space="preserve">ZUS w całym 2020 roku wyniosła 2 474,54 zł. Aż 5,2% osób otrzymywało emerytury niższe niż 50% mediany (poniżej 1 059,98 zł), natomiast 19,3% </w:t>
      </w:r>
      <w:r w:rsidR="00934FE6">
        <w:t>–</w:t>
      </w:r>
      <w:r w:rsidRPr="0029150C">
        <w:t xml:space="preserve"> wyższe niż 150% mediany (powyż</w:t>
      </w:r>
      <w:r w:rsidR="004C5CFB">
        <w:t xml:space="preserve">ej 3 179,94 zł). Dla porównania </w:t>
      </w:r>
      <w:r w:rsidRPr="0029150C">
        <w:t xml:space="preserve">w 2019 roku emerytury poniżej 50% mediany otrzymywało 4,6% osób, a powyżej 150% </w:t>
      </w:r>
      <w:r w:rsidR="00934FE6">
        <w:t>–</w:t>
      </w:r>
      <w:r w:rsidRPr="0029150C">
        <w:t xml:space="preserve"> 18,8%.</w:t>
      </w:r>
      <w:r w:rsidRPr="0029150C">
        <w:rPr>
          <w:vertAlign w:val="superscript"/>
        </w:rPr>
        <w:footnoteReference w:id="17"/>
      </w:r>
      <w:r w:rsidR="00FE6826" w:rsidRPr="004B6D6C">
        <w:rPr>
          <w:vertAlign w:val="superscript"/>
        </w:rPr>
        <w:t>)</w:t>
      </w:r>
      <w:r w:rsidRPr="0029150C">
        <w:t xml:space="preserve"> Co istotne, wydłużenie długości życia nie jest równoznaczne z wydłużeniem aktywności zawodowej osób starszych. Nadal głównym dochodem gospodarstw emerytów jest świadczenie z</w:t>
      </w:r>
      <w:r w:rsidR="00435E83">
        <w:t> </w:t>
      </w:r>
      <w:r w:rsidRPr="0029150C">
        <w:t>sytemu ubezpieczeń społecznych. W 2020 roku 8</w:t>
      </w:r>
      <w:r w:rsidR="00910A95">
        <w:t> </w:t>
      </w:r>
      <w:r w:rsidRPr="0029150C">
        <w:t>123 tys. seniorów było biernych zawodowo (tj. 85,5%). Liczba osób w wieku 60 lat i więcej aktywnych zawodowo wynosiła 1378 tys. Współczynnik aktywności zawodowej wyniósł 14,5%.</w:t>
      </w:r>
      <w:r w:rsidRPr="0029150C">
        <w:rPr>
          <w:vertAlign w:val="superscript"/>
        </w:rPr>
        <w:footnoteReference w:id="18"/>
      </w:r>
      <w:r w:rsidR="00FE6826" w:rsidRPr="004B6D6C">
        <w:rPr>
          <w:vertAlign w:val="superscript"/>
        </w:rPr>
        <w:t>)</w:t>
      </w:r>
    </w:p>
    <w:p w14:paraId="25B81D89" w14:textId="77777777" w:rsidR="00887905" w:rsidRPr="0029150C" w:rsidRDefault="00887905" w:rsidP="00F57ACE">
      <w:pPr>
        <w:spacing w:before="6" w:after="6" w:line="288" w:lineRule="auto"/>
        <w:jc w:val="both"/>
      </w:pPr>
    </w:p>
    <w:p w14:paraId="2351C9DE" w14:textId="77777777" w:rsidR="004F2940" w:rsidRPr="00194FF8" w:rsidRDefault="004F2940">
      <w:pPr>
        <w:pStyle w:val="Nagwek2"/>
        <w:numPr>
          <w:ilvl w:val="0"/>
          <w:numId w:val="23"/>
        </w:numPr>
        <w:spacing w:before="6" w:after="6" w:line="288" w:lineRule="auto"/>
        <w:jc w:val="both"/>
      </w:pPr>
      <w:bookmarkStart w:id="18" w:name="_Toc121828603"/>
      <w:r w:rsidRPr="00194FF8">
        <w:t>Stan systemu dodatkowych oszczędności przed PPK (PPE/IKE/IKZE)</w:t>
      </w:r>
      <w:bookmarkEnd w:id="18"/>
    </w:p>
    <w:p w14:paraId="13BA0CDD" w14:textId="1A8C1C8F" w:rsidR="00661D97" w:rsidRDefault="006417B3" w:rsidP="00217E4E">
      <w:pPr>
        <w:spacing w:before="6" w:after="6" w:line="288" w:lineRule="auto"/>
        <w:contextualSpacing/>
        <w:jc w:val="both"/>
      </w:pPr>
      <w:r>
        <w:t xml:space="preserve">Dodatkowe </w:t>
      </w:r>
      <w:r w:rsidR="00023B39">
        <w:t>oszczędności</w:t>
      </w:r>
      <w:r>
        <w:t xml:space="preserve"> na </w:t>
      </w:r>
      <w:r w:rsidR="00023B39">
        <w:t xml:space="preserve">cele emerytalne </w:t>
      </w:r>
      <w:r w:rsidR="00D5653B">
        <w:t xml:space="preserve">można </w:t>
      </w:r>
      <w:r w:rsidR="00934FE6">
        <w:t>–</w:t>
      </w:r>
      <w:r w:rsidR="00E778B0">
        <w:t xml:space="preserve"> </w:t>
      </w:r>
      <w:r w:rsidR="00085CD0">
        <w:t xml:space="preserve">obok PPK </w:t>
      </w:r>
      <w:r w:rsidR="00934FE6">
        <w:t>–</w:t>
      </w:r>
      <w:r w:rsidR="00085CD0">
        <w:t xml:space="preserve"> </w:t>
      </w:r>
      <w:r w:rsidR="00E778B0">
        <w:t xml:space="preserve">gromadzić </w:t>
      </w:r>
      <w:r w:rsidR="002E7712">
        <w:t xml:space="preserve">w </w:t>
      </w:r>
      <w:r w:rsidR="006D77AC">
        <w:t xml:space="preserve">sposób usystematyzowany przez ramy prawne w </w:t>
      </w:r>
      <w:r w:rsidR="00A10E47">
        <w:t xml:space="preserve">ramach </w:t>
      </w:r>
      <w:r w:rsidR="00661D97">
        <w:t>p</w:t>
      </w:r>
      <w:r w:rsidR="00085CD0">
        <w:t>racownicz</w:t>
      </w:r>
      <w:r w:rsidR="002E7712">
        <w:t>ych</w:t>
      </w:r>
      <w:r w:rsidR="00085CD0">
        <w:t xml:space="preserve"> program</w:t>
      </w:r>
      <w:r w:rsidR="00A10E47">
        <w:t xml:space="preserve">ów </w:t>
      </w:r>
      <w:r w:rsidR="00085CD0">
        <w:t>emerytaln</w:t>
      </w:r>
      <w:r w:rsidR="002E7712">
        <w:t>ych</w:t>
      </w:r>
      <w:r w:rsidR="00085CD0">
        <w:t xml:space="preserve"> (PPE), </w:t>
      </w:r>
      <w:r w:rsidR="00085CD0" w:rsidRPr="00085CD0">
        <w:t>indywidualn</w:t>
      </w:r>
      <w:r w:rsidR="002E7712">
        <w:t>ych</w:t>
      </w:r>
      <w:r w:rsidR="00085CD0" w:rsidRPr="00085CD0">
        <w:t xml:space="preserve"> kont emerytaln</w:t>
      </w:r>
      <w:r w:rsidR="00266823">
        <w:t>ych</w:t>
      </w:r>
      <w:r w:rsidR="00085CD0" w:rsidRPr="00085CD0">
        <w:t xml:space="preserve"> (IKE) oraz indywidualn</w:t>
      </w:r>
      <w:r w:rsidR="002E7712">
        <w:t xml:space="preserve">ych </w:t>
      </w:r>
      <w:r w:rsidR="00085CD0" w:rsidRPr="00085CD0">
        <w:t>kont zabezpieczenia emerytalnego (IKZE)</w:t>
      </w:r>
      <w:r w:rsidR="00661D97">
        <w:t>.</w:t>
      </w:r>
    </w:p>
    <w:p w14:paraId="638C2B23" w14:textId="202F439B" w:rsidR="00661D97" w:rsidRDefault="00085CD0" w:rsidP="00217E4E">
      <w:pPr>
        <w:spacing w:before="6" w:after="6" w:line="288" w:lineRule="auto"/>
        <w:contextualSpacing/>
        <w:jc w:val="both"/>
      </w:pPr>
      <w:r>
        <w:t>Zarówno PPE</w:t>
      </w:r>
      <w:r w:rsidR="008D3FDF">
        <w:t>,</w:t>
      </w:r>
      <w:r>
        <w:t xml:space="preserve"> jak </w:t>
      </w:r>
      <w:r w:rsidR="001315BF">
        <w:t xml:space="preserve">i </w:t>
      </w:r>
      <w:r>
        <w:t xml:space="preserve">IKE </w:t>
      </w:r>
      <w:r w:rsidR="001315BF">
        <w:t>oraz</w:t>
      </w:r>
      <w:r>
        <w:t xml:space="preserve"> IKZE powstały prze</w:t>
      </w:r>
      <w:r w:rsidR="000178B8">
        <w:t>d</w:t>
      </w:r>
      <w:r>
        <w:t xml:space="preserve"> wprowadzeniem </w:t>
      </w:r>
      <w:r w:rsidR="00661D97">
        <w:t>p</w:t>
      </w:r>
      <w:r>
        <w:t xml:space="preserve">racowniczych planów kapitałowych. </w:t>
      </w:r>
    </w:p>
    <w:p w14:paraId="135FC80B" w14:textId="40BB3EA7" w:rsidR="001347FB" w:rsidRDefault="004F2940" w:rsidP="00FA11FF">
      <w:pPr>
        <w:spacing w:before="6" w:after="6" w:line="288" w:lineRule="auto"/>
        <w:contextualSpacing/>
        <w:jc w:val="both"/>
      </w:pPr>
      <w:r w:rsidRPr="00E26980">
        <w:t>PPE</w:t>
      </w:r>
      <w:r w:rsidR="00B14390">
        <w:t>,</w:t>
      </w:r>
      <w:r w:rsidRPr="00E26980">
        <w:t xml:space="preserve"> stanowiące formę grupowego oszczędzania na emeryturę </w:t>
      </w:r>
      <w:r w:rsidR="00F35C56">
        <w:t>–</w:t>
      </w:r>
      <w:r w:rsidRPr="00E26980">
        <w:t xml:space="preserve"> organizowane przez pracodawcę przy współudziale pracowników</w:t>
      </w:r>
      <w:r w:rsidR="00194D78">
        <w:t>,</w:t>
      </w:r>
      <w:r w:rsidRPr="00E26980">
        <w:t xml:space="preserve"> działają </w:t>
      </w:r>
      <w:r w:rsidR="00D83DD3">
        <w:t xml:space="preserve">już </w:t>
      </w:r>
      <w:r w:rsidRPr="00E26980">
        <w:t xml:space="preserve">od 1999 roku. </w:t>
      </w:r>
      <w:r w:rsidR="0054440F" w:rsidRPr="002D477E">
        <w:rPr>
          <w:rFonts w:eastAsia="Times New Roman"/>
        </w:rPr>
        <w:t>Programy PPE są tworzone wyłącznie z</w:t>
      </w:r>
      <w:r w:rsidR="00263AAC">
        <w:rPr>
          <w:rFonts w:eastAsia="Times New Roman"/>
        </w:rPr>
        <w:t> </w:t>
      </w:r>
      <w:r w:rsidR="0054440F" w:rsidRPr="002D477E">
        <w:rPr>
          <w:rFonts w:eastAsia="Times New Roman"/>
        </w:rPr>
        <w:t xml:space="preserve">inicjatywy pracodawcy i </w:t>
      </w:r>
      <w:r w:rsidR="00B976F2" w:rsidRPr="002D477E">
        <w:rPr>
          <w:rFonts w:eastAsia="Times New Roman"/>
        </w:rPr>
        <w:t xml:space="preserve">stosunkowo </w:t>
      </w:r>
      <w:r w:rsidR="0054440F" w:rsidRPr="002D477E">
        <w:rPr>
          <w:rFonts w:eastAsia="Times New Roman"/>
        </w:rPr>
        <w:t>niewiele firm</w:t>
      </w:r>
      <w:r w:rsidR="002B2584">
        <w:rPr>
          <w:rFonts w:eastAsia="Times New Roman"/>
        </w:rPr>
        <w:t xml:space="preserve"> – zwłaszcza przed wejściem w życie ustawy o PPK </w:t>
      </w:r>
      <w:r w:rsidR="00F35C56">
        <w:rPr>
          <w:rFonts w:eastAsia="Times New Roman"/>
        </w:rPr>
        <w:t>–</w:t>
      </w:r>
      <w:r w:rsidR="002B2584">
        <w:rPr>
          <w:rFonts w:eastAsia="Times New Roman"/>
        </w:rPr>
        <w:t xml:space="preserve"> </w:t>
      </w:r>
      <w:r w:rsidR="00397CC5">
        <w:rPr>
          <w:rFonts w:eastAsia="Times New Roman"/>
        </w:rPr>
        <w:t>decyd</w:t>
      </w:r>
      <w:r w:rsidR="00E902E8">
        <w:rPr>
          <w:rFonts w:eastAsia="Times New Roman"/>
        </w:rPr>
        <w:t>owało</w:t>
      </w:r>
      <w:r w:rsidR="00397CC5">
        <w:rPr>
          <w:rFonts w:eastAsia="Times New Roman"/>
        </w:rPr>
        <w:t xml:space="preserve"> się na ich uruchomienie</w:t>
      </w:r>
      <w:r w:rsidR="0054440F" w:rsidRPr="002D477E">
        <w:rPr>
          <w:rFonts w:eastAsia="Times New Roman"/>
        </w:rPr>
        <w:t>. Jeśli jednak tak</w:t>
      </w:r>
      <w:r w:rsidR="005153EB" w:rsidRPr="002D477E">
        <w:rPr>
          <w:rFonts w:eastAsia="Times New Roman"/>
        </w:rPr>
        <w:t>ą</w:t>
      </w:r>
      <w:r w:rsidR="0054440F" w:rsidRPr="002D477E">
        <w:rPr>
          <w:rFonts w:eastAsia="Times New Roman"/>
        </w:rPr>
        <w:t xml:space="preserve"> możliwość </w:t>
      </w:r>
      <w:r w:rsidR="005153EB" w:rsidRPr="002D477E">
        <w:rPr>
          <w:rFonts w:eastAsia="Times New Roman"/>
        </w:rPr>
        <w:t xml:space="preserve">pracujący </w:t>
      </w:r>
      <w:r w:rsidR="00D311A7">
        <w:rPr>
          <w:rFonts w:eastAsia="Times New Roman"/>
        </w:rPr>
        <w:t>otrzymają,</w:t>
      </w:r>
      <w:r w:rsidR="0054440F" w:rsidRPr="002D477E">
        <w:rPr>
          <w:rFonts w:eastAsia="Times New Roman"/>
        </w:rPr>
        <w:t xml:space="preserve"> to nie warto z</w:t>
      </w:r>
      <w:r w:rsidR="00910A95">
        <w:rPr>
          <w:rFonts w:eastAsia="Times New Roman"/>
        </w:rPr>
        <w:t> </w:t>
      </w:r>
      <w:r w:rsidR="005153EB" w:rsidRPr="002D477E">
        <w:rPr>
          <w:rFonts w:eastAsia="Times New Roman"/>
        </w:rPr>
        <w:t>tego benefitu</w:t>
      </w:r>
      <w:r w:rsidR="0054440F" w:rsidRPr="002D477E">
        <w:rPr>
          <w:rFonts w:eastAsia="Times New Roman"/>
        </w:rPr>
        <w:t xml:space="preserve"> rezygnować, bo składki do tego programu (min. 3,5% wynagrodzenia pracownika) finansuje w całości pracodawca. </w:t>
      </w:r>
      <w:r w:rsidRPr="00E26980">
        <w:t xml:space="preserve">Z powodu </w:t>
      </w:r>
      <w:r w:rsidR="00EA0746">
        <w:t xml:space="preserve">ograniczonej liczby pracodawców zainteresowanych </w:t>
      </w:r>
      <w:r w:rsidR="00E56A7A">
        <w:t>tworzeniem PPE</w:t>
      </w:r>
      <w:r w:rsidR="008D3FDF">
        <w:t>,</w:t>
      </w:r>
      <w:r w:rsidR="00E56A7A">
        <w:t xml:space="preserve"> a co za tym idzie </w:t>
      </w:r>
      <w:r w:rsidRPr="00E26980">
        <w:t xml:space="preserve">niesatysfakcjonujących środków płynących do systemu z </w:t>
      </w:r>
      <w:r w:rsidR="00A7030F">
        <w:t xml:space="preserve">tych </w:t>
      </w:r>
      <w:r w:rsidRPr="00E26980">
        <w:t xml:space="preserve">programów, w 2004 roku postanowiono rozszerzyć ofertę produktów </w:t>
      </w:r>
      <w:r w:rsidR="00F628D3">
        <w:t>umożliwiających</w:t>
      </w:r>
      <w:r w:rsidR="007B515C">
        <w:t xml:space="preserve"> długoterminowe, </w:t>
      </w:r>
      <w:r w:rsidR="00F628D3">
        <w:t>dobrowolne</w:t>
      </w:r>
      <w:r w:rsidR="007B515C">
        <w:t xml:space="preserve"> oszczędzanie </w:t>
      </w:r>
      <w:r w:rsidR="0094717B">
        <w:t xml:space="preserve">na </w:t>
      </w:r>
      <w:r w:rsidR="002558E9">
        <w:t xml:space="preserve">okres po zakończeniu aktywności zawodowej </w:t>
      </w:r>
      <w:r w:rsidRPr="00E26980">
        <w:t>o</w:t>
      </w:r>
      <w:r w:rsidR="00C24A90">
        <w:t xml:space="preserve"> produkt indywidualny </w:t>
      </w:r>
      <w:r w:rsidR="00F35C56">
        <w:t>–</w:t>
      </w:r>
      <w:r w:rsidR="00C24A90">
        <w:t xml:space="preserve"> </w:t>
      </w:r>
      <w:r w:rsidRPr="00E26980">
        <w:t>IKE. Katalog rozwiązań związanych z dobrowolnym oszczędzaniem na cele emerytalne został ponownie rozszerzony 1 stycznia 2012 r</w:t>
      </w:r>
      <w:r w:rsidR="00A607B8">
        <w:t>.</w:t>
      </w:r>
      <w:r w:rsidRPr="00E26980">
        <w:t>, umożliwiono wtedy gromadzenie oszczędności na IKZE.</w:t>
      </w:r>
      <w:r w:rsidR="00E47D13">
        <w:t xml:space="preserve"> </w:t>
      </w:r>
      <w:r w:rsidR="00417446">
        <w:t>Warto wsp</w:t>
      </w:r>
      <w:r w:rsidR="008E68CE">
        <w:t>omnieć, że</w:t>
      </w:r>
      <w:r w:rsidR="00705B2A">
        <w:t xml:space="preserve"> </w:t>
      </w:r>
      <w:r w:rsidR="001E0061">
        <w:t>zarówno IKE, jak i IKZE</w:t>
      </w:r>
      <w:r w:rsidR="008E68CE">
        <w:t xml:space="preserve"> oferuj</w:t>
      </w:r>
      <w:r w:rsidR="00417EAD">
        <w:t>ą</w:t>
      </w:r>
      <w:r w:rsidR="008E68CE">
        <w:t xml:space="preserve"> szczególne przywileje </w:t>
      </w:r>
      <w:r w:rsidR="008E68CE" w:rsidRPr="00BB02BE">
        <w:t>podatkowe</w:t>
      </w:r>
      <w:r w:rsidR="00395A21" w:rsidRPr="00BB02BE">
        <w:t>, które</w:t>
      </w:r>
      <w:r w:rsidR="004C5CFB">
        <w:t> </w:t>
      </w:r>
      <w:r w:rsidR="00395A21" w:rsidRPr="00BB02BE">
        <w:t xml:space="preserve">dodatkowo powinny zachęcać do wyboru </w:t>
      </w:r>
      <w:r w:rsidR="001347FB" w:rsidRPr="00BB02BE">
        <w:t xml:space="preserve">właśnie </w:t>
      </w:r>
      <w:r w:rsidR="00395A21" w:rsidRPr="00BB02BE">
        <w:t>tych form oszczędzania</w:t>
      </w:r>
      <w:r w:rsidR="00417EAD" w:rsidRPr="00BB02BE">
        <w:t xml:space="preserve">. </w:t>
      </w:r>
      <w:r w:rsidR="00E47D13" w:rsidRPr="002D477E">
        <w:rPr>
          <w:rFonts w:ascii="Calibri" w:eastAsia="Times New Roman" w:hAnsi="Calibri" w:cs="Calibri"/>
          <w:lang w:eastAsia="pl-PL"/>
        </w:rPr>
        <w:t>O</w:t>
      </w:r>
      <w:r w:rsidR="00E47D13" w:rsidRPr="002D477E">
        <w:rPr>
          <w:rFonts w:eastAsia="Times New Roman"/>
        </w:rPr>
        <w:t>szczędzający na IKZE, w</w:t>
      </w:r>
      <w:r w:rsidR="00910A95">
        <w:rPr>
          <w:rFonts w:eastAsia="Times New Roman"/>
        </w:rPr>
        <w:t> </w:t>
      </w:r>
      <w:r w:rsidR="00E47D13" w:rsidRPr="002D477E">
        <w:rPr>
          <w:rFonts w:eastAsia="Times New Roman"/>
        </w:rPr>
        <w:t>każdym roku, w którym wpłaca na konto pieniądze, może – w ramach obowiązującego limitu – odjąć wpłaconą kwotę od podstawy opodatkowania i w ten sposób obniżyć należny podatek. Natomiast wypłata środków zgromadzonych na IKE</w:t>
      </w:r>
      <w:r w:rsidR="00C51AB8">
        <w:rPr>
          <w:rFonts w:eastAsia="Times New Roman"/>
        </w:rPr>
        <w:t>,</w:t>
      </w:r>
      <w:r w:rsidR="00E47D13" w:rsidRPr="002D477E">
        <w:rPr>
          <w:rFonts w:eastAsia="Times New Roman"/>
        </w:rPr>
        <w:t xml:space="preserve"> przy spełnieniu wymogów ustawowych</w:t>
      </w:r>
      <w:r w:rsidR="00C51AB8">
        <w:rPr>
          <w:rFonts w:eastAsia="Times New Roman"/>
        </w:rPr>
        <w:t>,</w:t>
      </w:r>
      <w:r w:rsidR="00E47D13" w:rsidRPr="002D477E">
        <w:rPr>
          <w:rFonts w:eastAsia="Times New Roman"/>
        </w:rPr>
        <w:t xml:space="preserve"> jest zwolniona z</w:t>
      </w:r>
      <w:r w:rsidR="00910A95">
        <w:rPr>
          <w:rFonts w:eastAsia="Times New Roman"/>
        </w:rPr>
        <w:t> </w:t>
      </w:r>
      <w:r w:rsidR="00E47D13" w:rsidRPr="002D477E">
        <w:rPr>
          <w:rFonts w:eastAsia="Times New Roman"/>
        </w:rPr>
        <w:t>podatku od zysków kapitałowych.</w:t>
      </w:r>
    </w:p>
    <w:p w14:paraId="5C89F7CE" w14:textId="780931B6" w:rsidR="00CE7637" w:rsidRPr="00E26980" w:rsidRDefault="001347FB" w:rsidP="00127128">
      <w:pPr>
        <w:spacing w:before="6" w:after="6" w:line="288" w:lineRule="auto"/>
        <w:jc w:val="both"/>
      </w:pPr>
      <w:r>
        <w:t>Niestety ż</w:t>
      </w:r>
      <w:r w:rsidR="004F2940" w:rsidRPr="00E26980">
        <w:t>aden z powyższych dobrowolnych produktów oszczędzania na cele emerytalne</w:t>
      </w:r>
      <w:r w:rsidR="00F33E85">
        <w:t>, mimo oferowanych zachęt</w:t>
      </w:r>
      <w:r w:rsidR="0035129D">
        <w:t>,</w:t>
      </w:r>
      <w:r w:rsidR="004F2940" w:rsidRPr="00E26980">
        <w:t xml:space="preserve"> nie upowszechnił się. Do momentu wejścia w życie ustawy o PPK, w działającym od 1999 r</w:t>
      </w:r>
      <w:r w:rsidR="002E39A3">
        <w:t>oku</w:t>
      </w:r>
      <w:r w:rsidR="004F2940" w:rsidRPr="00E26980">
        <w:t xml:space="preserve"> </w:t>
      </w:r>
      <w:r w:rsidR="00B3713F">
        <w:t xml:space="preserve">trzecim </w:t>
      </w:r>
      <w:r w:rsidR="004F2940" w:rsidRPr="00E26980">
        <w:t>filarze systemu emerytalnego aktywnie oszczędzało mniej niż milion osób (991,6</w:t>
      </w:r>
      <w:r w:rsidR="00910A95">
        <w:t> </w:t>
      </w:r>
      <w:r w:rsidR="004F2940" w:rsidRPr="00E26980">
        <w:t>tys.).</w:t>
      </w:r>
    </w:p>
    <w:p w14:paraId="35124B6B" w14:textId="00CEB0BF" w:rsidR="00291B87" w:rsidRDefault="004F2940" w:rsidP="00910A95">
      <w:pPr>
        <w:spacing w:before="6" w:after="6" w:line="288" w:lineRule="auto"/>
        <w:jc w:val="both"/>
      </w:pPr>
      <w:r w:rsidRPr="00E26980">
        <w:t xml:space="preserve">Dla porównania, w </w:t>
      </w:r>
      <w:r w:rsidR="00B3713F">
        <w:t>p</w:t>
      </w:r>
      <w:r w:rsidRPr="00E26980">
        <w:t xml:space="preserve">racowniczych </w:t>
      </w:r>
      <w:r w:rsidR="00B3713F">
        <w:t>p</w:t>
      </w:r>
      <w:r w:rsidRPr="00E26980">
        <w:t xml:space="preserve">lanach </w:t>
      </w:r>
      <w:r w:rsidR="00B3713F">
        <w:t>k</w:t>
      </w:r>
      <w:r w:rsidRPr="00E26980">
        <w:t>apitałowych, po 18 miesiącach funkcjonowania programu</w:t>
      </w:r>
      <w:r w:rsidR="00C059B8">
        <w:t>,</w:t>
      </w:r>
      <w:r w:rsidRPr="00E26980">
        <w:t xml:space="preserve"> dodatkowe oszczędności gromadziło</w:t>
      </w:r>
      <w:r w:rsidR="00236743">
        <w:t xml:space="preserve"> już</w:t>
      </w:r>
      <w:r w:rsidRPr="00E26980">
        <w:t xml:space="preserve"> 1,7 mln osób. Po niespełna czterech latach, z możliwości oszczędzania w PPK </w:t>
      </w:r>
      <w:r w:rsidRPr="002C51A3">
        <w:t>korzysta 2,4</w:t>
      </w:r>
      <w:r w:rsidR="00C17DE5" w:rsidRPr="002C51A3">
        <w:t>4</w:t>
      </w:r>
      <w:r w:rsidRPr="002C51A3">
        <w:t xml:space="preserve"> mln uczestników PPK (wg. stanu na </w:t>
      </w:r>
      <w:r w:rsidR="00DB0ED7" w:rsidRPr="002C51A3">
        <w:t>3</w:t>
      </w:r>
      <w:r w:rsidR="007510C5" w:rsidRPr="002C51A3">
        <w:t>1</w:t>
      </w:r>
      <w:r w:rsidR="002E5ACF" w:rsidRPr="002C51A3">
        <w:t>.</w:t>
      </w:r>
      <w:r w:rsidRPr="002C51A3">
        <w:t>0</w:t>
      </w:r>
      <w:r w:rsidR="007510C5" w:rsidRPr="002C51A3">
        <w:t>8</w:t>
      </w:r>
      <w:r w:rsidRPr="002C51A3">
        <w:t>.2022</w:t>
      </w:r>
      <w:r w:rsidR="0086702F" w:rsidRPr="002C51A3">
        <w:t xml:space="preserve"> r.</w:t>
      </w:r>
      <w:r w:rsidRPr="002C51A3">
        <w:t>)</w:t>
      </w:r>
      <w:r w:rsidRPr="002C51A3">
        <w:rPr>
          <w:rStyle w:val="Odwoanieprzypisudolnego"/>
        </w:rPr>
        <w:footnoteReference w:id="19"/>
      </w:r>
      <w:r w:rsidR="00FE6826" w:rsidRPr="004B6D6C">
        <w:rPr>
          <w:vertAlign w:val="superscript"/>
        </w:rPr>
        <w:t>)</w:t>
      </w:r>
      <w:r w:rsidRPr="002C51A3">
        <w:t>.</w:t>
      </w:r>
    </w:p>
    <w:p w14:paraId="12E7E882" w14:textId="6DDBAD6E" w:rsidR="00291B87" w:rsidRPr="00291B87" w:rsidRDefault="00291B87" w:rsidP="00291B87">
      <w:r>
        <w:br w:type="page"/>
      </w:r>
    </w:p>
    <w:p w14:paraId="4611ADFB" w14:textId="75C352E1" w:rsidR="00F2477E" w:rsidRPr="008862B3" w:rsidRDefault="00F2477E" w:rsidP="008862B3">
      <w:pPr>
        <w:pStyle w:val="Legenda"/>
        <w:keepNext/>
        <w:rPr>
          <w:b/>
          <w:i w:val="0"/>
          <w:color w:val="auto"/>
          <w:sz w:val="20"/>
          <w:szCs w:val="20"/>
        </w:rPr>
      </w:pPr>
      <w:bookmarkStart w:id="19" w:name="_Toc121826553"/>
      <w:r w:rsidRPr="008862B3">
        <w:rPr>
          <w:color w:val="auto"/>
          <w:sz w:val="20"/>
          <w:szCs w:val="20"/>
        </w:rPr>
        <w:lastRenderedPageBreak/>
        <w:t xml:space="preserve">Wykres </w:t>
      </w:r>
      <w:r w:rsidRPr="008862B3">
        <w:rPr>
          <w:color w:val="auto"/>
          <w:sz w:val="20"/>
          <w:szCs w:val="20"/>
        </w:rPr>
        <w:fldChar w:fldCharType="begin"/>
      </w:r>
      <w:r w:rsidRPr="008862B3">
        <w:rPr>
          <w:color w:val="auto"/>
          <w:sz w:val="20"/>
          <w:szCs w:val="20"/>
        </w:rPr>
        <w:instrText xml:space="preserve"> SEQ Wykres \* ARABIC </w:instrText>
      </w:r>
      <w:r w:rsidRPr="008862B3">
        <w:rPr>
          <w:color w:val="auto"/>
          <w:sz w:val="20"/>
          <w:szCs w:val="20"/>
        </w:rPr>
        <w:fldChar w:fldCharType="separate"/>
      </w:r>
      <w:r w:rsidR="001F2919">
        <w:rPr>
          <w:noProof/>
          <w:color w:val="auto"/>
          <w:sz w:val="20"/>
          <w:szCs w:val="20"/>
        </w:rPr>
        <w:t>3</w:t>
      </w:r>
      <w:r w:rsidRPr="008862B3">
        <w:rPr>
          <w:color w:val="auto"/>
          <w:sz w:val="20"/>
          <w:szCs w:val="20"/>
        </w:rPr>
        <w:fldChar w:fldCharType="end"/>
      </w:r>
      <w:r w:rsidR="005C2596" w:rsidRPr="008862B3">
        <w:rPr>
          <w:b/>
          <w:i w:val="0"/>
          <w:color w:val="auto"/>
          <w:sz w:val="20"/>
          <w:szCs w:val="20"/>
        </w:rPr>
        <w:t xml:space="preserve"> Liczba uczestników PPE, </w:t>
      </w:r>
      <w:r w:rsidR="00EE5A3F" w:rsidRPr="008862B3">
        <w:rPr>
          <w:b/>
          <w:i w:val="0"/>
          <w:color w:val="auto"/>
          <w:sz w:val="20"/>
          <w:szCs w:val="20"/>
        </w:rPr>
        <w:t>liczba rachunków IKE i IKZE</w:t>
      </w:r>
      <w:bookmarkEnd w:id="19"/>
    </w:p>
    <w:p w14:paraId="2F4C60CF" w14:textId="77777777" w:rsidR="0032565B" w:rsidRDefault="005D16A7" w:rsidP="00584CFB">
      <w:pPr>
        <w:spacing w:before="6" w:after="6" w:line="288" w:lineRule="auto"/>
      </w:pPr>
      <w:r>
        <w:rPr>
          <w:noProof/>
          <w:lang w:eastAsia="pl-PL"/>
        </w:rPr>
        <w:drawing>
          <wp:inline distT="0" distB="0" distL="0" distR="0" wp14:anchorId="048F515D" wp14:editId="09310912">
            <wp:extent cx="5939790" cy="3600000"/>
            <wp:effectExtent l="0" t="0" r="3810" b="635"/>
            <wp:docPr id="14" name="Wykres 14">
              <a:extLst xmlns:a="http://schemas.openxmlformats.org/drawingml/2006/main">
                <a:ext uri="{FF2B5EF4-FFF2-40B4-BE49-F238E27FC236}">
                  <a16:creationId xmlns:a16="http://schemas.microsoft.com/office/drawing/2014/main" id="{87C992EF-758A-0B00-5961-2F84B904C6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02AAAE3" w14:textId="77777777" w:rsidR="00EE5A3F" w:rsidRPr="008862B3" w:rsidRDefault="00EE5A3F" w:rsidP="00584CFB">
      <w:pPr>
        <w:spacing w:before="6" w:after="6" w:line="288" w:lineRule="auto"/>
        <w:rPr>
          <w:i/>
          <w:iCs/>
          <w:sz w:val="18"/>
          <w:szCs w:val="18"/>
        </w:rPr>
      </w:pPr>
      <w:r w:rsidRPr="008862B3">
        <w:rPr>
          <w:i/>
          <w:iCs/>
          <w:sz w:val="18"/>
          <w:szCs w:val="18"/>
        </w:rPr>
        <w:t>Źródło</w:t>
      </w:r>
      <w:r w:rsidR="007E279D">
        <w:rPr>
          <w:i/>
          <w:iCs/>
          <w:sz w:val="18"/>
          <w:szCs w:val="18"/>
        </w:rPr>
        <w:t>:</w:t>
      </w:r>
      <w:r w:rsidRPr="008862B3">
        <w:rPr>
          <w:i/>
          <w:iCs/>
          <w:sz w:val="18"/>
          <w:szCs w:val="18"/>
        </w:rPr>
        <w:t xml:space="preserve"> </w:t>
      </w:r>
      <w:r w:rsidR="00ED3393">
        <w:rPr>
          <w:i/>
          <w:iCs/>
          <w:sz w:val="18"/>
          <w:szCs w:val="18"/>
        </w:rPr>
        <w:t>dane</w:t>
      </w:r>
      <w:r>
        <w:rPr>
          <w:i/>
          <w:sz w:val="18"/>
          <w:szCs w:val="18"/>
        </w:rPr>
        <w:t xml:space="preserve"> </w:t>
      </w:r>
      <w:r w:rsidRPr="008862B3">
        <w:rPr>
          <w:i/>
          <w:iCs/>
          <w:sz w:val="18"/>
          <w:szCs w:val="18"/>
        </w:rPr>
        <w:t>KNF</w:t>
      </w:r>
    </w:p>
    <w:p w14:paraId="1FEA7718" w14:textId="77777777" w:rsidR="001B714C" w:rsidRPr="008862B3" w:rsidRDefault="001B714C" w:rsidP="00584CFB">
      <w:pPr>
        <w:spacing w:before="6" w:after="6" w:line="288" w:lineRule="auto"/>
        <w:rPr>
          <w:i/>
          <w:iCs/>
          <w:sz w:val="18"/>
          <w:szCs w:val="18"/>
        </w:rPr>
      </w:pPr>
    </w:p>
    <w:p w14:paraId="00E7A924" w14:textId="7D4FFC10" w:rsidR="001B714C" w:rsidRPr="00AD2594" w:rsidRDefault="001B714C" w:rsidP="00592FA8">
      <w:pPr>
        <w:pStyle w:val="Legenda"/>
        <w:keepNext/>
        <w:rPr>
          <w:color w:val="auto"/>
          <w:sz w:val="20"/>
          <w:szCs w:val="20"/>
        </w:rPr>
      </w:pPr>
      <w:bookmarkStart w:id="20" w:name="_Toc121826554"/>
      <w:r w:rsidRPr="00AD2594">
        <w:rPr>
          <w:color w:val="auto"/>
          <w:sz w:val="20"/>
          <w:szCs w:val="20"/>
        </w:rPr>
        <w:t xml:space="preserve">Wykres </w:t>
      </w:r>
      <w:r w:rsidRPr="00AD2594">
        <w:rPr>
          <w:color w:val="auto"/>
          <w:sz w:val="20"/>
          <w:szCs w:val="20"/>
        </w:rPr>
        <w:fldChar w:fldCharType="begin"/>
      </w:r>
      <w:r w:rsidRPr="00AD2594">
        <w:rPr>
          <w:color w:val="auto"/>
          <w:sz w:val="20"/>
          <w:szCs w:val="20"/>
        </w:rPr>
        <w:instrText xml:space="preserve"> SEQ Wykres \* ARABIC </w:instrText>
      </w:r>
      <w:r w:rsidRPr="00AD2594">
        <w:rPr>
          <w:color w:val="auto"/>
          <w:sz w:val="20"/>
          <w:szCs w:val="20"/>
        </w:rPr>
        <w:fldChar w:fldCharType="separate"/>
      </w:r>
      <w:r w:rsidR="001F2919">
        <w:rPr>
          <w:noProof/>
          <w:color w:val="auto"/>
          <w:sz w:val="20"/>
          <w:szCs w:val="20"/>
        </w:rPr>
        <w:t>4</w:t>
      </w:r>
      <w:r w:rsidRPr="00AD2594">
        <w:rPr>
          <w:color w:val="auto"/>
          <w:sz w:val="20"/>
          <w:szCs w:val="20"/>
        </w:rPr>
        <w:fldChar w:fldCharType="end"/>
      </w:r>
      <w:r w:rsidR="00977869" w:rsidRPr="00AD2594">
        <w:rPr>
          <w:color w:val="auto"/>
          <w:sz w:val="20"/>
          <w:szCs w:val="20"/>
        </w:rPr>
        <w:t xml:space="preserve"> </w:t>
      </w:r>
      <w:r w:rsidR="00977869" w:rsidRPr="00C915E9">
        <w:rPr>
          <w:b/>
          <w:i w:val="0"/>
          <w:color w:val="auto"/>
          <w:sz w:val="20"/>
          <w:szCs w:val="20"/>
        </w:rPr>
        <w:t>Liczba uczestników PP</w:t>
      </w:r>
      <w:r w:rsidR="006E5F86" w:rsidRPr="00C915E9">
        <w:rPr>
          <w:b/>
          <w:i w:val="0"/>
          <w:color w:val="auto"/>
          <w:sz w:val="20"/>
          <w:szCs w:val="20"/>
        </w:rPr>
        <w:t>K</w:t>
      </w:r>
      <w:r w:rsidR="00977869" w:rsidRPr="00C915E9">
        <w:rPr>
          <w:b/>
          <w:bCs/>
          <w:i w:val="0"/>
          <w:iCs w:val="0"/>
          <w:color w:val="auto"/>
          <w:sz w:val="20"/>
          <w:szCs w:val="20"/>
        </w:rPr>
        <w:t xml:space="preserve"> </w:t>
      </w:r>
      <w:r w:rsidR="00B86419" w:rsidRPr="00C915E9">
        <w:rPr>
          <w:b/>
          <w:bCs/>
          <w:i w:val="0"/>
          <w:iCs w:val="0"/>
          <w:color w:val="auto"/>
          <w:sz w:val="20"/>
          <w:szCs w:val="20"/>
        </w:rPr>
        <w:t>oraz</w:t>
      </w:r>
      <w:r w:rsidR="00977869" w:rsidRPr="00C915E9">
        <w:rPr>
          <w:b/>
          <w:bCs/>
          <w:i w:val="0"/>
          <w:iCs w:val="0"/>
          <w:color w:val="auto"/>
          <w:sz w:val="20"/>
          <w:szCs w:val="20"/>
        </w:rPr>
        <w:t xml:space="preserve"> </w:t>
      </w:r>
      <w:r w:rsidR="00B86419" w:rsidRPr="00C915E9">
        <w:rPr>
          <w:b/>
          <w:bCs/>
          <w:i w:val="0"/>
          <w:iCs w:val="0"/>
          <w:color w:val="auto"/>
          <w:sz w:val="20"/>
          <w:szCs w:val="20"/>
        </w:rPr>
        <w:t xml:space="preserve">suma liczby uczestników </w:t>
      </w:r>
      <w:r w:rsidR="00977869" w:rsidRPr="00C915E9">
        <w:rPr>
          <w:b/>
          <w:bCs/>
          <w:i w:val="0"/>
          <w:iCs w:val="0"/>
          <w:color w:val="auto"/>
          <w:sz w:val="20"/>
          <w:szCs w:val="20"/>
        </w:rPr>
        <w:t>PP</w:t>
      </w:r>
      <w:r w:rsidR="00B86419" w:rsidRPr="00C915E9">
        <w:rPr>
          <w:b/>
          <w:bCs/>
          <w:i w:val="0"/>
          <w:iCs w:val="0"/>
          <w:color w:val="auto"/>
          <w:sz w:val="20"/>
          <w:szCs w:val="20"/>
        </w:rPr>
        <w:t>E</w:t>
      </w:r>
      <w:r w:rsidR="00B86419" w:rsidRPr="00C915E9">
        <w:rPr>
          <w:b/>
          <w:i w:val="0"/>
          <w:color w:val="auto"/>
          <w:sz w:val="20"/>
          <w:szCs w:val="20"/>
        </w:rPr>
        <w:t xml:space="preserve"> i</w:t>
      </w:r>
      <w:r w:rsidR="00977869" w:rsidRPr="00C915E9">
        <w:rPr>
          <w:b/>
          <w:i w:val="0"/>
          <w:color w:val="auto"/>
          <w:sz w:val="20"/>
          <w:szCs w:val="20"/>
        </w:rPr>
        <w:t xml:space="preserve"> liczb</w:t>
      </w:r>
      <w:r w:rsidR="00B86419" w:rsidRPr="00C915E9">
        <w:rPr>
          <w:b/>
          <w:i w:val="0"/>
          <w:color w:val="auto"/>
          <w:sz w:val="20"/>
          <w:szCs w:val="20"/>
        </w:rPr>
        <w:t>y</w:t>
      </w:r>
      <w:r w:rsidR="00977869" w:rsidRPr="00C915E9">
        <w:rPr>
          <w:b/>
          <w:i w:val="0"/>
          <w:color w:val="auto"/>
          <w:sz w:val="20"/>
          <w:szCs w:val="20"/>
        </w:rPr>
        <w:t xml:space="preserve"> rachunków IKE i IKZE</w:t>
      </w:r>
      <w:bookmarkEnd w:id="20"/>
    </w:p>
    <w:p w14:paraId="52508040" w14:textId="77777777" w:rsidR="005E3963" w:rsidRPr="0098657E" w:rsidRDefault="001B714C" w:rsidP="00584CFB">
      <w:pPr>
        <w:spacing w:before="6" w:after="6" w:line="288" w:lineRule="auto"/>
        <w:rPr>
          <w:i/>
          <w:iCs/>
        </w:rPr>
      </w:pPr>
      <w:r>
        <w:rPr>
          <w:noProof/>
          <w:lang w:eastAsia="pl-PL"/>
        </w:rPr>
        <w:drawing>
          <wp:inline distT="0" distB="0" distL="0" distR="0" wp14:anchorId="3935B86D" wp14:editId="5CF112F9">
            <wp:extent cx="5940000" cy="2880000"/>
            <wp:effectExtent l="0" t="0" r="3810" b="15875"/>
            <wp:docPr id="22" name="Wykres 22">
              <a:extLst xmlns:a="http://schemas.openxmlformats.org/drawingml/2006/main">
                <a:ext uri="{FF2B5EF4-FFF2-40B4-BE49-F238E27FC236}">
                  <a16:creationId xmlns:a16="http://schemas.microsoft.com/office/drawing/2014/main" id="{74435629-C1AE-8ECB-EABD-ECCE704C3D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554FD9A" w14:textId="77777777" w:rsidR="00164105" w:rsidRDefault="00164105" w:rsidP="00592FA8">
      <w:pPr>
        <w:spacing w:before="6" w:after="6" w:line="288" w:lineRule="auto"/>
      </w:pPr>
      <w:r w:rsidRPr="008862B3">
        <w:rPr>
          <w:i/>
          <w:iCs/>
          <w:sz w:val="18"/>
          <w:szCs w:val="18"/>
        </w:rPr>
        <w:t>Źródło</w:t>
      </w:r>
      <w:r>
        <w:rPr>
          <w:i/>
          <w:iCs/>
          <w:sz w:val="18"/>
          <w:szCs w:val="18"/>
        </w:rPr>
        <w:t>:</w:t>
      </w:r>
      <w:r w:rsidRPr="008862B3">
        <w:rPr>
          <w:i/>
          <w:iCs/>
          <w:sz w:val="18"/>
          <w:szCs w:val="18"/>
        </w:rPr>
        <w:t xml:space="preserve"> </w:t>
      </w:r>
      <w:r>
        <w:rPr>
          <w:i/>
          <w:iCs/>
          <w:sz w:val="18"/>
          <w:szCs w:val="18"/>
        </w:rPr>
        <w:t>dane</w:t>
      </w:r>
      <w:r>
        <w:rPr>
          <w:i/>
          <w:sz w:val="18"/>
          <w:szCs w:val="18"/>
        </w:rPr>
        <w:t xml:space="preserve"> </w:t>
      </w:r>
      <w:r w:rsidRPr="008862B3">
        <w:rPr>
          <w:i/>
          <w:iCs/>
          <w:sz w:val="18"/>
          <w:szCs w:val="18"/>
        </w:rPr>
        <w:t>KNF</w:t>
      </w:r>
      <w:r w:rsidR="00EA0949">
        <w:rPr>
          <w:i/>
          <w:iCs/>
          <w:sz w:val="18"/>
          <w:szCs w:val="18"/>
        </w:rPr>
        <w:t>, Ewidencja PPK</w:t>
      </w:r>
    </w:p>
    <w:p w14:paraId="5891E6E5" w14:textId="2DFA1FBB" w:rsidR="00ED1955" w:rsidRPr="000E73F2" w:rsidRDefault="00ED1955" w:rsidP="005C3267">
      <w:pPr>
        <w:pStyle w:val="Legenda"/>
        <w:keepNext/>
        <w:rPr>
          <w:b/>
          <w:i w:val="0"/>
          <w:color w:val="auto"/>
          <w:sz w:val="20"/>
          <w:szCs w:val="20"/>
        </w:rPr>
      </w:pPr>
      <w:bookmarkStart w:id="21" w:name="_Toc121826555"/>
      <w:r w:rsidRPr="005C3267">
        <w:rPr>
          <w:color w:val="auto"/>
          <w:sz w:val="20"/>
          <w:szCs w:val="20"/>
        </w:rPr>
        <w:lastRenderedPageBreak/>
        <w:t xml:space="preserve">Wykres </w:t>
      </w:r>
      <w:r w:rsidRPr="005C3267">
        <w:rPr>
          <w:color w:val="auto"/>
          <w:sz w:val="20"/>
          <w:szCs w:val="20"/>
        </w:rPr>
        <w:fldChar w:fldCharType="begin"/>
      </w:r>
      <w:r w:rsidRPr="00CC66B8">
        <w:rPr>
          <w:color w:val="auto"/>
          <w:sz w:val="20"/>
          <w:szCs w:val="20"/>
        </w:rPr>
        <w:instrText xml:space="preserve"> SEQ Wykres \* ARABIC </w:instrText>
      </w:r>
      <w:r w:rsidRPr="005C3267">
        <w:rPr>
          <w:color w:val="auto"/>
          <w:sz w:val="20"/>
          <w:szCs w:val="20"/>
        </w:rPr>
        <w:fldChar w:fldCharType="separate"/>
      </w:r>
      <w:r w:rsidR="00B15A9F">
        <w:rPr>
          <w:noProof/>
          <w:color w:val="auto"/>
          <w:sz w:val="20"/>
          <w:szCs w:val="20"/>
        </w:rPr>
        <w:t>5</w:t>
      </w:r>
      <w:r w:rsidRPr="005C3267">
        <w:rPr>
          <w:color w:val="auto"/>
          <w:sz w:val="20"/>
          <w:szCs w:val="20"/>
        </w:rPr>
        <w:fldChar w:fldCharType="end"/>
      </w:r>
      <w:r w:rsidR="0043049A" w:rsidRPr="005C3267">
        <w:rPr>
          <w:b/>
          <w:bCs/>
          <w:i w:val="0"/>
          <w:iCs w:val="0"/>
          <w:color w:val="auto"/>
          <w:sz w:val="20"/>
          <w:szCs w:val="20"/>
        </w:rPr>
        <w:t xml:space="preserve"> Wartość aktywów zgromadzonych na koniec każdego roku (w mld</w:t>
      </w:r>
      <w:r w:rsidR="0043049A" w:rsidRPr="000E73F2">
        <w:rPr>
          <w:b/>
          <w:bCs/>
          <w:i w:val="0"/>
          <w:iCs w:val="0"/>
          <w:color w:val="auto"/>
          <w:sz w:val="20"/>
          <w:szCs w:val="20"/>
        </w:rPr>
        <w:t>. zł)</w:t>
      </w:r>
      <w:bookmarkEnd w:id="21"/>
    </w:p>
    <w:p w14:paraId="7053B309" w14:textId="77777777" w:rsidR="00263B4E" w:rsidRPr="0098657E" w:rsidRDefault="00407E1A" w:rsidP="00584CFB">
      <w:pPr>
        <w:spacing w:before="6" w:after="6" w:line="288" w:lineRule="auto"/>
        <w:rPr>
          <w:i/>
          <w:iCs/>
        </w:rPr>
      </w:pPr>
      <w:r>
        <w:rPr>
          <w:noProof/>
          <w:lang w:eastAsia="pl-PL"/>
        </w:rPr>
        <w:drawing>
          <wp:inline distT="0" distB="0" distL="0" distR="0" wp14:anchorId="2771D172" wp14:editId="547CC6F9">
            <wp:extent cx="5760720" cy="3600000"/>
            <wp:effectExtent l="0" t="0" r="11430" b="635"/>
            <wp:docPr id="1" name="Wykres 1">
              <a:extLst xmlns:a="http://schemas.openxmlformats.org/drawingml/2006/main">
                <a:ext uri="{FF2B5EF4-FFF2-40B4-BE49-F238E27FC236}">
                  <a16:creationId xmlns:a16="http://schemas.microsoft.com/office/drawing/2014/main" id="{BBECC705-76FB-5D42-F7B0-CCCC67BE7A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60843EC" w14:textId="77777777" w:rsidR="00DA113A" w:rsidRDefault="0043049A" w:rsidP="00584CFB">
      <w:pPr>
        <w:spacing w:before="6" w:after="6" w:line="288" w:lineRule="auto"/>
        <w:rPr>
          <w:i/>
          <w:iCs/>
          <w:sz w:val="18"/>
          <w:szCs w:val="18"/>
        </w:rPr>
      </w:pPr>
      <w:r w:rsidRPr="00281E83">
        <w:rPr>
          <w:i/>
          <w:iCs/>
          <w:sz w:val="18"/>
          <w:szCs w:val="18"/>
        </w:rPr>
        <w:t>Źródło</w:t>
      </w:r>
      <w:r>
        <w:rPr>
          <w:i/>
          <w:iCs/>
          <w:sz w:val="18"/>
          <w:szCs w:val="18"/>
        </w:rPr>
        <w:t>:</w:t>
      </w:r>
      <w:r w:rsidRPr="00281E83">
        <w:rPr>
          <w:i/>
          <w:iCs/>
          <w:sz w:val="18"/>
          <w:szCs w:val="18"/>
        </w:rPr>
        <w:t xml:space="preserve"> </w:t>
      </w:r>
      <w:r>
        <w:rPr>
          <w:i/>
          <w:iCs/>
          <w:sz w:val="18"/>
          <w:szCs w:val="18"/>
        </w:rPr>
        <w:t xml:space="preserve">dane </w:t>
      </w:r>
      <w:r w:rsidRPr="00281E83">
        <w:rPr>
          <w:i/>
          <w:iCs/>
          <w:sz w:val="18"/>
          <w:szCs w:val="18"/>
        </w:rPr>
        <w:t>KNF</w:t>
      </w:r>
      <w:r w:rsidR="00CE05A2">
        <w:rPr>
          <w:i/>
          <w:iCs/>
          <w:sz w:val="18"/>
          <w:szCs w:val="18"/>
        </w:rPr>
        <w:t>, Ewidencja PPK</w:t>
      </w:r>
    </w:p>
    <w:p w14:paraId="1622A50E" w14:textId="77777777" w:rsidR="00146F1F" w:rsidRDefault="00146F1F" w:rsidP="00584CFB">
      <w:pPr>
        <w:spacing w:before="6" w:after="6" w:line="288" w:lineRule="auto"/>
        <w:rPr>
          <w:i/>
          <w:iCs/>
        </w:rPr>
      </w:pPr>
    </w:p>
    <w:p w14:paraId="4A22C847" w14:textId="77777777" w:rsidR="004F2940" w:rsidRPr="00E26980" w:rsidRDefault="004F2940">
      <w:pPr>
        <w:pStyle w:val="Nagwek3"/>
        <w:numPr>
          <w:ilvl w:val="1"/>
          <w:numId w:val="23"/>
        </w:numPr>
        <w:spacing w:before="6" w:after="6" w:line="288" w:lineRule="auto"/>
        <w:jc w:val="both"/>
      </w:pPr>
      <w:bookmarkStart w:id="22" w:name="_Toc121828604"/>
      <w:r w:rsidRPr="00E26980">
        <w:t>PPE</w:t>
      </w:r>
      <w:bookmarkEnd w:id="22"/>
    </w:p>
    <w:p w14:paraId="336A1C7E" w14:textId="18B903C7" w:rsidR="004F2940" w:rsidRPr="00E26980" w:rsidRDefault="004F2940" w:rsidP="00584CFB">
      <w:pPr>
        <w:spacing w:before="6" w:after="6" w:line="288" w:lineRule="auto"/>
        <w:contextualSpacing/>
        <w:jc w:val="both"/>
      </w:pPr>
      <w:r w:rsidRPr="00E26980">
        <w:t>Według danych KNF na koniec 2018 r</w:t>
      </w:r>
      <w:r w:rsidR="00676C9D">
        <w:t>oku</w:t>
      </w:r>
      <w:r w:rsidRPr="00E26980">
        <w:t xml:space="preserve"> funkcjonowało 1</w:t>
      </w:r>
      <w:r w:rsidR="009F3D90">
        <w:t xml:space="preserve"> </w:t>
      </w:r>
      <w:r w:rsidRPr="00E26980">
        <w:t>230 pracowniczych programów emerytalnych. W funkcjonującym blisko 20 lat systemie PPE oszczędzało 426 tys. osób</w:t>
      </w:r>
      <w:r w:rsidR="00DF0F20">
        <w:t>,</w:t>
      </w:r>
      <w:r w:rsidRPr="00E26980">
        <w:t xml:space="preserve"> co stanowiło jedynie ok. 2,6% liczby osób pracujących. Wartość aktywów zgromadzonych w pracowniczych programach emerytalnych na dzień 31</w:t>
      </w:r>
      <w:r w:rsidR="0025341D">
        <w:t xml:space="preserve"> grudnia </w:t>
      </w:r>
      <w:r w:rsidRPr="00E26980">
        <w:t xml:space="preserve">2018 r. wynosiła 12,8 mld zł. </w:t>
      </w:r>
    </w:p>
    <w:p w14:paraId="08D3D94E" w14:textId="4E4C2CF1" w:rsidR="00662BAF" w:rsidRDefault="004F2940" w:rsidP="00584CFB">
      <w:pPr>
        <w:spacing w:before="6" w:after="6" w:line="288" w:lineRule="auto"/>
        <w:contextualSpacing/>
        <w:jc w:val="both"/>
      </w:pPr>
      <w:r w:rsidRPr="00E26980">
        <w:t>Warto zaznaczyć, że d</w:t>
      </w:r>
      <w:r w:rsidR="004C5CFB">
        <w:t>o rejestru PPE, w latach 2018–</w:t>
      </w:r>
      <w:r w:rsidRPr="00E26980">
        <w:t>2020, wpisano aż 1</w:t>
      </w:r>
      <w:r w:rsidR="00132B08">
        <w:t xml:space="preserve"> </w:t>
      </w:r>
      <w:r w:rsidRPr="00E26980">
        <w:t xml:space="preserve">170 programów – to niemal podwojenie liczby dotychczasowych rejestracji. Zwiększone zainteresowanie oszczędzaniem w ramach PPE miało </w:t>
      </w:r>
      <w:r w:rsidR="00820279">
        <w:t xml:space="preserve">bezpośredni </w:t>
      </w:r>
      <w:r w:rsidRPr="00E26980">
        <w:t>związek z wprowadz</w:t>
      </w:r>
      <w:r w:rsidR="00BB7EEF">
        <w:t>o</w:t>
      </w:r>
      <w:r w:rsidRPr="00E26980">
        <w:t>nym w 2019 r</w:t>
      </w:r>
      <w:r w:rsidR="00676C9D">
        <w:t>oku</w:t>
      </w:r>
      <w:r w:rsidRPr="00E26980">
        <w:t xml:space="preserve"> programem PPK. Przy prowadzeni</w:t>
      </w:r>
      <w:r w:rsidR="004C5CFB">
        <w:t>u PPE na odpowiednich warunkach</w:t>
      </w:r>
      <w:r w:rsidRPr="00E26980">
        <w:t xml:space="preserve"> pracodawca mógł zwolnić się z obowiązku stosowania ustawy o PPK i</w:t>
      </w:r>
      <w:r w:rsidR="00263AAC">
        <w:t> </w:t>
      </w:r>
      <w:r w:rsidRPr="00E26980">
        <w:t>uruchomienia PPK. Liczba nowych rejestracji PPE w 2019 r</w:t>
      </w:r>
      <w:r w:rsidR="001A4CE0">
        <w:t>oku</w:t>
      </w:r>
      <w:r w:rsidRPr="00E26980">
        <w:t xml:space="preserve"> (710) to najwyższa liczba nowych rejestracji </w:t>
      </w:r>
      <w:r w:rsidR="00BB7EEF">
        <w:t xml:space="preserve">w </w:t>
      </w:r>
      <w:r w:rsidRPr="00E26980">
        <w:t>całym okresie funkcjonowania tego programu.</w:t>
      </w:r>
    </w:p>
    <w:p w14:paraId="42443C69" w14:textId="77777777" w:rsidR="00F76C66" w:rsidRDefault="00F76C66" w:rsidP="00584CFB">
      <w:pPr>
        <w:spacing w:before="6" w:after="6" w:line="288" w:lineRule="auto"/>
        <w:contextualSpacing/>
        <w:jc w:val="both"/>
      </w:pPr>
    </w:p>
    <w:p w14:paraId="4ECE4F07" w14:textId="54F0D508" w:rsidR="004971DF" w:rsidRPr="004971DF" w:rsidRDefault="004971DF" w:rsidP="004971DF">
      <w:pPr>
        <w:pStyle w:val="Legenda"/>
        <w:keepNext/>
        <w:rPr>
          <w:color w:val="auto"/>
          <w:sz w:val="20"/>
          <w:szCs w:val="20"/>
        </w:rPr>
      </w:pPr>
      <w:bookmarkStart w:id="23" w:name="_Toc116482574"/>
      <w:bookmarkStart w:id="24" w:name="_Toc121826363"/>
      <w:r w:rsidRPr="004971DF">
        <w:rPr>
          <w:color w:val="auto"/>
          <w:sz w:val="20"/>
          <w:szCs w:val="20"/>
        </w:rPr>
        <w:t xml:space="preserve">Tabela </w:t>
      </w:r>
      <w:r w:rsidRPr="004971DF">
        <w:rPr>
          <w:color w:val="auto"/>
          <w:sz w:val="20"/>
          <w:szCs w:val="20"/>
        </w:rPr>
        <w:fldChar w:fldCharType="begin"/>
      </w:r>
      <w:r w:rsidRPr="004971DF">
        <w:rPr>
          <w:color w:val="auto"/>
          <w:sz w:val="20"/>
          <w:szCs w:val="20"/>
        </w:rPr>
        <w:instrText xml:space="preserve"> SEQ Tabela \* ARABIC </w:instrText>
      </w:r>
      <w:r w:rsidRPr="004971DF">
        <w:rPr>
          <w:color w:val="auto"/>
          <w:sz w:val="20"/>
          <w:szCs w:val="20"/>
        </w:rPr>
        <w:fldChar w:fldCharType="separate"/>
      </w:r>
      <w:r w:rsidR="00146F1F">
        <w:rPr>
          <w:noProof/>
          <w:color w:val="auto"/>
          <w:sz w:val="20"/>
          <w:szCs w:val="20"/>
        </w:rPr>
        <w:t>1</w:t>
      </w:r>
      <w:r w:rsidRPr="004971DF">
        <w:rPr>
          <w:color w:val="auto"/>
          <w:sz w:val="20"/>
          <w:szCs w:val="20"/>
        </w:rPr>
        <w:fldChar w:fldCharType="end"/>
      </w:r>
      <w:r w:rsidRPr="004971DF">
        <w:rPr>
          <w:color w:val="auto"/>
          <w:sz w:val="20"/>
          <w:szCs w:val="20"/>
        </w:rPr>
        <w:t xml:space="preserve"> </w:t>
      </w:r>
      <w:r w:rsidRPr="004971DF">
        <w:rPr>
          <w:b/>
          <w:i w:val="0"/>
          <w:iCs w:val="0"/>
          <w:color w:val="auto"/>
          <w:sz w:val="20"/>
          <w:szCs w:val="20"/>
        </w:rPr>
        <w:t>Liczba rejestracji nowyc</w:t>
      </w:r>
      <w:r w:rsidR="0029238F">
        <w:rPr>
          <w:b/>
          <w:i w:val="0"/>
          <w:iCs w:val="0"/>
          <w:color w:val="auto"/>
          <w:sz w:val="20"/>
          <w:szCs w:val="20"/>
        </w:rPr>
        <w:t>h programów PPE w latach 2017–</w:t>
      </w:r>
      <w:r w:rsidRPr="004971DF">
        <w:rPr>
          <w:b/>
          <w:i w:val="0"/>
          <w:iCs w:val="0"/>
          <w:color w:val="auto"/>
          <w:sz w:val="20"/>
          <w:szCs w:val="20"/>
        </w:rPr>
        <w:t>2021</w:t>
      </w:r>
      <w:bookmarkEnd w:id="23"/>
      <w:bookmarkEnd w:id="24"/>
    </w:p>
    <w:tbl>
      <w:tblPr>
        <w:tblStyle w:val="Tabelasiatki41"/>
        <w:tblpPr w:leftFromText="141" w:rightFromText="141" w:vertAnchor="text" w:tblpY="1"/>
        <w:tblW w:w="5295" w:type="dxa"/>
        <w:tblLook w:val="04A0" w:firstRow="1" w:lastRow="0" w:firstColumn="1" w:lastColumn="0" w:noHBand="0" w:noVBand="1"/>
      </w:tblPr>
      <w:tblGrid>
        <w:gridCol w:w="2240"/>
        <w:gridCol w:w="3055"/>
      </w:tblGrid>
      <w:tr w:rsidR="00A40C96" w:rsidRPr="00E26980" w14:paraId="6D0AC238" w14:textId="77777777" w:rsidTr="00A053B5">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240" w:type="dxa"/>
            <w:noWrap/>
            <w:hideMark/>
          </w:tcPr>
          <w:p w14:paraId="5BBA92F0" w14:textId="77777777" w:rsidR="00A40C96" w:rsidRPr="00ED465E" w:rsidRDefault="00A40C96" w:rsidP="00ED465E">
            <w:pPr>
              <w:spacing w:before="6" w:after="6" w:line="288" w:lineRule="auto"/>
              <w:rPr>
                <w:rFonts w:ascii="Calibri" w:eastAsia="Times New Roman" w:hAnsi="Calibri" w:cs="Calibri"/>
                <w:lang w:eastAsia="pl-PL"/>
              </w:rPr>
            </w:pPr>
            <w:r w:rsidRPr="00ED465E">
              <w:rPr>
                <w:rFonts w:ascii="Calibri" w:eastAsia="Times New Roman" w:hAnsi="Calibri" w:cs="Calibri"/>
                <w:lang w:eastAsia="pl-PL"/>
              </w:rPr>
              <w:t>Rok</w:t>
            </w:r>
          </w:p>
        </w:tc>
        <w:tc>
          <w:tcPr>
            <w:tcW w:w="3055" w:type="dxa"/>
            <w:noWrap/>
            <w:hideMark/>
          </w:tcPr>
          <w:p w14:paraId="1FA3E166" w14:textId="77777777" w:rsidR="00A40C96" w:rsidRPr="00ED465E" w:rsidRDefault="00A40C96" w:rsidP="00ED465E">
            <w:pPr>
              <w:spacing w:before="6" w:after="6" w:line="288"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pl-PL"/>
              </w:rPr>
            </w:pPr>
            <w:r w:rsidRPr="00ED465E">
              <w:rPr>
                <w:rFonts w:ascii="Calibri" w:eastAsia="Times New Roman" w:hAnsi="Calibri" w:cs="Calibri"/>
                <w:lang w:eastAsia="pl-PL"/>
              </w:rPr>
              <w:t>Liczba nowych rejestracji PPE</w:t>
            </w:r>
          </w:p>
        </w:tc>
      </w:tr>
      <w:tr w:rsidR="00A40C96" w:rsidRPr="00E26980" w14:paraId="22073285" w14:textId="77777777" w:rsidTr="00A053B5">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240" w:type="dxa"/>
            <w:noWrap/>
            <w:hideMark/>
          </w:tcPr>
          <w:p w14:paraId="50C9D913" w14:textId="77777777" w:rsidR="00A40C96" w:rsidRPr="00A053B5" w:rsidRDefault="00A40C96" w:rsidP="007F3ED8">
            <w:pPr>
              <w:spacing w:before="6" w:after="6" w:line="288" w:lineRule="auto"/>
              <w:jc w:val="both"/>
              <w:rPr>
                <w:rFonts w:ascii="Calibri" w:eastAsia="Times New Roman" w:hAnsi="Calibri" w:cs="Calibri"/>
                <w:b w:val="0"/>
                <w:color w:val="000000"/>
                <w:lang w:eastAsia="pl-PL"/>
              </w:rPr>
            </w:pPr>
            <w:r w:rsidRPr="00A053B5">
              <w:rPr>
                <w:rFonts w:ascii="Calibri" w:eastAsia="Times New Roman" w:hAnsi="Calibri" w:cs="Calibri"/>
                <w:b w:val="0"/>
                <w:color w:val="000000"/>
                <w:lang w:eastAsia="pl-PL"/>
              </w:rPr>
              <w:t>2017 r.</w:t>
            </w:r>
          </w:p>
        </w:tc>
        <w:tc>
          <w:tcPr>
            <w:tcW w:w="3055" w:type="dxa"/>
            <w:noWrap/>
            <w:hideMark/>
          </w:tcPr>
          <w:p w14:paraId="6A999C1F" w14:textId="77777777" w:rsidR="00A40C96" w:rsidRPr="00E26980" w:rsidRDefault="00A40C96" w:rsidP="007F3ED8">
            <w:pPr>
              <w:spacing w:before="6" w:after="6" w:line="288" w:lineRule="auto"/>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E26980">
              <w:rPr>
                <w:rFonts w:ascii="Calibri" w:eastAsia="Times New Roman" w:hAnsi="Calibri" w:cs="Calibri"/>
                <w:color w:val="000000"/>
                <w:lang w:eastAsia="pl-PL"/>
              </w:rPr>
              <w:t>48</w:t>
            </w:r>
          </w:p>
        </w:tc>
      </w:tr>
      <w:tr w:rsidR="00A40C96" w:rsidRPr="00E26980" w14:paraId="1EEE672F" w14:textId="77777777" w:rsidTr="00A053B5">
        <w:trPr>
          <w:trHeight w:val="311"/>
        </w:trPr>
        <w:tc>
          <w:tcPr>
            <w:cnfStyle w:val="001000000000" w:firstRow="0" w:lastRow="0" w:firstColumn="1" w:lastColumn="0" w:oddVBand="0" w:evenVBand="0" w:oddHBand="0" w:evenHBand="0" w:firstRowFirstColumn="0" w:firstRowLastColumn="0" w:lastRowFirstColumn="0" w:lastRowLastColumn="0"/>
            <w:tcW w:w="2240" w:type="dxa"/>
            <w:noWrap/>
            <w:hideMark/>
          </w:tcPr>
          <w:p w14:paraId="0929E951" w14:textId="77777777" w:rsidR="00A40C96" w:rsidRPr="00A053B5" w:rsidRDefault="00A40C96" w:rsidP="007F3ED8">
            <w:pPr>
              <w:spacing w:before="6" w:after="6" w:line="288" w:lineRule="auto"/>
              <w:jc w:val="both"/>
              <w:rPr>
                <w:rFonts w:ascii="Calibri" w:eastAsia="Times New Roman" w:hAnsi="Calibri" w:cs="Calibri"/>
                <w:b w:val="0"/>
                <w:color w:val="000000"/>
                <w:lang w:eastAsia="pl-PL"/>
              </w:rPr>
            </w:pPr>
            <w:r w:rsidRPr="00A053B5">
              <w:rPr>
                <w:rFonts w:ascii="Calibri" w:eastAsia="Times New Roman" w:hAnsi="Calibri" w:cs="Calibri"/>
                <w:b w:val="0"/>
                <w:color w:val="000000"/>
                <w:lang w:eastAsia="pl-PL"/>
              </w:rPr>
              <w:t>2018 r.</w:t>
            </w:r>
          </w:p>
        </w:tc>
        <w:tc>
          <w:tcPr>
            <w:tcW w:w="3055" w:type="dxa"/>
            <w:noWrap/>
            <w:hideMark/>
          </w:tcPr>
          <w:p w14:paraId="27E88977" w14:textId="77777777" w:rsidR="00A40C96" w:rsidRPr="00E26980" w:rsidRDefault="00A40C96" w:rsidP="007F3ED8">
            <w:pPr>
              <w:spacing w:before="6" w:after="6" w:line="288"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E26980">
              <w:rPr>
                <w:rFonts w:ascii="Calibri" w:eastAsia="Times New Roman" w:hAnsi="Calibri" w:cs="Calibri"/>
                <w:color w:val="000000"/>
                <w:lang w:eastAsia="pl-PL"/>
              </w:rPr>
              <w:t>206</w:t>
            </w:r>
          </w:p>
        </w:tc>
      </w:tr>
      <w:tr w:rsidR="00A40C96" w:rsidRPr="00E26980" w14:paraId="0713AD14" w14:textId="77777777" w:rsidTr="00A053B5">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240" w:type="dxa"/>
            <w:noWrap/>
            <w:hideMark/>
          </w:tcPr>
          <w:p w14:paraId="3AF93E75" w14:textId="77777777" w:rsidR="00A40C96" w:rsidRPr="00A053B5" w:rsidRDefault="00A40C96" w:rsidP="007F3ED8">
            <w:pPr>
              <w:spacing w:before="6" w:after="6" w:line="288" w:lineRule="auto"/>
              <w:jc w:val="both"/>
              <w:rPr>
                <w:rFonts w:ascii="Calibri" w:eastAsia="Times New Roman" w:hAnsi="Calibri" w:cs="Calibri"/>
                <w:b w:val="0"/>
                <w:color w:val="000000"/>
                <w:lang w:eastAsia="pl-PL"/>
              </w:rPr>
            </w:pPr>
            <w:r w:rsidRPr="00A053B5">
              <w:rPr>
                <w:rFonts w:ascii="Calibri" w:eastAsia="Times New Roman" w:hAnsi="Calibri" w:cs="Calibri"/>
                <w:b w:val="0"/>
                <w:color w:val="000000"/>
                <w:lang w:eastAsia="pl-PL"/>
              </w:rPr>
              <w:t>2019 r.</w:t>
            </w:r>
          </w:p>
        </w:tc>
        <w:tc>
          <w:tcPr>
            <w:tcW w:w="3055" w:type="dxa"/>
            <w:noWrap/>
            <w:hideMark/>
          </w:tcPr>
          <w:p w14:paraId="06DDD3D1" w14:textId="77777777" w:rsidR="00A40C96" w:rsidRPr="00E26980" w:rsidRDefault="00A40C96" w:rsidP="007F3ED8">
            <w:pPr>
              <w:spacing w:before="6" w:after="6" w:line="288" w:lineRule="auto"/>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E26980">
              <w:rPr>
                <w:rFonts w:ascii="Calibri" w:eastAsia="Times New Roman" w:hAnsi="Calibri" w:cs="Calibri"/>
                <w:color w:val="000000"/>
                <w:lang w:eastAsia="pl-PL"/>
              </w:rPr>
              <w:t>710</w:t>
            </w:r>
          </w:p>
        </w:tc>
      </w:tr>
      <w:tr w:rsidR="00A40C96" w:rsidRPr="00E26980" w14:paraId="62D3E36F" w14:textId="77777777" w:rsidTr="00A053B5">
        <w:trPr>
          <w:trHeight w:val="311"/>
        </w:trPr>
        <w:tc>
          <w:tcPr>
            <w:cnfStyle w:val="001000000000" w:firstRow="0" w:lastRow="0" w:firstColumn="1" w:lastColumn="0" w:oddVBand="0" w:evenVBand="0" w:oddHBand="0" w:evenHBand="0" w:firstRowFirstColumn="0" w:firstRowLastColumn="0" w:lastRowFirstColumn="0" w:lastRowLastColumn="0"/>
            <w:tcW w:w="2240" w:type="dxa"/>
            <w:noWrap/>
            <w:hideMark/>
          </w:tcPr>
          <w:p w14:paraId="18E39BEE" w14:textId="77777777" w:rsidR="00A40C96" w:rsidRPr="00A053B5" w:rsidRDefault="00A40C96" w:rsidP="007F3ED8">
            <w:pPr>
              <w:spacing w:before="6" w:after="6" w:line="288" w:lineRule="auto"/>
              <w:jc w:val="both"/>
              <w:rPr>
                <w:rFonts w:ascii="Calibri" w:eastAsia="Times New Roman" w:hAnsi="Calibri" w:cs="Calibri"/>
                <w:b w:val="0"/>
                <w:color w:val="000000"/>
                <w:lang w:eastAsia="pl-PL"/>
              </w:rPr>
            </w:pPr>
            <w:r w:rsidRPr="00A053B5">
              <w:rPr>
                <w:rFonts w:ascii="Calibri" w:eastAsia="Times New Roman" w:hAnsi="Calibri" w:cs="Calibri"/>
                <w:b w:val="0"/>
                <w:color w:val="000000"/>
                <w:lang w:eastAsia="pl-PL"/>
              </w:rPr>
              <w:t>2020 r.</w:t>
            </w:r>
          </w:p>
        </w:tc>
        <w:tc>
          <w:tcPr>
            <w:tcW w:w="3055" w:type="dxa"/>
            <w:noWrap/>
            <w:hideMark/>
          </w:tcPr>
          <w:p w14:paraId="6EE1ADC2" w14:textId="77777777" w:rsidR="00A40C96" w:rsidRPr="00E26980" w:rsidRDefault="00A40C96" w:rsidP="007F3ED8">
            <w:pPr>
              <w:spacing w:before="6" w:after="6" w:line="288"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E26980">
              <w:rPr>
                <w:rFonts w:ascii="Calibri" w:eastAsia="Times New Roman" w:hAnsi="Calibri" w:cs="Calibri"/>
                <w:color w:val="000000"/>
                <w:lang w:eastAsia="pl-PL"/>
              </w:rPr>
              <w:t>254</w:t>
            </w:r>
          </w:p>
        </w:tc>
      </w:tr>
      <w:tr w:rsidR="00A40C96" w:rsidRPr="00E26980" w14:paraId="4056B996" w14:textId="77777777" w:rsidTr="00A053B5">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2240" w:type="dxa"/>
            <w:noWrap/>
            <w:hideMark/>
          </w:tcPr>
          <w:p w14:paraId="75C9122E" w14:textId="77777777" w:rsidR="00A40C96" w:rsidRPr="00A053B5" w:rsidRDefault="00A40C96" w:rsidP="007F3ED8">
            <w:pPr>
              <w:spacing w:before="6" w:after="6" w:line="288" w:lineRule="auto"/>
              <w:jc w:val="both"/>
              <w:rPr>
                <w:rFonts w:ascii="Calibri" w:eastAsia="Times New Roman" w:hAnsi="Calibri" w:cs="Calibri"/>
                <w:b w:val="0"/>
                <w:color w:val="000000"/>
                <w:lang w:eastAsia="pl-PL"/>
              </w:rPr>
            </w:pPr>
            <w:r w:rsidRPr="00A053B5">
              <w:rPr>
                <w:rFonts w:ascii="Calibri" w:eastAsia="Times New Roman" w:hAnsi="Calibri" w:cs="Calibri"/>
                <w:b w:val="0"/>
                <w:color w:val="000000"/>
                <w:lang w:eastAsia="pl-PL"/>
              </w:rPr>
              <w:t>2021 r.</w:t>
            </w:r>
          </w:p>
        </w:tc>
        <w:tc>
          <w:tcPr>
            <w:tcW w:w="3055" w:type="dxa"/>
            <w:noWrap/>
            <w:hideMark/>
          </w:tcPr>
          <w:p w14:paraId="3DCB6E64" w14:textId="77777777" w:rsidR="00A40C96" w:rsidRPr="00E26980" w:rsidRDefault="00A40C96" w:rsidP="007F3ED8">
            <w:pPr>
              <w:spacing w:before="6" w:after="6" w:line="288" w:lineRule="auto"/>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E26980">
              <w:rPr>
                <w:rFonts w:ascii="Calibri" w:eastAsia="Times New Roman" w:hAnsi="Calibri" w:cs="Calibri"/>
                <w:color w:val="000000"/>
                <w:lang w:eastAsia="pl-PL"/>
              </w:rPr>
              <w:t>30</w:t>
            </w:r>
          </w:p>
        </w:tc>
      </w:tr>
    </w:tbl>
    <w:p w14:paraId="5A1A7F5D" w14:textId="77777777" w:rsidR="00D845EF" w:rsidRDefault="00D845EF">
      <w:pPr>
        <w:spacing w:before="6" w:after="6" w:line="288" w:lineRule="auto"/>
        <w:contextualSpacing/>
        <w:rPr>
          <w:i/>
          <w:iCs/>
        </w:rPr>
      </w:pPr>
    </w:p>
    <w:p w14:paraId="459504C0" w14:textId="77777777" w:rsidR="00D845EF" w:rsidRDefault="00D845EF">
      <w:pPr>
        <w:spacing w:before="6" w:after="6" w:line="288" w:lineRule="auto"/>
        <w:contextualSpacing/>
        <w:rPr>
          <w:i/>
          <w:iCs/>
        </w:rPr>
      </w:pPr>
    </w:p>
    <w:p w14:paraId="00E41E28" w14:textId="77777777" w:rsidR="00D845EF" w:rsidRDefault="00D845EF">
      <w:pPr>
        <w:spacing w:before="6" w:after="6" w:line="288" w:lineRule="auto"/>
        <w:contextualSpacing/>
        <w:rPr>
          <w:i/>
          <w:iCs/>
        </w:rPr>
      </w:pPr>
    </w:p>
    <w:p w14:paraId="4A65A74B" w14:textId="77777777" w:rsidR="00D845EF" w:rsidRDefault="00D845EF" w:rsidP="00DA288C">
      <w:pPr>
        <w:spacing w:before="6" w:after="6" w:line="288" w:lineRule="auto"/>
        <w:contextualSpacing/>
        <w:rPr>
          <w:i/>
          <w:iCs/>
        </w:rPr>
      </w:pPr>
    </w:p>
    <w:p w14:paraId="38CFBC05" w14:textId="77777777" w:rsidR="006A42E4" w:rsidRDefault="006A42E4">
      <w:pPr>
        <w:spacing w:before="6" w:after="6" w:line="288" w:lineRule="auto"/>
        <w:contextualSpacing/>
        <w:jc w:val="both"/>
        <w:rPr>
          <w:i/>
          <w:iCs/>
        </w:rPr>
      </w:pPr>
    </w:p>
    <w:p w14:paraId="146CCD9B" w14:textId="77777777" w:rsidR="006A42E4" w:rsidRDefault="006A42E4">
      <w:pPr>
        <w:spacing w:before="6" w:after="6" w:line="288" w:lineRule="auto"/>
        <w:contextualSpacing/>
        <w:jc w:val="both"/>
        <w:rPr>
          <w:i/>
          <w:iCs/>
        </w:rPr>
      </w:pPr>
    </w:p>
    <w:p w14:paraId="2D187938" w14:textId="77777777" w:rsidR="006A42E4" w:rsidRDefault="006A42E4">
      <w:pPr>
        <w:spacing w:before="6" w:after="6" w:line="288" w:lineRule="auto"/>
        <w:contextualSpacing/>
        <w:jc w:val="both"/>
        <w:rPr>
          <w:i/>
          <w:iCs/>
        </w:rPr>
      </w:pPr>
    </w:p>
    <w:p w14:paraId="1EEF1EE1" w14:textId="77777777" w:rsidR="00D845EF" w:rsidRDefault="005703AB">
      <w:pPr>
        <w:spacing w:before="6" w:after="6" w:line="288" w:lineRule="auto"/>
        <w:contextualSpacing/>
        <w:jc w:val="both"/>
        <w:rPr>
          <w:i/>
          <w:sz w:val="18"/>
          <w:szCs w:val="18"/>
        </w:rPr>
      </w:pPr>
      <w:r w:rsidRPr="004971DF">
        <w:rPr>
          <w:i/>
          <w:sz w:val="18"/>
          <w:szCs w:val="18"/>
        </w:rPr>
        <w:t>Ź</w:t>
      </w:r>
      <w:r w:rsidR="004F2940" w:rsidRPr="004971DF">
        <w:rPr>
          <w:i/>
          <w:sz w:val="18"/>
          <w:szCs w:val="18"/>
        </w:rPr>
        <w:t>ródło: dane KNF</w:t>
      </w:r>
    </w:p>
    <w:p w14:paraId="568066CB" w14:textId="77777777" w:rsidR="00AB7922" w:rsidRPr="004971DF" w:rsidRDefault="00AB7922">
      <w:pPr>
        <w:spacing w:before="6" w:after="6" w:line="288" w:lineRule="auto"/>
        <w:contextualSpacing/>
        <w:jc w:val="both"/>
        <w:rPr>
          <w:sz w:val="18"/>
          <w:szCs w:val="18"/>
        </w:rPr>
      </w:pPr>
    </w:p>
    <w:p w14:paraId="16F45769" w14:textId="4426DA25" w:rsidR="004F2940" w:rsidRPr="00E26980" w:rsidRDefault="004F2940" w:rsidP="00D845EF">
      <w:pPr>
        <w:spacing w:before="6" w:after="6" w:line="288" w:lineRule="auto"/>
        <w:contextualSpacing/>
        <w:jc w:val="both"/>
      </w:pPr>
      <w:r w:rsidRPr="00E26980">
        <w:lastRenderedPageBreak/>
        <w:t xml:space="preserve">Większa liczba programów PPE to zatem pośrednio sukces reformy wprowadzającej </w:t>
      </w:r>
      <w:r w:rsidR="00820279">
        <w:t>PPK</w:t>
      </w:r>
      <w:r w:rsidRPr="00E26980">
        <w:t>. Trzeba bowiem pamiętać, że w PPE minimalne finansowe zaangażowanie pracodawcy to składka w wysokości 3,5% wynagrodzenia pracownika i jest ona w całości finansowana przez pracodawcę (w PPK pracownik odkłada do systemu 2%</w:t>
      </w:r>
      <w:r w:rsidR="00504BE6">
        <w:t>,</w:t>
      </w:r>
      <w:r w:rsidRPr="00E26980">
        <w:t xml:space="preserve"> a pracodawca płaci jedynie 1,5%). Według danych KNF na koniec 2021 r</w:t>
      </w:r>
      <w:r w:rsidR="00E844E3">
        <w:t>oku</w:t>
      </w:r>
      <w:r w:rsidRPr="00E26980">
        <w:t xml:space="preserve"> funkcjonowało 2</w:t>
      </w:r>
      <w:r w:rsidR="00B90584">
        <w:t xml:space="preserve"> </w:t>
      </w:r>
      <w:r w:rsidRPr="00E26980">
        <w:t xml:space="preserve">083 PPE, w których </w:t>
      </w:r>
      <w:r w:rsidR="0053333A">
        <w:t xml:space="preserve">aktywnie </w:t>
      </w:r>
      <w:r w:rsidRPr="00E26980">
        <w:t xml:space="preserve">uczestniczyło </w:t>
      </w:r>
      <w:r w:rsidR="00A664AC">
        <w:t>521,6</w:t>
      </w:r>
      <w:r w:rsidRPr="00E26980">
        <w:t xml:space="preserve"> tys. osób, a </w:t>
      </w:r>
      <w:r w:rsidR="0053333A">
        <w:t xml:space="preserve">łączne </w:t>
      </w:r>
      <w:r w:rsidRPr="00E26980">
        <w:t>zgromadzone środki osiągnęły wartość blisko 19 mld zł.</w:t>
      </w:r>
    </w:p>
    <w:p w14:paraId="36CA0C92" w14:textId="77777777" w:rsidR="000D07D9" w:rsidRDefault="000D07D9" w:rsidP="00D34127">
      <w:pPr>
        <w:spacing w:before="6" w:after="6" w:line="288" w:lineRule="auto"/>
      </w:pPr>
    </w:p>
    <w:p w14:paraId="00510413" w14:textId="77777777" w:rsidR="004F2940" w:rsidRPr="00E26980" w:rsidRDefault="004F2940">
      <w:pPr>
        <w:pStyle w:val="Nagwek3"/>
        <w:numPr>
          <w:ilvl w:val="1"/>
          <w:numId w:val="23"/>
        </w:numPr>
        <w:spacing w:before="6" w:after="6" w:line="288" w:lineRule="auto"/>
        <w:jc w:val="both"/>
      </w:pPr>
      <w:bookmarkStart w:id="25" w:name="_Toc121828605"/>
      <w:r w:rsidRPr="00E26980">
        <w:t>IKE i IKZE</w:t>
      </w:r>
      <w:bookmarkEnd w:id="25"/>
    </w:p>
    <w:p w14:paraId="3F1607DF" w14:textId="5569BFDF" w:rsidR="004F2940" w:rsidRPr="00E26980" w:rsidRDefault="004F2940" w:rsidP="00D34127">
      <w:pPr>
        <w:spacing w:before="6" w:after="6" w:line="288" w:lineRule="auto"/>
        <w:contextualSpacing/>
        <w:jc w:val="both"/>
      </w:pPr>
      <w:r w:rsidRPr="00E26980">
        <w:t>Uczestnictwo w produktach, w których Polacy na emeryturę oszczędzają sami i wyłącznie z własnych środków</w:t>
      </w:r>
      <w:r w:rsidR="000D07D9">
        <w:t>,</w:t>
      </w:r>
      <w:r w:rsidRPr="00E26980">
        <w:t xml:space="preserve"> było </w:t>
      </w:r>
      <w:r>
        <w:t>w 2018 r</w:t>
      </w:r>
      <w:r w:rsidR="00E844E3">
        <w:t>oku</w:t>
      </w:r>
      <w:r>
        <w:t xml:space="preserve"> </w:t>
      </w:r>
      <w:r w:rsidRPr="00E26980">
        <w:t>większe, ale również niesatysfakcjonujące.</w:t>
      </w:r>
      <w:r w:rsidR="00820279">
        <w:t xml:space="preserve"> </w:t>
      </w:r>
      <w:r w:rsidRPr="00E26980">
        <w:t>IKE na koniec 2018 r</w:t>
      </w:r>
      <w:r w:rsidR="00CB3238">
        <w:t>oku</w:t>
      </w:r>
      <w:r w:rsidRPr="00E26980">
        <w:t xml:space="preserve"> posiadało 995,7 tys. osób, co stanowiło ok. 5,8% liczby osób pracujących. Przy czym odsetek aktywnych kont IKE wynosił 33,8%</w:t>
      </w:r>
      <w:r>
        <w:t xml:space="preserve"> </w:t>
      </w:r>
      <w:r w:rsidR="00F35C56">
        <w:t>–</w:t>
      </w:r>
      <w:r>
        <w:t xml:space="preserve"> </w:t>
      </w:r>
      <w:r w:rsidRPr="00E26980">
        <w:t>tylko 336,1 tys. kont zostało zasilonych wpłatami w 2018 r</w:t>
      </w:r>
      <w:r w:rsidR="00CB3238">
        <w:t>oku</w:t>
      </w:r>
      <w:r w:rsidRPr="00E26980">
        <w:t xml:space="preserve">. Wartość rynku IKE pod względem zgromadzonych aktywów wyniosła 8,7 mld zł. Na </w:t>
      </w:r>
      <w:r w:rsidR="00FF6F0B">
        <w:t>i</w:t>
      </w:r>
      <w:r w:rsidRPr="00E26980">
        <w:t xml:space="preserve">ndywidualnych </w:t>
      </w:r>
      <w:r w:rsidR="00FF6F0B">
        <w:t>k</w:t>
      </w:r>
      <w:r w:rsidRPr="00E26980">
        <w:t xml:space="preserve">ontach </w:t>
      </w:r>
      <w:r w:rsidR="00FF6F0B">
        <w:t>z</w:t>
      </w:r>
      <w:r w:rsidRPr="00E26980">
        <w:t xml:space="preserve">abezpieczenia </w:t>
      </w:r>
      <w:r w:rsidR="00FF6F0B">
        <w:t>e</w:t>
      </w:r>
      <w:r w:rsidRPr="00E26980">
        <w:t>merytalnego</w:t>
      </w:r>
      <w:r w:rsidR="00820279">
        <w:t xml:space="preserve">, </w:t>
      </w:r>
      <w:r w:rsidRPr="00E26980">
        <w:t>na koniec 2018 r</w:t>
      </w:r>
      <w:r w:rsidR="00015438">
        <w:t>oku</w:t>
      </w:r>
      <w:r w:rsidRPr="00E26980">
        <w:t>, oszczędzało 730,4 tys. osób, co stanowiło ok. 4,3% liczby osób pracujących. Jakichkolwiek wpłat na konto IKZE dokonało w 2018 r</w:t>
      </w:r>
      <w:r w:rsidR="00652321">
        <w:t>oku</w:t>
      </w:r>
      <w:r w:rsidRPr="00E26980">
        <w:t xml:space="preserve"> 229,5 tys. </w:t>
      </w:r>
      <w:r w:rsidR="001A48BB">
        <w:t>o</w:t>
      </w:r>
      <w:r w:rsidRPr="00E26980">
        <w:t>szczędzających, co oznacza, że odsetek kont aktywnych IKZE wynosił tylko 31,4%. Wartość zgromadzonych w ramach tego produktu aktywów wyniosła na koniec 2018 r</w:t>
      </w:r>
      <w:r w:rsidR="00CB3238">
        <w:t>oku</w:t>
      </w:r>
      <w:r w:rsidR="00154B53">
        <w:t xml:space="preserve"> </w:t>
      </w:r>
      <w:r w:rsidRPr="00E26980">
        <w:t>2,3 mld zł.</w:t>
      </w:r>
    </w:p>
    <w:p w14:paraId="4B38CDFB" w14:textId="54F2B171" w:rsidR="004F2940" w:rsidRDefault="004F2940" w:rsidP="00D34127">
      <w:pPr>
        <w:spacing w:before="6" w:after="6" w:line="288" w:lineRule="auto"/>
        <w:contextualSpacing/>
        <w:jc w:val="both"/>
      </w:pPr>
      <w:r w:rsidRPr="00E26980">
        <w:t>Według danych KNF na koniec 2021</w:t>
      </w:r>
      <w:r w:rsidR="003C5B8B">
        <w:t xml:space="preserve"> </w:t>
      </w:r>
      <w:r w:rsidRPr="00E26980">
        <w:t>r</w:t>
      </w:r>
      <w:r w:rsidR="006B7FF8">
        <w:t>oku</w:t>
      </w:r>
      <w:r w:rsidRPr="00E26980">
        <w:t xml:space="preserve"> w IKE </w:t>
      </w:r>
      <w:r w:rsidR="00085CB2">
        <w:t xml:space="preserve">aktywnie </w:t>
      </w:r>
      <w:r w:rsidRPr="00137255">
        <w:t xml:space="preserve">oszczędzało </w:t>
      </w:r>
      <w:r w:rsidR="000A540E">
        <w:t>429,7</w:t>
      </w:r>
      <w:r w:rsidRPr="00137255">
        <w:t xml:space="preserve"> tys. </w:t>
      </w:r>
      <w:r w:rsidR="003F1906" w:rsidRPr="00137255">
        <w:t>o</w:t>
      </w:r>
      <w:r w:rsidRPr="00137255">
        <w:t>sób</w:t>
      </w:r>
      <w:r w:rsidRPr="004E67D4">
        <w:t xml:space="preserve">, </w:t>
      </w:r>
      <w:r w:rsidR="00085CB2">
        <w:t>a łączne</w:t>
      </w:r>
      <w:r w:rsidRPr="00E26980">
        <w:t xml:space="preserve"> aktywa </w:t>
      </w:r>
      <w:r w:rsidR="00A85A42">
        <w:t xml:space="preserve">zgromadzone w </w:t>
      </w:r>
      <w:r w:rsidR="00085CB2">
        <w:t>programie to</w:t>
      </w:r>
      <w:r w:rsidRPr="00E26980">
        <w:t xml:space="preserve"> 13,5 mld zł</w:t>
      </w:r>
      <w:r w:rsidR="009D517D">
        <w:t>,</w:t>
      </w:r>
      <w:r w:rsidRPr="00E26980">
        <w:t xml:space="preserve"> </w:t>
      </w:r>
      <w:r w:rsidR="009D517D">
        <w:t>n</w:t>
      </w:r>
      <w:r w:rsidRPr="00E26980">
        <w:t xml:space="preserve">atomiast w </w:t>
      </w:r>
      <w:r w:rsidRPr="004E67D4">
        <w:t xml:space="preserve">IKZE </w:t>
      </w:r>
      <w:r w:rsidR="00F35C56">
        <w:t>–</w:t>
      </w:r>
      <w:r w:rsidR="009D517D" w:rsidRPr="004E67D4">
        <w:t xml:space="preserve"> </w:t>
      </w:r>
      <w:r w:rsidR="00515807">
        <w:t>3</w:t>
      </w:r>
      <w:r w:rsidR="007D2D78">
        <w:t>18</w:t>
      </w:r>
      <w:r w:rsidRPr="00E26980">
        <w:t>,</w:t>
      </w:r>
      <w:r w:rsidR="004E67D4" w:rsidRPr="004E67D4">
        <w:t xml:space="preserve">8 tys. </w:t>
      </w:r>
      <w:r w:rsidR="0039094F">
        <w:t>osób</w:t>
      </w:r>
      <w:r w:rsidR="004E67D4" w:rsidRPr="004E67D4">
        <w:t xml:space="preserve"> to aktywni oszczędzający</w:t>
      </w:r>
      <w:r w:rsidR="00F32E90">
        <w:t>. Łączne</w:t>
      </w:r>
      <w:r w:rsidRPr="00E26980">
        <w:t xml:space="preserve"> aktywa </w:t>
      </w:r>
      <w:r w:rsidR="00F32E90">
        <w:t>zgromadzone w IKZE</w:t>
      </w:r>
      <w:r w:rsidRPr="004E67D4">
        <w:t xml:space="preserve"> </w:t>
      </w:r>
      <w:r w:rsidR="00F32E90">
        <w:t>to</w:t>
      </w:r>
      <w:r w:rsidRPr="00E26980">
        <w:t xml:space="preserve"> 6 mld zł.</w:t>
      </w:r>
      <w:r w:rsidRPr="00E26980">
        <w:rPr>
          <w:rStyle w:val="Odwoanieprzypisudolnego"/>
        </w:rPr>
        <w:t xml:space="preserve"> </w:t>
      </w:r>
      <w:r w:rsidRPr="00E26980">
        <w:rPr>
          <w:rStyle w:val="Odwoanieprzypisudolnego"/>
        </w:rPr>
        <w:footnoteReference w:id="20"/>
      </w:r>
      <w:r w:rsidR="00FE6826" w:rsidRPr="004B6D6C">
        <w:rPr>
          <w:vertAlign w:val="superscript"/>
        </w:rPr>
        <w:t>)</w:t>
      </w:r>
    </w:p>
    <w:p w14:paraId="5D42E17C" w14:textId="77777777" w:rsidR="0074022C" w:rsidRPr="00E26980" w:rsidRDefault="0074022C" w:rsidP="00D34127">
      <w:pPr>
        <w:spacing w:before="6" w:after="6" w:line="288" w:lineRule="auto"/>
        <w:contextualSpacing/>
        <w:jc w:val="both"/>
      </w:pPr>
    </w:p>
    <w:p w14:paraId="69D140F0" w14:textId="3D1A8198" w:rsidR="004F2940" w:rsidRPr="00E26980" w:rsidRDefault="00836985" w:rsidP="005977C8">
      <w:pPr>
        <w:rPr>
          <w:color w:val="FF0000"/>
        </w:rPr>
      </w:pPr>
      <w:bookmarkStart w:id="26" w:name="_Toc121826556"/>
      <w:r w:rsidRPr="00F45903">
        <w:rPr>
          <w:i/>
          <w:iCs/>
          <w:sz w:val="20"/>
          <w:szCs w:val="20"/>
        </w:rPr>
        <w:t xml:space="preserve">Wykres </w:t>
      </w:r>
      <w:r w:rsidRPr="00B15A9F">
        <w:rPr>
          <w:i/>
          <w:iCs/>
          <w:color w:val="44546A" w:themeColor="text2"/>
          <w:sz w:val="20"/>
          <w:szCs w:val="20"/>
        </w:rPr>
        <w:fldChar w:fldCharType="begin"/>
      </w:r>
      <w:r w:rsidRPr="00F45903">
        <w:rPr>
          <w:i/>
          <w:iCs/>
          <w:sz w:val="20"/>
          <w:szCs w:val="20"/>
        </w:rPr>
        <w:instrText xml:space="preserve"> SEQ Wykres \* ARABIC </w:instrText>
      </w:r>
      <w:r w:rsidRPr="00B15A9F">
        <w:rPr>
          <w:i/>
          <w:iCs/>
          <w:color w:val="44546A" w:themeColor="text2"/>
          <w:sz w:val="20"/>
          <w:szCs w:val="20"/>
        </w:rPr>
        <w:fldChar w:fldCharType="separate"/>
      </w:r>
      <w:r w:rsidR="00B15A9F" w:rsidRPr="00F45903">
        <w:rPr>
          <w:i/>
          <w:iCs/>
          <w:noProof/>
          <w:sz w:val="20"/>
          <w:szCs w:val="20"/>
        </w:rPr>
        <w:t>6</w:t>
      </w:r>
      <w:r w:rsidRPr="00B15A9F">
        <w:rPr>
          <w:i/>
          <w:iCs/>
          <w:color w:val="44546A" w:themeColor="text2"/>
          <w:sz w:val="20"/>
          <w:szCs w:val="20"/>
        </w:rPr>
        <w:fldChar w:fldCharType="end"/>
      </w:r>
      <w:r w:rsidRPr="0093511D">
        <w:rPr>
          <w:sz w:val="20"/>
          <w:szCs w:val="20"/>
        </w:rPr>
        <w:t xml:space="preserve"> </w:t>
      </w:r>
      <w:r w:rsidRPr="0093511D">
        <w:rPr>
          <w:b/>
          <w:sz w:val="20"/>
          <w:szCs w:val="20"/>
        </w:rPr>
        <w:t xml:space="preserve">Uczestnictwo w PPE, IKE, IKZE i PPK a lata funkcjonowania </w:t>
      </w:r>
      <w:r w:rsidR="008D436B">
        <w:rPr>
          <w:b/>
          <w:sz w:val="20"/>
          <w:szCs w:val="20"/>
        </w:rPr>
        <w:t>–</w:t>
      </w:r>
      <w:r w:rsidR="000A23C8">
        <w:rPr>
          <w:b/>
          <w:sz w:val="20"/>
          <w:szCs w:val="20"/>
        </w:rPr>
        <w:t xml:space="preserve"> </w:t>
      </w:r>
      <w:r w:rsidRPr="0093511D">
        <w:rPr>
          <w:b/>
          <w:sz w:val="20"/>
          <w:szCs w:val="20"/>
        </w:rPr>
        <w:t xml:space="preserve">wg. </w:t>
      </w:r>
      <w:r w:rsidR="003C6E3D" w:rsidRPr="00592FA8">
        <w:rPr>
          <w:b/>
          <w:sz w:val="20"/>
          <w:szCs w:val="20"/>
        </w:rPr>
        <w:t>s</w:t>
      </w:r>
      <w:r w:rsidRPr="0093511D">
        <w:rPr>
          <w:b/>
          <w:sz w:val="20"/>
          <w:szCs w:val="20"/>
        </w:rPr>
        <w:t>tanu na 31.12.2021 r.</w:t>
      </w:r>
      <w:r w:rsidR="0043209B">
        <w:rPr>
          <w:b/>
          <w:sz w:val="20"/>
          <w:szCs w:val="20"/>
        </w:rPr>
        <w:t xml:space="preserve"> w mln.</w:t>
      </w:r>
      <w:r w:rsidR="00957DF2">
        <w:rPr>
          <w:noProof/>
          <w:lang w:eastAsia="pl-PL"/>
        </w:rPr>
        <w:drawing>
          <wp:inline distT="0" distB="0" distL="0" distR="0" wp14:anchorId="51EA2003" wp14:editId="1DDAFFF7">
            <wp:extent cx="5939790" cy="2951544"/>
            <wp:effectExtent l="0" t="0" r="3810" b="1270"/>
            <wp:docPr id="20" name="Wykres 20">
              <a:extLst xmlns:a="http://schemas.openxmlformats.org/drawingml/2006/main">
                <a:ext uri="{FF2B5EF4-FFF2-40B4-BE49-F238E27FC236}">
                  <a16:creationId xmlns:a16="http://schemas.microsoft.com/office/drawing/2014/main" id="{4E6B9352-25B2-8197-7390-B846E15920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bookmarkEnd w:id="26"/>
    </w:p>
    <w:p w14:paraId="1BB530CC" w14:textId="77777777" w:rsidR="004F2940" w:rsidRPr="00102396" w:rsidRDefault="003816D3" w:rsidP="00965025">
      <w:pPr>
        <w:spacing w:before="6" w:after="6" w:line="288" w:lineRule="auto"/>
        <w:rPr>
          <w:i/>
          <w:sz w:val="18"/>
          <w:szCs w:val="18"/>
        </w:rPr>
      </w:pPr>
      <w:r w:rsidRPr="009A6934">
        <w:rPr>
          <w:i/>
          <w:sz w:val="18"/>
          <w:szCs w:val="18"/>
        </w:rPr>
        <w:t>Ź</w:t>
      </w:r>
      <w:r w:rsidR="004F2940" w:rsidRPr="009A6934">
        <w:rPr>
          <w:i/>
          <w:sz w:val="18"/>
          <w:szCs w:val="18"/>
        </w:rPr>
        <w:t>ródło: dane KNF</w:t>
      </w:r>
    </w:p>
    <w:p w14:paraId="111DD462" w14:textId="77777777" w:rsidR="009D517D" w:rsidRDefault="009D517D" w:rsidP="00965025">
      <w:pPr>
        <w:spacing w:before="6" w:after="6" w:line="288" w:lineRule="auto"/>
        <w:rPr>
          <w:b/>
          <w:bCs/>
        </w:rPr>
      </w:pPr>
    </w:p>
    <w:p w14:paraId="40697803" w14:textId="77777777" w:rsidR="0050575A" w:rsidRPr="0050575A" w:rsidRDefault="004F2940" w:rsidP="00291B87">
      <w:pPr>
        <w:pStyle w:val="Nagwek2"/>
        <w:numPr>
          <w:ilvl w:val="0"/>
          <w:numId w:val="23"/>
        </w:numPr>
        <w:spacing w:before="6" w:after="6" w:line="288" w:lineRule="auto"/>
        <w:jc w:val="both"/>
      </w:pPr>
      <w:bookmarkStart w:id="27" w:name="_Toc121828606"/>
      <w:r w:rsidRPr="003562BF">
        <w:lastRenderedPageBreak/>
        <w:t>Wzrost zamożności Polaków oraz sposoby gromadzenia przez nich nadwyżek finansowych</w:t>
      </w:r>
      <w:bookmarkEnd w:id="27"/>
    </w:p>
    <w:p w14:paraId="292DDEB6" w14:textId="7D8E174F" w:rsidR="003C1D19" w:rsidRPr="003C1D19" w:rsidRDefault="003C1D19" w:rsidP="00E43675">
      <w:pPr>
        <w:spacing w:before="6" w:after="6" w:line="288" w:lineRule="auto"/>
        <w:jc w:val="both"/>
        <w:rPr>
          <w:rFonts w:cstheme="minorHAnsi"/>
        </w:rPr>
      </w:pPr>
      <w:r w:rsidRPr="003C1D19">
        <w:rPr>
          <w:rFonts w:cstheme="minorHAnsi"/>
        </w:rPr>
        <w:t>W obecnym 2022 r</w:t>
      </w:r>
      <w:r w:rsidR="003E5272">
        <w:rPr>
          <w:rFonts w:cstheme="minorHAnsi"/>
        </w:rPr>
        <w:t>oku</w:t>
      </w:r>
      <w:r w:rsidRPr="003C1D19">
        <w:rPr>
          <w:rFonts w:cstheme="minorHAnsi"/>
        </w:rPr>
        <w:t xml:space="preserve"> oraz w kolejnych dwóch latach należy spodziewać się, że zachowania inwestorów indywidualnych</w:t>
      </w:r>
      <w:r w:rsidR="00F6118B">
        <w:rPr>
          <w:rFonts w:cstheme="minorHAnsi"/>
        </w:rPr>
        <w:t xml:space="preserve"> oraz</w:t>
      </w:r>
      <w:r w:rsidRPr="003C1D19">
        <w:rPr>
          <w:rFonts w:cstheme="minorHAnsi"/>
        </w:rPr>
        <w:t xml:space="preserve"> firm będą podporządkowane dwóm zasadniczym celom: ochronie posiadanych oszczędności (kapitału) oraz zachowaniu płynności. Te konieczności były wskazywane przez analityków już w okresie pandemicznym (2020</w:t>
      </w:r>
      <w:r w:rsidR="00F35C56">
        <w:rPr>
          <w:rFonts w:cstheme="minorHAnsi"/>
        </w:rPr>
        <w:t>–</w:t>
      </w:r>
      <w:r w:rsidRPr="003C1D19">
        <w:rPr>
          <w:rFonts w:cstheme="minorHAnsi"/>
        </w:rPr>
        <w:t>21)</w:t>
      </w:r>
      <w:r w:rsidR="00B955ED">
        <w:rPr>
          <w:rFonts w:cstheme="minorHAnsi"/>
        </w:rPr>
        <w:t>,</w:t>
      </w:r>
      <w:r w:rsidRPr="003C1D19">
        <w:rPr>
          <w:rFonts w:cstheme="minorHAnsi"/>
        </w:rPr>
        <w:t xml:space="preserve"> ale w sytuacji, w której w</w:t>
      </w:r>
      <w:r w:rsidR="004E5A53">
        <w:rPr>
          <w:rFonts w:cstheme="minorHAnsi"/>
        </w:rPr>
        <w:t> </w:t>
      </w:r>
      <w:r w:rsidRPr="003C1D19">
        <w:rPr>
          <w:rFonts w:cstheme="minorHAnsi"/>
        </w:rPr>
        <w:t>II</w:t>
      </w:r>
      <w:r w:rsidR="004E5A53">
        <w:rPr>
          <w:rFonts w:cstheme="minorHAnsi"/>
        </w:rPr>
        <w:t> </w:t>
      </w:r>
      <w:r w:rsidRPr="003C1D19">
        <w:rPr>
          <w:rFonts w:cstheme="minorHAnsi"/>
        </w:rPr>
        <w:t xml:space="preserve">połowie bieżącego roku </w:t>
      </w:r>
      <w:r w:rsidR="000F764A">
        <w:rPr>
          <w:rFonts w:cstheme="minorHAnsi"/>
        </w:rPr>
        <w:t>na</w:t>
      </w:r>
      <w:r w:rsidR="000F764A" w:rsidRPr="003C1D19">
        <w:rPr>
          <w:rFonts w:cstheme="minorHAnsi"/>
        </w:rPr>
        <w:t xml:space="preserve"> </w:t>
      </w:r>
      <w:r w:rsidRPr="003C1D19">
        <w:rPr>
          <w:rFonts w:cstheme="minorHAnsi"/>
        </w:rPr>
        <w:t>świecie ujawniła się wysoka inflacja, są szczególnie podkreślane jako obecne wyzwania rynku finansowego</w:t>
      </w:r>
      <w:r w:rsidR="00D81017">
        <w:rPr>
          <w:rFonts w:cstheme="minorHAnsi"/>
        </w:rPr>
        <w:t>.</w:t>
      </w:r>
      <w:r w:rsidRPr="003C1D19">
        <w:rPr>
          <w:rFonts w:cstheme="minorHAnsi"/>
        </w:rPr>
        <w:t xml:space="preserve"> </w:t>
      </w:r>
    </w:p>
    <w:p w14:paraId="5FC5BADD" w14:textId="603C73A9" w:rsidR="003C1D19" w:rsidRPr="003C1D19" w:rsidRDefault="003C1D19" w:rsidP="00E43675">
      <w:pPr>
        <w:spacing w:before="6" w:after="6" w:line="288" w:lineRule="auto"/>
        <w:jc w:val="both"/>
        <w:rPr>
          <w:rFonts w:cstheme="minorHAnsi"/>
        </w:rPr>
      </w:pPr>
      <w:r w:rsidRPr="003C1D19">
        <w:rPr>
          <w:rFonts w:cstheme="minorHAnsi"/>
        </w:rPr>
        <w:t>Ochrona wartości posiadanego kapitału w warunkach inflacji</w:t>
      </w:r>
      <w:r w:rsidR="00E1395A">
        <w:rPr>
          <w:rFonts w:cstheme="minorHAnsi"/>
        </w:rPr>
        <w:t>,</w:t>
      </w:r>
      <w:r w:rsidRPr="003C1D19">
        <w:rPr>
          <w:rFonts w:cstheme="minorHAnsi"/>
        </w:rPr>
        <w:t xml:space="preserve"> osiągającej w Polsce i w jej międzynarodowym otoczeniu gospodarczym wartości w przedziale 10</w:t>
      </w:r>
      <w:r w:rsidR="00F35C56">
        <w:rPr>
          <w:rFonts w:cstheme="minorHAnsi"/>
        </w:rPr>
        <w:t>–</w:t>
      </w:r>
      <w:r w:rsidRPr="003C1D19">
        <w:rPr>
          <w:rFonts w:cstheme="minorHAnsi"/>
        </w:rPr>
        <w:t>20%</w:t>
      </w:r>
      <w:r w:rsidRPr="003C1D19">
        <w:rPr>
          <w:rStyle w:val="Odwoanieprzypisudolnego"/>
          <w:rFonts w:cstheme="minorHAnsi"/>
        </w:rPr>
        <w:footnoteReference w:id="21"/>
      </w:r>
      <w:r w:rsidR="00FE6826" w:rsidRPr="004B6D6C">
        <w:rPr>
          <w:rFonts w:cstheme="minorHAnsi"/>
          <w:vertAlign w:val="superscript"/>
        </w:rPr>
        <w:t>)</w:t>
      </w:r>
      <w:r w:rsidR="005365BF">
        <w:rPr>
          <w:rFonts w:cstheme="minorHAnsi"/>
        </w:rPr>
        <w:t xml:space="preserve">, została poddana pewnym </w:t>
      </w:r>
      <w:r w:rsidRPr="003C1D19">
        <w:rPr>
          <w:rFonts w:cstheme="minorHAnsi"/>
        </w:rPr>
        <w:t>ograniczeniom. W przypadku oszczędzających w PPK jest ona ściśle powiązana z profilami funduszy cyklu życia, czyli z naszym obecnym i przyszłym statusem uczestnictwa</w:t>
      </w:r>
      <w:r w:rsidR="00A95B5F">
        <w:rPr>
          <w:rFonts w:cstheme="minorHAnsi"/>
        </w:rPr>
        <w:t>,</w:t>
      </w:r>
      <w:r w:rsidRPr="003C1D19">
        <w:rPr>
          <w:rFonts w:cstheme="minorHAnsi"/>
        </w:rPr>
        <w:t xml:space="preserve"> powiązanym ze</w:t>
      </w:r>
      <w:r w:rsidR="004C5CFB">
        <w:rPr>
          <w:rFonts w:cstheme="minorHAnsi"/>
        </w:rPr>
        <w:t> </w:t>
      </w:r>
      <w:r w:rsidRPr="003C1D19">
        <w:rPr>
          <w:rFonts w:cstheme="minorHAnsi"/>
        </w:rPr>
        <w:t>stopniem aktywności zawodowej. Im bliżej do jej zakończenia</w:t>
      </w:r>
      <w:r w:rsidR="00822469">
        <w:rPr>
          <w:rFonts w:cstheme="minorHAnsi"/>
        </w:rPr>
        <w:t>,</w:t>
      </w:r>
      <w:r w:rsidRPr="003C1D19">
        <w:rPr>
          <w:rFonts w:cstheme="minorHAnsi"/>
        </w:rPr>
        <w:t xml:space="preserve"> tym profil oszczędzania bezpieczniejszy</w:t>
      </w:r>
      <w:r w:rsidR="00134DB3">
        <w:rPr>
          <w:rFonts w:cstheme="minorHAnsi"/>
        </w:rPr>
        <w:t>,</w:t>
      </w:r>
      <w:r w:rsidRPr="003C1D19">
        <w:rPr>
          <w:rFonts w:cstheme="minorHAnsi"/>
        </w:rPr>
        <w:t xml:space="preserve"> a w przypadku jej rozpoczęcia lub wczesnej dojrzałości – bardziej aktywny, uwzgl</w:t>
      </w:r>
      <w:r w:rsidR="00134DB3">
        <w:rPr>
          <w:rFonts w:cstheme="minorHAnsi"/>
        </w:rPr>
        <w:t>ę</w:t>
      </w:r>
      <w:r w:rsidRPr="003C1D19">
        <w:rPr>
          <w:rFonts w:cstheme="minorHAnsi"/>
        </w:rPr>
        <w:t>dniający wyższe ryzyko.</w:t>
      </w:r>
    </w:p>
    <w:p w14:paraId="3F9EACD1" w14:textId="46A032C4" w:rsidR="003C1D19" w:rsidRPr="003C1D19" w:rsidRDefault="003C1D19" w:rsidP="00E43675">
      <w:pPr>
        <w:spacing w:before="6" w:after="6" w:line="288" w:lineRule="auto"/>
        <w:jc w:val="both"/>
        <w:rPr>
          <w:rFonts w:cstheme="minorHAnsi"/>
        </w:rPr>
      </w:pPr>
      <w:r w:rsidRPr="003C1D19">
        <w:rPr>
          <w:rFonts w:cstheme="minorHAnsi"/>
        </w:rPr>
        <w:t>Mająca miejsce od IV kw. 2021 r</w:t>
      </w:r>
      <w:r w:rsidR="008923CB">
        <w:rPr>
          <w:rFonts w:cstheme="minorHAnsi"/>
        </w:rPr>
        <w:t>oku</w:t>
      </w:r>
      <w:r w:rsidRPr="003C1D19">
        <w:rPr>
          <w:rFonts w:cstheme="minorHAnsi"/>
        </w:rPr>
        <w:t xml:space="preserve"> przecena na rynku akcji została pogłębiona skutkami agresji Rosji na Ukrainę oraz postępującymi dysfunkcjami na rynkach dostaw i produkcji w globalnym wymiarze. Wymiar militarny agresji, jak wskazuje wielu analityków</w:t>
      </w:r>
      <w:r w:rsidR="007972B6">
        <w:rPr>
          <w:rFonts w:cstheme="minorHAnsi"/>
        </w:rPr>
        <w:t>,</w:t>
      </w:r>
      <w:r w:rsidRPr="003C1D19">
        <w:rPr>
          <w:rFonts w:cstheme="minorHAnsi"/>
        </w:rPr>
        <w:t xml:space="preserve"> ma charakter regionalny, natomiast gospodarczy i polityczny – międzykontynentalny. </w:t>
      </w:r>
    </w:p>
    <w:p w14:paraId="4558A36B" w14:textId="2AF6CDDC" w:rsidR="003C1D19" w:rsidRPr="003C1D19" w:rsidRDefault="003C1D19" w:rsidP="00E43675">
      <w:pPr>
        <w:spacing w:before="6" w:after="6" w:line="288" w:lineRule="auto"/>
        <w:jc w:val="both"/>
        <w:rPr>
          <w:rFonts w:cstheme="minorHAnsi"/>
        </w:rPr>
      </w:pPr>
      <w:r w:rsidRPr="003C1D19">
        <w:rPr>
          <w:rFonts w:cstheme="minorHAnsi"/>
        </w:rPr>
        <w:t>Jak już wspomniano, celem oszczędzających jest ochrona poziomu oszczędności lub posiadanych inwestycji, które w warunkach niepewności i powiązanych kryzysów s</w:t>
      </w:r>
      <w:r w:rsidR="009A420D">
        <w:rPr>
          <w:rFonts w:cstheme="minorHAnsi"/>
        </w:rPr>
        <w:t>ą</w:t>
      </w:r>
      <w:r w:rsidRPr="003C1D19">
        <w:rPr>
          <w:rFonts w:cstheme="minorHAnsi"/>
        </w:rPr>
        <w:t xml:space="preserve"> trudne do osiągnięcia. Klasyczna ochrona kapitału przed</w:t>
      </w:r>
      <w:r w:rsidR="00910A95">
        <w:rPr>
          <w:rFonts w:cstheme="minorHAnsi"/>
        </w:rPr>
        <w:t xml:space="preserve"> negatywnymi wpływami</w:t>
      </w:r>
      <w:r w:rsidRPr="003C1D19">
        <w:rPr>
          <w:rFonts w:cstheme="minorHAnsi"/>
        </w:rPr>
        <w:t xml:space="preserve"> wojny, recesji lub szoków ekonomicznych polega w szczególności na odpowiednio umiejętnej konstrukcji posiadanych aktywów. Portfel powinien być odpowiednio podzielony</w:t>
      </w:r>
      <w:r w:rsidR="004C726B">
        <w:rPr>
          <w:rFonts w:cstheme="minorHAnsi"/>
        </w:rPr>
        <w:t xml:space="preserve"> i</w:t>
      </w:r>
      <w:r w:rsidR="00D3084D">
        <w:rPr>
          <w:rFonts w:cstheme="minorHAnsi"/>
        </w:rPr>
        <w:t xml:space="preserve"> </w:t>
      </w:r>
      <w:r w:rsidRPr="003C1D19">
        <w:rPr>
          <w:rFonts w:cstheme="minorHAnsi"/>
        </w:rPr>
        <w:t>zawierać w sobie aktywa bezpieczne, takie jak</w:t>
      </w:r>
      <w:r w:rsidR="00404176">
        <w:rPr>
          <w:rFonts w:cstheme="minorHAnsi"/>
        </w:rPr>
        <w:t xml:space="preserve"> np.</w:t>
      </w:r>
      <w:r w:rsidRPr="003C1D19">
        <w:rPr>
          <w:rFonts w:cstheme="minorHAnsi"/>
        </w:rPr>
        <w:t xml:space="preserve"> obligacje </w:t>
      </w:r>
      <w:r w:rsidR="002C3D40">
        <w:rPr>
          <w:rFonts w:cstheme="minorHAnsi"/>
        </w:rPr>
        <w:t>i</w:t>
      </w:r>
      <w:r w:rsidR="00720FBB">
        <w:rPr>
          <w:rFonts w:cstheme="minorHAnsi"/>
        </w:rPr>
        <w:t> </w:t>
      </w:r>
      <w:r w:rsidR="002C3D40">
        <w:rPr>
          <w:rFonts w:cstheme="minorHAnsi"/>
        </w:rPr>
        <w:t xml:space="preserve">bony </w:t>
      </w:r>
      <w:r w:rsidRPr="003C1D19">
        <w:rPr>
          <w:rFonts w:cstheme="minorHAnsi"/>
        </w:rPr>
        <w:t>skarbowe. W Polsce okres ostatniego półrocza charakteryzował się wycofywaniem oszczędności lokowanych w funduszach inwestycyjnych na kwotę ok. 20 mld zł.</w:t>
      </w:r>
    </w:p>
    <w:p w14:paraId="7482235F" w14:textId="0AC85CE7" w:rsidR="003C1D19" w:rsidRPr="003C1D19" w:rsidRDefault="003C1D19" w:rsidP="00E43675">
      <w:pPr>
        <w:spacing w:before="6" w:after="6" w:line="288" w:lineRule="auto"/>
        <w:jc w:val="both"/>
        <w:rPr>
          <w:rFonts w:cstheme="minorHAnsi"/>
        </w:rPr>
      </w:pPr>
      <w:r w:rsidRPr="003C1D19">
        <w:rPr>
          <w:rFonts w:cstheme="minorHAnsi"/>
        </w:rPr>
        <w:t xml:space="preserve">W krajach Unii Europejskiej uczestnicy funduszy inwestycyjnych zaczęli wycofywać aktywa w dużej skali, tylko w maju </w:t>
      </w:r>
      <w:r w:rsidR="00896097">
        <w:rPr>
          <w:rFonts w:cstheme="minorHAnsi"/>
        </w:rPr>
        <w:t xml:space="preserve">2022 roku </w:t>
      </w:r>
      <w:r w:rsidRPr="003C1D19">
        <w:rPr>
          <w:rFonts w:cstheme="minorHAnsi"/>
        </w:rPr>
        <w:t>umorzono blisko 33</w:t>
      </w:r>
      <w:r w:rsidR="001922BF">
        <w:rPr>
          <w:rFonts w:cstheme="minorHAnsi"/>
        </w:rPr>
        <w:t> </w:t>
      </w:r>
      <w:r w:rsidRPr="003C1D19">
        <w:rPr>
          <w:rFonts w:cstheme="minorHAnsi"/>
        </w:rPr>
        <w:t>mld euro. Oczekiwania na podwyżki stóp procentowych spłoszyły kolejnych klientów funduszy inwestujących w dług skarbowy i korporacyjny. O skali pesymizmu na europejskim rynku finansowym świadczy fakt, ż</w:t>
      </w:r>
      <w:r w:rsidR="00D21537">
        <w:rPr>
          <w:rFonts w:cstheme="minorHAnsi"/>
        </w:rPr>
        <w:t>e</w:t>
      </w:r>
      <w:r w:rsidRPr="003C1D19">
        <w:rPr>
          <w:rFonts w:cstheme="minorHAnsi"/>
        </w:rPr>
        <w:t xml:space="preserve"> był to w kolejności piąty miesiąc z przewagą umorzeń nad napływami środków do funduszy inwestycyjnych. </w:t>
      </w:r>
    </w:p>
    <w:p w14:paraId="3F93FC1B" w14:textId="5C1C45A9" w:rsidR="00AB1292" w:rsidRDefault="003C1D19" w:rsidP="00E43675">
      <w:pPr>
        <w:spacing w:before="6" w:after="6" w:line="288" w:lineRule="auto"/>
        <w:jc w:val="both"/>
        <w:rPr>
          <w:rFonts w:cstheme="minorHAnsi"/>
        </w:rPr>
      </w:pPr>
      <w:r w:rsidRPr="003C1D19">
        <w:rPr>
          <w:rFonts w:cstheme="minorHAnsi"/>
        </w:rPr>
        <w:t>Pieniądze, które wychodziły z krajowych funduszy inwestycyjnych, szukały posadowienia w obszarze nieruchomości,</w:t>
      </w:r>
      <w:r w:rsidR="00C31C63">
        <w:rPr>
          <w:rFonts w:cstheme="minorHAnsi"/>
        </w:rPr>
        <w:t xml:space="preserve"> a</w:t>
      </w:r>
      <w:r w:rsidRPr="003C1D19">
        <w:rPr>
          <w:rFonts w:cstheme="minorHAnsi"/>
        </w:rPr>
        <w:t xml:space="preserve"> także złota</w:t>
      </w:r>
      <w:r w:rsidR="00BE0D2D">
        <w:rPr>
          <w:rFonts w:cstheme="minorHAnsi"/>
        </w:rPr>
        <w:t>,</w:t>
      </w:r>
      <w:r w:rsidRPr="003C1D19">
        <w:rPr>
          <w:rFonts w:cstheme="minorHAnsi"/>
        </w:rPr>
        <w:t xml:space="preserve"> jednakże najbardziej obleganym kierunkiem inwestowania stały się</w:t>
      </w:r>
      <w:r w:rsidR="004C5CFB">
        <w:rPr>
          <w:rFonts w:cstheme="minorHAnsi"/>
        </w:rPr>
        <w:t> </w:t>
      </w:r>
      <w:r w:rsidRPr="003C1D19">
        <w:rPr>
          <w:rFonts w:cstheme="minorHAnsi"/>
        </w:rPr>
        <w:t xml:space="preserve">obligacje skarbowe o charakterze zmienno-kuponowym. Ich atrakcyjność polega na powiązaniu kuponu odsetkowego </w:t>
      </w:r>
      <w:r w:rsidR="00335A00">
        <w:rPr>
          <w:rFonts w:cstheme="minorHAnsi"/>
        </w:rPr>
        <w:t>z</w:t>
      </w:r>
      <w:r w:rsidRPr="003C1D19">
        <w:rPr>
          <w:rFonts w:cstheme="minorHAnsi"/>
        </w:rPr>
        <w:t xml:space="preserve"> inflacj</w:t>
      </w:r>
      <w:r w:rsidR="006C7634">
        <w:rPr>
          <w:rFonts w:cstheme="minorHAnsi"/>
        </w:rPr>
        <w:t>ą</w:t>
      </w:r>
      <w:r w:rsidRPr="003C1D19">
        <w:rPr>
          <w:rFonts w:cstheme="minorHAnsi"/>
        </w:rPr>
        <w:t xml:space="preserve"> lub stop</w:t>
      </w:r>
      <w:r w:rsidR="00335A00">
        <w:rPr>
          <w:rFonts w:cstheme="minorHAnsi"/>
        </w:rPr>
        <w:t>ą</w:t>
      </w:r>
      <w:r w:rsidRPr="003C1D19">
        <w:rPr>
          <w:rFonts w:cstheme="minorHAnsi"/>
        </w:rPr>
        <w:t xml:space="preserve"> referencyjną NBP. Dostępne dane wskazują, że obligacje oszczędnościowe pozyskały w czerwcu i lipcu b.r. nabywców indywidualnych na kwotę 24 mld zł. Ich</w:t>
      </w:r>
      <w:r w:rsidR="00275B9C">
        <w:rPr>
          <w:rFonts w:cstheme="minorHAnsi"/>
        </w:rPr>
        <w:t> </w:t>
      </w:r>
      <w:r w:rsidRPr="003C1D19">
        <w:rPr>
          <w:rFonts w:cstheme="minorHAnsi"/>
        </w:rPr>
        <w:t xml:space="preserve">zaangażowanie </w:t>
      </w:r>
      <w:r w:rsidR="00A44516">
        <w:rPr>
          <w:rFonts w:cstheme="minorHAnsi"/>
        </w:rPr>
        <w:t xml:space="preserve">w </w:t>
      </w:r>
      <w:r w:rsidRPr="003C1D19">
        <w:rPr>
          <w:rFonts w:cstheme="minorHAnsi"/>
        </w:rPr>
        <w:t xml:space="preserve">długu publicznym silnie wzrasta, także </w:t>
      </w:r>
      <w:r w:rsidR="009C548B">
        <w:rPr>
          <w:rFonts w:cstheme="minorHAnsi"/>
        </w:rPr>
        <w:t>z uwagi na</w:t>
      </w:r>
      <w:r w:rsidR="00275B9C">
        <w:rPr>
          <w:rFonts w:cstheme="minorHAnsi"/>
        </w:rPr>
        <w:t> </w:t>
      </w:r>
      <w:r w:rsidRPr="003C1D19">
        <w:rPr>
          <w:rFonts w:cstheme="minorHAnsi"/>
        </w:rPr>
        <w:t xml:space="preserve">atrakcyjny poziom </w:t>
      </w:r>
      <w:r w:rsidR="00505FD9">
        <w:rPr>
          <w:rFonts w:cstheme="minorHAnsi"/>
        </w:rPr>
        <w:t>opr</w:t>
      </w:r>
      <w:r w:rsidR="00401F86">
        <w:rPr>
          <w:rFonts w:cstheme="minorHAnsi"/>
        </w:rPr>
        <w:t>o</w:t>
      </w:r>
      <w:r w:rsidR="00505FD9">
        <w:rPr>
          <w:rFonts w:cstheme="minorHAnsi"/>
        </w:rPr>
        <w:t>centowania</w:t>
      </w:r>
      <w:r w:rsidRPr="003C1D19">
        <w:rPr>
          <w:rFonts w:cstheme="minorHAnsi"/>
        </w:rPr>
        <w:t>, przekraczający oprocentowanie lokat bankowych i</w:t>
      </w:r>
      <w:r w:rsidR="00D832B2">
        <w:rPr>
          <w:rFonts w:cstheme="minorHAnsi"/>
        </w:rPr>
        <w:t> </w:t>
      </w:r>
      <w:r w:rsidRPr="003C1D19">
        <w:rPr>
          <w:rFonts w:cstheme="minorHAnsi"/>
        </w:rPr>
        <w:t xml:space="preserve">rachunków oszczędnościowych. </w:t>
      </w:r>
      <w:r w:rsidR="004C5480">
        <w:rPr>
          <w:rFonts w:cstheme="minorHAnsi"/>
        </w:rPr>
        <w:t xml:space="preserve">W sierpniu 2022 roku </w:t>
      </w:r>
      <w:r w:rsidRPr="003C1D19">
        <w:rPr>
          <w:rFonts w:cstheme="minorHAnsi"/>
        </w:rPr>
        <w:t>gospodarstwa domowe</w:t>
      </w:r>
      <w:r w:rsidR="00C0205A">
        <w:rPr>
          <w:rFonts w:cstheme="minorHAnsi"/>
        </w:rPr>
        <w:t xml:space="preserve"> posiadały blisko 10%</w:t>
      </w:r>
      <w:r w:rsidR="00A44516">
        <w:rPr>
          <w:rFonts w:cstheme="minorHAnsi"/>
        </w:rPr>
        <w:t xml:space="preserve"> obligacj</w:t>
      </w:r>
      <w:r w:rsidR="00C0205A">
        <w:rPr>
          <w:rFonts w:cstheme="minorHAnsi"/>
        </w:rPr>
        <w:t>i</w:t>
      </w:r>
      <w:r w:rsidR="00A44516">
        <w:rPr>
          <w:rFonts w:cstheme="minorHAnsi"/>
        </w:rPr>
        <w:t xml:space="preserve"> skarbowych </w:t>
      </w:r>
      <w:r w:rsidR="00C0205A">
        <w:rPr>
          <w:rFonts w:cstheme="minorHAnsi"/>
        </w:rPr>
        <w:t>wyemitowanych na rynku krajowym</w:t>
      </w:r>
      <w:r w:rsidR="00A44516">
        <w:rPr>
          <w:rFonts w:cstheme="minorHAnsi"/>
        </w:rPr>
        <w:t xml:space="preserve">, </w:t>
      </w:r>
      <w:r w:rsidRPr="003C1D19">
        <w:rPr>
          <w:rFonts w:cstheme="minorHAnsi"/>
        </w:rPr>
        <w:t xml:space="preserve">co w ujęciu kwotowym wynosi </w:t>
      </w:r>
      <w:r w:rsidR="00A44516">
        <w:rPr>
          <w:rFonts w:cstheme="minorHAnsi"/>
        </w:rPr>
        <w:t>83</w:t>
      </w:r>
      <w:r w:rsidRPr="003C1D19">
        <w:rPr>
          <w:rFonts w:cstheme="minorHAnsi"/>
        </w:rPr>
        <w:t xml:space="preserve"> mld zł</w:t>
      </w:r>
      <w:r w:rsidR="00EB2CE7">
        <w:rPr>
          <w:rFonts w:cstheme="minorHAnsi"/>
        </w:rPr>
        <w:t>.</w:t>
      </w:r>
    </w:p>
    <w:p w14:paraId="2B3B76BF" w14:textId="77777777" w:rsidR="00AE6673" w:rsidRDefault="00AE6673" w:rsidP="00E43675">
      <w:pPr>
        <w:spacing w:before="6" w:after="6" w:line="288" w:lineRule="auto"/>
        <w:jc w:val="both"/>
        <w:rPr>
          <w:rFonts w:cstheme="minorHAnsi"/>
        </w:rPr>
      </w:pPr>
    </w:p>
    <w:p w14:paraId="2347362F" w14:textId="5325D204" w:rsidR="00B13B87" w:rsidRPr="00076A15" w:rsidRDefault="00311EF2" w:rsidP="00E43675">
      <w:pPr>
        <w:spacing w:before="6" w:after="6" w:line="288" w:lineRule="auto"/>
        <w:jc w:val="both"/>
      </w:pPr>
      <w:r w:rsidRPr="00076A15">
        <w:lastRenderedPageBreak/>
        <w:t xml:space="preserve">Warto tu jednak zaznaczyć, że PPK </w:t>
      </w:r>
      <w:r w:rsidR="004A24C6">
        <w:t>j</w:t>
      </w:r>
      <w:r w:rsidR="004A24C6" w:rsidRPr="004A24C6">
        <w:t>ako program oszczędzania długoterminowego jest odporny na</w:t>
      </w:r>
      <w:r w:rsidR="002F0E4F">
        <w:t> </w:t>
      </w:r>
      <w:r w:rsidR="004A24C6" w:rsidRPr="004A24C6">
        <w:t>czasowe zawirowania rynku finansowego</w:t>
      </w:r>
      <w:r w:rsidRPr="00076A15">
        <w:t xml:space="preserve">. </w:t>
      </w:r>
      <w:r w:rsidR="003D1977" w:rsidRPr="00B573F9">
        <w:t xml:space="preserve">W ramach programu przygotowano </w:t>
      </w:r>
      <w:r w:rsidR="00B13B87">
        <w:t xml:space="preserve">bowiem </w:t>
      </w:r>
      <w:r w:rsidR="003D1977" w:rsidRPr="00B573F9">
        <w:t xml:space="preserve">rozwiązania, które mitygują potencjalne ryzyka, wynikające z przebiegu cyklów koniunkturalnych. </w:t>
      </w:r>
      <w:r w:rsidRPr="00076A15">
        <w:t xml:space="preserve">Systematyczne odkładanie nawet małych kwot i trzymanie się tego przez wiele lat jest </w:t>
      </w:r>
      <w:r w:rsidR="00BD0A41">
        <w:t xml:space="preserve">niewątpliwie </w:t>
      </w:r>
      <w:r w:rsidRPr="00076A15">
        <w:t>najlepszym sposobem budowania kapitału na przyszłość</w:t>
      </w:r>
      <w:r w:rsidR="002263F6">
        <w:t>.</w:t>
      </w:r>
      <w:r w:rsidRPr="00076A15">
        <w:t xml:space="preserve"> Dzięki</w:t>
      </w:r>
      <w:r>
        <w:t xml:space="preserve"> </w:t>
      </w:r>
      <w:r w:rsidR="004C0A9C">
        <w:t>temu programowi</w:t>
      </w:r>
      <w:r w:rsidRPr="00076A15">
        <w:t xml:space="preserve"> długoterminowe inwestowanie jest dostępne także dla osób z małym doświadczeniem i mniejszą wiedzą o rynku kapitałowym</w:t>
      </w:r>
      <w:r w:rsidR="0062185D">
        <w:t xml:space="preserve"> – </w:t>
      </w:r>
      <w:r w:rsidR="006719E3">
        <w:t>inwestycja w PPK nie wymaga od oszczędzającego na cele emerytalne uczestnika żadnych działań</w:t>
      </w:r>
      <w:r>
        <w:t>.</w:t>
      </w:r>
    </w:p>
    <w:p w14:paraId="7DF676C5" w14:textId="4C4BAD08" w:rsidR="00B13B87" w:rsidRDefault="001A5ECB" w:rsidP="00E43675">
      <w:pPr>
        <w:spacing w:before="6" w:after="6" w:line="288" w:lineRule="auto"/>
        <w:jc w:val="both"/>
      </w:pPr>
      <w:r>
        <w:t>Co najważniejsze, d</w:t>
      </w:r>
      <w:r w:rsidR="00311EF2" w:rsidRPr="00076A15">
        <w:t xml:space="preserve">zięki </w:t>
      </w:r>
      <w:r>
        <w:t>regularnemu (</w:t>
      </w:r>
      <w:r w:rsidR="00311EF2" w:rsidRPr="00076A15">
        <w:t>comiesięcznemu</w:t>
      </w:r>
      <w:r>
        <w:t>)</w:t>
      </w:r>
      <w:r w:rsidR="00311EF2" w:rsidRPr="00076A15">
        <w:t xml:space="preserve"> lokowaniu nowych środków, uczestnik PPK ma szansę skorzystać </w:t>
      </w:r>
      <w:r w:rsidR="002F0E4F">
        <w:t>z mechanizmu uśredniania wartości</w:t>
      </w:r>
      <w:r w:rsidR="00311EF2" w:rsidRPr="00076A15">
        <w:t xml:space="preserve"> inwestycji w czasie. Oznacza to</w:t>
      </w:r>
      <w:r w:rsidR="00BD515E">
        <w:t>,</w:t>
      </w:r>
      <w:r w:rsidR="00311EF2" w:rsidRPr="00076A15">
        <w:t xml:space="preserve"> że jeśli pojawią się zawirowania na rynku (a w długim okresie trudno jest ich uniknąć)</w:t>
      </w:r>
      <w:r w:rsidR="00090717">
        <w:t>,</w:t>
      </w:r>
      <w:r w:rsidR="00311EF2" w:rsidRPr="00076A15">
        <w:t xml:space="preserve"> to w okresie spadków można nabyć więcej jednostek uczestnictwa po niższej cenie, co umożliwi wyższe zyski w okresach wzrostów. Aby jednak ten mechanizm mógł zadziałać</w:t>
      </w:r>
      <w:r w:rsidR="00140C87">
        <w:t>,</w:t>
      </w:r>
      <w:r w:rsidR="00311EF2" w:rsidRPr="00076A15">
        <w:t xml:space="preserve"> należy utrzymać własny, indywidualny horyzont inwestycyjny. Im jest on dłuższy, tym większa szansa, że stopa zwrotu z wpłacanych środków będzie wyższa.</w:t>
      </w:r>
      <w:r w:rsidR="001222FC" w:rsidRPr="00076A15">
        <w:t xml:space="preserve"> Emocjonalne podejście do inwestycji na rynku kapitałowym nie służy inwestorom, również w</w:t>
      </w:r>
      <w:r w:rsidR="00275B9C">
        <w:t> </w:t>
      </w:r>
      <w:r w:rsidR="001222FC" w:rsidRPr="00076A15">
        <w:t>PPK.</w:t>
      </w:r>
    </w:p>
    <w:p w14:paraId="733771A1" w14:textId="4570FA2B" w:rsidR="00311EF2" w:rsidRDefault="00085A40" w:rsidP="00E43675">
      <w:pPr>
        <w:spacing w:before="6" w:after="6" w:line="288" w:lineRule="auto"/>
        <w:jc w:val="both"/>
      </w:pPr>
      <w:r>
        <w:t>O</w:t>
      </w:r>
      <w:r w:rsidR="00311EF2" w:rsidRPr="00076A15">
        <w:t xml:space="preserve">cena rentowności PPK przez pryzmat krótkoterminowych wyników funduszy, ze względu na założony długi horyzont czasowy inwestycji, może prowadzić do niewłaściwych wniosków. </w:t>
      </w:r>
      <w:r w:rsidR="00E44B40">
        <w:t>O</w:t>
      </w:r>
      <w:r w:rsidR="00311EF2" w:rsidRPr="00076A15">
        <w:t xml:space="preserve">prócz wyników funduszy należy analizować </w:t>
      </w:r>
      <w:r w:rsidR="00A04629">
        <w:t>również</w:t>
      </w:r>
      <w:r w:rsidR="00A04629" w:rsidRPr="00A04629">
        <w:t xml:space="preserve"> </w:t>
      </w:r>
      <w:r w:rsidR="00311EF2" w:rsidRPr="00076A15">
        <w:t>realny zysk uczestnika PPK – który można rozpatrywać jako różnicę między tym</w:t>
      </w:r>
      <w:r w:rsidR="00E54002">
        <w:t>,</w:t>
      </w:r>
      <w:r w:rsidR="00311EF2" w:rsidRPr="00076A15">
        <w:t xml:space="preserve"> co do PPK wpłacił on sam, a wpłatami, które dołożył jego pracodawca i </w:t>
      </w:r>
      <w:r w:rsidR="0035132E">
        <w:t>p</w:t>
      </w:r>
      <w:r w:rsidR="00311EF2" w:rsidRPr="00076A15">
        <w:t>aństwo oraz</w:t>
      </w:r>
      <w:r w:rsidR="002F0E4F">
        <w:t> </w:t>
      </w:r>
      <w:r w:rsidR="00311EF2" w:rsidRPr="00076A15">
        <w:t>wynikiem z inwestycji.</w:t>
      </w:r>
    </w:p>
    <w:p w14:paraId="310F1650" w14:textId="77777777" w:rsidR="00B47EB8" w:rsidRDefault="00B47EB8" w:rsidP="00E43675">
      <w:pPr>
        <w:spacing w:before="6" w:after="6" w:line="288" w:lineRule="auto"/>
        <w:jc w:val="both"/>
      </w:pPr>
    </w:p>
    <w:p w14:paraId="2AD7D966" w14:textId="77777777" w:rsidR="00332241" w:rsidRDefault="00984A20" w:rsidP="00263AAC">
      <w:pPr>
        <w:spacing w:before="6" w:after="6" w:line="288" w:lineRule="auto"/>
        <w:jc w:val="both"/>
      </w:pPr>
      <w:r>
        <w:t>Poniż</w:t>
      </w:r>
      <w:r w:rsidR="00747180">
        <w:t>szy wykres ilustruje k</w:t>
      </w:r>
      <w:r w:rsidR="003F5387" w:rsidRPr="00CA0716">
        <w:t>alkulacj</w:t>
      </w:r>
      <w:r w:rsidR="00747180">
        <w:t>ę</w:t>
      </w:r>
      <w:r w:rsidR="003F5387" w:rsidRPr="00CA0716">
        <w:t xml:space="preserve"> stopy zwrotu na inwestycji w PPK dla uczestnika PPK zarabiającego 5 300 zł – w okresie od 1.12.2019 r. do 31.08.2022 r. dla poszczególnych grup funduszy zdefiniowanej daty.</w:t>
      </w:r>
      <w:r w:rsidR="002A3F2C">
        <w:t xml:space="preserve"> </w:t>
      </w:r>
      <w:r w:rsidR="00332241" w:rsidRPr="00CA0716">
        <w:t xml:space="preserve">Kalkulacja uwzględnia </w:t>
      </w:r>
      <w:r>
        <w:t xml:space="preserve">wpłaty pracownika w wysokości 2%, </w:t>
      </w:r>
      <w:r w:rsidR="00332241" w:rsidRPr="00CA0716">
        <w:t>wpłaty od pracodawcy w wysokości 1,5%, wpłaty od państwa w łącznej wysokości 730 zł, stopę zwrotu od wszystkich wpłat (pracownika, pracodawcy, państwa)</w:t>
      </w:r>
      <w:r w:rsidR="003F03A6">
        <w:t>.</w:t>
      </w:r>
    </w:p>
    <w:p w14:paraId="35BBEBD5" w14:textId="48E2ECE3" w:rsidR="00E81D68" w:rsidRDefault="004A499F" w:rsidP="007D197F">
      <w:pPr>
        <w:spacing w:before="6" w:after="6" w:line="288" w:lineRule="auto"/>
        <w:jc w:val="both"/>
      </w:pPr>
      <w:r w:rsidRPr="008C1C40">
        <w:t xml:space="preserve">Jak widać, nawet mimo przecen na rynku akcji </w:t>
      </w:r>
      <w:r w:rsidR="000E14B0" w:rsidRPr="008C1C40">
        <w:t>i</w:t>
      </w:r>
      <w:r w:rsidRPr="008C1C40">
        <w:t xml:space="preserve"> obligacji</w:t>
      </w:r>
      <w:r w:rsidR="000E14B0" w:rsidRPr="008C1C40">
        <w:t>,</w:t>
      </w:r>
      <w:r w:rsidRPr="008C1C40">
        <w:t xml:space="preserve"> uczestnik programu ma </w:t>
      </w:r>
      <w:r w:rsidR="009B459A" w:rsidRPr="008C1C40">
        <w:t xml:space="preserve">na swoim rachunku PPK statystycznie </w:t>
      </w:r>
      <w:r w:rsidR="009B459A" w:rsidRPr="005F6C0A">
        <w:t xml:space="preserve">o </w:t>
      </w:r>
      <w:r w:rsidR="00E3267B" w:rsidRPr="005F6C0A">
        <w:t>84</w:t>
      </w:r>
      <w:r w:rsidR="00F35C56">
        <w:t>–</w:t>
      </w:r>
      <w:r w:rsidR="009B459A" w:rsidRPr="005F6C0A">
        <w:t xml:space="preserve">90 proc. więcej </w:t>
      </w:r>
      <w:r w:rsidR="00E57432" w:rsidRPr="005F6C0A">
        <w:t>środków</w:t>
      </w:r>
      <w:r w:rsidR="009B459A" w:rsidRPr="005F6C0A">
        <w:t xml:space="preserve"> niż sam wpłacił.</w:t>
      </w:r>
      <w:r w:rsidR="008E47D6">
        <w:t xml:space="preserve"> </w:t>
      </w:r>
    </w:p>
    <w:p w14:paraId="055312B0" w14:textId="77777777" w:rsidR="00A67CE2" w:rsidRDefault="00A67CE2" w:rsidP="007D197F">
      <w:pPr>
        <w:spacing w:before="6" w:after="6" w:line="288" w:lineRule="auto"/>
        <w:jc w:val="both"/>
      </w:pPr>
    </w:p>
    <w:p w14:paraId="5F00A847" w14:textId="43A0B946" w:rsidR="008B2ADD" w:rsidRPr="007D197F" w:rsidRDefault="008B2ADD" w:rsidP="007D197F">
      <w:pPr>
        <w:pStyle w:val="Legenda"/>
        <w:keepNext/>
        <w:rPr>
          <w:i w:val="0"/>
          <w:iCs w:val="0"/>
          <w:color w:val="auto"/>
          <w:sz w:val="20"/>
          <w:szCs w:val="20"/>
        </w:rPr>
      </w:pPr>
      <w:bookmarkStart w:id="28" w:name="_Toc121826557"/>
      <w:r w:rsidRPr="007D197F">
        <w:rPr>
          <w:color w:val="auto"/>
          <w:sz w:val="20"/>
          <w:szCs w:val="20"/>
        </w:rPr>
        <w:lastRenderedPageBreak/>
        <w:t xml:space="preserve">Wykres </w:t>
      </w:r>
      <w:r w:rsidRPr="007D197F">
        <w:rPr>
          <w:color w:val="auto"/>
          <w:sz w:val="20"/>
          <w:szCs w:val="20"/>
        </w:rPr>
        <w:fldChar w:fldCharType="begin"/>
      </w:r>
      <w:r w:rsidRPr="007D197F">
        <w:rPr>
          <w:color w:val="auto"/>
          <w:sz w:val="20"/>
          <w:szCs w:val="20"/>
        </w:rPr>
        <w:instrText xml:space="preserve"> SEQ Wykres \* ARABIC </w:instrText>
      </w:r>
      <w:r w:rsidRPr="007D197F">
        <w:rPr>
          <w:color w:val="auto"/>
          <w:sz w:val="20"/>
          <w:szCs w:val="20"/>
        </w:rPr>
        <w:fldChar w:fldCharType="separate"/>
      </w:r>
      <w:r w:rsidR="001F2919">
        <w:rPr>
          <w:noProof/>
          <w:color w:val="auto"/>
          <w:sz w:val="20"/>
          <w:szCs w:val="20"/>
        </w:rPr>
        <w:t>7</w:t>
      </w:r>
      <w:r w:rsidRPr="007D197F">
        <w:rPr>
          <w:color w:val="auto"/>
          <w:sz w:val="20"/>
          <w:szCs w:val="20"/>
        </w:rPr>
        <w:fldChar w:fldCharType="end"/>
      </w:r>
      <w:r w:rsidRPr="008B2ADD">
        <w:rPr>
          <w:b/>
          <w:i w:val="0"/>
          <w:iCs w:val="0"/>
          <w:color w:val="auto"/>
          <w:sz w:val="20"/>
          <w:szCs w:val="20"/>
        </w:rPr>
        <w:t xml:space="preserve"> Kalkulacja stopy zwrotu z inwestycji w PPK w grupie FZD</w:t>
      </w:r>
      <w:bookmarkEnd w:id="28"/>
    </w:p>
    <w:p w14:paraId="37448A6E" w14:textId="77777777" w:rsidR="004F69E0" w:rsidRPr="004F69E0" w:rsidRDefault="00F25055" w:rsidP="005F6C0A">
      <w:r>
        <w:rPr>
          <w:noProof/>
          <w:lang w:eastAsia="pl-PL"/>
        </w:rPr>
        <w:drawing>
          <wp:inline distT="0" distB="0" distL="0" distR="0" wp14:anchorId="759A5748" wp14:editId="3D1359F8">
            <wp:extent cx="5940000" cy="4680000"/>
            <wp:effectExtent l="0" t="0" r="3810" b="6350"/>
            <wp:docPr id="10" name="Wykres 10">
              <a:extLst xmlns:a="http://schemas.openxmlformats.org/drawingml/2006/main">
                <a:ext uri="{FF2B5EF4-FFF2-40B4-BE49-F238E27FC236}">
                  <a16:creationId xmlns:a16="http://schemas.microsoft.com/office/drawing/2014/main" id="{715BBD89-B972-68B6-813F-43FFBDC958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B7F613F" w14:textId="77777777" w:rsidR="00747180" w:rsidRPr="00DB7608" w:rsidRDefault="00B666C1" w:rsidP="00CB22C7">
      <w:pPr>
        <w:spacing w:before="6" w:after="6" w:line="288" w:lineRule="auto"/>
        <w:rPr>
          <w:i/>
          <w:sz w:val="18"/>
          <w:szCs w:val="18"/>
        </w:rPr>
      </w:pPr>
      <w:r w:rsidRPr="00DB7608">
        <w:rPr>
          <w:i/>
          <w:sz w:val="18"/>
          <w:szCs w:val="18"/>
        </w:rPr>
        <w:t>Ź</w:t>
      </w:r>
      <w:r w:rsidR="00AE6E05" w:rsidRPr="00DB7608">
        <w:rPr>
          <w:i/>
          <w:sz w:val="18"/>
          <w:szCs w:val="18"/>
        </w:rPr>
        <w:t xml:space="preserve">ródło: </w:t>
      </w:r>
      <w:r w:rsidR="00A240ED" w:rsidRPr="00DB7608">
        <w:rPr>
          <w:i/>
          <w:sz w:val="18"/>
          <w:szCs w:val="18"/>
        </w:rPr>
        <w:t xml:space="preserve">Biuletyn </w:t>
      </w:r>
      <w:r w:rsidR="00071B3D" w:rsidRPr="00DB7608">
        <w:rPr>
          <w:i/>
          <w:sz w:val="18"/>
          <w:szCs w:val="18"/>
        </w:rPr>
        <w:t xml:space="preserve">miesięczny </w:t>
      </w:r>
      <w:r w:rsidR="00A240ED" w:rsidRPr="00DB7608">
        <w:rPr>
          <w:i/>
          <w:sz w:val="18"/>
          <w:szCs w:val="18"/>
        </w:rPr>
        <w:t xml:space="preserve">Pracowniczych Planów </w:t>
      </w:r>
      <w:r w:rsidR="00071B3D" w:rsidRPr="00DB7608">
        <w:rPr>
          <w:i/>
          <w:sz w:val="18"/>
          <w:szCs w:val="18"/>
        </w:rPr>
        <w:t>Kapitałowych, numer 9 (11) – wrzesień 2022</w:t>
      </w:r>
    </w:p>
    <w:p w14:paraId="40C28C12" w14:textId="77777777" w:rsidR="00507808" w:rsidRPr="00507808" w:rsidRDefault="00507808" w:rsidP="00507808">
      <w:pPr>
        <w:spacing w:before="6" w:after="6" w:line="288" w:lineRule="auto"/>
        <w:rPr>
          <w:i/>
          <w:sz w:val="20"/>
          <w:szCs w:val="20"/>
        </w:rPr>
      </w:pPr>
    </w:p>
    <w:p w14:paraId="028474BF" w14:textId="77777777" w:rsidR="003C1D19" w:rsidRPr="003C1D19" w:rsidRDefault="003C1D19">
      <w:pPr>
        <w:pStyle w:val="Nagwek3"/>
        <w:numPr>
          <w:ilvl w:val="1"/>
          <w:numId w:val="23"/>
        </w:numPr>
        <w:spacing w:before="6" w:after="6" w:line="288" w:lineRule="auto"/>
        <w:jc w:val="both"/>
      </w:pPr>
      <w:bookmarkStart w:id="29" w:name="_Toc121828607"/>
      <w:r w:rsidRPr="003C1D19">
        <w:t>Zamożność Polaków. Jak wypadamy na tle innych społeczeństw?</w:t>
      </w:r>
      <w:bookmarkEnd w:id="29"/>
      <w:r w:rsidRPr="003C1D19">
        <w:t xml:space="preserve"> </w:t>
      </w:r>
    </w:p>
    <w:p w14:paraId="2E7F6D93" w14:textId="44A69CC7" w:rsidR="003C1D19" w:rsidRPr="003C1D19" w:rsidRDefault="003C1D19" w:rsidP="00507808">
      <w:pPr>
        <w:shd w:val="clear" w:color="auto" w:fill="FFFFFE"/>
        <w:spacing w:before="6" w:after="6" w:line="288" w:lineRule="auto"/>
        <w:jc w:val="both"/>
        <w:textAlignment w:val="baseline"/>
        <w:rPr>
          <w:rFonts w:eastAsia="Times New Roman" w:cstheme="minorHAnsi"/>
          <w:color w:val="333333"/>
          <w:lang w:eastAsia="pl-PL"/>
        </w:rPr>
      </w:pPr>
      <w:r w:rsidRPr="003C1D19">
        <w:rPr>
          <w:rFonts w:eastAsia="Times New Roman" w:cstheme="minorHAnsi"/>
          <w:color w:val="333333"/>
          <w:lang w:eastAsia="pl-PL"/>
        </w:rPr>
        <w:t>Wartościowym raportem porównawczym w obszarze problemowym zamożności społeczeństw jest raport przygotowany przez analityków banku Credit Suisse</w:t>
      </w:r>
      <w:r w:rsidRPr="003C1D19">
        <w:rPr>
          <w:rStyle w:val="Odwoanieprzypisudolnego"/>
          <w:rFonts w:eastAsia="Times New Roman" w:cstheme="minorHAnsi"/>
          <w:color w:val="333333"/>
          <w:lang w:eastAsia="pl-PL"/>
        </w:rPr>
        <w:footnoteReference w:id="22"/>
      </w:r>
      <w:r w:rsidR="00FE6826" w:rsidRPr="004B6D6C">
        <w:rPr>
          <w:rFonts w:eastAsia="Times New Roman" w:cstheme="minorHAnsi"/>
          <w:color w:val="333333"/>
          <w:vertAlign w:val="superscript"/>
          <w:lang w:eastAsia="pl-PL"/>
        </w:rPr>
        <w:t>)</w:t>
      </w:r>
      <w:r w:rsidRPr="003C1D19">
        <w:rPr>
          <w:rFonts w:eastAsia="Times New Roman" w:cstheme="minorHAnsi"/>
          <w:color w:val="333333"/>
          <w:lang w:eastAsia="pl-PL"/>
        </w:rPr>
        <w:t xml:space="preserve"> </w:t>
      </w:r>
      <w:r w:rsidR="00F35C56">
        <w:rPr>
          <w:rFonts w:eastAsia="Times New Roman" w:cstheme="minorHAnsi"/>
          <w:color w:val="333333"/>
          <w:lang w:eastAsia="pl-PL"/>
        </w:rPr>
        <w:t>–</w:t>
      </w:r>
      <w:r w:rsidR="009A42FD">
        <w:rPr>
          <w:rFonts w:eastAsia="Times New Roman" w:cstheme="minorHAnsi"/>
          <w:color w:val="333333"/>
          <w:lang w:eastAsia="pl-PL"/>
        </w:rPr>
        <w:t xml:space="preserve"> z</w:t>
      </w:r>
      <w:r w:rsidRPr="003C1D19">
        <w:rPr>
          <w:rFonts w:eastAsia="Times New Roman" w:cstheme="minorHAnsi"/>
          <w:color w:val="333333"/>
          <w:lang w:eastAsia="pl-PL"/>
        </w:rPr>
        <w:t xml:space="preserve"> perspektywy danych, które miały bardziej usystematyzowany charakter w przypadku krajów rozwiniętych, jak i tych, które wymagały doszacowania, jak w przypadku Polski, kraju zniszczonego w II wojnie światowej i obciążon</w:t>
      </w:r>
      <w:r w:rsidR="00B61446">
        <w:rPr>
          <w:rFonts w:eastAsia="Times New Roman" w:cstheme="minorHAnsi"/>
          <w:color w:val="333333"/>
          <w:lang w:eastAsia="pl-PL"/>
        </w:rPr>
        <w:t>ego</w:t>
      </w:r>
      <w:r w:rsidRPr="003C1D19">
        <w:rPr>
          <w:rFonts w:eastAsia="Times New Roman" w:cstheme="minorHAnsi"/>
          <w:color w:val="333333"/>
          <w:lang w:eastAsia="pl-PL"/>
        </w:rPr>
        <w:t xml:space="preserve"> ponad 40-letnią spuścizną komunizmu. Majątek państwa i jego obywateli został zdewastowany, księgi własnościowe w większości zniszczone. </w:t>
      </w:r>
      <w:r w:rsidR="00DE207C">
        <w:rPr>
          <w:rFonts w:eastAsia="Times New Roman" w:cstheme="minorHAnsi"/>
          <w:color w:val="333333"/>
          <w:lang w:eastAsia="pl-PL"/>
        </w:rPr>
        <w:t>W</w:t>
      </w:r>
      <w:r w:rsidRPr="003C1D19">
        <w:rPr>
          <w:rFonts w:eastAsia="Times New Roman" w:cstheme="minorHAnsi"/>
          <w:color w:val="333333"/>
          <w:lang w:eastAsia="pl-PL"/>
        </w:rPr>
        <w:t xml:space="preserve"> 1989 r</w:t>
      </w:r>
      <w:r w:rsidR="007D5DB7">
        <w:rPr>
          <w:rFonts w:eastAsia="Times New Roman" w:cstheme="minorHAnsi"/>
          <w:color w:val="333333"/>
          <w:lang w:eastAsia="pl-PL"/>
        </w:rPr>
        <w:t>oku</w:t>
      </w:r>
      <w:r w:rsidRPr="003C1D19">
        <w:rPr>
          <w:rFonts w:eastAsia="Times New Roman" w:cstheme="minorHAnsi"/>
          <w:color w:val="333333"/>
          <w:lang w:eastAsia="pl-PL"/>
        </w:rPr>
        <w:t xml:space="preserve"> w Polsce zaczęto odbudowywać prawo własności, reaktywowano kodeks handlowy oraz Giełdę Papierów Wartościowych.</w:t>
      </w:r>
    </w:p>
    <w:p w14:paraId="699B5DFE" w14:textId="77D5C165" w:rsidR="003C1D19" w:rsidRPr="003C1D19" w:rsidRDefault="003C1D19" w:rsidP="00507808">
      <w:pPr>
        <w:shd w:val="clear" w:color="auto" w:fill="FFFFFE"/>
        <w:spacing w:before="6" w:after="6" w:line="288" w:lineRule="auto"/>
        <w:jc w:val="both"/>
        <w:textAlignment w:val="baseline"/>
        <w:rPr>
          <w:rFonts w:eastAsia="Times New Roman" w:cstheme="minorHAnsi"/>
          <w:color w:val="333333"/>
          <w:lang w:eastAsia="pl-PL"/>
        </w:rPr>
      </w:pPr>
      <w:r w:rsidRPr="003C1D19">
        <w:rPr>
          <w:rFonts w:eastAsia="Times New Roman" w:cstheme="minorHAnsi"/>
          <w:color w:val="333333"/>
          <w:lang w:eastAsia="pl-PL"/>
        </w:rPr>
        <w:t>Szybkość Polski w powrocie do wielu instytucji międzynarodowych oraz w szczególności spektakularny sukces gospodarczy w czasie od akcesji do UE, podczas którego PKB wzrosło pond 2,5</w:t>
      </w:r>
      <w:r w:rsidR="004C5A75">
        <w:rPr>
          <w:rFonts w:eastAsia="Times New Roman" w:cstheme="minorHAnsi"/>
          <w:color w:val="333333"/>
          <w:lang w:eastAsia="pl-PL"/>
        </w:rPr>
        <w:t>-</w:t>
      </w:r>
      <w:r w:rsidRPr="003C1D19">
        <w:rPr>
          <w:rFonts w:eastAsia="Times New Roman" w:cstheme="minorHAnsi"/>
          <w:color w:val="333333"/>
          <w:lang w:eastAsia="pl-PL"/>
        </w:rPr>
        <w:t>krotnie, pozwolił</w:t>
      </w:r>
      <w:r w:rsidR="004C5A75">
        <w:rPr>
          <w:rFonts w:eastAsia="Times New Roman" w:cstheme="minorHAnsi"/>
          <w:color w:val="333333"/>
          <w:lang w:eastAsia="pl-PL"/>
        </w:rPr>
        <w:t>y</w:t>
      </w:r>
      <w:r w:rsidRPr="003C1D19">
        <w:rPr>
          <w:rFonts w:eastAsia="Times New Roman" w:cstheme="minorHAnsi"/>
          <w:color w:val="333333"/>
          <w:lang w:eastAsia="pl-PL"/>
        </w:rPr>
        <w:t xml:space="preserve"> na odbudowę zasobów Polski i jej obywateli. W przedstawionym poniżej diagramie, w dacie analizy, Polska zajęła 24 miejsce, co stanowi dowód na wykorzystanie potencjału wzrostu i</w:t>
      </w:r>
      <w:r w:rsidR="00D832B2">
        <w:rPr>
          <w:rFonts w:eastAsia="Times New Roman" w:cstheme="minorHAnsi"/>
          <w:color w:val="333333"/>
          <w:lang w:eastAsia="pl-PL"/>
        </w:rPr>
        <w:t> </w:t>
      </w:r>
      <w:r w:rsidRPr="003C1D19">
        <w:rPr>
          <w:rFonts w:eastAsia="Times New Roman" w:cstheme="minorHAnsi"/>
          <w:color w:val="333333"/>
          <w:lang w:eastAsia="pl-PL"/>
        </w:rPr>
        <w:t xml:space="preserve">przedsiębiorczości jej obywateli. </w:t>
      </w:r>
      <w:r w:rsidR="00EA7970">
        <w:rPr>
          <w:rFonts w:eastAsia="Times New Roman" w:cstheme="minorHAnsi"/>
          <w:color w:val="333333"/>
          <w:lang w:eastAsia="pl-PL"/>
        </w:rPr>
        <w:t>O</w:t>
      </w:r>
      <w:r w:rsidRPr="003C1D19">
        <w:rPr>
          <w:rFonts w:eastAsia="Times New Roman" w:cstheme="minorHAnsi"/>
          <w:color w:val="333333"/>
          <w:lang w:eastAsia="pl-PL"/>
        </w:rPr>
        <w:t xml:space="preserve">biektywna wartość majątku obywateli Polski może obecnie </w:t>
      </w:r>
      <w:r w:rsidRPr="003C1D19">
        <w:rPr>
          <w:rFonts w:eastAsia="Times New Roman" w:cstheme="minorHAnsi"/>
          <w:color w:val="333333"/>
          <w:lang w:eastAsia="pl-PL"/>
        </w:rPr>
        <w:lastRenderedPageBreak/>
        <w:t>wynosić ok. 3 bln USD.</w:t>
      </w:r>
      <w:r w:rsidR="00CD0599">
        <w:rPr>
          <w:rFonts w:eastAsia="Times New Roman" w:cstheme="minorHAnsi"/>
          <w:color w:val="333333"/>
          <w:lang w:eastAsia="pl-PL"/>
        </w:rPr>
        <w:t xml:space="preserve"> Nadal </w:t>
      </w:r>
      <w:r w:rsidR="00B50545">
        <w:rPr>
          <w:rFonts w:eastAsia="Times New Roman" w:cstheme="minorHAnsi"/>
          <w:color w:val="333333"/>
          <w:lang w:eastAsia="pl-PL"/>
        </w:rPr>
        <w:t xml:space="preserve">jest </w:t>
      </w:r>
      <w:r w:rsidR="00F769A8">
        <w:rPr>
          <w:rFonts w:eastAsia="Times New Roman" w:cstheme="minorHAnsi"/>
          <w:color w:val="333333"/>
          <w:lang w:eastAsia="pl-PL"/>
        </w:rPr>
        <w:t xml:space="preserve">to </w:t>
      </w:r>
      <w:r w:rsidR="00F23FE9">
        <w:rPr>
          <w:rFonts w:eastAsia="Times New Roman" w:cstheme="minorHAnsi"/>
          <w:color w:val="333333"/>
          <w:lang w:eastAsia="pl-PL"/>
        </w:rPr>
        <w:t>jednak niewiele</w:t>
      </w:r>
      <w:r w:rsidR="00094399">
        <w:rPr>
          <w:rFonts w:eastAsia="Times New Roman" w:cstheme="minorHAnsi"/>
          <w:color w:val="333333"/>
          <w:lang w:eastAsia="pl-PL"/>
        </w:rPr>
        <w:t xml:space="preserve">, stąd </w:t>
      </w:r>
      <w:r w:rsidR="00BD6E8C">
        <w:rPr>
          <w:rFonts w:eastAsia="Times New Roman" w:cstheme="minorHAnsi"/>
          <w:color w:val="333333"/>
          <w:lang w:eastAsia="pl-PL"/>
        </w:rPr>
        <w:t>tak ważn</w:t>
      </w:r>
      <w:r w:rsidR="00814E05">
        <w:rPr>
          <w:rFonts w:eastAsia="Times New Roman" w:cstheme="minorHAnsi"/>
          <w:color w:val="333333"/>
          <w:lang w:eastAsia="pl-PL"/>
        </w:rPr>
        <w:t>y</w:t>
      </w:r>
      <w:r w:rsidR="00BD6E8C">
        <w:rPr>
          <w:rFonts w:eastAsia="Times New Roman" w:cstheme="minorHAnsi"/>
          <w:color w:val="333333"/>
          <w:lang w:eastAsia="pl-PL"/>
        </w:rPr>
        <w:t xml:space="preserve"> jest </w:t>
      </w:r>
      <w:r w:rsidR="00C903EC">
        <w:rPr>
          <w:rFonts w:eastAsia="Times New Roman" w:cstheme="minorHAnsi"/>
          <w:color w:val="333333"/>
          <w:lang w:eastAsia="pl-PL"/>
        </w:rPr>
        <w:t xml:space="preserve">rozwój różnych form </w:t>
      </w:r>
      <w:r w:rsidR="00800816">
        <w:rPr>
          <w:rFonts w:eastAsia="Times New Roman" w:cstheme="minorHAnsi"/>
          <w:color w:val="333333"/>
          <w:lang w:eastAsia="pl-PL"/>
        </w:rPr>
        <w:t>oszczędzani</w:t>
      </w:r>
      <w:r w:rsidR="00C903EC">
        <w:rPr>
          <w:rFonts w:eastAsia="Times New Roman" w:cstheme="minorHAnsi"/>
          <w:color w:val="333333"/>
          <w:lang w:eastAsia="pl-PL"/>
        </w:rPr>
        <w:t>a</w:t>
      </w:r>
      <w:r w:rsidR="00897C39">
        <w:rPr>
          <w:rFonts w:eastAsia="Times New Roman" w:cstheme="minorHAnsi"/>
          <w:color w:val="333333"/>
          <w:lang w:eastAsia="pl-PL"/>
        </w:rPr>
        <w:t>, w tym oszczędzania na cele emerytalne</w:t>
      </w:r>
      <w:r w:rsidR="00C903EC">
        <w:rPr>
          <w:rFonts w:eastAsia="Times New Roman" w:cstheme="minorHAnsi"/>
          <w:color w:val="333333"/>
          <w:lang w:eastAsia="pl-PL"/>
        </w:rPr>
        <w:t>.</w:t>
      </w:r>
      <w:r w:rsidR="005365BF">
        <w:rPr>
          <w:rFonts w:eastAsia="Times New Roman" w:cstheme="minorHAnsi"/>
          <w:color w:val="333333"/>
          <w:lang w:eastAsia="pl-PL"/>
        </w:rPr>
        <w:t xml:space="preserve"> </w:t>
      </w:r>
    </w:p>
    <w:p w14:paraId="0871D5F5" w14:textId="77777777" w:rsidR="001C2C5C" w:rsidRDefault="001C2C5C" w:rsidP="00507808">
      <w:pPr>
        <w:shd w:val="clear" w:color="auto" w:fill="FFFFFE"/>
        <w:spacing w:before="6" w:after="6" w:line="288" w:lineRule="auto"/>
        <w:jc w:val="both"/>
        <w:textAlignment w:val="baseline"/>
        <w:rPr>
          <w:rFonts w:eastAsia="Times New Roman" w:cstheme="minorHAnsi"/>
          <w:b/>
          <w:bCs/>
          <w:color w:val="333333"/>
          <w:lang w:eastAsia="pl-PL"/>
        </w:rPr>
      </w:pPr>
    </w:p>
    <w:p w14:paraId="1229D513" w14:textId="27391BE0" w:rsidR="00836985" w:rsidRPr="00CA24B7" w:rsidRDefault="00836985" w:rsidP="00836985">
      <w:pPr>
        <w:pStyle w:val="Legenda"/>
        <w:keepNext/>
        <w:jc w:val="both"/>
        <w:rPr>
          <w:b/>
          <w:i w:val="0"/>
          <w:color w:val="auto"/>
          <w:sz w:val="20"/>
          <w:szCs w:val="20"/>
        </w:rPr>
      </w:pPr>
      <w:bookmarkStart w:id="30" w:name="_Toc121826558"/>
      <w:r w:rsidRPr="009D444E">
        <w:rPr>
          <w:color w:val="auto"/>
          <w:sz w:val="20"/>
          <w:szCs w:val="20"/>
        </w:rPr>
        <w:t xml:space="preserve">Wykres </w:t>
      </w:r>
      <w:r w:rsidRPr="009D444E">
        <w:rPr>
          <w:color w:val="auto"/>
          <w:sz w:val="20"/>
          <w:szCs w:val="20"/>
        </w:rPr>
        <w:fldChar w:fldCharType="begin"/>
      </w:r>
      <w:r w:rsidRPr="009D444E">
        <w:rPr>
          <w:color w:val="auto"/>
          <w:sz w:val="20"/>
          <w:szCs w:val="20"/>
        </w:rPr>
        <w:instrText xml:space="preserve"> SEQ Wykres \* ARABIC </w:instrText>
      </w:r>
      <w:r w:rsidRPr="009D444E">
        <w:rPr>
          <w:color w:val="auto"/>
          <w:sz w:val="20"/>
          <w:szCs w:val="20"/>
        </w:rPr>
        <w:fldChar w:fldCharType="separate"/>
      </w:r>
      <w:r w:rsidR="001F2919">
        <w:rPr>
          <w:noProof/>
          <w:color w:val="auto"/>
          <w:sz w:val="20"/>
          <w:szCs w:val="20"/>
        </w:rPr>
        <w:t>8</w:t>
      </w:r>
      <w:r w:rsidRPr="009D444E">
        <w:rPr>
          <w:color w:val="auto"/>
          <w:sz w:val="20"/>
          <w:szCs w:val="20"/>
        </w:rPr>
        <w:fldChar w:fldCharType="end"/>
      </w:r>
      <w:r w:rsidRPr="00CA24B7">
        <w:rPr>
          <w:b/>
          <w:i w:val="0"/>
          <w:color w:val="auto"/>
          <w:sz w:val="20"/>
          <w:szCs w:val="20"/>
        </w:rPr>
        <w:t xml:space="preserve"> Łączny majątek obywateli wyszczególnionych krajów (pow. 2 bln USD)</w:t>
      </w:r>
      <w:bookmarkEnd w:id="30"/>
    </w:p>
    <w:p w14:paraId="69DFEECD" w14:textId="77777777" w:rsidR="001841EA" w:rsidRDefault="00ED0AF8" w:rsidP="00507808">
      <w:pPr>
        <w:shd w:val="clear" w:color="auto" w:fill="FFFFFE"/>
        <w:spacing w:before="6" w:after="6" w:line="288" w:lineRule="auto"/>
        <w:jc w:val="both"/>
        <w:textAlignment w:val="baseline"/>
        <w:rPr>
          <w:rFonts w:cstheme="minorHAnsi"/>
          <w:i/>
          <w:sz w:val="18"/>
          <w:szCs w:val="18"/>
        </w:rPr>
      </w:pPr>
      <w:r>
        <w:rPr>
          <w:noProof/>
          <w:lang w:eastAsia="pl-PL"/>
        </w:rPr>
        <w:drawing>
          <wp:inline distT="0" distB="0" distL="0" distR="0" wp14:anchorId="2A6F5FD4" wp14:editId="0DBC0E9A">
            <wp:extent cx="5940000" cy="3420000"/>
            <wp:effectExtent l="0" t="0" r="3810" b="9525"/>
            <wp:docPr id="2" name="Wykres 2">
              <a:extLst xmlns:a="http://schemas.openxmlformats.org/drawingml/2006/main">
                <a:ext uri="{FF2B5EF4-FFF2-40B4-BE49-F238E27FC236}">
                  <a16:creationId xmlns:a16="http://schemas.microsoft.com/office/drawing/2014/main" id="{3D61CFF5-DA4F-F2A4-0D6D-F584EDC7F4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3C1D19" w:rsidRPr="00912836">
        <w:rPr>
          <w:rFonts w:cstheme="minorHAnsi"/>
          <w:i/>
          <w:sz w:val="18"/>
          <w:szCs w:val="18"/>
          <w:lang w:val="en-CA"/>
        </w:rPr>
        <w:t xml:space="preserve">Źródło: Credit Suisse. Global Wealth Databook 2021. </w:t>
      </w:r>
      <w:r w:rsidR="003C1D19" w:rsidRPr="00912836">
        <w:rPr>
          <w:rFonts w:cstheme="minorHAnsi"/>
          <w:i/>
          <w:sz w:val="18"/>
          <w:szCs w:val="18"/>
        </w:rPr>
        <w:t>Dane na koniec grudnia 2020 r.</w:t>
      </w:r>
    </w:p>
    <w:p w14:paraId="4ED91174" w14:textId="77777777" w:rsidR="00DC0282" w:rsidRPr="00912836" w:rsidRDefault="00DC0282" w:rsidP="00507808">
      <w:pPr>
        <w:shd w:val="clear" w:color="auto" w:fill="FFFFFE"/>
        <w:spacing w:before="6" w:after="6" w:line="288" w:lineRule="auto"/>
        <w:jc w:val="both"/>
        <w:textAlignment w:val="baseline"/>
        <w:rPr>
          <w:rFonts w:cstheme="minorHAnsi"/>
          <w:b/>
          <w:i/>
          <w:sz w:val="18"/>
          <w:szCs w:val="18"/>
        </w:rPr>
      </w:pPr>
    </w:p>
    <w:p w14:paraId="787F66F4" w14:textId="77777777" w:rsidR="003C1D19" w:rsidRPr="003C1D19" w:rsidRDefault="003C1D19">
      <w:pPr>
        <w:pStyle w:val="Nagwek3"/>
        <w:numPr>
          <w:ilvl w:val="1"/>
          <w:numId w:val="23"/>
        </w:numPr>
        <w:spacing w:before="6" w:after="6" w:line="288" w:lineRule="auto"/>
        <w:jc w:val="both"/>
      </w:pPr>
      <w:bookmarkStart w:id="31" w:name="_Toc121828608"/>
      <w:r w:rsidRPr="003C1D19">
        <w:t>Jak oszczędzamy? Próba analizy z perspektywy porównawczej i badań</w:t>
      </w:r>
      <w:bookmarkEnd w:id="31"/>
      <w:r w:rsidRPr="003C1D19">
        <w:t xml:space="preserve"> </w:t>
      </w:r>
    </w:p>
    <w:p w14:paraId="4A9D9A59" w14:textId="191B85D1" w:rsidR="003C1D19" w:rsidRPr="003C1D19" w:rsidRDefault="003C1D19" w:rsidP="00507808">
      <w:pPr>
        <w:spacing w:before="6" w:after="6" w:line="288" w:lineRule="auto"/>
        <w:jc w:val="both"/>
        <w:rPr>
          <w:rFonts w:cstheme="minorHAnsi"/>
        </w:rPr>
      </w:pPr>
      <w:r w:rsidRPr="003C1D19">
        <w:rPr>
          <w:rFonts w:cstheme="minorHAnsi"/>
        </w:rPr>
        <w:t>W okresie od kryzysu finansowego w latach 2007</w:t>
      </w:r>
      <w:r w:rsidR="00F35C56">
        <w:rPr>
          <w:rFonts w:cstheme="minorHAnsi"/>
        </w:rPr>
        <w:t>–</w:t>
      </w:r>
      <w:r w:rsidRPr="003C1D19">
        <w:rPr>
          <w:rFonts w:cstheme="minorHAnsi"/>
        </w:rPr>
        <w:t>2008 do końca czerwca 2022 r</w:t>
      </w:r>
      <w:r w:rsidR="005E3B09">
        <w:rPr>
          <w:rFonts w:cstheme="minorHAnsi"/>
        </w:rPr>
        <w:t>oku</w:t>
      </w:r>
      <w:r w:rsidRPr="003C1D19">
        <w:rPr>
          <w:rFonts w:cstheme="minorHAnsi"/>
        </w:rPr>
        <w:t xml:space="preserve">, oszczędności finansowe Polaków wzrosły blisko trzykrotnie </w:t>
      </w:r>
      <w:r w:rsidR="00F35C56">
        <w:rPr>
          <w:rFonts w:cstheme="minorHAnsi"/>
        </w:rPr>
        <w:t>–</w:t>
      </w:r>
      <w:r w:rsidR="00EA34ED">
        <w:rPr>
          <w:rFonts w:cstheme="minorHAnsi"/>
        </w:rPr>
        <w:t xml:space="preserve"> </w:t>
      </w:r>
      <w:r w:rsidRPr="003C1D19">
        <w:rPr>
          <w:rFonts w:cstheme="minorHAnsi"/>
        </w:rPr>
        <w:t>do 1,9 bln zł. Pojawiła się też ich nowa forma, czyli PPK. Analiza struktury oszczędzania wskazuje, że ma ono charakter zachowawczy i mało aktywny. Około 1,045 mld zł umieszczonych było na kontach bankowych i SKOK, w gotówce 364 mld zł, zaś 200 mld zł skupiały fundusze inwestycyjne. Wybuch wojny i niekorzystna koniunktura na rynku kapitałowym w</w:t>
      </w:r>
      <w:r w:rsidR="00356F0D">
        <w:rPr>
          <w:rFonts w:cstheme="minorHAnsi"/>
        </w:rPr>
        <w:t> </w:t>
      </w:r>
      <w:r w:rsidRPr="003C1D19">
        <w:rPr>
          <w:rFonts w:cstheme="minorHAnsi"/>
        </w:rPr>
        <w:t>końcu ub. roku doprowadziły do silnej przeceny wszystkich klas aktywów, w tym funduszy emerytalnych (-15%), funduszy inwestycyjnych (-11%), polis ubezpieczeniowych (UFK, -11%). Pod silną presją była gotówka, z uwagi na bezprecedensowy wzrost inflacji z odczytem powyżej 15%</w:t>
      </w:r>
      <w:r w:rsidR="0029238F">
        <w:rPr>
          <w:rFonts w:cstheme="minorHAnsi"/>
        </w:rPr>
        <w:t> </w:t>
      </w:r>
      <w:r w:rsidRPr="003C1D19">
        <w:rPr>
          <w:rFonts w:cstheme="minorHAnsi"/>
        </w:rPr>
        <w:t>w</w:t>
      </w:r>
      <w:r w:rsidR="007B22FF">
        <w:rPr>
          <w:rFonts w:cstheme="minorHAnsi"/>
        </w:rPr>
        <w:t> </w:t>
      </w:r>
      <w:r w:rsidRPr="003C1D19">
        <w:rPr>
          <w:rFonts w:cstheme="minorHAnsi"/>
        </w:rPr>
        <w:t xml:space="preserve">omawianym okresie, ostatnio jej odczyt wyniósł </w:t>
      </w:r>
      <w:r w:rsidRPr="005F6408">
        <w:rPr>
          <w:rFonts w:cstheme="minorHAnsi"/>
        </w:rPr>
        <w:t>16,</w:t>
      </w:r>
      <w:r w:rsidR="00D97F5C">
        <w:rPr>
          <w:rFonts w:cstheme="minorHAnsi"/>
        </w:rPr>
        <w:t>1</w:t>
      </w:r>
      <w:r w:rsidRPr="005F6408">
        <w:rPr>
          <w:rFonts w:cstheme="minorHAnsi"/>
        </w:rPr>
        <w:t>% r/r</w:t>
      </w:r>
      <w:r w:rsidRPr="003C1D19">
        <w:rPr>
          <w:rFonts w:cstheme="minorHAnsi"/>
        </w:rPr>
        <w:t xml:space="preserve">. Spadki poszczególnych klas aktywów na polskim rynku finansowym miały bardzo zbliżony wymiar do tych występujących w okresie szoku finansowego i krachu na rynku amerykańskich nieruchomości. Podkreślenia wymaga, że spadkom oparły się zwłaszcza fundusze PPK, które posiadają szczególny, trójźródłowy mechanizm ich tworzenia i </w:t>
      </w:r>
      <w:r w:rsidR="0038192A">
        <w:rPr>
          <w:rFonts w:cstheme="minorHAnsi"/>
        </w:rPr>
        <w:t>w</w:t>
      </w:r>
      <w:r w:rsidRPr="003C1D19">
        <w:rPr>
          <w:rFonts w:cstheme="minorHAnsi"/>
        </w:rPr>
        <w:t xml:space="preserve"> II kwartale </w:t>
      </w:r>
      <w:r w:rsidR="000B4CDD">
        <w:rPr>
          <w:rFonts w:cstheme="minorHAnsi"/>
        </w:rPr>
        <w:t>2022 r</w:t>
      </w:r>
      <w:r w:rsidR="001E5D9D">
        <w:rPr>
          <w:rFonts w:cstheme="minorHAnsi"/>
        </w:rPr>
        <w:t>oku</w:t>
      </w:r>
      <w:r w:rsidR="00106146">
        <w:rPr>
          <w:rFonts w:cstheme="minorHAnsi"/>
        </w:rPr>
        <w:t>,</w:t>
      </w:r>
      <w:r w:rsidR="000B4CDD">
        <w:rPr>
          <w:rFonts w:cstheme="minorHAnsi"/>
        </w:rPr>
        <w:t xml:space="preserve"> </w:t>
      </w:r>
      <w:r w:rsidR="006D6C75">
        <w:rPr>
          <w:rFonts w:cstheme="minorHAnsi"/>
        </w:rPr>
        <w:t>w porównaniu do I kwartału</w:t>
      </w:r>
      <w:r w:rsidR="00106146">
        <w:rPr>
          <w:rFonts w:cstheme="minorHAnsi"/>
        </w:rPr>
        <w:t>,</w:t>
      </w:r>
      <w:r w:rsidR="006D6C75">
        <w:rPr>
          <w:rFonts w:cstheme="minorHAnsi"/>
        </w:rPr>
        <w:t xml:space="preserve"> </w:t>
      </w:r>
      <w:r w:rsidRPr="003C1D19">
        <w:rPr>
          <w:rFonts w:cstheme="minorHAnsi"/>
        </w:rPr>
        <w:t>ich aktywa wzrosły o 2</w:t>
      </w:r>
      <w:r w:rsidR="006D6C75">
        <w:rPr>
          <w:rFonts w:cstheme="minorHAnsi"/>
        </w:rPr>
        <w:t>,44</w:t>
      </w:r>
      <w:r w:rsidRPr="003C1D19">
        <w:rPr>
          <w:rFonts w:cstheme="minorHAnsi"/>
        </w:rPr>
        <w:t>%</w:t>
      </w:r>
      <w:r w:rsidR="00B02284">
        <w:rPr>
          <w:rFonts w:cstheme="minorHAnsi"/>
        </w:rPr>
        <w:t xml:space="preserve"> </w:t>
      </w:r>
      <w:r w:rsidR="00F35C56">
        <w:rPr>
          <w:rFonts w:cstheme="minorHAnsi"/>
        </w:rPr>
        <w:t>–</w:t>
      </w:r>
      <w:r w:rsidRPr="003C1D19">
        <w:rPr>
          <w:rFonts w:cstheme="minorHAnsi"/>
        </w:rPr>
        <w:t xml:space="preserve"> do </w:t>
      </w:r>
      <w:r w:rsidR="006D6C75">
        <w:rPr>
          <w:rFonts w:cstheme="minorHAnsi"/>
        </w:rPr>
        <w:t xml:space="preserve">niemal </w:t>
      </w:r>
      <w:r w:rsidRPr="003C1D19">
        <w:rPr>
          <w:rFonts w:cstheme="minorHAnsi"/>
        </w:rPr>
        <w:t>9</w:t>
      </w:r>
      <w:r w:rsidR="00F45903">
        <w:rPr>
          <w:rFonts w:cstheme="minorHAnsi"/>
        </w:rPr>
        <w:t> </w:t>
      </w:r>
      <w:r w:rsidRPr="003C1D19">
        <w:rPr>
          <w:rFonts w:cstheme="minorHAnsi"/>
        </w:rPr>
        <w:t>mld</w:t>
      </w:r>
      <w:r w:rsidR="00F45903">
        <w:rPr>
          <w:rFonts w:cstheme="minorHAnsi"/>
        </w:rPr>
        <w:t> </w:t>
      </w:r>
      <w:r w:rsidRPr="003C1D19">
        <w:rPr>
          <w:rFonts w:cstheme="minorHAnsi"/>
        </w:rPr>
        <w:t>zł.</w:t>
      </w:r>
    </w:p>
    <w:p w14:paraId="1B371DFA" w14:textId="50E34F17" w:rsidR="0059378A" w:rsidRDefault="003C1D19" w:rsidP="00507808">
      <w:pPr>
        <w:spacing w:before="6" w:after="6" w:line="288" w:lineRule="auto"/>
        <w:jc w:val="both"/>
        <w:rPr>
          <w:rFonts w:cstheme="minorHAnsi"/>
        </w:rPr>
      </w:pPr>
      <w:r w:rsidRPr="003C1D19">
        <w:rPr>
          <w:rFonts w:cstheme="minorHAnsi"/>
        </w:rPr>
        <w:t>Wpływ na metodę oszczędzania i kierunki inwestowania ma z jednej strony poziom wiedzy obywateli</w:t>
      </w:r>
      <w:r w:rsidR="00723C9C">
        <w:rPr>
          <w:rFonts w:cstheme="minorHAnsi"/>
        </w:rPr>
        <w:t>,</w:t>
      </w:r>
      <w:r w:rsidRPr="003C1D19">
        <w:rPr>
          <w:rFonts w:cstheme="minorHAnsi"/>
        </w:rPr>
        <w:t xml:space="preserve"> ale </w:t>
      </w:r>
      <w:r w:rsidR="00C711D8">
        <w:rPr>
          <w:rFonts w:cstheme="minorHAnsi"/>
        </w:rPr>
        <w:t xml:space="preserve">z drugiej strony </w:t>
      </w:r>
      <w:r w:rsidRPr="003C1D19">
        <w:rPr>
          <w:rFonts w:cstheme="minorHAnsi"/>
        </w:rPr>
        <w:t>także aktualna sytuacja na rynku finansowym, stan gospodarki krajowej oraz</w:t>
      </w:r>
      <w:r w:rsidR="0029238F">
        <w:rPr>
          <w:rFonts w:cstheme="minorHAnsi"/>
        </w:rPr>
        <w:t> </w:t>
      </w:r>
      <w:r w:rsidRPr="003C1D19">
        <w:rPr>
          <w:rFonts w:cstheme="minorHAnsi"/>
        </w:rPr>
        <w:t>w</w:t>
      </w:r>
      <w:r w:rsidR="00263AAC">
        <w:rPr>
          <w:rFonts w:cstheme="minorHAnsi"/>
        </w:rPr>
        <w:t> </w:t>
      </w:r>
      <w:r w:rsidRPr="003C1D19">
        <w:rPr>
          <w:rFonts w:cstheme="minorHAnsi"/>
        </w:rPr>
        <w:t>układzie</w:t>
      </w:r>
      <w:r>
        <w:rPr>
          <w:rFonts w:ascii="Times New Roman" w:hAnsi="Times New Roman" w:cs="Times New Roman"/>
          <w:sz w:val="24"/>
          <w:szCs w:val="24"/>
        </w:rPr>
        <w:t xml:space="preserve"> </w:t>
      </w:r>
      <w:r w:rsidRPr="003C1D19">
        <w:rPr>
          <w:rFonts w:cstheme="minorHAnsi"/>
        </w:rPr>
        <w:t>międzynarodowym. Analiza zjawisk finansowych z ostatnich 3 lat, naznaczonych okresem pandemii, zakłóceń globalnych w gospodarce światowej z powodu wojny, wskazuje, że</w:t>
      </w:r>
      <w:r w:rsidR="0029238F">
        <w:rPr>
          <w:rFonts w:cstheme="minorHAnsi"/>
        </w:rPr>
        <w:t> </w:t>
      </w:r>
      <w:r w:rsidRPr="003C1D19">
        <w:rPr>
          <w:rFonts w:cstheme="minorHAnsi"/>
        </w:rPr>
        <w:t xml:space="preserve">postawy oszczędnościowe zostały poddane silnej presji. Wskazują na to wyniki badań krajowych </w:t>
      </w:r>
      <w:r w:rsidRPr="003C1D19">
        <w:rPr>
          <w:rFonts w:cstheme="minorHAnsi"/>
        </w:rPr>
        <w:lastRenderedPageBreak/>
        <w:t>prowadzonych cyklicznie od wielu lat</w:t>
      </w:r>
      <w:bookmarkStart w:id="32" w:name="_Hlk113863351"/>
      <w:r w:rsidRPr="003C1D19">
        <w:rPr>
          <w:rStyle w:val="Odwoanieprzypisudolnego"/>
          <w:rFonts w:cstheme="minorHAnsi"/>
        </w:rPr>
        <w:footnoteReference w:id="23"/>
      </w:r>
      <w:r w:rsidR="00FE6826" w:rsidRPr="004B6D6C">
        <w:rPr>
          <w:rFonts w:cstheme="minorHAnsi"/>
          <w:vertAlign w:val="superscript"/>
        </w:rPr>
        <w:t>)</w:t>
      </w:r>
      <w:r w:rsidR="002F0E4F" w:rsidRPr="003C1D19">
        <w:rPr>
          <w:rFonts w:cstheme="minorHAnsi"/>
        </w:rPr>
        <w:t>.</w:t>
      </w:r>
      <w:r w:rsidRPr="003C1D19">
        <w:rPr>
          <w:rFonts w:cstheme="minorHAnsi"/>
        </w:rPr>
        <w:t xml:space="preserve"> </w:t>
      </w:r>
      <w:bookmarkEnd w:id="32"/>
      <w:r w:rsidRPr="003C1D19">
        <w:rPr>
          <w:rFonts w:cstheme="minorHAnsi"/>
        </w:rPr>
        <w:t>Ostatnia ich edycja wykazała, że w czasach zmienności i</w:t>
      </w:r>
      <w:r w:rsidR="0029238F">
        <w:rPr>
          <w:rFonts w:cstheme="minorHAnsi"/>
        </w:rPr>
        <w:t> </w:t>
      </w:r>
      <w:r w:rsidRPr="003C1D19">
        <w:rPr>
          <w:rFonts w:cstheme="minorHAnsi"/>
        </w:rPr>
        <w:t>podwyższonego ryzyka na rynku finansowym nie należy spodziewać się szczególnej skłonności do</w:t>
      </w:r>
      <w:r w:rsidR="0029238F">
        <w:rPr>
          <w:rFonts w:cstheme="minorHAnsi"/>
        </w:rPr>
        <w:t> </w:t>
      </w:r>
      <w:r w:rsidRPr="003C1D19">
        <w:rPr>
          <w:rFonts w:cstheme="minorHAnsi"/>
        </w:rPr>
        <w:t>inwestowania. Obecny i</w:t>
      </w:r>
      <w:r w:rsidR="00263AAC">
        <w:rPr>
          <w:rFonts w:cstheme="minorHAnsi"/>
        </w:rPr>
        <w:t> </w:t>
      </w:r>
      <w:r w:rsidRPr="003C1D19">
        <w:rPr>
          <w:rFonts w:cstheme="minorHAnsi"/>
        </w:rPr>
        <w:t>kolejny rok z</w:t>
      </w:r>
      <w:r w:rsidR="00CA7A79">
        <w:rPr>
          <w:rFonts w:cstheme="minorHAnsi"/>
        </w:rPr>
        <w:t> </w:t>
      </w:r>
      <w:r w:rsidRPr="003C1D19">
        <w:rPr>
          <w:rFonts w:cstheme="minorHAnsi"/>
        </w:rPr>
        <w:t>pewnością będą czasem ochrony kapitału i oszczędzania, w</w:t>
      </w:r>
      <w:r w:rsidR="0029238F">
        <w:rPr>
          <w:rFonts w:cstheme="minorHAnsi"/>
        </w:rPr>
        <w:t> </w:t>
      </w:r>
      <w:r w:rsidRPr="003C1D19">
        <w:rPr>
          <w:rFonts w:cstheme="minorHAnsi"/>
        </w:rPr>
        <w:t xml:space="preserve">szczególności w wydatkach bieżących. </w:t>
      </w:r>
    </w:p>
    <w:p w14:paraId="2C85CAE6" w14:textId="7331DEDB" w:rsidR="00462887" w:rsidRDefault="003C1D19" w:rsidP="00507808">
      <w:pPr>
        <w:spacing w:before="6" w:after="6" w:line="288" w:lineRule="auto"/>
        <w:jc w:val="both"/>
        <w:rPr>
          <w:rFonts w:cstheme="minorHAnsi"/>
        </w:rPr>
      </w:pPr>
      <w:r w:rsidRPr="003C1D19">
        <w:rPr>
          <w:rFonts w:cstheme="minorHAnsi"/>
        </w:rPr>
        <w:t xml:space="preserve">Respondenci postrzegają PPK jako najbardziej rozpoznawalną metodę oszczędzania długoterminowego, wciąż słabo rozpoznawalne jest IKZE, pomimo możliwości ulgi podatkowej w PIT. Wysoki poziom inflacji skłania osoby posiadające oszczędności do przenoszenia ich z lokat bankowych na obligacje emitowane przez Skarb Państwa. </w:t>
      </w:r>
    </w:p>
    <w:p w14:paraId="23C5B38C" w14:textId="77777777" w:rsidR="001C29C4" w:rsidRDefault="001C29C4" w:rsidP="00507808">
      <w:pPr>
        <w:spacing w:before="6" w:after="6" w:line="288" w:lineRule="auto"/>
        <w:jc w:val="both"/>
        <w:rPr>
          <w:rFonts w:asciiTheme="majorHAnsi" w:eastAsiaTheme="majorEastAsia" w:hAnsiTheme="majorHAnsi" w:cstheme="majorBidi"/>
          <w:color w:val="1F3763" w:themeColor="accent1" w:themeShade="7F"/>
          <w:sz w:val="24"/>
          <w:szCs w:val="24"/>
        </w:rPr>
      </w:pPr>
    </w:p>
    <w:p w14:paraId="7285BB1A" w14:textId="77777777" w:rsidR="00530519" w:rsidRDefault="003C1D19" w:rsidP="00507808">
      <w:pPr>
        <w:spacing w:before="6" w:after="6" w:line="288" w:lineRule="auto"/>
        <w:jc w:val="both"/>
        <w:rPr>
          <w:rFonts w:cstheme="minorHAnsi"/>
        </w:rPr>
      </w:pPr>
      <w:r w:rsidRPr="00530519">
        <w:rPr>
          <w:rFonts w:asciiTheme="majorHAnsi" w:eastAsiaTheme="majorEastAsia" w:hAnsiTheme="majorHAnsi" w:cstheme="majorBidi"/>
          <w:color w:val="1F3864" w:themeColor="accent1" w:themeShade="80"/>
          <w:sz w:val="24"/>
          <w:szCs w:val="24"/>
        </w:rPr>
        <w:t>Jak oceniamy własną wiedzę ekonomiczną?</w:t>
      </w:r>
      <w:r w:rsidR="00462887">
        <w:rPr>
          <w:rFonts w:cstheme="minorHAnsi"/>
        </w:rPr>
        <w:t xml:space="preserve"> </w:t>
      </w:r>
    </w:p>
    <w:p w14:paraId="0F67CBF6" w14:textId="60F6C31C" w:rsidR="003C1D19" w:rsidRPr="003C1D19" w:rsidRDefault="003C1D19" w:rsidP="00507808">
      <w:pPr>
        <w:spacing w:before="6" w:after="6" w:line="288" w:lineRule="auto"/>
        <w:jc w:val="both"/>
        <w:rPr>
          <w:rFonts w:cstheme="minorHAnsi"/>
        </w:rPr>
      </w:pPr>
      <w:r w:rsidRPr="003C1D19">
        <w:rPr>
          <w:rFonts w:cstheme="minorHAnsi"/>
        </w:rPr>
        <w:t xml:space="preserve">Średnia ocena własnej wiedzy ekonomicznej badanych wynosi 2,91 (w 5-stopniowej skali), przy czym 36% ocenia swoją wiedzę jako bardzo i raczej małą, zaś 30% jako dużą i bardzo dużą. Badani nisko oceniają swoją wiedzę na temat zasad funkcjonowania Giełdy Papierów Wartościowych w Warszawie. Jedynie 6% uważa, że ich wiedza jest raczej duża, zaś aż 61% </w:t>
      </w:r>
      <w:r w:rsidR="00F35C56">
        <w:rPr>
          <w:rFonts w:cstheme="minorHAnsi"/>
        </w:rPr>
        <w:t>–</w:t>
      </w:r>
      <w:r w:rsidRPr="003C1D19">
        <w:rPr>
          <w:rFonts w:cstheme="minorHAnsi"/>
        </w:rPr>
        <w:t xml:space="preserve"> że jest bardzo lub raczej niska. Istotnie niżej swoją wiedzę o GPW oceniają najmłodsi i najsłabiej wykształceni, zaś wyżej osoby w wieku 45</w:t>
      </w:r>
      <w:r w:rsidR="00F35C56">
        <w:rPr>
          <w:rFonts w:cstheme="minorHAnsi"/>
        </w:rPr>
        <w:t>–</w:t>
      </w:r>
      <w:r w:rsidRPr="003C1D19">
        <w:rPr>
          <w:rFonts w:cstheme="minorHAnsi"/>
        </w:rPr>
        <w:t>54 i 55</w:t>
      </w:r>
      <w:r w:rsidR="00F35C56">
        <w:rPr>
          <w:rFonts w:cstheme="minorHAnsi"/>
        </w:rPr>
        <w:t>–</w:t>
      </w:r>
      <w:r w:rsidRPr="003C1D19">
        <w:rPr>
          <w:rFonts w:cstheme="minorHAnsi"/>
        </w:rPr>
        <w:t>64 lata oraz ci z wyższym wykształceniem. Akcje są zdecydowanie najlepiej znanym instrumentem notowanym na GPW (91%). Obligacje wskazuje 70% badanych. Obserwujemy istotnie wyższą znajomość poszczególnych instrumentów (szczególnie tych mniej znanych) wśród osób w wieku 45</w:t>
      </w:r>
      <w:r w:rsidR="00F35C56">
        <w:rPr>
          <w:rFonts w:cstheme="minorHAnsi"/>
        </w:rPr>
        <w:t>–</w:t>
      </w:r>
      <w:r w:rsidRPr="003C1D19">
        <w:rPr>
          <w:rFonts w:cstheme="minorHAnsi"/>
        </w:rPr>
        <w:t>54 i 55</w:t>
      </w:r>
      <w:r w:rsidR="00F35C56">
        <w:rPr>
          <w:rFonts w:cstheme="minorHAnsi"/>
        </w:rPr>
        <w:t>–</w:t>
      </w:r>
      <w:r w:rsidRPr="003C1D19">
        <w:rPr>
          <w:rFonts w:cstheme="minorHAnsi"/>
        </w:rPr>
        <w:t>64 lata oraz wśród tych z wyższym wykształceniem</w:t>
      </w:r>
      <w:r w:rsidRPr="003C1D19">
        <w:rPr>
          <w:rStyle w:val="Odwoanieprzypisudolnego"/>
          <w:rFonts w:cstheme="minorHAnsi"/>
        </w:rPr>
        <w:footnoteReference w:id="24"/>
      </w:r>
      <w:r w:rsidR="00FE6826" w:rsidRPr="004B6D6C">
        <w:rPr>
          <w:rFonts w:cstheme="minorHAnsi"/>
          <w:vertAlign w:val="superscript"/>
        </w:rPr>
        <w:t>)</w:t>
      </w:r>
      <w:r w:rsidR="00D83F25" w:rsidRPr="003C1D19">
        <w:rPr>
          <w:rFonts w:cstheme="minorHAnsi"/>
        </w:rPr>
        <w:t>.</w:t>
      </w:r>
    </w:p>
    <w:p w14:paraId="1C08450E" w14:textId="78483851" w:rsidR="003C1D19" w:rsidRPr="003C1D19" w:rsidRDefault="003C1D19" w:rsidP="00507808">
      <w:pPr>
        <w:spacing w:before="6" w:after="6" w:line="288" w:lineRule="auto"/>
        <w:jc w:val="both"/>
        <w:rPr>
          <w:rFonts w:cstheme="minorHAnsi"/>
        </w:rPr>
      </w:pPr>
      <w:r w:rsidRPr="003C1D19">
        <w:rPr>
          <w:rFonts w:cstheme="minorHAnsi"/>
        </w:rPr>
        <w:t xml:space="preserve">Spośród znanych sposobów długookresowego oszczędzania na emeryturę respondenci najczęściej wymieniają </w:t>
      </w:r>
      <w:r w:rsidR="0059378A">
        <w:rPr>
          <w:rFonts w:cstheme="minorHAnsi"/>
        </w:rPr>
        <w:t xml:space="preserve">PPK </w:t>
      </w:r>
      <w:r w:rsidRPr="003C1D19">
        <w:rPr>
          <w:rFonts w:cstheme="minorHAnsi"/>
        </w:rPr>
        <w:t xml:space="preserve">(86%). Nieco rzadziej wskazywane są </w:t>
      </w:r>
      <w:r w:rsidR="00BD4254">
        <w:rPr>
          <w:rFonts w:cstheme="minorHAnsi"/>
        </w:rPr>
        <w:t>i</w:t>
      </w:r>
      <w:r w:rsidRPr="003C1D19">
        <w:rPr>
          <w:rFonts w:cstheme="minorHAnsi"/>
        </w:rPr>
        <w:t xml:space="preserve">ndywidualne </w:t>
      </w:r>
      <w:r w:rsidR="00BD4254">
        <w:rPr>
          <w:rFonts w:cstheme="minorHAnsi"/>
        </w:rPr>
        <w:t>k</w:t>
      </w:r>
      <w:r w:rsidRPr="003C1D19">
        <w:rPr>
          <w:rFonts w:cstheme="minorHAnsi"/>
        </w:rPr>
        <w:t xml:space="preserve">onta </w:t>
      </w:r>
      <w:r w:rsidR="00BD4254">
        <w:rPr>
          <w:rFonts w:cstheme="minorHAnsi"/>
        </w:rPr>
        <w:t>e</w:t>
      </w:r>
      <w:r w:rsidRPr="003C1D19">
        <w:rPr>
          <w:rFonts w:cstheme="minorHAnsi"/>
        </w:rPr>
        <w:t xml:space="preserve">merytalne (72%). Prawie połowa wskazuje PPE, a niecała 1/4 </w:t>
      </w:r>
      <w:r w:rsidR="00F35C56">
        <w:rPr>
          <w:rFonts w:cstheme="minorHAnsi"/>
        </w:rPr>
        <w:t>–</w:t>
      </w:r>
      <w:r w:rsidRPr="003C1D19">
        <w:rPr>
          <w:rFonts w:cstheme="minorHAnsi"/>
        </w:rPr>
        <w:t xml:space="preserve"> IKZE. Respondenci najczęściej korzystają z PPK – 35% (częściej młodsi). Nieco mniej korzysta z IKE, tu obserwujemy istotnie wyższe wskazania w grupie starszych badanych.</w:t>
      </w:r>
    </w:p>
    <w:p w14:paraId="044DF5C4" w14:textId="77777777" w:rsidR="003C1D19" w:rsidRPr="003C1D19" w:rsidRDefault="003C1D19" w:rsidP="00507808">
      <w:pPr>
        <w:spacing w:before="6" w:after="6" w:line="288" w:lineRule="auto"/>
        <w:jc w:val="both"/>
        <w:rPr>
          <w:rFonts w:cstheme="minorHAnsi"/>
        </w:rPr>
      </w:pPr>
      <w:r w:rsidRPr="003C1D19">
        <w:rPr>
          <w:rFonts w:cstheme="minorHAnsi"/>
        </w:rPr>
        <w:t>Aż 58% respondentów uważa, że pandemia COVID-19 wpłynęła na ich gotowość do długoterminowego oszczędzania lub inwestowania na giełdzie. Przeciwnego zdania jest nieco ponad 1/3 badanych. Zdecydowana większość (81%) respondentów nie rozważa w najbliższym czasie możliwości samodzielnego inwestowania. Są to częściej osoby najmłodsze, najstarsze i najsłabiej wykształcone. Co dziesiąty badany rozważa indywidualne instrumenty emerytalne. Najważniejsze powody wyboru spółki, w którą badani chcieliby zainwestować</w:t>
      </w:r>
      <w:r w:rsidR="000B3187">
        <w:rPr>
          <w:rFonts w:cstheme="minorHAnsi"/>
        </w:rPr>
        <w:t>,</w:t>
      </w:r>
      <w:r w:rsidRPr="003C1D19">
        <w:rPr>
          <w:rFonts w:cstheme="minorHAnsi"/>
        </w:rPr>
        <w:t xml:space="preserve"> jest jej sytuacja biznesowa (43%) oraz opinia innych uczestników rynku (38%). Najmłodsi respondenci częściej nie umieją odpowiedzieć na to pytanie.</w:t>
      </w:r>
    </w:p>
    <w:p w14:paraId="3DDA2536" w14:textId="77777777" w:rsidR="003D5142" w:rsidRPr="003C1D19" w:rsidRDefault="003C1D19" w:rsidP="00507808">
      <w:pPr>
        <w:spacing w:before="6" w:after="6" w:line="288" w:lineRule="auto"/>
        <w:jc w:val="both"/>
        <w:rPr>
          <w:rFonts w:cstheme="minorHAnsi"/>
        </w:rPr>
      </w:pPr>
      <w:r w:rsidRPr="003C1D19">
        <w:rPr>
          <w:rFonts w:cstheme="minorHAnsi"/>
        </w:rPr>
        <w:t>Ponad 2/3 respondentów nie inwestuje na giełdzie z braku wystarczającej wiedzy, częściej są to najmłodsi badani. Dużą barierę jest lęk przed ryzykiem (29%) i przed poniesieniem strat (28%). Najmłodsi i najstarsi nie inwestują również częściej z powodu braku kapitału.</w:t>
      </w:r>
    </w:p>
    <w:p w14:paraId="74D26D9E" w14:textId="77777777" w:rsidR="001C29C4" w:rsidRDefault="001C29C4" w:rsidP="005F6408">
      <w:pPr>
        <w:spacing w:before="6" w:after="6" w:line="288" w:lineRule="auto"/>
      </w:pPr>
    </w:p>
    <w:p w14:paraId="47C440E8" w14:textId="77777777" w:rsidR="003C1D19" w:rsidRPr="003C1D19" w:rsidRDefault="003C1D19">
      <w:pPr>
        <w:pStyle w:val="Nagwek3"/>
        <w:numPr>
          <w:ilvl w:val="1"/>
          <w:numId w:val="23"/>
        </w:numPr>
        <w:spacing w:before="6" w:after="6" w:line="288" w:lineRule="auto"/>
        <w:jc w:val="both"/>
      </w:pPr>
      <w:bookmarkStart w:id="33" w:name="_Toc121828609"/>
      <w:r w:rsidRPr="003C1D19">
        <w:t>Sposoby gromadzenia nadwyżek finansowych: bezpieczeństwo i rentowność</w:t>
      </w:r>
      <w:bookmarkEnd w:id="33"/>
      <w:r w:rsidRPr="003C1D19">
        <w:t xml:space="preserve"> </w:t>
      </w:r>
    </w:p>
    <w:p w14:paraId="4EFADD85" w14:textId="300228AB" w:rsidR="00DC0282" w:rsidRPr="003C1D19" w:rsidRDefault="003C1D19" w:rsidP="003138D4">
      <w:pPr>
        <w:spacing w:before="6" w:after="6" w:line="288" w:lineRule="auto"/>
        <w:jc w:val="both"/>
        <w:rPr>
          <w:rFonts w:cstheme="minorHAnsi"/>
        </w:rPr>
      </w:pPr>
      <w:r w:rsidRPr="003C1D19">
        <w:rPr>
          <w:rFonts w:cstheme="minorHAnsi"/>
        </w:rPr>
        <w:t>Skłonność do oszczędzania</w:t>
      </w:r>
      <w:r w:rsidR="000E4E86">
        <w:rPr>
          <w:rFonts w:cstheme="minorHAnsi"/>
        </w:rPr>
        <w:t>,</w:t>
      </w:r>
      <w:r w:rsidRPr="003C1D19">
        <w:rPr>
          <w:rFonts w:cstheme="minorHAnsi"/>
        </w:rPr>
        <w:t xml:space="preserve"> w sytuacji braku wykształconej powszechnie kultury inwestowania</w:t>
      </w:r>
      <w:r w:rsidR="000E4E86">
        <w:rPr>
          <w:rFonts w:cstheme="minorHAnsi"/>
        </w:rPr>
        <w:t>,</w:t>
      </w:r>
      <w:r w:rsidRPr="003C1D19">
        <w:rPr>
          <w:rFonts w:cstheme="minorHAnsi"/>
        </w:rPr>
        <w:t xml:space="preserve"> ma charakter indywidualny i jest zależna od kilku czynników. Okres aktywności zawodowej oraz wysokość tzw. dochodu rozporządzalnego </w:t>
      </w:r>
      <w:r w:rsidR="00C408F8">
        <w:rPr>
          <w:rFonts w:cstheme="minorHAnsi"/>
        </w:rPr>
        <w:t>(</w:t>
      </w:r>
      <w:r w:rsidR="00596094">
        <w:rPr>
          <w:rFonts w:cstheme="minorHAnsi"/>
        </w:rPr>
        <w:t xml:space="preserve">czyli zgodnie z definicją GUS </w:t>
      </w:r>
      <w:r w:rsidR="00F35C56">
        <w:rPr>
          <w:rFonts w:cstheme="minorHAnsi"/>
        </w:rPr>
        <w:t>–</w:t>
      </w:r>
      <w:r w:rsidR="00596094">
        <w:rPr>
          <w:rFonts w:cstheme="minorHAnsi"/>
        </w:rPr>
        <w:t xml:space="preserve"> s</w:t>
      </w:r>
      <w:r w:rsidR="00B944DB" w:rsidRPr="00B944DB">
        <w:rPr>
          <w:rFonts w:cstheme="minorHAnsi"/>
        </w:rPr>
        <w:t>um</w:t>
      </w:r>
      <w:r w:rsidR="00D876B7">
        <w:rPr>
          <w:rFonts w:cstheme="minorHAnsi"/>
        </w:rPr>
        <w:t>y</w:t>
      </w:r>
      <w:r w:rsidR="00B944DB" w:rsidRPr="00B944DB">
        <w:rPr>
          <w:rFonts w:cstheme="minorHAnsi"/>
        </w:rPr>
        <w:t xml:space="preserve"> bieżących dochodów gospodarstw domowych z poszczególnych źródeł, pomniejszon</w:t>
      </w:r>
      <w:r w:rsidR="00D876B7">
        <w:rPr>
          <w:rFonts w:cstheme="minorHAnsi"/>
        </w:rPr>
        <w:t>ych</w:t>
      </w:r>
      <w:r w:rsidR="00B944DB" w:rsidRPr="00B944DB">
        <w:rPr>
          <w:rFonts w:cstheme="minorHAnsi"/>
        </w:rPr>
        <w:t xml:space="preserve"> o zaliczki na podatek dochodowy </w:t>
      </w:r>
      <w:r w:rsidR="00B944DB" w:rsidRPr="00B944DB">
        <w:rPr>
          <w:rFonts w:cstheme="minorHAnsi"/>
        </w:rPr>
        <w:lastRenderedPageBreak/>
        <w:t>od osób fizycznych płacone przez płatnika w imieniu podatnika, o podatki od dochodów z własności, podatki płacone przez osoby pracujące na własny rachunek, w tym przedstawicieli wolnych zawodów i osób użytkujących gospodarstwo indywidualne w rolnictwie oraz o składki na ubezpieczeni</w:t>
      </w:r>
      <w:r w:rsidR="0050233B">
        <w:rPr>
          <w:rFonts w:cstheme="minorHAnsi"/>
        </w:rPr>
        <w:t>a</w:t>
      </w:r>
      <w:r w:rsidR="00B944DB" w:rsidRPr="00B944DB">
        <w:rPr>
          <w:rFonts w:cstheme="minorHAnsi"/>
        </w:rPr>
        <w:t xml:space="preserve"> społeczne i zdrowotne</w:t>
      </w:r>
      <w:r w:rsidR="00C408F8">
        <w:rPr>
          <w:rFonts w:cstheme="minorHAnsi"/>
        </w:rPr>
        <w:t>)</w:t>
      </w:r>
      <w:r w:rsidR="009E609A">
        <w:rPr>
          <w:rFonts w:cstheme="minorHAnsi"/>
        </w:rPr>
        <w:t xml:space="preserve"> </w:t>
      </w:r>
      <w:r w:rsidRPr="003C1D19">
        <w:rPr>
          <w:rFonts w:cstheme="minorHAnsi"/>
        </w:rPr>
        <w:t>wydają się mieć tutaj kluczowe znaczenie. Ludzie rozpoczynający aktywność zawodową i w pierwszych 10</w:t>
      </w:r>
      <w:r w:rsidR="00F35C56">
        <w:rPr>
          <w:rFonts w:cstheme="minorHAnsi"/>
        </w:rPr>
        <w:t>–</w:t>
      </w:r>
      <w:r w:rsidRPr="003C1D19">
        <w:rPr>
          <w:rFonts w:cstheme="minorHAnsi"/>
        </w:rPr>
        <w:t>15 lat</w:t>
      </w:r>
      <w:r w:rsidR="003C4AAA">
        <w:rPr>
          <w:rFonts w:cstheme="minorHAnsi"/>
        </w:rPr>
        <w:t>ach</w:t>
      </w:r>
      <w:r w:rsidRPr="003C1D19">
        <w:rPr>
          <w:rFonts w:cstheme="minorHAnsi"/>
        </w:rPr>
        <w:t xml:space="preserve"> jej prowadzenia budują swój kapitał społeczny i</w:t>
      </w:r>
      <w:r w:rsidR="004F0D8B">
        <w:rPr>
          <w:rFonts w:cstheme="minorHAnsi"/>
        </w:rPr>
        <w:t> </w:t>
      </w:r>
      <w:r w:rsidRPr="003C1D19">
        <w:rPr>
          <w:rFonts w:cstheme="minorHAnsi"/>
        </w:rPr>
        <w:t xml:space="preserve">finansowy, zaspokajają zasadnicze potrzeby życiowe, przede wszystkim związane z mieszkaniem. Analiza struktury oszczędności w ostatnim półroczu wskazuje, że Polacy decydują się na lokowanie, które łączy bezpieczeństwo z możliwą do uzyskania rentownością zainwestowanego kapitału. Liderem tego sposobu oszczędzania są obligacje detaliczne, które emituje </w:t>
      </w:r>
      <w:r w:rsidR="00405705">
        <w:rPr>
          <w:rFonts w:cstheme="minorHAnsi"/>
        </w:rPr>
        <w:t>M</w:t>
      </w:r>
      <w:r w:rsidRPr="003C1D19">
        <w:rPr>
          <w:rFonts w:cstheme="minorHAnsi"/>
        </w:rPr>
        <w:t xml:space="preserve">inister </w:t>
      </w:r>
      <w:r w:rsidR="00405705">
        <w:rPr>
          <w:rFonts w:cstheme="minorHAnsi"/>
        </w:rPr>
        <w:t>F</w:t>
      </w:r>
      <w:r w:rsidRPr="003C1D19">
        <w:rPr>
          <w:rFonts w:cstheme="minorHAnsi"/>
        </w:rPr>
        <w:t>inansów</w:t>
      </w:r>
      <w:r w:rsidR="00401F86">
        <w:rPr>
          <w:rFonts w:cstheme="minorHAnsi"/>
        </w:rPr>
        <w:t xml:space="preserve"> działający w imieniu Skarbu Państwa</w:t>
      </w:r>
      <w:r w:rsidRPr="003C1D19">
        <w:rPr>
          <w:rFonts w:cstheme="minorHAnsi"/>
        </w:rPr>
        <w:t>.</w:t>
      </w:r>
      <w:r w:rsidR="00401F86">
        <w:rPr>
          <w:rFonts w:cstheme="minorHAnsi"/>
        </w:rPr>
        <w:t xml:space="preserve"> W 2022 r. w</w:t>
      </w:r>
      <w:r w:rsidRPr="003C1D19">
        <w:rPr>
          <w:rFonts w:cstheme="minorHAnsi"/>
        </w:rPr>
        <w:t>prowadz</w:t>
      </w:r>
      <w:r w:rsidR="00401F86">
        <w:rPr>
          <w:rFonts w:cstheme="minorHAnsi"/>
        </w:rPr>
        <w:t xml:space="preserve">ono nowe rodzaje </w:t>
      </w:r>
      <w:r w:rsidRPr="003C1D19">
        <w:rPr>
          <w:rFonts w:cstheme="minorHAnsi"/>
        </w:rPr>
        <w:t>obligacji</w:t>
      </w:r>
      <w:r w:rsidR="00E1756F">
        <w:rPr>
          <w:rFonts w:cstheme="minorHAnsi"/>
        </w:rPr>
        <w:t xml:space="preserve"> detalicznych:</w:t>
      </w:r>
      <w:r w:rsidRPr="003C1D19">
        <w:rPr>
          <w:rFonts w:cstheme="minorHAnsi"/>
        </w:rPr>
        <w:t xml:space="preserve"> rocznych i dwuletnich, przy lepszym oprocentowaniu innych instrumentów. Spad</w:t>
      </w:r>
      <w:r w:rsidR="00055CE1">
        <w:rPr>
          <w:rFonts w:cstheme="minorHAnsi"/>
        </w:rPr>
        <w:t>ł</w:t>
      </w:r>
      <w:r w:rsidRPr="003C1D19">
        <w:rPr>
          <w:rFonts w:cstheme="minorHAnsi"/>
        </w:rPr>
        <w:t xml:space="preserve">a ilość pieniędzy trzymanych na rachunkach bieżących na rzecz lokat terminowych </w:t>
      </w:r>
      <w:r w:rsidR="00F35C56">
        <w:rPr>
          <w:rFonts w:cstheme="minorHAnsi"/>
        </w:rPr>
        <w:t>–</w:t>
      </w:r>
      <w:r w:rsidR="00E75610">
        <w:rPr>
          <w:rFonts w:cstheme="minorHAnsi"/>
        </w:rPr>
        <w:t xml:space="preserve"> </w:t>
      </w:r>
      <w:r w:rsidRPr="003C1D19">
        <w:rPr>
          <w:rFonts w:cstheme="minorHAnsi"/>
        </w:rPr>
        <w:t>o blisko 50 mld zł</w:t>
      </w:r>
      <w:r w:rsidR="009514BD">
        <w:rPr>
          <w:rFonts w:cstheme="minorHAnsi"/>
        </w:rPr>
        <w:t>.</w:t>
      </w:r>
      <w:r w:rsidRPr="003C1D19">
        <w:rPr>
          <w:rFonts w:cstheme="minorHAnsi"/>
        </w:rPr>
        <w:t xml:space="preserve"> Wzrost zamożności, dochodu rozporządzalnego obywateli w latach 2015</w:t>
      </w:r>
      <w:r w:rsidR="00F35C56">
        <w:rPr>
          <w:rFonts w:cstheme="minorHAnsi"/>
        </w:rPr>
        <w:t>–</w:t>
      </w:r>
      <w:r w:rsidR="009306A0" w:rsidRPr="003C1D19">
        <w:rPr>
          <w:rFonts w:cstheme="minorHAnsi"/>
        </w:rPr>
        <w:t>202</w:t>
      </w:r>
      <w:r w:rsidR="009306A0">
        <w:rPr>
          <w:rFonts w:cstheme="minorHAnsi"/>
        </w:rPr>
        <w:t>1</w:t>
      </w:r>
      <w:r w:rsidRPr="003C1D19">
        <w:rPr>
          <w:rFonts w:cstheme="minorHAnsi"/>
        </w:rPr>
        <w:t>, z</w:t>
      </w:r>
      <w:r w:rsidR="00263AAC">
        <w:rPr>
          <w:rFonts w:cstheme="minorHAnsi"/>
        </w:rPr>
        <w:t> </w:t>
      </w:r>
      <w:r w:rsidRPr="003C1D19">
        <w:rPr>
          <w:rFonts w:cstheme="minorHAnsi"/>
        </w:rPr>
        <w:t xml:space="preserve">silnym wsparciem państwa pozwolił na organiczny rozwój PPK, których aktywa przekroczyły </w:t>
      </w:r>
      <w:r w:rsidR="007C39D6">
        <w:rPr>
          <w:rFonts w:cstheme="minorHAnsi"/>
        </w:rPr>
        <w:t>w</w:t>
      </w:r>
      <w:r w:rsidR="00263AAC">
        <w:rPr>
          <w:rFonts w:cstheme="minorHAnsi"/>
        </w:rPr>
        <w:t> </w:t>
      </w:r>
      <w:r w:rsidR="007C39D6">
        <w:rPr>
          <w:rFonts w:cstheme="minorHAnsi"/>
        </w:rPr>
        <w:t>sierpniu 2022 r</w:t>
      </w:r>
      <w:r w:rsidR="00AB16B7">
        <w:rPr>
          <w:rFonts w:cstheme="minorHAnsi"/>
        </w:rPr>
        <w:t>oku</w:t>
      </w:r>
      <w:r w:rsidRPr="003C1D19">
        <w:rPr>
          <w:rFonts w:cstheme="minorHAnsi"/>
        </w:rPr>
        <w:t xml:space="preserve"> 10 mld zł. Wydaje się, ż</w:t>
      </w:r>
      <w:r w:rsidR="00E123A4">
        <w:rPr>
          <w:rFonts w:cstheme="minorHAnsi"/>
        </w:rPr>
        <w:t>e</w:t>
      </w:r>
      <w:r w:rsidRPr="003C1D19">
        <w:rPr>
          <w:rFonts w:cstheme="minorHAnsi"/>
        </w:rPr>
        <w:t xml:space="preserve"> kolejne okresy będą wspierały skłonność do inwestowania w bezpieczne instrumenty finansowe i obiektywnie wzrost wiedzy ekonomicznej Polaków.</w:t>
      </w:r>
    </w:p>
    <w:p w14:paraId="09111DF9" w14:textId="173DC2BB" w:rsidR="00C36004" w:rsidRPr="00AB43C5" w:rsidRDefault="00C36004" w:rsidP="00C36004">
      <w:pPr>
        <w:pStyle w:val="Legenda"/>
        <w:keepNext/>
        <w:jc w:val="both"/>
        <w:rPr>
          <w:i w:val="0"/>
          <w:color w:val="auto"/>
          <w:sz w:val="20"/>
          <w:szCs w:val="20"/>
        </w:rPr>
      </w:pPr>
      <w:bookmarkStart w:id="34" w:name="_Toc121826559"/>
      <w:r w:rsidRPr="00AB43C5">
        <w:rPr>
          <w:color w:val="auto"/>
          <w:sz w:val="20"/>
          <w:szCs w:val="20"/>
        </w:rPr>
        <w:t xml:space="preserve">Wykres </w:t>
      </w:r>
      <w:r w:rsidRPr="00AB43C5">
        <w:rPr>
          <w:color w:val="auto"/>
          <w:sz w:val="20"/>
          <w:szCs w:val="20"/>
        </w:rPr>
        <w:fldChar w:fldCharType="begin"/>
      </w:r>
      <w:r w:rsidRPr="00AB43C5">
        <w:rPr>
          <w:color w:val="auto"/>
          <w:sz w:val="20"/>
          <w:szCs w:val="20"/>
        </w:rPr>
        <w:instrText xml:space="preserve"> SEQ Wykres \* ARABIC </w:instrText>
      </w:r>
      <w:r w:rsidRPr="00AB43C5">
        <w:rPr>
          <w:color w:val="auto"/>
          <w:sz w:val="20"/>
          <w:szCs w:val="20"/>
        </w:rPr>
        <w:fldChar w:fldCharType="separate"/>
      </w:r>
      <w:r w:rsidR="001F2919">
        <w:rPr>
          <w:noProof/>
          <w:color w:val="auto"/>
          <w:sz w:val="20"/>
          <w:szCs w:val="20"/>
        </w:rPr>
        <w:t>9</w:t>
      </w:r>
      <w:r w:rsidRPr="00AB43C5">
        <w:rPr>
          <w:color w:val="auto"/>
          <w:sz w:val="20"/>
          <w:szCs w:val="20"/>
        </w:rPr>
        <w:fldChar w:fldCharType="end"/>
      </w:r>
      <w:r w:rsidRPr="00AB43C5">
        <w:rPr>
          <w:i w:val="0"/>
          <w:color w:val="auto"/>
          <w:sz w:val="20"/>
          <w:szCs w:val="20"/>
        </w:rPr>
        <w:t xml:space="preserve"> </w:t>
      </w:r>
      <w:r w:rsidRPr="00AB43C5">
        <w:rPr>
          <w:b/>
          <w:i w:val="0"/>
          <w:color w:val="auto"/>
          <w:sz w:val="20"/>
          <w:szCs w:val="20"/>
        </w:rPr>
        <w:t>Poziom przeciętnych miesięcznych dochodów i wydatków na 1 osobę w gospodarstwach domowych oraz udział wydatków w dochodzie rozporządzalnym w latach 2015–202</w:t>
      </w:r>
      <w:r w:rsidR="00C44F57">
        <w:rPr>
          <w:b/>
          <w:i w:val="0"/>
          <w:color w:val="auto"/>
          <w:sz w:val="20"/>
          <w:szCs w:val="20"/>
        </w:rPr>
        <w:t>1</w:t>
      </w:r>
      <w:bookmarkEnd w:id="34"/>
    </w:p>
    <w:p w14:paraId="70B78716" w14:textId="77777777" w:rsidR="00FC1C49" w:rsidRPr="003C1D19" w:rsidRDefault="00AB69DA" w:rsidP="007E398C">
      <w:pPr>
        <w:spacing w:before="6" w:after="6" w:line="288" w:lineRule="auto"/>
        <w:jc w:val="both"/>
        <w:rPr>
          <w:rFonts w:cstheme="minorHAnsi"/>
        </w:rPr>
      </w:pPr>
      <w:r w:rsidRPr="00AB69DA">
        <w:rPr>
          <w:rFonts w:cstheme="minorHAnsi"/>
          <w:noProof/>
          <w:lang w:eastAsia="pl-PL"/>
        </w:rPr>
        <w:drawing>
          <wp:inline distT="0" distB="0" distL="0" distR="0" wp14:anchorId="0288E179" wp14:editId="583E82EC">
            <wp:extent cx="5939790" cy="3448050"/>
            <wp:effectExtent l="0" t="0" r="3810" b="0"/>
            <wp:docPr id="17" name="Wykres 17">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BC64895" w14:textId="77777777" w:rsidR="00E123A4" w:rsidRPr="00A84BF9" w:rsidRDefault="009257C4" w:rsidP="007E398C">
      <w:pPr>
        <w:spacing w:before="6" w:after="6" w:line="288" w:lineRule="auto"/>
        <w:jc w:val="both"/>
        <w:rPr>
          <w:i/>
          <w:sz w:val="18"/>
          <w:szCs w:val="18"/>
        </w:rPr>
      </w:pPr>
      <w:r w:rsidRPr="00A84BF9">
        <w:rPr>
          <w:i/>
          <w:sz w:val="18"/>
          <w:szCs w:val="18"/>
        </w:rPr>
        <w:t>Źródło: Sytuacja gospodarstw domowych w 2020 r. w świetle wyników badania budżetów gospodarstw domowych</w:t>
      </w:r>
      <w:r w:rsidR="00D22363" w:rsidRPr="00A84BF9">
        <w:rPr>
          <w:i/>
          <w:sz w:val="18"/>
          <w:szCs w:val="18"/>
        </w:rPr>
        <w:t>, GUS 2021</w:t>
      </w:r>
    </w:p>
    <w:p w14:paraId="10DB640F" w14:textId="77777777" w:rsidR="00C36004" w:rsidRPr="00C36004" w:rsidRDefault="00C36004" w:rsidP="00C36004">
      <w:pPr>
        <w:spacing w:before="6" w:after="6" w:line="288" w:lineRule="auto"/>
        <w:jc w:val="both"/>
        <w:rPr>
          <w:rFonts w:cstheme="minorHAnsi"/>
          <w:sz w:val="18"/>
          <w:szCs w:val="18"/>
        </w:rPr>
      </w:pPr>
    </w:p>
    <w:p w14:paraId="4B9A4474" w14:textId="77777777" w:rsidR="004F2940" w:rsidRPr="00167D32" w:rsidRDefault="004F2940">
      <w:pPr>
        <w:pStyle w:val="Nagwek2"/>
        <w:numPr>
          <w:ilvl w:val="0"/>
          <w:numId w:val="23"/>
        </w:numPr>
        <w:spacing w:before="6" w:after="6" w:line="288" w:lineRule="auto"/>
      </w:pPr>
      <w:bookmarkStart w:id="35" w:name="_Toc121828610"/>
      <w:r w:rsidRPr="00167D32">
        <w:t>Doświadczenia zagraniczne</w:t>
      </w:r>
      <w:bookmarkEnd w:id="35"/>
      <w:r w:rsidRPr="00167D32">
        <w:t xml:space="preserve"> </w:t>
      </w:r>
    </w:p>
    <w:p w14:paraId="7840E809" w14:textId="77777777" w:rsidR="004F2940" w:rsidRPr="00E26980" w:rsidRDefault="004F2940" w:rsidP="00D32314">
      <w:pPr>
        <w:spacing w:before="6" w:after="6" w:line="288" w:lineRule="auto"/>
        <w:jc w:val="both"/>
      </w:pPr>
      <w:r w:rsidRPr="00E26980">
        <w:t>Dokonujące się na przestrzeni ostatnich kilkudziesięciu lat przemiany demograficzne stanowią duże wyzwanie dla stabilności publicznych systemów emerytalnych na całym świecie. W następstwie tych zmian rodzi się potrzeba rozbudowy programów emerytalnych</w:t>
      </w:r>
      <w:r w:rsidR="007D7656">
        <w:t>,</w:t>
      </w:r>
      <w:r>
        <w:t xml:space="preserve"> </w:t>
      </w:r>
      <w:r w:rsidRPr="00E26980">
        <w:t>umożliwiających gromadzenie dodatkowych oszczędności na cele emerytalne, tak aby w przyszłości uzupełnić poziom świadczeń z</w:t>
      </w:r>
      <w:r w:rsidR="004F0D8B">
        <w:t> </w:t>
      </w:r>
      <w:r w:rsidRPr="00E26980">
        <w:t>system</w:t>
      </w:r>
      <w:r>
        <w:t>ów</w:t>
      </w:r>
      <w:r w:rsidRPr="00E26980">
        <w:t xml:space="preserve"> publiczn</w:t>
      </w:r>
      <w:r>
        <w:t>ych</w:t>
      </w:r>
      <w:r w:rsidRPr="00E26980">
        <w:t xml:space="preserve"> i zapewnić emerytom adekwatne środki utrzymania. </w:t>
      </w:r>
    </w:p>
    <w:p w14:paraId="6D128F90" w14:textId="44BBF7DB" w:rsidR="00DE26BE" w:rsidRPr="00E26980" w:rsidRDefault="004F2940" w:rsidP="00D32314">
      <w:pPr>
        <w:spacing w:before="6" w:after="6" w:line="288" w:lineRule="auto"/>
        <w:jc w:val="both"/>
      </w:pPr>
      <w:r w:rsidRPr="00E26980">
        <w:lastRenderedPageBreak/>
        <w:t>W wielu krajach nieodłączną częścią zabezpieczenia emerytalnego, stanowiącą w sposób istotny uzupełnienie systemu publicznego, stały się programy emerytalne tworzone w miejscu pracy. W celu upowszechnienia</w:t>
      </w:r>
      <w:r w:rsidR="00F37EC2">
        <w:t xml:space="preserve"> uczestnictwa w tych programach</w:t>
      </w:r>
      <w:r w:rsidRPr="00E26980">
        <w:t xml:space="preserve"> niektóre kraje </w:t>
      </w:r>
      <w:r w:rsidR="00F35C56">
        <w:t>–</w:t>
      </w:r>
      <w:r w:rsidR="00C21B71">
        <w:t xml:space="preserve"> </w:t>
      </w:r>
      <w:r w:rsidRPr="00E26980">
        <w:t>m.in. USA, Wielka Brytania, Nowa Zelandia czy Turcja</w:t>
      </w:r>
      <w:bookmarkStart w:id="36" w:name="_Hlk36574902"/>
      <w:r w:rsidRPr="00E26980">
        <w:t xml:space="preserve"> </w:t>
      </w:r>
      <w:r w:rsidR="00F35C56">
        <w:t>–</w:t>
      </w:r>
      <w:r w:rsidR="00C21B71">
        <w:t xml:space="preserve"> </w:t>
      </w:r>
      <w:r w:rsidRPr="00E26980">
        <w:t>wprowadziły tzw. automatyczny zapis do tych programów.</w:t>
      </w:r>
      <w:bookmarkEnd w:id="36"/>
      <w:r w:rsidRPr="00E26980">
        <w:t xml:space="preserve"> Program PPK jest</w:t>
      </w:r>
      <w:r w:rsidR="00A57C02">
        <w:t> </w:t>
      </w:r>
      <w:r w:rsidRPr="00E26980">
        <w:t xml:space="preserve">wzorowany na tych rozwiązaniach. </w:t>
      </w:r>
      <w:r>
        <w:t xml:space="preserve">Z zagranicznych </w:t>
      </w:r>
      <w:r w:rsidRPr="00E26980">
        <w:t>programów</w:t>
      </w:r>
      <w:r w:rsidR="00665DBB">
        <w:t>,</w:t>
      </w:r>
      <w:r w:rsidRPr="00E26980">
        <w:t xml:space="preserve"> opartych na automatycznym zapisie</w:t>
      </w:r>
      <w:r w:rsidR="00665DBB">
        <w:t>,</w:t>
      </w:r>
      <w:r w:rsidRPr="00E26980">
        <w:t xml:space="preserve"> wybrano najlepsze praktyki, najbardziej efektywne mechanizmy i dostosowano je do polskich realiów.</w:t>
      </w:r>
      <w:r w:rsidR="00DB10FD">
        <w:t xml:space="preserve"> </w:t>
      </w:r>
      <w:r w:rsidRPr="00E26980">
        <w:t>Mechanizm automatycznego zapisu odwołuje się do szeregu zjawisk</w:t>
      </w:r>
      <w:r>
        <w:t xml:space="preserve">, które bada </w:t>
      </w:r>
      <w:r w:rsidRPr="00E26980">
        <w:t>ekonomi</w:t>
      </w:r>
      <w:r>
        <w:t>a</w:t>
      </w:r>
      <w:r w:rsidRPr="00E26980">
        <w:t xml:space="preserve"> behawioraln</w:t>
      </w:r>
      <w:r>
        <w:t>a</w:t>
      </w:r>
      <w:r w:rsidRPr="00E26980">
        <w:t xml:space="preserve">. </w:t>
      </w:r>
      <w:r>
        <w:t xml:space="preserve">Ludzie </w:t>
      </w:r>
      <w:r w:rsidRPr="00E26980">
        <w:t xml:space="preserve">nie zawsze podejmują racjonalne decyzje m.in. ze względu na </w:t>
      </w:r>
      <w:r>
        <w:t xml:space="preserve">popełniane błędy poznawcze, ograniczoną wiedzę czy </w:t>
      </w:r>
      <w:bookmarkStart w:id="37" w:name="_Hlk36560913"/>
      <w:r>
        <w:t xml:space="preserve">podatność na wpływ emocji, dlatego </w:t>
      </w:r>
      <w:r w:rsidR="00F35C56">
        <w:t>–</w:t>
      </w:r>
      <w:r>
        <w:t xml:space="preserve"> jeśli chodzi o decyzje w</w:t>
      </w:r>
      <w:r w:rsidR="00DB10FD">
        <w:t> </w:t>
      </w:r>
      <w:r>
        <w:t>zakresie finansów</w:t>
      </w:r>
      <w:r w:rsidRPr="00447761">
        <w:t xml:space="preserve"> </w:t>
      </w:r>
      <w:r w:rsidR="00F35C56">
        <w:t>–</w:t>
      </w:r>
      <w:r>
        <w:t xml:space="preserve"> </w:t>
      </w:r>
      <w:r w:rsidRPr="00447761">
        <w:t xml:space="preserve">zalecana </w:t>
      </w:r>
      <w:r>
        <w:t xml:space="preserve">jest </w:t>
      </w:r>
      <w:r w:rsidRPr="00447761">
        <w:t>zmiana architektury wyboru</w:t>
      </w:r>
      <w:r>
        <w:t xml:space="preserve">. Domyślną opcją powinno być zapisanie do programu oszczędzania i pozostawienie </w:t>
      </w:r>
      <w:r w:rsidRPr="00E26980">
        <w:t>możliwoś</w:t>
      </w:r>
      <w:r>
        <w:t>ci</w:t>
      </w:r>
      <w:r w:rsidRPr="00E26980">
        <w:t xml:space="preserve"> późniejszej rezygnacji. Z doświadczeń zagranicznych wynika, że obecność</w:t>
      </w:r>
      <w:r>
        <w:t xml:space="preserve"> </w:t>
      </w:r>
      <w:r w:rsidRPr="00E26980">
        <w:t>rozwiązań ekonomii behawioralnej (w tym m.in. autozapisu) pozytywnie wpływa na partycypację w programach dodatkowego oszczędzania na cele emerytalne.</w:t>
      </w:r>
    </w:p>
    <w:p w14:paraId="7C1A6F89" w14:textId="77777777" w:rsidR="00BB04A9" w:rsidRDefault="00BB04A9" w:rsidP="007E398C">
      <w:pPr>
        <w:spacing w:before="6" w:after="6" w:line="288" w:lineRule="auto"/>
      </w:pPr>
    </w:p>
    <w:p w14:paraId="1D35CE16" w14:textId="4027D773" w:rsidR="004F2940" w:rsidRPr="00E26980" w:rsidRDefault="00AB6D96">
      <w:pPr>
        <w:pStyle w:val="Nagwek3"/>
        <w:numPr>
          <w:ilvl w:val="1"/>
          <w:numId w:val="23"/>
        </w:numPr>
        <w:spacing w:before="6" w:after="6" w:line="288" w:lineRule="auto"/>
        <w:jc w:val="both"/>
      </w:pPr>
      <w:bookmarkStart w:id="38" w:name="_Toc121828611"/>
      <w:r>
        <w:t>P</w:t>
      </w:r>
      <w:r w:rsidR="004F2940" w:rsidRPr="00E26980">
        <w:t>rogramy z automatycznym zapisem</w:t>
      </w:r>
      <w:r>
        <w:t xml:space="preserve"> </w:t>
      </w:r>
      <w:r w:rsidR="00F35C56">
        <w:t>–</w:t>
      </w:r>
      <w:r>
        <w:t xml:space="preserve"> przykłady</w:t>
      </w:r>
      <w:bookmarkEnd w:id="38"/>
    </w:p>
    <w:p w14:paraId="342FEA73" w14:textId="77777777" w:rsidR="004F2940" w:rsidRDefault="004F2940">
      <w:pPr>
        <w:pStyle w:val="Nagwek4"/>
        <w:numPr>
          <w:ilvl w:val="2"/>
          <w:numId w:val="23"/>
        </w:numPr>
        <w:spacing w:before="6" w:after="6" w:line="288" w:lineRule="auto"/>
        <w:jc w:val="both"/>
      </w:pPr>
      <w:r w:rsidRPr="00E26980">
        <w:t>USA</w:t>
      </w:r>
    </w:p>
    <w:p w14:paraId="2D420A0E" w14:textId="2E63524B" w:rsidR="004F2940" w:rsidRDefault="004F2940" w:rsidP="00D32314">
      <w:pPr>
        <w:spacing w:before="6" w:after="6" w:line="288" w:lineRule="auto"/>
        <w:jc w:val="both"/>
      </w:pPr>
      <w:r w:rsidRPr="00EA3EB4">
        <w:t xml:space="preserve">Stany Zjednoczone </w:t>
      </w:r>
      <w:r w:rsidR="007031B9" w:rsidRPr="00A80661">
        <w:t xml:space="preserve">mają </w:t>
      </w:r>
      <w:r w:rsidRPr="00EA3EB4">
        <w:t>największy system emerytalny na świecie.</w:t>
      </w:r>
      <w:r>
        <w:t xml:space="preserve"> </w:t>
      </w:r>
      <w:r w:rsidRPr="00E26980">
        <w:t>Według danych OECD (2021 r</w:t>
      </w:r>
      <w:r w:rsidR="005C38A5">
        <w:t>ok</w:t>
      </w:r>
      <w:r w:rsidRPr="00E26980">
        <w:t xml:space="preserve">) </w:t>
      </w:r>
      <w:r>
        <w:t>prywatne aktywa</w:t>
      </w:r>
      <w:r w:rsidRPr="00E26980">
        <w:t xml:space="preserve"> emerytaln</w:t>
      </w:r>
      <w:r>
        <w:t>e</w:t>
      </w:r>
      <w:r w:rsidRPr="00E26980">
        <w:t xml:space="preserve"> </w:t>
      </w:r>
      <w:r>
        <w:t xml:space="preserve">w Stanach Zjednoczonych </w:t>
      </w:r>
      <w:r w:rsidRPr="00E26980">
        <w:t>przekracza</w:t>
      </w:r>
      <w:r>
        <w:t>ją</w:t>
      </w:r>
      <w:r w:rsidRPr="00E26980">
        <w:t xml:space="preserve"> 35 bilionów dolarów, co</w:t>
      </w:r>
      <w:r w:rsidR="00F37EC2">
        <w:t> </w:t>
      </w:r>
      <w:r w:rsidRPr="00E26980">
        <w:t xml:space="preserve">odpowiada dwóm trzecim aktywów we wszystkich krajach OECD. Aktywa </w:t>
      </w:r>
      <w:r>
        <w:t>te stanowią</w:t>
      </w:r>
      <w:r w:rsidRPr="00E26980">
        <w:t xml:space="preserve"> 170%</w:t>
      </w:r>
      <w:r w:rsidR="00F37EC2">
        <w:t> </w:t>
      </w:r>
      <w:r>
        <w:t xml:space="preserve">tamtejszego </w:t>
      </w:r>
      <w:r w:rsidRPr="00E26980">
        <w:t>PKB. Dla porównania – w Polsce jest to 7,9% PKB</w:t>
      </w:r>
      <w:r w:rsidRPr="00E26980">
        <w:rPr>
          <w:rStyle w:val="Odwoanieprzypisudolnego"/>
          <w:color w:val="474747"/>
        </w:rPr>
        <w:footnoteReference w:id="25"/>
      </w:r>
      <w:r w:rsidR="00FE6826" w:rsidRPr="004B6D6C">
        <w:rPr>
          <w:vertAlign w:val="superscript"/>
        </w:rPr>
        <w:t>)</w:t>
      </w:r>
      <w:r>
        <w:t xml:space="preserve">. Stany Zjednoczone są również prekursorem reform emerytalnych. </w:t>
      </w:r>
      <w:r w:rsidRPr="00E26980">
        <w:t xml:space="preserve">Jedną z ważniejszych była ta z 2006 roku, w której wprowadzono m.in. automatyczny zapis do programów emerytalnych tworzonych </w:t>
      </w:r>
      <w:r>
        <w:t xml:space="preserve">w miejscu pracy. </w:t>
      </w:r>
    </w:p>
    <w:p w14:paraId="5988917A" w14:textId="5F2C4CF7" w:rsidR="004F2940" w:rsidRPr="00DB2439" w:rsidRDefault="004F2940" w:rsidP="00D32314">
      <w:pPr>
        <w:spacing w:before="6" w:after="6" w:line="288" w:lineRule="auto"/>
        <w:jc w:val="both"/>
      </w:pPr>
      <w:r w:rsidRPr="00E26980">
        <w:t xml:space="preserve">Pracownicze plany emerytalne mogą mieć </w:t>
      </w:r>
      <w:r>
        <w:t xml:space="preserve">w USA </w:t>
      </w:r>
      <w:r w:rsidRPr="00E26980">
        <w:t>różne formy, ale największą popularnością cieszy się</w:t>
      </w:r>
      <w:r w:rsidR="00F37EC2">
        <w:t> </w:t>
      </w:r>
      <w:r w:rsidRPr="00E26980">
        <w:t xml:space="preserve">program 401(k) – jego konstrukcja jest najbardziej zbliżona do polskich PPK. </w:t>
      </w:r>
      <w:r>
        <w:t>P</w:t>
      </w:r>
      <w:r w:rsidRPr="00E26980">
        <w:t>rogram</w:t>
      </w:r>
      <w:r>
        <w:t xml:space="preserve"> ten jest</w:t>
      </w:r>
      <w:r w:rsidR="00F37EC2">
        <w:t> </w:t>
      </w:r>
      <w:r w:rsidRPr="00E26980">
        <w:t xml:space="preserve">tworzony z inicjatywy pracodawcy i finansowany z wynagrodzenia pracownika, do </w:t>
      </w:r>
      <w:r>
        <w:t xml:space="preserve">oszczędności </w:t>
      </w:r>
      <w:r w:rsidRPr="00E26980">
        <w:t>może dokładać się również pracodawc</w:t>
      </w:r>
      <w:r w:rsidR="00F37EC2">
        <w:t>a. Podobnie jak w polskich IKZE</w:t>
      </w:r>
      <w:r w:rsidRPr="00E26980">
        <w:t xml:space="preserve"> wpłaty można odliczyć od</w:t>
      </w:r>
      <w:r w:rsidR="00F37EC2">
        <w:t> </w:t>
      </w:r>
      <w:r w:rsidRPr="00E26980">
        <w:t>podstawy opodatkowania.</w:t>
      </w:r>
    </w:p>
    <w:p w14:paraId="6741DFB7" w14:textId="0F8C4D14" w:rsidR="00D0724C" w:rsidRDefault="004F2940" w:rsidP="009D444E">
      <w:pPr>
        <w:spacing w:before="6" w:after="6" w:line="288" w:lineRule="auto"/>
        <w:jc w:val="both"/>
      </w:pPr>
      <w:r>
        <w:t>Według danych z</w:t>
      </w:r>
      <w:r w:rsidRPr="00E26980">
        <w:t xml:space="preserve"> marc</w:t>
      </w:r>
      <w:r>
        <w:t>a</w:t>
      </w:r>
      <w:r w:rsidRPr="00E26980">
        <w:t xml:space="preserve"> 2021 r</w:t>
      </w:r>
      <w:r w:rsidR="00550CB7">
        <w:t>oku</w:t>
      </w:r>
      <w:r w:rsidRPr="00E26980">
        <w:t xml:space="preserve"> </w:t>
      </w:r>
      <w:r>
        <w:t>68</w:t>
      </w:r>
      <w:r w:rsidRPr="00E26980">
        <w:t xml:space="preserve">% pracowników </w:t>
      </w:r>
      <w:r>
        <w:t xml:space="preserve">sektora prywatnego </w:t>
      </w:r>
      <w:r w:rsidRPr="00E26980">
        <w:t>miało dostęp do planów emerytalnych tworzonych za pośrednictwem swojego pracodawcy, a 7</w:t>
      </w:r>
      <w:r>
        <w:t>5</w:t>
      </w:r>
      <w:r w:rsidRPr="00E26980">
        <w:t xml:space="preserve">% </w:t>
      </w:r>
      <w:r>
        <w:t xml:space="preserve">z nich </w:t>
      </w:r>
      <w:r w:rsidRPr="00E26980">
        <w:t>zdecydowało się</w:t>
      </w:r>
      <w:r w:rsidR="00F37EC2">
        <w:t> </w:t>
      </w:r>
      <w:r w:rsidRPr="00E26980">
        <w:t>na</w:t>
      </w:r>
      <w:r w:rsidR="00F37EC2">
        <w:t> </w:t>
      </w:r>
      <w:r w:rsidRPr="00E26980">
        <w:t xml:space="preserve">uczestnictwo w nim. Dostęp do planów ze zdefiniowaną składką – czyli m.in. programu 401(k) </w:t>
      </w:r>
      <w:r w:rsidR="00F35C56">
        <w:t>–</w:t>
      </w:r>
      <w:r w:rsidRPr="00E26980">
        <w:t xml:space="preserve"> miało 6</w:t>
      </w:r>
      <w:r>
        <w:t>5</w:t>
      </w:r>
      <w:r w:rsidRPr="00E26980">
        <w:t>% pracowników</w:t>
      </w:r>
      <w:r w:rsidR="00F40C40">
        <w:t>,</w:t>
      </w:r>
      <w:r w:rsidRPr="00E26980">
        <w:t xml:space="preserve"> </w:t>
      </w:r>
      <w:r w:rsidR="0035452C">
        <w:t>przy czym</w:t>
      </w:r>
      <w:r w:rsidRPr="00E26980">
        <w:t xml:space="preserve"> 7</w:t>
      </w:r>
      <w:r>
        <w:t>3</w:t>
      </w:r>
      <w:r w:rsidRPr="00E26980">
        <w:t>% z nich odprowadza do niego składki</w:t>
      </w:r>
      <w:r>
        <w:t>.</w:t>
      </w:r>
      <w:r w:rsidRPr="00E26980">
        <w:t xml:space="preserve"> </w:t>
      </w:r>
      <w:r>
        <w:t>W</w:t>
      </w:r>
      <w:r w:rsidRPr="00E26980">
        <w:t xml:space="preserve"> planach emerytalnych o</w:t>
      </w:r>
      <w:r w:rsidR="00CA7A79">
        <w:t> </w:t>
      </w:r>
      <w:r w:rsidRPr="00E26980">
        <w:t xml:space="preserve">zdefiniowanej składce </w:t>
      </w:r>
      <w:r>
        <w:t xml:space="preserve">uczestniczy </w:t>
      </w:r>
      <w:r w:rsidRPr="00E26980">
        <w:t>4</w:t>
      </w:r>
      <w:r>
        <w:t>7</w:t>
      </w:r>
      <w:r w:rsidRPr="00E26980">
        <w:t xml:space="preserve">% </w:t>
      </w:r>
      <w:r>
        <w:t>wszystkich pracowników sektora prywatnego w</w:t>
      </w:r>
      <w:r w:rsidRPr="00E26980">
        <w:t xml:space="preserve"> Stanach Zjednoczonych</w:t>
      </w:r>
      <w:r w:rsidRPr="00E26980">
        <w:rPr>
          <w:rStyle w:val="Odwoanieprzypisudolnego"/>
        </w:rPr>
        <w:footnoteReference w:id="26"/>
      </w:r>
      <w:r w:rsidR="00FE6826" w:rsidRPr="004B6D6C">
        <w:rPr>
          <w:vertAlign w:val="superscript"/>
        </w:rPr>
        <w:t>)</w:t>
      </w:r>
      <w:r w:rsidRPr="00E26980">
        <w:t>.</w:t>
      </w:r>
      <w:r>
        <w:t xml:space="preserve"> </w:t>
      </w:r>
      <w:r w:rsidRPr="00E26980">
        <w:t>Tradycja dodatkowego oszczędzania na emeryturę w zakładowy</w:t>
      </w:r>
      <w:r>
        <w:t>ch</w:t>
      </w:r>
      <w:r w:rsidRPr="00E26980">
        <w:t xml:space="preserve"> </w:t>
      </w:r>
      <w:r>
        <w:t xml:space="preserve">planach </w:t>
      </w:r>
      <w:r w:rsidRPr="00E26980">
        <w:t>emerytalny</w:t>
      </w:r>
      <w:r>
        <w:t>ch</w:t>
      </w:r>
      <w:r w:rsidRPr="00E26980">
        <w:t xml:space="preserve"> jest w USA dłuższa niż w Polsce. Program 401(k) funkcjonuje na rynku amerykańskim od</w:t>
      </w:r>
      <w:r w:rsidR="00F37EC2">
        <w:t> </w:t>
      </w:r>
      <w:r w:rsidRPr="00E26980">
        <w:t xml:space="preserve">ponad 40 lat, a mimo to </w:t>
      </w:r>
      <w:r>
        <w:t>wciąż wielu</w:t>
      </w:r>
      <w:r w:rsidRPr="00E26980">
        <w:t xml:space="preserve"> Amerykanów nie ma do takich programów dostępu.</w:t>
      </w:r>
    </w:p>
    <w:p w14:paraId="65306CFC" w14:textId="77777777" w:rsidR="00D0724C" w:rsidRDefault="00D0724C" w:rsidP="009D444E">
      <w:pPr>
        <w:spacing w:before="6" w:after="6" w:line="288" w:lineRule="auto"/>
        <w:jc w:val="both"/>
      </w:pPr>
    </w:p>
    <w:p w14:paraId="2B94BA9B" w14:textId="77777777" w:rsidR="00F45903" w:rsidRDefault="00F45903">
      <w:pPr>
        <w:rPr>
          <w:sz w:val="20"/>
          <w:szCs w:val="20"/>
        </w:rPr>
      </w:pPr>
      <w:bookmarkStart w:id="39" w:name="_Toc121826560"/>
      <w:r>
        <w:rPr>
          <w:sz w:val="20"/>
          <w:szCs w:val="20"/>
        </w:rPr>
        <w:br w:type="page"/>
      </w:r>
    </w:p>
    <w:p w14:paraId="0DD1E2E8" w14:textId="3642611F" w:rsidR="00D0724C" w:rsidRPr="00D0724C" w:rsidRDefault="00D0724C" w:rsidP="009D444E">
      <w:pPr>
        <w:spacing w:before="6" w:after="6" w:line="288" w:lineRule="auto"/>
        <w:jc w:val="both"/>
        <w:rPr>
          <w:sz w:val="20"/>
          <w:szCs w:val="20"/>
        </w:rPr>
      </w:pPr>
      <w:r w:rsidRPr="007D197F">
        <w:rPr>
          <w:sz w:val="20"/>
          <w:szCs w:val="20"/>
        </w:rPr>
        <w:lastRenderedPageBreak/>
        <w:t xml:space="preserve">Wykres </w:t>
      </w:r>
      <w:r>
        <w:rPr>
          <w:sz w:val="20"/>
          <w:szCs w:val="20"/>
        </w:rPr>
        <w:fldChar w:fldCharType="begin"/>
      </w:r>
      <w:r w:rsidRPr="00D0724C">
        <w:rPr>
          <w:sz w:val="20"/>
          <w:szCs w:val="20"/>
        </w:rPr>
        <w:instrText xml:space="preserve"> SEQ Wykres \* ARABIC </w:instrText>
      </w:r>
      <w:r>
        <w:rPr>
          <w:sz w:val="20"/>
          <w:szCs w:val="20"/>
        </w:rPr>
        <w:fldChar w:fldCharType="separate"/>
      </w:r>
      <w:r w:rsidR="001F2919">
        <w:rPr>
          <w:noProof/>
          <w:sz w:val="20"/>
          <w:szCs w:val="20"/>
        </w:rPr>
        <w:t>10</w:t>
      </w:r>
      <w:r>
        <w:rPr>
          <w:sz w:val="20"/>
          <w:szCs w:val="20"/>
        </w:rPr>
        <w:fldChar w:fldCharType="end"/>
      </w:r>
      <w:r w:rsidRPr="00D0724C">
        <w:rPr>
          <w:sz w:val="20"/>
          <w:szCs w:val="20"/>
        </w:rPr>
        <w:t xml:space="preserve"> </w:t>
      </w:r>
      <w:r w:rsidRPr="00D0724C">
        <w:rPr>
          <w:b/>
          <w:bCs/>
          <w:i/>
          <w:iCs/>
          <w:sz w:val="20"/>
          <w:szCs w:val="20"/>
        </w:rPr>
        <w:t>USA: aktywa w programie 401(k) w mld USD, dane na koniec okresu</w:t>
      </w:r>
      <w:bookmarkEnd w:id="39"/>
    </w:p>
    <w:p w14:paraId="47FA8C36" w14:textId="77777777" w:rsidR="007B3759" w:rsidRPr="000A212A" w:rsidRDefault="0067462E" w:rsidP="009D3EA2">
      <w:pPr>
        <w:spacing w:before="6" w:after="6" w:line="288" w:lineRule="auto"/>
        <w:jc w:val="both"/>
      </w:pPr>
      <w:r>
        <w:rPr>
          <w:noProof/>
          <w:lang w:eastAsia="pl-PL"/>
        </w:rPr>
        <w:drawing>
          <wp:inline distT="0" distB="0" distL="0" distR="0" wp14:anchorId="713178C4" wp14:editId="11F2F0AA">
            <wp:extent cx="5940000" cy="3060000"/>
            <wp:effectExtent l="0" t="0" r="3810" b="7620"/>
            <wp:docPr id="19" name="Wykres 19">
              <a:extLst xmlns:a="http://schemas.openxmlformats.org/drawingml/2006/main">
                <a:ext uri="{FF2B5EF4-FFF2-40B4-BE49-F238E27FC236}">
                  <a16:creationId xmlns:a16="http://schemas.microsoft.com/office/drawing/2014/main" id="{2E5F07EF-11DD-E001-762F-C826F5306D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793CDC" w:rsidRPr="000A212A">
        <w:rPr>
          <w:rFonts w:cstheme="minorHAnsi"/>
          <w:i/>
          <w:sz w:val="18"/>
          <w:szCs w:val="18"/>
        </w:rPr>
        <w:t>Ź</w:t>
      </w:r>
      <w:r w:rsidR="001251A8" w:rsidRPr="000A212A">
        <w:rPr>
          <w:rFonts w:cstheme="minorHAnsi"/>
          <w:i/>
          <w:sz w:val="18"/>
          <w:szCs w:val="18"/>
        </w:rPr>
        <w:t>ródło:</w:t>
      </w:r>
      <w:r w:rsidR="00CF57AB" w:rsidRPr="000A212A">
        <w:rPr>
          <w:rFonts w:cstheme="minorHAnsi"/>
          <w:i/>
          <w:sz w:val="18"/>
          <w:szCs w:val="18"/>
        </w:rPr>
        <w:t xml:space="preserve"> </w:t>
      </w:r>
      <w:r w:rsidR="00AE43A0" w:rsidRPr="000A212A">
        <w:rPr>
          <w:rFonts w:cstheme="minorHAnsi"/>
          <w:i/>
          <w:sz w:val="18"/>
          <w:szCs w:val="18"/>
        </w:rPr>
        <w:t xml:space="preserve">opracowanie PFR Portal PPK </w:t>
      </w:r>
      <w:r w:rsidR="000A212A" w:rsidRPr="000A212A">
        <w:rPr>
          <w:rFonts w:cstheme="minorHAnsi"/>
          <w:i/>
          <w:sz w:val="18"/>
          <w:szCs w:val="18"/>
        </w:rPr>
        <w:t>na podstawie</w:t>
      </w:r>
      <w:r w:rsidR="00F44146" w:rsidRPr="000A212A">
        <w:rPr>
          <w:rFonts w:cstheme="minorHAnsi"/>
          <w:i/>
          <w:sz w:val="18"/>
          <w:szCs w:val="18"/>
        </w:rPr>
        <w:t xml:space="preserve"> </w:t>
      </w:r>
      <w:r w:rsidR="0084556E" w:rsidRPr="000A212A">
        <w:rPr>
          <w:rFonts w:cstheme="minorHAnsi"/>
          <w:i/>
          <w:sz w:val="18"/>
          <w:szCs w:val="18"/>
        </w:rPr>
        <w:t>Investment Company Institute</w:t>
      </w:r>
      <w:r w:rsidR="009955DA" w:rsidRPr="000A212A">
        <w:rPr>
          <w:rFonts w:cstheme="minorHAnsi"/>
          <w:i/>
          <w:sz w:val="18"/>
          <w:szCs w:val="18"/>
        </w:rPr>
        <w:t xml:space="preserve"> </w:t>
      </w:r>
    </w:p>
    <w:p w14:paraId="71E1DAB7" w14:textId="77777777" w:rsidR="007B3759" w:rsidRPr="000A212A" w:rsidRDefault="007B3759" w:rsidP="009D3EA2">
      <w:pPr>
        <w:spacing w:before="6" w:after="6" w:line="288" w:lineRule="auto"/>
        <w:jc w:val="both"/>
      </w:pPr>
    </w:p>
    <w:p w14:paraId="00909C4A" w14:textId="6B490792" w:rsidR="007A1887" w:rsidRPr="00D0724C" w:rsidRDefault="007A1887" w:rsidP="007A1887">
      <w:pPr>
        <w:pStyle w:val="Legenda"/>
        <w:keepNext/>
        <w:jc w:val="both"/>
        <w:rPr>
          <w:b/>
          <w:i w:val="0"/>
          <w:color w:val="auto"/>
          <w:sz w:val="20"/>
          <w:szCs w:val="20"/>
        </w:rPr>
      </w:pPr>
      <w:bookmarkStart w:id="40" w:name="_Toc121826561"/>
      <w:r w:rsidRPr="00D0724C">
        <w:rPr>
          <w:color w:val="auto"/>
          <w:sz w:val="20"/>
          <w:szCs w:val="20"/>
        </w:rPr>
        <w:t xml:space="preserve">Wykres </w:t>
      </w:r>
      <w:r w:rsidRPr="00D0724C">
        <w:rPr>
          <w:color w:val="auto"/>
          <w:sz w:val="20"/>
          <w:szCs w:val="20"/>
        </w:rPr>
        <w:fldChar w:fldCharType="begin"/>
      </w:r>
      <w:r w:rsidRPr="00D0724C">
        <w:rPr>
          <w:color w:val="auto"/>
          <w:sz w:val="20"/>
          <w:szCs w:val="20"/>
        </w:rPr>
        <w:instrText xml:space="preserve"> SEQ Wykres \* ARABIC </w:instrText>
      </w:r>
      <w:r w:rsidRPr="00D0724C">
        <w:rPr>
          <w:color w:val="auto"/>
          <w:sz w:val="20"/>
          <w:szCs w:val="20"/>
        </w:rPr>
        <w:fldChar w:fldCharType="separate"/>
      </w:r>
      <w:r w:rsidR="001F2919">
        <w:rPr>
          <w:noProof/>
          <w:color w:val="auto"/>
          <w:sz w:val="20"/>
          <w:szCs w:val="20"/>
        </w:rPr>
        <w:t>11</w:t>
      </w:r>
      <w:r w:rsidRPr="00D0724C">
        <w:rPr>
          <w:color w:val="auto"/>
          <w:sz w:val="20"/>
          <w:szCs w:val="20"/>
        </w:rPr>
        <w:fldChar w:fldCharType="end"/>
      </w:r>
      <w:r w:rsidRPr="00D0724C">
        <w:rPr>
          <w:color w:val="auto"/>
          <w:sz w:val="20"/>
          <w:szCs w:val="20"/>
        </w:rPr>
        <w:t xml:space="preserve"> </w:t>
      </w:r>
      <w:r w:rsidRPr="00D0724C">
        <w:rPr>
          <w:b/>
          <w:i w:val="0"/>
          <w:color w:val="auto"/>
          <w:sz w:val="20"/>
          <w:szCs w:val="20"/>
        </w:rPr>
        <w:t>USA: partycypacja w systemie defined contribution</w:t>
      </w:r>
      <w:bookmarkEnd w:id="40"/>
    </w:p>
    <w:p w14:paraId="46C87576" w14:textId="77777777" w:rsidR="00172967" w:rsidRDefault="00CB1AAE" w:rsidP="009D3EA2">
      <w:pPr>
        <w:spacing w:before="6" w:after="6" w:line="288" w:lineRule="auto"/>
        <w:jc w:val="both"/>
      </w:pPr>
      <w:r>
        <w:rPr>
          <w:noProof/>
          <w:lang w:eastAsia="pl-PL"/>
        </w:rPr>
        <w:drawing>
          <wp:inline distT="0" distB="0" distL="0" distR="0" wp14:anchorId="30076E2B" wp14:editId="281A3B3E">
            <wp:extent cx="5940000" cy="3060000"/>
            <wp:effectExtent l="0" t="0" r="3810" b="7620"/>
            <wp:docPr id="7" name="Wykres 7">
              <a:extLst xmlns:a="http://schemas.openxmlformats.org/drawingml/2006/main">
                <a:ext uri="{FF2B5EF4-FFF2-40B4-BE49-F238E27FC236}">
                  <a16:creationId xmlns:a16="http://schemas.microsoft.com/office/drawing/2014/main" id="{AB738031-5F2B-42F2-8E5B-0BF8FA32A7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34EFAA6" w14:textId="77777777" w:rsidR="00F62F67" w:rsidRPr="009A6934" w:rsidRDefault="00EF4D1C" w:rsidP="009D3EA2">
      <w:pPr>
        <w:spacing w:before="6" w:after="6" w:line="288" w:lineRule="auto"/>
        <w:rPr>
          <w:i/>
          <w:sz w:val="20"/>
          <w:szCs w:val="20"/>
        </w:rPr>
      </w:pPr>
      <w:r w:rsidRPr="009A6934">
        <w:rPr>
          <w:i/>
          <w:sz w:val="18"/>
          <w:szCs w:val="18"/>
        </w:rPr>
        <w:t>Ź</w:t>
      </w:r>
      <w:r w:rsidR="00D925A7" w:rsidRPr="009A6934">
        <w:rPr>
          <w:i/>
          <w:sz w:val="18"/>
          <w:szCs w:val="18"/>
        </w:rPr>
        <w:t xml:space="preserve">ródło: </w:t>
      </w:r>
      <w:r w:rsidR="00983063" w:rsidRPr="009A6934">
        <w:rPr>
          <w:i/>
          <w:sz w:val="18"/>
          <w:szCs w:val="18"/>
        </w:rPr>
        <w:t>o</w:t>
      </w:r>
      <w:r w:rsidR="00AA0E13" w:rsidRPr="009A6934">
        <w:rPr>
          <w:i/>
          <w:sz w:val="18"/>
          <w:szCs w:val="18"/>
        </w:rPr>
        <w:t>pracowanie</w:t>
      </w:r>
      <w:r w:rsidR="0075541B" w:rsidRPr="009A6934">
        <w:rPr>
          <w:i/>
          <w:sz w:val="18"/>
          <w:szCs w:val="18"/>
        </w:rPr>
        <w:t xml:space="preserve"> </w:t>
      </w:r>
      <w:r w:rsidR="0075541B" w:rsidRPr="00B90762">
        <w:rPr>
          <w:i/>
          <w:sz w:val="18"/>
          <w:szCs w:val="18"/>
        </w:rPr>
        <w:t>PFR</w:t>
      </w:r>
      <w:r w:rsidR="00983063" w:rsidRPr="00B90762">
        <w:rPr>
          <w:i/>
          <w:sz w:val="18"/>
          <w:szCs w:val="18"/>
        </w:rPr>
        <w:t xml:space="preserve"> S.A</w:t>
      </w:r>
      <w:r w:rsidR="00FB3085" w:rsidRPr="00B90762">
        <w:rPr>
          <w:i/>
          <w:sz w:val="18"/>
          <w:szCs w:val="18"/>
        </w:rPr>
        <w:t>.</w:t>
      </w:r>
      <w:r w:rsidR="00AA0E13" w:rsidRPr="00B90762">
        <w:rPr>
          <w:i/>
          <w:sz w:val="18"/>
          <w:szCs w:val="18"/>
        </w:rPr>
        <w:t xml:space="preserve"> </w:t>
      </w:r>
      <w:r w:rsidR="00235E76" w:rsidRPr="00B90762">
        <w:rPr>
          <w:i/>
          <w:sz w:val="18"/>
          <w:szCs w:val="18"/>
        </w:rPr>
        <w:t>na podstawie</w:t>
      </w:r>
      <w:r w:rsidR="00AA0E13" w:rsidRPr="00B90762">
        <w:rPr>
          <w:i/>
          <w:sz w:val="18"/>
          <w:szCs w:val="18"/>
        </w:rPr>
        <w:t xml:space="preserve"> </w:t>
      </w:r>
      <w:r w:rsidR="00F96C5B" w:rsidRPr="00B90762">
        <w:rPr>
          <w:i/>
          <w:sz w:val="18"/>
          <w:szCs w:val="18"/>
        </w:rPr>
        <w:t>Bureau</w:t>
      </w:r>
      <w:r w:rsidR="00D925A7" w:rsidRPr="00B90762">
        <w:rPr>
          <w:i/>
          <w:sz w:val="18"/>
          <w:szCs w:val="18"/>
        </w:rPr>
        <w:t xml:space="preserve"> of Labor Statistics</w:t>
      </w:r>
      <w:r w:rsidR="00F62F67" w:rsidRPr="009A6934">
        <w:rPr>
          <w:i/>
          <w:sz w:val="18"/>
          <w:szCs w:val="18"/>
        </w:rPr>
        <w:t xml:space="preserve">. </w:t>
      </w:r>
    </w:p>
    <w:p w14:paraId="57F27BE2" w14:textId="77777777" w:rsidR="003B060C" w:rsidRPr="009A6934" w:rsidRDefault="003B060C" w:rsidP="009D3EA2">
      <w:pPr>
        <w:spacing w:before="6" w:after="6" w:line="288" w:lineRule="auto"/>
        <w:jc w:val="both"/>
        <w:rPr>
          <w:b/>
        </w:rPr>
      </w:pPr>
    </w:p>
    <w:p w14:paraId="0C87752E" w14:textId="77777777" w:rsidR="004F2940" w:rsidRPr="00E26980" w:rsidRDefault="004F2940">
      <w:pPr>
        <w:pStyle w:val="Nagwek4"/>
        <w:numPr>
          <w:ilvl w:val="2"/>
          <w:numId w:val="23"/>
        </w:numPr>
        <w:spacing w:before="6" w:after="6" w:line="288" w:lineRule="auto"/>
        <w:jc w:val="both"/>
      </w:pPr>
      <w:r w:rsidRPr="00E26980">
        <w:t>Nowa Zelandia</w:t>
      </w:r>
    </w:p>
    <w:p w14:paraId="43A724A7" w14:textId="72E1A606" w:rsidR="004F2940" w:rsidRPr="00E26980" w:rsidRDefault="004F2940" w:rsidP="009D3EA2">
      <w:pPr>
        <w:spacing w:before="6" w:after="6" w:line="288" w:lineRule="auto"/>
        <w:jc w:val="both"/>
      </w:pPr>
      <w:r w:rsidRPr="00E26980">
        <w:t>KiwiSaver to pierwszy na świecie (wprowadzony na skalę krajową) program oszczędzania oparty na</w:t>
      </w:r>
      <w:r w:rsidR="00C84DC2">
        <w:t> </w:t>
      </w:r>
      <w:r w:rsidRPr="00E26980">
        <w:t>automatyczn</w:t>
      </w:r>
      <w:r>
        <w:t xml:space="preserve">ym </w:t>
      </w:r>
      <w:r w:rsidRPr="00E26980">
        <w:t>zapi</w:t>
      </w:r>
      <w:r>
        <w:t>sie</w:t>
      </w:r>
      <w:r w:rsidRPr="00E26980">
        <w:t>. Program szybko stał się dominującym sposobem oszczędzania na</w:t>
      </w:r>
      <w:r w:rsidR="00C84DC2">
        <w:t> </w:t>
      </w:r>
      <w:r w:rsidRPr="00E26980">
        <w:t xml:space="preserve">emeryturę </w:t>
      </w:r>
      <w:r>
        <w:t xml:space="preserve">mieszkańców </w:t>
      </w:r>
      <w:r w:rsidRPr="00E26980">
        <w:t xml:space="preserve">Nowej Zelandii – nie jest on </w:t>
      </w:r>
      <w:r>
        <w:t xml:space="preserve">bowiem </w:t>
      </w:r>
      <w:r w:rsidRPr="00E26980">
        <w:t>częścią większego systemu prywatnych oszczędności emerytalnych</w:t>
      </w:r>
      <w:r w:rsidR="003009C5">
        <w:t>,</w:t>
      </w:r>
      <w:r w:rsidRPr="00E26980">
        <w:t xml:space="preserve"> ale stanowi </w:t>
      </w:r>
      <w:r>
        <w:t>ogólnokrajowy</w:t>
      </w:r>
      <w:r w:rsidRPr="00E26980">
        <w:t xml:space="preserve"> system oszczędzania</w:t>
      </w:r>
      <w:r>
        <w:t>, który</w:t>
      </w:r>
      <w:r w:rsidR="00C84DC2">
        <w:t> </w:t>
      </w:r>
      <w:r>
        <w:t xml:space="preserve">oferuje uczestnictwo zarówno w </w:t>
      </w:r>
      <w:r w:rsidRPr="00E26980">
        <w:t>formie grupowej</w:t>
      </w:r>
      <w:r w:rsidR="003009C5">
        <w:t>,</w:t>
      </w:r>
      <w:r w:rsidRPr="00E26980">
        <w:t xml:space="preserve"> jak i indywidualnej. Mogą w nim oszczędzać mieszkańcy Nowej Zelandii w każdym wieku</w:t>
      </w:r>
      <w:r>
        <w:t xml:space="preserve"> i</w:t>
      </w:r>
      <w:r w:rsidRPr="00E26980">
        <w:t xml:space="preserve"> bez względu na to, czy pracują</w:t>
      </w:r>
      <w:r w:rsidR="00633CEC">
        <w:t>,</w:t>
      </w:r>
      <w:r w:rsidRPr="00E26980">
        <w:t xml:space="preserve"> czy nie.</w:t>
      </w:r>
    </w:p>
    <w:p w14:paraId="7E35E452" w14:textId="303060E0" w:rsidR="004F2940" w:rsidRPr="00E26980" w:rsidRDefault="004F2940" w:rsidP="009D3EA2">
      <w:pPr>
        <w:spacing w:before="6" w:after="6" w:line="288" w:lineRule="auto"/>
        <w:jc w:val="both"/>
      </w:pPr>
      <w:r w:rsidRPr="00E26980">
        <w:rPr>
          <w:rFonts w:ascii="DiodrumW03-Medium" w:hAnsi="DiodrumW03-Medium"/>
        </w:rPr>
        <w:lastRenderedPageBreak/>
        <w:t>We wprowadzonym w 2007 r</w:t>
      </w:r>
      <w:r w:rsidR="004B5D43">
        <w:rPr>
          <w:rFonts w:ascii="DiodrumW03-Medium" w:hAnsi="DiodrumW03-Medium"/>
        </w:rPr>
        <w:t>oku</w:t>
      </w:r>
      <w:r w:rsidRPr="00E26980">
        <w:rPr>
          <w:rFonts w:ascii="DiodrumW03-Medium" w:hAnsi="DiodrumW03-Medium"/>
        </w:rPr>
        <w:t xml:space="preserve"> programie </w:t>
      </w:r>
      <w:r w:rsidRPr="00E26980">
        <w:t>KiwiSaver</w:t>
      </w:r>
      <w:r w:rsidRPr="00E26980">
        <w:rPr>
          <w:rFonts w:ascii="DiodrumW03-Medium" w:hAnsi="DiodrumW03-Medium"/>
        </w:rPr>
        <w:t xml:space="preserve"> automatyczny zapis dotyczy pracowników, którzy ukończyli 18. rok życia, ale nie ukończyli 65. roku życia. Osoby, których nie obejmuje automatyczny zapis</w:t>
      </w:r>
      <w:r w:rsidR="007F28FB">
        <w:rPr>
          <w:rFonts w:ascii="DiodrumW03-Medium" w:hAnsi="DiodrumW03-Medium"/>
        </w:rPr>
        <w:t>,</w:t>
      </w:r>
      <w:r w:rsidRPr="00E26980">
        <w:rPr>
          <w:rFonts w:ascii="DiodrumW03-Medium" w:hAnsi="DiodrumW03-Medium"/>
        </w:rPr>
        <w:t xml:space="preserve"> mogą przystąpić do programu dobrowolnie.</w:t>
      </w:r>
      <w:r w:rsidRPr="00E26980">
        <w:t xml:space="preserve"> </w:t>
      </w:r>
      <w:r w:rsidRPr="00E26980">
        <w:rPr>
          <w:rFonts w:ascii="DiodrumW03-Medium" w:hAnsi="DiodrumW03-Medium"/>
        </w:rPr>
        <w:t>Prawo do rezygnacji mają je</w:t>
      </w:r>
      <w:r w:rsidR="00BE58AC">
        <w:rPr>
          <w:rFonts w:ascii="DiodrumW03-Medium" w:hAnsi="DiodrumW03-Medium"/>
        </w:rPr>
        <w:t>dynie pracow</w:t>
      </w:r>
      <w:r w:rsidRPr="00E26980">
        <w:rPr>
          <w:rFonts w:ascii="DiodrumW03-Medium" w:hAnsi="DiodrumW03-Medium"/>
        </w:rPr>
        <w:t>nicy automatycznie do niego zapisani. Rezygnację mogą złożyć między 14</w:t>
      </w:r>
      <w:r w:rsidR="007F28FB">
        <w:rPr>
          <w:rFonts w:ascii="DiodrumW03-Medium" w:hAnsi="DiodrumW03-Medium"/>
        </w:rPr>
        <w:t>.</w:t>
      </w:r>
      <w:r w:rsidRPr="00E26980">
        <w:rPr>
          <w:rFonts w:ascii="DiodrumW03-Medium" w:hAnsi="DiodrumW03-Medium"/>
        </w:rPr>
        <w:t xml:space="preserve"> a 56</w:t>
      </w:r>
      <w:r w:rsidR="007F28FB">
        <w:rPr>
          <w:rFonts w:ascii="DiodrumW03-Medium" w:hAnsi="DiodrumW03-Medium"/>
        </w:rPr>
        <w:t>.</w:t>
      </w:r>
      <w:r w:rsidRPr="00E26980">
        <w:rPr>
          <w:rFonts w:ascii="DiodrumW03-Medium" w:hAnsi="DiodrumW03-Medium"/>
        </w:rPr>
        <w:t xml:space="preserve"> dniem od</w:t>
      </w:r>
      <w:r w:rsidR="00BE58AC">
        <w:rPr>
          <w:rFonts w:ascii="DiodrumW03-Medium" w:hAnsi="DiodrumW03-Medium"/>
        </w:rPr>
        <w:t> rozpoczęcia pracy. Ponadto</w:t>
      </w:r>
      <w:r w:rsidRPr="00E26980">
        <w:rPr>
          <w:rFonts w:ascii="DiodrumW03-Medium" w:hAnsi="DiodrumW03-Medium"/>
        </w:rPr>
        <w:t xml:space="preserve"> możliwe jest okresowe zawieszenie dokonywania wpłat. Takie zawieszenie może trwać od 3 do 12 miesięcy i można o nie wystąpić po roku oszczędzania. Minimalna wpłata dla pracodawcy to 3% wynagrodzenia brutto pracownika, a pracownik może przekazywać </w:t>
      </w:r>
      <w:r w:rsidR="00BE58AC">
        <w:rPr>
          <w:rFonts w:ascii="DiodrumW03-Medium" w:hAnsi="DiodrumW03-Medium"/>
        </w:rPr>
        <w:t>3, 4, 6, 8 lub 10% swojego wyna</w:t>
      </w:r>
      <w:r w:rsidRPr="00E26980">
        <w:rPr>
          <w:rFonts w:ascii="DiodrumW03-Medium" w:hAnsi="DiodrumW03-Medium"/>
        </w:rPr>
        <w:t xml:space="preserve">grodzenia brutto. </w:t>
      </w:r>
      <w:bookmarkStart w:id="41" w:name="_Hlk36563187"/>
      <w:r w:rsidRPr="00E26980">
        <w:rPr>
          <w:rFonts w:ascii="DiodrumW03-Medium" w:hAnsi="DiodrumW03-Medium"/>
        </w:rPr>
        <w:t xml:space="preserve">Pracownik ma również możliwość odprowadzania wpłat dodatkowych. Państwo zachęca do udziału w programie dopłatami rocznymi. </w:t>
      </w:r>
    </w:p>
    <w:bookmarkEnd w:id="41"/>
    <w:p w14:paraId="74850CD4" w14:textId="77777777" w:rsidR="004F2940" w:rsidRPr="00E26980" w:rsidRDefault="004F2940" w:rsidP="00BD41C3">
      <w:pPr>
        <w:autoSpaceDE w:val="0"/>
        <w:autoSpaceDN w:val="0"/>
        <w:spacing w:before="6" w:after="6" w:line="288" w:lineRule="auto"/>
        <w:jc w:val="both"/>
        <w:rPr>
          <w:rFonts w:ascii="DiodrumW03-Medium" w:hAnsi="DiodrumW03-Medium"/>
        </w:rPr>
      </w:pPr>
      <w:r w:rsidRPr="00E26980">
        <w:rPr>
          <w:rFonts w:ascii="DiodrumW03-Medium" w:hAnsi="DiodrumW03-Medium"/>
        </w:rPr>
        <w:t>Wypłata środków przed ukończeniem 65</w:t>
      </w:r>
      <w:r w:rsidR="00F1097F">
        <w:rPr>
          <w:rFonts w:ascii="DiodrumW03-Medium" w:hAnsi="DiodrumW03-Medium"/>
        </w:rPr>
        <w:t>.</w:t>
      </w:r>
      <w:r w:rsidRPr="00E26980">
        <w:rPr>
          <w:rFonts w:ascii="DiodrumW03-Medium" w:hAnsi="DiodrumW03-Medium"/>
        </w:rPr>
        <w:t xml:space="preserve"> roku życia możliwa jest w sytuacji poważnej choroby uczestnika, trudności finansowych albo stałej emigracji. Program pozwala również na wypłatę części środków na zakup pierwszego domu lub mieszkania.</w:t>
      </w:r>
    </w:p>
    <w:p w14:paraId="2F4A28B6" w14:textId="116EA3DA" w:rsidR="004F2940" w:rsidRDefault="004F2940" w:rsidP="00BD41C3">
      <w:pPr>
        <w:autoSpaceDE w:val="0"/>
        <w:autoSpaceDN w:val="0"/>
        <w:spacing w:before="6" w:after="6" w:line="288" w:lineRule="auto"/>
        <w:jc w:val="both"/>
        <w:rPr>
          <w:rFonts w:ascii="DiodrumW03-Medium" w:hAnsi="DiodrumW03-Medium"/>
        </w:rPr>
      </w:pPr>
      <w:r w:rsidRPr="00E26980">
        <w:rPr>
          <w:rFonts w:ascii="DiodrumW03-Medium" w:hAnsi="DiodrumW03-Medium"/>
        </w:rPr>
        <w:t xml:space="preserve">Rok po wprowadzeniu programu </w:t>
      </w:r>
      <w:r>
        <w:rPr>
          <w:rFonts w:ascii="DiodrumW03-Medium" w:hAnsi="DiodrumW03-Medium"/>
        </w:rPr>
        <w:t xml:space="preserve">w </w:t>
      </w:r>
      <w:r w:rsidRPr="00E26980">
        <w:rPr>
          <w:rFonts w:ascii="DiodrumW03-Medium" w:hAnsi="DiodrumW03-Medium"/>
        </w:rPr>
        <w:t xml:space="preserve">KiwiSaver </w:t>
      </w:r>
      <w:r>
        <w:rPr>
          <w:rFonts w:ascii="DiodrumW03-Medium" w:hAnsi="DiodrumW03-Medium"/>
        </w:rPr>
        <w:t xml:space="preserve">uczestniczyło </w:t>
      </w:r>
      <w:r w:rsidRPr="00E26980">
        <w:rPr>
          <w:rFonts w:ascii="DiodrumW03-Medium" w:hAnsi="DiodrumW03-Medium"/>
        </w:rPr>
        <w:t>23,7% osób w wieku 18</w:t>
      </w:r>
      <w:r w:rsidR="00F35C56">
        <w:rPr>
          <w:rFonts w:ascii="DiodrumW03-Medium" w:hAnsi="DiodrumW03-Medium"/>
        </w:rPr>
        <w:t>–</w:t>
      </w:r>
      <w:r w:rsidRPr="00E26980">
        <w:rPr>
          <w:rFonts w:ascii="DiodrumW03-Medium" w:hAnsi="DiodrumW03-Medium"/>
        </w:rPr>
        <w:t>64 lat, do</w:t>
      </w:r>
      <w:r w:rsidR="00BE58AC">
        <w:rPr>
          <w:rFonts w:ascii="DiodrumW03-Medium" w:hAnsi="DiodrumW03-Medium"/>
        </w:rPr>
        <w:t> </w:t>
      </w:r>
      <w:r w:rsidRPr="00E26980">
        <w:rPr>
          <w:rFonts w:ascii="DiodrumW03-Medium" w:hAnsi="DiodrumW03-Medium"/>
        </w:rPr>
        <w:t>2015</w:t>
      </w:r>
      <w:r w:rsidR="00DE207C">
        <w:rPr>
          <w:rFonts w:ascii="DiodrumW03-Medium" w:hAnsi="DiodrumW03-Medium"/>
        </w:rPr>
        <w:t> </w:t>
      </w:r>
      <w:r w:rsidRPr="00E26980">
        <w:rPr>
          <w:rFonts w:ascii="DiodrumW03-Medium" w:hAnsi="DiodrumW03-Medium"/>
        </w:rPr>
        <w:t>roku liczba ta wzrosła do 76,5%, a wskaźnik rezygnacji wyniósł zaledwie 9,3%</w:t>
      </w:r>
      <w:r w:rsidRPr="00E26980">
        <w:rPr>
          <w:rStyle w:val="Odwoanieprzypisudolnego"/>
          <w:rFonts w:ascii="DiodrumW03-Medium" w:hAnsi="DiodrumW03-Medium"/>
        </w:rPr>
        <w:footnoteReference w:id="27"/>
      </w:r>
      <w:r w:rsidR="00FE6826" w:rsidRPr="004B6D6C">
        <w:rPr>
          <w:rFonts w:ascii="DiodrumW03-Medium" w:hAnsi="DiodrumW03-Medium"/>
          <w:vertAlign w:val="superscript"/>
        </w:rPr>
        <w:t>)</w:t>
      </w:r>
      <w:r w:rsidRPr="00E26980">
        <w:rPr>
          <w:rFonts w:ascii="DiodrumW03-Medium" w:hAnsi="DiodrumW03-Medium"/>
        </w:rPr>
        <w:t>. Biorąc pod uwagę dane z czerwca 2021 r</w:t>
      </w:r>
      <w:r w:rsidR="0070536F">
        <w:rPr>
          <w:rFonts w:ascii="DiodrumW03-Medium" w:hAnsi="DiodrumW03-Medium"/>
        </w:rPr>
        <w:t>oku</w:t>
      </w:r>
      <w:r w:rsidR="006161D1">
        <w:rPr>
          <w:rFonts w:ascii="DiodrumW03-Medium" w:hAnsi="DiodrumW03-Medium"/>
        </w:rPr>
        <w:t>,</w:t>
      </w:r>
      <w:r w:rsidRPr="00E26980">
        <w:rPr>
          <w:rFonts w:ascii="DiodrumW03-Medium" w:hAnsi="DiodrumW03-Medium"/>
        </w:rPr>
        <w:t xml:space="preserve"> partycypacja w programie KiwiSaver wynosiła 61%. Licząc wskaźnik uczestnictwa w tym programie</w:t>
      </w:r>
      <w:r w:rsidR="007804A2">
        <w:rPr>
          <w:rFonts w:ascii="DiodrumW03-Medium" w:hAnsi="DiodrumW03-Medium"/>
        </w:rPr>
        <w:t>,</w:t>
      </w:r>
      <w:r w:rsidRPr="00E26980">
        <w:rPr>
          <w:rFonts w:ascii="DiodrumW03-Medium" w:hAnsi="DiodrumW03-Medium"/>
        </w:rPr>
        <w:t xml:space="preserve"> należy wziąć </w:t>
      </w:r>
      <w:r>
        <w:rPr>
          <w:rFonts w:ascii="DiodrumW03-Medium" w:hAnsi="DiodrumW03-Medium"/>
        </w:rPr>
        <w:t xml:space="preserve">pod uwagę </w:t>
      </w:r>
      <w:r w:rsidRPr="00E26980">
        <w:rPr>
          <w:rFonts w:ascii="DiodrumW03-Medium" w:hAnsi="DiodrumW03-Medium"/>
        </w:rPr>
        <w:t>całą populację tego kraju, do program</w:t>
      </w:r>
      <w:r>
        <w:rPr>
          <w:rFonts w:ascii="DiodrumW03-Medium" w:hAnsi="DiodrumW03-Medium"/>
        </w:rPr>
        <w:t>u</w:t>
      </w:r>
      <w:r w:rsidRPr="00E26980">
        <w:rPr>
          <w:rFonts w:ascii="DiodrumW03-Medium" w:hAnsi="DiodrumW03-Medium"/>
        </w:rPr>
        <w:t xml:space="preserve"> mogą bowiem przystąpić zarówno osoby małoletnie (za zgodą rodziców)</w:t>
      </w:r>
      <w:r w:rsidR="007804A2">
        <w:rPr>
          <w:rFonts w:ascii="DiodrumW03-Medium" w:hAnsi="DiodrumW03-Medium"/>
        </w:rPr>
        <w:t>,</w:t>
      </w:r>
      <w:r w:rsidRPr="00E26980">
        <w:rPr>
          <w:rFonts w:ascii="DiodrumW03-Medium" w:hAnsi="DiodrumW03-Medium"/>
        </w:rPr>
        <w:t xml:space="preserve"> jak i osoby powyżej 65</w:t>
      </w:r>
      <w:r w:rsidR="007804A2">
        <w:rPr>
          <w:rFonts w:ascii="DiodrumW03-Medium" w:hAnsi="DiodrumW03-Medium"/>
        </w:rPr>
        <w:t>.</w:t>
      </w:r>
      <w:r w:rsidRPr="00E26980">
        <w:rPr>
          <w:rFonts w:ascii="DiodrumW03-Medium" w:hAnsi="DiodrumW03-Medium"/>
        </w:rPr>
        <w:t xml:space="preserve"> roku życia. Z ok</w:t>
      </w:r>
      <w:r w:rsidR="0001169B">
        <w:rPr>
          <w:rFonts w:ascii="DiodrumW03-Medium" w:hAnsi="DiodrumW03-Medium"/>
        </w:rPr>
        <w:t>.</w:t>
      </w:r>
      <w:r w:rsidRPr="00E26980">
        <w:rPr>
          <w:rFonts w:ascii="DiodrumW03-Medium" w:hAnsi="DiodrumW03-Medium"/>
        </w:rPr>
        <w:t xml:space="preserve"> 1,2 mln osób poniżej 18</w:t>
      </w:r>
      <w:r w:rsidR="007804A2">
        <w:rPr>
          <w:rFonts w:ascii="DiodrumW03-Medium" w:hAnsi="DiodrumW03-Medium"/>
        </w:rPr>
        <w:t>.</w:t>
      </w:r>
      <w:r w:rsidRPr="00E26980">
        <w:rPr>
          <w:rFonts w:ascii="DiodrumW03-Medium" w:hAnsi="DiodrumW03-Medium"/>
        </w:rPr>
        <w:t xml:space="preserve"> roku życia</w:t>
      </w:r>
      <w:r>
        <w:rPr>
          <w:rFonts w:ascii="DiodrumW03-Medium" w:hAnsi="DiodrumW03-Medium"/>
        </w:rPr>
        <w:t xml:space="preserve">, </w:t>
      </w:r>
      <w:r w:rsidRPr="00E26980">
        <w:rPr>
          <w:rFonts w:ascii="DiodrumW03-Medium" w:hAnsi="DiodrumW03-Medium"/>
        </w:rPr>
        <w:t>w 2021 r</w:t>
      </w:r>
      <w:r w:rsidR="00C1676D">
        <w:rPr>
          <w:rFonts w:ascii="DiodrumW03-Medium" w:hAnsi="DiodrumW03-Medium"/>
        </w:rPr>
        <w:t>oku</w:t>
      </w:r>
      <w:r w:rsidRPr="00E26980">
        <w:rPr>
          <w:rFonts w:ascii="DiodrumW03-Medium" w:hAnsi="DiodrumW03-Medium"/>
        </w:rPr>
        <w:t xml:space="preserve"> w KiwiSaver uczestniczyło 255,5 tys., </w:t>
      </w:r>
      <w:r>
        <w:rPr>
          <w:rFonts w:ascii="DiodrumW03-Medium" w:hAnsi="DiodrumW03-Medium"/>
        </w:rPr>
        <w:t>a</w:t>
      </w:r>
      <w:r w:rsidR="00BE58AC">
        <w:rPr>
          <w:rFonts w:ascii="DiodrumW03-Medium" w:hAnsi="DiodrumW03-Medium"/>
        </w:rPr>
        <w:t> </w:t>
      </w:r>
      <w:r w:rsidRPr="00E26980">
        <w:rPr>
          <w:rFonts w:ascii="DiodrumW03-Medium" w:hAnsi="DiodrumW03-Medium"/>
        </w:rPr>
        <w:t>z</w:t>
      </w:r>
      <w:r w:rsidR="00BE58AC">
        <w:rPr>
          <w:rFonts w:ascii="DiodrumW03-Medium" w:hAnsi="DiodrumW03-Medium"/>
        </w:rPr>
        <w:t> </w:t>
      </w:r>
      <w:r w:rsidRPr="00E26980">
        <w:rPr>
          <w:rFonts w:ascii="DiodrumW03-Medium" w:hAnsi="DiodrumW03-Medium"/>
        </w:rPr>
        <w:t>ok.</w:t>
      </w:r>
      <w:r w:rsidR="00BE58AC">
        <w:rPr>
          <w:rFonts w:ascii="DiodrumW03-Medium" w:hAnsi="DiodrumW03-Medium"/>
        </w:rPr>
        <w:t> </w:t>
      </w:r>
      <w:r w:rsidRPr="00E26980">
        <w:rPr>
          <w:rFonts w:ascii="DiodrumW03-Medium" w:hAnsi="DiodrumW03-Medium"/>
        </w:rPr>
        <w:t>800</w:t>
      </w:r>
      <w:r w:rsidR="00F45903">
        <w:rPr>
          <w:rFonts w:ascii="DiodrumW03-Medium" w:hAnsi="DiodrumW03-Medium"/>
        </w:rPr>
        <w:t> </w:t>
      </w:r>
      <w:r w:rsidRPr="00E26980">
        <w:rPr>
          <w:rFonts w:ascii="DiodrumW03-Medium" w:hAnsi="DiodrumW03-Medium"/>
        </w:rPr>
        <w:t>tys. osób powyżej 64</w:t>
      </w:r>
      <w:r w:rsidR="007804A2">
        <w:rPr>
          <w:rFonts w:ascii="DiodrumW03-Medium" w:hAnsi="DiodrumW03-Medium"/>
        </w:rPr>
        <w:t>.</w:t>
      </w:r>
      <w:r w:rsidRPr="00E26980">
        <w:rPr>
          <w:rFonts w:ascii="DiodrumW03-Medium" w:hAnsi="DiodrumW03-Medium"/>
        </w:rPr>
        <w:t xml:space="preserve"> r</w:t>
      </w:r>
      <w:r w:rsidR="007804A2">
        <w:rPr>
          <w:rFonts w:ascii="DiodrumW03-Medium" w:hAnsi="DiodrumW03-Medium"/>
        </w:rPr>
        <w:t>oku życia</w:t>
      </w:r>
      <w:r w:rsidRPr="00E26980">
        <w:rPr>
          <w:rFonts w:ascii="DiodrumW03-Medium" w:hAnsi="DiodrumW03-Medium"/>
        </w:rPr>
        <w:t xml:space="preserve"> </w:t>
      </w:r>
      <w:r>
        <w:rPr>
          <w:rFonts w:ascii="DiodrumW03-Medium" w:hAnsi="DiodrumW03-Medium"/>
        </w:rPr>
        <w:t xml:space="preserve">w KiwiSaver oszczędzało </w:t>
      </w:r>
      <w:r w:rsidRPr="00E26980">
        <w:rPr>
          <w:rFonts w:ascii="DiodrumW03-Medium" w:hAnsi="DiodrumW03-Medium"/>
        </w:rPr>
        <w:t xml:space="preserve">powyżej 180 tys. osób. Gdyby </w:t>
      </w:r>
      <w:r>
        <w:rPr>
          <w:rFonts w:ascii="DiodrumW03-Medium" w:hAnsi="DiodrumW03-Medium"/>
        </w:rPr>
        <w:t>przy</w:t>
      </w:r>
      <w:r w:rsidR="00BE58AC">
        <w:rPr>
          <w:rFonts w:ascii="DiodrumW03-Medium" w:hAnsi="DiodrumW03-Medium"/>
        </w:rPr>
        <w:t> </w:t>
      </w:r>
      <w:r>
        <w:rPr>
          <w:rFonts w:ascii="DiodrumW03-Medium" w:hAnsi="DiodrumW03-Medium"/>
        </w:rPr>
        <w:t xml:space="preserve">liczeniu wskaźnika uczestnictwa </w:t>
      </w:r>
      <w:r w:rsidRPr="00E26980">
        <w:rPr>
          <w:rFonts w:ascii="DiodrumW03-Medium" w:hAnsi="DiodrumW03-Medium"/>
        </w:rPr>
        <w:t>uwzględnić tylko osoby w wieku 18</w:t>
      </w:r>
      <w:r w:rsidR="00F35C56">
        <w:rPr>
          <w:rFonts w:ascii="DiodrumW03-Medium" w:hAnsi="DiodrumW03-Medium"/>
        </w:rPr>
        <w:t>–</w:t>
      </w:r>
      <w:r w:rsidRPr="00E26980">
        <w:rPr>
          <w:rFonts w:ascii="DiodrumW03-Medium" w:hAnsi="DiodrumW03-Medium"/>
        </w:rPr>
        <w:t>64</w:t>
      </w:r>
      <w:r w:rsidR="00A553E9">
        <w:rPr>
          <w:rFonts w:ascii="DiodrumW03-Medium" w:hAnsi="DiodrumW03-Medium"/>
        </w:rPr>
        <w:t>,</w:t>
      </w:r>
      <w:r w:rsidRPr="00E26980">
        <w:rPr>
          <w:rFonts w:ascii="DiodrumW03-Medium" w:hAnsi="DiodrumW03-Medium"/>
        </w:rPr>
        <w:t xml:space="preserve"> to partycypacja w</w:t>
      </w:r>
      <w:r w:rsidR="00BE58AC">
        <w:rPr>
          <w:rFonts w:ascii="DiodrumW03-Medium" w:hAnsi="DiodrumW03-Medium"/>
        </w:rPr>
        <w:t> </w:t>
      </w:r>
      <w:r w:rsidRPr="00E26980">
        <w:rPr>
          <w:rFonts w:ascii="DiodrumW03-Medium" w:hAnsi="DiodrumW03-Medium"/>
        </w:rPr>
        <w:t xml:space="preserve">programie KiwiSaver </w:t>
      </w:r>
      <w:r>
        <w:rPr>
          <w:rFonts w:ascii="DiodrumW03-Medium" w:hAnsi="DiodrumW03-Medium"/>
        </w:rPr>
        <w:t>wynosiłaby</w:t>
      </w:r>
      <w:r w:rsidRPr="00E26980">
        <w:rPr>
          <w:rFonts w:ascii="DiodrumW03-Medium" w:hAnsi="DiodrumW03-Medium"/>
        </w:rPr>
        <w:t xml:space="preserve"> w 2021 r</w:t>
      </w:r>
      <w:r w:rsidR="0070536F">
        <w:rPr>
          <w:rFonts w:ascii="DiodrumW03-Medium" w:hAnsi="DiodrumW03-Medium"/>
        </w:rPr>
        <w:t>oku</w:t>
      </w:r>
      <w:r w:rsidRPr="00E26980">
        <w:rPr>
          <w:rFonts w:ascii="DiodrumW03-Medium" w:hAnsi="DiodrumW03-Medium"/>
        </w:rPr>
        <w:t xml:space="preserve"> ponad 80%</w:t>
      </w:r>
      <w:r w:rsidRPr="00E26980">
        <w:rPr>
          <w:rStyle w:val="Odwoanieprzypisudolnego"/>
          <w:rFonts w:ascii="DiodrumW03-Medium" w:hAnsi="DiodrumW03-Medium"/>
        </w:rPr>
        <w:footnoteReference w:id="28"/>
      </w:r>
      <w:r w:rsidR="00FE6826" w:rsidRPr="004B6D6C">
        <w:rPr>
          <w:rFonts w:ascii="DiodrumW03-Medium" w:hAnsi="DiodrumW03-Medium"/>
          <w:vertAlign w:val="superscript"/>
        </w:rPr>
        <w:t>)</w:t>
      </w:r>
      <w:r w:rsidRPr="00E26980">
        <w:rPr>
          <w:rFonts w:ascii="DiodrumW03-Medium" w:hAnsi="DiodrumW03-Medium"/>
        </w:rPr>
        <w:t>.</w:t>
      </w:r>
    </w:p>
    <w:p w14:paraId="4B08A628" w14:textId="77777777" w:rsidR="00EC7489" w:rsidRPr="00E26980" w:rsidRDefault="00EC7489" w:rsidP="00DE763E">
      <w:pPr>
        <w:autoSpaceDE w:val="0"/>
        <w:autoSpaceDN w:val="0"/>
        <w:spacing w:before="6" w:after="6" w:line="288" w:lineRule="auto"/>
        <w:jc w:val="both"/>
        <w:rPr>
          <w:rFonts w:ascii="DiodrumW03-Medium" w:hAnsi="DiodrumW03-Medium"/>
        </w:rPr>
      </w:pPr>
    </w:p>
    <w:p w14:paraId="25DB36C8" w14:textId="10F1B197" w:rsidR="00634F0E" w:rsidRPr="00D0724C" w:rsidRDefault="00634F0E" w:rsidP="00634F0E">
      <w:pPr>
        <w:pStyle w:val="Legenda"/>
        <w:keepNext/>
        <w:jc w:val="both"/>
        <w:rPr>
          <w:color w:val="auto"/>
          <w:sz w:val="20"/>
          <w:szCs w:val="20"/>
        </w:rPr>
      </w:pPr>
      <w:bookmarkStart w:id="42" w:name="_Toc121826562"/>
      <w:r w:rsidRPr="00D0724C">
        <w:rPr>
          <w:color w:val="auto"/>
          <w:sz w:val="20"/>
          <w:szCs w:val="20"/>
        </w:rPr>
        <w:lastRenderedPageBreak/>
        <w:t xml:space="preserve">Wykres </w:t>
      </w:r>
      <w:r w:rsidRPr="00D0724C">
        <w:rPr>
          <w:color w:val="auto"/>
          <w:sz w:val="20"/>
          <w:szCs w:val="20"/>
        </w:rPr>
        <w:fldChar w:fldCharType="begin"/>
      </w:r>
      <w:r w:rsidRPr="00D0724C">
        <w:rPr>
          <w:color w:val="auto"/>
          <w:sz w:val="20"/>
          <w:szCs w:val="20"/>
        </w:rPr>
        <w:instrText xml:space="preserve"> SEQ Wykres \* ARABIC </w:instrText>
      </w:r>
      <w:r w:rsidRPr="00D0724C">
        <w:rPr>
          <w:color w:val="auto"/>
          <w:sz w:val="20"/>
          <w:szCs w:val="20"/>
        </w:rPr>
        <w:fldChar w:fldCharType="separate"/>
      </w:r>
      <w:r w:rsidR="001F2919">
        <w:rPr>
          <w:noProof/>
          <w:color w:val="auto"/>
          <w:sz w:val="20"/>
          <w:szCs w:val="20"/>
        </w:rPr>
        <w:t>12</w:t>
      </w:r>
      <w:r w:rsidRPr="00D0724C">
        <w:rPr>
          <w:color w:val="auto"/>
          <w:sz w:val="20"/>
          <w:szCs w:val="20"/>
        </w:rPr>
        <w:fldChar w:fldCharType="end"/>
      </w:r>
      <w:r w:rsidRPr="00D0724C">
        <w:rPr>
          <w:color w:val="auto"/>
          <w:sz w:val="20"/>
          <w:szCs w:val="20"/>
        </w:rPr>
        <w:t xml:space="preserve"> </w:t>
      </w:r>
      <w:r w:rsidRPr="00D0724C">
        <w:rPr>
          <w:b/>
          <w:i w:val="0"/>
          <w:color w:val="auto"/>
          <w:sz w:val="20"/>
          <w:szCs w:val="20"/>
        </w:rPr>
        <w:t>Nowa Zelandia: aktywa zgromadzone w Kiwisaver (mln NZD, za 1Q danego roku)</w:t>
      </w:r>
      <w:bookmarkEnd w:id="42"/>
    </w:p>
    <w:p w14:paraId="65D15FDC" w14:textId="77777777" w:rsidR="009062E1" w:rsidRDefault="009062E1" w:rsidP="008331B9">
      <w:pPr>
        <w:autoSpaceDE w:val="0"/>
        <w:autoSpaceDN w:val="0"/>
        <w:spacing w:before="6" w:after="6" w:line="288" w:lineRule="auto"/>
        <w:jc w:val="both"/>
        <w:rPr>
          <w:rFonts w:ascii="DiodrumW03-Medium" w:hAnsi="DiodrumW03-Medium"/>
        </w:rPr>
      </w:pPr>
      <w:r>
        <w:rPr>
          <w:noProof/>
          <w:lang w:eastAsia="pl-PL"/>
        </w:rPr>
        <w:drawing>
          <wp:inline distT="0" distB="0" distL="0" distR="0" wp14:anchorId="115F8847" wp14:editId="18FBBB9A">
            <wp:extent cx="5760720" cy="3329305"/>
            <wp:effectExtent l="0" t="0" r="11430" b="4445"/>
            <wp:docPr id="18" name="Wykres 18">
              <a:extLst xmlns:a="http://schemas.openxmlformats.org/drawingml/2006/main">
                <a:ext uri="{FF2B5EF4-FFF2-40B4-BE49-F238E27FC236}">
                  <a16:creationId xmlns:a16="http://schemas.microsoft.com/office/drawing/2014/main" id="{C7CC6B33-FB44-DED9-6032-13BBCEE98A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C576685" w14:textId="77777777" w:rsidR="009062E1" w:rsidRPr="00DE763E" w:rsidRDefault="00F62F67" w:rsidP="00DE763E">
      <w:pPr>
        <w:autoSpaceDE w:val="0"/>
        <w:autoSpaceDN w:val="0"/>
        <w:spacing w:before="6" w:after="6" w:line="288" w:lineRule="auto"/>
        <w:rPr>
          <w:rFonts w:cstheme="minorHAnsi"/>
          <w:i/>
          <w:sz w:val="18"/>
          <w:szCs w:val="18"/>
        </w:rPr>
      </w:pPr>
      <w:r w:rsidRPr="008331B9">
        <w:rPr>
          <w:rFonts w:cstheme="minorHAnsi"/>
          <w:i/>
          <w:sz w:val="18"/>
          <w:szCs w:val="18"/>
        </w:rPr>
        <w:t>Ź</w:t>
      </w:r>
      <w:r w:rsidR="009062E1" w:rsidRPr="00DE763E">
        <w:rPr>
          <w:rFonts w:cstheme="minorHAnsi"/>
          <w:i/>
          <w:sz w:val="18"/>
          <w:szCs w:val="18"/>
        </w:rPr>
        <w:t xml:space="preserve">ródło: opracowanie PFR Portal PPK </w:t>
      </w:r>
      <w:r w:rsidR="008972F3">
        <w:rPr>
          <w:rFonts w:cstheme="minorHAnsi"/>
          <w:i/>
          <w:sz w:val="18"/>
          <w:szCs w:val="18"/>
        </w:rPr>
        <w:t>na podstawie</w:t>
      </w:r>
      <w:r w:rsidR="008972F3" w:rsidRPr="00DE763E">
        <w:rPr>
          <w:rFonts w:cstheme="minorHAnsi"/>
          <w:i/>
          <w:sz w:val="18"/>
          <w:szCs w:val="18"/>
        </w:rPr>
        <w:t xml:space="preserve"> </w:t>
      </w:r>
      <w:r w:rsidR="009854CC" w:rsidRPr="00DE763E">
        <w:rPr>
          <w:rFonts w:cstheme="minorHAnsi"/>
          <w:i/>
          <w:sz w:val="18"/>
          <w:szCs w:val="18"/>
        </w:rPr>
        <w:t>Reserve Bank of New Zealand</w:t>
      </w:r>
    </w:p>
    <w:p w14:paraId="3004CFDD" w14:textId="77777777" w:rsidR="00A440B0" w:rsidRDefault="00A440B0" w:rsidP="009F5280">
      <w:pPr>
        <w:pStyle w:val="Legenda"/>
        <w:keepNext/>
        <w:jc w:val="both"/>
        <w:rPr>
          <w:color w:val="auto"/>
          <w:sz w:val="20"/>
          <w:szCs w:val="20"/>
        </w:rPr>
      </w:pPr>
    </w:p>
    <w:p w14:paraId="43A71911" w14:textId="67364D8A" w:rsidR="009F5280" w:rsidRPr="00D0724C" w:rsidRDefault="009F5280" w:rsidP="009F5280">
      <w:pPr>
        <w:pStyle w:val="Legenda"/>
        <w:keepNext/>
        <w:jc w:val="both"/>
        <w:rPr>
          <w:color w:val="auto"/>
          <w:sz w:val="20"/>
          <w:szCs w:val="20"/>
        </w:rPr>
      </w:pPr>
      <w:bookmarkStart w:id="43" w:name="_Toc121826563"/>
      <w:r w:rsidRPr="00D0724C">
        <w:rPr>
          <w:color w:val="auto"/>
          <w:sz w:val="20"/>
          <w:szCs w:val="20"/>
        </w:rPr>
        <w:t xml:space="preserve">Wykres </w:t>
      </w:r>
      <w:r w:rsidRPr="00D0724C">
        <w:rPr>
          <w:color w:val="auto"/>
          <w:sz w:val="20"/>
          <w:szCs w:val="20"/>
        </w:rPr>
        <w:fldChar w:fldCharType="begin"/>
      </w:r>
      <w:r w:rsidRPr="00D0724C">
        <w:rPr>
          <w:color w:val="auto"/>
          <w:sz w:val="20"/>
          <w:szCs w:val="20"/>
        </w:rPr>
        <w:instrText xml:space="preserve"> SEQ Wykres \* ARABIC </w:instrText>
      </w:r>
      <w:r w:rsidRPr="00D0724C">
        <w:rPr>
          <w:color w:val="auto"/>
          <w:sz w:val="20"/>
          <w:szCs w:val="20"/>
        </w:rPr>
        <w:fldChar w:fldCharType="separate"/>
      </w:r>
      <w:r w:rsidR="001F2919">
        <w:rPr>
          <w:noProof/>
          <w:color w:val="auto"/>
          <w:sz w:val="20"/>
          <w:szCs w:val="20"/>
        </w:rPr>
        <w:t>13</w:t>
      </w:r>
      <w:r w:rsidRPr="00D0724C">
        <w:rPr>
          <w:color w:val="auto"/>
          <w:sz w:val="20"/>
          <w:szCs w:val="20"/>
        </w:rPr>
        <w:fldChar w:fldCharType="end"/>
      </w:r>
      <w:r w:rsidRPr="00D0724C">
        <w:rPr>
          <w:color w:val="auto"/>
          <w:sz w:val="20"/>
          <w:szCs w:val="20"/>
        </w:rPr>
        <w:t xml:space="preserve"> </w:t>
      </w:r>
      <w:r w:rsidRPr="00D0724C">
        <w:rPr>
          <w:b/>
          <w:i w:val="0"/>
          <w:color w:val="auto"/>
          <w:sz w:val="20"/>
          <w:szCs w:val="20"/>
        </w:rPr>
        <w:t>Nowa Zelandia: partycypacja w Kivisaver</w:t>
      </w:r>
      <w:bookmarkEnd w:id="43"/>
    </w:p>
    <w:p w14:paraId="7C797B76" w14:textId="77777777" w:rsidR="00AA0E13" w:rsidRPr="00E26980" w:rsidRDefault="00BF0B99" w:rsidP="00DE763E">
      <w:pPr>
        <w:autoSpaceDE w:val="0"/>
        <w:autoSpaceDN w:val="0"/>
        <w:spacing w:before="6" w:after="6" w:line="288" w:lineRule="auto"/>
        <w:jc w:val="both"/>
        <w:rPr>
          <w:rFonts w:ascii="DiodrumW03-Medium" w:hAnsi="DiodrumW03-Medium"/>
        </w:rPr>
      </w:pPr>
      <w:r>
        <w:rPr>
          <w:noProof/>
          <w:lang w:eastAsia="pl-PL"/>
        </w:rPr>
        <w:drawing>
          <wp:inline distT="0" distB="0" distL="0" distR="0" wp14:anchorId="0C58B214" wp14:editId="41B46668">
            <wp:extent cx="5940000" cy="3600000"/>
            <wp:effectExtent l="0" t="0" r="3810" b="635"/>
            <wp:docPr id="9" name="Wykres 9">
              <a:extLst xmlns:a="http://schemas.openxmlformats.org/drawingml/2006/main">
                <a:ext uri="{FF2B5EF4-FFF2-40B4-BE49-F238E27FC236}">
                  <a16:creationId xmlns:a16="http://schemas.microsoft.com/office/drawing/2014/main" id="{101BD8F4-D9CE-4A07-B829-EE48CD0BF2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B825959" w14:textId="77777777" w:rsidR="00416CDA" w:rsidRPr="00235296" w:rsidRDefault="00D0724C" w:rsidP="009257C4">
      <w:pPr>
        <w:spacing w:before="6" w:after="6" w:line="288" w:lineRule="auto"/>
        <w:jc w:val="both"/>
        <w:rPr>
          <w:i/>
          <w:sz w:val="18"/>
          <w:szCs w:val="18"/>
        </w:rPr>
      </w:pPr>
      <w:r w:rsidRPr="00235296">
        <w:rPr>
          <w:i/>
          <w:sz w:val="18"/>
          <w:szCs w:val="18"/>
        </w:rPr>
        <w:t>Ź</w:t>
      </w:r>
      <w:r w:rsidR="00E25A25" w:rsidRPr="00235296">
        <w:rPr>
          <w:i/>
          <w:sz w:val="18"/>
          <w:szCs w:val="18"/>
        </w:rPr>
        <w:t xml:space="preserve">ródło: </w:t>
      </w:r>
      <w:r w:rsidR="0057024A" w:rsidRPr="00235296">
        <w:rPr>
          <w:i/>
          <w:sz w:val="18"/>
          <w:szCs w:val="18"/>
        </w:rPr>
        <w:t>o</w:t>
      </w:r>
      <w:r w:rsidR="00E25A25" w:rsidRPr="00235296">
        <w:rPr>
          <w:i/>
          <w:sz w:val="18"/>
          <w:szCs w:val="18"/>
        </w:rPr>
        <w:t xml:space="preserve">pracowanie PFR </w:t>
      </w:r>
      <w:r w:rsidR="00462D0C" w:rsidRPr="00235296">
        <w:rPr>
          <w:i/>
          <w:sz w:val="18"/>
          <w:szCs w:val="18"/>
        </w:rPr>
        <w:t>S.A.</w:t>
      </w:r>
      <w:r w:rsidR="00E25A25" w:rsidRPr="00235296">
        <w:rPr>
          <w:i/>
          <w:sz w:val="18"/>
          <w:szCs w:val="18"/>
        </w:rPr>
        <w:t xml:space="preserve"> </w:t>
      </w:r>
      <w:r w:rsidR="003978FF">
        <w:rPr>
          <w:i/>
          <w:sz w:val="18"/>
          <w:szCs w:val="18"/>
        </w:rPr>
        <w:t>na podstawie</w:t>
      </w:r>
      <w:r w:rsidR="00E25A25" w:rsidRPr="00235296">
        <w:rPr>
          <w:i/>
          <w:sz w:val="18"/>
          <w:szCs w:val="18"/>
        </w:rPr>
        <w:t xml:space="preserve"> </w:t>
      </w:r>
      <w:r w:rsidR="00B025CC" w:rsidRPr="00235296">
        <w:rPr>
          <w:i/>
          <w:sz w:val="18"/>
          <w:szCs w:val="18"/>
        </w:rPr>
        <w:t>Ki</w:t>
      </w:r>
      <w:r w:rsidR="00287058" w:rsidRPr="00235296">
        <w:rPr>
          <w:i/>
          <w:sz w:val="18"/>
          <w:szCs w:val="18"/>
        </w:rPr>
        <w:t>w</w:t>
      </w:r>
      <w:r w:rsidR="00B025CC" w:rsidRPr="00235296">
        <w:rPr>
          <w:i/>
          <w:sz w:val="18"/>
          <w:szCs w:val="18"/>
        </w:rPr>
        <w:t>isaver oraz Stats NZ</w:t>
      </w:r>
      <w:r w:rsidR="00F62F67" w:rsidRPr="00235296">
        <w:rPr>
          <w:i/>
          <w:sz w:val="18"/>
          <w:szCs w:val="18"/>
        </w:rPr>
        <w:t>.</w:t>
      </w:r>
    </w:p>
    <w:p w14:paraId="32AA925C" w14:textId="77777777" w:rsidR="00F62F67" w:rsidRPr="00416CDA" w:rsidRDefault="00F62F67" w:rsidP="00416CDA">
      <w:pPr>
        <w:spacing w:before="6" w:after="6" w:line="288" w:lineRule="auto"/>
        <w:jc w:val="both"/>
        <w:rPr>
          <w:i/>
          <w:sz w:val="20"/>
          <w:szCs w:val="20"/>
        </w:rPr>
      </w:pPr>
    </w:p>
    <w:p w14:paraId="54BDA3E5" w14:textId="77777777" w:rsidR="004F2940" w:rsidRPr="00E26980" w:rsidRDefault="004F2940">
      <w:pPr>
        <w:pStyle w:val="Nagwek4"/>
        <w:numPr>
          <w:ilvl w:val="2"/>
          <w:numId w:val="23"/>
        </w:numPr>
        <w:spacing w:before="6" w:after="6" w:line="288" w:lineRule="auto"/>
        <w:jc w:val="both"/>
      </w:pPr>
      <w:r w:rsidRPr="00E26980">
        <w:lastRenderedPageBreak/>
        <w:t>Wielka Brytania</w:t>
      </w:r>
    </w:p>
    <w:p w14:paraId="0A45652E" w14:textId="1DB6022E" w:rsidR="004F2940" w:rsidRPr="00E26980" w:rsidRDefault="004F2940" w:rsidP="00BD41C3">
      <w:pPr>
        <w:spacing w:before="6" w:after="6" w:line="288" w:lineRule="auto"/>
        <w:jc w:val="both"/>
      </w:pPr>
      <w:r w:rsidRPr="00E26980">
        <w:t>Wyzwania demograficzne i emerytalne skłoniły Brytyjczyków do wprowadzenia automatycznego zapisu w 2012 r</w:t>
      </w:r>
      <w:r w:rsidR="0070536F">
        <w:t>oku</w:t>
      </w:r>
      <w:r w:rsidRPr="00E26980">
        <w:t xml:space="preserve"> (tzw. workplace pensions</w:t>
      </w:r>
      <w:r>
        <w:t xml:space="preserve"> </w:t>
      </w:r>
      <w:r w:rsidRPr="00E26980">
        <w:t>schemes albo auto-enrolment</w:t>
      </w:r>
      <w:r w:rsidRPr="00E26980">
        <w:rPr>
          <w:rFonts w:cs="Chronicle Text G1"/>
          <w:color w:val="000000"/>
        </w:rPr>
        <w:t>).</w:t>
      </w:r>
      <w:r>
        <w:rPr>
          <w:rFonts w:cs="Chronicle Text G1"/>
          <w:color w:val="000000"/>
        </w:rPr>
        <w:t xml:space="preserve"> </w:t>
      </w:r>
      <w:r w:rsidRPr="00E26980">
        <w:rPr>
          <w:rFonts w:cs="Chronicle Text G1"/>
          <w:color w:val="000000"/>
        </w:rPr>
        <w:t>Reforma była wzorowana na rozwiązaniach wprowadzonych w Nowej Zelandii</w:t>
      </w:r>
      <w:r>
        <w:rPr>
          <w:rFonts w:cs="Chronicle Text G1"/>
          <w:color w:val="000000"/>
        </w:rPr>
        <w:t xml:space="preserve">, </w:t>
      </w:r>
      <w:r w:rsidRPr="00E26980">
        <w:rPr>
          <w:rFonts w:cs="Chronicle Text G1"/>
          <w:color w:val="000000"/>
        </w:rPr>
        <w:t xml:space="preserve">nie stworzono jednak całego </w:t>
      </w:r>
      <w:r w:rsidRPr="00E26980">
        <w:t xml:space="preserve">programu od nowa, ale zmodyfikowano przepisy </w:t>
      </w:r>
      <w:r w:rsidRPr="00E26980">
        <w:rPr>
          <w:rFonts w:cs="Chronicle Text G1"/>
          <w:color w:val="000000"/>
        </w:rPr>
        <w:t xml:space="preserve">regulujące działalność istniejących już dobrowolnych programów pracowniczych. Partycypacja w tych programach jeszcze przed </w:t>
      </w:r>
      <w:r w:rsidRPr="00E26980">
        <w:t>wdrożeniem automatycznego zapisu wynosiła</w:t>
      </w:r>
      <w:r>
        <w:t xml:space="preserve"> ponad</w:t>
      </w:r>
      <w:r w:rsidR="00EE2CF9">
        <w:t xml:space="preserve"> 50%. W odróżnieniu od PPK</w:t>
      </w:r>
      <w:r w:rsidRPr="00E26980">
        <w:t xml:space="preserve"> w Wielkiej Brytanii warunkiem automatycznego zapisania do programu jest nie tylko kryterium wiekowe</w:t>
      </w:r>
      <w:r w:rsidR="00112F98">
        <w:t>,</w:t>
      </w:r>
      <w:r w:rsidRPr="00E26980">
        <w:t xml:space="preserve"> ale też dochodowe. Automatycznym zapisem objęte są</w:t>
      </w:r>
      <w:r w:rsidR="00EE2CF9">
        <w:t> </w:t>
      </w:r>
      <w:r w:rsidRPr="00E26980">
        <w:t>osoby od 22. roku, które nie osiągnęły wieku emerytal</w:t>
      </w:r>
      <w:r w:rsidR="00EE2CF9">
        <w:t>nego oraz które pracują na tery</w:t>
      </w:r>
      <w:r w:rsidRPr="00E26980">
        <w:t>torium Wielkiej Brytanii i zarabiają powyżej 10 tys. funtów rocznie. Osoby, które nie spełniają kryterium wieku albo zarobków</w:t>
      </w:r>
      <w:r w:rsidR="009C45D1">
        <w:t>,</w:t>
      </w:r>
      <w:r w:rsidRPr="00E26980">
        <w:t xml:space="preserve"> mogą dobrowolnie przystąpić do programu. Od 2019 r</w:t>
      </w:r>
      <w:r w:rsidR="00005C1C">
        <w:t>oku</w:t>
      </w:r>
      <w:r w:rsidRPr="00E26980">
        <w:t xml:space="preserve"> minimalna wpłata do</w:t>
      </w:r>
      <w:r w:rsidR="00EE2CF9">
        <w:t> </w:t>
      </w:r>
      <w:r w:rsidRPr="00E26980">
        <w:t>programu po stronie pracodawcy to 3% wynagrodzenia, a po stronie uczestnika to</w:t>
      </w:r>
      <w:r w:rsidR="00EE2CF9">
        <w:t> </w:t>
      </w:r>
      <w:r w:rsidRPr="00E26980">
        <w:t>5%</w:t>
      </w:r>
      <w:r w:rsidR="00EE2CF9">
        <w:t> </w:t>
      </w:r>
      <w:r w:rsidRPr="00E26980">
        <w:t>wynagrodzenia (wysokość wpłat była stopniowo podnoszona</w:t>
      </w:r>
      <w:r w:rsidR="008E13B7">
        <w:t>,</w:t>
      </w:r>
      <w:r w:rsidRPr="00E26980">
        <w:t xml:space="preserve"> począwszy od 1% po stronie pracodawcy i 1% po stronie uczestnika).</w:t>
      </w:r>
    </w:p>
    <w:p w14:paraId="23475926" w14:textId="5D893039" w:rsidR="004F2940" w:rsidRPr="00E26980" w:rsidRDefault="004F2940" w:rsidP="00BD41C3">
      <w:pPr>
        <w:autoSpaceDE w:val="0"/>
        <w:autoSpaceDN w:val="0"/>
        <w:spacing w:before="6" w:after="6" w:line="288" w:lineRule="auto"/>
        <w:jc w:val="both"/>
      </w:pPr>
      <w:r w:rsidRPr="00E26980">
        <w:t xml:space="preserve">Uczestnik może zrezygnować z oszczędzania w każdym czasie, ale konieczne jest złożenie odpowiedniej deklaracji rezygnacji z dokonywania wpłat, która obowiązuje przez kolejne 3 lata. Po upływie 3 lat uczestnik jest ponownie zapisywany do programu, </w:t>
      </w:r>
      <w:bookmarkStart w:id="44" w:name="_Hlk36575912"/>
      <w:r w:rsidRPr="00E26980">
        <w:t>pod warunkiem, że nie złoży kolejnej deklaracji rezygnacji</w:t>
      </w:r>
      <w:bookmarkEnd w:id="44"/>
      <w:r w:rsidRPr="00E26980">
        <w:t xml:space="preserve">. Wpłaty naliczane są od tzw. wynagrodzenia kwalifikowanego, które </w:t>
      </w:r>
      <w:r w:rsidR="00F35C56">
        <w:t>–</w:t>
      </w:r>
      <w:r w:rsidR="008D7B0B">
        <w:t xml:space="preserve"> </w:t>
      </w:r>
      <w:r w:rsidRPr="00E26980">
        <w:t xml:space="preserve">poza wynagrodzeniem zasadniczym i jego dodatkowymi składnikami, takimi jak nadgodziny czy premie </w:t>
      </w:r>
      <w:r w:rsidR="00F35C56">
        <w:t>–</w:t>
      </w:r>
      <w:r w:rsidR="008D7B0B">
        <w:t xml:space="preserve"> </w:t>
      </w:r>
      <w:r w:rsidRPr="00E26980">
        <w:t>obejmuje również świadczenia chorobowe i macierzyńskie. Program nie przewiduje dopłat ze strony państwa, ale zastępują je ulgi podatkowe.</w:t>
      </w:r>
    </w:p>
    <w:bookmarkEnd w:id="37"/>
    <w:p w14:paraId="0333CC91" w14:textId="22F2E92E" w:rsidR="004F2940" w:rsidRDefault="004F2940" w:rsidP="00BD41C3">
      <w:pPr>
        <w:autoSpaceDE w:val="0"/>
        <w:autoSpaceDN w:val="0"/>
        <w:spacing w:before="6" w:after="6" w:line="288" w:lineRule="auto"/>
        <w:jc w:val="both"/>
      </w:pPr>
      <w:r w:rsidRPr="00E26980">
        <w:t>Na koniec 2021 r</w:t>
      </w:r>
      <w:r w:rsidR="009D083C">
        <w:t>oku</w:t>
      </w:r>
      <w:r w:rsidRPr="00E26980">
        <w:t xml:space="preserve"> w workplace pensions schemes uczestniczyło 88% uprawnionych do </w:t>
      </w:r>
      <w:r>
        <w:t xml:space="preserve">tego osób </w:t>
      </w:r>
      <w:r w:rsidRPr="00E26980">
        <w:t xml:space="preserve">(20 mln). Motorem ogólnego wzrostu partycypacji </w:t>
      </w:r>
      <w:r>
        <w:t xml:space="preserve">w programie </w:t>
      </w:r>
      <w:r w:rsidRPr="00E26980">
        <w:t xml:space="preserve">jest sektor prywatny, w którym wzrosty udziału pracowników w programie </w:t>
      </w:r>
      <w:r>
        <w:t xml:space="preserve">były </w:t>
      </w:r>
      <w:r w:rsidRPr="00E26980">
        <w:t>największe. Od 2012 r</w:t>
      </w:r>
      <w:r w:rsidR="009D083C">
        <w:t>oku</w:t>
      </w:r>
      <w:r w:rsidRPr="00E26980">
        <w:t xml:space="preserve"> partycypacja w sektorze prywatnym wzrosła o 44 punkty procentowe</w:t>
      </w:r>
      <w:r>
        <w:t xml:space="preserve"> </w:t>
      </w:r>
      <w:r w:rsidR="00F35C56">
        <w:t>–</w:t>
      </w:r>
      <w:r>
        <w:t xml:space="preserve"> do</w:t>
      </w:r>
      <w:r w:rsidRPr="00E26980">
        <w:t xml:space="preserve"> 86% w 2021 r</w:t>
      </w:r>
      <w:r w:rsidR="009D083C">
        <w:t>oku</w:t>
      </w:r>
      <w:r w:rsidRPr="00E26980">
        <w:t xml:space="preserve"> (14,4 mln uprawnionych pracowników).</w:t>
      </w:r>
      <w:r>
        <w:t xml:space="preserve"> </w:t>
      </w:r>
      <w:r w:rsidRPr="00E26980">
        <w:t>Warto zwrócić uwagę, że w niektórych grupach</w:t>
      </w:r>
      <w:r>
        <w:t xml:space="preserve"> pracodawców </w:t>
      </w:r>
      <w:r w:rsidR="00F35C56">
        <w:t>–</w:t>
      </w:r>
      <w:r w:rsidRPr="00E26980">
        <w:t xml:space="preserve"> </w:t>
      </w:r>
      <w:r>
        <w:t>np.</w:t>
      </w:r>
      <w:r w:rsidR="00EE2CF9">
        <w:t> </w:t>
      </w:r>
      <w:r>
        <w:t>w</w:t>
      </w:r>
      <w:r w:rsidR="00DB6700">
        <w:t> </w:t>
      </w:r>
      <w:r w:rsidRPr="00E26980">
        <w:t xml:space="preserve">mikroprzedsiębiorstwach </w:t>
      </w:r>
      <w:r w:rsidR="00F35C56">
        <w:t>–</w:t>
      </w:r>
      <w:r w:rsidR="00817FA5">
        <w:t xml:space="preserve"> </w:t>
      </w:r>
      <w:r w:rsidRPr="00E26980">
        <w:t xml:space="preserve">poziom partycypacji jest </w:t>
      </w:r>
      <w:r>
        <w:t>niższy niż partycypacja ogólna (</w:t>
      </w:r>
      <w:r w:rsidRPr="00E26980">
        <w:t>poniżej</w:t>
      </w:r>
      <w:r w:rsidR="00EE2CF9">
        <w:t> </w:t>
      </w:r>
      <w:r w:rsidRPr="00E26980">
        <w:t>65%</w:t>
      </w:r>
      <w:r>
        <w:t>)</w:t>
      </w:r>
      <w:r w:rsidRPr="00E26980">
        <w:t>. Partycypacja w sektorze publicznym pozostaje od początku wdrożenia programu wyższ</w:t>
      </w:r>
      <w:r>
        <w:t>a</w:t>
      </w:r>
      <w:r w:rsidRPr="00E26980">
        <w:t xml:space="preserve"> w porównaniu do partycypacji w sektorze prywatnym. Wskaźnik uczestnictwa w sektorze publicznym wyniósł </w:t>
      </w:r>
      <w:r>
        <w:t>w 2021 r</w:t>
      </w:r>
      <w:r w:rsidR="009D083C">
        <w:t>oku</w:t>
      </w:r>
      <w:r>
        <w:t xml:space="preserve"> </w:t>
      </w:r>
      <w:r w:rsidRPr="00E26980">
        <w:t xml:space="preserve">93% (5,6 mln), co stanowi wzrost </w:t>
      </w:r>
      <w:r>
        <w:t xml:space="preserve">zaledwie </w:t>
      </w:r>
      <w:r w:rsidRPr="00E26980">
        <w:t>o 5 punktów procentowych od</w:t>
      </w:r>
      <w:r w:rsidR="00EE2CF9">
        <w:t> </w:t>
      </w:r>
      <w:r w:rsidRPr="00E26980">
        <w:t>2012</w:t>
      </w:r>
      <w:r w:rsidR="00EE2CF9">
        <w:t> </w:t>
      </w:r>
      <w:r w:rsidRPr="00E26980">
        <w:t>r</w:t>
      </w:r>
      <w:r w:rsidR="00D317A5">
        <w:t>oku.</w:t>
      </w:r>
      <w:r w:rsidRPr="00E26980">
        <w:t xml:space="preserve"> Dostęp do możliwości oszczędzania </w:t>
      </w:r>
      <w:r>
        <w:t xml:space="preserve">na emeryturę </w:t>
      </w:r>
      <w:r w:rsidRPr="00E26980">
        <w:t>w miejscu pracy, patrząc na</w:t>
      </w:r>
      <w:r w:rsidR="00EE2CF9">
        <w:t> </w:t>
      </w:r>
      <w:r w:rsidRPr="00E26980">
        <w:t>wszystkich brytyjskich pracowników</w:t>
      </w:r>
      <w:r w:rsidR="00B5317A">
        <w:t>,</w:t>
      </w:r>
      <w:r w:rsidRPr="00E26980">
        <w:t xml:space="preserve"> wzrósł w latach 2012</w:t>
      </w:r>
      <w:r w:rsidR="00F35C56">
        <w:t>–</w:t>
      </w:r>
      <w:r w:rsidRPr="00E26980">
        <w:t>2021 z mniej niż połowy do</w:t>
      </w:r>
      <w:r w:rsidR="00EE2CF9">
        <w:t> </w:t>
      </w:r>
      <w:r w:rsidRPr="00E26980">
        <w:t>79%</w:t>
      </w:r>
      <w:r w:rsidR="00EE2CF9">
        <w:t> </w:t>
      </w:r>
      <w:r w:rsidRPr="00E26980">
        <w:t>pracowników</w:t>
      </w:r>
      <w:r w:rsidRPr="00E26980">
        <w:rPr>
          <w:rStyle w:val="Odwoanieprzypisudolnego"/>
        </w:rPr>
        <w:footnoteReference w:id="29"/>
      </w:r>
      <w:r w:rsidR="00FE6826" w:rsidRPr="004B6D6C">
        <w:rPr>
          <w:vertAlign w:val="superscript"/>
        </w:rPr>
        <w:t>)</w:t>
      </w:r>
      <w:r w:rsidRPr="00E26980">
        <w:t>. Czynnikiem determinującym powodzenie dobrowolnego oszczędzania na</w:t>
      </w:r>
      <w:r w:rsidR="00EE2CF9">
        <w:t> </w:t>
      </w:r>
      <w:r w:rsidRPr="00E26980">
        <w:t xml:space="preserve">emeryturę w Wielkiej Brytanii </w:t>
      </w:r>
      <w:r>
        <w:t xml:space="preserve">jest </w:t>
      </w:r>
      <w:r w:rsidRPr="00E26980">
        <w:t>zaufanie publiczne do tego rodzaju produktów</w:t>
      </w:r>
      <w:r>
        <w:t>, które</w:t>
      </w:r>
      <w:r w:rsidRPr="00E26980">
        <w:t xml:space="preserve"> działają na</w:t>
      </w:r>
      <w:r w:rsidR="00EE2CF9">
        <w:t> </w:t>
      </w:r>
      <w:r w:rsidRPr="00E26980">
        <w:t>tym rynku od ponad 300 lat.</w:t>
      </w:r>
    </w:p>
    <w:p w14:paraId="753B8E45" w14:textId="77777777" w:rsidR="00F30628" w:rsidRPr="00C421B1" w:rsidRDefault="00F30628" w:rsidP="00BD41C3">
      <w:pPr>
        <w:autoSpaceDE w:val="0"/>
        <w:autoSpaceDN w:val="0"/>
        <w:spacing w:before="6" w:after="6" w:line="288" w:lineRule="auto"/>
        <w:jc w:val="both"/>
        <w:rPr>
          <w:sz w:val="20"/>
          <w:szCs w:val="20"/>
        </w:rPr>
      </w:pPr>
    </w:p>
    <w:p w14:paraId="08CDE4BC" w14:textId="77777777" w:rsidR="004A339A" w:rsidRPr="00592FA8" w:rsidRDefault="004A339A" w:rsidP="00DE763E">
      <w:pPr>
        <w:spacing w:before="6" w:after="6" w:line="288" w:lineRule="auto"/>
        <w:rPr>
          <w:i/>
          <w:sz w:val="18"/>
          <w:szCs w:val="18"/>
        </w:rPr>
      </w:pPr>
    </w:p>
    <w:p w14:paraId="5DCCA77C" w14:textId="77777777" w:rsidR="00DE763E" w:rsidRPr="00592FA8" w:rsidRDefault="00DE763E" w:rsidP="00DE763E">
      <w:pPr>
        <w:spacing w:before="6" w:after="6" w:line="288" w:lineRule="auto"/>
        <w:rPr>
          <w:i/>
          <w:sz w:val="18"/>
          <w:szCs w:val="18"/>
        </w:rPr>
      </w:pPr>
    </w:p>
    <w:p w14:paraId="0F4219D0" w14:textId="655C2CFF" w:rsidR="00F162BD" w:rsidRPr="00847C88" w:rsidRDefault="00F162BD" w:rsidP="00F162BD">
      <w:pPr>
        <w:pStyle w:val="Legenda"/>
        <w:keepNext/>
        <w:jc w:val="both"/>
        <w:rPr>
          <w:color w:val="auto"/>
          <w:sz w:val="20"/>
          <w:szCs w:val="20"/>
        </w:rPr>
      </w:pPr>
      <w:bookmarkStart w:id="45" w:name="_Toc121826564"/>
      <w:r w:rsidRPr="00847C88">
        <w:rPr>
          <w:color w:val="auto"/>
          <w:sz w:val="20"/>
          <w:szCs w:val="20"/>
        </w:rPr>
        <w:lastRenderedPageBreak/>
        <w:t xml:space="preserve">Wykres </w:t>
      </w:r>
      <w:r w:rsidRPr="00847C88">
        <w:rPr>
          <w:color w:val="auto"/>
          <w:sz w:val="20"/>
          <w:szCs w:val="20"/>
        </w:rPr>
        <w:fldChar w:fldCharType="begin"/>
      </w:r>
      <w:r w:rsidRPr="00847C88">
        <w:rPr>
          <w:color w:val="auto"/>
          <w:sz w:val="20"/>
          <w:szCs w:val="20"/>
        </w:rPr>
        <w:instrText xml:space="preserve"> SEQ Wykres \* ARABIC </w:instrText>
      </w:r>
      <w:r w:rsidRPr="00847C88">
        <w:rPr>
          <w:color w:val="auto"/>
          <w:sz w:val="20"/>
          <w:szCs w:val="20"/>
        </w:rPr>
        <w:fldChar w:fldCharType="separate"/>
      </w:r>
      <w:r w:rsidR="001F2919">
        <w:rPr>
          <w:noProof/>
          <w:color w:val="auto"/>
          <w:sz w:val="20"/>
          <w:szCs w:val="20"/>
        </w:rPr>
        <w:t>14</w:t>
      </w:r>
      <w:r w:rsidRPr="00847C88">
        <w:rPr>
          <w:color w:val="auto"/>
          <w:sz w:val="20"/>
          <w:szCs w:val="20"/>
        </w:rPr>
        <w:fldChar w:fldCharType="end"/>
      </w:r>
      <w:r w:rsidRPr="00847C88">
        <w:rPr>
          <w:color w:val="auto"/>
          <w:sz w:val="20"/>
          <w:szCs w:val="20"/>
        </w:rPr>
        <w:t xml:space="preserve"> </w:t>
      </w:r>
      <w:r w:rsidRPr="00847C88">
        <w:rPr>
          <w:b/>
          <w:i w:val="0"/>
          <w:color w:val="auto"/>
          <w:sz w:val="20"/>
          <w:szCs w:val="20"/>
        </w:rPr>
        <w:t>Wlk. Brytania: partycypacja w workplace pension schemes</w:t>
      </w:r>
      <w:bookmarkEnd w:id="45"/>
    </w:p>
    <w:p w14:paraId="75E50B43" w14:textId="77777777" w:rsidR="00DE6799" w:rsidRDefault="00163630" w:rsidP="00DE763E">
      <w:pPr>
        <w:autoSpaceDE w:val="0"/>
        <w:autoSpaceDN w:val="0"/>
        <w:spacing w:before="6" w:after="6" w:line="288" w:lineRule="auto"/>
        <w:jc w:val="both"/>
      </w:pPr>
      <w:r>
        <w:rPr>
          <w:noProof/>
          <w:lang w:eastAsia="pl-PL"/>
        </w:rPr>
        <w:drawing>
          <wp:inline distT="0" distB="0" distL="0" distR="0" wp14:anchorId="40C98603" wp14:editId="0E26FFF4">
            <wp:extent cx="5940000" cy="3600000"/>
            <wp:effectExtent l="0" t="0" r="3810" b="635"/>
            <wp:docPr id="8" name="Wykres 8">
              <a:extLst xmlns:a="http://schemas.openxmlformats.org/drawingml/2006/main">
                <a:ext uri="{FF2B5EF4-FFF2-40B4-BE49-F238E27FC236}">
                  <a16:creationId xmlns:a16="http://schemas.microsoft.com/office/drawing/2014/main" id="{A8810AF7-0E13-42AA-B508-71A1F02CC0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EEE0D36" w14:textId="77777777" w:rsidR="00F62F67" w:rsidRPr="00744DF1" w:rsidRDefault="00F62F67" w:rsidP="00235296">
      <w:pPr>
        <w:spacing w:before="6" w:after="6" w:line="288" w:lineRule="auto"/>
        <w:jc w:val="both"/>
        <w:rPr>
          <w:i/>
          <w:iCs/>
          <w:sz w:val="20"/>
          <w:szCs w:val="20"/>
        </w:rPr>
      </w:pPr>
      <w:r w:rsidRPr="009A6934">
        <w:rPr>
          <w:i/>
          <w:sz w:val="18"/>
          <w:szCs w:val="18"/>
        </w:rPr>
        <w:t>Ź</w:t>
      </w:r>
      <w:r w:rsidR="008527B1" w:rsidRPr="009A6934">
        <w:rPr>
          <w:i/>
          <w:sz w:val="18"/>
          <w:szCs w:val="18"/>
        </w:rPr>
        <w:t xml:space="preserve">ródło: </w:t>
      </w:r>
      <w:r w:rsidR="0057024A" w:rsidRPr="009A6934">
        <w:rPr>
          <w:i/>
          <w:sz w:val="18"/>
          <w:szCs w:val="18"/>
        </w:rPr>
        <w:t>o</w:t>
      </w:r>
      <w:r w:rsidR="008527B1" w:rsidRPr="009A6934">
        <w:rPr>
          <w:i/>
          <w:sz w:val="18"/>
          <w:szCs w:val="18"/>
        </w:rPr>
        <w:t xml:space="preserve">pracowanie </w:t>
      </w:r>
      <w:r w:rsidR="008527B1" w:rsidRPr="005E2670">
        <w:rPr>
          <w:i/>
          <w:sz w:val="18"/>
          <w:szCs w:val="18"/>
        </w:rPr>
        <w:t xml:space="preserve">PFR </w:t>
      </w:r>
      <w:r w:rsidR="0057024A" w:rsidRPr="005E2670">
        <w:rPr>
          <w:i/>
          <w:sz w:val="18"/>
          <w:szCs w:val="18"/>
        </w:rPr>
        <w:t xml:space="preserve">S.A. </w:t>
      </w:r>
      <w:r w:rsidR="00136C73">
        <w:rPr>
          <w:i/>
          <w:sz w:val="18"/>
          <w:szCs w:val="18"/>
        </w:rPr>
        <w:t>na podstawie</w:t>
      </w:r>
      <w:r w:rsidR="008527B1" w:rsidRPr="005E2670">
        <w:rPr>
          <w:i/>
          <w:sz w:val="18"/>
          <w:szCs w:val="18"/>
        </w:rPr>
        <w:t xml:space="preserve"> </w:t>
      </w:r>
      <w:r w:rsidR="00297C01" w:rsidRPr="00744DF1">
        <w:rPr>
          <w:i/>
          <w:sz w:val="18"/>
          <w:szCs w:val="18"/>
        </w:rPr>
        <w:t>Department for Work and Pensions</w:t>
      </w:r>
      <w:r w:rsidRPr="00744DF1">
        <w:rPr>
          <w:i/>
          <w:sz w:val="18"/>
          <w:szCs w:val="18"/>
        </w:rPr>
        <w:t xml:space="preserve">. </w:t>
      </w:r>
    </w:p>
    <w:p w14:paraId="3D7DC4D5" w14:textId="77777777" w:rsidR="00FC7952" w:rsidRPr="00744DF1" w:rsidRDefault="00FC7952" w:rsidP="009257C4">
      <w:pPr>
        <w:spacing w:before="6" w:after="6" w:line="288" w:lineRule="auto"/>
      </w:pPr>
    </w:p>
    <w:p w14:paraId="1CF4EEBB" w14:textId="5F0F5ACA" w:rsidR="005842FF" w:rsidRDefault="00764477" w:rsidP="005D48E9">
      <w:pPr>
        <w:spacing w:before="6" w:after="6" w:line="288" w:lineRule="auto"/>
        <w:jc w:val="both"/>
      </w:pPr>
      <w:r w:rsidRPr="003A52ED">
        <w:t>Przy wdrażaniu PPK w Polsce najbardziej wzorowano się na rozwiązaniach brytyjskich. W ramach operacyjnego przygotowania do wdrożenia przepisów ustawy o PP</w:t>
      </w:r>
      <w:r w:rsidR="008D4DA9" w:rsidRPr="003A52ED">
        <w:t>K</w:t>
      </w:r>
      <w:r w:rsidRPr="003A52ED">
        <w:t xml:space="preserve"> PFR S.A. organizowała robocze warsztaty z przedstawicielami The Pension Regulator odpowiedzialnymi m.in. za k</w:t>
      </w:r>
      <w:r w:rsidR="008017C2" w:rsidRPr="003A52ED">
        <w:t>a</w:t>
      </w:r>
      <w:r w:rsidRPr="003A52ED">
        <w:t>mpanie informacyjne czy obsługę klienta.</w:t>
      </w:r>
      <w:r w:rsidR="008900A9" w:rsidRPr="008900A9">
        <w:t xml:space="preserve"> </w:t>
      </w:r>
    </w:p>
    <w:p w14:paraId="7B773D1E" w14:textId="6BAF93AF" w:rsidR="00F62F67" w:rsidRPr="003A52ED" w:rsidRDefault="005842FF" w:rsidP="002949C2">
      <w:pPr>
        <w:spacing w:before="6" w:after="6" w:line="288" w:lineRule="auto"/>
        <w:jc w:val="both"/>
      </w:pPr>
      <w:r>
        <w:t xml:space="preserve">Obecna sytuacja demograficzna, obciążająca publiczne systemy zabezpieczenia emerytalnego, skłania coraz więcej krajów do uruchomienia programów podobnych do polskich PPK czy brytyjskich Workplace Pension. </w:t>
      </w:r>
      <w:r w:rsidRPr="008900A9">
        <w:t xml:space="preserve">W 2019 roku, oprócz Polski, dwa państwa z obszaru Europy </w:t>
      </w:r>
      <w:r>
        <w:t>Ś</w:t>
      </w:r>
      <w:r w:rsidRPr="008900A9">
        <w:t>rodkowo</w:t>
      </w:r>
      <w:r w:rsidR="00B8750B">
        <w:t>-</w:t>
      </w:r>
      <w:r>
        <w:t>W</w:t>
      </w:r>
      <w:r w:rsidRPr="008900A9">
        <w:t xml:space="preserve">schodniej </w:t>
      </w:r>
      <w:r>
        <w:t xml:space="preserve">(Litwa i Gruzja) </w:t>
      </w:r>
      <w:r w:rsidRPr="008900A9">
        <w:t>rozpoczęły wprowadzanie programów oszczędzania opartych o</w:t>
      </w:r>
      <w:r w:rsidR="006E06B0">
        <w:t> </w:t>
      </w:r>
      <w:r w:rsidR="00B8750B">
        <w:t>automatyczny zapis. Dodatkowo</w:t>
      </w:r>
      <w:r w:rsidRPr="008900A9">
        <w:t xml:space="preserve"> rząd Irlandii </w:t>
      </w:r>
      <w:r>
        <w:t xml:space="preserve">w </w:t>
      </w:r>
      <w:r w:rsidRPr="008900A9">
        <w:t>październik</w:t>
      </w:r>
      <w:r>
        <w:t>u</w:t>
      </w:r>
      <w:r w:rsidRPr="008900A9">
        <w:t xml:space="preserve"> 2022 r. </w:t>
      </w:r>
      <w:r>
        <w:t xml:space="preserve">zatwierdził </w:t>
      </w:r>
      <w:r w:rsidRPr="008900A9">
        <w:t>ostateczn</w:t>
      </w:r>
      <w:r>
        <w:t xml:space="preserve">y plan </w:t>
      </w:r>
      <w:r w:rsidRPr="008900A9">
        <w:t xml:space="preserve">wdrożenia </w:t>
      </w:r>
      <w:r>
        <w:t xml:space="preserve">w tym kraju </w:t>
      </w:r>
      <w:r w:rsidRPr="008900A9">
        <w:t xml:space="preserve">programu z automatycznym zapisem </w:t>
      </w:r>
      <w:r>
        <w:t xml:space="preserve">na 2024 rok. </w:t>
      </w:r>
      <w:r w:rsidRPr="008900A9">
        <w:t>Nowy system m</w:t>
      </w:r>
      <w:r>
        <w:t>iał zostać uruchomiony już w 2022</w:t>
      </w:r>
      <w:r w:rsidR="00B8750B">
        <w:t> </w:t>
      </w:r>
      <w:r>
        <w:t>r.,</w:t>
      </w:r>
      <w:r w:rsidRPr="008900A9">
        <w:t xml:space="preserve"> </w:t>
      </w:r>
      <w:r>
        <w:t>ale</w:t>
      </w:r>
      <w:r w:rsidRPr="008900A9">
        <w:t xml:space="preserve"> jego </w:t>
      </w:r>
      <w:r>
        <w:t xml:space="preserve">wprowadzenie zostało </w:t>
      </w:r>
      <w:r w:rsidRPr="008900A9">
        <w:t>odroczon</w:t>
      </w:r>
      <w:r>
        <w:t>e</w:t>
      </w:r>
      <w:r w:rsidRPr="008900A9">
        <w:t xml:space="preserve"> ze względu na pandemię COVID-19.</w:t>
      </w:r>
    </w:p>
    <w:p w14:paraId="2870A927" w14:textId="55210F57" w:rsidR="00764477" w:rsidRDefault="00764477" w:rsidP="002949C2">
      <w:pPr>
        <w:spacing w:before="6" w:after="6" w:line="288" w:lineRule="auto"/>
        <w:jc w:val="both"/>
      </w:pPr>
      <w:r w:rsidRPr="003A52ED">
        <w:t>Analiza przyrostu uczestników programów z automatycznym zapisem pokazuje, że partycypacja w</w:t>
      </w:r>
      <w:r w:rsidR="006E06B0">
        <w:t> </w:t>
      </w:r>
      <w:r w:rsidRPr="003A52ED">
        <w:t xml:space="preserve">takich programach rozwija się stopniowo, w miarę przekonywania się przystępujących pracowników do wprowadzonych systemów i </w:t>
      </w:r>
      <w:r w:rsidR="008D4DA9" w:rsidRPr="003A52ED">
        <w:t>budowani</w:t>
      </w:r>
      <w:r w:rsidR="00B370F6">
        <w:t>a</w:t>
      </w:r>
      <w:r w:rsidRPr="003A52ED">
        <w:t xml:space="preserve"> świadomości konieczności dodatkowego oszczędzania na</w:t>
      </w:r>
      <w:r w:rsidR="00B8750B">
        <w:t> </w:t>
      </w:r>
      <w:r w:rsidRPr="003A52ED">
        <w:t>okres po zakończeniu aktywności zawodowej.</w:t>
      </w:r>
      <w:r w:rsidR="006925BC" w:rsidRPr="003A52ED">
        <w:t xml:space="preserve"> Taki sam mechanizm zadziała również w Polsce, potrze</w:t>
      </w:r>
      <w:r w:rsidR="0076430A" w:rsidRPr="003A52ED">
        <w:t>ba jednak czasu</w:t>
      </w:r>
      <w:r w:rsidR="00731ACD" w:rsidRPr="003A52ED">
        <w:t>, stosownych</w:t>
      </w:r>
      <w:r w:rsidR="0076430A" w:rsidRPr="003A52ED">
        <w:t xml:space="preserve"> </w:t>
      </w:r>
      <w:r w:rsidR="008D7168" w:rsidRPr="003A52ED">
        <w:t xml:space="preserve">nakładów w edukację </w:t>
      </w:r>
      <w:r w:rsidR="00F42FF6" w:rsidRPr="003A52ED">
        <w:t xml:space="preserve">finansową </w:t>
      </w:r>
      <w:r w:rsidR="00731ACD" w:rsidRPr="003A52ED">
        <w:t>Polaków i pełnego zaangażowania</w:t>
      </w:r>
      <w:r w:rsidR="00DD02CF" w:rsidRPr="003A52ED">
        <w:t xml:space="preserve"> – zarówno </w:t>
      </w:r>
      <w:r w:rsidR="00C347B9" w:rsidRPr="003A52ED">
        <w:t>sektora prywatnego</w:t>
      </w:r>
      <w:r w:rsidR="00957902">
        <w:t>,</w:t>
      </w:r>
      <w:r w:rsidR="00C347B9" w:rsidRPr="003A52ED">
        <w:t xml:space="preserve"> jak i publicznego </w:t>
      </w:r>
      <w:r w:rsidR="00F35C56">
        <w:t>–</w:t>
      </w:r>
      <w:r w:rsidR="00276557" w:rsidRPr="003A52ED">
        <w:t xml:space="preserve"> w promowanie</w:t>
      </w:r>
      <w:r w:rsidR="00C347B9" w:rsidRPr="003A52ED">
        <w:t xml:space="preserve"> programu PPK.</w:t>
      </w:r>
    </w:p>
    <w:p w14:paraId="0515FD63" w14:textId="77777777" w:rsidR="00A7357B" w:rsidRDefault="00A7357B" w:rsidP="002949C2">
      <w:pPr>
        <w:spacing w:before="6" w:after="6" w:line="288" w:lineRule="auto"/>
        <w:jc w:val="both"/>
        <w:rPr>
          <w:sz w:val="20"/>
          <w:szCs w:val="20"/>
        </w:rPr>
      </w:pPr>
    </w:p>
    <w:p w14:paraId="37A665A1" w14:textId="77777777" w:rsidR="00931110" w:rsidRPr="00366454" w:rsidRDefault="00931110" w:rsidP="00890462">
      <w:pPr>
        <w:spacing w:before="6" w:after="6" w:line="288" w:lineRule="auto"/>
        <w:rPr>
          <w:b/>
          <w:i/>
          <w:sz w:val="20"/>
          <w:szCs w:val="20"/>
        </w:rPr>
      </w:pPr>
    </w:p>
    <w:p w14:paraId="0595A0D7" w14:textId="77777777" w:rsidR="00B27999" w:rsidRPr="00890462" w:rsidRDefault="00B27999" w:rsidP="00890462">
      <w:pPr>
        <w:spacing w:before="6" w:after="6" w:line="288" w:lineRule="auto"/>
        <w:rPr>
          <w:sz w:val="20"/>
          <w:szCs w:val="20"/>
        </w:rPr>
      </w:pPr>
    </w:p>
    <w:p w14:paraId="5848194B" w14:textId="77777777" w:rsidR="004F2940" w:rsidRPr="00FA0F2B" w:rsidRDefault="00EF710E">
      <w:pPr>
        <w:pStyle w:val="Nagwek2"/>
        <w:numPr>
          <w:ilvl w:val="0"/>
          <w:numId w:val="23"/>
        </w:numPr>
        <w:spacing w:before="6" w:after="6" w:line="288" w:lineRule="auto"/>
        <w:jc w:val="both"/>
      </w:pPr>
      <w:bookmarkStart w:id="46" w:name="_Toc121828612"/>
      <w:r>
        <w:lastRenderedPageBreak/>
        <w:t xml:space="preserve">Prace nad ustawą o </w:t>
      </w:r>
      <w:r w:rsidR="005762CD">
        <w:t>pracowniczych planach kapitałowych</w:t>
      </w:r>
      <w:bookmarkEnd w:id="46"/>
      <w:r w:rsidR="005762CD">
        <w:t xml:space="preserve"> </w:t>
      </w:r>
    </w:p>
    <w:p w14:paraId="60FF2D22" w14:textId="289C363F" w:rsidR="00415A1D" w:rsidRPr="00482A6C" w:rsidRDefault="005900D8" w:rsidP="003A52ED">
      <w:pPr>
        <w:spacing w:before="6" w:after="6" w:line="288" w:lineRule="auto"/>
        <w:jc w:val="both"/>
        <w:rPr>
          <w:i/>
          <w:iCs/>
        </w:rPr>
      </w:pPr>
      <w:r>
        <w:t>K</w:t>
      </w:r>
      <w:r w:rsidR="00AB46DD">
        <w:t xml:space="preserve">onieczność </w:t>
      </w:r>
      <w:r w:rsidR="007A67D8">
        <w:t xml:space="preserve">zapewnienia </w:t>
      </w:r>
      <w:r w:rsidR="00AB46DD">
        <w:t>bezpieczeństw</w:t>
      </w:r>
      <w:r w:rsidR="00684537">
        <w:t>a</w:t>
      </w:r>
      <w:r w:rsidR="00AB46DD">
        <w:t xml:space="preserve"> finansowe</w:t>
      </w:r>
      <w:r w:rsidR="00684537">
        <w:t>go</w:t>
      </w:r>
      <w:r w:rsidR="00AB46DD">
        <w:t xml:space="preserve"> Polak</w:t>
      </w:r>
      <w:r w:rsidR="00D949AC">
        <w:t>ów</w:t>
      </w:r>
      <w:r w:rsidR="00FD034B">
        <w:t xml:space="preserve"> po zakończeniu przez nich aktywności zawodowej</w:t>
      </w:r>
      <w:r w:rsidR="00C233D6">
        <w:t xml:space="preserve"> </w:t>
      </w:r>
      <w:r w:rsidR="00F35C56">
        <w:t>–</w:t>
      </w:r>
      <w:r w:rsidR="005365BF">
        <w:t xml:space="preserve"> zwłaszcza</w:t>
      </w:r>
      <w:r w:rsidR="00FD034B">
        <w:t xml:space="preserve"> </w:t>
      </w:r>
      <w:r>
        <w:t xml:space="preserve">w świetle </w:t>
      </w:r>
      <w:r w:rsidR="00A33A4C">
        <w:t>wyzwań</w:t>
      </w:r>
      <w:r w:rsidR="00C233D6">
        <w:t>,</w:t>
      </w:r>
      <w:r w:rsidR="00A33A4C">
        <w:t xml:space="preserve"> przed jakimi stoi </w:t>
      </w:r>
      <w:r w:rsidR="009649AC">
        <w:t>funkcjonujący w P</w:t>
      </w:r>
      <w:r w:rsidR="005832FE">
        <w:t>ol</w:t>
      </w:r>
      <w:r w:rsidR="009649AC">
        <w:t xml:space="preserve">sce </w:t>
      </w:r>
      <w:r w:rsidR="00A33A4C">
        <w:t>system emerytalny</w:t>
      </w:r>
      <w:r w:rsidR="00FD034B">
        <w:t xml:space="preserve"> </w:t>
      </w:r>
      <w:r w:rsidR="00F35C56">
        <w:t>–</w:t>
      </w:r>
      <w:r w:rsidR="009649AC">
        <w:t xml:space="preserve"> </w:t>
      </w:r>
      <w:r w:rsidR="006B4DFF">
        <w:t>był</w:t>
      </w:r>
      <w:r w:rsidR="00FD034B">
        <w:t>o</w:t>
      </w:r>
      <w:r w:rsidR="0089351E">
        <w:t xml:space="preserve"> jednym z impulsów </w:t>
      </w:r>
      <w:r w:rsidR="006B4DFF">
        <w:t>d</w:t>
      </w:r>
      <w:r w:rsidR="001B6D96">
        <w:t xml:space="preserve">o </w:t>
      </w:r>
      <w:r w:rsidR="00C015A6">
        <w:t>podjęcia przez Radę Ministr</w:t>
      </w:r>
      <w:r w:rsidR="005832FE">
        <w:t>ów</w:t>
      </w:r>
      <w:r w:rsidR="00C015A6">
        <w:t xml:space="preserve"> prac </w:t>
      </w:r>
      <w:r w:rsidR="0084375B">
        <w:t xml:space="preserve">nad nową </w:t>
      </w:r>
      <w:r w:rsidR="00E92D0E">
        <w:t xml:space="preserve">strategią działań rządu, </w:t>
      </w:r>
      <w:r w:rsidR="003C326C">
        <w:t xml:space="preserve">która stanowić miała </w:t>
      </w:r>
      <w:r w:rsidR="00C015A6">
        <w:t xml:space="preserve">odpowiedź zarówno na </w:t>
      </w:r>
      <w:r w:rsidR="005832FE">
        <w:t>dotychczasowe</w:t>
      </w:r>
      <w:r w:rsidR="004A3C1A">
        <w:t xml:space="preserve"> </w:t>
      </w:r>
      <w:r w:rsidR="00C015A6">
        <w:t>błędy transformacji, jak i</w:t>
      </w:r>
      <w:r w:rsidR="002558C2">
        <w:t> </w:t>
      </w:r>
      <w:r w:rsidR="00C015A6">
        <w:t>na nowe wyzwania stojące przed szeroko definiowaną polityką</w:t>
      </w:r>
      <w:r w:rsidR="004A3C1A">
        <w:t xml:space="preserve"> </w:t>
      </w:r>
      <w:r w:rsidR="00C015A6">
        <w:t xml:space="preserve">społeczno-gospodarczą </w:t>
      </w:r>
      <w:r w:rsidR="00482A6C">
        <w:t>nowoczesnego</w:t>
      </w:r>
      <w:r w:rsidR="00C015A6">
        <w:t xml:space="preserve"> państwa</w:t>
      </w:r>
      <w:r w:rsidR="00E92D0E">
        <w:t>.</w:t>
      </w:r>
      <w:r w:rsidR="006B4DFF">
        <w:t xml:space="preserve"> </w:t>
      </w:r>
      <w:r w:rsidR="002F09FE">
        <w:t xml:space="preserve">Jak podkreślił premier Mateusz Morawiecki </w:t>
      </w:r>
      <w:r w:rsidR="00CC4406">
        <w:t>we wstępie do „</w:t>
      </w:r>
      <w:r w:rsidR="00CC4406" w:rsidRPr="00CC4406">
        <w:t xml:space="preserve">Strategii na rzecz Odpowiedzianego </w:t>
      </w:r>
      <w:r w:rsidR="00CC4406" w:rsidRPr="00482A6C">
        <w:t>Rozw</w:t>
      </w:r>
      <w:r w:rsidR="005832FE">
        <w:t>o</w:t>
      </w:r>
      <w:r w:rsidR="00CC4406" w:rsidRPr="00482A6C">
        <w:t>ju</w:t>
      </w:r>
      <w:r w:rsidR="00482A6C" w:rsidRPr="00482A6C">
        <w:rPr>
          <w:rFonts w:ascii="TimesNewRomanPS-ItalicMT" w:hAnsi="TimesNewRomanPS-ItalicMT" w:cs="TimesNewRomanPS-ItalicMT"/>
          <w:color w:val="4D4D4D"/>
          <w:sz w:val="38"/>
          <w:szCs w:val="38"/>
        </w:rPr>
        <w:t xml:space="preserve"> </w:t>
      </w:r>
      <w:r w:rsidR="00482A6C" w:rsidRPr="00482A6C">
        <w:t>do roku 2020 (z perspektywą do 2030 r</w:t>
      </w:r>
      <w:r w:rsidR="008836C1">
        <w:t>oku</w:t>
      </w:r>
      <w:r w:rsidR="00482A6C" w:rsidRPr="00482A6C">
        <w:t>)</w:t>
      </w:r>
      <w:r w:rsidR="00E81FEC">
        <w:t>”</w:t>
      </w:r>
      <w:r w:rsidR="00CC4406" w:rsidRPr="00482A6C">
        <w:t xml:space="preserve"> </w:t>
      </w:r>
      <w:r w:rsidR="00482A6C">
        <w:t xml:space="preserve">– </w:t>
      </w:r>
      <w:r w:rsidR="00482A6C" w:rsidRPr="00482A6C">
        <w:rPr>
          <w:i/>
          <w:iCs/>
        </w:rPr>
        <w:t>„</w:t>
      </w:r>
      <w:r w:rsidR="00CC4406" w:rsidRPr="00CC4406">
        <w:rPr>
          <w:i/>
          <w:iCs/>
        </w:rPr>
        <w:t>w obliczu dzisiejszych wyzwań cywilizacyjnych, niepokojów rynkowych i wyzwań społecznych,</w:t>
      </w:r>
      <w:r w:rsidR="00482A6C" w:rsidRPr="00482A6C">
        <w:rPr>
          <w:i/>
          <w:iCs/>
        </w:rPr>
        <w:t xml:space="preserve"> </w:t>
      </w:r>
      <w:r w:rsidR="00CC4406" w:rsidRPr="00CC4406">
        <w:rPr>
          <w:i/>
          <w:iCs/>
        </w:rPr>
        <w:t>a także przy obecnym postępie technologicznym, zaprojektowanie najlepszych metod rozwoju należy</w:t>
      </w:r>
      <w:r w:rsidR="00482A6C" w:rsidRPr="00482A6C">
        <w:rPr>
          <w:i/>
          <w:iCs/>
        </w:rPr>
        <w:t xml:space="preserve"> </w:t>
      </w:r>
      <w:r w:rsidR="00CC4406" w:rsidRPr="00482A6C">
        <w:rPr>
          <w:i/>
          <w:iCs/>
        </w:rPr>
        <w:t>do fundamentalnych obowiązków współczesnego państwa</w:t>
      </w:r>
      <w:r w:rsidR="00482A6C" w:rsidRPr="00482A6C">
        <w:rPr>
          <w:i/>
          <w:iCs/>
        </w:rPr>
        <w:t>”</w:t>
      </w:r>
      <w:r w:rsidR="00CC4406" w:rsidRPr="00482A6C">
        <w:rPr>
          <w:i/>
          <w:iCs/>
        </w:rPr>
        <w:t>.</w:t>
      </w:r>
    </w:p>
    <w:p w14:paraId="387357DB" w14:textId="3DF664F4" w:rsidR="00407ADC" w:rsidRPr="003F5EBC" w:rsidRDefault="00407ADC" w:rsidP="003A52ED">
      <w:pPr>
        <w:spacing w:before="6" w:after="6" w:line="288" w:lineRule="auto"/>
        <w:jc w:val="both"/>
      </w:pPr>
      <w:r>
        <w:t xml:space="preserve">Ustawa o pracowniczych planach kapitałowych </w:t>
      </w:r>
      <w:r w:rsidR="0016399B">
        <w:t>jest jednym z elementów tej strategii</w:t>
      </w:r>
      <w:r w:rsidR="00953698">
        <w:t>.</w:t>
      </w:r>
      <w:r w:rsidR="00952C1A">
        <w:t xml:space="preserve"> S</w:t>
      </w:r>
      <w:r>
        <w:t xml:space="preserve">tanowi </w:t>
      </w:r>
      <w:r w:rsidR="00952C1A">
        <w:t xml:space="preserve">ona </w:t>
      </w:r>
      <w:r>
        <w:t xml:space="preserve">realizację celów </w:t>
      </w:r>
      <w:r w:rsidRPr="00183652">
        <w:t xml:space="preserve">określonych </w:t>
      </w:r>
      <w:r>
        <w:t xml:space="preserve">najpierw </w:t>
      </w:r>
      <w:r w:rsidRPr="00183652">
        <w:t xml:space="preserve">w </w:t>
      </w:r>
      <w:r w:rsidRPr="003F5EBC">
        <w:t>uchwa</w:t>
      </w:r>
      <w:r>
        <w:t>le Rady Ministrów nr</w:t>
      </w:r>
      <w:r w:rsidRPr="003F5EBC">
        <w:t xml:space="preserve"> 14/2016</w:t>
      </w:r>
      <w:r w:rsidRPr="00607254">
        <w:t xml:space="preserve"> </w:t>
      </w:r>
      <w:r w:rsidRPr="00183652">
        <w:t xml:space="preserve">z 16 lutego 2016 r. </w:t>
      </w:r>
      <w:r w:rsidRPr="003F5EBC">
        <w:t>w</w:t>
      </w:r>
      <w:r w:rsidR="002C3C8F">
        <w:t> </w:t>
      </w:r>
      <w:r w:rsidRPr="003F5EBC">
        <w:t>sprawie przyjęcia „Planu na rzecz odpowiedzialnego rozwoju”</w:t>
      </w:r>
      <w:r w:rsidR="00B7658C">
        <w:t>,</w:t>
      </w:r>
      <w:r>
        <w:t xml:space="preserve"> </w:t>
      </w:r>
      <w:r w:rsidR="00B7658C">
        <w:t>a</w:t>
      </w:r>
      <w:r>
        <w:t xml:space="preserve"> następnie </w:t>
      </w:r>
      <w:r w:rsidR="00F35C56">
        <w:t>–</w:t>
      </w:r>
      <w:r>
        <w:t xml:space="preserve"> w opracowanej na jego podstawie i przyjętej </w:t>
      </w:r>
      <w:r w:rsidRPr="003F5EBC">
        <w:t>14 lutego 2017 r. przez Radę Ministrów</w:t>
      </w:r>
      <w:r>
        <w:t xml:space="preserve"> </w:t>
      </w:r>
      <w:r w:rsidR="00F35C56">
        <w:t>–</w:t>
      </w:r>
      <w:r w:rsidRPr="003F5EBC">
        <w:t xml:space="preserve"> Strategii na rzecz Odpowiedzianego Rozwoju (SOR)</w:t>
      </w:r>
      <w:r>
        <w:t>.</w:t>
      </w:r>
      <w:r w:rsidRPr="003F5EBC">
        <w:t xml:space="preserve"> </w:t>
      </w:r>
      <w:r>
        <w:t>Ustawa o PPK uwzględnia</w:t>
      </w:r>
      <w:r w:rsidRPr="00B56E30">
        <w:t xml:space="preserve"> </w:t>
      </w:r>
      <w:r>
        <w:t xml:space="preserve">również </w:t>
      </w:r>
      <w:r w:rsidRPr="00B56E30">
        <w:t xml:space="preserve">wnioski z </w:t>
      </w:r>
      <w:r>
        <w:t>przeprowadzonego w</w:t>
      </w:r>
      <w:r w:rsidR="002558C2">
        <w:t> </w:t>
      </w:r>
      <w:r>
        <w:t xml:space="preserve">2016 roku </w:t>
      </w:r>
      <w:r w:rsidRPr="00B56E30">
        <w:t>Przeglądu Emerytalnego</w:t>
      </w:r>
      <w:r>
        <w:t>.</w:t>
      </w:r>
    </w:p>
    <w:p w14:paraId="3BFE329E" w14:textId="63B3106F" w:rsidR="00407ADC" w:rsidRDefault="00407ADC" w:rsidP="003A52ED">
      <w:pPr>
        <w:spacing w:before="6" w:after="6" w:line="288" w:lineRule="auto"/>
        <w:jc w:val="both"/>
      </w:pPr>
      <w:r>
        <w:t xml:space="preserve">Zgodnie z </w:t>
      </w:r>
      <w:r w:rsidR="007F3C8F">
        <w:t>SOR</w:t>
      </w:r>
      <w:r w:rsidRPr="00CE683C">
        <w:t xml:space="preserve"> dla podniesienia potencjału rozwoju i stabilności gospodarki niezbędny jest</w:t>
      </w:r>
      <w:r>
        <w:t xml:space="preserve">: </w:t>
      </w:r>
    </w:p>
    <w:p w14:paraId="21E8AADF" w14:textId="77777777" w:rsidR="00407ADC" w:rsidRDefault="00407ADC" w:rsidP="003A52ED">
      <w:pPr>
        <w:pStyle w:val="Akapitzlist"/>
        <w:numPr>
          <w:ilvl w:val="0"/>
          <w:numId w:val="1"/>
        </w:numPr>
        <w:spacing w:before="6" w:after="6" w:line="288" w:lineRule="auto"/>
        <w:jc w:val="both"/>
      </w:pPr>
      <w:r w:rsidRPr="00CE683C">
        <w:t xml:space="preserve">wzrost stopy oszczędności i finansowania inwestycji ze źródeł krajowych, </w:t>
      </w:r>
    </w:p>
    <w:p w14:paraId="75EFEDD2" w14:textId="77777777" w:rsidR="00407ADC" w:rsidRDefault="00407ADC" w:rsidP="003A52ED">
      <w:pPr>
        <w:pStyle w:val="Akapitzlist"/>
        <w:numPr>
          <w:ilvl w:val="0"/>
          <w:numId w:val="1"/>
        </w:numPr>
        <w:spacing w:before="6" w:after="6" w:line="288" w:lineRule="auto"/>
        <w:jc w:val="both"/>
      </w:pPr>
      <w:r w:rsidRPr="00CE683C">
        <w:t xml:space="preserve">zwiększenie bezpieczeństwa finansowego Polaków i stabilności systemu finansów publicznych oraz </w:t>
      </w:r>
    </w:p>
    <w:p w14:paraId="10839611" w14:textId="77777777" w:rsidR="00407ADC" w:rsidRDefault="00407ADC" w:rsidP="003A52ED">
      <w:pPr>
        <w:pStyle w:val="Akapitzlist"/>
        <w:numPr>
          <w:ilvl w:val="0"/>
          <w:numId w:val="1"/>
        </w:numPr>
        <w:spacing w:before="6" w:after="6" w:line="288" w:lineRule="auto"/>
        <w:jc w:val="both"/>
      </w:pPr>
      <w:r w:rsidRPr="00CE683C">
        <w:t>rozwój lokalnego rynku kapitałowego.</w:t>
      </w:r>
    </w:p>
    <w:p w14:paraId="2320B88F" w14:textId="77777777" w:rsidR="00407ADC" w:rsidRDefault="00407ADC" w:rsidP="003A52ED">
      <w:pPr>
        <w:spacing w:before="6" w:after="6" w:line="288" w:lineRule="auto"/>
        <w:jc w:val="both"/>
      </w:pPr>
      <w:r>
        <w:t>Zdecydowano, że c</w:t>
      </w:r>
      <w:r w:rsidRPr="00CE683C">
        <w:t>ele</w:t>
      </w:r>
      <w:r>
        <w:t xml:space="preserve"> te </w:t>
      </w:r>
      <w:r w:rsidRPr="00CE683C">
        <w:t>będą</w:t>
      </w:r>
      <w:r>
        <w:t xml:space="preserve"> realizowane</w:t>
      </w:r>
      <w:r w:rsidRPr="00CE683C">
        <w:t xml:space="preserve"> w ramach projektu strategicznego Program Budowy Kapitału (PBK), który</w:t>
      </w:r>
      <w:r>
        <w:t xml:space="preserve"> m.in. </w:t>
      </w:r>
      <w:r w:rsidRPr="00CE683C">
        <w:t>m</w:t>
      </w:r>
      <w:r>
        <w:t xml:space="preserve">iał </w:t>
      </w:r>
      <w:r w:rsidRPr="00CE683C">
        <w:t>zapewnić stworzenie dobrowolnego i prywatnego kapitałowego systemu oszczędzania w Polsce</w:t>
      </w:r>
      <w:r>
        <w:t xml:space="preserve">. </w:t>
      </w:r>
      <w:r w:rsidRPr="00654AA2">
        <w:t xml:space="preserve">W tym zakresie priorytetami PBK </w:t>
      </w:r>
      <w:r>
        <w:t>były</w:t>
      </w:r>
      <w:r w:rsidRPr="00654AA2">
        <w:t xml:space="preserve">: </w:t>
      </w:r>
    </w:p>
    <w:p w14:paraId="39550A22" w14:textId="77777777" w:rsidR="00407ADC" w:rsidRDefault="00407ADC" w:rsidP="003A52ED">
      <w:pPr>
        <w:pStyle w:val="Akapitzlist"/>
        <w:numPr>
          <w:ilvl w:val="0"/>
          <w:numId w:val="2"/>
        </w:numPr>
        <w:spacing w:before="6" w:after="6" w:line="288" w:lineRule="auto"/>
        <w:jc w:val="both"/>
      </w:pPr>
      <w:r w:rsidRPr="00654AA2">
        <w:t xml:space="preserve">polityka inwestycyjna promująca rozwój lokalnego rynku kapitałowego, </w:t>
      </w:r>
    </w:p>
    <w:p w14:paraId="0E729F6F" w14:textId="77777777" w:rsidR="00407ADC" w:rsidRDefault="00407ADC" w:rsidP="003A52ED">
      <w:pPr>
        <w:pStyle w:val="Akapitzlist"/>
        <w:numPr>
          <w:ilvl w:val="0"/>
          <w:numId w:val="2"/>
        </w:numPr>
        <w:spacing w:before="6" w:after="6" w:line="288" w:lineRule="auto"/>
        <w:jc w:val="both"/>
      </w:pPr>
      <w:r w:rsidRPr="00654AA2">
        <w:t xml:space="preserve">odbiurokratyzowanie programów emerytalnych i zapewnienie łatwego dostępu do informacji o programach dla uczestników, </w:t>
      </w:r>
    </w:p>
    <w:p w14:paraId="5E5B1A12" w14:textId="77777777" w:rsidR="00407ADC" w:rsidRPr="0074223B" w:rsidRDefault="00407ADC" w:rsidP="003A52ED">
      <w:pPr>
        <w:pStyle w:val="Akapitzlist"/>
        <w:numPr>
          <w:ilvl w:val="0"/>
          <w:numId w:val="2"/>
        </w:numPr>
        <w:spacing w:before="6" w:after="6" w:line="288" w:lineRule="auto"/>
        <w:jc w:val="both"/>
      </w:pPr>
      <w:r w:rsidRPr="00654AA2">
        <w:t xml:space="preserve">budowa stabilnego w długim terminie i powszechnego dobrowolnego kapitałowego systemu </w:t>
      </w:r>
      <w:r w:rsidRPr="0074223B">
        <w:t>emerytalnego</w:t>
      </w:r>
      <w:r w:rsidR="00C041D8" w:rsidRPr="0074223B">
        <w:t>,</w:t>
      </w:r>
      <w:r w:rsidRPr="0074223B">
        <w:t xml:space="preserve"> opartego o </w:t>
      </w:r>
      <w:r w:rsidR="008644EF" w:rsidRPr="0074223B">
        <w:t>trz</w:t>
      </w:r>
      <w:r w:rsidR="0074223B" w:rsidRPr="0074223B">
        <w:t>ecio</w:t>
      </w:r>
      <w:r w:rsidRPr="0074223B">
        <w:t xml:space="preserve">filarowe programy oszczędnościowe. </w:t>
      </w:r>
    </w:p>
    <w:p w14:paraId="68041FF2" w14:textId="77777777" w:rsidR="00407ADC" w:rsidRPr="00654AA2" w:rsidRDefault="00407ADC" w:rsidP="003A52ED">
      <w:pPr>
        <w:spacing w:before="6" w:after="6" w:line="288" w:lineRule="auto"/>
        <w:jc w:val="both"/>
      </w:pPr>
      <w:r w:rsidRPr="00654AA2">
        <w:t>Silny rynek kapitałowy jest bowiem niezbędny dla budowy silnych fundamentów gospodarki, podwyższania potencjału wzrostu dochodów indywidualnych i PKB, co długoterminowo sprzyja wzmocnieniu stabilności systemu emerytalnego oraz wzrostowi świadczeń emerytalnych.</w:t>
      </w:r>
    </w:p>
    <w:p w14:paraId="014A66FA" w14:textId="77777777" w:rsidR="00001860" w:rsidRDefault="00407ADC" w:rsidP="003A52ED">
      <w:pPr>
        <w:spacing w:before="6" w:after="6" w:line="288" w:lineRule="auto"/>
        <w:jc w:val="both"/>
      </w:pPr>
      <w:r>
        <w:t xml:space="preserve">Ustawa o pracowniczych planach kapitałowych </w:t>
      </w:r>
      <w:r w:rsidRPr="00654AA2">
        <w:t>realizuje założenia wprowadzane w ramach PBK w</w:t>
      </w:r>
      <w:r w:rsidR="002558C2">
        <w:t> </w:t>
      </w:r>
      <w:r w:rsidRPr="00654AA2">
        <w:t xml:space="preserve">zakresie odnoszącym się do pierwszego filaru PBK, tj. wprowadzenia powszechnego systemu dobrowolnych </w:t>
      </w:r>
      <w:r w:rsidR="00224798">
        <w:t>trzecio</w:t>
      </w:r>
      <w:r w:rsidRPr="00654AA2">
        <w:t>filarowych programów oszczędzania na cele emerytalne w sektorze przedsiębiorstw.</w:t>
      </w:r>
    </w:p>
    <w:p w14:paraId="1E5D330E" w14:textId="77777777" w:rsidR="00001860" w:rsidRDefault="00407ADC" w:rsidP="003A52ED">
      <w:pPr>
        <w:spacing w:before="6" w:after="6" w:line="288" w:lineRule="auto"/>
        <w:jc w:val="both"/>
      </w:pPr>
      <w:r w:rsidRPr="00C014BB">
        <w:t>Uzgodnienie kluczowych założeń programu PPK to efekt wspólnej pracy: rządu, Polskiego Fundusz</w:t>
      </w:r>
      <w:r w:rsidR="000E4FC3">
        <w:t>u</w:t>
      </w:r>
      <w:r w:rsidRPr="00C014BB">
        <w:t xml:space="preserve"> Rozwoju, organizacji pracodawców i związków zawodowych.</w:t>
      </w:r>
    </w:p>
    <w:p w14:paraId="787C5655" w14:textId="479A19DA" w:rsidR="00407ADC" w:rsidRDefault="00407ADC" w:rsidP="003A52ED">
      <w:pPr>
        <w:spacing w:before="6" w:after="6" w:line="288" w:lineRule="auto"/>
        <w:jc w:val="both"/>
      </w:pPr>
      <w:r>
        <w:t>Rządowy p</w:t>
      </w:r>
      <w:r w:rsidRPr="003721CF">
        <w:t xml:space="preserve">rojekt ustawy </w:t>
      </w:r>
      <w:r>
        <w:t xml:space="preserve">był </w:t>
      </w:r>
      <w:r w:rsidRPr="003721CF">
        <w:t>konsultowany</w:t>
      </w:r>
      <w:r>
        <w:t xml:space="preserve"> </w:t>
      </w:r>
      <w:r w:rsidRPr="003721CF">
        <w:t>m.in. z: Izbą Gospodarczą Towarzystw Emerytalnych, Giełdą Papierów Wartościowych, Narodowym Bankiem Polskim, Komisją Nadzoru Finansowego, Rzecznikiem Finansowym, Krajowym Depozytem Papierów Wartościowych, Izbą Zarządzającą Funduszami i</w:t>
      </w:r>
      <w:r w:rsidR="002558C2">
        <w:t> </w:t>
      </w:r>
      <w:r w:rsidRPr="003721CF">
        <w:t xml:space="preserve">Aktywami, Polską Izbą Ubezpieczeń, Związkiem Banków Polskich, Związkiem Przedsiębiorców </w:t>
      </w:r>
      <w:r w:rsidRPr="003721CF">
        <w:lastRenderedPageBreak/>
        <w:t>i</w:t>
      </w:r>
      <w:r w:rsidR="002558C2">
        <w:t> </w:t>
      </w:r>
      <w:r w:rsidRPr="003721CF">
        <w:t xml:space="preserve">Pracodawców, Krajową Izbą Gospodarczą, Federacją Przedsiębiorców Polskich. </w:t>
      </w:r>
      <w:r>
        <w:t xml:space="preserve">Został on </w:t>
      </w:r>
      <w:r w:rsidRPr="003721CF">
        <w:t>również przesłany do zaopiniowania przez szerokie grono partnerów społecznych, w tym przez związki zawodowe i organizacje pracodawców.</w:t>
      </w:r>
      <w:r>
        <w:t xml:space="preserve"> </w:t>
      </w:r>
    </w:p>
    <w:p w14:paraId="5508F3B3" w14:textId="65B986B3" w:rsidR="00407ADC" w:rsidRPr="004F2940" w:rsidRDefault="00E805BC" w:rsidP="003A52ED">
      <w:pPr>
        <w:spacing w:before="6" w:after="6" w:line="288" w:lineRule="auto"/>
        <w:jc w:val="both"/>
      </w:pPr>
      <w:r>
        <w:t xml:space="preserve">W dniu </w:t>
      </w:r>
      <w:r w:rsidR="00407ADC">
        <w:t>28 sierpnia 2018 r. – projekt ustawy o pracowniczych planach kapitałowych został zaakceptowany przez Radę Ministrów, a następnie skierowany do</w:t>
      </w:r>
      <w:r w:rsidR="005365BF">
        <w:t xml:space="preserve"> sejmu (druk sejmowy nr 2811). </w:t>
      </w:r>
      <w:r w:rsidR="00407ADC">
        <w:t>Ustawa została uchwalona 4 października 2018 r. Weszła w życie 1 stycznia 2019 r.</w:t>
      </w:r>
    </w:p>
    <w:p w14:paraId="537A0327" w14:textId="77777777" w:rsidR="00D4744B" w:rsidRPr="004F2940" w:rsidRDefault="00D4744B" w:rsidP="003A52ED">
      <w:pPr>
        <w:spacing w:before="6" w:after="6" w:line="288" w:lineRule="auto"/>
        <w:jc w:val="both"/>
      </w:pPr>
    </w:p>
    <w:p w14:paraId="0AD7C2F1" w14:textId="77777777" w:rsidR="004F2940" w:rsidRPr="00FA0F2B" w:rsidRDefault="004F2940">
      <w:pPr>
        <w:pStyle w:val="Nagwek2"/>
        <w:numPr>
          <w:ilvl w:val="0"/>
          <w:numId w:val="23"/>
        </w:numPr>
        <w:spacing w:before="6" w:after="6" w:line="288" w:lineRule="auto"/>
        <w:jc w:val="both"/>
      </w:pPr>
      <w:bookmarkStart w:id="47" w:name="_Toc121828613"/>
      <w:r w:rsidRPr="00FA0F2B">
        <w:t>Cel</w:t>
      </w:r>
      <w:r w:rsidR="004D7919" w:rsidRPr="00FA0F2B">
        <w:t>e</w:t>
      </w:r>
      <w:r w:rsidRPr="00FA0F2B">
        <w:t xml:space="preserve"> ustawy o PPK</w:t>
      </w:r>
      <w:bookmarkEnd w:id="47"/>
    </w:p>
    <w:p w14:paraId="125E4DE0" w14:textId="391126F6" w:rsidR="00396C8E" w:rsidRPr="00396C8E" w:rsidRDefault="00407ADC" w:rsidP="003A52ED">
      <w:pPr>
        <w:spacing w:before="6" w:after="6" w:line="288" w:lineRule="auto"/>
        <w:jc w:val="both"/>
      </w:pPr>
      <w:r w:rsidRPr="00DB24B1">
        <w:t xml:space="preserve">Podstawowym celem PPK jest </w:t>
      </w:r>
      <w:r w:rsidR="00C46D66" w:rsidRPr="00C46D66">
        <w:t>istotne podniesienie bezpieczeństwa finansowego Polaków w okresie emerytalnym.</w:t>
      </w:r>
      <w:r w:rsidR="00D56CDB">
        <w:t xml:space="preserve"> </w:t>
      </w:r>
      <w:r w:rsidR="00C6354D">
        <w:t xml:space="preserve">Stworzenie nowego </w:t>
      </w:r>
      <w:r w:rsidR="00D56CDB">
        <w:t>– powszechn</w:t>
      </w:r>
      <w:r w:rsidR="00C6354D">
        <w:t xml:space="preserve">ego – programu </w:t>
      </w:r>
      <w:r w:rsidR="00D56CDB">
        <w:t xml:space="preserve">długoterminowego oszczędzania </w:t>
      </w:r>
      <w:r w:rsidR="006E3B8A">
        <w:t>to</w:t>
      </w:r>
      <w:r w:rsidR="007F3C8F">
        <w:t> </w:t>
      </w:r>
      <w:r w:rsidR="006E3B8A">
        <w:t xml:space="preserve">realizacja </w:t>
      </w:r>
      <w:r w:rsidR="00673DA5" w:rsidRPr="008945BD">
        <w:t>postulat</w:t>
      </w:r>
      <w:r w:rsidR="006E3B8A">
        <w:t>u</w:t>
      </w:r>
      <w:r w:rsidR="00673DA5" w:rsidRPr="008945BD">
        <w:t xml:space="preserve"> dywersyfikacji źródeł finansowania dochodów</w:t>
      </w:r>
      <w:r w:rsidR="006E3B8A">
        <w:t xml:space="preserve"> </w:t>
      </w:r>
      <w:r w:rsidR="00673DA5" w:rsidRPr="00673DA5">
        <w:t>na starość, który został wpisany w</w:t>
      </w:r>
      <w:r w:rsidR="002558C2">
        <w:t> </w:t>
      </w:r>
      <w:r w:rsidR="00673DA5" w:rsidRPr="00673DA5">
        <w:t>Program Budowy Kapitału, stanowiąc element</w:t>
      </w:r>
      <w:r w:rsidR="006E3B8A">
        <w:t xml:space="preserve"> </w:t>
      </w:r>
      <w:r w:rsidR="00673DA5" w:rsidRPr="00673DA5">
        <w:t xml:space="preserve">Strategii na rzecz Odpowiedzialnego Rozwoju. </w:t>
      </w:r>
      <w:r w:rsidR="00E2764E" w:rsidRPr="008945BD">
        <w:t>Aby utrzymać obecny poziom</w:t>
      </w:r>
      <w:r w:rsidR="00E2764E">
        <w:t xml:space="preserve"> </w:t>
      </w:r>
      <w:r w:rsidR="00E2764E" w:rsidRPr="00E2764E">
        <w:t>zabezpieczenia potrzeb życiowych po osiągnięciu wieku emerytalnego, potrzeba jest</w:t>
      </w:r>
      <w:r w:rsidR="00E2764E">
        <w:t xml:space="preserve"> </w:t>
      </w:r>
      <w:r w:rsidR="00967CCC">
        <w:t xml:space="preserve">bowiem </w:t>
      </w:r>
      <w:r w:rsidR="00E2764E" w:rsidRPr="00E2764E">
        <w:t>bardzo dużego wzrostu wydajności pracy albo zapewnienia dodatkowych oszczędności.</w:t>
      </w:r>
      <w:r w:rsidR="00E2764E">
        <w:t xml:space="preserve"> </w:t>
      </w:r>
      <w:r w:rsidR="002C3C8F">
        <w:t>P</w:t>
      </w:r>
      <w:r w:rsidR="0084666D">
        <w:t xml:space="preserve">racownicze plany kapitałowe </w:t>
      </w:r>
      <w:r w:rsidR="00327292">
        <w:t xml:space="preserve">mają te dodatkowe oszczędności </w:t>
      </w:r>
      <w:r w:rsidR="0084666D">
        <w:t>budować.</w:t>
      </w:r>
      <w:r w:rsidR="00446108">
        <w:t xml:space="preserve"> </w:t>
      </w:r>
      <w:r w:rsidR="008429AE">
        <w:t xml:space="preserve">Mają też mieć </w:t>
      </w:r>
      <w:r w:rsidR="00F35C56">
        <w:t>–</w:t>
      </w:r>
      <w:r w:rsidR="00C6572D">
        <w:t xml:space="preserve"> </w:t>
      </w:r>
      <w:r w:rsidR="004F3A6D">
        <w:t>w przeciwieństwie do innych</w:t>
      </w:r>
      <w:r w:rsidR="00C6572D">
        <w:t xml:space="preserve">, </w:t>
      </w:r>
      <w:r w:rsidR="00C43E6D">
        <w:t>opisan</w:t>
      </w:r>
      <w:r w:rsidR="00615527">
        <w:t>ych</w:t>
      </w:r>
      <w:r w:rsidR="00C43E6D">
        <w:t xml:space="preserve"> wyżej</w:t>
      </w:r>
      <w:r w:rsidR="00C6572D">
        <w:t xml:space="preserve">, </w:t>
      </w:r>
      <w:r w:rsidR="00137020">
        <w:t>dobr</w:t>
      </w:r>
      <w:r w:rsidR="00FF2F4F">
        <w:t>owoln</w:t>
      </w:r>
      <w:r w:rsidR="00615527">
        <w:t>ych</w:t>
      </w:r>
      <w:r w:rsidR="00FF2F4F">
        <w:t xml:space="preserve"> </w:t>
      </w:r>
      <w:r w:rsidR="00C43E6D">
        <w:t>pro</w:t>
      </w:r>
      <w:r w:rsidR="00F930F8">
        <w:t>gram</w:t>
      </w:r>
      <w:r w:rsidR="00615527">
        <w:t>ów</w:t>
      </w:r>
      <w:r w:rsidR="00F930F8">
        <w:t xml:space="preserve"> oferując</w:t>
      </w:r>
      <w:r w:rsidR="00615527">
        <w:t>ych</w:t>
      </w:r>
      <w:r w:rsidR="00F930F8">
        <w:t xml:space="preserve"> </w:t>
      </w:r>
      <w:r w:rsidR="00F412D5">
        <w:t>możliwość dodatkowego oszczędzania na cele emerytalne</w:t>
      </w:r>
      <w:r w:rsidR="001870E8">
        <w:t xml:space="preserve"> </w:t>
      </w:r>
      <w:r w:rsidR="00FF2F4F">
        <w:t>(PPE, IKE,</w:t>
      </w:r>
      <w:r w:rsidR="00C6572D">
        <w:t xml:space="preserve"> </w:t>
      </w:r>
      <w:r w:rsidR="00FF2F4F">
        <w:t>IKZE)</w:t>
      </w:r>
      <w:r w:rsidR="00615527">
        <w:t xml:space="preserve"> </w:t>
      </w:r>
      <w:r w:rsidR="00F35C56">
        <w:t>–</w:t>
      </w:r>
      <w:r w:rsidR="00615527">
        <w:t xml:space="preserve"> charakter powszechny.</w:t>
      </w:r>
    </w:p>
    <w:p w14:paraId="46DE584D" w14:textId="77777777" w:rsidR="00BB0E67" w:rsidRDefault="00BB0E67" w:rsidP="003A52ED">
      <w:pPr>
        <w:spacing w:before="6" w:after="6" w:line="288" w:lineRule="auto"/>
        <w:jc w:val="both"/>
      </w:pPr>
    </w:p>
    <w:p w14:paraId="5AEE5837" w14:textId="77777777" w:rsidR="00407ADC" w:rsidRPr="003F60F7" w:rsidRDefault="00407ADC" w:rsidP="003A52ED">
      <w:pPr>
        <w:spacing w:before="6" w:after="6" w:line="288" w:lineRule="auto"/>
        <w:jc w:val="both"/>
      </w:pPr>
      <w:r w:rsidRPr="003F60F7">
        <w:t>Budowa oszczędności systemowych, pracowniczych i indywidualnych jako rezultat wprowadzenia PPK służyć ma</w:t>
      </w:r>
      <w:r w:rsidR="007636C2">
        <w:t xml:space="preserve"> zatem</w:t>
      </w:r>
      <w:r w:rsidRPr="003F60F7">
        <w:t>:</w:t>
      </w:r>
    </w:p>
    <w:p w14:paraId="04BB1272" w14:textId="77777777" w:rsidR="00407ADC" w:rsidRPr="003F60F7" w:rsidRDefault="00407ADC" w:rsidP="003A52ED">
      <w:pPr>
        <w:numPr>
          <w:ilvl w:val="0"/>
          <w:numId w:val="3"/>
        </w:numPr>
        <w:spacing w:before="6" w:after="6" w:line="288" w:lineRule="auto"/>
        <w:jc w:val="both"/>
      </w:pPr>
      <w:r w:rsidRPr="003F60F7">
        <w:t xml:space="preserve">wzrostowi dochodów i aktywów gospodarstw domowych oraz zapewnieniu finansowego bezpieczeństwa rodziny; </w:t>
      </w:r>
    </w:p>
    <w:p w14:paraId="17BF5870" w14:textId="77777777" w:rsidR="00F52DFC" w:rsidRDefault="00407ADC" w:rsidP="003A52ED">
      <w:pPr>
        <w:numPr>
          <w:ilvl w:val="0"/>
          <w:numId w:val="3"/>
        </w:numPr>
        <w:spacing w:before="6" w:after="6" w:line="288" w:lineRule="auto"/>
        <w:jc w:val="both"/>
      </w:pPr>
      <w:r w:rsidRPr="003F60F7">
        <w:t xml:space="preserve">ograniczeniu efektu spadku stóp zastąpienia z tytułu emerytury otrzymywanej w ramach uczestnictwa w </w:t>
      </w:r>
      <w:r w:rsidR="00A66F56">
        <w:t>pier</w:t>
      </w:r>
      <w:r w:rsidR="00E67AB7">
        <w:t>w</w:t>
      </w:r>
      <w:r w:rsidR="00A66F56">
        <w:t>szym</w:t>
      </w:r>
      <w:r w:rsidRPr="003F60F7">
        <w:t xml:space="preserve"> filarze systemu emerytalnego (oszczędności w ramach PPK będą w istocie przeniesieniem konsumpcji na okresy przyszłe).</w:t>
      </w:r>
    </w:p>
    <w:p w14:paraId="22B07CEF" w14:textId="510EAE87" w:rsidR="00407ADC" w:rsidRDefault="00407ADC" w:rsidP="003A52ED">
      <w:pPr>
        <w:spacing w:before="6" w:after="6" w:line="288" w:lineRule="auto"/>
        <w:jc w:val="both"/>
      </w:pPr>
      <w:r w:rsidRPr="00DB24B1">
        <w:t xml:space="preserve">Ponadto oszczędności gromadzone co roku w ramach PPK </w:t>
      </w:r>
      <w:r>
        <w:t>mają dawać</w:t>
      </w:r>
      <w:r w:rsidRPr="00DB24B1">
        <w:t xml:space="preserve"> </w:t>
      </w:r>
      <w:r w:rsidR="00F35C56">
        <w:t>–</w:t>
      </w:r>
      <w:r>
        <w:t xml:space="preserve"> </w:t>
      </w:r>
      <w:r w:rsidRPr="003E12CF">
        <w:t>zgodnie z założeniami</w:t>
      </w:r>
      <w:r>
        <w:t xml:space="preserve"> </w:t>
      </w:r>
      <w:r w:rsidR="00F35C56">
        <w:t>–</w:t>
      </w:r>
      <w:r w:rsidRPr="003E12CF">
        <w:t xml:space="preserve"> </w:t>
      </w:r>
      <w:r w:rsidRPr="00DB24B1">
        <w:t>nowy impuls rozwojowy, stworzyć silny lokalny rynek kapitałowy, zmniejszyć zadłużenie zagraniczne, podnieść poziom majątku Polaków, przyspieszyć inwestycje i wzrost gospodarczy z korzyścią dla</w:t>
      </w:r>
      <w:r w:rsidR="007F3C8F">
        <w:t> </w:t>
      </w:r>
      <w:r w:rsidRPr="00DB24B1">
        <w:t>pracowników i pracodawców.</w:t>
      </w:r>
    </w:p>
    <w:p w14:paraId="67B591CC" w14:textId="5AC7DD33" w:rsidR="00407ADC" w:rsidRDefault="00407ADC" w:rsidP="003A52ED">
      <w:pPr>
        <w:spacing w:before="6" w:after="6" w:line="288" w:lineRule="auto"/>
        <w:jc w:val="both"/>
      </w:pPr>
      <w:r>
        <w:t>Jak wskazano w SOR</w:t>
      </w:r>
      <w:r w:rsidR="00770357">
        <w:t>,</w:t>
      </w:r>
      <w:r>
        <w:t xml:space="preserve"> b</w:t>
      </w:r>
      <w:r w:rsidRPr="000F1F65">
        <w:t>udowanie oszczędności jest fundamentalnym elementem wzmacniania krajowej gospodarki. Stanowią one istotne źródło akumulacji kapitału i tym samym warunek dla</w:t>
      </w:r>
      <w:r w:rsidR="00A560C0">
        <w:t> </w:t>
      </w:r>
      <w:r w:rsidRPr="000F1F65">
        <w:t xml:space="preserve">wzrostu gospodarczego. Odpowiedni poziom oszczędności krajowych zabezpiecza gospodarkę przed uzależnieniem od zagranicznych źródeł kapitału. Umożliwia także finansowanie przyszłych wydatków, zabezpieczając tym samym przyszłe potrzeby. </w:t>
      </w:r>
    </w:p>
    <w:p w14:paraId="3BA7290F" w14:textId="6E41CBB7" w:rsidR="00407ADC" w:rsidRDefault="00407ADC" w:rsidP="003A52ED">
      <w:pPr>
        <w:spacing w:before="6" w:after="6" w:line="288" w:lineRule="auto"/>
        <w:jc w:val="both"/>
      </w:pPr>
      <w:r>
        <w:t>Zgodnie z Oceną skutków regulacji (OSR)</w:t>
      </w:r>
      <w:r w:rsidR="00DD7E6A">
        <w:t xml:space="preserve"> dołączoną wraz z </w:t>
      </w:r>
      <w:r>
        <w:t>uzasadnieni</w:t>
      </w:r>
      <w:r w:rsidR="00DD7E6A">
        <w:t>em do</w:t>
      </w:r>
      <w:r>
        <w:t xml:space="preserve"> projektu ustawy o</w:t>
      </w:r>
      <w:r w:rsidR="00EF70ED">
        <w:t> </w:t>
      </w:r>
      <w:r>
        <w:t xml:space="preserve">pracowniczych planach kapitałowych (druk sejmowy nr 2811) ustawa ta </w:t>
      </w:r>
      <w:r w:rsidR="00F35C56">
        <w:t>–</w:t>
      </w:r>
      <w:r>
        <w:t xml:space="preserve"> realizując założenia przedstawione w ramach Programu </w:t>
      </w:r>
      <w:r w:rsidR="00EA0A3A">
        <w:t>B</w:t>
      </w:r>
      <w:r>
        <w:t xml:space="preserve">udowy Kapitału w zakresie utworzenia dobrowolnych </w:t>
      </w:r>
      <w:r w:rsidR="007E17A3">
        <w:t>p</w:t>
      </w:r>
      <w:r>
        <w:t xml:space="preserve">racowniczych </w:t>
      </w:r>
      <w:r w:rsidR="007E17A3">
        <w:t>p</w:t>
      </w:r>
      <w:r>
        <w:t xml:space="preserve">lanów </w:t>
      </w:r>
      <w:r w:rsidR="007E17A3">
        <w:t>k</w:t>
      </w:r>
      <w:r w:rsidR="00327292">
        <w:t>apitałowych</w:t>
      </w:r>
      <w:r>
        <w:t xml:space="preserve"> </w:t>
      </w:r>
      <w:r w:rsidR="00F35C56">
        <w:t>–</w:t>
      </w:r>
      <w:r w:rsidR="00EA0A3A">
        <w:t xml:space="preserve"> </w:t>
      </w:r>
      <w:r>
        <w:t>miała rozwiązywać następujące problemy:</w:t>
      </w:r>
    </w:p>
    <w:p w14:paraId="16DEF826" w14:textId="05C1F9F1" w:rsidR="00407ADC" w:rsidRDefault="00407ADC" w:rsidP="003A52ED">
      <w:pPr>
        <w:pStyle w:val="Akapitzlist"/>
        <w:numPr>
          <w:ilvl w:val="0"/>
          <w:numId w:val="4"/>
        </w:numPr>
        <w:spacing w:before="6" w:after="6" w:line="288" w:lineRule="auto"/>
        <w:jc w:val="both"/>
      </w:pPr>
      <w:r>
        <w:t xml:space="preserve">w sektorze gospodarstw domowych </w:t>
      </w:r>
      <w:r w:rsidR="00F35C56">
        <w:t>–</w:t>
      </w:r>
      <w:r>
        <w:t xml:space="preserve"> zwiększenie stopy oszczędności oraz zmniejszenie luki w</w:t>
      </w:r>
      <w:r w:rsidR="00EF70ED">
        <w:t> </w:t>
      </w:r>
      <w:r>
        <w:t>poziomie dochodów pomiędzy okresem aktywności zawodowej a okresem emerytalnym;</w:t>
      </w:r>
    </w:p>
    <w:p w14:paraId="02E2792A" w14:textId="77777777" w:rsidR="00407ADC" w:rsidRDefault="00407ADC" w:rsidP="003A52ED">
      <w:pPr>
        <w:pStyle w:val="Akapitzlist"/>
        <w:numPr>
          <w:ilvl w:val="0"/>
          <w:numId w:val="4"/>
        </w:numPr>
        <w:spacing w:before="6" w:after="6" w:line="288" w:lineRule="auto"/>
        <w:jc w:val="both"/>
      </w:pPr>
      <w:r>
        <w:t xml:space="preserve">zwiększenie stopy inwestycji; </w:t>
      </w:r>
    </w:p>
    <w:p w14:paraId="454EEBF1" w14:textId="77777777" w:rsidR="00407ADC" w:rsidRDefault="00407ADC" w:rsidP="003A52ED">
      <w:pPr>
        <w:pStyle w:val="Akapitzlist"/>
        <w:numPr>
          <w:ilvl w:val="0"/>
          <w:numId w:val="4"/>
        </w:numPr>
        <w:spacing w:before="6" w:after="6" w:line="288" w:lineRule="auto"/>
        <w:jc w:val="both"/>
      </w:pPr>
      <w:r>
        <w:t>przyspieszenie rozwoju lokalnego rynku kapitałowego przy jednoczesnej dużej skali importu inwestycji bezpośrednich i portfelowych z zagranicy.</w:t>
      </w:r>
    </w:p>
    <w:p w14:paraId="7FBE526B" w14:textId="77777777" w:rsidR="00407ADC" w:rsidRDefault="00407ADC" w:rsidP="003A52ED">
      <w:pPr>
        <w:spacing w:before="6" w:after="6" w:line="288" w:lineRule="auto"/>
        <w:jc w:val="both"/>
      </w:pPr>
      <w:r w:rsidRPr="00B10754">
        <w:lastRenderedPageBreak/>
        <w:t>Silny i efektywny rynek finansowy jest istotny (pośrednio) nie tylko dla podwyższania potencjału wzrostu PKB, ale również dla wzrostu dochodów indywidualnych, pod warunkiem, że gospodarstwa domowe mają do niego dostęp, a w horyzoncie długoterminowym sprzyja wzmocnieniu stabilności systemu emerytalnego oraz wzrostowi świadczeń emerytalnych. Kultura oszczędzania i wzrost poziomu oszczędności są także istotne w wymiarze indywidualnym, z punktu widzenia bezpieczeństwa i dobrobytu poszczególnych osób i rodziny. Powinny być w związku z tym gromadzone w trakcie całego życia: poprzez budowę kapitału finansowego, a następnie budowę aktywów i dochodów z kapitału, celem zapewnienia bezpieczeństwa w okresie starości.</w:t>
      </w:r>
    </w:p>
    <w:p w14:paraId="436CC9DB" w14:textId="77777777" w:rsidR="004F2940" w:rsidRPr="004F2940" w:rsidRDefault="004F2940" w:rsidP="003A52ED">
      <w:pPr>
        <w:spacing w:before="6" w:after="6" w:line="288" w:lineRule="auto"/>
        <w:jc w:val="both"/>
      </w:pPr>
    </w:p>
    <w:p w14:paraId="3F88C17B" w14:textId="77777777" w:rsidR="00247DAD" w:rsidRDefault="004F2940">
      <w:pPr>
        <w:pStyle w:val="Nagwek1"/>
        <w:numPr>
          <w:ilvl w:val="0"/>
          <w:numId w:val="22"/>
        </w:numPr>
        <w:spacing w:before="6" w:after="6" w:line="288" w:lineRule="auto"/>
        <w:jc w:val="both"/>
      </w:pPr>
      <w:bookmarkStart w:id="48" w:name="_Toc121828614"/>
      <w:r w:rsidRPr="00E53CC5">
        <w:t>Główne założenia pracowniczych planów kapitałowych</w:t>
      </w:r>
      <w:bookmarkEnd w:id="48"/>
    </w:p>
    <w:p w14:paraId="7C736D3D" w14:textId="77777777" w:rsidR="000D016D" w:rsidRPr="00E53CC5" w:rsidRDefault="004F2940" w:rsidP="003A52ED">
      <w:pPr>
        <w:spacing w:before="6" w:after="6" w:line="288" w:lineRule="auto"/>
      </w:pPr>
      <w:r w:rsidRPr="00E53CC5">
        <w:t xml:space="preserve"> </w:t>
      </w:r>
    </w:p>
    <w:p w14:paraId="7332AA07" w14:textId="77777777" w:rsidR="006F2530" w:rsidRDefault="00C3158C">
      <w:pPr>
        <w:pStyle w:val="Nagwek2"/>
        <w:numPr>
          <w:ilvl w:val="0"/>
          <w:numId w:val="24"/>
        </w:numPr>
        <w:spacing w:before="6" w:after="6" w:line="288" w:lineRule="auto"/>
        <w:jc w:val="both"/>
      </w:pPr>
      <w:bookmarkStart w:id="49" w:name="_Toc46677249"/>
      <w:bookmarkStart w:id="50" w:name="_Toc121828615"/>
      <w:r>
        <w:t>Z</w:t>
      </w:r>
      <w:r w:rsidR="000D016D" w:rsidRPr="00C3158C">
        <w:t>asady</w:t>
      </w:r>
      <w:r w:rsidR="000D016D" w:rsidRPr="000D016D">
        <w:t xml:space="preserve"> działania </w:t>
      </w:r>
      <w:bookmarkEnd w:id="49"/>
      <w:r w:rsidR="000D016D" w:rsidRPr="000D016D">
        <w:t>programu</w:t>
      </w:r>
      <w:bookmarkEnd w:id="50"/>
      <w:r w:rsidR="006F2530">
        <w:t xml:space="preserve"> </w:t>
      </w:r>
    </w:p>
    <w:p w14:paraId="79B1CBE5" w14:textId="414C8904" w:rsidR="00154655" w:rsidRDefault="000D016D" w:rsidP="003A52ED">
      <w:pPr>
        <w:spacing w:before="6" w:after="6" w:line="288" w:lineRule="auto"/>
        <w:jc w:val="both"/>
      </w:pPr>
      <w:r w:rsidRPr="000D016D">
        <w:t xml:space="preserve">Pracownicze </w:t>
      </w:r>
      <w:r w:rsidR="00390D10">
        <w:t>p</w:t>
      </w:r>
      <w:r w:rsidRPr="000D016D">
        <w:t xml:space="preserve">lany </w:t>
      </w:r>
      <w:r w:rsidR="00390D10">
        <w:t>k</w:t>
      </w:r>
      <w:r w:rsidRPr="000D016D">
        <w:t xml:space="preserve">apitałowe to dobrowolny dla </w:t>
      </w:r>
      <w:r w:rsidR="00914593">
        <w:t>osoby zatrudnionej</w:t>
      </w:r>
      <w:r w:rsidRPr="000D016D">
        <w:t>, prywatny, wdrażany przez</w:t>
      </w:r>
      <w:r w:rsidR="00A560C0">
        <w:t> </w:t>
      </w:r>
      <w:r w:rsidR="00914593">
        <w:t>podmiot zatrudniający</w:t>
      </w:r>
      <w:r w:rsidRPr="000D016D">
        <w:t xml:space="preserve">, ale współfinansowany przez </w:t>
      </w:r>
      <w:r w:rsidR="00E36C35">
        <w:t>osobę zatrudnion</w:t>
      </w:r>
      <w:r w:rsidR="002B2812">
        <w:t>ą</w:t>
      </w:r>
      <w:r w:rsidR="00E36C35">
        <w:t xml:space="preserve">, </w:t>
      </w:r>
      <w:r w:rsidR="00686AD6">
        <w:t xml:space="preserve">podmiot zatrudniający </w:t>
      </w:r>
      <w:r w:rsidRPr="000D016D">
        <w:t>i</w:t>
      </w:r>
      <w:r w:rsidR="00480B8D">
        <w:t> </w:t>
      </w:r>
      <w:r w:rsidRPr="000D016D">
        <w:t xml:space="preserve">państwo system długoterminowego oszczędzania </w:t>
      </w:r>
      <w:r w:rsidR="00F35C56">
        <w:t>–</w:t>
      </w:r>
      <w:r w:rsidRPr="000D016D">
        <w:t xml:space="preserve"> zasadniczo na okres po zakończeniu aktywności zawodowej.</w:t>
      </w:r>
    </w:p>
    <w:p w14:paraId="34E80C0D" w14:textId="77777777" w:rsidR="00247DAD" w:rsidRPr="000D016D" w:rsidRDefault="00247DAD" w:rsidP="003A52ED">
      <w:pPr>
        <w:spacing w:before="6" w:after="6" w:line="288" w:lineRule="auto"/>
        <w:jc w:val="both"/>
      </w:pPr>
    </w:p>
    <w:p w14:paraId="45230BF0" w14:textId="77777777" w:rsidR="00FF7336" w:rsidRDefault="00DC589B">
      <w:pPr>
        <w:pStyle w:val="Nagwek3"/>
        <w:numPr>
          <w:ilvl w:val="1"/>
          <w:numId w:val="24"/>
        </w:numPr>
        <w:spacing w:before="6" w:after="6" w:line="288" w:lineRule="auto"/>
        <w:jc w:val="both"/>
      </w:pPr>
      <w:bookmarkStart w:id="51" w:name="_Toc121828616"/>
      <w:r>
        <w:t>Powszechny charakter</w:t>
      </w:r>
      <w:bookmarkEnd w:id="51"/>
      <w:r>
        <w:t xml:space="preserve"> </w:t>
      </w:r>
    </w:p>
    <w:p w14:paraId="6C8DDF62" w14:textId="15694097" w:rsidR="000D016D" w:rsidRPr="000D016D" w:rsidRDefault="000D016D" w:rsidP="003A52ED">
      <w:pPr>
        <w:spacing w:before="6" w:after="6" w:line="288" w:lineRule="auto"/>
        <w:jc w:val="both"/>
      </w:pPr>
      <w:r w:rsidRPr="003928A0">
        <w:t>Jednym z założeń programu jest jego powszechność</w:t>
      </w:r>
      <w:r w:rsidRPr="00154655">
        <w:t>.</w:t>
      </w:r>
      <w:r w:rsidRPr="000D016D">
        <w:t xml:space="preserve"> Zasadą jest, że PPK powinien utworzyć każdy podmiot zatrudniający co najmniej jedną osobę zatrudnioną</w:t>
      </w:r>
      <w:r w:rsidR="001873E2" w:rsidRPr="001873E2">
        <w:t xml:space="preserve"> (nie dotyczy to</w:t>
      </w:r>
      <w:r w:rsidR="00A560C0">
        <w:t> </w:t>
      </w:r>
      <w:r w:rsidR="00BE56EE">
        <w:t>m.in.</w:t>
      </w:r>
      <w:r w:rsidR="00A560C0">
        <w:t> </w:t>
      </w:r>
      <w:r w:rsidR="001873E2" w:rsidRPr="001873E2">
        <w:t>mikroprzedsiębiorców, którym wszystkie osoby zatrudnione z</w:t>
      </w:r>
      <w:r w:rsidR="005156C4">
        <w:t>adeklarowały</w:t>
      </w:r>
      <w:r w:rsidR="001873E2" w:rsidRPr="001873E2">
        <w:t xml:space="preserve"> </w:t>
      </w:r>
      <w:r w:rsidR="008F309A">
        <w:t>nie</w:t>
      </w:r>
      <w:r w:rsidR="001873E2" w:rsidRPr="001873E2">
        <w:t>dokonywani</w:t>
      </w:r>
      <w:r w:rsidR="005156C4">
        <w:t>e</w:t>
      </w:r>
      <w:r w:rsidR="001873E2" w:rsidRPr="001873E2">
        <w:t xml:space="preserve"> wpłat do PPK)</w:t>
      </w:r>
      <w:r w:rsidRPr="000D016D">
        <w:t>. Uczestnikami programu mogą zostać osoby, które spełniają definicję „osoby zatrudnionej” w</w:t>
      </w:r>
      <w:r w:rsidR="00480B8D">
        <w:t> </w:t>
      </w:r>
      <w:r w:rsidRPr="000D016D">
        <w:t>rozumieniu ustawy o</w:t>
      </w:r>
      <w:r w:rsidR="00EF70ED">
        <w:t> </w:t>
      </w:r>
      <w:r w:rsidRPr="000D016D">
        <w:t xml:space="preserve">PPK. Chodzi tu o: </w:t>
      </w:r>
    </w:p>
    <w:p w14:paraId="19BFB3B5" w14:textId="77777777" w:rsidR="000D016D" w:rsidRPr="000D016D" w:rsidRDefault="000D016D" w:rsidP="003A52ED">
      <w:pPr>
        <w:numPr>
          <w:ilvl w:val="0"/>
          <w:numId w:val="5"/>
        </w:numPr>
        <w:spacing w:before="6" w:after="6" w:line="288" w:lineRule="auto"/>
        <w:jc w:val="both"/>
      </w:pPr>
      <w:r w:rsidRPr="000D016D">
        <w:t xml:space="preserve">pracowników </w:t>
      </w:r>
      <w:r w:rsidR="00154655">
        <w:t>–</w:t>
      </w:r>
      <w:r w:rsidRPr="000D016D">
        <w:t xml:space="preserve"> z wyjątkiem młodocianych oraz pracowników przebywających na urlopach górniczych lub urlopach dla pracowników zakładu przeróbki mechanicznej węgla, </w:t>
      </w:r>
    </w:p>
    <w:p w14:paraId="6A5DD907" w14:textId="77777777" w:rsidR="000D016D" w:rsidRPr="000D016D" w:rsidRDefault="000D016D" w:rsidP="003A52ED">
      <w:pPr>
        <w:numPr>
          <w:ilvl w:val="0"/>
          <w:numId w:val="5"/>
        </w:numPr>
        <w:spacing w:before="6" w:after="6" w:line="288" w:lineRule="auto"/>
        <w:jc w:val="both"/>
      </w:pPr>
      <w:r w:rsidRPr="000D016D">
        <w:t xml:space="preserve">osoby wykonujące pracę nakładczą, które ukończyły 18. </w:t>
      </w:r>
      <w:r w:rsidR="008846F2">
        <w:t>r</w:t>
      </w:r>
      <w:r w:rsidRPr="000D016D">
        <w:t xml:space="preserve">ok życia, </w:t>
      </w:r>
    </w:p>
    <w:p w14:paraId="2D5BDD2D" w14:textId="77777777" w:rsidR="000D016D" w:rsidRPr="000D016D" w:rsidRDefault="000D016D" w:rsidP="003A52ED">
      <w:pPr>
        <w:numPr>
          <w:ilvl w:val="0"/>
          <w:numId w:val="5"/>
        </w:numPr>
        <w:spacing w:before="6" w:after="6" w:line="288" w:lineRule="auto"/>
        <w:jc w:val="both"/>
      </w:pPr>
      <w:r w:rsidRPr="000D016D">
        <w:t xml:space="preserve">członków rolniczych spółdzielni produkcyjnych lub spółdzielni kółek rolniczych, </w:t>
      </w:r>
    </w:p>
    <w:p w14:paraId="3840D5F3" w14:textId="5CADCF65" w:rsidR="000D016D" w:rsidRPr="000D016D" w:rsidRDefault="000D016D" w:rsidP="003A52ED">
      <w:pPr>
        <w:numPr>
          <w:ilvl w:val="0"/>
          <w:numId w:val="5"/>
        </w:numPr>
        <w:spacing w:before="6" w:after="6" w:line="288" w:lineRule="auto"/>
        <w:jc w:val="both"/>
      </w:pPr>
      <w:r w:rsidRPr="000D016D">
        <w:t xml:space="preserve">osoby, które ukończyły 18. </w:t>
      </w:r>
      <w:r w:rsidR="008846F2">
        <w:t>r</w:t>
      </w:r>
      <w:r w:rsidRPr="000D016D">
        <w:t>ok życia, wykonujące pracę na podstawie umowy agencyjnej lub</w:t>
      </w:r>
      <w:r w:rsidR="00A560C0">
        <w:t> </w:t>
      </w:r>
      <w:r w:rsidRPr="000D016D">
        <w:t xml:space="preserve">umowy zlecenia albo innej umowy o świadczenie usług, do której stosuje się przepisy kodeksu cywilnego dotyczące zlecenia, </w:t>
      </w:r>
    </w:p>
    <w:p w14:paraId="2A5C9383" w14:textId="77777777" w:rsidR="000D016D" w:rsidRPr="000D016D" w:rsidRDefault="000D016D" w:rsidP="003A52ED">
      <w:pPr>
        <w:numPr>
          <w:ilvl w:val="0"/>
          <w:numId w:val="5"/>
        </w:numPr>
        <w:spacing w:before="6" w:after="6" w:line="288" w:lineRule="auto"/>
        <w:jc w:val="both"/>
      </w:pPr>
      <w:r w:rsidRPr="000D016D">
        <w:t xml:space="preserve">osoby wymienione powyżej, przebywające na urlopie wychowawczym lub pobierające zasiłek macierzyński lub zasiłek w wysokości zasiłku macierzyńskiego, a także </w:t>
      </w:r>
    </w:p>
    <w:p w14:paraId="3C93BFF6" w14:textId="77777777" w:rsidR="000D016D" w:rsidRPr="000D016D" w:rsidRDefault="000D016D" w:rsidP="003A52ED">
      <w:pPr>
        <w:numPr>
          <w:ilvl w:val="0"/>
          <w:numId w:val="5"/>
        </w:numPr>
        <w:spacing w:before="6" w:after="6" w:line="288" w:lineRule="auto"/>
        <w:jc w:val="both"/>
      </w:pPr>
      <w:r w:rsidRPr="000D016D">
        <w:t>członków rad nadzorczych, wynagradzanych z tytułu pełnienia tej funkcji</w:t>
      </w:r>
    </w:p>
    <w:p w14:paraId="0B382320" w14:textId="3DB0481B" w:rsidR="00CE7637" w:rsidRDefault="00F35C56" w:rsidP="003A52ED">
      <w:pPr>
        <w:spacing w:before="6" w:after="6" w:line="288" w:lineRule="auto"/>
        <w:jc w:val="both"/>
        <w:rPr>
          <w:b/>
          <w:bCs/>
        </w:rPr>
      </w:pPr>
      <w:r>
        <w:t>–</w:t>
      </w:r>
      <w:r w:rsidR="000D016D" w:rsidRPr="000D016D">
        <w:t xml:space="preserve"> podlegających ze wskazanych wyżej tytułów obowiązkowo ubezpieczeniom emerytalnemu i</w:t>
      </w:r>
      <w:r w:rsidR="00056E5F">
        <w:t> </w:t>
      </w:r>
      <w:r w:rsidR="000D016D" w:rsidRPr="000D016D">
        <w:t>rentowym w Polsce, w rozumieniu ustawy z 13 października 1998 r. o systemie ubezpieczeń społecznych.</w:t>
      </w:r>
    </w:p>
    <w:p w14:paraId="03A8458A" w14:textId="77777777" w:rsidR="00BE7F4F" w:rsidRDefault="00BE7F4F" w:rsidP="00923C75">
      <w:pPr>
        <w:spacing w:before="6" w:after="6" w:line="288" w:lineRule="auto"/>
      </w:pPr>
    </w:p>
    <w:p w14:paraId="69807A79" w14:textId="77777777" w:rsidR="00FF7336" w:rsidRPr="003928A0" w:rsidRDefault="002831BE">
      <w:pPr>
        <w:pStyle w:val="Nagwek3"/>
        <w:numPr>
          <w:ilvl w:val="1"/>
          <w:numId w:val="24"/>
        </w:numPr>
        <w:spacing w:before="6" w:after="6" w:line="288" w:lineRule="auto"/>
        <w:jc w:val="both"/>
      </w:pPr>
      <w:bookmarkStart w:id="52" w:name="_Toc121828617"/>
      <w:r>
        <w:t>Uruchomienie w porozumieniu ze stroną społeczną</w:t>
      </w:r>
      <w:bookmarkEnd w:id="52"/>
    </w:p>
    <w:p w14:paraId="00E76EC5" w14:textId="70A07701" w:rsidR="000D016D" w:rsidRDefault="000D016D" w:rsidP="00923C75">
      <w:pPr>
        <w:spacing w:before="6" w:after="6" w:line="288" w:lineRule="auto"/>
        <w:jc w:val="both"/>
      </w:pPr>
      <w:r w:rsidRPr="003928A0">
        <w:t>Przy utworzeniu PPK podmiot zatrudniający współdziała z tzw. stroną społeczną.</w:t>
      </w:r>
      <w:r w:rsidRPr="000D016D">
        <w:t xml:space="preserve"> Wdrożenie tego programu wymaga w szczególności zawarcia umowy o zarządzanie PPK i umowy o prowadzenie PPK. Podmiot zatrudniający zawiera obie te umowy z instytucją finansową wybraną w porozumieniu z</w:t>
      </w:r>
      <w:r w:rsidR="00056E5F">
        <w:t> </w:t>
      </w:r>
      <w:r w:rsidRPr="000D016D">
        <w:t xml:space="preserve">zakładową organizacją związkową, a jeżeli taka nie działa w tym podmiocie, to z reprezentacją osób </w:t>
      </w:r>
      <w:r w:rsidRPr="000D016D">
        <w:lastRenderedPageBreak/>
        <w:t>zatrudnionych. Tym samym osoby zatrudnione mają, poprzez swoich przedstawicieli, realny wpływ na</w:t>
      </w:r>
      <w:r w:rsidR="00A560C0">
        <w:t> </w:t>
      </w:r>
      <w:r w:rsidRPr="000D016D">
        <w:t>to, której instytucji finansowej zostanie powierzone zarządzanie środkami gromadzonymi w PPK. Wyboru instytucji finansowej dokonuje się w szczególności na podstawie oceny proponowanych przez</w:t>
      </w:r>
      <w:r w:rsidR="00A560C0">
        <w:t> </w:t>
      </w:r>
      <w:r w:rsidRPr="000D016D">
        <w:t>instytucje finansowe warunków zarządzania środkami gromadzonymi w PPK, ich efektywności w</w:t>
      </w:r>
      <w:r w:rsidR="00056E5F">
        <w:t> </w:t>
      </w:r>
      <w:r w:rsidRPr="000D016D">
        <w:t>zarządzaniu aktywami oraz posiadanego przez nie doświadczenia w zarządzaniu funduszami inwestycyjnymi lub funduszami emerytalnymi. Wyboru dokonuje się mając także na uwadze najlepiej rozumiany interes osób zatrudnionych. Do umów o zarządzanie PPK stosuje się przepisy ustawy z</w:t>
      </w:r>
      <w:r w:rsidR="002C3C8F">
        <w:t> </w:t>
      </w:r>
      <w:r w:rsidRPr="000D016D">
        <w:t>11</w:t>
      </w:r>
      <w:r w:rsidR="002C3C8F">
        <w:t> </w:t>
      </w:r>
      <w:r w:rsidRPr="000D016D">
        <w:t xml:space="preserve">września 2019 r. </w:t>
      </w:r>
      <w:r w:rsidR="00535766">
        <w:t>–</w:t>
      </w:r>
      <w:r w:rsidRPr="000D016D">
        <w:t xml:space="preserve"> Prawo zamówień publicznych, jeżeli wartość zamówienia jest równa lub</w:t>
      </w:r>
      <w:r w:rsidR="00A560C0">
        <w:t> </w:t>
      </w:r>
      <w:r w:rsidRPr="000D016D">
        <w:t xml:space="preserve">większa niż progi unijne, o których mowa w </w:t>
      </w:r>
      <w:r w:rsidR="002831BE">
        <w:t>a</w:t>
      </w:r>
      <w:r w:rsidR="00535766">
        <w:t>rt.</w:t>
      </w:r>
      <w:r w:rsidRPr="000D016D">
        <w:t xml:space="preserve"> 3 ust. 1 tej ustawy.</w:t>
      </w:r>
    </w:p>
    <w:p w14:paraId="499123E1" w14:textId="4F26EB83" w:rsidR="000D016D" w:rsidRDefault="000D016D" w:rsidP="00923C75">
      <w:pPr>
        <w:spacing w:before="6" w:after="6" w:line="288" w:lineRule="auto"/>
        <w:jc w:val="both"/>
      </w:pPr>
      <w:r w:rsidRPr="000D016D">
        <w:t>Umowa o zarządzanie PPK stanowi swoiste ramy PPK utworzonego przez dany podmiot zatrudniający oraz określa podstawowe zasady funkcjonowania tego programu. Stronami tej umowy są: podmiot zatrudniający i instytucja finansowa. Umowa o prowadzenie PPK zawierana jest przez podmiot zatrudniający w imieniu i na rzecz osób zatrudnionych. Zawarcie w imieniu osoby zatrudnionej tej</w:t>
      </w:r>
      <w:r w:rsidR="00A560C0">
        <w:t> </w:t>
      </w:r>
      <w:r w:rsidRPr="000D016D">
        <w:t>umowy powoduje, że staje się ona uczestnikiem PPK.</w:t>
      </w:r>
    </w:p>
    <w:p w14:paraId="601A3DF0" w14:textId="77777777" w:rsidR="000C301D" w:rsidRDefault="000C301D" w:rsidP="00923C75">
      <w:pPr>
        <w:spacing w:before="6" w:after="6" w:line="288" w:lineRule="auto"/>
      </w:pPr>
    </w:p>
    <w:p w14:paraId="69C70543" w14:textId="77777777" w:rsidR="000C301D" w:rsidRPr="003928A0" w:rsidRDefault="000C301D">
      <w:pPr>
        <w:pStyle w:val="Nagwek3"/>
        <w:numPr>
          <w:ilvl w:val="1"/>
          <w:numId w:val="24"/>
        </w:numPr>
        <w:spacing w:before="6" w:after="6" w:line="288" w:lineRule="auto"/>
        <w:jc w:val="both"/>
      </w:pPr>
      <w:bookmarkStart w:id="53" w:name="_Toc121828618"/>
      <w:r w:rsidRPr="003928A0">
        <w:t>Automatyczny zapis</w:t>
      </w:r>
      <w:r w:rsidRPr="003928A0" w:rsidDel="007A26CC">
        <w:t xml:space="preserve"> do </w:t>
      </w:r>
      <w:r w:rsidR="00734843">
        <w:t>programu</w:t>
      </w:r>
      <w:bookmarkEnd w:id="53"/>
    </w:p>
    <w:p w14:paraId="1321DCD2" w14:textId="119B1225" w:rsidR="000C301D" w:rsidRPr="00252BDA" w:rsidRDefault="000C301D" w:rsidP="00923C75">
      <w:pPr>
        <w:spacing w:before="6" w:after="6" w:line="288" w:lineRule="auto"/>
        <w:jc w:val="both"/>
      </w:pPr>
      <w:r w:rsidRPr="001C0808">
        <w:t>Program oparty jest na automatycznym zapisie, który zobowiązuje podmioty zatrudniające do</w:t>
      </w:r>
      <w:r w:rsidR="00B220B4">
        <w:t> </w:t>
      </w:r>
      <w:r w:rsidRPr="001C0808">
        <w:t xml:space="preserve">„włączenia” do PPK wszystkich osób zatrudnionych, spełniających określone warunki. Obowiązek automatycznego zapisu do PPK dotyczy osób, które ukończyły 18. rok życia, ale nie ukończyły 55. roku życia, podlegających obowiązkowo ubezpieczeniom emerytalnemu i rentowym z tytułów wymienionych w ustawie o PPK. Osoby, które ukończyły 55 lat, ale nie ukończyły 70 lat, mogą przystąpić do PPK na swój wniosek. Osoby, które skończyły 70 lat, nie mogą zostać „zapisane” do tego programu, ale </w:t>
      </w:r>
      <w:r w:rsidR="00F35C56">
        <w:t>–</w:t>
      </w:r>
      <w:r w:rsidRPr="001C0808">
        <w:t xml:space="preserve"> jeśli wcześniej uzyskały status uczestnika </w:t>
      </w:r>
      <w:r>
        <w:t xml:space="preserve">PPK </w:t>
      </w:r>
      <w:r w:rsidR="00F35C56">
        <w:t>–</w:t>
      </w:r>
      <w:r w:rsidRPr="001C0808">
        <w:t xml:space="preserve"> mogą nadal gromadzić w nim oszczędności.</w:t>
      </w:r>
    </w:p>
    <w:p w14:paraId="152112F9" w14:textId="0F8FB1AD" w:rsidR="00E6402E" w:rsidRDefault="000D016D" w:rsidP="00923C75">
      <w:pPr>
        <w:spacing w:before="6" w:after="6" w:line="288" w:lineRule="auto"/>
        <w:jc w:val="both"/>
      </w:pPr>
      <w:r w:rsidRPr="003928A0">
        <w:t>Uczestnik PPK może zrezygnować z oszczędzania w każdym czasie</w:t>
      </w:r>
      <w:r w:rsidRPr="00BF756B">
        <w:t>,</w:t>
      </w:r>
      <w:r w:rsidRPr="000D016D">
        <w:t xml:space="preserve"> ale w tym celu konieczne jest</w:t>
      </w:r>
      <w:r w:rsidR="00EF044F">
        <w:t> </w:t>
      </w:r>
      <w:r w:rsidRPr="000D016D">
        <w:t xml:space="preserve">złożenie </w:t>
      </w:r>
      <w:r w:rsidR="000C2889">
        <w:t xml:space="preserve">podmiotowi zatrudniającemu </w:t>
      </w:r>
      <w:r w:rsidRPr="000D016D">
        <w:t xml:space="preserve">deklaracji o rezygnacji z dokonywania wpłat do PPK. Złożenie przez uczestnika programu tej deklaracji obliguje podmiot zatrudniający do zaprzestania odprowadzania wpłat do instytucji finansowej, począwszy od momentu, w którym uczestnik złożył tę deklarację. </w:t>
      </w:r>
    </w:p>
    <w:p w14:paraId="30E19427" w14:textId="23815158" w:rsidR="009232EA" w:rsidRDefault="000D016D" w:rsidP="00923C75">
      <w:pPr>
        <w:spacing w:before="6" w:after="6" w:line="288" w:lineRule="auto"/>
        <w:jc w:val="both"/>
        <w:rPr>
          <w:b/>
          <w:bCs/>
        </w:rPr>
      </w:pPr>
      <w:r w:rsidRPr="000D016D">
        <w:t>Ponadto co 4 lata (począwszy od 1 kwietnia 2023 r.</w:t>
      </w:r>
      <w:r w:rsidR="00B53D06">
        <w:t>, a następnie od 1 kwietnia 2027 r., od 1 kwietnia 2031 r. itd.</w:t>
      </w:r>
      <w:r w:rsidRPr="000D016D">
        <w:t>) podmiot zatrudniający automatycznie wznawia wpłaty do PPK za wszystkie osoby, które</w:t>
      </w:r>
      <w:r w:rsidR="00EF044F">
        <w:t> </w:t>
      </w:r>
      <w:r w:rsidRPr="000D016D">
        <w:t>zrezygnowały z oszczędzania, pod warunkiem, że nie złożyły ponownie deklaracji o rezygnacji.</w:t>
      </w:r>
    </w:p>
    <w:p w14:paraId="58FD70C3" w14:textId="77777777" w:rsidR="00F76A0E" w:rsidRDefault="009818EE" w:rsidP="00923C75">
      <w:pPr>
        <w:spacing w:before="6" w:after="6" w:line="288" w:lineRule="auto"/>
        <w:jc w:val="both"/>
        <w:rPr>
          <w:rFonts w:ascii="Calibri" w:eastAsia="Calibri" w:hAnsi="Calibri" w:cs="Times New Roman"/>
        </w:rPr>
      </w:pPr>
      <w:r w:rsidRPr="00923C75">
        <w:rPr>
          <w:rFonts w:ascii="Calibri" w:eastAsia="Calibri" w:hAnsi="Calibri" w:cs="Times New Roman"/>
        </w:rPr>
        <w:t>Tzw. ponowny autozapis co 4 lata dotyczy nie tylko uczestników PPK, którzy – składając deklarację o</w:t>
      </w:r>
      <w:r w:rsidR="00480B8D">
        <w:rPr>
          <w:rFonts w:ascii="Calibri" w:eastAsia="Calibri" w:hAnsi="Calibri" w:cs="Times New Roman"/>
        </w:rPr>
        <w:t> </w:t>
      </w:r>
      <w:r w:rsidRPr="00923C75">
        <w:rPr>
          <w:rFonts w:ascii="Calibri" w:eastAsia="Calibri" w:hAnsi="Calibri" w:cs="Times New Roman"/>
        </w:rPr>
        <w:t>rezygnacji – zaprzestali finansowania wpłat do PPK, ale także osób zatrudnionych, które złożyły podmiotowi zatrudniającemu deklarację o rezygnacji z dokonywania wpłat do PPK przed zawarciem w</w:t>
      </w:r>
      <w:r w:rsidR="00480B8D">
        <w:rPr>
          <w:rFonts w:ascii="Calibri" w:eastAsia="Calibri" w:hAnsi="Calibri" w:cs="Times New Roman"/>
        </w:rPr>
        <w:t> </w:t>
      </w:r>
      <w:r w:rsidRPr="00923C75">
        <w:rPr>
          <w:rFonts w:ascii="Calibri" w:eastAsia="Calibri" w:hAnsi="Calibri" w:cs="Times New Roman"/>
        </w:rPr>
        <w:t>ich imieniu umowy o prowadzenie PPK, w związku z czym nie stały się uczestnikami tego programu.</w:t>
      </w:r>
      <w:r w:rsidR="00F76A0E">
        <w:rPr>
          <w:rFonts w:ascii="Calibri" w:eastAsia="Calibri" w:hAnsi="Calibri" w:cs="Times New Roman"/>
        </w:rPr>
        <w:t xml:space="preserve"> </w:t>
      </w:r>
    </w:p>
    <w:p w14:paraId="0DDBC574" w14:textId="11F7DF80" w:rsidR="00C20043" w:rsidRDefault="009818EE" w:rsidP="00923C75">
      <w:pPr>
        <w:spacing w:before="6" w:after="6" w:line="288" w:lineRule="auto"/>
        <w:jc w:val="both"/>
        <w:rPr>
          <w:rFonts w:ascii="Calibri" w:eastAsia="Calibri" w:hAnsi="Calibri" w:cs="Times New Roman"/>
        </w:rPr>
      </w:pPr>
      <w:r w:rsidRPr="00923C75">
        <w:rPr>
          <w:rFonts w:ascii="Calibri" w:eastAsia="Calibri" w:hAnsi="Calibri" w:cs="Times New Roman"/>
        </w:rPr>
        <w:t>Deklaracje o rezygnacji z dokonywania wpłat do PPK, złożone do końca lutego roku, w którym ma</w:t>
      </w:r>
      <w:r w:rsidR="00EF044F">
        <w:rPr>
          <w:rFonts w:ascii="Calibri" w:eastAsia="Calibri" w:hAnsi="Calibri" w:cs="Times New Roman"/>
        </w:rPr>
        <w:t> </w:t>
      </w:r>
      <w:r w:rsidRPr="00923C75">
        <w:rPr>
          <w:rFonts w:ascii="Calibri" w:eastAsia="Calibri" w:hAnsi="Calibri" w:cs="Times New Roman"/>
        </w:rPr>
        <w:t>miejsce tzw. autozapis, przez uczestnika PPK albo osobę zatrudnioną, w imieniu i na rzecz której – na</w:t>
      </w:r>
      <w:r w:rsidR="00327292">
        <w:rPr>
          <w:rFonts w:ascii="Calibri" w:eastAsia="Calibri" w:hAnsi="Calibri" w:cs="Times New Roman"/>
        </w:rPr>
        <w:t xml:space="preserve"> skutek złożenia tej deklaracji</w:t>
      </w:r>
      <w:r w:rsidRPr="00923C75">
        <w:rPr>
          <w:rFonts w:ascii="Calibri" w:eastAsia="Calibri" w:hAnsi="Calibri" w:cs="Times New Roman"/>
        </w:rPr>
        <w:t xml:space="preserve"> – nie została zawarta umowa o prowadzenie PPK, przestaną obowiązywać od marca roku, w którym ma miejsce tzw. autozapis (</w:t>
      </w:r>
      <w:r w:rsidR="00C20043">
        <w:rPr>
          <w:rFonts w:ascii="Calibri" w:eastAsia="Calibri" w:hAnsi="Calibri" w:cs="Times New Roman"/>
        </w:rPr>
        <w:t xml:space="preserve">m.in. </w:t>
      </w:r>
      <w:r w:rsidRPr="00923C75">
        <w:rPr>
          <w:rFonts w:ascii="Calibri" w:eastAsia="Calibri" w:hAnsi="Calibri" w:cs="Times New Roman"/>
        </w:rPr>
        <w:t>od marca 2023 roku).</w:t>
      </w:r>
    </w:p>
    <w:p w14:paraId="4332BA19" w14:textId="77777777" w:rsidR="00C20043" w:rsidRDefault="009818EE" w:rsidP="00923C75">
      <w:pPr>
        <w:spacing w:before="6" w:after="6" w:line="288" w:lineRule="auto"/>
        <w:jc w:val="both"/>
        <w:rPr>
          <w:rFonts w:ascii="Calibri" w:eastAsia="Calibri" w:hAnsi="Calibri" w:cs="Times New Roman"/>
        </w:rPr>
      </w:pPr>
      <w:r w:rsidRPr="00923C75">
        <w:rPr>
          <w:rFonts w:ascii="Calibri" w:eastAsia="Calibri" w:hAnsi="Calibri" w:cs="Times New Roman"/>
        </w:rPr>
        <w:t>Podmiot zatrudniający ma obowiązek:</w:t>
      </w:r>
    </w:p>
    <w:p w14:paraId="0C1A2B73" w14:textId="77777777" w:rsidR="001E6E86" w:rsidRPr="00923C75" w:rsidRDefault="009818EE">
      <w:pPr>
        <w:pStyle w:val="Akapitzlist"/>
        <w:numPr>
          <w:ilvl w:val="0"/>
          <w:numId w:val="29"/>
        </w:numPr>
        <w:spacing w:before="6" w:after="6" w:line="288" w:lineRule="auto"/>
        <w:jc w:val="both"/>
        <w:rPr>
          <w:rFonts w:ascii="Calibri" w:eastAsia="Calibri" w:hAnsi="Calibri" w:cs="Times New Roman"/>
        </w:rPr>
      </w:pPr>
      <w:r w:rsidRPr="00923C75">
        <w:rPr>
          <w:rFonts w:ascii="Calibri" w:eastAsia="Calibri" w:hAnsi="Calibri" w:cs="Times New Roman"/>
        </w:rPr>
        <w:t xml:space="preserve">w terminie do ostatniego dnia lutego roku, w którym ma miejsce tzw. autozapis (m.in. do końca lutego 2023 roku), poinformować uczestników PPK, którzy złożyli deklaracje o rezygnacji </w:t>
      </w:r>
      <w:r w:rsidRPr="00923C75">
        <w:rPr>
          <w:rFonts w:ascii="Calibri" w:eastAsia="Calibri" w:hAnsi="Calibri" w:cs="Times New Roman"/>
        </w:rPr>
        <w:lastRenderedPageBreak/>
        <w:t>z</w:t>
      </w:r>
      <w:r w:rsidR="00480B8D">
        <w:rPr>
          <w:rFonts w:ascii="Calibri" w:eastAsia="Calibri" w:hAnsi="Calibri" w:cs="Times New Roman"/>
        </w:rPr>
        <w:t> </w:t>
      </w:r>
      <w:r w:rsidRPr="00923C75">
        <w:rPr>
          <w:rFonts w:ascii="Calibri" w:eastAsia="Calibri" w:hAnsi="Calibri" w:cs="Times New Roman"/>
        </w:rPr>
        <w:t>dokonywania wpłat do PPK, a także osoby zatrudnione, które zadeklarowały niedokonywanie wpłat do PPK, o dokonywaniu wpłat do PPK za te osoby;</w:t>
      </w:r>
    </w:p>
    <w:p w14:paraId="63019080" w14:textId="6F8DC3EE" w:rsidR="009818EE" w:rsidRPr="00923C75" w:rsidRDefault="009818EE">
      <w:pPr>
        <w:pStyle w:val="Akapitzlist"/>
        <w:numPr>
          <w:ilvl w:val="0"/>
          <w:numId w:val="29"/>
        </w:numPr>
        <w:spacing w:before="6" w:after="6" w:line="288" w:lineRule="auto"/>
        <w:jc w:val="both"/>
        <w:rPr>
          <w:rFonts w:ascii="Calibri" w:eastAsia="Calibri" w:hAnsi="Calibri" w:cs="Times New Roman"/>
        </w:rPr>
      </w:pPr>
      <w:r w:rsidRPr="00923C75">
        <w:rPr>
          <w:rFonts w:ascii="Calibri" w:eastAsia="Calibri" w:hAnsi="Calibri" w:cs="Times New Roman"/>
        </w:rPr>
        <w:t>od 1 kwietnia roku, w którym ma miejsce tzw. autozapis, dokonywać wpłat do PPK za wszystkie te osoby (w przypadku osób zatrudnionych, niebędących wcześniej uczestnikami PPK, po</w:t>
      </w:r>
      <w:r w:rsidR="00243AD2">
        <w:rPr>
          <w:rFonts w:ascii="Calibri" w:eastAsia="Calibri" w:hAnsi="Calibri" w:cs="Times New Roman"/>
        </w:rPr>
        <w:t> </w:t>
      </w:r>
      <w:r w:rsidRPr="00923C75">
        <w:rPr>
          <w:rFonts w:ascii="Calibri" w:eastAsia="Calibri" w:hAnsi="Calibri" w:cs="Times New Roman"/>
        </w:rPr>
        <w:t>zawarciu w ich imieniu umowy o prowadzenie PPK), chyba że ponownie zrezygnują z</w:t>
      </w:r>
      <w:r w:rsidR="00480B8D">
        <w:rPr>
          <w:rFonts w:ascii="Calibri" w:eastAsia="Calibri" w:hAnsi="Calibri" w:cs="Times New Roman"/>
        </w:rPr>
        <w:t> </w:t>
      </w:r>
      <w:r w:rsidRPr="00923C75">
        <w:rPr>
          <w:rFonts w:ascii="Calibri" w:eastAsia="Calibri" w:hAnsi="Calibri" w:cs="Times New Roman"/>
        </w:rPr>
        <w:t xml:space="preserve">dokonywania wpłat do PPK. </w:t>
      </w:r>
    </w:p>
    <w:p w14:paraId="4E116168" w14:textId="77777777" w:rsidR="00117BAD" w:rsidRDefault="00117BAD" w:rsidP="00923C75">
      <w:pPr>
        <w:spacing w:before="6" w:after="6" w:line="288" w:lineRule="auto"/>
      </w:pPr>
    </w:p>
    <w:p w14:paraId="0BD2A3A2" w14:textId="77777777" w:rsidR="00320C09" w:rsidRDefault="00535766">
      <w:pPr>
        <w:pStyle w:val="Nagwek3"/>
        <w:numPr>
          <w:ilvl w:val="1"/>
          <w:numId w:val="24"/>
        </w:numPr>
        <w:spacing w:before="6" w:after="6" w:line="288" w:lineRule="auto"/>
        <w:jc w:val="both"/>
      </w:pPr>
      <w:bookmarkStart w:id="54" w:name="_Toc121828619"/>
      <w:r>
        <w:t>Finansowanie wpłat</w:t>
      </w:r>
      <w:bookmarkEnd w:id="54"/>
      <w:r>
        <w:t xml:space="preserve"> </w:t>
      </w:r>
    </w:p>
    <w:p w14:paraId="2ADC30F4" w14:textId="0A8EA8C2" w:rsidR="000D016D" w:rsidRPr="000D016D" w:rsidRDefault="000D016D" w:rsidP="00923C75">
      <w:pPr>
        <w:spacing w:before="6" w:after="6" w:line="288" w:lineRule="auto"/>
        <w:jc w:val="both"/>
      </w:pPr>
      <w:r w:rsidRPr="003928A0">
        <w:t>Wpłaty na rachunek PPK pochodzą z trzech źródeł: od uczestnika PPK, podmiotu zatrudniającego i</w:t>
      </w:r>
      <w:r w:rsidR="00056E5F">
        <w:t> </w:t>
      </w:r>
      <w:r w:rsidRPr="003928A0">
        <w:t>państwa.</w:t>
      </w:r>
      <w:r w:rsidRPr="000D016D">
        <w:t xml:space="preserve"> Podmiot zatrudniający i uczestnik PPK finansują wpłaty podstawowe (obowiązkowe) do</w:t>
      </w:r>
      <w:r w:rsidR="00EF044F">
        <w:t> </w:t>
      </w:r>
      <w:r w:rsidRPr="000D016D">
        <w:t>tego programu. Ponadto zarówno podmiot zatrudniający, jak i uczestnik</w:t>
      </w:r>
      <w:r w:rsidR="00320C09">
        <w:t>,</w:t>
      </w:r>
      <w:r w:rsidRPr="000D016D">
        <w:t xml:space="preserve"> mogą zadeklarować finansowanie wpłat dodatkowych (dobrowolnych). Wysokość wpłat jest naliczana procentowo od</w:t>
      </w:r>
      <w:r w:rsidR="00EF044F">
        <w:t> </w:t>
      </w:r>
      <w:r w:rsidRPr="000D016D">
        <w:t>wynagrodzenia uczestnika PPK.</w:t>
      </w:r>
    </w:p>
    <w:p w14:paraId="5C4ED5D5" w14:textId="640FC7F5" w:rsidR="00016CE5" w:rsidRDefault="000D016D" w:rsidP="00923C75">
      <w:pPr>
        <w:spacing w:before="6" w:after="6" w:line="288" w:lineRule="auto"/>
        <w:jc w:val="both"/>
      </w:pPr>
      <w:r w:rsidRPr="000D016D">
        <w:t>Wysokość wpłaty podstawowej finansowanej przez podmiot zatrudniający wynosi 1,5%</w:t>
      </w:r>
      <w:r w:rsidR="00EF044F">
        <w:t> </w:t>
      </w:r>
      <w:r w:rsidRPr="000D016D">
        <w:t xml:space="preserve">wynagrodzenia uczestnika PPK, a wysokość wpłaty podstawowej finansowanej przez uczestnika PPK to zasadniczo 2% jego wynagrodzenia. Dla najmniej zarabiających przewidziano możliwość obniżenia wpłaty podstawowej </w:t>
      </w:r>
      <w:r w:rsidR="00F35C56">
        <w:t>–</w:t>
      </w:r>
      <w:r w:rsidRPr="000D016D">
        <w:t xml:space="preserve"> nawet do 0,5% wynagrodzenia. Dotyczy to uczestników PPK, których łączne wynagrodzenie osiągane z różnych źródeł w danym miesiącu nie przekracza kwoty odpowiadającej 120% aktualnie obowiązującego minimalnego wynagrodzenia</w:t>
      </w:r>
      <w:r w:rsidR="000A0C08">
        <w:t xml:space="preserve"> (</w:t>
      </w:r>
      <w:r w:rsidR="008D349F">
        <w:t>w 2022 roku</w:t>
      </w:r>
      <w:r w:rsidR="000A0C08">
        <w:t xml:space="preserve"> jest to </w:t>
      </w:r>
      <w:r w:rsidR="008D349F">
        <w:t>1</w:t>
      </w:r>
      <w:r w:rsidR="00610E5F">
        <w:t>,</w:t>
      </w:r>
      <w:r w:rsidR="008D349F">
        <w:t>2</w:t>
      </w:r>
      <w:r w:rsidR="00610E5F">
        <w:t xml:space="preserve">-krotność kwoty </w:t>
      </w:r>
      <w:r w:rsidR="00FF4069">
        <w:t xml:space="preserve">3010 zł, czyli </w:t>
      </w:r>
      <w:r w:rsidR="006D1D73">
        <w:t>3612 zł).</w:t>
      </w:r>
      <w:r w:rsidR="008D349F">
        <w:t xml:space="preserve"> </w:t>
      </w:r>
      <w:r w:rsidRPr="000D016D">
        <w:t>Zarówno podmiot zatrudniający, jak i</w:t>
      </w:r>
      <w:r w:rsidR="00056E5F">
        <w:t> </w:t>
      </w:r>
      <w:r w:rsidRPr="000D016D">
        <w:t>uczestnik PPK</w:t>
      </w:r>
      <w:r w:rsidR="00D14628">
        <w:t>,</w:t>
      </w:r>
      <w:r w:rsidRPr="000D016D">
        <w:t xml:space="preserve"> mogą podjąć decyzję o</w:t>
      </w:r>
      <w:r w:rsidR="00480B8D">
        <w:t> </w:t>
      </w:r>
      <w:r w:rsidRPr="000D016D">
        <w:t>finansowaniu także wpłaty dodatkowej do programu – w</w:t>
      </w:r>
      <w:r w:rsidR="00056E5F">
        <w:t> </w:t>
      </w:r>
      <w:r w:rsidRPr="000D016D">
        <w:t>przypadku podmiotu zatrudniającego w</w:t>
      </w:r>
      <w:r w:rsidR="00480B8D">
        <w:t> </w:t>
      </w:r>
      <w:r w:rsidRPr="000D016D">
        <w:t xml:space="preserve">wysokości do 2,5%, a w przypadku uczestnika </w:t>
      </w:r>
      <w:r w:rsidR="00F35C56">
        <w:t>–</w:t>
      </w:r>
      <w:r w:rsidRPr="000D016D">
        <w:t xml:space="preserve"> do 2% wynagrodzenia.</w:t>
      </w:r>
      <w:r w:rsidR="00E95D15">
        <w:t xml:space="preserve"> </w:t>
      </w:r>
    </w:p>
    <w:p w14:paraId="576E3A5F" w14:textId="413C85E8" w:rsidR="000D016D" w:rsidRPr="000D016D" w:rsidRDefault="00E95D15" w:rsidP="00923C75">
      <w:pPr>
        <w:spacing w:before="6" w:after="6" w:line="288" w:lineRule="auto"/>
        <w:jc w:val="both"/>
      </w:pPr>
      <w:r>
        <w:t xml:space="preserve">Podmiot zatrudniający może zatem finansować </w:t>
      </w:r>
      <w:r w:rsidR="009B5213">
        <w:t xml:space="preserve">miesięcznie wpłaty do PPK w </w:t>
      </w:r>
      <w:r w:rsidR="00FA7D93">
        <w:t>wysokości do</w:t>
      </w:r>
      <w:r w:rsidR="00EF044F">
        <w:t> </w:t>
      </w:r>
      <w:r w:rsidR="00FA7D93">
        <w:t>4%</w:t>
      </w:r>
      <w:r w:rsidR="00EF044F">
        <w:t> </w:t>
      </w:r>
      <w:r w:rsidR="00FA7D93">
        <w:t>wynagrodzenia uczestnika PPK (1,</w:t>
      </w:r>
      <w:r w:rsidR="00FC3567">
        <w:t>5</w:t>
      </w:r>
      <w:r w:rsidR="00FA7D93">
        <w:t xml:space="preserve">% </w:t>
      </w:r>
      <w:r w:rsidR="009215D7">
        <w:t xml:space="preserve">z tytułu </w:t>
      </w:r>
      <w:r w:rsidR="00FA7D93">
        <w:t xml:space="preserve">wpłaty podstawowej + </w:t>
      </w:r>
      <w:r w:rsidR="00520A82">
        <w:t xml:space="preserve">maksymalnie </w:t>
      </w:r>
      <w:r w:rsidR="00FA7D93">
        <w:t>2,5</w:t>
      </w:r>
      <w:r w:rsidR="00EF1BCD">
        <w:t xml:space="preserve">% </w:t>
      </w:r>
      <w:r w:rsidR="009215D7">
        <w:t xml:space="preserve">z tytułu </w:t>
      </w:r>
      <w:r w:rsidR="0029410D">
        <w:t xml:space="preserve">wpłaty dodatkowej). Również uczestnik PPK może finansować miesięcznie wpłaty do PPK </w:t>
      </w:r>
      <w:r w:rsidR="00915460">
        <w:t xml:space="preserve">w wysokości </w:t>
      </w:r>
      <w:r w:rsidR="0029410D">
        <w:t>do 4</w:t>
      </w:r>
      <w:r w:rsidR="00865D19">
        <w:t>% swojego wynagrodzenia (2</w:t>
      </w:r>
      <w:r w:rsidR="0039368D">
        <w:t xml:space="preserve">% </w:t>
      </w:r>
      <w:r w:rsidR="0022328F">
        <w:t xml:space="preserve">z tytułu </w:t>
      </w:r>
      <w:r w:rsidR="0039368D">
        <w:t xml:space="preserve">wpłaty podstawowej </w:t>
      </w:r>
      <w:r w:rsidR="001526F3">
        <w:t xml:space="preserve">+ maksymalnie 2% </w:t>
      </w:r>
      <w:r w:rsidR="0022328F">
        <w:t xml:space="preserve">z tytułu </w:t>
      </w:r>
      <w:r w:rsidR="001526F3">
        <w:t xml:space="preserve">wpłaty dodatkowej). </w:t>
      </w:r>
      <w:r w:rsidR="00D87201">
        <w:t xml:space="preserve">Łącznie miesięczne wpłaty do PPK, finansowane </w:t>
      </w:r>
      <w:r w:rsidR="0028087E">
        <w:t xml:space="preserve">przez </w:t>
      </w:r>
      <w:r w:rsidR="00D07ED9">
        <w:t xml:space="preserve">podmiot zatrudniający </w:t>
      </w:r>
      <w:r w:rsidR="00135422">
        <w:t>oraz</w:t>
      </w:r>
      <w:r w:rsidR="00EF044F">
        <w:t> </w:t>
      </w:r>
      <w:r w:rsidR="00D07ED9">
        <w:t>uczestnika PPK, mogą</w:t>
      </w:r>
      <w:r w:rsidR="00016CE5">
        <w:t xml:space="preserve"> wynieść maksymalnie 8% wynagrodzenia uczestnika PPK. </w:t>
      </w:r>
    </w:p>
    <w:p w14:paraId="3AC2413A" w14:textId="77777777" w:rsidR="000D016D" w:rsidRPr="000D016D" w:rsidRDefault="000D016D" w:rsidP="00923C75">
      <w:pPr>
        <w:spacing w:before="6" w:after="6" w:line="288" w:lineRule="auto"/>
        <w:jc w:val="both"/>
      </w:pPr>
      <w:r w:rsidRPr="000D016D">
        <w:t>Przez wynagrodzenie, które stanowi podstawę naliczenia wpłat do PPK</w:t>
      </w:r>
      <w:r w:rsidR="00ED7D06">
        <w:t>,</w:t>
      </w:r>
      <w:r w:rsidRPr="000D016D">
        <w:t xml:space="preserve"> należy rozumieć podstawę wymiaru składek na ubezpieczenia emerytalne i rentowe, o której mowa w ustawie o systemie ubezpieczeń społecznych</w:t>
      </w:r>
      <w:r w:rsidR="00261699">
        <w:t>,</w:t>
      </w:r>
      <w:r w:rsidRPr="000D016D">
        <w:t xml:space="preserve"> bez zastosowania ograniczenia do tzw. trzydziestokrotności, z wyłączeniem podstawy wymiaru składek na ubezpieczenia emerytalne i rentowe osób przebywających na urlopie wychowawczym oraz pobierających zasiłek macierzyński lub zasiłek w wysokości zasiłku macierzyńskiego.</w:t>
      </w:r>
    </w:p>
    <w:p w14:paraId="494D2B6E" w14:textId="20FE880C" w:rsidR="00607737" w:rsidRPr="000D016D" w:rsidRDefault="000D016D" w:rsidP="00923C75">
      <w:pPr>
        <w:spacing w:before="6" w:after="6" w:line="288" w:lineRule="auto"/>
        <w:jc w:val="both"/>
      </w:pPr>
      <w:r w:rsidRPr="000D016D">
        <w:t>Państwo dodaje do tej puli określone kwoty – niezależne od wysokości dochodów uczestnika PPK. Osoba oszczędzająca w programie przez co najmniej 3 miesiące otrzymuje jednorazowo</w:t>
      </w:r>
      <w:r w:rsidR="00607737">
        <w:t xml:space="preserve"> </w:t>
      </w:r>
      <w:r w:rsidRPr="000D016D">
        <w:t>250 zł wpłaty powitalnej. Następnie zaś co roku, po spełnieniu określonych warunków, rachunek PPK uczestnika</w:t>
      </w:r>
      <w:r w:rsidR="00D14628">
        <w:t xml:space="preserve"> jest</w:t>
      </w:r>
      <w:r w:rsidR="00EF044F">
        <w:t> </w:t>
      </w:r>
      <w:r w:rsidR="00D14628">
        <w:t>zasilany</w:t>
      </w:r>
      <w:r w:rsidRPr="000D016D">
        <w:t xml:space="preserve"> </w:t>
      </w:r>
      <w:r w:rsidR="00D14628">
        <w:t xml:space="preserve">dopłatą roczną w </w:t>
      </w:r>
      <w:r w:rsidRPr="000D016D">
        <w:t>kwo</w:t>
      </w:r>
      <w:r w:rsidR="00D14628">
        <w:t>cie</w:t>
      </w:r>
      <w:r w:rsidR="00607737">
        <w:t xml:space="preserve"> </w:t>
      </w:r>
      <w:r w:rsidRPr="000D016D">
        <w:t>240 zł.</w:t>
      </w:r>
    </w:p>
    <w:p w14:paraId="3088013D" w14:textId="77777777" w:rsidR="00356E8C" w:rsidRDefault="000D016D" w:rsidP="00923C75">
      <w:pPr>
        <w:spacing w:before="6" w:after="6" w:line="288" w:lineRule="auto"/>
        <w:jc w:val="both"/>
      </w:pPr>
      <w:r w:rsidRPr="000D016D">
        <w:t xml:space="preserve">Wpłaty od państwa nie podlegają opodatkowaniu. Wpłaty finansowane przez podmiot zatrudniający nie są zwolnione z podatku dochodowego, ale </w:t>
      </w:r>
      <w:r w:rsidR="00D14628">
        <w:t>nie stanowią podstawy wymiaru</w:t>
      </w:r>
      <w:r w:rsidRPr="000D016D">
        <w:t xml:space="preserve"> składek ZUS. Wpłaty sfinansowane przez podmiot zatrudniający stanowią dla niego koszty uzyskania przychodów.</w:t>
      </w:r>
    </w:p>
    <w:p w14:paraId="6CA458AD" w14:textId="77777777" w:rsidR="00182492" w:rsidRDefault="00182492" w:rsidP="006F6A07">
      <w:pPr>
        <w:spacing w:before="6" w:after="6" w:line="288" w:lineRule="auto"/>
      </w:pPr>
    </w:p>
    <w:p w14:paraId="77EAC4AE" w14:textId="77777777" w:rsidR="00356E8C" w:rsidRPr="003928A0" w:rsidRDefault="00356E8C">
      <w:pPr>
        <w:pStyle w:val="Nagwek3"/>
        <w:numPr>
          <w:ilvl w:val="1"/>
          <w:numId w:val="24"/>
        </w:numPr>
        <w:spacing w:before="6" w:after="6" w:line="288" w:lineRule="auto"/>
        <w:jc w:val="both"/>
      </w:pPr>
      <w:bookmarkStart w:id="55" w:name="_Toc121828620"/>
      <w:r w:rsidRPr="003928A0">
        <w:lastRenderedPageBreak/>
        <w:t xml:space="preserve">Wpłaty na indywidualne rachunki </w:t>
      </w:r>
      <w:r w:rsidR="00450650">
        <w:t>uczestników</w:t>
      </w:r>
      <w:bookmarkEnd w:id="55"/>
    </w:p>
    <w:p w14:paraId="04882D58" w14:textId="2C8AE406" w:rsidR="000D016D" w:rsidRPr="000D016D" w:rsidRDefault="000D016D" w:rsidP="006F6A07">
      <w:pPr>
        <w:spacing w:before="6" w:after="6" w:line="288" w:lineRule="auto"/>
        <w:jc w:val="both"/>
      </w:pPr>
      <w:r w:rsidRPr="003928A0">
        <w:t>Wpłaty do systemu przekazywane są na indywidualne rachunki uczestników PPK,</w:t>
      </w:r>
      <w:r w:rsidRPr="000D016D">
        <w:rPr>
          <w:b/>
          <w:bCs/>
        </w:rPr>
        <w:t xml:space="preserve"> </w:t>
      </w:r>
      <w:r w:rsidRPr="000D016D">
        <w:t>utworzone przez</w:t>
      </w:r>
      <w:r w:rsidR="0011338F">
        <w:t> </w:t>
      </w:r>
      <w:r w:rsidRPr="000D016D">
        <w:t xml:space="preserve">instytucję finansową, która prowadzi i zarządza PPK w danym podmiocie. </w:t>
      </w:r>
    </w:p>
    <w:p w14:paraId="77402C42" w14:textId="49CF67CE" w:rsidR="00E30969" w:rsidRPr="000D016D" w:rsidRDefault="000D016D" w:rsidP="006F6A07">
      <w:pPr>
        <w:spacing w:before="6" w:after="6" w:line="288" w:lineRule="auto"/>
        <w:jc w:val="both"/>
      </w:pPr>
      <w:r w:rsidRPr="000D016D">
        <w:t>Każda z instytucji finansowych oferujących zarządzanie PPK zapewnia uczestnikom PPK możliwość monitorowania wysokości środków gromadzonych na ich rachunkach PPK. Dodatkowo, począwszy od</w:t>
      </w:r>
      <w:r w:rsidR="00B51E48">
        <w:t> </w:t>
      </w:r>
      <w:r w:rsidRPr="000D016D">
        <w:t>2022 r</w:t>
      </w:r>
      <w:r w:rsidR="001D0A0B">
        <w:t>oku</w:t>
      </w:r>
      <w:r w:rsidRPr="000D016D">
        <w:t xml:space="preserve">, portal MojePPK </w:t>
      </w:r>
      <w:r w:rsidR="00F35C56">
        <w:t>–</w:t>
      </w:r>
      <w:r w:rsidR="00E571D2">
        <w:t xml:space="preserve"> prowadzony przez PFR Portal PPK sp. z o.o. </w:t>
      </w:r>
      <w:r w:rsidR="00F35C56">
        <w:t>–</w:t>
      </w:r>
      <w:r w:rsidR="00E571D2">
        <w:t xml:space="preserve"> </w:t>
      </w:r>
      <w:r w:rsidRPr="000D016D">
        <w:t xml:space="preserve">zawiera moduł logowania dla uczestników PPK, dzięki któremu uczestnik PPK może sprawdzić </w:t>
      </w:r>
      <w:r w:rsidR="00F35C56">
        <w:t>–</w:t>
      </w:r>
      <w:r w:rsidRPr="000D016D">
        <w:t xml:space="preserve"> w jednym miejscu </w:t>
      </w:r>
      <w:r w:rsidR="00F35C56">
        <w:t>–</w:t>
      </w:r>
      <w:r w:rsidRPr="000D016D">
        <w:t xml:space="preserve"> stan środków na wszystkich swoich ra</w:t>
      </w:r>
      <w:r w:rsidR="0011338F">
        <w:t>chunkach PPK. Dzięki tej wiedzy</w:t>
      </w:r>
      <w:r w:rsidRPr="000D016D">
        <w:t xml:space="preserve"> uczestnik PPK ma możliwość podejmowania racjonalnych decyzji w zakresie środków zgromadzonych w PPK, np. dotyczących konwersji czy zamian </w:t>
      </w:r>
      <w:r w:rsidR="00F35C56">
        <w:t>–</w:t>
      </w:r>
      <w:r w:rsidRPr="000D016D">
        <w:t xml:space="preserve"> w celu dostosowania poziomu i</w:t>
      </w:r>
      <w:r w:rsidR="00056E5F">
        <w:t> </w:t>
      </w:r>
      <w:r w:rsidRPr="000D016D">
        <w:t xml:space="preserve">struktury oszczędności w PPK do swoich potrzeb. </w:t>
      </w:r>
      <w:r w:rsidR="00913AAF" w:rsidRPr="00913AAF">
        <w:t>Obowiązuje zasada, że instytucje finansowe nie mogą pobierać opłat manipulacyjnych od wpłat czy wypłat środków z</w:t>
      </w:r>
      <w:r w:rsidR="00480B8D">
        <w:t> </w:t>
      </w:r>
      <w:r w:rsidR="00913AAF" w:rsidRPr="00913AAF">
        <w:t>rachunku PPK ani od innych transakcji dokonywanych przez uczestnika PPK (wyjątkiem jest realizacja w danym roku kalendarzowym więcej niż dwóch konwersji lub zamian).</w:t>
      </w:r>
    </w:p>
    <w:p w14:paraId="73EECF04" w14:textId="77777777" w:rsidR="006A2B60" w:rsidRDefault="006A2B60" w:rsidP="006F6A07">
      <w:pPr>
        <w:spacing w:before="6" w:after="6" w:line="288" w:lineRule="auto"/>
      </w:pPr>
    </w:p>
    <w:p w14:paraId="2B88D426" w14:textId="55A0E05A" w:rsidR="000D016D" w:rsidRPr="003928A0" w:rsidRDefault="00E30969">
      <w:pPr>
        <w:pStyle w:val="Nagwek3"/>
        <w:numPr>
          <w:ilvl w:val="1"/>
          <w:numId w:val="24"/>
        </w:numPr>
        <w:spacing w:before="6" w:after="6" w:line="288" w:lineRule="auto"/>
        <w:jc w:val="both"/>
      </w:pPr>
      <w:bookmarkStart w:id="56" w:name="_Toc121828621"/>
      <w:r w:rsidRPr="003928A0">
        <w:t>Prywatn</w:t>
      </w:r>
      <w:r w:rsidR="006F6A07">
        <w:t xml:space="preserve">ość </w:t>
      </w:r>
      <w:r w:rsidRPr="003928A0">
        <w:t>środków</w:t>
      </w:r>
      <w:bookmarkEnd w:id="56"/>
      <w:r w:rsidRPr="003928A0">
        <w:t xml:space="preserve"> </w:t>
      </w:r>
    </w:p>
    <w:p w14:paraId="3B3F8DD9" w14:textId="266072E2" w:rsidR="000D016D" w:rsidRPr="000D016D" w:rsidRDefault="000D016D" w:rsidP="006F6A07">
      <w:pPr>
        <w:spacing w:before="6" w:after="6" w:line="288" w:lineRule="auto"/>
        <w:jc w:val="both"/>
      </w:pPr>
      <w:r w:rsidRPr="003928A0">
        <w:t>Środki gromadzone w PPK są prywatną własnością uczestnika</w:t>
      </w:r>
      <w:r w:rsidR="002C5B27">
        <w:t xml:space="preserve"> PPK</w:t>
      </w:r>
      <w:r w:rsidRPr="00E30969">
        <w:t>,</w:t>
      </w:r>
      <w:r w:rsidRPr="000D016D">
        <w:t xml:space="preserve"> który może z nich skorzystać w</w:t>
      </w:r>
      <w:r w:rsidR="00056E5F">
        <w:t> </w:t>
      </w:r>
      <w:r w:rsidRPr="000D016D">
        <w:t>dowolnym czasie. Zasadniczo środki w PPK gromadzone są na okres po zakończeniu aktywności zawodowej, w celu wypłaty po ukończeniu 60. roku życia. Środki te można jednak wycofać z rachunku PPK wcześniej, dokonując tzw. zwrotu (zwrot wiąże się z pewnymi pomniejszeniami) albo można wypłacić je w tzw. szczególnych sytuacjach życiowych, to jest w przypadku poważnego zachorowania uczestnika PPK, jego współmałżonka lub dziecka bądź na pokrycie wkładu własnego przy kredycie hipotecznym. W razie poważnego zachorowania, uczestnik PPK może zawnioskować o wypłatę do</w:t>
      </w:r>
      <w:r w:rsidR="007542BF">
        <w:t> </w:t>
      </w:r>
      <w:r w:rsidRPr="000D016D">
        <w:t>25%</w:t>
      </w:r>
      <w:r w:rsidR="007542BF">
        <w:t> </w:t>
      </w:r>
      <w:r w:rsidRPr="000D016D">
        <w:t>środków zgromadzonych na jego rachunku PPK. Taka wypłata może zostać zrealizowana wielokrotnie i w dowolnym czasie (także po ukończeniu przez uczestnika 60. roku życia i rozpoczęciu wypłat z</w:t>
      </w:r>
      <w:r w:rsidR="002C4C8F">
        <w:t> </w:t>
      </w:r>
      <w:r w:rsidRPr="000D016D">
        <w:t>rachunku PPK), przy czym jedno ze zdarzeń mieszczących się w katalogu „poważnego zachorowania” (jednej osoby) może uzasadniać jedną taką wypłatę z rachunku PPK (do 25% środków – jednorazowo albo w ratach). Ponadto uczestnik PPK, który nie ukończył 45 lat, może zwrócić się</w:t>
      </w:r>
      <w:r w:rsidR="007542BF">
        <w:t> </w:t>
      </w:r>
      <w:r w:rsidRPr="000D016D">
        <w:t>do</w:t>
      </w:r>
      <w:r w:rsidR="007542BF">
        <w:t> </w:t>
      </w:r>
      <w:r w:rsidRPr="000D016D">
        <w:t>instytucji finansowej z wnioskiem o wypłatę do 100% środków zgromadzonych na jego rachunku PPK na pokrycie wkładu własnego przy kredycie hipotecznym (z obowiązkiem ich zwrotu w terminie maksymalnie 15</w:t>
      </w:r>
      <w:r w:rsidR="00E315A2">
        <w:t> </w:t>
      </w:r>
      <w:r w:rsidRPr="000D016D">
        <w:t>lat od dnia wypłaty).</w:t>
      </w:r>
    </w:p>
    <w:p w14:paraId="103181B8" w14:textId="00CC39E6" w:rsidR="00AE118A" w:rsidRDefault="000D016D" w:rsidP="006F6A07">
      <w:pPr>
        <w:spacing w:before="6" w:after="6" w:line="288" w:lineRule="auto"/>
        <w:jc w:val="both"/>
      </w:pPr>
      <w:r w:rsidRPr="000D016D">
        <w:t>Środki zgromadzone w PPK podlegają dziedziczeniu. Jeżeli uczestnik PPK w chwili śmierci pozostawał w związku małżeńskim, 50% środków z jego rachunku PPK zostanie przekazanych jego małżonkowi (w</w:t>
      </w:r>
      <w:r w:rsidR="002C4C8F">
        <w:t> </w:t>
      </w:r>
      <w:r w:rsidRPr="000D016D">
        <w:t xml:space="preserve">zakresie, w jakim stanowiły one przedmiot małżeńskiej wspólności majątkowej), a pozostała część – osobom uprawnionym, wskazanym przez uczestnika PPK instytucji finansowej. Jeżeli uczestnik PPK nie wskazał instytucji finansowej takich osób, środki te </w:t>
      </w:r>
      <w:r w:rsidR="00F35C56">
        <w:t>–</w:t>
      </w:r>
      <w:r w:rsidRPr="000D016D">
        <w:t xml:space="preserve"> w zakresie, w jakim nie przysługują małżonkowi zmarłego </w:t>
      </w:r>
      <w:r w:rsidR="00F35C56">
        <w:t>–</w:t>
      </w:r>
      <w:r w:rsidRPr="000D016D">
        <w:t xml:space="preserve"> podlegają dziedziczeniu na zasadach ogólnych (pewne odmienności mają miejsce w przypadku, gdy rachunek PPK jest prowadzony przez zakład ubezpieczeń).</w:t>
      </w:r>
    </w:p>
    <w:p w14:paraId="564A390C" w14:textId="77777777" w:rsidR="00AE118A" w:rsidRPr="000D016D" w:rsidRDefault="00AE118A" w:rsidP="006F6A07">
      <w:pPr>
        <w:spacing w:before="6" w:after="6" w:line="288" w:lineRule="auto"/>
        <w:jc w:val="both"/>
      </w:pPr>
    </w:p>
    <w:p w14:paraId="787B6CF4" w14:textId="77777777" w:rsidR="000D016D" w:rsidRPr="000D016D" w:rsidRDefault="00C3158C">
      <w:pPr>
        <w:pStyle w:val="Nagwek2"/>
        <w:numPr>
          <w:ilvl w:val="0"/>
          <w:numId w:val="24"/>
        </w:numPr>
        <w:spacing w:before="6" w:after="6" w:line="288" w:lineRule="auto"/>
        <w:jc w:val="both"/>
      </w:pPr>
      <w:bookmarkStart w:id="57" w:name="_Toc121828622"/>
      <w:r>
        <w:t>E</w:t>
      </w:r>
      <w:r w:rsidR="000D016D" w:rsidRPr="00C3158C">
        <w:t>tapy</w:t>
      </w:r>
      <w:r w:rsidR="000D016D" w:rsidRPr="000D016D">
        <w:t xml:space="preserve"> wdrażania PPK</w:t>
      </w:r>
      <w:bookmarkEnd w:id="57"/>
    </w:p>
    <w:p w14:paraId="320FC68D" w14:textId="77777777" w:rsidR="000D016D" w:rsidRPr="000D016D" w:rsidRDefault="000D016D" w:rsidP="006F6A07">
      <w:pPr>
        <w:spacing w:before="6" w:after="6" w:line="288" w:lineRule="auto"/>
        <w:jc w:val="both"/>
      </w:pPr>
      <w:r w:rsidRPr="000D016D">
        <w:t>W przepisach ustawy o PPK wyodrębniono cztery etapy wdrożenia tego programu:</w:t>
      </w:r>
    </w:p>
    <w:p w14:paraId="2240D715" w14:textId="35D5E188" w:rsidR="000D016D" w:rsidRPr="000D016D" w:rsidRDefault="000D016D" w:rsidP="006F6A07">
      <w:pPr>
        <w:numPr>
          <w:ilvl w:val="0"/>
          <w:numId w:val="7"/>
        </w:numPr>
        <w:spacing w:before="6" w:after="6" w:line="288" w:lineRule="auto"/>
        <w:jc w:val="both"/>
      </w:pPr>
      <w:r w:rsidRPr="000D016D">
        <w:rPr>
          <w:b/>
          <w:bCs/>
        </w:rPr>
        <w:t>I etap wdrożenia PPK</w:t>
      </w:r>
      <w:r w:rsidRPr="000D016D">
        <w:t xml:space="preserve"> – dotyczący podmiotów zatrudniających, które zatrudniały co najmniej 250 osób zatrudnionych według stanu na 31 grudnia 2018 r. </w:t>
      </w:r>
      <w:r w:rsidR="00F35C56">
        <w:t>–</w:t>
      </w:r>
      <w:r w:rsidRPr="000D016D">
        <w:t xml:space="preserve"> zostały one objęte ustawą o PPK </w:t>
      </w:r>
      <w:r w:rsidRPr="000D016D">
        <w:lastRenderedPageBreak/>
        <w:t>od 1 lipca 2019 r. i miały obowiązek zawrzeć umowę o zarządzanie PPK do 25 października 2019 r., a umowę o prowadzenie PPK do 12 listopada 2019 r.;</w:t>
      </w:r>
    </w:p>
    <w:p w14:paraId="2C87FB86" w14:textId="6939E1FE" w:rsidR="000D016D" w:rsidRPr="000D016D" w:rsidRDefault="000D016D" w:rsidP="006F6A07">
      <w:pPr>
        <w:numPr>
          <w:ilvl w:val="0"/>
          <w:numId w:val="7"/>
        </w:numPr>
        <w:spacing w:before="6" w:after="6" w:line="288" w:lineRule="auto"/>
        <w:jc w:val="both"/>
      </w:pPr>
      <w:r w:rsidRPr="000D016D">
        <w:rPr>
          <w:b/>
          <w:bCs/>
        </w:rPr>
        <w:t>II etap wdrożenia PPK</w:t>
      </w:r>
      <w:r w:rsidRPr="000D016D">
        <w:t xml:space="preserve"> – dotyczący podmiotów zatrudniających, które zatrudniały co najmniej 50 osób zatrudnionych według stanu na 30 czerwca 2019 r. </w:t>
      </w:r>
      <w:r w:rsidR="00F35C56">
        <w:t>–</w:t>
      </w:r>
      <w:r w:rsidRPr="000D016D">
        <w:t xml:space="preserve"> zostały one objęte ustawą o PPK od 1 stycznia 2020 r. i miały obowiązek zawrzeć umowę o zarządzanie PPK do 27 października 2020 r., a umowę o prowadzenie PPK do 10 listopada 2020 r.;</w:t>
      </w:r>
    </w:p>
    <w:p w14:paraId="77C914AD" w14:textId="6C9FAC6E" w:rsidR="000D016D" w:rsidRPr="000D016D" w:rsidRDefault="000D016D" w:rsidP="006F6A07">
      <w:pPr>
        <w:numPr>
          <w:ilvl w:val="0"/>
          <w:numId w:val="7"/>
        </w:numPr>
        <w:spacing w:before="6" w:after="6" w:line="288" w:lineRule="auto"/>
        <w:jc w:val="both"/>
      </w:pPr>
      <w:r w:rsidRPr="000D016D">
        <w:rPr>
          <w:b/>
          <w:bCs/>
        </w:rPr>
        <w:t>III etap wdrożenia PPK</w:t>
      </w:r>
      <w:r w:rsidRPr="000D016D">
        <w:t xml:space="preserve"> – dotyczący podmiotów zatrudniających, które zatrudniały co najmniej 20 osób zatrudnionych według stanu na 31 grudnia 2019 r. </w:t>
      </w:r>
      <w:r w:rsidR="00F35C56">
        <w:t>–</w:t>
      </w:r>
      <w:r w:rsidRPr="000D016D">
        <w:t xml:space="preserve"> zostały one objęte ustawą o PPK od 1 lipca 2020 r. i miały obowiązek zawrzeć umowę o zarządzanie PPK do 27 października 2020 r., a umowę o prowadzenie PPK do 10 listopada 2020 r.</w:t>
      </w:r>
    </w:p>
    <w:p w14:paraId="782B183F" w14:textId="23B0B47D" w:rsidR="000D016D" w:rsidRPr="000D016D" w:rsidRDefault="000D016D" w:rsidP="006F6A07">
      <w:pPr>
        <w:spacing w:before="6" w:after="6" w:line="288" w:lineRule="auto"/>
        <w:jc w:val="both"/>
      </w:pPr>
      <w:r w:rsidRPr="000D016D">
        <w:t>Terminy na zawarcie umowy o zarządzanie PPK i umowy o prowadzenie PPK przez podmioty z II i III etapu wdrożenia PPK zostały zrównane na podstawie art. 54 ustawy z 31 marca 2020 r. o zmianie ustawy o szczególnych rozwiązaniach związanych z zapobieganiem, przeciwdziałaniem i zwalczaniem COVID-19, innych chorób zakaźnych oraz wywołanych nimi sytuacji kryzysowych oraz niektórych innych ustaw (Dz.</w:t>
      </w:r>
      <w:r w:rsidR="00207024">
        <w:t xml:space="preserve"> </w:t>
      </w:r>
      <w:r w:rsidRPr="000D016D">
        <w:t>U. z 2020 r. poz. 568)</w:t>
      </w:r>
      <w:r w:rsidR="00651D71">
        <w:t xml:space="preserve">. </w:t>
      </w:r>
      <w:r w:rsidR="001D455B">
        <w:t xml:space="preserve">W związku z </w:t>
      </w:r>
      <w:r w:rsidR="001D455B" w:rsidRPr="001D455B">
        <w:t>potrzeb</w:t>
      </w:r>
      <w:r w:rsidR="001D455B">
        <w:t>ą</w:t>
      </w:r>
      <w:r w:rsidR="001D455B" w:rsidRPr="001D455B">
        <w:t xml:space="preserve"> wprowadzenia rozwiązań mających na</w:t>
      </w:r>
      <w:r w:rsidR="00207024">
        <w:t> </w:t>
      </w:r>
      <w:r w:rsidR="001D455B" w:rsidRPr="001D455B">
        <w:t xml:space="preserve">celu przeciwdziałanie negatywnym skutkom gospodarczym </w:t>
      </w:r>
      <w:r w:rsidR="004607D2">
        <w:t>związany</w:t>
      </w:r>
      <w:r w:rsidR="0033337D">
        <w:t>m</w:t>
      </w:r>
      <w:r w:rsidR="00207024">
        <w:t xml:space="preserve"> z COVID-19</w:t>
      </w:r>
      <w:r w:rsidR="004607D2">
        <w:t xml:space="preserve"> u</w:t>
      </w:r>
      <w:r w:rsidR="001C7923">
        <w:t>stawą t</w:t>
      </w:r>
      <w:r w:rsidR="004607D2">
        <w:t>ą</w:t>
      </w:r>
      <w:r w:rsidR="00207024">
        <w:t> </w:t>
      </w:r>
      <w:r w:rsidR="00C32350" w:rsidRPr="00C32350">
        <w:t>przesunię</w:t>
      </w:r>
      <w:r w:rsidR="001C7923">
        <w:t>to</w:t>
      </w:r>
      <w:r w:rsidR="00C32350" w:rsidRPr="00C32350">
        <w:t xml:space="preserve"> o pół roku termin</w:t>
      </w:r>
      <w:r w:rsidR="001C7923">
        <w:t>y</w:t>
      </w:r>
      <w:r w:rsidR="00C32350" w:rsidRPr="00C32350">
        <w:t xml:space="preserve"> na zawarcie um</w:t>
      </w:r>
      <w:r w:rsidR="00F91BF1">
        <w:t>o</w:t>
      </w:r>
      <w:r w:rsidR="001C7923">
        <w:t>w</w:t>
      </w:r>
      <w:r w:rsidR="00F91BF1">
        <w:t>y</w:t>
      </w:r>
      <w:r w:rsidR="00C32350" w:rsidRPr="00C32350">
        <w:t xml:space="preserve"> o zarządzenie PPK </w:t>
      </w:r>
      <w:r w:rsidR="00B61522">
        <w:t>i</w:t>
      </w:r>
      <w:r w:rsidR="00C32350" w:rsidRPr="00C32350">
        <w:t xml:space="preserve"> </w:t>
      </w:r>
      <w:r w:rsidR="000D7BFB">
        <w:t>um</w:t>
      </w:r>
      <w:r w:rsidR="00F91BF1">
        <w:t>owy</w:t>
      </w:r>
      <w:r w:rsidR="000D7BFB">
        <w:t xml:space="preserve"> </w:t>
      </w:r>
      <w:r w:rsidR="00C32350" w:rsidRPr="00C32350">
        <w:t>o prowadzenie PPK przez podmioty zatrudniające powyżej 50 osób zatrudnionych</w:t>
      </w:r>
      <w:r w:rsidR="006B3472">
        <w:t>,</w:t>
      </w:r>
      <w:r w:rsidR="00FC36F9">
        <w:t xml:space="preserve"> </w:t>
      </w:r>
      <w:r w:rsidR="00C32350" w:rsidRPr="00C32350">
        <w:t>uspójni</w:t>
      </w:r>
      <w:r w:rsidR="006B3472">
        <w:t>ając</w:t>
      </w:r>
      <w:r w:rsidR="00FC36F9">
        <w:t xml:space="preserve"> </w:t>
      </w:r>
      <w:r w:rsidR="001C7923">
        <w:t>je</w:t>
      </w:r>
      <w:r w:rsidR="00C32350" w:rsidRPr="00C32350">
        <w:t xml:space="preserve"> z terminami </w:t>
      </w:r>
      <w:r w:rsidR="00F207AB">
        <w:t>obowiązującymi</w:t>
      </w:r>
      <w:r w:rsidR="006F74EC">
        <w:t xml:space="preserve"> </w:t>
      </w:r>
      <w:r w:rsidR="00C32350" w:rsidRPr="00C32350">
        <w:t>podmiot</w:t>
      </w:r>
      <w:r w:rsidR="00F207AB">
        <w:t>y</w:t>
      </w:r>
      <w:r w:rsidR="00C32350" w:rsidRPr="00C32350">
        <w:t xml:space="preserve"> zatrudniając</w:t>
      </w:r>
      <w:r w:rsidR="00F207AB">
        <w:t>e</w:t>
      </w:r>
      <w:r w:rsidR="00C32350" w:rsidRPr="00C32350">
        <w:t xml:space="preserve"> co najmniej 20 osób zatrudnionych</w:t>
      </w:r>
      <w:r w:rsidR="00272E33">
        <w:t>;</w:t>
      </w:r>
      <w:r w:rsidR="009324C6">
        <w:t xml:space="preserve"> </w:t>
      </w:r>
    </w:p>
    <w:p w14:paraId="284E1C34" w14:textId="6A64D117" w:rsidR="000D016D" w:rsidRDefault="000D016D" w:rsidP="006F6A07">
      <w:pPr>
        <w:numPr>
          <w:ilvl w:val="0"/>
          <w:numId w:val="8"/>
        </w:numPr>
        <w:spacing w:before="6" w:after="6" w:line="288" w:lineRule="auto"/>
        <w:jc w:val="both"/>
      </w:pPr>
      <w:r w:rsidRPr="000D016D">
        <w:rPr>
          <w:b/>
          <w:bCs/>
        </w:rPr>
        <w:t>IV etap wdrożenia PPK</w:t>
      </w:r>
      <w:r w:rsidRPr="000D016D">
        <w:t xml:space="preserve"> – dotyczący pozostałych podmiotów zatrudniających oraz jednostek sektora finansów publicznych (bez względu na stan zatrudnienia), które zostały objęte ustawą o PPK od 1 stycznia 2021 r. Pozostałe podmioty zatrudniające, o których mowa powyżej, miały czas na zawarcie umowy o zarządzanie PPK do 23 kwietnia 2021 r., a umowy o prowadzenie PPK do 10 maja 2021 r. Natomiast jednostki sektora finansów publicznych miały czas na</w:t>
      </w:r>
      <w:r w:rsidR="00207024">
        <w:t> </w:t>
      </w:r>
      <w:r w:rsidRPr="000D016D">
        <w:t>zawarcie umowy o zarządzanie PPK do 26 marca 2021 r., a umowy o prowadzenie PPK do</w:t>
      </w:r>
      <w:r w:rsidR="00207024">
        <w:t> </w:t>
      </w:r>
      <w:r w:rsidRPr="000D016D">
        <w:t>10</w:t>
      </w:r>
      <w:r w:rsidR="00207024">
        <w:t> </w:t>
      </w:r>
      <w:r w:rsidRPr="000D016D">
        <w:t>kwietnia 2021 r.</w:t>
      </w:r>
    </w:p>
    <w:p w14:paraId="579CBF58" w14:textId="77777777" w:rsidR="00BC4005" w:rsidRPr="000D016D" w:rsidRDefault="00BC4005" w:rsidP="006F6A07">
      <w:pPr>
        <w:spacing w:before="6" w:after="6" w:line="288" w:lineRule="auto"/>
        <w:ind w:left="720"/>
        <w:jc w:val="both"/>
      </w:pPr>
    </w:p>
    <w:p w14:paraId="3365859C" w14:textId="77777777" w:rsidR="000D016D" w:rsidRPr="000D016D" w:rsidRDefault="000D016D">
      <w:pPr>
        <w:pStyle w:val="Nagwek2"/>
        <w:numPr>
          <w:ilvl w:val="0"/>
          <w:numId w:val="24"/>
        </w:numPr>
        <w:spacing w:before="6" w:after="6" w:line="288" w:lineRule="auto"/>
        <w:jc w:val="both"/>
      </w:pPr>
      <w:bookmarkStart w:id="58" w:name="_Toc121828623"/>
      <w:r w:rsidRPr="000D016D">
        <w:t>Instytucje finansowe prowadzące PPK</w:t>
      </w:r>
      <w:bookmarkEnd w:id="58"/>
    </w:p>
    <w:p w14:paraId="58C38810" w14:textId="02ABDDA6" w:rsidR="00440DCB" w:rsidRDefault="000D016D" w:rsidP="009257C4">
      <w:pPr>
        <w:spacing w:before="6" w:after="6" w:line="288" w:lineRule="auto"/>
        <w:jc w:val="both"/>
      </w:pPr>
      <w:r w:rsidRPr="000D016D">
        <w:t>Instytucjami finansowymi, które mogą zarządzać środkami gromadzonymi w ramach PPK, są wyłącznie: fundusz inwestycyjny, zarządzany przez </w:t>
      </w:r>
      <w:r w:rsidR="00450650">
        <w:t>t</w:t>
      </w:r>
      <w:r w:rsidRPr="000D016D">
        <w:t xml:space="preserve">owarzystwo </w:t>
      </w:r>
      <w:r w:rsidR="00450650">
        <w:t>f</w:t>
      </w:r>
      <w:r w:rsidRPr="000D016D">
        <w:t xml:space="preserve">unduszy </w:t>
      </w:r>
      <w:r w:rsidR="00450650">
        <w:t>i</w:t>
      </w:r>
      <w:r w:rsidRPr="000D016D">
        <w:t>nwestycyjnych</w:t>
      </w:r>
      <w:r w:rsidR="00ED62CF">
        <w:t xml:space="preserve"> </w:t>
      </w:r>
      <w:r w:rsidR="007A5707">
        <w:t>(TFI)</w:t>
      </w:r>
      <w:r w:rsidRPr="000D016D">
        <w:t>, fundusz emerytalny, zarządzany przez </w:t>
      </w:r>
      <w:r w:rsidR="00450650">
        <w:t>p</w:t>
      </w:r>
      <w:r w:rsidRPr="000D016D">
        <w:t xml:space="preserve">owszechne </w:t>
      </w:r>
      <w:r w:rsidR="00450650">
        <w:t>t</w:t>
      </w:r>
      <w:r w:rsidRPr="000D016D">
        <w:t xml:space="preserve">owarzystwo </w:t>
      </w:r>
      <w:r w:rsidR="00450650">
        <w:t>e</w:t>
      </w:r>
      <w:r w:rsidRPr="000D016D">
        <w:t>merytalne</w:t>
      </w:r>
      <w:r w:rsidR="00ED62CF">
        <w:t xml:space="preserve"> (PTE)</w:t>
      </w:r>
      <w:r w:rsidRPr="000D016D">
        <w:rPr>
          <w:b/>
          <w:bCs/>
        </w:rPr>
        <w:t xml:space="preserve"> </w:t>
      </w:r>
      <w:r w:rsidRPr="000D016D">
        <w:t>albo</w:t>
      </w:r>
      <w:r w:rsidR="00207024">
        <w:t> </w:t>
      </w:r>
      <w:r w:rsidR="00450650">
        <w:t>p</w:t>
      </w:r>
      <w:r w:rsidRPr="000D016D">
        <w:t>racownicze </w:t>
      </w:r>
      <w:r w:rsidR="00450650">
        <w:t>t</w:t>
      </w:r>
      <w:r w:rsidRPr="000D016D">
        <w:t xml:space="preserve">owarzystwo </w:t>
      </w:r>
      <w:r w:rsidR="00450650">
        <w:t>e</w:t>
      </w:r>
      <w:r w:rsidRPr="000D016D">
        <w:t>merytalne</w:t>
      </w:r>
      <w:r w:rsidR="00ED62CF">
        <w:t xml:space="preserve"> (PrTE) </w:t>
      </w:r>
      <w:r w:rsidRPr="000D016D">
        <w:t>lub zakład ubezpieczeń.</w:t>
      </w:r>
      <w:r w:rsidRPr="000D016D">
        <w:rPr>
          <w:b/>
          <w:bCs/>
        </w:rPr>
        <w:t xml:space="preserve"> </w:t>
      </w:r>
      <w:r w:rsidRPr="000D016D">
        <w:t>W systemie PPK uczestniczą tylko instytucje finansowe zarządzane przez podmioty wpisane do ewidencji PPK, prowadzonej przez</w:t>
      </w:r>
      <w:r w:rsidR="00207024">
        <w:t> </w:t>
      </w:r>
      <w:r w:rsidRPr="000D016D">
        <w:t>Polski Fundusz Rozwoju</w:t>
      </w:r>
      <w:r w:rsidR="00505AFB">
        <w:t xml:space="preserve"> S</w:t>
      </w:r>
      <w:r w:rsidRPr="000D016D">
        <w:t>.</w:t>
      </w:r>
      <w:r w:rsidR="00505AFB">
        <w:t>A.</w:t>
      </w:r>
      <w:r w:rsidR="00C419DA">
        <w:t xml:space="preserve"> Obecnie</w:t>
      </w:r>
      <w:r w:rsidR="00381830">
        <w:t xml:space="preserve"> (</w:t>
      </w:r>
      <w:r w:rsidR="00AD3FAB">
        <w:t>stan na 30.09.2022 r.)</w:t>
      </w:r>
      <w:r w:rsidR="00C419DA">
        <w:t xml:space="preserve"> jest to 17 </w:t>
      </w:r>
      <w:r w:rsidR="00017BE3">
        <w:t xml:space="preserve">instytucji finansowych. </w:t>
      </w:r>
    </w:p>
    <w:p w14:paraId="6047B836" w14:textId="77777777" w:rsidR="00FC1B12" w:rsidRDefault="00FC1B12" w:rsidP="006F6A07">
      <w:pPr>
        <w:spacing w:before="6" w:after="6" w:line="288" w:lineRule="auto"/>
        <w:jc w:val="both"/>
      </w:pPr>
    </w:p>
    <w:p w14:paraId="3A72C6C2" w14:textId="77777777" w:rsidR="002E65B0" w:rsidRPr="002E65B0" w:rsidRDefault="002E65B0" w:rsidP="002E65B0">
      <w:pPr>
        <w:pStyle w:val="Legenda"/>
        <w:keepNext/>
        <w:rPr>
          <w:b/>
          <w:bCs/>
          <w:color w:val="auto"/>
          <w:sz w:val="20"/>
          <w:szCs w:val="20"/>
        </w:rPr>
      </w:pPr>
      <w:bookmarkStart w:id="59" w:name="_Toc116482575"/>
      <w:bookmarkStart w:id="60" w:name="_Toc121826364"/>
      <w:r w:rsidRPr="002E65B0">
        <w:rPr>
          <w:color w:val="auto"/>
          <w:sz w:val="20"/>
          <w:szCs w:val="20"/>
        </w:rPr>
        <w:t xml:space="preserve">Tabela </w:t>
      </w:r>
      <w:r w:rsidRPr="002E65B0">
        <w:rPr>
          <w:color w:val="auto"/>
          <w:sz w:val="20"/>
          <w:szCs w:val="20"/>
        </w:rPr>
        <w:fldChar w:fldCharType="begin"/>
      </w:r>
      <w:r w:rsidRPr="002E65B0">
        <w:rPr>
          <w:color w:val="auto"/>
          <w:sz w:val="20"/>
          <w:szCs w:val="20"/>
        </w:rPr>
        <w:instrText xml:space="preserve"> SEQ Tabela \* ARABIC </w:instrText>
      </w:r>
      <w:r w:rsidRPr="002E65B0">
        <w:rPr>
          <w:color w:val="auto"/>
          <w:sz w:val="20"/>
          <w:szCs w:val="20"/>
        </w:rPr>
        <w:fldChar w:fldCharType="separate"/>
      </w:r>
      <w:r w:rsidR="00F474C0">
        <w:rPr>
          <w:noProof/>
          <w:color w:val="auto"/>
          <w:sz w:val="20"/>
          <w:szCs w:val="20"/>
        </w:rPr>
        <w:t>2</w:t>
      </w:r>
      <w:r w:rsidRPr="002E65B0">
        <w:rPr>
          <w:color w:val="auto"/>
          <w:sz w:val="20"/>
          <w:szCs w:val="20"/>
        </w:rPr>
        <w:fldChar w:fldCharType="end"/>
      </w:r>
      <w:r w:rsidRPr="002E65B0">
        <w:rPr>
          <w:b/>
          <w:bCs/>
          <w:color w:val="auto"/>
          <w:sz w:val="20"/>
          <w:szCs w:val="20"/>
        </w:rPr>
        <w:t xml:space="preserve"> </w:t>
      </w:r>
      <w:r w:rsidRPr="002E65B0">
        <w:rPr>
          <w:b/>
          <w:bCs/>
          <w:i w:val="0"/>
          <w:iCs w:val="0"/>
          <w:color w:val="auto"/>
          <w:sz w:val="20"/>
          <w:szCs w:val="20"/>
        </w:rPr>
        <w:t>Instytucje finansowe</w:t>
      </w:r>
      <w:r w:rsidR="00033459">
        <w:rPr>
          <w:b/>
          <w:bCs/>
          <w:i w:val="0"/>
          <w:iCs w:val="0"/>
          <w:color w:val="auto"/>
          <w:sz w:val="20"/>
          <w:szCs w:val="20"/>
        </w:rPr>
        <w:t xml:space="preserve"> prowadzące PPK</w:t>
      </w:r>
      <w:bookmarkEnd w:id="59"/>
      <w:bookmarkEnd w:id="60"/>
    </w:p>
    <w:tbl>
      <w:tblPr>
        <w:tblStyle w:val="Tabelasiatki41"/>
        <w:tblW w:w="5880" w:type="dxa"/>
        <w:tblLook w:val="04A0" w:firstRow="1" w:lastRow="0" w:firstColumn="1" w:lastColumn="0" w:noHBand="0" w:noVBand="1"/>
      </w:tblPr>
      <w:tblGrid>
        <w:gridCol w:w="917"/>
        <w:gridCol w:w="4963"/>
      </w:tblGrid>
      <w:tr w:rsidR="002A6B7D" w:rsidRPr="003E703B" w14:paraId="38824B96" w14:textId="77777777" w:rsidTr="00F62F67">
        <w:trPr>
          <w:cnfStyle w:val="100000000000" w:firstRow="1" w:lastRow="0" w:firstColumn="0" w:lastColumn="0" w:oddVBand="0" w:evenVBand="0" w:oddHBand="0"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917" w:type="dxa"/>
            <w:noWrap/>
          </w:tcPr>
          <w:p w14:paraId="603FE3D4" w14:textId="77777777" w:rsidR="002A3286" w:rsidRPr="006F6A07" w:rsidRDefault="004E114D" w:rsidP="006F6A07">
            <w:pPr>
              <w:spacing w:before="6" w:after="6" w:line="288" w:lineRule="auto"/>
              <w:jc w:val="both"/>
              <w:rPr>
                <w:rFonts w:eastAsia="Times New Roman" w:cstheme="minorHAnsi"/>
                <w:lang w:eastAsia="pl-PL"/>
              </w:rPr>
            </w:pPr>
            <w:r>
              <w:rPr>
                <w:rFonts w:eastAsia="Times New Roman" w:cstheme="minorHAnsi"/>
                <w:lang w:eastAsia="pl-PL"/>
              </w:rPr>
              <w:t>L</w:t>
            </w:r>
            <w:r w:rsidR="00E17501">
              <w:rPr>
                <w:rFonts w:eastAsia="Times New Roman" w:cstheme="minorHAnsi"/>
                <w:lang w:eastAsia="pl-PL"/>
              </w:rPr>
              <w:t>p</w:t>
            </w:r>
            <w:r w:rsidR="00FC1B12" w:rsidRPr="006F6A07">
              <w:rPr>
                <w:rFonts w:eastAsia="Times New Roman" w:cstheme="minorHAnsi"/>
                <w:lang w:eastAsia="pl-PL"/>
              </w:rPr>
              <w:t>.</w:t>
            </w:r>
          </w:p>
        </w:tc>
        <w:tc>
          <w:tcPr>
            <w:tcW w:w="4963" w:type="dxa"/>
            <w:noWrap/>
          </w:tcPr>
          <w:p w14:paraId="0E1436AD" w14:textId="77777777" w:rsidR="002A3286" w:rsidRPr="006F6A07" w:rsidRDefault="004E114D" w:rsidP="006F6A07">
            <w:pPr>
              <w:spacing w:before="6" w:after="6" w:line="288" w:lineRule="auto"/>
              <w:jc w:val="both"/>
              <w:cnfStyle w:val="100000000000" w:firstRow="1" w:lastRow="0" w:firstColumn="0" w:lastColumn="0" w:oddVBand="0" w:evenVBand="0" w:oddHBand="0" w:evenHBand="0" w:firstRowFirstColumn="0" w:firstRowLastColumn="0" w:lastRowFirstColumn="0" w:lastRowLastColumn="0"/>
              <w:rPr>
                <w:rFonts w:eastAsia="Times New Roman" w:cstheme="minorHAnsi"/>
                <w:lang w:eastAsia="pl-PL"/>
              </w:rPr>
            </w:pPr>
            <w:r>
              <w:rPr>
                <w:rFonts w:eastAsia="Times New Roman" w:cstheme="minorHAnsi"/>
                <w:lang w:eastAsia="pl-PL"/>
              </w:rPr>
              <w:t>N</w:t>
            </w:r>
            <w:r w:rsidR="0017593D">
              <w:rPr>
                <w:rFonts w:eastAsia="Times New Roman" w:cstheme="minorHAnsi"/>
                <w:lang w:eastAsia="pl-PL"/>
              </w:rPr>
              <w:t>azwa</w:t>
            </w:r>
          </w:p>
        </w:tc>
      </w:tr>
      <w:tr w:rsidR="00C36004" w:rsidRPr="003E703B" w14:paraId="3B95BF43" w14:textId="77777777" w:rsidTr="00F62F67">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17" w:type="dxa"/>
            <w:noWrap/>
          </w:tcPr>
          <w:p w14:paraId="799A90EE" w14:textId="77777777" w:rsidR="00F62F67" w:rsidRPr="006F6A07" w:rsidRDefault="00FC1B12" w:rsidP="009257C4">
            <w:pPr>
              <w:spacing w:before="6" w:after="6" w:line="288" w:lineRule="auto"/>
              <w:jc w:val="both"/>
              <w:rPr>
                <w:rFonts w:eastAsia="Times New Roman" w:cstheme="minorHAnsi"/>
                <w:lang w:eastAsia="pl-PL"/>
              </w:rPr>
            </w:pPr>
            <w:r w:rsidRPr="006F6A07">
              <w:rPr>
                <w:rFonts w:eastAsia="Times New Roman" w:cstheme="minorHAnsi"/>
                <w:lang w:eastAsia="pl-PL"/>
              </w:rPr>
              <w:t>1</w:t>
            </w:r>
          </w:p>
        </w:tc>
        <w:tc>
          <w:tcPr>
            <w:tcW w:w="4963" w:type="dxa"/>
            <w:noWrap/>
          </w:tcPr>
          <w:p w14:paraId="39B6F9B1" w14:textId="77777777" w:rsidR="00F62F67" w:rsidRPr="006F6A07" w:rsidRDefault="00FC1B12" w:rsidP="009257C4">
            <w:pPr>
              <w:spacing w:before="6" w:after="6" w:line="288"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eastAsia="pl-PL"/>
              </w:rPr>
            </w:pPr>
            <w:r w:rsidRPr="006F6A07">
              <w:rPr>
                <w:rFonts w:eastAsia="Times New Roman" w:cstheme="minorHAnsi"/>
                <w:lang w:eastAsia="pl-PL"/>
              </w:rPr>
              <w:t>PKO TFI S.A.</w:t>
            </w:r>
          </w:p>
        </w:tc>
      </w:tr>
      <w:tr w:rsidR="002A3286" w:rsidRPr="003E703B" w14:paraId="283F0A2C" w14:textId="77777777" w:rsidTr="00D26CDC">
        <w:trPr>
          <w:trHeight w:val="342"/>
        </w:trPr>
        <w:tc>
          <w:tcPr>
            <w:cnfStyle w:val="001000000000" w:firstRow="0" w:lastRow="0" w:firstColumn="1" w:lastColumn="0" w:oddVBand="0" w:evenVBand="0" w:oddHBand="0" w:evenHBand="0" w:firstRowFirstColumn="0" w:firstRowLastColumn="0" w:lastRowFirstColumn="0" w:lastRowLastColumn="0"/>
            <w:tcW w:w="917" w:type="dxa"/>
            <w:noWrap/>
            <w:hideMark/>
          </w:tcPr>
          <w:p w14:paraId="7AD73D83" w14:textId="77777777" w:rsidR="002A3286" w:rsidRPr="006F6A07" w:rsidRDefault="002A3286" w:rsidP="006F6A07">
            <w:pPr>
              <w:spacing w:before="6" w:after="6" w:line="288" w:lineRule="auto"/>
              <w:jc w:val="both"/>
              <w:rPr>
                <w:rFonts w:eastAsia="Times New Roman" w:cstheme="minorHAnsi"/>
                <w:color w:val="000000"/>
                <w:lang w:eastAsia="pl-PL"/>
              </w:rPr>
            </w:pPr>
            <w:r w:rsidRPr="006F6A07">
              <w:rPr>
                <w:rFonts w:eastAsia="Times New Roman" w:cstheme="minorHAnsi"/>
                <w:color w:val="000000"/>
                <w:lang w:eastAsia="pl-PL"/>
              </w:rPr>
              <w:t>2</w:t>
            </w:r>
          </w:p>
        </w:tc>
        <w:tc>
          <w:tcPr>
            <w:tcW w:w="4963" w:type="dxa"/>
            <w:noWrap/>
            <w:hideMark/>
          </w:tcPr>
          <w:p w14:paraId="2E5FB211" w14:textId="77777777" w:rsidR="002A3286" w:rsidRPr="006F6A07" w:rsidRDefault="002A3286" w:rsidP="006F6A07">
            <w:pPr>
              <w:spacing w:before="6" w:after="6" w:line="288"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sidRPr="006F6A07">
              <w:rPr>
                <w:rFonts w:eastAsia="Times New Roman" w:cstheme="minorHAnsi"/>
                <w:color w:val="000000"/>
                <w:lang w:eastAsia="pl-PL"/>
              </w:rPr>
              <w:t>TFI PZU SA</w:t>
            </w:r>
          </w:p>
        </w:tc>
      </w:tr>
      <w:tr w:rsidR="009F05D1" w:rsidRPr="00F6118B" w14:paraId="45F73BDD" w14:textId="77777777" w:rsidTr="00F62F67">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17" w:type="dxa"/>
            <w:noWrap/>
            <w:hideMark/>
          </w:tcPr>
          <w:p w14:paraId="15760537" w14:textId="77777777" w:rsidR="002A3286" w:rsidRPr="006F6A07" w:rsidRDefault="002A3286" w:rsidP="006F6A07">
            <w:pPr>
              <w:spacing w:before="6" w:after="6" w:line="288" w:lineRule="auto"/>
              <w:jc w:val="both"/>
              <w:rPr>
                <w:rFonts w:eastAsia="Times New Roman" w:cstheme="minorHAnsi"/>
                <w:color w:val="000000"/>
                <w:lang w:eastAsia="pl-PL"/>
              </w:rPr>
            </w:pPr>
            <w:r w:rsidRPr="006F6A07">
              <w:rPr>
                <w:rFonts w:eastAsia="Times New Roman" w:cstheme="minorHAnsi"/>
                <w:color w:val="000000"/>
                <w:lang w:eastAsia="pl-PL"/>
              </w:rPr>
              <w:t>3</w:t>
            </w:r>
          </w:p>
        </w:tc>
        <w:tc>
          <w:tcPr>
            <w:tcW w:w="4963" w:type="dxa"/>
            <w:noWrap/>
            <w:hideMark/>
          </w:tcPr>
          <w:p w14:paraId="6BB2D08A" w14:textId="77777777" w:rsidR="002A3286" w:rsidRPr="006F6A07" w:rsidRDefault="002A3286" w:rsidP="006F6A07">
            <w:pPr>
              <w:spacing w:before="6" w:after="6" w:line="288"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de-CH" w:eastAsia="pl-PL"/>
              </w:rPr>
            </w:pPr>
            <w:r w:rsidRPr="006F6A07">
              <w:rPr>
                <w:rFonts w:eastAsia="Times New Roman" w:cstheme="minorHAnsi"/>
                <w:color w:val="000000"/>
                <w:lang w:val="de-CH" w:eastAsia="pl-PL"/>
              </w:rPr>
              <w:t>Nationale-Nederlanden PTE S.A.</w:t>
            </w:r>
          </w:p>
        </w:tc>
      </w:tr>
      <w:tr w:rsidR="002A3286" w:rsidRPr="00F6118B" w14:paraId="354D205F" w14:textId="77777777" w:rsidTr="00D26CDC">
        <w:trPr>
          <w:trHeight w:val="342"/>
        </w:trPr>
        <w:tc>
          <w:tcPr>
            <w:cnfStyle w:val="001000000000" w:firstRow="0" w:lastRow="0" w:firstColumn="1" w:lastColumn="0" w:oddVBand="0" w:evenVBand="0" w:oddHBand="0" w:evenHBand="0" w:firstRowFirstColumn="0" w:firstRowLastColumn="0" w:lastRowFirstColumn="0" w:lastRowLastColumn="0"/>
            <w:tcW w:w="917" w:type="dxa"/>
            <w:noWrap/>
            <w:hideMark/>
          </w:tcPr>
          <w:p w14:paraId="38C05F55" w14:textId="77777777" w:rsidR="002A3286" w:rsidRPr="006F6A07" w:rsidRDefault="002A3286" w:rsidP="006F6A07">
            <w:pPr>
              <w:spacing w:before="6" w:after="6" w:line="288" w:lineRule="auto"/>
              <w:jc w:val="both"/>
              <w:rPr>
                <w:rFonts w:eastAsia="Times New Roman" w:cstheme="minorHAnsi"/>
                <w:color w:val="000000"/>
                <w:lang w:eastAsia="pl-PL"/>
              </w:rPr>
            </w:pPr>
            <w:r w:rsidRPr="006F6A07">
              <w:rPr>
                <w:rFonts w:eastAsia="Times New Roman" w:cstheme="minorHAnsi"/>
                <w:color w:val="000000"/>
                <w:lang w:eastAsia="pl-PL"/>
              </w:rPr>
              <w:t>4</w:t>
            </w:r>
          </w:p>
        </w:tc>
        <w:tc>
          <w:tcPr>
            <w:tcW w:w="4963" w:type="dxa"/>
            <w:noWrap/>
            <w:hideMark/>
          </w:tcPr>
          <w:p w14:paraId="471615BF" w14:textId="77777777" w:rsidR="002A3286" w:rsidRPr="006F6A07" w:rsidRDefault="002A3286" w:rsidP="006F6A07">
            <w:pPr>
              <w:spacing w:before="6" w:after="6" w:line="288"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de-CH" w:eastAsia="pl-PL"/>
              </w:rPr>
            </w:pPr>
            <w:r w:rsidRPr="006F6A07">
              <w:rPr>
                <w:rFonts w:eastAsia="Times New Roman" w:cstheme="minorHAnsi"/>
                <w:color w:val="000000"/>
                <w:lang w:val="de-CH" w:eastAsia="pl-PL"/>
              </w:rPr>
              <w:t>NN Investment Partners TFI S.A.</w:t>
            </w:r>
          </w:p>
        </w:tc>
      </w:tr>
      <w:tr w:rsidR="00702EAC" w:rsidRPr="003E703B" w14:paraId="016BBF70" w14:textId="77777777" w:rsidTr="00F62F67">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17" w:type="dxa"/>
            <w:noWrap/>
          </w:tcPr>
          <w:p w14:paraId="6ADFAA23" w14:textId="77777777" w:rsidR="002A3286" w:rsidRPr="006F6A07" w:rsidRDefault="00845DFE" w:rsidP="006F6A07">
            <w:pPr>
              <w:spacing w:before="6" w:after="6" w:line="288" w:lineRule="auto"/>
              <w:jc w:val="both"/>
              <w:rPr>
                <w:rFonts w:eastAsia="Times New Roman" w:cstheme="minorHAnsi"/>
                <w:color w:val="000000"/>
                <w:lang w:eastAsia="pl-PL"/>
              </w:rPr>
            </w:pPr>
            <w:r w:rsidRPr="006F6A07">
              <w:rPr>
                <w:rFonts w:eastAsia="Times New Roman" w:cstheme="minorHAnsi"/>
                <w:color w:val="000000"/>
                <w:lang w:eastAsia="pl-PL"/>
              </w:rPr>
              <w:t>5</w:t>
            </w:r>
          </w:p>
        </w:tc>
        <w:tc>
          <w:tcPr>
            <w:tcW w:w="4963" w:type="dxa"/>
            <w:noWrap/>
            <w:hideMark/>
          </w:tcPr>
          <w:p w14:paraId="218EE173" w14:textId="77777777" w:rsidR="002A3286" w:rsidRPr="006F6A07" w:rsidRDefault="002A3286" w:rsidP="006F6A07">
            <w:pPr>
              <w:spacing w:before="6" w:after="6" w:line="288"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sidRPr="006F6A07">
              <w:rPr>
                <w:rFonts w:eastAsia="Times New Roman" w:cstheme="minorHAnsi"/>
                <w:color w:val="000000"/>
                <w:lang w:eastAsia="pl-PL"/>
              </w:rPr>
              <w:t>Pekao TFI S.A.</w:t>
            </w:r>
          </w:p>
        </w:tc>
      </w:tr>
      <w:tr w:rsidR="002A3286" w:rsidRPr="003E703B" w14:paraId="4DBDA047" w14:textId="77777777" w:rsidTr="00D26CDC">
        <w:trPr>
          <w:trHeight w:val="342"/>
        </w:trPr>
        <w:tc>
          <w:tcPr>
            <w:cnfStyle w:val="001000000000" w:firstRow="0" w:lastRow="0" w:firstColumn="1" w:lastColumn="0" w:oddVBand="0" w:evenVBand="0" w:oddHBand="0" w:evenHBand="0" w:firstRowFirstColumn="0" w:firstRowLastColumn="0" w:lastRowFirstColumn="0" w:lastRowLastColumn="0"/>
            <w:tcW w:w="917" w:type="dxa"/>
            <w:noWrap/>
          </w:tcPr>
          <w:p w14:paraId="1D9BEA2E" w14:textId="77777777" w:rsidR="002A3286" w:rsidRPr="006F6A07" w:rsidRDefault="00845DFE" w:rsidP="006F6A07">
            <w:pPr>
              <w:spacing w:before="6" w:after="6" w:line="288" w:lineRule="auto"/>
              <w:jc w:val="both"/>
              <w:rPr>
                <w:rFonts w:eastAsia="Times New Roman" w:cstheme="minorHAnsi"/>
                <w:color w:val="000000"/>
                <w:lang w:eastAsia="pl-PL"/>
              </w:rPr>
            </w:pPr>
            <w:r w:rsidRPr="006F6A07">
              <w:rPr>
                <w:rFonts w:eastAsia="Times New Roman" w:cstheme="minorHAnsi"/>
                <w:color w:val="000000"/>
                <w:lang w:eastAsia="pl-PL"/>
              </w:rPr>
              <w:lastRenderedPageBreak/>
              <w:t>6</w:t>
            </w:r>
          </w:p>
        </w:tc>
        <w:tc>
          <w:tcPr>
            <w:tcW w:w="4963" w:type="dxa"/>
            <w:noWrap/>
            <w:hideMark/>
          </w:tcPr>
          <w:p w14:paraId="0173ACED" w14:textId="77777777" w:rsidR="002A3286" w:rsidRPr="006F6A07" w:rsidRDefault="002A3286" w:rsidP="006F6A07">
            <w:pPr>
              <w:spacing w:before="6" w:after="6" w:line="288"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sidRPr="006F6A07">
              <w:rPr>
                <w:rFonts w:eastAsia="Times New Roman" w:cstheme="minorHAnsi"/>
                <w:color w:val="000000"/>
                <w:lang w:eastAsia="pl-PL"/>
              </w:rPr>
              <w:t>UNIQA TFI S.A.</w:t>
            </w:r>
          </w:p>
        </w:tc>
      </w:tr>
      <w:tr w:rsidR="00702EAC" w:rsidRPr="003E703B" w14:paraId="65CC257B" w14:textId="77777777" w:rsidTr="00F62F67">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17" w:type="dxa"/>
            <w:noWrap/>
          </w:tcPr>
          <w:p w14:paraId="7EBAB160" w14:textId="77777777" w:rsidR="002A3286" w:rsidRPr="006F6A07" w:rsidRDefault="00845DFE" w:rsidP="006F6A07">
            <w:pPr>
              <w:spacing w:before="6" w:after="6" w:line="288" w:lineRule="auto"/>
              <w:jc w:val="both"/>
              <w:rPr>
                <w:rFonts w:eastAsia="Times New Roman" w:cstheme="minorHAnsi"/>
                <w:color w:val="000000"/>
                <w:lang w:eastAsia="pl-PL"/>
              </w:rPr>
            </w:pPr>
            <w:r w:rsidRPr="006F6A07">
              <w:rPr>
                <w:rFonts w:eastAsia="Times New Roman" w:cstheme="minorHAnsi"/>
                <w:color w:val="000000"/>
                <w:lang w:eastAsia="pl-PL"/>
              </w:rPr>
              <w:t>7</w:t>
            </w:r>
          </w:p>
        </w:tc>
        <w:tc>
          <w:tcPr>
            <w:tcW w:w="4963" w:type="dxa"/>
            <w:noWrap/>
            <w:hideMark/>
          </w:tcPr>
          <w:p w14:paraId="5B339AF2" w14:textId="77777777" w:rsidR="002A3286" w:rsidRPr="006F6A07" w:rsidRDefault="002A3286" w:rsidP="006F6A07">
            <w:pPr>
              <w:spacing w:before="6" w:after="6" w:line="288"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sidRPr="006F6A07">
              <w:rPr>
                <w:rFonts w:eastAsia="Times New Roman" w:cstheme="minorHAnsi"/>
                <w:color w:val="000000"/>
                <w:lang w:eastAsia="pl-PL"/>
              </w:rPr>
              <w:t>TFI Allianz Polska S.A.</w:t>
            </w:r>
          </w:p>
        </w:tc>
      </w:tr>
      <w:tr w:rsidR="002A3286" w:rsidRPr="003E703B" w14:paraId="03FE2D2D" w14:textId="77777777" w:rsidTr="00D26CDC">
        <w:trPr>
          <w:trHeight w:val="342"/>
        </w:trPr>
        <w:tc>
          <w:tcPr>
            <w:cnfStyle w:val="001000000000" w:firstRow="0" w:lastRow="0" w:firstColumn="1" w:lastColumn="0" w:oddVBand="0" w:evenVBand="0" w:oddHBand="0" w:evenHBand="0" w:firstRowFirstColumn="0" w:firstRowLastColumn="0" w:lastRowFirstColumn="0" w:lastRowLastColumn="0"/>
            <w:tcW w:w="917" w:type="dxa"/>
            <w:noWrap/>
          </w:tcPr>
          <w:p w14:paraId="63C6CB47" w14:textId="77777777" w:rsidR="002A3286" w:rsidRPr="006F6A07" w:rsidRDefault="00845DFE" w:rsidP="006F6A07">
            <w:pPr>
              <w:spacing w:before="6" w:after="6" w:line="288" w:lineRule="auto"/>
              <w:jc w:val="both"/>
              <w:rPr>
                <w:rFonts w:eastAsia="Times New Roman" w:cstheme="minorHAnsi"/>
                <w:color w:val="000000"/>
                <w:lang w:eastAsia="pl-PL"/>
              </w:rPr>
            </w:pPr>
            <w:r w:rsidRPr="006F6A07">
              <w:rPr>
                <w:rFonts w:eastAsia="Times New Roman" w:cstheme="minorHAnsi"/>
                <w:color w:val="000000"/>
                <w:lang w:eastAsia="pl-PL"/>
              </w:rPr>
              <w:t>8</w:t>
            </w:r>
          </w:p>
        </w:tc>
        <w:tc>
          <w:tcPr>
            <w:tcW w:w="4963" w:type="dxa"/>
            <w:noWrap/>
            <w:hideMark/>
          </w:tcPr>
          <w:p w14:paraId="5C715CB3" w14:textId="77777777" w:rsidR="002A3286" w:rsidRPr="006F6A07" w:rsidRDefault="002A3286" w:rsidP="006F6A07">
            <w:pPr>
              <w:spacing w:before="6" w:after="6" w:line="288"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sidRPr="006F6A07">
              <w:rPr>
                <w:rFonts w:eastAsia="Times New Roman" w:cstheme="minorHAnsi"/>
                <w:color w:val="000000"/>
                <w:lang w:eastAsia="pl-PL"/>
              </w:rPr>
              <w:t>Investors TFI S.A.</w:t>
            </w:r>
          </w:p>
        </w:tc>
      </w:tr>
      <w:tr w:rsidR="009F05D1" w:rsidRPr="00F6118B" w14:paraId="52540EE3" w14:textId="77777777" w:rsidTr="00F62F67">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17" w:type="dxa"/>
            <w:noWrap/>
          </w:tcPr>
          <w:p w14:paraId="4917CB46" w14:textId="77777777" w:rsidR="002A3286" w:rsidRPr="006F6A07" w:rsidRDefault="00845DFE" w:rsidP="006F6A07">
            <w:pPr>
              <w:spacing w:before="6" w:after="6" w:line="288" w:lineRule="auto"/>
              <w:jc w:val="both"/>
              <w:rPr>
                <w:rFonts w:eastAsia="Times New Roman" w:cstheme="minorHAnsi"/>
                <w:color w:val="000000"/>
                <w:lang w:eastAsia="pl-PL"/>
              </w:rPr>
            </w:pPr>
            <w:r w:rsidRPr="006F6A07">
              <w:rPr>
                <w:rFonts w:eastAsia="Times New Roman" w:cstheme="minorHAnsi"/>
                <w:color w:val="000000"/>
                <w:lang w:eastAsia="pl-PL"/>
              </w:rPr>
              <w:t>9</w:t>
            </w:r>
          </w:p>
        </w:tc>
        <w:tc>
          <w:tcPr>
            <w:tcW w:w="4963" w:type="dxa"/>
            <w:noWrap/>
            <w:hideMark/>
          </w:tcPr>
          <w:p w14:paraId="30DE118D" w14:textId="77777777" w:rsidR="002A3286" w:rsidRPr="006F6A07" w:rsidRDefault="002A3286" w:rsidP="006F6A07">
            <w:pPr>
              <w:spacing w:before="6" w:after="6" w:line="288"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de-CH" w:eastAsia="pl-PL"/>
              </w:rPr>
            </w:pPr>
            <w:r w:rsidRPr="006F6A07">
              <w:rPr>
                <w:rFonts w:eastAsia="Times New Roman" w:cstheme="minorHAnsi"/>
                <w:color w:val="000000"/>
                <w:lang w:val="de-CH" w:eastAsia="pl-PL"/>
              </w:rPr>
              <w:t>Generali Investments TFI S.A.</w:t>
            </w:r>
          </w:p>
        </w:tc>
      </w:tr>
      <w:tr w:rsidR="002A3286" w:rsidRPr="003E703B" w14:paraId="22253FDC" w14:textId="77777777" w:rsidTr="00D26CDC">
        <w:trPr>
          <w:trHeight w:val="342"/>
        </w:trPr>
        <w:tc>
          <w:tcPr>
            <w:cnfStyle w:val="001000000000" w:firstRow="0" w:lastRow="0" w:firstColumn="1" w:lastColumn="0" w:oddVBand="0" w:evenVBand="0" w:oddHBand="0" w:evenHBand="0" w:firstRowFirstColumn="0" w:firstRowLastColumn="0" w:lastRowFirstColumn="0" w:lastRowLastColumn="0"/>
            <w:tcW w:w="917" w:type="dxa"/>
            <w:noWrap/>
          </w:tcPr>
          <w:p w14:paraId="7DCBEAEF" w14:textId="77777777" w:rsidR="002A3286" w:rsidRPr="006F6A07" w:rsidRDefault="00845DFE" w:rsidP="006F6A07">
            <w:pPr>
              <w:spacing w:before="6" w:after="6" w:line="288" w:lineRule="auto"/>
              <w:jc w:val="both"/>
              <w:rPr>
                <w:rFonts w:eastAsia="Times New Roman" w:cstheme="minorHAnsi"/>
                <w:color w:val="000000"/>
                <w:lang w:eastAsia="pl-PL"/>
              </w:rPr>
            </w:pPr>
            <w:r w:rsidRPr="006F6A07">
              <w:rPr>
                <w:rFonts w:eastAsia="Times New Roman" w:cstheme="minorHAnsi"/>
                <w:color w:val="000000"/>
                <w:lang w:eastAsia="pl-PL"/>
              </w:rPr>
              <w:t>10</w:t>
            </w:r>
          </w:p>
        </w:tc>
        <w:tc>
          <w:tcPr>
            <w:tcW w:w="4963" w:type="dxa"/>
            <w:noWrap/>
            <w:hideMark/>
          </w:tcPr>
          <w:p w14:paraId="1300D62D" w14:textId="77777777" w:rsidR="002A3286" w:rsidRPr="006F6A07" w:rsidRDefault="002A3286" w:rsidP="006F6A07">
            <w:pPr>
              <w:spacing w:before="6" w:after="6" w:line="288"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sidRPr="006F6A07">
              <w:rPr>
                <w:rFonts w:eastAsia="Times New Roman" w:cstheme="minorHAnsi"/>
                <w:color w:val="000000"/>
                <w:lang w:eastAsia="pl-PL"/>
              </w:rPr>
              <w:t>Pocztylion-Arka PTE S.A.</w:t>
            </w:r>
          </w:p>
        </w:tc>
      </w:tr>
      <w:tr w:rsidR="00702EAC" w:rsidRPr="003E703B" w14:paraId="1EF80E1E" w14:textId="77777777" w:rsidTr="00F62F67">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17" w:type="dxa"/>
            <w:noWrap/>
          </w:tcPr>
          <w:p w14:paraId="0A0FA7A7" w14:textId="77777777" w:rsidR="002A3286" w:rsidRPr="006F6A07" w:rsidRDefault="00845DFE" w:rsidP="006F6A07">
            <w:pPr>
              <w:spacing w:before="6" w:after="6" w:line="288" w:lineRule="auto"/>
              <w:jc w:val="both"/>
              <w:rPr>
                <w:rFonts w:eastAsia="Times New Roman" w:cstheme="minorHAnsi"/>
                <w:color w:val="000000"/>
                <w:lang w:eastAsia="pl-PL"/>
              </w:rPr>
            </w:pPr>
            <w:r w:rsidRPr="006F6A07">
              <w:rPr>
                <w:rFonts w:eastAsia="Times New Roman" w:cstheme="minorHAnsi"/>
                <w:color w:val="000000"/>
                <w:lang w:eastAsia="pl-PL"/>
              </w:rPr>
              <w:t>11</w:t>
            </w:r>
          </w:p>
        </w:tc>
        <w:tc>
          <w:tcPr>
            <w:tcW w:w="4963" w:type="dxa"/>
            <w:noWrap/>
            <w:hideMark/>
          </w:tcPr>
          <w:p w14:paraId="159F6526" w14:textId="77777777" w:rsidR="002A3286" w:rsidRPr="006F6A07" w:rsidRDefault="002A3286" w:rsidP="006F6A07">
            <w:pPr>
              <w:spacing w:before="6" w:after="6" w:line="288"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sidRPr="006F6A07">
              <w:rPr>
                <w:rFonts w:eastAsia="Times New Roman" w:cstheme="minorHAnsi"/>
                <w:color w:val="000000"/>
                <w:lang w:eastAsia="pl-PL"/>
              </w:rPr>
              <w:t>Santander TFI S.A.</w:t>
            </w:r>
          </w:p>
        </w:tc>
      </w:tr>
      <w:tr w:rsidR="002A3286" w:rsidRPr="003E703B" w14:paraId="1847C4E8" w14:textId="77777777" w:rsidTr="00D26CDC">
        <w:trPr>
          <w:trHeight w:val="342"/>
        </w:trPr>
        <w:tc>
          <w:tcPr>
            <w:cnfStyle w:val="001000000000" w:firstRow="0" w:lastRow="0" w:firstColumn="1" w:lastColumn="0" w:oddVBand="0" w:evenVBand="0" w:oddHBand="0" w:evenHBand="0" w:firstRowFirstColumn="0" w:firstRowLastColumn="0" w:lastRowFirstColumn="0" w:lastRowLastColumn="0"/>
            <w:tcW w:w="917" w:type="dxa"/>
            <w:noWrap/>
          </w:tcPr>
          <w:p w14:paraId="2D4247ED" w14:textId="77777777" w:rsidR="002A3286" w:rsidRPr="006F6A07" w:rsidRDefault="00845DFE" w:rsidP="006F6A07">
            <w:pPr>
              <w:spacing w:before="6" w:after="6" w:line="288" w:lineRule="auto"/>
              <w:jc w:val="both"/>
              <w:rPr>
                <w:rFonts w:eastAsia="Times New Roman" w:cstheme="minorHAnsi"/>
                <w:color w:val="000000"/>
                <w:lang w:eastAsia="pl-PL"/>
              </w:rPr>
            </w:pPr>
            <w:r w:rsidRPr="006F6A07">
              <w:rPr>
                <w:rFonts w:eastAsia="Times New Roman" w:cstheme="minorHAnsi"/>
                <w:color w:val="000000"/>
                <w:lang w:eastAsia="pl-PL"/>
              </w:rPr>
              <w:t>12</w:t>
            </w:r>
          </w:p>
        </w:tc>
        <w:tc>
          <w:tcPr>
            <w:tcW w:w="4963" w:type="dxa"/>
            <w:noWrap/>
            <w:hideMark/>
          </w:tcPr>
          <w:p w14:paraId="62CE1D52" w14:textId="77777777" w:rsidR="002A3286" w:rsidRPr="006F6A07" w:rsidRDefault="002A3286" w:rsidP="006F6A07">
            <w:pPr>
              <w:spacing w:before="6" w:after="6" w:line="288"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sidRPr="006F6A07">
              <w:rPr>
                <w:rFonts w:eastAsia="Times New Roman" w:cstheme="minorHAnsi"/>
                <w:color w:val="000000"/>
                <w:lang w:eastAsia="pl-PL"/>
              </w:rPr>
              <w:t>BNP Paribas TFI S.A.</w:t>
            </w:r>
          </w:p>
        </w:tc>
      </w:tr>
      <w:tr w:rsidR="00702EAC" w:rsidRPr="003E703B" w14:paraId="4FB9E471" w14:textId="77777777" w:rsidTr="00F62F67">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17" w:type="dxa"/>
            <w:noWrap/>
          </w:tcPr>
          <w:p w14:paraId="1459C443" w14:textId="77777777" w:rsidR="002A3286" w:rsidRPr="006F6A07" w:rsidRDefault="00845DFE" w:rsidP="006F6A07">
            <w:pPr>
              <w:spacing w:before="6" w:after="6" w:line="288" w:lineRule="auto"/>
              <w:jc w:val="both"/>
              <w:rPr>
                <w:rFonts w:eastAsia="Times New Roman" w:cstheme="minorHAnsi"/>
                <w:color w:val="000000"/>
                <w:lang w:eastAsia="pl-PL"/>
              </w:rPr>
            </w:pPr>
            <w:r w:rsidRPr="006F6A07">
              <w:rPr>
                <w:rFonts w:eastAsia="Times New Roman" w:cstheme="minorHAnsi"/>
                <w:color w:val="000000"/>
                <w:lang w:eastAsia="pl-PL"/>
              </w:rPr>
              <w:t>13</w:t>
            </w:r>
          </w:p>
        </w:tc>
        <w:tc>
          <w:tcPr>
            <w:tcW w:w="4963" w:type="dxa"/>
            <w:noWrap/>
            <w:hideMark/>
          </w:tcPr>
          <w:p w14:paraId="52CAF8DC" w14:textId="77777777" w:rsidR="002A3286" w:rsidRPr="006F6A07" w:rsidRDefault="002A3286" w:rsidP="006F6A07">
            <w:pPr>
              <w:spacing w:before="6" w:after="6" w:line="288"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sidRPr="006F6A07">
              <w:rPr>
                <w:rFonts w:eastAsia="Times New Roman" w:cstheme="minorHAnsi"/>
                <w:color w:val="000000"/>
                <w:lang w:eastAsia="pl-PL"/>
              </w:rPr>
              <w:t>Esaliens TFI S.A.</w:t>
            </w:r>
          </w:p>
        </w:tc>
      </w:tr>
      <w:tr w:rsidR="002A3286" w:rsidRPr="003E703B" w14:paraId="08FDE604" w14:textId="77777777" w:rsidTr="00D26CDC">
        <w:trPr>
          <w:trHeight w:val="342"/>
        </w:trPr>
        <w:tc>
          <w:tcPr>
            <w:cnfStyle w:val="001000000000" w:firstRow="0" w:lastRow="0" w:firstColumn="1" w:lastColumn="0" w:oddVBand="0" w:evenVBand="0" w:oddHBand="0" w:evenHBand="0" w:firstRowFirstColumn="0" w:firstRowLastColumn="0" w:lastRowFirstColumn="0" w:lastRowLastColumn="0"/>
            <w:tcW w:w="917" w:type="dxa"/>
            <w:noWrap/>
          </w:tcPr>
          <w:p w14:paraId="297D98B2" w14:textId="77777777" w:rsidR="002A3286" w:rsidRPr="006F6A07" w:rsidRDefault="00845DFE" w:rsidP="006F6A07">
            <w:pPr>
              <w:spacing w:before="6" w:after="6" w:line="288" w:lineRule="auto"/>
              <w:jc w:val="both"/>
              <w:rPr>
                <w:rFonts w:eastAsia="Times New Roman" w:cstheme="minorHAnsi"/>
                <w:color w:val="000000"/>
                <w:lang w:eastAsia="pl-PL"/>
              </w:rPr>
            </w:pPr>
            <w:r w:rsidRPr="006F6A07">
              <w:rPr>
                <w:rFonts w:eastAsia="Times New Roman" w:cstheme="minorHAnsi"/>
                <w:color w:val="000000"/>
                <w:lang w:eastAsia="pl-PL"/>
              </w:rPr>
              <w:t>14</w:t>
            </w:r>
          </w:p>
        </w:tc>
        <w:tc>
          <w:tcPr>
            <w:tcW w:w="4963" w:type="dxa"/>
            <w:noWrap/>
            <w:hideMark/>
          </w:tcPr>
          <w:p w14:paraId="5257AFBE" w14:textId="77777777" w:rsidR="002A3286" w:rsidRPr="006F6A07" w:rsidRDefault="002A3286" w:rsidP="006F6A07">
            <w:pPr>
              <w:spacing w:before="6" w:after="6" w:line="288"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sidRPr="006F6A07">
              <w:rPr>
                <w:rFonts w:eastAsia="Times New Roman" w:cstheme="minorHAnsi"/>
                <w:color w:val="000000"/>
                <w:lang w:eastAsia="pl-PL"/>
              </w:rPr>
              <w:t>COMPENSA TUnŻ S.A.</w:t>
            </w:r>
          </w:p>
        </w:tc>
      </w:tr>
      <w:tr w:rsidR="00702EAC" w:rsidRPr="003E703B" w14:paraId="36770153" w14:textId="77777777" w:rsidTr="00F62F67">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17" w:type="dxa"/>
            <w:noWrap/>
          </w:tcPr>
          <w:p w14:paraId="0F6DE0B4" w14:textId="77777777" w:rsidR="002A3286" w:rsidRPr="006F6A07" w:rsidRDefault="00845DFE" w:rsidP="006F6A07">
            <w:pPr>
              <w:spacing w:before="6" w:after="6" w:line="288" w:lineRule="auto"/>
              <w:jc w:val="both"/>
              <w:rPr>
                <w:rFonts w:eastAsia="Times New Roman" w:cstheme="minorHAnsi"/>
                <w:color w:val="000000"/>
                <w:lang w:eastAsia="pl-PL"/>
              </w:rPr>
            </w:pPr>
            <w:r w:rsidRPr="006F6A07">
              <w:rPr>
                <w:rFonts w:eastAsia="Times New Roman" w:cstheme="minorHAnsi"/>
                <w:color w:val="000000"/>
                <w:lang w:eastAsia="pl-PL"/>
              </w:rPr>
              <w:t>15</w:t>
            </w:r>
          </w:p>
        </w:tc>
        <w:tc>
          <w:tcPr>
            <w:tcW w:w="4963" w:type="dxa"/>
            <w:noWrap/>
            <w:hideMark/>
          </w:tcPr>
          <w:p w14:paraId="0552042E" w14:textId="77777777" w:rsidR="002A3286" w:rsidRPr="006F6A07" w:rsidRDefault="002A3286" w:rsidP="006F6A07">
            <w:pPr>
              <w:spacing w:before="6" w:after="6" w:line="288"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sidRPr="006F6A07">
              <w:rPr>
                <w:rFonts w:eastAsia="Times New Roman" w:cstheme="minorHAnsi"/>
                <w:color w:val="000000"/>
                <w:lang w:eastAsia="pl-PL"/>
              </w:rPr>
              <w:t>MILLENNIUM TFI S.A.</w:t>
            </w:r>
          </w:p>
        </w:tc>
      </w:tr>
      <w:tr w:rsidR="002A3286" w:rsidRPr="003E703B" w14:paraId="555C8B23" w14:textId="77777777" w:rsidTr="00D26CDC">
        <w:trPr>
          <w:trHeight w:val="342"/>
        </w:trPr>
        <w:tc>
          <w:tcPr>
            <w:cnfStyle w:val="001000000000" w:firstRow="0" w:lastRow="0" w:firstColumn="1" w:lastColumn="0" w:oddVBand="0" w:evenVBand="0" w:oddHBand="0" w:evenHBand="0" w:firstRowFirstColumn="0" w:firstRowLastColumn="0" w:lastRowFirstColumn="0" w:lastRowLastColumn="0"/>
            <w:tcW w:w="917" w:type="dxa"/>
            <w:noWrap/>
          </w:tcPr>
          <w:p w14:paraId="0E7A91DD" w14:textId="77777777" w:rsidR="002A3286" w:rsidRPr="006F6A07" w:rsidRDefault="00845DFE" w:rsidP="006F6A07">
            <w:pPr>
              <w:spacing w:before="6" w:after="6" w:line="288" w:lineRule="auto"/>
              <w:jc w:val="both"/>
              <w:rPr>
                <w:rFonts w:eastAsia="Times New Roman" w:cstheme="minorHAnsi"/>
                <w:color w:val="000000"/>
                <w:lang w:eastAsia="pl-PL"/>
              </w:rPr>
            </w:pPr>
            <w:r w:rsidRPr="006F6A07">
              <w:rPr>
                <w:rFonts w:eastAsia="Times New Roman" w:cstheme="minorHAnsi"/>
                <w:color w:val="000000"/>
                <w:lang w:eastAsia="pl-PL"/>
              </w:rPr>
              <w:t>16</w:t>
            </w:r>
          </w:p>
        </w:tc>
        <w:tc>
          <w:tcPr>
            <w:tcW w:w="4963" w:type="dxa"/>
            <w:noWrap/>
            <w:hideMark/>
          </w:tcPr>
          <w:p w14:paraId="0F3A946B" w14:textId="77777777" w:rsidR="002A3286" w:rsidRPr="006F6A07" w:rsidRDefault="002A3286" w:rsidP="006F6A07">
            <w:pPr>
              <w:spacing w:before="6" w:after="6" w:line="288"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sidRPr="006F6A07">
              <w:rPr>
                <w:rFonts w:eastAsia="Times New Roman" w:cstheme="minorHAnsi"/>
                <w:color w:val="000000"/>
                <w:lang w:eastAsia="pl-PL"/>
              </w:rPr>
              <w:t>SKARBIEC TFI S.A.</w:t>
            </w:r>
          </w:p>
        </w:tc>
      </w:tr>
      <w:tr w:rsidR="00702EAC" w:rsidRPr="003E703B" w14:paraId="1589628A" w14:textId="77777777" w:rsidTr="00F62F67">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17" w:type="dxa"/>
            <w:noWrap/>
            <w:hideMark/>
          </w:tcPr>
          <w:p w14:paraId="5A529561" w14:textId="77777777" w:rsidR="002A3286" w:rsidRPr="006F6A07" w:rsidRDefault="00845DFE" w:rsidP="006F6A07">
            <w:pPr>
              <w:spacing w:before="6" w:after="6" w:line="288" w:lineRule="auto"/>
              <w:jc w:val="both"/>
              <w:rPr>
                <w:rFonts w:eastAsia="Times New Roman" w:cstheme="minorHAnsi"/>
                <w:color w:val="000000"/>
                <w:lang w:eastAsia="pl-PL"/>
              </w:rPr>
            </w:pPr>
            <w:r w:rsidRPr="006F6A07">
              <w:rPr>
                <w:rFonts w:eastAsia="Times New Roman" w:cstheme="minorHAnsi"/>
                <w:color w:val="000000"/>
                <w:lang w:eastAsia="pl-PL"/>
              </w:rPr>
              <w:t>17</w:t>
            </w:r>
          </w:p>
        </w:tc>
        <w:tc>
          <w:tcPr>
            <w:tcW w:w="4963" w:type="dxa"/>
            <w:noWrap/>
            <w:hideMark/>
          </w:tcPr>
          <w:p w14:paraId="2D399802" w14:textId="77777777" w:rsidR="002A3286" w:rsidRPr="006F6A07" w:rsidRDefault="002A3286" w:rsidP="006F6A07">
            <w:pPr>
              <w:spacing w:before="6" w:after="6" w:line="288"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sidRPr="006F6A07">
              <w:rPr>
                <w:rFonts w:eastAsia="Times New Roman" w:cstheme="minorHAnsi"/>
                <w:color w:val="000000"/>
                <w:lang w:eastAsia="pl-PL"/>
              </w:rPr>
              <w:t>PFR TFI S.A.</w:t>
            </w:r>
          </w:p>
        </w:tc>
      </w:tr>
    </w:tbl>
    <w:p w14:paraId="52960B7E" w14:textId="77777777" w:rsidR="00505AFB" w:rsidRPr="006F6A07" w:rsidRDefault="00505AFB" w:rsidP="006F6A07">
      <w:pPr>
        <w:spacing w:before="6" w:after="6" w:line="288" w:lineRule="auto"/>
      </w:pPr>
    </w:p>
    <w:p w14:paraId="6143C5ED" w14:textId="77777777" w:rsidR="00440DCB" w:rsidRPr="006F2530" w:rsidRDefault="00440DCB">
      <w:pPr>
        <w:pStyle w:val="Nagwek3"/>
        <w:numPr>
          <w:ilvl w:val="1"/>
          <w:numId w:val="24"/>
        </w:numPr>
        <w:spacing w:before="6" w:after="6" w:line="288" w:lineRule="auto"/>
        <w:jc w:val="both"/>
      </w:pPr>
      <w:bookmarkStart w:id="61" w:name="_Toc121828624"/>
      <w:r w:rsidRPr="006F2530">
        <w:t>Warunki uc</w:t>
      </w:r>
      <w:r w:rsidR="00E54D0F" w:rsidRPr="006F2530">
        <w:t>zestnic</w:t>
      </w:r>
      <w:r w:rsidR="006F6A07">
        <w:t>twa</w:t>
      </w:r>
      <w:r w:rsidRPr="006F2530">
        <w:t xml:space="preserve"> w rynku PPK</w:t>
      </w:r>
      <w:bookmarkEnd w:id="61"/>
    </w:p>
    <w:p w14:paraId="000CF72F" w14:textId="45F3C2F6" w:rsidR="000D016D" w:rsidRPr="000D016D" w:rsidRDefault="000D016D" w:rsidP="006F6A07">
      <w:pPr>
        <w:spacing w:before="6" w:after="6" w:line="288" w:lineRule="auto"/>
        <w:jc w:val="both"/>
      </w:pPr>
      <w:r w:rsidRPr="003928A0">
        <w:t>Wymagania stawiane instytucjom finansowym ubiegającym się o dopuszczenie do zarządzania PPK</w:t>
      </w:r>
      <w:r w:rsidRPr="00440DCB">
        <w:t xml:space="preserve"> </w:t>
      </w:r>
      <w:r w:rsidRPr="000D016D">
        <w:t>pozwalają uznać, że już etap certyfikowania tych instytucji pozwala na wyeliminowane instytucji, w</w:t>
      </w:r>
      <w:r w:rsidR="003508B6">
        <w:t> </w:t>
      </w:r>
      <w:r w:rsidRPr="000D016D">
        <w:t>stosunku do których istnieją wątpliwości w zakresie kondycji finansowej, doświadczenia w</w:t>
      </w:r>
      <w:r w:rsidR="0094221C">
        <w:t> </w:t>
      </w:r>
      <w:r w:rsidRPr="000D016D">
        <w:t>zarządzaniu czy legalności działań.</w:t>
      </w:r>
      <w:r w:rsidR="00327292">
        <w:t xml:space="preserve"> </w:t>
      </w:r>
    </w:p>
    <w:p w14:paraId="0C7370A3" w14:textId="77777777" w:rsidR="000D016D" w:rsidRPr="000D016D" w:rsidRDefault="000D016D" w:rsidP="006F6A07">
      <w:pPr>
        <w:spacing w:before="6" w:after="6" w:line="288" w:lineRule="auto"/>
        <w:jc w:val="both"/>
      </w:pPr>
      <w:r w:rsidRPr="000D016D">
        <w:t>W celu umieszczenia instytucji finansowej w ewidencji PPK konieczne jest, aby instytucja finansowa spełni</w:t>
      </w:r>
      <w:r w:rsidR="00522F5D">
        <w:t>a</w:t>
      </w:r>
      <w:r w:rsidRPr="000D016D">
        <w:t>ła łącznie następujące warunki:</w:t>
      </w:r>
    </w:p>
    <w:p w14:paraId="43B4D749" w14:textId="77777777" w:rsidR="000D016D" w:rsidRPr="000D016D" w:rsidRDefault="000D016D" w:rsidP="006F6A07">
      <w:pPr>
        <w:numPr>
          <w:ilvl w:val="0"/>
          <w:numId w:val="6"/>
        </w:numPr>
        <w:spacing w:before="6" w:after="6" w:line="288" w:lineRule="auto"/>
        <w:jc w:val="both"/>
      </w:pPr>
      <w:r w:rsidRPr="000D016D">
        <w:t xml:space="preserve">posiadanie co najmniej 3-letniego doświadczenia w zakresie zarządzania funduszami inwestycyjnymi typu otwartego, funduszami emerytalnymi lub otwartymi funduszami emerytalnymi, a w przypadku zakładów ubezpieczeń </w:t>
      </w:r>
      <w:r w:rsidR="00BF4F8E">
        <w:t>–</w:t>
      </w:r>
      <w:r w:rsidRPr="000D016D">
        <w:t xml:space="preserve"> co najmniej 3-letniego doświadczenia w</w:t>
      </w:r>
      <w:r w:rsidR="0094221C">
        <w:t> </w:t>
      </w:r>
      <w:r w:rsidRPr="000D016D">
        <w:t>prowadzeniu działalności określonej w grupie 3 w dziale I załącznika do ustawy z 11 września 2015 r. o działalności ubezpieczeniowej i reasekuracyjnej, w zakresie oferowania ubezpieczeń z ubezpieczeniowym funduszem kapitałowym;</w:t>
      </w:r>
    </w:p>
    <w:p w14:paraId="0BB3EA40" w14:textId="77777777" w:rsidR="000D016D" w:rsidRPr="000D016D" w:rsidRDefault="000D016D" w:rsidP="006F6A07">
      <w:pPr>
        <w:numPr>
          <w:ilvl w:val="0"/>
          <w:numId w:val="6"/>
        </w:numPr>
        <w:spacing w:before="6" w:after="6" w:line="288" w:lineRule="auto"/>
        <w:jc w:val="both"/>
      </w:pPr>
      <w:r w:rsidRPr="000D016D">
        <w:t xml:space="preserve">posiadanie kapitału własnego, a w przypadku zakładów ubezpieczeń </w:t>
      </w:r>
      <w:r w:rsidR="00BF4F8E">
        <w:t>–</w:t>
      </w:r>
      <w:r w:rsidRPr="000D016D">
        <w:t xml:space="preserve"> dopuszczonych środków własnych, w wysokości co najmniej 25 000 000 zł, w tym co najmniej 10 000 000 zł w środkach płynnych rozumianych jako lokaty określone dla funduszu rynku pieniężnego, o którym mowa w art. 178 ustawy z 27 maja 2004 r. o funduszach inwestycyjnych i zarządzaniu alternatywnymi funduszami inwestycyjnymi;</w:t>
      </w:r>
    </w:p>
    <w:p w14:paraId="102E5BA4" w14:textId="77777777" w:rsidR="000D016D" w:rsidRPr="000D016D" w:rsidRDefault="000D016D" w:rsidP="006F6A07">
      <w:pPr>
        <w:numPr>
          <w:ilvl w:val="0"/>
          <w:numId w:val="6"/>
        </w:numPr>
        <w:spacing w:before="6" w:after="6" w:line="288" w:lineRule="auto"/>
        <w:jc w:val="both"/>
      </w:pPr>
      <w:r w:rsidRPr="000D016D">
        <w:t>spełnianie wymogów, o których mowa w art. 38 lub art. 39 ustawy o PPK, czyli zarządzanie odpowiednią liczbą funduszy lub subfunduszy zdefiniowanej daty.</w:t>
      </w:r>
    </w:p>
    <w:p w14:paraId="5D7E5381" w14:textId="77777777" w:rsidR="000D016D" w:rsidRPr="000D016D" w:rsidRDefault="000D016D" w:rsidP="006F6A07">
      <w:pPr>
        <w:spacing w:before="6" w:after="6" w:line="288" w:lineRule="auto"/>
        <w:jc w:val="both"/>
      </w:pPr>
      <w:r w:rsidRPr="003928A0">
        <w:t>W ewidencji PPK umieszczona jest także</w:t>
      </w:r>
      <w:r w:rsidRPr="00522F5D">
        <w:t xml:space="preserve"> </w:t>
      </w:r>
      <w:r w:rsidRPr="003928A0">
        <w:t>wyznaczona instytucja finansowa</w:t>
      </w:r>
      <w:r w:rsidRPr="00522F5D">
        <w:t>,</w:t>
      </w:r>
      <w:r w:rsidRPr="000D016D">
        <w:t xml:space="preserve"> czyli towarzystwo funduszy inwestycyjnych, w którym więcej niż 50% udziału w kapitale zakładowym posiada PFR </w:t>
      </w:r>
      <w:r w:rsidR="007522EB">
        <w:t xml:space="preserve">S.A. </w:t>
      </w:r>
      <w:r w:rsidRPr="000D016D">
        <w:t>(</w:t>
      </w:r>
      <w:r w:rsidR="00631C08">
        <w:t>rolę tę pełni</w:t>
      </w:r>
      <w:r w:rsidRPr="000D016D">
        <w:t xml:space="preserve"> PFR TFI S.A.). Fundusz zarządzany przez wyznaczoną instytucję finansową nie może odmówić zawarcia umowy o zarządzanie PPK. </w:t>
      </w:r>
    </w:p>
    <w:p w14:paraId="52566D27" w14:textId="77777777" w:rsidR="000D016D" w:rsidRPr="000D016D" w:rsidRDefault="000D016D" w:rsidP="006F6A07">
      <w:pPr>
        <w:spacing w:before="6" w:after="6" w:line="288" w:lineRule="auto"/>
        <w:jc w:val="both"/>
      </w:pPr>
      <w:r w:rsidRPr="000D016D">
        <w:t>Wykaz instytucji finansowych, które zostały dopuszczone do zarządzania środkami gromadzonymi w</w:t>
      </w:r>
      <w:r w:rsidR="003508B6">
        <w:t> </w:t>
      </w:r>
      <w:r w:rsidRPr="000D016D">
        <w:t>PPK, jest publikowany na Portalu PPK oraz na stronie internetowej Komisji Nadzoru Finansowego.</w:t>
      </w:r>
    </w:p>
    <w:p w14:paraId="58A66395" w14:textId="77777777" w:rsidR="008F03CD" w:rsidRPr="00482784" w:rsidRDefault="008F03CD" w:rsidP="00482784">
      <w:pPr>
        <w:spacing w:before="6" w:after="6" w:line="288" w:lineRule="auto"/>
      </w:pPr>
    </w:p>
    <w:p w14:paraId="024732FC" w14:textId="77777777" w:rsidR="00C45ED8" w:rsidRPr="00024627" w:rsidRDefault="00C45ED8">
      <w:pPr>
        <w:pStyle w:val="Nagwek3"/>
        <w:numPr>
          <w:ilvl w:val="1"/>
          <w:numId w:val="24"/>
        </w:numPr>
        <w:spacing w:before="6" w:after="6" w:line="288" w:lineRule="auto"/>
        <w:jc w:val="both"/>
      </w:pPr>
      <w:bookmarkStart w:id="62" w:name="_Toc121828625"/>
      <w:r w:rsidRPr="00024627">
        <w:lastRenderedPageBreak/>
        <w:t>Nadzór nad rynkiem</w:t>
      </w:r>
      <w:bookmarkEnd w:id="62"/>
      <w:r w:rsidRPr="00024627">
        <w:t xml:space="preserve"> </w:t>
      </w:r>
    </w:p>
    <w:p w14:paraId="007B9796" w14:textId="6C2D2A65" w:rsidR="00C45ED8" w:rsidRDefault="00C45ED8" w:rsidP="00482784">
      <w:pPr>
        <w:spacing w:before="6" w:after="6" w:line="288" w:lineRule="auto"/>
        <w:jc w:val="both"/>
      </w:pPr>
      <w:r>
        <w:t>Nadzór nad PPK w zakresie działalności towarzystw funduszy inwestycyjnych, powszechnych towarzystw emerytalnych, pracowniczych towarzystw emerytalnych, zakładów ubezpieczeń oraz</w:t>
      </w:r>
      <w:r w:rsidR="00C12F49">
        <w:t> </w:t>
      </w:r>
      <w:r>
        <w:t>funduszy inwestycyjnych i funduszy emerytalnych sprawuje Komisja Nadzoru Finansowego (KNF) – z</w:t>
      </w:r>
      <w:r w:rsidR="0094221C">
        <w:t> </w:t>
      </w:r>
      <w:r>
        <w:t>uwzględnieniem zgodności z prawem oraz interesu uczestników PPK.</w:t>
      </w:r>
    </w:p>
    <w:p w14:paraId="20730527" w14:textId="6CDEC245" w:rsidR="00C45ED8" w:rsidRDefault="00C45ED8" w:rsidP="00482784">
      <w:pPr>
        <w:spacing w:before="6" w:after="6" w:line="288" w:lineRule="auto"/>
        <w:jc w:val="both"/>
      </w:pPr>
      <w:r>
        <w:t>Dla usprawnienia działań nadzorczych KNF</w:t>
      </w:r>
      <w:r w:rsidR="00C12F49">
        <w:t xml:space="preserve"> </w:t>
      </w:r>
      <w:r>
        <w:t>instytucje finansowe zarządzające PPK zobowiązane są</w:t>
      </w:r>
      <w:r w:rsidR="00C12F49">
        <w:t> </w:t>
      </w:r>
      <w:r>
        <w:t>do</w:t>
      </w:r>
      <w:r w:rsidR="00C12F49">
        <w:t> </w:t>
      </w:r>
      <w:r>
        <w:t xml:space="preserve">przekazywania organowi nadzoru m.in. kwartalnych informacji. Kwartalną informację instytucja finansowa przekazuje odpowiednio do 31 maja, 31 sierpnia, 30 listopada i do ostatniego dnia lutego każdego roku, za kwartał poprzedni, według stanu na ostatni dzień roboczy kwartału będący dniem wyceny, a w przypadku ostatniego kwartału roku obrotowego </w:t>
      </w:r>
      <w:r w:rsidR="00F35C56">
        <w:t>–</w:t>
      </w:r>
      <w:r>
        <w:t xml:space="preserve"> na dzień bilansowy. Tym samym KNF posiada możliwość bieżącego monitorowania działalności instytucji finansowych zarządzających PPK i</w:t>
      </w:r>
      <w:r w:rsidR="00C12F49">
        <w:t> </w:t>
      </w:r>
      <w:r>
        <w:t xml:space="preserve">ich analizowania, a w przypadku odnotowania nieprawidłowości – stosownego reagowania na nie. </w:t>
      </w:r>
    </w:p>
    <w:p w14:paraId="7799615B" w14:textId="0F98E313" w:rsidR="00715502" w:rsidRDefault="00C45ED8" w:rsidP="00482784">
      <w:pPr>
        <w:spacing w:before="6" w:after="6" w:line="288" w:lineRule="auto"/>
        <w:jc w:val="both"/>
      </w:pPr>
      <w:r>
        <w:t>W przypadku stwierdzenia niezgodności funkcjonowania PPK w zakresie działalności TFI, PTE, PrTE, zakładu ubezpieczeń, funduszy inwestycyjnych lub funduszy emerytalnych z prawem, stosuje się</w:t>
      </w:r>
      <w:r w:rsidR="00C12F49">
        <w:t> </w:t>
      </w:r>
      <w:r>
        <w:t>przepisy ustawy z 21 lipca 2006 r. o nadzorze nad rynkiem finansowym oraz odpowiednio przepisy ustawy o funduszach inwestycyjnych i zarządzaniu alternatywnymi funduszami inwestycyjnymi, ustawy o organizacji i funkcjonowaniu funduszy emerytalnych, ustawy o działalności ubezpieczeniowej i reasekuracyjnej, ustawy z 29 lipca 2005 r. o nadzorze nad rynkiem kapitałowym oraz ustawy z 22 maja 2003 r. o nadzorze ubezpieczeniowym i emerytalnym.</w:t>
      </w:r>
    </w:p>
    <w:p w14:paraId="5238D5F5" w14:textId="77777777" w:rsidR="00BD73F5" w:rsidRDefault="00BD73F5" w:rsidP="00482784">
      <w:pPr>
        <w:spacing w:before="6" w:after="6" w:line="288" w:lineRule="auto"/>
        <w:jc w:val="both"/>
      </w:pPr>
      <w:r>
        <w:t xml:space="preserve"> </w:t>
      </w:r>
    </w:p>
    <w:p w14:paraId="6974FDD4" w14:textId="77777777" w:rsidR="00BD73F5" w:rsidRPr="00024627" w:rsidRDefault="00BD73F5">
      <w:pPr>
        <w:pStyle w:val="Nagwek3"/>
        <w:numPr>
          <w:ilvl w:val="1"/>
          <w:numId w:val="24"/>
        </w:numPr>
        <w:spacing w:before="6" w:after="6" w:line="288" w:lineRule="auto"/>
        <w:jc w:val="both"/>
      </w:pPr>
      <w:bookmarkStart w:id="63" w:name="_Toc121828626"/>
      <w:r w:rsidRPr="00024627">
        <w:t>Bezpieczeństwo</w:t>
      </w:r>
      <w:r w:rsidR="00EA06CC" w:rsidRPr="00024627">
        <w:t xml:space="preserve"> </w:t>
      </w:r>
      <w:r w:rsidR="00865311" w:rsidRPr="00024627">
        <w:t>gromadzonych środków</w:t>
      </w:r>
      <w:bookmarkEnd w:id="63"/>
    </w:p>
    <w:p w14:paraId="483AA873" w14:textId="77D37289" w:rsidR="000D016D" w:rsidRPr="000D016D" w:rsidRDefault="000D016D" w:rsidP="00482784">
      <w:pPr>
        <w:spacing w:before="6" w:after="6" w:line="288" w:lineRule="auto"/>
        <w:jc w:val="both"/>
      </w:pPr>
      <w:r w:rsidRPr="000D016D">
        <w:t>Podmioty zarządzające PPK powinny przez cały czas spełniać stawiane im wymagania. Jeżeli towarzystwo funduszy inwestycyjnych, powszechne towarzystwo emerytalne, pracownicze towarzystwo emerytalne lub zakład ubezpieczeń przestanie spełniać warunki, o których mowa powyżej, KNF wzywa ten podmiot do usunięcia nieprawidłowości w wyznaczonym terminie oraz</w:t>
      </w:r>
      <w:r w:rsidR="00C12F49">
        <w:t> </w:t>
      </w:r>
      <w:r w:rsidRPr="000D016D">
        <w:t xml:space="preserve">występuje z wnioskiem do PFR </w:t>
      </w:r>
      <w:r w:rsidR="00445E73">
        <w:t xml:space="preserve">S.A. </w:t>
      </w:r>
      <w:r w:rsidRPr="000D016D">
        <w:t>o zawieszenie udziału tego podmiotu w ewidencji PPK. W razie nieusunięcia nieprawi</w:t>
      </w:r>
      <w:r w:rsidR="00C12F49">
        <w:t>dłowości w wyznaczonym terminie,</w:t>
      </w:r>
      <w:r w:rsidRPr="000D016D">
        <w:t xml:space="preserve"> KNF wydaje decyzję o usunięciu TFI, PTE, PrTE lub zakładu ubezpieczeń z ewidencji PPK.</w:t>
      </w:r>
    </w:p>
    <w:p w14:paraId="0D5D15FA" w14:textId="77777777" w:rsidR="000D016D" w:rsidRPr="000D016D" w:rsidRDefault="000D016D" w:rsidP="00482784">
      <w:pPr>
        <w:spacing w:before="6" w:after="6" w:line="288" w:lineRule="auto"/>
        <w:jc w:val="both"/>
      </w:pPr>
      <w:r w:rsidRPr="000D016D">
        <w:t>W przypadku wydania decyzji o cofnięciu zezwolenia na:</w:t>
      </w:r>
    </w:p>
    <w:p w14:paraId="4720D543" w14:textId="52B989F4" w:rsidR="000D016D" w:rsidRPr="000D016D" w:rsidRDefault="000D016D" w:rsidP="00482784">
      <w:pPr>
        <w:numPr>
          <w:ilvl w:val="0"/>
          <w:numId w:val="9"/>
        </w:numPr>
        <w:spacing w:before="6" w:after="6" w:line="288" w:lineRule="auto"/>
        <w:jc w:val="both"/>
      </w:pPr>
      <w:r w:rsidRPr="000D016D">
        <w:t xml:space="preserve">utworzenie PTE lub PrTe </w:t>
      </w:r>
      <w:r w:rsidR="00F35C56">
        <w:t>–</w:t>
      </w:r>
      <w:r w:rsidRPr="000D016D">
        <w:t xml:space="preserve"> na podstawie ustawy z 28 sierpnia 1997 r. o organizacji i</w:t>
      </w:r>
      <w:r w:rsidR="003508B6">
        <w:t> </w:t>
      </w:r>
      <w:r w:rsidRPr="000D016D">
        <w:t>funkcjonowaniu funduszy emerytalnych,</w:t>
      </w:r>
    </w:p>
    <w:p w14:paraId="51A24315" w14:textId="1CD2F6A5" w:rsidR="000D016D" w:rsidRPr="000D016D" w:rsidRDefault="000D016D" w:rsidP="00482784">
      <w:pPr>
        <w:numPr>
          <w:ilvl w:val="0"/>
          <w:numId w:val="9"/>
        </w:numPr>
        <w:spacing w:before="6" w:after="6" w:line="288" w:lineRule="auto"/>
        <w:jc w:val="both"/>
      </w:pPr>
      <w:r w:rsidRPr="000D016D">
        <w:t xml:space="preserve">wykonywania działalności przez TFI w zakresie, o którym mowa w art. 45 ust. 1 lub 1a ustawy o funduszach inwestycyjnych </w:t>
      </w:r>
      <w:r w:rsidR="00AB6995">
        <w:t>i zarządzaniu alternatywnymi funduszami</w:t>
      </w:r>
      <w:r w:rsidR="007B2441">
        <w:t xml:space="preserve"> inwestycyjnymi </w:t>
      </w:r>
      <w:r w:rsidRPr="000D016D">
        <w:t>(dot.</w:t>
      </w:r>
      <w:r w:rsidR="007C489A">
        <w:t> </w:t>
      </w:r>
      <w:r w:rsidRPr="000D016D">
        <w:t>przedmiotu działalności towarzystwa) lub w przypadku wygaśnięcia takiego zezwolenia na podstawie tej ustawy,</w:t>
      </w:r>
    </w:p>
    <w:p w14:paraId="58F44B01" w14:textId="32EE456F" w:rsidR="000D016D" w:rsidRPr="000D016D" w:rsidRDefault="000D016D" w:rsidP="00482784">
      <w:pPr>
        <w:numPr>
          <w:ilvl w:val="0"/>
          <w:numId w:val="9"/>
        </w:numPr>
        <w:spacing w:before="6" w:after="6" w:line="288" w:lineRule="auto"/>
        <w:jc w:val="both"/>
      </w:pPr>
      <w:r w:rsidRPr="000D016D">
        <w:t xml:space="preserve">wykonywanie działalności ubezpieczeniowej przez zakład ubezpieczeń </w:t>
      </w:r>
      <w:r w:rsidR="00F35C56">
        <w:t>–</w:t>
      </w:r>
      <w:r w:rsidRPr="000D016D">
        <w:t xml:space="preserve"> na podstawie ustawy o działalności ubezpieczeniowej i reasekuracyjnej</w:t>
      </w:r>
    </w:p>
    <w:p w14:paraId="2EEE3F0E" w14:textId="79EA8D76" w:rsidR="000D016D" w:rsidRPr="000D016D" w:rsidRDefault="00F35C56" w:rsidP="00482784">
      <w:pPr>
        <w:spacing w:before="6" w:after="6" w:line="288" w:lineRule="auto"/>
        <w:jc w:val="both"/>
      </w:pPr>
      <w:r>
        <w:t>–</w:t>
      </w:r>
      <w:r w:rsidR="000D016D" w:rsidRPr="000D016D">
        <w:t xml:space="preserve"> wpis do ewidencji PPK wygasa z mocy prawa.</w:t>
      </w:r>
    </w:p>
    <w:p w14:paraId="04F5BFD3" w14:textId="2B4DBF0A" w:rsidR="000D016D" w:rsidRDefault="000D016D" w:rsidP="00482784">
      <w:pPr>
        <w:spacing w:before="6" w:after="6" w:line="288" w:lineRule="auto"/>
        <w:jc w:val="both"/>
      </w:pPr>
      <w:r w:rsidRPr="000D016D">
        <w:t>W przypadku usunięcia TFI, PTE lub PrTE z ewidencji PPK</w:t>
      </w:r>
      <w:r w:rsidR="005145EE">
        <w:t>,</w:t>
      </w:r>
      <w:r w:rsidRPr="000D016D">
        <w:t xml:space="preserve"> stosuje się przepisy art. 68a ustawy o</w:t>
      </w:r>
      <w:r w:rsidR="004010A3">
        <w:t> </w:t>
      </w:r>
      <w:r w:rsidRPr="000D016D">
        <w:t>funduszach inwestycyjnych</w:t>
      </w:r>
      <w:r w:rsidR="000419C1">
        <w:t xml:space="preserve"> i zarządzaniu alternatywnymi funduszami inwestycyjnymi</w:t>
      </w:r>
      <w:r w:rsidRPr="000D016D">
        <w:t xml:space="preserve"> lub art. 64a ustawy o organizacji i funkcjonowaniu funduszy emerytalnych. Zarządzanie funduszem inwestycyjnym przejmuje wówczas wyznaczona instytucja finansowa. </w:t>
      </w:r>
      <w:r w:rsidR="00AF2F29" w:rsidRPr="00AF2F29">
        <w:t xml:space="preserve">W </w:t>
      </w:r>
      <w:r w:rsidR="00C12F49">
        <w:t>przypadku funduszu emerytalnego</w:t>
      </w:r>
      <w:r w:rsidR="00AF2F29" w:rsidRPr="00AF2F29">
        <w:t xml:space="preserve"> depozytariusz funduszu niezwłocznie podejmuje czynności zmierzające do przejęcia zarządzania </w:t>
      </w:r>
      <w:r w:rsidR="00AF2F29" w:rsidRPr="00AF2F29">
        <w:lastRenderedPageBreak/>
        <w:t xml:space="preserve">funduszem przez inne towarzystwo emerytalne wpisane do ewidencji PPK. </w:t>
      </w:r>
      <w:r w:rsidRPr="000D016D">
        <w:t xml:space="preserve">W </w:t>
      </w:r>
      <w:r w:rsidR="00C5330D">
        <w:t>sytuacji</w:t>
      </w:r>
      <w:r w:rsidRPr="000D016D">
        <w:t xml:space="preserve"> usunięcia z</w:t>
      </w:r>
      <w:r w:rsidR="0094221C">
        <w:t> </w:t>
      </w:r>
      <w:r w:rsidRPr="000D016D">
        <w:t>ewidencji PPK zakładu ubezpieczeń lub wygaśnięcia wpisu zakładu ubezpieczeń do ewidencji PPK</w:t>
      </w:r>
      <w:r w:rsidR="005145EE">
        <w:t>,</w:t>
      </w:r>
      <w:r w:rsidRPr="000D016D">
        <w:t xml:space="preserve"> zarządzanie ubezpieczeniowym funduszem kapitałowym przejmuje wskazany przez KNF zakład ubezpieczeń, który </w:t>
      </w:r>
      <w:r w:rsidR="00F35C56">
        <w:t>–</w:t>
      </w:r>
      <w:r w:rsidR="00C91896">
        <w:t xml:space="preserve"> </w:t>
      </w:r>
      <w:r w:rsidRPr="000D016D">
        <w:t>w ciągu ostatnich 12 miesięcy od dnia wszczęcia postępowania w przedmiocie przejęcia zarządzania</w:t>
      </w:r>
      <w:r w:rsidR="00C91896">
        <w:t xml:space="preserve"> </w:t>
      </w:r>
      <w:r w:rsidR="00F35C56">
        <w:t>–</w:t>
      </w:r>
      <w:r w:rsidRPr="000D016D">
        <w:t xml:space="preserve"> osiągnął najwyższą stopę zwrotu z</w:t>
      </w:r>
      <w:r w:rsidR="004010A3">
        <w:t> </w:t>
      </w:r>
      <w:r w:rsidRPr="000D016D">
        <w:t xml:space="preserve">zarządzanych aktywów </w:t>
      </w:r>
      <w:r w:rsidR="008C35DA">
        <w:t xml:space="preserve">ubezpieczeniowych funduszy kapitałowych </w:t>
      </w:r>
      <w:r w:rsidRPr="000D016D">
        <w:t>będących funduszami zdefiniowanej daty. Takie rozwiązania powodują, że</w:t>
      </w:r>
      <w:r w:rsidR="007C489A">
        <w:t> </w:t>
      </w:r>
      <w:r w:rsidRPr="000D016D">
        <w:t>funduszami zdefiniowanej daty mogą zarządzać wyłącznie podmioty spełniające m.in. określone wymogi kapitałowe.</w:t>
      </w:r>
    </w:p>
    <w:p w14:paraId="62CCBCEB" w14:textId="77777777" w:rsidR="002D278F" w:rsidRPr="000D016D" w:rsidRDefault="002D278F" w:rsidP="00482784">
      <w:pPr>
        <w:spacing w:before="6" w:after="6" w:line="288" w:lineRule="auto"/>
        <w:jc w:val="both"/>
      </w:pPr>
    </w:p>
    <w:p w14:paraId="63787735" w14:textId="659CC35A" w:rsidR="00F946D7" w:rsidRPr="0017129D" w:rsidRDefault="002D278F" w:rsidP="00482784">
      <w:pPr>
        <w:spacing w:before="6" w:after="6" w:line="288" w:lineRule="auto"/>
        <w:jc w:val="both"/>
      </w:pPr>
      <w:r w:rsidRPr="003928A0">
        <w:t>Zarządzane przez TFI fundusze inwestycyjne będące funduszami zdefiniowanej daty, które prowadzą rachunki uczestników PPK, posiadają odrębną od samego TFI osobowość prawną. Oznacza to, że</w:t>
      </w:r>
      <w:r w:rsidR="00C12F49">
        <w:t> </w:t>
      </w:r>
      <w:r w:rsidRPr="003928A0">
        <w:t>fundusz inwestycyjny posiada własny mająt</w:t>
      </w:r>
      <w:r w:rsidR="00C12F49">
        <w:t>ek i w przypadku bankructwa TFI</w:t>
      </w:r>
      <w:r w:rsidRPr="003928A0">
        <w:t xml:space="preserve"> majątek funduszu inwestycyjnego nie może stać się składnikiem masy upadłości podmiotu zarządzającego, a jego aktywa pozostają własnością uczestników tego funduszu. Także fundusze emerytalne mają osobowość prawną. W przypadku prowadzenia PPK przez zakłady ubezpieczeń, fundusze przyjm</w:t>
      </w:r>
      <w:r w:rsidR="00050B29">
        <w:t>ują</w:t>
      </w:r>
      <w:r w:rsidRPr="003928A0">
        <w:t xml:space="preserve"> </w:t>
      </w:r>
      <w:r w:rsidRPr="00644D92">
        <w:t xml:space="preserve">formę ubezpieczeniowych funduszy kapitałowych (UFK). UFK nie są podmiotami odrębnymi od zakładów ubezpieczeń, a jedynie wydzielonymi (organizacyjnie i rachunkowo) częściami tych zakładów. Ustawa o PPK zabezpiecza aktywa zgromadzone w UFK, określając, że </w:t>
      </w:r>
      <w:r w:rsidR="00F35C56">
        <w:t>–</w:t>
      </w:r>
      <w:r w:rsidRPr="00644D92">
        <w:t xml:space="preserve"> w przypadku ogłoszenia upadłości zakładu ubezpieczeń </w:t>
      </w:r>
      <w:r w:rsidR="00F35C56">
        <w:t>–</w:t>
      </w:r>
      <w:r w:rsidRPr="00644D92">
        <w:t xml:space="preserve"> w odniesieniu do środków UFK będącego funduszem zdefiniowanej daty nie</w:t>
      </w:r>
      <w:r w:rsidR="007C489A">
        <w:t> </w:t>
      </w:r>
      <w:r w:rsidRPr="00644D92">
        <w:t>stosuje się przepisów prawa upadłościowego.</w:t>
      </w:r>
    </w:p>
    <w:p w14:paraId="1F82256A" w14:textId="77777777" w:rsidR="002D04E3" w:rsidRDefault="002D04E3" w:rsidP="00482784">
      <w:pPr>
        <w:spacing w:before="6" w:after="6" w:line="288" w:lineRule="auto"/>
      </w:pPr>
    </w:p>
    <w:p w14:paraId="5EE22255" w14:textId="77777777" w:rsidR="00F946D7" w:rsidRPr="00644D92" w:rsidRDefault="002D278F">
      <w:pPr>
        <w:pStyle w:val="Nagwek3"/>
        <w:numPr>
          <w:ilvl w:val="1"/>
          <w:numId w:val="24"/>
        </w:numPr>
        <w:spacing w:before="6" w:after="6" w:line="288" w:lineRule="auto"/>
        <w:jc w:val="both"/>
      </w:pPr>
      <w:bookmarkStart w:id="64" w:name="_Toc121828627"/>
      <w:r w:rsidRPr="00644D92">
        <w:t>Fundusze zdefiniowanej daty</w:t>
      </w:r>
      <w:bookmarkEnd w:id="64"/>
    </w:p>
    <w:p w14:paraId="244BF404" w14:textId="011C46B5" w:rsidR="00F83CD9" w:rsidRDefault="007640FE" w:rsidP="00482784">
      <w:pPr>
        <w:spacing w:before="6" w:after="6" w:line="288" w:lineRule="auto"/>
        <w:jc w:val="both"/>
        <w:rPr>
          <w:rFonts w:ascii="Calibri" w:eastAsia="Calibri" w:hAnsi="Calibri" w:cs="Times New Roman"/>
        </w:rPr>
      </w:pPr>
      <w:r w:rsidRPr="00644D92">
        <w:rPr>
          <w:rFonts w:ascii="Calibri" w:eastAsia="Calibri" w:hAnsi="Calibri" w:cs="Times New Roman"/>
        </w:rPr>
        <w:t>Gromadzone na rachunkach uczestników PPK środki są lokowane w fundusze</w:t>
      </w:r>
      <w:r w:rsidR="003C4194">
        <w:rPr>
          <w:rFonts w:ascii="Calibri" w:eastAsia="Calibri" w:hAnsi="Calibri" w:cs="Times New Roman"/>
        </w:rPr>
        <w:t xml:space="preserve"> lub subfundusze</w:t>
      </w:r>
      <w:r w:rsidRPr="00644D92">
        <w:rPr>
          <w:rFonts w:ascii="Calibri" w:eastAsia="Calibri" w:hAnsi="Calibri" w:cs="Times New Roman"/>
        </w:rPr>
        <w:t>, które</w:t>
      </w:r>
      <w:r w:rsidR="005145EE">
        <w:rPr>
          <w:rFonts w:ascii="Calibri" w:eastAsia="Calibri" w:hAnsi="Calibri" w:cs="Times New Roman"/>
        </w:rPr>
        <w:t> </w:t>
      </w:r>
      <w:r w:rsidRPr="00644D92">
        <w:rPr>
          <w:rFonts w:ascii="Calibri" w:eastAsia="Calibri" w:hAnsi="Calibri" w:cs="Times New Roman"/>
        </w:rPr>
        <w:t>różnicują poziom ryzyka w zależności od wieku uczestnika, czyli fundusze zdefiniowanej daty</w:t>
      </w:r>
      <w:r w:rsidR="005145EE">
        <w:rPr>
          <w:rFonts w:ascii="Calibri" w:eastAsia="Calibri" w:hAnsi="Calibri" w:cs="Times New Roman"/>
        </w:rPr>
        <w:t> </w:t>
      </w:r>
      <w:r w:rsidRPr="00644D92">
        <w:rPr>
          <w:rFonts w:ascii="Calibri" w:eastAsia="Calibri" w:hAnsi="Calibri" w:cs="Times New Roman"/>
        </w:rPr>
        <w:t>(FZD).</w:t>
      </w:r>
      <w:r w:rsidRPr="007640FE">
        <w:rPr>
          <w:rFonts w:ascii="Calibri" w:eastAsia="Calibri" w:hAnsi="Calibri" w:cs="Times New Roman"/>
          <w:b/>
          <w:bCs/>
        </w:rPr>
        <w:t> </w:t>
      </w:r>
      <w:r w:rsidRPr="007640FE">
        <w:rPr>
          <w:rFonts w:ascii="Calibri" w:eastAsia="Calibri" w:hAnsi="Calibri" w:cs="Times New Roman"/>
        </w:rPr>
        <w:t>Fundusze te tworzone są ze zdefiniowaną datą funduszu, przypadającą co 5 lat dla</w:t>
      </w:r>
      <w:r w:rsidR="005145EE">
        <w:rPr>
          <w:rFonts w:ascii="Calibri" w:eastAsia="Calibri" w:hAnsi="Calibri" w:cs="Times New Roman"/>
        </w:rPr>
        <w:t> </w:t>
      </w:r>
      <w:r w:rsidRPr="007640FE">
        <w:rPr>
          <w:rFonts w:ascii="Calibri" w:eastAsia="Calibri" w:hAnsi="Calibri" w:cs="Times New Roman"/>
        </w:rPr>
        <w:t>kolejnych 5-letnich przedziałów roczników</w:t>
      </w:r>
      <w:r w:rsidRPr="00F83CD9">
        <w:rPr>
          <w:rFonts w:ascii="Calibri" w:eastAsia="Calibri" w:hAnsi="Calibri" w:cs="Times New Roman"/>
        </w:rPr>
        <w:t xml:space="preserve">. </w:t>
      </w:r>
      <w:r w:rsidRPr="00644D92">
        <w:rPr>
          <w:rFonts w:ascii="Calibri" w:eastAsia="Calibri" w:hAnsi="Calibri" w:cs="Times New Roman"/>
        </w:rPr>
        <w:t xml:space="preserve">Obecnie TFI, PTE, PrTE lub zakład ubezpieczeń – </w:t>
      </w:r>
      <w:r w:rsidR="00CE70D7">
        <w:rPr>
          <w:rFonts w:ascii="Calibri" w:eastAsia="Calibri" w:hAnsi="Calibri" w:cs="Times New Roman"/>
        </w:rPr>
        <w:t>a</w:t>
      </w:r>
      <w:r w:rsidRPr="00644D92">
        <w:rPr>
          <w:rFonts w:ascii="Calibri" w:eastAsia="Calibri" w:hAnsi="Calibri" w:cs="Times New Roman"/>
        </w:rPr>
        <w:t>by spełniać wymagania określone w</w:t>
      </w:r>
      <w:r w:rsidR="004010A3">
        <w:rPr>
          <w:rFonts w:ascii="Calibri" w:eastAsia="Calibri" w:hAnsi="Calibri" w:cs="Times New Roman"/>
        </w:rPr>
        <w:t> </w:t>
      </w:r>
      <w:r w:rsidRPr="00644D92">
        <w:rPr>
          <w:rFonts w:ascii="Calibri" w:eastAsia="Calibri" w:hAnsi="Calibri" w:cs="Times New Roman"/>
        </w:rPr>
        <w:t xml:space="preserve">ustawie o PPK </w:t>
      </w:r>
      <w:r w:rsidR="00F35C56">
        <w:rPr>
          <w:rFonts w:ascii="Calibri" w:eastAsia="Calibri" w:hAnsi="Calibri" w:cs="Times New Roman"/>
        </w:rPr>
        <w:t>–</w:t>
      </w:r>
      <w:r w:rsidRPr="00644D92">
        <w:rPr>
          <w:rFonts w:ascii="Calibri" w:eastAsia="Calibri" w:hAnsi="Calibri" w:cs="Times New Roman"/>
        </w:rPr>
        <w:t xml:space="preserve"> powinny mieć utworzone 9 funduszy zdefiniowanej daty ze zdefiniowanymi datami przypadającymi kolejno w</w:t>
      </w:r>
      <w:r w:rsidR="00163C44">
        <w:rPr>
          <w:rFonts w:ascii="Calibri" w:eastAsia="Calibri" w:hAnsi="Calibri" w:cs="Times New Roman"/>
        </w:rPr>
        <w:t>:</w:t>
      </w:r>
      <w:r w:rsidRPr="00644D92">
        <w:rPr>
          <w:rFonts w:ascii="Calibri" w:eastAsia="Calibri" w:hAnsi="Calibri" w:cs="Times New Roman"/>
        </w:rPr>
        <w:t xml:space="preserve"> 2025, 2030, 2035, 2040, 2045, 2050, 2055, 2060 oraz 2065 roku.</w:t>
      </w:r>
    </w:p>
    <w:p w14:paraId="10DD0ED4" w14:textId="77777777" w:rsidR="00F83CD9" w:rsidRDefault="00F83CD9" w:rsidP="00482784">
      <w:pPr>
        <w:spacing w:before="6" w:after="6" w:line="288" w:lineRule="auto"/>
        <w:jc w:val="both"/>
        <w:rPr>
          <w:rFonts w:ascii="Calibri" w:eastAsia="Calibri" w:hAnsi="Calibri" w:cs="Times New Roman"/>
        </w:rPr>
      </w:pPr>
    </w:p>
    <w:p w14:paraId="0B8E9889" w14:textId="77777777" w:rsidR="00F83CD9" w:rsidRDefault="007640FE" w:rsidP="00482784">
      <w:pPr>
        <w:spacing w:before="6" w:after="6" w:line="288" w:lineRule="auto"/>
        <w:jc w:val="both"/>
        <w:rPr>
          <w:rFonts w:ascii="Calibri" w:eastAsia="Calibri" w:hAnsi="Calibri" w:cs="Times New Roman"/>
        </w:rPr>
      </w:pPr>
      <w:r w:rsidRPr="007640FE">
        <w:rPr>
          <w:rFonts w:ascii="Calibri" w:eastAsia="Calibri" w:hAnsi="Calibri" w:cs="Times New Roman"/>
        </w:rPr>
        <w:t>Zasady inwestycyjne, które zobowiązane są stosować fundusze zdefiniowanej daty, zostały szczegółowo uregulowane w ustawie o PPK</w:t>
      </w:r>
      <w:r w:rsidRPr="0024158D">
        <w:rPr>
          <w:rFonts w:ascii="Calibri" w:eastAsia="Calibri" w:hAnsi="Calibri" w:cs="Times New Roman"/>
          <w:b/>
          <w:bCs/>
        </w:rPr>
        <w:t xml:space="preserve">. </w:t>
      </w:r>
      <w:r w:rsidRPr="0024158D">
        <w:rPr>
          <w:rFonts w:ascii="Calibri" w:eastAsia="Calibri" w:hAnsi="Calibri" w:cs="Times New Roman"/>
        </w:rPr>
        <w:t>Aktywa funduszu zdefiniowanej daty mogą być lokowane w aktywach denominowanych w złotych lub w walutach innych państw członkowskich Unii Europejskiej oraz państw należących do Organizacji Współpracy Gospodarczej i Rozwoju, innych niż Polska i państwa członkowskie UE. Łączna wartość lokat aktywów funduszu zdefiniowanej daty w</w:t>
      </w:r>
      <w:r w:rsidR="004010A3">
        <w:rPr>
          <w:rFonts w:ascii="Calibri" w:eastAsia="Calibri" w:hAnsi="Calibri" w:cs="Times New Roman"/>
        </w:rPr>
        <w:t> </w:t>
      </w:r>
      <w:r w:rsidRPr="0024158D">
        <w:rPr>
          <w:rFonts w:ascii="Calibri" w:eastAsia="Calibri" w:hAnsi="Calibri" w:cs="Times New Roman"/>
        </w:rPr>
        <w:t>aktywach denominowanych w walutach obcych nie może przekroczyć 30% wartości tych aktywów.</w:t>
      </w:r>
      <w:r w:rsidRPr="0024158D">
        <w:rPr>
          <w:rFonts w:ascii="Calibri" w:eastAsia="Calibri" w:hAnsi="Calibri" w:cs="Times New Roman"/>
          <w:b/>
          <w:bCs/>
        </w:rPr>
        <w:t xml:space="preserve"> </w:t>
      </w:r>
      <w:r w:rsidRPr="007640FE">
        <w:rPr>
          <w:rFonts w:ascii="Calibri" w:eastAsia="Calibri" w:hAnsi="Calibri" w:cs="Times New Roman"/>
        </w:rPr>
        <w:t>Do funduszy zdefiniowanej daty oraz zarządzających nimi podmiotów stosuje się odpowiednio przepisy ustawy o funduszach inwestycyjnych i zarządzaniu alternatywnymi funduszami inwestycyjnymi, ustawy o organizacji i funkcjonowaniu funduszy emerytalnych oraz ustawy o działalności ubezpieczeniowej i reasekuracyjnej, w zakresie nieuregulowanym ustawą o PPK. Wymagania i</w:t>
      </w:r>
      <w:r w:rsidR="004010A3">
        <w:rPr>
          <w:rFonts w:ascii="Calibri" w:eastAsia="Calibri" w:hAnsi="Calibri" w:cs="Times New Roman"/>
        </w:rPr>
        <w:t> </w:t>
      </w:r>
      <w:r w:rsidRPr="007640FE">
        <w:rPr>
          <w:rFonts w:ascii="Calibri" w:eastAsia="Calibri" w:hAnsi="Calibri" w:cs="Times New Roman"/>
        </w:rPr>
        <w:t>ograniczenia dotyczące inwestowania w przypadku środków zgromadzonych w PPK wynikają zatem nie tylko z ustawy o PPK, ale także z przepisów sektorowych.</w:t>
      </w:r>
    </w:p>
    <w:p w14:paraId="787E781D" w14:textId="77777777" w:rsidR="00F83CD9" w:rsidRDefault="00F83CD9" w:rsidP="00482784">
      <w:pPr>
        <w:spacing w:before="6" w:after="6" w:line="288" w:lineRule="auto"/>
        <w:jc w:val="both"/>
        <w:rPr>
          <w:rFonts w:ascii="Calibri" w:eastAsia="Calibri" w:hAnsi="Calibri" w:cs="Times New Roman"/>
        </w:rPr>
      </w:pPr>
    </w:p>
    <w:p w14:paraId="26D2E127" w14:textId="57720D44" w:rsidR="00F83CD9" w:rsidRDefault="007640FE" w:rsidP="00482784">
      <w:pPr>
        <w:spacing w:before="6" w:after="6" w:line="288" w:lineRule="auto"/>
        <w:jc w:val="both"/>
        <w:rPr>
          <w:rFonts w:ascii="Calibri" w:eastAsia="Calibri" w:hAnsi="Calibri" w:cs="Times New Roman"/>
        </w:rPr>
      </w:pPr>
      <w:r w:rsidRPr="007640FE">
        <w:rPr>
          <w:rFonts w:ascii="Calibri" w:eastAsia="Calibri" w:hAnsi="Calibri" w:cs="Times New Roman"/>
        </w:rPr>
        <w:lastRenderedPageBreak/>
        <w:t>Fundusz zdefiniowanej daty ma obowiązek lokować środki zgromadzone w PPK zgodnie z interesem uczestników PPK, dążąc do osiągnięcia bezpieczeństwa i efektywności dokonywanych lokat oraz</w:t>
      </w:r>
      <w:r w:rsidR="007C489A">
        <w:rPr>
          <w:rFonts w:ascii="Calibri" w:eastAsia="Calibri" w:hAnsi="Calibri" w:cs="Times New Roman"/>
        </w:rPr>
        <w:t> </w:t>
      </w:r>
      <w:r w:rsidRPr="007640FE">
        <w:rPr>
          <w:rFonts w:ascii="Calibri" w:eastAsia="Calibri" w:hAnsi="Calibri" w:cs="Times New Roman"/>
        </w:rPr>
        <w:t xml:space="preserve">przestrzegając zasad ograniczania ryzyka inwestycyjnego. </w:t>
      </w:r>
    </w:p>
    <w:p w14:paraId="03146F50" w14:textId="77777777" w:rsidR="00F83CD9" w:rsidRDefault="00F83CD9" w:rsidP="00482784">
      <w:pPr>
        <w:spacing w:before="6" w:after="6" w:line="288" w:lineRule="auto"/>
        <w:jc w:val="both"/>
        <w:rPr>
          <w:rFonts w:ascii="Calibri" w:eastAsia="Calibri" w:hAnsi="Calibri" w:cs="Times New Roman"/>
        </w:rPr>
      </w:pPr>
    </w:p>
    <w:p w14:paraId="41FEF0E2" w14:textId="77777777" w:rsidR="00F83CD9" w:rsidRDefault="007640FE" w:rsidP="00482784">
      <w:pPr>
        <w:spacing w:before="6" w:after="6" w:line="288" w:lineRule="auto"/>
        <w:jc w:val="both"/>
        <w:rPr>
          <w:rFonts w:ascii="Calibri" w:eastAsia="Calibri" w:hAnsi="Calibri" w:cs="Times New Roman"/>
        </w:rPr>
      </w:pPr>
      <w:r w:rsidRPr="007640FE">
        <w:rPr>
          <w:rFonts w:ascii="Calibri" w:eastAsia="Calibri" w:hAnsi="Calibri" w:cs="Times New Roman"/>
        </w:rPr>
        <w:t>Aktywa w PPK mogą być inwestowane w instrumenty o zróżnicowanym charakterze: udziałowym, takie jak np. akcje czy prawa poboru (część udziałowa) bądź dłużnym, takie jak np. obligacje, bony skarbowe, listy zastawne czy certyfikaty depozytowe (część dłużna).</w:t>
      </w:r>
    </w:p>
    <w:p w14:paraId="6C6BD702" w14:textId="73EBB597" w:rsidR="005406A2" w:rsidRDefault="007640FE" w:rsidP="00482784">
      <w:pPr>
        <w:spacing w:before="6" w:after="6" w:line="288" w:lineRule="auto"/>
        <w:jc w:val="both"/>
        <w:rPr>
          <w:rFonts w:ascii="Calibri" w:eastAsia="Calibri" w:hAnsi="Calibri" w:cs="Times New Roman"/>
        </w:rPr>
      </w:pPr>
      <w:r w:rsidRPr="003928A0">
        <w:rPr>
          <w:rFonts w:ascii="Calibri" w:eastAsia="Calibri" w:hAnsi="Calibri" w:cs="Times New Roman"/>
        </w:rPr>
        <w:t xml:space="preserve">Instrumenty finansowe, w które lokowane są część dłużna oraz część udziałowa aktywów funduszu zdefiniowanej daty, wymieniono </w:t>
      </w:r>
      <w:r w:rsidR="00AD0162">
        <w:rPr>
          <w:rFonts w:ascii="Calibri" w:eastAsia="Calibri" w:hAnsi="Calibri" w:cs="Times New Roman"/>
        </w:rPr>
        <w:t xml:space="preserve">w tabeli </w:t>
      </w:r>
      <w:r w:rsidRPr="003928A0">
        <w:rPr>
          <w:rFonts w:ascii="Calibri" w:eastAsia="Calibri" w:hAnsi="Calibri" w:cs="Times New Roman"/>
        </w:rPr>
        <w:t>poniżej.</w:t>
      </w:r>
    </w:p>
    <w:p w14:paraId="00244E75" w14:textId="77777777" w:rsidR="009821A3" w:rsidRPr="003928A0" w:rsidRDefault="009821A3" w:rsidP="00B61EC6">
      <w:pPr>
        <w:spacing w:before="6" w:after="6" w:line="288" w:lineRule="auto"/>
        <w:jc w:val="both"/>
        <w:rPr>
          <w:rFonts w:ascii="Calibri" w:eastAsia="Calibri" w:hAnsi="Calibri" w:cs="Times New Roman"/>
        </w:rPr>
      </w:pPr>
    </w:p>
    <w:tbl>
      <w:tblPr>
        <w:tblStyle w:val="Tabela-Siatka"/>
        <w:tblW w:w="0" w:type="auto"/>
        <w:tblLook w:val="04A0" w:firstRow="1" w:lastRow="0" w:firstColumn="1" w:lastColumn="0" w:noHBand="0" w:noVBand="1"/>
      </w:tblPr>
      <w:tblGrid>
        <w:gridCol w:w="4531"/>
        <w:gridCol w:w="4531"/>
      </w:tblGrid>
      <w:tr w:rsidR="007640FE" w:rsidRPr="007640FE" w14:paraId="0E3519CB" w14:textId="77777777" w:rsidTr="00917D71">
        <w:tc>
          <w:tcPr>
            <w:tcW w:w="9062" w:type="dxa"/>
            <w:gridSpan w:val="2"/>
          </w:tcPr>
          <w:p w14:paraId="0BE2932F" w14:textId="77777777" w:rsidR="007640FE" w:rsidRPr="007640FE" w:rsidRDefault="007640FE" w:rsidP="00B61EC6">
            <w:pPr>
              <w:spacing w:before="6" w:after="6" w:line="288" w:lineRule="auto"/>
              <w:jc w:val="center"/>
              <w:rPr>
                <w:rFonts w:ascii="Calibri" w:eastAsia="Calibri" w:hAnsi="Calibri" w:cs="Times New Roman"/>
                <w:b/>
                <w:bCs/>
              </w:rPr>
            </w:pPr>
            <w:r w:rsidRPr="007640FE">
              <w:rPr>
                <w:rFonts w:ascii="Calibri" w:eastAsia="Calibri" w:hAnsi="Calibri" w:cs="Times New Roman"/>
                <w:b/>
                <w:bCs/>
              </w:rPr>
              <w:t>Fundusz zdefiniowanej daty – sposoby lokowania aktywów</w:t>
            </w:r>
          </w:p>
        </w:tc>
      </w:tr>
      <w:tr w:rsidR="007640FE" w:rsidRPr="007640FE" w14:paraId="52FDE946" w14:textId="77777777" w:rsidTr="00917D71">
        <w:tc>
          <w:tcPr>
            <w:tcW w:w="4531" w:type="dxa"/>
          </w:tcPr>
          <w:p w14:paraId="262B2694" w14:textId="77777777" w:rsidR="007640FE" w:rsidRPr="007640FE" w:rsidRDefault="007640FE" w:rsidP="00B61EC6">
            <w:pPr>
              <w:spacing w:before="6" w:after="6" w:line="288" w:lineRule="auto"/>
              <w:jc w:val="center"/>
              <w:rPr>
                <w:rFonts w:ascii="Calibri" w:eastAsia="Calibri" w:hAnsi="Calibri" w:cs="Times New Roman"/>
                <w:b/>
                <w:bCs/>
              </w:rPr>
            </w:pPr>
            <w:r w:rsidRPr="007640FE">
              <w:rPr>
                <w:rFonts w:ascii="Calibri" w:eastAsia="Calibri" w:hAnsi="Calibri" w:cs="Times New Roman"/>
                <w:b/>
                <w:bCs/>
              </w:rPr>
              <w:t>Część dłużna:</w:t>
            </w:r>
          </w:p>
        </w:tc>
        <w:tc>
          <w:tcPr>
            <w:tcW w:w="4531" w:type="dxa"/>
          </w:tcPr>
          <w:p w14:paraId="6073BBF1" w14:textId="77777777" w:rsidR="007640FE" w:rsidRPr="007640FE" w:rsidRDefault="007640FE" w:rsidP="00B61EC6">
            <w:pPr>
              <w:spacing w:before="6" w:after="6" w:line="288" w:lineRule="auto"/>
              <w:jc w:val="center"/>
              <w:rPr>
                <w:rFonts w:ascii="Calibri" w:eastAsia="Calibri" w:hAnsi="Calibri" w:cs="Times New Roman"/>
                <w:b/>
                <w:bCs/>
              </w:rPr>
            </w:pPr>
            <w:r w:rsidRPr="007640FE">
              <w:rPr>
                <w:rFonts w:ascii="Calibri" w:eastAsia="Calibri" w:hAnsi="Calibri" w:cs="Times New Roman"/>
                <w:b/>
                <w:bCs/>
              </w:rPr>
              <w:t>Część udziałowa:</w:t>
            </w:r>
          </w:p>
        </w:tc>
      </w:tr>
      <w:tr w:rsidR="007640FE" w:rsidRPr="007640FE" w14:paraId="4ABF8E8D" w14:textId="77777777" w:rsidTr="00917D71">
        <w:tc>
          <w:tcPr>
            <w:tcW w:w="4531" w:type="dxa"/>
          </w:tcPr>
          <w:p w14:paraId="71EB06FB" w14:textId="77777777" w:rsidR="007640FE" w:rsidRPr="007640FE" w:rsidRDefault="007640FE" w:rsidP="00B61EC6">
            <w:pPr>
              <w:spacing w:before="6" w:after="6" w:line="288" w:lineRule="auto"/>
              <w:rPr>
                <w:rFonts w:ascii="Calibri" w:eastAsia="Calibri" w:hAnsi="Calibri" w:cs="Times New Roman"/>
              </w:rPr>
            </w:pPr>
            <w:r w:rsidRPr="007640FE">
              <w:rPr>
                <w:rFonts w:ascii="Calibri" w:eastAsia="Calibri" w:hAnsi="Calibri" w:cs="Times New Roman"/>
              </w:rPr>
              <w:t>a) instrumenty rynku pieniężnego, o których mowa w ustawie o funduszach inwestycyjnych</w:t>
            </w:r>
            <w:r w:rsidR="009821A3">
              <w:rPr>
                <w:rFonts w:ascii="Calibri" w:eastAsia="Calibri" w:hAnsi="Calibri" w:cs="Times New Roman"/>
              </w:rPr>
              <w:t xml:space="preserve"> i zarządzaniu </w:t>
            </w:r>
            <w:r w:rsidR="0032608D">
              <w:rPr>
                <w:rFonts w:ascii="Calibri" w:eastAsia="Calibri" w:hAnsi="Calibri" w:cs="Times New Roman"/>
              </w:rPr>
              <w:t>alternatywnymi funduszami inwestycyjnymi</w:t>
            </w:r>
            <w:r w:rsidRPr="007640FE">
              <w:rPr>
                <w:rFonts w:ascii="Calibri" w:eastAsia="Calibri" w:hAnsi="Calibri" w:cs="Times New Roman"/>
              </w:rPr>
              <w:t>,</w:t>
            </w:r>
          </w:p>
          <w:p w14:paraId="6077C23E" w14:textId="77777777" w:rsidR="007640FE" w:rsidRPr="007640FE" w:rsidRDefault="007640FE" w:rsidP="00B61EC6">
            <w:pPr>
              <w:spacing w:before="6" w:after="6" w:line="288" w:lineRule="auto"/>
              <w:rPr>
                <w:rFonts w:ascii="Calibri" w:eastAsia="Calibri" w:hAnsi="Calibri" w:cs="Times New Roman"/>
              </w:rPr>
            </w:pPr>
            <w:r w:rsidRPr="007640FE">
              <w:rPr>
                <w:rFonts w:ascii="Calibri" w:eastAsia="Calibri" w:hAnsi="Calibri" w:cs="Times New Roman"/>
              </w:rPr>
              <w:t>b) obligacje, bony skarbowe, listy zastawne, certyfikaty depozytowe,</w:t>
            </w:r>
          </w:p>
          <w:p w14:paraId="6D63B67D" w14:textId="77777777" w:rsidR="007640FE" w:rsidRPr="007640FE" w:rsidRDefault="007640FE" w:rsidP="00B61EC6">
            <w:pPr>
              <w:spacing w:before="6" w:after="6" w:line="288" w:lineRule="auto"/>
              <w:rPr>
                <w:rFonts w:ascii="Calibri" w:eastAsia="Calibri" w:hAnsi="Calibri" w:cs="Times New Roman"/>
              </w:rPr>
            </w:pPr>
            <w:r w:rsidRPr="007640FE">
              <w:rPr>
                <w:rFonts w:ascii="Calibri" w:eastAsia="Calibri" w:hAnsi="Calibri" w:cs="Times New Roman"/>
              </w:rPr>
              <w:t>c) inne zbywalne papiery wartościowe inkorporujące prawa majątkowe odpowiadające prawom z zaciągnięcia długu,</w:t>
            </w:r>
          </w:p>
          <w:p w14:paraId="255CBDD1" w14:textId="77777777" w:rsidR="007640FE" w:rsidRPr="007640FE" w:rsidRDefault="007640FE" w:rsidP="00B61EC6">
            <w:pPr>
              <w:spacing w:before="6" w:after="6" w:line="288" w:lineRule="auto"/>
              <w:rPr>
                <w:rFonts w:ascii="Calibri" w:eastAsia="Calibri" w:hAnsi="Calibri" w:cs="Times New Roman"/>
              </w:rPr>
            </w:pPr>
            <w:r w:rsidRPr="007640FE">
              <w:rPr>
                <w:rFonts w:ascii="Calibri" w:eastAsia="Calibri" w:hAnsi="Calibri" w:cs="Times New Roman"/>
              </w:rPr>
              <w:t>d) depozyty bankowe,</w:t>
            </w:r>
          </w:p>
          <w:p w14:paraId="71EABDAF" w14:textId="6ED3A0B3" w:rsidR="007640FE" w:rsidRPr="007640FE" w:rsidRDefault="007640FE" w:rsidP="00B61EC6">
            <w:pPr>
              <w:spacing w:before="6" w:after="6" w:line="288" w:lineRule="auto"/>
              <w:rPr>
                <w:rFonts w:ascii="Calibri" w:eastAsia="Calibri" w:hAnsi="Calibri" w:cs="Times New Roman"/>
              </w:rPr>
            </w:pPr>
            <w:r w:rsidRPr="007640FE">
              <w:rPr>
                <w:rFonts w:ascii="Calibri" w:eastAsia="Calibri" w:hAnsi="Calibri" w:cs="Times New Roman"/>
              </w:rPr>
              <w:t>e) instrumenty pochodne, w tym niewystandaryzowane instrumenty pochodne, o których mowa w ustawie o funduszach inwestycyjnych</w:t>
            </w:r>
            <w:r w:rsidR="001C08E4">
              <w:rPr>
                <w:rFonts w:ascii="Calibri" w:eastAsia="Calibri" w:hAnsi="Calibri" w:cs="Times New Roman"/>
              </w:rPr>
              <w:t xml:space="preserve"> i zarządzaniu alternatywnymi funduszami inwestycy</w:t>
            </w:r>
            <w:r w:rsidR="001119E4">
              <w:rPr>
                <w:rFonts w:ascii="Calibri" w:eastAsia="Calibri" w:hAnsi="Calibri" w:cs="Times New Roman"/>
              </w:rPr>
              <w:t>jnymi</w:t>
            </w:r>
            <w:r w:rsidRPr="007640FE">
              <w:rPr>
                <w:rFonts w:ascii="Calibri" w:eastAsia="Calibri" w:hAnsi="Calibri" w:cs="Times New Roman"/>
              </w:rPr>
              <w:t>, których bazę stanowią papiery wartościowe lub prawa majątkowe wymienione w lit. a</w:t>
            </w:r>
            <w:r w:rsidR="00F35C56">
              <w:rPr>
                <w:rFonts w:ascii="Calibri" w:eastAsia="Calibri" w:hAnsi="Calibri" w:cs="Times New Roman"/>
              </w:rPr>
              <w:t>–</w:t>
            </w:r>
            <w:r w:rsidRPr="007640FE">
              <w:rPr>
                <w:rFonts w:ascii="Calibri" w:eastAsia="Calibri" w:hAnsi="Calibri" w:cs="Times New Roman"/>
              </w:rPr>
              <w:t>c, lub indeksy dłużnych papierów wartościowych, stopy procentowe lub indeksy kredytowe,</w:t>
            </w:r>
          </w:p>
          <w:p w14:paraId="557BDCB5" w14:textId="02E0137E" w:rsidR="007640FE" w:rsidRPr="007640FE" w:rsidRDefault="007640FE" w:rsidP="00F35C56">
            <w:pPr>
              <w:spacing w:before="6" w:after="6" w:line="288" w:lineRule="auto"/>
              <w:rPr>
                <w:rFonts w:ascii="Calibri" w:eastAsia="Calibri" w:hAnsi="Calibri" w:cs="Times New Roman"/>
              </w:rPr>
            </w:pPr>
            <w:r w:rsidRPr="007640FE">
              <w:rPr>
                <w:rFonts w:ascii="Calibri" w:eastAsia="Calibri" w:hAnsi="Calibri" w:cs="Times New Roman"/>
              </w:rPr>
              <w:t xml:space="preserve">f) jednostki uczestnictwa funduszy inwestycyjnych otwartych lub specjalistycznych funduszy inwestycyjnych otwartych, certyfikaty inwestycyjne funduszy inwestycyjnych zamkniętych mających siedzibę na terytorium Polski, tytuły uczestnictwa emitowane przez fundusze zagraniczne oraz tytuły uczestnictwa emitowane przez instytucje wspólnego inwestowania mające siedzibę za granicą </w:t>
            </w:r>
            <w:r w:rsidR="00F35C56">
              <w:rPr>
                <w:rFonts w:ascii="Calibri" w:eastAsia="Calibri" w:hAnsi="Calibri" w:cs="Times New Roman"/>
              </w:rPr>
              <w:t>–</w:t>
            </w:r>
            <w:r w:rsidRPr="007640FE">
              <w:rPr>
                <w:rFonts w:ascii="Calibri" w:eastAsia="Calibri" w:hAnsi="Calibri" w:cs="Times New Roman"/>
              </w:rPr>
              <w:t xml:space="preserve"> jeżeli, zgodnie z ich statutem lub regulaminem, lokują co najmniej 50% swoich aktywów w kategorie lokat, o których mowa w lit. a</w:t>
            </w:r>
            <w:r w:rsidR="00F35C56">
              <w:rPr>
                <w:rFonts w:ascii="Calibri" w:eastAsia="Calibri" w:hAnsi="Calibri" w:cs="Times New Roman"/>
              </w:rPr>
              <w:t>–</w:t>
            </w:r>
            <w:r w:rsidRPr="007640FE">
              <w:rPr>
                <w:rFonts w:ascii="Calibri" w:eastAsia="Calibri" w:hAnsi="Calibri" w:cs="Times New Roman"/>
              </w:rPr>
              <w:t>e.</w:t>
            </w:r>
          </w:p>
        </w:tc>
        <w:tc>
          <w:tcPr>
            <w:tcW w:w="4531" w:type="dxa"/>
          </w:tcPr>
          <w:p w14:paraId="0BCEE898" w14:textId="77777777" w:rsidR="007640FE" w:rsidRPr="007640FE" w:rsidRDefault="007640FE" w:rsidP="00B61EC6">
            <w:pPr>
              <w:spacing w:before="6" w:after="6" w:line="288" w:lineRule="auto"/>
              <w:rPr>
                <w:rFonts w:ascii="Calibri" w:eastAsia="Calibri" w:hAnsi="Calibri" w:cs="Times New Roman"/>
              </w:rPr>
            </w:pPr>
            <w:r w:rsidRPr="007640FE">
              <w:rPr>
                <w:rFonts w:ascii="Calibri" w:eastAsia="Calibri" w:hAnsi="Calibri" w:cs="Times New Roman"/>
              </w:rPr>
              <w:t>a) akcje, prawa poboru, prawa do akcji, warranty subskrypcyjne, kwity depozytowe,</w:t>
            </w:r>
          </w:p>
          <w:p w14:paraId="1BBDC4B8" w14:textId="77777777" w:rsidR="007640FE" w:rsidRPr="007640FE" w:rsidRDefault="007640FE" w:rsidP="00B61EC6">
            <w:pPr>
              <w:spacing w:before="6" w:after="6" w:line="288" w:lineRule="auto"/>
              <w:rPr>
                <w:rFonts w:ascii="Calibri" w:eastAsia="Calibri" w:hAnsi="Calibri" w:cs="Times New Roman"/>
              </w:rPr>
            </w:pPr>
            <w:r w:rsidRPr="007640FE">
              <w:rPr>
                <w:rFonts w:ascii="Calibri" w:eastAsia="Calibri" w:hAnsi="Calibri" w:cs="Times New Roman"/>
              </w:rPr>
              <w:t>b) inne zbywalne papiery wartościowe inkorporujące prawa majątkowe odpowiadające prawom wynikającym z akcji,</w:t>
            </w:r>
          </w:p>
          <w:p w14:paraId="5A3094D8" w14:textId="77777777" w:rsidR="007640FE" w:rsidRPr="007640FE" w:rsidRDefault="007640FE" w:rsidP="00B61EC6">
            <w:pPr>
              <w:spacing w:before="6" w:after="6" w:line="288" w:lineRule="auto"/>
              <w:rPr>
                <w:rFonts w:ascii="Calibri" w:eastAsia="Calibri" w:hAnsi="Calibri" w:cs="Times New Roman"/>
              </w:rPr>
            </w:pPr>
            <w:r w:rsidRPr="007640FE">
              <w:rPr>
                <w:rFonts w:ascii="Calibri" w:eastAsia="Calibri" w:hAnsi="Calibri" w:cs="Times New Roman"/>
              </w:rPr>
              <w:t>c) instrumenty pochodne, w tym niewystandaryzowane instrumenty pochodne, o których mowa w ustawie o funduszach inwestycyjnych</w:t>
            </w:r>
            <w:r w:rsidR="00377DED">
              <w:rPr>
                <w:rFonts w:ascii="Calibri" w:eastAsia="Calibri" w:hAnsi="Calibri" w:cs="Times New Roman"/>
              </w:rPr>
              <w:t xml:space="preserve"> i zarządzaniu alternatywnymi </w:t>
            </w:r>
            <w:r w:rsidR="00A95CA6">
              <w:rPr>
                <w:rFonts w:ascii="Calibri" w:eastAsia="Calibri" w:hAnsi="Calibri" w:cs="Times New Roman"/>
              </w:rPr>
              <w:t>funduszami inwestycyjnymi</w:t>
            </w:r>
            <w:r w:rsidRPr="007640FE">
              <w:rPr>
                <w:rFonts w:ascii="Calibri" w:eastAsia="Calibri" w:hAnsi="Calibri" w:cs="Times New Roman"/>
              </w:rPr>
              <w:t>, których bazę stanowią papiery wartościowe wymienione w lit. a lub b, lub indeksy akcji,</w:t>
            </w:r>
          </w:p>
          <w:p w14:paraId="14CAFFAF" w14:textId="02DA1279" w:rsidR="007640FE" w:rsidRPr="007640FE" w:rsidRDefault="007640FE" w:rsidP="00B61EC6">
            <w:pPr>
              <w:spacing w:before="6" w:after="6" w:line="288" w:lineRule="auto"/>
              <w:rPr>
                <w:rFonts w:ascii="Calibri" w:eastAsia="Calibri" w:hAnsi="Calibri" w:cs="Times New Roman"/>
              </w:rPr>
            </w:pPr>
            <w:r w:rsidRPr="007640FE">
              <w:rPr>
                <w:rFonts w:ascii="Calibri" w:eastAsia="Calibri" w:hAnsi="Calibri" w:cs="Times New Roman"/>
              </w:rPr>
              <w:t xml:space="preserve">d) jednostki uczestnictwa funduszy inwestycyjnych otwartych lub specjalistycznych funduszy inwestycyjnych otwartych, certyfikaty inwestycyjne funduszy inwestycyjnych zamkniętych mających siedzibę na terytorium Polski, tytuły uczestnictwa emitowane przez fundusze zagraniczne w rozumieniu ustawy o funduszach inwestycyjnych </w:t>
            </w:r>
            <w:r w:rsidR="009F6754">
              <w:rPr>
                <w:rFonts w:ascii="Calibri" w:eastAsia="Calibri" w:hAnsi="Calibri" w:cs="Times New Roman"/>
              </w:rPr>
              <w:t xml:space="preserve">i zarządzaniu alternatywnymi funduszami inwestycyjnymi </w:t>
            </w:r>
            <w:r w:rsidRPr="007640FE">
              <w:rPr>
                <w:rFonts w:ascii="Calibri" w:eastAsia="Calibri" w:hAnsi="Calibri" w:cs="Times New Roman"/>
              </w:rPr>
              <w:t xml:space="preserve">oraz tytuły uczestnictwa emitowane przez instytucje wspólnego inwestowania mające siedzibę za granicą </w:t>
            </w:r>
            <w:r w:rsidR="00F35C56">
              <w:rPr>
                <w:rFonts w:ascii="Calibri" w:eastAsia="Calibri" w:hAnsi="Calibri" w:cs="Times New Roman"/>
              </w:rPr>
              <w:t>–</w:t>
            </w:r>
            <w:r w:rsidRPr="007640FE">
              <w:rPr>
                <w:rFonts w:ascii="Calibri" w:eastAsia="Calibri" w:hAnsi="Calibri" w:cs="Times New Roman"/>
              </w:rPr>
              <w:t xml:space="preserve"> jeżeli, zgodnie z ich statutem lub regulaminem lokują co najmniej 50% swoich aktywów w kategorie lokat, o których mowa w lit. a</w:t>
            </w:r>
            <w:r w:rsidR="00F35C56">
              <w:rPr>
                <w:rFonts w:ascii="Calibri" w:eastAsia="Calibri" w:hAnsi="Calibri" w:cs="Times New Roman"/>
              </w:rPr>
              <w:t>–</w:t>
            </w:r>
            <w:r w:rsidRPr="007640FE">
              <w:rPr>
                <w:rFonts w:ascii="Calibri" w:eastAsia="Calibri" w:hAnsi="Calibri" w:cs="Times New Roman"/>
              </w:rPr>
              <w:t>c.</w:t>
            </w:r>
          </w:p>
        </w:tc>
      </w:tr>
    </w:tbl>
    <w:p w14:paraId="31CC96FB" w14:textId="77777777" w:rsidR="007640FE" w:rsidRPr="007640FE" w:rsidRDefault="007640FE" w:rsidP="00B61EC6">
      <w:pPr>
        <w:spacing w:before="6" w:after="6" w:line="288" w:lineRule="auto"/>
        <w:rPr>
          <w:rFonts w:ascii="Calibri" w:eastAsia="Calibri" w:hAnsi="Calibri" w:cs="Times New Roman"/>
        </w:rPr>
      </w:pPr>
    </w:p>
    <w:p w14:paraId="10C8FA45" w14:textId="77777777" w:rsidR="007640FE" w:rsidRPr="003928A0" w:rsidRDefault="007640FE" w:rsidP="008203CC">
      <w:pPr>
        <w:spacing w:before="6" w:after="6" w:line="288" w:lineRule="auto"/>
        <w:jc w:val="both"/>
        <w:rPr>
          <w:rFonts w:ascii="Calibri" w:eastAsia="Calibri" w:hAnsi="Calibri" w:cs="Times New Roman"/>
        </w:rPr>
      </w:pPr>
      <w:r w:rsidRPr="003928A0">
        <w:rPr>
          <w:rFonts w:ascii="Calibri" w:eastAsia="Calibri" w:hAnsi="Calibri" w:cs="Times New Roman"/>
        </w:rPr>
        <w:t xml:space="preserve">Ograniczenia inwestycyjne odnoszące się do części dłużnej oraz do części inwestycyjnej portfela funduszu zdefiniowanej daty zostały opisane </w:t>
      </w:r>
      <w:r w:rsidR="00AD0162">
        <w:rPr>
          <w:rFonts w:ascii="Calibri" w:eastAsia="Calibri" w:hAnsi="Calibri" w:cs="Times New Roman"/>
        </w:rPr>
        <w:t xml:space="preserve">w tabeli </w:t>
      </w:r>
      <w:r w:rsidRPr="003928A0">
        <w:rPr>
          <w:rFonts w:ascii="Calibri" w:eastAsia="Calibri" w:hAnsi="Calibri" w:cs="Times New Roman"/>
        </w:rPr>
        <w:t xml:space="preserve">poniżej. </w:t>
      </w:r>
    </w:p>
    <w:tbl>
      <w:tblPr>
        <w:tblStyle w:val="Tabela-Siatka"/>
        <w:tblW w:w="0" w:type="auto"/>
        <w:tblLook w:val="04A0" w:firstRow="1" w:lastRow="0" w:firstColumn="1" w:lastColumn="0" w:noHBand="0" w:noVBand="1"/>
      </w:tblPr>
      <w:tblGrid>
        <w:gridCol w:w="4531"/>
        <w:gridCol w:w="4531"/>
      </w:tblGrid>
      <w:tr w:rsidR="007640FE" w:rsidRPr="007640FE" w14:paraId="4C56A2E9" w14:textId="77777777" w:rsidTr="00917D71">
        <w:tc>
          <w:tcPr>
            <w:tcW w:w="9062" w:type="dxa"/>
            <w:gridSpan w:val="2"/>
          </w:tcPr>
          <w:p w14:paraId="0935EFCD" w14:textId="77777777" w:rsidR="007640FE" w:rsidRPr="007640FE" w:rsidRDefault="007640FE" w:rsidP="00B61EC6">
            <w:pPr>
              <w:spacing w:before="6" w:after="6" w:line="288" w:lineRule="auto"/>
              <w:jc w:val="center"/>
              <w:rPr>
                <w:rFonts w:ascii="Calibri" w:eastAsia="Calibri" w:hAnsi="Calibri" w:cs="Times New Roman"/>
                <w:b/>
                <w:bCs/>
              </w:rPr>
            </w:pPr>
            <w:r w:rsidRPr="007640FE">
              <w:rPr>
                <w:rFonts w:ascii="Calibri" w:eastAsia="Calibri" w:hAnsi="Calibri" w:cs="Times New Roman"/>
                <w:b/>
                <w:bCs/>
              </w:rPr>
              <w:t>Fundusz zdefiniowanej daty</w:t>
            </w:r>
          </w:p>
          <w:p w14:paraId="753D50EE" w14:textId="77777777" w:rsidR="007640FE" w:rsidRPr="007640FE" w:rsidRDefault="007640FE" w:rsidP="00B61EC6">
            <w:pPr>
              <w:spacing w:before="6" w:after="6" w:line="288" w:lineRule="auto"/>
              <w:jc w:val="center"/>
              <w:rPr>
                <w:rFonts w:ascii="Calibri" w:eastAsia="Calibri" w:hAnsi="Calibri" w:cs="Times New Roman"/>
                <w:b/>
                <w:bCs/>
                <w:color w:val="FF0000"/>
              </w:rPr>
            </w:pPr>
            <w:r w:rsidRPr="007640FE">
              <w:rPr>
                <w:rFonts w:ascii="Calibri" w:eastAsia="Calibri" w:hAnsi="Calibri" w:cs="Times New Roman"/>
                <w:b/>
                <w:bCs/>
              </w:rPr>
              <w:t>– lokowanie aktywów w ramach części dłużnej i części udziałowej</w:t>
            </w:r>
          </w:p>
        </w:tc>
      </w:tr>
      <w:tr w:rsidR="007640FE" w:rsidRPr="007640FE" w14:paraId="2EDF346D" w14:textId="77777777" w:rsidTr="00917D71">
        <w:tc>
          <w:tcPr>
            <w:tcW w:w="4531" w:type="dxa"/>
          </w:tcPr>
          <w:p w14:paraId="32B4A694" w14:textId="77777777" w:rsidR="007640FE" w:rsidRPr="007640FE" w:rsidRDefault="007640FE" w:rsidP="00B61EC6">
            <w:pPr>
              <w:spacing w:before="6" w:after="6" w:line="288" w:lineRule="auto"/>
              <w:rPr>
                <w:rFonts w:ascii="Calibri" w:eastAsia="Calibri" w:hAnsi="Calibri" w:cs="Times New Roman"/>
                <w:b/>
                <w:bCs/>
              </w:rPr>
            </w:pPr>
            <w:r w:rsidRPr="007640FE">
              <w:rPr>
                <w:rFonts w:ascii="Calibri" w:eastAsia="Calibri" w:hAnsi="Calibri" w:cs="Times New Roman"/>
                <w:b/>
                <w:bCs/>
              </w:rPr>
              <w:t xml:space="preserve"> Część dłużna:</w:t>
            </w:r>
          </w:p>
        </w:tc>
        <w:tc>
          <w:tcPr>
            <w:tcW w:w="4531" w:type="dxa"/>
          </w:tcPr>
          <w:p w14:paraId="57673EC0" w14:textId="77777777" w:rsidR="007640FE" w:rsidRPr="007640FE" w:rsidRDefault="007640FE" w:rsidP="00B61EC6">
            <w:pPr>
              <w:spacing w:before="6" w:after="6" w:line="288" w:lineRule="auto"/>
              <w:rPr>
                <w:rFonts w:ascii="Calibri" w:eastAsia="Calibri" w:hAnsi="Calibri" w:cs="Times New Roman"/>
                <w:b/>
                <w:bCs/>
              </w:rPr>
            </w:pPr>
            <w:r w:rsidRPr="007640FE">
              <w:rPr>
                <w:rFonts w:ascii="Calibri" w:eastAsia="Calibri" w:hAnsi="Calibri" w:cs="Times New Roman"/>
                <w:b/>
                <w:bCs/>
              </w:rPr>
              <w:t>Część udziałowa:</w:t>
            </w:r>
          </w:p>
        </w:tc>
      </w:tr>
      <w:tr w:rsidR="007640FE" w:rsidRPr="007640FE" w14:paraId="23A3DB66" w14:textId="77777777" w:rsidTr="00917D71">
        <w:tc>
          <w:tcPr>
            <w:tcW w:w="4531" w:type="dxa"/>
          </w:tcPr>
          <w:p w14:paraId="43EB09EC" w14:textId="77777777" w:rsidR="007640FE" w:rsidRPr="007640FE" w:rsidRDefault="007640FE" w:rsidP="00B61EC6">
            <w:pPr>
              <w:spacing w:before="6" w:after="6" w:line="288" w:lineRule="auto"/>
              <w:rPr>
                <w:rFonts w:ascii="Calibri" w:eastAsia="Calibri" w:hAnsi="Calibri" w:cs="Times New Roman"/>
              </w:rPr>
            </w:pPr>
            <w:r w:rsidRPr="007640FE">
              <w:rPr>
                <w:rFonts w:ascii="Calibri" w:eastAsia="Calibri" w:hAnsi="Calibri" w:cs="Times New Roman"/>
              </w:rPr>
              <w:t>1) nie mniej niż 70% wartości aktywów w:</w:t>
            </w:r>
          </w:p>
          <w:p w14:paraId="2AE871C9" w14:textId="77777777" w:rsidR="007640FE" w:rsidRPr="007640FE" w:rsidRDefault="007640FE" w:rsidP="00B61EC6">
            <w:pPr>
              <w:spacing w:before="6" w:after="6" w:line="288" w:lineRule="auto"/>
              <w:rPr>
                <w:rFonts w:ascii="Calibri" w:eastAsia="Calibri" w:hAnsi="Calibri" w:cs="Times New Roman"/>
              </w:rPr>
            </w:pPr>
            <w:r w:rsidRPr="007640FE">
              <w:rPr>
                <w:rFonts w:ascii="Calibri" w:eastAsia="Calibri" w:hAnsi="Calibri" w:cs="Times New Roman"/>
              </w:rPr>
              <w:t>a) papiery wartościowe emitowane, poręczone lub gwarantowane przez Skarb Państwa, Narodowy Bank Polski, jednostkę samorządu terytorialnego lub przez centralne władze publiczne lub bank centralny państwa członkowskiego, Europejski Bank Centralny, Unię Europejską lub Europejski Bank Inwestycyjny albo przez organizacje międzynarodowe, pod warunkiem że papiery emitowane, poręczone lub gwarantowane przez te organizacje międzynarodowe posiadają rating na poziomie inwestycyjnym nadany przez agencję ratingową uznaną przez Europejski Bank Centralny w swoich operacjach,</w:t>
            </w:r>
          </w:p>
          <w:p w14:paraId="3261F7B3" w14:textId="03034E0E" w:rsidR="007640FE" w:rsidRPr="007640FE" w:rsidRDefault="007640FE" w:rsidP="00B61EC6">
            <w:pPr>
              <w:spacing w:before="6" w:after="6" w:line="288" w:lineRule="auto"/>
              <w:rPr>
                <w:rFonts w:ascii="Calibri" w:eastAsia="Calibri" w:hAnsi="Calibri" w:cs="Times New Roman"/>
              </w:rPr>
            </w:pPr>
            <w:r w:rsidRPr="007640FE">
              <w:rPr>
                <w:rFonts w:ascii="Calibri" w:eastAsia="Calibri" w:hAnsi="Calibri" w:cs="Times New Roman"/>
              </w:rPr>
              <w:t xml:space="preserve">b) depozyty o terminie zapadalności nie dłuższym niż 180 dni w bankach krajowych lub instytucjach kredytowych w rozumieniu ustawy z 29 sierpnia 1997 r. </w:t>
            </w:r>
            <w:r w:rsidR="00F35C56">
              <w:rPr>
                <w:rFonts w:ascii="Calibri" w:eastAsia="Calibri" w:hAnsi="Calibri" w:cs="Times New Roman"/>
              </w:rPr>
              <w:t>–</w:t>
            </w:r>
            <w:r w:rsidRPr="007640FE">
              <w:rPr>
                <w:rFonts w:ascii="Calibri" w:eastAsia="Calibri" w:hAnsi="Calibri" w:cs="Times New Roman"/>
              </w:rPr>
              <w:t xml:space="preserve"> Prawo bankowe, pod warunkiem że te instytucje kredytowe posiadają rating na poziomie inwestycyjnym nadany przez agencję ratingową uznaną przez Europejski Bank Centralny w swoich operacjach;</w:t>
            </w:r>
          </w:p>
          <w:p w14:paraId="73685309" w14:textId="77777777" w:rsidR="007640FE" w:rsidRPr="007640FE" w:rsidRDefault="007640FE" w:rsidP="00B61EC6">
            <w:pPr>
              <w:spacing w:before="6" w:after="6" w:line="288" w:lineRule="auto"/>
              <w:rPr>
                <w:rFonts w:ascii="Calibri" w:eastAsia="Calibri" w:hAnsi="Calibri" w:cs="Times New Roman"/>
              </w:rPr>
            </w:pPr>
            <w:r w:rsidRPr="007640FE">
              <w:rPr>
                <w:rFonts w:ascii="Calibri" w:eastAsia="Calibri" w:hAnsi="Calibri" w:cs="Times New Roman"/>
              </w:rPr>
              <w:t>2) nie więcej niż 30% wartości aktywów w inne niż wymienione w pkt 1 instrumenty finansowe, przy czym nie więcej niż 10% wartości aktywów może być lokowane w instrumenty finansowe, które nie posiadają ratingu inwestycyjnego nadanego przez agencję ratingową uznaną przez Europejski Bank Centralny w swoich operacjach.</w:t>
            </w:r>
          </w:p>
        </w:tc>
        <w:tc>
          <w:tcPr>
            <w:tcW w:w="4531" w:type="dxa"/>
          </w:tcPr>
          <w:p w14:paraId="04466547" w14:textId="77777777" w:rsidR="007640FE" w:rsidRPr="007640FE" w:rsidRDefault="007640FE" w:rsidP="00B61EC6">
            <w:pPr>
              <w:spacing w:before="6" w:after="6" w:line="288" w:lineRule="auto"/>
              <w:rPr>
                <w:rFonts w:ascii="Calibri" w:eastAsia="Calibri" w:hAnsi="Calibri" w:cs="Times New Roman"/>
              </w:rPr>
            </w:pPr>
            <w:r w:rsidRPr="007640FE">
              <w:rPr>
                <w:rFonts w:ascii="Calibri" w:eastAsia="Calibri" w:hAnsi="Calibri" w:cs="Times New Roman"/>
              </w:rPr>
              <w:t>1) nie mniej niż 40% wartości aktywów w akcje, prawa do akcji, prawa poboru lub inne instrumenty udziałowe emitowane przez spółki publiczne w rozumieniu ustawy z 29 lipca 2005 r. o ofercie publicznej i warunkach wprowadzania instrumentów finansowych do zorganizowanego systemu obrotu oraz o spółkach publicznych, wchodzące w skład indeksu WIG20 lub instrumenty pochodne, dla których instrumentem bazowym są akcje tych spółek lub indeks WIG20;</w:t>
            </w:r>
          </w:p>
          <w:p w14:paraId="1BA80294" w14:textId="77777777" w:rsidR="007640FE" w:rsidRPr="007640FE" w:rsidRDefault="007640FE" w:rsidP="00B61EC6">
            <w:pPr>
              <w:spacing w:before="6" w:after="6" w:line="288" w:lineRule="auto"/>
              <w:rPr>
                <w:rFonts w:ascii="Calibri" w:eastAsia="Calibri" w:hAnsi="Calibri" w:cs="Times New Roman"/>
              </w:rPr>
            </w:pPr>
          </w:p>
          <w:p w14:paraId="17779A92" w14:textId="77777777" w:rsidR="007640FE" w:rsidRPr="007640FE" w:rsidRDefault="007640FE" w:rsidP="00B61EC6">
            <w:pPr>
              <w:spacing w:before="6" w:after="6" w:line="288" w:lineRule="auto"/>
              <w:rPr>
                <w:rFonts w:ascii="Calibri" w:eastAsia="Calibri" w:hAnsi="Calibri" w:cs="Times New Roman"/>
              </w:rPr>
            </w:pPr>
            <w:r w:rsidRPr="007640FE">
              <w:rPr>
                <w:rFonts w:ascii="Calibri" w:eastAsia="Calibri" w:hAnsi="Calibri" w:cs="Times New Roman"/>
              </w:rPr>
              <w:t>2) nie więcej niż 20% wartości aktywów w akcje, prawa do akcji, prawa poboru lub inne instrumenty udziałowe emitowane przez spółki publiczne wchodzące w skład indeksu mWIG40 lub instrumenty pochodne, dla których instrumentem bazowym są akcje tych spółek lub indeks mWIG40;</w:t>
            </w:r>
          </w:p>
          <w:p w14:paraId="62718C5C" w14:textId="77777777" w:rsidR="007640FE" w:rsidRPr="007640FE" w:rsidRDefault="007640FE" w:rsidP="00B61EC6">
            <w:pPr>
              <w:spacing w:before="6" w:after="6" w:line="288" w:lineRule="auto"/>
              <w:rPr>
                <w:rFonts w:ascii="Calibri" w:eastAsia="Calibri" w:hAnsi="Calibri" w:cs="Times New Roman"/>
              </w:rPr>
            </w:pPr>
          </w:p>
          <w:p w14:paraId="39227D8A" w14:textId="77777777" w:rsidR="007640FE" w:rsidRPr="007640FE" w:rsidRDefault="007640FE" w:rsidP="00B61EC6">
            <w:pPr>
              <w:spacing w:before="6" w:after="6" w:line="288" w:lineRule="auto"/>
              <w:rPr>
                <w:rFonts w:ascii="Calibri" w:eastAsia="Calibri" w:hAnsi="Calibri" w:cs="Times New Roman"/>
              </w:rPr>
            </w:pPr>
            <w:r w:rsidRPr="007640FE">
              <w:rPr>
                <w:rFonts w:ascii="Calibri" w:eastAsia="Calibri" w:hAnsi="Calibri" w:cs="Times New Roman"/>
              </w:rPr>
              <w:t xml:space="preserve">3) nie więcej niż 10% wartości aktywów w akcje, prawa do akcji, prawa poboru lub inne instrumenty udziałowe emitowane przez spółki publiczne notowane na Giełdzie Papierów Wartościowych S.A. w Warszawie inne niż wymienione w pkt 1 i 2 oraz spółki notowane na rynku zorganizowanym w Polsce oraz instrumenty pochodne, dla których instrumentem bazowym są akcje tych spółek lub indeksy rynków, na których są notowane, oraz w akcje, prawa do akcji, prawa poboru lub inne instrumenty udziałowe będące przedmiotem oferty publicznej, jeżeli warunki emisji lub pierwszej oferty publicznej zakładają złożenie wniosku o dopuszczenie do obrotu na Giełdzie Papierów Wartościowych S.A. w Warszawie, oraz gdy dopuszczenie do tego </w:t>
            </w:r>
            <w:r w:rsidRPr="007640FE">
              <w:rPr>
                <w:rFonts w:ascii="Calibri" w:eastAsia="Calibri" w:hAnsi="Calibri" w:cs="Times New Roman"/>
              </w:rPr>
              <w:lastRenderedPageBreak/>
              <w:t>obrotu jest zapewnione w okresie nie dłuższym niż rok od dnia, w którym po raz pierwszy nastąpi zaoferowanie tych papierów wartościowych;</w:t>
            </w:r>
          </w:p>
          <w:p w14:paraId="7B36E1FC" w14:textId="77777777" w:rsidR="007640FE" w:rsidRPr="007640FE" w:rsidRDefault="007640FE" w:rsidP="00B61EC6">
            <w:pPr>
              <w:spacing w:before="6" w:after="6" w:line="288" w:lineRule="auto"/>
              <w:rPr>
                <w:rFonts w:ascii="Calibri" w:eastAsia="Calibri" w:hAnsi="Calibri" w:cs="Times New Roman"/>
              </w:rPr>
            </w:pPr>
          </w:p>
          <w:p w14:paraId="03886C00" w14:textId="77777777" w:rsidR="007640FE" w:rsidRPr="007640FE" w:rsidRDefault="007640FE" w:rsidP="00B61EC6">
            <w:pPr>
              <w:spacing w:before="6" w:after="6" w:line="288" w:lineRule="auto"/>
              <w:rPr>
                <w:rFonts w:ascii="Calibri" w:eastAsia="Calibri" w:hAnsi="Calibri" w:cs="Times New Roman"/>
              </w:rPr>
            </w:pPr>
            <w:r w:rsidRPr="007640FE">
              <w:rPr>
                <w:rFonts w:ascii="Calibri" w:eastAsia="Calibri" w:hAnsi="Calibri" w:cs="Times New Roman"/>
              </w:rPr>
              <w:t>4) nie mniej niż 20% wartości aktywów w akcje, prawa do akcji, prawa poboru lub inne instrumenty udziałowe będące przedmiotem obrotu na rynku zorganizowanym w państwie należącym do OECD innym niż Polska lub instrumenty pochodne, dla których instrumentem bazowym są te instrumenty udziałowe lub indeksy tych instrumentów.</w:t>
            </w:r>
          </w:p>
        </w:tc>
      </w:tr>
    </w:tbl>
    <w:p w14:paraId="60248FA6" w14:textId="77777777" w:rsidR="007640FE" w:rsidRPr="007640FE" w:rsidRDefault="007640FE" w:rsidP="00B61EC6">
      <w:pPr>
        <w:spacing w:before="6" w:after="6" w:line="288" w:lineRule="auto"/>
        <w:rPr>
          <w:rFonts w:ascii="Calibri" w:eastAsia="Calibri" w:hAnsi="Calibri" w:cs="Times New Roman"/>
          <w:b/>
          <w:bCs/>
          <w:color w:val="FF0000"/>
        </w:rPr>
      </w:pPr>
    </w:p>
    <w:p w14:paraId="75A7CAF6" w14:textId="30D61501" w:rsidR="007640FE" w:rsidRDefault="007640FE" w:rsidP="00B61EC6">
      <w:pPr>
        <w:spacing w:before="6" w:after="6" w:line="288" w:lineRule="auto"/>
        <w:jc w:val="both"/>
        <w:rPr>
          <w:rFonts w:ascii="Calibri" w:eastAsia="Calibri" w:hAnsi="Calibri" w:cs="Times New Roman"/>
        </w:rPr>
      </w:pPr>
      <w:r w:rsidRPr="00AE0E22">
        <w:rPr>
          <w:rFonts w:ascii="Calibri" w:eastAsia="Calibri" w:hAnsi="Calibri" w:cs="Times New Roman"/>
        </w:rPr>
        <w:t xml:space="preserve">Polityka inwestycyjna funduszu zdefiniowanej daty uwzględnia konieczność ograniczania poziomu ryzyka inwestycyjnego w zależności od wieku uczestnika PPK </w:t>
      </w:r>
      <w:r w:rsidR="00F35C56">
        <w:rPr>
          <w:rFonts w:ascii="Calibri" w:eastAsia="Calibri" w:hAnsi="Calibri" w:cs="Times New Roman"/>
        </w:rPr>
        <w:t>–</w:t>
      </w:r>
      <w:r w:rsidR="005E2006">
        <w:rPr>
          <w:rFonts w:ascii="Calibri" w:eastAsia="Calibri" w:hAnsi="Calibri" w:cs="Times New Roman"/>
        </w:rPr>
        <w:t xml:space="preserve"> </w:t>
      </w:r>
      <w:r w:rsidRPr="00AE0E22">
        <w:rPr>
          <w:rFonts w:ascii="Calibri" w:eastAsia="Calibri" w:hAnsi="Calibri" w:cs="Times New Roman"/>
        </w:rPr>
        <w:t xml:space="preserve">w taki sposób, aby udziały części udziałowej i części dłużnej w wartości aktywów funduszu zdefiniowanej daty kształtowały się w sposób opisany </w:t>
      </w:r>
      <w:r w:rsidR="00AD0162">
        <w:rPr>
          <w:rFonts w:ascii="Calibri" w:eastAsia="Calibri" w:hAnsi="Calibri" w:cs="Times New Roman"/>
        </w:rPr>
        <w:t xml:space="preserve">w tabeli </w:t>
      </w:r>
      <w:r w:rsidRPr="00AE0E22">
        <w:rPr>
          <w:rFonts w:ascii="Calibri" w:eastAsia="Calibri" w:hAnsi="Calibri" w:cs="Times New Roman"/>
        </w:rPr>
        <w:t xml:space="preserve">poniżej. </w:t>
      </w:r>
    </w:p>
    <w:p w14:paraId="412242A4" w14:textId="77777777" w:rsidR="005E2006" w:rsidRPr="00AE0E22" w:rsidRDefault="005E2006" w:rsidP="00B61EC6">
      <w:pPr>
        <w:spacing w:before="6" w:after="6" w:line="288" w:lineRule="auto"/>
        <w:jc w:val="both"/>
        <w:rPr>
          <w:rFonts w:ascii="Calibri" w:eastAsia="Calibri" w:hAnsi="Calibri" w:cs="Times New Roman"/>
        </w:rPr>
      </w:pPr>
    </w:p>
    <w:tbl>
      <w:tblPr>
        <w:tblStyle w:val="Tabela-Siatka"/>
        <w:tblW w:w="0" w:type="auto"/>
        <w:tblLook w:val="04A0" w:firstRow="1" w:lastRow="0" w:firstColumn="1" w:lastColumn="0" w:noHBand="0" w:noVBand="1"/>
      </w:tblPr>
      <w:tblGrid>
        <w:gridCol w:w="4531"/>
        <w:gridCol w:w="4531"/>
      </w:tblGrid>
      <w:tr w:rsidR="007640FE" w:rsidRPr="007640FE" w14:paraId="221161C4" w14:textId="77777777" w:rsidTr="00917D71">
        <w:tc>
          <w:tcPr>
            <w:tcW w:w="9062" w:type="dxa"/>
            <w:gridSpan w:val="2"/>
          </w:tcPr>
          <w:p w14:paraId="5A637068" w14:textId="77777777" w:rsidR="007640FE" w:rsidRPr="007640FE" w:rsidRDefault="007640FE" w:rsidP="00B61EC6">
            <w:pPr>
              <w:spacing w:before="6" w:after="6" w:line="288" w:lineRule="auto"/>
              <w:jc w:val="center"/>
              <w:rPr>
                <w:rFonts w:ascii="Calibri" w:eastAsia="Calibri" w:hAnsi="Calibri" w:cs="Times New Roman"/>
                <w:b/>
                <w:bCs/>
              </w:rPr>
            </w:pPr>
            <w:r w:rsidRPr="007640FE">
              <w:rPr>
                <w:rFonts w:ascii="Calibri" w:eastAsia="Calibri" w:hAnsi="Calibri" w:cs="Times New Roman"/>
                <w:b/>
                <w:bCs/>
              </w:rPr>
              <w:t>Aktywa funduszu zdefiniowanej daty</w:t>
            </w:r>
          </w:p>
          <w:p w14:paraId="33DC3606" w14:textId="77777777" w:rsidR="007640FE" w:rsidRPr="007640FE" w:rsidRDefault="007640FE" w:rsidP="00B61EC6">
            <w:pPr>
              <w:spacing w:before="6" w:after="6" w:line="288" w:lineRule="auto"/>
              <w:jc w:val="center"/>
              <w:rPr>
                <w:rFonts w:ascii="Calibri" w:eastAsia="Calibri" w:hAnsi="Calibri" w:cs="Times New Roman"/>
                <w:b/>
                <w:bCs/>
                <w:color w:val="FF0000"/>
              </w:rPr>
            </w:pPr>
            <w:r w:rsidRPr="007640FE">
              <w:rPr>
                <w:rFonts w:ascii="Calibri" w:eastAsia="Calibri" w:hAnsi="Calibri" w:cs="Times New Roman"/>
                <w:b/>
                <w:bCs/>
              </w:rPr>
              <w:t>– zmiany dot. części udziałowej i części dłużnej</w:t>
            </w:r>
            <w:r w:rsidR="001D0A19">
              <w:rPr>
                <w:rFonts w:ascii="Calibri" w:eastAsia="Calibri" w:hAnsi="Calibri" w:cs="Times New Roman"/>
                <w:b/>
                <w:bCs/>
              </w:rPr>
              <w:t xml:space="preserve"> </w:t>
            </w:r>
          </w:p>
        </w:tc>
      </w:tr>
      <w:tr w:rsidR="007640FE" w:rsidRPr="007640FE" w14:paraId="73E0243A" w14:textId="77777777" w:rsidTr="00917D71">
        <w:tc>
          <w:tcPr>
            <w:tcW w:w="4531" w:type="dxa"/>
          </w:tcPr>
          <w:p w14:paraId="0FE07106" w14:textId="77777777" w:rsidR="007640FE" w:rsidRPr="007640FE" w:rsidRDefault="007640FE">
            <w:pPr>
              <w:numPr>
                <w:ilvl w:val="0"/>
                <w:numId w:val="15"/>
              </w:numPr>
              <w:spacing w:before="6" w:after="6" w:line="288" w:lineRule="auto"/>
              <w:contextualSpacing/>
              <w:rPr>
                <w:rFonts w:ascii="Calibri" w:eastAsia="Calibri" w:hAnsi="Calibri" w:cs="Times New Roman"/>
                <w:color w:val="FF0000"/>
              </w:rPr>
            </w:pPr>
            <w:r w:rsidRPr="007640FE">
              <w:rPr>
                <w:rFonts w:ascii="Calibri" w:eastAsia="Calibri" w:hAnsi="Calibri" w:cs="Times New Roman"/>
              </w:rPr>
              <w:t>począwszy od roku, w którym fundusz osiągnie swoją zdefiniowaną datę</w:t>
            </w:r>
          </w:p>
        </w:tc>
        <w:tc>
          <w:tcPr>
            <w:tcW w:w="4531" w:type="dxa"/>
          </w:tcPr>
          <w:p w14:paraId="305CBE56" w14:textId="77777777" w:rsidR="007640FE" w:rsidRPr="007640FE" w:rsidRDefault="007640FE">
            <w:pPr>
              <w:numPr>
                <w:ilvl w:val="0"/>
                <w:numId w:val="16"/>
              </w:numPr>
              <w:spacing w:before="6" w:after="6" w:line="288" w:lineRule="auto"/>
              <w:contextualSpacing/>
              <w:rPr>
                <w:rFonts w:ascii="Calibri" w:eastAsia="Calibri" w:hAnsi="Calibri" w:cs="Times New Roman"/>
              </w:rPr>
            </w:pPr>
            <w:r w:rsidRPr="007640FE">
              <w:rPr>
                <w:rFonts w:ascii="Calibri" w:eastAsia="Calibri" w:hAnsi="Calibri" w:cs="Times New Roman"/>
              </w:rPr>
              <w:t>udział części udziałowej nie może być większy niż 15%,</w:t>
            </w:r>
          </w:p>
          <w:p w14:paraId="70FEA3D5" w14:textId="77777777" w:rsidR="007640FE" w:rsidRPr="007640FE" w:rsidRDefault="007640FE">
            <w:pPr>
              <w:numPr>
                <w:ilvl w:val="0"/>
                <w:numId w:val="16"/>
              </w:numPr>
              <w:spacing w:before="6" w:after="6" w:line="288" w:lineRule="auto"/>
              <w:contextualSpacing/>
              <w:rPr>
                <w:rFonts w:ascii="Calibri" w:eastAsia="Calibri" w:hAnsi="Calibri" w:cs="Times New Roman"/>
              </w:rPr>
            </w:pPr>
            <w:r w:rsidRPr="007640FE">
              <w:rPr>
                <w:rFonts w:ascii="Calibri" w:eastAsia="Calibri" w:hAnsi="Calibri" w:cs="Times New Roman"/>
              </w:rPr>
              <w:t>udział części dłużnej nie może być mniejszy niż 85% wartości aktywów funduszu</w:t>
            </w:r>
          </w:p>
        </w:tc>
      </w:tr>
      <w:tr w:rsidR="007640FE" w:rsidRPr="007640FE" w14:paraId="6E401108" w14:textId="77777777" w:rsidTr="00917D71">
        <w:trPr>
          <w:trHeight w:val="2820"/>
        </w:trPr>
        <w:tc>
          <w:tcPr>
            <w:tcW w:w="4531" w:type="dxa"/>
          </w:tcPr>
          <w:p w14:paraId="78DABD07" w14:textId="77777777" w:rsidR="007640FE" w:rsidRPr="007640FE" w:rsidRDefault="007640FE">
            <w:pPr>
              <w:numPr>
                <w:ilvl w:val="0"/>
                <w:numId w:val="15"/>
              </w:numPr>
              <w:spacing w:before="6" w:after="6" w:line="288" w:lineRule="auto"/>
              <w:contextualSpacing/>
              <w:rPr>
                <w:rFonts w:ascii="Calibri" w:eastAsia="Calibri" w:hAnsi="Calibri" w:cs="Times New Roman"/>
                <w:color w:val="FF0000"/>
              </w:rPr>
            </w:pPr>
            <w:r w:rsidRPr="007640FE">
              <w:rPr>
                <w:rFonts w:ascii="Calibri" w:eastAsia="Calibri" w:hAnsi="Calibri" w:cs="Times New Roman"/>
              </w:rPr>
              <w:t>w okresie 5 lat poprzedzających rok, w którym fundusz osiągnie swoją zdefiniowaną datę</w:t>
            </w:r>
          </w:p>
        </w:tc>
        <w:tc>
          <w:tcPr>
            <w:tcW w:w="4531" w:type="dxa"/>
          </w:tcPr>
          <w:p w14:paraId="7A92AE66" w14:textId="77777777" w:rsidR="007640FE" w:rsidRPr="007640FE" w:rsidRDefault="007640FE">
            <w:pPr>
              <w:numPr>
                <w:ilvl w:val="0"/>
                <w:numId w:val="17"/>
              </w:numPr>
              <w:spacing w:before="6" w:after="6" w:line="288" w:lineRule="auto"/>
              <w:contextualSpacing/>
              <w:rPr>
                <w:rFonts w:ascii="Calibri" w:eastAsia="Calibri" w:hAnsi="Calibri" w:cs="Times New Roman"/>
              </w:rPr>
            </w:pPr>
            <w:r w:rsidRPr="007640FE">
              <w:rPr>
                <w:rFonts w:ascii="Calibri" w:eastAsia="Calibri" w:hAnsi="Calibri" w:cs="Times New Roman"/>
              </w:rPr>
              <w:t xml:space="preserve">udział części udziałowej nie może być mniejszy niż 10% oraz nie może być większy niż 30% wartości aktywów funduszu, </w:t>
            </w:r>
          </w:p>
          <w:p w14:paraId="68397ECE" w14:textId="77777777" w:rsidR="007640FE" w:rsidRPr="007640FE" w:rsidRDefault="007640FE">
            <w:pPr>
              <w:numPr>
                <w:ilvl w:val="0"/>
                <w:numId w:val="17"/>
              </w:numPr>
              <w:spacing w:before="6" w:after="6" w:line="288" w:lineRule="auto"/>
              <w:contextualSpacing/>
              <w:rPr>
                <w:rFonts w:ascii="Calibri" w:eastAsia="Calibri" w:hAnsi="Calibri" w:cs="Times New Roman"/>
              </w:rPr>
            </w:pPr>
            <w:r w:rsidRPr="007640FE">
              <w:rPr>
                <w:rFonts w:ascii="Calibri" w:eastAsia="Calibri" w:hAnsi="Calibri" w:cs="Times New Roman"/>
              </w:rPr>
              <w:t>udział części dłużnej nie może być mniejszy niż 70% oraz większy niż 90% wartości aktywów funduszu</w:t>
            </w:r>
          </w:p>
          <w:p w14:paraId="00C29981" w14:textId="77777777" w:rsidR="007640FE" w:rsidRPr="007640FE" w:rsidRDefault="007640FE" w:rsidP="00AA7036">
            <w:pPr>
              <w:spacing w:before="6" w:after="6" w:line="288" w:lineRule="auto"/>
              <w:rPr>
                <w:rFonts w:ascii="Calibri" w:eastAsia="Calibri" w:hAnsi="Calibri" w:cs="Times New Roman"/>
              </w:rPr>
            </w:pPr>
          </w:p>
          <w:p w14:paraId="44879639" w14:textId="77777777" w:rsidR="007640FE" w:rsidRPr="007640FE" w:rsidRDefault="007640FE" w:rsidP="00AA7036">
            <w:pPr>
              <w:spacing w:before="6" w:after="6" w:line="288" w:lineRule="auto"/>
              <w:rPr>
                <w:rFonts w:ascii="Calibri" w:eastAsia="Calibri" w:hAnsi="Calibri" w:cs="Times New Roman"/>
                <w:u w:val="single"/>
              </w:rPr>
            </w:pPr>
            <w:r w:rsidRPr="007640FE">
              <w:rPr>
                <w:rFonts w:ascii="Calibri" w:eastAsia="Calibri" w:hAnsi="Calibri" w:cs="Times New Roman"/>
                <w:u w:val="single"/>
              </w:rPr>
              <w:t>Uwaga:</w:t>
            </w:r>
          </w:p>
          <w:p w14:paraId="209AD091" w14:textId="77777777" w:rsidR="007640FE" w:rsidRPr="007640FE" w:rsidRDefault="007640FE" w:rsidP="00AA7036">
            <w:pPr>
              <w:spacing w:before="6" w:after="6" w:line="288" w:lineRule="auto"/>
              <w:rPr>
                <w:rFonts w:ascii="Calibri" w:eastAsia="Calibri" w:hAnsi="Calibri" w:cs="Times New Roman"/>
                <w:color w:val="FF0000"/>
              </w:rPr>
            </w:pPr>
            <w:r w:rsidRPr="007640FE">
              <w:rPr>
                <w:rFonts w:ascii="Calibri" w:eastAsia="Calibri" w:hAnsi="Calibri" w:cs="Times New Roman"/>
              </w:rPr>
              <w:t>W trakcie trwania tego okresu udział części udziałowej musi być stopniowo zmniejszany na rzecz części dłużnej.</w:t>
            </w:r>
          </w:p>
        </w:tc>
      </w:tr>
      <w:tr w:rsidR="007640FE" w:rsidRPr="007640FE" w14:paraId="4515524E" w14:textId="77777777" w:rsidTr="00917D71">
        <w:tc>
          <w:tcPr>
            <w:tcW w:w="4531" w:type="dxa"/>
          </w:tcPr>
          <w:p w14:paraId="2ADA4F40" w14:textId="77777777" w:rsidR="007640FE" w:rsidRPr="007640FE" w:rsidRDefault="007640FE">
            <w:pPr>
              <w:numPr>
                <w:ilvl w:val="0"/>
                <w:numId w:val="15"/>
              </w:numPr>
              <w:spacing w:before="6" w:after="6" w:line="288" w:lineRule="auto"/>
              <w:contextualSpacing/>
              <w:rPr>
                <w:rFonts w:ascii="Calibri" w:eastAsia="Calibri" w:hAnsi="Calibri" w:cs="Times New Roman"/>
                <w:color w:val="FF0000"/>
              </w:rPr>
            </w:pPr>
            <w:r w:rsidRPr="007640FE">
              <w:rPr>
                <w:rFonts w:ascii="Calibri" w:eastAsia="Calibri" w:hAnsi="Calibri" w:cs="Times New Roman"/>
              </w:rPr>
              <w:t>w okresie 5 lat poprzedzających datę, o której mowa w pkt 2</w:t>
            </w:r>
          </w:p>
        </w:tc>
        <w:tc>
          <w:tcPr>
            <w:tcW w:w="4531" w:type="dxa"/>
          </w:tcPr>
          <w:p w14:paraId="141F2118" w14:textId="77777777" w:rsidR="007640FE" w:rsidRPr="007640FE" w:rsidRDefault="007640FE">
            <w:pPr>
              <w:numPr>
                <w:ilvl w:val="0"/>
                <w:numId w:val="18"/>
              </w:numPr>
              <w:spacing w:before="6" w:after="6" w:line="288" w:lineRule="auto"/>
              <w:contextualSpacing/>
              <w:rPr>
                <w:rFonts w:ascii="Calibri" w:eastAsia="Calibri" w:hAnsi="Calibri" w:cs="Times New Roman"/>
              </w:rPr>
            </w:pPr>
            <w:r w:rsidRPr="007640FE">
              <w:rPr>
                <w:rFonts w:ascii="Calibri" w:eastAsia="Calibri" w:hAnsi="Calibri" w:cs="Times New Roman"/>
              </w:rPr>
              <w:t xml:space="preserve">udział części udziałowej nie może być mniejszy niż 25% oraz nie może być większy niż 50% wartości aktywów funduszu, </w:t>
            </w:r>
          </w:p>
          <w:p w14:paraId="09455D34" w14:textId="77777777" w:rsidR="007640FE" w:rsidRPr="007640FE" w:rsidRDefault="007640FE">
            <w:pPr>
              <w:numPr>
                <w:ilvl w:val="0"/>
                <w:numId w:val="18"/>
              </w:numPr>
              <w:spacing w:before="6" w:after="6" w:line="288" w:lineRule="auto"/>
              <w:contextualSpacing/>
              <w:rPr>
                <w:rFonts w:ascii="Calibri" w:eastAsia="Calibri" w:hAnsi="Calibri" w:cs="Times New Roman"/>
              </w:rPr>
            </w:pPr>
            <w:r w:rsidRPr="007640FE">
              <w:rPr>
                <w:rFonts w:ascii="Calibri" w:eastAsia="Calibri" w:hAnsi="Calibri" w:cs="Times New Roman"/>
              </w:rPr>
              <w:lastRenderedPageBreak/>
              <w:t>udział części dłużnej nie może być mniejszy niż 50% oraz większy niż 75% wartości aktywów funduszu</w:t>
            </w:r>
          </w:p>
        </w:tc>
      </w:tr>
      <w:tr w:rsidR="007640FE" w:rsidRPr="007640FE" w14:paraId="48E53850" w14:textId="77777777" w:rsidTr="00917D71">
        <w:tc>
          <w:tcPr>
            <w:tcW w:w="4531" w:type="dxa"/>
          </w:tcPr>
          <w:p w14:paraId="5E035FF0" w14:textId="77777777" w:rsidR="007640FE" w:rsidRPr="007640FE" w:rsidRDefault="007640FE">
            <w:pPr>
              <w:numPr>
                <w:ilvl w:val="0"/>
                <w:numId w:val="15"/>
              </w:numPr>
              <w:spacing w:before="6" w:after="6" w:line="288" w:lineRule="auto"/>
              <w:contextualSpacing/>
              <w:rPr>
                <w:rFonts w:ascii="Calibri" w:eastAsia="Calibri" w:hAnsi="Calibri" w:cs="Times New Roman"/>
                <w:color w:val="FF0000"/>
              </w:rPr>
            </w:pPr>
            <w:r w:rsidRPr="007640FE">
              <w:rPr>
                <w:rFonts w:ascii="Calibri" w:eastAsia="Calibri" w:hAnsi="Calibri" w:cs="Times New Roman"/>
              </w:rPr>
              <w:lastRenderedPageBreak/>
              <w:t>w okresie 10 lat poprzedzających datę, o której mowa w pkt 3</w:t>
            </w:r>
          </w:p>
        </w:tc>
        <w:tc>
          <w:tcPr>
            <w:tcW w:w="4531" w:type="dxa"/>
          </w:tcPr>
          <w:p w14:paraId="42845FB7" w14:textId="77777777" w:rsidR="007640FE" w:rsidRPr="007640FE" w:rsidRDefault="007640FE">
            <w:pPr>
              <w:numPr>
                <w:ilvl w:val="0"/>
                <w:numId w:val="19"/>
              </w:numPr>
              <w:spacing w:before="6" w:after="6" w:line="288" w:lineRule="auto"/>
              <w:contextualSpacing/>
              <w:rPr>
                <w:rFonts w:ascii="Calibri" w:eastAsia="Calibri" w:hAnsi="Calibri" w:cs="Times New Roman"/>
              </w:rPr>
            </w:pPr>
            <w:r w:rsidRPr="007640FE">
              <w:rPr>
                <w:rFonts w:ascii="Calibri" w:eastAsia="Calibri" w:hAnsi="Calibri" w:cs="Times New Roman"/>
              </w:rPr>
              <w:t xml:space="preserve">udział części udziałowej nie może być mniejszy niż 40% oraz nie może być większy niż 70% wartości aktywów funduszu, </w:t>
            </w:r>
          </w:p>
          <w:p w14:paraId="6B58CE0A" w14:textId="77777777" w:rsidR="007640FE" w:rsidRPr="007640FE" w:rsidRDefault="007640FE">
            <w:pPr>
              <w:numPr>
                <w:ilvl w:val="0"/>
                <w:numId w:val="19"/>
              </w:numPr>
              <w:spacing w:before="6" w:after="6" w:line="288" w:lineRule="auto"/>
              <w:contextualSpacing/>
              <w:rPr>
                <w:rFonts w:ascii="Calibri" w:eastAsia="Calibri" w:hAnsi="Calibri" w:cs="Times New Roman"/>
              </w:rPr>
            </w:pPr>
            <w:r w:rsidRPr="007640FE">
              <w:rPr>
                <w:rFonts w:ascii="Calibri" w:eastAsia="Calibri" w:hAnsi="Calibri" w:cs="Times New Roman"/>
              </w:rPr>
              <w:t>udział części dłużnej nie może być mniejszy niż 30% oraz większy niż 60% wartości aktywów funduszu</w:t>
            </w:r>
          </w:p>
        </w:tc>
      </w:tr>
      <w:tr w:rsidR="007640FE" w:rsidRPr="007640FE" w14:paraId="6E99553A" w14:textId="77777777" w:rsidTr="00917D71">
        <w:tc>
          <w:tcPr>
            <w:tcW w:w="4531" w:type="dxa"/>
          </w:tcPr>
          <w:p w14:paraId="1CAE3772" w14:textId="77777777" w:rsidR="007640FE" w:rsidRPr="007640FE" w:rsidRDefault="007640FE">
            <w:pPr>
              <w:numPr>
                <w:ilvl w:val="0"/>
                <w:numId w:val="15"/>
              </w:numPr>
              <w:spacing w:before="6" w:after="6" w:line="288" w:lineRule="auto"/>
              <w:contextualSpacing/>
              <w:rPr>
                <w:rFonts w:ascii="Calibri" w:eastAsia="Calibri" w:hAnsi="Calibri" w:cs="Times New Roman"/>
                <w:color w:val="FF0000"/>
              </w:rPr>
            </w:pPr>
            <w:r w:rsidRPr="007640FE">
              <w:rPr>
                <w:rFonts w:ascii="Calibri" w:eastAsia="Calibri" w:hAnsi="Calibri" w:cs="Times New Roman"/>
              </w:rPr>
              <w:t>począwszy od dnia utworzenia funduszu do dnia rozpoczęcia okresu, o którym mowa w pkt 4</w:t>
            </w:r>
          </w:p>
        </w:tc>
        <w:tc>
          <w:tcPr>
            <w:tcW w:w="4531" w:type="dxa"/>
          </w:tcPr>
          <w:p w14:paraId="6291D6D8" w14:textId="77777777" w:rsidR="007640FE" w:rsidRPr="007640FE" w:rsidRDefault="007640FE">
            <w:pPr>
              <w:numPr>
                <w:ilvl w:val="0"/>
                <w:numId w:val="20"/>
              </w:numPr>
              <w:spacing w:before="6" w:after="6" w:line="288" w:lineRule="auto"/>
              <w:contextualSpacing/>
              <w:rPr>
                <w:rFonts w:ascii="Calibri" w:eastAsia="Calibri" w:hAnsi="Calibri" w:cs="Times New Roman"/>
              </w:rPr>
            </w:pPr>
            <w:r w:rsidRPr="007640FE">
              <w:rPr>
                <w:rFonts w:ascii="Calibri" w:eastAsia="Calibri" w:hAnsi="Calibri" w:cs="Times New Roman"/>
              </w:rPr>
              <w:t xml:space="preserve">udział części udziałowej nie może być mniejszy niż 60% oraz nie może być większy niż 80% wartości aktywów funduszu, </w:t>
            </w:r>
          </w:p>
          <w:p w14:paraId="0FEC12C9" w14:textId="77777777" w:rsidR="007640FE" w:rsidRPr="007640FE" w:rsidRDefault="007640FE">
            <w:pPr>
              <w:numPr>
                <w:ilvl w:val="0"/>
                <w:numId w:val="20"/>
              </w:numPr>
              <w:spacing w:before="6" w:after="6" w:line="288" w:lineRule="auto"/>
              <w:contextualSpacing/>
              <w:rPr>
                <w:rFonts w:ascii="Calibri" w:eastAsia="Calibri" w:hAnsi="Calibri" w:cs="Times New Roman"/>
              </w:rPr>
            </w:pPr>
            <w:r w:rsidRPr="007640FE">
              <w:rPr>
                <w:rFonts w:ascii="Calibri" w:eastAsia="Calibri" w:hAnsi="Calibri" w:cs="Times New Roman"/>
              </w:rPr>
              <w:t>udział części dłużnej nie może być mniejszy niż 20% i większy niż 40% wartości aktywów funduszu</w:t>
            </w:r>
          </w:p>
        </w:tc>
      </w:tr>
    </w:tbl>
    <w:p w14:paraId="0B67725B" w14:textId="77777777" w:rsidR="007640FE" w:rsidRPr="007640FE" w:rsidRDefault="007640FE" w:rsidP="00D26CDC">
      <w:pPr>
        <w:spacing w:before="6" w:after="6" w:line="288" w:lineRule="auto"/>
        <w:rPr>
          <w:rFonts w:ascii="Calibri" w:eastAsia="Calibri" w:hAnsi="Calibri" w:cs="Times New Roman"/>
          <w:b/>
          <w:bCs/>
          <w:color w:val="FF0000"/>
        </w:rPr>
      </w:pPr>
    </w:p>
    <w:p w14:paraId="1A9AD046" w14:textId="3448C446" w:rsidR="00F47AD9" w:rsidRDefault="007640FE" w:rsidP="00E73FA1">
      <w:pPr>
        <w:spacing w:before="6" w:after="6" w:line="288" w:lineRule="auto"/>
        <w:jc w:val="both"/>
        <w:rPr>
          <w:rFonts w:ascii="Calibri" w:eastAsia="Calibri" w:hAnsi="Calibri" w:cs="Times New Roman"/>
        </w:rPr>
      </w:pPr>
      <w:r w:rsidRPr="007640FE">
        <w:rPr>
          <w:rFonts w:ascii="Calibri" w:eastAsia="Calibri" w:hAnsi="Calibri" w:cs="Times New Roman"/>
        </w:rPr>
        <w:t xml:space="preserve">Każdy uczestnik PPK zostaje automatycznie przypisany do funduszu </w:t>
      </w:r>
      <w:r w:rsidR="00FB5B33">
        <w:rPr>
          <w:rFonts w:ascii="Calibri" w:eastAsia="Calibri" w:hAnsi="Calibri" w:cs="Times New Roman"/>
        </w:rPr>
        <w:t xml:space="preserve">zdefiniowanej daty </w:t>
      </w:r>
      <w:r w:rsidRPr="007640FE">
        <w:rPr>
          <w:rFonts w:ascii="Calibri" w:eastAsia="Calibri" w:hAnsi="Calibri" w:cs="Times New Roman"/>
        </w:rPr>
        <w:t>w zależności od sw</w:t>
      </w:r>
      <w:r w:rsidR="009740F9">
        <w:rPr>
          <w:rFonts w:ascii="Calibri" w:eastAsia="Calibri" w:hAnsi="Calibri" w:cs="Times New Roman"/>
        </w:rPr>
        <w:t>oj</w:t>
      </w:r>
      <w:r w:rsidRPr="007640FE">
        <w:rPr>
          <w:rFonts w:ascii="Calibri" w:eastAsia="Calibri" w:hAnsi="Calibri" w:cs="Times New Roman"/>
        </w:rPr>
        <w:t xml:space="preserve">ej daty urodzenia. Uczestnik PPK </w:t>
      </w:r>
      <w:r w:rsidR="00F35C56">
        <w:rPr>
          <w:rFonts w:ascii="Calibri" w:eastAsia="Calibri" w:hAnsi="Calibri" w:cs="Times New Roman"/>
        </w:rPr>
        <w:t>–</w:t>
      </w:r>
      <w:r w:rsidRPr="007640FE">
        <w:rPr>
          <w:rFonts w:ascii="Calibri" w:eastAsia="Calibri" w:hAnsi="Calibri" w:cs="Times New Roman"/>
        </w:rPr>
        <w:t xml:space="preserve"> jeśli nie podejmie sam innej decyzji </w:t>
      </w:r>
      <w:r w:rsidR="00F35C56">
        <w:rPr>
          <w:rFonts w:ascii="Calibri" w:eastAsia="Calibri" w:hAnsi="Calibri" w:cs="Times New Roman"/>
        </w:rPr>
        <w:t>–</w:t>
      </w:r>
      <w:r w:rsidRPr="007640FE">
        <w:rPr>
          <w:rFonts w:ascii="Calibri" w:eastAsia="Calibri" w:hAnsi="Calibri" w:cs="Times New Roman"/>
        </w:rPr>
        <w:t xml:space="preserve"> inwestuje z jednym funduszem przez cały okres gromadzenia środków, a fundusz ten, w miarę zbliżania się uczestnika do</w:t>
      </w:r>
      <w:r w:rsidR="000776B7">
        <w:rPr>
          <w:rFonts w:ascii="Calibri" w:eastAsia="Calibri" w:hAnsi="Calibri" w:cs="Times New Roman"/>
        </w:rPr>
        <w:t> </w:t>
      </w:r>
      <w:r w:rsidRPr="007640FE">
        <w:rPr>
          <w:rFonts w:ascii="Calibri" w:eastAsia="Calibri" w:hAnsi="Calibri" w:cs="Times New Roman"/>
        </w:rPr>
        <w:t xml:space="preserve">60. roku życia, ma obowiązek dostosowania polityki inwestycyjnej w taki sposób, aby zapewniała właściwe bezpieczeństwo powierzonych środków. </w:t>
      </w:r>
      <w:r w:rsidRPr="00AE0E22">
        <w:rPr>
          <w:rFonts w:ascii="Calibri" w:eastAsia="Calibri" w:hAnsi="Calibri" w:cs="Times New Roman"/>
        </w:rPr>
        <w:t xml:space="preserve">Uczestnik PPK może zdecydować, że dokonywane za niego bieżące wpłaty do PPK będą wpływały do jednego lub kilku funduszy zdefiniowanej daty innych niż właściwy dla jego wieku. </w:t>
      </w:r>
      <w:r w:rsidR="0030576B">
        <w:rPr>
          <w:rFonts w:ascii="Calibri" w:eastAsia="Calibri" w:hAnsi="Calibri" w:cs="Times New Roman"/>
        </w:rPr>
        <w:t xml:space="preserve">Przykładowo, </w:t>
      </w:r>
      <w:r w:rsidR="00B6144C">
        <w:rPr>
          <w:rFonts w:ascii="Calibri" w:eastAsia="Calibri" w:hAnsi="Calibri" w:cs="Times New Roman"/>
        </w:rPr>
        <w:t>uczestnik PPK urodzon</w:t>
      </w:r>
      <w:r w:rsidR="009460EE">
        <w:rPr>
          <w:rFonts w:ascii="Calibri" w:eastAsia="Calibri" w:hAnsi="Calibri" w:cs="Times New Roman"/>
        </w:rPr>
        <w:t>y</w:t>
      </w:r>
      <w:r w:rsidR="00B6144C">
        <w:rPr>
          <w:rFonts w:ascii="Calibri" w:eastAsia="Calibri" w:hAnsi="Calibri" w:cs="Times New Roman"/>
        </w:rPr>
        <w:t xml:space="preserve"> w </w:t>
      </w:r>
      <w:r w:rsidR="00727B55">
        <w:rPr>
          <w:rFonts w:ascii="Calibri" w:eastAsia="Calibri" w:hAnsi="Calibri" w:cs="Times New Roman"/>
        </w:rPr>
        <w:t>19</w:t>
      </w:r>
      <w:r w:rsidR="007D0849">
        <w:rPr>
          <w:rFonts w:ascii="Calibri" w:eastAsia="Calibri" w:hAnsi="Calibri" w:cs="Times New Roman"/>
        </w:rPr>
        <w:t>7</w:t>
      </w:r>
      <w:r w:rsidR="00727B55">
        <w:rPr>
          <w:rFonts w:ascii="Calibri" w:eastAsia="Calibri" w:hAnsi="Calibri" w:cs="Times New Roman"/>
        </w:rPr>
        <w:t>0</w:t>
      </w:r>
      <w:r w:rsidR="003F6DBE">
        <w:rPr>
          <w:rFonts w:ascii="Calibri" w:eastAsia="Calibri" w:hAnsi="Calibri" w:cs="Times New Roman"/>
        </w:rPr>
        <w:t xml:space="preserve"> roku</w:t>
      </w:r>
      <w:r w:rsidR="00496368">
        <w:rPr>
          <w:rFonts w:ascii="Calibri" w:eastAsia="Calibri" w:hAnsi="Calibri" w:cs="Times New Roman"/>
        </w:rPr>
        <w:t xml:space="preserve"> został </w:t>
      </w:r>
      <w:r w:rsidR="00021BA0">
        <w:rPr>
          <w:rFonts w:ascii="Calibri" w:eastAsia="Calibri" w:hAnsi="Calibri" w:cs="Times New Roman"/>
        </w:rPr>
        <w:t xml:space="preserve">automatycznie </w:t>
      </w:r>
      <w:r w:rsidR="00496368">
        <w:rPr>
          <w:rFonts w:ascii="Calibri" w:eastAsia="Calibri" w:hAnsi="Calibri" w:cs="Times New Roman"/>
        </w:rPr>
        <w:t>przypisany do FZD</w:t>
      </w:r>
      <w:r w:rsidR="009B3EC3">
        <w:rPr>
          <w:rFonts w:ascii="Calibri" w:eastAsia="Calibri" w:hAnsi="Calibri" w:cs="Times New Roman"/>
        </w:rPr>
        <w:t xml:space="preserve"> 20</w:t>
      </w:r>
      <w:r w:rsidR="007D0849">
        <w:rPr>
          <w:rFonts w:ascii="Calibri" w:eastAsia="Calibri" w:hAnsi="Calibri" w:cs="Times New Roman"/>
        </w:rPr>
        <w:t>3</w:t>
      </w:r>
      <w:r w:rsidR="009B3EC3">
        <w:rPr>
          <w:rFonts w:ascii="Calibri" w:eastAsia="Calibri" w:hAnsi="Calibri" w:cs="Times New Roman"/>
        </w:rPr>
        <w:t>0</w:t>
      </w:r>
      <w:r w:rsidR="00224A59">
        <w:rPr>
          <w:rFonts w:ascii="Calibri" w:eastAsia="Calibri" w:hAnsi="Calibri" w:cs="Times New Roman"/>
        </w:rPr>
        <w:t>, a</w:t>
      </w:r>
      <w:r w:rsidR="00377492">
        <w:rPr>
          <w:rFonts w:ascii="Calibri" w:eastAsia="Calibri" w:hAnsi="Calibri" w:cs="Times New Roman"/>
        </w:rPr>
        <w:t xml:space="preserve"> uczestnik PPK urodzon</w:t>
      </w:r>
      <w:r w:rsidR="00496368">
        <w:rPr>
          <w:rFonts w:ascii="Calibri" w:eastAsia="Calibri" w:hAnsi="Calibri" w:cs="Times New Roman"/>
        </w:rPr>
        <w:t>y</w:t>
      </w:r>
      <w:r w:rsidR="00377492">
        <w:rPr>
          <w:rFonts w:ascii="Calibri" w:eastAsia="Calibri" w:hAnsi="Calibri" w:cs="Times New Roman"/>
        </w:rPr>
        <w:t xml:space="preserve"> w </w:t>
      </w:r>
      <w:r w:rsidR="00727B55">
        <w:rPr>
          <w:rFonts w:ascii="Calibri" w:eastAsia="Calibri" w:hAnsi="Calibri" w:cs="Times New Roman"/>
        </w:rPr>
        <w:t>2000</w:t>
      </w:r>
      <w:r w:rsidR="00377492">
        <w:rPr>
          <w:rFonts w:ascii="Calibri" w:eastAsia="Calibri" w:hAnsi="Calibri" w:cs="Times New Roman"/>
        </w:rPr>
        <w:t xml:space="preserve"> roku </w:t>
      </w:r>
      <w:r w:rsidR="00914DF0">
        <w:rPr>
          <w:rFonts w:ascii="Calibri" w:eastAsia="Calibri" w:hAnsi="Calibri" w:cs="Times New Roman"/>
        </w:rPr>
        <w:t xml:space="preserve">– </w:t>
      </w:r>
      <w:r w:rsidR="00496368">
        <w:rPr>
          <w:rFonts w:ascii="Calibri" w:eastAsia="Calibri" w:hAnsi="Calibri" w:cs="Times New Roman"/>
        </w:rPr>
        <w:t>do FZD</w:t>
      </w:r>
      <w:r w:rsidR="00914DF0">
        <w:rPr>
          <w:rFonts w:ascii="Calibri" w:eastAsia="Calibri" w:hAnsi="Calibri" w:cs="Times New Roman"/>
        </w:rPr>
        <w:t xml:space="preserve"> 20</w:t>
      </w:r>
      <w:r w:rsidR="00727B55">
        <w:rPr>
          <w:rFonts w:ascii="Calibri" w:eastAsia="Calibri" w:hAnsi="Calibri" w:cs="Times New Roman"/>
        </w:rPr>
        <w:t>6</w:t>
      </w:r>
      <w:r w:rsidR="00914DF0">
        <w:rPr>
          <w:rFonts w:ascii="Calibri" w:eastAsia="Calibri" w:hAnsi="Calibri" w:cs="Times New Roman"/>
        </w:rPr>
        <w:t xml:space="preserve">0. </w:t>
      </w:r>
      <w:r w:rsidR="005C6FF6">
        <w:rPr>
          <w:rFonts w:ascii="Calibri" w:eastAsia="Calibri" w:hAnsi="Calibri" w:cs="Times New Roman"/>
        </w:rPr>
        <w:t>Dla</w:t>
      </w:r>
      <w:r w:rsidR="00B51E48">
        <w:rPr>
          <w:rFonts w:ascii="Calibri" w:eastAsia="Calibri" w:hAnsi="Calibri" w:cs="Times New Roman"/>
        </w:rPr>
        <w:t> </w:t>
      </w:r>
      <w:r w:rsidR="005C6FF6">
        <w:rPr>
          <w:rFonts w:ascii="Calibri" w:eastAsia="Calibri" w:hAnsi="Calibri" w:cs="Times New Roman"/>
        </w:rPr>
        <w:t>u</w:t>
      </w:r>
      <w:r w:rsidR="006E469B">
        <w:rPr>
          <w:rFonts w:ascii="Calibri" w:eastAsia="Calibri" w:hAnsi="Calibri" w:cs="Times New Roman"/>
        </w:rPr>
        <w:t>czestnik</w:t>
      </w:r>
      <w:r w:rsidR="005C6FF6">
        <w:rPr>
          <w:rFonts w:ascii="Calibri" w:eastAsia="Calibri" w:hAnsi="Calibri" w:cs="Times New Roman"/>
        </w:rPr>
        <w:t>a</w:t>
      </w:r>
      <w:r w:rsidR="006E469B">
        <w:rPr>
          <w:rFonts w:ascii="Calibri" w:eastAsia="Calibri" w:hAnsi="Calibri" w:cs="Times New Roman"/>
        </w:rPr>
        <w:t xml:space="preserve"> PPK urodzon</w:t>
      </w:r>
      <w:r w:rsidR="005C6FF6">
        <w:rPr>
          <w:rFonts w:ascii="Calibri" w:eastAsia="Calibri" w:hAnsi="Calibri" w:cs="Times New Roman"/>
        </w:rPr>
        <w:t>ego</w:t>
      </w:r>
      <w:r w:rsidR="006E469B">
        <w:rPr>
          <w:rFonts w:ascii="Calibri" w:eastAsia="Calibri" w:hAnsi="Calibri" w:cs="Times New Roman"/>
        </w:rPr>
        <w:t xml:space="preserve"> w 2000 roku</w:t>
      </w:r>
      <w:r w:rsidR="00A3453E">
        <w:rPr>
          <w:rFonts w:ascii="Calibri" w:eastAsia="Calibri" w:hAnsi="Calibri" w:cs="Times New Roman"/>
        </w:rPr>
        <w:t xml:space="preserve"> ważne jest </w:t>
      </w:r>
      <w:r w:rsidR="00E07BE2">
        <w:rPr>
          <w:rFonts w:ascii="Calibri" w:eastAsia="Calibri" w:hAnsi="Calibri" w:cs="Times New Roman"/>
        </w:rPr>
        <w:t xml:space="preserve">jednak </w:t>
      </w:r>
      <w:r w:rsidR="006E2AC2">
        <w:rPr>
          <w:rFonts w:ascii="Calibri" w:eastAsia="Calibri" w:hAnsi="Calibri" w:cs="Times New Roman"/>
        </w:rPr>
        <w:t>przede wszystkim</w:t>
      </w:r>
      <w:r w:rsidR="00A3453E">
        <w:rPr>
          <w:rFonts w:ascii="Calibri" w:eastAsia="Calibri" w:hAnsi="Calibri" w:cs="Times New Roman"/>
        </w:rPr>
        <w:t xml:space="preserve"> bezpieczeństwo</w:t>
      </w:r>
      <w:r w:rsidR="000D35C6">
        <w:rPr>
          <w:rFonts w:ascii="Calibri" w:eastAsia="Calibri" w:hAnsi="Calibri" w:cs="Times New Roman"/>
        </w:rPr>
        <w:t xml:space="preserve"> </w:t>
      </w:r>
      <w:r w:rsidR="00E07BE2">
        <w:rPr>
          <w:rFonts w:ascii="Calibri" w:eastAsia="Calibri" w:hAnsi="Calibri" w:cs="Times New Roman"/>
        </w:rPr>
        <w:t xml:space="preserve">gromadzonych </w:t>
      </w:r>
      <w:r w:rsidR="00A3453E">
        <w:rPr>
          <w:rFonts w:ascii="Calibri" w:eastAsia="Calibri" w:hAnsi="Calibri" w:cs="Times New Roman"/>
        </w:rPr>
        <w:t>środków</w:t>
      </w:r>
      <w:r w:rsidR="00403409">
        <w:rPr>
          <w:rFonts w:ascii="Calibri" w:eastAsia="Calibri" w:hAnsi="Calibri" w:cs="Times New Roman"/>
        </w:rPr>
        <w:t xml:space="preserve"> –</w:t>
      </w:r>
      <w:r w:rsidR="00F7691F">
        <w:rPr>
          <w:rFonts w:ascii="Calibri" w:eastAsia="Calibri" w:hAnsi="Calibri" w:cs="Times New Roman"/>
        </w:rPr>
        <w:t xml:space="preserve"> </w:t>
      </w:r>
      <w:r w:rsidR="00A8468A">
        <w:rPr>
          <w:rFonts w:ascii="Calibri" w:eastAsia="Calibri" w:hAnsi="Calibri" w:cs="Times New Roman"/>
        </w:rPr>
        <w:t xml:space="preserve">odpowiada mu </w:t>
      </w:r>
      <w:r w:rsidR="0062740F">
        <w:rPr>
          <w:rFonts w:ascii="Calibri" w:eastAsia="Calibri" w:hAnsi="Calibri" w:cs="Times New Roman"/>
        </w:rPr>
        <w:t>skład portfela</w:t>
      </w:r>
      <w:r w:rsidR="00A8468A">
        <w:rPr>
          <w:rFonts w:ascii="Calibri" w:eastAsia="Calibri" w:hAnsi="Calibri" w:cs="Times New Roman"/>
        </w:rPr>
        <w:t xml:space="preserve"> FZD 20</w:t>
      </w:r>
      <w:r w:rsidR="00860AC6">
        <w:rPr>
          <w:rFonts w:ascii="Calibri" w:eastAsia="Calibri" w:hAnsi="Calibri" w:cs="Times New Roman"/>
        </w:rPr>
        <w:t>3</w:t>
      </w:r>
      <w:r w:rsidR="00A8468A">
        <w:rPr>
          <w:rFonts w:ascii="Calibri" w:eastAsia="Calibri" w:hAnsi="Calibri" w:cs="Times New Roman"/>
        </w:rPr>
        <w:t>0</w:t>
      </w:r>
      <w:r w:rsidR="00621035">
        <w:rPr>
          <w:rFonts w:ascii="Calibri" w:eastAsia="Calibri" w:hAnsi="Calibri" w:cs="Times New Roman"/>
        </w:rPr>
        <w:t xml:space="preserve"> (z mniejszym udziałem części</w:t>
      </w:r>
      <w:r w:rsidR="006E2AC2">
        <w:rPr>
          <w:rFonts w:ascii="Calibri" w:eastAsia="Calibri" w:hAnsi="Calibri" w:cs="Times New Roman"/>
        </w:rPr>
        <w:t xml:space="preserve"> udziałowej</w:t>
      </w:r>
      <w:r w:rsidR="008F08CF">
        <w:rPr>
          <w:rFonts w:ascii="Calibri" w:eastAsia="Calibri" w:hAnsi="Calibri" w:cs="Times New Roman"/>
        </w:rPr>
        <w:t xml:space="preserve"> </w:t>
      </w:r>
      <w:r w:rsidR="00AD7704">
        <w:rPr>
          <w:rFonts w:ascii="Calibri" w:eastAsia="Calibri" w:hAnsi="Calibri" w:cs="Times New Roman"/>
        </w:rPr>
        <w:t>oraz</w:t>
      </w:r>
      <w:r w:rsidR="00524349">
        <w:rPr>
          <w:rFonts w:ascii="Calibri" w:eastAsia="Calibri" w:hAnsi="Calibri" w:cs="Times New Roman"/>
        </w:rPr>
        <w:t xml:space="preserve"> większym </w:t>
      </w:r>
      <w:r w:rsidR="008F08CF">
        <w:rPr>
          <w:rFonts w:ascii="Calibri" w:eastAsia="Calibri" w:hAnsi="Calibri" w:cs="Times New Roman"/>
        </w:rPr>
        <w:t xml:space="preserve">udziałem </w:t>
      </w:r>
      <w:r w:rsidR="00524349">
        <w:rPr>
          <w:rFonts w:ascii="Calibri" w:eastAsia="Calibri" w:hAnsi="Calibri" w:cs="Times New Roman"/>
        </w:rPr>
        <w:t>części dłużnej niż</w:t>
      </w:r>
      <w:r w:rsidR="007E76B4">
        <w:rPr>
          <w:rFonts w:ascii="Calibri" w:eastAsia="Calibri" w:hAnsi="Calibri" w:cs="Times New Roman"/>
        </w:rPr>
        <w:t xml:space="preserve"> w </w:t>
      </w:r>
      <w:r w:rsidR="00524349">
        <w:rPr>
          <w:rFonts w:ascii="Calibri" w:eastAsia="Calibri" w:hAnsi="Calibri" w:cs="Times New Roman"/>
        </w:rPr>
        <w:t>przypadku FZD 2060).</w:t>
      </w:r>
      <w:r w:rsidR="00621035">
        <w:rPr>
          <w:rFonts w:ascii="Calibri" w:eastAsia="Calibri" w:hAnsi="Calibri" w:cs="Times New Roman"/>
        </w:rPr>
        <w:t xml:space="preserve"> </w:t>
      </w:r>
      <w:r w:rsidR="007A5E44">
        <w:rPr>
          <w:rFonts w:ascii="Calibri" w:eastAsia="Calibri" w:hAnsi="Calibri" w:cs="Times New Roman"/>
        </w:rPr>
        <w:t>Uczestnik ten m</w:t>
      </w:r>
      <w:r w:rsidR="00AE0196">
        <w:rPr>
          <w:rFonts w:ascii="Calibri" w:eastAsia="Calibri" w:hAnsi="Calibri" w:cs="Times New Roman"/>
        </w:rPr>
        <w:t xml:space="preserve">oże </w:t>
      </w:r>
      <w:r w:rsidR="00F07B1E">
        <w:rPr>
          <w:rFonts w:ascii="Calibri" w:eastAsia="Calibri" w:hAnsi="Calibri" w:cs="Times New Roman"/>
        </w:rPr>
        <w:t>zatem</w:t>
      </w:r>
      <w:r w:rsidR="00221C87">
        <w:rPr>
          <w:rFonts w:ascii="Calibri" w:eastAsia="Calibri" w:hAnsi="Calibri" w:cs="Times New Roman"/>
        </w:rPr>
        <w:t xml:space="preserve"> </w:t>
      </w:r>
      <w:r w:rsidR="0001420B">
        <w:rPr>
          <w:rFonts w:ascii="Calibri" w:eastAsia="Calibri" w:hAnsi="Calibri" w:cs="Times New Roman"/>
        </w:rPr>
        <w:t xml:space="preserve">złożyć dyspozycję, </w:t>
      </w:r>
      <w:r w:rsidR="00C528C7">
        <w:rPr>
          <w:rFonts w:ascii="Calibri" w:eastAsia="Calibri" w:hAnsi="Calibri" w:cs="Times New Roman"/>
        </w:rPr>
        <w:t>zgodnie z którą</w:t>
      </w:r>
      <w:r w:rsidR="0001420B">
        <w:rPr>
          <w:rFonts w:ascii="Calibri" w:eastAsia="Calibri" w:hAnsi="Calibri" w:cs="Times New Roman"/>
        </w:rPr>
        <w:t xml:space="preserve"> jego bieżące wpłaty do PPK </w:t>
      </w:r>
      <w:r w:rsidR="00C528C7">
        <w:rPr>
          <w:rFonts w:ascii="Calibri" w:eastAsia="Calibri" w:hAnsi="Calibri" w:cs="Times New Roman"/>
        </w:rPr>
        <w:t xml:space="preserve">będą </w:t>
      </w:r>
      <w:r w:rsidR="0001420B">
        <w:rPr>
          <w:rFonts w:ascii="Calibri" w:eastAsia="Calibri" w:hAnsi="Calibri" w:cs="Times New Roman"/>
        </w:rPr>
        <w:t>wpł</w:t>
      </w:r>
      <w:r w:rsidR="00252B9C">
        <w:rPr>
          <w:rFonts w:ascii="Calibri" w:eastAsia="Calibri" w:hAnsi="Calibri" w:cs="Times New Roman"/>
        </w:rPr>
        <w:t xml:space="preserve">ywały </w:t>
      </w:r>
      <w:r w:rsidR="00C528C7">
        <w:rPr>
          <w:rFonts w:ascii="Calibri" w:eastAsia="Calibri" w:hAnsi="Calibri" w:cs="Times New Roman"/>
        </w:rPr>
        <w:t xml:space="preserve">do </w:t>
      </w:r>
      <w:r w:rsidR="000B733D">
        <w:rPr>
          <w:rFonts w:ascii="Calibri" w:eastAsia="Calibri" w:hAnsi="Calibri" w:cs="Times New Roman"/>
        </w:rPr>
        <w:t xml:space="preserve">FZD </w:t>
      </w:r>
      <w:r w:rsidR="008B4F4F">
        <w:rPr>
          <w:rFonts w:ascii="Calibri" w:eastAsia="Calibri" w:hAnsi="Calibri" w:cs="Times New Roman"/>
        </w:rPr>
        <w:t>20</w:t>
      </w:r>
      <w:r w:rsidR="007A5E44">
        <w:rPr>
          <w:rFonts w:ascii="Calibri" w:eastAsia="Calibri" w:hAnsi="Calibri" w:cs="Times New Roman"/>
        </w:rPr>
        <w:t>3</w:t>
      </w:r>
      <w:r w:rsidR="008B4F4F">
        <w:rPr>
          <w:rFonts w:ascii="Calibri" w:eastAsia="Calibri" w:hAnsi="Calibri" w:cs="Times New Roman"/>
        </w:rPr>
        <w:t>0</w:t>
      </w:r>
      <w:r w:rsidR="000A3CEB">
        <w:rPr>
          <w:rFonts w:ascii="Calibri" w:eastAsia="Calibri" w:hAnsi="Calibri" w:cs="Times New Roman"/>
        </w:rPr>
        <w:t>. Natomiast uczestnik PPK</w:t>
      </w:r>
      <w:r w:rsidR="00DF365E">
        <w:rPr>
          <w:rFonts w:ascii="Calibri" w:eastAsia="Calibri" w:hAnsi="Calibri" w:cs="Times New Roman"/>
        </w:rPr>
        <w:t xml:space="preserve"> urodzony w 1970 roku</w:t>
      </w:r>
      <w:r w:rsidR="00516366">
        <w:rPr>
          <w:rFonts w:ascii="Calibri" w:eastAsia="Calibri" w:hAnsi="Calibri" w:cs="Times New Roman"/>
        </w:rPr>
        <w:t xml:space="preserve">, któremu </w:t>
      </w:r>
      <w:r w:rsidR="00562860">
        <w:rPr>
          <w:rFonts w:ascii="Calibri" w:eastAsia="Calibri" w:hAnsi="Calibri" w:cs="Times New Roman"/>
        </w:rPr>
        <w:t xml:space="preserve">bardziej </w:t>
      </w:r>
      <w:r w:rsidR="00516366">
        <w:rPr>
          <w:rFonts w:ascii="Calibri" w:eastAsia="Calibri" w:hAnsi="Calibri" w:cs="Times New Roman"/>
        </w:rPr>
        <w:t xml:space="preserve">odpowiada </w:t>
      </w:r>
      <w:r w:rsidR="000F76CA">
        <w:rPr>
          <w:rFonts w:ascii="Calibri" w:eastAsia="Calibri" w:hAnsi="Calibri" w:cs="Times New Roman"/>
        </w:rPr>
        <w:t>skład po</w:t>
      </w:r>
      <w:r w:rsidR="006F6AD3">
        <w:rPr>
          <w:rFonts w:ascii="Calibri" w:eastAsia="Calibri" w:hAnsi="Calibri" w:cs="Times New Roman"/>
        </w:rPr>
        <w:t xml:space="preserve">rtfela i </w:t>
      </w:r>
      <w:r w:rsidR="00516366">
        <w:rPr>
          <w:rFonts w:ascii="Calibri" w:eastAsia="Calibri" w:hAnsi="Calibri" w:cs="Times New Roman"/>
        </w:rPr>
        <w:t>polityka inwestycyjna FZD 2060,</w:t>
      </w:r>
      <w:r w:rsidR="004546FA">
        <w:rPr>
          <w:rFonts w:ascii="Calibri" w:eastAsia="Calibri" w:hAnsi="Calibri" w:cs="Times New Roman"/>
        </w:rPr>
        <w:t xml:space="preserve"> </w:t>
      </w:r>
      <w:r w:rsidR="00175A8C">
        <w:rPr>
          <w:rFonts w:ascii="Calibri" w:eastAsia="Calibri" w:hAnsi="Calibri" w:cs="Times New Roman"/>
        </w:rPr>
        <w:t xml:space="preserve">może złożyć dyspozycję, zgodnie z którą </w:t>
      </w:r>
      <w:r w:rsidR="0051087E">
        <w:rPr>
          <w:rFonts w:ascii="Calibri" w:eastAsia="Calibri" w:hAnsi="Calibri" w:cs="Times New Roman"/>
        </w:rPr>
        <w:t xml:space="preserve">jego bieżące wpłaty do PPK </w:t>
      </w:r>
      <w:r w:rsidR="00D67960">
        <w:rPr>
          <w:rFonts w:ascii="Calibri" w:eastAsia="Calibri" w:hAnsi="Calibri" w:cs="Times New Roman"/>
        </w:rPr>
        <w:t>będą wpływać do FZD 2060.</w:t>
      </w:r>
      <w:r w:rsidR="009B3EC3">
        <w:rPr>
          <w:rFonts w:ascii="Calibri" w:eastAsia="Calibri" w:hAnsi="Calibri" w:cs="Times New Roman"/>
        </w:rPr>
        <w:t xml:space="preserve"> </w:t>
      </w:r>
    </w:p>
    <w:p w14:paraId="4034BE49" w14:textId="02B652FF" w:rsidR="000C627B" w:rsidRDefault="007640FE" w:rsidP="00E73FA1">
      <w:pPr>
        <w:spacing w:before="6" w:after="6" w:line="288" w:lineRule="auto"/>
        <w:jc w:val="both"/>
        <w:rPr>
          <w:rFonts w:ascii="Calibri" w:eastAsia="Calibri" w:hAnsi="Calibri" w:cs="Times New Roman"/>
        </w:rPr>
      </w:pPr>
      <w:r w:rsidRPr="00AE0E22">
        <w:rPr>
          <w:rFonts w:ascii="Calibri" w:eastAsia="Calibri" w:hAnsi="Calibri" w:cs="Times New Roman"/>
        </w:rPr>
        <w:t>Uczestnik PPK może także złożyć instytucji finansowej wniosek o dokonanie konwersji (czyli</w:t>
      </w:r>
      <w:r w:rsidR="000776B7">
        <w:rPr>
          <w:rFonts w:ascii="Calibri" w:eastAsia="Calibri" w:hAnsi="Calibri" w:cs="Times New Roman"/>
        </w:rPr>
        <w:t> </w:t>
      </w:r>
      <w:r w:rsidRPr="00AE0E22">
        <w:rPr>
          <w:rFonts w:ascii="Calibri" w:eastAsia="Calibri" w:hAnsi="Calibri" w:cs="Times New Roman"/>
        </w:rPr>
        <w:t>przeniesienie środków pomiędzy funduszami inwestycyjnymi, subfunduszami wydzielonymi w</w:t>
      </w:r>
      <w:r w:rsidR="000776B7">
        <w:rPr>
          <w:rFonts w:ascii="Calibri" w:eastAsia="Calibri" w:hAnsi="Calibri" w:cs="Times New Roman"/>
        </w:rPr>
        <w:t> </w:t>
      </w:r>
      <w:r w:rsidRPr="00AE0E22">
        <w:rPr>
          <w:rFonts w:ascii="Calibri" w:eastAsia="Calibri" w:hAnsi="Calibri" w:cs="Times New Roman"/>
        </w:rPr>
        <w:t xml:space="preserve">różnych funduszach inwestycyjnych bądź funduszami emerytalnymi – zarządzanymi przez ten sam podmiot zarządzający) lub zamiany (czyli przeniesienie środków pomiędzy subfunduszami wydzielonymi w tym samym funduszu inwestycyjnym). Wpłata do jednego </w:t>
      </w:r>
      <w:r w:rsidRPr="003928A0">
        <w:rPr>
          <w:rFonts w:ascii="Calibri" w:eastAsia="Calibri" w:hAnsi="Calibri" w:cs="Times New Roman"/>
        </w:rPr>
        <w:t>funduszu lub subfunduszu powinna stanowić kwotę odpowiadającą co najmniej 10% środków zgromadzonych w PPK.</w:t>
      </w:r>
    </w:p>
    <w:p w14:paraId="4274BA7B" w14:textId="77777777" w:rsidR="00AE0307" w:rsidRPr="00D26CDC" w:rsidRDefault="00AE0307" w:rsidP="00D26CDC">
      <w:pPr>
        <w:spacing w:before="6" w:after="6" w:line="288" w:lineRule="auto"/>
      </w:pPr>
    </w:p>
    <w:p w14:paraId="1322D0DC" w14:textId="77777777" w:rsidR="007640FE" w:rsidRPr="006F2530" w:rsidRDefault="007640FE">
      <w:pPr>
        <w:pStyle w:val="Nagwek3"/>
        <w:numPr>
          <w:ilvl w:val="1"/>
          <w:numId w:val="24"/>
        </w:numPr>
        <w:spacing w:before="6" w:after="6" w:line="288" w:lineRule="auto"/>
        <w:jc w:val="both"/>
      </w:pPr>
      <w:bookmarkStart w:id="65" w:name="_Toc121828628"/>
      <w:r w:rsidRPr="006F2530">
        <w:t>Wynagrodzenie za zarządzanie</w:t>
      </w:r>
      <w:bookmarkEnd w:id="65"/>
      <w:r w:rsidRPr="006F2530">
        <w:t xml:space="preserve"> </w:t>
      </w:r>
    </w:p>
    <w:p w14:paraId="39B34909" w14:textId="25C0CCB8" w:rsidR="00E952EA" w:rsidRDefault="007640FE" w:rsidP="004131C6">
      <w:pPr>
        <w:spacing w:before="6" w:after="6" w:line="288" w:lineRule="auto"/>
        <w:jc w:val="both"/>
        <w:rPr>
          <w:rFonts w:ascii="Calibri" w:eastAsia="Calibri" w:hAnsi="Calibri" w:cs="Times New Roman"/>
        </w:rPr>
      </w:pPr>
      <w:r w:rsidRPr="003928A0">
        <w:rPr>
          <w:rFonts w:ascii="Calibri" w:eastAsia="Calibri" w:hAnsi="Calibri" w:cs="Times New Roman"/>
        </w:rPr>
        <w:t>Ustawowo ograniczony został poziom wynagrodzenia przysługującego TFI, PTE, PrTE lub zakładowi ubezpieczeń za zarządzanie środkami zgromadzonymi w PPK.</w:t>
      </w:r>
      <w:r w:rsidRPr="007640FE">
        <w:rPr>
          <w:rFonts w:ascii="Calibri" w:eastAsia="Calibri" w:hAnsi="Calibri" w:cs="Times New Roman"/>
        </w:rPr>
        <w:t xml:space="preserve"> </w:t>
      </w:r>
      <w:r w:rsidR="00E952EA" w:rsidRPr="00E952EA">
        <w:rPr>
          <w:rFonts w:ascii="Calibri" w:eastAsia="Calibri" w:hAnsi="Calibri" w:cs="Times New Roman"/>
        </w:rPr>
        <w:t xml:space="preserve">Określenie w ustawie o PPK limitu </w:t>
      </w:r>
      <w:r w:rsidR="00E952EA" w:rsidRPr="00E952EA">
        <w:rPr>
          <w:rFonts w:ascii="Calibri" w:eastAsia="Calibri" w:hAnsi="Calibri" w:cs="Times New Roman"/>
        </w:rPr>
        <w:lastRenderedPageBreak/>
        <w:t xml:space="preserve">wynagrodzenia za </w:t>
      </w:r>
      <w:r w:rsidR="003B425E" w:rsidRPr="00E952EA">
        <w:rPr>
          <w:rFonts w:ascii="Calibri" w:eastAsia="Calibri" w:hAnsi="Calibri" w:cs="Times New Roman"/>
        </w:rPr>
        <w:t>zarządzani</w:t>
      </w:r>
      <w:r w:rsidR="003B425E">
        <w:rPr>
          <w:rFonts w:ascii="Calibri" w:eastAsia="Calibri" w:hAnsi="Calibri" w:cs="Times New Roman"/>
        </w:rPr>
        <w:t>e</w:t>
      </w:r>
      <w:r w:rsidR="003B425E" w:rsidRPr="00E952EA">
        <w:rPr>
          <w:rFonts w:ascii="Calibri" w:eastAsia="Calibri" w:hAnsi="Calibri" w:cs="Times New Roman"/>
        </w:rPr>
        <w:t xml:space="preserve"> </w:t>
      </w:r>
      <w:r w:rsidR="00E952EA" w:rsidRPr="00E952EA">
        <w:rPr>
          <w:rFonts w:ascii="Calibri" w:eastAsia="Calibri" w:hAnsi="Calibri" w:cs="Times New Roman"/>
        </w:rPr>
        <w:t>było spowodowane m.in. doświadczeniami związanymi z</w:t>
      </w:r>
      <w:r w:rsidR="00F45903">
        <w:rPr>
          <w:rFonts w:ascii="Calibri" w:eastAsia="Calibri" w:hAnsi="Calibri" w:cs="Times New Roman"/>
        </w:rPr>
        <w:t> </w:t>
      </w:r>
      <w:r w:rsidR="00E952EA" w:rsidRPr="00E952EA">
        <w:rPr>
          <w:rFonts w:ascii="Calibri" w:eastAsia="Calibri" w:hAnsi="Calibri" w:cs="Times New Roman"/>
        </w:rPr>
        <w:t>funkcjonowaniem otwartych funduszy emerytalnych – pierwotnie wysokość pobieranych przez OFE opłat od składek nie była limitowana, co spowodowało konieczność późniejszego modyfikowania przepisów</w:t>
      </w:r>
      <w:r w:rsidR="00336470">
        <w:rPr>
          <w:rFonts w:ascii="Calibri" w:eastAsia="Calibri" w:hAnsi="Calibri" w:cs="Times New Roman"/>
        </w:rPr>
        <w:t>,</w:t>
      </w:r>
      <w:r w:rsidR="00E952EA" w:rsidRPr="00E952EA">
        <w:rPr>
          <w:rFonts w:ascii="Calibri" w:eastAsia="Calibri" w:hAnsi="Calibri" w:cs="Times New Roman"/>
        </w:rPr>
        <w:t xml:space="preserve"> w celu ochrony interesów członków OFE. </w:t>
      </w:r>
    </w:p>
    <w:p w14:paraId="2E05B231" w14:textId="2A633157" w:rsidR="007640FE" w:rsidRDefault="00DB7C98" w:rsidP="004131C6">
      <w:pPr>
        <w:spacing w:before="6" w:after="6" w:line="288" w:lineRule="auto"/>
        <w:jc w:val="both"/>
        <w:rPr>
          <w:rFonts w:ascii="Calibri" w:eastAsia="Calibri" w:hAnsi="Calibri" w:cs="Times New Roman"/>
        </w:rPr>
      </w:pPr>
      <w:r>
        <w:rPr>
          <w:rFonts w:ascii="Calibri" w:eastAsia="Calibri" w:hAnsi="Calibri" w:cs="Times New Roman"/>
        </w:rPr>
        <w:t>W przypadku PPK o</w:t>
      </w:r>
      <w:r w:rsidR="007640FE" w:rsidRPr="007640FE">
        <w:rPr>
          <w:rFonts w:ascii="Calibri" w:eastAsia="Calibri" w:hAnsi="Calibri" w:cs="Times New Roman"/>
        </w:rPr>
        <w:t>bowiązują m.in. następujące zasady: opłata za zarządzanie nie może być wyższa niż 0,5% wartości aktywów netto funduszu w skali roku, a</w:t>
      </w:r>
      <w:r w:rsidR="00352C53">
        <w:rPr>
          <w:rFonts w:ascii="Calibri" w:eastAsia="Calibri" w:hAnsi="Calibri" w:cs="Times New Roman"/>
        </w:rPr>
        <w:t> </w:t>
      </w:r>
      <w:r w:rsidR="007640FE" w:rsidRPr="007640FE">
        <w:rPr>
          <w:rFonts w:ascii="Calibri" w:eastAsia="Calibri" w:hAnsi="Calibri" w:cs="Times New Roman"/>
        </w:rPr>
        <w:t>wynagrodzenie za osiągnięty wynik nie może być wyższe niż 0,1% wartości aktywów netto funduszu w skali roku – pod warunkiem realizacji dodatniej stopy zwrotu, osiągnięcia w danym roku stopy zwrotu przewyższającej stopę referencyjną oraz osiągnięcia na ostatni dzień wyceny w listopadzie w danym roku stopy zwrotu na</w:t>
      </w:r>
      <w:r w:rsidR="000776B7">
        <w:rPr>
          <w:rFonts w:ascii="Calibri" w:eastAsia="Calibri" w:hAnsi="Calibri" w:cs="Times New Roman"/>
        </w:rPr>
        <w:t> </w:t>
      </w:r>
      <w:r w:rsidR="007640FE" w:rsidRPr="007640FE">
        <w:rPr>
          <w:rFonts w:ascii="Calibri" w:eastAsia="Calibri" w:hAnsi="Calibri" w:cs="Times New Roman"/>
        </w:rPr>
        <w:t>poziomie nie</w:t>
      </w:r>
      <w:r w:rsidR="000776B7">
        <w:rPr>
          <w:rFonts w:ascii="Calibri" w:eastAsia="Calibri" w:hAnsi="Calibri" w:cs="Times New Roman"/>
        </w:rPr>
        <w:t> </w:t>
      </w:r>
      <w:r w:rsidR="007640FE" w:rsidRPr="007640FE">
        <w:rPr>
          <w:rFonts w:ascii="Calibri" w:eastAsia="Calibri" w:hAnsi="Calibri" w:cs="Times New Roman"/>
        </w:rPr>
        <w:t xml:space="preserve">niższym niż 75% najwyższych stóp zwrotu funduszy tej samej zdefiniowanej daty. </w:t>
      </w:r>
      <w:r w:rsidR="007640FE" w:rsidRPr="003928A0">
        <w:rPr>
          <w:rFonts w:ascii="Calibri" w:eastAsia="Calibri" w:hAnsi="Calibri" w:cs="Times New Roman"/>
        </w:rPr>
        <w:t>Przepis</w:t>
      </w:r>
      <w:r w:rsidR="00D73EF5">
        <w:rPr>
          <w:rFonts w:ascii="Calibri" w:eastAsia="Calibri" w:hAnsi="Calibri" w:cs="Times New Roman"/>
        </w:rPr>
        <w:t>ów</w:t>
      </w:r>
      <w:r w:rsidR="007640FE" w:rsidRPr="003928A0">
        <w:rPr>
          <w:rFonts w:ascii="Calibri" w:eastAsia="Calibri" w:hAnsi="Calibri" w:cs="Times New Roman"/>
        </w:rPr>
        <w:t xml:space="preserve"> dot. wynagrodzenia za osiągnięty wynik nie stosuje się w okresie do końca roku kalendarzowego, w którym upływa termin 2 lat od dnia utworzenia funduszu inwestycyjnego, funduszu emerytalnego lub subfunduszu</w:t>
      </w:r>
      <w:r w:rsidR="007640FE" w:rsidRPr="001E0ECE">
        <w:rPr>
          <w:rFonts w:ascii="Calibri" w:eastAsia="Calibri" w:hAnsi="Calibri" w:cs="Times New Roman"/>
        </w:rPr>
        <w:t>.</w:t>
      </w:r>
      <w:r w:rsidR="007640FE" w:rsidRPr="007640FE">
        <w:rPr>
          <w:rFonts w:ascii="Calibri" w:eastAsia="Calibri" w:hAnsi="Calibri" w:cs="Times New Roman"/>
        </w:rPr>
        <w:t xml:space="preserve"> Osiągnięcie jak najlepszych wyników inwestycji leży zatem w</w:t>
      </w:r>
      <w:r w:rsidR="00352C53">
        <w:rPr>
          <w:rFonts w:ascii="Calibri" w:eastAsia="Calibri" w:hAnsi="Calibri" w:cs="Times New Roman"/>
        </w:rPr>
        <w:t> </w:t>
      </w:r>
      <w:r w:rsidR="007640FE" w:rsidRPr="007640FE">
        <w:rPr>
          <w:rFonts w:ascii="Calibri" w:eastAsia="Calibri" w:hAnsi="Calibri" w:cs="Times New Roman"/>
        </w:rPr>
        <w:t>interesie podmiotów zarządzających. Obecnie średnia opłata za zarządzanie PPK wynosi 0,34%.</w:t>
      </w:r>
    </w:p>
    <w:p w14:paraId="2B91C610" w14:textId="7FB16636" w:rsidR="00116771" w:rsidRPr="007640FE" w:rsidRDefault="001E3244" w:rsidP="004131C6">
      <w:pPr>
        <w:spacing w:before="6" w:after="6" w:line="288" w:lineRule="auto"/>
        <w:jc w:val="both"/>
        <w:rPr>
          <w:rFonts w:ascii="Calibri" w:eastAsia="Calibri" w:hAnsi="Calibri" w:cs="Times New Roman"/>
        </w:rPr>
      </w:pPr>
      <w:r w:rsidRPr="001E3244">
        <w:rPr>
          <w:rFonts w:ascii="Calibri" w:eastAsia="Calibri" w:hAnsi="Calibri" w:cs="Times New Roman"/>
        </w:rPr>
        <w:t>T</w:t>
      </w:r>
      <w:r>
        <w:rPr>
          <w:rFonts w:ascii="Calibri" w:eastAsia="Calibri" w:hAnsi="Calibri" w:cs="Times New Roman"/>
        </w:rPr>
        <w:t>FI</w:t>
      </w:r>
      <w:r w:rsidRPr="001E3244">
        <w:rPr>
          <w:rFonts w:ascii="Calibri" w:eastAsia="Calibri" w:hAnsi="Calibri" w:cs="Times New Roman"/>
        </w:rPr>
        <w:t xml:space="preserve">, PTE, </w:t>
      </w:r>
      <w:r>
        <w:rPr>
          <w:rFonts w:ascii="Calibri" w:eastAsia="Calibri" w:hAnsi="Calibri" w:cs="Times New Roman"/>
        </w:rPr>
        <w:t>PrTE</w:t>
      </w:r>
      <w:r w:rsidRPr="001E3244">
        <w:rPr>
          <w:rFonts w:ascii="Calibri" w:eastAsia="Calibri" w:hAnsi="Calibri" w:cs="Times New Roman"/>
        </w:rPr>
        <w:t xml:space="preserve"> lub zakład ubezpieczeń może pobierać wynagrodzenie</w:t>
      </w:r>
      <w:r>
        <w:rPr>
          <w:rFonts w:ascii="Calibri" w:eastAsia="Calibri" w:hAnsi="Calibri" w:cs="Times New Roman"/>
        </w:rPr>
        <w:t xml:space="preserve"> za zarządzanie</w:t>
      </w:r>
      <w:r w:rsidRPr="001E3244">
        <w:rPr>
          <w:rFonts w:ascii="Calibri" w:eastAsia="Calibri" w:hAnsi="Calibri" w:cs="Times New Roman"/>
        </w:rPr>
        <w:t xml:space="preserve"> tylko od tej części aktywów netto funduszy inwestycyjnych, funduszy emerytalnych lub subfunduszy zarządzanych przez</w:t>
      </w:r>
      <w:r w:rsidR="000776B7">
        <w:rPr>
          <w:rFonts w:ascii="Calibri" w:eastAsia="Calibri" w:hAnsi="Calibri" w:cs="Times New Roman"/>
        </w:rPr>
        <w:t> </w:t>
      </w:r>
      <w:r w:rsidRPr="001E3244">
        <w:rPr>
          <w:rFonts w:ascii="Calibri" w:eastAsia="Calibri" w:hAnsi="Calibri" w:cs="Times New Roman"/>
        </w:rPr>
        <w:t xml:space="preserve">to samo </w:t>
      </w:r>
      <w:r>
        <w:rPr>
          <w:rFonts w:ascii="Calibri" w:eastAsia="Calibri" w:hAnsi="Calibri" w:cs="Times New Roman"/>
        </w:rPr>
        <w:t>TFI</w:t>
      </w:r>
      <w:r w:rsidRPr="001E3244">
        <w:rPr>
          <w:rFonts w:ascii="Calibri" w:eastAsia="Calibri" w:hAnsi="Calibri" w:cs="Times New Roman"/>
        </w:rPr>
        <w:t xml:space="preserve">, PTE, </w:t>
      </w:r>
      <w:r>
        <w:rPr>
          <w:rFonts w:ascii="Calibri" w:eastAsia="Calibri" w:hAnsi="Calibri" w:cs="Times New Roman"/>
        </w:rPr>
        <w:t>PrTE</w:t>
      </w:r>
      <w:r w:rsidRPr="001E3244">
        <w:rPr>
          <w:rFonts w:ascii="Calibri" w:eastAsia="Calibri" w:hAnsi="Calibri" w:cs="Times New Roman"/>
        </w:rPr>
        <w:t xml:space="preserve"> lub zakład ubezpieczeń</w:t>
      </w:r>
      <w:r>
        <w:rPr>
          <w:rFonts w:ascii="Calibri" w:eastAsia="Calibri" w:hAnsi="Calibri" w:cs="Times New Roman"/>
        </w:rPr>
        <w:t xml:space="preserve"> (</w:t>
      </w:r>
      <w:r w:rsidRPr="001E3244">
        <w:rPr>
          <w:rFonts w:ascii="Calibri" w:eastAsia="Calibri" w:hAnsi="Calibri" w:cs="Times New Roman"/>
        </w:rPr>
        <w:t xml:space="preserve">oraz zarządzanych przez inne </w:t>
      </w:r>
      <w:r>
        <w:rPr>
          <w:rFonts w:ascii="Calibri" w:eastAsia="Calibri" w:hAnsi="Calibri" w:cs="Times New Roman"/>
        </w:rPr>
        <w:t>TFI</w:t>
      </w:r>
      <w:r w:rsidRPr="001E3244">
        <w:rPr>
          <w:rFonts w:ascii="Calibri" w:eastAsia="Calibri" w:hAnsi="Calibri" w:cs="Times New Roman"/>
        </w:rPr>
        <w:t xml:space="preserve">, PTE, </w:t>
      </w:r>
      <w:r>
        <w:rPr>
          <w:rFonts w:ascii="Calibri" w:eastAsia="Calibri" w:hAnsi="Calibri" w:cs="Times New Roman"/>
        </w:rPr>
        <w:t xml:space="preserve">PrTE </w:t>
      </w:r>
      <w:r w:rsidRPr="001E3244">
        <w:rPr>
          <w:rFonts w:ascii="Calibri" w:eastAsia="Calibri" w:hAnsi="Calibri" w:cs="Times New Roman"/>
        </w:rPr>
        <w:t>lub</w:t>
      </w:r>
      <w:r w:rsidR="000776B7">
        <w:rPr>
          <w:rFonts w:ascii="Calibri" w:eastAsia="Calibri" w:hAnsi="Calibri" w:cs="Times New Roman"/>
        </w:rPr>
        <w:t> </w:t>
      </w:r>
      <w:r w:rsidRPr="001E3244">
        <w:rPr>
          <w:rFonts w:ascii="Calibri" w:eastAsia="Calibri" w:hAnsi="Calibri" w:cs="Times New Roman"/>
        </w:rPr>
        <w:t>zakłady ubezpieczeń wchodzące w skład tej samej grupy kapitałowej</w:t>
      </w:r>
      <w:r>
        <w:rPr>
          <w:rFonts w:ascii="Calibri" w:eastAsia="Calibri" w:hAnsi="Calibri" w:cs="Times New Roman"/>
        </w:rPr>
        <w:t>)</w:t>
      </w:r>
      <w:r w:rsidRPr="001E3244">
        <w:rPr>
          <w:rFonts w:ascii="Calibri" w:eastAsia="Calibri" w:hAnsi="Calibri" w:cs="Times New Roman"/>
        </w:rPr>
        <w:t>, która nie przewyższa 15%</w:t>
      </w:r>
      <w:r w:rsidR="000776B7">
        <w:rPr>
          <w:rFonts w:ascii="Calibri" w:eastAsia="Calibri" w:hAnsi="Calibri" w:cs="Times New Roman"/>
        </w:rPr>
        <w:t> </w:t>
      </w:r>
      <w:r w:rsidRPr="001E3244">
        <w:rPr>
          <w:rFonts w:ascii="Calibri" w:eastAsia="Calibri" w:hAnsi="Calibri" w:cs="Times New Roman"/>
        </w:rPr>
        <w:t>wartości aktywów netto wszystkich funduszy inwestycyjnych, funduszy emerytalnych lub</w:t>
      </w:r>
      <w:r w:rsidR="000776B7">
        <w:rPr>
          <w:rFonts w:ascii="Calibri" w:eastAsia="Calibri" w:hAnsi="Calibri" w:cs="Times New Roman"/>
        </w:rPr>
        <w:t> </w:t>
      </w:r>
      <w:r w:rsidRPr="001E3244">
        <w:rPr>
          <w:rFonts w:ascii="Calibri" w:eastAsia="Calibri" w:hAnsi="Calibri" w:cs="Times New Roman"/>
        </w:rPr>
        <w:t>subfunduszy będących funduszami zdefiniowanej daty</w:t>
      </w:r>
      <w:r w:rsidR="00FB6547">
        <w:rPr>
          <w:rFonts w:ascii="Calibri" w:eastAsia="Calibri" w:hAnsi="Calibri" w:cs="Times New Roman"/>
        </w:rPr>
        <w:t>. Wartość aktywów netto ustala się</w:t>
      </w:r>
      <w:r w:rsidRPr="001E3244">
        <w:rPr>
          <w:rFonts w:ascii="Calibri" w:eastAsia="Calibri" w:hAnsi="Calibri" w:cs="Times New Roman"/>
        </w:rPr>
        <w:t xml:space="preserve"> według wartości na ostatni dzień roboczy kwartału będący dniem wyceny, a w przypadku ostatniego kwartału roku obrotowego </w:t>
      </w:r>
      <w:r w:rsidR="00F35C56">
        <w:rPr>
          <w:rFonts w:ascii="Calibri" w:eastAsia="Calibri" w:hAnsi="Calibri" w:cs="Times New Roman"/>
        </w:rPr>
        <w:t>–</w:t>
      </w:r>
      <w:r w:rsidRPr="001E3244">
        <w:rPr>
          <w:rFonts w:ascii="Calibri" w:eastAsia="Calibri" w:hAnsi="Calibri" w:cs="Times New Roman"/>
        </w:rPr>
        <w:t xml:space="preserve"> na dzień bilansowy.</w:t>
      </w:r>
      <w:r w:rsidR="0066229C">
        <w:rPr>
          <w:rFonts w:ascii="Calibri" w:eastAsia="Calibri" w:hAnsi="Calibri" w:cs="Times New Roman"/>
        </w:rPr>
        <w:t xml:space="preserve"> </w:t>
      </w:r>
    </w:p>
    <w:p w14:paraId="12681980" w14:textId="77777777" w:rsidR="00FC221E" w:rsidRPr="004131C6" w:rsidRDefault="00FC221E" w:rsidP="004131C6">
      <w:pPr>
        <w:spacing w:before="6" w:after="6" w:line="288" w:lineRule="auto"/>
      </w:pPr>
    </w:p>
    <w:p w14:paraId="3EA6F421" w14:textId="77777777" w:rsidR="007640FE" w:rsidRPr="006F2530" w:rsidRDefault="007640FE">
      <w:pPr>
        <w:pStyle w:val="Nagwek3"/>
        <w:numPr>
          <w:ilvl w:val="1"/>
          <w:numId w:val="24"/>
        </w:numPr>
        <w:spacing w:before="6" w:after="6" w:line="288" w:lineRule="auto"/>
        <w:jc w:val="both"/>
      </w:pPr>
      <w:bookmarkStart w:id="66" w:name="_Toc121828629"/>
      <w:r w:rsidRPr="006F2530">
        <w:t>Koszty pokrywane z aktywów funduszu</w:t>
      </w:r>
      <w:bookmarkEnd w:id="66"/>
    </w:p>
    <w:p w14:paraId="25F06B69" w14:textId="77777777" w:rsidR="007640FE" w:rsidRDefault="007640FE" w:rsidP="004131C6">
      <w:pPr>
        <w:spacing w:before="6" w:after="6" w:line="288" w:lineRule="auto"/>
        <w:jc w:val="both"/>
        <w:rPr>
          <w:rFonts w:ascii="Calibri" w:eastAsia="Calibri" w:hAnsi="Calibri" w:cs="Times New Roman"/>
        </w:rPr>
      </w:pPr>
      <w:bookmarkStart w:id="67" w:name="_Hlk46587741"/>
      <w:r w:rsidRPr="007640FE">
        <w:rPr>
          <w:rFonts w:ascii="Calibri" w:eastAsia="Calibri" w:hAnsi="Calibri" w:cs="Times New Roman"/>
        </w:rPr>
        <w:t>Ważne jest także rozwiązanie polegające na przyjęciu, że fundusz inwestycyjny lub fundusz emerytalny, będący funduszem zdefiniowanej daty, albo zakład ubezpieczeń zarządzający funduszem zdefiniowanej daty, może pokrywać z aktywów tego funduszu, poza wynagrodzeniem i kosztami udzielenia ochrony ubezpieczeniowej, jedynie koszty</w:t>
      </w:r>
      <w:bookmarkEnd w:id="67"/>
      <w:r w:rsidRPr="007640FE">
        <w:rPr>
          <w:rFonts w:ascii="Calibri" w:eastAsia="Calibri" w:hAnsi="Calibri" w:cs="Times New Roman"/>
        </w:rPr>
        <w:t xml:space="preserve"> określone w ustawie o PPK. Koszty te zostały wymienione poniżej.</w:t>
      </w:r>
    </w:p>
    <w:p w14:paraId="13555152" w14:textId="77777777" w:rsidR="00EB19BF" w:rsidRPr="007640FE" w:rsidRDefault="00EB19BF" w:rsidP="004131C6">
      <w:pPr>
        <w:spacing w:before="6" w:after="6" w:line="288" w:lineRule="auto"/>
        <w:rPr>
          <w:rFonts w:ascii="Calibri" w:eastAsia="Calibri" w:hAnsi="Calibri" w:cs="Times New Roman"/>
        </w:rPr>
      </w:pPr>
    </w:p>
    <w:tbl>
      <w:tblPr>
        <w:tblStyle w:val="Tabela-Siatka"/>
        <w:tblW w:w="0" w:type="auto"/>
        <w:tblLook w:val="04A0" w:firstRow="1" w:lastRow="0" w:firstColumn="1" w:lastColumn="0" w:noHBand="0" w:noVBand="1"/>
      </w:tblPr>
      <w:tblGrid>
        <w:gridCol w:w="4531"/>
        <w:gridCol w:w="4531"/>
      </w:tblGrid>
      <w:tr w:rsidR="007640FE" w:rsidRPr="007640FE" w14:paraId="44628EC7" w14:textId="77777777" w:rsidTr="00917D71">
        <w:tc>
          <w:tcPr>
            <w:tcW w:w="9062" w:type="dxa"/>
            <w:gridSpan w:val="2"/>
          </w:tcPr>
          <w:p w14:paraId="4B1D76C7" w14:textId="77777777" w:rsidR="007640FE" w:rsidRPr="007640FE" w:rsidRDefault="007640FE" w:rsidP="004131C6">
            <w:pPr>
              <w:spacing w:before="6" w:after="6" w:line="288" w:lineRule="auto"/>
              <w:jc w:val="center"/>
              <w:rPr>
                <w:rFonts w:ascii="Calibri" w:eastAsia="Calibri" w:hAnsi="Calibri" w:cs="Times New Roman"/>
                <w:b/>
                <w:bCs/>
              </w:rPr>
            </w:pPr>
            <w:r w:rsidRPr="007640FE">
              <w:rPr>
                <w:rFonts w:ascii="Calibri" w:eastAsia="Calibri" w:hAnsi="Calibri" w:cs="Times New Roman"/>
                <w:b/>
                <w:bCs/>
              </w:rPr>
              <w:t>Koszty, które można pokrywać z aktywów funduszu zdefiniowanej daty:</w:t>
            </w:r>
          </w:p>
        </w:tc>
      </w:tr>
      <w:tr w:rsidR="007640FE" w:rsidRPr="007640FE" w14:paraId="58DBC169" w14:textId="77777777" w:rsidTr="00917D71">
        <w:tc>
          <w:tcPr>
            <w:tcW w:w="4531" w:type="dxa"/>
          </w:tcPr>
          <w:p w14:paraId="140C4402" w14:textId="77777777" w:rsidR="007640FE" w:rsidRPr="003B425E" w:rsidRDefault="007640FE" w:rsidP="003B425E">
            <w:pPr>
              <w:spacing w:before="6" w:after="6" w:line="288" w:lineRule="auto"/>
            </w:pPr>
            <w:r w:rsidRPr="003B425E">
              <w:t>1) prowizje i opłaty na rzecz firm inwestycyjnych lub banków, z których fundusz zdefiniowanej daty korzysta, zawierając transakcje w ramach lokowania aktywów tego funduszu;</w:t>
            </w:r>
          </w:p>
          <w:p w14:paraId="3599C0CB" w14:textId="77777777" w:rsidR="007640FE" w:rsidRPr="007640FE" w:rsidRDefault="007640FE" w:rsidP="004131C6">
            <w:pPr>
              <w:spacing w:before="6" w:after="6" w:line="288" w:lineRule="auto"/>
              <w:rPr>
                <w:rFonts w:ascii="Calibri" w:eastAsia="Calibri" w:hAnsi="Calibri" w:cs="Times New Roman"/>
              </w:rPr>
            </w:pPr>
          </w:p>
          <w:p w14:paraId="6685EAD5" w14:textId="77777777" w:rsidR="007640FE" w:rsidRPr="007640FE" w:rsidRDefault="007640FE" w:rsidP="004131C6">
            <w:pPr>
              <w:spacing w:before="6" w:after="6" w:line="288" w:lineRule="auto"/>
              <w:rPr>
                <w:rFonts w:ascii="Calibri" w:eastAsia="Calibri" w:hAnsi="Calibri" w:cs="Times New Roman"/>
              </w:rPr>
            </w:pPr>
            <w:r w:rsidRPr="007640FE">
              <w:rPr>
                <w:rFonts w:ascii="Calibri" w:eastAsia="Calibri" w:hAnsi="Calibri" w:cs="Times New Roman"/>
              </w:rPr>
              <w:t>2) prowizje i opłaty związane z umowami i transakcjami funduszu zdefiniowanej daty, zawieranymi w ramach lokowania aktywów tego funduszu;</w:t>
            </w:r>
          </w:p>
          <w:p w14:paraId="3A8EEB56" w14:textId="77777777" w:rsidR="007640FE" w:rsidRPr="007640FE" w:rsidRDefault="007640FE" w:rsidP="004131C6">
            <w:pPr>
              <w:spacing w:before="6" w:after="6" w:line="288" w:lineRule="auto"/>
              <w:rPr>
                <w:rFonts w:ascii="Calibri" w:eastAsia="Calibri" w:hAnsi="Calibri" w:cs="Times New Roman"/>
              </w:rPr>
            </w:pPr>
          </w:p>
          <w:p w14:paraId="17E702AF" w14:textId="77777777" w:rsidR="007640FE" w:rsidRPr="007640FE" w:rsidRDefault="007640FE" w:rsidP="004131C6">
            <w:pPr>
              <w:spacing w:before="6" w:after="6" w:line="288" w:lineRule="auto"/>
              <w:rPr>
                <w:rFonts w:ascii="Calibri" w:eastAsia="Calibri" w:hAnsi="Calibri" w:cs="Times New Roman"/>
              </w:rPr>
            </w:pPr>
            <w:r w:rsidRPr="007640FE">
              <w:rPr>
                <w:rFonts w:ascii="Calibri" w:eastAsia="Calibri" w:hAnsi="Calibri" w:cs="Times New Roman"/>
              </w:rPr>
              <w:lastRenderedPageBreak/>
              <w:t>3) prowizje i opłaty związane z przechowywaniem aktywów funduszu zdefiniowanej daty;</w:t>
            </w:r>
          </w:p>
          <w:p w14:paraId="145EAF25" w14:textId="77777777" w:rsidR="007640FE" w:rsidRPr="007640FE" w:rsidRDefault="007640FE" w:rsidP="004131C6">
            <w:pPr>
              <w:spacing w:before="6" w:after="6" w:line="288" w:lineRule="auto"/>
              <w:rPr>
                <w:rFonts w:ascii="Calibri" w:eastAsia="Calibri" w:hAnsi="Calibri" w:cs="Times New Roman"/>
              </w:rPr>
            </w:pPr>
          </w:p>
          <w:p w14:paraId="0F71E16E" w14:textId="77777777" w:rsidR="007640FE" w:rsidRPr="007640FE" w:rsidRDefault="007640FE" w:rsidP="004131C6">
            <w:pPr>
              <w:spacing w:before="6" w:after="6" w:line="288" w:lineRule="auto"/>
              <w:rPr>
                <w:rFonts w:ascii="Calibri" w:eastAsia="Calibri" w:hAnsi="Calibri" w:cs="Times New Roman"/>
              </w:rPr>
            </w:pPr>
            <w:r w:rsidRPr="007640FE">
              <w:rPr>
                <w:rFonts w:ascii="Calibri" w:eastAsia="Calibri" w:hAnsi="Calibri" w:cs="Times New Roman"/>
              </w:rPr>
              <w:t>4) prowizje i opłaty na rzecz instytucji depozytowych i rozliczeniowych, z których usług fundusz zdefiniowanej daty korzysta w ramach lokowania aktywów tego funduszu;</w:t>
            </w:r>
          </w:p>
          <w:p w14:paraId="1EE1FB46" w14:textId="77777777" w:rsidR="007640FE" w:rsidRPr="007640FE" w:rsidRDefault="007640FE" w:rsidP="004131C6">
            <w:pPr>
              <w:spacing w:before="6" w:after="6" w:line="288" w:lineRule="auto"/>
              <w:rPr>
                <w:rFonts w:ascii="Calibri" w:eastAsia="Calibri" w:hAnsi="Calibri" w:cs="Times New Roman"/>
              </w:rPr>
            </w:pPr>
          </w:p>
          <w:p w14:paraId="5E717CC0" w14:textId="77777777" w:rsidR="007640FE" w:rsidRPr="003B425E" w:rsidRDefault="007640FE" w:rsidP="003B425E">
            <w:pPr>
              <w:spacing w:before="6" w:after="6" w:line="288" w:lineRule="auto"/>
            </w:pPr>
            <w:r w:rsidRPr="003B425E">
              <w:t>5) wynagrodzenie depozytariusza funduszu zdefiniowanej daty;</w:t>
            </w:r>
          </w:p>
          <w:p w14:paraId="42CBC72A" w14:textId="77777777" w:rsidR="007640FE" w:rsidRPr="007640FE" w:rsidRDefault="007640FE" w:rsidP="004131C6">
            <w:pPr>
              <w:spacing w:before="6" w:after="6" w:line="288" w:lineRule="auto"/>
              <w:rPr>
                <w:rFonts w:ascii="Calibri" w:eastAsia="Calibri" w:hAnsi="Calibri" w:cs="Times New Roman"/>
              </w:rPr>
            </w:pPr>
          </w:p>
          <w:p w14:paraId="1EA461F0" w14:textId="77777777" w:rsidR="007640FE" w:rsidRPr="003B425E" w:rsidRDefault="007640FE" w:rsidP="001A46B1">
            <w:pPr>
              <w:spacing w:before="6" w:after="6" w:line="288" w:lineRule="auto"/>
            </w:pPr>
            <w:r w:rsidRPr="003B425E">
              <w:t>6) związane z prowadzeniem rejestru uczestników funduszu inwestycyjnego będącego funduszem zdefiniowanej daty, subrejestru uczestników subfunduszu będącego funduszem zdefiniowanej daty wydzielonego w funduszu inwestycyjnym z wydzielonymi subfunduszami, lub rejestru członków funduszu emerytalnego będącego funduszem zdefiniowanej daty;</w:t>
            </w:r>
          </w:p>
          <w:p w14:paraId="234DF933" w14:textId="77777777" w:rsidR="007640FE" w:rsidRPr="007640FE" w:rsidRDefault="007640FE" w:rsidP="004131C6">
            <w:pPr>
              <w:spacing w:before="6" w:after="6" w:line="288" w:lineRule="auto"/>
              <w:rPr>
                <w:rFonts w:ascii="Calibri" w:eastAsia="Calibri" w:hAnsi="Calibri" w:cs="Times New Roman"/>
              </w:rPr>
            </w:pPr>
          </w:p>
          <w:p w14:paraId="015DD82C" w14:textId="77777777" w:rsidR="007640FE" w:rsidRPr="001A46B1" w:rsidRDefault="007640FE" w:rsidP="001A46B1">
            <w:pPr>
              <w:spacing w:before="6" w:after="6" w:line="288" w:lineRule="auto"/>
            </w:pPr>
            <w:r w:rsidRPr="001A46B1">
              <w:t>7) podatki i opłaty, wymagane w związku z działalnością funduszu zdefiniowanej daty, w tym opłaty za zezwolenia, jeżeli obowiązek ich poniesienia wynika z przepisów prawa;</w:t>
            </w:r>
          </w:p>
          <w:p w14:paraId="083ABDC5" w14:textId="77777777" w:rsidR="007640FE" w:rsidRPr="007640FE" w:rsidRDefault="007640FE" w:rsidP="004131C6">
            <w:pPr>
              <w:spacing w:before="6" w:after="6" w:line="288" w:lineRule="auto"/>
              <w:rPr>
                <w:rFonts w:ascii="Calibri" w:eastAsia="Calibri" w:hAnsi="Calibri" w:cs="Times New Roman"/>
              </w:rPr>
            </w:pPr>
          </w:p>
          <w:p w14:paraId="508EE15E" w14:textId="77777777" w:rsidR="007640FE" w:rsidRPr="007640FE" w:rsidRDefault="007640FE" w:rsidP="004131C6">
            <w:pPr>
              <w:spacing w:before="6" w:after="6" w:line="288" w:lineRule="auto"/>
              <w:rPr>
                <w:rFonts w:ascii="Calibri" w:eastAsia="Calibri" w:hAnsi="Calibri" w:cs="Times New Roman"/>
              </w:rPr>
            </w:pPr>
            <w:r w:rsidRPr="007640FE">
              <w:rPr>
                <w:rFonts w:ascii="Calibri" w:eastAsia="Calibri" w:hAnsi="Calibri" w:cs="Times New Roman"/>
              </w:rPr>
              <w:t>8) ogłoszeń wymaganych w związku z działalnością funduszu zdefiniowanej daty postanowieniami statutu funduszu inwestycyjnego, statutu funduszu emerytalnego, regulaminu ubezpieczeniowego funduszu kapitałowego lub przepisami prawa;</w:t>
            </w:r>
          </w:p>
          <w:p w14:paraId="1468BE56" w14:textId="77777777" w:rsidR="007640FE" w:rsidRPr="007640FE" w:rsidRDefault="007640FE" w:rsidP="004131C6">
            <w:pPr>
              <w:spacing w:before="6" w:after="6" w:line="288" w:lineRule="auto"/>
              <w:rPr>
                <w:rFonts w:ascii="Calibri" w:eastAsia="Calibri" w:hAnsi="Calibri" w:cs="Times New Roman"/>
              </w:rPr>
            </w:pPr>
          </w:p>
          <w:p w14:paraId="115AA9AF" w14:textId="77777777" w:rsidR="007640FE" w:rsidRPr="007640FE" w:rsidRDefault="007640FE" w:rsidP="004131C6">
            <w:pPr>
              <w:spacing w:before="6" w:after="6" w:line="288" w:lineRule="auto"/>
              <w:rPr>
                <w:rFonts w:ascii="Calibri" w:eastAsia="Calibri" w:hAnsi="Calibri" w:cs="Times New Roman"/>
              </w:rPr>
            </w:pPr>
            <w:r w:rsidRPr="007640FE">
              <w:rPr>
                <w:rFonts w:ascii="Calibri" w:eastAsia="Calibri" w:hAnsi="Calibri" w:cs="Times New Roman"/>
              </w:rPr>
              <w:t>9) druku i publikacji materiałów informacyjnych funduszu zdefiniowanej daty wymaganych przepisami prawa;</w:t>
            </w:r>
          </w:p>
          <w:p w14:paraId="5E2C5A24" w14:textId="77777777" w:rsidR="007640FE" w:rsidRPr="007640FE" w:rsidRDefault="007640FE" w:rsidP="004131C6">
            <w:pPr>
              <w:spacing w:before="6" w:after="6" w:line="288" w:lineRule="auto"/>
              <w:rPr>
                <w:rFonts w:ascii="Calibri" w:eastAsia="Calibri" w:hAnsi="Calibri" w:cs="Times New Roman"/>
              </w:rPr>
            </w:pPr>
          </w:p>
          <w:p w14:paraId="668B006D" w14:textId="77777777" w:rsidR="007640FE" w:rsidRPr="007640FE" w:rsidRDefault="007640FE" w:rsidP="004131C6">
            <w:pPr>
              <w:spacing w:before="6" w:after="6" w:line="288" w:lineRule="auto"/>
              <w:rPr>
                <w:rFonts w:ascii="Calibri" w:eastAsia="Calibri" w:hAnsi="Calibri" w:cs="Times New Roman"/>
              </w:rPr>
            </w:pPr>
            <w:r w:rsidRPr="007640FE">
              <w:rPr>
                <w:rFonts w:ascii="Calibri" w:eastAsia="Calibri" w:hAnsi="Calibri" w:cs="Times New Roman"/>
              </w:rPr>
              <w:t>10) likwidacji funduszu zdefiniowanej daty;</w:t>
            </w:r>
          </w:p>
          <w:p w14:paraId="7D9C3E45" w14:textId="77777777" w:rsidR="007640FE" w:rsidRPr="007640FE" w:rsidRDefault="007640FE" w:rsidP="004131C6">
            <w:pPr>
              <w:spacing w:before="6" w:after="6" w:line="288" w:lineRule="auto"/>
              <w:rPr>
                <w:rFonts w:ascii="Calibri" w:eastAsia="Calibri" w:hAnsi="Calibri" w:cs="Times New Roman"/>
              </w:rPr>
            </w:pPr>
          </w:p>
          <w:p w14:paraId="6E0DD3C0" w14:textId="77777777" w:rsidR="007640FE" w:rsidRPr="007640FE" w:rsidRDefault="007640FE" w:rsidP="004131C6">
            <w:pPr>
              <w:spacing w:before="6" w:after="6" w:line="288" w:lineRule="auto"/>
              <w:rPr>
                <w:rFonts w:ascii="Calibri" w:eastAsia="Calibri" w:hAnsi="Calibri" w:cs="Times New Roman"/>
              </w:rPr>
            </w:pPr>
            <w:r w:rsidRPr="007640FE">
              <w:rPr>
                <w:rFonts w:ascii="Calibri" w:eastAsia="Calibri" w:hAnsi="Calibri" w:cs="Times New Roman"/>
              </w:rPr>
              <w:t>11) wynagrodzenie likwidatora funduszu zdefiniowanej daty.</w:t>
            </w:r>
          </w:p>
        </w:tc>
        <w:tc>
          <w:tcPr>
            <w:tcW w:w="4531" w:type="dxa"/>
          </w:tcPr>
          <w:p w14:paraId="2381622A" w14:textId="77777777" w:rsidR="007640FE" w:rsidRPr="007640FE" w:rsidRDefault="007640FE" w:rsidP="004131C6">
            <w:pPr>
              <w:spacing w:before="6" w:after="6" w:line="288" w:lineRule="auto"/>
              <w:rPr>
                <w:rFonts w:ascii="Calibri" w:eastAsia="Calibri" w:hAnsi="Calibri" w:cs="Times New Roman"/>
                <w:u w:val="single"/>
              </w:rPr>
            </w:pPr>
            <w:r w:rsidRPr="007640FE">
              <w:rPr>
                <w:rFonts w:ascii="Calibri" w:eastAsia="Calibri" w:hAnsi="Calibri" w:cs="Times New Roman"/>
                <w:u w:val="single"/>
              </w:rPr>
              <w:lastRenderedPageBreak/>
              <w:t xml:space="preserve">Uwagi: </w:t>
            </w:r>
          </w:p>
          <w:p w14:paraId="359FB103" w14:textId="3C685009" w:rsidR="007640FE" w:rsidRPr="007640FE" w:rsidRDefault="007640FE" w:rsidP="004131C6">
            <w:pPr>
              <w:spacing w:before="6" w:after="6" w:line="288" w:lineRule="auto"/>
              <w:rPr>
                <w:rFonts w:ascii="Calibri" w:eastAsia="Calibri" w:hAnsi="Calibri" w:cs="Times New Roman"/>
                <w:sz w:val="20"/>
                <w:szCs w:val="20"/>
                <w:u w:val="single"/>
              </w:rPr>
            </w:pPr>
            <w:r w:rsidRPr="007640FE">
              <w:rPr>
                <w:rFonts w:ascii="Calibri" w:eastAsia="Calibri" w:hAnsi="Calibri" w:cs="Times New Roman"/>
                <w:sz w:val="20"/>
                <w:szCs w:val="20"/>
              </w:rPr>
              <w:t>Koszty, o których mowa w pkt 1</w:t>
            </w:r>
            <w:r w:rsidR="00F35C56">
              <w:rPr>
                <w:rFonts w:ascii="Calibri" w:eastAsia="Calibri" w:hAnsi="Calibri" w:cs="Times New Roman"/>
                <w:sz w:val="20"/>
                <w:szCs w:val="20"/>
              </w:rPr>
              <w:t>–</w:t>
            </w:r>
            <w:r w:rsidRPr="007640FE">
              <w:rPr>
                <w:rFonts w:ascii="Calibri" w:eastAsia="Calibri" w:hAnsi="Calibri" w:cs="Times New Roman"/>
                <w:sz w:val="20"/>
                <w:szCs w:val="20"/>
              </w:rPr>
              <w:t>6 i 8</w:t>
            </w:r>
            <w:r w:rsidR="00F35C56">
              <w:rPr>
                <w:rFonts w:ascii="Calibri" w:eastAsia="Calibri" w:hAnsi="Calibri" w:cs="Times New Roman"/>
                <w:sz w:val="20"/>
                <w:szCs w:val="20"/>
              </w:rPr>
              <w:t>–</w:t>
            </w:r>
            <w:r w:rsidRPr="007640FE">
              <w:rPr>
                <w:rFonts w:ascii="Calibri" w:eastAsia="Calibri" w:hAnsi="Calibri" w:cs="Times New Roman"/>
                <w:sz w:val="20"/>
                <w:szCs w:val="20"/>
              </w:rPr>
              <w:t>10, nie mogą odbiegać od przyjętych w obrocie zwykłych kosztów wykonywania tego rodzaju usług.</w:t>
            </w:r>
          </w:p>
          <w:p w14:paraId="4A568C11" w14:textId="77777777" w:rsidR="007640FE" w:rsidRPr="007640FE" w:rsidRDefault="007640FE" w:rsidP="004131C6">
            <w:pPr>
              <w:spacing w:before="6" w:after="6" w:line="288" w:lineRule="auto"/>
              <w:rPr>
                <w:rFonts w:ascii="Calibri" w:eastAsia="Calibri" w:hAnsi="Calibri" w:cs="Times New Roman"/>
              </w:rPr>
            </w:pPr>
          </w:p>
          <w:p w14:paraId="7548490E" w14:textId="77777777" w:rsidR="007640FE" w:rsidRPr="007640FE" w:rsidRDefault="007640FE" w:rsidP="004131C6">
            <w:pPr>
              <w:spacing w:before="6" w:after="6" w:line="288" w:lineRule="auto"/>
              <w:rPr>
                <w:rFonts w:ascii="Calibri" w:eastAsia="Calibri" w:hAnsi="Calibri" w:cs="Times New Roman"/>
              </w:rPr>
            </w:pPr>
          </w:p>
          <w:p w14:paraId="712798F7" w14:textId="77777777" w:rsidR="007640FE" w:rsidRPr="007640FE" w:rsidRDefault="007640FE" w:rsidP="004131C6">
            <w:pPr>
              <w:spacing w:before="6" w:after="6" w:line="288" w:lineRule="auto"/>
              <w:rPr>
                <w:rFonts w:ascii="Calibri" w:eastAsia="Calibri" w:hAnsi="Calibri" w:cs="Times New Roman"/>
              </w:rPr>
            </w:pPr>
          </w:p>
          <w:p w14:paraId="172437BD" w14:textId="77777777" w:rsidR="007640FE" w:rsidRPr="007640FE" w:rsidRDefault="007640FE" w:rsidP="004131C6">
            <w:pPr>
              <w:spacing w:before="6" w:after="6" w:line="288" w:lineRule="auto"/>
              <w:rPr>
                <w:rFonts w:ascii="Calibri" w:eastAsia="Calibri" w:hAnsi="Calibri" w:cs="Times New Roman"/>
              </w:rPr>
            </w:pPr>
          </w:p>
          <w:p w14:paraId="637B18D0" w14:textId="77777777" w:rsidR="007640FE" w:rsidRPr="007640FE" w:rsidRDefault="007640FE" w:rsidP="004131C6">
            <w:pPr>
              <w:spacing w:before="6" w:after="6" w:line="288" w:lineRule="auto"/>
              <w:rPr>
                <w:rFonts w:ascii="Calibri" w:eastAsia="Calibri" w:hAnsi="Calibri" w:cs="Times New Roman"/>
              </w:rPr>
            </w:pPr>
          </w:p>
          <w:p w14:paraId="0473C486" w14:textId="77777777" w:rsidR="007640FE" w:rsidRPr="007640FE" w:rsidRDefault="007640FE" w:rsidP="004131C6">
            <w:pPr>
              <w:spacing w:before="6" w:after="6" w:line="288" w:lineRule="auto"/>
              <w:rPr>
                <w:rFonts w:ascii="Calibri" w:eastAsia="Calibri" w:hAnsi="Calibri" w:cs="Times New Roman"/>
              </w:rPr>
            </w:pPr>
          </w:p>
          <w:p w14:paraId="6846FDCD" w14:textId="77777777" w:rsidR="007640FE" w:rsidRPr="007640FE" w:rsidRDefault="007640FE" w:rsidP="004131C6">
            <w:pPr>
              <w:spacing w:before="6" w:after="6" w:line="288" w:lineRule="auto"/>
              <w:rPr>
                <w:rFonts w:ascii="Calibri" w:eastAsia="Calibri" w:hAnsi="Calibri" w:cs="Times New Roman"/>
              </w:rPr>
            </w:pPr>
          </w:p>
          <w:p w14:paraId="0683995D" w14:textId="77777777" w:rsidR="007640FE" w:rsidRPr="007640FE" w:rsidRDefault="007640FE" w:rsidP="004131C6">
            <w:pPr>
              <w:spacing w:before="6" w:after="6" w:line="288" w:lineRule="auto"/>
              <w:rPr>
                <w:rFonts w:ascii="Calibri" w:eastAsia="Calibri" w:hAnsi="Calibri" w:cs="Times New Roman"/>
              </w:rPr>
            </w:pPr>
          </w:p>
          <w:p w14:paraId="019F29E1" w14:textId="77777777" w:rsidR="007640FE" w:rsidRPr="007640FE" w:rsidRDefault="007640FE" w:rsidP="004131C6">
            <w:pPr>
              <w:spacing w:before="6" w:after="6" w:line="288" w:lineRule="auto"/>
              <w:rPr>
                <w:rFonts w:ascii="Calibri" w:eastAsia="Calibri" w:hAnsi="Calibri" w:cs="Times New Roman"/>
              </w:rPr>
            </w:pPr>
          </w:p>
          <w:p w14:paraId="52164CD7" w14:textId="77777777" w:rsidR="007640FE" w:rsidRPr="007640FE" w:rsidRDefault="007640FE" w:rsidP="004131C6">
            <w:pPr>
              <w:spacing w:before="6" w:after="6" w:line="288" w:lineRule="auto"/>
              <w:rPr>
                <w:rFonts w:ascii="Calibri" w:eastAsia="Calibri" w:hAnsi="Calibri" w:cs="Times New Roman"/>
              </w:rPr>
            </w:pPr>
          </w:p>
          <w:p w14:paraId="3C8EC579" w14:textId="77777777" w:rsidR="007640FE" w:rsidRPr="007640FE" w:rsidRDefault="007640FE" w:rsidP="004131C6">
            <w:pPr>
              <w:spacing w:before="6" w:after="6" w:line="288" w:lineRule="auto"/>
              <w:rPr>
                <w:rFonts w:ascii="Calibri" w:eastAsia="Calibri" w:hAnsi="Calibri" w:cs="Times New Roman"/>
              </w:rPr>
            </w:pPr>
          </w:p>
          <w:p w14:paraId="4C3A9171" w14:textId="77777777" w:rsidR="007640FE" w:rsidRPr="007640FE" w:rsidRDefault="007640FE" w:rsidP="004131C6">
            <w:pPr>
              <w:spacing w:before="6" w:after="6" w:line="288" w:lineRule="auto"/>
              <w:rPr>
                <w:rFonts w:ascii="Calibri" w:eastAsia="Calibri" w:hAnsi="Calibri" w:cs="Times New Roman"/>
              </w:rPr>
            </w:pPr>
          </w:p>
          <w:p w14:paraId="7DEA77C2" w14:textId="77777777" w:rsidR="007640FE" w:rsidRPr="007640FE" w:rsidRDefault="007640FE" w:rsidP="004131C6">
            <w:pPr>
              <w:spacing w:before="6" w:after="6" w:line="288" w:lineRule="auto"/>
              <w:rPr>
                <w:rFonts w:ascii="Calibri" w:eastAsia="Calibri" w:hAnsi="Calibri" w:cs="Times New Roman"/>
              </w:rPr>
            </w:pPr>
          </w:p>
          <w:p w14:paraId="27015A45" w14:textId="77777777" w:rsidR="007640FE" w:rsidRPr="007640FE" w:rsidRDefault="007640FE" w:rsidP="004131C6">
            <w:pPr>
              <w:spacing w:before="6" w:after="6" w:line="288" w:lineRule="auto"/>
              <w:rPr>
                <w:rFonts w:ascii="Calibri" w:eastAsia="Calibri" w:hAnsi="Calibri" w:cs="Times New Roman"/>
              </w:rPr>
            </w:pPr>
          </w:p>
          <w:p w14:paraId="79F0C83A" w14:textId="77777777" w:rsidR="007640FE" w:rsidRPr="007640FE" w:rsidRDefault="007640FE" w:rsidP="004131C6">
            <w:pPr>
              <w:spacing w:before="6" w:after="6" w:line="288" w:lineRule="auto"/>
              <w:rPr>
                <w:rFonts w:ascii="Calibri" w:eastAsia="Calibri" w:hAnsi="Calibri" w:cs="Times New Roman"/>
                <w:sz w:val="20"/>
                <w:szCs w:val="20"/>
              </w:rPr>
            </w:pPr>
          </w:p>
          <w:p w14:paraId="253E5DFF" w14:textId="77777777" w:rsidR="007640FE" w:rsidRPr="007640FE" w:rsidRDefault="007640FE" w:rsidP="004131C6">
            <w:pPr>
              <w:spacing w:before="6" w:after="6" w:line="288" w:lineRule="auto"/>
              <w:rPr>
                <w:rFonts w:ascii="Calibri" w:eastAsia="Calibri" w:hAnsi="Calibri" w:cs="Times New Roman"/>
                <w:sz w:val="20"/>
                <w:szCs w:val="20"/>
              </w:rPr>
            </w:pPr>
          </w:p>
          <w:p w14:paraId="64A8BC1A" w14:textId="77777777" w:rsidR="007640FE" w:rsidRPr="007640FE" w:rsidRDefault="007640FE" w:rsidP="004131C6">
            <w:pPr>
              <w:spacing w:before="6" w:after="6" w:line="288" w:lineRule="auto"/>
              <w:rPr>
                <w:rFonts w:ascii="Calibri" w:eastAsia="Calibri" w:hAnsi="Calibri" w:cs="Times New Roman"/>
                <w:sz w:val="20"/>
                <w:szCs w:val="20"/>
              </w:rPr>
            </w:pPr>
            <w:r w:rsidRPr="007640FE">
              <w:rPr>
                <w:rFonts w:ascii="Calibri" w:eastAsia="Calibri" w:hAnsi="Calibri" w:cs="Times New Roman"/>
                <w:sz w:val="20"/>
                <w:szCs w:val="20"/>
              </w:rPr>
              <w:t>Koszty, o których mowa w pkt 5 i 6, mogą być pokrywane z aktywów funduszu inwestycyjnego lub funduszu emerytalnego, będącego funduszem zdefiniowanej daty do wysokości:</w:t>
            </w:r>
          </w:p>
          <w:p w14:paraId="384521B0" w14:textId="2AB42701" w:rsidR="007640FE" w:rsidRPr="007640FE" w:rsidRDefault="007640FE" w:rsidP="004131C6">
            <w:pPr>
              <w:spacing w:before="6" w:after="6" w:line="288" w:lineRule="auto"/>
              <w:rPr>
                <w:rFonts w:ascii="Calibri" w:eastAsia="Calibri" w:hAnsi="Calibri" w:cs="Times New Roman"/>
                <w:sz w:val="20"/>
                <w:szCs w:val="20"/>
              </w:rPr>
            </w:pPr>
            <w:r w:rsidRPr="007640FE">
              <w:rPr>
                <w:rFonts w:ascii="Calibri" w:eastAsia="Calibri" w:hAnsi="Calibri" w:cs="Times New Roman"/>
                <w:sz w:val="20"/>
                <w:szCs w:val="20"/>
              </w:rPr>
              <w:t xml:space="preserve">1) 0,5% średniej wartości aktywów netto funduszu zdefiniowanej daty, a w przypadku funduszu z wydzielonymi subfunduszami </w:t>
            </w:r>
            <w:r w:rsidR="00F35C56">
              <w:rPr>
                <w:rFonts w:ascii="Calibri" w:eastAsia="Calibri" w:hAnsi="Calibri" w:cs="Times New Roman"/>
                <w:sz w:val="20"/>
                <w:szCs w:val="20"/>
              </w:rPr>
              <w:t>–</w:t>
            </w:r>
            <w:r w:rsidRPr="007640FE">
              <w:rPr>
                <w:rFonts w:ascii="Calibri" w:eastAsia="Calibri" w:hAnsi="Calibri" w:cs="Times New Roman"/>
                <w:sz w:val="20"/>
                <w:szCs w:val="20"/>
              </w:rPr>
              <w:t xml:space="preserve"> 0,5% średniej wartości aktywów netto subfunduszu zdefiniowanej daty, wydzielonego w tym funduszu, w danym roku kalendarzowym </w:t>
            </w:r>
            <w:r w:rsidR="00F35C56">
              <w:rPr>
                <w:rFonts w:ascii="Calibri" w:eastAsia="Calibri" w:hAnsi="Calibri" w:cs="Times New Roman"/>
                <w:sz w:val="20"/>
                <w:szCs w:val="20"/>
              </w:rPr>
              <w:t>–</w:t>
            </w:r>
            <w:r w:rsidRPr="007640FE">
              <w:rPr>
                <w:rFonts w:ascii="Calibri" w:eastAsia="Calibri" w:hAnsi="Calibri" w:cs="Times New Roman"/>
                <w:sz w:val="20"/>
                <w:szCs w:val="20"/>
              </w:rPr>
              <w:t xml:space="preserve"> gdy wartość aktywów netto, odpowiednio, funduszu zdefiniowanej daty lub subfunduszu zdefiniowanej daty nie jest wyższa niż 10 000 000 zł;</w:t>
            </w:r>
          </w:p>
          <w:p w14:paraId="4F2A3A86" w14:textId="78C9F815" w:rsidR="007640FE" w:rsidRPr="007640FE" w:rsidRDefault="007640FE" w:rsidP="004131C6">
            <w:pPr>
              <w:spacing w:before="6" w:after="6" w:line="288" w:lineRule="auto"/>
              <w:rPr>
                <w:rFonts w:ascii="Calibri" w:eastAsia="Calibri" w:hAnsi="Calibri" w:cs="Times New Roman"/>
                <w:sz w:val="20"/>
                <w:szCs w:val="20"/>
              </w:rPr>
            </w:pPr>
            <w:r w:rsidRPr="007640FE">
              <w:rPr>
                <w:rFonts w:ascii="Calibri" w:eastAsia="Calibri" w:hAnsi="Calibri" w:cs="Times New Roman"/>
                <w:sz w:val="20"/>
                <w:szCs w:val="20"/>
              </w:rPr>
              <w:t xml:space="preserve">2) sumy kwoty 50 000 zł i 0,05% średniej wartości aktywów netto funduszu zdefiniowanej daty, a w przypadku funduszu z wydzielonymi subfunduszami </w:t>
            </w:r>
            <w:r w:rsidR="00F35C56">
              <w:rPr>
                <w:rFonts w:ascii="Calibri" w:eastAsia="Calibri" w:hAnsi="Calibri" w:cs="Times New Roman"/>
                <w:sz w:val="20"/>
                <w:szCs w:val="20"/>
              </w:rPr>
              <w:t>–</w:t>
            </w:r>
            <w:r w:rsidRPr="007640FE">
              <w:rPr>
                <w:rFonts w:ascii="Calibri" w:eastAsia="Calibri" w:hAnsi="Calibri" w:cs="Times New Roman"/>
                <w:sz w:val="20"/>
                <w:szCs w:val="20"/>
              </w:rPr>
              <w:t xml:space="preserve"> 0,05% średniej wartości aktywów netto subfunduszu zdefiniowanej daty, wydzielonego w tym funduszu, ponad kwotę 10 000 000 zł </w:t>
            </w:r>
            <w:r w:rsidR="00F35C56">
              <w:rPr>
                <w:rFonts w:ascii="Calibri" w:eastAsia="Calibri" w:hAnsi="Calibri" w:cs="Times New Roman"/>
                <w:sz w:val="20"/>
                <w:szCs w:val="20"/>
              </w:rPr>
              <w:t>–</w:t>
            </w:r>
            <w:r w:rsidRPr="007640FE">
              <w:rPr>
                <w:rFonts w:ascii="Calibri" w:eastAsia="Calibri" w:hAnsi="Calibri" w:cs="Times New Roman"/>
                <w:sz w:val="20"/>
                <w:szCs w:val="20"/>
              </w:rPr>
              <w:t xml:space="preserve"> gdy wartość aktywów netto, odpowiednio, funduszu zdefiniowanej daty lub subfunduszu zdefiniowanej daty, jest wyższa niż 10 000 000 zł.</w:t>
            </w:r>
          </w:p>
          <w:p w14:paraId="2213FB80" w14:textId="77777777" w:rsidR="007640FE" w:rsidRPr="007640FE" w:rsidRDefault="007640FE" w:rsidP="004131C6">
            <w:pPr>
              <w:spacing w:before="6" w:after="6" w:line="288" w:lineRule="auto"/>
              <w:rPr>
                <w:rFonts w:ascii="Calibri" w:eastAsia="Calibri" w:hAnsi="Calibri" w:cs="Times New Roman"/>
                <w:sz w:val="20"/>
                <w:szCs w:val="20"/>
              </w:rPr>
            </w:pPr>
          </w:p>
          <w:p w14:paraId="73A428A6" w14:textId="77777777" w:rsidR="007640FE" w:rsidRPr="007640FE" w:rsidRDefault="007640FE" w:rsidP="004131C6">
            <w:pPr>
              <w:spacing w:before="6" w:after="6" w:line="288" w:lineRule="auto"/>
              <w:rPr>
                <w:rFonts w:ascii="Calibri" w:eastAsia="Calibri" w:hAnsi="Calibri" w:cs="Times New Roman"/>
              </w:rPr>
            </w:pPr>
          </w:p>
          <w:p w14:paraId="7BB86F9F" w14:textId="77777777" w:rsidR="007640FE" w:rsidRPr="007640FE" w:rsidRDefault="007640FE" w:rsidP="004131C6">
            <w:pPr>
              <w:spacing w:before="6" w:after="6" w:line="288" w:lineRule="auto"/>
              <w:rPr>
                <w:rFonts w:ascii="Calibri" w:eastAsia="Calibri" w:hAnsi="Calibri" w:cs="Times New Roman"/>
              </w:rPr>
            </w:pPr>
          </w:p>
          <w:p w14:paraId="6D9F28C3" w14:textId="77777777" w:rsidR="007640FE" w:rsidRPr="007640FE" w:rsidRDefault="007640FE" w:rsidP="004131C6">
            <w:pPr>
              <w:spacing w:before="6" w:after="6" w:line="288" w:lineRule="auto"/>
              <w:rPr>
                <w:rFonts w:ascii="Calibri" w:eastAsia="Calibri" w:hAnsi="Calibri" w:cs="Times New Roman"/>
                <w:sz w:val="20"/>
                <w:szCs w:val="20"/>
              </w:rPr>
            </w:pPr>
          </w:p>
          <w:p w14:paraId="0DEBA060" w14:textId="77777777" w:rsidR="007640FE" w:rsidRPr="007640FE" w:rsidRDefault="007640FE" w:rsidP="004131C6">
            <w:pPr>
              <w:spacing w:before="6" w:after="6" w:line="288" w:lineRule="auto"/>
              <w:rPr>
                <w:rFonts w:ascii="Calibri" w:eastAsia="Calibri" w:hAnsi="Calibri" w:cs="Times New Roman"/>
                <w:sz w:val="20"/>
                <w:szCs w:val="20"/>
              </w:rPr>
            </w:pPr>
          </w:p>
          <w:p w14:paraId="23744D22" w14:textId="77777777" w:rsidR="007640FE" w:rsidRPr="007640FE" w:rsidRDefault="007640FE" w:rsidP="004131C6">
            <w:pPr>
              <w:spacing w:before="6" w:after="6" w:line="288" w:lineRule="auto"/>
              <w:rPr>
                <w:rFonts w:ascii="Calibri" w:eastAsia="Calibri" w:hAnsi="Calibri" w:cs="Times New Roman"/>
                <w:sz w:val="20"/>
                <w:szCs w:val="20"/>
              </w:rPr>
            </w:pPr>
          </w:p>
          <w:p w14:paraId="3FBFC50D" w14:textId="77777777" w:rsidR="007640FE" w:rsidRPr="007640FE" w:rsidRDefault="007640FE" w:rsidP="004131C6">
            <w:pPr>
              <w:spacing w:before="6" w:after="6" w:line="288" w:lineRule="auto"/>
              <w:rPr>
                <w:rFonts w:ascii="Calibri" w:eastAsia="Calibri" w:hAnsi="Calibri" w:cs="Times New Roman"/>
                <w:sz w:val="20"/>
                <w:szCs w:val="20"/>
              </w:rPr>
            </w:pPr>
          </w:p>
          <w:p w14:paraId="3AF76A4D" w14:textId="77777777" w:rsidR="007640FE" w:rsidRPr="007640FE" w:rsidRDefault="007640FE" w:rsidP="004131C6">
            <w:pPr>
              <w:spacing w:before="6" w:after="6" w:line="288" w:lineRule="auto"/>
              <w:rPr>
                <w:rFonts w:ascii="Calibri" w:eastAsia="Calibri" w:hAnsi="Calibri" w:cs="Times New Roman"/>
                <w:sz w:val="20"/>
                <w:szCs w:val="20"/>
              </w:rPr>
            </w:pPr>
          </w:p>
          <w:p w14:paraId="40B5D900" w14:textId="77777777" w:rsidR="007640FE" w:rsidRPr="007640FE" w:rsidRDefault="007640FE" w:rsidP="004131C6">
            <w:pPr>
              <w:spacing w:before="6" w:after="6" w:line="288" w:lineRule="auto"/>
              <w:rPr>
                <w:rFonts w:ascii="Calibri" w:eastAsia="Calibri" w:hAnsi="Calibri" w:cs="Times New Roman"/>
                <w:sz w:val="20"/>
                <w:szCs w:val="20"/>
              </w:rPr>
            </w:pPr>
          </w:p>
          <w:p w14:paraId="1B52A45A" w14:textId="77777777" w:rsidR="007640FE" w:rsidRPr="007640FE" w:rsidRDefault="007640FE" w:rsidP="004131C6">
            <w:pPr>
              <w:spacing w:before="6" w:after="6" w:line="288" w:lineRule="auto"/>
              <w:rPr>
                <w:rFonts w:ascii="Calibri" w:eastAsia="Calibri" w:hAnsi="Calibri" w:cs="Times New Roman"/>
                <w:sz w:val="20"/>
                <w:szCs w:val="20"/>
              </w:rPr>
            </w:pPr>
          </w:p>
          <w:p w14:paraId="4C77D1E2" w14:textId="77777777" w:rsidR="007640FE" w:rsidRPr="007640FE" w:rsidRDefault="007640FE" w:rsidP="004131C6">
            <w:pPr>
              <w:spacing w:before="6" w:after="6" w:line="288" w:lineRule="auto"/>
              <w:rPr>
                <w:rFonts w:ascii="Calibri" w:eastAsia="Calibri" w:hAnsi="Calibri" w:cs="Times New Roman"/>
                <w:sz w:val="20"/>
                <w:szCs w:val="20"/>
              </w:rPr>
            </w:pPr>
          </w:p>
          <w:p w14:paraId="2BBBA5FE" w14:textId="773F47DE" w:rsidR="007640FE" w:rsidRPr="007640FE" w:rsidRDefault="007640FE" w:rsidP="004131C6">
            <w:pPr>
              <w:spacing w:before="6" w:after="6" w:line="288" w:lineRule="auto"/>
              <w:rPr>
                <w:rFonts w:ascii="Calibri" w:eastAsia="Calibri" w:hAnsi="Calibri" w:cs="Times New Roman"/>
              </w:rPr>
            </w:pPr>
            <w:r w:rsidRPr="007640FE">
              <w:rPr>
                <w:rFonts w:ascii="Calibri" w:eastAsia="Calibri" w:hAnsi="Calibri" w:cs="Times New Roman"/>
                <w:sz w:val="20"/>
                <w:szCs w:val="20"/>
              </w:rPr>
              <w:t xml:space="preserve">Koszty, o których mowa w pkt 11, mogą być pokrywane z aktywów funduszu w wysokości nie wyższej niż 0,5% wartości aktywów netto funduszu zdefiniowanej daty, a w przypadku funduszu z wydzielonymi subfunduszami </w:t>
            </w:r>
            <w:r w:rsidR="00F35C56">
              <w:rPr>
                <w:rFonts w:ascii="Calibri" w:eastAsia="Calibri" w:hAnsi="Calibri" w:cs="Times New Roman"/>
                <w:sz w:val="20"/>
                <w:szCs w:val="20"/>
              </w:rPr>
              <w:t>–</w:t>
            </w:r>
            <w:r w:rsidRPr="007640FE">
              <w:rPr>
                <w:rFonts w:ascii="Calibri" w:eastAsia="Calibri" w:hAnsi="Calibri" w:cs="Times New Roman"/>
                <w:sz w:val="20"/>
                <w:szCs w:val="20"/>
              </w:rPr>
              <w:t xml:space="preserve"> 0,5% wartości </w:t>
            </w:r>
            <w:r w:rsidRPr="007640FE">
              <w:rPr>
                <w:rFonts w:ascii="Calibri" w:eastAsia="Calibri" w:hAnsi="Calibri" w:cs="Times New Roman"/>
                <w:sz w:val="20"/>
                <w:szCs w:val="20"/>
              </w:rPr>
              <w:lastRenderedPageBreak/>
              <w:t>aktywów netto subfunduszu zdefiniowanej daty, wydzielonego w tym funduszu, w skali roku</w:t>
            </w:r>
            <w:r w:rsidRPr="007640FE">
              <w:rPr>
                <w:rFonts w:ascii="Calibri" w:eastAsia="Calibri" w:hAnsi="Calibri" w:cs="Times New Roman"/>
              </w:rPr>
              <w:t>.</w:t>
            </w:r>
          </w:p>
        </w:tc>
      </w:tr>
    </w:tbl>
    <w:p w14:paraId="0197C592" w14:textId="77777777" w:rsidR="007640FE" w:rsidRDefault="007640FE" w:rsidP="00D26CDC">
      <w:pPr>
        <w:spacing w:before="6" w:after="6" w:line="288" w:lineRule="auto"/>
        <w:rPr>
          <w:rFonts w:ascii="Calibri" w:eastAsia="Calibri" w:hAnsi="Calibri" w:cs="Times New Roman"/>
        </w:rPr>
      </w:pPr>
    </w:p>
    <w:p w14:paraId="36831F26" w14:textId="77777777" w:rsidR="00A21530" w:rsidRDefault="00A21530" w:rsidP="00D26CDC">
      <w:pPr>
        <w:spacing w:before="6" w:after="6" w:line="288" w:lineRule="auto"/>
        <w:rPr>
          <w:rFonts w:ascii="Calibri" w:eastAsia="Calibri" w:hAnsi="Calibri" w:cs="Times New Roman"/>
        </w:rPr>
      </w:pPr>
    </w:p>
    <w:p w14:paraId="5F4EB59E" w14:textId="77777777" w:rsidR="00A21530" w:rsidRDefault="00A21530" w:rsidP="00D26CDC">
      <w:pPr>
        <w:spacing w:before="6" w:after="6" w:line="288" w:lineRule="auto"/>
        <w:rPr>
          <w:rFonts w:ascii="Calibri" w:eastAsia="Calibri" w:hAnsi="Calibri" w:cs="Times New Roman"/>
        </w:rPr>
      </w:pPr>
    </w:p>
    <w:p w14:paraId="699A5845" w14:textId="77777777" w:rsidR="00A21530" w:rsidRPr="007640FE" w:rsidRDefault="00A21530" w:rsidP="00D26CDC">
      <w:pPr>
        <w:spacing w:before="6" w:after="6" w:line="288" w:lineRule="auto"/>
        <w:rPr>
          <w:rFonts w:ascii="Calibri" w:eastAsia="Calibri" w:hAnsi="Calibri" w:cs="Times New Roman"/>
        </w:rPr>
      </w:pPr>
    </w:p>
    <w:p w14:paraId="61394228" w14:textId="77777777" w:rsidR="00502F1F" w:rsidRDefault="004F2940">
      <w:pPr>
        <w:pStyle w:val="Nagwek1"/>
        <w:numPr>
          <w:ilvl w:val="0"/>
          <w:numId w:val="22"/>
        </w:numPr>
        <w:spacing w:before="6" w:after="6" w:line="288" w:lineRule="auto"/>
      </w:pPr>
      <w:bookmarkStart w:id="68" w:name="_Toc121828630"/>
      <w:r w:rsidRPr="004F2940">
        <w:t>Podsumowanie 4 lat funkcjonowania PPK</w:t>
      </w:r>
      <w:bookmarkEnd w:id="68"/>
      <w:r w:rsidRPr="004F2940">
        <w:t> </w:t>
      </w:r>
    </w:p>
    <w:p w14:paraId="6CABD25E" w14:textId="77777777" w:rsidR="004F2940" w:rsidRPr="004F2940" w:rsidRDefault="004F2940" w:rsidP="00D26CDC">
      <w:pPr>
        <w:pStyle w:val="Akapitzlist"/>
        <w:spacing w:before="6" w:after="6" w:line="288" w:lineRule="auto"/>
        <w:ind w:left="1222"/>
        <w:rPr>
          <w:b/>
          <w:bCs/>
        </w:rPr>
      </w:pPr>
      <w:r w:rsidRPr="004F2940">
        <w:rPr>
          <w:b/>
          <w:bCs/>
        </w:rPr>
        <w:t xml:space="preserve"> </w:t>
      </w:r>
    </w:p>
    <w:p w14:paraId="16B25830" w14:textId="77777777" w:rsidR="0029150C" w:rsidRPr="00C84C56" w:rsidRDefault="0029150C">
      <w:pPr>
        <w:pStyle w:val="Nagwek2"/>
        <w:numPr>
          <w:ilvl w:val="0"/>
          <w:numId w:val="25"/>
        </w:numPr>
        <w:spacing w:before="6" w:after="6" w:line="288" w:lineRule="auto"/>
      </w:pPr>
      <w:bookmarkStart w:id="69" w:name="_Toc121828631"/>
      <w:r w:rsidRPr="00C84C56">
        <w:t xml:space="preserve">Partycypacja w </w:t>
      </w:r>
      <w:r w:rsidR="00400726">
        <w:t>programie</w:t>
      </w:r>
      <w:bookmarkEnd w:id="69"/>
    </w:p>
    <w:p w14:paraId="52EDDC9D" w14:textId="51B514CC" w:rsidR="0029150C" w:rsidRPr="00C84C56" w:rsidRDefault="0029150C" w:rsidP="004131C6">
      <w:pPr>
        <w:spacing w:before="6" w:after="6" w:line="288" w:lineRule="auto"/>
        <w:jc w:val="both"/>
      </w:pPr>
      <w:r w:rsidRPr="00C84C56">
        <w:t xml:space="preserve">Partycypacja w PPK wynosi </w:t>
      </w:r>
      <w:r w:rsidR="00191F95">
        <w:t xml:space="preserve">na dzień </w:t>
      </w:r>
      <w:r w:rsidR="003E703B">
        <w:t>31</w:t>
      </w:r>
      <w:r w:rsidR="00921BA8">
        <w:t xml:space="preserve"> </w:t>
      </w:r>
      <w:r w:rsidR="00DD65DA">
        <w:t>sierpnia 2022 r.</w:t>
      </w:r>
      <w:r w:rsidR="00191F95" w:rsidRPr="00C84C56">
        <w:t xml:space="preserve"> </w:t>
      </w:r>
      <w:r w:rsidR="003E703B" w:rsidRPr="004131C6">
        <w:t>33</w:t>
      </w:r>
      <w:r w:rsidRPr="004131C6">
        <w:t>,</w:t>
      </w:r>
      <w:r w:rsidR="003E703B" w:rsidRPr="004131C6">
        <w:t>10</w:t>
      </w:r>
      <w:r w:rsidRPr="004131C6">
        <w:t>%</w:t>
      </w:r>
      <w:r w:rsidR="00917299" w:rsidRPr="004131C6">
        <w:t xml:space="preserve"> </w:t>
      </w:r>
      <w:r w:rsidR="00F35C56">
        <w:t>–</w:t>
      </w:r>
      <w:r w:rsidRPr="00C84C56">
        <w:t xml:space="preserve"> jest to stosunek aktywnych rachunków PPK do liczby osób zatrudnionych w podmiotach, które zawarły umowę o zarządzanie PPK.</w:t>
      </w:r>
    </w:p>
    <w:p w14:paraId="0A354F33" w14:textId="656ABC0F" w:rsidR="0029150C" w:rsidRPr="00C84C56" w:rsidRDefault="0029150C" w:rsidP="004131C6">
      <w:pPr>
        <w:spacing w:before="6" w:after="6" w:line="288" w:lineRule="auto"/>
        <w:jc w:val="both"/>
      </w:pPr>
      <w:r w:rsidRPr="00C84C56">
        <w:t>Największa partycypacja jest obecnie w przedsiębiorstwach, które jako pierwsze wdr</w:t>
      </w:r>
      <w:r w:rsidR="00F0371E">
        <w:t>ożyły</w:t>
      </w:r>
      <w:r w:rsidRPr="00C84C56">
        <w:t xml:space="preserve"> PPK</w:t>
      </w:r>
      <w:r w:rsidR="004768C6">
        <w:t>.</w:t>
      </w:r>
      <w:r w:rsidRPr="00C84C56">
        <w:t xml:space="preserve"> </w:t>
      </w:r>
      <w:r w:rsidR="004768C6">
        <w:t>C</w:t>
      </w:r>
      <w:r w:rsidRPr="00C84C56">
        <w:t>hodzi tu o podmioty, które na dzień 31 grudnia 2018 r</w:t>
      </w:r>
      <w:r w:rsidR="007D12A3">
        <w:t>.</w:t>
      </w:r>
      <w:r w:rsidRPr="00C84C56">
        <w:t xml:space="preserve"> zatrudniały co najmniej 250 osób mogących przystąpić do PPK. </w:t>
      </w:r>
      <w:r w:rsidR="003B37A3">
        <w:t>N</w:t>
      </w:r>
      <w:r w:rsidRPr="00C84C56">
        <w:t>a dzień 31</w:t>
      </w:r>
      <w:r w:rsidR="00B54727">
        <w:t xml:space="preserve"> sierpnia </w:t>
      </w:r>
      <w:r w:rsidRPr="00C84C56">
        <w:t>2022 r. partycypacja w tych podmiotach wynosi</w:t>
      </w:r>
      <w:r w:rsidR="0095298C">
        <w:t>ła</w:t>
      </w:r>
      <w:r w:rsidR="00327292">
        <w:t xml:space="preserve"> </w:t>
      </w:r>
      <w:r w:rsidRPr="004131C6">
        <w:t>49,</w:t>
      </w:r>
      <w:r w:rsidR="002B5BAC" w:rsidRPr="004131C6">
        <w:t>71</w:t>
      </w:r>
      <w:r w:rsidRPr="004131C6">
        <w:t>%.</w:t>
      </w:r>
    </w:p>
    <w:p w14:paraId="3A2C1B0A" w14:textId="77777777" w:rsidR="0029150C" w:rsidRPr="00C84C56" w:rsidRDefault="0029150C" w:rsidP="004131C6">
      <w:pPr>
        <w:spacing w:before="6" w:after="6" w:line="288" w:lineRule="auto"/>
        <w:jc w:val="both"/>
      </w:pPr>
      <w:r w:rsidRPr="00C84C56">
        <w:t>Druga faza wdr</w:t>
      </w:r>
      <w:r w:rsidR="00DA74B5">
        <w:t>ożenia</w:t>
      </w:r>
      <w:r w:rsidRPr="00C84C56">
        <w:t xml:space="preserve"> PPK dotyczyła podmiotów, które w</w:t>
      </w:r>
      <w:r w:rsidR="00DA74B5">
        <w:t>edług</w:t>
      </w:r>
      <w:r w:rsidRPr="00C84C56">
        <w:t xml:space="preserve"> stanu na 30 czerwca 2019 r</w:t>
      </w:r>
      <w:r w:rsidR="00871DFD">
        <w:t>.</w:t>
      </w:r>
      <w:r w:rsidRPr="00C84C56">
        <w:t xml:space="preserve"> zatrudniały co najmniej 50 osób zatrudnionych. </w:t>
      </w:r>
      <w:r w:rsidR="003B37A3">
        <w:t>N</w:t>
      </w:r>
      <w:r w:rsidRPr="00C84C56">
        <w:t>a dzień 31</w:t>
      </w:r>
      <w:r w:rsidR="00B54727">
        <w:t xml:space="preserve"> sierpnia</w:t>
      </w:r>
      <w:r w:rsidR="004131C6">
        <w:t xml:space="preserve"> </w:t>
      </w:r>
      <w:r w:rsidRPr="00C84C56">
        <w:t>2022 r. partycypacja w tych podmiotach wynosi</w:t>
      </w:r>
      <w:r w:rsidR="0095298C">
        <w:t>ła</w:t>
      </w:r>
      <w:r w:rsidRPr="00C84C56">
        <w:t xml:space="preserve"> </w:t>
      </w:r>
      <w:r w:rsidRPr="004131C6">
        <w:t>24,</w:t>
      </w:r>
      <w:r w:rsidR="00553F05" w:rsidRPr="004131C6">
        <w:t>58</w:t>
      </w:r>
      <w:r w:rsidRPr="004131C6">
        <w:t>%.</w:t>
      </w:r>
    </w:p>
    <w:p w14:paraId="49161B5C" w14:textId="5F9AEE44" w:rsidR="0029150C" w:rsidRPr="00C84C56" w:rsidRDefault="0029150C" w:rsidP="004131C6">
      <w:pPr>
        <w:spacing w:before="6" w:after="6" w:line="288" w:lineRule="auto"/>
        <w:jc w:val="both"/>
      </w:pPr>
      <w:r w:rsidRPr="00C84C56">
        <w:t>Trzecia faza wdr</w:t>
      </w:r>
      <w:r w:rsidR="00753D57">
        <w:t>ożenia</w:t>
      </w:r>
      <w:r w:rsidRPr="00C84C56">
        <w:t xml:space="preserve"> PPK dotyczyła podmiotów, które w</w:t>
      </w:r>
      <w:r w:rsidR="00753D57">
        <w:t>edług</w:t>
      </w:r>
      <w:r w:rsidRPr="00C84C56">
        <w:t xml:space="preserve"> stanu na 31 grudnia 2019 r</w:t>
      </w:r>
      <w:r w:rsidR="00753D57">
        <w:t>.</w:t>
      </w:r>
      <w:r w:rsidRPr="00C84C56">
        <w:t xml:space="preserve"> zatrudniały co najmniej 20 osób zatrudnionych. </w:t>
      </w:r>
      <w:r w:rsidR="0095298C">
        <w:t>N</w:t>
      </w:r>
      <w:r w:rsidRPr="00C84C56">
        <w:t>a dzień 31</w:t>
      </w:r>
      <w:r w:rsidR="00B54727">
        <w:t xml:space="preserve"> sierpnia</w:t>
      </w:r>
      <w:r w:rsidR="004131C6">
        <w:t xml:space="preserve"> </w:t>
      </w:r>
      <w:r w:rsidRPr="00C84C56">
        <w:t>2022 r. partycypacja w tych podmiotach wynosi</w:t>
      </w:r>
      <w:r w:rsidR="0095298C">
        <w:t>ła</w:t>
      </w:r>
      <w:r w:rsidRPr="00C84C56">
        <w:t xml:space="preserve"> </w:t>
      </w:r>
      <w:r w:rsidRPr="004131C6">
        <w:t>23,</w:t>
      </w:r>
      <w:r w:rsidR="00BC5DBA">
        <w:t>55</w:t>
      </w:r>
      <w:r w:rsidRPr="004131C6">
        <w:t>%.</w:t>
      </w:r>
    </w:p>
    <w:p w14:paraId="70247242" w14:textId="60D80E41" w:rsidR="00927857" w:rsidRDefault="0029150C" w:rsidP="004131C6">
      <w:pPr>
        <w:spacing w:before="6" w:after="6" w:line="288" w:lineRule="auto"/>
        <w:jc w:val="both"/>
      </w:pPr>
      <w:r w:rsidRPr="00C84C56">
        <w:t>Czwarta faza wdr</w:t>
      </w:r>
      <w:r w:rsidR="00753D57">
        <w:t>ożenia</w:t>
      </w:r>
      <w:r w:rsidRPr="00C84C56">
        <w:t xml:space="preserve"> PPK dotyczyła pozostałych podmiotów zatrudniających nieobjętych ustawą we</w:t>
      </w:r>
      <w:r w:rsidR="003C1E0F">
        <w:t> </w:t>
      </w:r>
      <w:r w:rsidRPr="00C84C56">
        <w:t xml:space="preserve">wcześniejszych fazach, zatrudniających co najmniej jedną osobę zatrudnioną oraz </w:t>
      </w:r>
      <w:r w:rsidR="00E315A2">
        <w:t>jednostek sektora finansów publicznych</w:t>
      </w:r>
      <w:r w:rsidRPr="00C84C56" w:rsidDel="00975248">
        <w:t xml:space="preserve">. </w:t>
      </w:r>
      <w:r w:rsidRPr="00C84C56">
        <w:t>Na dzień 31</w:t>
      </w:r>
      <w:r w:rsidR="00400726">
        <w:t xml:space="preserve"> sierpnia</w:t>
      </w:r>
      <w:r w:rsidR="002F16C0">
        <w:t xml:space="preserve"> </w:t>
      </w:r>
      <w:r w:rsidRPr="00C84C56">
        <w:t>2022 r. partycypacja w tych podmiotach wynosi</w:t>
      </w:r>
      <w:r w:rsidR="00975248">
        <w:t>ła</w:t>
      </w:r>
      <w:r w:rsidRPr="00C84C56">
        <w:t xml:space="preserve"> </w:t>
      </w:r>
      <w:r w:rsidRPr="004131C6">
        <w:t>23,</w:t>
      </w:r>
      <w:r w:rsidR="00E718F3">
        <w:t>76</w:t>
      </w:r>
      <w:r w:rsidRPr="004131C6">
        <w:t>%.</w:t>
      </w:r>
    </w:p>
    <w:p w14:paraId="41404603" w14:textId="77777777" w:rsidR="00BA01D3" w:rsidRDefault="00823CC4" w:rsidP="004131C6">
      <w:pPr>
        <w:spacing w:before="6" w:after="6" w:line="288" w:lineRule="auto"/>
        <w:jc w:val="both"/>
      </w:pPr>
      <w:r>
        <w:t>Warto zwrócić uwagę, że partycypacja w PPK sukcesywnie rośnie</w:t>
      </w:r>
      <w:r w:rsidR="00E538AC">
        <w:t>, co wskazuje, że osoby</w:t>
      </w:r>
      <w:r w:rsidR="00B65122">
        <w:t xml:space="preserve"> </w:t>
      </w:r>
      <w:r w:rsidR="00E538AC">
        <w:t>raz zapis</w:t>
      </w:r>
      <w:r w:rsidR="00B65122">
        <w:t>ane</w:t>
      </w:r>
      <w:r w:rsidR="00E538AC">
        <w:t xml:space="preserve"> do programu, co do zasady, w nim pozostają. </w:t>
      </w:r>
    </w:p>
    <w:p w14:paraId="59CABAA1" w14:textId="77777777" w:rsidR="00823CC4" w:rsidRDefault="00E538AC" w:rsidP="004131C6">
      <w:pPr>
        <w:spacing w:before="6" w:after="6" w:line="288" w:lineRule="auto"/>
        <w:jc w:val="both"/>
      </w:pPr>
      <w:r>
        <w:t>Szczególnie ważn</w:t>
      </w:r>
      <w:r w:rsidR="00804535">
        <w:t xml:space="preserve">y jest </w:t>
      </w:r>
      <w:r>
        <w:t xml:space="preserve">w tym kontekście </w:t>
      </w:r>
      <w:r w:rsidR="00804535">
        <w:t>okres rozpoczynający się od drugiego półrocza 2021 r</w:t>
      </w:r>
      <w:r w:rsidR="00ED2A75">
        <w:t>oku</w:t>
      </w:r>
      <w:r w:rsidR="00804535">
        <w:t xml:space="preserve">, gdy zakończyły się już autozapisy </w:t>
      </w:r>
      <w:r w:rsidR="00466395">
        <w:t xml:space="preserve">w poszczególnych </w:t>
      </w:r>
      <w:r w:rsidR="001A3E6F">
        <w:t>podmiotach zatrudniających</w:t>
      </w:r>
      <w:r w:rsidR="00BA01D3">
        <w:t xml:space="preserve">. Po </w:t>
      </w:r>
      <w:r w:rsidR="00466395">
        <w:t xml:space="preserve">tym okresie liczba osób, które dodatkowo </w:t>
      </w:r>
      <w:r w:rsidR="00E64A69">
        <w:t>oszczędzają w PPK</w:t>
      </w:r>
      <w:r w:rsidR="00F73B7E">
        <w:t>,</w:t>
      </w:r>
      <w:r w:rsidR="00E64A69">
        <w:t xml:space="preserve"> zwiększyła się o </w:t>
      </w:r>
      <w:r w:rsidR="00BA01D3">
        <w:t>blisko</w:t>
      </w:r>
      <w:r w:rsidR="00E64A69">
        <w:t xml:space="preserve"> </w:t>
      </w:r>
      <w:r w:rsidR="00BA01D3">
        <w:t xml:space="preserve">300 </w:t>
      </w:r>
      <w:r w:rsidR="00E64A69">
        <w:t>tys</w:t>
      </w:r>
      <w:r w:rsidR="00041F3E">
        <w:t>.</w:t>
      </w:r>
      <w:r w:rsidR="00BA01D3">
        <w:t xml:space="preserve"> </w:t>
      </w:r>
    </w:p>
    <w:p w14:paraId="51668EA6" w14:textId="77777777" w:rsidR="00823CC4" w:rsidRDefault="00823CC4" w:rsidP="00674EEF">
      <w:pPr>
        <w:pStyle w:val="Legenda"/>
        <w:keepNext/>
        <w:jc w:val="both"/>
        <w:rPr>
          <w:color w:val="auto"/>
          <w:sz w:val="20"/>
          <w:szCs w:val="20"/>
        </w:rPr>
      </w:pPr>
    </w:p>
    <w:p w14:paraId="667B602D" w14:textId="63F6E8D7" w:rsidR="00674EEF" w:rsidRPr="00906DB3" w:rsidRDefault="00674EEF" w:rsidP="00674EEF">
      <w:pPr>
        <w:pStyle w:val="Legenda"/>
        <w:keepNext/>
        <w:jc w:val="both"/>
        <w:rPr>
          <w:color w:val="auto"/>
          <w:sz w:val="20"/>
          <w:szCs w:val="20"/>
        </w:rPr>
      </w:pPr>
      <w:bookmarkStart w:id="70" w:name="_Toc121826565"/>
      <w:r w:rsidRPr="00906DB3">
        <w:rPr>
          <w:color w:val="auto"/>
          <w:sz w:val="20"/>
          <w:szCs w:val="20"/>
        </w:rPr>
        <w:t xml:space="preserve">Wykres </w:t>
      </w:r>
      <w:r w:rsidRPr="00906DB3">
        <w:rPr>
          <w:color w:val="auto"/>
          <w:sz w:val="20"/>
          <w:szCs w:val="20"/>
        </w:rPr>
        <w:fldChar w:fldCharType="begin"/>
      </w:r>
      <w:r w:rsidRPr="00906DB3">
        <w:rPr>
          <w:color w:val="auto"/>
          <w:sz w:val="20"/>
          <w:szCs w:val="20"/>
        </w:rPr>
        <w:instrText xml:space="preserve"> SEQ Wykres \* ARABIC </w:instrText>
      </w:r>
      <w:r w:rsidRPr="00906DB3">
        <w:rPr>
          <w:color w:val="auto"/>
          <w:sz w:val="20"/>
          <w:szCs w:val="20"/>
        </w:rPr>
        <w:fldChar w:fldCharType="separate"/>
      </w:r>
      <w:r w:rsidR="001F2919">
        <w:rPr>
          <w:noProof/>
          <w:color w:val="auto"/>
          <w:sz w:val="20"/>
          <w:szCs w:val="20"/>
        </w:rPr>
        <w:t>15</w:t>
      </w:r>
      <w:r w:rsidRPr="00906DB3">
        <w:rPr>
          <w:color w:val="auto"/>
          <w:sz w:val="20"/>
          <w:szCs w:val="20"/>
        </w:rPr>
        <w:fldChar w:fldCharType="end"/>
      </w:r>
      <w:r w:rsidRPr="00906DB3">
        <w:rPr>
          <w:color w:val="auto"/>
          <w:sz w:val="20"/>
          <w:szCs w:val="20"/>
        </w:rPr>
        <w:t xml:space="preserve"> </w:t>
      </w:r>
      <w:r w:rsidRPr="00906DB3">
        <w:rPr>
          <w:b/>
          <w:i w:val="0"/>
          <w:color w:val="auto"/>
          <w:sz w:val="20"/>
          <w:szCs w:val="20"/>
        </w:rPr>
        <w:t>Wzrost liczby uczestników PPK</w:t>
      </w:r>
      <w:bookmarkEnd w:id="70"/>
    </w:p>
    <w:p w14:paraId="26259170" w14:textId="77777777" w:rsidR="00612943" w:rsidRPr="00612943" w:rsidRDefault="00612943" w:rsidP="003700AB">
      <w:pPr>
        <w:spacing w:before="6" w:after="6" w:line="288" w:lineRule="auto"/>
        <w:jc w:val="both"/>
      </w:pPr>
      <w:r w:rsidRPr="00612943">
        <w:rPr>
          <w:noProof/>
          <w:lang w:eastAsia="pl-PL"/>
        </w:rPr>
        <w:drawing>
          <wp:inline distT="0" distB="0" distL="0" distR="0" wp14:anchorId="0935E579" wp14:editId="73B0FE6A">
            <wp:extent cx="5877531" cy="3662885"/>
            <wp:effectExtent l="0" t="0" r="9525" b="13970"/>
            <wp:docPr id="12" name="Wykres 12">
              <a:extLst xmlns:a="http://schemas.openxmlformats.org/drawingml/2006/main">
                <a:ext uri="{FF2B5EF4-FFF2-40B4-BE49-F238E27FC236}">
                  <a16:creationId xmlns:a16="http://schemas.microsoft.com/office/drawing/2014/main" id="{9E1F9E78-F277-1487-F488-3BBCD6BA19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A494F88" w14:textId="77777777" w:rsidR="00612943" w:rsidRPr="00674EEF" w:rsidRDefault="00A13FCB" w:rsidP="00674EEF">
      <w:pPr>
        <w:spacing w:before="6" w:after="6" w:line="288" w:lineRule="auto"/>
        <w:jc w:val="both"/>
        <w:rPr>
          <w:i/>
          <w:sz w:val="18"/>
          <w:szCs w:val="18"/>
        </w:rPr>
      </w:pPr>
      <w:r w:rsidRPr="00674EEF">
        <w:rPr>
          <w:i/>
          <w:sz w:val="18"/>
          <w:szCs w:val="18"/>
        </w:rPr>
        <w:t>Źródło:</w:t>
      </w:r>
      <w:r w:rsidR="00FF303D" w:rsidRPr="00674EEF">
        <w:rPr>
          <w:i/>
          <w:sz w:val="18"/>
          <w:szCs w:val="18"/>
        </w:rPr>
        <w:t xml:space="preserve"> opracowanie własne PFR S.A. (dane z Ew</w:t>
      </w:r>
      <w:r w:rsidR="002146C0" w:rsidRPr="00674EEF">
        <w:rPr>
          <w:i/>
          <w:sz w:val="18"/>
          <w:szCs w:val="18"/>
        </w:rPr>
        <w:t>idencji PPK)</w:t>
      </w:r>
    </w:p>
    <w:p w14:paraId="397CBFB7" w14:textId="77777777" w:rsidR="00612943" w:rsidRPr="00C84C56" w:rsidRDefault="00612943" w:rsidP="003700AB">
      <w:pPr>
        <w:spacing w:before="6" w:after="6" w:line="288" w:lineRule="auto"/>
        <w:jc w:val="both"/>
      </w:pPr>
    </w:p>
    <w:p w14:paraId="01D3A8E0" w14:textId="2D821DB2" w:rsidR="0029150C" w:rsidRPr="00310301" w:rsidRDefault="004B085B" w:rsidP="003700AB">
      <w:pPr>
        <w:spacing w:before="6" w:after="6" w:line="288" w:lineRule="auto"/>
        <w:jc w:val="both"/>
      </w:pPr>
      <w:r w:rsidRPr="00310301">
        <w:t>Pomijając etapy wdrażania</w:t>
      </w:r>
      <w:r w:rsidR="00FA45F6" w:rsidRPr="00310301">
        <w:t xml:space="preserve"> systemu</w:t>
      </w:r>
      <w:r w:rsidRPr="00310301">
        <w:t>,</w:t>
      </w:r>
      <w:r w:rsidR="000D3CB4" w:rsidRPr="00310301">
        <w:t xml:space="preserve"> </w:t>
      </w:r>
      <w:r w:rsidR="00FF3507" w:rsidRPr="00310301">
        <w:t xml:space="preserve">a skupiając się jedynie na </w:t>
      </w:r>
      <w:r w:rsidR="003A61F4" w:rsidRPr="00310301">
        <w:t xml:space="preserve">aspekcie </w:t>
      </w:r>
      <w:r w:rsidR="00FA45F6" w:rsidRPr="00310301">
        <w:t xml:space="preserve">wielkości </w:t>
      </w:r>
      <w:r w:rsidR="00D44092" w:rsidRPr="00310301">
        <w:t>podmiotu zatrudniającego</w:t>
      </w:r>
      <w:r w:rsidR="008959FC" w:rsidRPr="00592FA8">
        <w:t xml:space="preserve"> (w tym jednostek sektora finansów publicznych)</w:t>
      </w:r>
      <w:r w:rsidR="00DE56EA" w:rsidRPr="00310301">
        <w:t>,</w:t>
      </w:r>
      <w:r w:rsidR="007D75A1" w:rsidRPr="00310301" w:rsidDel="00D44092">
        <w:t xml:space="preserve"> </w:t>
      </w:r>
      <w:r w:rsidR="007D75A1" w:rsidRPr="00310301">
        <w:t xml:space="preserve">widoczna jest </w:t>
      </w:r>
      <w:r w:rsidR="008F7E28" w:rsidRPr="00310301">
        <w:t>t</w:t>
      </w:r>
      <w:r w:rsidR="0029150C" w:rsidRPr="00310301">
        <w:t>endencja spadkowa partycypacji w PPK</w:t>
      </w:r>
      <w:r w:rsidR="00034DD5" w:rsidRPr="00310301">
        <w:t xml:space="preserve"> przy zmniejszaniu się wielkości zatrudnienia</w:t>
      </w:r>
      <w:r w:rsidR="006703C7" w:rsidRPr="00310301">
        <w:t>.</w:t>
      </w:r>
      <w:r w:rsidR="006636CF" w:rsidRPr="00310301">
        <w:t xml:space="preserve"> W podmiotach </w:t>
      </w:r>
      <w:r w:rsidR="0029150C" w:rsidRPr="00310301">
        <w:t>zatrudniających ponad 1000 osób</w:t>
      </w:r>
      <w:r w:rsidR="00837FC5" w:rsidRPr="00AD2594">
        <w:t>,</w:t>
      </w:r>
      <w:r w:rsidR="0029150C" w:rsidRPr="00310301">
        <w:t xml:space="preserve"> mogących przystąpić do PPK</w:t>
      </w:r>
      <w:r w:rsidR="00837FC5" w:rsidRPr="00AD2594">
        <w:t>,</w:t>
      </w:r>
      <w:r w:rsidR="0029150C" w:rsidRPr="00310301">
        <w:t xml:space="preserve"> partycypacja kształtuje się na poziomie 47,</w:t>
      </w:r>
      <w:r w:rsidR="0042508F" w:rsidRPr="00310301">
        <w:t>91</w:t>
      </w:r>
      <w:r w:rsidR="0029150C" w:rsidRPr="00310301">
        <w:t>%. W</w:t>
      </w:r>
      <w:r w:rsidR="00E74147">
        <w:t> </w:t>
      </w:r>
      <w:r w:rsidR="0029150C" w:rsidRPr="00310301">
        <w:t>podmiotach zatrudniających mi</w:t>
      </w:r>
      <w:r w:rsidR="00D44092" w:rsidRPr="00310301">
        <w:t>ę</w:t>
      </w:r>
      <w:r w:rsidR="0029150C" w:rsidRPr="00310301">
        <w:t>dzy 250 a 999 osób jest to 35,</w:t>
      </w:r>
      <w:r w:rsidR="00102294" w:rsidRPr="00310301">
        <w:t>52</w:t>
      </w:r>
      <w:r w:rsidR="0029150C" w:rsidRPr="00310301">
        <w:t xml:space="preserve">%, między 50 a 249 osób </w:t>
      </w:r>
      <w:r w:rsidR="00F35C56">
        <w:t>–</w:t>
      </w:r>
      <w:r w:rsidR="0029150C" w:rsidRPr="00310301">
        <w:t xml:space="preserve"> 21,</w:t>
      </w:r>
      <w:r w:rsidR="00102294" w:rsidRPr="00310301">
        <w:t>42</w:t>
      </w:r>
      <w:r w:rsidR="0029150C" w:rsidRPr="00310301">
        <w:t xml:space="preserve">%, </w:t>
      </w:r>
      <w:r w:rsidR="00D44092" w:rsidRPr="00310301">
        <w:t xml:space="preserve">a </w:t>
      </w:r>
      <w:r w:rsidR="0029150C" w:rsidRPr="00310301">
        <w:t>między 10 a</w:t>
      </w:r>
      <w:r w:rsidR="000646AA" w:rsidRPr="00310301">
        <w:t> </w:t>
      </w:r>
      <w:r w:rsidR="0029150C" w:rsidRPr="00310301">
        <w:t xml:space="preserve">49 osób </w:t>
      </w:r>
      <w:r w:rsidR="00F35C56">
        <w:t>–</w:t>
      </w:r>
      <w:r w:rsidR="0029150C" w:rsidRPr="00310301">
        <w:t xml:space="preserve"> </w:t>
      </w:r>
      <w:r w:rsidR="00102294" w:rsidRPr="00310301">
        <w:t>21</w:t>
      </w:r>
      <w:r w:rsidR="0029150C" w:rsidRPr="00310301">
        <w:t>,</w:t>
      </w:r>
      <w:r w:rsidR="00102294" w:rsidRPr="00310301">
        <w:t>02</w:t>
      </w:r>
      <w:r w:rsidR="0029150C" w:rsidRPr="00310301">
        <w:t>%.</w:t>
      </w:r>
    </w:p>
    <w:p w14:paraId="3E6FC758" w14:textId="72E19E6E" w:rsidR="00720FBB" w:rsidRDefault="00720FBB">
      <w:pPr>
        <w:rPr>
          <w:i/>
          <w:iCs/>
          <w:sz w:val="20"/>
          <w:szCs w:val="20"/>
        </w:rPr>
      </w:pPr>
      <w:bookmarkStart w:id="71" w:name="_Toc116482576"/>
    </w:p>
    <w:p w14:paraId="618D8CEA" w14:textId="2B99982D" w:rsidR="002F1314" w:rsidRPr="00310301" w:rsidRDefault="002F1314" w:rsidP="002F1314">
      <w:pPr>
        <w:pStyle w:val="Legenda"/>
        <w:keepNext/>
        <w:rPr>
          <w:b/>
          <w:i w:val="0"/>
          <w:color w:val="auto"/>
          <w:sz w:val="20"/>
          <w:szCs w:val="20"/>
        </w:rPr>
      </w:pPr>
      <w:bookmarkStart w:id="72" w:name="_Toc121826365"/>
      <w:r w:rsidRPr="00310301">
        <w:rPr>
          <w:color w:val="auto"/>
          <w:sz w:val="20"/>
          <w:szCs w:val="20"/>
        </w:rPr>
        <w:t xml:space="preserve">Tabela </w:t>
      </w:r>
      <w:r w:rsidRPr="00310301">
        <w:rPr>
          <w:color w:val="auto"/>
          <w:sz w:val="20"/>
          <w:szCs w:val="20"/>
        </w:rPr>
        <w:fldChar w:fldCharType="begin"/>
      </w:r>
      <w:r w:rsidRPr="00310301">
        <w:rPr>
          <w:color w:val="auto"/>
          <w:sz w:val="20"/>
          <w:szCs w:val="20"/>
        </w:rPr>
        <w:instrText xml:space="preserve"> SEQ Tabela \* ARABIC </w:instrText>
      </w:r>
      <w:r w:rsidRPr="00310301">
        <w:rPr>
          <w:color w:val="auto"/>
          <w:sz w:val="20"/>
          <w:szCs w:val="20"/>
        </w:rPr>
        <w:fldChar w:fldCharType="separate"/>
      </w:r>
      <w:r w:rsidR="00432D06" w:rsidRPr="00592FA8">
        <w:rPr>
          <w:color w:val="auto"/>
          <w:sz w:val="20"/>
          <w:szCs w:val="20"/>
        </w:rPr>
        <w:t>3</w:t>
      </w:r>
      <w:r w:rsidRPr="00310301">
        <w:rPr>
          <w:color w:val="auto"/>
          <w:sz w:val="20"/>
          <w:szCs w:val="20"/>
        </w:rPr>
        <w:fldChar w:fldCharType="end"/>
      </w:r>
      <w:r w:rsidRPr="00310301">
        <w:rPr>
          <w:b/>
          <w:i w:val="0"/>
          <w:color w:val="auto"/>
          <w:sz w:val="20"/>
          <w:szCs w:val="20"/>
        </w:rPr>
        <w:t xml:space="preserve"> Partycypacja w </w:t>
      </w:r>
      <w:r w:rsidR="00CC475D" w:rsidRPr="00310301">
        <w:rPr>
          <w:b/>
          <w:i w:val="0"/>
          <w:color w:val="auto"/>
          <w:sz w:val="20"/>
          <w:szCs w:val="20"/>
        </w:rPr>
        <w:t>przedziałach zatrudnienia</w:t>
      </w:r>
      <w:bookmarkEnd w:id="71"/>
      <w:bookmarkEnd w:id="72"/>
    </w:p>
    <w:tbl>
      <w:tblPr>
        <w:tblStyle w:val="Tabelasiatki41"/>
        <w:tblW w:w="8968" w:type="dxa"/>
        <w:tblLook w:val="04A0" w:firstRow="1" w:lastRow="0" w:firstColumn="1" w:lastColumn="0" w:noHBand="0" w:noVBand="1"/>
      </w:tblPr>
      <w:tblGrid>
        <w:gridCol w:w="4458"/>
        <w:gridCol w:w="4510"/>
      </w:tblGrid>
      <w:tr w:rsidR="00387658" w:rsidRPr="00BA486C" w14:paraId="726F58E9" w14:textId="77777777" w:rsidTr="000646AA">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4458" w:type="dxa"/>
            <w:hideMark/>
          </w:tcPr>
          <w:p w14:paraId="0E63CFFE" w14:textId="77777777" w:rsidR="00387658" w:rsidRPr="00310301" w:rsidRDefault="00DB7013" w:rsidP="003700AB">
            <w:pPr>
              <w:spacing w:before="6" w:after="6" w:line="288" w:lineRule="auto"/>
              <w:rPr>
                <w:rFonts w:eastAsia="Times New Roman" w:cstheme="minorHAnsi"/>
                <w:color w:val="FFFFFF"/>
                <w:lang w:eastAsia="pl-PL"/>
              </w:rPr>
            </w:pPr>
            <w:r w:rsidRPr="00310301">
              <w:rPr>
                <w:rFonts w:eastAsia="Times New Roman" w:cstheme="minorHAnsi"/>
                <w:color w:val="FFFFFF"/>
                <w:lang w:eastAsia="pl-PL"/>
              </w:rPr>
              <w:t>P</w:t>
            </w:r>
            <w:r w:rsidR="00387658" w:rsidRPr="00310301">
              <w:rPr>
                <w:rFonts w:eastAsia="Times New Roman" w:cstheme="minorHAnsi"/>
                <w:color w:val="FFFFFF"/>
                <w:lang w:eastAsia="pl-PL"/>
              </w:rPr>
              <w:t xml:space="preserve">rzedział zatrudnienia </w:t>
            </w:r>
          </w:p>
        </w:tc>
        <w:tc>
          <w:tcPr>
            <w:tcW w:w="4510" w:type="dxa"/>
            <w:hideMark/>
          </w:tcPr>
          <w:p w14:paraId="262EF4BA" w14:textId="77777777" w:rsidR="00387658" w:rsidRPr="00310301" w:rsidRDefault="00DB7013" w:rsidP="003700AB">
            <w:pPr>
              <w:spacing w:before="6" w:after="6" w:line="288"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lang w:eastAsia="pl-PL"/>
              </w:rPr>
            </w:pPr>
            <w:r w:rsidRPr="00310301">
              <w:rPr>
                <w:rFonts w:eastAsia="Times New Roman" w:cstheme="minorHAnsi"/>
                <w:color w:val="FFFFFF"/>
                <w:lang w:eastAsia="pl-PL"/>
              </w:rPr>
              <w:t>P</w:t>
            </w:r>
            <w:r w:rsidR="00387658" w:rsidRPr="00310301">
              <w:rPr>
                <w:rFonts w:eastAsia="Times New Roman" w:cstheme="minorHAnsi"/>
                <w:color w:val="FFFFFF"/>
                <w:lang w:eastAsia="pl-PL"/>
              </w:rPr>
              <w:t xml:space="preserve">artycypacja </w:t>
            </w:r>
            <w:r w:rsidR="00034DD5" w:rsidRPr="00310301">
              <w:rPr>
                <w:rFonts w:eastAsia="Times New Roman" w:cstheme="minorHAnsi"/>
                <w:color w:val="FFFFFF"/>
                <w:lang w:eastAsia="pl-PL"/>
              </w:rPr>
              <w:t>w PPK</w:t>
            </w:r>
            <w:r w:rsidR="003700AB" w:rsidRPr="00310301">
              <w:rPr>
                <w:rFonts w:eastAsia="Times New Roman" w:cstheme="minorHAnsi"/>
                <w:color w:val="FFFFFF"/>
                <w:lang w:eastAsia="pl-PL"/>
              </w:rPr>
              <w:t xml:space="preserve"> </w:t>
            </w:r>
            <w:r w:rsidR="00387658" w:rsidRPr="00310301">
              <w:rPr>
                <w:rFonts w:eastAsia="Times New Roman" w:cstheme="minorHAnsi"/>
                <w:color w:val="FFFFFF"/>
                <w:lang w:eastAsia="pl-PL"/>
              </w:rPr>
              <w:t>[%]</w:t>
            </w:r>
          </w:p>
        </w:tc>
      </w:tr>
      <w:tr w:rsidR="00121932" w:rsidRPr="00BA486C" w14:paraId="37020A3A" w14:textId="77777777" w:rsidTr="00890462">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4458" w:type="dxa"/>
            <w:noWrap/>
            <w:hideMark/>
          </w:tcPr>
          <w:p w14:paraId="34B2DE94" w14:textId="77777777" w:rsidR="00121932" w:rsidRPr="00310301" w:rsidRDefault="00121932" w:rsidP="003700AB">
            <w:pPr>
              <w:spacing w:before="6" w:after="6" w:line="288" w:lineRule="auto"/>
              <w:rPr>
                <w:rFonts w:eastAsia="Times New Roman" w:cstheme="minorHAnsi"/>
                <w:color w:val="000000"/>
                <w:lang w:eastAsia="pl-PL"/>
              </w:rPr>
            </w:pPr>
            <w:r w:rsidRPr="00310301">
              <w:rPr>
                <w:rFonts w:eastAsia="Times New Roman" w:cstheme="minorHAnsi"/>
                <w:color w:val="000000"/>
                <w:lang w:eastAsia="pl-PL"/>
              </w:rPr>
              <w:t xml:space="preserve"> 1000+</w:t>
            </w:r>
          </w:p>
        </w:tc>
        <w:tc>
          <w:tcPr>
            <w:tcW w:w="4510" w:type="dxa"/>
            <w:noWrap/>
            <w:vAlign w:val="bottom"/>
            <w:hideMark/>
          </w:tcPr>
          <w:p w14:paraId="4D119806" w14:textId="77777777" w:rsidR="00121932" w:rsidRPr="00310301" w:rsidRDefault="00121932" w:rsidP="003700AB">
            <w:pPr>
              <w:spacing w:before="6" w:after="6" w:line="288"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sidRPr="00310301">
              <w:rPr>
                <w:rFonts w:ascii="Calibri" w:hAnsi="Calibri" w:cs="Calibri"/>
                <w:color w:val="000000"/>
              </w:rPr>
              <w:t>47,91</w:t>
            </w:r>
          </w:p>
        </w:tc>
      </w:tr>
      <w:tr w:rsidR="00121932" w:rsidRPr="00BA486C" w14:paraId="3C8A1CF8" w14:textId="77777777" w:rsidTr="00890462">
        <w:trPr>
          <w:trHeight w:val="266"/>
        </w:trPr>
        <w:tc>
          <w:tcPr>
            <w:cnfStyle w:val="001000000000" w:firstRow="0" w:lastRow="0" w:firstColumn="1" w:lastColumn="0" w:oddVBand="0" w:evenVBand="0" w:oddHBand="0" w:evenHBand="0" w:firstRowFirstColumn="0" w:firstRowLastColumn="0" w:lastRowFirstColumn="0" w:lastRowLastColumn="0"/>
            <w:tcW w:w="4458" w:type="dxa"/>
            <w:noWrap/>
            <w:hideMark/>
          </w:tcPr>
          <w:p w14:paraId="644F2A0F" w14:textId="73B9F221" w:rsidR="00121932" w:rsidRPr="00310301" w:rsidRDefault="00121932" w:rsidP="003700AB">
            <w:pPr>
              <w:spacing w:before="6" w:after="6" w:line="288" w:lineRule="auto"/>
              <w:rPr>
                <w:rFonts w:eastAsia="Times New Roman" w:cstheme="minorHAnsi"/>
                <w:color w:val="000000"/>
                <w:lang w:eastAsia="pl-PL"/>
              </w:rPr>
            </w:pPr>
            <w:r w:rsidRPr="00310301">
              <w:rPr>
                <w:rFonts w:eastAsia="Times New Roman" w:cstheme="minorHAnsi"/>
                <w:color w:val="000000"/>
                <w:lang w:eastAsia="pl-PL"/>
              </w:rPr>
              <w:t xml:space="preserve"> 250</w:t>
            </w:r>
            <w:r w:rsidR="00F35C56">
              <w:rPr>
                <w:rFonts w:eastAsia="Times New Roman" w:cstheme="minorHAnsi"/>
                <w:color w:val="000000"/>
                <w:lang w:eastAsia="pl-PL"/>
              </w:rPr>
              <w:t>–</w:t>
            </w:r>
            <w:r w:rsidRPr="00310301">
              <w:rPr>
                <w:rFonts w:eastAsia="Times New Roman" w:cstheme="minorHAnsi"/>
                <w:color w:val="000000"/>
                <w:lang w:eastAsia="pl-PL"/>
              </w:rPr>
              <w:t xml:space="preserve">999 </w:t>
            </w:r>
          </w:p>
        </w:tc>
        <w:tc>
          <w:tcPr>
            <w:tcW w:w="4510" w:type="dxa"/>
            <w:noWrap/>
            <w:vAlign w:val="bottom"/>
            <w:hideMark/>
          </w:tcPr>
          <w:p w14:paraId="4C0D7D3B" w14:textId="77777777" w:rsidR="00121932" w:rsidRPr="00310301" w:rsidRDefault="00121932" w:rsidP="003700AB">
            <w:pPr>
              <w:spacing w:before="6" w:after="6" w:line="288"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sidRPr="00310301">
              <w:rPr>
                <w:rFonts w:ascii="Calibri" w:hAnsi="Calibri" w:cs="Calibri"/>
                <w:color w:val="000000"/>
              </w:rPr>
              <w:t>35,52</w:t>
            </w:r>
          </w:p>
        </w:tc>
      </w:tr>
      <w:tr w:rsidR="00121932" w:rsidRPr="00BA486C" w14:paraId="4FD3B644" w14:textId="77777777" w:rsidTr="00890462">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4458" w:type="dxa"/>
            <w:noWrap/>
            <w:hideMark/>
          </w:tcPr>
          <w:p w14:paraId="19863C73" w14:textId="3F8ACC3B" w:rsidR="00121932" w:rsidRPr="00310301" w:rsidRDefault="00121932" w:rsidP="003700AB">
            <w:pPr>
              <w:spacing w:before="6" w:after="6" w:line="288" w:lineRule="auto"/>
              <w:rPr>
                <w:rFonts w:eastAsia="Times New Roman" w:cstheme="minorHAnsi"/>
                <w:color w:val="000000"/>
                <w:lang w:eastAsia="pl-PL"/>
              </w:rPr>
            </w:pPr>
            <w:r w:rsidRPr="00310301">
              <w:rPr>
                <w:rFonts w:eastAsia="Times New Roman" w:cstheme="minorHAnsi"/>
                <w:color w:val="000000"/>
                <w:lang w:eastAsia="pl-PL"/>
              </w:rPr>
              <w:t xml:space="preserve"> 50</w:t>
            </w:r>
            <w:r w:rsidR="00F35C56">
              <w:rPr>
                <w:rFonts w:eastAsia="Times New Roman" w:cstheme="minorHAnsi"/>
                <w:color w:val="000000"/>
                <w:lang w:eastAsia="pl-PL"/>
              </w:rPr>
              <w:t>–</w:t>
            </w:r>
            <w:r w:rsidRPr="00310301">
              <w:rPr>
                <w:rFonts w:eastAsia="Times New Roman" w:cstheme="minorHAnsi"/>
                <w:color w:val="000000"/>
                <w:lang w:eastAsia="pl-PL"/>
              </w:rPr>
              <w:t>249</w:t>
            </w:r>
          </w:p>
        </w:tc>
        <w:tc>
          <w:tcPr>
            <w:tcW w:w="4510" w:type="dxa"/>
            <w:noWrap/>
            <w:vAlign w:val="bottom"/>
            <w:hideMark/>
          </w:tcPr>
          <w:p w14:paraId="4DC9BFE6" w14:textId="77777777" w:rsidR="00121932" w:rsidRPr="00310301" w:rsidRDefault="00121932" w:rsidP="003700AB">
            <w:pPr>
              <w:spacing w:before="6" w:after="6" w:line="288"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sidRPr="00310301">
              <w:rPr>
                <w:rFonts w:ascii="Calibri" w:hAnsi="Calibri" w:cs="Calibri"/>
                <w:color w:val="000000"/>
              </w:rPr>
              <w:t>21,42</w:t>
            </w:r>
          </w:p>
        </w:tc>
      </w:tr>
      <w:tr w:rsidR="00121932" w:rsidRPr="00BA486C" w14:paraId="07F17EA5" w14:textId="77777777" w:rsidTr="00890462">
        <w:trPr>
          <w:trHeight w:val="266"/>
        </w:trPr>
        <w:tc>
          <w:tcPr>
            <w:cnfStyle w:val="001000000000" w:firstRow="0" w:lastRow="0" w:firstColumn="1" w:lastColumn="0" w:oddVBand="0" w:evenVBand="0" w:oddHBand="0" w:evenHBand="0" w:firstRowFirstColumn="0" w:firstRowLastColumn="0" w:lastRowFirstColumn="0" w:lastRowLastColumn="0"/>
            <w:tcW w:w="4458" w:type="dxa"/>
            <w:noWrap/>
            <w:hideMark/>
          </w:tcPr>
          <w:p w14:paraId="08043522" w14:textId="3B6A4161" w:rsidR="00121932" w:rsidRPr="00310301" w:rsidRDefault="00121932" w:rsidP="003700AB">
            <w:pPr>
              <w:spacing w:before="6" w:after="6" w:line="288" w:lineRule="auto"/>
              <w:rPr>
                <w:rFonts w:eastAsia="Times New Roman" w:cstheme="minorHAnsi"/>
                <w:color w:val="000000"/>
                <w:lang w:eastAsia="pl-PL"/>
              </w:rPr>
            </w:pPr>
            <w:r w:rsidRPr="00310301">
              <w:rPr>
                <w:rFonts w:eastAsia="Times New Roman" w:cstheme="minorHAnsi"/>
                <w:color w:val="000000"/>
                <w:lang w:eastAsia="pl-PL"/>
              </w:rPr>
              <w:t xml:space="preserve"> 10–49</w:t>
            </w:r>
          </w:p>
        </w:tc>
        <w:tc>
          <w:tcPr>
            <w:tcW w:w="4510" w:type="dxa"/>
            <w:noWrap/>
            <w:vAlign w:val="bottom"/>
            <w:hideMark/>
          </w:tcPr>
          <w:p w14:paraId="24771871" w14:textId="77777777" w:rsidR="00121932" w:rsidRPr="00310301" w:rsidRDefault="00121932" w:rsidP="003700AB">
            <w:pPr>
              <w:spacing w:before="6" w:after="6" w:line="288"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sidRPr="00310301">
              <w:rPr>
                <w:rFonts w:ascii="Calibri" w:hAnsi="Calibri" w:cs="Calibri"/>
                <w:color w:val="000000"/>
              </w:rPr>
              <w:t>21,02</w:t>
            </w:r>
          </w:p>
        </w:tc>
      </w:tr>
    </w:tbl>
    <w:p w14:paraId="56944061" w14:textId="77777777" w:rsidR="006636CF" w:rsidRPr="00906DB3" w:rsidRDefault="00010CF4" w:rsidP="003700AB">
      <w:pPr>
        <w:spacing w:before="6" w:after="6" w:line="288" w:lineRule="auto"/>
        <w:rPr>
          <w:i/>
          <w:sz w:val="18"/>
          <w:szCs w:val="18"/>
        </w:rPr>
      </w:pPr>
      <w:r w:rsidRPr="00310301">
        <w:rPr>
          <w:i/>
        </w:rPr>
        <w:t>Źródło:</w:t>
      </w:r>
      <w:r w:rsidRPr="00310301">
        <w:rPr>
          <w:i/>
          <w:sz w:val="18"/>
          <w:szCs w:val="18"/>
        </w:rPr>
        <w:t xml:space="preserve"> </w:t>
      </w:r>
      <w:r w:rsidR="00030563" w:rsidRPr="00310301">
        <w:rPr>
          <w:i/>
          <w:sz w:val="18"/>
          <w:szCs w:val="18"/>
        </w:rPr>
        <w:t>Ewidencja PPK</w:t>
      </w:r>
      <w:r w:rsidR="00735C31" w:rsidRPr="00310301">
        <w:rPr>
          <w:i/>
          <w:sz w:val="18"/>
          <w:szCs w:val="18"/>
        </w:rPr>
        <w:t>, stan</w:t>
      </w:r>
      <w:r w:rsidR="001B5774" w:rsidRPr="00310301">
        <w:rPr>
          <w:i/>
          <w:sz w:val="18"/>
          <w:szCs w:val="18"/>
        </w:rPr>
        <w:t xml:space="preserve"> na 31.08</w:t>
      </w:r>
      <w:r w:rsidR="00735C31" w:rsidRPr="00310301">
        <w:rPr>
          <w:i/>
          <w:sz w:val="18"/>
          <w:szCs w:val="18"/>
        </w:rPr>
        <w:t>.2022 r.</w:t>
      </w:r>
    </w:p>
    <w:p w14:paraId="1076AB2C" w14:textId="77777777" w:rsidR="00735C31" w:rsidRPr="003700AB" w:rsidRDefault="00735C31" w:rsidP="003700AB">
      <w:pPr>
        <w:spacing w:before="6" w:after="6" w:line="288" w:lineRule="auto"/>
        <w:rPr>
          <w:i/>
          <w:iCs/>
        </w:rPr>
      </w:pPr>
    </w:p>
    <w:p w14:paraId="339179F9" w14:textId="77777777" w:rsidR="0029150C" w:rsidRPr="00C84C56" w:rsidRDefault="0029150C" w:rsidP="003700AB">
      <w:pPr>
        <w:spacing w:before="6" w:after="6" w:line="288" w:lineRule="auto"/>
        <w:jc w:val="both"/>
      </w:pPr>
      <w:r w:rsidRPr="00375983">
        <w:t xml:space="preserve">Partycypacja w sektorze prywatnym jest znacząco wyższa niż w publicznym, jest to odpowiednio </w:t>
      </w:r>
      <w:r w:rsidRPr="003700AB">
        <w:t>37,</w:t>
      </w:r>
      <w:r w:rsidR="00AF6D79" w:rsidRPr="003700AB">
        <w:t>44</w:t>
      </w:r>
      <w:r w:rsidRPr="003700AB">
        <w:t xml:space="preserve">% do </w:t>
      </w:r>
      <w:r w:rsidR="007B0A7F" w:rsidRPr="003700AB">
        <w:t>20,20</w:t>
      </w:r>
      <w:r w:rsidRPr="003700AB">
        <w:t>%</w:t>
      </w:r>
      <w:r w:rsidR="00A22CDD">
        <w:t>.</w:t>
      </w:r>
    </w:p>
    <w:p w14:paraId="6F0107C4" w14:textId="77777777" w:rsidR="0029150C" w:rsidRDefault="0029150C" w:rsidP="003700AB">
      <w:pPr>
        <w:spacing w:before="6" w:after="6" w:line="288" w:lineRule="auto"/>
        <w:jc w:val="both"/>
      </w:pPr>
      <w:r w:rsidRPr="00C84C56">
        <w:t xml:space="preserve">Różnica </w:t>
      </w:r>
      <w:r w:rsidR="00026674">
        <w:t>po</w:t>
      </w:r>
      <w:r w:rsidRPr="00C84C56">
        <w:t xml:space="preserve">między województwem mazowieckim (45,10%), charakteryzującym się największym odsetkiem osób uczestniczących w programie </w:t>
      </w:r>
      <w:r w:rsidR="00DC269F">
        <w:t>w</w:t>
      </w:r>
      <w:r w:rsidRPr="00C84C56">
        <w:t xml:space="preserve"> ogólnej liczb</w:t>
      </w:r>
      <w:r w:rsidR="00DC269F">
        <w:t>ie</w:t>
      </w:r>
      <w:r w:rsidRPr="00C84C56">
        <w:t xml:space="preserve"> osób zatrudnionych, a województwem </w:t>
      </w:r>
      <w:r w:rsidRPr="00C84C56">
        <w:lastRenderedPageBreak/>
        <w:t>warmińsko-mazurskim (19,70%), gdzie ten współczynnik jest najmniejszy</w:t>
      </w:r>
      <w:r w:rsidR="00432AB8">
        <w:t>,</w:t>
      </w:r>
      <w:r w:rsidRPr="00C84C56" w:rsidDel="00432AB8">
        <w:t xml:space="preserve"> </w:t>
      </w:r>
      <w:r w:rsidRPr="00C84C56">
        <w:t xml:space="preserve">wynosi </w:t>
      </w:r>
      <w:r w:rsidR="00432AB8">
        <w:t xml:space="preserve">aż </w:t>
      </w:r>
      <w:r w:rsidRPr="00C84C56">
        <w:t xml:space="preserve">25,4%, </w:t>
      </w:r>
      <w:r w:rsidR="00432AB8">
        <w:t xml:space="preserve">a więc </w:t>
      </w:r>
      <w:r w:rsidR="007114C3">
        <w:t xml:space="preserve">partycypacja w województwie </w:t>
      </w:r>
      <w:r w:rsidR="007C4D9C">
        <w:t xml:space="preserve">mazowieckim </w:t>
      </w:r>
      <w:r w:rsidRPr="00C84C56">
        <w:t>jest ponad dwukrotnie wyższa.</w:t>
      </w:r>
    </w:p>
    <w:p w14:paraId="1593E0E4" w14:textId="77777777" w:rsidR="00BF4F8E" w:rsidRDefault="00BF4F8E" w:rsidP="003700AB">
      <w:pPr>
        <w:spacing w:before="6" w:after="6" w:line="288" w:lineRule="auto"/>
        <w:jc w:val="both"/>
      </w:pPr>
    </w:p>
    <w:p w14:paraId="652759E0" w14:textId="2FC97C8E" w:rsidR="00BF4F8E" w:rsidRPr="007658AC" w:rsidRDefault="00BF4F8E" w:rsidP="003700AB">
      <w:pPr>
        <w:spacing w:before="6" w:after="6" w:line="288" w:lineRule="auto"/>
        <w:jc w:val="both"/>
      </w:pPr>
      <w:r w:rsidRPr="007658AC">
        <w:t>Zauważalna jest dodatnia korelacja partycypacji w PPK z PKB na osobę w podziale na województwa</w:t>
      </w:r>
      <w:r w:rsidRPr="003D6725">
        <w:rPr>
          <w:rStyle w:val="Odwoanieprzypisudolnego"/>
        </w:rPr>
        <w:footnoteReference w:id="30"/>
      </w:r>
      <w:r w:rsidR="00FE6826" w:rsidRPr="003D6725">
        <w:rPr>
          <w:vertAlign w:val="superscript"/>
        </w:rPr>
        <w:t>)</w:t>
      </w:r>
      <w:r w:rsidRPr="007658AC">
        <w:t xml:space="preserve">. Największy odsetek uczestników programu PPK w ogólnej liczbie ludności koncentruje się wokół największych polskich miast i najzamożniejszych regionów. </w:t>
      </w:r>
      <w:r w:rsidRPr="00AD2594">
        <w:t xml:space="preserve">Osiem województw z najniższym odsetkiem uczestników programu to te, w których PKB na osobę jest najniższe. Korelacja występuje także w przypadku poziomu wykształcenia </w:t>
      </w:r>
      <w:r w:rsidR="009C718C">
        <w:t>–</w:t>
      </w:r>
      <w:r w:rsidRPr="00AD2594">
        <w:t xml:space="preserve"> województw</w:t>
      </w:r>
      <w:r w:rsidR="009C718C">
        <w:t>a:</w:t>
      </w:r>
      <w:r w:rsidRPr="00AD2594">
        <w:t xml:space="preserve"> lubuski</w:t>
      </w:r>
      <w:r w:rsidR="00E1605D">
        <w:t>e i warmińsko-mazurskie, które</w:t>
      </w:r>
      <w:r w:rsidR="003C1E0F">
        <w:t> </w:t>
      </w:r>
      <w:r>
        <w:t xml:space="preserve">należą do </w:t>
      </w:r>
      <w:r w:rsidRPr="00AD2594">
        <w:t>województ</w:t>
      </w:r>
      <w:r>
        <w:t>w</w:t>
      </w:r>
      <w:r w:rsidRPr="00AD2594">
        <w:t xml:space="preserve"> </w:t>
      </w:r>
      <w:r>
        <w:t>o</w:t>
      </w:r>
      <w:r w:rsidRPr="00AD2594">
        <w:t xml:space="preserve"> najniższym</w:t>
      </w:r>
      <w:r w:rsidRPr="009B13A3">
        <w:t xml:space="preserve"> odsetk</w:t>
      </w:r>
      <w:r>
        <w:t>u</w:t>
      </w:r>
      <w:r w:rsidRPr="009B13A3">
        <w:t xml:space="preserve"> osób z wyższym wykształceniem</w:t>
      </w:r>
      <w:r w:rsidR="00A658D3">
        <w:rPr>
          <w:rStyle w:val="Odwoanieprzypisudolnego"/>
        </w:rPr>
        <w:footnoteReference w:id="31"/>
      </w:r>
      <w:r w:rsidR="00FE6826" w:rsidRPr="004B6D6C">
        <w:rPr>
          <w:vertAlign w:val="superscript"/>
        </w:rPr>
        <w:t>)</w:t>
      </w:r>
      <w:r w:rsidRPr="004D2C7C">
        <w:t>, charakteryzują się</w:t>
      </w:r>
      <w:r>
        <w:t xml:space="preserve">, wraz z województwem świętokrzyskim, </w:t>
      </w:r>
      <w:r w:rsidRPr="004D2C7C">
        <w:t>najniższą partycypacją.</w:t>
      </w:r>
    </w:p>
    <w:p w14:paraId="31AFD86B" w14:textId="77777777" w:rsidR="00787F0D" w:rsidRPr="00C84C56" w:rsidRDefault="00787F0D" w:rsidP="003700AB">
      <w:pPr>
        <w:spacing w:before="6" w:after="6" w:line="288" w:lineRule="auto"/>
        <w:jc w:val="both"/>
      </w:pPr>
    </w:p>
    <w:p w14:paraId="420E45E1" w14:textId="77777777" w:rsidR="001E3D8E" w:rsidRPr="00432D06" w:rsidRDefault="001E3D8E" w:rsidP="001E3D8E">
      <w:pPr>
        <w:pStyle w:val="Legenda"/>
        <w:keepNext/>
        <w:rPr>
          <w:b/>
          <w:bCs/>
          <w:i w:val="0"/>
          <w:iCs w:val="0"/>
          <w:color w:val="auto"/>
          <w:sz w:val="20"/>
          <w:szCs w:val="20"/>
        </w:rPr>
      </w:pPr>
      <w:bookmarkStart w:id="73" w:name="_Toc116482577"/>
      <w:bookmarkStart w:id="74" w:name="_Toc121826366"/>
      <w:r w:rsidRPr="00432D06">
        <w:rPr>
          <w:color w:val="auto"/>
          <w:sz w:val="20"/>
          <w:szCs w:val="20"/>
        </w:rPr>
        <w:t xml:space="preserve">Tabela </w:t>
      </w:r>
      <w:r w:rsidRPr="00432D06">
        <w:rPr>
          <w:color w:val="auto"/>
          <w:sz w:val="20"/>
          <w:szCs w:val="20"/>
        </w:rPr>
        <w:fldChar w:fldCharType="begin"/>
      </w:r>
      <w:r w:rsidRPr="00432D06">
        <w:rPr>
          <w:color w:val="auto"/>
          <w:sz w:val="20"/>
          <w:szCs w:val="20"/>
        </w:rPr>
        <w:instrText xml:space="preserve"> SEQ Tabela \* ARABIC </w:instrText>
      </w:r>
      <w:r w:rsidRPr="00432D06">
        <w:rPr>
          <w:color w:val="auto"/>
          <w:sz w:val="20"/>
          <w:szCs w:val="20"/>
        </w:rPr>
        <w:fldChar w:fldCharType="separate"/>
      </w:r>
      <w:r w:rsidR="008A6365" w:rsidRPr="00432D06">
        <w:rPr>
          <w:noProof/>
          <w:color w:val="auto"/>
          <w:sz w:val="20"/>
          <w:szCs w:val="20"/>
        </w:rPr>
        <w:t>4</w:t>
      </w:r>
      <w:r w:rsidRPr="00432D06">
        <w:rPr>
          <w:color w:val="auto"/>
          <w:sz w:val="20"/>
          <w:szCs w:val="20"/>
        </w:rPr>
        <w:fldChar w:fldCharType="end"/>
      </w:r>
      <w:r w:rsidRPr="00432D06">
        <w:rPr>
          <w:b/>
          <w:bCs/>
          <w:i w:val="0"/>
          <w:iCs w:val="0"/>
          <w:color w:val="auto"/>
          <w:sz w:val="20"/>
          <w:szCs w:val="20"/>
        </w:rPr>
        <w:t xml:space="preserve"> Partycypacja </w:t>
      </w:r>
      <w:r w:rsidR="00027595" w:rsidRPr="00432D06">
        <w:rPr>
          <w:b/>
          <w:bCs/>
          <w:i w:val="0"/>
          <w:iCs w:val="0"/>
          <w:color w:val="auto"/>
          <w:sz w:val="20"/>
          <w:szCs w:val="20"/>
        </w:rPr>
        <w:t xml:space="preserve">w </w:t>
      </w:r>
      <w:r w:rsidRPr="00432D06">
        <w:rPr>
          <w:b/>
          <w:bCs/>
          <w:i w:val="0"/>
          <w:iCs w:val="0"/>
          <w:color w:val="auto"/>
          <w:sz w:val="20"/>
          <w:szCs w:val="20"/>
        </w:rPr>
        <w:t>podziale na województwa</w:t>
      </w:r>
      <w:bookmarkEnd w:id="73"/>
      <w:bookmarkEnd w:id="74"/>
    </w:p>
    <w:tbl>
      <w:tblPr>
        <w:tblStyle w:val="Tabelasiatki41"/>
        <w:tblW w:w="8784" w:type="dxa"/>
        <w:tblLook w:val="04A0" w:firstRow="1" w:lastRow="0" w:firstColumn="1" w:lastColumn="0" w:noHBand="0" w:noVBand="1"/>
      </w:tblPr>
      <w:tblGrid>
        <w:gridCol w:w="3815"/>
        <w:gridCol w:w="4969"/>
      </w:tblGrid>
      <w:tr w:rsidR="0029150C" w:rsidRPr="00DD43A1" w14:paraId="0E7618CA" w14:textId="77777777" w:rsidTr="00890462">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815" w:type="dxa"/>
            <w:hideMark/>
          </w:tcPr>
          <w:p w14:paraId="389BADBE" w14:textId="77777777" w:rsidR="0029150C" w:rsidRPr="00DD43A1" w:rsidRDefault="00DB7013" w:rsidP="003700AB">
            <w:pPr>
              <w:spacing w:before="6" w:after="6" w:line="288" w:lineRule="auto"/>
              <w:jc w:val="both"/>
              <w:rPr>
                <w:rFonts w:eastAsia="Times New Roman" w:cstheme="minorHAnsi"/>
                <w:color w:val="FFFFFF"/>
                <w:sz w:val="24"/>
                <w:szCs w:val="24"/>
                <w:lang w:eastAsia="pl-PL"/>
              </w:rPr>
            </w:pPr>
            <w:r>
              <w:rPr>
                <w:rFonts w:eastAsia="Times New Roman" w:cstheme="minorHAnsi"/>
                <w:color w:val="FFFFFF"/>
                <w:sz w:val="24"/>
                <w:szCs w:val="24"/>
                <w:lang w:eastAsia="pl-PL"/>
              </w:rPr>
              <w:t>W</w:t>
            </w:r>
            <w:r w:rsidR="001E3D8E">
              <w:rPr>
                <w:rFonts w:eastAsia="Times New Roman" w:cstheme="minorHAnsi"/>
                <w:color w:val="FFFFFF"/>
                <w:sz w:val="24"/>
                <w:szCs w:val="24"/>
                <w:lang w:eastAsia="pl-PL"/>
              </w:rPr>
              <w:t>ojewództwo</w:t>
            </w:r>
          </w:p>
        </w:tc>
        <w:tc>
          <w:tcPr>
            <w:tcW w:w="4969" w:type="dxa"/>
            <w:hideMark/>
          </w:tcPr>
          <w:p w14:paraId="4765262B" w14:textId="77777777" w:rsidR="0029150C" w:rsidRPr="00DD43A1" w:rsidRDefault="00DB7013" w:rsidP="003700AB">
            <w:pPr>
              <w:spacing w:before="6" w:after="6" w:line="288" w:lineRule="auto"/>
              <w:jc w:val="both"/>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24"/>
                <w:szCs w:val="24"/>
                <w:lang w:eastAsia="pl-PL"/>
              </w:rPr>
            </w:pPr>
            <w:r>
              <w:rPr>
                <w:rFonts w:eastAsia="Times New Roman" w:cstheme="minorHAnsi"/>
                <w:color w:val="FFFFFF"/>
                <w:sz w:val="24"/>
                <w:szCs w:val="24"/>
                <w:lang w:eastAsia="pl-PL"/>
              </w:rPr>
              <w:t>P</w:t>
            </w:r>
            <w:r w:rsidR="0029150C" w:rsidRPr="00DD43A1">
              <w:rPr>
                <w:rFonts w:eastAsia="Times New Roman" w:cstheme="minorHAnsi"/>
                <w:color w:val="FFFFFF"/>
                <w:sz w:val="24"/>
                <w:szCs w:val="24"/>
                <w:lang w:eastAsia="pl-PL"/>
              </w:rPr>
              <w:t>artycypacja</w:t>
            </w:r>
            <w:r w:rsidR="00B060E9" w:rsidRPr="00DD43A1">
              <w:rPr>
                <w:rFonts w:eastAsia="Times New Roman" w:cstheme="minorHAnsi"/>
                <w:color w:val="FFFFFF"/>
                <w:sz w:val="24"/>
                <w:szCs w:val="24"/>
                <w:lang w:eastAsia="pl-PL"/>
              </w:rPr>
              <w:t xml:space="preserve"> w PPK</w:t>
            </w:r>
            <w:r w:rsidR="0029150C" w:rsidRPr="00DD43A1">
              <w:rPr>
                <w:rFonts w:eastAsia="Times New Roman" w:cstheme="minorHAnsi"/>
                <w:color w:val="FFFFFF"/>
                <w:sz w:val="24"/>
                <w:szCs w:val="24"/>
                <w:lang w:eastAsia="pl-PL"/>
              </w:rPr>
              <w:t xml:space="preserve"> [%]</w:t>
            </w:r>
          </w:p>
        </w:tc>
      </w:tr>
      <w:tr w:rsidR="00235296" w:rsidRPr="00DD43A1" w14:paraId="48F31914" w14:textId="77777777" w:rsidTr="00890462">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815" w:type="dxa"/>
            <w:noWrap/>
            <w:vAlign w:val="bottom"/>
            <w:hideMark/>
          </w:tcPr>
          <w:p w14:paraId="63A1B6B3" w14:textId="77777777" w:rsidR="00325812" w:rsidRPr="00DD43A1" w:rsidRDefault="00E24CEA" w:rsidP="003700AB">
            <w:pPr>
              <w:spacing w:before="6" w:after="6" w:line="288" w:lineRule="auto"/>
              <w:jc w:val="both"/>
              <w:rPr>
                <w:rFonts w:eastAsia="Times New Roman" w:cstheme="minorHAnsi"/>
                <w:color w:val="000000"/>
                <w:sz w:val="24"/>
                <w:szCs w:val="24"/>
                <w:lang w:eastAsia="pl-PL"/>
              </w:rPr>
            </w:pPr>
            <w:r>
              <w:rPr>
                <w:rFonts w:ascii="Calibri" w:hAnsi="Calibri" w:cs="Calibri"/>
                <w:color w:val="000000"/>
              </w:rPr>
              <w:t>mazowieckie</w:t>
            </w:r>
          </w:p>
        </w:tc>
        <w:tc>
          <w:tcPr>
            <w:tcW w:w="4969" w:type="dxa"/>
            <w:noWrap/>
            <w:hideMark/>
          </w:tcPr>
          <w:p w14:paraId="4DEAEF81" w14:textId="08CB103C" w:rsidR="00325812" w:rsidRPr="00DD43A1" w:rsidRDefault="007F1C8D" w:rsidP="003700AB">
            <w:pPr>
              <w:spacing w:before="6" w:after="6" w:line="288"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pl-PL"/>
              </w:rPr>
            </w:pPr>
            <w:r>
              <w:t>45,84</w:t>
            </w:r>
            <w:r w:rsidR="00325812" w:rsidRPr="001E311F">
              <w:t>%</w:t>
            </w:r>
          </w:p>
        </w:tc>
      </w:tr>
      <w:tr w:rsidR="00325812" w:rsidRPr="00DD43A1" w14:paraId="789EA360" w14:textId="77777777" w:rsidTr="00890462">
        <w:trPr>
          <w:trHeight w:val="320"/>
        </w:trPr>
        <w:tc>
          <w:tcPr>
            <w:cnfStyle w:val="001000000000" w:firstRow="0" w:lastRow="0" w:firstColumn="1" w:lastColumn="0" w:oddVBand="0" w:evenVBand="0" w:oddHBand="0" w:evenHBand="0" w:firstRowFirstColumn="0" w:firstRowLastColumn="0" w:lastRowFirstColumn="0" w:lastRowLastColumn="0"/>
            <w:tcW w:w="3815" w:type="dxa"/>
            <w:noWrap/>
            <w:vAlign w:val="bottom"/>
            <w:hideMark/>
          </w:tcPr>
          <w:p w14:paraId="3115FFB7" w14:textId="77777777" w:rsidR="00325812" w:rsidRPr="00DD43A1" w:rsidRDefault="00E24CEA" w:rsidP="003700AB">
            <w:pPr>
              <w:spacing w:before="6" w:after="6" w:line="288" w:lineRule="auto"/>
              <w:jc w:val="both"/>
              <w:rPr>
                <w:rFonts w:eastAsia="Times New Roman" w:cstheme="minorHAnsi"/>
                <w:color w:val="000000"/>
                <w:sz w:val="24"/>
                <w:szCs w:val="24"/>
                <w:lang w:eastAsia="pl-PL"/>
              </w:rPr>
            </w:pPr>
            <w:r>
              <w:rPr>
                <w:rFonts w:ascii="Calibri" w:hAnsi="Calibri" w:cs="Calibri"/>
                <w:color w:val="000000"/>
              </w:rPr>
              <w:t>wielkopolskie</w:t>
            </w:r>
          </w:p>
        </w:tc>
        <w:tc>
          <w:tcPr>
            <w:tcW w:w="4969" w:type="dxa"/>
            <w:noWrap/>
            <w:hideMark/>
          </w:tcPr>
          <w:p w14:paraId="33FFD517" w14:textId="57AFD473" w:rsidR="00325812" w:rsidRPr="00DD43A1" w:rsidRDefault="007F1C8D" w:rsidP="003700AB">
            <w:pPr>
              <w:spacing w:before="6" w:after="6"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pl-PL"/>
              </w:rPr>
            </w:pPr>
            <w:r>
              <w:t>34,35</w:t>
            </w:r>
            <w:r w:rsidR="00325812" w:rsidRPr="001E311F">
              <w:t>%</w:t>
            </w:r>
          </w:p>
        </w:tc>
      </w:tr>
      <w:tr w:rsidR="00235296" w:rsidRPr="00DD43A1" w14:paraId="10C182F7" w14:textId="77777777" w:rsidTr="00890462">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815" w:type="dxa"/>
            <w:noWrap/>
            <w:vAlign w:val="bottom"/>
            <w:hideMark/>
          </w:tcPr>
          <w:p w14:paraId="78EE99C6" w14:textId="77777777" w:rsidR="00325812" w:rsidRPr="00DD43A1" w:rsidRDefault="00E24CEA" w:rsidP="003700AB">
            <w:pPr>
              <w:spacing w:before="6" w:after="6" w:line="288" w:lineRule="auto"/>
              <w:jc w:val="both"/>
              <w:rPr>
                <w:rFonts w:eastAsia="Times New Roman" w:cstheme="minorHAnsi"/>
                <w:color w:val="000000"/>
                <w:sz w:val="24"/>
                <w:szCs w:val="24"/>
                <w:lang w:eastAsia="pl-PL"/>
              </w:rPr>
            </w:pPr>
            <w:r>
              <w:rPr>
                <w:rFonts w:ascii="Calibri" w:hAnsi="Calibri" w:cs="Calibri"/>
                <w:color w:val="000000"/>
              </w:rPr>
              <w:t>dolnośląskie</w:t>
            </w:r>
          </w:p>
        </w:tc>
        <w:tc>
          <w:tcPr>
            <w:tcW w:w="4969" w:type="dxa"/>
            <w:noWrap/>
            <w:hideMark/>
          </w:tcPr>
          <w:p w14:paraId="748E4387" w14:textId="17FF9072" w:rsidR="00325812" w:rsidRPr="00DD43A1" w:rsidRDefault="007F1C8D" w:rsidP="003700AB">
            <w:pPr>
              <w:spacing w:before="6" w:after="6" w:line="288"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pl-PL"/>
              </w:rPr>
            </w:pPr>
            <w:r>
              <w:t>33,98</w:t>
            </w:r>
            <w:r w:rsidR="00325812" w:rsidRPr="001E311F">
              <w:t>%</w:t>
            </w:r>
          </w:p>
        </w:tc>
      </w:tr>
      <w:tr w:rsidR="00325812" w:rsidRPr="00DD43A1" w14:paraId="2F99CF82" w14:textId="77777777" w:rsidTr="00890462">
        <w:trPr>
          <w:trHeight w:val="320"/>
        </w:trPr>
        <w:tc>
          <w:tcPr>
            <w:cnfStyle w:val="001000000000" w:firstRow="0" w:lastRow="0" w:firstColumn="1" w:lastColumn="0" w:oddVBand="0" w:evenVBand="0" w:oddHBand="0" w:evenHBand="0" w:firstRowFirstColumn="0" w:firstRowLastColumn="0" w:lastRowFirstColumn="0" w:lastRowLastColumn="0"/>
            <w:tcW w:w="3815" w:type="dxa"/>
            <w:noWrap/>
            <w:vAlign w:val="bottom"/>
            <w:hideMark/>
          </w:tcPr>
          <w:p w14:paraId="6AC9E704" w14:textId="77777777" w:rsidR="00325812" w:rsidRPr="00DD43A1" w:rsidRDefault="00E24CEA" w:rsidP="003700AB">
            <w:pPr>
              <w:spacing w:before="6" w:after="6" w:line="288" w:lineRule="auto"/>
              <w:jc w:val="both"/>
              <w:rPr>
                <w:rFonts w:eastAsia="Times New Roman" w:cstheme="minorHAnsi"/>
                <w:color w:val="000000"/>
                <w:sz w:val="24"/>
                <w:szCs w:val="24"/>
                <w:lang w:eastAsia="pl-PL"/>
              </w:rPr>
            </w:pPr>
            <w:r>
              <w:rPr>
                <w:rFonts w:ascii="Calibri" w:hAnsi="Calibri" w:cs="Calibri"/>
                <w:color w:val="000000"/>
              </w:rPr>
              <w:t>małopolskie</w:t>
            </w:r>
          </w:p>
        </w:tc>
        <w:tc>
          <w:tcPr>
            <w:tcW w:w="4969" w:type="dxa"/>
            <w:noWrap/>
            <w:hideMark/>
          </w:tcPr>
          <w:p w14:paraId="5EB06183" w14:textId="1056501D" w:rsidR="00325812" w:rsidRPr="00DD43A1" w:rsidRDefault="007F1C8D" w:rsidP="003700AB">
            <w:pPr>
              <w:spacing w:before="6" w:after="6"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pl-PL"/>
              </w:rPr>
            </w:pPr>
            <w:r>
              <w:t>32,58</w:t>
            </w:r>
            <w:r w:rsidR="00325812" w:rsidRPr="001E311F">
              <w:t>%</w:t>
            </w:r>
          </w:p>
        </w:tc>
      </w:tr>
      <w:tr w:rsidR="00235296" w:rsidRPr="00DD43A1" w14:paraId="7EBE4432" w14:textId="77777777" w:rsidTr="00890462">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815" w:type="dxa"/>
            <w:noWrap/>
            <w:vAlign w:val="bottom"/>
            <w:hideMark/>
          </w:tcPr>
          <w:p w14:paraId="3ABA7DCD" w14:textId="77777777" w:rsidR="00325812" w:rsidRPr="00DD43A1" w:rsidRDefault="00E24CEA" w:rsidP="003700AB">
            <w:pPr>
              <w:spacing w:before="6" w:after="6" w:line="288" w:lineRule="auto"/>
              <w:jc w:val="both"/>
              <w:rPr>
                <w:rFonts w:eastAsia="Times New Roman" w:cstheme="minorHAnsi"/>
                <w:color w:val="000000"/>
                <w:sz w:val="24"/>
                <w:szCs w:val="24"/>
                <w:lang w:eastAsia="pl-PL"/>
              </w:rPr>
            </w:pPr>
            <w:r>
              <w:rPr>
                <w:rFonts w:ascii="Calibri" w:hAnsi="Calibri" w:cs="Calibri"/>
                <w:color w:val="000000"/>
              </w:rPr>
              <w:t>łódzkie</w:t>
            </w:r>
          </w:p>
        </w:tc>
        <w:tc>
          <w:tcPr>
            <w:tcW w:w="4969" w:type="dxa"/>
            <w:noWrap/>
            <w:hideMark/>
          </w:tcPr>
          <w:p w14:paraId="1F78F791" w14:textId="2AC6C62E" w:rsidR="00325812" w:rsidRPr="00DD43A1" w:rsidRDefault="007F1C8D" w:rsidP="003700AB">
            <w:pPr>
              <w:spacing w:before="6" w:after="6" w:line="288"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pl-PL"/>
              </w:rPr>
            </w:pPr>
            <w:r>
              <w:t>30,06</w:t>
            </w:r>
            <w:r w:rsidR="00325812" w:rsidRPr="001E311F">
              <w:t>%</w:t>
            </w:r>
          </w:p>
        </w:tc>
      </w:tr>
      <w:tr w:rsidR="00325812" w:rsidRPr="00DD43A1" w14:paraId="45CF7A6E" w14:textId="77777777" w:rsidTr="00890462">
        <w:trPr>
          <w:trHeight w:val="320"/>
        </w:trPr>
        <w:tc>
          <w:tcPr>
            <w:cnfStyle w:val="001000000000" w:firstRow="0" w:lastRow="0" w:firstColumn="1" w:lastColumn="0" w:oddVBand="0" w:evenVBand="0" w:oddHBand="0" w:evenHBand="0" w:firstRowFirstColumn="0" w:firstRowLastColumn="0" w:lastRowFirstColumn="0" w:lastRowLastColumn="0"/>
            <w:tcW w:w="3815" w:type="dxa"/>
            <w:noWrap/>
            <w:vAlign w:val="bottom"/>
            <w:hideMark/>
          </w:tcPr>
          <w:p w14:paraId="644B4027" w14:textId="77777777" w:rsidR="00325812" w:rsidRPr="00DD43A1" w:rsidRDefault="00E24CEA" w:rsidP="003700AB">
            <w:pPr>
              <w:spacing w:before="6" w:after="6" w:line="288" w:lineRule="auto"/>
              <w:jc w:val="both"/>
              <w:rPr>
                <w:rFonts w:eastAsia="Times New Roman" w:cstheme="minorHAnsi"/>
                <w:color w:val="000000"/>
                <w:sz w:val="24"/>
                <w:szCs w:val="24"/>
                <w:lang w:eastAsia="pl-PL"/>
              </w:rPr>
            </w:pPr>
            <w:r>
              <w:rPr>
                <w:rFonts w:ascii="Calibri" w:hAnsi="Calibri" w:cs="Calibri"/>
                <w:color w:val="000000"/>
              </w:rPr>
              <w:t>śląskie</w:t>
            </w:r>
          </w:p>
        </w:tc>
        <w:tc>
          <w:tcPr>
            <w:tcW w:w="4969" w:type="dxa"/>
            <w:noWrap/>
            <w:hideMark/>
          </w:tcPr>
          <w:p w14:paraId="35E8FA1A" w14:textId="41D17DDF" w:rsidR="00325812" w:rsidRPr="00DD43A1" w:rsidRDefault="007F1C8D" w:rsidP="003700AB">
            <w:pPr>
              <w:spacing w:before="6" w:after="6"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pl-PL"/>
              </w:rPr>
            </w:pPr>
            <w:r>
              <w:t>28,16</w:t>
            </w:r>
            <w:r w:rsidR="00325812" w:rsidRPr="001E311F">
              <w:t>%</w:t>
            </w:r>
          </w:p>
        </w:tc>
      </w:tr>
      <w:tr w:rsidR="00235296" w:rsidRPr="00DD43A1" w14:paraId="19FB8C2F" w14:textId="77777777" w:rsidTr="00890462">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815" w:type="dxa"/>
            <w:noWrap/>
            <w:vAlign w:val="bottom"/>
            <w:hideMark/>
          </w:tcPr>
          <w:p w14:paraId="4398B6A3" w14:textId="77777777" w:rsidR="00325812" w:rsidRPr="00DD43A1" w:rsidRDefault="00325812" w:rsidP="003700AB">
            <w:pPr>
              <w:spacing w:before="6" w:after="6" w:line="288" w:lineRule="auto"/>
              <w:jc w:val="both"/>
              <w:rPr>
                <w:rFonts w:eastAsia="Times New Roman" w:cstheme="minorHAnsi"/>
                <w:color w:val="000000"/>
                <w:sz w:val="24"/>
                <w:szCs w:val="24"/>
                <w:lang w:eastAsia="pl-PL"/>
              </w:rPr>
            </w:pPr>
            <w:r>
              <w:rPr>
                <w:rFonts w:ascii="Calibri" w:hAnsi="Calibri" w:cs="Calibri"/>
                <w:color w:val="000000"/>
              </w:rPr>
              <w:t>zachodniopomorskie</w:t>
            </w:r>
          </w:p>
        </w:tc>
        <w:tc>
          <w:tcPr>
            <w:tcW w:w="4969" w:type="dxa"/>
            <w:noWrap/>
            <w:hideMark/>
          </w:tcPr>
          <w:p w14:paraId="54A35B89" w14:textId="0A575169" w:rsidR="00325812" w:rsidRPr="00DD43A1" w:rsidRDefault="007F1C8D" w:rsidP="003700AB">
            <w:pPr>
              <w:spacing w:before="6" w:after="6" w:line="288"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pl-PL"/>
              </w:rPr>
            </w:pPr>
            <w:r>
              <w:t>27,73</w:t>
            </w:r>
            <w:r w:rsidR="00325812" w:rsidRPr="001E311F">
              <w:t>%</w:t>
            </w:r>
          </w:p>
        </w:tc>
      </w:tr>
      <w:tr w:rsidR="00325812" w:rsidRPr="00DD43A1" w14:paraId="26579944" w14:textId="77777777" w:rsidTr="00890462">
        <w:trPr>
          <w:trHeight w:val="320"/>
        </w:trPr>
        <w:tc>
          <w:tcPr>
            <w:cnfStyle w:val="001000000000" w:firstRow="0" w:lastRow="0" w:firstColumn="1" w:lastColumn="0" w:oddVBand="0" w:evenVBand="0" w:oddHBand="0" w:evenHBand="0" w:firstRowFirstColumn="0" w:firstRowLastColumn="0" w:lastRowFirstColumn="0" w:lastRowLastColumn="0"/>
            <w:tcW w:w="3815" w:type="dxa"/>
            <w:noWrap/>
            <w:vAlign w:val="bottom"/>
            <w:hideMark/>
          </w:tcPr>
          <w:p w14:paraId="623DB2C0" w14:textId="77777777" w:rsidR="00325812" w:rsidRPr="00DD43A1" w:rsidRDefault="00E24CEA" w:rsidP="003700AB">
            <w:pPr>
              <w:spacing w:before="6" w:after="6" w:line="288" w:lineRule="auto"/>
              <w:jc w:val="both"/>
              <w:rPr>
                <w:rFonts w:eastAsia="Times New Roman" w:cstheme="minorHAnsi"/>
                <w:color w:val="000000"/>
                <w:sz w:val="24"/>
                <w:szCs w:val="24"/>
                <w:lang w:eastAsia="pl-PL"/>
              </w:rPr>
            </w:pPr>
            <w:r>
              <w:rPr>
                <w:rFonts w:ascii="Calibri" w:hAnsi="Calibri" w:cs="Calibri"/>
                <w:color w:val="000000"/>
              </w:rPr>
              <w:t>pomorskie</w:t>
            </w:r>
          </w:p>
        </w:tc>
        <w:tc>
          <w:tcPr>
            <w:tcW w:w="4969" w:type="dxa"/>
            <w:noWrap/>
            <w:hideMark/>
          </w:tcPr>
          <w:p w14:paraId="73FF5B1F" w14:textId="5BD2AC38" w:rsidR="00325812" w:rsidRPr="00DD43A1" w:rsidRDefault="007F1C8D" w:rsidP="003700AB">
            <w:pPr>
              <w:spacing w:before="6" w:after="6"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pl-PL"/>
              </w:rPr>
            </w:pPr>
            <w:r>
              <w:t>27,68</w:t>
            </w:r>
            <w:r w:rsidR="00325812" w:rsidRPr="001E311F">
              <w:t>%</w:t>
            </w:r>
          </w:p>
        </w:tc>
      </w:tr>
      <w:tr w:rsidR="00235296" w:rsidRPr="00DD43A1" w14:paraId="3FC00052" w14:textId="77777777" w:rsidTr="00890462">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815" w:type="dxa"/>
            <w:noWrap/>
            <w:vAlign w:val="bottom"/>
            <w:hideMark/>
          </w:tcPr>
          <w:p w14:paraId="099F99DA" w14:textId="77777777" w:rsidR="00325812" w:rsidRPr="00DD43A1" w:rsidRDefault="00E24CEA" w:rsidP="003700AB">
            <w:pPr>
              <w:spacing w:before="6" w:after="6" w:line="288" w:lineRule="auto"/>
              <w:jc w:val="both"/>
              <w:rPr>
                <w:rFonts w:eastAsia="Times New Roman" w:cstheme="minorHAnsi"/>
                <w:color w:val="000000"/>
                <w:sz w:val="24"/>
                <w:szCs w:val="24"/>
                <w:lang w:eastAsia="pl-PL"/>
              </w:rPr>
            </w:pPr>
            <w:r>
              <w:rPr>
                <w:rFonts w:ascii="Calibri" w:hAnsi="Calibri" w:cs="Calibri"/>
                <w:color w:val="000000"/>
              </w:rPr>
              <w:t>lubelskie</w:t>
            </w:r>
          </w:p>
        </w:tc>
        <w:tc>
          <w:tcPr>
            <w:tcW w:w="4969" w:type="dxa"/>
            <w:noWrap/>
            <w:hideMark/>
          </w:tcPr>
          <w:p w14:paraId="4ADDF2FF" w14:textId="46D7ED5C" w:rsidR="00325812" w:rsidRPr="00DD43A1" w:rsidRDefault="007F1C8D" w:rsidP="003700AB">
            <w:pPr>
              <w:spacing w:before="6" w:after="6" w:line="288"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pl-PL"/>
              </w:rPr>
            </w:pPr>
            <w:r>
              <w:t>25,57</w:t>
            </w:r>
            <w:r w:rsidR="00325812" w:rsidRPr="001E311F">
              <w:t>%</w:t>
            </w:r>
          </w:p>
        </w:tc>
      </w:tr>
      <w:tr w:rsidR="00325812" w:rsidRPr="00DD43A1" w14:paraId="3C6ADFCD" w14:textId="77777777" w:rsidTr="00890462">
        <w:trPr>
          <w:trHeight w:val="320"/>
        </w:trPr>
        <w:tc>
          <w:tcPr>
            <w:cnfStyle w:val="001000000000" w:firstRow="0" w:lastRow="0" w:firstColumn="1" w:lastColumn="0" w:oddVBand="0" w:evenVBand="0" w:oddHBand="0" w:evenHBand="0" w:firstRowFirstColumn="0" w:firstRowLastColumn="0" w:lastRowFirstColumn="0" w:lastRowLastColumn="0"/>
            <w:tcW w:w="3815" w:type="dxa"/>
            <w:noWrap/>
            <w:vAlign w:val="bottom"/>
            <w:hideMark/>
          </w:tcPr>
          <w:p w14:paraId="43D921E8" w14:textId="77777777" w:rsidR="00325812" w:rsidRPr="00DD43A1" w:rsidRDefault="00E24CEA" w:rsidP="003700AB">
            <w:pPr>
              <w:spacing w:before="6" w:after="6" w:line="288" w:lineRule="auto"/>
              <w:jc w:val="both"/>
              <w:rPr>
                <w:rFonts w:eastAsia="Times New Roman" w:cstheme="minorHAnsi"/>
                <w:color w:val="000000"/>
                <w:sz w:val="24"/>
                <w:szCs w:val="24"/>
                <w:lang w:eastAsia="pl-PL"/>
              </w:rPr>
            </w:pPr>
            <w:r>
              <w:rPr>
                <w:rFonts w:ascii="Calibri" w:hAnsi="Calibri" w:cs="Calibri"/>
                <w:color w:val="000000"/>
              </w:rPr>
              <w:t>opolskie</w:t>
            </w:r>
          </w:p>
        </w:tc>
        <w:tc>
          <w:tcPr>
            <w:tcW w:w="4969" w:type="dxa"/>
            <w:noWrap/>
            <w:hideMark/>
          </w:tcPr>
          <w:p w14:paraId="7BF68C22" w14:textId="197CC150" w:rsidR="00325812" w:rsidRPr="00DD43A1" w:rsidRDefault="007F1C8D" w:rsidP="003700AB">
            <w:pPr>
              <w:spacing w:before="6" w:after="6"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pl-PL"/>
              </w:rPr>
            </w:pPr>
            <w:r>
              <w:t>25,56</w:t>
            </w:r>
            <w:r w:rsidR="00325812" w:rsidRPr="001E311F">
              <w:t>%</w:t>
            </w:r>
          </w:p>
        </w:tc>
      </w:tr>
      <w:tr w:rsidR="00235296" w:rsidRPr="00DD43A1" w14:paraId="1756FE24" w14:textId="77777777" w:rsidTr="00890462">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815" w:type="dxa"/>
            <w:noWrap/>
            <w:vAlign w:val="bottom"/>
            <w:hideMark/>
          </w:tcPr>
          <w:p w14:paraId="6B18813B" w14:textId="77777777" w:rsidR="00325812" w:rsidRPr="00DD43A1" w:rsidRDefault="00325812" w:rsidP="003700AB">
            <w:pPr>
              <w:spacing w:before="6" w:after="6" w:line="288" w:lineRule="auto"/>
              <w:jc w:val="both"/>
              <w:rPr>
                <w:rFonts w:eastAsia="Times New Roman" w:cstheme="minorHAnsi"/>
                <w:color w:val="000000"/>
                <w:sz w:val="24"/>
                <w:szCs w:val="24"/>
                <w:lang w:eastAsia="pl-PL"/>
              </w:rPr>
            </w:pPr>
            <w:r>
              <w:rPr>
                <w:rFonts w:ascii="Calibri" w:hAnsi="Calibri" w:cs="Calibri"/>
                <w:color w:val="000000"/>
              </w:rPr>
              <w:t>podkarpackie</w:t>
            </w:r>
          </w:p>
        </w:tc>
        <w:tc>
          <w:tcPr>
            <w:tcW w:w="4969" w:type="dxa"/>
            <w:noWrap/>
            <w:hideMark/>
          </w:tcPr>
          <w:p w14:paraId="26229265" w14:textId="6CBB19C8" w:rsidR="00325812" w:rsidRPr="00DD43A1" w:rsidRDefault="007F1C8D" w:rsidP="003700AB">
            <w:pPr>
              <w:spacing w:before="6" w:after="6" w:line="288"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pl-PL"/>
              </w:rPr>
            </w:pPr>
            <w:r>
              <w:t>24,87</w:t>
            </w:r>
            <w:r w:rsidR="00325812" w:rsidRPr="001E311F">
              <w:t>%</w:t>
            </w:r>
          </w:p>
        </w:tc>
      </w:tr>
      <w:tr w:rsidR="00325812" w:rsidRPr="00DD43A1" w14:paraId="18AF85A0" w14:textId="77777777" w:rsidTr="00890462">
        <w:trPr>
          <w:trHeight w:val="320"/>
        </w:trPr>
        <w:tc>
          <w:tcPr>
            <w:cnfStyle w:val="001000000000" w:firstRow="0" w:lastRow="0" w:firstColumn="1" w:lastColumn="0" w:oddVBand="0" w:evenVBand="0" w:oddHBand="0" w:evenHBand="0" w:firstRowFirstColumn="0" w:firstRowLastColumn="0" w:lastRowFirstColumn="0" w:lastRowLastColumn="0"/>
            <w:tcW w:w="3815" w:type="dxa"/>
            <w:noWrap/>
            <w:vAlign w:val="bottom"/>
            <w:hideMark/>
          </w:tcPr>
          <w:p w14:paraId="7F606F8F" w14:textId="77777777" w:rsidR="00325812" w:rsidRPr="00DD43A1" w:rsidRDefault="00E24CEA" w:rsidP="003700AB">
            <w:pPr>
              <w:spacing w:before="6" w:after="6" w:line="288" w:lineRule="auto"/>
              <w:jc w:val="both"/>
              <w:rPr>
                <w:rFonts w:eastAsia="Times New Roman" w:cstheme="minorHAnsi"/>
                <w:color w:val="000000"/>
                <w:sz w:val="24"/>
                <w:szCs w:val="24"/>
                <w:lang w:eastAsia="pl-PL"/>
              </w:rPr>
            </w:pPr>
            <w:r>
              <w:rPr>
                <w:rFonts w:ascii="Calibri" w:hAnsi="Calibri" w:cs="Calibri"/>
                <w:color w:val="000000"/>
              </w:rPr>
              <w:t>podlaskie</w:t>
            </w:r>
          </w:p>
        </w:tc>
        <w:tc>
          <w:tcPr>
            <w:tcW w:w="4969" w:type="dxa"/>
            <w:noWrap/>
            <w:hideMark/>
          </w:tcPr>
          <w:p w14:paraId="31A4C1E7" w14:textId="7D959AFC" w:rsidR="00325812" w:rsidRPr="00DD43A1" w:rsidRDefault="007F1C8D" w:rsidP="003700AB">
            <w:pPr>
              <w:spacing w:before="6" w:after="6"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pl-PL"/>
              </w:rPr>
            </w:pPr>
            <w:r>
              <w:t>22,94</w:t>
            </w:r>
            <w:r w:rsidR="00325812" w:rsidRPr="001E311F">
              <w:t>%</w:t>
            </w:r>
          </w:p>
        </w:tc>
      </w:tr>
      <w:tr w:rsidR="00235296" w:rsidRPr="00DD43A1" w14:paraId="17816A6F" w14:textId="77777777" w:rsidTr="00890462">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815" w:type="dxa"/>
            <w:noWrap/>
            <w:vAlign w:val="bottom"/>
            <w:hideMark/>
          </w:tcPr>
          <w:p w14:paraId="20A60246" w14:textId="77777777" w:rsidR="00325812" w:rsidRPr="00DD43A1" w:rsidRDefault="00325812" w:rsidP="003700AB">
            <w:pPr>
              <w:spacing w:before="6" w:after="6" w:line="288" w:lineRule="auto"/>
              <w:jc w:val="both"/>
              <w:rPr>
                <w:rFonts w:eastAsia="Times New Roman" w:cstheme="minorHAnsi"/>
                <w:color w:val="000000"/>
                <w:sz w:val="24"/>
                <w:szCs w:val="24"/>
                <w:lang w:eastAsia="pl-PL"/>
              </w:rPr>
            </w:pPr>
            <w:r>
              <w:rPr>
                <w:rFonts w:ascii="Calibri" w:hAnsi="Calibri" w:cs="Calibri"/>
                <w:color w:val="000000"/>
              </w:rPr>
              <w:t>kujawsko-pomorskie</w:t>
            </w:r>
          </w:p>
        </w:tc>
        <w:tc>
          <w:tcPr>
            <w:tcW w:w="4969" w:type="dxa"/>
            <w:noWrap/>
            <w:hideMark/>
          </w:tcPr>
          <w:p w14:paraId="1BB20548" w14:textId="1A70E52D" w:rsidR="00325812" w:rsidRPr="00DD43A1" w:rsidRDefault="00325812" w:rsidP="003700AB">
            <w:pPr>
              <w:spacing w:before="6" w:after="6" w:line="288"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pl-PL"/>
              </w:rPr>
            </w:pPr>
            <w:r w:rsidRPr="001E311F">
              <w:t>22,4</w:t>
            </w:r>
            <w:r>
              <w:t>0</w:t>
            </w:r>
            <w:r w:rsidRPr="001E311F">
              <w:t>%</w:t>
            </w:r>
          </w:p>
        </w:tc>
      </w:tr>
      <w:tr w:rsidR="00325812" w:rsidRPr="00DD43A1" w14:paraId="00408FFF" w14:textId="77777777" w:rsidTr="00890462">
        <w:trPr>
          <w:trHeight w:val="320"/>
        </w:trPr>
        <w:tc>
          <w:tcPr>
            <w:cnfStyle w:val="001000000000" w:firstRow="0" w:lastRow="0" w:firstColumn="1" w:lastColumn="0" w:oddVBand="0" w:evenVBand="0" w:oddHBand="0" w:evenHBand="0" w:firstRowFirstColumn="0" w:firstRowLastColumn="0" w:lastRowFirstColumn="0" w:lastRowLastColumn="0"/>
            <w:tcW w:w="3815" w:type="dxa"/>
            <w:noWrap/>
            <w:vAlign w:val="bottom"/>
            <w:hideMark/>
          </w:tcPr>
          <w:p w14:paraId="5ADCDE8B" w14:textId="77777777" w:rsidR="00325812" w:rsidRPr="00DD43A1" w:rsidRDefault="00E24CEA" w:rsidP="003700AB">
            <w:pPr>
              <w:spacing w:before="6" w:after="6" w:line="288" w:lineRule="auto"/>
              <w:jc w:val="both"/>
              <w:rPr>
                <w:rFonts w:eastAsia="Times New Roman" w:cstheme="minorHAnsi"/>
                <w:color w:val="000000"/>
                <w:sz w:val="24"/>
                <w:szCs w:val="24"/>
                <w:lang w:eastAsia="pl-PL"/>
              </w:rPr>
            </w:pPr>
            <w:r>
              <w:rPr>
                <w:rFonts w:ascii="Calibri" w:hAnsi="Calibri" w:cs="Calibri"/>
                <w:color w:val="000000"/>
              </w:rPr>
              <w:t>lubuskie</w:t>
            </w:r>
          </w:p>
        </w:tc>
        <w:tc>
          <w:tcPr>
            <w:tcW w:w="4969" w:type="dxa"/>
            <w:noWrap/>
            <w:hideMark/>
          </w:tcPr>
          <w:p w14:paraId="66525981" w14:textId="3DCA0E69" w:rsidR="00325812" w:rsidRPr="00DD43A1" w:rsidRDefault="007F1C8D" w:rsidP="003700AB">
            <w:pPr>
              <w:spacing w:before="6" w:after="6"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pl-PL"/>
              </w:rPr>
            </w:pPr>
            <w:r>
              <w:t>20,38</w:t>
            </w:r>
            <w:r w:rsidR="00325812" w:rsidRPr="001E311F">
              <w:t>%</w:t>
            </w:r>
          </w:p>
        </w:tc>
      </w:tr>
      <w:tr w:rsidR="00235296" w:rsidRPr="00DD43A1" w14:paraId="5893DDC1" w14:textId="77777777" w:rsidTr="00890462">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815" w:type="dxa"/>
            <w:noWrap/>
            <w:vAlign w:val="bottom"/>
            <w:hideMark/>
          </w:tcPr>
          <w:p w14:paraId="47E0CCDA" w14:textId="77777777" w:rsidR="00325812" w:rsidRPr="00DD43A1" w:rsidRDefault="00325812" w:rsidP="003700AB">
            <w:pPr>
              <w:spacing w:before="6" w:after="6" w:line="288" w:lineRule="auto"/>
              <w:jc w:val="both"/>
              <w:rPr>
                <w:rFonts w:eastAsia="Times New Roman" w:cstheme="minorHAnsi"/>
                <w:color w:val="000000"/>
                <w:sz w:val="24"/>
                <w:szCs w:val="24"/>
                <w:lang w:eastAsia="pl-PL"/>
              </w:rPr>
            </w:pPr>
            <w:r>
              <w:rPr>
                <w:rFonts w:ascii="Calibri" w:hAnsi="Calibri" w:cs="Calibri"/>
                <w:color w:val="000000"/>
              </w:rPr>
              <w:t>świętokrzyskie</w:t>
            </w:r>
          </w:p>
        </w:tc>
        <w:tc>
          <w:tcPr>
            <w:tcW w:w="4969" w:type="dxa"/>
            <w:noWrap/>
            <w:hideMark/>
          </w:tcPr>
          <w:p w14:paraId="161FAF46" w14:textId="136BD425" w:rsidR="00325812" w:rsidRPr="00DD43A1" w:rsidRDefault="007F1C8D" w:rsidP="003700AB">
            <w:pPr>
              <w:spacing w:before="6" w:after="6" w:line="288"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pl-PL"/>
              </w:rPr>
            </w:pPr>
            <w:r>
              <w:t>19,47</w:t>
            </w:r>
            <w:r w:rsidR="00325812" w:rsidRPr="001E311F">
              <w:t>%</w:t>
            </w:r>
          </w:p>
        </w:tc>
      </w:tr>
      <w:tr w:rsidR="00325812" w:rsidRPr="00DD43A1" w14:paraId="4C2D6516" w14:textId="77777777" w:rsidTr="00890462">
        <w:trPr>
          <w:trHeight w:val="320"/>
        </w:trPr>
        <w:tc>
          <w:tcPr>
            <w:cnfStyle w:val="001000000000" w:firstRow="0" w:lastRow="0" w:firstColumn="1" w:lastColumn="0" w:oddVBand="0" w:evenVBand="0" w:oddHBand="0" w:evenHBand="0" w:firstRowFirstColumn="0" w:firstRowLastColumn="0" w:lastRowFirstColumn="0" w:lastRowLastColumn="0"/>
            <w:tcW w:w="3815" w:type="dxa"/>
            <w:noWrap/>
            <w:vAlign w:val="bottom"/>
            <w:hideMark/>
          </w:tcPr>
          <w:p w14:paraId="3BAF2056" w14:textId="77777777" w:rsidR="00325812" w:rsidRPr="00DD43A1" w:rsidRDefault="00325812" w:rsidP="003700AB">
            <w:pPr>
              <w:spacing w:before="6" w:after="6" w:line="288" w:lineRule="auto"/>
              <w:jc w:val="both"/>
              <w:rPr>
                <w:rFonts w:eastAsia="Times New Roman" w:cstheme="minorHAnsi"/>
                <w:color w:val="000000"/>
                <w:sz w:val="24"/>
                <w:szCs w:val="24"/>
                <w:lang w:eastAsia="pl-PL"/>
              </w:rPr>
            </w:pPr>
            <w:r>
              <w:rPr>
                <w:rFonts w:ascii="Calibri" w:hAnsi="Calibri" w:cs="Calibri"/>
                <w:color w:val="000000"/>
              </w:rPr>
              <w:t>warmińsko-mazurskie</w:t>
            </w:r>
          </w:p>
        </w:tc>
        <w:tc>
          <w:tcPr>
            <w:tcW w:w="4969" w:type="dxa"/>
            <w:noWrap/>
            <w:hideMark/>
          </w:tcPr>
          <w:p w14:paraId="48785A4F" w14:textId="1F9BEC35" w:rsidR="00325812" w:rsidRPr="00DD43A1" w:rsidRDefault="00325812" w:rsidP="003700AB">
            <w:pPr>
              <w:spacing w:before="6" w:after="6"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pl-PL"/>
              </w:rPr>
            </w:pPr>
            <w:r w:rsidRPr="001E311F">
              <w:t>19,4</w:t>
            </w:r>
            <w:r>
              <w:t>0</w:t>
            </w:r>
            <w:r w:rsidRPr="001E311F">
              <w:t>%</w:t>
            </w:r>
          </w:p>
        </w:tc>
      </w:tr>
    </w:tbl>
    <w:p w14:paraId="048BD569" w14:textId="77777777" w:rsidR="0029150C" w:rsidRPr="00906DB3" w:rsidRDefault="00030563" w:rsidP="003700AB">
      <w:pPr>
        <w:spacing w:before="6" w:after="6" w:line="288" w:lineRule="auto"/>
        <w:jc w:val="both"/>
        <w:rPr>
          <w:i/>
          <w:sz w:val="18"/>
          <w:szCs w:val="18"/>
        </w:rPr>
      </w:pPr>
      <w:r w:rsidRPr="00674EEF">
        <w:rPr>
          <w:i/>
          <w:sz w:val="18"/>
          <w:szCs w:val="18"/>
        </w:rPr>
        <w:t xml:space="preserve">Źródło: </w:t>
      </w:r>
      <w:r w:rsidRPr="00906DB3">
        <w:rPr>
          <w:i/>
          <w:sz w:val="18"/>
          <w:szCs w:val="18"/>
        </w:rPr>
        <w:t>Ewidencja PPK</w:t>
      </w:r>
      <w:r w:rsidR="00735C31" w:rsidRPr="00906DB3">
        <w:rPr>
          <w:i/>
          <w:sz w:val="18"/>
          <w:szCs w:val="18"/>
        </w:rPr>
        <w:t>, stan na 31.08. 2022 r.</w:t>
      </w:r>
    </w:p>
    <w:p w14:paraId="0386DD83" w14:textId="77777777" w:rsidR="00674EEF" w:rsidRPr="00674EEF" w:rsidRDefault="00674EEF" w:rsidP="00674EEF">
      <w:pPr>
        <w:spacing w:before="6" w:after="6" w:line="288" w:lineRule="auto"/>
        <w:jc w:val="both"/>
        <w:rPr>
          <w:rFonts w:ascii="Garamond" w:hAnsi="Garamond"/>
          <w:sz w:val="20"/>
          <w:szCs w:val="20"/>
        </w:rPr>
      </w:pPr>
    </w:p>
    <w:p w14:paraId="67EC9F30" w14:textId="77777777" w:rsidR="0029150C" w:rsidRPr="00502F1F" w:rsidRDefault="0029150C">
      <w:pPr>
        <w:pStyle w:val="Nagwek2"/>
        <w:numPr>
          <w:ilvl w:val="0"/>
          <w:numId w:val="25"/>
        </w:numPr>
        <w:spacing w:before="6" w:after="6" w:line="288" w:lineRule="auto"/>
      </w:pPr>
      <w:bookmarkStart w:id="75" w:name="_Toc121828632"/>
      <w:r w:rsidRPr="00502F1F">
        <w:t>Podmioty zatrudniające</w:t>
      </w:r>
      <w:bookmarkEnd w:id="75"/>
    </w:p>
    <w:p w14:paraId="7BA3E1E8" w14:textId="19CB2216" w:rsidR="00640B0D" w:rsidRDefault="0029150C" w:rsidP="003700AB">
      <w:pPr>
        <w:spacing w:before="6" w:after="6" w:line="288" w:lineRule="auto"/>
        <w:jc w:val="both"/>
      </w:pPr>
      <w:r w:rsidRPr="00C84C56">
        <w:t xml:space="preserve">Według danych </w:t>
      </w:r>
      <w:r w:rsidR="00015492">
        <w:t xml:space="preserve">z </w:t>
      </w:r>
      <w:r w:rsidRPr="00C84C56">
        <w:t>Ewidencji PPK</w:t>
      </w:r>
      <w:r w:rsidR="00015492">
        <w:t>,</w:t>
      </w:r>
      <w:r w:rsidRPr="00C84C56">
        <w:t xml:space="preserve"> na podstawie danych przekazanych </w:t>
      </w:r>
      <w:r w:rsidR="00015492">
        <w:t xml:space="preserve">PFR S.A. </w:t>
      </w:r>
      <w:r w:rsidRPr="00C84C56">
        <w:t>przez ZUS</w:t>
      </w:r>
      <w:r w:rsidR="001333DB">
        <w:t>,</w:t>
      </w:r>
      <w:r w:rsidRPr="00C84C56">
        <w:t xml:space="preserve"> </w:t>
      </w:r>
      <w:r w:rsidR="006C583D" w:rsidRPr="006C583D">
        <w:t>970</w:t>
      </w:r>
      <w:r w:rsidR="003C1E0F">
        <w:t> </w:t>
      </w:r>
      <w:r w:rsidR="006C583D" w:rsidRPr="006C583D">
        <w:t>980</w:t>
      </w:r>
      <w:r w:rsidR="003C1E0F">
        <w:t> </w:t>
      </w:r>
      <w:r w:rsidRPr="00C84C56">
        <w:t xml:space="preserve">podmiotów spełnia przesłanki do uznania </w:t>
      </w:r>
      <w:r w:rsidR="00EB1C73">
        <w:t xml:space="preserve">ich </w:t>
      </w:r>
      <w:r w:rsidRPr="00C84C56">
        <w:t>za podmiot zatrudniający</w:t>
      </w:r>
      <w:r w:rsidR="007135BF">
        <w:t>,</w:t>
      </w:r>
      <w:r w:rsidRPr="00C84C56">
        <w:t xml:space="preserve"> z czego </w:t>
      </w:r>
      <w:r w:rsidR="00A958BB" w:rsidRPr="00A958BB">
        <w:t>294</w:t>
      </w:r>
      <w:r w:rsidR="003C1E0F">
        <w:t> </w:t>
      </w:r>
      <w:r w:rsidR="00A958BB" w:rsidRPr="00A958BB">
        <w:t>599</w:t>
      </w:r>
      <w:r w:rsidR="003C1E0F">
        <w:t> </w:t>
      </w:r>
      <w:r w:rsidR="007135BF">
        <w:t xml:space="preserve">podmiotów zawarło </w:t>
      </w:r>
      <w:r w:rsidRPr="00C84C56">
        <w:t>um</w:t>
      </w:r>
      <w:r w:rsidR="007135BF">
        <w:t>owy</w:t>
      </w:r>
      <w:r w:rsidRPr="00C84C56">
        <w:t xml:space="preserve"> o</w:t>
      </w:r>
      <w:r w:rsidR="000646AA">
        <w:t> </w:t>
      </w:r>
      <w:r w:rsidRPr="00C84C56">
        <w:t xml:space="preserve">zarządzanie PPK – jest to </w:t>
      </w:r>
      <w:r w:rsidR="00131F4E" w:rsidRPr="00131F4E">
        <w:t>33,1</w:t>
      </w:r>
      <w:r w:rsidR="00131F4E">
        <w:t>0</w:t>
      </w:r>
      <w:r w:rsidRPr="00C84C56">
        <w:t>%.</w:t>
      </w:r>
    </w:p>
    <w:p w14:paraId="591E6995" w14:textId="5D3B91BA" w:rsidR="00E87704" w:rsidRDefault="006D748C" w:rsidP="003700AB">
      <w:pPr>
        <w:spacing w:before="6" w:after="6" w:line="288" w:lineRule="auto"/>
        <w:jc w:val="both"/>
      </w:pPr>
      <w:r>
        <w:t>Większość podmiotów z wyższym poziomem zatrudnienia uruchomiła ten program. Według stanu na</w:t>
      </w:r>
      <w:r w:rsidR="003C1E0F">
        <w:t> </w:t>
      </w:r>
      <w:r w:rsidR="00D82B81">
        <w:t>31</w:t>
      </w:r>
      <w:r>
        <w:t xml:space="preserve"> </w:t>
      </w:r>
      <w:r w:rsidR="00D82B81">
        <w:t>sierpnia</w:t>
      </w:r>
      <w:r>
        <w:t xml:space="preserve"> 2022 r., spośród podmiotów: z I </w:t>
      </w:r>
      <w:r w:rsidR="00F15651">
        <w:t>etapu w</w:t>
      </w:r>
      <w:r w:rsidR="00BA368C">
        <w:t>drożenia</w:t>
      </w:r>
      <w:r>
        <w:t xml:space="preserve"> PPK jest to 91%, z II </w:t>
      </w:r>
      <w:r w:rsidR="00E1605D">
        <w:t>etapu wdrożenia</w:t>
      </w:r>
      <w:r>
        <w:t xml:space="preserve"> PPK </w:t>
      </w:r>
      <w:r w:rsidR="005C27C1">
        <w:t>–</w:t>
      </w:r>
      <w:r>
        <w:t xml:space="preserve"> 96%, a z III</w:t>
      </w:r>
      <w:r w:rsidR="00BA368C">
        <w:t xml:space="preserve"> etapu wdrożenia</w:t>
      </w:r>
      <w:r>
        <w:t xml:space="preserve"> PPK </w:t>
      </w:r>
      <w:r w:rsidR="005C27C1">
        <w:t>–</w:t>
      </w:r>
      <w:r>
        <w:t xml:space="preserve"> 97%.</w:t>
      </w:r>
      <w:r w:rsidR="00E87704">
        <w:t xml:space="preserve"> </w:t>
      </w:r>
    </w:p>
    <w:p w14:paraId="7EC54CF8" w14:textId="7C27DD47" w:rsidR="006D748C" w:rsidRDefault="00E1605D" w:rsidP="003700AB">
      <w:pPr>
        <w:spacing w:before="6" w:after="6" w:line="288" w:lineRule="auto"/>
        <w:jc w:val="both"/>
      </w:pPr>
      <w:r>
        <w:lastRenderedPageBreak/>
        <w:t xml:space="preserve">Według stanu na </w:t>
      </w:r>
      <w:r w:rsidR="00E87704">
        <w:t>30 czerwca 2022 r. po</w:t>
      </w:r>
      <w:r w:rsidR="006D748C">
        <w:t>dmioty, które wdrożyły PPK, zatrudnia</w:t>
      </w:r>
      <w:r w:rsidR="00D54A58">
        <w:t xml:space="preserve">ły </w:t>
      </w:r>
      <w:r w:rsidR="006D748C">
        <w:t>łącznie ok. 79% osób zatrudnionych, uprawnionych do uczestnictwa w PPK. Wdrożenie przez nie PPK miało zatem zasadnicze znaczenie dla celów tego programu. Udział procentowy podmiotów zatrudniających, które</w:t>
      </w:r>
      <w:r w:rsidR="00652D14">
        <w:t> </w:t>
      </w:r>
      <w:r w:rsidR="006D748C">
        <w:t xml:space="preserve">nie zawarły umowy o zarządzanie PPK, w ogólnej liczbie podmiotów mających obowiązek zawarcia tej umowy (ok. 69%), </w:t>
      </w:r>
      <w:r>
        <w:t xml:space="preserve">był </w:t>
      </w:r>
      <w:r w:rsidR="006D748C">
        <w:t>znacznie wyższy niż udział procentowy osób zatrudnionych w</w:t>
      </w:r>
      <w:r w:rsidR="00652D14">
        <w:t> </w:t>
      </w:r>
      <w:r w:rsidR="006D748C">
        <w:t>podmiotach bez PPK (ok. 21%) w ogólnej liczbie osób zatrudnionych.</w:t>
      </w:r>
      <w:r w:rsidR="002A3096">
        <w:t xml:space="preserve"> Wynika to z tego, że </w:t>
      </w:r>
      <w:r w:rsidR="002E4C47">
        <w:t>PPK mogły nie uruchamiać</w:t>
      </w:r>
      <w:r w:rsidR="00652D14">
        <w:t>,</w:t>
      </w:r>
      <w:r w:rsidR="002E4C47">
        <w:t xml:space="preserve"> i wiele z nich z tego nie zrobiło</w:t>
      </w:r>
      <w:r w:rsidR="00652D14">
        <w:t>,</w:t>
      </w:r>
      <w:r w:rsidR="002E4C47">
        <w:t xml:space="preserve"> </w:t>
      </w:r>
      <w:r w:rsidR="007A6F51">
        <w:t>tz</w:t>
      </w:r>
      <w:r w:rsidR="006D4B0C">
        <w:t>w.</w:t>
      </w:r>
      <w:r w:rsidR="007A6F51">
        <w:t xml:space="preserve"> </w:t>
      </w:r>
      <w:r w:rsidR="002E4C47">
        <w:t>mikrofirmy</w:t>
      </w:r>
      <w:r w:rsidR="006D4B0C">
        <w:t>.</w:t>
      </w:r>
      <w:r w:rsidR="002E4C47">
        <w:t xml:space="preserve"> </w:t>
      </w:r>
    </w:p>
    <w:p w14:paraId="7226D01C" w14:textId="0A3A2135" w:rsidR="00A27977" w:rsidRPr="00A27977" w:rsidRDefault="00A27977" w:rsidP="003700AB">
      <w:pPr>
        <w:spacing w:before="6" w:after="6" w:line="288" w:lineRule="auto"/>
        <w:jc w:val="both"/>
      </w:pPr>
      <w:r w:rsidRPr="00A27977">
        <w:t>Zgodn</w:t>
      </w:r>
      <w:r w:rsidR="00652D14">
        <w:t>ie z art. 8 ust. 5 ustawy o PPK</w:t>
      </w:r>
      <w:r w:rsidRPr="00A27977">
        <w:t xml:space="preserve"> PFR S.A. wzywa podmioty zatrudniające, które nie dopełniły obowiązku zawarcia umowy o zarządzanie PPK, do zawarcia tej umowy. Ustalenie obowiązku zawarcia umowy o zarządzanie PPK następuje na podstawie danych udostępnionych PFR S.A. przez ZUS. </w:t>
      </w:r>
    </w:p>
    <w:p w14:paraId="560AB27D" w14:textId="77777777" w:rsidR="00B029D5" w:rsidRDefault="00B029D5" w:rsidP="003700AB">
      <w:pPr>
        <w:spacing w:before="6" w:after="6" w:line="288" w:lineRule="auto"/>
        <w:jc w:val="both"/>
      </w:pPr>
      <w:r>
        <w:t>P</w:t>
      </w:r>
      <w:r w:rsidR="00E74147">
        <w:t>odsumowując, c</w:t>
      </w:r>
      <w:r>
        <w:t xml:space="preserve">zęść z podmiotów zatrudniających nie ma obowiązku uruchomienia PPK z uwagi na: </w:t>
      </w:r>
    </w:p>
    <w:p w14:paraId="736E4A09" w14:textId="77777777" w:rsidR="00B029D5" w:rsidRDefault="00B029D5" w:rsidP="003700AB">
      <w:pPr>
        <w:spacing w:before="6" w:after="6" w:line="288" w:lineRule="auto"/>
        <w:jc w:val="both"/>
      </w:pPr>
      <w:r>
        <w:t>•</w:t>
      </w:r>
      <w:r>
        <w:tab/>
        <w:t xml:space="preserve">prowadzenie PPE (art. 133 ustawy o PPK), </w:t>
      </w:r>
    </w:p>
    <w:p w14:paraId="691B394C" w14:textId="77777777" w:rsidR="00B029D5" w:rsidRDefault="00B029D5" w:rsidP="003700AB">
      <w:pPr>
        <w:spacing w:before="6" w:after="6" w:line="288" w:lineRule="auto"/>
        <w:jc w:val="both"/>
      </w:pPr>
      <w:r>
        <w:t>•</w:t>
      </w:r>
      <w:r>
        <w:tab/>
        <w:t>status mikroprzedsiębiorcy, któremu wszystkie osoby zatrudnione złożyły deklaracje o</w:t>
      </w:r>
      <w:r w:rsidR="00E74147">
        <w:t> </w:t>
      </w:r>
      <w:r>
        <w:t xml:space="preserve">rezygnacji z dokonywania wpłat do PPK (art. 13 ust. 1 pkt 1 ustawy o PPK) albo </w:t>
      </w:r>
    </w:p>
    <w:p w14:paraId="54720687" w14:textId="026EB92C" w:rsidR="00B029D5" w:rsidRDefault="00B029D5" w:rsidP="003700AB">
      <w:pPr>
        <w:spacing w:before="6" w:after="6" w:line="288" w:lineRule="auto"/>
        <w:jc w:val="both"/>
      </w:pPr>
      <w:r>
        <w:t>•</w:t>
      </w:r>
      <w:r>
        <w:tab/>
        <w:t xml:space="preserve">zatrudnianie </w:t>
      </w:r>
      <w:r w:rsidR="005C27C1">
        <w:t>–</w:t>
      </w:r>
      <w:r>
        <w:t xml:space="preserve"> przez osobę fizyczną </w:t>
      </w:r>
      <w:r w:rsidR="005C27C1">
        <w:t>–</w:t>
      </w:r>
      <w:r>
        <w:t xml:space="preserve"> osób zatrudnionych wyłącznie w celach prywatnych (art.</w:t>
      </w:r>
      <w:r w:rsidR="00B51E48">
        <w:t> </w:t>
      </w:r>
      <w:r w:rsidR="00E1605D">
        <w:t>13 ust. 1 pkt 2 ustawy o PPK).</w:t>
      </w:r>
      <w:r>
        <w:t xml:space="preserve"> </w:t>
      </w:r>
    </w:p>
    <w:p w14:paraId="357154CA" w14:textId="77777777" w:rsidR="006F10B4" w:rsidRPr="00C84C56" w:rsidRDefault="006F10B4" w:rsidP="003700AB">
      <w:pPr>
        <w:spacing w:before="6" w:after="6" w:line="288" w:lineRule="auto"/>
        <w:jc w:val="both"/>
      </w:pPr>
    </w:p>
    <w:p w14:paraId="57CEAADD" w14:textId="77777777" w:rsidR="0029150C" w:rsidRPr="00502F1F" w:rsidRDefault="00696858">
      <w:pPr>
        <w:pStyle w:val="Nagwek2"/>
        <w:numPr>
          <w:ilvl w:val="0"/>
          <w:numId w:val="25"/>
        </w:numPr>
        <w:spacing w:before="6" w:after="6" w:line="288" w:lineRule="auto"/>
      </w:pPr>
      <w:bookmarkStart w:id="76" w:name="_Toc121828633"/>
      <w:r w:rsidRPr="00502F1F">
        <w:t>Uczestnicy PPK</w:t>
      </w:r>
      <w:bookmarkEnd w:id="76"/>
    </w:p>
    <w:p w14:paraId="2E7DC630" w14:textId="6083221F" w:rsidR="0029150C" w:rsidRPr="00C84C56" w:rsidRDefault="00720FE4" w:rsidP="00A949C5">
      <w:pPr>
        <w:spacing w:before="6" w:after="6" w:line="288" w:lineRule="auto"/>
        <w:jc w:val="both"/>
      </w:pPr>
      <w:r>
        <w:t>M</w:t>
      </w:r>
      <w:r w:rsidR="0029150C" w:rsidRPr="00C84C56">
        <w:t>ężczyźni</w:t>
      </w:r>
      <w:r>
        <w:t xml:space="preserve"> stanowią</w:t>
      </w:r>
      <w:r w:rsidRPr="00C84C56">
        <w:t xml:space="preserve"> 47,</w:t>
      </w:r>
      <w:r>
        <w:t>03</w:t>
      </w:r>
      <w:r w:rsidRPr="00C84C56">
        <w:t>% ogólnej liczby uczestników PPK</w:t>
      </w:r>
      <w:r w:rsidR="0029150C" w:rsidRPr="00C84C56">
        <w:t xml:space="preserve"> </w:t>
      </w:r>
      <w:r w:rsidR="005C27C1">
        <w:t>–</w:t>
      </w:r>
      <w:r w:rsidR="0029150C" w:rsidRPr="00C84C56">
        <w:t xml:space="preserve"> jest ich </w:t>
      </w:r>
      <w:r w:rsidR="00077377">
        <w:t>ponad</w:t>
      </w:r>
      <w:r w:rsidR="00077377" w:rsidRPr="00C84C56">
        <w:t xml:space="preserve"> </w:t>
      </w:r>
      <w:r w:rsidR="00652D14">
        <w:t>1,14 mln</w:t>
      </w:r>
      <w:r w:rsidR="0029150C" w:rsidRPr="00C84C56">
        <w:t>. Kobiety przystąpiły do PPK w liczbie 1,03 mln, ich udział w ogólnej liczbie uczestników PPK to 42,</w:t>
      </w:r>
      <w:r w:rsidR="000D34D2" w:rsidRPr="00C84C56">
        <w:t>4</w:t>
      </w:r>
      <w:r w:rsidR="000D34D2">
        <w:t>8</w:t>
      </w:r>
      <w:r w:rsidR="0029150C" w:rsidRPr="00C84C56">
        <w:t xml:space="preserve">%. Ewidencja PPK nie posiada danych o płci </w:t>
      </w:r>
      <w:r w:rsidR="00B34F55">
        <w:t xml:space="preserve">ponad </w:t>
      </w:r>
      <w:r w:rsidR="0029150C" w:rsidRPr="00C84C56">
        <w:t>0,25 mln uczestników PPK</w:t>
      </w:r>
      <w:r w:rsidR="008B2D36">
        <w:t>,</w:t>
      </w:r>
      <w:r w:rsidR="0029150C" w:rsidRPr="00C84C56">
        <w:t xml:space="preserve"> </w:t>
      </w:r>
      <w:r w:rsidR="00675C6B">
        <w:t>czyli</w:t>
      </w:r>
      <w:r w:rsidR="000646AA">
        <w:t> </w:t>
      </w:r>
      <w:r w:rsidR="0029150C" w:rsidRPr="00C84C56">
        <w:t>10,</w:t>
      </w:r>
      <w:r w:rsidR="00B34F55" w:rsidRPr="00C84C56">
        <w:t>4</w:t>
      </w:r>
      <w:r w:rsidR="00B34F55">
        <w:t>9</w:t>
      </w:r>
      <w:r w:rsidR="0029150C" w:rsidRPr="00C84C56">
        <w:t>%.</w:t>
      </w:r>
    </w:p>
    <w:p w14:paraId="2A28FA7A" w14:textId="2909A8AB" w:rsidR="0029150C" w:rsidRPr="00C84C56" w:rsidRDefault="0029150C" w:rsidP="00A949C5">
      <w:pPr>
        <w:spacing w:before="6" w:after="6" w:line="288" w:lineRule="auto"/>
        <w:jc w:val="both"/>
      </w:pPr>
      <w:r w:rsidRPr="002B52D3">
        <w:t>Naj</w:t>
      </w:r>
      <w:r w:rsidR="00C4479D" w:rsidRPr="002B52D3">
        <w:t>liczniejszą</w:t>
      </w:r>
      <w:r w:rsidRPr="002B52D3">
        <w:t xml:space="preserve"> grupę wiekową wśród uczestników PPK stanowią osoby z przedziału 30</w:t>
      </w:r>
      <w:r w:rsidR="005C27C1">
        <w:t>–</w:t>
      </w:r>
      <w:r w:rsidRPr="002B52D3">
        <w:t>54 lata, jest ich 1,</w:t>
      </w:r>
      <w:r w:rsidR="00982C89" w:rsidRPr="002B52D3">
        <w:t>7</w:t>
      </w:r>
      <w:r w:rsidR="00982C89">
        <w:t>5</w:t>
      </w:r>
      <w:r w:rsidR="00982C89" w:rsidRPr="002B52D3">
        <w:t xml:space="preserve"> </w:t>
      </w:r>
      <w:r w:rsidRPr="002B52D3">
        <w:t>mln (71,</w:t>
      </w:r>
      <w:r w:rsidR="002564B6">
        <w:t>72</w:t>
      </w:r>
      <w:r w:rsidRPr="002B52D3">
        <w:t xml:space="preserve">%), </w:t>
      </w:r>
      <w:r w:rsidR="00A53BF6">
        <w:t xml:space="preserve">a </w:t>
      </w:r>
      <w:r w:rsidRPr="002B52D3">
        <w:t>w dalszej kolejności osoby z przedziału 18</w:t>
      </w:r>
      <w:r w:rsidR="005C27C1">
        <w:t>–</w:t>
      </w:r>
      <w:r w:rsidRPr="002B52D3">
        <w:t xml:space="preserve">29 lat </w:t>
      </w:r>
      <w:r w:rsidR="00A4397F" w:rsidRPr="002B52D3">
        <w:t>– jest ich</w:t>
      </w:r>
      <w:r w:rsidRPr="002B52D3">
        <w:t xml:space="preserve"> 0,52 mln (21,</w:t>
      </w:r>
      <w:r w:rsidR="00F54540">
        <w:t>36</w:t>
      </w:r>
      <w:r w:rsidRPr="002B52D3">
        <w:t>%). Osoby w</w:t>
      </w:r>
      <w:r w:rsidR="0087248E" w:rsidRPr="002B52D3">
        <w:t> </w:t>
      </w:r>
      <w:r w:rsidRPr="002B52D3">
        <w:t>wieku 55 lat i więcej stanowią 6,</w:t>
      </w:r>
      <w:r w:rsidR="00292B63">
        <w:t>9</w:t>
      </w:r>
      <w:r w:rsidRPr="002B52D3">
        <w:t>% uczestników PPK (0,</w:t>
      </w:r>
      <w:r w:rsidR="00CA4448" w:rsidRPr="002B52D3">
        <w:t>1</w:t>
      </w:r>
      <w:r w:rsidR="00CA4448">
        <w:t>7</w:t>
      </w:r>
      <w:r w:rsidR="00CA4448" w:rsidRPr="002B52D3">
        <w:t xml:space="preserve"> </w:t>
      </w:r>
      <w:r w:rsidRPr="002B52D3">
        <w:t xml:space="preserve">mln) </w:t>
      </w:r>
      <w:r w:rsidR="0070374C" w:rsidRPr="002B52D3">
        <w:t>–</w:t>
      </w:r>
      <w:r w:rsidR="002E06FE" w:rsidRPr="002B52D3">
        <w:t xml:space="preserve"> </w:t>
      </w:r>
      <w:r w:rsidR="0070374C" w:rsidRPr="002B52D3">
        <w:t>te osoby</w:t>
      </w:r>
      <w:r w:rsidRPr="002B52D3">
        <w:t xml:space="preserve"> jednak</w:t>
      </w:r>
      <w:r w:rsidR="002E06FE" w:rsidRPr="002B52D3">
        <w:t>,</w:t>
      </w:r>
      <w:r w:rsidRPr="002B52D3">
        <w:t xml:space="preserve"> aby</w:t>
      </w:r>
      <w:r w:rsidR="00652D14">
        <w:t> </w:t>
      </w:r>
      <w:r w:rsidRPr="002B52D3">
        <w:t>przystąpić do PPK</w:t>
      </w:r>
      <w:r w:rsidR="002E06FE" w:rsidRPr="002B52D3">
        <w:t>,</w:t>
      </w:r>
      <w:r w:rsidRPr="002B52D3">
        <w:t xml:space="preserve"> musiały złożyć stosowny wniosek</w:t>
      </w:r>
      <w:r w:rsidR="009A468F" w:rsidRPr="002B52D3">
        <w:t xml:space="preserve"> </w:t>
      </w:r>
      <w:r w:rsidR="00727D9C" w:rsidRPr="002B52D3">
        <w:t>(w przeciwieństwie do osób, które</w:t>
      </w:r>
      <w:r w:rsidR="00652D14">
        <w:t> </w:t>
      </w:r>
      <w:r w:rsidR="00727D9C" w:rsidRPr="002B52D3">
        <w:t>nie</w:t>
      </w:r>
      <w:r w:rsidR="00652D14">
        <w:t> </w:t>
      </w:r>
      <w:r w:rsidR="00727D9C" w:rsidRPr="002B52D3">
        <w:t>osiągnęły 55. roku życia)</w:t>
      </w:r>
      <w:r w:rsidRPr="002B52D3">
        <w:t>.</w:t>
      </w:r>
      <w:r w:rsidR="00C36F0A" w:rsidRPr="002B52D3">
        <w:t xml:space="preserve"> </w:t>
      </w:r>
      <w:r w:rsidRPr="002B52D3">
        <w:t>Średni wiek uczestnika PPK to 39 lat.</w:t>
      </w:r>
    </w:p>
    <w:p w14:paraId="011DE866" w14:textId="77777777" w:rsidR="0029150C" w:rsidRPr="00C84C56" w:rsidRDefault="0029150C" w:rsidP="00A949C5">
      <w:pPr>
        <w:spacing w:before="6" w:after="6" w:line="288" w:lineRule="auto"/>
        <w:jc w:val="both"/>
      </w:pPr>
      <w:r w:rsidRPr="00C84C56">
        <w:t xml:space="preserve">Wśród uczestników PPK przeważają Polacy, jednak obcokrajowców w programie jest już </w:t>
      </w:r>
      <w:r w:rsidR="006573A8" w:rsidRPr="00C84C56">
        <w:t>9</w:t>
      </w:r>
      <w:r w:rsidR="006573A8">
        <w:t>7</w:t>
      </w:r>
      <w:r w:rsidRPr="00C84C56">
        <w:t>,</w:t>
      </w:r>
      <w:r w:rsidR="006573A8">
        <w:t>46</w:t>
      </w:r>
      <w:r w:rsidR="006573A8" w:rsidRPr="00C84C56">
        <w:t xml:space="preserve"> </w:t>
      </w:r>
      <w:r w:rsidRPr="00C84C56">
        <w:t>tys. Ewidencja PPK nie posiada danych o narodowości 18,44 tys. uczestników PPK.</w:t>
      </w:r>
    </w:p>
    <w:p w14:paraId="73694EDE" w14:textId="77777777" w:rsidR="0029150C" w:rsidRPr="008B733A" w:rsidRDefault="0029150C" w:rsidP="00890462">
      <w:pPr>
        <w:spacing w:before="6" w:after="6" w:line="288" w:lineRule="auto"/>
        <w:jc w:val="both"/>
        <w:rPr>
          <w:rFonts w:ascii="Garamond" w:hAnsi="Garamond"/>
          <w:sz w:val="24"/>
          <w:szCs w:val="24"/>
        </w:rPr>
      </w:pPr>
    </w:p>
    <w:p w14:paraId="2A03953C" w14:textId="29B0A894" w:rsidR="00CC4966" w:rsidRPr="00DF2EB2" w:rsidRDefault="00CC4966" w:rsidP="00CC4966">
      <w:pPr>
        <w:pStyle w:val="Legenda"/>
        <w:keepNext/>
        <w:rPr>
          <w:b/>
          <w:i w:val="0"/>
          <w:color w:val="auto"/>
          <w:sz w:val="20"/>
          <w:szCs w:val="20"/>
        </w:rPr>
      </w:pPr>
      <w:bookmarkStart w:id="77" w:name="_Toc116482578"/>
      <w:bookmarkStart w:id="78" w:name="_Toc121826367"/>
      <w:r w:rsidRPr="00B57E90">
        <w:rPr>
          <w:color w:val="auto"/>
          <w:sz w:val="20"/>
          <w:szCs w:val="20"/>
        </w:rPr>
        <w:t xml:space="preserve">Tabela </w:t>
      </w:r>
      <w:r w:rsidRPr="00B57E90">
        <w:rPr>
          <w:color w:val="auto"/>
          <w:sz w:val="20"/>
          <w:szCs w:val="20"/>
        </w:rPr>
        <w:fldChar w:fldCharType="begin"/>
      </w:r>
      <w:r w:rsidRPr="00B57E90">
        <w:rPr>
          <w:color w:val="auto"/>
          <w:sz w:val="20"/>
          <w:szCs w:val="20"/>
        </w:rPr>
        <w:instrText xml:space="preserve"> SEQ Tabela \* ARABIC </w:instrText>
      </w:r>
      <w:r w:rsidRPr="00B57E90">
        <w:rPr>
          <w:color w:val="auto"/>
          <w:sz w:val="20"/>
          <w:szCs w:val="20"/>
        </w:rPr>
        <w:fldChar w:fldCharType="separate"/>
      </w:r>
      <w:r w:rsidR="0016221A" w:rsidRPr="00B57E90">
        <w:rPr>
          <w:noProof/>
          <w:color w:val="auto"/>
          <w:sz w:val="20"/>
          <w:szCs w:val="20"/>
        </w:rPr>
        <w:t>5</w:t>
      </w:r>
      <w:r w:rsidRPr="00B57E90">
        <w:rPr>
          <w:color w:val="auto"/>
          <w:sz w:val="20"/>
          <w:szCs w:val="20"/>
        </w:rPr>
        <w:fldChar w:fldCharType="end"/>
      </w:r>
      <w:r w:rsidRPr="00B57E90">
        <w:rPr>
          <w:b/>
          <w:i w:val="0"/>
          <w:color w:val="auto"/>
          <w:sz w:val="20"/>
          <w:szCs w:val="20"/>
        </w:rPr>
        <w:t xml:space="preserve"> </w:t>
      </w:r>
      <w:r w:rsidR="00DF2EB2" w:rsidRPr="00B57E90">
        <w:rPr>
          <w:b/>
          <w:bCs/>
          <w:i w:val="0"/>
          <w:iCs w:val="0"/>
          <w:color w:val="auto"/>
          <w:sz w:val="20"/>
          <w:szCs w:val="20"/>
        </w:rPr>
        <w:t>U</w:t>
      </w:r>
      <w:r w:rsidRPr="00B57E90">
        <w:rPr>
          <w:b/>
          <w:bCs/>
          <w:i w:val="0"/>
          <w:iCs w:val="0"/>
          <w:color w:val="auto"/>
          <w:sz w:val="20"/>
          <w:szCs w:val="20"/>
        </w:rPr>
        <w:t>czestni</w:t>
      </w:r>
      <w:r w:rsidR="00DF2EB2" w:rsidRPr="00B57E90">
        <w:rPr>
          <w:b/>
          <w:bCs/>
          <w:i w:val="0"/>
          <w:iCs w:val="0"/>
          <w:color w:val="auto"/>
          <w:sz w:val="20"/>
          <w:szCs w:val="20"/>
        </w:rPr>
        <w:t>cy</w:t>
      </w:r>
      <w:r w:rsidRPr="00B57E90">
        <w:rPr>
          <w:b/>
          <w:i w:val="0"/>
          <w:color w:val="auto"/>
          <w:sz w:val="20"/>
          <w:szCs w:val="20"/>
        </w:rPr>
        <w:t xml:space="preserve"> PPK </w:t>
      </w:r>
      <w:r w:rsidRPr="00B57E90">
        <w:rPr>
          <w:b/>
          <w:bCs/>
          <w:i w:val="0"/>
          <w:iCs w:val="0"/>
          <w:color w:val="auto"/>
          <w:sz w:val="20"/>
          <w:szCs w:val="20"/>
        </w:rPr>
        <w:t>w</w:t>
      </w:r>
      <w:r w:rsidR="00DF2EB2" w:rsidRPr="00B57E90">
        <w:rPr>
          <w:b/>
          <w:bCs/>
          <w:i w:val="0"/>
          <w:iCs w:val="0"/>
          <w:color w:val="auto"/>
          <w:sz w:val="20"/>
          <w:szCs w:val="20"/>
        </w:rPr>
        <w:t xml:space="preserve">g </w:t>
      </w:r>
      <w:r w:rsidR="00507606" w:rsidRPr="00B57E90">
        <w:rPr>
          <w:b/>
          <w:i w:val="0"/>
          <w:color w:val="auto"/>
          <w:sz w:val="20"/>
          <w:szCs w:val="20"/>
        </w:rPr>
        <w:t>obywatelstwa</w:t>
      </w:r>
      <w:r w:rsidR="009F5F2E">
        <w:rPr>
          <w:b/>
          <w:i w:val="0"/>
          <w:color w:val="auto"/>
          <w:sz w:val="20"/>
          <w:szCs w:val="20"/>
        </w:rPr>
        <w:t xml:space="preserve"> </w:t>
      </w:r>
      <w:r w:rsidR="005C27C1">
        <w:rPr>
          <w:b/>
          <w:i w:val="0"/>
          <w:color w:val="auto"/>
          <w:sz w:val="20"/>
          <w:szCs w:val="20"/>
        </w:rPr>
        <w:t>–</w:t>
      </w:r>
      <w:r w:rsidR="0016504A">
        <w:rPr>
          <w:b/>
          <w:i w:val="0"/>
          <w:color w:val="auto"/>
          <w:sz w:val="20"/>
          <w:szCs w:val="20"/>
        </w:rPr>
        <w:t xml:space="preserve"> stan </w:t>
      </w:r>
      <w:r w:rsidR="0016504A" w:rsidRPr="00697CCE">
        <w:rPr>
          <w:b/>
          <w:i w:val="0"/>
          <w:color w:val="auto"/>
          <w:sz w:val="20"/>
          <w:szCs w:val="20"/>
        </w:rPr>
        <w:t>na 31.</w:t>
      </w:r>
      <w:r w:rsidR="00383686" w:rsidRPr="009A6934">
        <w:rPr>
          <w:b/>
          <w:i w:val="0"/>
          <w:color w:val="auto"/>
          <w:sz w:val="20"/>
          <w:szCs w:val="20"/>
        </w:rPr>
        <w:t>08</w:t>
      </w:r>
      <w:r w:rsidR="0016504A" w:rsidRPr="00697CCE">
        <w:rPr>
          <w:b/>
          <w:i w:val="0"/>
          <w:color w:val="auto"/>
          <w:sz w:val="20"/>
          <w:szCs w:val="20"/>
        </w:rPr>
        <w:t>.2022 r</w:t>
      </w:r>
      <w:r w:rsidR="0016504A">
        <w:rPr>
          <w:b/>
          <w:i w:val="0"/>
          <w:color w:val="auto"/>
          <w:sz w:val="20"/>
          <w:szCs w:val="20"/>
        </w:rPr>
        <w:t>.</w:t>
      </w:r>
      <w:bookmarkEnd w:id="77"/>
      <w:bookmarkEnd w:id="78"/>
    </w:p>
    <w:tbl>
      <w:tblPr>
        <w:tblStyle w:val="Tabelasiatki41"/>
        <w:tblW w:w="9144" w:type="dxa"/>
        <w:tblLook w:val="04A0" w:firstRow="1" w:lastRow="0" w:firstColumn="1" w:lastColumn="0" w:noHBand="0" w:noVBand="1"/>
      </w:tblPr>
      <w:tblGrid>
        <w:gridCol w:w="3915"/>
        <w:gridCol w:w="3414"/>
        <w:gridCol w:w="1815"/>
      </w:tblGrid>
      <w:tr w:rsidR="00AF4784" w:rsidRPr="00AF4784" w14:paraId="239C974D" w14:textId="77777777" w:rsidTr="009A6934">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dxa"/>
            <w:noWrap/>
            <w:hideMark/>
          </w:tcPr>
          <w:p w14:paraId="6680E41B" w14:textId="77777777" w:rsidR="00AF4784" w:rsidRPr="00CC4CA0" w:rsidRDefault="00D829C0" w:rsidP="00CC4CA0">
            <w:pPr>
              <w:rPr>
                <w:rFonts w:ascii="Calibri" w:eastAsia="Times New Roman" w:hAnsi="Calibri" w:cs="Calibri"/>
                <w:color w:val="auto"/>
                <w:lang w:eastAsia="pl-PL"/>
              </w:rPr>
            </w:pPr>
            <w:r>
              <w:rPr>
                <w:rFonts w:ascii="Calibri" w:eastAsia="Times New Roman" w:hAnsi="Calibri" w:cs="Calibri"/>
                <w:lang w:eastAsia="pl-PL"/>
              </w:rPr>
              <w:t xml:space="preserve">Obywatelstwo </w:t>
            </w:r>
          </w:p>
        </w:tc>
        <w:tc>
          <w:tcPr>
            <w:tcW w:w="0" w:type="dxa"/>
            <w:noWrap/>
            <w:hideMark/>
          </w:tcPr>
          <w:p w14:paraId="79BBBA52" w14:textId="77777777" w:rsidR="00B47486" w:rsidRDefault="00A2006A" w:rsidP="00AF478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pl-PL"/>
              </w:rPr>
            </w:pPr>
            <w:r>
              <w:rPr>
                <w:rFonts w:ascii="Calibri" w:eastAsia="Times New Roman" w:hAnsi="Calibri" w:cs="Calibri"/>
                <w:lang w:eastAsia="pl-PL"/>
              </w:rPr>
              <w:t>L</w:t>
            </w:r>
            <w:r w:rsidR="00B47486">
              <w:rPr>
                <w:rFonts w:ascii="Calibri" w:eastAsia="Times New Roman" w:hAnsi="Calibri" w:cs="Calibri"/>
                <w:lang w:eastAsia="pl-PL"/>
              </w:rPr>
              <w:t>iczba uczestników</w:t>
            </w:r>
            <w:r w:rsidR="00500CB3">
              <w:rPr>
                <w:rFonts w:ascii="Calibri" w:eastAsia="Times New Roman" w:hAnsi="Calibri" w:cs="Calibri"/>
                <w:lang w:eastAsia="pl-PL"/>
              </w:rPr>
              <w:t xml:space="preserve"> (w tys.)</w:t>
            </w:r>
          </w:p>
        </w:tc>
        <w:tc>
          <w:tcPr>
            <w:tcW w:w="0" w:type="dxa"/>
          </w:tcPr>
          <w:p w14:paraId="31E7C5D0" w14:textId="77777777" w:rsidR="00AF4784" w:rsidRPr="00CC4CA0" w:rsidRDefault="00AF4784" w:rsidP="00AF478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lang w:eastAsia="pl-PL"/>
              </w:rPr>
            </w:pPr>
            <w:r w:rsidRPr="00CC4CA0">
              <w:rPr>
                <w:rFonts w:ascii="Calibri" w:eastAsia="Times New Roman" w:hAnsi="Calibri" w:cs="Calibri"/>
                <w:color w:val="auto"/>
                <w:lang w:eastAsia="pl-PL"/>
              </w:rPr>
              <w:t>%</w:t>
            </w:r>
          </w:p>
        </w:tc>
      </w:tr>
      <w:tr w:rsidR="005168AC" w:rsidRPr="00AF4784" w14:paraId="2B98A238" w14:textId="77777777" w:rsidTr="009A693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dxa"/>
            <w:noWrap/>
            <w:hideMark/>
          </w:tcPr>
          <w:p w14:paraId="49653D8A" w14:textId="77777777" w:rsidR="00AF4784" w:rsidRPr="00AF4784" w:rsidRDefault="00D829C0" w:rsidP="00890462">
            <w:pPr>
              <w:jc w:val="both"/>
              <w:rPr>
                <w:rFonts w:ascii="Calibri" w:eastAsia="Times New Roman" w:hAnsi="Calibri" w:cs="Calibri"/>
                <w:color w:val="000000"/>
                <w:lang w:eastAsia="pl-PL"/>
              </w:rPr>
            </w:pPr>
            <w:r>
              <w:rPr>
                <w:rFonts w:ascii="Calibri" w:eastAsia="Times New Roman" w:hAnsi="Calibri" w:cs="Calibri"/>
                <w:color w:val="000000"/>
                <w:lang w:eastAsia="pl-PL"/>
              </w:rPr>
              <w:t>p</w:t>
            </w:r>
            <w:r w:rsidR="00AF4784" w:rsidRPr="00AF4784">
              <w:rPr>
                <w:rFonts w:ascii="Calibri" w:eastAsia="Times New Roman" w:hAnsi="Calibri" w:cs="Calibri"/>
                <w:color w:val="000000"/>
                <w:lang w:eastAsia="pl-PL"/>
              </w:rPr>
              <w:t>olsk</w:t>
            </w:r>
            <w:r>
              <w:rPr>
                <w:rFonts w:ascii="Calibri" w:eastAsia="Times New Roman" w:hAnsi="Calibri" w:cs="Calibri"/>
                <w:color w:val="000000"/>
                <w:lang w:eastAsia="pl-PL"/>
              </w:rPr>
              <w:t>ie</w:t>
            </w:r>
          </w:p>
        </w:tc>
        <w:tc>
          <w:tcPr>
            <w:tcW w:w="0" w:type="dxa"/>
            <w:noWrap/>
            <w:hideMark/>
          </w:tcPr>
          <w:p w14:paraId="4BF6A56F" w14:textId="77777777" w:rsidR="00AF4784" w:rsidRPr="00AF4784" w:rsidRDefault="00AF4784" w:rsidP="0089046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AF4784">
              <w:rPr>
                <w:rFonts w:ascii="Calibri" w:eastAsia="Times New Roman" w:hAnsi="Calibri" w:cs="Calibri"/>
                <w:color w:val="000000"/>
                <w:lang w:eastAsia="pl-PL"/>
              </w:rPr>
              <w:t>2 319,15</w:t>
            </w:r>
          </w:p>
        </w:tc>
        <w:tc>
          <w:tcPr>
            <w:tcW w:w="0" w:type="dxa"/>
            <w:noWrap/>
            <w:hideMark/>
          </w:tcPr>
          <w:p w14:paraId="5035660B" w14:textId="77777777" w:rsidR="00AF4784" w:rsidRPr="00AF4784" w:rsidRDefault="00AF4784" w:rsidP="0089046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AF4784">
              <w:rPr>
                <w:rFonts w:ascii="Calibri" w:eastAsia="Times New Roman" w:hAnsi="Calibri" w:cs="Calibri"/>
                <w:color w:val="000000"/>
                <w:lang w:eastAsia="pl-PL"/>
              </w:rPr>
              <w:t>95,24</w:t>
            </w:r>
          </w:p>
        </w:tc>
      </w:tr>
      <w:tr w:rsidR="00AF4784" w:rsidRPr="00AF4784" w14:paraId="599608C6" w14:textId="77777777" w:rsidTr="009A6934">
        <w:trPr>
          <w:trHeight w:val="283"/>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hideMark/>
          </w:tcPr>
          <w:p w14:paraId="1993F93D" w14:textId="77777777" w:rsidR="00AF4784" w:rsidRPr="00AF4784" w:rsidRDefault="00D829C0" w:rsidP="00890462">
            <w:pPr>
              <w:jc w:val="both"/>
              <w:rPr>
                <w:rFonts w:ascii="Calibri" w:eastAsia="Times New Roman" w:hAnsi="Calibri" w:cs="Calibri"/>
                <w:color w:val="000000"/>
                <w:lang w:eastAsia="pl-PL"/>
              </w:rPr>
            </w:pPr>
            <w:r>
              <w:rPr>
                <w:rFonts w:ascii="Calibri" w:eastAsia="Times New Roman" w:hAnsi="Calibri" w:cs="Calibri"/>
                <w:color w:val="000000"/>
                <w:lang w:eastAsia="pl-PL"/>
              </w:rPr>
              <w:t>u</w:t>
            </w:r>
            <w:r w:rsidR="00AF4784" w:rsidRPr="00AF4784">
              <w:rPr>
                <w:rFonts w:ascii="Calibri" w:eastAsia="Times New Roman" w:hAnsi="Calibri" w:cs="Calibri"/>
                <w:color w:val="000000"/>
                <w:lang w:eastAsia="pl-PL"/>
              </w:rPr>
              <w:t>kraińsk</w:t>
            </w:r>
            <w:r>
              <w:rPr>
                <w:rFonts w:ascii="Calibri" w:eastAsia="Times New Roman" w:hAnsi="Calibri" w:cs="Calibri"/>
                <w:color w:val="000000"/>
                <w:lang w:eastAsia="pl-PL"/>
              </w:rPr>
              <w:t>ie</w:t>
            </w:r>
          </w:p>
        </w:tc>
        <w:tc>
          <w:tcPr>
            <w:tcW w:w="0" w:type="dxa"/>
            <w:shd w:val="clear" w:color="auto" w:fill="auto"/>
            <w:noWrap/>
            <w:hideMark/>
          </w:tcPr>
          <w:p w14:paraId="5CCD6A28" w14:textId="77777777" w:rsidR="00AF4784" w:rsidRPr="00AF4784" w:rsidRDefault="00AF4784" w:rsidP="0089046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AF4784">
              <w:rPr>
                <w:rFonts w:ascii="Calibri" w:eastAsia="Times New Roman" w:hAnsi="Calibri" w:cs="Calibri"/>
                <w:color w:val="000000"/>
                <w:lang w:eastAsia="pl-PL"/>
              </w:rPr>
              <w:t>65,27</w:t>
            </w:r>
          </w:p>
        </w:tc>
        <w:tc>
          <w:tcPr>
            <w:tcW w:w="0" w:type="dxa"/>
            <w:shd w:val="clear" w:color="auto" w:fill="auto"/>
            <w:noWrap/>
            <w:hideMark/>
          </w:tcPr>
          <w:p w14:paraId="4F6E67EF" w14:textId="77777777" w:rsidR="00AF4784" w:rsidRPr="00AF4784" w:rsidRDefault="00AF4784" w:rsidP="0089046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AF4784">
              <w:rPr>
                <w:rFonts w:ascii="Calibri" w:eastAsia="Times New Roman" w:hAnsi="Calibri" w:cs="Calibri"/>
                <w:color w:val="000000"/>
                <w:lang w:eastAsia="pl-PL"/>
              </w:rPr>
              <w:t>2,68</w:t>
            </w:r>
          </w:p>
        </w:tc>
      </w:tr>
      <w:tr w:rsidR="00AF4784" w:rsidRPr="00AF4784" w14:paraId="2CC590E4" w14:textId="77777777" w:rsidTr="009A693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hideMark/>
          </w:tcPr>
          <w:p w14:paraId="6BDB82AC" w14:textId="77777777" w:rsidR="00AF4784" w:rsidRPr="00AF4784" w:rsidRDefault="00D829C0" w:rsidP="00A17E44">
            <w:pPr>
              <w:jc w:val="both"/>
              <w:rPr>
                <w:rFonts w:ascii="Calibri" w:eastAsia="Times New Roman" w:hAnsi="Calibri" w:cs="Calibri"/>
                <w:color w:val="000000"/>
                <w:lang w:eastAsia="pl-PL"/>
              </w:rPr>
            </w:pPr>
            <w:r>
              <w:rPr>
                <w:rFonts w:ascii="Calibri" w:eastAsia="Times New Roman" w:hAnsi="Calibri" w:cs="Calibri"/>
                <w:color w:val="000000"/>
                <w:lang w:eastAsia="pl-PL"/>
              </w:rPr>
              <w:t>b</w:t>
            </w:r>
            <w:r w:rsidR="00AF4784" w:rsidRPr="00AF4784">
              <w:rPr>
                <w:rFonts w:ascii="Calibri" w:eastAsia="Times New Roman" w:hAnsi="Calibri" w:cs="Calibri"/>
                <w:color w:val="000000"/>
                <w:lang w:eastAsia="pl-PL"/>
              </w:rPr>
              <w:t>iałorusk</w:t>
            </w:r>
            <w:r>
              <w:rPr>
                <w:rFonts w:ascii="Calibri" w:eastAsia="Times New Roman" w:hAnsi="Calibri" w:cs="Calibri"/>
                <w:color w:val="000000"/>
                <w:lang w:eastAsia="pl-PL"/>
              </w:rPr>
              <w:t>ie</w:t>
            </w:r>
          </w:p>
        </w:tc>
        <w:tc>
          <w:tcPr>
            <w:tcW w:w="0" w:type="dxa"/>
            <w:shd w:val="clear" w:color="auto" w:fill="auto"/>
            <w:noWrap/>
            <w:hideMark/>
          </w:tcPr>
          <w:p w14:paraId="5F30EC28" w14:textId="77777777" w:rsidR="00AF4784" w:rsidRPr="00AF4784" w:rsidRDefault="00AF4784" w:rsidP="00A17E4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AF4784">
              <w:rPr>
                <w:rFonts w:ascii="Calibri" w:eastAsia="Times New Roman" w:hAnsi="Calibri" w:cs="Calibri"/>
                <w:color w:val="000000"/>
                <w:lang w:eastAsia="pl-PL"/>
              </w:rPr>
              <w:t>7,67</w:t>
            </w:r>
          </w:p>
        </w:tc>
        <w:tc>
          <w:tcPr>
            <w:tcW w:w="0" w:type="dxa"/>
            <w:shd w:val="clear" w:color="auto" w:fill="auto"/>
            <w:noWrap/>
            <w:hideMark/>
          </w:tcPr>
          <w:p w14:paraId="72E0951E" w14:textId="77777777" w:rsidR="00AF4784" w:rsidRPr="00AF4784" w:rsidRDefault="00AF4784" w:rsidP="00A17E4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AF4784">
              <w:rPr>
                <w:rFonts w:ascii="Calibri" w:eastAsia="Times New Roman" w:hAnsi="Calibri" w:cs="Calibri"/>
                <w:color w:val="000000"/>
                <w:lang w:eastAsia="pl-PL"/>
              </w:rPr>
              <w:t>0,32</w:t>
            </w:r>
          </w:p>
        </w:tc>
      </w:tr>
      <w:tr w:rsidR="005168AC" w:rsidRPr="00AF4784" w14:paraId="6FCBB204" w14:textId="77777777" w:rsidTr="009A6934">
        <w:trPr>
          <w:trHeight w:val="283"/>
        </w:trPr>
        <w:tc>
          <w:tcPr>
            <w:cnfStyle w:val="001000000000" w:firstRow="0" w:lastRow="0" w:firstColumn="1" w:lastColumn="0" w:oddVBand="0" w:evenVBand="0" w:oddHBand="0" w:evenHBand="0" w:firstRowFirstColumn="0" w:firstRowLastColumn="0" w:lastRowFirstColumn="0" w:lastRowLastColumn="0"/>
            <w:tcW w:w="0" w:type="dxa"/>
            <w:noWrap/>
            <w:hideMark/>
          </w:tcPr>
          <w:p w14:paraId="3254515F" w14:textId="77777777" w:rsidR="00AF4784" w:rsidRPr="00AF4784" w:rsidRDefault="00D829C0" w:rsidP="00A17E44">
            <w:pPr>
              <w:jc w:val="both"/>
              <w:rPr>
                <w:rFonts w:ascii="Calibri" w:eastAsia="Times New Roman" w:hAnsi="Calibri" w:cs="Calibri"/>
                <w:color w:val="000000"/>
                <w:lang w:eastAsia="pl-PL"/>
              </w:rPr>
            </w:pPr>
            <w:r>
              <w:rPr>
                <w:rFonts w:ascii="Calibri" w:eastAsia="Times New Roman" w:hAnsi="Calibri" w:cs="Calibri"/>
                <w:color w:val="000000"/>
                <w:lang w:eastAsia="pl-PL"/>
              </w:rPr>
              <w:t>i</w:t>
            </w:r>
            <w:r w:rsidR="00AF4784" w:rsidRPr="00AF4784">
              <w:rPr>
                <w:rFonts w:ascii="Calibri" w:eastAsia="Times New Roman" w:hAnsi="Calibri" w:cs="Calibri"/>
                <w:color w:val="000000"/>
                <w:lang w:eastAsia="pl-PL"/>
              </w:rPr>
              <w:t>ndyjsk</w:t>
            </w:r>
            <w:r>
              <w:rPr>
                <w:rFonts w:ascii="Calibri" w:eastAsia="Times New Roman" w:hAnsi="Calibri" w:cs="Calibri"/>
                <w:color w:val="000000"/>
                <w:lang w:eastAsia="pl-PL"/>
              </w:rPr>
              <w:t>ie</w:t>
            </w:r>
          </w:p>
        </w:tc>
        <w:tc>
          <w:tcPr>
            <w:tcW w:w="0" w:type="dxa"/>
            <w:noWrap/>
            <w:hideMark/>
          </w:tcPr>
          <w:p w14:paraId="67C27B7B" w14:textId="77777777" w:rsidR="00AF4784" w:rsidRPr="00AF4784" w:rsidRDefault="00AF4784" w:rsidP="00A17E4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AF4784">
              <w:rPr>
                <w:rFonts w:ascii="Calibri" w:eastAsia="Times New Roman" w:hAnsi="Calibri" w:cs="Calibri"/>
                <w:color w:val="000000"/>
                <w:lang w:eastAsia="pl-PL"/>
              </w:rPr>
              <w:t>2,26</w:t>
            </w:r>
          </w:p>
        </w:tc>
        <w:tc>
          <w:tcPr>
            <w:tcW w:w="0" w:type="dxa"/>
            <w:noWrap/>
            <w:hideMark/>
          </w:tcPr>
          <w:p w14:paraId="2B0812F3" w14:textId="77777777" w:rsidR="00AF4784" w:rsidRPr="00AF4784" w:rsidRDefault="00AF4784" w:rsidP="00A17E4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AF4784">
              <w:rPr>
                <w:rFonts w:ascii="Calibri" w:eastAsia="Times New Roman" w:hAnsi="Calibri" w:cs="Calibri"/>
                <w:color w:val="000000"/>
                <w:lang w:eastAsia="pl-PL"/>
              </w:rPr>
              <w:t>0,09</w:t>
            </w:r>
          </w:p>
        </w:tc>
      </w:tr>
      <w:tr w:rsidR="00AF4784" w:rsidRPr="00AF4784" w14:paraId="41137594" w14:textId="77777777" w:rsidTr="009A693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hideMark/>
          </w:tcPr>
          <w:p w14:paraId="74793711" w14:textId="77777777" w:rsidR="00AF4784" w:rsidRPr="00AF4784" w:rsidRDefault="00D829C0" w:rsidP="00A17E44">
            <w:pPr>
              <w:jc w:val="both"/>
              <w:rPr>
                <w:rFonts w:ascii="Calibri" w:eastAsia="Times New Roman" w:hAnsi="Calibri" w:cs="Calibri"/>
                <w:color w:val="000000"/>
                <w:lang w:eastAsia="pl-PL"/>
              </w:rPr>
            </w:pPr>
            <w:r>
              <w:rPr>
                <w:rFonts w:ascii="Calibri" w:eastAsia="Times New Roman" w:hAnsi="Calibri" w:cs="Calibri"/>
                <w:color w:val="000000"/>
                <w:lang w:eastAsia="pl-PL"/>
              </w:rPr>
              <w:t>r</w:t>
            </w:r>
            <w:r w:rsidR="00AF4784" w:rsidRPr="00AF4784">
              <w:rPr>
                <w:rFonts w:ascii="Calibri" w:eastAsia="Times New Roman" w:hAnsi="Calibri" w:cs="Calibri"/>
                <w:color w:val="000000"/>
                <w:lang w:eastAsia="pl-PL"/>
              </w:rPr>
              <w:t>osyjsk</w:t>
            </w:r>
            <w:r>
              <w:rPr>
                <w:rFonts w:ascii="Calibri" w:eastAsia="Times New Roman" w:hAnsi="Calibri" w:cs="Calibri"/>
                <w:color w:val="000000"/>
                <w:lang w:eastAsia="pl-PL"/>
              </w:rPr>
              <w:t>ie</w:t>
            </w:r>
          </w:p>
        </w:tc>
        <w:tc>
          <w:tcPr>
            <w:tcW w:w="0" w:type="dxa"/>
            <w:shd w:val="clear" w:color="auto" w:fill="auto"/>
            <w:noWrap/>
            <w:hideMark/>
          </w:tcPr>
          <w:p w14:paraId="69426B81" w14:textId="77777777" w:rsidR="00AF4784" w:rsidRPr="00AF4784" w:rsidRDefault="00AF4784" w:rsidP="00A17E4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AF4784">
              <w:rPr>
                <w:rFonts w:ascii="Calibri" w:eastAsia="Times New Roman" w:hAnsi="Calibri" w:cs="Calibri"/>
                <w:color w:val="000000"/>
                <w:lang w:eastAsia="pl-PL"/>
              </w:rPr>
              <w:t>1,90</w:t>
            </w:r>
          </w:p>
        </w:tc>
        <w:tc>
          <w:tcPr>
            <w:tcW w:w="0" w:type="dxa"/>
            <w:shd w:val="clear" w:color="auto" w:fill="auto"/>
            <w:noWrap/>
            <w:hideMark/>
          </w:tcPr>
          <w:p w14:paraId="34231618" w14:textId="77777777" w:rsidR="00AF4784" w:rsidRPr="00AF4784" w:rsidRDefault="00AF4784" w:rsidP="00A17E4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AF4784">
              <w:rPr>
                <w:rFonts w:ascii="Calibri" w:eastAsia="Times New Roman" w:hAnsi="Calibri" w:cs="Calibri"/>
                <w:color w:val="000000"/>
                <w:lang w:eastAsia="pl-PL"/>
              </w:rPr>
              <w:t>0,08</w:t>
            </w:r>
          </w:p>
        </w:tc>
      </w:tr>
      <w:tr w:rsidR="005168AC" w:rsidRPr="00AF4784" w14:paraId="10F51A2B" w14:textId="77777777" w:rsidTr="009A6934">
        <w:trPr>
          <w:trHeight w:val="283"/>
        </w:trPr>
        <w:tc>
          <w:tcPr>
            <w:cnfStyle w:val="001000000000" w:firstRow="0" w:lastRow="0" w:firstColumn="1" w:lastColumn="0" w:oddVBand="0" w:evenVBand="0" w:oddHBand="0" w:evenHBand="0" w:firstRowFirstColumn="0" w:firstRowLastColumn="0" w:lastRowFirstColumn="0" w:lastRowLastColumn="0"/>
            <w:tcW w:w="0" w:type="dxa"/>
            <w:noWrap/>
            <w:hideMark/>
          </w:tcPr>
          <w:p w14:paraId="229286F5" w14:textId="77777777" w:rsidR="00AF4784" w:rsidRPr="00AF4784" w:rsidRDefault="00D829C0" w:rsidP="00A17E44">
            <w:pPr>
              <w:jc w:val="both"/>
              <w:rPr>
                <w:rFonts w:ascii="Calibri" w:eastAsia="Times New Roman" w:hAnsi="Calibri" w:cs="Calibri"/>
                <w:color w:val="000000"/>
                <w:lang w:eastAsia="pl-PL"/>
              </w:rPr>
            </w:pPr>
            <w:r>
              <w:rPr>
                <w:rFonts w:ascii="Calibri" w:eastAsia="Times New Roman" w:hAnsi="Calibri" w:cs="Calibri"/>
                <w:color w:val="000000"/>
                <w:lang w:eastAsia="pl-PL"/>
              </w:rPr>
              <w:t>r</w:t>
            </w:r>
            <w:r w:rsidR="00AF4784" w:rsidRPr="00AF4784">
              <w:rPr>
                <w:rFonts w:ascii="Calibri" w:eastAsia="Times New Roman" w:hAnsi="Calibri" w:cs="Calibri"/>
                <w:color w:val="000000"/>
                <w:lang w:eastAsia="pl-PL"/>
              </w:rPr>
              <w:t>umuńsk</w:t>
            </w:r>
            <w:r>
              <w:rPr>
                <w:rFonts w:ascii="Calibri" w:eastAsia="Times New Roman" w:hAnsi="Calibri" w:cs="Calibri"/>
                <w:color w:val="000000"/>
                <w:lang w:eastAsia="pl-PL"/>
              </w:rPr>
              <w:t>ie</w:t>
            </w:r>
          </w:p>
        </w:tc>
        <w:tc>
          <w:tcPr>
            <w:tcW w:w="0" w:type="dxa"/>
            <w:noWrap/>
            <w:hideMark/>
          </w:tcPr>
          <w:p w14:paraId="6A5036D3" w14:textId="77777777" w:rsidR="00AF4784" w:rsidRPr="00AF4784" w:rsidRDefault="00AF4784" w:rsidP="00A17E4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AF4784">
              <w:rPr>
                <w:rFonts w:ascii="Calibri" w:eastAsia="Times New Roman" w:hAnsi="Calibri" w:cs="Calibri"/>
                <w:color w:val="000000"/>
                <w:lang w:eastAsia="pl-PL"/>
              </w:rPr>
              <w:t>1,85</w:t>
            </w:r>
          </w:p>
        </w:tc>
        <w:tc>
          <w:tcPr>
            <w:tcW w:w="0" w:type="dxa"/>
            <w:noWrap/>
            <w:hideMark/>
          </w:tcPr>
          <w:p w14:paraId="225423FB" w14:textId="77777777" w:rsidR="00AF4784" w:rsidRPr="00AF4784" w:rsidRDefault="00AF4784" w:rsidP="00A17E4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AF4784">
              <w:rPr>
                <w:rFonts w:ascii="Calibri" w:eastAsia="Times New Roman" w:hAnsi="Calibri" w:cs="Calibri"/>
                <w:color w:val="000000"/>
                <w:lang w:eastAsia="pl-PL"/>
              </w:rPr>
              <w:t>0,08</w:t>
            </w:r>
          </w:p>
        </w:tc>
      </w:tr>
      <w:tr w:rsidR="00AF4784" w:rsidRPr="00AF4784" w14:paraId="15445AE4" w14:textId="77777777" w:rsidTr="009A693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hideMark/>
          </w:tcPr>
          <w:p w14:paraId="25F9B020" w14:textId="77777777" w:rsidR="00AF4784" w:rsidRPr="00AF4784" w:rsidRDefault="00D829C0" w:rsidP="00A17E44">
            <w:pPr>
              <w:jc w:val="both"/>
              <w:rPr>
                <w:rFonts w:ascii="Calibri" w:eastAsia="Times New Roman" w:hAnsi="Calibri" w:cs="Calibri"/>
                <w:color w:val="000000"/>
                <w:lang w:eastAsia="pl-PL"/>
              </w:rPr>
            </w:pPr>
            <w:r>
              <w:rPr>
                <w:rFonts w:ascii="Calibri" w:eastAsia="Times New Roman" w:hAnsi="Calibri" w:cs="Calibri"/>
                <w:color w:val="000000"/>
                <w:lang w:eastAsia="pl-PL"/>
              </w:rPr>
              <w:t>w</w:t>
            </w:r>
            <w:r w:rsidR="00AF4784" w:rsidRPr="00AF4784">
              <w:rPr>
                <w:rFonts w:ascii="Calibri" w:eastAsia="Times New Roman" w:hAnsi="Calibri" w:cs="Calibri"/>
                <w:color w:val="000000"/>
                <w:lang w:eastAsia="pl-PL"/>
              </w:rPr>
              <w:t>łosk</w:t>
            </w:r>
            <w:r>
              <w:rPr>
                <w:rFonts w:ascii="Calibri" w:eastAsia="Times New Roman" w:hAnsi="Calibri" w:cs="Calibri"/>
                <w:color w:val="000000"/>
                <w:lang w:eastAsia="pl-PL"/>
              </w:rPr>
              <w:t>ie</w:t>
            </w:r>
          </w:p>
        </w:tc>
        <w:tc>
          <w:tcPr>
            <w:tcW w:w="0" w:type="dxa"/>
            <w:shd w:val="clear" w:color="auto" w:fill="auto"/>
            <w:noWrap/>
            <w:hideMark/>
          </w:tcPr>
          <w:p w14:paraId="76E6808E" w14:textId="77777777" w:rsidR="00AF4784" w:rsidRPr="00AF4784" w:rsidRDefault="00AF4784" w:rsidP="00A17E4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AF4784">
              <w:rPr>
                <w:rFonts w:ascii="Calibri" w:eastAsia="Times New Roman" w:hAnsi="Calibri" w:cs="Calibri"/>
                <w:color w:val="000000"/>
                <w:lang w:eastAsia="pl-PL"/>
              </w:rPr>
              <w:t>1,48</w:t>
            </w:r>
          </w:p>
        </w:tc>
        <w:tc>
          <w:tcPr>
            <w:tcW w:w="0" w:type="dxa"/>
            <w:shd w:val="clear" w:color="auto" w:fill="auto"/>
            <w:noWrap/>
            <w:hideMark/>
          </w:tcPr>
          <w:p w14:paraId="03DECBFD" w14:textId="77777777" w:rsidR="00AF4784" w:rsidRPr="00AF4784" w:rsidRDefault="00AF4784" w:rsidP="00A17E4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AF4784">
              <w:rPr>
                <w:rFonts w:ascii="Calibri" w:eastAsia="Times New Roman" w:hAnsi="Calibri" w:cs="Calibri"/>
                <w:color w:val="000000"/>
                <w:lang w:eastAsia="pl-PL"/>
              </w:rPr>
              <w:t>0,06</w:t>
            </w:r>
          </w:p>
        </w:tc>
      </w:tr>
      <w:tr w:rsidR="005168AC" w:rsidRPr="00AF4784" w14:paraId="7FA19D02" w14:textId="77777777" w:rsidTr="009A6934">
        <w:trPr>
          <w:trHeight w:val="283"/>
        </w:trPr>
        <w:tc>
          <w:tcPr>
            <w:cnfStyle w:val="001000000000" w:firstRow="0" w:lastRow="0" w:firstColumn="1" w:lastColumn="0" w:oddVBand="0" w:evenVBand="0" w:oddHBand="0" w:evenHBand="0" w:firstRowFirstColumn="0" w:firstRowLastColumn="0" w:lastRowFirstColumn="0" w:lastRowLastColumn="0"/>
            <w:tcW w:w="0" w:type="dxa"/>
            <w:noWrap/>
            <w:hideMark/>
          </w:tcPr>
          <w:p w14:paraId="7A5F9638" w14:textId="77777777" w:rsidR="00AF4784" w:rsidRPr="00AF4784" w:rsidRDefault="00D829C0" w:rsidP="00A17E44">
            <w:pPr>
              <w:jc w:val="both"/>
              <w:rPr>
                <w:rFonts w:ascii="Calibri" w:eastAsia="Times New Roman" w:hAnsi="Calibri" w:cs="Calibri"/>
                <w:color w:val="000000"/>
                <w:lang w:eastAsia="pl-PL"/>
              </w:rPr>
            </w:pPr>
            <w:r>
              <w:rPr>
                <w:rFonts w:ascii="Calibri" w:eastAsia="Times New Roman" w:hAnsi="Calibri" w:cs="Calibri"/>
                <w:color w:val="000000"/>
                <w:lang w:eastAsia="pl-PL"/>
              </w:rPr>
              <w:t>f</w:t>
            </w:r>
            <w:r w:rsidR="00AF4784" w:rsidRPr="00AF4784">
              <w:rPr>
                <w:rFonts w:ascii="Calibri" w:eastAsia="Times New Roman" w:hAnsi="Calibri" w:cs="Calibri"/>
                <w:color w:val="000000"/>
                <w:lang w:eastAsia="pl-PL"/>
              </w:rPr>
              <w:t>rancusk</w:t>
            </w:r>
            <w:r>
              <w:rPr>
                <w:rFonts w:ascii="Calibri" w:eastAsia="Times New Roman" w:hAnsi="Calibri" w:cs="Calibri"/>
                <w:color w:val="000000"/>
                <w:lang w:eastAsia="pl-PL"/>
              </w:rPr>
              <w:t>ie</w:t>
            </w:r>
          </w:p>
        </w:tc>
        <w:tc>
          <w:tcPr>
            <w:tcW w:w="0" w:type="dxa"/>
            <w:noWrap/>
            <w:hideMark/>
          </w:tcPr>
          <w:p w14:paraId="4012E7CB" w14:textId="77777777" w:rsidR="00AF4784" w:rsidRPr="00AF4784" w:rsidRDefault="00AF4784" w:rsidP="00A17E4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AF4784">
              <w:rPr>
                <w:rFonts w:ascii="Calibri" w:eastAsia="Times New Roman" w:hAnsi="Calibri" w:cs="Calibri"/>
                <w:color w:val="000000"/>
                <w:lang w:eastAsia="pl-PL"/>
              </w:rPr>
              <w:t>0,95</w:t>
            </w:r>
          </w:p>
        </w:tc>
        <w:tc>
          <w:tcPr>
            <w:tcW w:w="0" w:type="dxa"/>
            <w:noWrap/>
            <w:hideMark/>
          </w:tcPr>
          <w:p w14:paraId="30531D8E" w14:textId="77777777" w:rsidR="00AF4784" w:rsidRPr="00AF4784" w:rsidRDefault="00AF4784" w:rsidP="00A17E4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AF4784">
              <w:rPr>
                <w:rFonts w:ascii="Calibri" w:eastAsia="Times New Roman" w:hAnsi="Calibri" w:cs="Calibri"/>
                <w:color w:val="000000"/>
                <w:lang w:eastAsia="pl-PL"/>
              </w:rPr>
              <w:t>0,04</w:t>
            </w:r>
          </w:p>
        </w:tc>
      </w:tr>
      <w:tr w:rsidR="00AF4784" w:rsidRPr="00AF4784" w14:paraId="66D4FF65" w14:textId="77777777" w:rsidTr="009A693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hideMark/>
          </w:tcPr>
          <w:p w14:paraId="7611606A" w14:textId="77777777" w:rsidR="00AF4784" w:rsidRPr="00AF4784" w:rsidRDefault="00D829C0" w:rsidP="00A17E44">
            <w:pPr>
              <w:jc w:val="both"/>
              <w:rPr>
                <w:rFonts w:ascii="Calibri" w:eastAsia="Times New Roman" w:hAnsi="Calibri" w:cs="Calibri"/>
                <w:color w:val="000000"/>
                <w:lang w:eastAsia="pl-PL"/>
              </w:rPr>
            </w:pPr>
            <w:r>
              <w:rPr>
                <w:rFonts w:ascii="Calibri" w:eastAsia="Times New Roman" w:hAnsi="Calibri" w:cs="Calibri"/>
                <w:color w:val="000000"/>
                <w:lang w:eastAsia="pl-PL"/>
              </w:rPr>
              <w:t>p</w:t>
            </w:r>
            <w:r w:rsidR="00AF4784" w:rsidRPr="00AF4784">
              <w:rPr>
                <w:rFonts w:ascii="Calibri" w:eastAsia="Times New Roman" w:hAnsi="Calibri" w:cs="Calibri"/>
                <w:color w:val="000000"/>
                <w:lang w:eastAsia="pl-PL"/>
              </w:rPr>
              <w:t>ozostałe</w:t>
            </w:r>
          </w:p>
        </w:tc>
        <w:tc>
          <w:tcPr>
            <w:tcW w:w="0" w:type="dxa"/>
            <w:shd w:val="clear" w:color="auto" w:fill="auto"/>
            <w:noWrap/>
            <w:hideMark/>
          </w:tcPr>
          <w:p w14:paraId="13ACCB1B" w14:textId="77777777" w:rsidR="00AF4784" w:rsidRPr="00AF4784" w:rsidRDefault="00AF4784" w:rsidP="005168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AF4784">
              <w:rPr>
                <w:rFonts w:ascii="Calibri" w:eastAsia="Times New Roman" w:hAnsi="Calibri" w:cs="Calibri"/>
                <w:color w:val="000000"/>
                <w:lang w:eastAsia="pl-PL"/>
              </w:rPr>
              <w:t>16,08</w:t>
            </w:r>
          </w:p>
        </w:tc>
        <w:tc>
          <w:tcPr>
            <w:tcW w:w="0" w:type="dxa"/>
            <w:shd w:val="clear" w:color="auto" w:fill="auto"/>
            <w:noWrap/>
            <w:hideMark/>
          </w:tcPr>
          <w:p w14:paraId="66F88361" w14:textId="77777777" w:rsidR="00AF4784" w:rsidRPr="00AF4784" w:rsidRDefault="00AF4784" w:rsidP="005168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AF4784">
              <w:rPr>
                <w:rFonts w:ascii="Calibri" w:eastAsia="Times New Roman" w:hAnsi="Calibri" w:cs="Calibri"/>
                <w:color w:val="000000"/>
                <w:lang w:eastAsia="pl-PL"/>
              </w:rPr>
              <w:t>0,</w:t>
            </w:r>
            <w:r w:rsidR="005028F7">
              <w:rPr>
                <w:rFonts w:ascii="Calibri" w:eastAsia="Times New Roman" w:hAnsi="Calibri" w:cs="Calibri"/>
                <w:color w:val="000000"/>
                <w:lang w:eastAsia="pl-PL"/>
              </w:rPr>
              <w:t>66</w:t>
            </w:r>
          </w:p>
        </w:tc>
      </w:tr>
      <w:tr w:rsidR="008F48C6" w:rsidRPr="00AF4784" w14:paraId="47EE4039" w14:textId="77777777" w:rsidTr="009A6934">
        <w:trPr>
          <w:trHeight w:val="283"/>
        </w:trPr>
        <w:tc>
          <w:tcPr>
            <w:cnfStyle w:val="001000000000" w:firstRow="0" w:lastRow="0" w:firstColumn="1" w:lastColumn="0" w:oddVBand="0" w:evenVBand="0" w:oddHBand="0" w:evenHBand="0" w:firstRowFirstColumn="0" w:firstRowLastColumn="0" w:lastRowFirstColumn="0" w:lastRowLastColumn="0"/>
            <w:tcW w:w="0" w:type="dxa"/>
            <w:noWrap/>
            <w:hideMark/>
          </w:tcPr>
          <w:p w14:paraId="1456B9C2" w14:textId="77777777" w:rsidR="008F48C6" w:rsidRPr="009A6934" w:rsidRDefault="008F48C6">
            <w:pPr>
              <w:jc w:val="both"/>
              <w:rPr>
                <w:rFonts w:ascii="Calibri" w:eastAsia="Times New Roman" w:hAnsi="Calibri" w:cs="Calibri"/>
                <w:color w:val="000000"/>
                <w:lang w:eastAsia="pl-PL"/>
              </w:rPr>
            </w:pPr>
            <w:r w:rsidRPr="009A6934">
              <w:rPr>
                <w:rFonts w:ascii="Calibri" w:eastAsia="Times New Roman" w:hAnsi="Calibri" w:cs="Calibri"/>
                <w:color w:val="000000"/>
                <w:lang w:eastAsia="pl-PL"/>
              </w:rPr>
              <w:t>brak danych</w:t>
            </w:r>
          </w:p>
        </w:tc>
        <w:tc>
          <w:tcPr>
            <w:tcW w:w="0" w:type="dxa"/>
            <w:noWrap/>
            <w:hideMark/>
          </w:tcPr>
          <w:p w14:paraId="5E2108D0" w14:textId="77777777" w:rsidR="008F48C6" w:rsidRPr="009A6934" w:rsidRDefault="008F48C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9A6934">
              <w:rPr>
                <w:rFonts w:ascii="Calibri" w:eastAsia="Times New Roman" w:hAnsi="Calibri" w:cs="Calibri"/>
                <w:color w:val="000000"/>
                <w:lang w:eastAsia="pl-PL"/>
              </w:rPr>
              <w:t>18,44</w:t>
            </w:r>
          </w:p>
        </w:tc>
        <w:tc>
          <w:tcPr>
            <w:tcW w:w="0" w:type="dxa"/>
            <w:noWrap/>
            <w:hideMark/>
          </w:tcPr>
          <w:p w14:paraId="345BFC63" w14:textId="77777777" w:rsidR="008F48C6" w:rsidRPr="009A6934" w:rsidRDefault="008F48C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9A6934">
              <w:rPr>
                <w:rFonts w:ascii="Calibri" w:eastAsia="Times New Roman" w:hAnsi="Calibri" w:cs="Calibri"/>
                <w:color w:val="000000"/>
                <w:lang w:eastAsia="pl-PL"/>
              </w:rPr>
              <w:t>0,76</w:t>
            </w:r>
          </w:p>
        </w:tc>
      </w:tr>
    </w:tbl>
    <w:p w14:paraId="1A22B7E1" w14:textId="77777777" w:rsidR="006B60F8" w:rsidRDefault="009F67DC" w:rsidP="005168AC">
      <w:pPr>
        <w:spacing w:before="6" w:after="6" w:line="288" w:lineRule="auto"/>
        <w:jc w:val="both"/>
        <w:rPr>
          <w:i/>
          <w:sz w:val="18"/>
          <w:szCs w:val="18"/>
        </w:rPr>
      </w:pPr>
      <w:r w:rsidRPr="00906DB3">
        <w:rPr>
          <w:i/>
          <w:sz w:val="18"/>
          <w:szCs w:val="18"/>
        </w:rPr>
        <w:t>Źródło: Ewidencja PPK</w:t>
      </w:r>
    </w:p>
    <w:p w14:paraId="40F4FF2A" w14:textId="77777777" w:rsidR="00E74147" w:rsidRPr="008B733A" w:rsidRDefault="00E74147" w:rsidP="005168AC">
      <w:pPr>
        <w:spacing w:before="6" w:after="6" w:line="288" w:lineRule="auto"/>
        <w:jc w:val="both"/>
        <w:rPr>
          <w:rFonts w:ascii="Garamond" w:hAnsi="Garamond"/>
          <w:sz w:val="24"/>
          <w:szCs w:val="24"/>
        </w:rPr>
      </w:pPr>
    </w:p>
    <w:p w14:paraId="11EDD297" w14:textId="77777777" w:rsidR="0029150C" w:rsidRPr="0064292B" w:rsidRDefault="00370EC6">
      <w:pPr>
        <w:pStyle w:val="Nagwek2"/>
        <w:numPr>
          <w:ilvl w:val="0"/>
          <w:numId w:val="25"/>
        </w:numPr>
        <w:spacing w:before="6" w:after="6" w:line="288" w:lineRule="auto"/>
      </w:pPr>
      <w:bookmarkStart w:id="79" w:name="_Toc121828634"/>
      <w:r>
        <w:lastRenderedPageBreak/>
        <w:t>Rynek i</w:t>
      </w:r>
      <w:r w:rsidR="0029150C" w:rsidRPr="0064292B">
        <w:t>nstytucj</w:t>
      </w:r>
      <w:r>
        <w:t>i</w:t>
      </w:r>
      <w:r w:rsidR="0029150C" w:rsidRPr="0064292B">
        <w:t xml:space="preserve"> finansow</w:t>
      </w:r>
      <w:r>
        <w:t>ych</w:t>
      </w:r>
      <w:r w:rsidR="0029150C" w:rsidRPr="0064292B">
        <w:t xml:space="preserve"> prowadząc</w:t>
      </w:r>
      <w:r>
        <w:t>ych</w:t>
      </w:r>
      <w:r w:rsidR="0029150C" w:rsidRPr="0064292B">
        <w:t xml:space="preserve"> PPK</w:t>
      </w:r>
      <w:bookmarkEnd w:id="79"/>
    </w:p>
    <w:p w14:paraId="6BB4A6A5" w14:textId="79424B20" w:rsidR="00126CC1" w:rsidRDefault="0029150C" w:rsidP="00DE43E7">
      <w:pPr>
        <w:spacing w:before="6" w:after="6" w:line="288" w:lineRule="auto"/>
        <w:jc w:val="both"/>
      </w:pPr>
      <w:r w:rsidRPr="0064292B">
        <w:t>W początkowej fazie tworzenia PPK zainteresowanie zarządzaniem środkami zgromadzonymi w</w:t>
      </w:r>
      <w:r w:rsidR="00C36F0A">
        <w:t> </w:t>
      </w:r>
      <w:r w:rsidR="001922CC">
        <w:t xml:space="preserve">tym </w:t>
      </w:r>
      <w:r w:rsidRPr="0064292B">
        <w:t>programie</w:t>
      </w:r>
      <w:r w:rsidR="00C21343" w:rsidRPr="00C21343">
        <w:t xml:space="preserve"> </w:t>
      </w:r>
      <w:r w:rsidR="00C21343" w:rsidRPr="0064292B">
        <w:t>wyrażało</w:t>
      </w:r>
      <w:r w:rsidR="00C21343">
        <w:t xml:space="preserve"> </w:t>
      </w:r>
      <w:r w:rsidR="00C21343" w:rsidRPr="0064292B">
        <w:t>21 podmiotów</w:t>
      </w:r>
      <w:r w:rsidRPr="0064292B">
        <w:t>. Jeszcze przed jego uruchomieniem z uczestnictwa w programie wycofał</w:t>
      </w:r>
      <w:r w:rsidR="00C93B9E">
        <w:t>a</w:t>
      </w:r>
      <w:r w:rsidRPr="0064292B">
        <w:t xml:space="preserve"> się TUnŻ WARTA S.A</w:t>
      </w:r>
      <w:r w:rsidR="009C07A5">
        <w:t xml:space="preserve"> </w:t>
      </w:r>
      <w:r w:rsidR="005C27C1">
        <w:t>–</w:t>
      </w:r>
      <w:r w:rsidR="009C07A5">
        <w:t xml:space="preserve"> </w:t>
      </w:r>
      <w:r w:rsidR="009C07A5" w:rsidRPr="009C07A5">
        <w:t>nie podjęł</w:t>
      </w:r>
      <w:r w:rsidR="00C93B9E">
        <w:t>a</w:t>
      </w:r>
      <w:r w:rsidR="009C07A5" w:rsidRPr="009C07A5">
        <w:t xml:space="preserve"> działań skutkujących zawarciem umów o</w:t>
      </w:r>
      <w:r w:rsidR="00C36F0A">
        <w:t> </w:t>
      </w:r>
      <w:r w:rsidR="009C07A5" w:rsidRPr="009C07A5">
        <w:t>zarządzanie PPK</w:t>
      </w:r>
      <w:r w:rsidRPr="0064292B">
        <w:t>.</w:t>
      </w:r>
    </w:p>
    <w:p w14:paraId="0C6A0633" w14:textId="77777777" w:rsidR="00E12E01" w:rsidRDefault="0029150C" w:rsidP="00DE43E7">
      <w:pPr>
        <w:spacing w:before="6" w:after="6" w:line="288" w:lineRule="auto"/>
        <w:jc w:val="both"/>
      </w:pPr>
      <w:r w:rsidRPr="0064292B">
        <w:t xml:space="preserve">Do pierwszych zmian na rynku </w:t>
      </w:r>
      <w:r w:rsidR="00931E5E">
        <w:t>PPK</w:t>
      </w:r>
      <w:r w:rsidRPr="0064292B">
        <w:t xml:space="preserve"> doszło 18 czerwca 2021 r., </w:t>
      </w:r>
      <w:r w:rsidR="00AA7E50">
        <w:t xml:space="preserve">kiedy to </w:t>
      </w:r>
      <w:r w:rsidRPr="0064292B">
        <w:t>nastąpiło połączenie Aegon PPK Dobrowolnych Funduszy Emerytalnych (AEGON PTE S.A. ) z PPK Pocztylion Dobrowolnymi Funduszami Emerytalnymi (Pocztylion-Arka</w:t>
      </w:r>
      <w:r w:rsidR="00EF6710">
        <w:t xml:space="preserve"> </w:t>
      </w:r>
      <w:r w:rsidRPr="0064292B">
        <w:t xml:space="preserve">PTE S.A.) o analogicznym horyzoncie inwestycyjnym. Fundusze Pocztylion </w:t>
      </w:r>
      <w:r w:rsidR="002A5F8F">
        <w:t>były</w:t>
      </w:r>
      <w:r w:rsidRPr="0064292B">
        <w:t xml:space="preserve"> funduszami przejmującymi.</w:t>
      </w:r>
    </w:p>
    <w:p w14:paraId="5A7C888D" w14:textId="6F2BD91F" w:rsidR="00821AEE" w:rsidRDefault="0029150C" w:rsidP="00DE43E7">
      <w:pPr>
        <w:spacing w:before="6" w:after="6" w:line="288" w:lineRule="auto"/>
        <w:jc w:val="both"/>
      </w:pPr>
      <w:r w:rsidRPr="0064292B">
        <w:t xml:space="preserve">Kolejna zmiana na rynku </w:t>
      </w:r>
      <w:r w:rsidR="00B055AF">
        <w:t>PPK</w:t>
      </w:r>
      <w:r w:rsidRPr="0064292B">
        <w:t xml:space="preserve"> miała miejsce w kwietniu 2021 r</w:t>
      </w:r>
      <w:r w:rsidR="00ED5CBA">
        <w:t>oku</w:t>
      </w:r>
      <w:r w:rsidRPr="0064292B">
        <w:t xml:space="preserve"> w związku z</w:t>
      </w:r>
      <w:r w:rsidR="00B508A3">
        <w:t> </w:t>
      </w:r>
      <w:r w:rsidRPr="0064292B">
        <w:t>połączeniem się AXA i</w:t>
      </w:r>
      <w:r w:rsidR="00E315A2">
        <w:t> </w:t>
      </w:r>
      <w:r w:rsidRPr="0064292B">
        <w:t xml:space="preserve">UNIQA, </w:t>
      </w:r>
      <w:r w:rsidR="00F76088">
        <w:t>w związku z czym</w:t>
      </w:r>
      <w:r w:rsidRPr="0064292B">
        <w:t xml:space="preserve"> AXA Towarzystwo Funduszy Inwestycyjnych S.A. zmieniło nazwę na UNIQA Towarzystwo Funduszy Inwestycyjnych S.A., a fundusz zdefiniowanej daty AXA Emerytura SFIO, oferowany w ramach PPK, od 10 kwietnia 2021 r. działa pod nazwą UNIQA Emerytura SFIO.</w:t>
      </w:r>
    </w:p>
    <w:p w14:paraId="768F61A3" w14:textId="5550D0CC" w:rsidR="00821AEE" w:rsidRDefault="0029150C" w:rsidP="00DE43E7">
      <w:pPr>
        <w:spacing w:before="6" w:after="6" w:line="288" w:lineRule="auto"/>
        <w:jc w:val="both"/>
      </w:pPr>
      <w:r w:rsidRPr="0064292B">
        <w:t>W kwietniu 2022 r</w:t>
      </w:r>
      <w:r w:rsidR="00DB3D9B">
        <w:t>oku</w:t>
      </w:r>
      <w:r w:rsidRPr="0064292B">
        <w:t xml:space="preserve"> Goldman Sachs Asset Management poinformował o zakończeniu procesu przejęcia NN Investment Partners TFI S.A. </w:t>
      </w:r>
      <w:r w:rsidR="00A70B05">
        <w:t>O</w:t>
      </w:r>
      <w:r w:rsidRPr="0064292B">
        <w:t xml:space="preserve">znacza to, że NN Investment Partners TFI S.A. i </w:t>
      </w:r>
      <w:r w:rsidR="00C201A5" w:rsidRPr="00C201A5">
        <w:t>Nationale-Nederlanden PTE S.A.</w:t>
      </w:r>
      <w:r w:rsidRPr="0064292B">
        <w:t xml:space="preserve"> nie wchodzą już w skład tej samej grupy kapitałowej</w:t>
      </w:r>
      <w:r w:rsidR="005945E9">
        <w:t>,</w:t>
      </w:r>
      <w:r w:rsidRPr="0064292B">
        <w:t xml:space="preserve"> co dla uczestników PPK jest</w:t>
      </w:r>
      <w:r w:rsidR="00F25E71">
        <w:t> </w:t>
      </w:r>
      <w:r w:rsidRPr="0064292B">
        <w:t xml:space="preserve">istotne z punktu widzenia wysokości opłat za zarządzanie PPK. </w:t>
      </w:r>
    </w:p>
    <w:p w14:paraId="75A190F0" w14:textId="08672A8D" w:rsidR="0029150C" w:rsidRPr="0064292B" w:rsidRDefault="0029150C" w:rsidP="00DE43E7">
      <w:pPr>
        <w:spacing w:before="6" w:after="6" w:line="288" w:lineRule="auto"/>
        <w:jc w:val="both"/>
      </w:pPr>
      <w:r w:rsidRPr="0064292B">
        <w:t>Od 2 lipca 2022</w:t>
      </w:r>
      <w:r w:rsidR="005945E9">
        <w:t xml:space="preserve"> </w:t>
      </w:r>
      <w:r w:rsidRPr="0064292B">
        <w:t xml:space="preserve">r. </w:t>
      </w:r>
      <w:r w:rsidR="005C27C1">
        <w:t>–</w:t>
      </w:r>
      <w:r w:rsidR="005945E9">
        <w:t xml:space="preserve"> na</w:t>
      </w:r>
      <w:r w:rsidRPr="0064292B">
        <w:t xml:space="preserve"> skutek połączenia się grupy Allianz z grupą Aviva </w:t>
      </w:r>
      <w:r w:rsidR="005C27C1">
        <w:t>–</w:t>
      </w:r>
      <w:r w:rsidR="005945E9">
        <w:t xml:space="preserve"> </w:t>
      </w:r>
      <w:r w:rsidRPr="0064292B">
        <w:t>marka Aviva zmieniła się</w:t>
      </w:r>
      <w:r w:rsidR="00F25E71">
        <w:t> </w:t>
      </w:r>
      <w:r w:rsidRPr="0064292B">
        <w:t>w</w:t>
      </w:r>
      <w:r w:rsidR="00E315A2">
        <w:t> </w:t>
      </w:r>
      <w:r w:rsidRPr="0064292B">
        <w:t>Allianz. Po połączeniu</w:t>
      </w:r>
      <w:r w:rsidR="001243E3">
        <w:t>,</w:t>
      </w:r>
      <w:r w:rsidRPr="0064292B">
        <w:t xml:space="preserve"> TFI Allianz Polska oferuje swoim klientom dwa rozwiązania PPK</w:t>
      </w:r>
      <w:r w:rsidR="001243E3">
        <w:t>,</w:t>
      </w:r>
      <w:r w:rsidRPr="0064292B">
        <w:t xml:space="preserve"> oparte o</w:t>
      </w:r>
      <w:r w:rsidR="00E315A2">
        <w:t> </w:t>
      </w:r>
      <w:r w:rsidRPr="0064292B">
        <w:t>fundusze zdefiniowanej daty Allianz Plan Emerytalny SFIO oraz Allianz SFIO PPK (dawnej Aviva).</w:t>
      </w:r>
    </w:p>
    <w:p w14:paraId="52424896" w14:textId="5BB03CDB" w:rsidR="0029150C" w:rsidRPr="0064292B" w:rsidRDefault="006F074E" w:rsidP="00DE43E7">
      <w:pPr>
        <w:spacing w:before="6" w:after="6" w:line="288" w:lineRule="auto"/>
        <w:jc w:val="both"/>
      </w:pPr>
      <w:r>
        <w:t xml:space="preserve">W dniu </w:t>
      </w:r>
      <w:r w:rsidR="0029150C" w:rsidRPr="0064292B">
        <w:t>30 maja 2022 r.</w:t>
      </w:r>
      <w:r w:rsidR="0085277C">
        <w:t>,</w:t>
      </w:r>
      <w:r w:rsidR="0029150C" w:rsidRPr="0064292B">
        <w:t xml:space="preserve"> </w:t>
      </w:r>
      <w:r w:rsidR="00865728">
        <w:t>n</w:t>
      </w:r>
      <w:r w:rsidR="0029150C" w:rsidRPr="0064292B">
        <w:t xml:space="preserve">a wniosek </w:t>
      </w:r>
      <w:r w:rsidR="00E32A9A">
        <w:t>KNF</w:t>
      </w:r>
      <w:r w:rsidR="0029150C" w:rsidRPr="0064292B">
        <w:t xml:space="preserve">, PFR </w:t>
      </w:r>
      <w:r w:rsidR="00E32A9A">
        <w:t xml:space="preserve">S.A. </w:t>
      </w:r>
      <w:r w:rsidR="0029150C" w:rsidRPr="0064292B">
        <w:t xml:space="preserve">zawiesił udział BPS Towarzystwa Funduszy Inwestycyjnych S.A. w </w:t>
      </w:r>
      <w:r w:rsidR="003D5D63">
        <w:t>E</w:t>
      </w:r>
      <w:r w:rsidR="0029150C" w:rsidRPr="0064292B">
        <w:t xml:space="preserve">widencji </w:t>
      </w:r>
      <w:r w:rsidR="00E32A9A">
        <w:t>PPK</w:t>
      </w:r>
      <w:r w:rsidR="0029150C" w:rsidRPr="0064292B">
        <w:t xml:space="preserve"> do 30 sierpnia 2022 r., a następnie </w:t>
      </w:r>
      <w:r w:rsidR="005C27C1">
        <w:t>–</w:t>
      </w:r>
      <w:r w:rsidR="00E32A9A">
        <w:t xml:space="preserve"> </w:t>
      </w:r>
      <w:r w:rsidR="0029150C" w:rsidRPr="0064292B">
        <w:t xml:space="preserve">również na wniosek </w:t>
      </w:r>
      <w:r w:rsidR="00E32A9A">
        <w:t xml:space="preserve">KNF </w:t>
      </w:r>
      <w:r w:rsidR="005C27C1">
        <w:t>–</w:t>
      </w:r>
      <w:r w:rsidR="0029150C" w:rsidRPr="0064292B">
        <w:t xml:space="preserve"> przedłużył ten termin do 30 października 2022 r. </w:t>
      </w:r>
      <w:r w:rsidR="0073354E" w:rsidRPr="0064292B">
        <w:t xml:space="preserve">BPS TFI S.A w okresie zawieszenia udziału w </w:t>
      </w:r>
      <w:r w:rsidR="0073354E">
        <w:t>E</w:t>
      </w:r>
      <w:r w:rsidR="0073354E" w:rsidRPr="0064292B">
        <w:t xml:space="preserve">widencji PPK nie </w:t>
      </w:r>
      <w:r w:rsidR="0073354E">
        <w:t>mógł</w:t>
      </w:r>
      <w:r w:rsidR="0073354E" w:rsidRPr="0064292B">
        <w:t xml:space="preserve"> zawierać nowych umów o</w:t>
      </w:r>
      <w:r w:rsidR="0073354E">
        <w:t> </w:t>
      </w:r>
      <w:r w:rsidR="0073354E" w:rsidRPr="0064292B">
        <w:t xml:space="preserve">zarządzanie PPK. Możliwe </w:t>
      </w:r>
      <w:r w:rsidR="0073354E">
        <w:t>było</w:t>
      </w:r>
      <w:r w:rsidR="0073354E" w:rsidRPr="0064292B">
        <w:t xml:space="preserve"> natomiast zawieranie nowych umów o prowadzenie PPK, a wpłaty na rachunki PPK uczestników PPK </w:t>
      </w:r>
      <w:r w:rsidR="0073354E">
        <w:t>były</w:t>
      </w:r>
      <w:r w:rsidR="0073354E" w:rsidRPr="0064292B">
        <w:t xml:space="preserve"> przyjmowane na</w:t>
      </w:r>
      <w:r w:rsidR="00F25E71">
        <w:t> </w:t>
      </w:r>
      <w:r w:rsidR="0073354E" w:rsidRPr="0064292B">
        <w:t>dotychczasowych zasadach</w:t>
      </w:r>
      <w:r w:rsidR="00991205">
        <w:t xml:space="preserve"> </w:t>
      </w:r>
      <w:r w:rsidR="005C27C1">
        <w:t>–</w:t>
      </w:r>
      <w:r w:rsidR="00991205">
        <w:t xml:space="preserve"> p</w:t>
      </w:r>
      <w:r w:rsidR="0073354E" w:rsidRPr="0064292B">
        <w:t>racodawcy oraz uczestnicy PPK nie mus</w:t>
      </w:r>
      <w:r w:rsidR="0073354E">
        <w:t>ieli</w:t>
      </w:r>
      <w:r w:rsidR="0073354E" w:rsidRPr="0064292B">
        <w:t xml:space="preserve"> podejmować w związku z</w:t>
      </w:r>
      <w:r w:rsidR="00F25E71">
        <w:t> </w:t>
      </w:r>
      <w:r w:rsidR="0073354E" w:rsidRPr="0064292B">
        <w:t xml:space="preserve">tym żadnych </w:t>
      </w:r>
      <w:r w:rsidR="002B5514">
        <w:t xml:space="preserve">dodatkowych </w:t>
      </w:r>
      <w:r w:rsidR="0073354E" w:rsidRPr="0064292B">
        <w:t>działań.</w:t>
      </w:r>
    </w:p>
    <w:p w14:paraId="53E79701" w14:textId="77777777" w:rsidR="00493246" w:rsidRPr="0064292B" w:rsidRDefault="0029150C" w:rsidP="00DE43E7">
      <w:pPr>
        <w:spacing w:before="6" w:after="6" w:line="288" w:lineRule="auto"/>
        <w:jc w:val="both"/>
      </w:pPr>
      <w:r w:rsidRPr="0064292B">
        <w:t xml:space="preserve">Zawieszenie udziału BPS TFI S.A. w </w:t>
      </w:r>
      <w:r w:rsidR="003D5D63">
        <w:t>E</w:t>
      </w:r>
      <w:r w:rsidRPr="0064292B">
        <w:t xml:space="preserve">widencji </w:t>
      </w:r>
      <w:r w:rsidR="002B5514">
        <w:t>PPK</w:t>
      </w:r>
      <w:r w:rsidRPr="0064292B" w:rsidDel="0073354E">
        <w:t xml:space="preserve"> </w:t>
      </w:r>
      <w:r w:rsidRPr="0064292B">
        <w:t>wynika</w:t>
      </w:r>
      <w:r w:rsidR="005B6C9C">
        <w:t>ło</w:t>
      </w:r>
      <w:r w:rsidRPr="0064292B">
        <w:t xml:space="preserve"> z art. 63 ust. 2 ustawy o </w:t>
      </w:r>
      <w:r w:rsidR="00DB5D4C">
        <w:t>PPK</w:t>
      </w:r>
      <w:r w:rsidRPr="0064292B">
        <w:t xml:space="preserve"> i </w:t>
      </w:r>
      <w:r w:rsidR="005B6C9C">
        <w:t>było</w:t>
      </w:r>
      <w:r w:rsidR="005B6C9C" w:rsidRPr="0064292B">
        <w:t xml:space="preserve"> </w:t>
      </w:r>
      <w:r w:rsidRPr="0064292B">
        <w:t>spowodowane brakiem spełnienia niektórych wymagań określonych w ustawie o PPK.</w:t>
      </w:r>
      <w:r w:rsidRPr="0064292B" w:rsidDel="002208D6">
        <w:t xml:space="preserve"> </w:t>
      </w:r>
    </w:p>
    <w:p w14:paraId="7698EC82" w14:textId="604BAC19" w:rsidR="00565700" w:rsidRPr="00565700" w:rsidRDefault="003226EA" w:rsidP="00DE43E7">
      <w:pPr>
        <w:spacing w:before="6" w:after="6" w:line="288" w:lineRule="auto"/>
        <w:jc w:val="both"/>
      </w:pPr>
      <w:r>
        <w:t>Zgodnie z</w:t>
      </w:r>
      <w:r w:rsidR="0029150C" w:rsidRPr="0064292B">
        <w:t xml:space="preserve"> </w:t>
      </w:r>
      <w:r w:rsidRPr="0064292B">
        <w:t>komunikat</w:t>
      </w:r>
      <w:r>
        <w:t>em</w:t>
      </w:r>
      <w:r w:rsidRPr="0064292B">
        <w:t xml:space="preserve"> </w:t>
      </w:r>
      <w:r w:rsidR="00F25E71">
        <w:t>BPS TFI S.A.</w:t>
      </w:r>
      <w:r w:rsidR="0029150C" w:rsidRPr="0064292B">
        <w:t xml:space="preserve"> zawieszenie to </w:t>
      </w:r>
      <w:r w:rsidR="003D6006">
        <w:t>było</w:t>
      </w:r>
      <w:r w:rsidR="003D6006" w:rsidRPr="0064292B">
        <w:t xml:space="preserve"> </w:t>
      </w:r>
      <w:r w:rsidR="0029150C" w:rsidRPr="0064292B">
        <w:t>pierwszym krokiem w procesie finalnego przekazania zarządzania funduszem BPS Emerytura PPK do PFR TFI S.A., któr</w:t>
      </w:r>
      <w:r w:rsidR="00A2228A">
        <w:t>a</w:t>
      </w:r>
      <w:r w:rsidR="0029150C" w:rsidRPr="0064292B">
        <w:t xml:space="preserve"> jest instytucją wyznaczoną na mocy ustawy o PPK. </w:t>
      </w:r>
      <w:r w:rsidR="002E3F79">
        <w:t xml:space="preserve">Przed końcem okresu zawieszenia, </w:t>
      </w:r>
      <w:r w:rsidR="002E3F79" w:rsidRPr="002E3F79">
        <w:t>16 września 2022 r.</w:t>
      </w:r>
      <w:r w:rsidR="002E3F79">
        <w:t>,</w:t>
      </w:r>
      <w:r w:rsidR="002E3F79" w:rsidRPr="002E3F79">
        <w:t xml:space="preserve"> PFR TFI</w:t>
      </w:r>
      <w:r w:rsidR="007A50CE">
        <w:t xml:space="preserve"> S.A.</w:t>
      </w:r>
      <w:r w:rsidR="002E3F79" w:rsidRPr="002E3F79">
        <w:t xml:space="preserve"> przejęł</w:t>
      </w:r>
      <w:r w:rsidR="00A2228A">
        <w:t>a</w:t>
      </w:r>
      <w:r w:rsidR="002E3F79" w:rsidRPr="002E3F79">
        <w:t xml:space="preserve"> od BPS TFI </w:t>
      </w:r>
      <w:r w:rsidR="007A50CE">
        <w:t xml:space="preserve">S.A. </w:t>
      </w:r>
      <w:r w:rsidR="002E3F79" w:rsidRPr="002E3F79">
        <w:t>zarządzanie BPS Emerytura PPK Specjalistycznym Funduszem Inwestycyjnym Otwartym</w:t>
      </w:r>
      <w:r w:rsidR="00127139">
        <w:t>, który d</w:t>
      </w:r>
      <w:r w:rsidR="00127139" w:rsidRPr="00127139">
        <w:t>ocelowo w ciągu kilku najbliższych miesięcy zostanie połączony z</w:t>
      </w:r>
      <w:r w:rsidR="00E315A2">
        <w:t> </w:t>
      </w:r>
      <w:r w:rsidR="00127139" w:rsidRPr="00127139">
        <w:t>funduszem PFR PPK SFIO zarządzanym przez PFR TFI</w:t>
      </w:r>
      <w:r w:rsidR="00127139">
        <w:t>.</w:t>
      </w:r>
    </w:p>
    <w:p w14:paraId="63B62DB0" w14:textId="77777777" w:rsidR="00265CCE" w:rsidRPr="00565700" w:rsidRDefault="00265CCE" w:rsidP="00DE43E7">
      <w:pPr>
        <w:spacing w:before="6" w:after="6" w:line="288" w:lineRule="auto"/>
        <w:jc w:val="both"/>
      </w:pPr>
    </w:p>
    <w:p w14:paraId="5F039985" w14:textId="77777777" w:rsidR="00265CCE" w:rsidRPr="00265CCE" w:rsidRDefault="002B2CC0">
      <w:pPr>
        <w:pStyle w:val="Nagwek2"/>
        <w:numPr>
          <w:ilvl w:val="0"/>
          <w:numId w:val="25"/>
        </w:numPr>
        <w:spacing w:before="6" w:after="6" w:line="288" w:lineRule="auto"/>
      </w:pPr>
      <w:bookmarkStart w:id="80" w:name="_Toc121828635"/>
      <w:r w:rsidRPr="00A651E1">
        <w:t>Aktywa PPK</w:t>
      </w:r>
      <w:bookmarkEnd w:id="80"/>
    </w:p>
    <w:p w14:paraId="28256254" w14:textId="77777777" w:rsidR="0029150C" w:rsidRPr="0064292B" w:rsidRDefault="0029150C" w:rsidP="008937EF">
      <w:pPr>
        <w:spacing w:before="6" w:after="6" w:line="288" w:lineRule="auto"/>
        <w:jc w:val="both"/>
      </w:pPr>
      <w:r w:rsidRPr="0064292B">
        <w:t>Komisj</w:t>
      </w:r>
      <w:r w:rsidR="006C22AE">
        <w:t>a</w:t>
      </w:r>
      <w:r w:rsidRPr="0064292B">
        <w:t xml:space="preserve"> Nadzoru Finansowego cyklicznie publikuje informacje dotyczące wartości aktywów netto funduszy zdefiniowanej daty. Dane opracowywane są na podstawie sprawozdań kwartalnych, przekazywanych przez instytucje zarządzające PPK. Ostatni dostępny raport obejmuje dane do końca </w:t>
      </w:r>
      <w:r w:rsidR="008F1F67">
        <w:t xml:space="preserve">drugiego </w:t>
      </w:r>
      <w:r w:rsidRPr="0064292B">
        <w:t>kwartału 2022 r</w:t>
      </w:r>
      <w:r w:rsidR="00333EB6">
        <w:t>oku</w:t>
      </w:r>
      <w:r w:rsidRPr="0064292B">
        <w:t>.</w:t>
      </w:r>
    </w:p>
    <w:p w14:paraId="3D39F048" w14:textId="19277B7F" w:rsidR="0029150C" w:rsidRPr="0064292B" w:rsidRDefault="0029150C" w:rsidP="008937EF">
      <w:pPr>
        <w:spacing w:before="6" w:after="6" w:line="288" w:lineRule="auto"/>
        <w:jc w:val="both"/>
      </w:pPr>
      <w:r w:rsidRPr="0064292B">
        <w:t xml:space="preserve">Zgodnie z </w:t>
      </w:r>
      <w:r w:rsidR="00BC007E">
        <w:t xml:space="preserve">tym </w:t>
      </w:r>
      <w:r w:rsidRPr="0064292B">
        <w:t>raportem wartość aktywów netto funduszy zdefiniowanej daty na koniec drugiego kwartału 2022 roku wynosiła 8,97 mld zł. Na koniec pierwszego kwartału było to 8,75 mld</w:t>
      </w:r>
      <w:r w:rsidR="008F1F67">
        <w:t xml:space="preserve"> zł</w:t>
      </w:r>
      <w:r w:rsidRPr="0064292B">
        <w:t xml:space="preserve">, a więc wzrost kwartał do kwartału to niemal 220 mln zł. </w:t>
      </w:r>
    </w:p>
    <w:p w14:paraId="72C3C3BC" w14:textId="77777777" w:rsidR="008937EF" w:rsidRDefault="008937EF" w:rsidP="00DE43E7">
      <w:pPr>
        <w:jc w:val="both"/>
      </w:pPr>
    </w:p>
    <w:p w14:paraId="5B38EB5F" w14:textId="21241924" w:rsidR="00AE7341" w:rsidRPr="00CE0064" w:rsidRDefault="00AE7341" w:rsidP="002A1800">
      <w:pPr>
        <w:pStyle w:val="Legenda"/>
        <w:keepNext/>
        <w:jc w:val="both"/>
        <w:rPr>
          <w:b/>
          <w:i w:val="0"/>
          <w:color w:val="auto"/>
          <w:sz w:val="20"/>
          <w:szCs w:val="20"/>
        </w:rPr>
      </w:pPr>
      <w:bookmarkStart w:id="81" w:name="_Toc116482579"/>
      <w:bookmarkStart w:id="82" w:name="_Toc121826368"/>
      <w:r w:rsidRPr="00CE0064">
        <w:rPr>
          <w:color w:val="auto"/>
          <w:sz w:val="20"/>
          <w:szCs w:val="20"/>
        </w:rPr>
        <w:t xml:space="preserve">Tabela </w:t>
      </w:r>
      <w:r w:rsidRPr="00CE0064">
        <w:rPr>
          <w:color w:val="auto"/>
          <w:sz w:val="20"/>
          <w:szCs w:val="20"/>
        </w:rPr>
        <w:fldChar w:fldCharType="begin"/>
      </w:r>
      <w:r w:rsidRPr="00CE0064">
        <w:rPr>
          <w:color w:val="auto"/>
          <w:sz w:val="20"/>
          <w:szCs w:val="20"/>
        </w:rPr>
        <w:instrText xml:space="preserve"> SEQ Tabela \* ARABIC </w:instrText>
      </w:r>
      <w:r w:rsidRPr="00CE0064">
        <w:rPr>
          <w:color w:val="auto"/>
          <w:sz w:val="20"/>
          <w:szCs w:val="20"/>
        </w:rPr>
        <w:fldChar w:fldCharType="separate"/>
      </w:r>
      <w:r w:rsidR="00621FEF">
        <w:rPr>
          <w:noProof/>
          <w:color w:val="auto"/>
          <w:sz w:val="20"/>
          <w:szCs w:val="20"/>
        </w:rPr>
        <w:t>6</w:t>
      </w:r>
      <w:r w:rsidRPr="00CE0064">
        <w:rPr>
          <w:color w:val="auto"/>
          <w:sz w:val="20"/>
          <w:szCs w:val="20"/>
        </w:rPr>
        <w:fldChar w:fldCharType="end"/>
      </w:r>
      <w:r w:rsidRPr="00CE0064">
        <w:rPr>
          <w:b/>
          <w:i w:val="0"/>
          <w:color w:val="auto"/>
          <w:sz w:val="20"/>
          <w:szCs w:val="20"/>
        </w:rPr>
        <w:t xml:space="preserve"> Wartość aktywów netto (w tys.) i udział procentowy podmiotów zarządzających w rynku PPK według stanu na 31 lipca 2022 r.</w:t>
      </w:r>
      <w:bookmarkEnd w:id="81"/>
      <w:bookmarkEnd w:id="82"/>
    </w:p>
    <w:tbl>
      <w:tblPr>
        <w:tblW w:w="9734" w:type="dxa"/>
        <w:tblCellMar>
          <w:left w:w="70" w:type="dxa"/>
          <w:right w:w="70" w:type="dxa"/>
        </w:tblCellMar>
        <w:tblLook w:val="04A0" w:firstRow="1" w:lastRow="0" w:firstColumn="1" w:lastColumn="0" w:noHBand="0" w:noVBand="1"/>
      </w:tblPr>
      <w:tblGrid>
        <w:gridCol w:w="527"/>
        <w:gridCol w:w="2848"/>
        <w:gridCol w:w="2287"/>
        <w:gridCol w:w="1040"/>
        <w:gridCol w:w="3032"/>
      </w:tblGrid>
      <w:tr w:rsidR="0029150C" w:rsidRPr="008D0C72" w14:paraId="1F4F5ACF" w14:textId="77777777" w:rsidTr="008D737D">
        <w:trPr>
          <w:trHeight w:val="585"/>
        </w:trPr>
        <w:tc>
          <w:tcPr>
            <w:tcW w:w="527" w:type="dxa"/>
            <w:tcBorders>
              <w:top w:val="single" w:sz="4" w:space="0" w:color="000000"/>
              <w:left w:val="single" w:sz="4" w:space="0" w:color="000000"/>
              <w:bottom w:val="single" w:sz="4" w:space="0" w:color="000000"/>
              <w:right w:val="nil"/>
            </w:tcBorders>
            <w:shd w:val="clear" w:color="000000" w:fill="000000"/>
            <w:noWrap/>
            <w:vAlign w:val="bottom"/>
            <w:hideMark/>
          </w:tcPr>
          <w:p w14:paraId="31AA80E4" w14:textId="77777777" w:rsidR="0029150C" w:rsidRPr="00FD0101" w:rsidRDefault="0029150C" w:rsidP="00DE43E7">
            <w:pPr>
              <w:spacing w:after="0" w:line="240" w:lineRule="auto"/>
              <w:jc w:val="both"/>
              <w:rPr>
                <w:rFonts w:eastAsia="Times New Roman" w:cstheme="minorHAnsi"/>
                <w:b/>
                <w:color w:val="FFFFFF"/>
                <w:sz w:val="20"/>
                <w:szCs w:val="20"/>
                <w:lang w:eastAsia="pl-PL"/>
              </w:rPr>
            </w:pPr>
            <w:r w:rsidRPr="00FD0101">
              <w:rPr>
                <w:rFonts w:eastAsia="Times New Roman" w:cstheme="minorHAnsi"/>
                <w:b/>
                <w:color w:val="FFFFFF"/>
                <w:sz w:val="20"/>
                <w:szCs w:val="20"/>
                <w:lang w:eastAsia="pl-PL"/>
              </w:rPr>
              <w:t>lp.</w:t>
            </w:r>
          </w:p>
        </w:tc>
        <w:tc>
          <w:tcPr>
            <w:tcW w:w="2848" w:type="dxa"/>
            <w:tcBorders>
              <w:top w:val="single" w:sz="4" w:space="0" w:color="000000"/>
              <w:left w:val="nil"/>
              <w:bottom w:val="single" w:sz="4" w:space="0" w:color="000000"/>
              <w:right w:val="nil"/>
            </w:tcBorders>
            <w:shd w:val="clear" w:color="000000" w:fill="000000"/>
            <w:noWrap/>
            <w:vAlign w:val="bottom"/>
            <w:hideMark/>
          </w:tcPr>
          <w:p w14:paraId="751F7B73" w14:textId="77777777" w:rsidR="0029150C" w:rsidRPr="00FD0101" w:rsidRDefault="0029150C" w:rsidP="00DE43E7">
            <w:pPr>
              <w:spacing w:after="0" w:line="240" w:lineRule="auto"/>
              <w:jc w:val="both"/>
              <w:rPr>
                <w:rFonts w:eastAsia="Times New Roman" w:cstheme="minorHAnsi"/>
                <w:b/>
                <w:color w:val="FFFFFF"/>
                <w:sz w:val="20"/>
                <w:szCs w:val="20"/>
                <w:lang w:eastAsia="pl-PL"/>
              </w:rPr>
            </w:pPr>
            <w:r w:rsidRPr="00FD0101">
              <w:rPr>
                <w:rFonts w:eastAsia="Times New Roman" w:cstheme="minorHAnsi"/>
                <w:b/>
                <w:color w:val="FFFFFF"/>
                <w:sz w:val="20"/>
                <w:szCs w:val="20"/>
                <w:lang w:eastAsia="pl-PL"/>
              </w:rPr>
              <w:t>Zarządzający</w:t>
            </w:r>
          </w:p>
        </w:tc>
        <w:tc>
          <w:tcPr>
            <w:tcW w:w="2287" w:type="dxa"/>
            <w:tcBorders>
              <w:top w:val="single" w:sz="4" w:space="0" w:color="000000"/>
              <w:left w:val="nil"/>
              <w:bottom w:val="single" w:sz="4" w:space="0" w:color="000000"/>
              <w:right w:val="nil"/>
            </w:tcBorders>
            <w:shd w:val="clear" w:color="000000" w:fill="000000"/>
            <w:vAlign w:val="bottom"/>
            <w:hideMark/>
          </w:tcPr>
          <w:p w14:paraId="53CFD5B3" w14:textId="77777777" w:rsidR="0029150C" w:rsidRPr="00FD0101" w:rsidRDefault="0029150C" w:rsidP="000274E8">
            <w:pPr>
              <w:spacing w:before="6" w:after="6" w:line="288" w:lineRule="auto"/>
              <w:jc w:val="center"/>
              <w:rPr>
                <w:rFonts w:eastAsia="Times New Roman" w:cstheme="minorHAnsi"/>
                <w:b/>
                <w:color w:val="FFFFFF"/>
                <w:sz w:val="20"/>
                <w:szCs w:val="20"/>
                <w:lang w:eastAsia="pl-PL"/>
              </w:rPr>
            </w:pPr>
            <w:r w:rsidRPr="00FD0101">
              <w:rPr>
                <w:rFonts w:eastAsia="Times New Roman" w:cstheme="minorHAnsi"/>
                <w:b/>
                <w:color w:val="FFFFFF"/>
                <w:sz w:val="20"/>
                <w:szCs w:val="20"/>
                <w:lang w:eastAsia="pl-PL"/>
              </w:rPr>
              <w:t>Wartość aktywów po 2 kwartale 2022 r.</w:t>
            </w:r>
          </w:p>
        </w:tc>
        <w:tc>
          <w:tcPr>
            <w:tcW w:w="1040" w:type="dxa"/>
            <w:tcBorders>
              <w:top w:val="single" w:sz="4" w:space="0" w:color="000000"/>
              <w:left w:val="nil"/>
              <w:bottom w:val="single" w:sz="4" w:space="0" w:color="000000"/>
              <w:right w:val="nil"/>
            </w:tcBorders>
            <w:shd w:val="clear" w:color="000000" w:fill="000000"/>
            <w:noWrap/>
            <w:vAlign w:val="bottom"/>
            <w:hideMark/>
          </w:tcPr>
          <w:p w14:paraId="674615A8" w14:textId="77777777" w:rsidR="0029150C" w:rsidRPr="00FD0101" w:rsidRDefault="0029150C" w:rsidP="000274E8">
            <w:pPr>
              <w:spacing w:before="6" w:after="6" w:line="288" w:lineRule="auto"/>
              <w:jc w:val="center"/>
              <w:rPr>
                <w:rFonts w:eastAsia="Times New Roman" w:cstheme="minorHAnsi"/>
                <w:b/>
                <w:color w:val="FFFFFF"/>
                <w:sz w:val="20"/>
                <w:szCs w:val="20"/>
                <w:lang w:eastAsia="pl-PL"/>
              </w:rPr>
            </w:pPr>
            <w:r w:rsidRPr="00FD0101">
              <w:rPr>
                <w:rFonts w:eastAsia="Times New Roman" w:cstheme="minorHAnsi"/>
                <w:b/>
                <w:color w:val="FFFFFF"/>
                <w:sz w:val="20"/>
                <w:szCs w:val="20"/>
                <w:lang w:eastAsia="pl-PL"/>
              </w:rPr>
              <w:t>Udział %</w:t>
            </w:r>
          </w:p>
        </w:tc>
        <w:tc>
          <w:tcPr>
            <w:tcW w:w="3032" w:type="dxa"/>
            <w:tcBorders>
              <w:top w:val="single" w:sz="4" w:space="0" w:color="000000"/>
              <w:left w:val="nil"/>
              <w:bottom w:val="single" w:sz="4" w:space="0" w:color="000000"/>
              <w:right w:val="single" w:sz="4" w:space="0" w:color="000000"/>
            </w:tcBorders>
            <w:shd w:val="clear" w:color="000000" w:fill="000000"/>
            <w:vAlign w:val="bottom"/>
            <w:hideMark/>
          </w:tcPr>
          <w:p w14:paraId="06B9C1E0" w14:textId="77777777" w:rsidR="0029150C" w:rsidRPr="00FD0101" w:rsidRDefault="0029150C" w:rsidP="000274E8">
            <w:pPr>
              <w:spacing w:before="6" w:after="6" w:line="288" w:lineRule="auto"/>
              <w:jc w:val="center"/>
              <w:rPr>
                <w:rFonts w:eastAsia="Times New Roman" w:cstheme="minorHAnsi"/>
                <w:b/>
                <w:color w:val="FFFFFF"/>
                <w:sz w:val="20"/>
                <w:szCs w:val="20"/>
                <w:lang w:eastAsia="pl-PL"/>
              </w:rPr>
            </w:pPr>
            <w:r w:rsidRPr="00FD0101">
              <w:rPr>
                <w:rFonts w:eastAsia="Times New Roman" w:cstheme="minorHAnsi"/>
                <w:b/>
                <w:color w:val="FFFFFF"/>
                <w:sz w:val="20"/>
                <w:szCs w:val="20"/>
                <w:lang w:eastAsia="pl-PL"/>
              </w:rPr>
              <w:t>Zmiana udziału w porównaniu do wcześniejszego kwartału (w p.p.)</w:t>
            </w:r>
          </w:p>
        </w:tc>
      </w:tr>
      <w:tr w:rsidR="0029150C" w:rsidRPr="008D0C72" w14:paraId="16B82805" w14:textId="77777777" w:rsidTr="008D737D">
        <w:trPr>
          <w:trHeight w:val="290"/>
        </w:trPr>
        <w:tc>
          <w:tcPr>
            <w:tcW w:w="527" w:type="dxa"/>
            <w:tcBorders>
              <w:top w:val="single" w:sz="4" w:space="0" w:color="000000"/>
              <w:left w:val="single" w:sz="4" w:space="0" w:color="000000"/>
              <w:bottom w:val="single" w:sz="4" w:space="0" w:color="000000"/>
              <w:right w:val="nil"/>
            </w:tcBorders>
            <w:shd w:val="clear" w:color="D9D9D9" w:fill="D9D9D9"/>
            <w:noWrap/>
            <w:vAlign w:val="bottom"/>
            <w:hideMark/>
          </w:tcPr>
          <w:p w14:paraId="425B8606" w14:textId="77777777" w:rsidR="0029150C" w:rsidRPr="00FD0101" w:rsidRDefault="0029150C" w:rsidP="000274E8">
            <w:pPr>
              <w:spacing w:before="6" w:after="6" w:line="288" w:lineRule="auto"/>
              <w:jc w:val="both"/>
              <w:rPr>
                <w:rFonts w:eastAsia="Times New Roman" w:cstheme="minorHAnsi"/>
                <w:color w:val="000000"/>
                <w:sz w:val="20"/>
                <w:szCs w:val="20"/>
                <w:lang w:eastAsia="pl-PL"/>
              </w:rPr>
            </w:pPr>
            <w:r w:rsidRPr="00FD0101">
              <w:rPr>
                <w:rFonts w:eastAsia="Times New Roman" w:cstheme="minorHAnsi"/>
                <w:color w:val="000000"/>
                <w:sz w:val="20"/>
                <w:szCs w:val="20"/>
                <w:lang w:eastAsia="pl-PL"/>
              </w:rPr>
              <w:t>1</w:t>
            </w:r>
          </w:p>
        </w:tc>
        <w:tc>
          <w:tcPr>
            <w:tcW w:w="2848" w:type="dxa"/>
            <w:tcBorders>
              <w:top w:val="single" w:sz="4" w:space="0" w:color="000000"/>
              <w:left w:val="nil"/>
              <w:bottom w:val="single" w:sz="4" w:space="0" w:color="000000"/>
              <w:right w:val="nil"/>
            </w:tcBorders>
            <w:shd w:val="clear" w:color="D9D9D9" w:fill="D9D9D9"/>
            <w:noWrap/>
            <w:vAlign w:val="bottom"/>
            <w:hideMark/>
          </w:tcPr>
          <w:p w14:paraId="4C317151" w14:textId="77777777" w:rsidR="0029150C" w:rsidRPr="00FD0101" w:rsidRDefault="0029150C" w:rsidP="000274E8">
            <w:pPr>
              <w:spacing w:before="6" w:after="6" w:line="288" w:lineRule="auto"/>
              <w:jc w:val="both"/>
              <w:rPr>
                <w:rFonts w:eastAsia="Times New Roman" w:cstheme="minorHAnsi"/>
                <w:color w:val="000000"/>
                <w:sz w:val="20"/>
                <w:szCs w:val="20"/>
                <w:lang w:eastAsia="pl-PL"/>
              </w:rPr>
            </w:pPr>
            <w:r w:rsidRPr="00FD0101">
              <w:rPr>
                <w:rFonts w:eastAsia="Times New Roman" w:cstheme="minorHAnsi"/>
                <w:color w:val="000000"/>
                <w:sz w:val="20"/>
                <w:szCs w:val="20"/>
                <w:lang w:eastAsia="pl-PL"/>
              </w:rPr>
              <w:t>PKO TFI S.A.</w:t>
            </w:r>
          </w:p>
        </w:tc>
        <w:tc>
          <w:tcPr>
            <w:tcW w:w="2287" w:type="dxa"/>
            <w:tcBorders>
              <w:top w:val="single" w:sz="4" w:space="0" w:color="000000"/>
              <w:left w:val="nil"/>
              <w:bottom w:val="single" w:sz="4" w:space="0" w:color="000000"/>
              <w:right w:val="nil"/>
            </w:tcBorders>
            <w:shd w:val="clear" w:color="D9D9D9" w:fill="D9D9D9"/>
            <w:noWrap/>
            <w:vAlign w:val="bottom"/>
            <w:hideMark/>
          </w:tcPr>
          <w:p w14:paraId="1FD501CD" w14:textId="77777777" w:rsidR="0029150C" w:rsidRPr="00FD0101" w:rsidRDefault="0029150C" w:rsidP="000274E8">
            <w:pPr>
              <w:spacing w:before="6" w:after="6" w:line="288" w:lineRule="auto"/>
              <w:jc w:val="center"/>
              <w:rPr>
                <w:rFonts w:eastAsia="Times New Roman" w:cstheme="minorHAnsi"/>
                <w:color w:val="000000"/>
                <w:sz w:val="20"/>
                <w:szCs w:val="20"/>
                <w:lang w:eastAsia="pl-PL"/>
              </w:rPr>
            </w:pPr>
            <w:r w:rsidRPr="00FD0101">
              <w:rPr>
                <w:rFonts w:eastAsia="Times New Roman" w:cstheme="minorHAnsi"/>
                <w:color w:val="000000"/>
                <w:sz w:val="20"/>
                <w:szCs w:val="20"/>
                <w:lang w:eastAsia="pl-PL"/>
              </w:rPr>
              <w:t>2 854 470,80</w:t>
            </w:r>
          </w:p>
        </w:tc>
        <w:tc>
          <w:tcPr>
            <w:tcW w:w="1040" w:type="dxa"/>
            <w:tcBorders>
              <w:top w:val="single" w:sz="4" w:space="0" w:color="000000"/>
              <w:left w:val="nil"/>
              <w:bottom w:val="single" w:sz="4" w:space="0" w:color="000000"/>
              <w:right w:val="nil"/>
            </w:tcBorders>
            <w:shd w:val="clear" w:color="D9D9D9" w:fill="D9D9D9"/>
            <w:noWrap/>
            <w:vAlign w:val="bottom"/>
            <w:hideMark/>
          </w:tcPr>
          <w:p w14:paraId="49B2D2FD" w14:textId="77777777" w:rsidR="0029150C" w:rsidRPr="00FD0101" w:rsidRDefault="0029150C" w:rsidP="000274E8">
            <w:pPr>
              <w:spacing w:before="6" w:after="6" w:line="288" w:lineRule="auto"/>
              <w:jc w:val="center"/>
              <w:rPr>
                <w:rFonts w:eastAsia="Times New Roman" w:cstheme="minorHAnsi"/>
                <w:color w:val="000000"/>
                <w:sz w:val="20"/>
                <w:szCs w:val="20"/>
                <w:lang w:eastAsia="pl-PL"/>
              </w:rPr>
            </w:pPr>
            <w:r w:rsidRPr="00FD0101">
              <w:rPr>
                <w:rFonts w:eastAsia="Times New Roman" w:cstheme="minorHAnsi"/>
                <w:color w:val="000000"/>
                <w:sz w:val="20"/>
                <w:szCs w:val="20"/>
                <w:lang w:eastAsia="pl-PL"/>
              </w:rPr>
              <w:t>31,81%</w:t>
            </w:r>
          </w:p>
        </w:tc>
        <w:tc>
          <w:tcPr>
            <w:tcW w:w="3032" w:type="dxa"/>
            <w:tcBorders>
              <w:top w:val="single" w:sz="4" w:space="0" w:color="000000"/>
              <w:left w:val="nil"/>
              <w:bottom w:val="single" w:sz="4" w:space="0" w:color="000000"/>
              <w:right w:val="single" w:sz="4" w:space="0" w:color="000000"/>
            </w:tcBorders>
            <w:shd w:val="clear" w:color="D9D9D9" w:fill="D9D9D9"/>
            <w:noWrap/>
            <w:vAlign w:val="bottom"/>
            <w:hideMark/>
          </w:tcPr>
          <w:p w14:paraId="6C55129E" w14:textId="77777777" w:rsidR="0029150C" w:rsidRPr="00FD0101" w:rsidRDefault="0029150C" w:rsidP="000274E8">
            <w:pPr>
              <w:spacing w:before="6" w:after="6" w:line="288" w:lineRule="auto"/>
              <w:jc w:val="center"/>
              <w:rPr>
                <w:rFonts w:eastAsia="Times New Roman" w:cstheme="minorHAnsi"/>
                <w:color w:val="000000"/>
                <w:sz w:val="20"/>
                <w:szCs w:val="20"/>
                <w:lang w:eastAsia="pl-PL"/>
              </w:rPr>
            </w:pPr>
            <w:r w:rsidRPr="00FD0101">
              <w:rPr>
                <w:rFonts w:eastAsia="Times New Roman" w:cstheme="minorHAnsi"/>
                <w:color w:val="000000"/>
                <w:sz w:val="20"/>
                <w:szCs w:val="20"/>
                <w:lang w:eastAsia="pl-PL"/>
              </w:rPr>
              <w:t>-0,39%</w:t>
            </w:r>
          </w:p>
        </w:tc>
      </w:tr>
      <w:tr w:rsidR="0029150C" w:rsidRPr="008D0C72" w14:paraId="7389B910" w14:textId="77777777" w:rsidTr="008D737D">
        <w:trPr>
          <w:trHeight w:val="290"/>
        </w:trPr>
        <w:tc>
          <w:tcPr>
            <w:tcW w:w="527" w:type="dxa"/>
            <w:tcBorders>
              <w:top w:val="single" w:sz="4" w:space="0" w:color="000000"/>
              <w:left w:val="single" w:sz="4" w:space="0" w:color="000000"/>
              <w:bottom w:val="single" w:sz="4" w:space="0" w:color="000000"/>
              <w:right w:val="nil"/>
            </w:tcBorders>
            <w:shd w:val="clear" w:color="auto" w:fill="auto"/>
            <w:noWrap/>
            <w:vAlign w:val="bottom"/>
            <w:hideMark/>
          </w:tcPr>
          <w:p w14:paraId="31E3FB98" w14:textId="77777777" w:rsidR="0029150C" w:rsidRPr="00FD0101" w:rsidRDefault="0029150C" w:rsidP="000274E8">
            <w:pPr>
              <w:spacing w:before="6" w:after="6" w:line="288" w:lineRule="auto"/>
              <w:jc w:val="both"/>
              <w:rPr>
                <w:rFonts w:eastAsia="Times New Roman" w:cstheme="minorHAnsi"/>
                <w:color w:val="000000"/>
                <w:sz w:val="20"/>
                <w:szCs w:val="20"/>
                <w:lang w:eastAsia="pl-PL"/>
              </w:rPr>
            </w:pPr>
            <w:r w:rsidRPr="00FD0101">
              <w:rPr>
                <w:rFonts w:eastAsia="Times New Roman" w:cstheme="minorHAnsi"/>
                <w:color w:val="000000"/>
                <w:sz w:val="20"/>
                <w:szCs w:val="20"/>
                <w:lang w:eastAsia="pl-PL"/>
              </w:rPr>
              <w:t>2</w:t>
            </w:r>
          </w:p>
        </w:tc>
        <w:tc>
          <w:tcPr>
            <w:tcW w:w="2848" w:type="dxa"/>
            <w:tcBorders>
              <w:top w:val="single" w:sz="4" w:space="0" w:color="000000"/>
              <w:left w:val="nil"/>
              <w:bottom w:val="single" w:sz="4" w:space="0" w:color="000000"/>
              <w:right w:val="nil"/>
            </w:tcBorders>
            <w:shd w:val="clear" w:color="auto" w:fill="auto"/>
            <w:noWrap/>
            <w:vAlign w:val="bottom"/>
            <w:hideMark/>
          </w:tcPr>
          <w:p w14:paraId="1237BD67" w14:textId="77777777" w:rsidR="0029150C" w:rsidRPr="00FD0101" w:rsidRDefault="0029150C" w:rsidP="000274E8">
            <w:pPr>
              <w:spacing w:before="6" w:after="6" w:line="288" w:lineRule="auto"/>
              <w:jc w:val="both"/>
              <w:rPr>
                <w:rFonts w:eastAsia="Times New Roman" w:cstheme="minorHAnsi"/>
                <w:color w:val="000000"/>
                <w:sz w:val="20"/>
                <w:szCs w:val="20"/>
                <w:lang w:eastAsia="pl-PL"/>
              </w:rPr>
            </w:pPr>
            <w:r w:rsidRPr="00FD0101">
              <w:rPr>
                <w:rFonts w:eastAsia="Times New Roman" w:cstheme="minorHAnsi"/>
                <w:color w:val="000000"/>
                <w:sz w:val="20"/>
                <w:szCs w:val="20"/>
                <w:lang w:eastAsia="pl-PL"/>
              </w:rPr>
              <w:t>TFI PZU SA</w:t>
            </w:r>
          </w:p>
        </w:tc>
        <w:tc>
          <w:tcPr>
            <w:tcW w:w="2287" w:type="dxa"/>
            <w:tcBorders>
              <w:top w:val="single" w:sz="4" w:space="0" w:color="000000"/>
              <w:left w:val="nil"/>
              <w:bottom w:val="single" w:sz="4" w:space="0" w:color="000000"/>
              <w:right w:val="nil"/>
            </w:tcBorders>
            <w:shd w:val="clear" w:color="auto" w:fill="auto"/>
            <w:noWrap/>
            <w:vAlign w:val="bottom"/>
            <w:hideMark/>
          </w:tcPr>
          <w:p w14:paraId="7F69E152" w14:textId="77777777" w:rsidR="0029150C" w:rsidRPr="00FD0101" w:rsidRDefault="0029150C" w:rsidP="000274E8">
            <w:pPr>
              <w:spacing w:before="6" w:after="6" w:line="288" w:lineRule="auto"/>
              <w:jc w:val="center"/>
              <w:rPr>
                <w:rFonts w:eastAsia="Times New Roman" w:cstheme="minorHAnsi"/>
                <w:color w:val="000000"/>
                <w:sz w:val="20"/>
                <w:szCs w:val="20"/>
                <w:lang w:eastAsia="pl-PL"/>
              </w:rPr>
            </w:pPr>
            <w:r w:rsidRPr="00FD0101">
              <w:rPr>
                <w:rFonts w:eastAsia="Times New Roman" w:cstheme="minorHAnsi"/>
                <w:color w:val="000000"/>
                <w:sz w:val="20"/>
                <w:szCs w:val="20"/>
                <w:lang w:eastAsia="pl-PL"/>
              </w:rPr>
              <w:t>1 768 223,99</w:t>
            </w:r>
          </w:p>
        </w:tc>
        <w:tc>
          <w:tcPr>
            <w:tcW w:w="1040" w:type="dxa"/>
            <w:tcBorders>
              <w:top w:val="single" w:sz="4" w:space="0" w:color="000000"/>
              <w:left w:val="nil"/>
              <w:bottom w:val="single" w:sz="4" w:space="0" w:color="000000"/>
              <w:right w:val="nil"/>
            </w:tcBorders>
            <w:shd w:val="clear" w:color="auto" w:fill="auto"/>
            <w:noWrap/>
            <w:vAlign w:val="bottom"/>
            <w:hideMark/>
          </w:tcPr>
          <w:p w14:paraId="1BF5FCE1" w14:textId="77777777" w:rsidR="0029150C" w:rsidRPr="00FD0101" w:rsidRDefault="0029150C" w:rsidP="000274E8">
            <w:pPr>
              <w:spacing w:before="6" w:after="6" w:line="288" w:lineRule="auto"/>
              <w:jc w:val="center"/>
              <w:rPr>
                <w:rFonts w:eastAsia="Times New Roman" w:cstheme="minorHAnsi"/>
                <w:color w:val="000000"/>
                <w:sz w:val="20"/>
                <w:szCs w:val="20"/>
                <w:lang w:eastAsia="pl-PL"/>
              </w:rPr>
            </w:pPr>
            <w:r w:rsidRPr="00FD0101">
              <w:rPr>
                <w:rFonts w:eastAsia="Times New Roman" w:cstheme="minorHAnsi"/>
                <w:color w:val="000000"/>
                <w:sz w:val="20"/>
                <w:szCs w:val="20"/>
                <w:lang w:eastAsia="pl-PL"/>
              </w:rPr>
              <w:t>19,71%</w:t>
            </w:r>
          </w:p>
        </w:tc>
        <w:tc>
          <w:tcPr>
            <w:tcW w:w="3032" w:type="dxa"/>
            <w:tcBorders>
              <w:top w:val="single" w:sz="4" w:space="0" w:color="000000"/>
              <w:left w:val="nil"/>
              <w:bottom w:val="single" w:sz="4" w:space="0" w:color="000000"/>
              <w:right w:val="single" w:sz="4" w:space="0" w:color="000000"/>
            </w:tcBorders>
            <w:shd w:val="clear" w:color="auto" w:fill="auto"/>
            <w:noWrap/>
            <w:vAlign w:val="bottom"/>
            <w:hideMark/>
          </w:tcPr>
          <w:p w14:paraId="46F30167" w14:textId="77777777" w:rsidR="0029150C" w:rsidRPr="00FD0101" w:rsidRDefault="0029150C" w:rsidP="000274E8">
            <w:pPr>
              <w:spacing w:before="6" w:after="6" w:line="288" w:lineRule="auto"/>
              <w:jc w:val="center"/>
              <w:rPr>
                <w:rFonts w:eastAsia="Times New Roman" w:cstheme="minorHAnsi"/>
                <w:color w:val="000000"/>
                <w:sz w:val="20"/>
                <w:szCs w:val="20"/>
                <w:lang w:eastAsia="pl-PL"/>
              </w:rPr>
            </w:pPr>
            <w:r w:rsidRPr="00FD0101">
              <w:rPr>
                <w:rFonts w:eastAsia="Times New Roman" w:cstheme="minorHAnsi"/>
                <w:color w:val="000000"/>
                <w:sz w:val="20"/>
                <w:szCs w:val="20"/>
                <w:lang w:eastAsia="pl-PL"/>
              </w:rPr>
              <w:t>0,83%</w:t>
            </w:r>
          </w:p>
        </w:tc>
      </w:tr>
      <w:tr w:rsidR="0029150C" w:rsidRPr="008D0C72" w14:paraId="77A002B2" w14:textId="77777777" w:rsidTr="008D737D">
        <w:trPr>
          <w:trHeight w:val="290"/>
        </w:trPr>
        <w:tc>
          <w:tcPr>
            <w:tcW w:w="527" w:type="dxa"/>
            <w:tcBorders>
              <w:top w:val="single" w:sz="4" w:space="0" w:color="000000"/>
              <w:left w:val="single" w:sz="4" w:space="0" w:color="000000"/>
              <w:bottom w:val="single" w:sz="4" w:space="0" w:color="000000"/>
              <w:right w:val="nil"/>
            </w:tcBorders>
            <w:shd w:val="clear" w:color="D9D9D9" w:fill="D9D9D9"/>
            <w:noWrap/>
            <w:vAlign w:val="bottom"/>
            <w:hideMark/>
          </w:tcPr>
          <w:p w14:paraId="058D8331" w14:textId="77777777" w:rsidR="0029150C" w:rsidRPr="00FD0101" w:rsidRDefault="0029150C" w:rsidP="000274E8">
            <w:pPr>
              <w:spacing w:before="6" w:after="6" w:line="288" w:lineRule="auto"/>
              <w:jc w:val="both"/>
              <w:rPr>
                <w:rFonts w:eastAsia="Times New Roman" w:cstheme="minorHAnsi"/>
                <w:color w:val="000000"/>
                <w:sz w:val="20"/>
                <w:szCs w:val="20"/>
                <w:lang w:eastAsia="pl-PL"/>
              </w:rPr>
            </w:pPr>
            <w:r w:rsidRPr="00FD0101">
              <w:rPr>
                <w:rFonts w:eastAsia="Times New Roman" w:cstheme="minorHAnsi"/>
                <w:color w:val="000000"/>
                <w:sz w:val="20"/>
                <w:szCs w:val="20"/>
                <w:lang w:eastAsia="pl-PL"/>
              </w:rPr>
              <w:t>3</w:t>
            </w:r>
          </w:p>
        </w:tc>
        <w:tc>
          <w:tcPr>
            <w:tcW w:w="2848" w:type="dxa"/>
            <w:tcBorders>
              <w:top w:val="single" w:sz="4" w:space="0" w:color="000000"/>
              <w:left w:val="nil"/>
              <w:bottom w:val="single" w:sz="4" w:space="0" w:color="000000"/>
              <w:right w:val="nil"/>
            </w:tcBorders>
            <w:shd w:val="clear" w:color="D9D9D9" w:fill="D9D9D9"/>
            <w:noWrap/>
            <w:vAlign w:val="bottom"/>
            <w:hideMark/>
          </w:tcPr>
          <w:p w14:paraId="20EEA354" w14:textId="77777777" w:rsidR="0029150C" w:rsidRPr="00FD0101" w:rsidRDefault="0029150C" w:rsidP="000274E8">
            <w:pPr>
              <w:spacing w:before="6" w:after="6" w:line="288" w:lineRule="auto"/>
              <w:jc w:val="both"/>
              <w:rPr>
                <w:rFonts w:eastAsia="Times New Roman" w:cstheme="minorHAnsi"/>
                <w:color w:val="000000"/>
                <w:sz w:val="20"/>
                <w:szCs w:val="20"/>
                <w:lang w:val="de-CH" w:eastAsia="pl-PL"/>
              </w:rPr>
            </w:pPr>
            <w:r w:rsidRPr="00FD0101">
              <w:rPr>
                <w:rFonts w:eastAsia="Times New Roman" w:cstheme="minorHAnsi"/>
                <w:color w:val="000000"/>
                <w:sz w:val="20"/>
                <w:szCs w:val="20"/>
                <w:lang w:val="de-CH" w:eastAsia="pl-PL"/>
              </w:rPr>
              <w:t>Nationale-Nederlanden PTE S.A.</w:t>
            </w:r>
          </w:p>
        </w:tc>
        <w:tc>
          <w:tcPr>
            <w:tcW w:w="2287" w:type="dxa"/>
            <w:tcBorders>
              <w:top w:val="single" w:sz="4" w:space="0" w:color="000000"/>
              <w:left w:val="nil"/>
              <w:bottom w:val="single" w:sz="4" w:space="0" w:color="000000"/>
              <w:right w:val="nil"/>
            </w:tcBorders>
            <w:shd w:val="clear" w:color="D9D9D9" w:fill="D9D9D9"/>
            <w:noWrap/>
            <w:vAlign w:val="bottom"/>
            <w:hideMark/>
          </w:tcPr>
          <w:p w14:paraId="7DFC8DA7" w14:textId="77777777" w:rsidR="0029150C" w:rsidRPr="00FD0101" w:rsidRDefault="0029150C" w:rsidP="000274E8">
            <w:pPr>
              <w:spacing w:before="6" w:after="6" w:line="288" w:lineRule="auto"/>
              <w:jc w:val="center"/>
              <w:rPr>
                <w:rFonts w:eastAsia="Times New Roman" w:cstheme="minorHAnsi"/>
                <w:color w:val="000000"/>
                <w:sz w:val="20"/>
                <w:szCs w:val="20"/>
                <w:lang w:eastAsia="pl-PL"/>
              </w:rPr>
            </w:pPr>
            <w:r w:rsidRPr="00FD0101">
              <w:rPr>
                <w:rFonts w:eastAsia="Times New Roman" w:cstheme="minorHAnsi"/>
                <w:color w:val="000000"/>
                <w:sz w:val="20"/>
                <w:szCs w:val="20"/>
                <w:lang w:eastAsia="pl-PL"/>
              </w:rPr>
              <w:t>1 021 353,17</w:t>
            </w:r>
          </w:p>
        </w:tc>
        <w:tc>
          <w:tcPr>
            <w:tcW w:w="1040" w:type="dxa"/>
            <w:tcBorders>
              <w:top w:val="single" w:sz="4" w:space="0" w:color="000000"/>
              <w:left w:val="nil"/>
              <w:bottom w:val="single" w:sz="4" w:space="0" w:color="000000"/>
              <w:right w:val="nil"/>
            </w:tcBorders>
            <w:shd w:val="clear" w:color="D9D9D9" w:fill="D9D9D9"/>
            <w:noWrap/>
            <w:vAlign w:val="bottom"/>
            <w:hideMark/>
          </w:tcPr>
          <w:p w14:paraId="5CD32C16" w14:textId="77777777" w:rsidR="0029150C" w:rsidRPr="00FD0101" w:rsidRDefault="0029150C" w:rsidP="000274E8">
            <w:pPr>
              <w:spacing w:before="6" w:after="6" w:line="288" w:lineRule="auto"/>
              <w:jc w:val="center"/>
              <w:rPr>
                <w:rFonts w:eastAsia="Times New Roman" w:cstheme="minorHAnsi"/>
                <w:color w:val="000000"/>
                <w:sz w:val="20"/>
                <w:szCs w:val="20"/>
                <w:lang w:eastAsia="pl-PL"/>
              </w:rPr>
            </w:pPr>
            <w:r w:rsidRPr="00FD0101">
              <w:rPr>
                <w:rFonts w:eastAsia="Times New Roman" w:cstheme="minorHAnsi"/>
                <w:color w:val="000000"/>
                <w:sz w:val="20"/>
                <w:szCs w:val="20"/>
                <w:lang w:eastAsia="pl-PL"/>
              </w:rPr>
              <w:t>11,38%</w:t>
            </w:r>
          </w:p>
        </w:tc>
        <w:tc>
          <w:tcPr>
            <w:tcW w:w="3032" w:type="dxa"/>
            <w:tcBorders>
              <w:top w:val="single" w:sz="4" w:space="0" w:color="000000"/>
              <w:left w:val="nil"/>
              <w:bottom w:val="single" w:sz="4" w:space="0" w:color="000000"/>
              <w:right w:val="single" w:sz="4" w:space="0" w:color="000000"/>
            </w:tcBorders>
            <w:shd w:val="clear" w:color="D9D9D9" w:fill="D9D9D9"/>
            <w:noWrap/>
            <w:vAlign w:val="bottom"/>
            <w:hideMark/>
          </w:tcPr>
          <w:p w14:paraId="2C4F41E7" w14:textId="77777777" w:rsidR="0029150C" w:rsidRPr="00FD0101" w:rsidRDefault="0029150C" w:rsidP="000274E8">
            <w:pPr>
              <w:spacing w:before="6" w:after="6" w:line="288" w:lineRule="auto"/>
              <w:jc w:val="center"/>
              <w:rPr>
                <w:rFonts w:eastAsia="Times New Roman" w:cstheme="minorHAnsi"/>
                <w:color w:val="000000"/>
                <w:sz w:val="20"/>
                <w:szCs w:val="20"/>
                <w:lang w:eastAsia="pl-PL"/>
              </w:rPr>
            </w:pPr>
            <w:r w:rsidRPr="00FD0101">
              <w:rPr>
                <w:rFonts w:eastAsia="Times New Roman" w:cstheme="minorHAnsi"/>
                <w:color w:val="000000"/>
                <w:sz w:val="20"/>
                <w:szCs w:val="20"/>
                <w:lang w:eastAsia="pl-PL"/>
              </w:rPr>
              <w:t>-0,24%</w:t>
            </w:r>
          </w:p>
        </w:tc>
      </w:tr>
      <w:tr w:rsidR="0029150C" w:rsidRPr="008D0C72" w14:paraId="7434A155" w14:textId="77777777" w:rsidTr="008D737D">
        <w:trPr>
          <w:trHeight w:val="290"/>
        </w:trPr>
        <w:tc>
          <w:tcPr>
            <w:tcW w:w="527" w:type="dxa"/>
            <w:tcBorders>
              <w:top w:val="single" w:sz="4" w:space="0" w:color="000000"/>
              <w:left w:val="single" w:sz="4" w:space="0" w:color="000000"/>
              <w:bottom w:val="single" w:sz="4" w:space="0" w:color="000000"/>
              <w:right w:val="nil"/>
            </w:tcBorders>
            <w:shd w:val="clear" w:color="auto" w:fill="auto"/>
            <w:noWrap/>
            <w:vAlign w:val="bottom"/>
            <w:hideMark/>
          </w:tcPr>
          <w:p w14:paraId="50946751" w14:textId="77777777" w:rsidR="0029150C" w:rsidRPr="00FD0101" w:rsidRDefault="0029150C" w:rsidP="000274E8">
            <w:pPr>
              <w:spacing w:before="6" w:after="6" w:line="288" w:lineRule="auto"/>
              <w:jc w:val="both"/>
              <w:rPr>
                <w:rFonts w:eastAsia="Times New Roman" w:cstheme="minorHAnsi"/>
                <w:color w:val="000000"/>
                <w:sz w:val="20"/>
                <w:szCs w:val="20"/>
                <w:lang w:eastAsia="pl-PL"/>
              </w:rPr>
            </w:pPr>
            <w:r w:rsidRPr="00FD0101">
              <w:rPr>
                <w:rFonts w:eastAsia="Times New Roman" w:cstheme="minorHAnsi"/>
                <w:color w:val="000000"/>
                <w:sz w:val="20"/>
                <w:szCs w:val="20"/>
                <w:lang w:eastAsia="pl-PL"/>
              </w:rPr>
              <w:t>4</w:t>
            </w:r>
          </w:p>
        </w:tc>
        <w:tc>
          <w:tcPr>
            <w:tcW w:w="2848" w:type="dxa"/>
            <w:tcBorders>
              <w:top w:val="single" w:sz="4" w:space="0" w:color="000000"/>
              <w:left w:val="nil"/>
              <w:bottom w:val="single" w:sz="4" w:space="0" w:color="000000"/>
              <w:right w:val="nil"/>
            </w:tcBorders>
            <w:shd w:val="clear" w:color="auto" w:fill="auto"/>
            <w:noWrap/>
            <w:vAlign w:val="bottom"/>
            <w:hideMark/>
          </w:tcPr>
          <w:p w14:paraId="684C639E" w14:textId="77777777" w:rsidR="0029150C" w:rsidRPr="00FD0101" w:rsidRDefault="0029150C" w:rsidP="000274E8">
            <w:pPr>
              <w:spacing w:before="6" w:after="6" w:line="288" w:lineRule="auto"/>
              <w:jc w:val="both"/>
              <w:rPr>
                <w:rFonts w:eastAsia="Times New Roman" w:cstheme="minorHAnsi"/>
                <w:color w:val="000000"/>
                <w:sz w:val="20"/>
                <w:szCs w:val="20"/>
                <w:lang w:val="de-CH" w:eastAsia="pl-PL"/>
              </w:rPr>
            </w:pPr>
            <w:r w:rsidRPr="00FD0101">
              <w:rPr>
                <w:rFonts w:eastAsia="Times New Roman" w:cstheme="minorHAnsi"/>
                <w:color w:val="000000"/>
                <w:sz w:val="20"/>
                <w:szCs w:val="20"/>
                <w:lang w:val="de-CH" w:eastAsia="pl-PL"/>
              </w:rPr>
              <w:t>NN Investment Partners TFI S.A.</w:t>
            </w:r>
          </w:p>
        </w:tc>
        <w:tc>
          <w:tcPr>
            <w:tcW w:w="2287" w:type="dxa"/>
            <w:tcBorders>
              <w:top w:val="single" w:sz="4" w:space="0" w:color="000000"/>
              <w:left w:val="nil"/>
              <w:bottom w:val="single" w:sz="4" w:space="0" w:color="000000"/>
              <w:right w:val="nil"/>
            </w:tcBorders>
            <w:shd w:val="clear" w:color="auto" w:fill="auto"/>
            <w:noWrap/>
            <w:vAlign w:val="bottom"/>
            <w:hideMark/>
          </w:tcPr>
          <w:p w14:paraId="55969264" w14:textId="77777777" w:rsidR="0029150C" w:rsidRPr="00FD0101" w:rsidRDefault="0029150C" w:rsidP="000274E8">
            <w:pPr>
              <w:spacing w:before="6" w:after="6" w:line="288" w:lineRule="auto"/>
              <w:jc w:val="center"/>
              <w:rPr>
                <w:rFonts w:eastAsia="Times New Roman" w:cstheme="minorHAnsi"/>
                <w:color w:val="000000"/>
                <w:sz w:val="20"/>
                <w:szCs w:val="20"/>
                <w:lang w:eastAsia="pl-PL"/>
              </w:rPr>
            </w:pPr>
            <w:r w:rsidRPr="00FD0101">
              <w:rPr>
                <w:rFonts w:eastAsia="Times New Roman" w:cstheme="minorHAnsi"/>
                <w:color w:val="000000"/>
                <w:sz w:val="20"/>
                <w:szCs w:val="20"/>
                <w:lang w:eastAsia="pl-PL"/>
              </w:rPr>
              <w:t>590 964,00</w:t>
            </w:r>
          </w:p>
        </w:tc>
        <w:tc>
          <w:tcPr>
            <w:tcW w:w="1040" w:type="dxa"/>
            <w:tcBorders>
              <w:top w:val="single" w:sz="4" w:space="0" w:color="000000"/>
              <w:left w:val="nil"/>
              <w:bottom w:val="single" w:sz="4" w:space="0" w:color="000000"/>
              <w:right w:val="nil"/>
            </w:tcBorders>
            <w:shd w:val="clear" w:color="auto" w:fill="auto"/>
            <w:noWrap/>
            <w:vAlign w:val="bottom"/>
            <w:hideMark/>
          </w:tcPr>
          <w:p w14:paraId="0C7AF90C" w14:textId="77777777" w:rsidR="0029150C" w:rsidRPr="00FD0101" w:rsidRDefault="0029150C" w:rsidP="000274E8">
            <w:pPr>
              <w:spacing w:before="6" w:after="6" w:line="288" w:lineRule="auto"/>
              <w:jc w:val="center"/>
              <w:rPr>
                <w:rFonts w:eastAsia="Times New Roman" w:cstheme="minorHAnsi"/>
                <w:color w:val="000000"/>
                <w:sz w:val="20"/>
                <w:szCs w:val="20"/>
                <w:lang w:eastAsia="pl-PL"/>
              </w:rPr>
            </w:pPr>
            <w:r w:rsidRPr="00FD0101">
              <w:rPr>
                <w:rFonts w:eastAsia="Times New Roman" w:cstheme="minorHAnsi"/>
                <w:color w:val="000000"/>
                <w:sz w:val="20"/>
                <w:szCs w:val="20"/>
                <w:lang w:eastAsia="pl-PL"/>
              </w:rPr>
              <w:t>6,59%</w:t>
            </w:r>
          </w:p>
        </w:tc>
        <w:tc>
          <w:tcPr>
            <w:tcW w:w="3032" w:type="dxa"/>
            <w:tcBorders>
              <w:top w:val="single" w:sz="4" w:space="0" w:color="000000"/>
              <w:left w:val="nil"/>
              <w:bottom w:val="single" w:sz="4" w:space="0" w:color="000000"/>
              <w:right w:val="single" w:sz="4" w:space="0" w:color="000000"/>
            </w:tcBorders>
            <w:shd w:val="clear" w:color="auto" w:fill="auto"/>
            <w:noWrap/>
            <w:vAlign w:val="bottom"/>
            <w:hideMark/>
          </w:tcPr>
          <w:p w14:paraId="64B0F85B" w14:textId="77777777" w:rsidR="0029150C" w:rsidRPr="00FD0101" w:rsidRDefault="0029150C" w:rsidP="000274E8">
            <w:pPr>
              <w:spacing w:before="6" w:after="6" w:line="288" w:lineRule="auto"/>
              <w:jc w:val="center"/>
              <w:rPr>
                <w:rFonts w:eastAsia="Times New Roman" w:cstheme="minorHAnsi"/>
                <w:color w:val="000000"/>
                <w:sz w:val="20"/>
                <w:szCs w:val="20"/>
                <w:lang w:eastAsia="pl-PL"/>
              </w:rPr>
            </w:pPr>
            <w:r w:rsidRPr="00FD0101">
              <w:rPr>
                <w:rFonts w:eastAsia="Times New Roman" w:cstheme="minorHAnsi"/>
                <w:color w:val="000000"/>
                <w:sz w:val="20"/>
                <w:szCs w:val="20"/>
                <w:lang w:eastAsia="pl-PL"/>
              </w:rPr>
              <w:t>-0,29%</w:t>
            </w:r>
          </w:p>
        </w:tc>
      </w:tr>
      <w:tr w:rsidR="0029150C" w:rsidRPr="008D0C72" w14:paraId="0D6FE022" w14:textId="77777777" w:rsidTr="008D737D">
        <w:trPr>
          <w:trHeight w:val="290"/>
        </w:trPr>
        <w:tc>
          <w:tcPr>
            <w:tcW w:w="527" w:type="dxa"/>
            <w:tcBorders>
              <w:top w:val="single" w:sz="4" w:space="0" w:color="000000"/>
              <w:left w:val="single" w:sz="4" w:space="0" w:color="000000"/>
              <w:bottom w:val="single" w:sz="4" w:space="0" w:color="000000"/>
              <w:right w:val="nil"/>
            </w:tcBorders>
            <w:shd w:val="clear" w:color="D9D9D9" w:fill="D9D9D9"/>
            <w:noWrap/>
            <w:vAlign w:val="bottom"/>
            <w:hideMark/>
          </w:tcPr>
          <w:p w14:paraId="221E37C3" w14:textId="77777777" w:rsidR="0029150C" w:rsidRPr="00FD0101" w:rsidRDefault="0029150C" w:rsidP="000274E8">
            <w:pPr>
              <w:spacing w:before="6" w:after="6" w:line="288" w:lineRule="auto"/>
              <w:jc w:val="both"/>
              <w:rPr>
                <w:rFonts w:eastAsia="Times New Roman" w:cstheme="minorHAnsi"/>
                <w:color w:val="000000"/>
                <w:sz w:val="20"/>
                <w:szCs w:val="20"/>
                <w:lang w:eastAsia="pl-PL"/>
              </w:rPr>
            </w:pPr>
            <w:r w:rsidRPr="00FD0101">
              <w:rPr>
                <w:rFonts w:eastAsia="Times New Roman" w:cstheme="minorHAnsi"/>
                <w:color w:val="000000"/>
                <w:sz w:val="20"/>
                <w:szCs w:val="20"/>
                <w:lang w:eastAsia="pl-PL"/>
              </w:rPr>
              <w:t>5</w:t>
            </w:r>
          </w:p>
        </w:tc>
        <w:tc>
          <w:tcPr>
            <w:tcW w:w="2848" w:type="dxa"/>
            <w:tcBorders>
              <w:top w:val="single" w:sz="4" w:space="0" w:color="000000"/>
              <w:left w:val="nil"/>
              <w:bottom w:val="single" w:sz="4" w:space="0" w:color="000000"/>
              <w:right w:val="nil"/>
            </w:tcBorders>
            <w:shd w:val="clear" w:color="D9D9D9" w:fill="D9D9D9"/>
            <w:noWrap/>
            <w:vAlign w:val="bottom"/>
            <w:hideMark/>
          </w:tcPr>
          <w:p w14:paraId="7C4DED4E" w14:textId="77777777" w:rsidR="0029150C" w:rsidRPr="00FD0101" w:rsidRDefault="0029150C" w:rsidP="000274E8">
            <w:pPr>
              <w:spacing w:before="6" w:after="6" w:line="288" w:lineRule="auto"/>
              <w:jc w:val="both"/>
              <w:rPr>
                <w:rFonts w:eastAsia="Times New Roman" w:cstheme="minorHAnsi"/>
                <w:color w:val="000000"/>
                <w:sz w:val="20"/>
                <w:szCs w:val="20"/>
                <w:lang w:val="de-CH" w:eastAsia="pl-PL"/>
              </w:rPr>
            </w:pPr>
            <w:r w:rsidRPr="00FD0101">
              <w:rPr>
                <w:rFonts w:eastAsia="Times New Roman" w:cstheme="minorHAnsi"/>
                <w:color w:val="000000"/>
                <w:sz w:val="20"/>
                <w:szCs w:val="20"/>
                <w:lang w:val="de-CH" w:eastAsia="pl-PL"/>
              </w:rPr>
              <w:t>Aviva Investors Poland TFI S.A.</w:t>
            </w:r>
          </w:p>
        </w:tc>
        <w:tc>
          <w:tcPr>
            <w:tcW w:w="2287" w:type="dxa"/>
            <w:tcBorders>
              <w:top w:val="single" w:sz="4" w:space="0" w:color="000000"/>
              <w:left w:val="nil"/>
              <w:bottom w:val="single" w:sz="4" w:space="0" w:color="000000"/>
              <w:right w:val="nil"/>
            </w:tcBorders>
            <w:shd w:val="clear" w:color="D9D9D9" w:fill="D9D9D9"/>
            <w:noWrap/>
            <w:vAlign w:val="bottom"/>
            <w:hideMark/>
          </w:tcPr>
          <w:p w14:paraId="5495D5C0" w14:textId="77777777" w:rsidR="0029150C" w:rsidRPr="00FD0101" w:rsidRDefault="0029150C" w:rsidP="000274E8">
            <w:pPr>
              <w:spacing w:before="6" w:after="6" w:line="288" w:lineRule="auto"/>
              <w:jc w:val="center"/>
              <w:rPr>
                <w:rFonts w:eastAsia="Times New Roman" w:cstheme="minorHAnsi"/>
                <w:color w:val="000000"/>
                <w:sz w:val="20"/>
                <w:szCs w:val="20"/>
                <w:lang w:eastAsia="pl-PL"/>
              </w:rPr>
            </w:pPr>
            <w:r w:rsidRPr="00FD0101">
              <w:rPr>
                <w:rFonts w:eastAsia="Times New Roman" w:cstheme="minorHAnsi"/>
                <w:color w:val="000000"/>
                <w:sz w:val="20"/>
                <w:szCs w:val="20"/>
                <w:lang w:eastAsia="pl-PL"/>
              </w:rPr>
              <w:t>539 174,67</w:t>
            </w:r>
          </w:p>
        </w:tc>
        <w:tc>
          <w:tcPr>
            <w:tcW w:w="1040" w:type="dxa"/>
            <w:tcBorders>
              <w:top w:val="single" w:sz="4" w:space="0" w:color="000000"/>
              <w:left w:val="nil"/>
              <w:bottom w:val="single" w:sz="4" w:space="0" w:color="000000"/>
              <w:right w:val="nil"/>
            </w:tcBorders>
            <w:shd w:val="clear" w:color="D9D9D9" w:fill="D9D9D9"/>
            <w:noWrap/>
            <w:vAlign w:val="bottom"/>
            <w:hideMark/>
          </w:tcPr>
          <w:p w14:paraId="13360FE1" w14:textId="77777777" w:rsidR="0029150C" w:rsidRPr="00FD0101" w:rsidRDefault="0029150C" w:rsidP="000274E8">
            <w:pPr>
              <w:spacing w:before="6" w:after="6" w:line="288" w:lineRule="auto"/>
              <w:jc w:val="center"/>
              <w:rPr>
                <w:rFonts w:eastAsia="Times New Roman" w:cstheme="minorHAnsi"/>
                <w:color w:val="000000"/>
                <w:sz w:val="20"/>
                <w:szCs w:val="20"/>
                <w:lang w:eastAsia="pl-PL"/>
              </w:rPr>
            </w:pPr>
            <w:r w:rsidRPr="00FD0101">
              <w:rPr>
                <w:rFonts w:eastAsia="Times New Roman" w:cstheme="minorHAnsi"/>
                <w:color w:val="000000"/>
                <w:sz w:val="20"/>
                <w:szCs w:val="20"/>
                <w:lang w:eastAsia="pl-PL"/>
              </w:rPr>
              <w:t>6,01%</w:t>
            </w:r>
          </w:p>
        </w:tc>
        <w:tc>
          <w:tcPr>
            <w:tcW w:w="3032" w:type="dxa"/>
            <w:tcBorders>
              <w:top w:val="single" w:sz="4" w:space="0" w:color="000000"/>
              <w:left w:val="nil"/>
              <w:bottom w:val="single" w:sz="4" w:space="0" w:color="000000"/>
              <w:right w:val="single" w:sz="4" w:space="0" w:color="000000"/>
            </w:tcBorders>
            <w:shd w:val="clear" w:color="D9D9D9" w:fill="D9D9D9"/>
            <w:noWrap/>
            <w:vAlign w:val="bottom"/>
            <w:hideMark/>
          </w:tcPr>
          <w:p w14:paraId="1C0BD826" w14:textId="77777777" w:rsidR="0029150C" w:rsidRPr="00FD0101" w:rsidRDefault="0029150C" w:rsidP="000274E8">
            <w:pPr>
              <w:spacing w:before="6" w:after="6" w:line="288" w:lineRule="auto"/>
              <w:jc w:val="center"/>
              <w:rPr>
                <w:rFonts w:eastAsia="Times New Roman" w:cstheme="minorHAnsi"/>
                <w:color w:val="000000"/>
                <w:sz w:val="20"/>
                <w:szCs w:val="20"/>
                <w:lang w:eastAsia="pl-PL"/>
              </w:rPr>
            </w:pPr>
            <w:r w:rsidRPr="00FD0101">
              <w:rPr>
                <w:rFonts w:eastAsia="Times New Roman" w:cstheme="minorHAnsi"/>
                <w:color w:val="000000"/>
                <w:sz w:val="20"/>
                <w:szCs w:val="20"/>
                <w:lang w:eastAsia="pl-PL"/>
              </w:rPr>
              <w:t>-0,03%</w:t>
            </w:r>
          </w:p>
        </w:tc>
      </w:tr>
      <w:tr w:rsidR="0029150C" w:rsidRPr="008D0C72" w14:paraId="7B06AA25" w14:textId="77777777" w:rsidTr="008D737D">
        <w:trPr>
          <w:trHeight w:val="290"/>
        </w:trPr>
        <w:tc>
          <w:tcPr>
            <w:tcW w:w="527" w:type="dxa"/>
            <w:tcBorders>
              <w:top w:val="single" w:sz="4" w:space="0" w:color="000000"/>
              <w:left w:val="single" w:sz="4" w:space="0" w:color="000000"/>
              <w:bottom w:val="single" w:sz="4" w:space="0" w:color="000000"/>
              <w:right w:val="nil"/>
            </w:tcBorders>
            <w:shd w:val="clear" w:color="auto" w:fill="auto"/>
            <w:noWrap/>
            <w:vAlign w:val="bottom"/>
            <w:hideMark/>
          </w:tcPr>
          <w:p w14:paraId="17F61FEB" w14:textId="77777777" w:rsidR="0029150C" w:rsidRPr="00FD0101" w:rsidRDefault="0029150C" w:rsidP="000274E8">
            <w:pPr>
              <w:spacing w:before="6" w:after="6" w:line="288" w:lineRule="auto"/>
              <w:jc w:val="both"/>
              <w:rPr>
                <w:rFonts w:eastAsia="Times New Roman" w:cstheme="minorHAnsi"/>
                <w:color w:val="000000"/>
                <w:sz w:val="20"/>
                <w:szCs w:val="20"/>
                <w:lang w:eastAsia="pl-PL"/>
              </w:rPr>
            </w:pPr>
            <w:r w:rsidRPr="00FD0101">
              <w:rPr>
                <w:rFonts w:eastAsia="Times New Roman" w:cstheme="minorHAnsi"/>
                <w:color w:val="000000"/>
                <w:sz w:val="20"/>
                <w:szCs w:val="20"/>
                <w:lang w:eastAsia="pl-PL"/>
              </w:rPr>
              <w:t>6</w:t>
            </w:r>
          </w:p>
        </w:tc>
        <w:tc>
          <w:tcPr>
            <w:tcW w:w="2848" w:type="dxa"/>
            <w:tcBorders>
              <w:top w:val="single" w:sz="4" w:space="0" w:color="000000"/>
              <w:left w:val="nil"/>
              <w:bottom w:val="single" w:sz="4" w:space="0" w:color="000000"/>
              <w:right w:val="nil"/>
            </w:tcBorders>
            <w:shd w:val="clear" w:color="auto" w:fill="auto"/>
            <w:noWrap/>
            <w:vAlign w:val="bottom"/>
            <w:hideMark/>
          </w:tcPr>
          <w:p w14:paraId="58332A40" w14:textId="77777777" w:rsidR="0029150C" w:rsidRPr="00FD0101" w:rsidRDefault="0029150C" w:rsidP="000274E8">
            <w:pPr>
              <w:spacing w:before="6" w:after="6" w:line="288" w:lineRule="auto"/>
              <w:jc w:val="both"/>
              <w:rPr>
                <w:rFonts w:eastAsia="Times New Roman" w:cstheme="minorHAnsi"/>
                <w:color w:val="000000"/>
                <w:sz w:val="20"/>
                <w:szCs w:val="20"/>
                <w:lang w:eastAsia="pl-PL"/>
              </w:rPr>
            </w:pPr>
            <w:r w:rsidRPr="00FD0101">
              <w:rPr>
                <w:rFonts w:eastAsia="Times New Roman" w:cstheme="minorHAnsi"/>
                <w:color w:val="000000"/>
                <w:sz w:val="20"/>
                <w:szCs w:val="20"/>
                <w:lang w:eastAsia="pl-PL"/>
              </w:rPr>
              <w:t>Pekao TFI S.A.</w:t>
            </w:r>
          </w:p>
        </w:tc>
        <w:tc>
          <w:tcPr>
            <w:tcW w:w="2287" w:type="dxa"/>
            <w:tcBorders>
              <w:top w:val="single" w:sz="4" w:space="0" w:color="000000"/>
              <w:left w:val="nil"/>
              <w:bottom w:val="single" w:sz="4" w:space="0" w:color="000000"/>
              <w:right w:val="nil"/>
            </w:tcBorders>
            <w:shd w:val="clear" w:color="auto" w:fill="auto"/>
            <w:noWrap/>
            <w:vAlign w:val="bottom"/>
            <w:hideMark/>
          </w:tcPr>
          <w:p w14:paraId="3DE8B5B6" w14:textId="77777777" w:rsidR="0029150C" w:rsidRPr="00FD0101" w:rsidRDefault="0029150C" w:rsidP="000274E8">
            <w:pPr>
              <w:spacing w:before="6" w:after="6" w:line="288" w:lineRule="auto"/>
              <w:jc w:val="center"/>
              <w:rPr>
                <w:rFonts w:eastAsia="Times New Roman" w:cstheme="minorHAnsi"/>
                <w:color w:val="000000"/>
                <w:sz w:val="20"/>
                <w:szCs w:val="20"/>
                <w:lang w:eastAsia="pl-PL"/>
              </w:rPr>
            </w:pPr>
            <w:r w:rsidRPr="00FD0101">
              <w:rPr>
                <w:rFonts w:eastAsia="Times New Roman" w:cstheme="minorHAnsi"/>
                <w:color w:val="000000"/>
                <w:sz w:val="20"/>
                <w:szCs w:val="20"/>
                <w:lang w:eastAsia="pl-PL"/>
              </w:rPr>
              <w:t>422 029,56</w:t>
            </w:r>
          </w:p>
        </w:tc>
        <w:tc>
          <w:tcPr>
            <w:tcW w:w="1040" w:type="dxa"/>
            <w:tcBorders>
              <w:top w:val="single" w:sz="4" w:space="0" w:color="000000"/>
              <w:left w:val="nil"/>
              <w:bottom w:val="single" w:sz="4" w:space="0" w:color="000000"/>
              <w:right w:val="nil"/>
            </w:tcBorders>
            <w:shd w:val="clear" w:color="auto" w:fill="auto"/>
            <w:noWrap/>
            <w:vAlign w:val="bottom"/>
            <w:hideMark/>
          </w:tcPr>
          <w:p w14:paraId="238FE681" w14:textId="77777777" w:rsidR="0029150C" w:rsidRPr="00FD0101" w:rsidRDefault="0029150C" w:rsidP="000274E8">
            <w:pPr>
              <w:spacing w:before="6" w:after="6" w:line="288" w:lineRule="auto"/>
              <w:jc w:val="center"/>
              <w:rPr>
                <w:rFonts w:eastAsia="Times New Roman" w:cstheme="minorHAnsi"/>
                <w:color w:val="000000"/>
                <w:sz w:val="20"/>
                <w:szCs w:val="20"/>
                <w:lang w:eastAsia="pl-PL"/>
              </w:rPr>
            </w:pPr>
            <w:r w:rsidRPr="00FD0101">
              <w:rPr>
                <w:rFonts w:eastAsia="Times New Roman" w:cstheme="minorHAnsi"/>
                <w:color w:val="000000"/>
                <w:sz w:val="20"/>
                <w:szCs w:val="20"/>
                <w:lang w:eastAsia="pl-PL"/>
              </w:rPr>
              <w:t>4,70%</w:t>
            </w:r>
          </w:p>
        </w:tc>
        <w:tc>
          <w:tcPr>
            <w:tcW w:w="3032" w:type="dxa"/>
            <w:tcBorders>
              <w:top w:val="single" w:sz="4" w:space="0" w:color="000000"/>
              <w:left w:val="nil"/>
              <w:bottom w:val="single" w:sz="4" w:space="0" w:color="000000"/>
              <w:right w:val="single" w:sz="4" w:space="0" w:color="000000"/>
            </w:tcBorders>
            <w:shd w:val="clear" w:color="auto" w:fill="auto"/>
            <w:noWrap/>
            <w:vAlign w:val="bottom"/>
            <w:hideMark/>
          </w:tcPr>
          <w:p w14:paraId="628A9F1B" w14:textId="77777777" w:rsidR="0029150C" w:rsidRPr="00FD0101" w:rsidRDefault="0029150C" w:rsidP="000274E8">
            <w:pPr>
              <w:spacing w:before="6" w:after="6" w:line="288" w:lineRule="auto"/>
              <w:jc w:val="center"/>
              <w:rPr>
                <w:rFonts w:eastAsia="Times New Roman" w:cstheme="minorHAnsi"/>
                <w:color w:val="000000"/>
                <w:sz w:val="20"/>
                <w:szCs w:val="20"/>
                <w:lang w:eastAsia="pl-PL"/>
              </w:rPr>
            </w:pPr>
            <w:r w:rsidRPr="00FD0101">
              <w:rPr>
                <w:rFonts w:eastAsia="Times New Roman" w:cstheme="minorHAnsi"/>
                <w:color w:val="000000"/>
                <w:sz w:val="20"/>
                <w:szCs w:val="20"/>
                <w:lang w:eastAsia="pl-PL"/>
              </w:rPr>
              <w:t>0,14%</w:t>
            </w:r>
          </w:p>
        </w:tc>
      </w:tr>
      <w:tr w:rsidR="0029150C" w:rsidRPr="008D0C72" w14:paraId="29A1F228" w14:textId="77777777" w:rsidTr="008D737D">
        <w:trPr>
          <w:trHeight w:val="290"/>
        </w:trPr>
        <w:tc>
          <w:tcPr>
            <w:tcW w:w="527" w:type="dxa"/>
            <w:tcBorders>
              <w:top w:val="single" w:sz="4" w:space="0" w:color="000000"/>
              <w:left w:val="single" w:sz="4" w:space="0" w:color="000000"/>
              <w:bottom w:val="single" w:sz="4" w:space="0" w:color="000000"/>
              <w:right w:val="nil"/>
            </w:tcBorders>
            <w:shd w:val="clear" w:color="D9D9D9" w:fill="D9D9D9"/>
            <w:noWrap/>
            <w:vAlign w:val="bottom"/>
            <w:hideMark/>
          </w:tcPr>
          <w:p w14:paraId="49BA3764" w14:textId="77777777" w:rsidR="0029150C" w:rsidRPr="00FD0101" w:rsidRDefault="0029150C" w:rsidP="000274E8">
            <w:pPr>
              <w:spacing w:before="6" w:after="6" w:line="288" w:lineRule="auto"/>
              <w:jc w:val="both"/>
              <w:rPr>
                <w:rFonts w:eastAsia="Times New Roman" w:cstheme="minorHAnsi"/>
                <w:color w:val="000000"/>
                <w:sz w:val="20"/>
                <w:szCs w:val="20"/>
                <w:lang w:eastAsia="pl-PL"/>
              </w:rPr>
            </w:pPr>
            <w:r w:rsidRPr="00FD0101">
              <w:rPr>
                <w:rFonts w:eastAsia="Times New Roman" w:cstheme="minorHAnsi"/>
                <w:color w:val="000000"/>
                <w:sz w:val="20"/>
                <w:szCs w:val="20"/>
                <w:lang w:eastAsia="pl-PL"/>
              </w:rPr>
              <w:t>7</w:t>
            </w:r>
          </w:p>
        </w:tc>
        <w:tc>
          <w:tcPr>
            <w:tcW w:w="2848" w:type="dxa"/>
            <w:tcBorders>
              <w:top w:val="single" w:sz="4" w:space="0" w:color="000000"/>
              <w:left w:val="nil"/>
              <w:bottom w:val="single" w:sz="4" w:space="0" w:color="000000"/>
              <w:right w:val="nil"/>
            </w:tcBorders>
            <w:shd w:val="clear" w:color="D9D9D9" w:fill="D9D9D9"/>
            <w:noWrap/>
            <w:vAlign w:val="bottom"/>
            <w:hideMark/>
          </w:tcPr>
          <w:p w14:paraId="07EBCB2D" w14:textId="77777777" w:rsidR="0029150C" w:rsidRPr="00FD0101" w:rsidRDefault="0029150C" w:rsidP="000274E8">
            <w:pPr>
              <w:spacing w:before="6" w:after="6" w:line="288" w:lineRule="auto"/>
              <w:jc w:val="both"/>
              <w:rPr>
                <w:rFonts w:eastAsia="Times New Roman" w:cstheme="minorHAnsi"/>
                <w:color w:val="000000"/>
                <w:sz w:val="20"/>
                <w:szCs w:val="20"/>
                <w:lang w:eastAsia="pl-PL"/>
              </w:rPr>
            </w:pPr>
            <w:r w:rsidRPr="00FD0101">
              <w:rPr>
                <w:rFonts w:eastAsia="Times New Roman" w:cstheme="minorHAnsi"/>
                <w:color w:val="000000"/>
                <w:sz w:val="20"/>
                <w:szCs w:val="20"/>
                <w:lang w:eastAsia="pl-PL"/>
              </w:rPr>
              <w:t>UNIQA TFI S.A.</w:t>
            </w:r>
          </w:p>
        </w:tc>
        <w:tc>
          <w:tcPr>
            <w:tcW w:w="2287" w:type="dxa"/>
            <w:tcBorders>
              <w:top w:val="single" w:sz="4" w:space="0" w:color="000000"/>
              <w:left w:val="nil"/>
              <w:bottom w:val="single" w:sz="4" w:space="0" w:color="000000"/>
              <w:right w:val="nil"/>
            </w:tcBorders>
            <w:shd w:val="clear" w:color="D9D9D9" w:fill="D9D9D9"/>
            <w:noWrap/>
            <w:vAlign w:val="bottom"/>
            <w:hideMark/>
          </w:tcPr>
          <w:p w14:paraId="7BDE3AA3" w14:textId="77777777" w:rsidR="0029150C" w:rsidRPr="00FD0101" w:rsidRDefault="0029150C" w:rsidP="000274E8">
            <w:pPr>
              <w:spacing w:before="6" w:after="6" w:line="288" w:lineRule="auto"/>
              <w:jc w:val="center"/>
              <w:rPr>
                <w:rFonts w:eastAsia="Times New Roman" w:cstheme="minorHAnsi"/>
                <w:color w:val="000000"/>
                <w:sz w:val="20"/>
                <w:szCs w:val="20"/>
                <w:lang w:eastAsia="pl-PL"/>
              </w:rPr>
            </w:pPr>
            <w:r w:rsidRPr="00FD0101">
              <w:rPr>
                <w:rFonts w:eastAsia="Times New Roman" w:cstheme="minorHAnsi"/>
                <w:color w:val="000000"/>
                <w:sz w:val="20"/>
                <w:szCs w:val="20"/>
                <w:lang w:eastAsia="pl-PL"/>
              </w:rPr>
              <w:t>324 300,00</w:t>
            </w:r>
          </w:p>
        </w:tc>
        <w:tc>
          <w:tcPr>
            <w:tcW w:w="1040" w:type="dxa"/>
            <w:tcBorders>
              <w:top w:val="single" w:sz="4" w:space="0" w:color="000000"/>
              <w:left w:val="nil"/>
              <w:bottom w:val="single" w:sz="4" w:space="0" w:color="000000"/>
              <w:right w:val="nil"/>
            </w:tcBorders>
            <w:shd w:val="clear" w:color="D9D9D9" w:fill="D9D9D9"/>
            <w:noWrap/>
            <w:vAlign w:val="bottom"/>
            <w:hideMark/>
          </w:tcPr>
          <w:p w14:paraId="177C6F63" w14:textId="77777777" w:rsidR="0029150C" w:rsidRPr="00FD0101" w:rsidRDefault="0029150C" w:rsidP="000274E8">
            <w:pPr>
              <w:spacing w:before="6" w:after="6" w:line="288" w:lineRule="auto"/>
              <w:jc w:val="center"/>
              <w:rPr>
                <w:rFonts w:eastAsia="Times New Roman" w:cstheme="minorHAnsi"/>
                <w:color w:val="000000"/>
                <w:sz w:val="20"/>
                <w:szCs w:val="20"/>
                <w:lang w:eastAsia="pl-PL"/>
              </w:rPr>
            </w:pPr>
            <w:r w:rsidRPr="00FD0101">
              <w:rPr>
                <w:rFonts w:eastAsia="Times New Roman" w:cstheme="minorHAnsi"/>
                <w:color w:val="000000"/>
                <w:sz w:val="20"/>
                <w:szCs w:val="20"/>
                <w:lang w:eastAsia="pl-PL"/>
              </w:rPr>
              <w:t>3,61%</w:t>
            </w:r>
          </w:p>
        </w:tc>
        <w:tc>
          <w:tcPr>
            <w:tcW w:w="3032" w:type="dxa"/>
            <w:tcBorders>
              <w:top w:val="single" w:sz="4" w:space="0" w:color="000000"/>
              <w:left w:val="nil"/>
              <w:bottom w:val="single" w:sz="4" w:space="0" w:color="000000"/>
              <w:right w:val="single" w:sz="4" w:space="0" w:color="000000"/>
            </w:tcBorders>
            <w:shd w:val="clear" w:color="D9D9D9" w:fill="D9D9D9"/>
            <w:noWrap/>
            <w:vAlign w:val="bottom"/>
            <w:hideMark/>
          </w:tcPr>
          <w:p w14:paraId="1BC9D94C" w14:textId="77777777" w:rsidR="0029150C" w:rsidRPr="00FD0101" w:rsidRDefault="0029150C" w:rsidP="000274E8">
            <w:pPr>
              <w:spacing w:before="6" w:after="6" w:line="288" w:lineRule="auto"/>
              <w:jc w:val="center"/>
              <w:rPr>
                <w:rFonts w:eastAsia="Times New Roman" w:cstheme="minorHAnsi"/>
                <w:color w:val="000000"/>
                <w:sz w:val="20"/>
                <w:szCs w:val="20"/>
                <w:lang w:eastAsia="pl-PL"/>
              </w:rPr>
            </w:pPr>
            <w:r w:rsidRPr="00FD0101">
              <w:rPr>
                <w:rFonts w:eastAsia="Times New Roman" w:cstheme="minorHAnsi"/>
                <w:color w:val="000000"/>
                <w:sz w:val="20"/>
                <w:szCs w:val="20"/>
                <w:lang w:eastAsia="pl-PL"/>
              </w:rPr>
              <w:t>-0,01%</w:t>
            </w:r>
          </w:p>
        </w:tc>
      </w:tr>
      <w:tr w:rsidR="0029150C" w:rsidRPr="008D0C72" w14:paraId="6D73C2FA" w14:textId="77777777" w:rsidTr="008D737D">
        <w:trPr>
          <w:trHeight w:val="290"/>
        </w:trPr>
        <w:tc>
          <w:tcPr>
            <w:tcW w:w="527" w:type="dxa"/>
            <w:tcBorders>
              <w:top w:val="single" w:sz="4" w:space="0" w:color="000000"/>
              <w:left w:val="single" w:sz="4" w:space="0" w:color="000000"/>
              <w:bottom w:val="single" w:sz="4" w:space="0" w:color="000000"/>
              <w:right w:val="nil"/>
            </w:tcBorders>
            <w:shd w:val="clear" w:color="auto" w:fill="auto"/>
            <w:noWrap/>
            <w:vAlign w:val="bottom"/>
            <w:hideMark/>
          </w:tcPr>
          <w:p w14:paraId="44D3AF30" w14:textId="77777777" w:rsidR="0029150C" w:rsidRPr="00FD0101" w:rsidRDefault="0029150C" w:rsidP="000274E8">
            <w:pPr>
              <w:spacing w:before="6" w:after="6" w:line="288" w:lineRule="auto"/>
              <w:jc w:val="both"/>
              <w:rPr>
                <w:rFonts w:eastAsia="Times New Roman" w:cstheme="minorHAnsi"/>
                <w:color w:val="000000"/>
                <w:sz w:val="20"/>
                <w:szCs w:val="20"/>
                <w:lang w:eastAsia="pl-PL"/>
              </w:rPr>
            </w:pPr>
            <w:r w:rsidRPr="00FD0101">
              <w:rPr>
                <w:rFonts w:eastAsia="Times New Roman" w:cstheme="minorHAnsi"/>
                <w:color w:val="000000"/>
                <w:sz w:val="20"/>
                <w:szCs w:val="20"/>
                <w:lang w:eastAsia="pl-PL"/>
              </w:rPr>
              <w:t>8</w:t>
            </w:r>
          </w:p>
        </w:tc>
        <w:tc>
          <w:tcPr>
            <w:tcW w:w="2848" w:type="dxa"/>
            <w:tcBorders>
              <w:top w:val="single" w:sz="4" w:space="0" w:color="000000"/>
              <w:left w:val="nil"/>
              <w:bottom w:val="single" w:sz="4" w:space="0" w:color="000000"/>
              <w:right w:val="nil"/>
            </w:tcBorders>
            <w:shd w:val="clear" w:color="auto" w:fill="auto"/>
            <w:noWrap/>
            <w:vAlign w:val="bottom"/>
            <w:hideMark/>
          </w:tcPr>
          <w:p w14:paraId="07F4A94B" w14:textId="77777777" w:rsidR="0029150C" w:rsidRPr="00FD0101" w:rsidRDefault="0029150C" w:rsidP="000274E8">
            <w:pPr>
              <w:spacing w:before="6" w:after="6" w:line="288" w:lineRule="auto"/>
              <w:jc w:val="both"/>
              <w:rPr>
                <w:rFonts w:eastAsia="Times New Roman" w:cstheme="minorHAnsi"/>
                <w:color w:val="000000"/>
                <w:sz w:val="20"/>
                <w:szCs w:val="20"/>
                <w:lang w:eastAsia="pl-PL"/>
              </w:rPr>
            </w:pPr>
            <w:r w:rsidRPr="00FD0101">
              <w:rPr>
                <w:rFonts w:eastAsia="Times New Roman" w:cstheme="minorHAnsi"/>
                <w:color w:val="000000"/>
                <w:sz w:val="20"/>
                <w:szCs w:val="20"/>
                <w:lang w:eastAsia="pl-PL"/>
              </w:rPr>
              <w:t>TFI Allianz Polska S.A.</w:t>
            </w:r>
          </w:p>
        </w:tc>
        <w:tc>
          <w:tcPr>
            <w:tcW w:w="2287" w:type="dxa"/>
            <w:tcBorders>
              <w:top w:val="single" w:sz="4" w:space="0" w:color="000000"/>
              <w:left w:val="nil"/>
              <w:bottom w:val="single" w:sz="4" w:space="0" w:color="000000"/>
              <w:right w:val="nil"/>
            </w:tcBorders>
            <w:shd w:val="clear" w:color="auto" w:fill="auto"/>
            <w:noWrap/>
            <w:vAlign w:val="bottom"/>
            <w:hideMark/>
          </w:tcPr>
          <w:p w14:paraId="500F6874" w14:textId="77777777" w:rsidR="0029150C" w:rsidRPr="00FD0101" w:rsidRDefault="0029150C" w:rsidP="000274E8">
            <w:pPr>
              <w:spacing w:before="6" w:after="6" w:line="288" w:lineRule="auto"/>
              <w:jc w:val="center"/>
              <w:rPr>
                <w:rFonts w:eastAsia="Times New Roman" w:cstheme="minorHAnsi"/>
                <w:color w:val="000000"/>
                <w:sz w:val="20"/>
                <w:szCs w:val="20"/>
                <w:lang w:eastAsia="pl-PL"/>
              </w:rPr>
            </w:pPr>
            <w:r w:rsidRPr="00FD0101">
              <w:rPr>
                <w:rFonts w:eastAsia="Times New Roman" w:cstheme="minorHAnsi"/>
                <w:color w:val="000000"/>
                <w:sz w:val="20"/>
                <w:szCs w:val="20"/>
                <w:lang w:eastAsia="pl-PL"/>
              </w:rPr>
              <w:t>272 812,55</w:t>
            </w:r>
          </w:p>
        </w:tc>
        <w:tc>
          <w:tcPr>
            <w:tcW w:w="1040" w:type="dxa"/>
            <w:tcBorders>
              <w:top w:val="single" w:sz="4" w:space="0" w:color="000000"/>
              <w:left w:val="nil"/>
              <w:bottom w:val="single" w:sz="4" w:space="0" w:color="000000"/>
              <w:right w:val="nil"/>
            </w:tcBorders>
            <w:shd w:val="clear" w:color="auto" w:fill="auto"/>
            <w:noWrap/>
            <w:vAlign w:val="bottom"/>
            <w:hideMark/>
          </w:tcPr>
          <w:p w14:paraId="7A270B8B" w14:textId="77777777" w:rsidR="0029150C" w:rsidRPr="00FD0101" w:rsidRDefault="0029150C" w:rsidP="000274E8">
            <w:pPr>
              <w:spacing w:before="6" w:after="6" w:line="288" w:lineRule="auto"/>
              <w:jc w:val="center"/>
              <w:rPr>
                <w:rFonts w:eastAsia="Times New Roman" w:cstheme="minorHAnsi"/>
                <w:color w:val="000000"/>
                <w:sz w:val="20"/>
                <w:szCs w:val="20"/>
                <w:lang w:eastAsia="pl-PL"/>
              </w:rPr>
            </w:pPr>
            <w:r w:rsidRPr="00FD0101">
              <w:rPr>
                <w:rFonts w:eastAsia="Times New Roman" w:cstheme="minorHAnsi"/>
                <w:color w:val="000000"/>
                <w:sz w:val="20"/>
                <w:szCs w:val="20"/>
                <w:lang w:eastAsia="pl-PL"/>
              </w:rPr>
              <w:t>3,04%</w:t>
            </w:r>
          </w:p>
        </w:tc>
        <w:tc>
          <w:tcPr>
            <w:tcW w:w="3032" w:type="dxa"/>
            <w:tcBorders>
              <w:top w:val="single" w:sz="4" w:space="0" w:color="000000"/>
              <w:left w:val="nil"/>
              <w:bottom w:val="single" w:sz="4" w:space="0" w:color="000000"/>
              <w:right w:val="single" w:sz="4" w:space="0" w:color="000000"/>
            </w:tcBorders>
            <w:shd w:val="clear" w:color="auto" w:fill="auto"/>
            <w:noWrap/>
            <w:vAlign w:val="bottom"/>
            <w:hideMark/>
          </w:tcPr>
          <w:p w14:paraId="46F2D8CB" w14:textId="77777777" w:rsidR="0029150C" w:rsidRPr="00FD0101" w:rsidRDefault="0029150C" w:rsidP="000274E8">
            <w:pPr>
              <w:spacing w:before="6" w:after="6" w:line="288" w:lineRule="auto"/>
              <w:jc w:val="center"/>
              <w:rPr>
                <w:rFonts w:eastAsia="Times New Roman" w:cstheme="minorHAnsi"/>
                <w:color w:val="000000"/>
                <w:sz w:val="20"/>
                <w:szCs w:val="20"/>
                <w:lang w:eastAsia="pl-PL"/>
              </w:rPr>
            </w:pPr>
            <w:r w:rsidRPr="00FD0101">
              <w:rPr>
                <w:rFonts w:eastAsia="Times New Roman" w:cstheme="minorHAnsi"/>
                <w:color w:val="000000"/>
                <w:sz w:val="20"/>
                <w:szCs w:val="20"/>
                <w:lang w:eastAsia="pl-PL"/>
              </w:rPr>
              <w:t>-0,10%</w:t>
            </w:r>
          </w:p>
        </w:tc>
      </w:tr>
      <w:tr w:rsidR="0029150C" w:rsidRPr="008D0C72" w14:paraId="183025C1" w14:textId="77777777" w:rsidTr="008D737D">
        <w:trPr>
          <w:trHeight w:val="290"/>
        </w:trPr>
        <w:tc>
          <w:tcPr>
            <w:tcW w:w="527" w:type="dxa"/>
            <w:tcBorders>
              <w:top w:val="single" w:sz="4" w:space="0" w:color="000000"/>
              <w:left w:val="single" w:sz="4" w:space="0" w:color="000000"/>
              <w:bottom w:val="single" w:sz="4" w:space="0" w:color="000000"/>
              <w:right w:val="nil"/>
            </w:tcBorders>
            <w:shd w:val="clear" w:color="D9D9D9" w:fill="D9D9D9"/>
            <w:noWrap/>
            <w:vAlign w:val="bottom"/>
            <w:hideMark/>
          </w:tcPr>
          <w:p w14:paraId="0D0BEBDB" w14:textId="77777777" w:rsidR="0029150C" w:rsidRPr="00FD0101" w:rsidRDefault="0029150C" w:rsidP="000274E8">
            <w:pPr>
              <w:spacing w:before="6" w:after="6" w:line="288" w:lineRule="auto"/>
              <w:jc w:val="both"/>
              <w:rPr>
                <w:rFonts w:eastAsia="Times New Roman" w:cstheme="minorHAnsi"/>
                <w:color w:val="000000"/>
                <w:sz w:val="20"/>
                <w:szCs w:val="20"/>
                <w:lang w:eastAsia="pl-PL"/>
              </w:rPr>
            </w:pPr>
            <w:r w:rsidRPr="00FD0101">
              <w:rPr>
                <w:rFonts w:eastAsia="Times New Roman" w:cstheme="minorHAnsi"/>
                <w:color w:val="000000"/>
                <w:sz w:val="20"/>
                <w:szCs w:val="20"/>
                <w:lang w:eastAsia="pl-PL"/>
              </w:rPr>
              <w:t>9</w:t>
            </w:r>
          </w:p>
        </w:tc>
        <w:tc>
          <w:tcPr>
            <w:tcW w:w="2848" w:type="dxa"/>
            <w:tcBorders>
              <w:top w:val="single" w:sz="4" w:space="0" w:color="000000"/>
              <w:left w:val="nil"/>
              <w:bottom w:val="single" w:sz="4" w:space="0" w:color="000000"/>
              <w:right w:val="nil"/>
            </w:tcBorders>
            <w:shd w:val="clear" w:color="D9D9D9" w:fill="D9D9D9"/>
            <w:noWrap/>
            <w:vAlign w:val="bottom"/>
            <w:hideMark/>
          </w:tcPr>
          <w:p w14:paraId="1D63EDED" w14:textId="77777777" w:rsidR="0029150C" w:rsidRPr="00FD0101" w:rsidRDefault="0029150C" w:rsidP="000274E8">
            <w:pPr>
              <w:spacing w:before="6" w:after="6" w:line="288" w:lineRule="auto"/>
              <w:jc w:val="both"/>
              <w:rPr>
                <w:rFonts w:eastAsia="Times New Roman" w:cstheme="minorHAnsi"/>
                <w:color w:val="000000"/>
                <w:sz w:val="20"/>
                <w:szCs w:val="20"/>
                <w:lang w:eastAsia="pl-PL"/>
              </w:rPr>
            </w:pPr>
            <w:r w:rsidRPr="00FD0101">
              <w:rPr>
                <w:rFonts w:eastAsia="Times New Roman" w:cstheme="minorHAnsi"/>
                <w:color w:val="000000"/>
                <w:sz w:val="20"/>
                <w:szCs w:val="20"/>
                <w:lang w:eastAsia="pl-PL"/>
              </w:rPr>
              <w:t>Investors TFI S.A.</w:t>
            </w:r>
          </w:p>
        </w:tc>
        <w:tc>
          <w:tcPr>
            <w:tcW w:w="2287" w:type="dxa"/>
            <w:tcBorders>
              <w:top w:val="single" w:sz="4" w:space="0" w:color="000000"/>
              <w:left w:val="nil"/>
              <w:bottom w:val="single" w:sz="4" w:space="0" w:color="000000"/>
              <w:right w:val="nil"/>
            </w:tcBorders>
            <w:shd w:val="clear" w:color="D9D9D9" w:fill="D9D9D9"/>
            <w:noWrap/>
            <w:vAlign w:val="bottom"/>
            <w:hideMark/>
          </w:tcPr>
          <w:p w14:paraId="1DAB6DDF" w14:textId="77777777" w:rsidR="0029150C" w:rsidRPr="00FD0101" w:rsidRDefault="0029150C" w:rsidP="000274E8">
            <w:pPr>
              <w:spacing w:before="6" w:after="6" w:line="288" w:lineRule="auto"/>
              <w:jc w:val="center"/>
              <w:rPr>
                <w:rFonts w:eastAsia="Times New Roman" w:cstheme="minorHAnsi"/>
                <w:color w:val="000000"/>
                <w:sz w:val="20"/>
                <w:szCs w:val="20"/>
                <w:lang w:eastAsia="pl-PL"/>
              </w:rPr>
            </w:pPr>
            <w:r w:rsidRPr="00FD0101">
              <w:rPr>
                <w:rFonts w:eastAsia="Times New Roman" w:cstheme="minorHAnsi"/>
                <w:color w:val="000000"/>
                <w:sz w:val="20"/>
                <w:szCs w:val="20"/>
                <w:lang w:eastAsia="pl-PL"/>
              </w:rPr>
              <w:t>221 583,58</w:t>
            </w:r>
          </w:p>
        </w:tc>
        <w:tc>
          <w:tcPr>
            <w:tcW w:w="1040" w:type="dxa"/>
            <w:tcBorders>
              <w:top w:val="single" w:sz="4" w:space="0" w:color="000000"/>
              <w:left w:val="nil"/>
              <w:bottom w:val="single" w:sz="4" w:space="0" w:color="000000"/>
              <w:right w:val="nil"/>
            </w:tcBorders>
            <w:shd w:val="clear" w:color="D9D9D9" w:fill="D9D9D9"/>
            <w:noWrap/>
            <w:vAlign w:val="bottom"/>
            <w:hideMark/>
          </w:tcPr>
          <w:p w14:paraId="54A2D682" w14:textId="77777777" w:rsidR="0029150C" w:rsidRPr="00FD0101" w:rsidRDefault="0029150C" w:rsidP="000274E8">
            <w:pPr>
              <w:spacing w:before="6" w:after="6" w:line="288" w:lineRule="auto"/>
              <w:jc w:val="center"/>
              <w:rPr>
                <w:rFonts w:eastAsia="Times New Roman" w:cstheme="minorHAnsi"/>
                <w:color w:val="000000"/>
                <w:sz w:val="20"/>
                <w:szCs w:val="20"/>
                <w:lang w:eastAsia="pl-PL"/>
              </w:rPr>
            </w:pPr>
            <w:r w:rsidRPr="00FD0101">
              <w:rPr>
                <w:rFonts w:eastAsia="Times New Roman" w:cstheme="minorHAnsi"/>
                <w:color w:val="000000"/>
                <w:sz w:val="20"/>
                <w:szCs w:val="20"/>
                <w:lang w:eastAsia="pl-PL"/>
              </w:rPr>
              <w:t>2,47%</w:t>
            </w:r>
          </w:p>
        </w:tc>
        <w:tc>
          <w:tcPr>
            <w:tcW w:w="3032" w:type="dxa"/>
            <w:tcBorders>
              <w:top w:val="single" w:sz="4" w:space="0" w:color="000000"/>
              <w:left w:val="nil"/>
              <w:bottom w:val="single" w:sz="4" w:space="0" w:color="000000"/>
              <w:right w:val="single" w:sz="4" w:space="0" w:color="000000"/>
            </w:tcBorders>
            <w:shd w:val="clear" w:color="D9D9D9" w:fill="D9D9D9"/>
            <w:noWrap/>
            <w:vAlign w:val="bottom"/>
            <w:hideMark/>
          </w:tcPr>
          <w:p w14:paraId="060C128C" w14:textId="77777777" w:rsidR="0029150C" w:rsidRPr="00FD0101" w:rsidRDefault="0029150C" w:rsidP="000274E8">
            <w:pPr>
              <w:spacing w:before="6" w:after="6" w:line="288" w:lineRule="auto"/>
              <w:jc w:val="center"/>
              <w:rPr>
                <w:rFonts w:eastAsia="Times New Roman" w:cstheme="minorHAnsi"/>
                <w:color w:val="000000"/>
                <w:sz w:val="20"/>
                <w:szCs w:val="20"/>
                <w:lang w:eastAsia="pl-PL"/>
              </w:rPr>
            </w:pPr>
            <w:r w:rsidRPr="00FD0101">
              <w:rPr>
                <w:rFonts w:eastAsia="Times New Roman" w:cstheme="minorHAnsi"/>
                <w:color w:val="000000"/>
                <w:sz w:val="20"/>
                <w:szCs w:val="20"/>
                <w:lang w:eastAsia="pl-PL"/>
              </w:rPr>
              <w:t>-0,05%</w:t>
            </w:r>
          </w:p>
        </w:tc>
      </w:tr>
      <w:tr w:rsidR="0029150C" w:rsidRPr="008D0C72" w14:paraId="46E24257" w14:textId="77777777" w:rsidTr="008D737D">
        <w:trPr>
          <w:trHeight w:val="290"/>
        </w:trPr>
        <w:tc>
          <w:tcPr>
            <w:tcW w:w="527" w:type="dxa"/>
            <w:tcBorders>
              <w:top w:val="single" w:sz="4" w:space="0" w:color="000000"/>
              <w:left w:val="single" w:sz="4" w:space="0" w:color="000000"/>
              <w:bottom w:val="single" w:sz="4" w:space="0" w:color="000000"/>
              <w:right w:val="nil"/>
            </w:tcBorders>
            <w:shd w:val="clear" w:color="auto" w:fill="auto"/>
            <w:noWrap/>
            <w:vAlign w:val="bottom"/>
            <w:hideMark/>
          </w:tcPr>
          <w:p w14:paraId="0A252CFE" w14:textId="77777777" w:rsidR="0029150C" w:rsidRPr="00FD0101" w:rsidRDefault="0029150C" w:rsidP="000274E8">
            <w:pPr>
              <w:spacing w:before="6" w:after="6" w:line="288" w:lineRule="auto"/>
              <w:jc w:val="both"/>
              <w:rPr>
                <w:rFonts w:eastAsia="Times New Roman" w:cstheme="minorHAnsi"/>
                <w:color w:val="000000"/>
                <w:sz w:val="20"/>
                <w:szCs w:val="20"/>
                <w:lang w:eastAsia="pl-PL"/>
              </w:rPr>
            </w:pPr>
            <w:r w:rsidRPr="00FD0101">
              <w:rPr>
                <w:rFonts w:eastAsia="Times New Roman" w:cstheme="minorHAnsi"/>
                <w:color w:val="000000"/>
                <w:sz w:val="20"/>
                <w:szCs w:val="20"/>
                <w:lang w:eastAsia="pl-PL"/>
              </w:rPr>
              <w:t>10</w:t>
            </w:r>
          </w:p>
        </w:tc>
        <w:tc>
          <w:tcPr>
            <w:tcW w:w="2848" w:type="dxa"/>
            <w:tcBorders>
              <w:top w:val="single" w:sz="4" w:space="0" w:color="000000"/>
              <w:left w:val="nil"/>
              <w:bottom w:val="single" w:sz="4" w:space="0" w:color="000000"/>
              <w:right w:val="nil"/>
            </w:tcBorders>
            <w:shd w:val="clear" w:color="auto" w:fill="auto"/>
            <w:noWrap/>
            <w:vAlign w:val="bottom"/>
            <w:hideMark/>
          </w:tcPr>
          <w:p w14:paraId="4F3BB183" w14:textId="77777777" w:rsidR="0029150C" w:rsidRPr="00FD0101" w:rsidRDefault="0029150C" w:rsidP="000274E8">
            <w:pPr>
              <w:spacing w:before="6" w:after="6" w:line="288" w:lineRule="auto"/>
              <w:jc w:val="both"/>
              <w:rPr>
                <w:rFonts w:eastAsia="Times New Roman" w:cstheme="minorHAnsi"/>
                <w:color w:val="000000"/>
                <w:sz w:val="20"/>
                <w:szCs w:val="20"/>
                <w:lang w:val="de-CH" w:eastAsia="pl-PL"/>
              </w:rPr>
            </w:pPr>
            <w:r w:rsidRPr="00FD0101">
              <w:rPr>
                <w:rFonts w:eastAsia="Times New Roman" w:cstheme="minorHAnsi"/>
                <w:color w:val="000000"/>
                <w:sz w:val="20"/>
                <w:szCs w:val="20"/>
                <w:lang w:val="de-CH" w:eastAsia="pl-PL"/>
              </w:rPr>
              <w:t>Generali Investments TFI S.A.</w:t>
            </w:r>
          </w:p>
        </w:tc>
        <w:tc>
          <w:tcPr>
            <w:tcW w:w="2287" w:type="dxa"/>
            <w:tcBorders>
              <w:top w:val="single" w:sz="4" w:space="0" w:color="000000"/>
              <w:left w:val="nil"/>
              <w:bottom w:val="single" w:sz="4" w:space="0" w:color="000000"/>
              <w:right w:val="nil"/>
            </w:tcBorders>
            <w:shd w:val="clear" w:color="auto" w:fill="auto"/>
            <w:noWrap/>
            <w:vAlign w:val="bottom"/>
            <w:hideMark/>
          </w:tcPr>
          <w:p w14:paraId="4015D2FE" w14:textId="77777777" w:rsidR="0029150C" w:rsidRPr="00FD0101" w:rsidRDefault="0029150C" w:rsidP="000274E8">
            <w:pPr>
              <w:spacing w:before="6" w:after="6" w:line="288" w:lineRule="auto"/>
              <w:jc w:val="center"/>
              <w:rPr>
                <w:rFonts w:eastAsia="Times New Roman" w:cstheme="minorHAnsi"/>
                <w:color w:val="000000"/>
                <w:sz w:val="20"/>
                <w:szCs w:val="20"/>
                <w:lang w:eastAsia="pl-PL"/>
              </w:rPr>
            </w:pPr>
            <w:r w:rsidRPr="00FD0101">
              <w:rPr>
                <w:rFonts w:eastAsia="Times New Roman" w:cstheme="minorHAnsi"/>
                <w:color w:val="000000"/>
                <w:sz w:val="20"/>
                <w:szCs w:val="20"/>
                <w:lang w:eastAsia="pl-PL"/>
              </w:rPr>
              <w:t>156 521,40</w:t>
            </w:r>
          </w:p>
        </w:tc>
        <w:tc>
          <w:tcPr>
            <w:tcW w:w="1040" w:type="dxa"/>
            <w:tcBorders>
              <w:top w:val="single" w:sz="4" w:space="0" w:color="000000"/>
              <w:left w:val="nil"/>
              <w:bottom w:val="single" w:sz="4" w:space="0" w:color="000000"/>
              <w:right w:val="nil"/>
            </w:tcBorders>
            <w:shd w:val="clear" w:color="auto" w:fill="auto"/>
            <w:noWrap/>
            <w:vAlign w:val="bottom"/>
            <w:hideMark/>
          </w:tcPr>
          <w:p w14:paraId="204C4366" w14:textId="77777777" w:rsidR="0029150C" w:rsidRPr="00FD0101" w:rsidRDefault="0029150C" w:rsidP="000274E8">
            <w:pPr>
              <w:spacing w:before="6" w:after="6" w:line="288" w:lineRule="auto"/>
              <w:jc w:val="center"/>
              <w:rPr>
                <w:rFonts w:eastAsia="Times New Roman" w:cstheme="minorHAnsi"/>
                <w:color w:val="000000"/>
                <w:sz w:val="20"/>
                <w:szCs w:val="20"/>
                <w:lang w:eastAsia="pl-PL"/>
              </w:rPr>
            </w:pPr>
            <w:r w:rsidRPr="00FD0101">
              <w:rPr>
                <w:rFonts w:eastAsia="Times New Roman" w:cstheme="minorHAnsi"/>
                <w:color w:val="000000"/>
                <w:sz w:val="20"/>
                <w:szCs w:val="20"/>
                <w:lang w:eastAsia="pl-PL"/>
              </w:rPr>
              <w:t>1,74%</w:t>
            </w:r>
          </w:p>
        </w:tc>
        <w:tc>
          <w:tcPr>
            <w:tcW w:w="3032" w:type="dxa"/>
            <w:tcBorders>
              <w:top w:val="single" w:sz="4" w:space="0" w:color="000000"/>
              <w:left w:val="nil"/>
              <w:bottom w:val="single" w:sz="4" w:space="0" w:color="000000"/>
              <w:right w:val="single" w:sz="4" w:space="0" w:color="000000"/>
            </w:tcBorders>
            <w:shd w:val="clear" w:color="auto" w:fill="auto"/>
            <w:noWrap/>
            <w:vAlign w:val="bottom"/>
            <w:hideMark/>
          </w:tcPr>
          <w:p w14:paraId="28C273D4" w14:textId="77777777" w:rsidR="0029150C" w:rsidRPr="00FD0101" w:rsidRDefault="0029150C" w:rsidP="000274E8">
            <w:pPr>
              <w:spacing w:before="6" w:after="6" w:line="288" w:lineRule="auto"/>
              <w:jc w:val="center"/>
              <w:rPr>
                <w:rFonts w:eastAsia="Times New Roman" w:cstheme="minorHAnsi"/>
                <w:color w:val="000000"/>
                <w:sz w:val="20"/>
                <w:szCs w:val="20"/>
                <w:lang w:eastAsia="pl-PL"/>
              </w:rPr>
            </w:pPr>
            <w:r w:rsidRPr="00FD0101">
              <w:rPr>
                <w:rFonts w:eastAsia="Times New Roman" w:cstheme="minorHAnsi"/>
                <w:color w:val="000000"/>
                <w:sz w:val="20"/>
                <w:szCs w:val="20"/>
                <w:lang w:eastAsia="pl-PL"/>
              </w:rPr>
              <w:t>0,18%</w:t>
            </w:r>
          </w:p>
        </w:tc>
      </w:tr>
      <w:tr w:rsidR="0029150C" w:rsidRPr="008D0C72" w14:paraId="185871A0" w14:textId="77777777" w:rsidTr="008D737D">
        <w:trPr>
          <w:trHeight w:val="290"/>
        </w:trPr>
        <w:tc>
          <w:tcPr>
            <w:tcW w:w="527" w:type="dxa"/>
            <w:tcBorders>
              <w:top w:val="single" w:sz="4" w:space="0" w:color="000000"/>
              <w:left w:val="single" w:sz="4" w:space="0" w:color="000000"/>
              <w:bottom w:val="single" w:sz="4" w:space="0" w:color="000000"/>
              <w:right w:val="nil"/>
            </w:tcBorders>
            <w:shd w:val="clear" w:color="D9D9D9" w:fill="D9D9D9"/>
            <w:noWrap/>
            <w:vAlign w:val="bottom"/>
            <w:hideMark/>
          </w:tcPr>
          <w:p w14:paraId="7117D187" w14:textId="77777777" w:rsidR="0029150C" w:rsidRPr="00FD0101" w:rsidRDefault="0029150C" w:rsidP="000274E8">
            <w:pPr>
              <w:spacing w:before="6" w:after="6" w:line="288" w:lineRule="auto"/>
              <w:jc w:val="both"/>
              <w:rPr>
                <w:rFonts w:eastAsia="Times New Roman" w:cstheme="minorHAnsi"/>
                <w:color w:val="000000"/>
                <w:sz w:val="20"/>
                <w:szCs w:val="20"/>
                <w:lang w:eastAsia="pl-PL"/>
              </w:rPr>
            </w:pPr>
            <w:r w:rsidRPr="00FD0101">
              <w:rPr>
                <w:rFonts w:eastAsia="Times New Roman" w:cstheme="minorHAnsi"/>
                <w:color w:val="000000"/>
                <w:sz w:val="20"/>
                <w:szCs w:val="20"/>
                <w:lang w:eastAsia="pl-PL"/>
              </w:rPr>
              <w:t>11</w:t>
            </w:r>
          </w:p>
        </w:tc>
        <w:tc>
          <w:tcPr>
            <w:tcW w:w="2848" w:type="dxa"/>
            <w:tcBorders>
              <w:top w:val="single" w:sz="4" w:space="0" w:color="000000"/>
              <w:left w:val="nil"/>
              <w:bottom w:val="single" w:sz="4" w:space="0" w:color="000000"/>
              <w:right w:val="nil"/>
            </w:tcBorders>
            <w:shd w:val="clear" w:color="D9D9D9" w:fill="D9D9D9"/>
            <w:noWrap/>
            <w:vAlign w:val="bottom"/>
            <w:hideMark/>
          </w:tcPr>
          <w:p w14:paraId="39CE24A6" w14:textId="77777777" w:rsidR="0029150C" w:rsidRPr="00FD0101" w:rsidRDefault="0029150C" w:rsidP="000274E8">
            <w:pPr>
              <w:spacing w:before="6" w:after="6" w:line="288" w:lineRule="auto"/>
              <w:jc w:val="both"/>
              <w:rPr>
                <w:rFonts w:eastAsia="Times New Roman" w:cstheme="minorHAnsi"/>
                <w:color w:val="000000"/>
                <w:sz w:val="20"/>
                <w:szCs w:val="20"/>
                <w:lang w:eastAsia="pl-PL"/>
              </w:rPr>
            </w:pPr>
            <w:r w:rsidRPr="00FD0101">
              <w:rPr>
                <w:rFonts w:eastAsia="Times New Roman" w:cstheme="minorHAnsi"/>
                <w:color w:val="000000"/>
                <w:sz w:val="20"/>
                <w:szCs w:val="20"/>
                <w:lang w:eastAsia="pl-PL"/>
              </w:rPr>
              <w:t>Pocztylion-Arka PTE S.A.</w:t>
            </w:r>
          </w:p>
        </w:tc>
        <w:tc>
          <w:tcPr>
            <w:tcW w:w="2287" w:type="dxa"/>
            <w:tcBorders>
              <w:top w:val="single" w:sz="4" w:space="0" w:color="000000"/>
              <w:left w:val="nil"/>
              <w:bottom w:val="single" w:sz="4" w:space="0" w:color="000000"/>
              <w:right w:val="nil"/>
            </w:tcBorders>
            <w:shd w:val="clear" w:color="D9D9D9" w:fill="D9D9D9"/>
            <w:noWrap/>
            <w:vAlign w:val="bottom"/>
            <w:hideMark/>
          </w:tcPr>
          <w:p w14:paraId="3460D0D8" w14:textId="77777777" w:rsidR="0029150C" w:rsidRPr="00FD0101" w:rsidRDefault="0029150C" w:rsidP="000274E8">
            <w:pPr>
              <w:spacing w:before="6" w:after="6" w:line="288" w:lineRule="auto"/>
              <w:jc w:val="center"/>
              <w:rPr>
                <w:rFonts w:eastAsia="Times New Roman" w:cstheme="minorHAnsi"/>
                <w:color w:val="000000"/>
                <w:sz w:val="20"/>
                <w:szCs w:val="20"/>
                <w:lang w:eastAsia="pl-PL"/>
              </w:rPr>
            </w:pPr>
            <w:r w:rsidRPr="00FD0101">
              <w:rPr>
                <w:rFonts w:eastAsia="Times New Roman" w:cstheme="minorHAnsi"/>
                <w:color w:val="000000"/>
                <w:sz w:val="20"/>
                <w:szCs w:val="20"/>
                <w:lang w:eastAsia="pl-PL"/>
              </w:rPr>
              <w:t>152 448,78</w:t>
            </w:r>
          </w:p>
        </w:tc>
        <w:tc>
          <w:tcPr>
            <w:tcW w:w="1040" w:type="dxa"/>
            <w:tcBorders>
              <w:top w:val="single" w:sz="4" w:space="0" w:color="000000"/>
              <w:left w:val="nil"/>
              <w:bottom w:val="single" w:sz="4" w:space="0" w:color="000000"/>
              <w:right w:val="nil"/>
            </w:tcBorders>
            <w:shd w:val="clear" w:color="D9D9D9" w:fill="D9D9D9"/>
            <w:noWrap/>
            <w:vAlign w:val="bottom"/>
            <w:hideMark/>
          </w:tcPr>
          <w:p w14:paraId="0138AE76" w14:textId="77777777" w:rsidR="0029150C" w:rsidRPr="00FD0101" w:rsidRDefault="0029150C" w:rsidP="000274E8">
            <w:pPr>
              <w:spacing w:before="6" w:after="6" w:line="288" w:lineRule="auto"/>
              <w:jc w:val="center"/>
              <w:rPr>
                <w:rFonts w:eastAsia="Times New Roman" w:cstheme="minorHAnsi"/>
                <w:color w:val="000000"/>
                <w:sz w:val="20"/>
                <w:szCs w:val="20"/>
                <w:lang w:eastAsia="pl-PL"/>
              </w:rPr>
            </w:pPr>
            <w:r w:rsidRPr="00FD0101">
              <w:rPr>
                <w:rFonts w:eastAsia="Times New Roman" w:cstheme="minorHAnsi"/>
                <w:color w:val="000000"/>
                <w:sz w:val="20"/>
                <w:szCs w:val="20"/>
                <w:lang w:eastAsia="pl-PL"/>
              </w:rPr>
              <w:t>1,70%</w:t>
            </w:r>
          </w:p>
        </w:tc>
        <w:tc>
          <w:tcPr>
            <w:tcW w:w="3032" w:type="dxa"/>
            <w:tcBorders>
              <w:top w:val="single" w:sz="4" w:space="0" w:color="000000"/>
              <w:left w:val="nil"/>
              <w:bottom w:val="single" w:sz="4" w:space="0" w:color="000000"/>
              <w:right w:val="single" w:sz="4" w:space="0" w:color="000000"/>
            </w:tcBorders>
            <w:shd w:val="clear" w:color="D9D9D9" w:fill="D9D9D9"/>
            <w:noWrap/>
            <w:vAlign w:val="bottom"/>
            <w:hideMark/>
          </w:tcPr>
          <w:p w14:paraId="76899CFC" w14:textId="77777777" w:rsidR="0029150C" w:rsidRPr="00FD0101" w:rsidRDefault="0029150C" w:rsidP="000274E8">
            <w:pPr>
              <w:spacing w:before="6" w:after="6" w:line="288" w:lineRule="auto"/>
              <w:jc w:val="center"/>
              <w:rPr>
                <w:rFonts w:eastAsia="Times New Roman" w:cstheme="minorHAnsi"/>
                <w:color w:val="000000"/>
                <w:sz w:val="20"/>
                <w:szCs w:val="20"/>
                <w:lang w:eastAsia="pl-PL"/>
              </w:rPr>
            </w:pPr>
            <w:r w:rsidRPr="00FD0101">
              <w:rPr>
                <w:rFonts w:eastAsia="Times New Roman" w:cstheme="minorHAnsi"/>
                <w:color w:val="000000"/>
                <w:sz w:val="20"/>
                <w:szCs w:val="20"/>
                <w:lang w:eastAsia="pl-PL"/>
              </w:rPr>
              <w:t>-0,05%</w:t>
            </w:r>
          </w:p>
        </w:tc>
      </w:tr>
      <w:tr w:rsidR="0029150C" w:rsidRPr="008D0C72" w14:paraId="088CF574" w14:textId="77777777" w:rsidTr="008D737D">
        <w:trPr>
          <w:trHeight w:val="290"/>
        </w:trPr>
        <w:tc>
          <w:tcPr>
            <w:tcW w:w="527" w:type="dxa"/>
            <w:tcBorders>
              <w:top w:val="single" w:sz="4" w:space="0" w:color="000000"/>
              <w:left w:val="single" w:sz="4" w:space="0" w:color="000000"/>
              <w:bottom w:val="single" w:sz="4" w:space="0" w:color="000000"/>
              <w:right w:val="nil"/>
            </w:tcBorders>
            <w:shd w:val="clear" w:color="auto" w:fill="auto"/>
            <w:noWrap/>
            <w:vAlign w:val="bottom"/>
            <w:hideMark/>
          </w:tcPr>
          <w:p w14:paraId="140BD2BB" w14:textId="77777777" w:rsidR="0029150C" w:rsidRPr="00FD0101" w:rsidRDefault="0029150C" w:rsidP="000274E8">
            <w:pPr>
              <w:spacing w:before="6" w:after="6" w:line="288" w:lineRule="auto"/>
              <w:jc w:val="both"/>
              <w:rPr>
                <w:rFonts w:eastAsia="Times New Roman" w:cstheme="minorHAnsi"/>
                <w:color w:val="000000"/>
                <w:sz w:val="20"/>
                <w:szCs w:val="20"/>
                <w:lang w:eastAsia="pl-PL"/>
              </w:rPr>
            </w:pPr>
            <w:r w:rsidRPr="00FD0101">
              <w:rPr>
                <w:rFonts w:eastAsia="Times New Roman" w:cstheme="minorHAnsi"/>
                <w:color w:val="000000"/>
                <w:sz w:val="20"/>
                <w:szCs w:val="20"/>
                <w:lang w:eastAsia="pl-PL"/>
              </w:rPr>
              <w:t>12</w:t>
            </w:r>
          </w:p>
        </w:tc>
        <w:tc>
          <w:tcPr>
            <w:tcW w:w="2848" w:type="dxa"/>
            <w:tcBorders>
              <w:top w:val="single" w:sz="4" w:space="0" w:color="000000"/>
              <w:left w:val="nil"/>
              <w:bottom w:val="single" w:sz="4" w:space="0" w:color="000000"/>
              <w:right w:val="nil"/>
            </w:tcBorders>
            <w:shd w:val="clear" w:color="auto" w:fill="auto"/>
            <w:noWrap/>
            <w:vAlign w:val="bottom"/>
            <w:hideMark/>
          </w:tcPr>
          <w:p w14:paraId="24A00DFA" w14:textId="77777777" w:rsidR="0029150C" w:rsidRPr="00FD0101" w:rsidRDefault="0029150C" w:rsidP="000274E8">
            <w:pPr>
              <w:spacing w:before="6" w:after="6" w:line="288" w:lineRule="auto"/>
              <w:jc w:val="both"/>
              <w:rPr>
                <w:rFonts w:eastAsia="Times New Roman" w:cstheme="minorHAnsi"/>
                <w:color w:val="000000"/>
                <w:sz w:val="20"/>
                <w:szCs w:val="20"/>
                <w:lang w:eastAsia="pl-PL"/>
              </w:rPr>
            </w:pPr>
            <w:r w:rsidRPr="00FD0101">
              <w:rPr>
                <w:rFonts w:eastAsia="Times New Roman" w:cstheme="minorHAnsi"/>
                <w:color w:val="000000"/>
                <w:sz w:val="20"/>
                <w:szCs w:val="20"/>
                <w:lang w:eastAsia="pl-PL"/>
              </w:rPr>
              <w:t>Santander TFI S.A.</w:t>
            </w:r>
          </w:p>
        </w:tc>
        <w:tc>
          <w:tcPr>
            <w:tcW w:w="2287" w:type="dxa"/>
            <w:tcBorders>
              <w:top w:val="single" w:sz="4" w:space="0" w:color="000000"/>
              <w:left w:val="nil"/>
              <w:bottom w:val="single" w:sz="4" w:space="0" w:color="000000"/>
              <w:right w:val="nil"/>
            </w:tcBorders>
            <w:shd w:val="clear" w:color="auto" w:fill="auto"/>
            <w:noWrap/>
            <w:vAlign w:val="bottom"/>
            <w:hideMark/>
          </w:tcPr>
          <w:p w14:paraId="2B44F295" w14:textId="77777777" w:rsidR="0029150C" w:rsidRPr="00FD0101" w:rsidRDefault="0029150C" w:rsidP="000274E8">
            <w:pPr>
              <w:spacing w:before="6" w:after="6" w:line="288" w:lineRule="auto"/>
              <w:jc w:val="center"/>
              <w:rPr>
                <w:rFonts w:eastAsia="Times New Roman" w:cstheme="minorHAnsi"/>
                <w:color w:val="000000"/>
                <w:sz w:val="20"/>
                <w:szCs w:val="20"/>
                <w:lang w:eastAsia="pl-PL"/>
              </w:rPr>
            </w:pPr>
            <w:r w:rsidRPr="00FD0101">
              <w:rPr>
                <w:rFonts w:eastAsia="Times New Roman" w:cstheme="minorHAnsi"/>
                <w:color w:val="000000"/>
                <w:sz w:val="20"/>
                <w:szCs w:val="20"/>
                <w:lang w:eastAsia="pl-PL"/>
              </w:rPr>
              <w:t>147 904,36</w:t>
            </w:r>
          </w:p>
        </w:tc>
        <w:tc>
          <w:tcPr>
            <w:tcW w:w="1040" w:type="dxa"/>
            <w:tcBorders>
              <w:top w:val="single" w:sz="4" w:space="0" w:color="000000"/>
              <w:left w:val="nil"/>
              <w:bottom w:val="single" w:sz="4" w:space="0" w:color="000000"/>
              <w:right w:val="nil"/>
            </w:tcBorders>
            <w:shd w:val="clear" w:color="auto" w:fill="auto"/>
            <w:noWrap/>
            <w:vAlign w:val="bottom"/>
            <w:hideMark/>
          </w:tcPr>
          <w:p w14:paraId="0F1B11E7" w14:textId="77777777" w:rsidR="0029150C" w:rsidRPr="00FD0101" w:rsidRDefault="0029150C" w:rsidP="000274E8">
            <w:pPr>
              <w:spacing w:before="6" w:after="6" w:line="288" w:lineRule="auto"/>
              <w:jc w:val="center"/>
              <w:rPr>
                <w:rFonts w:eastAsia="Times New Roman" w:cstheme="minorHAnsi"/>
                <w:color w:val="000000"/>
                <w:sz w:val="20"/>
                <w:szCs w:val="20"/>
                <w:lang w:eastAsia="pl-PL"/>
              </w:rPr>
            </w:pPr>
            <w:r w:rsidRPr="00FD0101">
              <w:rPr>
                <w:rFonts w:eastAsia="Times New Roman" w:cstheme="minorHAnsi"/>
                <w:color w:val="000000"/>
                <w:sz w:val="20"/>
                <w:szCs w:val="20"/>
                <w:lang w:eastAsia="pl-PL"/>
              </w:rPr>
              <w:t>1,65%</w:t>
            </w:r>
          </w:p>
        </w:tc>
        <w:tc>
          <w:tcPr>
            <w:tcW w:w="3032" w:type="dxa"/>
            <w:tcBorders>
              <w:top w:val="single" w:sz="4" w:space="0" w:color="000000"/>
              <w:left w:val="nil"/>
              <w:bottom w:val="single" w:sz="4" w:space="0" w:color="000000"/>
              <w:right w:val="single" w:sz="4" w:space="0" w:color="000000"/>
            </w:tcBorders>
            <w:shd w:val="clear" w:color="auto" w:fill="auto"/>
            <w:noWrap/>
            <w:vAlign w:val="bottom"/>
            <w:hideMark/>
          </w:tcPr>
          <w:p w14:paraId="1C8A813E" w14:textId="77777777" w:rsidR="0029150C" w:rsidRPr="00FD0101" w:rsidRDefault="0029150C" w:rsidP="000274E8">
            <w:pPr>
              <w:spacing w:before="6" w:after="6" w:line="288" w:lineRule="auto"/>
              <w:jc w:val="center"/>
              <w:rPr>
                <w:rFonts w:eastAsia="Times New Roman" w:cstheme="minorHAnsi"/>
                <w:color w:val="000000"/>
                <w:sz w:val="20"/>
                <w:szCs w:val="20"/>
                <w:lang w:eastAsia="pl-PL"/>
              </w:rPr>
            </w:pPr>
            <w:r w:rsidRPr="00FD0101">
              <w:rPr>
                <w:rFonts w:eastAsia="Times New Roman" w:cstheme="minorHAnsi"/>
                <w:color w:val="000000"/>
                <w:sz w:val="20"/>
                <w:szCs w:val="20"/>
                <w:lang w:eastAsia="pl-PL"/>
              </w:rPr>
              <w:t>-0,02%</w:t>
            </w:r>
          </w:p>
        </w:tc>
      </w:tr>
      <w:tr w:rsidR="0029150C" w:rsidRPr="008D0C72" w14:paraId="6067CBA8" w14:textId="77777777" w:rsidTr="008D737D">
        <w:trPr>
          <w:trHeight w:val="290"/>
        </w:trPr>
        <w:tc>
          <w:tcPr>
            <w:tcW w:w="527" w:type="dxa"/>
            <w:tcBorders>
              <w:top w:val="single" w:sz="4" w:space="0" w:color="000000"/>
              <w:left w:val="single" w:sz="4" w:space="0" w:color="000000"/>
              <w:bottom w:val="single" w:sz="4" w:space="0" w:color="000000"/>
              <w:right w:val="nil"/>
            </w:tcBorders>
            <w:shd w:val="clear" w:color="D9D9D9" w:fill="D9D9D9"/>
            <w:noWrap/>
            <w:vAlign w:val="bottom"/>
            <w:hideMark/>
          </w:tcPr>
          <w:p w14:paraId="22B11306" w14:textId="77777777" w:rsidR="0029150C" w:rsidRPr="00FD0101" w:rsidRDefault="0029150C" w:rsidP="000274E8">
            <w:pPr>
              <w:spacing w:before="6" w:after="6" w:line="288" w:lineRule="auto"/>
              <w:jc w:val="both"/>
              <w:rPr>
                <w:rFonts w:eastAsia="Times New Roman" w:cstheme="minorHAnsi"/>
                <w:color w:val="000000"/>
                <w:sz w:val="20"/>
                <w:szCs w:val="20"/>
                <w:lang w:eastAsia="pl-PL"/>
              </w:rPr>
            </w:pPr>
            <w:r w:rsidRPr="00FD0101">
              <w:rPr>
                <w:rFonts w:eastAsia="Times New Roman" w:cstheme="minorHAnsi"/>
                <w:color w:val="000000"/>
                <w:sz w:val="20"/>
                <w:szCs w:val="20"/>
                <w:lang w:eastAsia="pl-PL"/>
              </w:rPr>
              <w:t>13</w:t>
            </w:r>
          </w:p>
        </w:tc>
        <w:tc>
          <w:tcPr>
            <w:tcW w:w="2848" w:type="dxa"/>
            <w:tcBorders>
              <w:top w:val="single" w:sz="4" w:space="0" w:color="000000"/>
              <w:left w:val="nil"/>
              <w:bottom w:val="single" w:sz="4" w:space="0" w:color="000000"/>
              <w:right w:val="nil"/>
            </w:tcBorders>
            <w:shd w:val="clear" w:color="D9D9D9" w:fill="D9D9D9"/>
            <w:noWrap/>
            <w:vAlign w:val="bottom"/>
            <w:hideMark/>
          </w:tcPr>
          <w:p w14:paraId="7E338346" w14:textId="77777777" w:rsidR="0029150C" w:rsidRPr="00FD0101" w:rsidRDefault="0029150C" w:rsidP="000274E8">
            <w:pPr>
              <w:spacing w:before="6" w:after="6" w:line="288" w:lineRule="auto"/>
              <w:jc w:val="both"/>
              <w:rPr>
                <w:rFonts w:eastAsia="Times New Roman" w:cstheme="minorHAnsi"/>
                <w:color w:val="000000"/>
                <w:sz w:val="20"/>
                <w:szCs w:val="20"/>
                <w:lang w:eastAsia="pl-PL"/>
              </w:rPr>
            </w:pPr>
            <w:r w:rsidRPr="00FD0101">
              <w:rPr>
                <w:rFonts w:eastAsia="Times New Roman" w:cstheme="minorHAnsi"/>
                <w:color w:val="000000"/>
                <w:sz w:val="20"/>
                <w:szCs w:val="20"/>
                <w:lang w:eastAsia="pl-PL"/>
              </w:rPr>
              <w:t>BNP Paribas TFI S.A.</w:t>
            </w:r>
          </w:p>
        </w:tc>
        <w:tc>
          <w:tcPr>
            <w:tcW w:w="2287" w:type="dxa"/>
            <w:tcBorders>
              <w:top w:val="single" w:sz="4" w:space="0" w:color="000000"/>
              <w:left w:val="nil"/>
              <w:bottom w:val="single" w:sz="4" w:space="0" w:color="000000"/>
              <w:right w:val="nil"/>
            </w:tcBorders>
            <w:shd w:val="clear" w:color="D9D9D9" w:fill="D9D9D9"/>
            <w:noWrap/>
            <w:vAlign w:val="bottom"/>
            <w:hideMark/>
          </w:tcPr>
          <w:p w14:paraId="19401A2E" w14:textId="77777777" w:rsidR="0029150C" w:rsidRPr="00FD0101" w:rsidRDefault="0029150C" w:rsidP="000274E8">
            <w:pPr>
              <w:spacing w:before="6" w:after="6" w:line="288" w:lineRule="auto"/>
              <w:jc w:val="center"/>
              <w:rPr>
                <w:rFonts w:eastAsia="Times New Roman" w:cstheme="minorHAnsi"/>
                <w:color w:val="000000"/>
                <w:sz w:val="20"/>
                <w:szCs w:val="20"/>
                <w:lang w:eastAsia="pl-PL"/>
              </w:rPr>
            </w:pPr>
            <w:r w:rsidRPr="00FD0101">
              <w:rPr>
                <w:rFonts w:eastAsia="Times New Roman" w:cstheme="minorHAnsi"/>
                <w:color w:val="000000"/>
                <w:sz w:val="20"/>
                <w:szCs w:val="20"/>
                <w:lang w:eastAsia="pl-PL"/>
              </w:rPr>
              <w:t>134 369,29</w:t>
            </w:r>
          </w:p>
        </w:tc>
        <w:tc>
          <w:tcPr>
            <w:tcW w:w="1040" w:type="dxa"/>
            <w:tcBorders>
              <w:top w:val="single" w:sz="4" w:space="0" w:color="000000"/>
              <w:left w:val="nil"/>
              <w:bottom w:val="single" w:sz="4" w:space="0" w:color="000000"/>
              <w:right w:val="nil"/>
            </w:tcBorders>
            <w:shd w:val="clear" w:color="D9D9D9" w:fill="D9D9D9"/>
            <w:noWrap/>
            <w:vAlign w:val="bottom"/>
            <w:hideMark/>
          </w:tcPr>
          <w:p w14:paraId="4B391307" w14:textId="77777777" w:rsidR="0029150C" w:rsidRPr="00FD0101" w:rsidRDefault="0029150C" w:rsidP="000274E8">
            <w:pPr>
              <w:spacing w:before="6" w:after="6" w:line="288" w:lineRule="auto"/>
              <w:jc w:val="center"/>
              <w:rPr>
                <w:rFonts w:eastAsia="Times New Roman" w:cstheme="minorHAnsi"/>
                <w:color w:val="000000"/>
                <w:sz w:val="20"/>
                <w:szCs w:val="20"/>
                <w:lang w:eastAsia="pl-PL"/>
              </w:rPr>
            </w:pPr>
            <w:r w:rsidRPr="00FD0101">
              <w:rPr>
                <w:rFonts w:eastAsia="Times New Roman" w:cstheme="minorHAnsi"/>
                <w:color w:val="000000"/>
                <w:sz w:val="20"/>
                <w:szCs w:val="20"/>
                <w:lang w:eastAsia="pl-PL"/>
              </w:rPr>
              <w:t>1,50%</w:t>
            </w:r>
          </w:p>
        </w:tc>
        <w:tc>
          <w:tcPr>
            <w:tcW w:w="3032" w:type="dxa"/>
            <w:tcBorders>
              <w:top w:val="single" w:sz="4" w:space="0" w:color="000000"/>
              <w:left w:val="nil"/>
              <w:bottom w:val="single" w:sz="4" w:space="0" w:color="000000"/>
              <w:right w:val="single" w:sz="4" w:space="0" w:color="000000"/>
            </w:tcBorders>
            <w:shd w:val="clear" w:color="D9D9D9" w:fill="D9D9D9"/>
            <w:noWrap/>
            <w:vAlign w:val="bottom"/>
            <w:hideMark/>
          </w:tcPr>
          <w:p w14:paraId="679BD5D9" w14:textId="77777777" w:rsidR="0029150C" w:rsidRPr="00FD0101" w:rsidRDefault="0029150C" w:rsidP="000274E8">
            <w:pPr>
              <w:spacing w:before="6" w:after="6" w:line="288" w:lineRule="auto"/>
              <w:jc w:val="center"/>
              <w:rPr>
                <w:rFonts w:eastAsia="Times New Roman" w:cstheme="minorHAnsi"/>
                <w:color w:val="000000"/>
                <w:sz w:val="20"/>
                <w:szCs w:val="20"/>
                <w:lang w:eastAsia="pl-PL"/>
              </w:rPr>
            </w:pPr>
            <w:r w:rsidRPr="00FD0101">
              <w:rPr>
                <w:rFonts w:eastAsia="Times New Roman" w:cstheme="minorHAnsi"/>
                <w:color w:val="000000"/>
                <w:sz w:val="20"/>
                <w:szCs w:val="20"/>
                <w:lang w:eastAsia="pl-PL"/>
              </w:rPr>
              <w:t>0,00%</w:t>
            </w:r>
          </w:p>
        </w:tc>
      </w:tr>
      <w:tr w:rsidR="0029150C" w:rsidRPr="008D0C72" w14:paraId="730498C1" w14:textId="77777777" w:rsidTr="008D737D">
        <w:trPr>
          <w:trHeight w:val="290"/>
        </w:trPr>
        <w:tc>
          <w:tcPr>
            <w:tcW w:w="527" w:type="dxa"/>
            <w:tcBorders>
              <w:top w:val="single" w:sz="4" w:space="0" w:color="000000"/>
              <w:left w:val="single" w:sz="4" w:space="0" w:color="000000"/>
              <w:bottom w:val="single" w:sz="4" w:space="0" w:color="000000"/>
              <w:right w:val="nil"/>
            </w:tcBorders>
            <w:shd w:val="clear" w:color="auto" w:fill="auto"/>
            <w:noWrap/>
            <w:vAlign w:val="bottom"/>
            <w:hideMark/>
          </w:tcPr>
          <w:p w14:paraId="08FCE678" w14:textId="77777777" w:rsidR="0029150C" w:rsidRPr="00FD0101" w:rsidRDefault="0029150C" w:rsidP="000274E8">
            <w:pPr>
              <w:spacing w:before="6" w:after="6" w:line="288" w:lineRule="auto"/>
              <w:jc w:val="both"/>
              <w:rPr>
                <w:rFonts w:eastAsia="Times New Roman" w:cstheme="minorHAnsi"/>
                <w:color w:val="000000"/>
                <w:sz w:val="20"/>
                <w:szCs w:val="20"/>
                <w:lang w:eastAsia="pl-PL"/>
              </w:rPr>
            </w:pPr>
            <w:r w:rsidRPr="00FD0101">
              <w:rPr>
                <w:rFonts w:eastAsia="Times New Roman" w:cstheme="minorHAnsi"/>
                <w:color w:val="000000"/>
                <w:sz w:val="20"/>
                <w:szCs w:val="20"/>
                <w:lang w:eastAsia="pl-PL"/>
              </w:rPr>
              <w:t>14</w:t>
            </w:r>
          </w:p>
        </w:tc>
        <w:tc>
          <w:tcPr>
            <w:tcW w:w="2848" w:type="dxa"/>
            <w:tcBorders>
              <w:top w:val="single" w:sz="4" w:space="0" w:color="000000"/>
              <w:left w:val="nil"/>
              <w:bottom w:val="single" w:sz="4" w:space="0" w:color="000000"/>
              <w:right w:val="nil"/>
            </w:tcBorders>
            <w:shd w:val="clear" w:color="auto" w:fill="auto"/>
            <w:noWrap/>
            <w:vAlign w:val="bottom"/>
            <w:hideMark/>
          </w:tcPr>
          <w:p w14:paraId="6922356D" w14:textId="77777777" w:rsidR="0029150C" w:rsidRPr="00FD0101" w:rsidRDefault="0029150C" w:rsidP="000274E8">
            <w:pPr>
              <w:spacing w:before="6" w:after="6" w:line="288" w:lineRule="auto"/>
              <w:jc w:val="both"/>
              <w:rPr>
                <w:rFonts w:eastAsia="Times New Roman" w:cstheme="minorHAnsi"/>
                <w:color w:val="000000"/>
                <w:sz w:val="20"/>
                <w:szCs w:val="20"/>
                <w:lang w:eastAsia="pl-PL"/>
              </w:rPr>
            </w:pPr>
            <w:r w:rsidRPr="00FD0101">
              <w:rPr>
                <w:rFonts w:eastAsia="Times New Roman" w:cstheme="minorHAnsi"/>
                <w:color w:val="000000"/>
                <w:sz w:val="20"/>
                <w:szCs w:val="20"/>
                <w:lang w:eastAsia="pl-PL"/>
              </w:rPr>
              <w:t>Esaliens TFI S.A.</w:t>
            </w:r>
          </w:p>
        </w:tc>
        <w:tc>
          <w:tcPr>
            <w:tcW w:w="2287" w:type="dxa"/>
            <w:tcBorders>
              <w:top w:val="single" w:sz="4" w:space="0" w:color="000000"/>
              <w:left w:val="nil"/>
              <w:bottom w:val="single" w:sz="4" w:space="0" w:color="000000"/>
              <w:right w:val="nil"/>
            </w:tcBorders>
            <w:shd w:val="clear" w:color="auto" w:fill="auto"/>
            <w:noWrap/>
            <w:vAlign w:val="bottom"/>
            <w:hideMark/>
          </w:tcPr>
          <w:p w14:paraId="60687A67" w14:textId="77777777" w:rsidR="0029150C" w:rsidRPr="00FD0101" w:rsidRDefault="0029150C" w:rsidP="000274E8">
            <w:pPr>
              <w:spacing w:before="6" w:after="6" w:line="288" w:lineRule="auto"/>
              <w:jc w:val="center"/>
              <w:rPr>
                <w:rFonts w:eastAsia="Times New Roman" w:cstheme="minorHAnsi"/>
                <w:color w:val="000000"/>
                <w:sz w:val="20"/>
                <w:szCs w:val="20"/>
                <w:lang w:eastAsia="pl-PL"/>
              </w:rPr>
            </w:pPr>
            <w:r w:rsidRPr="00FD0101">
              <w:rPr>
                <w:rFonts w:eastAsia="Times New Roman" w:cstheme="minorHAnsi"/>
                <w:color w:val="000000"/>
                <w:sz w:val="20"/>
                <w:szCs w:val="20"/>
                <w:lang w:eastAsia="pl-PL"/>
              </w:rPr>
              <w:t>128 012,51</w:t>
            </w:r>
          </w:p>
        </w:tc>
        <w:tc>
          <w:tcPr>
            <w:tcW w:w="1040" w:type="dxa"/>
            <w:tcBorders>
              <w:top w:val="single" w:sz="4" w:space="0" w:color="000000"/>
              <w:left w:val="nil"/>
              <w:bottom w:val="single" w:sz="4" w:space="0" w:color="000000"/>
              <w:right w:val="nil"/>
            </w:tcBorders>
            <w:shd w:val="clear" w:color="auto" w:fill="auto"/>
            <w:noWrap/>
            <w:vAlign w:val="bottom"/>
            <w:hideMark/>
          </w:tcPr>
          <w:p w14:paraId="232C9929" w14:textId="77777777" w:rsidR="0029150C" w:rsidRPr="00FD0101" w:rsidRDefault="0029150C" w:rsidP="000274E8">
            <w:pPr>
              <w:spacing w:before="6" w:after="6" w:line="288" w:lineRule="auto"/>
              <w:jc w:val="center"/>
              <w:rPr>
                <w:rFonts w:eastAsia="Times New Roman" w:cstheme="minorHAnsi"/>
                <w:color w:val="000000"/>
                <w:sz w:val="20"/>
                <w:szCs w:val="20"/>
                <w:lang w:eastAsia="pl-PL"/>
              </w:rPr>
            </w:pPr>
            <w:r w:rsidRPr="00FD0101">
              <w:rPr>
                <w:rFonts w:eastAsia="Times New Roman" w:cstheme="minorHAnsi"/>
                <w:color w:val="000000"/>
                <w:sz w:val="20"/>
                <w:szCs w:val="20"/>
                <w:lang w:eastAsia="pl-PL"/>
              </w:rPr>
              <w:t>1,43%</w:t>
            </w:r>
          </w:p>
        </w:tc>
        <w:tc>
          <w:tcPr>
            <w:tcW w:w="3032" w:type="dxa"/>
            <w:tcBorders>
              <w:top w:val="single" w:sz="4" w:space="0" w:color="000000"/>
              <w:left w:val="nil"/>
              <w:bottom w:val="single" w:sz="4" w:space="0" w:color="000000"/>
              <w:right w:val="single" w:sz="4" w:space="0" w:color="000000"/>
            </w:tcBorders>
            <w:shd w:val="clear" w:color="auto" w:fill="auto"/>
            <w:noWrap/>
            <w:vAlign w:val="bottom"/>
            <w:hideMark/>
          </w:tcPr>
          <w:p w14:paraId="00FC8846" w14:textId="77777777" w:rsidR="0029150C" w:rsidRPr="00FD0101" w:rsidRDefault="0029150C" w:rsidP="000274E8">
            <w:pPr>
              <w:spacing w:before="6" w:after="6" w:line="288" w:lineRule="auto"/>
              <w:jc w:val="center"/>
              <w:rPr>
                <w:rFonts w:eastAsia="Times New Roman" w:cstheme="minorHAnsi"/>
                <w:color w:val="000000"/>
                <w:sz w:val="20"/>
                <w:szCs w:val="20"/>
                <w:lang w:eastAsia="pl-PL"/>
              </w:rPr>
            </w:pPr>
            <w:r w:rsidRPr="00FD0101">
              <w:rPr>
                <w:rFonts w:eastAsia="Times New Roman" w:cstheme="minorHAnsi"/>
                <w:color w:val="000000"/>
                <w:sz w:val="20"/>
                <w:szCs w:val="20"/>
                <w:lang w:eastAsia="pl-PL"/>
              </w:rPr>
              <w:t>0,01%</w:t>
            </w:r>
          </w:p>
        </w:tc>
      </w:tr>
      <w:tr w:rsidR="0029150C" w:rsidRPr="008D0C72" w14:paraId="7AA28591" w14:textId="77777777" w:rsidTr="008D737D">
        <w:trPr>
          <w:trHeight w:val="290"/>
        </w:trPr>
        <w:tc>
          <w:tcPr>
            <w:tcW w:w="527" w:type="dxa"/>
            <w:tcBorders>
              <w:top w:val="single" w:sz="4" w:space="0" w:color="000000"/>
              <w:left w:val="single" w:sz="4" w:space="0" w:color="000000"/>
              <w:bottom w:val="single" w:sz="4" w:space="0" w:color="000000"/>
              <w:right w:val="nil"/>
            </w:tcBorders>
            <w:shd w:val="clear" w:color="D9D9D9" w:fill="D9D9D9"/>
            <w:noWrap/>
            <w:vAlign w:val="bottom"/>
            <w:hideMark/>
          </w:tcPr>
          <w:p w14:paraId="12650E37" w14:textId="77777777" w:rsidR="0029150C" w:rsidRPr="00FD0101" w:rsidRDefault="0029150C" w:rsidP="000274E8">
            <w:pPr>
              <w:spacing w:before="6" w:after="6" w:line="288" w:lineRule="auto"/>
              <w:jc w:val="both"/>
              <w:rPr>
                <w:rFonts w:eastAsia="Times New Roman" w:cstheme="minorHAnsi"/>
                <w:color w:val="000000"/>
                <w:sz w:val="20"/>
                <w:szCs w:val="20"/>
                <w:lang w:eastAsia="pl-PL"/>
              </w:rPr>
            </w:pPr>
            <w:r w:rsidRPr="00FD0101">
              <w:rPr>
                <w:rFonts w:eastAsia="Times New Roman" w:cstheme="minorHAnsi"/>
                <w:color w:val="000000"/>
                <w:sz w:val="20"/>
                <w:szCs w:val="20"/>
                <w:lang w:eastAsia="pl-PL"/>
              </w:rPr>
              <w:t>15</w:t>
            </w:r>
          </w:p>
        </w:tc>
        <w:tc>
          <w:tcPr>
            <w:tcW w:w="2848" w:type="dxa"/>
            <w:tcBorders>
              <w:top w:val="single" w:sz="4" w:space="0" w:color="000000"/>
              <w:left w:val="nil"/>
              <w:bottom w:val="single" w:sz="4" w:space="0" w:color="000000"/>
              <w:right w:val="nil"/>
            </w:tcBorders>
            <w:shd w:val="clear" w:color="D9D9D9" w:fill="D9D9D9"/>
            <w:noWrap/>
            <w:vAlign w:val="bottom"/>
            <w:hideMark/>
          </w:tcPr>
          <w:p w14:paraId="49DF1ACA" w14:textId="77777777" w:rsidR="0029150C" w:rsidRPr="00FD0101" w:rsidRDefault="0029150C" w:rsidP="000274E8">
            <w:pPr>
              <w:spacing w:before="6" w:after="6" w:line="288" w:lineRule="auto"/>
              <w:jc w:val="both"/>
              <w:rPr>
                <w:rFonts w:eastAsia="Times New Roman" w:cstheme="minorHAnsi"/>
                <w:color w:val="000000"/>
                <w:sz w:val="20"/>
                <w:szCs w:val="20"/>
                <w:lang w:eastAsia="pl-PL"/>
              </w:rPr>
            </w:pPr>
            <w:r w:rsidRPr="00FD0101">
              <w:rPr>
                <w:rFonts w:eastAsia="Times New Roman" w:cstheme="minorHAnsi"/>
                <w:color w:val="000000"/>
                <w:sz w:val="20"/>
                <w:szCs w:val="20"/>
                <w:lang w:eastAsia="pl-PL"/>
              </w:rPr>
              <w:t>COMPENSA TUnŻ S.A.</w:t>
            </w:r>
          </w:p>
        </w:tc>
        <w:tc>
          <w:tcPr>
            <w:tcW w:w="2287" w:type="dxa"/>
            <w:tcBorders>
              <w:top w:val="single" w:sz="4" w:space="0" w:color="000000"/>
              <w:left w:val="nil"/>
              <w:bottom w:val="single" w:sz="4" w:space="0" w:color="000000"/>
              <w:right w:val="nil"/>
            </w:tcBorders>
            <w:shd w:val="clear" w:color="D9D9D9" w:fill="D9D9D9"/>
            <w:noWrap/>
            <w:vAlign w:val="bottom"/>
            <w:hideMark/>
          </w:tcPr>
          <w:p w14:paraId="0F1383D0" w14:textId="77777777" w:rsidR="0029150C" w:rsidRPr="00FD0101" w:rsidRDefault="0029150C" w:rsidP="000274E8">
            <w:pPr>
              <w:spacing w:before="6" w:after="6" w:line="288" w:lineRule="auto"/>
              <w:jc w:val="center"/>
              <w:rPr>
                <w:rFonts w:eastAsia="Times New Roman" w:cstheme="minorHAnsi"/>
                <w:color w:val="000000"/>
                <w:sz w:val="20"/>
                <w:szCs w:val="20"/>
                <w:lang w:eastAsia="pl-PL"/>
              </w:rPr>
            </w:pPr>
            <w:r w:rsidRPr="00FD0101">
              <w:rPr>
                <w:rFonts w:eastAsia="Times New Roman" w:cstheme="minorHAnsi"/>
                <w:color w:val="000000"/>
                <w:sz w:val="20"/>
                <w:szCs w:val="20"/>
                <w:lang w:eastAsia="pl-PL"/>
              </w:rPr>
              <w:t>94 982,14</w:t>
            </w:r>
          </w:p>
        </w:tc>
        <w:tc>
          <w:tcPr>
            <w:tcW w:w="1040" w:type="dxa"/>
            <w:tcBorders>
              <w:top w:val="single" w:sz="4" w:space="0" w:color="000000"/>
              <w:left w:val="nil"/>
              <w:bottom w:val="single" w:sz="4" w:space="0" w:color="000000"/>
              <w:right w:val="nil"/>
            </w:tcBorders>
            <w:shd w:val="clear" w:color="D9D9D9" w:fill="D9D9D9"/>
            <w:noWrap/>
            <w:vAlign w:val="bottom"/>
            <w:hideMark/>
          </w:tcPr>
          <w:p w14:paraId="7AB48086" w14:textId="77777777" w:rsidR="0029150C" w:rsidRPr="00FD0101" w:rsidRDefault="0029150C" w:rsidP="000274E8">
            <w:pPr>
              <w:spacing w:before="6" w:after="6" w:line="288" w:lineRule="auto"/>
              <w:jc w:val="center"/>
              <w:rPr>
                <w:rFonts w:eastAsia="Times New Roman" w:cstheme="minorHAnsi"/>
                <w:color w:val="000000"/>
                <w:sz w:val="20"/>
                <w:szCs w:val="20"/>
                <w:lang w:eastAsia="pl-PL"/>
              </w:rPr>
            </w:pPr>
            <w:r w:rsidRPr="00FD0101">
              <w:rPr>
                <w:rFonts w:eastAsia="Times New Roman" w:cstheme="minorHAnsi"/>
                <w:color w:val="000000"/>
                <w:sz w:val="20"/>
                <w:szCs w:val="20"/>
                <w:lang w:eastAsia="pl-PL"/>
              </w:rPr>
              <w:t>1,06%</w:t>
            </w:r>
          </w:p>
        </w:tc>
        <w:tc>
          <w:tcPr>
            <w:tcW w:w="3032" w:type="dxa"/>
            <w:tcBorders>
              <w:top w:val="single" w:sz="4" w:space="0" w:color="000000"/>
              <w:left w:val="nil"/>
              <w:bottom w:val="single" w:sz="4" w:space="0" w:color="000000"/>
              <w:right w:val="single" w:sz="4" w:space="0" w:color="000000"/>
            </w:tcBorders>
            <w:shd w:val="clear" w:color="D9D9D9" w:fill="D9D9D9"/>
            <w:noWrap/>
            <w:vAlign w:val="bottom"/>
            <w:hideMark/>
          </w:tcPr>
          <w:p w14:paraId="79B39D32" w14:textId="77777777" w:rsidR="0029150C" w:rsidRPr="00FD0101" w:rsidRDefault="0029150C" w:rsidP="000274E8">
            <w:pPr>
              <w:spacing w:before="6" w:after="6" w:line="288" w:lineRule="auto"/>
              <w:jc w:val="center"/>
              <w:rPr>
                <w:rFonts w:eastAsia="Times New Roman" w:cstheme="minorHAnsi"/>
                <w:color w:val="000000"/>
                <w:sz w:val="20"/>
                <w:szCs w:val="20"/>
                <w:lang w:eastAsia="pl-PL"/>
              </w:rPr>
            </w:pPr>
            <w:r w:rsidRPr="00FD0101">
              <w:rPr>
                <w:rFonts w:eastAsia="Times New Roman" w:cstheme="minorHAnsi"/>
                <w:color w:val="000000"/>
                <w:sz w:val="20"/>
                <w:szCs w:val="20"/>
                <w:lang w:eastAsia="pl-PL"/>
              </w:rPr>
              <w:t>-0,02%</w:t>
            </w:r>
          </w:p>
        </w:tc>
      </w:tr>
      <w:tr w:rsidR="0029150C" w:rsidRPr="008D0C72" w14:paraId="3499B6FF" w14:textId="77777777" w:rsidTr="008D737D">
        <w:trPr>
          <w:trHeight w:val="290"/>
        </w:trPr>
        <w:tc>
          <w:tcPr>
            <w:tcW w:w="527" w:type="dxa"/>
            <w:tcBorders>
              <w:top w:val="single" w:sz="4" w:space="0" w:color="000000"/>
              <w:left w:val="single" w:sz="4" w:space="0" w:color="000000"/>
              <w:bottom w:val="single" w:sz="4" w:space="0" w:color="000000"/>
              <w:right w:val="nil"/>
            </w:tcBorders>
            <w:shd w:val="clear" w:color="auto" w:fill="auto"/>
            <w:noWrap/>
            <w:vAlign w:val="bottom"/>
            <w:hideMark/>
          </w:tcPr>
          <w:p w14:paraId="47EAF600" w14:textId="77777777" w:rsidR="0029150C" w:rsidRPr="00FD0101" w:rsidRDefault="0029150C" w:rsidP="000274E8">
            <w:pPr>
              <w:spacing w:before="6" w:after="6" w:line="288" w:lineRule="auto"/>
              <w:jc w:val="both"/>
              <w:rPr>
                <w:rFonts w:eastAsia="Times New Roman" w:cstheme="minorHAnsi"/>
                <w:color w:val="000000"/>
                <w:sz w:val="20"/>
                <w:szCs w:val="20"/>
                <w:lang w:eastAsia="pl-PL"/>
              </w:rPr>
            </w:pPr>
            <w:r w:rsidRPr="00FD0101">
              <w:rPr>
                <w:rFonts w:eastAsia="Times New Roman" w:cstheme="minorHAnsi"/>
                <w:color w:val="000000"/>
                <w:sz w:val="20"/>
                <w:szCs w:val="20"/>
                <w:lang w:eastAsia="pl-PL"/>
              </w:rPr>
              <w:t>16</w:t>
            </w:r>
          </w:p>
        </w:tc>
        <w:tc>
          <w:tcPr>
            <w:tcW w:w="2848" w:type="dxa"/>
            <w:tcBorders>
              <w:top w:val="single" w:sz="4" w:space="0" w:color="000000"/>
              <w:left w:val="nil"/>
              <w:bottom w:val="single" w:sz="4" w:space="0" w:color="000000"/>
              <w:right w:val="nil"/>
            </w:tcBorders>
            <w:shd w:val="clear" w:color="auto" w:fill="auto"/>
            <w:noWrap/>
            <w:vAlign w:val="bottom"/>
            <w:hideMark/>
          </w:tcPr>
          <w:p w14:paraId="1BEC2E40" w14:textId="77777777" w:rsidR="0029150C" w:rsidRPr="00FD0101" w:rsidRDefault="0029150C" w:rsidP="000274E8">
            <w:pPr>
              <w:spacing w:before="6" w:after="6" w:line="288" w:lineRule="auto"/>
              <w:jc w:val="both"/>
              <w:rPr>
                <w:rFonts w:eastAsia="Times New Roman" w:cstheme="minorHAnsi"/>
                <w:color w:val="000000"/>
                <w:sz w:val="20"/>
                <w:szCs w:val="20"/>
                <w:lang w:eastAsia="pl-PL"/>
              </w:rPr>
            </w:pPr>
            <w:r w:rsidRPr="00FD0101">
              <w:rPr>
                <w:rFonts w:eastAsia="Times New Roman" w:cstheme="minorHAnsi"/>
                <w:color w:val="000000"/>
                <w:sz w:val="20"/>
                <w:szCs w:val="20"/>
                <w:lang w:eastAsia="pl-PL"/>
              </w:rPr>
              <w:t>MILLENNIUM TFI S.A.</w:t>
            </w:r>
          </w:p>
        </w:tc>
        <w:tc>
          <w:tcPr>
            <w:tcW w:w="2287" w:type="dxa"/>
            <w:tcBorders>
              <w:top w:val="single" w:sz="4" w:space="0" w:color="000000"/>
              <w:left w:val="nil"/>
              <w:bottom w:val="single" w:sz="4" w:space="0" w:color="000000"/>
              <w:right w:val="nil"/>
            </w:tcBorders>
            <w:shd w:val="clear" w:color="auto" w:fill="auto"/>
            <w:noWrap/>
            <w:vAlign w:val="bottom"/>
            <w:hideMark/>
          </w:tcPr>
          <w:p w14:paraId="4EB71555" w14:textId="77777777" w:rsidR="0029150C" w:rsidRPr="00FD0101" w:rsidRDefault="0029150C" w:rsidP="000274E8">
            <w:pPr>
              <w:spacing w:before="6" w:after="6" w:line="288" w:lineRule="auto"/>
              <w:jc w:val="center"/>
              <w:rPr>
                <w:rFonts w:eastAsia="Times New Roman" w:cstheme="minorHAnsi"/>
                <w:color w:val="000000"/>
                <w:sz w:val="20"/>
                <w:szCs w:val="20"/>
                <w:lang w:eastAsia="pl-PL"/>
              </w:rPr>
            </w:pPr>
            <w:r w:rsidRPr="00FD0101">
              <w:rPr>
                <w:rFonts w:eastAsia="Times New Roman" w:cstheme="minorHAnsi"/>
                <w:color w:val="000000"/>
                <w:sz w:val="20"/>
                <w:szCs w:val="20"/>
                <w:lang w:eastAsia="pl-PL"/>
              </w:rPr>
              <w:t>69 200,37</w:t>
            </w:r>
          </w:p>
        </w:tc>
        <w:tc>
          <w:tcPr>
            <w:tcW w:w="1040" w:type="dxa"/>
            <w:tcBorders>
              <w:top w:val="single" w:sz="4" w:space="0" w:color="000000"/>
              <w:left w:val="nil"/>
              <w:bottom w:val="single" w:sz="4" w:space="0" w:color="000000"/>
              <w:right w:val="nil"/>
            </w:tcBorders>
            <w:shd w:val="clear" w:color="auto" w:fill="auto"/>
            <w:noWrap/>
            <w:vAlign w:val="bottom"/>
            <w:hideMark/>
          </w:tcPr>
          <w:p w14:paraId="60BA2DAD" w14:textId="77777777" w:rsidR="0029150C" w:rsidRPr="00FD0101" w:rsidRDefault="0029150C" w:rsidP="000274E8">
            <w:pPr>
              <w:spacing w:before="6" w:after="6" w:line="288" w:lineRule="auto"/>
              <w:jc w:val="center"/>
              <w:rPr>
                <w:rFonts w:eastAsia="Times New Roman" w:cstheme="minorHAnsi"/>
                <w:color w:val="000000"/>
                <w:sz w:val="20"/>
                <w:szCs w:val="20"/>
                <w:lang w:eastAsia="pl-PL"/>
              </w:rPr>
            </w:pPr>
            <w:r w:rsidRPr="00FD0101">
              <w:rPr>
                <w:rFonts w:eastAsia="Times New Roman" w:cstheme="minorHAnsi"/>
                <w:color w:val="000000"/>
                <w:sz w:val="20"/>
                <w:szCs w:val="20"/>
                <w:lang w:eastAsia="pl-PL"/>
              </w:rPr>
              <w:t>0,77%</w:t>
            </w:r>
          </w:p>
        </w:tc>
        <w:tc>
          <w:tcPr>
            <w:tcW w:w="3032" w:type="dxa"/>
            <w:tcBorders>
              <w:top w:val="single" w:sz="4" w:space="0" w:color="000000"/>
              <w:left w:val="nil"/>
              <w:bottom w:val="single" w:sz="4" w:space="0" w:color="000000"/>
              <w:right w:val="single" w:sz="4" w:space="0" w:color="000000"/>
            </w:tcBorders>
            <w:shd w:val="clear" w:color="auto" w:fill="auto"/>
            <w:noWrap/>
            <w:vAlign w:val="bottom"/>
            <w:hideMark/>
          </w:tcPr>
          <w:p w14:paraId="617730D8" w14:textId="77777777" w:rsidR="0029150C" w:rsidRPr="00FD0101" w:rsidRDefault="0029150C" w:rsidP="000274E8">
            <w:pPr>
              <w:spacing w:before="6" w:after="6" w:line="288" w:lineRule="auto"/>
              <w:jc w:val="center"/>
              <w:rPr>
                <w:rFonts w:eastAsia="Times New Roman" w:cstheme="minorHAnsi"/>
                <w:color w:val="000000"/>
                <w:sz w:val="20"/>
                <w:szCs w:val="20"/>
                <w:lang w:eastAsia="pl-PL"/>
              </w:rPr>
            </w:pPr>
            <w:r w:rsidRPr="00FD0101">
              <w:rPr>
                <w:rFonts w:eastAsia="Times New Roman" w:cstheme="minorHAnsi"/>
                <w:color w:val="000000"/>
                <w:sz w:val="20"/>
                <w:szCs w:val="20"/>
                <w:lang w:eastAsia="pl-PL"/>
              </w:rPr>
              <w:t>0,00%</w:t>
            </w:r>
          </w:p>
        </w:tc>
      </w:tr>
      <w:tr w:rsidR="0029150C" w:rsidRPr="008D0C72" w14:paraId="4882C63C" w14:textId="77777777" w:rsidTr="008D737D">
        <w:trPr>
          <w:trHeight w:val="290"/>
        </w:trPr>
        <w:tc>
          <w:tcPr>
            <w:tcW w:w="527" w:type="dxa"/>
            <w:tcBorders>
              <w:top w:val="single" w:sz="4" w:space="0" w:color="000000"/>
              <w:left w:val="single" w:sz="4" w:space="0" w:color="000000"/>
              <w:bottom w:val="single" w:sz="4" w:space="0" w:color="000000"/>
              <w:right w:val="nil"/>
            </w:tcBorders>
            <w:shd w:val="clear" w:color="D9D9D9" w:fill="D9D9D9"/>
            <w:noWrap/>
            <w:vAlign w:val="bottom"/>
            <w:hideMark/>
          </w:tcPr>
          <w:p w14:paraId="080E1707" w14:textId="77777777" w:rsidR="0029150C" w:rsidRPr="00FD0101" w:rsidRDefault="0029150C" w:rsidP="000274E8">
            <w:pPr>
              <w:spacing w:before="6" w:after="6" w:line="288" w:lineRule="auto"/>
              <w:jc w:val="both"/>
              <w:rPr>
                <w:rFonts w:eastAsia="Times New Roman" w:cstheme="minorHAnsi"/>
                <w:color w:val="000000"/>
                <w:sz w:val="20"/>
                <w:szCs w:val="20"/>
                <w:lang w:eastAsia="pl-PL"/>
              </w:rPr>
            </w:pPr>
            <w:r w:rsidRPr="00FD0101">
              <w:rPr>
                <w:rFonts w:eastAsia="Times New Roman" w:cstheme="minorHAnsi"/>
                <w:color w:val="000000"/>
                <w:sz w:val="20"/>
                <w:szCs w:val="20"/>
                <w:lang w:eastAsia="pl-PL"/>
              </w:rPr>
              <w:t>17</w:t>
            </w:r>
          </w:p>
        </w:tc>
        <w:tc>
          <w:tcPr>
            <w:tcW w:w="2848" w:type="dxa"/>
            <w:tcBorders>
              <w:top w:val="single" w:sz="4" w:space="0" w:color="000000"/>
              <w:left w:val="nil"/>
              <w:bottom w:val="single" w:sz="4" w:space="0" w:color="000000"/>
              <w:right w:val="nil"/>
            </w:tcBorders>
            <w:shd w:val="clear" w:color="D9D9D9" w:fill="D9D9D9"/>
            <w:noWrap/>
            <w:vAlign w:val="bottom"/>
            <w:hideMark/>
          </w:tcPr>
          <w:p w14:paraId="1F961879" w14:textId="77777777" w:rsidR="0029150C" w:rsidRPr="00FD0101" w:rsidRDefault="0029150C" w:rsidP="000274E8">
            <w:pPr>
              <w:spacing w:before="6" w:after="6" w:line="288" w:lineRule="auto"/>
              <w:jc w:val="both"/>
              <w:rPr>
                <w:rFonts w:eastAsia="Times New Roman" w:cstheme="minorHAnsi"/>
                <w:color w:val="000000"/>
                <w:sz w:val="20"/>
                <w:szCs w:val="20"/>
                <w:lang w:eastAsia="pl-PL"/>
              </w:rPr>
            </w:pPr>
            <w:r w:rsidRPr="00FD0101">
              <w:rPr>
                <w:rFonts w:eastAsia="Times New Roman" w:cstheme="minorHAnsi"/>
                <w:color w:val="000000"/>
                <w:sz w:val="20"/>
                <w:szCs w:val="20"/>
                <w:lang w:eastAsia="pl-PL"/>
              </w:rPr>
              <w:t>SKARBIEC TFI S.A.</w:t>
            </w:r>
          </w:p>
        </w:tc>
        <w:tc>
          <w:tcPr>
            <w:tcW w:w="2287" w:type="dxa"/>
            <w:tcBorders>
              <w:top w:val="single" w:sz="4" w:space="0" w:color="000000"/>
              <w:left w:val="nil"/>
              <w:bottom w:val="single" w:sz="4" w:space="0" w:color="000000"/>
              <w:right w:val="nil"/>
            </w:tcBorders>
            <w:shd w:val="clear" w:color="D9D9D9" w:fill="D9D9D9"/>
            <w:noWrap/>
            <w:vAlign w:val="bottom"/>
            <w:hideMark/>
          </w:tcPr>
          <w:p w14:paraId="5C35A4E2" w14:textId="77777777" w:rsidR="0029150C" w:rsidRPr="00FD0101" w:rsidRDefault="0029150C" w:rsidP="000274E8">
            <w:pPr>
              <w:spacing w:before="6" w:after="6" w:line="288" w:lineRule="auto"/>
              <w:jc w:val="center"/>
              <w:rPr>
                <w:rFonts w:eastAsia="Times New Roman" w:cstheme="minorHAnsi"/>
                <w:color w:val="000000"/>
                <w:sz w:val="20"/>
                <w:szCs w:val="20"/>
                <w:lang w:eastAsia="pl-PL"/>
              </w:rPr>
            </w:pPr>
            <w:r w:rsidRPr="00FD0101">
              <w:rPr>
                <w:rFonts w:eastAsia="Times New Roman" w:cstheme="minorHAnsi"/>
                <w:color w:val="000000"/>
                <w:sz w:val="20"/>
                <w:szCs w:val="20"/>
                <w:lang w:eastAsia="pl-PL"/>
              </w:rPr>
              <w:t>34 279,37</w:t>
            </w:r>
          </w:p>
        </w:tc>
        <w:tc>
          <w:tcPr>
            <w:tcW w:w="1040" w:type="dxa"/>
            <w:tcBorders>
              <w:top w:val="single" w:sz="4" w:space="0" w:color="000000"/>
              <w:left w:val="nil"/>
              <w:bottom w:val="single" w:sz="4" w:space="0" w:color="000000"/>
              <w:right w:val="nil"/>
            </w:tcBorders>
            <w:shd w:val="clear" w:color="D9D9D9" w:fill="D9D9D9"/>
            <w:noWrap/>
            <w:vAlign w:val="bottom"/>
            <w:hideMark/>
          </w:tcPr>
          <w:p w14:paraId="11036485" w14:textId="77777777" w:rsidR="0029150C" w:rsidRPr="00FD0101" w:rsidRDefault="0029150C" w:rsidP="000274E8">
            <w:pPr>
              <w:spacing w:before="6" w:after="6" w:line="288" w:lineRule="auto"/>
              <w:jc w:val="center"/>
              <w:rPr>
                <w:rFonts w:eastAsia="Times New Roman" w:cstheme="minorHAnsi"/>
                <w:color w:val="000000"/>
                <w:sz w:val="20"/>
                <w:szCs w:val="20"/>
                <w:lang w:eastAsia="pl-PL"/>
              </w:rPr>
            </w:pPr>
            <w:r w:rsidRPr="00FD0101">
              <w:rPr>
                <w:rFonts w:eastAsia="Times New Roman" w:cstheme="minorHAnsi"/>
                <w:color w:val="000000"/>
                <w:sz w:val="20"/>
                <w:szCs w:val="20"/>
                <w:lang w:eastAsia="pl-PL"/>
              </w:rPr>
              <w:t>0,38%</w:t>
            </w:r>
          </w:p>
        </w:tc>
        <w:tc>
          <w:tcPr>
            <w:tcW w:w="3032" w:type="dxa"/>
            <w:tcBorders>
              <w:top w:val="single" w:sz="4" w:space="0" w:color="000000"/>
              <w:left w:val="nil"/>
              <w:bottom w:val="single" w:sz="4" w:space="0" w:color="000000"/>
              <w:right w:val="single" w:sz="4" w:space="0" w:color="000000"/>
            </w:tcBorders>
            <w:shd w:val="clear" w:color="D9D9D9" w:fill="D9D9D9"/>
            <w:noWrap/>
            <w:vAlign w:val="bottom"/>
            <w:hideMark/>
          </w:tcPr>
          <w:p w14:paraId="4A3403CE" w14:textId="77777777" w:rsidR="0029150C" w:rsidRPr="00FD0101" w:rsidRDefault="0029150C" w:rsidP="000274E8">
            <w:pPr>
              <w:spacing w:before="6" w:after="6" w:line="288" w:lineRule="auto"/>
              <w:jc w:val="center"/>
              <w:rPr>
                <w:rFonts w:eastAsia="Times New Roman" w:cstheme="minorHAnsi"/>
                <w:color w:val="000000"/>
                <w:sz w:val="20"/>
                <w:szCs w:val="20"/>
                <w:lang w:eastAsia="pl-PL"/>
              </w:rPr>
            </w:pPr>
            <w:r w:rsidRPr="00FD0101">
              <w:rPr>
                <w:rFonts w:eastAsia="Times New Roman" w:cstheme="minorHAnsi"/>
                <w:color w:val="000000"/>
                <w:sz w:val="20"/>
                <w:szCs w:val="20"/>
                <w:lang w:eastAsia="pl-PL"/>
              </w:rPr>
              <w:t>0,03%</w:t>
            </w:r>
          </w:p>
        </w:tc>
      </w:tr>
      <w:tr w:rsidR="0029150C" w:rsidRPr="008D0C72" w14:paraId="36004CAE" w14:textId="77777777" w:rsidTr="008D737D">
        <w:trPr>
          <w:trHeight w:val="290"/>
        </w:trPr>
        <w:tc>
          <w:tcPr>
            <w:tcW w:w="527" w:type="dxa"/>
            <w:tcBorders>
              <w:top w:val="single" w:sz="4" w:space="0" w:color="000000"/>
              <w:left w:val="single" w:sz="4" w:space="0" w:color="000000"/>
              <w:bottom w:val="single" w:sz="4" w:space="0" w:color="000000"/>
              <w:right w:val="nil"/>
            </w:tcBorders>
            <w:shd w:val="clear" w:color="auto" w:fill="auto"/>
            <w:noWrap/>
            <w:vAlign w:val="bottom"/>
            <w:hideMark/>
          </w:tcPr>
          <w:p w14:paraId="5BFBC1D0" w14:textId="77777777" w:rsidR="0029150C" w:rsidRPr="00FD0101" w:rsidRDefault="0029150C" w:rsidP="000274E8">
            <w:pPr>
              <w:spacing w:before="6" w:after="6" w:line="288" w:lineRule="auto"/>
              <w:jc w:val="both"/>
              <w:rPr>
                <w:rFonts w:eastAsia="Times New Roman" w:cstheme="minorHAnsi"/>
                <w:color w:val="000000"/>
                <w:sz w:val="20"/>
                <w:szCs w:val="20"/>
                <w:lang w:eastAsia="pl-PL"/>
              </w:rPr>
            </w:pPr>
            <w:r w:rsidRPr="00FD0101">
              <w:rPr>
                <w:rFonts w:eastAsia="Times New Roman" w:cstheme="minorHAnsi"/>
                <w:color w:val="000000"/>
                <w:sz w:val="20"/>
                <w:szCs w:val="20"/>
                <w:lang w:eastAsia="pl-PL"/>
              </w:rPr>
              <w:t>18</w:t>
            </w:r>
          </w:p>
        </w:tc>
        <w:tc>
          <w:tcPr>
            <w:tcW w:w="2848" w:type="dxa"/>
            <w:tcBorders>
              <w:top w:val="single" w:sz="4" w:space="0" w:color="000000"/>
              <w:left w:val="nil"/>
              <w:bottom w:val="single" w:sz="4" w:space="0" w:color="000000"/>
              <w:right w:val="nil"/>
            </w:tcBorders>
            <w:shd w:val="clear" w:color="auto" w:fill="auto"/>
            <w:noWrap/>
            <w:vAlign w:val="bottom"/>
            <w:hideMark/>
          </w:tcPr>
          <w:p w14:paraId="6447367B" w14:textId="77777777" w:rsidR="0029150C" w:rsidRPr="00FD0101" w:rsidRDefault="0029150C" w:rsidP="000274E8">
            <w:pPr>
              <w:spacing w:before="6" w:after="6" w:line="288" w:lineRule="auto"/>
              <w:jc w:val="both"/>
              <w:rPr>
                <w:rFonts w:eastAsia="Times New Roman" w:cstheme="minorHAnsi"/>
                <w:color w:val="000000"/>
                <w:sz w:val="20"/>
                <w:szCs w:val="20"/>
                <w:lang w:eastAsia="pl-PL"/>
              </w:rPr>
            </w:pPr>
            <w:r w:rsidRPr="00FD0101">
              <w:rPr>
                <w:rFonts w:eastAsia="Times New Roman" w:cstheme="minorHAnsi"/>
                <w:color w:val="000000"/>
                <w:sz w:val="20"/>
                <w:szCs w:val="20"/>
                <w:lang w:eastAsia="pl-PL"/>
              </w:rPr>
              <w:t>PFR TFI S.A.</w:t>
            </w:r>
          </w:p>
        </w:tc>
        <w:tc>
          <w:tcPr>
            <w:tcW w:w="2287" w:type="dxa"/>
            <w:tcBorders>
              <w:top w:val="single" w:sz="4" w:space="0" w:color="000000"/>
              <w:left w:val="nil"/>
              <w:bottom w:val="single" w:sz="4" w:space="0" w:color="000000"/>
              <w:right w:val="nil"/>
            </w:tcBorders>
            <w:shd w:val="clear" w:color="auto" w:fill="auto"/>
            <w:noWrap/>
            <w:vAlign w:val="bottom"/>
            <w:hideMark/>
          </w:tcPr>
          <w:p w14:paraId="1B01F86F" w14:textId="77777777" w:rsidR="0029150C" w:rsidRPr="00FD0101" w:rsidRDefault="0029150C" w:rsidP="000274E8">
            <w:pPr>
              <w:spacing w:before="6" w:after="6" w:line="288" w:lineRule="auto"/>
              <w:jc w:val="center"/>
              <w:rPr>
                <w:rFonts w:eastAsia="Times New Roman" w:cstheme="minorHAnsi"/>
                <w:color w:val="000000"/>
                <w:sz w:val="20"/>
                <w:szCs w:val="20"/>
                <w:lang w:eastAsia="pl-PL"/>
              </w:rPr>
            </w:pPr>
            <w:r w:rsidRPr="00FD0101">
              <w:rPr>
                <w:rFonts w:eastAsia="Times New Roman" w:cstheme="minorHAnsi"/>
                <w:color w:val="000000"/>
                <w:sz w:val="20"/>
                <w:szCs w:val="20"/>
                <w:lang w:eastAsia="pl-PL"/>
              </w:rPr>
              <w:t>33 764,06</w:t>
            </w:r>
          </w:p>
        </w:tc>
        <w:tc>
          <w:tcPr>
            <w:tcW w:w="1040" w:type="dxa"/>
            <w:tcBorders>
              <w:top w:val="single" w:sz="4" w:space="0" w:color="000000"/>
              <w:left w:val="nil"/>
              <w:bottom w:val="single" w:sz="4" w:space="0" w:color="000000"/>
              <w:right w:val="nil"/>
            </w:tcBorders>
            <w:shd w:val="clear" w:color="auto" w:fill="auto"/>
            <w:noWrap/>
            <w:vAlign w:val="bottom"/>
            <w:hideMark/>
          </w:tcPr>
          <w:p w14:paraId="35A47572" w14:textId="77777777" w:rsidR="0029150C" w:rsidRPr="00FD0101" w:rsidRDefault="0029150C" w:rsidP="000274E8">
            <w:pPr>
              <w:spacing w:before="6" w:after="6" w:line="288" w:lineRule="auto"/>
              <w:jc w:val="center"/>
              <w:rPr>
                <w:rFonts w:eastAsia="Times New Roman" w:cstheme="minorHAnsi"/>
                <w:color w:val="000000"/>
                <w:sz w:val="20"/>
                <w:szCs w:val="20"/>
                <w:lang w:eastAsia="pl-PL"/>
              </w:rPr>
            </w:pPr>
            <w:r w:rsidRPr="00FD0101">
              <w:rPr>
                <w:rFonts w:eastAsia="Times New Roman" w:cstheme="minorHAnsi"/>
                <w:color w:val="000000"/>
                <w:sz w:val="20"/>
                <w:szCs w:val="20"/>
                <w:lang w:eastAsia="pl-PL"/>
              </w:rPr>
              <w:t>0,38%</w:t>
            </w:r>
          </w:p>
        </w:tc>
        <w:tc>
          <w:tcPr>
            <w:tcW w:w="3032" w:type="dxa"/>
            <w:tcBorders>
              <w:top w:val="single" w:sz="4" w:space="0" w:color="000000"/>
              <w:left w:val="nil"/>
              <w:bottom w:val="single" w:sz="4" w:space="0" w:color="000000"/>
              <w:right w:val="single" w:sz="4" w:space="0" w:color="000000"/>
            </w:tcBorders>
            <w:shd w:val="clear" w:color="auto" w:fill="auto"/>
            <w:noWrap/>
            <w:vAlign w:val="bottom"/>
            <w:hideMark/>
          </w:tcPr>
          <w:p w14:paraId="013A55F5" w14:textId="77777777" w:rsidR="0029150C" w:rsidRPr="00FD0101" w:rsidRDefault="0029150C" w:rsidP="000274E8">
            <w:pPr>
              <w:spacing w:before="6" w:after="6" w:line="288" w:lineRule="auto"/>
              <w:jc w:val="center"/>
              <w:rPr>
                <w:rFonts w:eastAsia="Times New Roman" w:cstheme="minorHAnsi"/>
                <w:color w:val="000000"/>
                <w:sz w:val="20"/>
                <w:szCs w:val="20"/>
                <w:lang w:eastAsia="pl-PL"/>
              </w:rPr>
            </w:pPr>
            <w:r w:rsidRPr="00FD0101">
              <w:rPr>
                <w:rFonts w:eastAsia="Times New Roman" w:cstheme="minorHAnsi"/>
                <w:color w:val="000000"/>
                <w:sz w:val="20"/>
                <w:szCs w:val="20"/>
                <w:lang w:eastAsia="pl-PL"/>
              </w:rPr>
              <w:t>0,00%</w:t>
            </w:r>
          </w:p>
        </w:tc>
      </w:tr>
      <w:tr w:rsidR="0029150C" w:rsidRPr="008D0C72" w14:paraId="11821130" w14:textId="77777777" w:rsidTr="008D737D">
        <w:trPr>
          <w:trHeight w:val="290"/>
        </w:trPr>
        <w:tc>
          <w:tcPr>
            <w:tcW w:w="527" w:type="dxa"/>
            <w:tcBorders>
              <w:top w:val="single" w:sz="4" w:space="0" w:color="000000"/>
              <w:left w:val="single" w:sz="4" w:space="0" w:color="000000"/>
              <w:bottom w:val="single" w:sz="4" w:space="0" w:color="000000"/>
              <w:right w:val="nil"/>
            </w:tcBorders>
            <w:shd w:val="clear" w:color="D9D9D9" w:fill="D9D9D9"/>
            <w:noWrap/>
            <w:vAlign w:val="bottom"/>
            <w:hideMark/>
          </w:tcPr>
          <w:p w14:paraId="448A7D4A" w14:textId="77777777" w:rsidR="0029150C" w:rsidRPr="00FD0101" w:rsidRDefault="0029150C" w:rsidP="000274E8">
            <w:pPr>
              <w:spacing w:before="6" w:after="6" w:line="288" w:lineRule="auto"/>
              <w:jc w:val="both"/>
              <w:rPr>
                <w:rFonts w:eastAsia="Times New Roman" w:cstheme="minorHAnsi"/>
                <w:color w:val="000000"/>
                <w:sz w:val="20"/>
                <w:szCs w:val="20"/>
                <w:lang w:eastAsia="pl-PL"/>
              </w:rPr>
            </w:pPr>
            <w:r w:rsidRPr="00FD0101">
              <w:rPr>
                <w:rFonts w:eastAsia="Times New Roman" w:cstheme="minorHAnsi"/>
                <w:color w:val="000000"/>
                <w:sz w:val="20"/>
                <w:szCs w:val="20"/>
                <w:lang w:eastAsia="pl-PL"/>
              </w:rPr>
              <w:t>19</w:t>
            </w:r>
          </w:p>
        </w:tc>
        <w:tc>
          <w:tcPr>
            <w:tcW w:w="2848" w:type="dxa"/>
            <w:tcBorders>
              <w:top w:val="single" w:sz="4" w:space="0" w:color="000000"/>
              <w:left w:val="nil"/>
              <w:bottom w:val="single" w:sz="4" w:space="0" w:color="000000"/>
              <w:right w:val="nil"/>
            </w:tcBorders>
            <w:shd w:val="clear" w:color="D9D9D9" w:fill="D9D9D9"/>
            <w:noWrap/>
            <w:vAlign w:val="bottom"/>
            <w:hideMark/>
          </w:tcPr>
          <w:p w14:paraId="0FF5492A" w14:textId="77777777" w:rsidR="0029150C" w:rsidRPr="00FD0101" w:rsidRDefault="0029150C" w:rsidP="000274E8">
            <w:pPr>
              <w:spacing w:before="6" w:after="6" w:line="288" w:lineRule="auto"/>
              <w:jc w:val="both"/>
              <w:rPr>
                <w:rFonts w:eastAsia="Times New Roman" w:cstheme="minorHAnsi"/>
                <w:color w:val="000000"/>
                <w:sz w:val="20"/>
                <w:szCs w:val="20"/>
                <w:lang w:eastAsia="pl-PL"/>
              </w:rPr>
            </w:pPr>
            <w:r w:rsidRPr="00FD0101">
              <w:rPr>
                <w:rFonts w:eastAsia="Times New Roman" w:cstheme="minorHAnsi"/>
                <w:color w:val="000000"/>
                <w:sz w:val="20"/>
                <w:szCs w:val="20"/>
                <w:lang w:eastAsia="pl-PL"/>
              </w:rPr>
              <w:t>BPS TFI S.A.</w:t>
            </w:r>
          </w:p>
        </w:tc>
        <w:tc>
          <w:tcPr>
            <w:tcW w:w="2287" w:type="dxa"/>
            <w:tcBorders>
              <w:top w:val="single" w:sz="4" w:space="0" w:color="000000"/>
              <w:left w:val="nil"/>
              <w:bottom w:val="single" w:sz="4" w:space="0" w:color="000000"/>
              <w:right w:val="nil"/>
            </w:tcBorders>
            <w:shd w:val="clear" w:color="D9D9D9" w:fill="D9D9D9"/>
            <w:noWrap/>
            <w:vAlign w:val="bottom"/>
            <w:hideMark/>
          </w:tcPr>
          <w:p w14:paraId="50049C76" w14:textId="77777777" w:rsidR="0029150C" w:rsidRPr="00FD0101" w:rsidRDefault="0029150C" w:rsidP="000274E8">
            <w:pPr>
              <w:spacing w:before="6" w:after="6" w:line="288" w:lineRule="auto"/>
              <w:jc w:val="center"/>
              <w:rPr>
                <w:rFonts w:eastAsia="Times New Roman" w:cstheme="minorHAnsi"/>
                <w:color w:val="000000"/>
                <w:sz w:val="20"/>
                <w:szCs w:val="20"/>
                <w:lang w:eastAsia="pl-PL"/>
              </w:rPr>
            </w:pPr>
            <w:r w:rsidRPr="00FD0101">
              <w:rPr>
                <w:rFonts w:eastAsia="Times New Roman" w:cstheme="minorHAnsi"/>
                <w:color w:val="000000"/>
                <w:sz w:val="20"/>
                <w:szCs w:val="20"/>
                <w:lang w:eastAsia="pl-PL"/>
              </w:rPr>
              <w:t>6 546,69</w:t>
            </w:r>
          </w:p>
        </w:tc>
        <w:tc>
          <w:tcPr>
            <w:tcW w:w="1040" w:type="dxa"/>
            <w:tcBorders>
              <w:top w:val="single" w:sz="4" w:space="0" w:color="000000"/>
              <w:left w:val="nil"/>
              <w:bottom w:val="single" w:sz="4" w:space="0" w:color="000000"/>
              <w:right w:val="nil"/>
            </w:tcBorders>
            <w:shd w:val="clear" w:color="D9D9D9" w:fill="D9D9D9"/>
            <w:noWrap/>
            <w:vAlign w:val="bottom"/>
            <w:hideMark/>
          </w:tcPr>
          <w:p w14:paraId="5BF32A4A" w14:textId="77777777" w:rsidR="0029150C" w:rsidRPr="00FD0101" w:rsidRDefault="0029150C" w:rsidP="000274E8">
            <w:pPr>
              <w:spacing w:before="6" w:after="6" w:line="288" w:lineRule="auto"/>
              <w:jc w:val="center"/>
              <w:rPr>
                <w:rFonts w:eastAsia="Times New Roman" w:cstheme="minorHAnsi"/>
                <w:color w:val="000000"/>
                <w:sz w:val="20"/>
                <w:szCs w:val="20"/>
                <w:lang w:eastAsia="pl-PL"/>
              </w:rPr>
            </w:pPr>
            <w:r w:rsidRPr="00FD0101">
              <w:rPr>
                <w:rFonts w:eastAsia="Times New Roman" w:cstheme="minorHAnsi"/>
                <w:color w:val="000000"/>
                <w:sz w:val="20"/>
                <w:szCs w:val="20"/>
                <w:lang w:eastAsia="pl-PL"/>
              </w:rPr>
              <w:t>0,07%</w:t>
            </w:r>
          </w:p>
        </w:tc>
        <w:tc>
          <w:tcPr>
            <w:tcW w:w="3032" w:type="dxa"/>
            <w:tcBorders>
              <w:top w:val="single" w:sz="4" w:space="0" w:color="000000"/>
              <w:left w:val="nil"/>
              <w:bottom w:val="single" w:sz="4" w:space="0" w:color="000000"/>
              <w:right w:val="single" w:sz="4" w:space="0" w:color="000000"/>
            </w:tcBorders>
            <w:shd w:val="clear" w:color="D9D9D9" w:fill="D9D9D9"/>
            <w:noWrap/>
            <w:vAlign w:val="bottom"/>
            <w:hideMark/>
          </w:tcPr>
          <w:p w14:paraId="1AAA4768" w14:textId="77777777" w:rsidR="0029150C" w:rsidRPr="00FD0101" w:rsidRDefault="0029150C" w:rsidP="000274E8">
            <w:pPr>
              <w:spacing w:before="6" w:after="6" w:line="288" w:lineRule="auto"/>
              <w:jc w:val="center"/>
              <w:rPr>
                <w:rFonts w:eastAsia="Times New Roman" w:cstheme="minorHAnsi"/>
                <w:color w:val="000000"/>
                <w:sz w:val="20"/>
                <w:szCs w:val="20"/>
                <w:lang w:eastAsia="pl-PL"/>
              </w:rPr>
            </w:pPr>
            <w:r w:rsidRPr="00FD0101">
              <w:rPr>
                <w:rFonts w:eastAsia="Times New Roman" w:cstheme="minorHAnsi"/>
                <w:color w:val="000000"/>
                <w:sz w:val="20"/>
                <w:szCs w:val="20"/>
                <w:lang w:eastAsia="pl-PL"/>
              </w:rPr>
              <w:t>0,01%</w:t>
            </w:r>
          </w:p>
        </w:tc>
      </w:tr>
      <w:tr w:rsidR="0029150C" w:rsidRPr="008D0C72" w14:paraId="79F3DC5B" w14:textId="77777777" w:rsidTr="008D737D">
        <w:trPr>
          <w:trHeight w:val="290"/>
        </w:trPr>
        <w:tc>
          <w:tcPr>
            <w:tcW w:w="527" w:type="dxa"/>
            <w:tcBorders>
              <w:top w:val="nil"/>
              <w:left w:val="nil"/>
              <w:bottom w:val="nil"/>
              <w:right w:val="nil"/>
            </w:tcBorders>
            <w:shd w:val="clear" w:color="auto" w:fill="auto"/>
            <w:noWrap/>
            <w:vAlign w:val="bottom"/>
            <w:hideMark/>
          </w:tcPr>
          <w:p w14:paraId="45DA1EF3" w14:textId="77777777" w:rsidR="0029150C" w:rsidRPr="00FD0101" w:rsidRDefault="0029150C" w:rsidP="000274E8">
            <w:pPr>
              <w:spacing w:before="6" w:after="6" w:line="288" w:lineRule="auto"/>
              <w:jc w:val="both"/>
              <w:rPr>
                <w:rFonts w:eastAsia="Times New Roman" w:cstheme="minorHAnsi"/>
                <w:color w:val="000000"/>
                <w:sz w:val="20"/>
                <w:szCs w:val="20"/>
                <w:lang w:eastAsia="pl-PL"/>
              </w:rPr>
            </w:pPr>
          </w:p>
        </w:tc>
        <w:tc>
          <w:tcPr>
            <w:tcW w:w="2848" w:type="dxa"/>
            <w:tcBorders>
              <w:top w:val="nil"/>
              <w:left w:val="nil"/>
              <w:bottom w:val="nil"/>
              <w:right w:val="nil"/>
            </w:tcBorders>
            <w:shd w:val="clear" w:color="auto" w:fill="auto"/>
            <w:noWrap/>
            <w:vAlign w:val="bottom"/>
            <w:hideMark/>
          </w:tcPr>
          <w:p w14:paraId="5BE2392D" w14:textId="77777777" w:rsidR="0029150C" w:rsidRPr="00FD0101" w:rsidRDefault="0029150C" w:rsidP="000274E8">
            <w:pPr>
              <w:spacing w:before="6" w:after="6" w:line="288" w:lineRule="auto"/>
              <w:jc w:val="both"/>
              <w:rPr>
                <w:rFonts w:eastAsia="Times New Roman" w:cstheme="minorHAnsi"/>
                <w:b/>
                <w:color w:val="000000"/>
                <w:sz w:val="20"/>
                <w:szCs w:val="20"/>
                <w:lang w:eastAsia="pl-PL"/>
              </w:rPr>
            </w:pPr>
            <w:r w:rsidRPr="00FD0101">
              <w:rPr>
                <w:rFonts w:eastAsia="Times New Roman" w:cstheme="minorHAnsi"/>
                <w:b/>
                <w:color w:val="000000"/>
                <w:sz w:val="20"/>
                <w:szCs w:val="20"/>
                <w:lang w:eastAsia="pl-PL"/>
              </w:rPr>
              <w:t>Suma</w:t>
            </w:r>
          </w:p>
        </w:tc>
        <w:tc>
          <w:tcPr>
            <w:tcW w:w="2287" w:type="dxa"/>
            <w:tcBorders>
              <w:top w:val="nil"/>
              <w:left w:val="nil"/>
              <w:bottom w:val="nil"/>
              <w:right w:val="nil"/>
            </w:tcBorders>
            <w:shd w:val="clear" w:color="auto" w:fill="auto"/>
            <w:noWrap/>
            <w:vAlign w:val="bottom"/>
            <w:hideMark/>
          </w:tcPr>
          <w:p w14:paraId="10B85894" w14:textId="77777777" w:rsidR="0029150C" w:rsidRPr="00FD0101" w:rsidRDefault="0029150C" w:rsidP="000274E8">
            <w:pPr>
              <w:spacing w:before="6" w:after="6" w:line="288" w:lineRule="auto"/>
              <w:jc w:val="center"/>
              <w:rPr>
                <w:rFonts w:eastAsia="Times New Roman" w:cstheme="minorHAnsi"/>
                <w:b/>
                <w:color w:val="000000"/>
                <w:sz w:val="20"/>
                <w:szCs w:val="20"/>
                <w:lang w:eastAsia="pl-PL"/>
              </w:rPr>
            </w:pPr>
            <w:r w:rsidRPr="00FD0101">
              <w:rPr>
                <w:rFonts w:eastAsia="Times New Roman" w:cstheme="minorHAnsi"/>
                <w:b/>
                <w:color w:val="000000"/>
                <w:sz w:val="20"/>
                <w:szCs w:val="20"/>
                <w:lang w:eastAsia="pl-PL"/>
              </w:rPr>
              <w:t>8 972 941,28</w:t>
            </w:r>
          </w:p>
        </w:tc>
        <w:tc>
          <w:tcPr>
            <w:tcW w:w="1040" w:type="dxa"/>
            <w:tcBorders>
              <w:top w:val="nil"/>
              <w:left w:val="nil"/>
              <w:bottom w:val="nil"/>
              <w:right w:val="nil"/>
            </w:tcBorders>
            <w:shd w:val="clear" w:color="auto" w:fill="auto"/>
            <w:noWrap/>
            <w:vAlign w:val="bottom"/>
            <w:hideMark/>
          </w:tcPr>
          <w:p w14:paraId="0B2AE875" w14:textId="77777777" w:rsidR="0029150C" w:rsidRPr="00FD0101" w:rsidRDefault="0029150C" w:rsidP="000274E8">
            <w:pPr>
              <w:spacing w:before="6" w:after="6" w:line="288" w:lineRule="auto"/>
              <w:jc w:val="both"/>
              <w:rPr>
                <w:rFonts w:eastAsia="Times New Roman" w:cstheme="minorHAnsi"/>
                <w:b/>
                <w:color w:val="000000"/>
                <w:sz w:val="20"/>
                <w:szCs w:val="20"/>
                <w:lang w:eastAsia="pl-PL"/>
              </w:rPr>
            </w:pPr>
          </w:p>
        </w:tc>
        <w:tc>
          <w:tcPr>
            <w:tcW w:w="3032" w:type="dxa"/>
            <w:tcBorders>
              <w:top w:val="nil"/>
              <w:left w:val="nil"/>
              <w:bottom w:val="nil"/>
              <w:right w:val="nil"/>
            </w:tcBorders>
            <w:shd w:val="clear" w:color="auto" w:fill="auto"/>
            <w:noWrap/>
            <w:vAlign w:val="bottom"/>
            <w:hideMark/>
          </w:tcPr>
          <w:p w14:paraId="082476F2" w14:textId="77777777" w:rsidR="0029150C" w:rsidRPr="00FD0101" w:rsidRDefault="0029150C" w:rsidP="000274E8">
            <w:pPr>
              <w:spacing w:before="6" w:after="6" w:line="288" w:lineRule="auto"/>
              <w:jc w:val="both"/>
              <w:rPr>
                <w:rFonts w:eastAsia="Times New Roman" w:cstheme="minorHAnsi"/>
                <w:sz w:val="20"/>
                <w:szCs w:val="20"/>
                <w:lang w:eastAsia="pl-PL"/>
              </w:rPr>
            </w:pPr>
          </w:p>
        </w:tc>
      </w:tr>
    </w:tbl>
    <w:p w14:paraId="1B5982FA" w14:textId="77777777" w:rsidR="0023079D" w:rsidRPr="008937EF" w:rsidRDefault="00814CD8" w:rsidP="0099412E">
      <w:pPr>
        <w:spacing w:before="6" w:after="6" w:line="288" w:lineRule="auto"/>
        <w:jc w:val="both"/>
        <w:rPr>
          <w:i/>
          <w:sz w:val="18"/>
          <w:szCs w:val="18"/>
        </w:rPr>
      </w:pPr>
      <w:r w:rsidRPr="008937EF">
        <w:rPr>
          <w:rFonts w:cstheme="minorHAnsi"/>
          <w:i/>
          <w:iCs/>
          <w:sz w:val="18"/>
          <w:szCs w:val="18"/>
        </w:rPr>
        <w:t xml:space="preserve">Źródło: </w:t>
      </w:r>
      <w:r w:rsidR="00AB56ED" w:rsidRPr="008937EF">
        <w:rPr>
          <w:sz w:val="18"/>
          <w:szCs w:val="18"/>
        </w:rPr>
        <w:t>https://www.knf.gov.pl/?articleId=77926&amp;p_id=18</w:t>
      </w:r>
    </w:p>
    <w:p w14:paraId="5402644C" w14:textId="77777777" w:rsidR="00EE1C2B" w:rsidRDefault="00EE1C2B" w:rsidP="0099412E">
      <w:pPr>
        <w:spacing w:before="6" w:after="6" w:line="288" w:lineRule="auto"/>
        <w:jc w:val="both"/>
        <w:rPr>
          <w:i/>
          <w:sz w:val="18"/>
          <w:szCs w:val="18"/>
        </w:rPr>
      </w:pPr>
    </w:p>
    <w:p w14:paraId="7ACE8947" w14:textId="77777777" w:rsidR="00EE1C2B" w:rsidRPr="00EE1C2B" w:rsidRDefault="00EE1C2B" w:rsidP="002C46DB">
      <w:pPr>
        <w:spacing w:before="6" w:after="6" w:line="288" w:lineRule="auto"/>
        <w:jc w:val="both"/>
        <w:rPr>
          <w:rFonts w:cstheme="minorHAnsi"/>
          <w:iCs/>
        </w:rPr>
      </w:pPr>
      <w:r w:rsidRPr="00EE1C2B">
        <w:rPr>
          <w:iCs/>
        </w:rPr>
        <w:t xml:space="preserve">Warto zwrócić uwagę </w:t>
      </w:r>
      <w:r>
        <w:rPr>
          <w:iCs/>
        </w:rPr>
        <w:t xml:space="preserve">na strukturę </w:t>
      </w:r>
      <w:r w:rsidR="006E3BD1">
        <w:rPr>
          <w:iCs/>
        </w:rPr>
        <w:t xml:space="preserve">aktywów </w:t>
      </w:r>
      <w:r w:rsidR="00BC700C">
        <w:rPr>
          <w:iCs/>
        </w:rPr>
        <w:t>funduszy zdefiniowanej daty</w:t>
      </w:r>
      <w:r w:rsidR="006E3BD1">
        <w:rPr>
          <w:iCs/>
        </w:rPr>
        <w:t xml:space="preserve"> pod kątem </w:t>
      </w:r>
      <w:r w:rsidR="00320D83">
        <w:rPr>
          <w:iCs/>
        </w:rPr>
        <w:t>pochodzenia</w:t>
      </w:r>
      <w:r w:rsidR="006E3BD1">
        <w:rPr>
          <w:iCs/>
        </w:rPr>
        <w:t xml:space="preserve"> t</w:t>
      </w:r>
      <w:r w:rsidR="00320D83">
        <w:rPr>
          <w:iCs/>
        </w:rPr>
        <w:t>ych</w:t>
      </w:r>
      <w:r w:rsidR="006E3BD1">
        <w:rPr>
          <w:iCs/>
        </w:rPr>
        <w:t xml:space="preserve"> </w:t>
      </w:r>
      <w:r w:rsidR="00320D83">
        <w:rPr>
          <w:iCs/>
        </w:rPr>
        <w:t>środków</w:t>
      </w:r>
      <w:r w:rsidR="006E3BD1">
        <w:rPr>
          <w:iCs/>
        </w:rPr>
        <w:t xml:space="preserve">. Z tej analizy (patrz wykresy </w:t>
      </w:r>
      <w:r w:rsidR="002D7DB0">
        <w:rPr>
          <w:iCs/>
        </w:rPr>
        <w:t>poniżej</w:t>
      </w:r>
      <w:r w:rsidR="006E3BD1">
        <w:rPr>
          <w:iCs/>
        </w:rPr>
        <w:t xml:space="preserve">) wynika, że </w:t>
      </w:r>
      <w:r w:rsidR="00C65C45">
        <w:rPr>
          <w:iCs/>
        </w:rPr>
        <w:t xml:space="preserve">zaledwie około 50% </w:t>
      </w:r>
      <w:r w:rsidR="00F256D2">
        <w:rPr>
          <w:iCs/>
        </w:rPr>
        <w:t>środków,</w:t>
      </w:r>
      <w:r w:rsidR="00C65C45">
        <w:rPr>
          <w:iCs/>
        </w:rPr>
        <w:t xml:space="preserve"> jakie mają zgromadzone na swoich rachunkach uczestnicy </w:t>
      </w:r>
      <w:r w:rsidR="00F256D2">
        <w:rPr>
          <w:iCs/>
        </w:rPr>
        <w:t>PPK,</w:t>
      </w:r>
      <w:r w:rsidR="00C65C45">
        <w:rPr>
          <w:iCs/>
        </w:rPr>
        <w:t xml:space="preserve"> pochodzi z ich własnych wpłat. Reszta pochodzi z</w:t>
      </w:r>
      <w:r w:rsidR="00E74147">
        <w:rPr>
          <w:iCs/>
        </w:rPr>
        <w:t> </w:t>
      </w:r>
      <w:r w:rsidR="008E1BC2">
        <w:rPr>
          <w:iCs/>
        </w:rPr>
        <w:t>wpłat finansowanych przez</w:t>
      </w:r>
      <w:r w:rsidR="00C65C45">
        <w:rPr>
          <w:iCs/>
        </w:rPr>
        <w:t xml:space="preserve"> pracodawców oraz dopłat od państwa. </w:t>
      </w:r>
      <w:r w:rsidR="00C3071A">
        <w:rPr>
          <w:iCs/>
        </w:rPr>
        <w:t xml:space="preserve">Oznacza to, że niezwykle atrakcyjny dla oszczędzających mechanizm dopłat do ich oszczędności </w:t>
      </w:r>
      <w:r w:rsidR="003B7F4C">
        <w:rPr>
          <w:iCs/>
        </w:rPr>
        <w:t>działa także w praktyce.</w:t>
      </w:r>
    </w:p>
    <w:p w14:paraId="6075688B" w14:textId="77777777" w:rsidR="00831BC1" w:rsidRPr="003D5D63" w:rsidRDefault="00831BC1" w:rsidP="0099412E">
      <w:pPr>
        <w:spacing w:before="6" w:after="6" w:line="288" w:lineRule="auto"/>
        <w:jc w:val="both"/>
        <w:rPr>
          <w:rFonts w:cstheme="minorHAnsi"/>
        </w:rPr>
      </w:pPr>
    </w:p>
    <w:p w14:paraId="1338912A" w14:textId="3C70F3AF" w:rsidR="002718E2" w:rsidRPr="008E1BC2" w:rsidRDefault="002718E2" w:rsidP="002718E2">
      <w:pPr>
        <w:pStyle w:val="Legenda"/>
        <w:keepNext/>
        <w:jc w:val="both"/>
        <w:rPr>
          <w:color w:val="auto"/>
          <w:sz w:val="20"/>
          <w:szCs w:val="20"/>
        </w:rPr>
      </w:pPr>
      <w:bookmarkStart w:id="83" w:name="_Toc121826566"/>
      <w:r w:rsidRPr="008E1BC2">
        <w:rPr>
          <w:color w:val="auto"/>
          <w:sz w:val="20"/>
          <w:szCs w:val="20"/>
        </w:rPr>
        <w:lastRenderedPageBreak/>
        <w:t xml:space="preserve">Wykres </w:t>
      </w:r>
      <w:r w:rsidRPr="008E1BC2">
        <w:rPr>
          <w:color w:val="auto"/>
          <w:sz w:val="20"/>
          <w:szCs w:val="20"/>
        </w:rPr>
        <w:fldChar w:fldCharType="begin"/>
      </w:r>
      <w:r w:rsidRPr="008E1BC2">
        <w:rPr>
          <w:color w:val="auto"/>
          <w:sz w:val="20"/>
          <w:szCs w:val="20"/>
        </w:rPr>
        <w:instrText xml:space="preserve"> SEQ Wykres \* ARABIC </w:instrText>
      </w:r>
      <w:r w:rsidRPr="008E1BC2">
        <w:rPr>
          <w:color w:val="auto"/>
          <w:sz w:val="20"/>
          <w:szCs w:val="20"/>
        </w:rPr>
        <w:fldChar w:fldCharType="separate"/>
      </w:r>
      <w:r w:rsidR="001F2919">
        <w:rPr>
          <w:noProof/>
          <w:color w:val="auto"/>
          <w:sz w:val="20"/>
          <w:szCs w:val="20"/>
        </w:rPr>
        <w:t>16</w:t>
      </w:r>
      <w:r w:rsidRPr="008E1BC2">
        <w:rPr>
          <w:color w:val="auto"/>
          <w:sz w:val="20"/>
          <w:szCs w:val="20"/>
        </w:rPr>
        <w:fldChar w:fldCharType="end"/>
      </w:r>
      <w:r w:rsidRPr="008E1BC2">
        <w:rPr>
          <w:color w:val="auto"/>
          <w:sz w:val="20"/>
          <w:szCs w:val="20"/>
        </w:rPr>
        <w:t xml:space="preserve"> </w:t>
      </w:r>
      <w:r w:rsidRPr="008E1BC2">
        <w:rPr>
          <w:b/>
          <w:i w:val="0"/>
          <w:color w:val="auto"/>
          <w:sz w:val="20"/>
          <w:szCs w:val="20"/>
        </w:rPr>
        <w:t>Wartość aktywów netto funduszy zdefiniowanej daty – wg źródła środków (w mld)</w:t>
      </w:r>
      <w:bookmarkEnd w:id="83"/>
    </w:p>
    <w:p w14:paraId="7C25A49D" w14:textId="77777777" w:rsidR="0023079D" w:rsidRPr="003D5D63" w:rsidRDefault="00181E39" w:rsidP="0099412E">
      <w:pPr>
        <w:spacing w:before="6" w:after="6" w:line="288" w:lineRule="auto"/>
        <w:jc w:val="both"/>
        <w:rPr>
          <w:rFonts w:cstheme="minorHAnsi"/>
        </w:rPr>
      </w:pPr>
      <w:r>
        <w:rPr>
          <w:noProof/>
          <w:lang w:eastAsia="pl-PL"/>
        </w:rPr>
        <w:drawing>
          <wp:inline distT="0" distB="0" distL="0" distR="0" wp14:anchorId="681D0FD5" wp14:editId="3DF54ACD">
            <wp:extent cx="5040000" cy="2700000"/>
            <wp:effectExtent l="0" t="0" r="8255" b="5715"/>
            <wp:docPr id="4" name="Wykres 4">
              <a:extLst xmlns:a="http://schemas.openxmlformats.org/drawingml/2006/main">
                <a:ext uri="{FF2B5EF4-FFF2-40B4-BE49-F238E27FC236}">
                  <a16:creationId xmlns:a16="http://schemas.microsoft.com/office/drawing/2014/main" id="{2B19D010-34D1-440B-968F-3CCD6F6830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B290941" w14:textId="77777777" w:rsidR="009F67DC" w:rsidRPr="002718E2" w:rsidRDefault="009F67DC" w:rsidP="009F67DC">
      <w:pPr>
        <w:spacing w:before="6" w:after="6" w:line="288" w:lineRule="auto"/>
        <w:jc w:val="both"/>
        <w:rPr>
          <w:rFonts w:ascii="Garamond" w:hAnsi="Garamond"/>
          <w:sz w:val="20"/>
          <w:szCs w:val="20"/>
        </w:rPr>
      </w:pPr>
      <w:r w:rsidRPr="002718E2">
        <w:rPr>
          <w:i/>
          <w:sz w:val="18"/>
          <w:szCs w:val="18"/>
        </w:rPr>
        <w:t>Źródło: Ewidencja PPK, stan na 31.08.2022 r.</w:t>
      </w:r>
    </w:p>
    <w:p w14:paraId="0054E3F3" w14:textId="77777777" w:rsidR="009F67DC" w:rsidRPr="003D5D63" w:rsidRDefault="009F67DC" w:rsidP="0099412E">
      <w:pPr>
        <w:spacing w:before="6" w:after="6" w:line="288" w:lineRule="auto"/>
        <w:jc w:val="both"/>
        <w:rPr>
          <w:rFonts w:cstheme="minorHAnsi"/>
        </w:rPr>
      </w:pPr>
    </w:p>
    <w:p w14:paraId="53B992E1" w14:textId="0FB2DEFD" w:rsidR="00746DE1" w:rsidRPr="008E1BC2" w:rsidRDefault="00746DE1" w:rsidP="00746DE1">
      <w:pPr>
        <w:pStyle w:val="Legenda"/>
        <w:keepNext/>
        <w:jc w:val="both"/>
        <w:rPr>
          <w:color w:val="auto"/>
          <w:sz w:val="20"/>
          <w:szCs w:val="20"/>
        </w:rPr>
      </w:pPr>
      <w:bookmarkStart w:id="84" w:name="_Toc121826567"/>
      <w:r w:rsidRPr="008E1BC2">
        <w:rPr>
          <w:color w:val="auto"/>
          <w:sz w:val="20"/>
          <w:szCs w:val="20"/>
        </w:rPr>
        <w:t xml:space="preserve">Wykres </w:t>
      </w:r>
      <w:r w:rsidRPr="008E1BC2">
        <w:rPr>
          <w:color w:val="auto"/>
          <w:sz w:val="20"/>
          <w:szCs w:val="20"/>
        </w:rPr>
        <w:fldChar w:fldCharType="begin"/>
      </w:r>
      <w:r w:rsidRPr="008E1BC2">
        <w:rPr>
          <w:color w:val="auto"/>
          <w:sz w:val="20"/>
          <w:szCs w:val="20"/>
        </w:rPr>
        <w:instrText xml:space="preserve"> SEQ Wykres \* ARABIC </w:instrText>
      </w:r>
      <w:r w:rsidRPr="008E1BC2">
        <w:rPr>
          <w:color w:val="auto"/>
          <w:sz w:val="20"/>
          <w:szCs w:val="20"/>
        </w:rPr>
        <w:fldChar w:fldCharType="separate"/>
      </w:r>
      <w:r w:rsidR="001F2919">
        <w:rPr>
          <w:noProof/>
          <w:color w:val="auto"/>
          <w:sz w:val="20"/>
          <w:szCs w:val="20"/>
        </w:rPr>
        <w:t>17</w:t>
      </w:r>
      <w:r w:rsidRPr="008E1BC2">
        <w:rPr>
          <w:color w:val="auto"/>
          <w:sz w:val="20"/>
          <w:szCs w:val="20"/>
        </w:rPr>
        <w:fldChar w:fldCharType="end"/>
      </w:r>
      <w:r w:rsidRPr="008E1BC2">
        <w:rPr>
          <w:color w:val="auto"/>
          <w:sz w:val="20"/>
          <w:szCs w:val="20"/>
        </w:rPr>
        <w:t xml:space="preserve"> </w:t>
      </w:r>
      <w:r w:rsidRPr="008E1BC2">
        <w:rPr>
          <w:b/>
          <w:bCs/>
          <w:i w:val="0"/>
          <w:iCs w:val="0"/>
          <w:color w:val="auto"/>
          <w:sz w:val="20"/>
          <w:szCs w:val="20"/>
        </w:rPr>
        <w:t>Suma wpłat wg źródła środków – wg źródła środków (w mld)</w:t>
      </w:r>
      <w:bookmarkEnd w:id="84"/>
    </w:p>
    <w:p w14:paraId="1144A506" w14:textId="77777777" w:rsidR="00181E39" w:rsidRDefault="00091422" w:rsidP="0099412E">
      <w:pPr>
        <w:spacing w:before="6" w:after="6" w:line="288" w:lineRule="auto"/>
        <w:jc w:val="both"/>
        <w:rPr>
          <w:rFonts w:cstheme="minorHAnsi"/>
        </w:rPr>
      </w:pPr>
      <w:r>
        <w:rPr>
          <w:noProof/>
          <w:lang w:eastAsia="pl-PL"/>
        </w:rPr>
        <w:drawing>
          <wp:inline distT="0" distB="0" distL="0" distR="0" wp14:anchorId="06436DF2" wp14:editId="63DD9DBA">
            <wp:extent cx="5040000" cy="2700000"/>
            <wp:effectExtent l="0" t="0" r="8255" b="5715"/>
            <wp:docPr id="5" name="Wykres 5">
              <a:extLst xmlns:a="http://schemas.openxmlformats.org/drawingml/2006/main">
                <a:ext uri="{FF2B5EF4-FFF2-40B4-BE49-F238E27FC236}">
                  <a16:creationId xmlns:a16="http://schemas.microsoft.com/office/drawing/2014/main" id="{DEA59B53-5C52-CE04-DEE0-E395DD7C0C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17B8C88" w14:textId="77777777" w:rsidR="009F67DC" w:rsidRPr="00746DE1" w:rsidRDefault="009F67DC" w:rsidP="009F67DC">
      <w:pPr>
        <w:spacing w:before="6" w:after="6" w:line="288" w:lineRule="auto"/>
        <w:jc w:val="both"/>
        <w:rPr>
          <w:rFonts w:ascii="Garamond" w:hAnsi="Garamond"/>
          <w:sz w:val="20"/>
          <w:szCs w:val="20"/>
        </w:rPr>
      </w:pPr>
      <w:r w:rsidRPr="00746DE1">
        <w:rPr>
          <w:i/>
          <w:sz w:val="18"/>
          <w:szCs w:val="18"/>
        </w:rPr>
        <w:t>Źródło: Ewidencja PPK, stan na 31.08. 2022 r.</w:t>
      </w:r>
    </w:p>
    <w:p w14:paraId="4BCAFD78" w14:textId="77777777" w:rsidR="009F67DC" w:rsidRDefault="009F67DC" w:rsidP="0099412E">
      <w:pPr>
        <w:spacing w:before="6" w:after="6" w:line="288" w:lineRule="auto"/>
        <w:jc w:val="both"/>
        <w:rPr>
          <w:rFonts w:cstheme="minorHAnsi"/>
        </w:rPr>
      </w:pPr>
    </w:p>
    <w:p w14:paraId="456ACA0C" w14:textId="6B5E5813" w:rsidR="00746DE1" w:rsidRPr="00757BF5" w:rsidRDefault="00746DE1" w:rsidP="00746DE1">
      <w:pPr>
        <w:pStyle w:val="Legenda"/>
        <w:keepNext/>
        <w:jc w:val="both"/>
        <w:rPr>
          <w:i w:val="0"/>
          <w:iCs w:val="0"/>
          <w:color w:val="auto"/>
          <w:sz w:val="20"/>
          <w:szCs w:val="20"/>
        </w:rPr>
      </w:pPr>
      <w:bookmarkStart w:id="85" w:name="_Toc121826568"/>
      <w:r w:rsidRPr="00757BF5">
        <w:rPr>
          <w:color w:val="auto"/>
          <w:sz w:val="20"/>
          <w:szCs w:val="20"/>
        </w:rPr>
        <w:lastRenderedPageBreak/>
        <w:t xml:space="preserve">Wykres </w:t>
      </w:r>
      <w:r w:rsidRPr="00757BF5">
        <w:rPr>
          <w:color w:val="auto"/>
          <w:sz w:val="20"/>
          <w:szCs w:val="20"/>
        </w:rPr>
        <w:fldChar w:fldCharType="begin"/>
      </w:r>
      <w:r w:rsidRPr="00757BF5">
        <w:rPr>
          <w:color w:val="auto"/>
          <w:sz w:val="20"/>
          <w:szCs w:val="20"/>
        </w:rPr>
        <w:instrText xml:space="preserve"> SEQ Wykres \* ARABIC </w:instrText>
      </w:r>
      <w:r w:rsidRPr="00757BF5">
        <w:rPr>
          <w:color w:val="auto"/>
          <w:sz w:val="20"/>
          <w:szCs w:val="20"/>
        </w:rPr>
        <w:fldChar w:fldCharType="separate"/>
      </w:r>
      <w:r w:rsidR="001F2919">
        <w:rPr>
          <w:noProof/>
          <w:color w:val="auto"/>
          <w:sz w:val="20"/>
          <w:szCs w:val="20"/>
        </w:rPr>
        <w:t>18</w:t>
      </w:r>
      <w:r w:rsidRPr="00757BF5">
        <w:rPr>
          <w:color w:val="auto"/>
          <w:sz w:val="20"/>
          <w:szCs w:val="20"/>
        </w:rPr>
        <w:fldChar w:fldCharType="end"/>
      </w:r>
      <w:r w:rsidRPr="00757BF5">
        <w:rPr>
          <w:i w:val="0"/>
          <w:iCs w:val="0"/>
          <w:color w:val="auto"/>
          <w:sz w:val="20"/>
          <w:szCs w:val="20"/>
        </w:rPr>
        <w:t xml:space="preserve"> </w:t>
      </w:r>
      <w:r w:rsidRPr="00757BF5">
        <w:rPr>
          <w:b/>
          <w:bCs/>
          <w:i w:val="0"/>
          <w:iCs w:val="0"/>
          <w:color w:val="auto"/>
          <w:sz w:val="20"/>
          <w:szCs w:val="20"/>
        </w:rPr>
        <w:t>Wartość aktywów netto funduszy zdefiniowanej daty – wg typu wpłat (w mld)</w:t>
      </w:r>
      <w:bookmarkEnd w:id="85"/>
    </w:p>
    <w:p w14:paraId="2CD605F4" w14:textId="77777777" w:rsidR="003077DD" w:rsidRDefault="003077DD" w:rsidP="0099412E">
      <w:pPr>
        <w:spacing w:before="6" w:after="6" w:line="288" w:lineRule="auto"/>
        <w:jc w:val="both"/>
        <w:rPr>
          <w:rFonts w:cstheme="minorHAnsi"/>
        </w:rPr>
      </w:pPr>
      <w:r>
        <w:rPr>
          <w:noProof/>
          <w:lang w:eastAsia="pl-PL"/>
        </w:rPr>
        <w:drawing>
          <wp:inline distT="0" distB="0" distL="0" distR="0" wp14:anchorId="47F8C6FB" wp14:editId="2DF65FEE">
            <wp:extent cx="5040000" cy="2700000"/>
            <wp:effectExtent l="0" t="0" r="8255" b="5715"/>
            <wp:docPr id="6" name="Wykres 6">
              <a:extLst xmlns:a="http://schemas.openxmlformats.org/drawingml/2006/main">
                <a:ext uri="{FF2B5EF4-FFF2-40B4-BE49-F238E27FC236}">
                  <a16:creationId xmlns:a16="http://schemas.microsoft.com/office/drawing/2014/main" id="{7678DD63-008F-40F9-9ACC-0F597CC544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9AF2215" w14:textId="77777777" w:rsidR="009F67DC" w:rsidRPr="001D3497" w:rsidRDefault="009F67DC" w:rsidP="009F67DC">
      <w:pPr>
        <w:spacing w:before="6" w:after="6" w:line="288" w:lineRule="auto"/>
        <w:jc w:val="both"/>
        <w:rPr>
          <w:rFonts w:ascii="Garamond" w:hAnsi="Garamond"/>
          <w:sz w:val="20"/>
          <w:szCs w:val="20"/>
        </w:rPr>
      </w:pPr>
      <w:r w:rsidRPr="001D3497">
        <w:rPr>
          <w:i/>
          <w:sz w:val="18"/>
          <w:szCs w:val="18"/>
        </w:rPr>
        <w:t>Źródło: Ewidencja PPK, stan na 31.08.2022 r.</w:t>
      </w:r>
    </w:p>
    <w:p w14:paraId="3EBB3B33" w14:textId="77777777" w:rsidR="009F67DC" w:rsidRPr="00B131C7" w:rsidRDefault="009F67DC" w:rsidP="0099412E">
      <w:pPr>
        <w:spacing w:before="6" w:after="6" w:line="288" w:lineRule="auto"/>
        <w:jc w:val="both"/>
        <w:rPr>
          <w:rFonts w:cstheme="minorHAnsi"/>
          <w:b/>
          <w:bCs/>
        </w:rPr>
      </w:pPr>
    </w:p>
    <w:p w14:paraId="2FDAD684" w14:textId="67E36E2E" w:rsidR="00393E86" w:rsidRPr="00757BF5" w:rsidRDefault="00393E86" w:rsidP="00393E86">
      <w:pPr>
        <w:pStyle w:val="Legenda"/>
        <w:keepNext/>
        <w:jc w:val="both"/>
        <w:rPr>
          <w:b/>
          <w:bCs/>
          <w:i w:val="0"/>
          <w:iCs w:val="0"/>
          <w:color w:val="auto"/>
          <w:sz w:val="20"/>
          <w:szCs w:val="20"/>
        </w:rPr>
      </w:pPr>
      <w:bookmarkStart w:id="86" w:name="_Toc121826569"/>
      <w:r w:rsidRPr="00757BF5">
        <w:rPr>
          <w:color w:val="auto"/>
          <w:sz w:val="20"/>
          <w:szCs w:val="20"/>
        </w:rPr>
        <w:t xml:space="preserve">Wykres </w:t>
      </w:r>
      <w:r w:rsidRPr="00757BF5">
        <w:rPr>
          <w:color w:val="auto"/>
          <w:sz w:val="20"/>
          <w:szCs w:val="20"/>
        </w:rPr>
        <w:fldChar w:fldCharType="begin"/>
      </w:r>
      <w:r w:rsidRPr="00757BF5">
        <w:rPr>
          <w:color w:val="auto"/>
          <w:sz w:val="20"/>
          <w:szCs w:val="20"/>
        </w:rPr>
        <w:instrText xml:space="preserve"> SEQ Wykres \* ARABIC </w:instrText>
      </w:r>
      <w:r w:rsidRPr="00757BF5">
        <w:rPr>
          <w:color w:val="auto"/>
          <w:sz w:val="20"/>
          <w:szCs w:val="20"/>
        </w:rPr>
        <w:fldChar w:fldCharType="separate"/>
      </w:r>
      <w:r w:rsidR="001F2919">
        <w:rPr>
          <w:noProof/>
          <w:color w:val="auto"/>
          <w:sz w:val="20"/>
          <w:szCs w:val="20"/>
        </w:rPr>
        <w:t>19</w:t>
      </w:r>
      <w:r w:rsidRPr="00757BF5">
        <w:rPr>
          <w:color w:val="auto"/>
          <w:sz w:val="20"/>
          <w:szCs w:val="20"/>
        </w:rPr>
        <w:fldChar w:fldCharType="end"/>
      </w:r>
      <w:r w:rsidRPr="00757BF5">
        <w:rPr>
          <w:color w:val="auto"/>
          <w:sz w:val="20"/>
          <w:szCs w:val="20"/>
        </w:rPr>
        <w:t xml:space="preserve"> </w:t>
      </w:r>
      <w:r w:rsidRPr="00757BF5">
        <w:rPr>
          <w:b/>
          <w:bCs/>
          <w:i w:val="0"/>
          <w:iCs w:val="0"/>
          <w:color w:val="auto"/>
          <w:sz w:val="20"/>
          <w:szCs w:val="20"/>
        </w:rPr>
        <w:t>Wysokość wpłat do PPK – wg typu wpłat (w mld)</w:t>
      </w:r>
      <w:bookmarkEnd w:id="86"/>
    </w:p>
    <w:p w14:paraId="79644843" w14:textId="77777777" w:rsidR="0052113D" w:rsidRDefault="0052113D" w:rsidP="0099412E">
      <w:pPr>
        <w:spacing w:before="6" w:after="6" w:line="288" w:lineRule="auto"/>
        <w:jc w:val="both"/>
        <w:rPr>
          <w:rFonts w:cstheme="minorHAnsi"/>
        </w:rPr>
      </w:pPr>
      <w:r>
        <w:rPr>
          <w:noProof/>
          <w:lang w:eastAsia="pl-PL"/>
        </w:rPr>
        <w:drawing>
          <wp:inline distT="0" distB="0" distL="0" distR="0" wp14:anchorId="5FCAF1A5" wp14:editId="07A52C06">
            <wp:extent cx="5040000" cy="2700000"/>
            <wp:effectExtent l="0" t="0" r="8255" b="5715"/>
            <wp:docPr id="11" name="Wykres 11">
              <a:extLst xmlns:a="http://schemas.openxmlformats.org/drawingml/2006/main">
                <a:ext uri="{FF2B5EF4-FFF2-40B4-BE49-F238E27FC236}">
                  <a16:creationId xmlns:a16="http://schemas.microsoft.com/office/drawing/2014/main" id="{A0D3EF53-4A4F-4542-987B-4EA7749E97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7352907" w14:textId="77777777" w:rsidR="00211ABE" w:rsidRDefault="00211ABE" w:rsidP="00211ABE">
      <w:pPr>
        <w:spacing w:before="6" w:after="6" w:line="288" w:lineRule="auto"/>
        <w:jc w:val="both"/>
        <w:rPr>
          <w:i/>
          <w:sz w:val="18"/>
          <w:szCs w:val="18"/>
        </w:rPr>
      </w:pPr>
      <w:r w:rsidRPr="00DE516E">
        <w:rPr>
          <w:i/>
          <w:sz w:val="18"/>
          <w:szCs w:val="18"/>
        </w:rPr>
        <w:t>Źródło: Ewidencja PPK, stan na 31.08.2022 r.</w:t>
      </w:r>
    </w:p>
    <w:p w14:paraId="6D73C097" w14:textId="77777777" w:rsidR="00192FA9" w:rsidRDefault="00192FA9" w:rsidP="000E6BB3"/>
    <w:p w14:paraId="62663FC3" w14:textId="40A7BA64" w:rsidR="00C25045" w:rsidRPr="00F45903" w:rsidRDefault="00C25045" w:rsidP="00F45903">
      <w:pPr>
        <w:pStyle w:val="Legenda"/>
        <w:keepNext/>
        <w:rPr>
          <w:sz w:val="20"/>
          <w:szCs w:val="20"/>
        </w:rPr>
      </w:pPr>
      <w:bookmarkStart w:id="87" w:name="_Toc121826570"/>
      <w:r w:rsidRPr="00F45903">
        <w:rPr>
          <w:sz w:val="20"/>
          <w:szCs w:val="20"/>
        </w:rPr>
        <w:lastRenderedPageBreak/>
        <w:t xml:space="preserve">Wykres </w:t>
      </w:r>
      <w:r w:rsidRPr="00F45903">
        <w:rPr>
          <w:sz w:val="20"/>
          <w:szCs w:val="20"/>
        </w:rPr>
        <w:fldChar w:fldCharType="begin"/>
      </w:r>
      <w:r w:rsidRPr="00F45903">
        <w:rPr>
          <w:sz w:val="20"/>
          <w:szCs w:val="20"/>
        </w:rPr>
        <w:instrText xml:space="preserve"> SEQ Wykres \* ARABIC </w:instrText>
      </w:r>
      <w:r w:rsidRPr="00F45903">
        <w:rPr>
          <w:sz w:val="20"/>
          <w:szCs w:val="20"/>
        </w:rPr>
        <w:fldChar w:fldCharType="separate"/>
      </w:r>
      <w:r w:rsidR="001F2919" w:rsidRPr="00F45903">
        <w:rPr>
          <w:noProof/>
          <w:sz w:val="20"/>
          <w:szCs w:val="20"/>
        </w:rPr>
        <w:t>20</w:t>
      </w:r>
      <w:r w:rsidRPr="00F45903">
        <w:rPr>
          <w:sz w:val="20"/>
          <w:szCs w:val="20"/>
        </w:rPr>
        <w:fldChar w:fldCharType="end"/>
      </w:r>
      <w:r w:rsidRPr="00F45903">
        <w:rPr>
          <w:sz w:val="20"/>
          <w:szCs w:val="20"/>
        </w:rPr>
        <w:t xml:space="preserve"> </w:t>
      </w:r>
      <w:r w:rsidRPr="00F45903">
        <w:rPr>
          <w:b/>
          <w:bCs/>
          <w:i w:val="0"/>
          <w:iCs w:val="0"/>
          <w:sz w:val="20"/>
          <w:szCs w:val="20"/>
        </w:rPr>
        <w:t xml:space="preserve">Średnie </w:t>
      </w:r>
      <w:r w:rsidR="003F2202" w:rsidRPr="00F45903">
        <w:rPr>
          <w:b/>
          <w:bCs/>
          <w:i w:val="0"/>
          <w:iCs w:val="0"/>
          <w:sz w:val="20"/>
          <w:szCs w:val="20"/>
        </w:rPr>
        <w:t>wpłaty na rachunek</w:t>
      </w:r>
      <w:r w:rsidRPr="00F45903">
        <w:rPr>
          <w:b/>
          <w:bCs/>
          <w:i w:val="0"/>
          <w:iCs w:val="0"/>
          <w:sz w:val="20"/>
          <w:szCs w:val="20"/>
        </w:rPr>
        <w:t xml:space="preserve"> PPK i WAN (narastająco</w:t>
      </w:r>
      <w:r w:rsidR="006E0D49" w:rsidRPr="00F45903">
        <w:rPr>
          <w:b/>
          <w:bCs/>
          <w:i w:val="0"/>
          <w:iCs w:val="0"/>
          <w:sz w:val="20"/>
          <w:szCs w:val="20"/>
        </w:rPr>
        <w:t>)</w:t>
      </w:r>
      <w:r w:rsidRPr="00F45903">
        <w:rPr>
          <w:b/>
          <w:bCs/>
          <w:i w:val="0"/>
          <w:iCs w:val="0"/>
          <w:sz w:val="20"/>
          <w:szCs w:val="20"/>
        </w:rPr>
        <w:t xml:space="preserve"> w zł</w:t>
      </w:r>
      <w:bookmarkEnd w:id="87"/>
    </w:p>
    <w:p w14:paraId="7A6F6959" w14:textId="264FF2BE" w:rsidR="004E262B" w:rsidRDefault="00C25045" w:rsidP="000E6BB3">
      <w:r>
        <w:rPr>
          <w:noProof/>
          <w:lang w:eastAsia="pl-PL"/>
        </w:rPr>
        <w:drawing>
          <wp:inline distT="0" distB="0" distL="0" distR="0" wp14:anchorId="64203930" wp14:editId="6ADBF8E5">
            <wp:extent cx="5940000" cy="3600000"/>
            <wp:effectExtent l="0" t="0" r="3810" b="635"/>
            <wp:docPr id="13" name="Wykres 13">
              <a:extLst xmlns:a="http://schemas.openxmlformats.org/drawingml/2006/main">
                <a:ext uri="{FF2B5EF4-FFF2-40B4-BE49-F238E27FC236}">
                  <a16:creationId xmlns:a16="http://schemas.microsoft.com/office/drawing/2014/main" id="{DC6A22EB-C5D2-4896-A95E-0EB27DA453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E82457F" w14:textId="04B8CB7A" w:rsidR="00066B54" w:rsidRPr="00F45903" w:rsidRDefault="00F211FF" w:rsidP="000E6BB3">
      <w:pPr>
        <w:rPr>
          <w:sz w:val="18"/>
          <w:szCs w:val="18"/>
        </w:rPr>
      </w:pPr>
      <w:r w:rsidRPr="00F45903">
        <w:rPr>
          <w:sz w:val="18"/>
          <w:szCs w:val="18"/>
        </w:rPr>
        <w:t xml:space="preserve">Źródło: </w:t>
      </w:r>
      <w:r w:rsidR="00C5230A" w:rsidRPr="00C5230A">
        <w:rPr>
          <w:i/>
          <w:iCs/>
          <w:sz w:val="18"/>
          <w:szCs w:val="18"/>
        </w:rPr>
        <w:t>Ewidencja PPK</w:t>
      </w:r>
    </w:p>
    <w:p w14:paraId="36DDE82F" w14:textId="52D95EB0" w:rsidR="004B1D38" w:rsidRPr="00F45903" w:rsidRDefault="004B1D38" w:rsidP="00F45903">
      <w:pPr>
        <w:pStyle w:val="Legenda"/>
        <w:keepNext/>
        <w:rPr>
          <w:sz w:val="20"/>
          <w:szCs w:val="20"/>
        </w:rPr>
      </w:pPr>
      <w:bookmarkStart w:id="88" w:name="_Toc121826571"/>
      <w:r w:rsidRPr="00F45903">
        <w:rPr>
          <w:sz w:val="20"/>
          <w:szCs w:val="20"/>
        </w:rPr>
        <w:t xml:space="preserve">Wykres </w:t>
      </w:r>
      <w:r w:rsidRPr="00F45903">
        <w:rPr>
          <w:sz w:val="20"/>
          <w:szCs w:val="20"/>
        </w:rPr>
        <w:fldChar w:fldCharType="begin"/>
      </w:r>
      <w:r w:rsidRPr="00F45903">
        <w:rPr>
          <w:sz w:val="20"/>
          <w:szCs w:val="20"/>
        </w:rPr>
        <w:instrText xml:space="preserve"> SEQ Wykres \* ARABIC </w:instrText>
      </w:r>
      <w:r w:rsidRPr="00F45903">
        <w:rPr>
          <w:sz w:val="20"/>
          <w:szCs w:val="20"/>
        </w:rPr>
        <w:fldChar w:fldCharType="separate"/>
      </w:r>
      <w:r w:rsidR="001F2919" w:rsidRPr="00F45903">
        <w:rPr>
          <w:noProof/>
          <w:sz w:val="20"/>
          <w:szCs w:val="20"/>
        </w:rPr>
        <w:t>21</w:t>
      </w:r>
      <w:r w:rsidRPr="00F45903">
        <w:rPr>
          <w:sz w:val="20"/>
          <w:szCs w:val="20"/>
        </w:rPr>
        <w:fldChar w:fldCharType="end"/>
      </w:r>
      <w:r w:rsidRPr="00F45903">
        <w:rPr>
          <w:sz w:val="20"/>
          <w:szCs w:val="20"/>
        </w:rPr>
        <w:t xml:space="preserve"> </w:t>
      </w:r>
      <w:r w:rsidRPr="00F45903">
        <w:rPr>
          <w:b/>
          <w:bCs/>
          <w:i w:val="0"/>
          <w:iCs w:val="0"/>
          <w:sz w:val="20"/>
          <w:szCs w:val="20"/>
        </w:rPr>
        <w:t xml:space="preserve">Średnie </w:t>
      </w:r>
      <w:r w:rsidR="00EF13F6" w:rsidRPr="00F45903">
        <w:rPr>
          <w:b/>
          <w:bCs/>
          <w:i w:val="0"/>
          <w:iCs w:val="0"/>
          <w:sz w:val="20"/>
          <w:szCs w:val="20"/>
        </w:rPr>
        <w:t>wpłaty</w:t>
      </w:r>
      <w:r w:rsidRPr="00F45903">
        <w:rPr>
          <w:b/>
          <w:bCs/>
          <w:i w:val="0"/>
          <w:iCs w:val="0"/>
          <w:sz w:val="20"/>
          <w:szCs w:val="20"/>
        </w:rPr>
        <w:t xml:space="preserve"> </w:t>
      </w:r>
      <w:r w:rsidR="00033970" w:rsidRPr="00F45903">
        <w:rPr>
          <w:b/>
          <w:bCs/>
          <w:i w:val="0"/>
          <w:iCs w:val="0"/>
          <w:sz w:val="20"/>
          <w:szCs w:val="20"/>
        </w:rPr>
        <w:t>na rachunek</w:t>
      </w:r>
      <w:r w:rsidRPr="00F45903">
        <w:rPr>
          <w:b/>
          <w:bCs/>
          <w:i w:val="0"/>
          <w:iCs w:val="0"/>
          <w:sz w:val="20"/>
          <w:szCs w:val="20"/>
        </w:rPr>
        <w:t xml:space="preserve"> PPK i WAN </w:t>
      </w:r>
      <w:r w:rsidR="00EF13F6" w:rsidRPr="00F45903">
        <w:rPr>
          <w:b/>
          <w:bCs/>
          <w:i w:val="0"/>
          <w:iCs w:val="0"/>
          <w:sz w:val="20"/>
          <w:szCs w:val="20"/>
        </w:rPr>
        <w:t>(rocz</w:t>
      </w:r>
      <w:r w:rsidR="00FD5123" w:rsidRPr="00F45903">
        <w:rPr>
          <w:b/>
          <w:bCs/>
          <w:i w:val="0"/>
          <w:iCs w:val="0"/>
          <w:sz w:val="20"/>
          <w:szCs w:val="20"/>
        </w:rPr>
        <w:t xml:space="preserve">nie) </w:t>
      </w:r>
      <w:r w:rsidRPr="00F45903">
        <w:rPr>
          <w:b/>
          <w:bCs/>
          <w:i w:val="0"/>
          <w:iCs w:val="0"/>
          <w:sz w:val="20"/>
          <w:szCs w:val="20"/>
        </w:rPr>
        <w:t>w zł</w:t>
      </w:r>
      <w:bookmarkEnd w:id="88"/>
    </w:p>
    <w:p w14:paraId="76936B83" w14:textId="44514D20" w:rsidR="00375A42" w:rsidRDefault="00066B54" w:rsidP="000E6BB3">
      <w:r>
        <w:rPr>
          <w:noProof/>
          <w:lang w:eastAsia="pl-PL"/>
        </w:rPr>
        <w:drawing>
          <wp:inline distT="0" distB="0" distL="0" distR="0" wp14:anchorId="7E089B77" wp14:editId="2383D051">
            <wp:extent cx="5940000" cy="3600000"/>
            <wp:effectExtent l="0" t="0" r="3810" b="635"/>
            <wp:docPr id="16" name="Wykres 16">
              <a:extLst xmlns:a="http://schemas.openxmlformats.org/drawingml/2006/main">
                <a:ext uri="{FF2B5EF4-FFF2-40B4-BE49-F238E27FC236}">
                  <a16:creationId xmlns:a16="http://schemas.microsoft.com/office/drawing/2014/main" id="{C6D8261C-C420-4B60-BF98-F9C3B79D09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5476F9F" w14:textId="77777777" w:rsidR="00C5230A" w:rsidRPr="00D25766" w:rsidRDefault="00C5230A" w:rsidP="00C5230A">
      <w:pPr>
        <w:rPr>
          <w:sz w:val="18"/>
          <w:szCs w:val="18"/>
        </w:rPr>
      </w:pPr>
      <w:r w:rsidRPr="00D25766">
        <w:rPr>
          <w:sz w:val="18"/>
          <w:szCs w:val="18"/>
        </w:rPr>
        <w:t xml:space="preserve">Źródło: </w:t>
      </w:r>
      <w:r w:rsidRPr="00C5230A">
        <w:rPr>
          <w:i/>
          <w:iCs/>
          <w:sz w:val="18"/>
          <w:szCs w:val="18"/>
        </w:rPr>
        <w:t>Ewidencja PPK</w:t>
      </w:r>
    </w:p>
    <w:p w14:paraId="42A848A8" w14:textId="6F508DD9" w:rsidR="001F2919" w:rsidRPr="00F45903" w:rsidRDefault="001F2919" w:rsidP="00F45903">
      <w:pPr>
        <w:pStyle w:val="Legenda"/>
        <w:keepNext/>
        <w:rPr>
          <w:i w:val="0"/>
          <w:iCs w:val="0"/>
          <w:sz w:val="20"/>
          <w:szCs w:val="20"/>
        </w:rPr>
      </w:pPr>
      <w:bookmarkStart w:id="89" w:name="_Toc121826572"/>
      <w:r w:rsidRPr="00F45903">
        <w:rPr>
          <w:sz w:val="20"/>
          <w:szCs w:val="20"/>
        </w:rPr>
        <w:lastRenderedPageBreak/>
        <w:t xml:space="preserve">Wykres </w:t>
      </w:r>
      <w:r w:rsidRPr="00F45903">
        <w:rPr>
          <w:sz w:val="20"/>
          <w:szCs w:val="20"/>
        </w:rPr>
        <w:fldChar w:fldCharType="begin"/>
      </w:r>
      <w:r w:rsidRPr="00F45903">
        <w:rPr>
          <w:sz w:val="20"/>
          <w:szCs w:val="20"/>
        </w:rPr>
        <w:instrText xml:space="preserve"> SEQ Wykres \* ARABIC </w:instrText>
      </w:r>
      <w:r w:rsidRPr="00F45903">
        <w:rPr>
          <w:sz w:val="20"/>
          <w:szCs w:val="20"/>
        </w:rPr>
        <w:fldChar w:fldCharType="separate"/>
      </w:r>
      <w:r w:rsidRPr="00F45903">
        <w:rPr>
          <w:noProof/>
          <w:sz w:val="20"/>
          <w:szCs w:val="20"/>
        </w:rPr>
        <w:t>22</w:t>
      </w:r>
      <w:r w:rsidRPr="00F45903">
        <w:rPr>
          <w:sz w:val="20"/>
          <w:szCs w:val="20"/>
        </w:rPr>
        <w:fldChar w:fldCharType="end"/>
      </w:r>
      <w:r w:rsidRPr="00F45903">
        <w:rPr>
          <w:sz w:val="20"/>
          <w:szCs w:val="20"/>
        </w:rPr>
        <w:t xml:space="preserve"> </w:t>
      </w:r>
      <w:r w:rsidRPr="00F45903">
        <w:rPr>
          <w:b/>
          <w:bCs/>
          <w:i w:val="0"/>
          <w:iCs w:val="0"/>
          <w:sz w:val="20"/>
          <w:szCs w:val="20"/>
        </w:rPr>
        <w:t xml:space="preserve">Średnie dopłaty od państwa, wpłaty pracodawcy i wpłaty uczestnika PPK </w:t>
      </w:r>
      <w:r w:rsidR="001B1F44" w:rsidRPr="00F45903">
        <w:rPr>
          <w:b/>
          <w:bCs/>
          <w:i w:val="0"/>
          <w:iCs w:val="0"/>
          <w:sz w:val="20"/>
          <w:szCs w:val="20"/>
        </w:rPr>
        <w:t xml:space="preserve">(rocznie) </w:t>
      </w:r>
      <w:r w:rsidRPr="00F45903">
        <w:rPr>
          <w:b/>
          <w:bCs/>
          <w:i w:val="0"/>
          <w:iCs w:val="0"/>
          <w:sz w:val="20"/>
          <w:szCs w:val="20"/>
        </w:rPr>
        <w:t>w zł</w:t>
      </w:r>
      <w:bookmarkEnd w:id="89"/>
    </w:p>
    <w:p w14:paraId="24FF2AA6" w14:textId="24C66805" w:rsidR="00066B54" w:rsidRDefault="004B1D38" w:rsidP="000E6BB3">
      <w:r>
        <w:rPr>
          <w:noProof/>
          <w:lang w:eastAsia="pl-PL"/>
        </w:rPr>
        <w:drawing>
          <wp:inline distT="0" distB="0" distL="0" distR="0" wp14:anchorId="6A9151C5" wp14:editId="67914775">
            <wp:extent cx="5939790" cy="3780000"/>
            <wp:effectExtent l="0" t="0" r="3810" b="11430"/>
            <wp:docPr id="23" name="Wykres 23">
              <a:extLst xmlns:a="http://schemas.openxmlformats.org/drawingml/2006/main">
                <a:ext uri="{FF2B5EF4-FFF2-40B4-BE49-F238E27FC236}">
                  <a16:creationId xmlns:a16="http://schemas.microsoft.com/office/drawing/2014/main" id="{FBA638F5-5F50-4832-B419-EC6B58E8B8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5D075A3" w14:textId="546F76D8" w:rsidR="00291ADC" w:rsidRPr="00F45903" w:rsidRDefault="00C5230A" w:rsidP="000E6BB3">
      <w:pPr>
        <w:rPr>
          <w:sz w:val="18"/>
          <w:szCs w:val="18"/>
        </w:rPr>
      </w:pPr>
      <w:r w:rsidRPr="00D25766">
        <w:rPr>
          <w:sz w:val="18"/>
          <w:szCs w:val="18"/>
        </w:rPr>
        <w:t xml:space="preserve">Źródło: </w:t>
      </w:r>
      <w:r w:rsidRPr="00C5230A">
        <w:rPr>
          <w:i/>
          <w:iCs/>
          <w:sz w:val="18"/>
          <w:szCs w:val="18"/>
        </w:rPr>
        <w:t>Ewidencja PPK</w:t>
      </w:r>
    </w:p>
    <w:p w14:paraId="0CB052E6" w14:textId="77777777" w:rsidR="00736D01" w:rsidRPr="00DE516E" w:rsidRDefault="00D15013" w:rsidP="003B349E">
      <w:pPr>
        <w:jc w:val="both"/>
      </w:pPr>
      <w:r>
        <w:t xml:space="preserve">Jak wynika z danych otrzymanych od KNF, </w:t>
      </w:r>
      <w:r w:rsidR="00181831">
        <w:t>na</w:t>
      </w:r>
      <w:r w:rsidR="001F0BDC">
        <w:t xml:space="preserve"> koniec 2021 r.</w:t>
      </w:r>
      <w:r w:rsidR="00181831">
        <w:t xml:space="preserve"> </w:t>
      </w:r>
      <w:r>
        <w:t>prawie 50% o</w:t>
      </w:r>
      <w:r w:rsidR="000E6BB3">
        <w:t>szczędności zgromadzon</w:t>
      </w:r>
      <w:r>
        <w:t>ych</w:t>
      </w:r>
      <w:r w:rsidR="000E6BB3">
        <w:t xml:space="preserve"> przez uczestników PPK</w:t>
      </w:r>
      <w:r>
        <w:t xml:space="preserve"> </w:t>
      </w:r>
      <w:r w:rsidR="00F146B5">
        <w:t>ulokowan</w:t>
      </w:r>
      <w:r w:rsidR="00895D4C">
        <w:t>ych</w:t>
      </w:r>
      <w:r w:rsidR="00F146B5">
        <w:t xml:space="preserve"> </w:t>
      </w:r>
      <w:r w:rsidR="00F138F4">
        <w:t>było w in</w:t>
      </w:r>
      <w:r w:rsidR="00F146B5">
        <w:t>strumentac</w:t>
      </w:r>
      <w:r w:rsidR="00DC6142">
        <w:t>h udziałowych</w:t>
      </w:r>
      <w:r w:rsidR="00583654">
        <w:t xml:space="preserve"> (głównie </w:t>
      </w:r>
      <w:r w:rsidR="00DC6142">
        <w:t>akcj</w:t>
      </w:r>
      <w:r w:rsidR="00895D4C">
        <w:t>e</w:t>
      </w:r>
      <w:r w:rsidR="00583654">
        <w:t>)</w:t>
      </w:r>
      <w:r w:rsidR="00DC6142">
        <w:t>.</w:t>
      </w:r>
      <w:r w:rsidR="00C626C7">
        <w:t xml:space="preserve"> </w:t>
      </w:r>
      <w:r w:rsidR="00736D01">
        <w:t>W</w:t>
      </w:r>
      <w:r w:rsidR="003B349E">
        <w:t> </w:t>
      </w:r>
      <w:r w:rsidR="00736D01">
        <w:t>i</w:t>
      </w:r>
      <w:r w:rsidR="00C626C7">
        <w:t>nstrumenty dłużne (</w:t>
      </w:r>
      <w:r w:rsidR="00895D4C">
        <w:t xml:space="preserve">m.in. </w:t>
      </w:r>
      <w:r w:rsidR="005E7E46">
        <w:t>obligacje</w:t>
      </w:r>
      <w:r w:rsidR="00583654">
        <w:t xml:space="preserve"> i </w:t>
      </w:r>
      <w:r w:rsidR="005C4331">
        <w:t>instrumenty rynku pieniężnego</w:t>
      </w:r>
      <w:r w:rsidR="005E7E46">
        <w:t>)</w:t>
      </w:r>
      <w:r w:rsidR="00736D01">
        <w:t xml:space="preserve"> </w:t>
      </w:r>
      <w:r w:rsidR="00557A77">
        <w:t xml:space="preserve">ulokowanych </w:t>
      </w:r>
      <w:r w:rsidR="00F138F4">
        <w:t>było</w:t>
      </w:r>
      <w:r w:rsidR="00736D01">
        <w:t xml:space="preserve"> nieco ponad 40% </w:t>
      </w:r>
      <w:r w:rsidR="00557A77">
        <w:t>wszystkich oszczędności.</w:t>
      </w:r>
      <w:r w:rsidR="005A5C9C">
        <w:t xml:space="preserve"> </w:t>
      </w:r>
      <w:r w:rsidR="00181831">
        <w:t>Natomiast w tytuły uczestnictwa emitowane przez zagraniczne fundusze inwestycyjnego zainwestowan</w:t>
      </w:r>
      <w:r w:rsidR="00BF2EF2">
        <w:t>o</w:t>
      </w:r>
      <w:r w:rsidR="005B1930">
        <w:t xml:space="preserve"> na koniec 2021 r.</w:t>
      </w:r>
      <w:r w:rsidR="00BF2EF2">
        <w:t xml:space="preserve"> </w:t>
      </w:r>
      <w:r w:rsidR="00DF2C97">
        <w:t>10,1% aktywów.</w:t>
      </w:r>
    </w:p>
    <w:p w14:paraId="636906B6" w14:textId="532F22F8" w:rsidR="001C401A" w:rsidRPr="009B55B6" w:rsidRDefault="001C401A" w:rsidP="009B55B6">
      <w:pPr>
        <w:pStyle w:val="Legenda"/>
        <w:keepNext/>
        <w:jc w:val="both"/>
        <w:rPr>
          <w:b/>
          <w:color w:val="auto"/>
          <w:sz w:val="20"/>
          <w:szCs w:val="20"/>
        </w:rPr>
      </w:pPr>
      <w:bookmarkStart w:id="90" w:name="_Toc121826573"/>
      <w:r w:rsidRPr="009B55B6">
        <w:rPr>
          <w:color w:val="auto"/>
          <w:sz w:val="20"/>
          <w:szCs w:val="20"/>
        </w:rPr>
        <w:lastRenderedPageBreak/>
        <w:t xml:space="preserve">Wykres </w:t>
      </w:r>
      <w:r w:rsidRPr="009B55B6">
        <w:rPr>
          <w:color w:val="auto"/>
          <w:sz w:val="20"/>
          <w:szCs w:val="20"/>
        </w:rPr>
        <w:fldChar w:fldCharType="begin"/>
      </w:r>
      <w:r w:rsidRPr="009B55B6">
        <w:rPr>
          <w:color w:val="auto"/>
          <w:sz w:val="20"/>
          <w:szCs w:val="20"/>
        </w:rPr>
        <w:instrText xml:space="preserve"> SEQ Wykres \* ARABIC </w:instrText>
      </w:r>
      <w:r w:rsidRPr="009B55B6">
        <w:rPr>
          <w:color w:val="auto"/>
          <w:sz w:val="20"/>
          <w:szCs w:val="20"/>
        </w:rPr>
        <w:fldChar w:fldCharType="separate"/>
      </w:r>
      <w:r w:rsidR="001F2919">
        <w:rPr>
          <w:noProof/>
          <w:color w:val="auto"/>
          <w:sz w:val="20"/>
          <w:szCs w:val="20"/>
        </w:rPr>
        <w:t>23</w:t>
      </w:r>
      <w:r w:rsidRPr="009B55B6">
        <w:rPr>
          <w:color w:val="auto"/>
          <w:sz w:val="20"/>
          <w:szCs w:val="20"/>
        </w:rPr>
        <w:fldChar w:fldCharType="end"/>
      </w:r>
      <w:r w:rsidR="008B0887" w:rsidRPr="009B55B6">
        <w:rPr>
          <w:b/>
          <w:bCs/>
          <w:color w:val="auto"/>
          <w:sz w:val="20"/>
          <w:szCs w:val="20"/>
        </w:rPr>
        <w:t xml:space="preserve"> </w:t>
      </w:r>
      <w:r w:rsidR="008B0887" w:rsidRPr="009B55B6">
        <w:rPr>
          <w:b/>
          <w:bCs/>
          <w:i w:val="0"/>
          <w:iCs w:val="0"/>
          <w:color w:val="auto"/>
          <w:sz w:val="20"/>
          <w:szCs w:val="20"/>
        </w:rPr>
        <w:t>Portfel FZD PPK</w:t>
      </w:r>
      <w:bookmarkEnd w:id="90"/>
    </w:p>
    <w:p w14:paraId="4F33670E" w14:textId="77777777" w:rsidR="00211ABE" w:rsidRDefault="001C401A" w:rsidP="00B131C7">
      <w:pPr>
        <w:spacing w:before="6" w:after="6" w:line="288" w:lineRule="auto"/>
        <w:jc w:val="both"/>
        <w:rPr>
          <w:rFonts w:cstheme="minorHAnsi"/>
        </w:rPr>
      </w:pPr>
      <w:r>
        <w:rPr>
          <w:noProof/>
          <w:lang w:eastAsia="pl-PL"/>
        </w:rPr>
        <w:drawing>
          <wp:inline distT="0" distB="0" distL="0" distR="0" wp14:anchorId="669696ED" wp14:editId="3A28FD81">
            <wp:extent cx="5760720" cy="4603115"/>
            <wp:effectExtent l="0" t="0" r="11430" b="6985"/>
            <wp:docPr id="21" name="Wykres 21">
              <a:extLst xmlns:a="http://schemas.openxmlformats.org/drawingml/2006/main">
                <a:ext uri="{FF2B5EF4-FFF2-40B4-BE49-F238E27FC236}">
                  <a16:creationId xmlns:a16="http://schemas.microsoft.com/office/drawing/2014/main" id="{7E20468C-6A00-BE21-F337-B35CB317B5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0205765B" w14:textId="77777777" w:rsidR="008B0887" w:rsidRDefault="008B0887" w:rsidP="00B131C7">
      <w:pPr>
        <w:spacing w:before="6" w:after="6" w:line="288" w:lineRule="auto"/>
        <w:jc w:val="both"/>
        <w:rPr>
          <w:rFonts w:cstheme="minorHAnsi"/>
          <w:i/>
          <w:iCs/>
          <w:sz w:val="18"/>
          <w:szCs w:val="18"/>
        </w:rPr>
      </w:pPr>
      <w:r w:rsidRPr="009B55B6">
        <w:rPr>
          <w:rFonts w:cstheme="minorHAnsi"/>
          <w:i/>
          <w:sz w:val="18"/>
          <w:szCs w:val="18"/>
        </w:rPr>
        <w:t xml:space="preserve">Źródło: </w:t>
      </w:r>
      <w:r w:rsidR="009B55B6">
        <w:rPr>
          <w:rFonts w:cstheme="minorHAnsi"/>
          <w:i/>
          <w:sz w:val="18"/>
          <w:szCs w:val="18"/>
        </w:rPr>
        <w:t>d</w:t>
      </w:r>
      <w:r w:rsidR="00D15C11" w:rsidRPr="009B55B6">
        <w:rPr>
          <w:rFonts w:cstheme="minorHAnsi"/>
          <w:i/>
          <w:iCs/>
          <w:sz w:val="18"/>
          <w:szCs w:val="18"/>
        </w:rPr>
        <w:t>ane KNF</w:t>
      </w:r>
    </w:p>
    <w:p w14:paraId="269A349C" w14:textId="77777777" w:rsidR="009B55B6" w:rsidRDefault="009B55B6" w:rsidP="00B131C7">
      <w:pPr>
        <w:spacing w:before="6" w:after="6" w:line="288" w:lineRule="auto"/>
        <w:jc w:val="both"/>
        <w:rPr>
          <w:rFonts w:cstheme="minorHAnsi"/>
          <w:i/>
          <w:sz w:val="18"/>
          <w:szCs w:val="18"/>
        </w:rPr>
      </w:pPr>
    </w:p>
    <w:p w14:paraId="04E11D51" w14:textId="77777777" w:rsidR="00211ABE" w:rsidRPr="00211ABE" w:rsidRDefault="005866C6">
      <w:pPr>
        <w:pStyle w:val="Nagwek2"/>
        <w:numPr>
          <w:ilvl w:val="0"/>
          <w:numId w:val="25"/>
        </w:numPr>
        <w:spacing w:before="6" w:after="6" w:line="288" w:lineRule="auto"/>
      </w:pPr>
      <w:bookmarkStart w:id="91" w:name="_Toc121828636"/>
      <w:r>
        <w:rPr>
          <w:rFonts w:cstheme="minorHAnsi"/>
        </w:rPr>
        <w:t>Wynagrodzenie i o</w:t>
      </w:r>
      <w:r w:rsidR="00294209">
        <w:rPr>
          <w:rFonts w:cstheme="minorHAnsi"/>
        </w:rPr>
        <w:t>płaty</w:t>
      </w:r>
      <w:bookmarkEnd w:id="91"/>
    </w:p>
    <w:p w14:paraId="4B2E7255" w14:textId="77777777" w:rsidR="005570CA" w:rsidRDefault="003B349E" w:rsidP="00905FFB">
      <w:pPr>
        <w:spacing w:before="6" w:after="6" w:line="288" w:lineRule="auto"/>
        <w:jc w:val="both"/>
        <w:rPr>
          <w:rFonts w:cstheme="minorHAnsi"/>
        </w:rPr>
      </w:pPr>
      <w:r>
        <w:rPr>
          <w:rFonts w:cstheme="minorHAnsi"/>
        </w:rPr>
        <w:t>I</w:t>
      </w:r>
      <w:r w:rsidR="00C7291B" w:rsidRPr="003D5D63">
        <w:rPr>
          <w:rFonts w:cstheme="minorHAnsi"/>
        </w:rPr>
        <w:t>nstytucje prowadzące PPK mogą pobierać wynagrodzenie za zarządzanie tylko od tej części aktywów netto funduszy zdefiniowanej daty, która nie przewyższa 15% wartości aktywów netto wszystkich funduszy zdefiniowanej daty na rynku PPK (według wartości na ostatni dzień roboczy kwartału będący dniem wyceny, a w przypadku ostatniego kwartału roku obrotowego – na dzień bilansowy). Limit ten stosuje się indywidualnie do poszczególnych instytucji zarządzających PPK (TFI, PTE, PrTE, zakład ubezpieczeń) oraz łącznie do instytucji, które wchodzą w skład tej samej grupy kapitałowej.</w:t>
      </w:r>
      <w:r w:rsidR="004326AA">
        <w:rPr>
          <w:rFonts w:cstheme="minorHAnsi"/>
        </w:rPr>
        <w:t xml:space="preserve"> </w:t>
      </w:r>
    </w:p>
    <w:p w14:paraId="4FE512C6" w14:textId="7E1B630F" w:rsidR="0029150C" w:rsidRPr="008B733A" w:rsidRDefault="00C7291B" w:rsidP="00905FFB">
      <w:pPr>
        <w:spacing w:before="6" w:after="6" w:line="288" w:lineRule="auto"/>
        <w:jc w:val="both"/>
        <w:rPr>
          <w:rFonts w:ascii="Garamond" w:hAnsi="Garamond"/>
          <w:sz w:val="24"/>
          <w:szCs w:val="24"/>
        </w:rPr>
      </w:pPr>
      <w:r w:rsidRPr="003D5D63">
        <w:rPr>
          <w:rFonts w:cstheme="minorHAnsi"/>
        </w:rPr>
        <w:t xml:space="preserve">Instytucje, które przekraczają limit udziału w rynku </w:t>
      </w:r>
      <w:r w:rsidR="0018451D">
        <w:rPr>
          <w:rFonts w:cstheme="minorHAnsi"/>
        </w:rPr>
        <w:t xml:space="preserve">PPK </w:t>
      </w:r>
      <w:r w:rsidRPr="003D5D63">
        <w:rPr>
          <w:rFonts w:cstheme="minorHAnsi"/>
        </w:rPr>
        <w:t xml:space="preserve">i pobierają </w:t>
      </w:r>
      <w:r w:rsidR="00116C93">
        <w:rPr>
          <w:rFonts w:cstheme="minorHAnsi"/>
        </w:rPr>
        <w:t xml:space="preserve">w związku z tym </w:t>
      </w:r>
      <w:r w:rsidRPr="003D5D63">
        <w:rPr>
          <w:rFonts w:cstheme="minorHAnsi"/>
        </w:rPr>
        <w:t xml:space="preserve">wynagrodzenie tylko od części aktywów, to PKO TFI S.A. (31,81%), a także </w:t>
      </w:r>
      <w:r w:rsidR="005C27C1">
        <w:rPr>
          <w:rFonts w:cstheme="minorHAnsi"/>
        </w:rPr>
        <w:t>–</w:t>
      </w:r>
      <w:r w:rsidR="00D67FE7">
        <w:rPr>
          <w:rFonts w:cstheme="minorHAnsi"/>
        </w:rPr>
        <w:t xml:space="preserve"> </w:t>
      </w:r>
      <w:r w:rsidRPr="003D5D63">
        <w:rPr>
          <w:rFonts w:cstheme="minorHAnsi"/>
        </w:rPr>
        <w:t xml:space="preserve">będące w jednej grupie kapitałowej </w:t>
      </w:r>
      <w:r w:rsidR="005C27C1">
        <w:rPr>
          <w:rFonts w:cstheme="minorHAnsi"/>
        </w:rPr>
        <w:t>–</w:t>
      </w:r>
      <w:r w:rsidR="00D67FE7">
        <w:rPr>
          <w:rFonts w:cstheme="minorHAnsi"/>
        </w:rPr>
        <w:t xml:space="preserve"> </w:t>
      </w:r>
      <w:r w:rsidRPr="003D5D63">
        <w:rPr>
          <w:rFonts w:cstheme="minorHAnsi"/>
        </w:rPr>
        <w:t>TFI PZU S.A. i Pekao TFI S.A. (w</w:t>
      </w:r>
      <w:r w:rsidR="003F1F39">
        <w:rPr>
          <w:rFonts w:cstheme="minorHAnsi"/>
        </w:rPr>
        <w:t> </w:t>
      </w:r>
      <w:r w:rsidRPr="003D5D63">
        <w:rPr>
          <w:rFonts w:cstheme="minorHAnsi"/>
        </w:rPr>
        <w:t>sumie 24,41%).</w:t>
      </w:r>
    </w:p>
    <w:p w14:paraId="220E255A" w14:textId="77777777" w:rsidR="007E7D77" w:rsidRDefault="007E7D77" w:rsidP="00905FFB">
      <w:pPr>
        <w:spacing w:before="6" w:after="6" w:line="288" w:lineRule="auto"/>
        <w:jc w:val="both"/>
        <w:rPr>
          <w:rFonts w:cstheme="minorHAnsi"/>
        </w:rPr>
      </w:pPr>
    </w:p>
    <w:p w14:paraId="13BBA4FF" w14:textId="0B7A7D88" w:rsidR="0029150C" w:rsidRPr="00DE3CE8" w:rsidRDefault="0029150C" w:rsidP="00905FFB">
      <w:pPr>
        <w:spacing w:before="6" w:after="6" w:line="288" w:lineRule="auto"/>
        <w:jc w:val="both"/>
        <w:rPr>
          <w:rFonts w:cstheme="minorHAnsi"/>
        </w:rPr>
      </w:pPr>
      <w:r w:rsidRPr="00DE3CE8">
        <w:rPr>
          <w:rFonts w:cstheme="minorHAnsi"/>
        </w:rPr>
        <w:t>Ze środków gromadzonych przez uczestnika PPK instytucja finansowa może pobierać tzw.</w:t>
      </w:r>
      <w:r w:rsidR="00F25E71">
        <w:rPr>
          <w:rFonts w:cstheme="minorHAnsi"/>
        </w:rPr>
        <w:t> </w:t>
      </w:r>
      <w:r w:rsidR="00FD721D">
        <w:rPr>
          <w:rFonts w:cstheme="minorHAnsi"/>
        </w:rPr>
        <w:t xml:space="preserve">wynagrodzenie </w:t>
      </w:r>
      <w:r w:rsidRPr="00DE3CE8">
        <w:rPr>
          <w:rFonts w:cstheme="minorHAnsi"/>
        </w:rPr>
        <w:t>za zarządzanie</w:t>
      </w:r>
      <w:r w:rsidR="002A36FC">
        <w:rPr>
          <w:rFonts w:cstheme="minorHAnsi"/>
        </w:rPr>
        <w:t xml:space="preserve"> (nie mo</w:t>
      </w:r>
      <w:r w:rsidR="00FD721D">
        <w:rPr>
          <w:rFonts w:cstheme="minorHAnsi"/>
        </w:rPr>
        <w:t xml:space="preserve">że być </w:t>
      </w:r>
      <w:r w:rsidR="002A36FC">
        <w:rPr>
          <w:rFonts w:cstheme="minorHAnsi"/>
        </w:rPr>
        <w:t xml:space="preserve">one wyższe niż </w:t>
      </w:r>
      <w:r w:rsidR="00C922D7">
        <w:rPr>
          <w:rFonts w:cstheme="minorHAnsi"/>
        </w:rPr>
        <w:t>0</w:t>
      </w:r>
      <w:r w:rsidR="00081A8E">
        <w:rPr>
          <w:rFonts w:cstheme="minorHAnsi"/>
        </w:rPr>
        <w:t>,5%</w:t>
      </w:r>
      <w:r w:rsidR="00BC490A">
        <w:rPr>
          <w:rFonts w:cstheme="minorHAnsi"/>
        </w:rPr>
        <w:t xml:space="preserve"> wartości aktywów</w:t>
      </w:r>
      <w:r w:rsidR="00B070AE">
        <w:rPr>
          <w:rFonts w:cstheme="minorHAnsi"/>
        </w:rPr>
        <w:t xml:space="preserve"> netto funduszu w skali roku</w:t>
      </w:r>
      <w:r w:rsidR="00C922D7">
        <w:rPr>
          <w:rFonts w:cstheme="minorHAnsi"/>
        </w:rPr>
        <w:t>)</w:t>
      </w:r>
      <w:r w:rsidR="005C222E">
        <w:rPr>
          <w:rFonts w:cstheme="minorHAnsi"/>
        </w:rPr>
        <w:t>.</w:t>
      </w:r>
      <w:r w:rsidR="00EB0A81">
        <w:t xml:space="preserve"> </w:t>
      </w:r>
      <w:r w:rsidR="00EA3866" w:rsidRPr="00EA3866">
        <w:rPr>
          <w:rFonts w:cstheme="minorHAnsi"/>
        </w:rPr>
        <w:t>Wysokość wynagrodzenia za zarządzanie jest pobierana od środków zainwestowanych w</w:t>
      </w:r>
      <w:r w:rsidR="00DA1AEC">
        <w:rPr>
          <w:rFonts w:cstheme="minorHAnsi"/>
        </w:rPr>
        <w:t> </w:t>
      </w:r>
      <w:r w:rsidR="00EA3866" w:rsidRPr="00EA3866">
        <w:rPr>
          <w:rFonts w:cstheme="minorHAnsi"/>
        </w:rPr>
        <w:t>skali roku i jest uwzględniana w cenie netto jednostki uczestnictwa</w:t>
      </w:r>
      <w:r w:rsidR="00EB0A81">
        <w:rPr>
          <w:rFonts w:cstheme="minorHAnsi"/>
        </w:rPr>
        <w:t>,</w:t>
      </w:r>
      <w:r w:rsidR="00EA3866" w:rsidRPr="00EA3866">
        <w:rPr>
          <w:rFonts w:cstheme="minorHAnsi"/>
        </w:rPr>
        <w:t xml:space="preserve"> </w:t>
      </w:r>
      <w:r w:rsidR="00EB0A81">
        <w:rPr>
          <w:rFonts w:cstheme="minorHAnsi"/>
        </w:rPr>
        <w:t>w związku z</w:t>
      </w:r>
      <w:r w:rsidR="00F25E71">
        <w:rPr>
          <w:rFonts w:cstheme="minorHAnsi"/>
        </w:rPr>
        <w:t> </w:t>
      </w:r>
      <w:r w:rsidR="00EB0A81">
        <w:rPr>
          <w:rFonts w:cstheme="minorHAnsi"/>
        </w:rPr>
        <w:t>czym</w:t>
      </w:r>
      <w:r w:rsidR="00EA3866" w:rsidRPr="00EA3866">
        <w:rPr>
          <w:rFonts w:cstheme="minorHAnsi"/>
        </w:rPr>
        <w:t xml:space="preserve"> pozostaje „niewidoczna” dla uczestnika PPK</w:t>
      </w:r>
      <w:r w:rsidR="00EB0A81">
        <w:rPr>
          <w:rFonts w:cstheme="minorHAnsi"/>
        </w:rPr>
        <w:t>.</w:t>
      </w:r>
      <w:r w:rsidR="00EA3866">
        <w:rPr>
          <w:rFonts w:cstheme="minorHAnsi"/>
        </w:rPr>
        <w:t xml:space="preserve"> </w:t>
      </w:r>
      <w:r w:rsidR="005C222E">
        <w:rPr>
          <w:rFonts w:cstheme="minorHAnsi"/>
        </w:rPr>
        <w:t xml:space="preserve">Średnie opłaty za zarządzanie </w:t>
      </w:r>
      <w:r w:rsidR="00E563E9">
        <w:rPr>
          <w:rFonts w:cstheme="minorHAnsi"/>
        </w:rPr>
        <w:t>funduszami zdefiniowanej daty</w:t>
      </w:r>
      <w:r w:rsidR="00EB0A81">
        <w:rPr>
          <w:rFonts w:cstheme="minorHAnsi"/>
        </w:rPr>
        <w:t xml:space="preserve"> </w:t>
      </w:r>
      <w:r w:rsidR="00E563E9">
        <w:rPr>
          <w:rFonts w:cstheme="minorHAnsi"/>
        </w:rPr>
        <w:t xml:space="preserve">zostały przestawione w tabeli. </w:t>
      </w:r>
    </w:p>
    <w:p w14:paraId="20B58010" w14:textId="77777777" w:rsidR="00211ABE" w:rsidRDefault="00211ABE" w:rsidP="007753FC">
      <w:pPr>
        <w:pStyle w:val="Legenda"/>
        <w:keepNext/>
        <w:rPr>
          <w:color w:val="auto"/>
          <w:sz w:val="20"/>
          <w:szCs w:val="20"/>
        </w:rPr>
      </w:pPr>
    </w:p>
    <w:p w14:paraId="6DFEACD8" w14:textId="77777777" w:rsidR="007753FC" w:rsidRPr="007753FC" w:rsidRDefault="007753FC" w:rsidP="007753FC">
      <w:pPr>
        <w:pStyle w:val="Legenda"/>
        <w:keepNext/>
        <w:rPr>
          <w:b/>
          <w:bCs/>
          <w:i w:val="0"/>
          <w:iCs w:val="0"/>
          <w:color w:val="auto"/>
          <w:sz w:val="20"/>
          <w:szCs w:val="20"/>
        </w:rPr>
      </w:pPr>
      <w:bookmarkStart w:id="92" w:name="_Toc116482580"/>
      <w:bookmarkStart w:id="93" w:name="_Toc121826369"/>
      <w:r w:rsidRPr="007753FC">
        <w:rPr>
          <w:color w:val="auto"/>
          <w:sz w:val="20"/>
          <w:szCs w:val="20"/>
        </w:rPr>
        <w:t xml:space="preserve">Tabela </w:t>
      </w:r>
      <w:r w:rsidRPr="007753FC">
        <w:rPr>
          <w:color w:val="auto"/>
          <w:sz w:val="20"/>
          <w:szCs w:val="20"/>
        </w:rPr>
        <w:fldChar w:fldCharType="begin"/>
      </w:r>
      <w:r w:rsidRPr="007753FC">
        <w:rPr>
          <w:color w:val="auto"/>
          <w:sz w:val="20"/>
          <w:szCs w:val="20"/>
        </w:rPr>
        <w:instrText xml:space="preserve"> SEQ Tabela \* ARABIC </w:instrText>
      </w:r>
      <w:r w:rsidRPr="007753FC">
        <w:rPr>
          <w:color w:val="auto"/>
          <w:sz w:val="20"/>
          <w:szCs w:val="20"/>
        </w:rPr>
        <w:fldChar w:fldCharType="separate"/>
      </w:r>
      <w:r w:rsidR="00621FEF">
        <w:rPr>
          <w:noProof/>
          <w:color w:val="auto"/>
          <w:sz w:val="20"/>
          <w:szCs w:val="20"/>
        </w:rPr>
        <w:t>7</w:t>
      </w:r>
      <w:r w:rsidRPr="007753FC">
        <w:rPr>
          <w:color w:val="auto"/>
          <w:sz w:val="20"/>
          <w:szCs w:val="20"/>
        </w:rPr>
        <w:fldChar w:fldCharType="end"/>
      </w:r>
      <w:r w:rsidRPr="007753FC">
        <w:rPr>
          <w:b/>
          <w:bCs/>
          <w:i w:val="0"/>
          <w:iCs w:val="0"/>
          <w:color w:val="auto"/>
          <w:sz w:val="20"/>
          <w:szCs w:val="20"/>
        </w:rPr>
        <w:t xml:space="preserve"> </w:t>
      </w:r>
      <w:r>
        <w:rPr>
          <w:b/>
          <w:bCs/>
          <w:i w:val="0"/>
          <w:iCs w:val="0"/>
          <w:color w:val="auto"/>
          <w:sz w:val="20"/>
          <w:szCs w:val="20"/>
        </w:rPr>
        <w:t>Ś</w:t>
      </w:r>
      <w:r w:rsidRPr="007753FC">
        <w:rPr>
          <w:b/>
          <w:bCs/>
          <w:i w:val="0"/>
          <w:iCs w:val="0"/>
          <w:color w:val="auto"/>
          <w:sz w:val="20"/>
          <w:szCs w:val="20"/>
        </w:rPr>
        <w:t>redni</w:t>
      </w:r>
      <w:r>
        <w:rPr>
          <w:b/>
          <w:bCs/>
          <w:i w:val="0"/>
          <w:iCs w:val="0"/>
          <w:color w:val="auto"/>
          <w:sz w:val="20"/>
          <w:szCs w:val="20"/>
        </w:rPr>
        <w:t>e</w:t>
      </w:r>
      <w:r w:rsidRPr="007753FC">
        <w:rPr>
          <w:b/>
          <w:bCs/>
          <w:i w:val="0"/>
          <w:iCs w:val="0"/>
          <w:color w:val="auto"/>
          <w:sz w:val="20"/>
          <w:szCs w:val="20"/>
        </w:rPr>
        <w:t xml:space="preserve"> opłat</w:t>
      </w:r>
      <w:r>
        <w:rPr>
          <w:b/>
          <w:bCs/>
          <w:i w:val="0"/>
          <w:iCs w:val="0"/>
          <w:color w:val="auto"/>
          <w:sz w:val="20"/>
          <w:szCs w:val="20"/>
        </w:rPr>
        <w:t>y</w:t>
      </w:r>
      <w:r w:rsidRPr="007753FC">
        <w:rPr>
          <w:b/>
          <w:bCs/>
          <w:i w:val="0"/>
          <w:iCs w:val="0"/>
          <w:color w:val="auto"/>
          <w:sz w:val="20"/>
          <w:szCs w:val="20"/>
        </w:rPr>
        <w:t xml:space="preserve"> za zarządzanie funduszami zdefiniowanej daty, pobieran</w:t>
      </w:r>
      <w:r w:rsidR="005B670A">
        <w:rPr>
          <w:b/>
          <w:bCs/>
          <w:i w:val="0"/>
          <w:iCs w:val="0"/>
          <w:color w:val="auto"/>
          <w:sz w:val="20"/>
          <w:szCs w:val="20"/>
        </w:rPr>
        <w:t>e</w:t>
      </w:r>
      <w:r w:rsidRPr="007753FC">
        <w:rPr>
          <w:b/>
          <w:bCs/>
          <w:i w:val="0"/>
          <w:iCs w:val="0"/>
          <w:color w:val="auto"/>
          <w:sz w:val="20"/>
          <w:szCs w:val="20"/>
        </w:rPr>
        <w:t xml:space="preserve"> przez instytucje finansowe, według stanu </w:t>
      </w:r>
      <w:r w:rsidRPr="000357B3">
        <w:rPr>
          <w:b/>
          <w:i w:val="0"/>
          <w:color w:val="auto"/>
          <w:sz w:val="20"/>
          <w:szCs w:val="20"/>
        </w:rPr>
        <w:t xml:space="preserve">na 31 </w:t>
      </w:r>
      <w:r w:rsidR="00543E93" w:rsidRPr="00592FA8">
        <w:rPr>
          <w:b/>
          <w:bCs/>
          <w:i w:val="0"/>
          <w:iCs w:val="0"/>
          <w:color w:val="auto"/>
          <w:sz w:val="20"/>
          <w:szCs w:val="20"/>
        </w:rPr>
        <w:t>sierpnia</w:t>
      </w:r>
      <w:r w:rsidRPr="000357B3">
        <w:rPr>
          <w:b/>
          <w:i w:val="0"/>
          <w:color w:val="auto"/>
          <w:sz w:val="20"/>
          <w:szCs w:val="20"/>
        </w:rPr>
        <w:t xml:space="preserve"> 2022 r.</w:t>
      </w:r>
      <w:bookmarkEnd w:id="92"/>
      <w:bookmarkEnd w:id="93"/>
    </w:p>
    <w:tbl>
      <w:tblPr>
        <w:tblStyle w:val="Tabelasiatki41"/>
        <w:tblW w:w="9242" w:type="dxa"/>
        <w:tblLook w:val="04A0" w:firstRow="1" w:lastRow="0" w:firstColumn="1" w:lastColumn="0" w:noHBand="0" w:noVBand="1"/>
      </w:tblPr>
      <w:tblGrid>
        <w:gridCol w:w="6062"/>
        <w:gridCol w:w="3180"/>
      </w:tblGrid>
      <w:tr w:rsidR="0029150C" w:rsidRPr="00197C13" w14:paraId="10B6AED7" w14:textId="77777777" w:rsidTr="008D737D">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6062" w:type="dxa"/>
            <w:noWrap/>
            <w:hideMark/>
          </w:tcPr>
          <w:p w14:paraId="5E39BBCD" w14:textId="77777777" w:rsidR="0029150C" w:rsidRPr="00FD0101" w:rsidRDefault="0029150C" w:rsidP="00905FFB">
            <w:pPr>
              <w:spacing w:before="6" w:after="6" w:line="288" w:lineRule="auto"/>
              <w:jc w:val="both"/>
              <w:rPr>
                <w:rFonts w:eastAsia="Times New Roman" w:cstheme="minorHAnsi"/>
                <w:color w:val="FFFFFF"/>
                <w:lang w:eastAsia="pl-PL"/>
              </w:rPr>
            </w:pPr>
            <w:r w:rsidRPr="00FD0101">
              <w:rPr>
                <w:rFonts w:eastAsia="Times New Roman" w:cstheme="minorHAnsi"/>
                <w:color w:val="FFFFFF"/>
                <w:lang w:eastAsia="pl-PL"/>
              </w:rPr>
              <w:t>Nazwa Instytucji Finansowej</w:t>
            </w:r>
          </w:p>
        </w:tc>
        <w:tc>
          <w:tcPr>
            <w:tcW w:w="3180" w:type="dxa"/>
            <w:noWrap/>
            <w:hideMark/>
          </w:tcPr>
          <w:p w14:paraId="67E67F83" w14:textId="77777777" w:rsidR="0029150C" w:rsidRPr="00FD0101" w:rsidRDefault="0029150C" w:rsidP="00905FFB">
            <w:pPr>
              <w:spacing w:before="6" w:after="6" w:line="288"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lang w:eastAsia="pl-PL"/>
              </w:rPr>
            </w:pPr>
            <w:r w:rsidRPr="00FD0101">
              <w:rPr>
                <w:rFonts w:eastAsia="Times New Roman" w:cstheme="minorHAnsi"/>
                <w:color w:val="FFFFFF"/>
                <w:lang w:eastAsia="pl-PL"/>
              </w:rPr>
              <w:t>%</w:t>
            </w:r>
          </w:p>
        </w:tc>
      </w:tr>
      <w:tr w:rsidR="0029150C" w:rsidRPr="00197C13" w14:paraId="6476E027" w14:textId="77777777" w:rsidTr="008D737D">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6062" w:type="dxa"/>
            <w:noWrap/>
            <w:hideMark/>
          </w:tcPr>
          <w:p w14:paraId="4B5E374F" w14:textId="77777777" w:rsidR="0029150C" w:rsidRPr="00FD0101" w:rsidRDefault="0029150C" w:rsidP="00905FFB">
            <w:pPr>
              <w:spacing w:before="6" w:after="6" w:line="288" w:lineRule="auto"/>
              <w:jc w:val="both"/>
              <w:rPr>
                <w:rFonts w:eastAsia="Times New Roman" w:cstheme="minorHAnsi"/>
                <w:b w:val="0"/>
                <w:color w:val="000000"/>
                <w:lang w:eastAsia="pl-PL"/>
              </w:rPr>
            </w:pPr>
            <w:r w:rsidRPr="00FD0101">
              <w:rPr>
                <w:rFonts w:eastAsia="Times New Roman" w:cstheme="minorHAnsi"/>
                <w:b w:val="0"/>
                <w:color w:val="000000"/>
                <w:lang w:eastAsia="pl-PL"/>
              </w:rPr>
              <w:t>AXA TFI S.A./ UNIQA TFI S.A.</w:t>
            </w:r>
          </w:p>
        </w:tc>
        <w:tc>
          <w:tcPr>
            <w:tcW w:w="3180" w:type="dxa"/>
            <w:noWrap/>
            <w:hideMark/>
          </w:tcPr>
          <w:p w14:paraId="787CBD4B" w14:textId="77777777" w:rsidR="0029150C" w:rsidRPr="00FD0101" w:rsidRDefault="0029150C" w:rsidP="00905FFB">
            <w:pPr>
              <w:spacing w:before="6" w:after="6" w:line="288"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sidRPr="00FD0101">
              <w:rPr>
                <w:rFonts w:eastAsia="Times New Roman" w:cstheme="minorHAnsi"/>
                <w:color w:val="000000"/>
                <w:lang w:eastAsia="pl-PL"/>
              </w:rPr>
              <w:t>0,35%</w:t>
            </w:r>
          </w:p>
        </w:tc>
      </w:tr>
      <w:tr w:rsidR="0029150C" w:rsidRPr="00197C13" w14:paraId="5E8EACB4" w14:textId="77777777" w:rsidTr="008D737D">
        <w:trPr>
          <w:trHeight w:val="302"/>
        </w:trPr>
        <w:tc>
          <w:tcPr>
            <w:cnfStyle w:val="001000000000" w:firstRow="0" w:lastRow="0" w:firstColumn="1" w:lastColumn="0" w:oddVBand="0" w:evenVBand="0" w:oddHBand="0" w:evenHBand="0" w:firstRowFirstColumn="0" w:firstRowLastColumn="0" w:lastRowFirstColumn="0" w:lastRowLastColumn="0"/>
            <w:tcW w:w="6062" w:type="dxa"/>
            <w:noWrap/>
            <w:hideMark/>
          </w:tcPr>
          <w:p w14:paraId="3F822663" w14:textId="77777777" w:rsidR="0029150C" w:rsidRPr="00FD0101" w:rsidRDefault="0029150C" w:rsidP="00905FFB">
            <w:pPr>
              <w:spacing w:before="6" w:after="6" w:line="288" w:lineRule="auto"/>
              <w:jc w:val="both"/>
              <w:rPr>
                <w:rFonts w:eastAsia="Times New Roman" w:cstheme="minorHAnsi"/>
                <w:b w:val="0"/>
                <w:color w:val="000000"/>
                <w:lang w:eastAsia="pl-PL"/>
              </w:rPr>
            </w:pPr>
            <w:r w:rsidRPr="00FD0101">
              <w:rPr>
                <w:rFonts w:eastAsia="Times New Roman" w:cstheme="minorHAnsi"/>
                <w:b w:val="0"/>
                <w:color w:val="000000"/>
                <w:lang w:eastAsia="pl-PL"/>
              </w:rPr>
              <w:t>BNP Paribas TFI S.A.</w:t>
            </w:r>
          </w:p>
        </w:tc>
        <w:tc>
          <w:tcPr>
            <w:tcW w:w="3180" w:type="dxa"/>
            <w:noWrap/>
            <w:hideMark/>
          </w:tcPr>
          <w:p w14:paraId="7F078538" w14:textId="77777777" w:rsidR="0029150C" w:rsidRPr="00FD0101" w:rsidRDefault="0029150C" w:rsidP="00905FFB">
            <w:pPr>
              <w:spacing w:before="6" w:after="6"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sidRPr="00FD0101">
              <w:rPr>
                <w:rFonts w:eastAsia="Times New Roman" w:cstheme="minorHAnsi"/>
                <w:color w:val="000000"/>
                <w:lang w:eastAsia="pl-PL"/>
              </w:rPr>
              <w:t>0,30%</w:t>
            </w:r>
          </w:p>
        </w:tc>
      </w:tr>
      <w:tr w:rsidR="0029150C" w:rsidRPr="00197C13" w14:paraId="4849994C" w14:textId="77777777" w:rsidTr="008D737D">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6062" w:type="dxa"/>
            <w:noWrap/>
            <w:hideMark/>
          </w:tcPr>
          <w:p w14:paraId="22845CDE" w14:textId="77777777" w:rsidR="0029150C" w:rsidRPr="00FD0101" w:rsidRDefault="0029150C" w:rsidP="00905FFB">
            <w:pPr>
              <w:spacing w:before="6" w:after="6" w:line="288" w:lineRule="auto"/>
              <w:jc w:val="both"/>
              <w:rPr>
                <w:rFonts w:eastAsia="Times New Roman" w:cstheme="minorHAnsi"/>
                <w:b w:val="0"/>
                <w:color w:val="000000"/>
                <w:lang w:eastAsia="pl-PL"/>
              </w:rPr>
            </w:pPr>
            <w:r w:rsidRPr="00FD0101">
              <w:rPr>
                <w:rFonts w:eastAsia="Times New Roman" w:cstheme="minorHAnsi"/>
                <w:b w:val="0"/>
                <w:color w:val="000000"/>
                <w:lang w:eastAsia="pl-PL"/>
              </w:rPr>
              <w:t>BPS TFI S.A.</w:t>
            </w:r>
          </w:p>
        </w:tc>
        <w:tc>
          <w:tcPr>
            <w:tcW w:w="3180" w:type="dxa"/>
            <w:noWrap/>
            <w:hideMark/>
          </w:tcPr>
          <w:p w14:paraId="4AEB8491" w14:textId="77777777" w:rsidR="0029150C" w:rsidRPr="00FD0101" w:rsidRDefault="0029150C" w:rsidP="00905FFB">
            <w:pPr>
              <w:spacing w:before="6" w:after="6" w:line="288"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sidRPr="00FD0101">
              <w:rPr>
                <w:rFonts w:eastAsia="Times New Roman" w:cstheme="minorHAnsi"/>
                <w:color w:val="000000"/>
                <w:lang w:eastAsia="pl-PL"/>
              </w:rPr>
              <w:t>0,34%</w:t>
            </w:r>
          </w:p>
        </w:tc>
      </w:tr>
      <w:tr w:rsidR="0029150C" w:rsidRPr="00197C13" w14:paraId="49D63399" w14:textId="77777777" w:rsidTr="008D737D">
        <w:trPr>
          <w:trHeight w:val="302"/>
        </w:trPr>
        <w:tc>
          <w:tcPr>
            <w:cnfStyle w:val="001000000000" w:firstRow="0" w:lastRow="0" w:firstColumn="1" w:lastColumn="0" w:oddVBand="0" w:evenVBand="0" w:oddHBand="0" w:evenHBand="0" w:firstRowFirstColumn="0" w:firstRowLastColumn="0" w:lastRowFirstColumn="0" w:lastRowLastColumn="0"/>
            <w:tcW w:w="6062" w:type="dxa"/>
            <w:noWrap/>
            <w:hideMark/>
          </w:tcPr>
          <w:p w14:paraId="4A8AE4A8" w14:textId="77777777" w:rsidR="0029150C" w:rsidRPr="00FD0101" w:rsidRDefault="0029150C" w:rsidP="00905FFB">
            <w:pPr>
              <w:spacing w:before="6" w:after="6" w:line="288" w:lineRule="auto"/>
              <w:jc w:val="both"/>
              <w:rPr>
                <w:rFonts w:eastAsia="Times New Roman" w:cstheme="minorHAnsi"/>
                <w:b w:val="0"/>
                <w:color w:val="000000"/>
                <w:lang w:eastAsia="pl-PL"/>
              </w:rPr>
            </w:pPr>
            <w:r w:rsidRPr="00FD0101">
              <w:rPr>
                <w:rFonts w:eastAsia="Times New Roman" w:cstheme="minorHAnsi"/>
                <w:b w:val="0"/>
                <w:color w:val="000000"/>
                <w:lang w:eastAsia="pl-PL"/>
              </w:rPr>
              <w:t>COMPENSA TUnŻ S.A.</w:t>
            </w:r>
          </w:p>
        </w:tc>
        <w:tc>
          <w:tcPr>
            <w:tcW w:w="3180" w:type="dxa"/>
            <w:noWrap/>
            <w:hideMark/>
          </w:tcPr>
          <w:p w14:paraId="4D72D806" w14:textId="77777777" w:rsidR="0029150C" w:rsidRPr="00FD0101" w:rsidRDefault="0029150C" w:rsidP="00905FFB">
            <w:pPr>
              <w:spacing w:before="6" w:after="6"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sidRPr="00FD0101">
              <w:rPr>
                <w:rFonts w:eastAsia="Times New Roman" w:cstheme="minorHAnsi"/>
                <w:color w:val="000000"/>
                <w:lang w:eastAsia="pl-PL"/>
              </w:rPr>
              <w:t>0,40%</w:t>
            </w:r>
          </w:p>
        </w:tc>
      </w:tr>
      <w:tr w:rsidR="0029150C" w:rsidRPr="00197C13" w14:paraId="48A8BFBC" w14:textId="77777777" w:rsidTr="008D737D">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6062" w:type="dxa"/>
            <w:noWrap/>
            <w:hideMark/>
          </w:tcPr>
          <w:p w14:paraId="3986511F" w14:textId="77777777" w:rsidR="0029150C" w:rsidRPr="00FD0101" w:rsidRDefault="0029150C" w:rsidP="00905FFB">
            <w:pPr>
              <w:spacing w:before="6" w:after="6" w:line="288" w:lineRule="auto"/>
              <w:jc w:val="both"/>
              <w:rPr>
                <w:rFonts w:eastAsia="Times New Roman" w:cstheme="minorHAnsi"/>
                <w:b w:val="0"/>
                <w:color w:val="000000"/>
                <w:lang w:eastAsia="pl-PL"/>
              </w:rPr>
            </w:pPr>
            <w:r w:rsidRPr="00FD0101">
              <w:rPr>
                <w:rFonts w:eastAsia="Times New Roman" w:cstheme="minorHAnsi"/>
                <w:b w:val="0"/>
                <w:color w:val="000000"/>
                <w:lang w:eastAsia="pl-PL"/>
              </w:rPr>
              <w:t>ESALIENS TFI S.A.</w:t>
            </w:r>
          </w:p>
        </w:tc>
        <w:tc>
          <w:tcPr>
            <w:tcW w:w="3180" w:type="dxa"/>
            <w:noWrap/>
            <w:hideMark/>
          </w:tcPr>
          <w:p w14:paraId="70E2D23F" w14:textId="77777777" w:rsidR="0029150C" w:rsidRPr="00FD0101" w:rsidRDefault="0029150C" w:rsidP="00905FFB">
            <w:pPr>
              <w:spacing w:before="6" w:after="6" w:line="288"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sidRPr="00FD0101">
              <w:rPr>
                <w:rFonts w:eastAsia="Times New Roman" w:cstheme="minorHAnsi"/>
                <w:color w:val="000000"/>
                <w:lang w:eastAsia="pl-PL"/>
              </w:rPr>
              <w:t>0,43%</w:t>
            </w:r>
          </w:p>
        </w:tc>
      </w:tr>
      <w:tr w:rsidR="0029150C" w:rsidRPr="00197C13" w14:paraId="1659B184" w14:textId="77777777" w:rsidTr="008D737D">
        <w:trPr>
          <w:trHeight w:val="302"/>
        </w:trPr>
        <w:tc>
          <w:tcPr>
            <w:cnfStyle w:val="001000000000" w:firstRow="0" w:lastRow="0" w:firstColumn="1" w:lastColumn="0" w:oddVBand="0" w:evenVBand="0" w:oddHBand="0" w:evenHBand="0" w:firstRowFirstColumn="0" w:firstRowLastColumn="0" w:lastRowFirstColumn="0" w:lastRowLastColumn="0"/>
            <w:tcW w:w="6062" w:type="dxa"/>
            <w:noWrap/>
            <w:hideMark/>
          </w:tcPr>
          <w:p w14:paraId="0CD06B16" w14:textId="77777777" w:rsidR="0029150C" w:rsidRPr="00FD0101" w:rsidRDefault="0029150C" w:rsidP="00905FFB">
            <w:pPr>
              <w:spacing w:before="6" w:after="6" w:line="288" w:lineRule="auto"/>
              <w:jc w:val="both"/>
              <w:rPr>
                <w:rFonts w:eastAsia="Times New Roman" w:cstheme="minorHAnsi"/>
                <w:b w:val="0"/>
                <w:color w:val="000000"/>
                <w:lang w:val="de-CH" w:eastAsia="pl-PL"/>
              </w:rPr>
            </w:pPr>
            <w:r w:rsidRPr="00FD0101">
              <w:rPr>
                <w:rFonts w:eastAsia="Times New Roman" w:cstheme="minorHAnsi"/>
                <w:b w:val="0"/>
                <w:color w:val="000000"/>
                <w:lang w:val="de-CH" w:eastAsia="pl-PL"/>
              </w:rPr>
              <w:t>GENERALI INVESTMENTS TFI S.A.</w:t>
            </w:r>
          </w:p>
        </w:tc>
        <w:tc>
          <w:tcPr>
            <w:tcW w:w="3180" w:type="dxa"/>
            <w:noWrap/>
            <w:hideMark/>
          </w:tcPr>
          <w:p w14:paraId="32A8F206" w14:textId="77777777" w:rsidR="0029150C" w:rsidRPr="00FD0101" w:rsidRDefault="0029150C" w:rsidP="00905FFB">
            <w:pPr>
              <w:spacing w:before="6" w:after="6"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sidRPr="00FD0101">
              <w:rPr>
                <w:rFonts w:eastAsia="Times New Roman" w:cstheme="minorHAnsi"/>
                <w:color w:val="000000"/>
                <w:lang w:eastAsia="pl-PL"/>
              </w:rPr>
              <w:t>0,36%</w:t>
            </w:r>
          </w:p>
        </w:tc>
      </w:tr>
      <w:tr w:rsidR="0029150C" w:rsidRPr="00197C13" w14:paraId="7AAFC9F9" w14:textId="77777777" w:rsidTr="008D737D">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6062" w:type="dxa"/>
            <w:noWrap/>
            <w:hideMark/>
          </w:tcPr>
          <w:p w14:paraId="09FBC68F" w14:textId="77777777" w:rsidR="0029150C" w:rsidRPr="00FD0101" w:rsidRDefault="0029150C" w:rsidP="00905FFB">
            <w:pPr>
              <w:spacing w:before="6" w:after="6" w:line="288" w:lineRule="auto"/>
              <w:jc w:val="both"/>
              <w:rPr>
                <w:rFonts w:eastAsia="Times New Roman" w:cstheme="minorHAnsi"/>
                <w:b w:val="0"/>
                <w:color w:val="000000"/>
                <w:lang w:eastAsia="pl-PL"/>
              </w:rPr>
            </w:pPr>
            <w:r w:rsidRPr="00FD0101">
              <w:rPr>
                <w:rFonts w:eastAsia="Times New Roman" w:cstheme="minorHAnsi"/>
                <w:b w:val="0"/>
                <w:color w:val="000000"/>
                <w:lang w:eastAsia="pl-PL"/>
              </w:rPr>
              <w:t>INVESTORS TFI S. A.</w:t>
            </w:r>
          </w:p>
        </w:tc>
        <w:tc>
          <w:tcPr>
            <w:tcW w:w="3180" w:type="dxa"/>
            <w:noWrap/>
            <w:hideMark/>
          </w:tcPr>
          <w:p w14:paraId="1AFD18DE" w14:textId="77777777" w:rsidR="0029150C" w:rsidRPr="00FD0101" w:rsidRDefault="0029150C" w:rsidP="00905FFB">
            <w:pPr>
              <w:spacing w:before="6" w:after="6" w:line="288"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sidRPr="00FD0101">
              <w:rPr>
                <w:rFonts w:eastAsia="Times New Roman" w:cstheme="minorHAnsi"/>
                <w:color w:val="000000"/>
                <w:lang w:eastAsia="pl-PL"/>
              </w:rPr>
              <w:t>0,39%</w:t>
            </w:r>
          </w:p>
        </w:tc>
      </w:tr>
      <w:tr w:rsidR="0029150C" w:rsidRPr="00197C13" w14:paraId="196FA20E" w14:textId="77777777" w:rsidTr="008D737D">
        <w:trPr>
          <w:trHeight w:val="302"/>
        </w:trPr>
        <w:tc>
          <w:tcPr>
            <w:cnfStyle w:val="001000000000" w:firstRow="0" w:lastRow="0" w:firstColumn="1" w:lastColumn="0" w:oddVBand="0" w:evenVBand="0" w:oddHBand="0" w:evenHBand="0" w:firstRowFirstColumn="0" w:firstRowLastColumn="0" w:lastRowFirstColumn="0" w:lastRowLastColumn="0"/>
            <w:tcW w:w="6062" w:type="dxa"/>
            <w:noWrap/>
            <w:hideMark/>
          </w:tcPr>
          <w:p w14:paraId="44E440AE" w14:textId="77777777" w:rsidR="0029150C" w:rsidRPr="00FD0101" w:rsidRDefault="0029150C" w:rsidP="00905FFB">
            <w:pPr>
              <w:spacing w:before="6" w:after="6" w:line="288" w:lineRule="auto"/>
              <w:jc w:val="both"/>
              <w:rPr>
                <w:rFonts w:eastAsia="Times New Roman" w:cstheme="minorHAnsi"/>
                <w:b w:val="0"/>
                <w:color w:val="000000"/>
                <w:lang w:eastAsia="pl-PL"/>
              </w:rPr>
            </w:pPr>
            <w:r w:rsidRPr="00FD0101">
              <w:rPr>
                <w:rFonts w:eastAsia="Times New Roman" w:cstheme="minorHAnsi"/>
                <w:b w:val="0"/>
                <w:color w:val="000000"/>
                <w:lang w:eastAsia="pl-PL"/>
              </w:rPr>
              <w:t>MILLENNIUM TFI S.A.</w:t>
            </w:r>
          </w:p>
        </w:tc>
        <w:tc>
          <w:tcPr>
            <w:tcW w:w="3180" w:type="dxa"/>
            <w:noWrap/>
            <w:hideMark/>
          </w:tcPr>
          <w:p w14:paraId="03922A5B" w14:textId="77777777" w:rsidR="0029150C" w:rsidRPr="00FD0101" w:rsidRDefault="0029150C" w:rsidP="00905FFB">
            <w:pPr>
              <w:spacing w:before="6" w:after="6"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sidRPr="00FD0101">
              <w:rPr>
                <w:rFonts w:eastAsia="Times New Roman" w:cstheme="minorHAnsi"/>
                <w:color w:val="000000"/>
                <w:lang w:eastAsia="pl-PL"/>
              </w:rPr>
              <w:t>0,31%</w:t>
            </w:r>
          </w:p>
        </w:tc>
      </w:tr>
      <w:tr w:rsidR="0029150C" w:rsidRPr="00197C13" w14:paraId="4C4D0807" w14:textId="77777777" w:rsidTr="008D737D">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6062" w:type="dxa"/>
            <w:noWrap/>
            <w:hideMark/>
          </w:tcPr>
          <w:p w14:paraId="6AA8A104" w14:textId="77777777" w:rsidR="0029150C" w:rsidRPr="00FD0101" w:rsidRDefault="0029150C" w:rsidP="00905FFB">
            <w:pPr>
              <w:spacing w:before="6" w:after="6" w:line="288" w:lineRule="auto"/>
              <w:jc w:val="both"/>
              <w:rPr>
                <w:rFonts w:eastAsia="Times New Roman" w:cstheme="minorHAnsi"/>
                <w:b w:val="0"/>
                <w:color w:val="000000"/>
                <w:lang w:val="de-CH" w:eastAsia="pl-PL"/>
              </w:rPr>
            </w:pPr>
            <w:r w:rsidRPr="00FD0101">
              <w:rPr>
                <w:rFonts w:eastAsia="Times New Roman" w:cstheme="minorHAnsi"/>
                <w:b w:val="0"/>
                <w:color w:val="000000"/>
                <w:lang w:val="de-CH" w:eastAsia="pl-PL"/>
              </w:rPr>
              <w:t>NATIONALE-NEDERLANDEN PTE S.A.</w:t>
            </w:r>
          </w:p>
        </w:tc>
        <w:tc>
          <w:tcPr>
            <w:tcW w:w="3180" w:type="dxa"/>
            <w:noWrap/>
            <w:hideMark/>
          </w:tcPr>
          <w:p w14:paraId="6235FD8D" w14:textId="77777777" w:rsidR="0029150C" w:rsidRPr="00FD0101" w:rsidRDefault="0029150C" w:rsidP="00905FFB">
            <w:pPr>
              <w:spacing w:before="6" w:after="6" w:line="288"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sidRPr="00FD0101">
              <w:rPr>
                <w:rFonts w:eastAsia="Times New Roman" w:cstheme="minorHAnsi"/>
                <w:color w:val="000000"/>
                <w:lang w:eastAsia="pl-PL"/>
              </w:rPr>
              <w:t>0,40%</w:t>
            </w:r>
          </w:p>
        </w:tc>
      </w:tr>
      <w:tr w:rsidR="0029150C" w:rsidRPr="00197C13" w14:paraId="4E20913D" w14:textId="77777777" w:rsidTr="008D737D">
        <w:trPr>
          <w:trHeight w:val="302"/>
        </w:trPr>
        <w:tc>
          <w:tcPr>
            <w:cnfStyle w:val="001000000000" w:firstRow="0" w:lastRow="0" w:firstColumn="1" w:lastColumn="0" w:oddVBand="0" w:evenVBand="0" w:oddHBand="0" w:evenHBand="0" w:firstRowFirstColumn="0" w:firstRowLastColumn="0" w:lastRowFirstColumn="0" w:lastRowLastColumn="0"/>
            <w:tcW w:w="6062" w:type="dxa"/>
            <w:noWrap/>
            <w:hideMark/>
          </w:tcPr>
          <w:p w14:paraId="4239CD68" w14:textId="77777777" w:rsidR="0029150C" w:rsidRPr="00FD0101" w:rsidRDefault="0029150C" w:rsidP="00905FFB">
            <w:pPr>
              <w:spacing w:before="6" w:after="6" w:line="288" w:lineRule="auto"/>
              <w:jc w:val="both"/>
              <w:rPr>
                <w:rFonts w:eastAsia="Times New Roman" w:cstheme="minorHAnsi"/>
                <w:b w:val="0"/>
                <w:color w:val="000000"/>
                <w:lang w:val="de-CH" w:eastAsia="pl-PL"/>
              </w:rPr>
            </w:pPr>
            <w:r w:rsidRPr="00FD0101">
              <w:rPr>
                <w:rFonts w:eastAsia="Times New Roman" w:cstheme="minorHAnsi"/>
                <w:b w:val="0"/>
                <w:color w:val="000000"/>
                <w:lang w:val="de-CH" w:eastAsia="pl-PL"/>
              </w:rPr>
              <w:t>NN INVESTMENT PARTNERS TFI S.A.</w:t>
            </w:r>
          </w:p>
        </w:tc>
        <w:tc>
          <w:tcPr>
            <w:tcW w:w="3180" w:type="dxa"/>
            <w:noWrap/>
            <w:hideMark/>
          </w:tcPr>
          <w:p w14:paraId="3E89F8F4" w14:textId="77777777" w:rsidR="0029150C" w:rsidRPr="00FD0101" w:rsidRDefault="0029150C" w:rsidP="00905FFB">
            <w:pPr>
              <w:spacing w:before="6" w:after="6"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sidRPr="00FD0101">
              <w:rPr>
                <w:rFonts w:eastAsia="Times New Roman" w:cstheme="minorHAnsi"/>
                <w:color w:val="000000"/>
                <w:lang w:eastAsia="pl-PL"/>
              </w:rPr>
              <w:t>0,37%</w:t>
            </w:r>
          </w:p>
        </w:tc>
      </w:tr>
      <w:tr w:rsidR="0029150C" w:rsidRPr="00197C13" w14:paraId="1BDA97F3" w14:textId="77777777" w:rsidTr="008D737D">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6062" w:type="dxa"/>
            <w:noWrap/>
            <w:hideMark/>
          </w:tcPr>
          <w:p w14:paraId="5270C0E1" w14:textId="77777777" w:rsidR="0029150C" w:rsidRPr="00FD0101" w:rsidRDefault="0029150C" w:rsidP="00905FFB">
            <w:pPr>
              <w:spacing w:before="6" w:after="6" w:line="288" w:lineRule="auto"/>
              <w:jc w:val="both"/>
              <w:rPr>
                <w:rFonts w:eastAsia="Times New Roman" w:cstheme="minorHAnsi"/>
                <w:b w:val="0"/>
                <w:color w:val="000000"/>
                <w:lang w:eastAsia="pl-PL"/>
              </w:rPr>
            </w:pPr>
            <w:r w:rsidRPr="00FD0101">
              <w:rPr>
                <w:rFonts w:eastAsia="Times New Roman" w:cstheme="minorHAnsi"/>
                <w:b w:val="0"/>
                <w:color w:val="000000"/>
                <w:lang w:eastAsia="pl-PL"/>
              </w:rPr>
              <w:t>PEKAO TFI S.A.</w:t>
            </w:r>
          </w:p>
        </w:tc>
        <w:tc>
          <w:tcPr>
            <w:tcW w:w="3180" w:type="dxa"/>
            <w:noWrap/>
            <w:hideMark/>
          </w:tcPr>
          <w:p w14:paraId="4AA44AE9" w14:textId="77777777" w:rsidR="0029150C" w:rsidRPr="00FD0101" w:rsidRDefault="0029150C" w:rsidP="00905FFB">
            <w:pPr>
              <w:spacing w:before="6" w:after="6" w:line="288"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sidRPr="00FD0101">
              <w:rPr>
                <w:rFonts w:eastAsia="Times New Roman" w:cstheme="minorHAnsi"/>
                <w:color w:val="000000"/>
                <w:lang w:eastAsia="pl-PL"/>
              </w:rPr>
              <w:t>0,25%</w:t>
            </w:r>
          </w:p>
        </w:tc>
      </w:tr>
      <w:tr w:rsidR="0029150C" w:rsidRPr="00197C13" w14:paraId="3BE294B0" w14:textId="77777777" w:rsidTr="008D737D">
        <w:trPr>
          <w:trHeight w:val="302"/>
        </w:trPr>
        <w:tc>
          <w:tcPr>
            <w:cnfStyle w:val="001000000000" w:firstRow="0" w:lastRow="0" w:firstColumn="1" w:lastColumn="0" w:oddVBand="0" w:evenVBand="0" w:oddHBand="0" w:evenHBand="0" w:firstRowFirstColumn="0" w:firstRowLastColumn="0" w:lastRowFirstColumn="0" w:lastRowLastColumn="0"/>
            <w:tcW w:w="6062" w:type="dxa"/>
            <w:noWrap/>
            <w:hideMark/>
          </w:tcPr>
          <w:p w14:paraId="2C040DCF" w14:textId="77777777" w:rsidR="0029150C" w:rsidRPr="00FD0101" w:rsidRDefault="0029150C" w:rsidP="00905FFB">
            <w:pPr>
              <w:spacing w:before="6" w:after="6" w:line="288" w:lineRule="auto"/>
              <w:jc w:val="both"/>
              <w:rPr>
                <w:rFonts w:eastAsia="Times New Roman" w:cstheme="minorHAnsi"/>
                <w:b w:val="0"/>
                <w:color w:val="000000"/>
                <w:lang w:eastAsia="pl-PL"/>
              </w:rPr>
            </w:pPr>
            <w:r w:rsidRPr="00FD0101">
              <w:rPr>
                <w:rFonts w:eastAsia="Times New Roman" w:cstheme="minorHAnsi"/>
                <w:b w:val="0"/>
                <w:color w:val="000000"/>
                <w:lang w:eastAsia="pl-PL"/>
              </w:rPr>
              <w:t>PFR TFI S.A.</w:t>
            </w:r>
          </w:p>
        </w:tc>
        <w:tc>
          <w:tcPr>
            <w:tcW w:w="3180" w:type="dxa"/>
            <w:noWrap/>
            <w:hideMark/>
          </w:tcPr>
          <w:p w14:paraId="32929172" w14:textId="77777777" w:rsidR="0029150C" w:rsidRPr="00FD0101" w:rsidRDefault="0029150C" w:rsidP="00905FFB">
            <w:pPr>
              <w:spacing w:before="6" w:after="6"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sidRPr="00FD0101">
              <w:rPr>
                <w:rFonts w:eastAsia="Times New Roman" w:cstheme="minorHAnsi"/>
                <w:color w:val="000000"/>
                <w:lang w:eastAsia="pl-PL"/>
              </w:rPr>
              <w:t>0,31%</w:t>
            </w:r>
          </w:p>
        </w:tc>
      </w:tr>
      <w:tr w:rsidR="0029150C" w:rsidRPr="00197C13" w14:paraId="14246C65" w14:textId="77777777" w:rsidTr="008D737D">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6062" w:type="dxa"/>
            <w:noWrap/>
            <w:hideMark/>
          </w:tcPr>
          <w:p w14:paraId="7E6EE858" w14:textId="77777777" w:rsidR="0029150C" w:rsidRPr="00FD0101" w:rsidRDefault="0029150C" w:rsidP="00905FFB">
            <w:pPr>
              <w:spacing w:before="6" w:after="6" w:line="288" w:lineRule="auto"/>
              <w:jc w:val="both"/>
              <w:rPr>
                <w:rFonts w:eastAsia="Times New Roman" w:cstheme="minorHAnsi"/>
                <w:b w:val="0"/>
                <w:color w:val="000000"/>
                <w:lang w:eastAsia="pl-PL"/>
              </w:rPr>
            </w:pPr>
            <w:r w:rsidRPr="00FD0101">
              <w:rPr>
                <w:rFonts w:eastAsia="Times New Roman" w:cstheme="minorHAnsi"/>
                <w:b w:val="0"/>
                <w:color w:val="000000"/>
                <w:lang w:eastAsia="pl-PL"/>
              </w:rPr>
              <w:t>PKO TFI S.A</w:t>
            </w:r>
          </w:p>
        </w:tc>
        <w:tc>
          <w:tcPr>
            <w:tcW w:w="3180" w:type="dxa"/>
            <w:noWrap/>
            <w:hideMark/>
          </w:tcPr>
          <w:p w14:paraId="7FD471F3" w14:textId="77777777" w:rsidR="0029150C" w:rsidRPr="00FD0101" w:rsidRDefault="0029150C" w:rsidP="00905FFB">
            <w:pPr>
              <w:spacing w:before="6" w:after="6" w:line="288"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sidRPr="00FD0101">
              <w:rPr>
                <w:rFonts w:eastAsia="Times New Roman" w:cstheme="minorHAnsi"/>
                <w:color w:val="000000"/>
                <w:lang w:eastAsia="pl-PL"/>
              </w:rPr>
              <w:t>0,33%</w:t>
            </w:r>
          </w:p>
        </w:tc>
      </w:tr>
      <w:tr w:rsidR="0029150C" w:rsidRPr="00197C13" w14:paraId="7CC4B4E1" w14:textId="77777777" w:rsidTr="008D737D">
        <w:trPr>
          <w:trHeight w:val="302"/>
        </w:trPr>
        <w:tc>
          <w:tcPr>
            <w:cnfStyle w:val="001000000000" w:firstRow="0" w:lastRow="0" w:firstColumn="1" w:lastColumn="0" w:oddVBand="0" w:evenVBand="0" w:oddHBand="0" w:evenHBand="0" w:firstRowFirstColumn="0" w:firstRowLastColumn="0" w:lastRowFirstColumn="0" w:lastRowLastColumn="0"/>
            <w:tcW w:w="6062" w:type="dxa"/>
            <w:noWrap/>
            <w:hideMark/>
          </w:tcPr>
          <w:p w14:paraId="545F0E92" w14:textId="77777777" w:rsidR="0029150C" w:rsidRPr="00FD0101" w:rsidRDefault="0029150C" w:rsidP="00905FFB">
            <w:pPr>
              <w:spacing w:before="6" w:after="6" w:line="288" w:lineRule="auto"/>
              <w:jc w:val="both"/>
              <w:rPr>
                <w:rFonts w:eastAsia="Times New Roman" w:cstheme="minorHAnsi"/>
                <w:b w:val="0"/>
                <w:color w:val="000000"/>
                <w:lang w:eastAsia="pl-PL"/>
              </w:rPr>
            </w:pPr>
            <w:r w:rsidRPr="00FD0101">
              <w:rPr>
                <w:rFonts w:eastAsia="Times New Roman" w:cstheme="minorHAnsi"/>
                <w:b w:val="0"/>
                <w:color w:val="000000"/>
                <w:lang w:eastAsia="pl-PL"/>
              </w:rPr>
              <w:t>POCZTYLION ARKA PTE S.A.</w:t>
            </w:r>
          </w:p>
        </w:tc>
        <w:tc>
          <w:tcPr>
            <w:tcW w:w="3180" w:type="dxa"/>
            <w:noWrap/>
            <w:hideMark/>
          </w:tcPr>
          <w:p w14:paraId="5DBED380" w14:textId="77777777" w:rsidR="0029150C" w:rsidRPr="00FD0101" w:rsidRDefault="0029150C" w:rsidP="00905FFB">
            <w:pPr>
              <w:spacing w:before="6" w:after="6"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sidRPr="00FD0101">
              <w:rPr>
                <w:rFonts w:eastAsia="Times New Roman" w:cstheme="minorHAnsi"/>
                <w:color w:val="000000"/>
                <w:lang w:eastAsia="pl-PL"/>
              </w:rPr>
              <w:t>0,34%</w:t>
            </w:r>
          </w:p>
        </w:tc>
      </w:tr>
      <w:tr w:rsidR="0029150C" w:rsidRPr="00197C13" w14:paraId="7BC4CF4D" w14:textId="77777777" w:rsidTr="008D737D">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6062" w:type="dxa"/>
            <w:noWrap/>
            <w:hideMark/>
          </w:tcPr>
          <w:p w14:paraId="215C24B6" w14:textId="77777777" w:rsidR="0029150C" w:rsidRPr="00FD0101" w:rsidRDefault="0029150C" w:rsidP="00905FFB">
            <w:pPr>
              <w:spacing w:before="6" w:after="6" w:line="288" w:lineRule="auto"/>
              <w:jc w:val="both"/>
              <w:rPr>
                <w:rFonts w:eastAsia="Times New Roman" w:cstheme="minorHAnsi"/>
                <w:b w:val="0"/>
                <w:color w:val="000000"/>
                <w:lang w:eastAsia="pl-PL"/>
              </w:rPr>
            </w:pPr>
            <w:r w:rsidRPr="00FD0101">
              <w:rPr>
                <w:rFonts w:eastAsia="Times New Roman" w:cstheme="minorHAnsi"/>
                <w:b w:val="0"/>
                <w:color w:val="000000"/>
                <w:lang w:eastAsia="pl-PL"/>
              </w:rPr>
              <w:t>SANTANDER TFI S.A.</w:t>
            </w:r>
          </w:p>
        </w:tc>
        <w:tc>
          <w:tcPr>
            <w:tcW w:w="3180" w:type="dxa"/>
            <w:noWrap/>
            <w:hideMark/>
          </w:tcPr>
          <w:p w14:paraId="66F90F17" w14:textId="77777777" w:rsidR="0029150C" w:rsidRPr="00FD0101" w:rsidRDefault="0029150C" w:rsidP="00905FFB">
            <w:pPr>
              <w:spacing w:before="6" w:after="6" w:line="288"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sidRPr="00FD0101">
              <w:rPr>
                <w:rFonts w:eastAsia="Times New Roman" w:cstheme="minorHAnsi"/>
                <w:color w:val="000000"/>
                <w:lang w:eastAsia="pl-PL"/>
              </w:rPr>
              <w:t>0,31%</w:t>
            </w:r>
          </w:p>
        </w:tc>
      </w:tr>
      <w:tr w:rsidR="0029150C" w:rsidRPr="00197C13" w14:paraId="29B4430B" w14:textId="77777777" w:rsidTr="008D737D">
        <w:trPr>
          <w:trHeight w:val="302"/>
        </w:trPr>
        <w:tc>
          <w:tcPr>
            <w:cnfStyle w:val="001000000000" w:firstRow="0" w:lastRow="0" w:firstColumn="1" w:lastColumn="0" w:oddVBand="0" w:evenVBand="0" w:oddHBand="0" w:evenHBand="0" w:firstRowFirstColumn="0" w:firstRowLastColumn="0" w:lastRowFirstColumn="0" w:lastRowLastColumn="0"/>
            <w:tcW w:w="6062" w:type="dxa"/>
            <w:noWrap/>
            <w:hideMark/>
          </w:tcPr>
          <w:p w14:paraId="4851B708" w14:textId="77777777" w:rsidR="0029150C" w:rsidRPr="00FD0101" w:rsidRDefault="0029150C" w:rsidP="00905FFB">
            <w:pPr>
              <w:spacing w:before="6" w:after="6" w:line="288" w:lineRule="auto"/>
              <w:jc w:val="both"/>
              <w:rPr>
                <w:rFonts w:eastAsia="Times New Roman" w:cstheme="minorHAnsi"/>
                <w:b w:val="0"/>
                <w:color w:val="000000"/>
                <w:lang w:eastAsia="pl-PL"/>
              </w:rPr>
            </w:pPr>
            <w:r w:rsidRPr="00FD0101">
              <w:rPr>
                <w:rFonts w:eastAsia="Times New Roman" w:cstheme="minorHAnsi"/>
                <w:b w:val="0"/>
                <w:color w:val="000000"/>
                <w:lang w:eastAsia="pl-PL"/>
              </w:rPr>
              <w:t>SKARBIEC TFI S.A.</w:t>
            </w:r>
          </w:p>
        </w:tc>
        <w:tc>
          <w:tcPr>
            <w:tcW w:w="3180" w:type="dxa"/>
            <w:noWrap/>
            <w:hideMark/>
          </w:tcPr>
          <w:p w14:paraId="01E783B4" w14:textId="77777777" w:rsidR="0029150C" w:rsidRPr="00FD0101" w:rsidRDefault="0029150C" w:rsidP="00905FFB">
            <w:pPr>
              <w:spacing w:before="6" w:after="6"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sidRPr="00FD0101">
              <w:rPr>
                <w:rFonts w:eastAsia="Times New Roman" w:cstheme="minorHAnsi"/>
                <w:color w:val="000000"/>
                <w:lang w:eastAsia="pl-PL"/>
              </w:rPr>
              <w:t>0,40%</w:t>
            </w:r>
          </w:p>
        </w:tc>
      </w:tr>
      <w:tr w:rsidR="0029150C" w:rsidRPr="00197C13" w14:paraId="32DD0501" w14:textId="77777777" w:rsidTr="008D737D">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6062" w:type="dxa"/>
            <w:noWrap/>
            <w:hideMark/>
          </w:tcPr>
          <w:p w14:paraId="037CCEC0" w14:textId="77777777" w:rsidR="0029150C" w:rsidRPr="00FD0101" w:rsidRDefault="0029150C" w:rsidP="00905FFB">
            <w:pPr>
              <w:spacing w:before="6" w:after="6" w:line="288" w:lineRule="auto"/>
              <w:jc w:val="both"/>
              <w:rPr>
                <w:rFonts w:eastAsia="Times New Roman" w:cstheme="minorHAnsi"/>
                <w:b w:val="0"/>
                <w:color w:val="000000"/>
                <w:lang w:eastAsia="pl-PL"/>
              </w:rPr>
            </w:pPr>
            <w:r w:rsidRPr="00FD0101">
              <w:rPr>
                <w:rFonts w:eastAsia="Times New Roman" w:cstheme="minorHAnsi"/>
                <w:b w:val="0"/>
                <w:color w:val="000000"/>
                <w:lang w:eastAsia="pl-PL"/>
              </w:rPr>
              <w:t>TFI ALLIANZ POLSKA S.A.</w:t>
            </w:r>
          </w:p>
        </w:tc>
        <w:tc>
          <w:tcPr>
            <w:tcW w:w="3180" w:type="dxa"/>
            <w:noWrap/>
            <w:hideMark/>
          </w:tcPr>
          <w:p w14:paraId="66144662" w14:textId="77777777" w:rsidR="0029150C" w:rsidRPr="00FD0101" w:rsidRDefault="0029150C" w:rsidP="00905FFB">
            <w:pPr>
              <w:spacing w:before="6" w:after="6" w:line="288"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sidRPr="00FD0101">
              <w:rPr>
                <w:rFonts w:eastAsia="Times New Roman" w:cstheme="minorHAnsi"/>
                <w:color w:val="000000"/>
                <w:lang w:eastAsia="pl-PL"/>
              </w:rPr>
              <w:t>0,30%</w:t>
            </w:r>
          </w:p>
        </w:tc>
      </w:tr>
      <w:tr w:rsidR="0029150C" w:rsidRPr="00197C13" w14:paraId="08E60D83" w14:textId="77777777" w:rsidTr="008D737D">
        <w:trPr>
          <w:trHeight w:val="302"/>
        </w:trPr>
        <w:tc>
          <w:tcPr>
            <w:cnfStyle w:val="001000000000" w:firstRow="0" w:lastRow="0" w:firstColumn="1" w:lastColumn="0" w:oddVBand="0" w:evenVBand="0" w:oddHBand="0" w:evenHBand="0" w:firstRowFirstColumn="0" w:firstRowLastColumn="0" w:lastRowFirstColumn="0" w:lastRowLastColumn="0"/>
            <w:tcW w:w="6062" w:type="dxa"/>
            <w:noWrap/>
            <w:hideMark/>
          </w:tcPr>
          <w:p w14:paraId="6415C450" w14:textId="77777777" w:rsidR="0029150C" w:rsidRPr="00FD0101" w:rsidRDefault="0029150C" w:rsidP="00905FFB">
            <w:pPr>
              <w:spacing w:before="6" w:after="6" w:line="288" w:lineRule="auto"/>
              <w:jc w:val="both"/>
              <w:rPr>
                <w:rFonts w:eastAsia="Times New Roman" w:cstheme="minorHAnsi"/>
                <w:b w:val="0"/>
                <w:color w:val="000000"/>
                <w:lang w:eastAsia="pl-PL"/>
              </w:rPr>
            </w:pPr>
            <w:r w:rsidRPr="00FD0101">
              <w:rPr>
                <w:rFonts w:eastAsia="Times New Roman" w:cstheme="minorHAnsi"/>
                <w:b w:val="0"/>
                <w:color w:val="000000"/>
                <w:lang w:eastAsia="pl-PL"/>
              </w:rPr>
              <w:t>TFI PZU S.A.</w:t>
            </w:r>
          </w:p>
        </w:tc>
        <w:tc>
          <w:tcPr>
            <w:tcW w:w="3180" w:type="dxa"/>
            <w:noWrap/>
            <w:hideMark/>
          </w:tcPr>
          <w:p w14:paraId="32191FCF" w14:textId="77777777" w:rsidR="0029150C" w:rsidRPr="00FD0101" w:rsidRDefault="0029150C" w:rsidP="00905FFB">
            <w:pPr>
              <w:spacing w:before="6" w:after="6"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sidRPr="00FD0101">
              <w:rPr>
                <w:rFonts w:eastAsia="Times New Roman" w:cstheme="minorHAnsi"/>
                <w:color w:val="000000"/>
                <w:lang w:eastAsia="pl-PL"/>
              </w:rPr>
              <w:t>0,23%</w:t>
            </w:r>
          </w:p>
        </w:tc>
      </w:tr>
      <w:tr w:rsidR="0029150C" w:rsidRPr="00197C13" w14:paraId="4BD3DE50" w14:textId="77777777" w:rsidTr="008D737D">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6062" w:type="dxa"/>
            <w:noWrap/>
            <w:hideMark/>
          </w:tcPr>
          <w:p w14:paraId="7CA10EBD" w14:textId="77777777" w:rsidR="0029150C" w:rsidRPr="00FD0101" w:rsidRDefault="0029150C" w:rsidP="00905FFB">
            <w:pPr>
              <w:spacing w:before="6" w:after="6" w:line="288" w:lineRule="auto"/>
              <w:jc w:val="both"/>
              <w:rPr>
                <w:rFonts w:eastAsia="Times New Roman" w:cstheme="minorHAnsi"/>
                <w:color w:val="000000"/>
                <w:lang w:eastAsia="pl-PL"/>
              </w:rPr>
            </w:pPr>
            <w:r w:rsidRPr="00FD0101">
              <w:rPr>
                <w:rFonts w:eastAsia="Times New Roman" w:cstheme="minorHAnsi"/>
                <w:color w:val="000000"/>
                <w:lang w:eastAsia="pl-PL"/>
              </w:rPr>
              <w:t>Średnia</w:t>
            </w:r>
          </w:p>
        </w:tc>
        <w:tc>
          <w:tcPr>
            <w:tcW w:w="3180" w:type="dxa"/>
            <w:noWrap/>
            <w:hideMark/>
          </w:tcPr>
          <w:p w14:paraId="49BF52AF" w14:textId="77777777" w:rsidR="0029150C" w:rsidRPr="00FD0101" w:rsidRDefault="0029150C" w:rsidP="00905FFB">
            <w:pPr>
              <w:spacing w:before="6" w:after="6" w:line="288"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lang w:eastAsia="pl-PL"/>
              </w:rPr>
            </w:pPr>
            <w:r w:rsidRPr="00FD0101">
              <w:rPr>
                <w:rFonts w:eastAsia="Times New Roman" w:cstheme="minorHAnsi"/>
                <w:b/>
                <w:color w:val="000000"/>
                <w:lang w:eastAsia="pl-PL"/>
              </w:rPr>
              <w:t>0,34%</w:t>
            </w:r>
          </w:p>
        </w:tc>
      </w:tr>
    </w:tbl>
    <w:p w14:paraId="1A047BA1" w14:textId="77777777" w:rsidR="00EE387A" w:rsidRPr="00905FFB" w:rsidRDefault="00EE387A" w:rsidP="00905FFB">
      <w:pPr>
        <w:spacing w:before="6" w:after="6" w:line="288" w:lineRule="auto"/>
        <w:rPr>
          <w:i/>
          <w:sz w:val="18"/>
          <w:szCs w:val="18"/>
        </w:rPr>
      </w:pPr>
      <w:r w:rsidRPr="00905FFB">
        <w:rPr>
          <w:sz w:val="20"/>
          <w:szCs w:val="20"/>
        </w:rPr>
        <w:t xml:space="preserve"> </w:t>
      </w:r>
      <w:r w:rsidR="009D32C6" w:rsidRPr="00905FFB">
        <w:rPr>
          <w:i/>
          <w:sz w:val="18"/>
          <w:szCs w:val="18"/>
        </w:rPr>
        <w:t>Źródło: Opracowanie PFR Portal PPK</w:t>
      </w:r>
    </w:p>
    <w:p w14:paraId="39079DCA" w14:textId="77777777" w:rsidR="009D32C6" w:rsidRDefault="009D32C6" w:rsidP="00905FFB">
      <w:pPr>
        <w:spacing w:before="6" w:after="6" w:line="288" w:lineRule="auto"/>
        <w:jc w:val="both"/>
        <w:rPr>
          <w:rFonts w:cstheme="minorHAnsi"/>
        </w:rPr>
      </w:pPr>
    </w:p>
    <w:p w14:paraId="743D211A" w14:textId="3C85EADB" w:rsidR="000170DA" w:rsidRDefault="003B349E" w:rsidP="00905FFB">
      <w:pPr>
        <w:spacing w:before="6" w:after="6" w:line="288" w:lineRule="auto"/>
        <w:jc w:val="both"/>
        <w:rPr>
          <w:rFonts w:cstheme="minorHAnsi"/>
        </w:rPr>
      </w:pPr>
      <w:r>
        <w:rPr>
          <w:rFonts w:cstheme="minorHAnsi"/>
        </w:rPr>
        <w:t>O</w:t>
      </w:r>
      <w:r w:rsidR="00EE387A" w:rsidRPr="00EE387A">
        <w:rPr>
          <w:rFonts w:cstheme="minorHAnsi"/>
        </w:rPr>
        <w:t xml:space="preserve">płaty za zarządzanie pracowniczymi planami kapitałowymi utrzymują się poniżej maksymalnego, ustawowo dopuszczalnego poziomu. Zagwarantowane niskie </w:t>
      </w:r>
      <w:r w:rsidR="005734E2">
        <w:rPr>
          <w:rFonts w:cstheme="minorHAnsi"/>
        </w:rPr>
        <w:t xml:space="preserve">koszty zarządzania </w:t>
      </w:r>
      <w:r w:rsidR="001D2ADE">
        <w:rPr>
          <w:rFonts w:cstheme="minorHAnsi"/>
        </w:rPr>
        <w:t>w</w:t>
      </w:r>
      <w:r w:rsidR="00DA1AEC">
        <w:rPr>
          <w:rFonts w:cstheme="minorHAnsi"/>
        </w:rPr>
        <w:t> </w:t>
      </w:r>
      <w:r w:rsidR="001D2ADE">
        <w:rPr>
          <w:rFonts w:cstheme="minorHAnsi"/>
        </w:rPr>
        <w:t xml:space="preserve">przypadku FZD </w:t>
      </w:r>
      <w:r w:rsidR="00EE387A" w:rsidRPr="00EE387A">
        <w:rPr>
          <w:rFonts w:cstheme="minorHAnsi"/>
        </w:rPr>
        <w:t>to</w:t>
      </w:r>
      <w:r w:rsidR="00B51E48">
        <w:t> </w:t>
      </w:r>
      <w:r w:rsidR="00EE387A" w:rsidRPr="00EE387A">
        <w:rPr>
          <w:rFonts w:cstheme="minorHAnsi"/>
        </w:rPr>
        <w:t xml:space="preserve">jeden z elementów, który zwiększa atrakcyjność uczestnictwa w </w:t>
      </w:r>
      <w:r w:rsidR="000170DA">
        <w:rPr>
          <w:rFonts w:cstheme="minorHAnsi"/>
        </w:rPr>
        <w:t xml:space="preserve">PPK </w:t>
      </w:r>
      <w:r w:rsidR="00111091">
        <w:rPr>
          <w:rFonts w:cstheme="minorHAnsi"/>
        </w:rPr>
        <w:t>(</w:t>
      </w:r>
      <w:r w:rsidR="00111091" w:rsidRPr="00111091">
        <w:rPr>
          <w:rFonts w:cstheme="minorHAnsi"/>
        </w:rPr>
        <w:t xml:space="preserve">utrzymują się one </w:t>
      </w:r>
      <w:r w:rsidR="00CC5464">
        <w:rPr>
          <w:rFonts w:cstheme="minorHAnsi"/>
        </w:rPr>
        <w:t>m.in.</w:t>
      </w:r>
      <w:r w:rsidR="00B51E48">
        <w:rPr>
          <w:rFonts w:cstheme="minorHAnsi"/>
        </w:rPr>
        <w:t> </w:t>
      </w:r>
      <w:r w:rsidR="00111091" w:rsidRPr="00111091">
        <w:rPr>
          <w:rFonts w:cstheme="minorHAnsi"/>
        </w:rPr>
        <w:t>znacznie poniżej opłat za zarządzanie w przypadku zwykłych funduszy inwestycyjnych</w:t>
      </w:r>
      <w:r w:rsidR="000170DA">
        <w:rPr>
          <w:rFonts w:cstheme="minorHAnsi"/>
        </w:rPr>
        <w:t xml:space="preserve">). </w:t>
      </w:r>
    </w:p>
    <w:p w14:paraId="682BD0AA" w14:textId="77777777" w:rsidR="00EE387A" w:rsidRPr="00EE387A" w:rsidRDefault="00EE387A" w:rsidP="00905FFB">
      <w:pPr>
        <w:spacing w:before="6" w:after="6" w:line="288" w:lineRule="auto"/>
        <w:jc w:val="both"/>
        <w:rPr>
          <w:rFonts w:cstheme="minorHAnsi"/>
        </w:rPr>
      </w:pPr>
    </w:p>
    <w:p w14:paraId="73F0EB16" w14:textId="77777777" w:rsidR="00211ABE" w:rsidRPr="00211ABE" w:rsidRDefault="001C1A35">
      <w:pPr>
        <w:pStyle w:val="Nagwek2"/>
        <w:numPr>
          <w:ilvl w:val="0"/>
          <w:numId w:val="25"/>
        </w:numPr>
        <w:spacing w:before="6" w:after="6" w:line="288" w:lineRule="auto"/>
      </w:pPr>
      <w:bookmarkStart w:id="94" w:name="_Toc121828637"/>
      <w:r w:rsidRPr="001C1A35">
        <w:t>Rola PFR S.A. i PFR Portal PPK sp. z o.o.</w:t>
      </w:r>
      <w:bookmarkEnd w:id="94"/>
    </w:p>
    <w:p w14:paraId="7C77A951" w14:textId="5DDCB37F" w:rsidR="00D63D3C" w:rsidRPr="00D63D3C" w:rsidRDefault="0029150C" w:rsidP="00905FFB">
      <w:pPr>
        <w:spacing w:before="6" w:after="6" w:line="288" w:lineRule="auto"/>
        <w:jc w:val="both"/>
        <w:rPr>
          <w:rFonts w:cstheme="minorHAnsi"/>
        </w:rPr>
      </w:pPr>
      <w:r w:rsidRPr="00661E12">
        <w:rPr>
          <w:rFonts w:cstheme="minorHAnsi"/>
        </w:rPr>
        <w:t xml:space="preserve">Polski Fundusz Rozwoju </w:t>
      </w:r>
      <w:r w:rsidR="00694F84">
        <w:rPr>
          <w:rFonts w:cstheme="minorHAnsi"/>
        </w:rPr>
        <w:t>S.A.</w:t>
      </w:r>
      <w:r w:rsidR="00816AFB">
        <w:rPr>
          <w:rFonts w:cstheme="minorHAnsi"/>
        </w:rPr>
        <w:t>,</w:t>
      </w:r>
      <w:r w:rsidRPr="00661E12">
        <w:rPr>
          <w:rFonts w:cstheme="minorHAnsi"/>
        </w:rPr>
        <w:t xml:space="preserve"> jako instytucja, która wspiera zrównoważony rozwój społeczny i gospodarczy Polski, pełniła istotną rolę przy wprowadzaniu PPK oraz organizacji wdrożenia </w:t>
      </w:r>
      <w:r w:rsidR="006E11D9">
        <w:rPr>
          <w:rFonts w:cstheme="minorHAnsi"/>
        </w:rPr>
        <w:t xml:space="preserve">tego </w:t>
      </w:r>
      <w:r w:rsidRPr="00661E12">
        <w:rPr>
          <w:rFonts w:cstheme="minorHAnsi"/>
        </w:rPr>
        <w:t xml:space="preserve">programu. Spółka </w:t>
      </w:r>
      <w:r w:rsidR="006B6657">
        <w:rPr>
          <w:rFonts w:cstheme="minorHAnsi"/>
        </w:rPr>
        <w:t xml:space="preserve">ta </w:t>
      </w:r>
      <w:r w:rsidRPr="00661E12">
        <w:rPr>
          <w:rFonts w:cstheme="minorHAnsi"/>
        </w:rPr>
        <w:t>stworzyła system Ewidencji PPK, czyli rejestr</w:t>
      </w:r>
      <w:r w:rsidR="00FB7177">
        <w:rPr>
          <w:rFonts w:cstheme="minorHAnsi"/>
        </w:rPr>
        <w:t>y:</w:t>
      </w:r>
      <w:r w:rsidRPr="00661E12">
        <w:rPr>
          <w:rFonts w:cstheme="minorHAnsi"/>
        </w:rPr>
        <w:t xml:space="preserve"> wszystkich uczestników PPK, instytucji finansowych</w:t>
      </w:r>
      <w:r w:rsidR="006A222C">
        <w:rPr>
          <w:rFonts w:cstheme="minorHAnsi"/>
        </w:rPr>
        <w:t>,</w:t>
      </w:r>
      <w:r w:rsidRPr="00661E12">
        <w:rPr>
          <w:rFonts w:cstheme="minorHAnsi"/>
        </w:rPr>
        <w:t xml:space="preserve"> podmiotów zatrudniających</w:t>
      </w:r>
      <w:r w:rsidR="007B4696">
        <w:rPr>
          <w:rFonts w:cstheme="minorHAnsi"/>
        </w:rPr>
        <w:t xml:space="preserve">, które zawarły umowy o zarządzanie PPK </w:t>
      </w:r>
      <w:r w:rsidR="00CB1089">
        <w:rPr>
          <w:rFonts w:cstheme="minorHAnsi"/>
        </w:rPr>
        <w:t>oraz</w:t>
      </w:r>
      <w:r w:rsidR="00F25E71">
        <w:rPr>
          <w:rFonts w:cstheme="minorHAnsi"/>
        </w:rPr>
        <w:t> </w:t>
      </w:r>
      <w:r w:rsidR="006A222C">
        <w:rPr>
          <w:rFonts w:cstheme="minorHAnsi"/>
        </w:rPr>
        <w:t>umów o zarządzanie PPK</w:t>
      </w:r>
      <w:r w:rsidR="00CB1089">
        <w:rPr>
          <w:rFonts w:cstheme="minorHAnsi"/>
        </w:rPr>
        <w:t xml:space="preserve">. PFR powołał też </w:t>
      </w:r>
      <w:r w:rsidRPr="00661E12">
        <w:rPr>
          <w:rFonts w:cstheme="minorHAnsi"/>
        </w:rPr>
        <w:t xml:space="preserve">spółkę zależną </w:t>
      </w:r>
      <w:r w:rsidR="005C27C1">
        <w:rPr>
          <w:rFonts w:cstheme="minorHAnsi"/>
        </w:rPr>
        <w:t>–</w:t>
      </w:r>
      <w:r w:rsidRPr="00661E12">
        <w:rPr>
          <w:rFonts w:cstheme="minorHAnsi"/>
        </w:rPr>
        <w:t xml:space="preserve"> PFR Portal PPK sp. z o.o., prowadzącą</w:t>
      </w:r>
      <w:r w:rsidR="0086313B">
        <w:rPr>
          <w:rFonts w:cstheme="minorHAnsi"/>
        </w:rPr>
        <w:t xml:space="preserve"> </w:t>
      </w:r>
      <w:r w:rsidR="005C27C1">
        <w:rPr>
          <w:rFonts w:cstheme="minorHAnsi"/>
        </w:rPr>
        <w:t>–</w:t>
      </w:r>
      <w:r w:rsidRPr="00661E12">
        <w:rPr>
          <w:rFonts w:cstheme="minorHAnsi"/>
        </w:rPr>
        <w:t xml:space="preserve"> dedykowany PPK </w:t>
      </w:r>
      <w:r w:rsidR="005C27C1">
        <w:rPr>
          <w:rFonts w:cstheme="minorHAnsi"/>
        </w:rPr>
        <w:t>–</w:t>
      </w:r>
      <w:r w:rsidR="0086313B">
        <w:rPr>
          <w:rFonts w:cstheme="minorHAnsi"/>
        </w:rPr>
        <w:t xml:space="preserve"> </w:t>
      </w:r>
      <w:r w:rsidRPr="00661E12">
        <w:rPr>
          <w:rFonts w:cstheme="minorHAnsi"/>
        </w:rPr>
        <w:t>portal internetowy</w:t>
      </w:r>
      <w:r w:rsidR="007E40BC">
        <w:rPr>
          <w:rFonts w:cstheme="minorHAnsi"/>
        </w:rPr>
        <w:t>:</w:t>
      </w:r>
      <w:r w:rsidRPr="00661E12">
        <w:rPr>
          <w:rFonts w:cstheme="minorHAnsi"/>
        </w:rPr>
        <w:t xml:space="preserve"> mojeppk.pl, </w:t>
      </w:r>
      <w:r w:rsidR="004B0928">
        <w:rPr>
          <w:rFonts w:cstheme="minorHAnsi"/>
        </w:rPr>
        <w:t>będący</w:t>
      </w:r>
      <w:r w:rsidRPr="00661E12">
        <w:rPr>
          <w:rFonts w:cstheme="minorHAnsi"/>
        </w:rPr>
        <w:t xml:space="preserve"> centrum informacji o funkcjonowaniu i</w:t>
      </w:r>
      <w:r w:rsidR="00DA1AEC">
        <w:rPr>
          <w:rFonts w:cstheme="minorHAnsi"/>
        </w:rPr>
        <w:t> </w:t>
      </w:r>
      <w:r w:rsidRPr="00661E12">
        <w:rPr>
          <w:rFonts w:cstheme="minorHAnsi"/>
        </w:rPr>
        <w:t>zasadach działania PPK.</w:t>
      </w:r>
      <w:r w:rsidR="00944D0F">
        <w:rPr>
          <w:rFonts w:cstheme="minorHAnsi"/>
        </w:rPr>
        <w:t xml:space="preserve"> Jest to jedyne</w:t>
      </w:r>
      <w:r w:rsidR="00E17489">
        <w:rPr>
          <w:rFonts w:cstheme="minorHAnsi"/>
        </w:rPr>
        <w:t xml:space="preserve"> </w:t>
      </w:r>
      <w:r w:rsidR="00944D0F">
        <w:rPr>
          <w:rFonts w:cstheme="minorHAnsi"/>
        </w:rPr>
        <w:t xml:space="preserve">oficjalne </w:t>
      </w:r>
      <w:r w:rsidR="00D63D3C" w:rsidRPr="00D63D3C">
        <w:rPr>
          <w:rFonts w:cstheme="minorHAnsi"/>
        </w:rPr>
        <w:t xml:space="preserve">źródło informacji o PPK. W ramach zarządzania portalem </w:t>
      </w:r>
      <w:r w:rsidR="00944D0F">
        <w:rPr>
          <w:rFonts w:cstheme="minorHAnsi"/>
        </w:rPr>
        <w:t xml:space="preserve">PFR Portal </w:t>
      </w:r>
      <w:r w:rsidR="003A331E">
        <w:rPr>
          <w:rFonts w:cstheme="minorHAnsi"/>
        </w:rPr>
        <w:t xml:space="preserve">PPK sp. z o.o. </w:t>
      </w:r>
      <w:r w:rsidR="00D63D3C" w:rsidRPr="00D63D3C">
        <w:rPr>
          <w:rFonts w:cstheme="minorHAnsi"/>
        </w:rPr>
        <w:t>dostarcza niezbędnych informacji pracodawcom, pracownikom oraz</w:t>
      </w:r>
      <w:r w:rsidR="00F25E71">
        <w:rPr>
          <w:rFonts w:cstheme="minorHAnsi"/>
        </w:rPr>
        <w:t> </w:t>
      </w:r>
      <w:r w:rsidR="00D63D3C" w:rsidRPr="00D63D3C">
        <w:rPr>
          <w:rFonts w:cstheme="minorHAnsi"/>
        </w:rPr>
        <w:t xml:space="preserve">instytucjom finansowym. </w:t>
      </w:r>
    </w:p>
    <w:p w14:paraId="15A79239" w14:textId="346B647C" w:rsidR="0048259E" w:rsidRDefault="00D63D3C" w:rsidP="00905FFB">
      <w:pPr>
        <w:spacing w:before="6" w:after="6" w:line="288" w:lineRule="auto"/>
        <w:jc w:val="both"/>
        <w:rPr>
          <w:rFonts w:ascii="DiodrumW03-Medium" w:eastAsiaTheme="majorEastAsia" w:hAnsi="DiodrumW03-Medium" w:cstheme="majorBidi"/>
        </w:rPr>
      </w:pPr>
      <w:r w:rsidRPr="00D63D3C">
        <w:rPr>
          <w:rFonts w:cstheme="minorHAnsi"/>
        </w:rPr>
        <w:lastRenderedPageBreak/>
        <w:t xml:space="preserve">Na stronie </w:t>
      </w:r>
      <w:r w:rsidR="009C54BA">
        <w:rPr>
          <w:rFonts w:cstheme="minorHAnsi"/>
        </w:rPr>
        <w:t xml:space="preserve">tej </w:t>
      </w:r>
      <w:r w:rsidRPr="00D63D3C">
        <w:rPr>
          <w:rFonts w:cstheme="minorHAnsi"/>
        </w:rPr>
        <w:t xml:space="preserve">dostępne są materiały informacyjne, interpretacje prawne i podręczniki PPK </w:t>
      </w:r>
      <w:r w:rsidR="005C27C1">
        <w:rPr>
          <w:rFonts w:cstheme="minorHAnsi"/>
        </w:rPr>
        <w:t>–</w:t>
      </w:r>
      <w:r w:rsidR="00E8449E">
        <w:rPr>
          <w:rFonts w:cstheme="minorHAnsi"/>
        </w:rPr>
        <w:t xml:space="preserve"> </w:t>
      </w:r>
      <w:r w:rsidRPr="00D63D3C">
        <w:rPr>
          <w:rFonts w:cstheme="minorHAnsi"/>
        </w:rPr>
        <w:t>do pobrania przez wszystkich zainteresowanych oraz oferty instytucji finansowych. Od początku istnienia portalu odnotowano 21 491 875 odsłon i 7 187 353 użytkowników.</w:t>
      </w:r>
    </w:p>
    <w:p w14:paraId="58A149AE" w14:textId="2932EF4B" w:rsidR="0048259E" w:rsidRDefault="0048259E" w:rsidP="00905FFB">
      <w:pPr>
        <w:spacing w:before="6" w:after="6" w:line="288" w:lineRule="auto"/>
        <w:jc w:val="both"/>
        <w:rPr>
          <w:rFonts w:ascii="DiodrumW03-Medium" w:eastAsiaTheme="majorEastAsia" w:hAnsi="DiodrumW03-Medium" w:cstheme="majorBidi"/>
        </w:rPr>
      </w:pPr>
      <w:r>
        <w:rPr>
          <w:rFonts w:ascii="DiodrumW03-Medium" w:eastAsiaTheme="majorEastAsia" w:hAnsi="DiodrumW03-Medium" w:cstheme="majorBidi"/>
        </w:rPr>
        <w:t xml:space="preserve">W celu realizacji zadań w zakresie informowania </w:t>
      </w:r>
      <w:r w:rsidRPr="008F0C1E">
        <w:rPr>
          <w:rFonts w:ascii="DiodrumW03-Medium" w:eastAsiaTheme="majorEastAsia" w:hAnsi="DiodrumW03-Medium" w:cstheme="majorBidi"/>
        </w:rPr>
        <w:t>o warunkach oraz uprawnieniach wynikających z</w:t>
      </w:r>
      <w:r w:rsidR="00E315A2">
        <w:rPr>
          <w:rFonts w:ascii="DiodrumW03-Medium" w:eastAsiaTheme="majorEastAsia" w:hAnsi="DiodrumW03-Medium" w:cstheme="majorBidi"/>
        </w:rPr>
        <w:t> </w:t>
      </w:r>
      <w:r w:rsidRPr="008F0C1E">
        <w:rPr>
          <w:rFonts w:ascii="DiodrumW03-Medium" w:eastAsiaTheme="majorEastAsia" w:hAnsi="DiodrumW03-Medium" w:cstheme="majorBidi"/>
        </w:rPr>
        <w:t>uczestnictwa w</w:t>
      </w:r>
      <w:r>
        <w:rPr>
          <w:rFonts w:ascii="DiodrumW03-Medium" w:eastAsiaTheme="majorEastAsia" w:hAnsi="DiodrumW03-Medium" w:cstheme="majorBidi"/>
        </w:rPr>
        <w:t xml:space="preserve"> programie</w:t>
      </w:r>
      <w:r w:rsidRPr="008F0C1E">
        <w:rPr>
          <w:rFonts w:ascii="DiodrumW03-Medium" w:eastAsiaTheme="majorEastAsia" w:hAnsi="DiodrumW03-Medium" w:cstheme="majorBidi"/>
        </w:rPr>
        <w:t xml:space="preserve"> PP</w:t>
      </w:r>
      <w:r w:rsidR="00BF03E3">
        <w:rPr>
          <w:rFonts w:ascii="DiodrumW03-Medium" w:eastAsiaTheme="majorEastAsia" w:hAnsi="DiodrumW03-Medium" w:cstheme="majorBidi"/>
        </w:rPr>
        <w:t>K</w:t>
      </w:r>
      <w:r w:rsidRPr="008F0C1E">
        <w:rPr>
          <w:rFonts w:ascii="DiodrumW03-Medium" w:eastAsiaTheme="majorEastAsia" w:hAnsi="DiodrumW03-Medium" w:cstheme="majorBidi"/>
        </w:rPr>
        <w:t xml:space="preserve"> </w:t>
      </w:r>
      <w:r>
        <w:rPr>
          <w:rFonts w:ascii="DiodrumW03-Medium" w:eastAsiaTheme="majorEastAsia" w:hAnsi="DiodrumW03-Medium" w:cstheme="majorBidi"/>
        </w:rPr>
        <w:t xml:space="preserve">spółka PFR Portal PPK uruchomiła również </w:t>
      </w:r>
      <w:r w:rsidRPr="008F0C1E">
        <w:rPr>
          <w:rFonts w:ascii="DiodrumW03-Medium" w:eastAsiaTheme="majorEastAsia" w:hAnsi="DiodrumW03-Medium" w:cstheme="majorBidi"/>
        </w:rPr>
        <w:t>dedykowaną Infolinię (</w:t>
      </w:r>
      <w:r w:rsidRPr="00592FA8">
        <w:rPr>
          <w:rFonts w:ascii="DiodrumW03-Medium" w:eastAsiaTheme="majorEastAsia" w:hAnsi="DiodrumW03-Medium" w:cstheme="majorBidi"/>
        </w:rPr>
        <w:t>Contact Center),</w:t>
      </w:r>
      <w:r w:rsidRPr="008A5EF5">
        <w:rPr>
          <w:rFonts w:ascii="DiodrumW03-Medium" w:eastAsiaTheme="majorEastAsia" w:hAnsi="DiodrumW03-Medium" w:cstheme="majorBidi"/>
          <w:b/>
          <w:bCs/>
        </w:rPr>
        <w:t xml:space="preserve"> </w:t>
      </w:r>
      <w:r w:rsidRPr="008F0C1E">
        <w:rPr>
          <w:rFonts w:ascii="DiodrumW03-Medium" w:eastAsiaTheme="majorEastAsia" w:hAnsi="DiodrumW03-Medium" w:cstheme="majorBidi"/>
        </w:rPr>
        <w:t xml:space="preserve">będącą zintegrowanym centrum informacji o szczegółach funkcjonowania systemu PPK. </w:t>
      </w:r>
      <w:r>
        <w:rPr>
          <w:rFonts w:ascii="DiodrumW03-Medium" w:eastAsiaTheme="majorEastAsia" w:hAnsi="DiodrumW03-Medium" w:cstheme="majorBidi"/>
        </w:rPr>
        <w:t>Infolinia obsłużyła do tej pory 76 787</w:t>
      </w:r>
      <w:r w:rsidRPr="2B713615">
        <w:rPr>
          <w:rFonts w:ascii="DiodrumW03-Medium" w:eastAsiaTheme="majorEastAsia" w:hAnsi="DiodrumW03-Medium" w:cstheme="majorBidi"/>
        </w:rPr>
        <w:t xml:space="preserve"> </w:t>
      </w:r>
      <w:r>
        <w:rPr>
          <w:rFonts w:ascii="DiodrumW03-Medium" w:eastAsiaTheme="majorEastAsia" w:hAnsi="DiodrumW03-Medium" w:cstheme="majorBidi"/>
        </w:rPr>
        <w:t>połączeń przychodzących</w:t>
      </w:r>
      <w:r w:rsidRPr="2B713615">
        <w:rPr>
          <w:rFonts w:ascii="DiodrumW03-Medium" w:eastAsiaTheme="majorEastAsia" w:hAnsi="DiodrumW03-Medium" w:cstheme="majorBidi"/>
        </w:rPr>
        <w:t xml:space="preserve">, 13 </w:t>
      </w:r>
      <w:r>
        <w:rPr>
          <w:rFonts w:ascii="DiodrumW03-Medium" w:eastAsiaTheme="majorEastAsia" w:hAnsi="DiodrumW03-Medium" w:cstheme="majorBidi"/>
        </w:rPr>
        <w:t>014</w:t>
      </w:r>
      <w:r w:rsidRPr="2B713615">
        <w:rPr>
          <w:rFonts w:ascii="DiodrumW03-Medium" w:eastAsiaTheme="majorEastAsia" w:hAnsi="DiodrumW03-Medium" w:cstheme="majorBidi"/>
        </w:rPr>
        <w:t xml:space="preserve"> mali i </w:t>
      </w:r>
      <w:r>
        <w:rPr>
          <w:rFonts w:ascii="DiodrumW03-Medium" w:eastAsiaTheme="majorEastAsia" w:hAnsi="DiodrumW03-Medium" w:cstheme="majorBidi"/>
        </w:rPr>
        <w:t>8351</w:t>
      </w:r>
      <w:r w:rsidRPr="2B713615">
        <w:rPr>
          <w:rFonts w:ascii="DiodrumW03-Medium" w:eastAsiaTheme="majorEastAsia" w:hAnsi="DiodrumW03-Medium" w:cstheme="majorBidi"/>
        </w:rPr>
        <w:t xml:space="preserve"> zapytań w</w:t>
      </w:r>
      <w:r w:rsidR="00720FBB">
        <w:rPr>
          <w:rFonts w:ascii="DiodrumW03-Medium" w:eastAsiaTheme="majorEastAsia" w:hAnsi="DiodrumW03-Medium" w:cstheme="majorBidi"/>
        </w:rPr>
        <w:t> </w:t>
      </w:r>
      <w:r w:rsidRPr="2B713615">
        <w:rPr>
          <w:rFonts w:ascii="DiodrumW03-Medium" w:eastAsiaTheme="majorEastAsia" w:hAnsi="DiodrumW03-Medium" w:cstheme="majorBidi"/>
        </w:rPr>
        <w:t>kanale chat.</w:t>
      </w:r>
    </w:p>
    <w:p w14:paraId="3E948229" w14:textId="16FAC7B0" w:rsidR="00D63D3C" w:rsidRPr="00D63D3C" w:rsidRDefault="00D63D3C" w:rsidP="00905FFB">
      <w:pPr>
        <w:spacing w:before="6" w:after="6" w:line="288" w:lineRule="auto"/>
        <w:jc w:val="both"/>
        <w:rPr>
          <w:rFonts w:cstheme="minorHAnsi"/>
        </w:rPr>
      </w:pPr>
      <w:r w:rsidRPr="00D63D3C">
        <w:rPr>
          <w:rFonts w:cstheme="minorHAnsi"/>
        </w:rPr>
        <w:t xml:space="preserve">W ramach działalności edukacyjnej </w:t>
      </w:r>
      <w:r w:rsidR="00AB29A5">
        <w:rPr>
          <w:rFonts w:cstheme="minorHAnsi"/>
        </w:rPr>
        <w:t xml:space="preserve">PFR Portal PPK sp. z o.o. </w:t>
      </w:r>
      <w:r w:rsidRPr="00D63D3C">
        <w:rPr>
          <w:rFonts w:cstheme="minorHAnsi"/>
        </w:rPr>
        <w:t xml:space="preserve">prowadzi </w:t>
      </w:r>
      <w:r w:rsidR="0078409A">
        <w:rPr>
          <w:rFonts w:cstheme="minorHAnsi"/>
        </w:rPr>
        <w:t xml:space="preserve">także </w:t>
      </w:r>
      <w:r w:rsidRPr="00D63D3C">
        <w:rPr>
          <w:rFonts w:cstheme="minorHAnsi"/>
        </w:rPr>
        <w:t xml:space="preserve">szkolenia i organizuje konferencje </w:t>
      </w:r>
      <w:r w:rsidR="005C27C1">
        <w:rPr>
          <w:rFonts w:cstheme="minorHAnsi"/>
        </w:rPr>
        <w:t>–</w:t>
      </w:r>
      <w:r w:rsidRPr="00D63D3C">
        <w:rPr>
          <w:rFonts w:cstheme="minorHAnsi"/>
        </w:rPr>
        <w:t xml:space="preserve"> zarówno dla pracodawców</w:t>
      </w:r>
      <w:r w:rsidR="00AB29A5">
        <w:rPr>
          <w:rFonts w:cstheme="minorHAnsi"/>
        </w:rPr>
        <w:t>, jak</w:t>
      </w:r>
      <w:r w:rsidRPr="00D63D3C">
        <w:rPr>
          <w:rFonts w:cstheme="minorHAnsi"/>
        </w:rPr>
        <w:t xml:space="preserve"> i </w:t>
      </w:r>
      <w:r w:rsidR="00AB29A5">
        <w:rPr>
          <w:rFonts w:cstheme="minorHAnsi"/>
        </w:rPr>
        <w:t xml:space="preserve">dla </w:t>
      </w:r>
      <w:r w:rsidRPr="00D63D3C">
        <w:rPr>
          <w:rFonts w:cstheme="minorHAnsi"/>
        </w:rPr>
        <w:t xml:space="preserve">pracowników. </w:t>
      </w:r>
      <w:r w:rsidR="00EC6964">
        <w:rPr>
          <w:rFonts w:cstheme="minorHAnsi"/>
        </w:rPr>
        <w:t>Spółka b</w:t>
      </w:r>
      <w:r w:rsidRPr="00D63D3C">
        <w:rPr>
          <w:rFonts w:cstheme="minorHAnsi"/>
        </w:rPr>
        <w:t xml:space="preserve">ierze </w:t>
      </w:r>
      <w:r w:rsidR="00EC6964">
        <w:rPr>
          <w:rFonts w:cstheme="minorHAnsi"/>
        </w:rPr>
        <w:t xml:space="preserve">także </w:t>
      </w:r>
      <w:r w:rsidRPr="00D63D3C">
        <w:rPr>
          <w:rFonts w:cstheme="minorHAnsi"/>
        </w:rPr>
        <w:t>udział w</w:t>
      </w:r>
      <w:r w:rsidR="00720FBB">
        <w:rPr>
          <w:rFonts w:cstheme="minorHAnsi"/>
        </w:rPr>
        <w:t> </w:t>
      </w:r>
      <w:r w:rsidRPr="00D63D3C">
        <w:rPr>
          <w:rFonts w:cstheme="minorHAnsi"/>
        </w:rPr>
        <w:t xml:space="preserve">wydarzeniach zewnętrznych, zapewniając obsługę merytoryczną, </w:t>
      </w:r>
      <w:r w:rsidR="00EC6964">
        <w:rPr>
          <w:rFonts w:cstheme="minorHAnsi"/>
        </w:rPr>
        <w:t>oraz</w:t>
      </w:r>
      <w:r w:rsidRPr="00D63D3C">
        <w:rPr>
          <w:rFonts w:cstheme="minorHAnsi"/>
        </w:rPr>
        <w:t xml:space="preserve"> świadczy konsultacje indywidualne dla firm. Od czasu wejścia w życie ustawy o PPK, t</w:t>
      </w:r>
      <w:r w:rsidR="00834DFF">
        <w:rPr>
          <w:rFonts w:cstheme="minorHAnsi"/>
        </w:rPr>
        <w:t>o jest</w:t>
      </w:r>
      <w:r w:rsidRPr="00D63D3C">
        <w:rPr>
          <w:rFonts w:cstheme="minorHAnsi"/>
        </w:rPr>
        <w:t xml:space="preserve"> 1 stycznia 2019 r.</w:t>
      </w:r>
      <w:r w:rsidR="00834DFF">
        <w:rPr>
          <w:rFonts w:cstheme="minorHAnsi"/>
        </w:rPr>
        <w:t>,</w:t>
      </w:r>
      <w:r w:rsidRPr="00D63D3C">
        <w:rPr>
          <w:rFonts w:cstheme="minorHAnsi"/>
        </w:rPr>
        <w:t xml:space="preserve"> do końca sierpnia 2022 r</w:t>
      </w:r>
      <w:r w:rsidR="00834DFF">
        <w:rPr>
          <w:rFonts w:cstheme="minorHAnsi"/>
        </w:rPr>
        <w:t>oku</w:t>
      </w:r>
      <w:r w:rsidRPr="00D63D3C">
        <w:rPr>
          <w:rFonts w:cstheme="minorHAnsi"/>
        </w:rPr>
        <w:t xml:space="preserve"> spółka przeprowadziła 6795 szkoleń o PPK, w</w:t>
      </w:r>
      <w:r w:rsidR="00DA1AEC">
        <w:rPr>
          <w:rFonts w:cstheme="minorHAnsi"/>
        </w:rPr>
        <w:t> </w:t>
      </w:r>
      <w:r w:rsidRPr="00D63D3C">
        <w:rPr>
          <w:rFonts w:cstheme="minorHAnsi"/>
        </w:rPr>
        <w:t>których wzięło udział 198 577 osób.</w:t>
      </w:r>
    </w:p>
    <w:p w14:paraId="62523296" w14:textId="15128171" w:rsidR="00D63D3C" w:rsidRDefault="00D63D3C" w:rsidP="00905FFB">
      <w:pPr>
        <w:spacing w:before="6" w:after="6" w:line="288" w:lineRule="auto"/>
        <w:jc w:val="both"/>
        <w:rPr>
          <w:rFonts w:cstheme="minorHAnsi"/>
        </w:rPr>
      </w:pPr>
      <w:r w:rsidRPr="00D63D3C">
        <w:rPr>
          <w:rFonts w:cstheme="minorHAnsi"/>
        </w:rPr>
        <w:t>Od stycznia 2022 r</w:t>
      </w:r>
      <w:r w:rsidR="00043946">
        <w:rPr>
          <w:rFonts w:cstheme="minorHAnsi"/>
        </w:rPr>
        <w:t>oku</w:t>
      </w:r>
      <w:r w:rsidRPr="00D63D3C">
        <w:rPr>
          <w:rFonts w:cstheme="minorHAnsi"/>
        </w:rPr>
        <w:t xml:space="preserve"> na </w:t>
      </w:r>
      <w:r w:rsidR="00C771F5">
        <w:rPr>
          <w:rFonts w:cstheme="minorHAnsi"/>
        </w:rPr>
        <w:t xml:space="preserve">omawianym </w:t>
      </w:r>
      <w:r w:rsidRPr="00D63D3C">
        <w:rPr>
          <w:rFonts w:cstheme="minorHAnsi"/>
        </w:rPr>
        <w:t>portalu (</w:t>
      </w:r>
      <w:r w:rsidR="00BE201A" w:rsidRPr="004B6D6C">
        <w:t>www.mojeppk.pl</w:t>
      </w:r>
      <w:r w:rsidRPr="00D63D3C">
        <w:rPr>
          <w:rFonts w:cstheme="minorHAnsi"/>
        </w:rPr>
        <w:t>) została uruchomiona nowa funkcjonalność – logowanie do serwisu „MojePPK</w:t>
      </w:r>
      <w:r w:rsidR="00C771F5">
        <w:rPr>
          <w:rFonts w:cstheme="minorHAnsi"/>
        </w:rPr>
        <w:t>”</w:t>
      </w:r>
      <w:r w:rsidRPr="00D63D3C">
        <w:rPr>
          <w:rFonts w:cstheme="minorHAnsi"/>
        </w:rPr>
        <w:t xml:space="preserve">. </w:t>
      </w:r>
    </w:p>
    <w:p w14:paraId="066BA094" w14:textId="77777777" w:rsidR="00BE7FB3" w:rsidRPr="00D63D3C" w:rsidRDefault="00BE7FB3" w:rsidP="00905FFB">
      <w:pPr>
        <w:spacing w:before="6" w:after="6" w:line="288" w:lineRule="auto"/>
        <w:jc w:val="both"/>
        <w:rPr>
          <w:rFonts w:cstheme="minorHAnsi"/>
        </w:rPr>
      </w:pPr>
    </w:p>
    <w:p w14:paraId="69FBF972" w14:textId="63C09F55" w:rsidR="00F201AC" w:rsidRPr="0091189E" w:rsidRDefault="00D63D3C" w:rsidP="00905FFB">
      <w:pPr>
        <w:spacing w:before="6" w:after="6" w:line="288" w:lineRule="auto"/>
        <w:jc w:val="both"/>
        <w:rPr>
          <w:rFonts w:cstheme="minorHAnsi"/>
        </w:rPr>
      </w:pPr>
      <w:r w:rsidRPr="00D63D3C">
        <w:rPr>
          <w:rFonts w:cstheme="minorHAnsi"/>
        </w:rPr>
        <w:t>Użytkownik serwisu znajd</w:t>
      </w:r>
      <w:r w:rsidR="005537DF">
        <w:rPr>
          <w:rFonts w:cstheme="minorHAnsi"/>
        </w:rPr>
        <w:t>uje</w:t>
      </w:r>
      <w:r w:rsidRPr="00D63D3C">
        <w:rPr>
          <w:rFonts w:cstheme="minorHAnsi"/>
        </w:rPr>
        <w:t xml:space="preserve"> w nim listę wszystkich swoich rachunków PPK oraz informacje m.in.</w:t>
      </w:r>
      <w:r w:rsidR="00BF03E3">
        <w:rPr>
          <w:rFonts w:cstheme="minorHAnsi"/>
        </w:rPr>
        <w:t> </w:t>
      </w:r>
      <w:r w:rsidRPr="00D63D3C">
        <w:rPr>
          <w:rFonts w:cstheme="minorHAnsi"/>
        </w:rPr>
        <w:t xml:space="preserve">o łącznej wartości środków zgromadzonych w PPK </w:t>
      </w:r>
      <w:r w:rsidR="005C27C1">
        <w:rPr>
          <w:rFonts w:cstheme="minorHAnsi"/>
        </w:rPr>
        <w:t>–</w:t>
      </w:r>
      <w:r w:rsidRPr="00D63D3C">
        <w:rPr>
          <w:rFonts w:cstheme="minorHAnsi"/>
        </w:rPr>
        <w:t xml:space="preserve"> na wszystkich rachunkach łącznie </w:t>
      </w:r>
      <w:r w:rsidR="000B358F">
        <w:rPr>
          <w:rFonts w:cstheme="minorHAnsi"/>
        </w:rPr>
        <w:t>oraz</w:t>
      </w:r>
      <w:r w:rsidR="00BF03E3">
        <w:rPr>
          <w:rFonts w:cstheme="minorHAnsi"/>
        </w:rPr>
        <w:t> </w:t>
      </w:r>
      <w:r w:rsidRPr="00D63D3C">
        <w:rPr>
          <w:rFonts w:cstheme="minorHAnsi"/>
        </w:rPr>
        <w:t>w</w:t>
      </w:r>
      <w:r w:rsidR="00BF03E3">
        <w:rPr>
          <w:rFonts w:cstheme="minorHAnsi"/>
        </w:rPr>
        <w:t> </w:t>
      </w:r>
      <w:r w:rsidRPr="00D63D3C">
        <w:rPr>
          <w:rFonts w:cstheme="minorHAnsi"/>
        </w:rPr>
        <w:t>rozbiciu na poszczególne rachunki PPK, wysokości wpłat do PPK (z podziałem na wpłaty finansowane przez: pracownika, pracodawcę i państwo), funduszach zdefiniowanej daty, w których oszczędza</w:t>
      </w:r>
      <w:r w:rsidR="00E47AC6">
        <w:rPr>
          <w:rFonts w:cstheme="minorHAnsi"/>
        </w:rPr>
        <w:t>,</w:t>
      </w:r>
      <w:r w:rsidRPr="00D63D3C">
        <w:rPr>
          <w:rFonts w:cstheme="minorHAnsi"/>
        </w:rPr>
        <w:t xml:space="preserve"> oraz dokonanych zwrotach i wypłatach w tzw. szczególnych sytuacjach życiowych. W</w:t>
      </w:r>
      <w:r w:rsidR="00BF03E3">
        <w:rPr>
          <w:rFonts w:cstheme="minorHAnsi"/>
        </w:rPr>
        <w:t> </w:t>
      </w:r>
      <w:r w:rsidRPr="00D63D3C">
        <w:rPr>
          <w:rFonts w:cstheme="minorHAnsi"/>
        </w:rPr>
        <w:t>serwisie prezentowana jest również informacja o dacie i wysokości ostatniej wpłaty pracodawcy na</w:t>
      </w:r>
      <w:r w:rsidR="00BF03E3">
        <w:rPr>
          <w:rFonts w:cstheme="minorHAnsi"/>
        </w:rPr>
        <w:t> </w:t>
      </w:r>
      <w:r w:rsidRPr="00D63D3C">
        <w:rPr>
          <w:rFonts w:cstheme="minorHAnsi"/>
        </w:rPr>
        <w:t xml:space="preserve">dany rachunek PPK. Dzięki tej informacji uczestnik PPK jest w stanie zweryfikować, czy aktywnie oszczędza na danym rachunku PPK (czy jego pracodawca odprowadza za </w:t>
      </w:r>
      <w:r w:rsidR="00BF03E3">
        <w:rPr>
          <w:rFonts w:cstheme="minorHAnsi"/>
        </w:rPr>
        <w:t>niego wpłaty do PPK). Dodatkowo</w:t>
      </w:r>
      <w:r w:rsidRPr="00D63D3C">
        <w:rPr>
          <w:rFonts w:cstheme="minorHAnsi"/>
        </w:rPr>
        <w:t xml:space="preserve"> z serwisu można wygenerować i wydrukować raport z listą swoich rachunków PPK i</w:t>
      </w:r>
      <w:r w:rsidR="00BF03E3">
        <w:rPr>
          <w:rFonts w:cstheme="minorHAnsi"/>
        </w:rPr>
        <w:t> </w:t>
      </w:r>
      <w:r w:rsidRPr="00D63D3C">
        <w:rPr>
          <w:rFonts w:cstheme="minorHAnsi"/>
        </w:rPr>
        <w:t xml:space="preserve">informacją o łącznej wartości zebranych oszczędności. </w:t>
      </w:r>
    </w:p>
    <w:p w14:paraId="029D86A6" w14:textId="24A632EF" w:rsidR="00466023" w:rsidRDefault="00BF03E3" w:rsidP="00905FFB">
      <w:pPr>
        <w:spacing w:before="6" w:after="6" w:line="288" w:lineRule="auto"/>
        <w:jc w:val="both"/>
        <w:rPr>
          <w:rFonts w:cstheme="minorHAnsi"/>
        </w:rPr>
      </w:pPr>
      <w:r>
        <w:rPr>
          <w:rFonts w:cstheme="minorHAnsi"/>
        </w:rPr>
        <w:t>Ponadto</w:t>
      </w:r>
      <w:r w:rsidR="0029150C" w:rsidRPr="00661E12">
        <w:rPr>
          <w:rFonts w:cstheme="minorHAnsi"/>
        </w:rPr>
        <w:t xml:space="preserve"> spółka zależna od PFR S.A. </w:t>
      </w:r>
      <w:r w:rsidR="005C27C1">
        <w:rPr>
          <w:rFonts w:cstheme="minorHAnsi"/>
        </w:rPr>
        <w:t>–</w:t>
      </w:r>
      <w:r w:rsidR="0029150C" w:rsidRPr="00661E12">
        <w:rPr>
          <w:rFonts w:cstheme="minorHAnsi"/>
        </w:rPr>
        <w:t xml:space="preserve"> PFR Towarzystwo Funduszy Inwestycyjnych S.A.</w:t>
      </w:r>
      <w:r w:rsidR="00456C89">
        <w:rPr>
          <w:rFonts w:cstheme="minorHAnsi"/>
        </w:rPr>
        <w:t>,</w:t>
      </w:r>
      <w:r w:rsidR="0029150C" w:rsidRPr="00661E12" w:rsidDel="00456C89">
        <w:rPr>
          <w:rFonts w:cstheme="minorHAnsi"/>
        </w:rPr>
        <w:t xml:space="preserve"> </w:t>
      </w:r>
      <w:r w:rsidR="0029150C" w:rsidRPr="00661E12">
        <w:rPr>
          <w:rFonts w:cstheme="minorHAnsi"/>
        </w:rPr>
        <w:t>pełni</w:t>
      </w:r>
      <w:r w:rsidR="00456C89">
        <w:rPr>
          <w:rFonts w:cstheme="minorHAnsi"/>
        </w:rPr>
        <w:t>ąca</w:t>
      </w:r>
      <w:r w:rsidR="0029150C" w:rsidRPr="00661E12">
        <w:rPr>
          <w:rFonts w:cstheme="minorHAnsi"/>
        </w:rPr>
        <w:t xml:space="preserve"> funkcj</w:t>
      </w:r>
      <w:r w:rsidR="00456C89">
        <w:rPr>
          <w:rFonts w:cstheme="minorHAnsi"/>
        </w:rPr>
        <w:t>ę</w:t>
      </w:r>
      <w:r w:rsidR="0029150C" w:rsidRPr="00661E12">
        <w:rPr>
          <w:rFonts w:cstheme="minorHAnsi"/>
        </w:rPr>
        <w:t xml:space="preserve"> instytucji wyznaczonej, gwarantuje wszystkim pracodawcom i</w:t>
      </w:r>
      <w:r w:rsidR="00B4424D">
        <w:rPr>
          <w:rFonts w:cstheme="minorHAnsi"/>
        </w:rPr>
        <w:t> </w:t>
      </w:r>
      <w:r w:rsidR="0029150C" w:rsidRPr="00661E12">
        <w:rPr>
          <w:rFonts w:cstheme="minorHAnsi"/>
        </w:rPr>
        <w:t xml:space="preserve">pracownikom dostęp do oferty PPK. Instytucja ta nie może odmówić utworzenia PPK dla danego </w:t>
      </w:r>
      <w:r w:rsidR="00AE526D">
        <w:rPr>
          <w:rFonts w:cstheme="minorHAnsi"/>
        </w:rPr>
        <w:t>podmiotu zatrudniającego</w:t>
      </w:r>
      <w:r w:rsidR="0029150C" w:rsidRPr="00661E12">
        <w:rPr>
          <w:rFonts w:cstheme="minorHAnsi"/>
        </w:rPr>
        <w:t>.</w:t>
      </w:r>
    </w:p>
    <w:p w14:paraId="704347EC" w14:textId="77777777" w:rsidR="00A12AE9" w:rsidRPr="00661E12" w:rsidRDefault="0029150C" w:rsidP="00905FFB">
      <w:pPr>
        <w:spacing w:before="6" w:after="6" w:line="288" w:lineRule="auto"/>
        <w:jc w:val="both"/>
        <w:rPr>
          <w:rFonts w:cstheme="minorHAnsi"/>
        </w:rPr>
      </w:pPr>
      <w:r w:rsidRPr="00661E12">
        <w:rPr>
          <w:rFonts w:cstheme="minorHAnsi"/>
        </w:rPr>
        <w:t xml:space="preserve"> </w:t>
      </w:r>
    </w:p>
    <w:p w14:paraId="602B1CB9" w14:textId="77777777" w:rsidR="00502F1F" w:rsidRPr="00A12AE9" w:rsidRDefault="00502F1F">
      <w:pPr>
        <w:pStyle w:val="Nagwek2"/>
        <w:numPr>
          <w:ilvl w:val="0"/>
          <w:numId w:val="23"/>
        </w:numPr>
        <w:spacing w:before="6" w:after="6" w:line="288" w:lineRule="auto"/>
      </w:pPr>
      <w:bookmarkStart w:id="95" w:name="_Toc121828638"/>
      <w:r w:rsidRPr="00A12AE9">
        <w:t>Wpływ PPK na gospodarkę</w:t>
      </w:r>
      <w:bookmarkEnd w:id="95"/>
      <w:r w:rsidR="006F2530">
        <w:t xml:space="preserve"> </w:t>
      </w:r>
    </w:p>
    <w:p w14:paraId="70F9DD04" w14:textId="2ECE13C9" w:rsidR="00394A56" w:rsidRPr="00394A56" w:rsidRDefault="00394A56" w:rsidP="00905FFB">
      <w:pPr>
        <w:spacing w:before="6" w:after="6" w:line="288" w:lineRule="auto"/>
        <w:jc w:val="both"/>
        <w:rPr>
          <w:rFonts w:cstheme="minorHAnsi"/>
        </w:rPr>
      </w:pPr>
      <w:r w:rsidRPr="00394A56">
        <w:rPr>
          <w:rFonts w:cstheme="minorHAnsi"/>
        </w:rPr>
        <w:t>Niebawem upłynie czteroletni okres</w:t>
      </w:r>
      <w:r w:rsidR="00C05EE2">
        <w:rPr>
          <w:rFonts w:cstheme="minorHAnsi"/>
        </w:rPr>
        <w:t xml:space="preserve"> </w:t>
      </w:r>
      <w:r w:rsidRPr="00394A56">
        <w:rPr>
          <w:rFonts w:cstheme="minorHAnsi"/>
        </w:rPr>
        <w:t xml:space="preserve">od podpisania ustawy o pracowniczych planach kapitałowych </w:t>
      </w:r>
      <w:r w:rsidR="00DA1AEC">
        <w:rPr>
          <w:rFonts w:cstheme="minorHAnsi"/>
        </w:rPr>
        <w:t>–</w:t>
      </w:r>
      <w:r w:rsidR="00C05EE2">
        <w:rPr>
          <w:rFonts w:cstheme="minorHAnsi"/>
        </w:rPr>
        <w:t xml:space="preserve"> </w:t>
      </w:r>
      <w:r w:rsidRPr="00394A56">
        <w:rPr>
          <w:rFonts w:cstheme="minorHAnsi"/>
        </w:rPr>
        <w:t>w</w:t>
      </w:r>
      <w:r w:rsidR="00DA1AEC">
        <w:rPr>
          <w:rFonts w:cstheme="minorHAnsi"/>
        </w:rPr>
        <w:t> </w:t>
      </w:r>
      <w:r w:rsidRPr="00394A56">
        <w:rPr>
          <w:rFonts w:cstheme="minorHAnsi"/>
        </w:rPr>
        <w:t>dniu 18 listopada 2018 r.</w:t>
      </w:r>
      <w:r w:rsidR="00C05EE2">
        <w:rPr>
          <w:rFonts w:cstheme="minorHAnsi"/>
        </w:rPr>
        <w:t>,</w:t>
      </w:r>
      <w:r w:rsidRPr="00394A56">
        <w:rPr>
          <w:rFonts w:cstheme="minorHAnsi"/>
        </w:rPr>
        <w:t xml:space="preserve"> w siedzibie GPW, symboliczn</w:t>
      </w:r>
      <w:r w:rsidR="00466023">
        <w:rPr>
          <w:rFonts w:cstheme="minorHAnsi"/>
        </w:rPr>
        <w:t>ym</w:t>
      </w:r>
      <w:r w:rsidRPr="00394A56">
        <w:rPr>
          <w:rFonts w:cstheme="minorHAnsi"/>
        </w:rPr>
        <w:t xml:space="preserve"> miejsc</w:t>
      </w:r>
      <w:r w:rsidR="00466023">
        <w:rPr>
          <w:rFonts w:cstheme="minorHAnsi"/>
        </w:rPr>
        <w:t>u</w:t>
      </w:r>
      <w:r w:rsidRPr="00394A56">
        <w:rPr>
          <w:rFonts w:cstheme="minorHAnsi"/>
        </w:rPr>
        <w:t xml:space="preserve"> dla inwestorów indywidualnych i</w:t>
      </w:r>
      <w:r w:rsidR="00E315A2">
        <w:rPr>
          <w:rFonts w:cstheme="minorHAnsi"/>
        </w:rPr>
        <w:t> </w:t>
      </w:r>
      <w:r w:rsidRPr="00394A56">
        <w:rPr>
          <w:rFonts w:cstheme="minorHAnsi"/>
        </w:rPr>
        <w:t>rynku kapitałowego. Pozwala to na próbę określenia znaczenia PPK dla gospodarki i</w:t>
      </w:r>
      <w:r w:rsidR="00B4424D">
        <w:rPr>
          <w:rFonts w:cstheme="minorHAnsi"/>
        </w:rPr>
        <w:t> </w:t>
      </w:r>
      <w:r w:rsidRPr="00394A56">
        <w:rPr>
          <w:rFonts w:cstheme="minorHAnsi"/>
        </w:rPr>
        <w:t>uczestników</w:t>
      </w:r>
      <w:r w:rsidR="00860D07">
        <w:rPr>
          <w:rFonts w:cstheme="minorHAnsi"/>
        </w:rPr>
        <w:t xml:space="preserve"> tego programu</w:t>
      </w:r>
      <w:r w:rsidRPr="00394A56">
        <w:rPr>
          <w:rFonts w:cstheme="minorHAnsi"/>
        </w:rPr>
        <w:t>. Pierwsze szacunki</w:t>
      </w:r>
      <w:r w:rsidR="00BD29BB">
        <w:rPr>
          <w:rFonts w:cstheme="minorHAnsi"/>
        </w:rPr>
        <w:t>,</w:t>
      </w:r>
      <w:r w:rsidRPr="00394A56">
        <w:rPr>
          <w:rFonts w:cstheme="minorHAnsi"/>
        </w:rPr>
        <w:t xml:space="preserve"> dotyczące możliwego wpływu PPK na makroekonomię Polski, oparte były na tezie o szybkim do osiągni</w:t>
      </w:r>
      <w:r w:rsidR="00A002B6">
        <w:rPr>
          <w:rFonts w:cstheme="minorHAnsi"/>
        </w:rPr>
        <w:t>ę</w:t>
      </w:r>
      <w:r w:rsidRPr="00394A56">
        <w:rPr>
          <w:rFonts w:cstheme="minorHAnsi"/>
        </w:rPr>
        <w:t>cia, wysokim poziomie partycypacji. Podkreślano fakt uruchomienia nowoczesnego wehikułu oszczędzania długoterminowego, wzorowanego na najlepszych rozwiązaniach zagranicznych, w szczególności brytyjskich. W 2017 r</w:t>
      </w:r>
      <w:r w:rsidR="00A12AE9">
        <w:rPr>
          <w:rFonts w:cstheme="minorHAnsi"/>
        </w:rPr>
        <w:t>oku</w:t>
      </w:r>
      <w:r w:rsidRPr="00394A56">
        <w:rPr>
          <w:rFonts w:cstheme="minorHAnsi"/>
        </w:rPr>
        <w:t xml:space="preserve"> zapowiadano, ż</w:t>
      </w:r>
      <w:r w:rsidR="008731EC">
        <w:rPr>
          <w:rFonts w:cstheme="minorHAnsi"/>
        </w:rPr>
        <w:t>e</w:t>
      </w:r>
      <w:r w:rsidR="00E1605D">
        <w:rPr>
          <w:rFonts w:cstheme="minorHAnsi"/>
        </w:rPr>
        <w:t xml:space="preserve"> jest możliwe </w:t>
      </w:r>
      <w:r w:rsidRPr="00394A56">
        <w:rPr>
          <w:rFonts w:cstheme="minorHAnsi"/>
        </w:rPr>
        <w:t xml:space="preserve">uczestnictwo </w:t>
      </w:r>
      <w:r w:rsidR="00BC5396">
        <w:rPr>
          <w:rFonts w:cstheme="minorHAnsi"/>
        </w:rPr>
        <w:t xml:space="preserve">w programie </w:t>
      </w:r>
      <w:r w:rsidRPr="00394A56">
        <w:rPr>
          <w:rFonts w:cstheme="minorHAnsi"/>
        </w:rPr>
        <w:t>blisko ¾ uprawnionej populacji</w:t>
      </w:r>
      <w:r w:rsidR="008731EC">
        <w:rPr>
          <w:rFonts w:cstheme="minorHAnsi"/>
        </w:rPr>
        <w:t>,</w:t>
      </w:r>
      <w:r w:rsidRPr="00394A56">
        <w:rPr>
          <w:rFonts w:cstheme="minorHAnsi"/>
        </w:rPr>
        <w:t xml:space="preserve"> co korzystnie miało wpłynąć na napływy środków na </w:t>
      </w:r>
      <w:r w:rsidR="00567C8D">
        <w:rPr>
          <w:rFonts w:cstheme="minorHAnsi"/>
        </w:rPr>
        <w:t>rachunki</w:t>
      </w:r>
      <w:r w:rsidRPr="00394A56">
        <w:rPr>
          <w:rFonts w:cstheme="minorHAnsi"/>
        </w:rPr>
        <w:t xml:space="preserve"> uprawnionych.</w:t>
      </w:r>
      <w:r w:rsidR="004F7482">
        <w:rPr>
          <w:rFonts w:cstheme="minorHAnsi"/>
        </w:rPr>
        <w:t xml:space="preserve"> </w:t>
      </w:r>
      <w:r w:rsidR="00F92B63">
        <w:rPr>
          <w:rFonts w:cstheme="minorHAnsi"/>
        </w:rPr>
        <w:t>Jak pokazują doświadczenia innych krajów</w:t>
      </w:r>
      <w:r w:rsidR="00116581">
        <w:rPr>
          <w:rFonts w:cstheme="minorHAnsi"/>
        </w:rPr>
        <w:t>,</w:t>
      </w:r>
      <w:r w:rsidR="00F92B63">
        <w:rPr>
          <w:rFonts w:cstheme="minorHAnsi"/>
        </w:rPr>
        <w:t xml:space="preserve"> osiągnięcie takiego wyn</w:t>
      </w:r>
      <w:r w:rsidR="00F64203">
        <w:rPr>
          <w:rFonts w:cstheme="minorHAnsi"/>
        </w:rPr>
        <w:t>i</w:t>
      </w:r>
      <w:r w:rsidR="00F92B63">
        <w:rPr>
          <w:rFonts w:cstheme="minorHAnsi"/>
        </w:rPr>
        <w:t xml:space="preserve">ku nie jednak proste </w:t>
      </w:r>
      <w:r w:rsidR="005926DB">
        <w:rPr>
          <w:rFonts w:cstheme="minorHAnsi"/>
        </w:rPr>
        <w:t xml:space="preserve">i </w:t>
      </w:r>
      <w:r w:rsidR="00F92B63">
        <w:rPr>
          <w:rFonts w:cstheme="minorHAnsi"/>
        </w:rPr>
        <w:t>wymaga czas</w:t>
      </w:r>
      <w:r w:rsidR="00F64203">
        <w:rPr>
          <w:rFonts w:cstheme="minorHAnsi"/>
        </w:rPr>
        <w:t>u</w:t>
      </w:r>
      <w:r w:rsidR="005E1F9A">
        <w:rPr>
          <w:rFonts w:cstheme="minorHAnsi"/>
        </w:rPr>
        <w:t>.</w:t>
      </w:r>
    </w:p>
    <w:p w14:paraId="3CA0CD4D" w14:textId="359130EB" w:rsidR="00394A56" w:rsidRPr="00394A56" w:rsidRDefault="00394A56" w:rsidP="00905FFB">
      <w:pPr>
        <w:spacing w:before="6" w:after="6" w:line="288" w:lineRule="auto"/>
        <w:jc w:val="both"/>
        <w:rPr>
          <w:rFonts w:cstheme="minorHAnsi"/>
        </w:rPr>
      </w:pPr>
      <w:r w:rsidRPr="00394A56">
        <w:rPr>
          <w:rFonts w:cstheme="minorHAnsi"/>
        </w:rPr>
        <w:t xml:space="preserve">Raport </w:t>
      </w:r>
      <w:r w:rsidR="00567C8D">
        <w:rPr>
          <w:rFonts w:cstheme="minorHAnsi"/>
        </w:rPr>
        <w:t>„</w:t>
      </w:r>
      <w:r w:rsidRPr="00394A56">
        <w:rPr>
          <w:rFonts w:cstheme="minorHAnsi"/>
        </w:rPr>
        <w:t>Pracownicze plany kapitałowe. Koszty i korzyści"</w:t>
      </w:r>
      <w:r w:rsidR="00567C8D">
        <w:rPr>
          <w:rFonts w:cstheme="minorHAnsi"/>
        </w:rPr>
        <w:t>,</w:t>
      </w:r>
      <w:r w:rsidRPr="00394A56" w:rsidDel="00567C8D">
        <w:rPr>
          <w:rFonts w:cstheme="minorHAnsi"/>
        </w:rPr>
        <w:t xml:space="preserve"> </w:t>
      </w:r>
      <w:r w:rsidRPr="00394A56">
        <w:rPr>
          <w:rFonts w:cstheme="minorHAnsi"/>
        </w:rPr>
        <w:t>przygotowany w czerwcu 2019 r</w:t>
      </w:r>
      <w:r w:rsidR="00A12AE9">
        <w:rPr>
          <w:rFonts w:cstheme="minorHAnsi"/>
        </w:rPr>
        <w:t>oku</w:t>
      </w:r>
      <w:r w:rsidRPr="00394A56">
        <w:rPr>
          <w:rFonts w:cstheme="minorHAnsi"/>
        </w:rPr>
        <w:t xml:space="preserve"> przez</w:t>
      </w:r>
      <w:r w:rsidR="00BF03E3">
        <w:rPr>
          <w:rFonts w:cstheme="minorHAnsi"/>
        </w:rPr>
        <w:t> </w:t>
      </w:r>
      <w:r w:rsidRPr="00394A56">
        <w:rPr>
          <w:rFonts w:cstheme="minorHAnsi"/>
        </w:rPr>
        <w:t xml:space="preserve">centrum analityczne Polityka Insight, którego partnerem było Nationale-Nederlanden, </w:t>
      </w:r>
      <w:r w:rsidRPr="00394A56">
        <w:rPr>
          <w:rFonts w:cstheme="minorHAnsi"/>
        </w:rPr>
        <w:lastRenderedPageBreak/>
        <w:t xml:space="preserve">wskazywał na możliwe scenariusze wpływu PPK na gospodarkę Polski. Opracowanie </w:t>
      </w:r>
      <w:r w:rsidR="00F76BB7">
        <w:rPr>
          <w:rFonts w:cstheme="minorHAnsi"/>
        </w:rPr>
        <w:t xml:space="preserve">to </w:t>
      </w:r>
      <w:r w:rsidRPr="00394A56">
        <w:rPr>
          <w:rFonts w:cstheme="minorHAnsi"/>
        </w:rPr>
        <w:t xml:space="preserve">było przygotowane w okresie przedpandemicznym, jednakże jego wskazania i tezy zachowują aktualność. Niezależnie od ówczesnych zmian w otoczeniu gospodarczym Polski, pierwszy rok funkcjonowania PPK przyniósł rewizję oczekiwań odnośnie partycypacji, kształtując jej oczekiwany w perspektywie najbliższej dekady </w:t>
      </w:r>
      <w:r w:rsidR="00F243A7">
        <w:rPr>
          <w:rFonts w:cstheme="minorHAnsi"/>
        </w:rPr>
        <w:t xml:space="preserve">poziom </w:t>
      </w:r>
      <w:r w:rsidRPr="00394A56">
        <w:rPr>
          <w:rFonts w:cstheme="minorHAnsi"/>
        </w:rPr>
        <w:t>w przedziale 30</w:t>
      </w:r>
      <w:r w:rsidR="005C27C1">
        <w:rPr>
          <w:rFonts w:cstheme="minorHAnsi"/>
        </w:rPr>
        <w:t>–</w:t>
      </w:r>
      <w:r w:rsidRPr="00394A56">
        <w:rPr>
          <w:rFonts w:cstheme="minorHAnsi"/>
        </w:rPr>
        <w:t>50% uprawnionych. Pomimo zakładanych na starcie programu wskaźników partycypacji</w:t>
      </w:r>
      <w:r w:rsidR="00911C07">
        <w:rPr>
          <w:rFonts w:cstheme="minorHAnsi"/>
        </w:rPr>
        <w:t>,</w:t>
      </w:r>
      <w:r w:rsidRPr="00394A56">
        <w:rPr>
          <w:rFonts w:cstheme="minorHAnsi"/>
        </w:rPr>
        <w:t xml:space="preserve"> należy podkreślić kilka parametrów, które mają istotny wpływ makroekonomiczny na funkcjonowanie programu, także przywołane parametry.</w:t>
      </w:r>
    </w:p>
    <w:p w14:paraId="7FF0DDB5" w14:textId="77777777" w:rsidR="00594E12" w:rsidRDefault="00594E12" w:rsidP="00723604">
      <w:pPr>
        <w:spacing w:before="6" w:after="6" w:line="288" w:lineRule="auto"/>
      </w:pPr>
    </w:p>
    <w:p w14:paraId="567667AE" w14:textId="7A10C4F5" w:rsidR="00394A56" w:rsidRPr="00721596" w:rsidRDefault="00394A56">
      <w:pPr>
        <w:pStyle w:val="Nagwek3"/>
        <w:numPr>
          <w:ilvl w:val="1"/>
          <w:numId w:val="23"/>
        </w:numPr>
        <w:spacing w:before="6" w:after="6" w:line="288" w:lineRule="auto"/>
      </w:pPr>
      <w:bookmarkStart w:id="96" w:name="_Toc121828639"/>
      <w:r w:rsidRPr="00721596">
        <w:t xml:space="preserve">PPK </w:t>
      </w:r>
      <w:r w:rsidR="005C27C1">
        <w:t>–</w:t>
      </w:r>
      <w:r w:rsidRPr="00721596">
        <w:t xml:space="preserve"> pozytywny impuls makroekonomiczny</w:t>
      </w:r>
      <w:bookmarkEnd w:id="96"/>
    </w:p>
    <w:p w14:paraId="17747307" w14:textId="67C99339" w:rsidR="00F71A7D" w:rsidRPr="00801966" w:rsidRDefault="00394A56" w:rsidP="00723604">
      <w:pPr>
        <w:spacing w:before="6" w:after="6" w:line="288" w:lineRule="auto"/>
        <w:jc w:val="both"/>
        <w:rPr>
          <w:rFonts w:cstheme="minorHAnsi"/>
        </w:rPr>
      </w:pPr>
      <w:r w:rsidRPr="00C62B0E">
        <w:rPr>
          <w:rFonts w:cstheme="minorHAnsi"/>
        </w:rPr>
        <w:t>Program PPK pozytywnie wpływa na konsumpcję, spożycie publiczne i inwestycje</w:t>
      </w:r>
      <w:r w:rsidR="00DC5B3A" w:rsidRPr="00C62B0E">
        <w:rPr>
          <w:rFonts w:cstheme="minorHAnsi"/>
        </w:rPr>
        <w:t>.</w:t>
      </w:r>
      <w:r w:rsidRPr="00C62B0E">
        <w:rPr>
          <w:rFonts w:cstheme="minorHAnsi"/>
        </w:rPr>
        <w:t xml:space="preserve"> Zakładano,</w:t>
      </w:r>
      <w:r w:rsidR="00990FD4" w:rsidRPr="00C62B0E">
        <w:rPr>
          <w:rFonts w:cstheme="minorHAnsi"/>
        </w:rPr>
        <w:t xml:space="preserve"> że</w:t>
      </w:r>
      <w:r w:rsidR="00BF03E3">
        <w:rPr>
          <w:rFonts w:cstheme="minorHAnsi"/>
        </w:rPr>
        <w:t> </w:t>
      </w:r>
      <w:r w:rsidRPr="00C62B0E">
        <w:rPr>
          <w:rFonts w:cstheme="minorHAnsi"/>
        </w:rPr>
        <w:t>począwszy od 2022 r</w:t>
      </w:r>
      <w:r w:rsidR="004E6BD4" w:rsidRPr="00C62B0E">
        <w:rPr>
          <w:rFonts w:cstheme="minorHAnsi"/>
        </w:rPr>
        <w:t>oku</w:t>
      </w:r>
      <w:r w:rsidRPr="00C62B0E">
        <w:rPr>
          <w:rFonts w:cstheme="minorHAnsi"/>
        </w:rPr>
        <w:t xml:space="preserve"> nastąpi wzrost PKB z tytułu powiększania się aktywów PPK</w:t>
      </w:r>
      <w:r w:rsidR="00DD09EF" w:rsidRPr="00C62B0E">
        <w:rPr>
          <w:rFonts w:cstheme="minorHAnsi"/>
        </w:rPr>
        <w:t>,</w:t>
      </w:r>
      <w:r w:rsidRPr="00C62B0E">
        <w:rPr>
          <w:rFonts w:cstheme="minorHAnsi"/>
        </w:rPr>
        <w:t xml:space="preserve"> a następnie po</w:t>
      </w:r>
      <w:r w:rsidR="00BF03E3">
        <w:rPr>
          <w:rFonts w:cstheme="minorHAnsi"/>
        </w:rPr>
        <w:t> </w:t>
      </w:r>
      <w:r w:rsidRPr="00C62B0E">
        <w:rPr>
          <w:rFonts w:cstheme="minorHAnsi"/>
        </w:rPr>
        <w:t>10</w:t>
      </w:r>
      <w:r w:rsidR="00720FBB">
        <w:rPr>
          <w:rFonts w:cstheme="minorHAnsi"/>
        </w:rPr>
        <w:t> </w:t>
      </w:r>
      <w:r w:rsidRPr="00C62B0E">
        <w:rPr>
          <w:rFonts w:cstheme="minorHAnsi"/>
        </w:rPr>
        <w:t>latach nastąpi stabilizacja efektów oddziaływania programu na gospodarkę.</w:t>
      </w:r>
      <w:r w:rsidR="00DD09EF" w:rsidRPr="00C62B0E">
        <w:rPr>
          <w:rFonts w:cstheme="minorHAnsi"/>
        </w:rPr>
        <w:t xml:space="preserve"> </w:t>
      </w:r>
      <w:r w:rsidRPr="00C62B0E">
        <w:rPr>
          <w:rFonts w:cstheme="minorHAnsi"/>
        </w:rPr>
        <w:t>Kształtowanie się</w:t>
      </w:r>
      <w:r w:rsidR="00BF03E3">
        <w:rPr>
          <w:rFonts w:cstheme="minorHAnsi"/>
        </w:rPr>
        <w:t> </w:t>
      </w:r>
      <w:r w:rsidRPr="00C62B0E">
        <w:rPr>
          <w:rFonts w:cstheme="minorHAnsi"/>
        </w:rPr>
        <w:t xml:space="preserve">partycypacji na obecnym poziomie (33% uprawnionych) skłania ku przekonaniu o możliwym scenariuszu przyrostu PKB. </w:t>
      </w:r>
      <w:r w:rsidR="00101616" w:rsidRPr="00C62B0E">
        <w:rPr>
          <w:rFonts w:cstheme="minorHAnsi"/>
        </w:rPr>
        <w:t>Byłoby to możliwe</w:t>
      </w:r>
      <w:r w:rsidRPr="00C62B0E">
        <w:rPr>
          <w:rFonts w:cstheme="minorHAnsi"/>
        </w:rPr>
        <w:t xml:space="preserve"> do osiągnięcia w przypadku</w:t>
      </w:r>
      <w:r w:rsidR="00F07860" w:rsidRPr="00C62B0E">
        <w:rPr>
          <w:rFonts w:cstheme="minorHAnsi"/>
        </w:rPr>
        <w:t xml:space="preserve"> m.in.</w:t>
      </w:r>
      <w:r w:rsidR="007C38CB" w:rsidRPr="00C62B0E">
        <w:rPr>
          <w:rFonts w:cstheme="minorHAnsi"/>
        </w:rPr>
        <w:t>:</w:t>
      </w:r>
      <w:r w:rsidR="00C84188" w:rsidRPr="00C62B0E">
        <w:rPr>
          <w:rFonts w:cstheme="minorHAnsi"/>
        </w:rPr>
        <w:t xml:space="preserve"> </w:t>
      </w:r>
      <w:r w:rsidRPr="00C62B0E">
        <w:rPr>
          <w:rFonts w:cstheme="minorHAnsi"/>
        </w:rPr>
        <w:t>przeznaczenia dodatkowych dochodów na inwestycje w gospodarce</w:t>
      </w:r>
      <w:r w:rsidR="006C4528" w:rsidRPr="00C62B0E">
        <w:rPr>
          <w:rFonts w:cstheme="minorHAnsi"/>
        </w:rPr>
        <w:t xml:space="preserve"> (n</w:t>
      </w:r>
      <w:r w:rsidRPr="00C62B0E">
        <w:rPr>
          <w:rFonts w:cstheme="minorHAnsi"/>
        </w:rPr>
        <w:t>apływ bezpośrednich inwestycji zagranicznych w 2021 roku osiągnął ponad 24,8 mld dolarów, blisko 2 razy więcej aniżeli w</w:t>
      </w:r>
      <w:r w:rsidR="00B4424D" w:rsidRPr="00C62B0E">
        <w:rPr>
          <w:rFonts w:cstheme="minorHAnsi"/>
        </w:rPr>
        <w:t> </w:t>
      </w:r>
      <w:r w:rsidRPr="00C62B0E">
        <w:rPr>
          <w:rFonts w:cstheme="minorHAnsi"/>
        </w:rPr>
        <w:t xml:space="preserve">pierwszym roku rozwoju pandemii </w:t>
      </w:r>
      <w:r w:rsidR="005C27C1">
        <w:rPr>
          <w:rFonts w:cstheme="minorHAnsi"/>
        </w:rPr>
        <w:t>–</w:t>
      </w:r>
      <w:r w:rsidR="006C4528" w:rsidRPr="00C62B0E">
        <w:rPr>
          <w:rFonts w:cstheme="minorHAnsi"/>
        </w:rPr>
        <w:t xml:space="preserve"> </w:t>
      </w:r>
      <w:r w:rsidRPr="00C62B0E">
        <w:rPr>
          <w:rFonts w:cstheme="minorHAnsi"/>
        </w:rPr>
        <w:t>2020</w:t>
      </w:r>
      <w:r w:rsidR="00CC2531" w:rsidRPr="00C62B0E">
        <w:rPr>
          <w:rFonts w:cstheme="minorHAnsi"/>
        </w:rPr>
        <w:t xml:space="preserve"> rok</w:t>
      </w:r>
      <w:r w:rsidR="006C4528" w:rsidRPr="00C62B0E">
        <w:rPr>
          <w:rFonts w:cstheme="minorHAnsi"/>
        </w:rPr>
        <w:t xml:space="preserve">) oraz </w:t>
      </w:r>
      <w:r w:rsidRPr="00C62B0E">
        <w:rPr>
          <w:rFonts w:cstheme="minorHAnsi"/>
        </w:rPr>
        <w:t>utrzymywania się wysokiego poziomu konsumpcji</w:t>
      </w:r>
      <w:r w:rsidR="006C4528" w:rsidRPr="00C62B0E">
        <w:rPr>
          <w:rFonts w:cstheme="minorHAnsi"/>
        </w:rPr>
        <w:t>.</w:t>
      </w:r>
    </w:p>
    <w:p w14:paraId="696D8DD6" w14:textId="639F33F1" w:rsidR="00394A56" w:rsidRPr="00394A56" w:rsidRDefault="00394A56" w:rsidP="00723604">
      <w:pPr>
        <w:spacing w:before="6" w:after="6" w:line="288" w:lineRule="auto"/>
        <w:jc w:val="both"/>
        <w:rPr>
          <w:rFonts w:cstheme="minorHAnsi"/>
        </w:rPr>
      </w:pPr>
    </w:p>
    <w:p w14:paraId="2AE730B9" w14:textId="55A6850B" w:rsidR="00394A56" w:rsidRDefault="00394A56" w:rsidP="006648A4">
      <w:pPr>
        <w:spacing w:before="6" w:after="6" w:line="288" w:lineRule="auto"/>
        <w:jc w:val="both"/>
        <w:rPr>
          <w:rFonts w:cstheme="minorHAnsi"/>
        </w:rPr>
      </w:pPr>
      <w:r w:rsidRPr="00394A56">
        <w:rPr>
          <w:rFonts w:cstheme="minorHAnsi"/>
        </w:rPr>
        <w:t xml:space="preserve">O wpływie PPK na rozwój gospodarczy decyduje głównie jego konstrukcja, inna aniżeli </w:t>
      </w:r>
      <w:r w:rsidR="005C27C1">
        <w:rPr>
          <w:rFonts w:cstheme="minorHAnsi"/>
        </w:rPr>
        <w:t>–</w:t>
      </w:r>
      <w:r w:rsidR="0040253A">
        <w:rPr>
          <w:rFonts w:cstheme="minorHAnsi"/>
        </w:rPr>
        <w:t xml:space="preserve"> </w:t>
      </w:r>
      <w:r w:rsidRPr="00394A56">
        <w:rPr>
          <w:rFonts w:cstheme="minorHAnsi"/>
        </w:rPr>
        <w:t>wprowadzona reformą ubezpieczeń społecznych z 1999 r</w:t>
      </w:r>
      <w:r w:rsidR="00892AC3">
        <w:rPr>
          <w:rFonts w:cstheme="minorHAnsi"/>
        </w:rPr>
        <w:t>oku</w:t>
      </w:r>
      <w:r w:rsidRPr="00394A56">
        <w:rPr>
          <w:rFonts w:cstheme="minorHAnsi"/>
        </w:rPr>
        <w:t xml:space="preserve"> </w:t>
      </w:r>
      <w:r w:rsidR="005C27C1">
        <w:rPr>
          <w:rFonts w:cstheme="minorHAnsi"/>
        </w:rPr>
        <w:t>–</w:t>
      </w:r>
      <w:r w:rsidR="0040253A">
        <w:rPr>
          <w:rFonts w:cstheme="minorHAnsi"/>
        </w:rPr>
        <w:t xml:space="preserve"> </w:t>
      </w:r>
      <w:r w:rsidRPr="00394A56">
        <w:rPr>
          <w:rFonts w:cstheme="minorHAnsi"/>
        </w:rPr>
        <w:t xml:space="preserve">formuła </w:t>
      </w:r>
      <w:r w:rsidR="0040253A">
        <w:rPr>
          <w:rFonts w:cstheme="minorHAnsi"/>
        </w:rPr>
        <w:t>p</w:t>
      </w:r>
      <w:r w:rsidRPr="00394A56">
        <w:rPr>
          <w:rFonts w:cstheme="minorHAnsi"/>
        </w:rPr>
        <w:t xml:space="preserve">racowniczych </w:t>
      </w:r>
      <w:r w:rsidR="0040253A">
        <w:rPr>
          <w:rFonts w:cstheme="minorHAnsi"/>
        </w:rPr>
        <w:t>p</w:t>
      </w:r>
      <w:r w:rsidRPr="00394A56">
        <w:rPr>
          <w:rFonts w:cstheme="minorHAnsi"/>
        </w:rPr>
        <w:t xml:space="preserve">rogramów </w:t>
      </w:r>
      <w:r w:rsidR="0040253A">
        <w:rPr>
          <w:rFonts w:cstheme="minorHAnsi"/>
        </w:rPr>
        <w:t>e</w:t>
      </w:r>
      <w:r w:rsidRPr="00394A56">
        <w:rPr>
          <w:rFonts w:cstheme="minorHAnsi"/>
        </w:rPr>
        <w:t xml:space="preserve">merytalnych (PPE). </w:t>
      </w:r>
      <w:r w:rsidR="00DD17FE">
        <w:rPr>
          <w:rFonts w:cstheme="minorHAnsi"/>
        </w:rPr>
        <w:t>I</w:t>
      </w:r>
      <w:r w:rsidRPr="00394A56">
        <w:rPr>
          <w:rFonts w:cstheme="minorHAnsi"/>
        </w:rPr>
        <w:t>ch finansowani</w:t>
      </w:r>
      <w:r w:rsidR="00DD17FE">
        <w:rPr>
          <w:rFonts w:cstheme="minorHAnsi"/>
        </w:rPr>
        <w:t>e</w:t>
      </w:r>
      <w:r w:rsidRPr="00394A56">
        <w:rPr>
          <w:rFonts w:cstheme="minorHAnsi"/>
        </w:rPr>
        <w:t xml:space="preserve"> </w:t>
      </w:r>
      <w:r w:rsidR="0075478E">
        <w:rPr>
          <w:rFonts w:cstheme="minorHAnsi"/>
        </w:rPr>
        <w:t>zapewniała</w:t>
      </w:r>
      <w:r w:rsidRPr="00394A56">
        <w:rPr>
          <w:rFonts w:cstheme="minorHAnsi"/>
        </w:rPr>
        <w:t xml:space="preserve"> de facto kontrybucja składkowa pracodawcy (do</w:t>
      </w:r>
      <w:r w:rsidR="00BF03E3">
        <w:rPr>
          <w:rFonts w:cstheme="minorHAnsi"/>
        </w:rPr>
        <w:t> </w:t>
      </w:r>
      <w:r w:rsidRPr="00394A56">
        <w:rPr>
          <w:rFonts w:cstheme="minorHAnsi"/>
        </w:rPr>
        <w:t>7%</w:t>
      </w:r>
      <w:r w:rsidR="00BF03E3">
        <w:rPr>
          <w:rFonts w:cstheme="minorHAnsi"/>
        </w:rPr>
        <w:t> </w:t>
      </w:r>
      <w:r w:rsidRPr="00394A56">
        <w:rPr>
          <w:rFonts w:cstheme="minorHAnsi"/>
        </w:rPr>
        <w:t>wynagrodzenia brutto)</w:t>
      </w:r>
      <w:r w:rsidR="003A1222">
        <w:rPr>
          <w:rFonts w:cstheme="minorHAnsi"/>
        </w:rPr>
        <w:t>,</w:t>
      </w:r>
      <w:r w:rsidRPr="00394A56">
        <w:rPr>
          <w:rFonts w:cstheme="minorHAnsi"/>
        </w:rPr>
        <w:t xml:space="preserve"> a z możliwości dodatkowego doubezpieczenia (do 3%), w okresie ponad 20-letniego okresu tworzenia programów</w:t>
      </w:r>
      <w:r w:rsidR="00BF03E3">
        <w:rPr>
          <w:rFonts w:cstheme="minorHAnsi"/>
        </w:rPr>
        <w:t>,</w:t>
      </w:r>
      <w:r w:rsidRPr="00394A56">
        <w:rPr>
          <w:rFonts w:cstheme="minorHAnsi"/>
        </w:rPr>
        <w:t xml:space="preserve"> skorzystało jedynie nie więcej aniżeli 1/10 populacji uczestników PPE. Szeroka opcja trójźródłowego zasilania (praco</w:t>
      </w:r>
      <w:r w:rsidR="00BF03E3">
        <w:rPr>
          <w:rFonts w:cstheme="minorHAnsi"/>
        </w:rPr>
        <w:t>dawca, państwo i uczestnik) PPK</w:t>
      </w:r>
      <w:r w:rsidRPr="00394A56">
        <w:rPr>
          <w:rFonts w:cstheme="minorHAnsi"/>
        </w:rPr>
        <w:t xml:space="preserve"> powoduje, że przepływy finansowe są kwotowo nieporównywalne z tymi, które miały miejsce w PPE. Największa partycypacja </w:t>
      </w:r>
      <w:r w:rsidR="00272FC6">
        <w:rPr>
          <w:rFonts w:cstheme="minorHAnsi"/>
        </w:rPr>
        <w:t>w PPK</w:t>
      </w:r>
      <w:r w:rsidRPr="00394A56">
        <w:rPr>
          <w:rFonts w:cstheme="minorHAnsi"/>
        </w:rPr>
        <w:t xml:space="preserve"> występuje w najsilniejszych gospodarczo województwach: mazowieckim (45,1%), wielkopolskim i dolnośląskim. Z pewnością zaskoczeniem dla analityków jest</w:t>
      </w:r>
      <w:r w:rsidR="00BF03E3">
        <w:rPr>
          <w:rFonts w:cstheme="minorHAnsi"/>
        </w:rPr>
        <w:t> </w:t>
      </w:r>
      <w:r w:rsidRPr="00394A56">
        <w:rPr>
          <w:rFonts w:cstheme="minorHAnsi"/>
        </w:rPr>
        <w:t>fakt, ż</w:t>
      </w:r>
      <w:r w:rsidR="00D66C48">
        <w:rPr>
          <w:rFonts w:cstheme="minorHAnsi"/>
        </w:rPr>
        <w:t>e</w:t>
      </w:r>
      <w:r w:rsidRPr="00394A56">
        <w:rPr>
          <w:rFonts w:cstheme="minorHAnsi"/>
        </w:rPr>
        <w:t xml:space="preserve"> nadal utrzymuje się wyraźna przewaga uczestników PPK z sektora prywatnego wobec uczestników z sektora publicznego</w:t>
      </w:r>
      <w:r w:rsidR="00D66C48">
        <w:rPr>
          <w:rFonts w:cstheme="minorHAnsi"/>
        </w:rPr>
        <w:t>,</w:t>
      </w:r>
      <w:r w:rsidRPr="00394A56">
        <w:rPr>
          <w:rFonts w:cstheme="minorHAnsi"/>
        </w:rPr>
        <w:t xml:space="preserve"> jeśli chodzi o wskaźniki uczestnictwa (37,</w:t>
      </w:r>
      <w:r w:rsidR="00317DCE">
        <w:rPr>
          <w:rFonts w:cstheme="minorHAnsi"/>
        </w:rPr>
        <w:t>15</w:t>
      </w:r>
      <w:r w:rsidRPr="00394A56">
        <w:rPr>
          <w:rFonts w:cstheme="minorHAnsi"/>
        </w:rPr>
        <w:t>% wobec 20</w:t>
      </w:r>
      <w:r w:rsidR="00623B01">
        <w:rPr>
          <w:rFonts w:cstheme="minorHAnsi"/>
        </w:rPr>
        <w:t>,04</w:t>
      </w:r>
      <w:r w:rsidRPr="00394A56">
        <w:rPr>
          <w:rFonts w:cstheme="minorHAnsi"/>
        </w:rPr>
        <w:t xml:space="preserve">%). </w:t>
      </w:r>
    </w:p>
    <w:p w14:paraId="0244E4DB" w14:textId="77777777" w:rsidR="00977553" w:rsidRPr="00394A56" w:rsidRDefault="00977553" w:rsidP="006648A4">
      <w:pPr>
        <w:spacing w:before="6" w:after="6" w:line="288" w:lineRule="auto"/>
        <w:jc w:val="both"/>
        <w:rPr>
          <w:rFonts w:cstheme="minorHAnsi"/>
        </w:rPr>
      </w:pPr>
    </w:p>
    <w:p w14:paraId="280C4927" w14:textId="77777777" w:rsidR="00394A56" w:rsidRPr="005C1700" w:rsidRDefault="00394A56">
      <w:pPr>
        <w:pStyle w:val="Nagwek3"/>
        <w:numPr>
          <w:ilvl w:val="1"/>
          <w:numId w:val="23"/>
        </w:numPr>
        <w:spacing w:before="6" w:after="6" w:line="288" w:lineRule="auto"/>
      </w:pPr>
      <w:bookmarkStart w:id="97" w:name="_Toc121828640"/>
      <w:r w:rsidRPr="005C1700">
        <w:t>Dalszy rozwój dobrowolnego oszczędzania, eliminacja ograniczeń</w:t>
      </w:r>
      <w:bookmarkEnd w:id="97"/>
    </w:p>
    <w:p w14:paraId="7A5F1B5C" w14:textId="040B17E7" w:rsidR="00394A56" w:rsidRPr="00394A56" w:rsidRDefault="00394A56" w:rsidP="006648A4">
      <w:pPr>
        <w:spacing w:before="6" w:after="6" w:line="288" w:lineRule="auto"/>
        <w:jc w:val="both"/>
        <w:rPr>
          <w:rFonts w:cstheme="minorHAnsi"/>
        </w:rPr>
      </w:pPr>
      <w:r w:rsidRPr="00394A56">
        <w:rPr>
          <w:rFonts w:cstheme="minorHAnsi"/>
        </w:rPr>
        <w:t>Analitycy i eksperci</w:t>
      </w:r>
      <w:r w:rsidR="00317DCE">
        <w:rPr>
          <w:rFonts w:cstheme="minorHAnsi"/>
        </w:rPr>
        <w:t>,</w:t>
      </w:r>
      <w:r w:rsidRPr="00394A56">
        <w:rPr>
          <w:rFonts w:cstheme="minorHAnsi"/>
        </w:rPr>
        <w:t xml:space="preserve"> badając dane związane z rozwojem PPK</w:t>
      </w:r>
      <w:r w:rsidR="00317DCE">
        <w:rPr>
          <w:rFonts w:cstheme="minorHAnsi"/>
        </w:rPr>
        <w:t>,</w:t>
      </w:r>
      <w:r w:rsidRPr="00394A56">
        <w:rPr>
          <w:rFonts w:cstheme="minorHAnsi"/>
        </w:rPr>
        <w:t xml:space="preserve"> wskazują, ż</w:t>
      </w:r>
      <w:r w:rsidR="00174013">
        <w:rPr>
          <w:rFonts w:cstheme="minorHAnsi"/>
        </w:rPr>
        <w:t>e</w:t>
      </w:r>
      <w:r w:rsidRPr="00394A56">
        <w:rPr>
          <w:rFonts w:cstheme="minorHAnsi"/>
        </w:rPr>
        <w:t xml:space="preserve"> wobec trwale deficytowych publicznych systemów emerytalnych, funkcjonujących w formule PAYG (pay as you go), czyli opcji wyłącznie przepływowej, solidarnościowej</w:t>
      </w:r>
      <w:r w:rsidR="00A572C7">
        <w:rPr>
          <w:rFonts w:cstheme="minorHAnsi"/>
        </w:rPr>
        <w:t>,</w:t>
      </w:r>
      <w:r w:rsidRPr="00394A56">
        <w:rPr>
          <w:rFonts w:cstheme="minorHAnsi"/>
        </w:rPr>
        <w:t xml:space="preserve"> a nie zasobowej, kapitałowej </w:t>
      </w:r>
      <w:r w:rsidR="005C27C1">
        <w:rPr>
          <w:rFonts w:cstheme="minorHAnsi"/>
        </w:rPr>
        <w:t>–</w:t>
      </w:r>
      <w:r w:rsidRPr="00394A56">
        <w:rPr>
          <w:rFonts w:cstheme="minorHAnsi"/>
        </w:rPr>
        <w:t xml:space="preserve"> niezbędny jest dalszy rozwój dobrowolnego oszczędzania. Liczba krajów, które posiadają indywidualnie finansowane systemy emerytalne</w:t>
      </w:r>
      <w:r w:rsidR="00A572C7">
        <w:rPr>
          <w:rFonts w:cstheme="minorHAnsi"/>
        </w:rPr>
        <w:t>,</w:t>
      </w:r>
      <w:r w:rsidR="004074E7">
        <w:rPr>
          <w:rFonts w:cstheme="minorHAnsi"/>
        </w:rPr>
        <w:t xml:space="preserve"> na przestrzeni lat 1999–</w:t>
      </w:r>
      <w:r w:rsidRPr="00394A56">
        <w:rPr>
          <w:rFonts w:cstheme="minorHAnsi"/>
        </w:rPr>
        <w:t>2022 wzrosła blisko trzykrotnie (z 17 do 46)</w:t>
      </w:r>
      <w:r w:rsidR="0014599B">
        <w:rPr>
          <w:rFonts w:cstheme="minorHAnsi"/>
        </w:rPr>
        <w:t xml:space="preserve"> </w:t>
      </w:r>
      <w:r w:rsidR="005C27C1">
        <w:rPr>
          <w:rFonts w:cstheme="minorHAnsi"/>
        </w:rPr>
        <w:t>–</w:t>
      </w:r>
      <w:r w:rsidRPr="00394A56">
        <w:rPr>
          <w:rFonts w:cstheme="minorHAnsi"/>
        </w:rPr>
        <w:t xml:space="preserve"> należy podkreślić, </w:t>
      </w:r>
      <w:r w:rsidR="0014599B">
        <w:rPr>
          <w:rFonts w:cstheme="minorHAnsi"/>
        </w:rPr>
        <w:t xml:space="preserve">że nastąpiło to </w:t>
      </w:r>
      <w:r w:rsidRPr="00394A56">
        <w:rPr>
          <w:rFonts w:cstheme="minorHAnsi"/>
        </w:rPr>
        <w:t>w okresie nacechowanym ogólnoświatowym kryzysem finansowym, walką z</w:t>
      </w:r>
      <w:r w:rsidR="004074E7">
        <w:rPr>
          <w:rFonts w:cstheme="minorHAnsi"/>
        </w:rPr>
        <w:t> </w:t>
      </w:r>
      <w:r w:rsidRPr="00394A56">
        <w:rPr>
          <w:rFonts w:cstheme="minorHAnsi"/>
        </w:rPr>
        <w:t>terroryzmem i pandemią. Oznacza to, ż</w:t>
      </w:r>
      <w:r w:rsidR="0014599B">
        <w:rPr>
          <w:rFonts w:cstheme="minorHAnsi"/>
        </w:rPr>
        <w:t>e</w:t>
      </w:r>
      <w:r w:rsidRPr="00394A56">
        <w:rPr>
          <w:rFonts w:cstheme="minorHAnsi"/>
        </w:rPr>
        <w:t xml:space="preserve"> rządy wielu państw wpisały rozwój </w:t>
      </w:r>
      <w:r w:rsidR="00F24B16">
        <w:rPr>
          <w:rFonts w:cstheme="minorHAnsi"/>
        </w:rPr>
        <w:t xml:space="preserve">indywidualnie finansowanych </w:t>
      </w:r>
      <w:r w:rsidR="006066E0">
        <w:rPr>
          <w:rFonts w:cstheme="minorHAnsi"/>
        </w:rPr>
        <w:t xml:space="preserve">systemów emerytalnych </w:t>
      </w:r>
      <w:r w:rsidRPr="00394A56">
        <w:rPr>
          <w:rFonts w:cstheme="minorHAnsi"/>
        </w:rPr>
        <w:t>na agendę przeciwdziałania większemu uzależnieniu budżetów krajowych od wydatków na zabezpieczenie społeczne w warunkach starzenia się</w:t>
      </w:r>
      <w:r w:rsidR="004074E7">
        <w:rPr>
          <w:rFonts w:cstheme="minorHAnsi"/>
        </w:rPr>
        <w:t> </w:t>
      </w:r>
      <w:r w:rsidRPr="00394A56">
        <w:rPr>
          <w:rFonts w:cstheme="minorHAnsi"/>
        </w:rPr>
        <w:t xml:space="preserve">społeczeństw, spadku dzietności i wzrostu liczby zgonów w trendzie zaobserwowanym w ostatnich latach. </w:t>
      </w:r>
    </w:p>
    <w:p w14:paraId="2DA98020" w14:textId="3859EADB" w:rsidR="00763535" w:rsidRPr="00763535" w:rsidRDefault="00394A56" w:rsidP="00905FFB">
      <w:pPr>
        <w:spacing w:before="6" w:after="6" w:line="288" w:lineRule="auto"/>
        <w:jc w:val="both"/>
        <w:rPr>
          <w:rFonts w:cstheme="minorHAnsi"/>
        </w:rPr>
      </w:pPr>
      <w:r w:rsidRPr="00394A56">
        <w:rPr>
          <w:rFonts w:cstheme="minorHAnsi"/>
        </w:rPr>
        <w:lastRenderedPageBreak/>
        <w:t>W Polsce dane te przybrały niekorzystny poziom w ostatnich 2 latach</w:t>
      </w:r>
      <w:r w:rsidR="00E73C57">
        <w:rPr>
          <w:rFonts w:cstheme="minorHAnsi"/>
        </w:rPr>
        <w:t>,</w:t>
      </w:r>
      <w:r w:rsidRPr="00394A56">
        <w:rPr>
          <w:rFonts w:cstheme="minorHAnsi"/>
        </w:rPr>
        <w:t xml:space="preserve"> a szacunki za 2022 r</w:t>
      </w:r>
      <w:r w:rsidR="00302F52">
        <w:rPr>
          <w:rFonts w:cstheme="minorHAnsi"/>
        </w:rPr>
        <w:t>ok</w:t>
      </w:r>
      <w:r w:rsidRPr="00394A56">
        <w:rPr>
          <w:rFonts w:cstheme="minorHAnsi"/>
        </w:rPr>
        <w:t xml:space="preserve"> wskazują na negatywne ukształtowanie się relacji pomiędzy liczbą urodzeń i zgonów. Aby złagodzić tę</w:t>
      </w:r>
      <w:r w:rsidR="00A510BB">
        <w:rPr>
          <w:rFonts w:cstheme="minorHAnsi"/>
        </w:rPr>
        <w:t> </w:t>
      </w:r>
      <w:r w:rsidRPr="00394A56">
        <w:rPr>
          <w:rFonts w:cstheme="minorHAnsi"/>
        </w:rPr>
        <w:t>niekorzystnie rozwijającą się tendencję, należy wzmacniać możliwość wspierania zatrudnienia po</w:t>
      </w:r>
      <w:r w:rsidR="00A510BB">
        <w:rPr>
          <w:rFonts w:cstheme="minorHAnsi"/>
        </w:rPr>
        <w:t> </w:t>
      </w:r>
      <w:r w:rsidRPr="00394A56">
        <w:rPr>
          <w:rFonts w:cstheme="minorHAnsi"/>
        </w:rPr>
        <w:t xml:space="preserve">okresie formalnego uzyskania uprawnień emerytalnych. </w:t>
      </w:r>
      <w:r w:rsidR="001D40C7">
        <w:rPr>
          <w:rFonts w:cstheme="minorHAnsi"/>
        </w:rPr>
        <w:t>T</w:t>
      </w:r>
      <w:r w:rsidR="00763535" w:rsidRPr="00763535">
        <w:rPr>
          <w:rFonts w:cstheme="minorHAnsi"/>
        </w:rPr>
        <w:t>akim rozwiązaniem</w:t>
      </w:r>
      <w:r w:rsidR="007C3894">
        <w:rPr>
          <w:rFonts w:cstheme="minorHAnsi"/>
        </w:rPr>
        <w:t xml:space="preserve"> </w:t>
      </w:r>
      <w:r w:rsidR="005C27C1">
        <w:rPr>
          <w:rFonts w:cstheme="minorHAnsi"/>
        </w:rPr>
        <w:t>–</w:t>
      </w:r>
      <w:r w:rsidR="005A62A4">
        <w:rPr>
          <w:rFonts w:cstheme="minorHAnsi"/>
        </w:rPr>
        <w:t xml:space="preserve"> </w:t>
      </w:r>
      <w:r w:rsidR="007C3894">
        <w:rPr>
          <w:rFonts w:cstheme="minorHAnsi"/>
        </w:rPr>
        <w:t>funkcjonującym już</w:t>
      </w:r>
      <w:r w:rsidR="007F1CB6">
        <w:rPr>
          <w:rFonts w:cstheme="minorHAnsi"/>
        </w:rPr>
        <w:t> </w:t>
      </w:r>
      <w:r w:rsidR="007C3894">
        <w:rPr>
          <w:rFonts w:cstheme="minorHAnsi"/>
        </w:rPr>
        <w:t>w</w:t>
      </w:r>
      <w:r w:rsidR="00A20E13">
        <w:rPr>
          <w:rFonts w:cstheme="minorHAnsi"/>
        </w:rPr>
        <w:t> </w:t>
      </w:r>
      <w:r w:rsidR="007C3894">
        <w:rPr>
          <w:rFonts w:cstheme="minorHAnsi"/>
        </w:rPr>
        <w:t>pra</w:t>
      </w:r>
      <w:r w:rsidR="00FE572F">
        <w:rPr>
          <w:rFonts w:cstheme="minorHAnsi"/>
        </w:rPr>
        <w:t>ktyce</w:t>
      </w:r>
      <w:r w:rsidR="005A62A4">
        <w:rPr>
          <w:rFonts w:cstheme="minorHAnsi"/>
        </w:rPr>
        <w:t xml:space="preserve"> </w:t>
      </w:r>
      <w:r w:rsidR="005C27C1">
        <w:rPr>
          <w:rFonts w:cstheme="minorHAnsi"/>
        </w:rPr>
        <w:t>–</w:t>
      </w:r>
      <w:r w:rsidR="00FE572F">
        <w:rPr>
          <w:rFonts w:cstheme="minorHAnsi"/>
        </w:rPr>
        <w:t xml:space="preserve"> </w:t>
      </w:r>
      <w:r w:rsidR="00E1605D">
        <w:rPr>
          <w:rFonts w:cstheme="minorHAnsi"/>
        </w:rPr>
        <w:t xml:space="preserve">jest </w:t>
      </w:r>
      <w:r w:rsidR="00763535" w:rsidRPr="00763535">
        <w:rPr>
          <w:rFonts w:cstheme="minorHAnsi"/>
        </w:rPr>
        <w:t xml:space="preserve">wprowadzona </w:t>
      </w:r>
      <w:r w:rsidR="006D5F07" w:rsidRPr="00763535">
        <w:rPr>
          <w:rFonts w:cstheme="minorHAnsi"/>
        </w:rPr>
        <w:t xml:space="preserve">od 1 stycznia 2022 r. </w:t>
      </w:r>
      <w:r w:rsidR="00E1605D">
        <w:rPr>
          <w:rFonts w:cstheme="minorHAnsi"/>
        </w:rPr>
        <w:t xml:space="preserve">ulga dla </w:t>
      </w:r>
      <w:r w:rsidR="00763535" w:rsidRPr="00763535">
        <w:rPr>
          <w:rFonts w:cstheme="minorHAnsi"/>
        </w:rPr>
        <w:t xml:space="preserve">pracujących seniorów </w:t>
      </w:r>
      <w:r w:rsidR="005C27C1">
        <w:rPr>
          <w:rFonts w:cstheme="minorHAnsi"/>
        </w:rPr>
        <w:t>–</w:t>
      </w:r>
      <w:r w:rsidR="0095129E">
        <w:rPr>
          <w:rFonts w:cstheme="minorHAnsi"/>
        </w:rPr>
        <w:t xml:space="preserve"> </w:t>
      </w:r>
      <w:r w:rsidR="00763535" w:rsidRPr="00763535">
        <w:rPr>
          <w:rFonts w:cstheme="minorHAnsi"/>
        </w:rPr>
        <w:t>tzw. PIT zero</w:t>
      </w:r>
      <w:r w:rsidR="00905FFB">
        <w:rPr>
          <w:rFonts w:cstheme="minorHAnsi"/>
        </w:rPr>
        <w:t xml:space="preserve">. </w:t>
      </w:r>
      <w:r w:rsidR="001A2762">
        <w:rPr>
          <w:rFonts w:cstheme="minorHAnsi"/>
        </w:rPr>
        <w:t>Polega ona n</w:t>
      </w:r>
      <w:r w:rsidR="00763535" w:rsidRPr="00763535">
        <w:rPr>
          <w:rFonts w:cstheme="minorHAnsi"/>
        </w:rPr>
        <w:t xml:space="preserve">a zwolnieniu </w:t>
      </w:r>
      <w:r w:rsidR="005F19EE">
        <w:rPr>
          <w:rFonts w:cstheme="minorHAnsi"/>
        </w:rPr>
        <w:t xml:space="preserve">z </w:t>
      </w:r>
      <w:r w:rsidR="00763535" w:rsidRPr="00763535">
        <w:rPr>
          <w:rFonts w:cstheme="minorHAnsi"/>
        </w:rPr>
        <w:t xml:space="preserve">podatku dochodowego od osób fizycznych niektórych przychodów podatników, którzy </w:t>
      </w:r>
      <w:r w:rsidR="005C27C1">
        <w:rPr>
          <w:rFonts w:cstheme="minorHAnsi"/>
        </w:rPr>
        <w:t>–</w:t>
      </w:r>
      <w:r w:rsidR="00396567">
        <w:rPr>
          <w:rFonts w:cstheme="minorHAnsi"/>
        </w:rPr>
        <w:t xml:space="preserve"> </w:t>
      </w:r>
      <w:r w:rsidR="00763535" w:rsidRPr="00763535">
        <w:rPr>
          <w:rFonts w:cstheme="minorHAnsi"/>
        </w:rPr>
        <w:t xml:space="preserve">pomimo osiągnięcia powszechnego wieku emerytalnego </w:t>
      </w:r>
      <w:r w:rsidR="005C27C1">
        <w:rPr>
          <w:rFonts w:cstheme="minorHAnsi"/>
        </w:rPr>
        <w:t>–</w:t>
      </w:r>
      <w:r w:rsidR="00396567">
        <w:rPr>
          <w:rFonts w:cstheme="minorHAnsi"/>
        </w:rPr>
        <w:t xml:space="preserve"> </w:t>
      </w:r>
      <w:r w:rsidR="001A2762">
        <w:rPr>
          <w:rFonts w:cstheme="minorHAnsi"/>
        </w:rPr>
        <w:t xml:space="preserve">są </w:t>
      </w:r>
      <w:r w:rsidR="00763535" w:rsidRPr="00763535">
        <w:rPr>
          <w:rFonts w:cstheme="minorHAnsi"/>
        </w:rPr>
        <w:t xml:space="preserve">nadal aktywni zawodowo. Limit przychodów zwolnionych </w:t>
      </w:r>
      <w:r w:rsidR="0046743C">
        <w:rPr>
          <w:rFonts w:cstheme="minorHAnsi"/>
        </w:rPr>
        <w:t xml:space="preserve">z PIT to </w:t>
      </w:r>
      <w:r w:rsidR="00763535" w:rsidRPr="00763535">
        <w:rPr>
          <w:rFonts w:cstheme="minorHAnsi"/>
        </w:rPr>
        <w:t>85 528 zł</w:t>
      </w:r>
      <w:r w:rsidR="0046743C">
        <w:rPr>
          <w:rFonts w:cstheme="minorHAnsi"/>
        </w:rPr>
        <w:t>.</w:t>
      </w:r>
      <w:r w:rsidR="00763535" w:rsidRPr="00763535">
        <w:rPr>
          <w:rFonts w:cstheme="minorHAnsi"/>
        </w:rPr>
        <w:t xml:space="preserve"> </w:t>
      </w:r>
      <w:r w:rsidR="00202DCF">
        <w:rPr>
          <w:rFonts w:cstheme="minorHAnsi"/>
        </w:rPr>
        <w:t>Należy zauważyć, że p</w:t>
      </w:r>
      <w:r w:rsidR="00DB3F01" w:rsidRPr="00DB3F01">
        <w:rPr>
          <w:rFonts w:cstheme="minorHAnsi"/>
        </w:rPr>
        <w:t xml:space="preserve">rojekty działań </w:t>
      </w:r>
      <w:r w:rsidR="00202DCF">
        <w:rPr>
          <w:rFonts w:cstheme="minorHAnsi"/>
        </w:rPr>
        <w:t>premiujących osoby</w:t>
      </w:r>
      <w:r w:rsidR="00202DCF" w:rsidRPr="00DB3F01">
        <w:rPr>
          <w:rFonts w:cstheme="minorHAnsi"/>
        </w:rPr>
        <w:t>, które decydowałyby się na dalszą pracę po osiągnięciu ustawowego wieku emerytalnego</w:t>
      </w:r>
      <w:r w:rsidR="000E5681">
        <w:rPr>
          <w:rFonts w:cstheme="minorHAnsi"/>
        </w:rPr>
        <w:t>,</w:t>
      </w:r>
      <w:r w:rsidR="00202DCF" w:rsidRPr="00DB3F01">
        <w:rPr>
          <w:rFonts w:cstheme="minorHAnsi"/>
        </w:rPr>
        <w:t xml:space="preserve"> </w:t>
      </w:r>
      <w:r w:rsidR="00DB3F01" w:rsidRPr="00DB3F01">
        <w:rPr>
          <w:rFonts w:cstheme="minorHAnsi"/>
        </w:rPr>
        <w:t>były przedstawione już w 2017 roku przez ówczesne Ministerstwo Rozwoju</w:t>
      </w:r>
      <w:r w:rsidR="00202DCF">
        <w:rPr>
          <w:rFonts w:cstheme="minorHAnsi"/>
        </w:rPr>
        <w:t>.</w:t>
      </w:r>
      <w:r w:rsidR="00DB3F01" w:rsidRPr="00DB3F01">
        <w:rPr>
          <w:rFonts w:cstheme="minorHAnsi"/>
        </w:rPr>
        <w:t xml:space="preserve"> </w:t>
      </w:r>
    </w:p>
    <w:p w14:paraId="5AA50E16" w14:textId="060DD585" w:rsidR="00F67B69" w:rsidRDefault="00394A56" w:rsidP="006648A4">
      <w:pPr>
        <w:spacing w:before="6" w:after="6" w:line="288" w:lineRule="auto"/>
        <w:jc w:val="both"/>
        <w:rPr>
          <w:rFonts w:cstheme="minorHAnsi"/>
        </w:rPr>
      </w:pPr>
      <w:r w:rsidRPr="00854B23">
        <w:rPr>
          <w:rFonts w:cstheme="minorHAnsi"/>
        </w:rPr>
        <w:t>Kolejnym ogranicznikiem rozwoju rynku kapitałowego</w:t>
      </w:r>
      <w:r w:rsidR="00ED7708" w:rsidRPr="00854B23">
        <w:t xml:space="preserve"> jest</w:t>
      </w:r>
      <w:r w:rsidR="00A61BAD" w:rsidRPr="00854B23">
        <w:rPr>
          <w:rFonts w:cstheme="minorHAnsi"/>
        </w:rPr>
        <w:t xml:space="preserve"> </w:t>
      </w:r>
      <w:r w:rsidR="00ED7708" w:rsidRPr="00854B23">
        <w:rPr>
          <w:rFonts w:cstheme="minorHAnsi"/>
        </w:rPr>
        <w:t>brak ostatecznego rozwiązania kwestii OFE. Wprowadz</w:t>
      </w:r>
      <w:r w:rsidR="00AF06BE" w:rsidRPr="00854B23">
        <w:rPr>
          <w:rFonts w:cstheme="minorHAnsi"/>
        </w:rPr>
        <w:t>ając</w:t>
      </w:r>
      <w:r w:rsidR="00ED7708" w:rsidRPr="00854B23">
        <w:rPr>
          <w:rFonts w:cstheme="minorHAnsi"/>
        </w:rPr>
        <w:t xml:space="preserve"> w ramach </w:t>
      </w:r>
      <w:r w:rsidRPr="00854B23">
        <w:rPr>
          <w:rFonts w:cstheme="minorHAnsi"/>
        </w:rPr>
        <w:t xml:space="preserve">tzw. </w:t>
      </w:r>
      <w:r w:rsidR="00B44208" w:rsidRPr="00854B23">
        <w:rPr>
          <w:rFonts w:cstheme="minorHAnsi"/>
        </w:rPr>
        <w:t>reformy OFE</w:t>
      </w:r>
      <w:r w:rsidRPr="00854B23">
        <w:rPr>
          <w:rFonts w:cstheme="minorHAnsi"/>
        </w:rPr>
        <w:t xml:space="preserve"> suwak bezpieczeństwa, uniemożliwiono inwestowanie przez OFE w obligacje skarbowe oraz w inne instrumenty dłużne gwarantowane przez Skarb Państwa. Inwestowanie głównie w akcje podniosło ekspozycję funduszy na konsekwencje szoków finansowych, których nasilenie w</w:t>
      </w:r>
      <w:r w:rsidR="004C233D" w:rsidRPr="00854B23">
        <w:rPr>
          <w:rFonts w:cstheme="minorHAnsi"/>
        </w:rPr>
        <w:t> </w:t>
      </w:r>
      <w:r w:rsidRPr="00854B23">
        <w:rPr>
          <w:rFonts w:cstheme="minorHAnsi"/>
        </w:rPr>
        <w:t>ostatnich dwóch dekadach na rynkach finansowych jest szczególnie widoczne.</w:t>
      </w:r>
      <w:r w:rsidRPr="00394A56">
        <w:rPr>
          <w:rFonts w:cstheme="minorHAnsi"/>
        </w:rPr>
        <w:t xml:space="preserve"> </w:t>
      </w:r>
    </w:p>
    <w:p w14:paraId="091A4041" w14:textId="37F87943" w:rsidR="0020783F" w:rsidRPr="00394A56" w:rsidRDefault="00394A56" w:rsidP="006648A4">
      <w:pPr>
        <w:spacing w:before="6" w:after="6" w:line="288" w:lineRule="auto"/>
        <w:jc w:val="both"/>
        <w:rPr>
          <w:rFonts w:cstheme="minorHAnsi"/>
        </w:rPr>
      </w:pPr>
      <w:r w:rsidRPr="00394A56">
        <w:rPr>
          <w:rFonts w:cstheme="minorHAnsi"/>
        </w:rPr>
        <w:t>Formalnie tzw. suwak bezpieczeństwa wprowadzono</w:t>
      </w:r>
      <w:r w:rsidR="002F3FF1">
        <w:rPr>
          <w:rFonts w:cstheme="minorHAnsi"/>
        </w:rPr>
        <w:t>,</w:t>
      </w:r>
      <w:r w:rsidRPr="00394A56">
        <w:rPr>
          <w:rFonts w:cstheme="minorHAnsi"/>
        </w:rPr>
        <w:t xml:space="preserve"> aby „zapewnić bezpieczeństwo i ochronę wartości środków zgromadzonych w OFE w ostatnim okresie oszczędzania na emeryturę”. Postanowiono, ż</w:t>
      </w:r>
      <w:r w:rsidR="00B87C24">
        <w:rPr>
          <w:rFonts w:cstheme="minorHAnsi"/>
        </w:rPr>
        <w:t>e</w:t>
      </w:r>
      <w:r w:rsidRPr="00394A56">
        <w:rPr>
          <w:rFonts w:cstheme="minorHAnsi"/>
        </w:rPr>
        <w:t xml:space="preserve"> „na 10 lat przed osiągnięciem przez ubezpieczonego wieku emerytalnego, co miesiąc na subkonto w ZUS przekazywana będzie określona wartość środków zgromadzo</w:t>
      </w:r>
      <w:r w:rsidR="00E1605D">
        <w:rPr>
          <w:rFonts w:cstheme="minorHAnsi"/>
        </w:rPr>
        <w:t xml:space="preserve">nych na rachunku członka OFE”. </w:t>
      </w:r>
      <w:r w:rsidRPr="00394A56">
        <w:rPr>
          <w:rFonts w:cstheme="minorHAnsi"/>
        </w:rPr>
        <w:t>Oznacza to, że co miesiąc na subkonto przekazywana jest określona liczba jednostek rozrachunkowych zgromadzonych na rachunku członka OFE. Stanowi ona iloraz liczby tych jednostek i</w:t>
      </w:r>
      <w:r w:rsidR="00E315A2">
        <w:rPr>
          <w:rFonts w:cstheme="minorHAnsi"/>
        </w:rPr>
        <w:t> </w:t>
      </w:r>
      <w:r w:rsidRPr="00394A56">
        <w:rPr>
          <w:rFonts w:cstheme="minorHAnsi"/>
        </w:rPr>
        <w:t>wyrażonej w</w:t>
      </w:r>
      <w:r w:rsidR="004C233D">
        <w:rPr>
          <w:rFonts w:cstheme="minorHAnsi"/>
        </w:rPr>
        <w:t> </w:t>
      </w:r>
      <w:r w:rsidRPr="00394A56">
        <w:rPr>
          <w:rFonts w:cstheme="minorHAnsi"/>
        </w:rPr>
        <w:t>miesiącach różnicy pomiędzy wiekiem emerytalnym, a wiekiem członka OFE w dniu dokonywania umorzenia. Otwarty fundusz emerytalny zobligowany został do umorzenia co miesiąc określonej liczby zgromadzonych na rachunku członka jednostek rozrachunkowych. Tak jest w</w:t>
      </w:r>
      <w:r w:rsidR="00A20E13">
        <w:rPr>
          <w:rFonts w:cstheme="minorHAnsi"/>
        </w:rPr>
        <w:t> </w:t>
      </w:r>
      <w:r w:rsidRPr="00394A56">
        <w:rPr>
          <w:rFonts w:cstheme="minorHAnsi"/>
        </w:rPr>
        <w:t>przypadku, gdy OFE uzyska od ZUS informację o ukończeniu przez danego ubezpieczonego wieku o</w:t>
      </w:r>
      <w:r w:rsidR="00E315A2">
        <w:rPr>
          <w:rFonts w:cstheme="minorHAnsi"/>
        </w:rPr>
        <w:t> </w:t>
      </w:r>
      <w:r w:rsidRPr="00394A56">
        <w:rPr>
          <w:rFonts w:cstheme="minorHAnsi"/>
        </w:rPr>
        <w:t xml:space="preserve">10 lat niższego od obowiązującego dla tej osoby wieku emerytalnego. W momencie osiągnięcia wieku emerytalnego, na rachunku w OFE nie będzie żadnych środków. W związku z przekazaniem środków zgromadzonych na rachunku członka OFE na fundusz emerytalny </w:t>
      </w:r>
      <w:r w:rsidR="00B34CAE">
        <w:rPr>
          <w:rFonts w:cstheme="minorHAnsi"/>
        </w:rPr>
        <w:t xml:space="preserve">FUS </w:t>
      </w:r>
      <w:r w:rsidRPr="00394A56">
        <w:rPr>
          <w:rFonts w:cstheme="minorHAnsi"/>
        </w:rPr>
        <w:t xml:space="preserve">ustanie członkostwo w otwartym funduszu </w:t>
      </w:r>
      <w:r w:rsidR="006648A4" w:rsidRPr="00394A56">
        <w:rPr>
          <w:rFonts w:cstheme="minorHAnsi"/>
        </w:rPr>
        <w:t>emerytalnym</w:t>
      </w:r>
      <w:r w:rsidR="006648A4" w:rsidRPr="00E63858">
        <w:rPr>
          <w:rFonts w:cstheme="minorHAnsi"/>
        </w:rPr>
        <w:t xml:space="preserve">. </w:t>
      </w:r>
    </w:p>
    <w:p w14:paraId="4F1FC46C" w14:textId="77777777" w:rsidR="00B53A3A" w:rsidRPr="00394A56" w:rsidRDefault="00B53A3A" w:rsidP="00B53A3A">
      <w:pPr>
        <w:spacing w:before="6" w:after="6" w:line="288" w:lineRule="auto"/>
        <w:jc w:val="both"/>
        <w:rPr>
          <w:rFonts w:cstheme="minorHAnsi"/>
        </w:rPr>
      </w:pPr>
    </w:p>
    <w:p w14:paraId="10BF2FAA" w14:textId="77777777" w:rsidR="00394A56" w:rsidRPr="000F0F1A" w:rsidRDefault="00394A56">
      <w:pPr>
        <w:pStyle w:val="Nagwek3"/>
        <w:numPr>
          <w:ilvl w:val="1"/>
          <w:numId w:val="23"/>
        </w:numPr>
        <w:spacing w:before="6" w:after="6" w:line="288" w:lineRule="auto"/>
      </w:pPr>
      <w:bookmarkStart w:id="98" w:name="_Toc121828641"/>
      <w:r w:rsidRPr="000F0F1A">
        <w:t>Zaufanie i bezpieczeństwo</w:t>
      </w:r>
      <w:bookmarkEnd w:id="98"/>
    </w:p>
    <w:p w14:paraId="11944ABA" w14:textId="4596673E" w:rsidR="00394A56" w:rsidRPr="00394A56" w:rsidRDefault="00394A56" w:rsidP="006648A4">
      <w:pPr>
        <w:spacing w:before="6" w:after="6" w:line="288" w:lineRule="auto"/>
        <w:jc w:val="both"/>
        <w:rPr>
          <w:rFonts w:cstheme="minorHAnsi"/>
        </w:rPr>
      </w:pPr>
      <w:r w:rsidRPr="00394A56">
        <w:rPr>
          <w:rFonts w:cstheme="minorHAnsi"/>
        </w:rPr>
        <w:t>Jednym z powodów utworzenia PPK była potrzeba odbudowania zaufania obywateli do reform społecznych, które oferuje państwo. Chodziło o wyciągnięcie wniosków z tzw</w:t>
      </w:r>
      <w:r w:rsidR="00A0097B">
        <w:rPr>
          <w:rFonts w:cstheme="minorHAnsi"/>
        </w:rPr>
        <w:t>.</w:t>
      </w:r>
      <w:r w:rsidRPr="00394A56">
        <w:rPr>
          <w:rFonts w:cstheme="minorHAnsi"/>
        </w:rPr>
        <w:t xml:space="preserve"> reformy OFE, która</w:t>
      </w:r>
      <w:r w:rsidR="00264ABB">
        <w:rPr>
          <w:rFonts w:cstheme="minorHAnsi"/>
        </w:rPr>
        <w:t> </w:t>
      </w:r>
      <w:r w:rsidRPr="00394A56">
        <w:rPr>
          <w:rFonts w:cstheme="minorHAnsi"/>
        </w:rPr>
        <w:t>to</w:t>
      </w:r>
      <w:r w:rsidR="00264ABB">
        <w:rPr>
          <w:rFonts w:cstheme="minorHAnsi"/>
        </w:rPr>
        <w:t> </w:t>
      </w:r>
      <w:r w:rsidRPr="00394A56">
        <w:rPr>
          <w:rFonts w:cstheme="minorHAnsi"/>
        </w:rPr>
        <w:t>zaufanie podważyła</w:t>
      </w:r>
      <w:r w:rsidR="00FD2F4C">
        <w:rPr>
          <w:rFonts w:cstheme="minorHAnsi"/>
        </w:rPr>
        <w:t>,</w:t>
      </w:r>
      <w:r w:rsidRPr="00394A56">
        <w:rPr>
          <w:rFonts w:cstheme="minorHAnsi"/>
        </w:rPr>
        <w:t xml:space="preserve"> a także </w:t>
      </w:r>
      <w:r w:rsidR="00D30D76">
        <w:rPr>
          <w:rFonts w:cstheme="minorHAnsi"/>
        </w:rPr>
        <w:t xml:space="preserve">o </w:t>
      </w:r>
      <w:r w:rsidRPr="00394A56">
        <w:rPr>
          <w:rFonts w:cstheme="minorHAnsi"/>
        </w:rPr>
        <w:t xml:space="preserve">zaoferowanie wspólnego budowania kapitału finansowego przez pracodawcę, państwo i uczestnika. To „trójporozumienie” stało się niespotykaną dotychczas formułą budowy kapitału w warunkach zabezpieczenia społecznego w Polsce. Utworzenie PPK stało się kluczową reformą, mającą na celu odbudowanie zaufania obywateli, jak też stworzenie realnego zasobu finansowego na okres po zakończeniu aktywności zawodowej. </w:t>
      </w:r>
    </w:p>
    <w:p w14:paraId="01037D5E" w14:textId="446F2125" w:rsidR="00394A56" w:rsidRPr="007149CD" w:rsidRDefault="00394A56" w:rsidP="006648A4">
      <w:pPr>
        <w:spacing w:before="6" w:after="6" w:line="288" w:lineRule="auto"/>
        <w:jc w:val="both"/>
        <w:rPr>
          <w:rFonts w:cstheme="minorHAnsi"/>
        </w:rPr>
      </w:pPr>
      <w:r w:rsidRPr="007149CD">
        <w:rPr>
          <w:rFonts w:cstheme="minorHAnsi"/>
        </w:rPr>
        <w:t>Każdy program, który funkcjonuje na rynku finansowym</w:t>
      </w:r>
      <w:r w:rsidR="0010190C" w:rsidRPr="007149CD">
        <w:rPr>
          <w:rFonts w:cstheme="minorHAnsi"/>
        </w:rPr>
        <w:t>,</w:t>
      </w:r>
      <w:r w:rsidRPr="007149CD">
        <w:rPr>
          <w:rFonts w:cstheme="minorHAnsi"/>
        </w:rPr>
        <w:t xml:space="preserve"> powinien oferować </w:t>
      </w:r>
      <w:r w:rsidR="009110BC" w:rsidRPr="007149CD">
        <w:rPr>
          <w:rFonts w:cstheme="minorHAnsi"/>
        </w:rPr>
        <w:t>atrakcyjne</w:t>
      </w:r>
      <w:r w:rsidRPr="007149CD">
        <w:rPr>
          <w:rFonts w:cstheme="minorHAnsi"/>
        </w:rPr>
        <w:t xml:space="preserve"> stopy zwrot</w:t>
      </w:r>
      <w:r w:rsidR="006D6F6D" w:rsidRPr="007149CD">
        <w:rPr>
          <w:rFonts w:cstheme="minorHAnsi"/>
        </w:rPr>
        <w:t>u</w:t>
      </w:r>
      <w:r w:rsidRPr="007149CD">
        <w:rPr>
          <w:rFonts w:cstheme="minorHAnsi"/>
        </w:rPr>
        <w:t xml:space="preserve"> i</w:t>
      </w:r>
      <w:r w:rsidR="004C233D" w:rsidRPr="007149CD">
        <w:rPr>
          <w:rFonts w:cstheme="minorHAnsi"/>
        </w:rPr>
        <w:t> </w:t>
      </w:r>
      <w:r w:rsidRPr="007149CD">
        <w:rPr>
          <w:rFonts w:cstheme="minorHAnsi"/>
        </w:rPr>
        <w:t xml:space="preserve">niskie koszty. . Wieloprofilowe fundusze zdefiniowanej daty, od chwili ich utworzenia, zebrały </w:t>
      </w:r>
      <w:r w:rsidR="005C27C1">
        <w:rPr>
          <w:rFonts w:cstheme="minorHAnsi"/>
        </w:rPr>
        <w:t>–</w:t>
      </w:r>
      <w:r w:rsidR="00EA1F76" w:rsidRPr="007149CD">
        <w:rPr>
          <w:rFonts w:cstheme="minorHAnsi"/>
        </w:rPr>
        <w:t xml:space="preserve"> na koniec sierpnia 2022 r</w:t>
      </w:r>
      <w:r w:rsidR="00AC071F" w:rsidRPr="007149CD">
        <w:rPr>
          <w:rFonts w:cstheme="minorHAnsi"/>
        </w:rPr>
        <w:t>oku</w:t>
      </w:r>
      <w:r w:rsidR="00EA1F76" w:rsidRPr="007149CD">
        <w:rPr>
          <w:rFonts w:cstheme="minorHAnsi"/>
        </w:rPr>
        <w:t xml:space="preserve"> </w:t>
      </w:r>
      <w:r w:rsidR="005C27C1">
        <w:rPr>
          <w:rFonts w:cstheme="minorHAnsi"/>
        </w:rPr>
        <w:t>–</w:t>
      </w:r>
      <w:r w:rsidR="00D612D1" w:rsidRPr="007149CD">
        <w:rPr>
          <w:rFonts w:cstheme="minorHAnsi"/>
        </w:rPr>
        <w:t xml:space="preserve"> </w:t>
      </w:r>
      <w:r w:rsidRPr="007149CD">
        <w:rPr>
          <w:rFonts w:cstheme="minorHAnsi"/>
        </w:rPr>
        <w:t xml:space="preserve">aktywa w wysokości </w:t>
      </w:r>
      <w:r w:rsidR="00622391" w:rsidRPr="007149CD">
        <w:rPr>
          <w:rFonts w:cstheme="minorHAnsi"/>
        </w:rPr>
        <w:t>prawie</w:t>
      </w:r>
      <w:r w:rsidRPr="007149CD">
        <w:rPr>
          <w:rFonts w:cstheme="minorHAnsi"/>
        </w:rPr>
        <w:t xml:space="preserve"> </w:t>
      </w:r>
      <w:r w:rsidR="00622391" w:rsidRPr="007149CD">
        <w:rPr>
          <w:rFonts w:cstheme="minorHAnsi"/>
        </w:rPr>
        <w:t xml:space="preserve">9,8 </w:t>
      </w:r>
      <w:r w:rsidRPr="007149CD">
        <w:rPr>
          <w:rFonts w:cstheme="minorHAnsi"/>
        </w:rPr>
        <w:t xml:space="preserve">mld zł. Obecny poziom partycypacji, sięgający blisko 33% uprawnionych, stanowi mocne wsparcie </w:t>
      </w:r>
      <w:r w:rsidR="006B4D1E" w:rsidRPr="007149CD">
        <w:rPr>
          <w:rFonts w:cstheme="minorHAnsi"/>
        </w:rPr>
        <w:t>dalszego</w:t>
      </w:r>
      <w:r w:rsidRPr="007149CD">
        <w:rPr>
          <w:rFonts w:cstheme="minorHAnsi"/>
        </w:rPr>
        <w:t xml:space="preserve"> rozwoju programu. </w:t>
      </w:r>
    </w:p>
    <w:p w14:paraId="7DED30AC" w14:textId="147FD67C" w:rsidR="00394A56" w:rsidRPr="007149CD" w:rsidRDefault="00394A56" w:rsidP="006648A4">
      <w:pPr>
        <w:spacing w:before="6" w:after="6" w:line="288" w:lineRule="auto"/>
        <w:jc w:val="both"/>
        <w:rPr>
          <w:rFonts w:cstheme="minorHAnsi"/>
        </w:rPr>
      </w:pPr>
      <w:r w:rsidRPr="007149CD">
        <w:rPr>
          <w:rFonts w:cstheme="minorHAnsi"/>
        </w:rPr>
        <w:lastRenderedPageBreak/>
        <w:t>PPK obejmują stopniowo nowe grupy pracownicze</w:t>
      </w:r>
      <w:r w:rsidR="00B009F5" w:rsidRPr="007149CD">
        <w:rPr>
          <w:rFonts w:cstheme="minorHAnsi"/>
        </w:rPr>
        <w:t xml:space="preserve"> </w:t>
      </w:r>
      <w:r w:rsidR="005C27C1">
        <w:rPr>
          <w:rFonts w:cstheme="minorHAnsi"/>
        </w:rPr>
        <w:t>–</w:t>
      </w:r>
      <w:r w:rsidR="00B009F5" w:rsidRPr="007149CD">
        <w:rPr>
          <w:rFonts w:cstheme="minorHAnsi"/>
        </w:rPr>
        <w:t xml:space="preserve"> </w:t>
      </w:r>
      <w:r w:rsidRPr="007149CD">
        <w:rPr>
          <w:rFonts w:cstheme="minorHAnsi"/>
        </w:rPr>
        <w:t>obecnie blisko 2,5 mln osób. Należy pamiętać, ż</w:t>
      </w:r>
      <w:r w:rsidR="0030562F" w:rsidRPr="007149CD">
        <w:rPr>
          <w:rFonts w:cstheme="minorHAnsi"/>
        </w:rPr>
        <w:t>e</w:t>
      </w:r>
      <w:r w:rsidR="00264ABB">
        <w:rPr>
          <w:rFonts w:cstheme="minorHAnsi"/>
        </w:rPr>
        <w:t> </w:t>
      </w:r>
      <w:r w:rsidRPr="007149CD">
        <w:rPr>
          <w:rFonts w:cstheme="minorHAnsi"/>
        </w:rPr>
        <w:t>reforma ubezpieczeń społecznych z 1999 r</w:t>
      </w:r>
      <w:r w:rsidR="00C371D4" w:rsidRPr="007149CD">
        <w:rPr>
          <w:rFonts w:cstheme="minorHAnsi"/>
        </w:rPr>
        <w:t>oku</w:t>
      </w:r>
      <w:r w:rsidRPr="007149CD">
        <w:rPr>
          <w:rFonts w:cstheme="minorHAnsi"/>
        </w:rPr>
        <w:t xml:space="preserve"> nie rozwiązała problemu niskich świadczeń. Są one korygowane od kilku lat poza systemem poprzez dodatkowe, szerokie wypłaty dla emerytów i</w:t>
      </w:r>
      <w:r w:rsidR="004C233D" w:rsidRPr="007149CD">
        <w:rPr>
          <w:rFonts w:cstheme="minorHAnsi"/>
        </w:rPr>
        <w:t> </w:t>
      </w:r>
      <w:r w:rsidRPr="007149CD">
        <w:rPr>
          <w:rFonts w:cstheme="minorHAnsi"/>
        </w:rPr>
        <w:t xml:space="preserve">rencistów. </w:t>
      </w:r>
      <w:r w:rsidR="00B009F5" w:rsidRPr="007149CD">
        <w:rPr>
          <w:rFonts w:cstheme="minorHAnsi"/>
        </w:rPr>
        <w:t>Należy</w:t>
      </w:r>
      <w:r w:rsidRPr="007149CD">
        <w:rPr>
          <w:rFonts w:cstheme="minorHAnsi"/>
        </w:rPr>
        <w:t xml:space="preserve"> podkreślić, że PPK nie są mechanizmem wsparcia minimalnych świadczeń, waloryzacji ani rozwi</w:t>
      </w:r>
      <w:r w:rsidR="00772D04" w:rsidRPr="007149CD">
        <w:rPr>
          <w:rFonts w:cstheme="minorHAnsi"/>
        </w:rPr>
        <w:t>ą</w:t>
      </w:r>
      <w:r w:rsidRPr="007149CD">
        <w:rPr>
          <w:rFonts w:cstheme="minorHAnsi"/>
        </w:rPr>
        <w:t xml:space="preserve">zywania problemów systemu emerytalnego, ponieważ nie </w:t>
      </w:r>
      <w:r w:rsidR="008C0D0F" w:rsidRPr="007149CD">
        <w:rPr>
          <w:rFonts w:cstheme="minorHAnsi"/>
        </w:rPr>
        <w:t>są</w:t>
      </w:r>
      <w:r w:rsidRPr="007149CD">
        <w:rPr>
          <w:rFonts w:cstheme="minorHAnsi"/>
        </w:rPr>
        <w:t xml:space="preserve"> jego częścią. Jest</w:t>
      </w:r>
      <w:r w:rsidR="00264ABB">
        <w:rPr>
          <w:rFonts w:cstheme="minorHAnsi"/>
        </w:rPr>
        <w:t> </w:t>
      </w:r>
      <w:r w:rsidR="008755B8" w:rsidRPr="007149CD">
        <w:rPr>
          <w:rFonts w:cstheme="minorHAnsi"/>
        </w:rPr>
        <w:t>to</w:t>
      </w:r>
      <w:r w:rsidR="00264ABB">
        <w:rPr>
          <w:rFonts w:cstheme="minorHAnsi"/>
        </w:rPr>
        <w:t> </w:t>
      </w:r>
      <w:r w:rsidRPr="007149CD">
        <w:rPr>
          <w:rFonts w:cstheme="minorHAnsi"/>
        </w:rPr>
        <w:t xml:space="preserve">nowoczesny system oszczędzania, wspierany przez pracodawców i państwo. </w:t>
      </w:r>
    </w:p>
    <w:p w14:paraId="0F71392A" w14:textId="39CB265F" w:rsidR="00394A56" w:rsidRPr="00394A56" w:rsidRDefault="00394A56" w:rsidP="006648A4">
      <w:pPr>
        <w:spacing w:before="6" w:after="6" w:line="288" w:lineRule="auto"/>
        <w:jc w:val="both"/>
        <w:rPr>
          <w:rFonts w:cstheme="minorHAnsi"/>
        </w:rPr>
      </w:pPr>
      <w:r w:rsidRPr="007149CD">
        <w:rPr>
          <w:rFonts w:cstheme="minorHAnsi"/>
        </w:rPr>
        <w:t>Wraz ze wzrostem aktywów w PPK i przekraczaniem kolejnych poziomów ich wielkości – 20, 30 i więcej mld zł w zasobach funduszy zdefiniowanej daty w kolejnych l</w:t>
      </w:r>
      <w:r w:rsidR="00E1605D">
        <w:rPr>
          <w:rFonts w:cstheme="minorHAnsi"/>
        </w:rPr>
        <w:t xml:space="preserve">atach, rosnąć będzie znaczenie </w:t>
      </w:r>
      <w:r w:rsidRPr="007149CD">
        <w:rPr>
          <w:rFonts w:cstheme="minorHAnsi"/>
        </w:rPr>
        <w:t xml:space="preserve">programu w gospodarce. W czasach niepewności i niejasnych perspektyw </w:t>
      </w:r>
      <w:r w:rsidR="007937C4" w:rsidRPr="007149CD">
        <w:rPr>
          <w:rFonts w:cstheme="minorHAnsi"/>
        </w:rPr>
        <w:t>na</w:t>
      </w:r>
      <w:r w:rsidRPr="007149CD">
        <w:rPr>
          <w:rFonts w:cstheme="minorHAnsi"/>
        </w:rPr>
        <w:t xml:space="preserve"> przyszłoś</w:t>
      </w:r>
      <w:r w:rsidR="007937C4" w:rsidRPr="007149CD">
        <w:rPr>
          <w:rFonts w:cstheme="minorHAnsi"/>
        </w:rPr>
        <w:t>ć</w:t>
      </w:r>
      <w:r w:rsidRPr="007149CD">
        <w:rPr>
          <w:rFonts w:cstheme="minorHAnsi"/>
        </w:rPr>
        <w:t xml:space="preserve"> warto wdrożyć dobre, krajowe regulacje, które wesprą ludzi i ochronę ich oszczędności.</w:t>
      </w:r>
      <w:r w:rsidRPr="00394A56">
        <w:rPr>
          <w:rFonts w:cstheme="minorHAnsi"/>
        </w:rPr>
        <w:t xml:space="preserve"> </w:t>
      </w:r>
    </w:p>
    <w:p w14:paraId="05AAB6E2" w14:textId="77777777" w:rsidR="0029150C" w:rsidRPr="004F2940" w:rsidRDefault="0029150C" w:rsidP="006648A4">
      <w:pPr>
        <w:spacing w:before="6" w:after="6" w:line="288" w:lineRule="auto"/>
        <w:jc w:val="both"/>
      </w:pPr>
    </w:p>
    <w:p w14:paraId="0136BF8B" w14:textId="055B8D1D" w:rsidR="004F2940" w:rsidRDefault="004F2940">
      <w:pPr>
        <w:pStyle w:val="Nagwek1"/>
        <w:numPr>
          <w:ilvl w:val="0"/>
          <w:numId w:val="22"/>
        </w:numPr>
        <w:spacing w:before="6" w:after="6" w:line="288" w:lineRule="auto"/>
        <w:jc w:val="both"/>
      </w:pPr>
      <w:bookmarkStart w:id="99" w:name="_Toc121828642"/>
      <w:r w:rsidRPr="00C371D4">
        <w:t xml:space="preserve">Ramy prawne </w:t>
      </w:r>
      <w:r w:rsidR="005C27C1">
        <w:t>–</w:t>
      </w:r>
      <w:r w:rsidRPr="00C371D4">
        <w:t xml:space="preserve"> ustawa o pracowniczych planach kapitałowych </w:t>
      </w:r>
      <w:r w:rsidR="005C27C1">
        <w:t>–</w:t>
      </w:r>
      <w:r w:rsidRPr="00C371D4">
        <w:t xml:space="preserve"> dotychczasowe zmiany oraz wydane rozporządzenia</w:t>
      </w:r>
      <w:bookmarkEnd w:id="99"/>
      <w:r w:rsidRPr="00C371D4">
        <w:t xml:space="preserve"> </w:t>
      </w:r>
    </w:p>
    <w:p w14:paraId="2C5ED6E5" w14:textId="77777777" w:rsidR="003E49B8" w:rsidRPr="003E49B8" w:rsidRDefault="003E49B8" w:rsidP="00DB6E01">
      <w:pPr>
        <w:jc w:val="both"/>
      </w:pPr>
    </w:p>
    <w:p w14:paraId="4D66C6CA" w14:textId="77777777" w:rsidR="000D016D" w:rsidRDefault="000D016D">
      <w:pPr>
        <w:pStyle w:val="Nagwek2"/>
        <w:numPr>
          <w:ilvl w:val="0"/>
          <w:numId w:val="26"/>
        </w:numPr>
        <w:spacing w:before="6" w:after="6" w:line="288" w:lineRule="auto"/>
        <w:jc w:val="both"/>
      </w:pPr>
      <w:bookmarkStart w:id="100" w:name="_Toc121828643"/>
      <w:r w:rsidRPr="000D016D">
        <w:t>Nowelizacje ustawy o PPK</w:t>
      </w:r>
      <w:bookmarkEnd w:id="100"/>
    </w:p>
    <w:p w14:paraId="7AE5102E" w14:textId="4B7422F7" w:rsidR="008811EA" w:rsidRPr="006648A4" w:rsidRDefault="00F44BBB" w:rsidP="00DB6E01">
      <w:pPr>
        <w:spacing w:before="6" w:after="6" w:line="288" w:lineRule="auto"/>
        <w:jc w:val="both"/>
      </w:pPr>
      <w:r>
        <w:t>Jak już wspomniano wyżej</w:t>
      </w:r>
      <w:r w:rsidR="00663D49">
        <w:t>,</w:t>
      </w:r>
      <w:r>
        <w:t xml:space="preserve"> ustawa o PPK </w:t>
      </w:r>
      <w:r w:rsidR="003927E6">
        <w:t>powstała w</w:t>
      </w:r>
      <w:r w:rsidR="00BC63CD">
        <w:t xml:space="preserve">e </w:t>
      </w:r>
      <w:r w:rsidR="003927E6">
        <w:t xml:space="preserve">współpracy </w:t>
      </w:r>
      <w:r w:rsidR="00A1328F" w:rsidRPr="008811EA">
        <w:t xml:space="preserve">z </w:t>
      </w:r>
      <w:r w:rsidR="001A6665" w:rsidRPr="008811EA">
        <w:t>partnerami społecznym oraz</w:t>
      </w:r>
      <w:r w:rsidR="00264ABB">
        <w:t> </w:t>
      </w:r>
      <w:r w:rsidR="00D5187B" w:rsidRPr="008811EA">
        <w:t xml:space="preserve">instytucjami </w:t>
      </w:r>
      <w:r w:rsidR="008811EA" w:rsidRPr="008811EA">
        <w:t>finansowymi</w:t>
      </w:r>
      <w:r w:rsidR="00574D2C">
        <w:t xml:space="preserve">. Po wejściu w życie ustawy o PPK </w:t>
      </w:r>
      <w:r w:rsidR="0032736D">
        <w:t>w</w:t>
      </w:r>
      <w:r w:rsidR="00574D2C">
        <w:t>spółpraca ta</w:t>
      </w:r>
      <w:r w:rsidR="00D5187B" w:rsidRPr="008811EA">
        <w:t xml:space="preserve"> </w:t>
      </w:r>
      <w:r w:rsidR="0032736D">
        <w:t>jest</w:t>
      </w:r>
      <w:r w:rsidR="00924CDD" w:rsidRPr="008811EA">
        <w:t xml:space="preserve"> kontynuowana </w:t>
      </w:r>
      <w:r w:rsidR="00742C35" w:rsidRPr="008811EA">
        <w:t>w</w:t>
      </w:r>
      <w:r w:rsidR="00DB6E01">
        <w:t> </w:t>
      </w:r>
      <w:r w:rsidR="00742C35" w:rsidRPr="008811EA">
        <w:t>ramach</w:t>
      </w:r>
      <w:r w:rsidR="008811EA" w:rsidRPr="00F833F1">
        <w:t xml:space="preserve"> </w:t>
      </w:r>
      <w:r w:rsidR="008811EA" w:rsidRPr="006648A4">
        <w:t>Rady Konsultacyjnej ds. PPK</w:t>
      </w:r>
      <w:r w:rsidR="008811EA">
        <w:t xml:space="preserve"> – organu </w:t>
      </w:r>
      <w:r w:rsidR="008811EA" w:rsidRPr="006648A4">
        <w:t>powołan</w:t>
      </w:r>
      <w:r w:rsidR="000B3AB8">
        <w:t xml:space="preserve">ego </w:t>
      </w:r>
      <w:r w:rsidR="008811EA" w:rsidRPr="006648A4">
        <w:t>przez PFR S.A. w celu konsultacji i</w:t>
      </w:r>
      <w:r w:rsidR="00DB6E01">
        <w:t> </w:t>
      </w:r>
      <w:r w:rsidR="008811EA" w:rsidRPr="006648A4">
        <w:t>doradztwa w kwestii wdrażania PPK</w:t>
      </w:r>
      <w:r w:rsidR="005D56D1">
        <w:t xml:space="preserve">. </w:t>
      </w:r>
      <w:r w:rsidR="00B94E72" w:rsidRPr="006648A4">
        <w:t xml:space="preserve">Rada </w:t>
      </w:r>
      <w:r w:rsidR="002F0AF8">
        <w:t xml:space="preserve">ta </w:t>
      </w:r>
      <w:r w:rsidR="00B94E72" w:rsidRPr="006648A4">
        <w:t>została powołana 7 stycznia 2019 r. W jej skład wchodzą przedstawiciele związków zawodowych, organizacji pracodawców oraz organizacji branżowych reprezentujących instytucje finansowe zaangażowane we wprowadzanie i realizację programu PPK.</w:t>
      </w:r>
      <w:r w:rsidR="005D56D1">
        <w:t xml:space="preserve"> </w:t>
      </w:r>
      <w:r w:rsidR="008811EA" w:rsidRPr="006648A4">
        <w:t>Zadaniem Rady jest także ocena wszelkich innych aspektów PPK oraz zgłaszanie własnych propozycji i</w:t>
      </w:r>
      <w:r w:rsidR="00DB6E01">
        <w:t> </w:t>
      </w:r>
      <w:r w:rsidR="008811EA" w:rsidRPr="006648A4">
        <w:t>uwag co do funkcjonowania programu</w:t>
      </w:r>
      <w:r w:rsidR="0078201B">
        <w:t>. Jej uwagi brane były pod uwagę</w:t>
      </w:r>
      <w:r w:rsidR="00B757A0">
        <w:t xml:space="preserve"> </w:t>
      </w:r>
      <w:r w:rsidR="00E23583">
        <w:t xml:space="preserve">przy </w:t>
      </w:r>
      <w:r w:rsidR="00A52FA8">
        <w:t xml:space="preserve">zmianach wprowadzanych do ustawy o PPK. </w:t>
      </w:r>
    </w:p>
    <w:p w14:paraId="40AAA04F" w14:textId="77777777" w:rsidR="009A5318" w:rsidRDefault="009A5318" w:rsidP="006648A4">
      <w:pPr>
        <w:spacing w:before="6" w:after="6" w:line="288" w:lineRule="auto"/>
        <w:jc w:val="both"/>
      </w:pPr>
      <w:r>
        <w:t>Ustawa o PPK była pięciokrotnie nowelizowana. Wprowadzono zmiany, które okazały się konieczne w</w:t>
      </w:r>
      <w:r w:rsidR="004C233D">
        <w:t> </w:t>
      </w:r>
      <w:r>
        <w:t>toku obowiązywania tej ustawy, w tym uwzględniono uzasadnione postulaty płynące z rynku. Wprowadzone zmiany polegały m.in. na:</w:t>
      </w:r>
    </w:p>
    <w:p w14:paraId="6CD4CA3E" w14:textId="77777777" w:rsidR="009A5318" w:rsidRDefault="009A5318">
      <w:pPr>
        <w:pStyle w:val="Akapitzlist"/>
        <w:numPr>
          <w:ilvl w:val="0"/>
          <w:numId w:val="21"/>
        </w:numPr>
        <w:spacing w:before="6" w:after="6" w:line="288" w:lineRule="auto"/>
        <w:jc w:val="both"/>
      </w:pPr>
      <w:r>
        <w:t>rozszerzeniu zakresu definicji „osób zatrudnionych”, które mogą stać się uczestnikami PPK, m.in. o osoby pobierające zasiłek macierzyński lub przebywające na urlopie wychowawczym,</w:t>
      </w:r>
    </w:p>
    <w:p w14:paraId="3A5F9AAB" w14:textId="77777777" w:rsidR="009A5318" w:rsidRDefault="009A5318">
      <w:pPr>
        <w:pStyle w:val="Akapitzlist"/>
        <w:numPr>
          <w:ilvl w:val="0"/>
          <w:numId w:val="21"/>
        </w:numPr>
        <w:spacing w:before="6" w:after="6" w:line="288" w:lineRule="auto"/>
        <w:jc w:val="both"/>
      </w:pPr>
      <w:r>
        <w:t>uzupełnieniu definicji „wynagrodzenia”, stanowiącego podstawę do obliczania i pobierania wpłat do PPK, przez zniesienie limitu tzw. 30-krotności,</w:t>
      </w:r>
    </w:p>
    <w:p w14:paraId="00BD6C90" w14:textId="7A639B23" w:rsidR="009A5318" w:rsidRDefault="009A5318">
      <w:pPr>
        <w:pStyle w:val="Akapitzlist"/>
        <w:numPr>
          <w:ilvl w:val="0"/>
          <w:numId w:val="21"/>
        </w:numPr>
        <w:spacing w:before="6" w:after="6" w:line="288" w:lineRule="auto"/>
        <w:jc w:val="both"/>
      </w:pPr>
      <w:r>
        <w:t xml:space="preserve">ujednoliceniu terminów na uruchomienie PPK przez podmioty zatrudniające z II i III fazy wdrożenia tego programu </w:t>
      </w:r>
      <w:r w:rsidR="005C27C1">
        <w:t>–</w:t>
      </w:r>
      <w:r>
        <w:t xml:space="preserve"> z uwagi na sytuację związaną z COVID-19, </w:t>
      </w:r>
    </w:p>
    <w:p w14:paraId="7DFA8D00" w14:textId="69F0A16A" w:rsidR="009A5318" w:rsidRDefault="009A5318">
      <w:pPr>
        <w:pStyle w:val="Akapitzlist"/>
        <w:numPr>
          <w:ilvl w:val="0"/>
          <w:numId w:val="21"/>
        </w:numPr>
        <w:spacing w:before="6" w:after="6" w:line="288" w:lineRule="auto"/>
        <w:jc w:val="both"/>
      </w:pPr>
      <w:r>
        <w:t xml:space="preserve">umożliwieniu zawarcia umowy o prowadzenie PPK </w:t>
      </w:r>
      <w:r w:rsidR="005C27C1">
        <w:t>–</w:t>
      </w:r>
      <w:r>
        <w:t xml:space="preserve"> w imieniu i na rzecz osoby zatrudnionej </w:t>
      </w:r>
      <w:r w:rsidR="005C27C1">
        <w:t>–</w:t>
      </w:r>
      <w:r>
        <w:t xml:space="preserve"> już po 14 dniach zatrudnienia, bez skrócenia terminu na zawarcie tej umowy</w:t>
      </w:r>
      <w:r w:rsidR="00A754DD">
        <w:t>,</w:t>
      </w:r>
    </w:p>
    <w:p w14:paraId="10003E27" w14:textId="77777777" w:rsidR="00CE7637" w:rsidRDefault="009A5318">
      <w:pPr>
        <w:pStyle w:val="Akapitzlist"/>
        <w:numPr>
          <w:ilvl w:val="0"/>
          <w:numId w:val="21"/>
        </w:numPr>
        <w:spacing w:before="6" w:after="6" w:line="288" w:lineRule="auto"/>
        <w:jc w:val="both"/>
      </w:pPr>
      <w:r>
        <w:t>uregulowaniu trybu zwrotu nienależnych wpłat do PPK na rzecz finansującego daną wpłatę.</w:t>
      </w:r>
    </w:p>
    <w:p w14:paraId="745D14A3" w14:textId="77777777" w:rsidR="00652EFF" w:rsidRDefault="00652EFF" w:rsidP="006648A4">
      <w:pPr>
        <w:spacing w:before="6" w:after="6" w:line="288" w:lineRule="auto"/>
        <w:jc w:val="both"/>
      </w:pPr>
    </w:p>
    <w:p w14:paraId="31EDB371" w14:textId="77777777" w:rsidR="000D016D" w:rsidRPr="000D016D" w:rsidRDefault="000D016D" w:rsidP="006648A4">
      <w:pPr>
        <w:spacing w:before="6" w:after="6" w:line="288" w:lineRule="auto"/>
        <w:jc w:val="both"/>
      </w:pPr>
      <w:r w:rsidRPr="000D016D">
        <w:t xml:space="preserve">Ustawa o PPK została zmieniona przepisami </w:t>
      </w:r>
      <w:r w:rsidR="00B6091B">
        <w:t xml:space="preserve">następujących </w:t>
      </w:r>
      <w:r w:rsidRPr="000D016D">
        <w:t>ustaw:</w:t>
      </w:r>
    </w:p>
    <w:p w14:paraId="67242B17" w14:textId="01B85F01" w:rsidR="00720FBB" w:rsidRPr="00264ABB" w:rsidRDefault="000D016D" w:rsidP="00264ABB">
      <w:pPr>
        <w:numPr>
          <w:ilvl w:val="0"/>
          <w:numId w:val="10"/>
        </w:numPr>
        <w:spacing w:before="6" w:after="6" w:line="288" w:lineRule="auto"/>
        <w:jc w:val="both"/>
        <w:rPr>
          <w:b/>
          <w:bCs/>
        </w:rPr>
      </w:pPr>
      <w:r w:rsidRPr="000D016D">
        <w:rPr>
          <w:b/>
          <w:bCs/>
        </w:rPr>
        <w:t xml:space="preserve">art. 1 ustawy z 16 maja 2019 r. o zmianie ustawy o pracowniczych planach kapitałowych, ustawy o organizacji i funkcjonowaniu funduszy emerytalnych oraz ustawy </w:t>
      </w:r>
      <w:r w:rsidR="005C27C1">
        <w:rPr>
          <w:b/>
          <w:bCs/>
        </w:rPr>
        <w:t>–</w:t>
      </w:r>
      <w:r w:rsidRPr="000D016D">
        <w:rPr>
          <w:b/>
          <w:bCs/>
        </w:rPr>
        <w:t xml:space="preserve"> Prawo bankowe (Dz.U z 2019 r. poz. 1074), który wszedł w życie 25 czerwca 2019 r.</w:t>
      </w:r>
      <w:r w:rsidR="00720FBB">
        <w:br w:type="page"/>
      </w:r>
    </w:p>
    <w:p w14:paraId="773793F1" w14:textId="451C3B85" w:rsidR="000D016D" w:rsidRPr="000D016D" w:rsidRDefault="000D016D" w:rsidP="006648A4">
      <w:pPr>
        <w:spacing w:before="6" w:after="6" w:line="288" w:lineRule="auto"/>
        <w:jc w:val="both"/>
      </w:pPr>
      <w:r w:rsidRPr="000D016D">
        <w:lastRenderedPageBreak/>
        <w:t>Najważniejsze zmiany wprowadzone w ustawie o PPK tą ustawą przedstawiono w tabeli.</w:t>
      </w:r>
    </w:p>
    <w:tbl>
      <w:tblPr>
        <w:tblStyle w:val="Tabela-Siatka"/>
        <w:tblW w:w="0" w:type="auto"/>
        <w:tblLook w:val="04A0" w:firstRow="1" w:lastRow="0" w:firstColumn="1" w:lastColumn="0" w:noHBand="0" w:noVBand="1"/>
      </w:tblPr>
      <w:tblGrid>
        <w:gridCol w:w="495"/>
        <w:gridCol w:w="4136"/>
        <w:gridCol w:w="4431"/>
      </w:tblGrid>
      <w:tr w:rsidR="000D016D" w:rsidRPr="000D016D" w14:paraId="28C415AE" w14:textId="77777777" w:rsidTr="008D737D">
        <w:tc>
          <w:tcPr>
            <w:tcW w:w="4531" w:type="dxa"/>
            <w:gridSpan w:val="2"/>
          </w:tcPr>
          <w:p w14:paraId="2A338B6C" w14:textId="77777777" w:rsidR="000D016D" w:rsidRPr="000D016D" w:rsidRDefault="000D016D" w:rsidP="00B41385">
            <w:pPr>
              <w:spacing w:before="6" w:after="6" w:line="288" w:lineRule="auto"/>
              <w:rPr>
                <w:b/>
                <w:bCs/>
              </w:rPr>
            </w:pPr>
            <w:r w:rsidRPr="000D016D">
              <w:rPr>
                <w:b/>
                <w:bCs/>
              </w:rPr>
              <w:t>Przepisy ustawy o PPK</w:t>
            </w:r>
          </w:p>
        </w:tc>
        <w:tc>
          <w:tcPr>
            <w:tcW w:w="4531" w:type="dxa"/>
          </w:tcPr>
          <w:p w14:paraId="16788647" w14:textId="77777777" w:rsidR="000D016D" w:rsidRPr="000D016D" w:rsidRDefault="000D016D" w:rsidP="00B41385">
            <w:pPr>
              <w:spacing w:before="6" w:after="6" w:line="288" w:lineRule="auto"/>
              <w:rPr>
                <w:b/>
                <w:bCs/>
              </w:rPr>
            </w:pPr>
            <w:r w:rsidRPr="000D016D">
              <w:rPr>
                <w:b/>
                <w:bCs/>
              </w:rPr>
              <w:t>Opis zmian</w:t>
            </w:r>
          </w:p>
        </w:tc>
      </w:tr>
      <w:tr w:rsidR="000D016D" w:rsidRPr="000D016D" w14:paraId="1814BE66" w14:textId="77777777" w:rsidTr="008D737D">
        <w:tc>
          <w:tcPr>
            <w:tcW w:w="250" w:type="dxa"/>
          </w:tcPr>
          <w:p w14:paraId="05807D6B" w14:textId="77777777" w:rsidR="000D016D" w:rsidRPr="000D016D" w:rsidRDefault="000D016D" w:rsidP="00B41385">
            <w:pPr>
              <w:spacing w:before="6" w:after="6" w:line="288" w:lineRule="auto"/>
            </w:pPr>
            <w:r w:rsidRPr="000D016D">
              <w:t>1.</w:t>
            </w:r>
          </w:p>
        </w:tc>
        <w:tc>
          <w:tcPr>
            <w:tcW w:w="4281" w:type="dxa"/>
          </w:tcPr>
          <w:p w14:paraId="2D58371B" w14:textId="77777777" w:rsidR="000D016D" w:rsidRPr="000D016D" w:rsidRDefault="000D016D" w:rsidP="00B41385">
            <w:pPr>
              <w:spacing w:before="6" w:after="6" w:line="288" w:lineRule="auto"/>
            </w:pPr>
            <w:r w:rsidRPr="000D016D">
              <w:t xml:space="preserve">w art. 2 ust. 1 pkt 18 dodano lit. </w:t>
            </w:r>
            <w:r w:rsidR="00CB4EBC" w:rsidRPr="000D016D">
              <w:t>F</w:t>
            </w:r>
          </w:p>
          <w:p w14:paraId="2C46DA5B" w14:textId="77777777" w:rsidR="000D016D" w:rsidRPr="000D016D" w:rsidRDefault="000D016D" w:rsidP="00B41385">
            <w:pPr>
              <w:spacing w:before="6" w:after="6" w:line="288" w:lineRule="auto"/>
              <w:rPr>
                <w:b/>
                <w:bCs/>
              </w:rPr>
            </w:pPr>
          </w:p>
        </w:tc>
        <w:tc>
          <w:tcPr>
            <w:tcW w:w="4531" w:type="dxa"/>
          </w:tcPr>
          <w:p w14:paraId="35339CD7" w14:textId="77777777" w:rsidR="000D016D" w:rsidRPr="000D016D" w:rsidRDefault="000D016D" w:rsidP="00B41385">
            <w:pPr>
              <w:spacing w:before="6" w:after="6" w:line="288" w:lineRule="auto"/>
            </w:pPr>
            <w:r w:rsidRPr="000D016D">
              <w:t>Uzupełniono definicję „osób zatrudnionych”, mogących stać się uczestnikami PPK, o osoby przebywające na urlopach wychowawczych lub pobierające zasiłek macierzyński lub zasiłek w wysokości zasiłku macierzyńskiego.</w:t>
            </w:r>
          </w:p>
        </w:tc>
      </w:tr>
      <w:tr w:rsidR="000D016D" w:rsidRPr="000D016D" w14:paraId="30B7AB5B" w14:textId="77777777" w:rsidTr="008D737D">
        <w:tc>
          <w:tcPr>
            <w:tcW w:w="250" w:type="dxa"/>
          </w:tcPr>
          <w:p w14:paraId="6ED8FDCF" w14:textId="77777777" w:rsidR="000D016D" w:rsidRPr="000D016D" w:rsidRDefault="000D016D" w:rsidP="00B41385">
            <w:pPr>
              <w:spacing w:before="6" w:after="6" w:line="288" w:lineRule="auto"/>
            </w:pPr>
            <w:r w:rsidRPr="000D016D">
              <w:t>2.</w:t>
            </w:r>
          </w:p>
        </w:tc>
        <w:tc>
          <w:tcPr>
            <w:tcW w:w="4281" w:type="dxa"/>
          </w:tcPr>
          <w:p w14:paraId="158DD53B" w14:textId="77777777" w:rsidR="000D016D" w:rsidRPr="000D016D" w:rsidRDefault="000D016D" w:rsidP="00B41385">
            <w:pPr>
              <w:spacing w:before="6" w:after="6" w:line="288" w:lineRule="auto"/>
            </w:pPr>
            <w:r w:rsidRPr="000D016D">
              <w:t>zmiana w art. 2 ust. 1 pkt 40</w:t>
            </w:r>
          </w:p>
        </w:tc>
        <w:tc>
          <w:tcPr>
            <w:tcW w:w="4531" w:type="dxa"/>
          </w:tcPr>
          <w:p w14:paraId="7D39E29D" w14:textId="77777777" w:rsidR="000D016D" w:rsidRPr="000D016D" w:rsidRDefault="000D016D" w:rsidP="00B41385">
            <w:pPr>
              <w:spacing w:before="6" w:after="6" w:line="288" w:lineRule="auto"/>
              <w:rPr>
                <w:b/>
                <w:bCs/>
              </w:rPr>
            </w:pPr>
            <w:r w:rsidRPr="000D016D">
              <w:t>Zmieniono definicję „wynagrodzenia”, stanowiącego podstawą obliczania wpłat do PPK, poprzez zniesienie limitu tzw. 30-krotności.</w:t>
            </w:r>
          </w:p>
        </w:tc>
      </w:tr>
      <w:tr w:rsidR="000D016D" w:rsidRPr="000D016D" w14:paraId="7A3231DD" w14:textId="77777777" w:rsidTr="008D737D">
        <w:tc>
          <w:tcPr>
            <w:tcW w:w="250" w:type="dxa"/>
          </w:tcPr>
          <w:p w14:paraId="11358187" w14:textId="77777777" w:rsidR="000D016D" w:rsidRPr="000D016D" w:rsidRDefault="000D016D" w:rsidP="00B41385">
            <w:pPr>
              <w:spacing w:before="6" w:after="6" w:line="288" w:lineRule="auto"/>
            </w:pPr>
            <w:r w:rsidRPr="000D016D">
              <w:t>3.</w:t>
            </w:r>
          </w:p>
        </w:tc>
        <w:tc>
          <w:tcPr>
            <w:tcW w:w="4281" w:type="dxa"/>
          </w:tcPr>
          <w:p w14:paraId="4CB6C5C0" w14:textId="77777777" w:rsidR="000D016D" w:rsidRPr="000D016D" w:rsidRDefault="000D016D" w:rsidP="00B41385">
            <w:pPr>
              <w:spacing w:before="6" w:after="6" w:line="288" w:lineRule="auto"/>
            </w:pPr>
            <w:r w:rsidRPr="000D016D">
              <w:t>w art. 8 dodano ust. 5a i ust. 5b</w:t>
            </w:r>
          </w:p>
        </w:tc>
        <w:tc>
          <w:tcPr>
            <w:tcW w:w="4531" w:type="dxa"/>
          </w:tcPr>
          <w:p w14:paraId="1ACD28F3" w14:textId="77777777" w:rsidR="000D016D" w:rsidRPr="000D016D" w:rsidRDefault="000D016D" w:rsidP="00B41385">
            <w:pPr>
              <w:spacing w:before="6" w:after="6" w:line="288" w:lineRule="auto"/>
            </w:pPr>
            <w:r w:rsidRPr="000D016D">
              <w:t xml:space="preserve">Dodano nowe przepisy dotyczące wysyłanych przez PFR </w:t>
            </w:r>
            <w:r w:rsidR="00025A82">
              <w:t xml:space="preserve">S.A. </w:t>
            </w:r>
            <w:r w:rsidRPr="000D016D">
              <w:t>wezwań do zawarcia umowy o zarządzanie PPK (albo do przekazania do PFR</w:t>
            </w:r>
            <w:r w:rsidR="00025A82">
              <w:t xml:space="preserve"> S.A.</w:t>
            </w:r>
            <w:r w:rsidRPr="000D016D">
              <w:t xml:space="preserve"> informacji o zawarciu umowy o zarządzanie PPK) poprzez wskazanie, że: </w:t>
            </w:r>
          </w:p>
          <w:p w14:paraId="4BA8AFB8" w14:textId="77777777" w:rsidR="000D016D" w:rsidRPr="000D016D" w:rsidRDefault="000D016D" w:rsidP="00B41385">
            <w:pPr>
              <w:numPr>
                <w:ilvl w:val="0"/>
                <w:numId w:val="11"/>
              </w:numPr>
              <w:spacing w:before="6" w:after="6" w:line="288" w:lineRule="auto"/>
            </w:pPr>
            <w:r w:rsidRPr="000D016D">
              <w:t>podmiot zatrudniający, który korzysta z uprawnienia do niestosowania ustawy o PPK z uwagi na prowadzenie pracowniczego programu emerytalnego (PPE), w odpowiedzi na wezwanie PFR</w:t>
            </w:r>
            <w:r w:rsidR="00B55392">
              <w:t xml:space="preserve"> S.A.</w:t>
            </w:r>
            <w:r w:rsidRPr="000D016D">
              <w:t>, przekazuje PFR</w:t>
            </w:r>
            <w:r w:rsidR="00B55392">
              <w:t xml:space="preserve"> S.A.</w:t>
            </w:r>
            <w:r w:rsidRPr="000D016D">
              <w:t xml:space="preserve"> oświadczenie o prowadzeniu PPE wraz ze wskazaniem wysokości naliczanej i odprowadzanej składki podstawowej do PPE oraz procentowego udziału osób zatrudnionych, które uczestniczą w PPE; </w:t>
            </w:r>
          </w:p>
          <w:p w14:paraId="2169FD96" w14:textId="77777777" w:rsidR="000D016D" w:rsidRPr="000D016D" w:rsidRDefault="000D016D" w:rsidP="00B41385">
            <w:pPr>
              <w:numPr>
                <w:ilvl w:val="0"/>
                <w:numId w:val="11"/>
              </w:numPr>
              <w:spacing w:before="6" w:after="6" w:line="288" w:lineRule="auto"/>
            </w:pPr>
            <w:r w:rsidRPr="000D016D">
              <w:t xml:space="preserve">wezwanie PFR </w:t>
            </w:r>
            <w:r w:rsidR="00673EBE">
              <w:t xml:space="preserve">S.A. </w:t>
            </w:r>
            <w:r w:rsidRPr="000D016D">
              <w:t>może zawierać mechanicznie odtwarzany podpis osoby uprawnionej do jego podpisania.</w:t>
            </w:r>
          </w:p>
        </w:tc>
      </w:tr>
      <w:tr w:rsidR="000D016D" w:rsidRPr="000D016D" w14:paraId="003F657E" w14:textId="77777777" w:rsidTr="008D737D">
        <w:tc>
          <w:tcPr>
            <w:tcW w:w="250" w:type="dxa"/>
          </w:tcPr>
          <w:p w14:paraId="72AFEB56" w14:textId="77777777" w:rsidR="000D016D" w:rsidRPr="000D016D" w:rsidRDefault="000D016D" w:rsidP="00B41385">
            <w:pPr>
              <w:spacing w:before="6" w:after="6" w:line="288" w:lineRule="auto"/>
            </w:pPr>
            <w:r w:rsidRPr="000D016D">
              <w:t>4.</w:t>
            </w:r>
          </w:p>
        </w:tc>
        <w:tc>
          <w:tcPr>
            <w:tcW w:w="4281" w:type="dxa"/>
          </w:tcPr>
          <w:p w14:paraId="61E42C6A" w14:textId="77777777" w:rsidR="000D016D" w:rsidRPr="000D016D" w:rsidRDefault="000D016D" w:rsidP="00B41385">
            <w:pPr>
              <w:spacing w:before="6" w:after="6" w:line="288" w:lineRule="auto"/>
            </w:pPr>
            <w:r w:rsidRPr="000D016D">
              <w:t>zmiany w art. 22 ust. 1</w:t>
            </w:r>
          </w:p>
          <w:p w14:paraId="0988C730" w14:textId="77777777" w:rsidR="000D016D" w:rsidRPr="000D016D" w:rsidRDefault="000D016D" w:rsidP="00B41385">
            <w:pPr>
              <w:spacing w:before="6" w:after="6" w:line="288" w:lineRule="auto"/>
              <w:rPr>
                <w:b/>
                <w:bCs/>
              </w:rPr>
            </w:pPr>
          </w:p>
        </w:tc>
        <w:tc>
          <w:tcPr>
            <w:tcW w:w="4531" w:type="dxa"/>
          </w:tcPr>
          <w:p w14:paraId="5F4E2665" w14:textId="3DD319C5" w:rsidR="000D016D" w:rsidRPr="000D016D" w:rsidRDefault="000D016D" w:rsidP="00B41385">
            <w:pPr>
              <w:spacing w:before="6" w:after="6" w:line="288" w:lineRule="auto"/>
            </w:pPr>
            <w:r w:rsidRPr="000D016D">
              <w:t xml:space="preserve">Wprowadzono zmiany dot. obowiązku instytucji finansowej udostępnienia uczestnikowi PPK informacji o zawarciu umowy o prowadzenie PPK – dodano możliwość informowania uczestników PPK poprzez zapewnienie im dostępu do systemu teleinformatycznego instytucji finansowej oraz wskazano, że na wniosek uczestnika PPK udostępnienie tej informacji następuje w postaci </w:t>
            </w:r>
            <w:r w:rsidR="00E1605D">
              <w:t xml:space="preserve">papierowej. </w:t>
            </w:r>
          </w:p>
          <w:p w14:paraId="5423E61A" w14:textId="77777777" w:rsidR="000D016D" w:rsidRPr="000D016D" w:rsidRDefault="000D016D" w:rsidP="00B41385">
            <w:pPr>
              <w:spacing w:before="6" w:after="6" w:line="288" w:lineRule="auto"/>
              <w:rPr>
                <w:b/>
                <w:bCs/>
              </w:rPr>
            </w:pPr>
          </w:p>
        </w:tc>
      </w:tr>
      <w:tr w:rsidR="000D016D" w:rsidRPr="000D016D" w14:paraId="50D269BA" w14:textId="77777777" w:rsidTr="008D737D">
        <w:tc>
          <w:tcPr>
            <w:tcW w:w="250" w:type="dxa"/>
          </w:tcPr>
          <w:p w14:paraId="1B25316C" w14:textId="77777777" w:rsidR="000D016D" w:rsidRPr="000D016D" w:rsidRDefault="000D016D" w:rsidP="00B41385">
            <w:pPr>
              <w:spacing w:before="6" w:after="6" w:line="288" w:lineRule="auto"/>
            </w:pPr>
            <w:r w:rsidRPr="000D016D">
              <w:lastRenderedPageBreak/>
              <w:t>5.</w:t>
            </w:r>
          </w:p>
        </w:tc>
        <w:tc>
          <w:tcPr>
            <w:tcW w:w="4281" w:type="dxa"/>
          </w:tcPr>
          <w:p w14:paraId="7CE5BADF" w14:textId="77777777" w:rsidR="000D016D" w:rsidRPr="000D016D" w:rsidRDefault="000D016D" w:rsidP="00B41385">
            <w:pPr>
              <w:spacing w:before="6" w:after="6" w:line="288" w:lineRule="auto"/>
            </w:pPr>
            <w:r w:rsidRPr="000D016D">
              <w:t>dodanie art. 25a</w:t>
            </w:r>
          </w:p>
        </w:tc>
        <w:tc>
          <w:tcPr>
            <w:tcW w:w="4531" w:type="dxa"/>
          </w:tcPr>
          <w:p w14:paraId="143F05E9" w14:textId="77777777" w:rsidR="000D016D" w:rsidRPr="000D016D" w:rsidRDefault="000D016D" w:rsidP="00B41385">
            <w:pPr>
              <w:spacing w:before="6" w:after="6" w:line="288" w:lineRule="auto"/>
            </w:pPr>
            <w:r w:rsidRPr="000D016D">
              <w:t>Określono maksymalny limit wpłat i dopłat możliwych do dokonania na wszystkie rachunki PPK uczestnika PPK w danym roku kalendarzowym – limit ten ustalono jako równowartość w złotych kwoty 50 000 dolarów amerykańskich, według średniego kursu dolara amerykańskiego ogłaszanego przez NBP na ostatni dzień roboczy poprzedzający dzień 31 grudnia roku poprzedzającego dany rok kalendarzowy.</w:t>
            </w:r>
          </w:p>
        </w:tc>
      </w:tr>
      <w:tr w:rsidR="000D016D" w:rsidRPr="000D016D" w14:paraId="44F9ED70" w14:textId="77777777" w:rsidTr="008D737D">
        <w:trPr>
          <w:trHeight w:val="1993"/>
        </w:trPr>
        <w:tc>
          <w:tcPr>
            <w:tcW w:w="250" w:type="dxa"/>
          </w:tcPr>
          <w:p w14:paraId="332ED33F" w14:textId="77777777" w:rsidR="000D016D" w:rsidRPr="000D016D" w:rsidRDefault="000D016D" w:rsidP="00B41385">
            <w:pPr>
              <w:spacing w:before="6" w:after="6" w:line="288" w:lineRule="auto"/>
            </w:pPr>
            <w:r w:rsidRPr="000D016D">
              <w:t>6.</w:t>
            </w:r>
          </w:p>
        </w:tc>
        <w:tc>
          <w:tcPr>
            <w:tcW w:w="4281" w:type="dxa"/>
          </w:tcPr>
          <w:p w14:paraId="266AE716" w14:textId="77777777" w:rsidR="000D016D" w:rsidRPr="000D016D" w:rsidRDefault="000D016D" w:rsidP="00B41385">
            <w:pPr>
              <w:spacing w:before="6" w:after="6" w:line="288" w:lineRule="auto"/>
            </w:pPr>
            <w:r w:rsidRPr="000D016D">
              <w:t>zmiany w art. 27 ust. 5 i ust. 8</w:t>
            </w:r>
          </w:p>
        </w:tc>
        <w:tc>
          <w:tcPr>
            <w:tcW w:w="4531" w:type="dxa"/>
          </w:tcPr>
          <w:p w14:paraId="6E30109B" w14:textId="77777777" w:rsidR="000D016D" w:rsidRPr="000D016D" w:rsidRDefault="000D016D" w:rsidP="00B41385">
            <w:pPr>
              <w:spacing w:before="6" w:after="6" w:line="288" w:lineRule="auto"/>
              <w:rPr>
                <w:b/>
                <w:bCs/>
              </w:rPr>
            </w:pPr>
            <w:r w:rsidRPr="000D016D">
              <w:t>Wprowadzono zmiany dot. uwzględniania przez podmiot zatrudniający deklaracji obniżenia wpłaty podstawowej do PPK oraz deklaracji zmieniającej wysokość obniżonej wpłaty podstawowej, złożonych przez uczestnika PPK, a także okresu obowiązywania tych deklaracji.</w:t>
            </w:r>
          </w:p>
        </w:tc>
      </w:tr>
      <w:tr w:rsidR="000D016D" w:rsidRPr="000D016D" w14:paraId="5C177DAE" w14:textId="77777777" w:rsidTr="008D737D">
        <w:tc>
          <w:tcPr>
            <w:tcW w:w="250" w:type="dxa"/>
          </w:tcPr>
          <w:p w14:paraId="4316C784" w14:textId="77777777" w:rsidR="000D016D" w:rsidRPr="000D016D" w:rsidRDefault="000D016D" w:rsidP="00B41385">
            <w:pPr>
              <w:spacing w:before="6" w:after="6" w:line="288" w:lineRule="auto"/>
            </w:pPr>
            <w:r w:rsidRPr="000D016D">
              <w:t>7.</w:t>
            </w:r>
          </w:p>
        </w:tc>
        <w:tc>
          <w:tcPr>
            <w:tcW w:w="4281" w:type="dxa"/>
          </w:tcPr>
          <w:p w14:paraId="5BF0E705" w14:textId="77777777" w:rsidR="000D016D" w:rsidRPr="000D016D" w:rsidRDefault="000D016D" w:rsidP="00B41385">
            <w:pPr>
              <w:spacing w:before="6" w:after="6" w:line="288" w:lineRule="auto"/>
            </w:pPr>
            <w:r w:rsidRPr="000D016D">
              <w:t>zmiany w art. 28 ust. 4 oraz uchylenie art. 28 ust. 5</w:t>
            </w:r>
          </w:p>
        </w:tc>
        <w:tc>
          <w:tcPr>
            <w:tcW w:w="4531" w:type="dxa"/>
          </w:tcPr>
          <w:p w14:paraId="43DBA360" w14:textId="77777777" w:rsidR="000D016D" w:rsidRPr="000D016D" w:rsidRDefault="000D016D" w:rsidP="00B41385">
            <w:pPr>
              <w:spacing w:before="6" w:after="6" w:line="288" w:lineRule="auto"/>
            </w:pPr>
            <w:r w:rsidRPr="000D016D">
              <w:t>Wprowadzono zmiany dot. terminu dokonywania wpłat do PPK – zrezygnowano z rozwiązania przewidującego, że jeżeli wynagrodzenie wypłacane jest w okresach krótszych niż miesiąc, wpłaty należne za miesiąc dokonywane są w terminie do ostatniego dnia miesiąca.</w:t>
            </w:r>
          </w:p>
        </w:tc>
      </w:tr>
      <w:tr w:rsidR="000D016D" w:rsidRPr="000D016D" w14:paraId="2AF84C2E" w14:textId="77777777" w:rsidTr="008D737D">
        <w:tc>
          <w:tcPr>
            <w:tcW w:w="250" w:type="dxa"/>
          </w:tcPr>
          <w:p w14:paraId="0C3D53F5" w14:textId="77777777" w:rsidR="000D016D" w:rsidRPr="000D016D" w:rsidRDefault="000D016D" w:rsidP="00B41385">
            <w:pPr>
              <w:spacing w:before="6" w:after="6" w:line="288" w:lineRule="auto"/>
            </w:pPr>
            <w:r w:rsidRPr="000D016D">
              <w:t>8.</w:t>
            </w:r>
          </w:p>
        </w:tc>
        <w:tc>
          <w:tcPr>
            <w:tcW w:w="4281" w:type="dxa"/>
          </w:tcPr>
          <w:p w14:paraId="27CA8604" w14:textId="77777777" w:rsidR="000D016D" w:rsidRPr="000D016D" w:rsidRDefault="000D016D" w:rsidP="00B41385">
            <w:pPr>
              <w:spacing w:before="6" w:after="6" w:line="288" w:lineRule="auto"/>
            </w:pPr>
            <w:r w:rsidRPr="000D016D">
              <w:t>zmiany w art. 31 ust. 1 zdanie drugie</w:t>
            </w:r>
          </w:p>
        </w:tc>
        <w:tc>
          <w:tcPr>
            <w:tcW w:w="4531" w:type="dxa"/>
          </w:tcPr>
          <w:p w14:paraId="1F842125" w14:textId="77777777" w:rsidR="000D016D" w:rsidRPr="000D016D" w:rsidRDefault="000D016D" w:rsidP="00B41385">
            <w:pPr>
              <w:spacing w:before="6" w:after="6" w:line="288" w:lineRule="auto"/>
            </w:pPr>
            <w:r w:rsidRPr="000D016D">
              <w:t>Doprecyzowano przesłanki uzyskania uprawnienia do wpłaty powitalnej.</w:t>
            </w:r>
          </w:p>
        </w:tc>
      </w:tr>
      <w:tr w:rsidR="000D016D" w:rsidRPr="000D016D" w14:paraId="339430FF" w14:textId="77777777" w:rsidTr="008D737D">
        <w:tc>
          <w:tcPr>
            <w:tcW w:w="250" w:type="dxa"/>
          </w:tcPr>
          <w:p w14:paraId="128F3BFB" w14:textId="77777777" w:rsidR="000D016D" w:rsidRPr="000D016D" w:rsidRDefault="000D016D" w:rsidP="00B41385">
            <w:pPr>
              <w:spacing w:before="6" w:after="6" w:line="288" w:lineRule="auto"/>
            </w:pPr>
            <w:r w:rsidRPr="000D016D">
              <w:t>9.</w:t>
            </w:r>
          </w:p>
        </w:tc>
        <w:tc>
          <w:tcPr>
            <w:tcW w:w="4281" w:type="dxa"/>
          </w:tcPr>
          <w:p w14:paraId="1BFCD9A9" w14:textId="77777777" w:rsidR="000D016D" w:rsidRPr="000D016D" w:rsidRDefault="000D016D" w:rsidP="00B41385">
            <w:pPr>
              <w:spacing w:before="6" w:after="6" w:line="288" w:lineRule="auto"/>
            </w:pPr>
            <w:r w:rsidRPr="000D016D">
              <w:t xml:space="preserve">w art. 49: </w:t>
            </w:r>
          </w:p>
          <w:p w14:paraId="4E36FB31" w14:textId="77777777" w:rsidR="000D016D" w:rsidRPr="000D016D" w:rsidRDefault="000D016D" w:rsidP="00B41385">
            <w:pPr>
              <w:spacing w:before="6" w:after="6" w:line="288" w:lineRule="auto"/>
            </w:pPr>
            <w:r w:rsidRPr="000D016D">
              <w:t xml:space="preserve">w ust. 3 dodano pkt 3 oraz </w:t>
            </w:r>
          </w:p>
          <w:p w14:paraId="2E4F55A0" w14:textId="77777777" w:rsidR="000D016D" w:rsidRPr="000D016D" w:rsidRDefault="000D016D" w:rsidP="00B41385">
            <w:pPr>
              <w:spacing w:before="6" w:after="6" w:line="288" w:lineRule="auto"/>
            </w:pPr>
            <w:r w:rsidRPr="000D016D">
              <w:t>dodano ust. 3a, ust. 3b i ust. 4a</w:t>
            </w:r>
          </w:p>
          <w:p w14:paraId="3494B843" w14:textId="77777777" w:rsidR="000D016D" w:rsidRPr="000D016D" w:rsidRDefault="000D016D" w:rsidP="00B41385">
            <w:pPr>
              <w:spacing w:before="6" w:after="6" w:line="288" w:lineRule="auto"/>
              <w:rPr>
                <w:b/>
                <w:bCs/>
              </w:rPr>
            </w:pPr>
          </w:p>
        </w:tc>
        <w:tc>
          <w:tcPr>
            <w:tcW w:w="4531" w:type="dxa"/>
          </w:tcPr>
          <w:p w14:paraId="486DB3B6" w14:textId="2D323203" w:rsidR="000D016D" w:rsidRPr="000D016D" w:rsidRDefault="000D016D" w:rsidP="005C27C1">
            <w:pPr>
              <w:spacing w:before="6" w:after="6" w:line="288" w:lineRule="auto"/>
            </w:pPr>
            <w:r w:rsidRPr="000D016D">
              <w:t xml:space="preserve">Uzupełniono przesłanki uprawniające do pobierania przez podmioty zarządzające PPK wynagrodzenia za wynik </w:t>
            </w:r>
            <w:r w:rsidR="005C27C1">
              <w:t>–</w:t>
            </w:r>
            <w:r w:rsidRPr="000D016D">
              <w:t xml:space="preserve"> poprzez dodanie przesłanki polegającej na osiągnięciu na ostatni dzień wyceny w listopadzie w danym roku stopy zwrotu przez fundusz inwestycyjny, fundusz emerytalny lub subfundusz na poziomie nie niższym niż 75% najwyższych stóp zwrotu funduszy tej samej zdefiniowanej daty. Zastrzeżono, że przepisów dot. wynagrodzenia za wynik nie stosuje się w okresie do końca roku kalendarzowego, w którym upływa termin 2 lat od dnia utworzenia funduszu inwestycyjnego, funduszu emerytalnego lub subfunduszu.</w:t>
            </w:r>
          </w:p>
        </w:tc>
      </w:tr>
      <w:tr w:rsidR="000D016D" w:rsidRPr="000D016D" w14:paraId="7F2CF748" w14:textId="77777777" w:rsidTr="008D737D">
        <w:tc>
          <w:tcPr>
            <w:tcW w:w="250" w:type="dxa"/>
          </w:tcPr>
          <w:p w14:paraId="57288558" w14:textId="77777777" w:rsidR="000D016D" w:rsidRPr="000D016D" w:rsidRDefault="000D016D" w:rsidP="00407948">
            <w:pPr>
              <w:spacing w:before="6" w:after="6" w:line="288" w:lineRule="auto"/>
            </w:pPr>
            <w:r w:rsidRPr="000D016D">
              <w:lastRenderedPageBreak/>
              <w:t>10.</w:t>
            </w:r>
          </w:p>
        </w:tc>
        <w:tc>
          <w:tcPr>
            <w:tcW w:w="4281" w:type="dxa"/>
          </w:tcPr>
          <w:p w14:paraId="48907196" w14:textId="77777777" w:rsidR="000D016D" w:rsidRPr="000D016D" w:rsidRDefault="000D016D" w:rsidP="00407948">
            <w:pPr>
              <w:spacing w:before="6" w:after="6" w:line="288" w:lineRule="auto"/>
            </w:pPr>
            <w:r w:rsidRPr="000D016D">
              <w:t>zmiany w art. 133 ust. 1 oraz ust. 2 pkt 2</w:t>
            </w:r>
          </w:p>
          <w:p w14:paraId="6862618E" w14:textId="77777777" w:rsidR="000D016D" w:rsidRPr="000D016D" w:rsidRDefault="000D016D" w:rsidP="00407948">
            <w:pPr>
              <w:spacing w:before="6" w:after="6" w:line="288" w:lineRule="auto"/>
            </w:pPr>
            <w:r w:rsidRPr="000D016D">
              <w:t>w art. 133 ust. 2 dodano punkt 4</w:t>
            </w:r>
          </w:p>
        </w:tc>
        <w:tc>
          <w:tcPr>
            <w:tcW w:w="4531" w:type="dxa"/>
          </w:tcPr>
          <w:p w14:paraId="21456B2A" w14:textId="77777777" w:rsidR="000D016D" w:rsidRPr="000D016D" w:rsidRDefault="000D016D" w:rsidP="00407948">
            <w:pPr>
              <w:spacing w:before="6" w:after="6" w:line="288" w:lineRule="auto"/>
            </w:pPr>
            <w:r w:rsidRPr="000D016D">
              <w:t>W prowadzono zmiany dot. uprawnienia podmiotu zatrudniającego do niestosowania ustawy o PPK z uwagi na prowadzenie PPE oraz utraty tego uprawnienia – jedną z przesłanek uprawnienia do niestosowania ustawy o PPK przez podmiot zatrudniający, który w dacie objęcia go przepisami ustawy o PPK prowadził PPE, jest uczestniczenie w PPK co najmniej 25% osób zatrudnionych w tym podmiocie. Zastrzeżono, że podmiot zatrudniający prowadzący PPE traci uprawnienie do niestosowania ustawy o PPK m.in. od dnia następującego po dniu 1 stycznia albo 1 lipca danego roku, jeżeli według stanu na ten dzień w PPE uczestniczy mniej niż 25% osób zatrudnionych w tym podmiocie.</w:t>
            </w:r>
          </w:p>
        </w:tc>
      </w:tr>
    </w:tbl>
    <w:p w14:paraId="7B177ADE" w14:textId="77777777" w:rsidR="000D016D" w:rsidRPr="000D016D" w:rsidRDefault="000D016D" w:rsidP="00407948">
      <w:pPr>
        <w:spacing w:before="6" w:after="6" w:line="288" w:lineRule="auto"/>
        <w:rPr>
          <w:b/>
          <w:bCs/>
        </w:rPr>
      </w:pPr>
    </w:p>
    <w:p w14:paraId="4ED17E46" w14:textId="33699C1A" w:rsidR="000D016D" w:rsidRPr="000D016D" w:rsidRDefault="000D016D" w:rsidP="00DB6E01">
      <w:pPr>
        <w:numPr>
          <w:ilvl w:val="0"/>
          <w:numId w:val="10"/>
        </w:numPr>
        <w:spacing w:before="6" w:after="6" w:line="288" w:lineRule="auto"/>
        <w:jc w:val="both"/>
        <w:rPr>
          <w:b/>
          <w:bCs/>
        </w:rPr>
      </w:pPr>
      <w:r w:rsidRPr="000D016D">
        <w:rPr>
          <w:b/>
          <w:bCs/>
        </w:rPr>
        <w:t>art. 32 ustawy z 4 lipca 2019 r. o systemie instytucji rozwoju (Dz.</w:t>
      </w:r>
      <w:r w:rsidR="00C12F49">
        <w:rPr>
          <w:b/>
          <w:bCs/>
        </w:rPr>
        <w:t xml:space="preserve"> </w:t>
      </w:r>
      <w:r w:rsidRPr="000D016D">
        <w:rPr>
          <w:b/>
          <w:bCs/>
        </w:rPr>
        <w:t xml:space="preserve">U. z 2019 r. poz. 1572), </w:t>
      </w:r>
    </w:p>
    <w:p w14:paraId="55E6255C" w14:textId="77777777" w:rsidR="000D016D" w:rsidRDefault="000D016D" w:rsidP="00DB6E01">
      <w:pPr>
        <w:spacing w:before="6" w:after="6" w:line="288" w:lineRule="auto"/>
        <w:jc w:val="both"/>
        <w:rPr>
          <w:b/>
          <w:bCs/>
        </w:rPr>
      </w:pPr>
      <w:r w:rsidRPr="000D016D">
        <w:rPr>
          <w:b/>
          <w:bCs/>
        </w:rPr>
        <w:t>który wszedł w życie 5 września 2019 r.</w:t>
      </w:r>
    </w:p>
    <w:p w14:paraId="793423C5" w14:textId="77777777" w:rsidR="005200EF" w:rsidRPr="000D016D" w:rsidRDefault="005200EF" w:rsidP="00DB6E01">
      <w:pPr>
        <w:spacing w:before="6" w:after="6" w:line="288" w:lineRule="auto"/>
        <w:jc w:val="both"/>
        <w:rPr>
          <w:b/>
          <w:bCs/>
        </w:rPr>
      </w:pPr>
    </w:p>
    <w:p w14:paraId="604D253D" w14:textId="77777777" w:rsidR="000D016D" w:rsidRPr="000D016D" w:rsidRDefault="000D016D" w:rsidP="00407948">
      <w:pPr>
        <w:spacing w:before="6" w:after="6" w:line="288" w:lineRule="auto"/>
      </w:pPr>
      <w:r w:rsidRPr="000D016D">
        <w:t>Zmiany wprowadzone w ustawie o PPK tą ustawą wskazano w tabeli:</w:t>
      </w:r>
    </w:p>
    <w:tbl>
      <w:tblPr>
        <w:tblStyle w:val="Tabela-Siatka"/>
        <w:tblW w:w="0" w:type="auto"/>
        <w:tblLook w:val="04A0" w:firstRow="1" w:lastRow="0" w:firstColumn="1" w:lastColumn="0" w:noHBand="0" w:noVBand="1"/>
      </w:tblPr>
      <w:tblGrid>
        <w:gridCol w:w="4531"/>
        <w:gridCol w:w="4531"/>
      </w:tblGrid>
      <w:tr w:rsidR="000D016D" w:rsidRPr="000D016D" w14:paraId="44345DAB" w14:textId="77777777" w:rsidTr="008D737D">
        <w:tc>
          <w:tcPr>
            <w:tcW w:w="4531" w:type="dxa"/>
          </w:tcPr>
          <w:p w14:paraId="0A9A8BED" w14:textId="77777777" w:rsidR="000D016D" w:rsidRPr="000D016D" w:rsidRDefault="000D016D" w:rsidP="00407948">
            <w:pPr>
              <w:spacing w:before="6" w:after="6" w:line="288" w:lineRule="auto"/>
              <w:rPr>
                <w:b/>
                <w:bCs/>
              </w:rPr>
            </w:pPr>
            <w:r w:rsidRPr="000D016D">
              <w:rPr>
                <w:b/>
                <w:bCs/>
              </w:rPr>
              <w:t>Przepisy ustawy o PPK</w:t>
            </w:r>
          </w:p>
        </w:tc>
        <w:tc>
          <w:tcPr>
            <w:tcW w:w="4531" w:type="dxa"/>
          </w:tcPr>
          <w:p w14:paraId="65F6B2C0" w14:textId="77777777" w:rsidR="000D016D" w:rsidRPr="000D016D" w:rsidRDefault="000D016D" w:rsidP="00407948">
            <w:pPr>
              <w:spacing w:before="6" w:after="6" w:line="288" w:lineRule="auto"/>
              <w:rPr>
                <w:b/>
                <w:bCs/>
              </w:rPr>
            </w:pPr>
            <w:r w:rsidRPr="000D016D">
              <w:rPr>
                <w:b/>
                <w:bCs/>
              </w:rPr>
              <w:t>Opis zmian</w:t>
            </w:r>
          </w:p>
        </w:tc>
      </w:tr>
      <w:tr w:rsidR="000D016D" w:rsidRPr="000D016D" w14:paraId="0E7F04BA" w14:textId="77777777" w:rsidTr="008D737D">
        <w:tc>
          <w:tcPr>
            <w:tcW w:w="4531" w:type="dxa"/>
          </w:tcPr>
          <w:p w14:paraId="27FA54DF" w14:textId="77777777" w:rsidR="000D016D" w:rsidRPr="000D016D" w:rsidRDefault="000D016D" w:rsidP="00407948">
            <w:pPr>
              <w:spacing w:before="6" w:after="6" w:line="288" w:lineRule="auto"/>
            </w:pPr>
            <w:r w:rsidRPr="000D016D">
              <w:t xml:space="preserve">zmiany w art. 135 ust. 2 i 3 </w:t>
            </w:r>
          </w:p>
          <w:p w14:paraId="4996AA21" w14:textId="77777777" w:rsidR="000D016D" w:rsidRPr="000D016D" w:rsidRDefault="000D016D" w:rsidP="00407948">
            <w:pPr>
              <w:spacing w:before="6" w:after="6" w:line="288" w:lineRule="auto"/>
            </w:pPr>
          </w:p>
        </w:tc>
        <w:tc>
          <w:tcPr>
            <w:tcW w:w="4531" w:type="dxa"/>
          </w:tcPr>
          <w:p w14:paraId="340999E4" w14:textId="79B57175" w:rsidR="000D016D" w:rsidRPr="000D016D" w:rsidRDefault="000D016D" w:rsidP="00407948">
            <w:pPr>
              <w:spacing w:before="6" w:after="6" w:line="288" w:lineRule="auto"/>
            </w:pPr>
            <w:r w:rsidRPr="000D016D">
              <w:t xml:space="preserve">Wprowadzono zmiany dot. </w:t>
            </w:r>
            <w:r w:rsidR="005D4A6C">
              <w:t>s</w:t>
            </w:r>
            <w:r w:rsidRPr="000D016D">
              <w:t>ytuacji</w:t>
            </w:r>
            <w:r w:rsidR="005D4A6C">
              <w:t>,</w:t>
            </w:r>
            <w:r w:rsidRPr="000D016D">
              <w:t xml:space="preserve"> gdy zawarcie umowy o prowadzenie PPK przez podmiot zatrudniający, który w dniu wejścia w życie ustawy o PPK uczestniczył w wykonaniu zamówienia publicznego udzielonego w postępowaniu o udzielenie zamówienia w rozumieniu ustawy z 29 stycznia 2004 r. </w:t>
            </w:r>
            <w:r w:rsidR="005C27C1">
              <w:t>–</w:t>
            </w:r>
            <w:r w:rsidRPr="000D016D">
              <w:t xml:space="preserve"> Prawo zamówień publicznych, wszczętym i zakończonym przed dniem wejścia w życie ustawy o PPK, wpłynęło na koszty realizacji tego zamówienia.</w:t>
            </w:r>
          </w:p>
          <w:p w14:paraId="6F619ADD" w14:textId="77777777" w:rsidR="000D016D" w:rsidRPr="000D016D" w:rsidRDefault="000D016D" w:rsidP="00407948">
            <w:pPr>
              <w:spacing w:before="6" w:after="6" w:line="288" w:lineRule="auto"/>
            </w:pPr>
          </w:p>
        </w:tc>
      </w:tr>
    </w:tbl>
    <w:p w14:paraId="39E51189" w14:textId="77777777" w:rsidR="000D016D" w:rsidRPr="000D016D" w:rsidRDefault="000D016D" w:rsidP="00407948">
      <w:pPr>
        <w:spacing w:before="6" w:after="6" w:line="288" w:lineRule="auto"/>
      </w:pPr>
    </w:p>
    <w:p w14:paraId="2D50D9FD" w14:textId="289AFF1B" w:rsidR="006E5AC6" w:rsidRPr="00B51E48" w:rsidRDefault="000D016D" w:rsidP="00B51E48">
      <w:pPr>
        <w:numPr>
          <w:ilvl w:val="0"/>
          <w:numId w:val="10"/>
        </w:numPr>
        <w:spacing w:before="6" w:after="6" w:line="288" w:lineRule="auto"/>
        <w:jc w:val="both"/>
        <w:rPr>
          <w:b/>
          <w:bCs/>
        </w:rPr>
      </w:pPr>
      <w:r w:rsidRPr="000D016D">
        <w:rPr>
          <w:b/>
          <w:bCs/>
        </w:rPr>
        <w:t>art. 54 ustawy z 31 marca 2020 r. o zmianie ustawy o szczególnych rozwiązaniach związanych z zapobieganiem, przeciwdziałaniem i zwalczaniem Covid-19, innych chorób zakaźnych oraz</w:t>
      </w:r>
      <w:r w:rsidR="003D6725">
        <w:rPr>
          <w:b/>
          <w:bCs/>
        </w:rPr>
        <w:t> </w:t>
      </w:r>
      <w:r w:rsidRPr="000D016D">
        <w:rPr>
          <w:b/>
          <w:bCs/>
        </w:rPr>
        <w:t>wywołanych nimi sytuacji kryzysowych oraz niektórych innych ustaw (Dz.U z 2020 r. poz.</w:t>
      </w:r>
      <w:r w:rsidR="003D6725">
        <w:rPr>
          <w:b/>
          <w:bCs/>
        </w:rPr>
        <w:t> </w:t>
      </w:r>
      <w:r w:rsidRPr="000D016D">
        <w:rPr>
          <w:b/>
          <w:bCs/>
        </w:rPr>
        <w:t>568), który wszedł w życie 31 marca 2020 r</w:t>
      </w:r>
      <w:r w:rsidR="00E1605D">
        <w:rPr>
          <w:b/>
          <w:bCs/>
        </w:rPr>
        <w:t xml:space="preserve">. </w:t>
      </w:r>
    </w:p>
    <w:p w14:paraId="36117CFD" w14:textId="165E09A1" w:rsidR="00264ABB" w:rsidRPr="000D016D" w:rsidRDefault="00B51E48" w:rsidP="00B51E48">
      <w:pPr>
        <w:rPr>
          <w:b/>
          <w:bCs/>
        </w:rPr>
      </w:pPr>
      <w:r>
        <w:rPr>
          <w:b/>
          <w:bCs/>
        </w:rPr>
        <w:br w:type="page"/>
      </w:r>
    </w:p>
    <w:p w14:paraId="11C79B3A" w14:textId="53B15ED9" w:rsidR="000D016D" w:rsidRPr="000D016D" w:rsidRDefault="000D016D" w:rsidP="00407948">
      <w:pPr>
        <w:spacing w:before="6" w:after="6" w:line="288" w:lineRule="auto"/>
      </w:pPr>
      <w:r w:rsidRPr="000D016D">
        <w:lastRenderedPageBreak/>
        <w:t xml:space="preserve">Zmiany wprowadzone w ustawie o </w:t>
      </w:r>
      <w:r w:rsidR="00264ABB">
        <w:t>PPK tą ustawą wskazano w tabeli.</w:t>
      </w:r>
    </w:p>
    <w:tbl>
      <w:tblPr>
        <w:tblStyle w:val="Tabela-Siatka"/>
        <w:tblW w:w="0" w:type="auto"/>
        <w:tblInd w:w="-5" w:type="dxa"/>
        <w:tblLook w:val="04A0" w:firstRow="1" w:lastRow="0" w:firstColumn="1" w:lastColumn="0" w:noHBand="0" w:noVBand="1"/>
      </w:tblPr>
      <w:tblGrid>
        <w:gridCol w:w="4536"/>
        <w:gridCol w:w="4531"/>
      </w:tblGrid>
      <w:tr w:rsidR="000D016D" w:rsidRPr="000D016D" w14:paraId="717F8E0A" w14:textId="77777777" w:rsidTr="00801272">
        <w:tc>
          <w:tcPr>
            <w:tcW w:w="4536" w:type="dxa"/>
          </w:tcPr>
          <w:p w14:paraId="319AAB28" w14:textId="77777777" w:rsidR="000D016D" w:rsidRPr="000D016D" w:rsidRDefault="000D016D" w:rsidP="00407948">
            <w:pPr>
              <w:spacing w:before="6" w:after="6" w:line="288" w:lineRule="auto"/>
              <w:rPr>
                <w:b/>
                <w:bCs/>
              </w:rPr>
            </w:pPr>
            <w:r w:rsidRPr="000D016D">
              <w:rPr>
                <w:b/>
                <w:bCs/>
              </w:rPr>
              <w:t>Przepis ustawy o PPK</w:t>
            </w:r>
          </w:p>
        </w:tc>
        <w:tc>
          <w:tcPr>
            <w:tcW w:w="4531" w:type="dxa"/>
          </w:tcPr>
          <w:p w14:paraId="15A4E205" w14:textId="77777777" w:rsidR="000D016D" w:rsidRPr="000D016D" w:rsidRDefault="000D016D" w:rsidP="00407948">
            <w:pPr>
              <w:spacing w:before="6" w:after="6" w:line="288" w:lineRule="auto"/>
              <w:rPr>
                <w:b/>
                <w:bCs/>
              </w:rPr>
            </w:pPr>
            <w:r w:rsidRPr="000D016D">
              <w:rPr>
                <w:b/>
                <w:bCs/>
              </w:rPr>
              <w:t>Opis zmian</w:t>
            </w:r>
          </w:p>
        </w:tc>
      </w:tr>
      <w:tr w:rsidR="000D016D" w:rsidRPr="000D016D" w14:paraId="4DD9B818" w14:textId="77777777" w:rsidTr="00801272">
        <w:tc>
          <w:tcPr>
            <w:tcW w:w="4536" w:type="dxa"/>
          </w:tcPr>
          <w:p w14:paraId="457906A0" w14:textId="77777777" w:rsidR="000D016D" w:rsidRPr="000D016D" w:rsidRDefault="000D016D" w:rsidP="00407948">
            <w:pPr>
              <w:spacing w:before="6" w:after="6" w:line="288" w:lineRule="auto"/>
            </w:pPr>
            <w:r w:rsidRPr="000D016D">
              <w:t>zmiany w art. 134 ust. 2</w:t>
            </w:r>
          </w:p>
        </w:tc>
        <w:tc>
          <w:tcPr>
            <w:tcW w:w="4531" w:type="dxa"/>
          </w:tcPr>
          <w:p w14:paraId="4EFFFEAB" w14:textId="40CE8393" w:rsidR="000D016D" w:rsidRPr="000D016D" w:rsidRDefault="000D016D" w:rsidP="005C27C1">
            <w:pPr>
              <w:spacing w:before="6" w:after="6" w:line="288" w:lineRule="auto"/>
            </w:pPr>
            <w:r w:rsidRPr="000D016D">
              <w:t>Ujednolicon</w:t>
            </w:r>
            <w:r w:rsidR="00320FCA">
              <w:t>o</w:t>
            </w:r>
            <w:r w:rsidRPr="000D016D">
              <w:t xml:space="preserve"> terminy na wdrożenie PPK przez podmioty zatrudniające z II i III fazy wdrożenia tego programu. Spowodowało to, że podmioty zatrudniające z obu tych faz miały czas na zawarcie umowy o zarządzanie PPK do 27 października 2020 r., a na zawarcie umów o prowadzenie PPK </w:t>
            </w:r>
            <w:r w:rsidR="005C27C1">
              <w:t>–</w:t>
            </w:r>
            <w:r w:rsidRPr="000D016D">
              <w:t xml:space="preserve"> do 10 listopada 2020 r.</w:t>
            </w:r>
          </w:p>
        </w:tc>
      </w:tr>
    </w:tbl>
    <w:p w14:paraId="34783F9F" w14:textId="77777777" w:rsidR="000D016D" w:rsidRPr="000D016D" w:rsidRDefault="000D016D" w:rsidP="00E65DEF">
      <w:pPr>
        <w:spacing w:before="6" w:after="6" w:line="288" w:lineRule="auto"/>
      </w:pPr>
    </w:p>
    <w:p w14:paraId="042D7482" w14:textId="722A1330" w:rsidR="000D016D" w:rsidRDefault="000D016D" w:rsidP="00DB6E01">
      <w:pPr>
        <w:numPr>
          <w:ilvl w:val="0"/>
          <w:numId w:val="10"/>
        </w:numPr>
        <w:spacing w:before="6" w:after="6" w:line="288" w:lineRule="auto"/>
        <w:jc w:val="both"/>
        <w:rPr>
          <w:b/>
          <w:bCs/>
        </w:rPr>
      </w:pPr>
      <w:r w:rsidRPr="000D016D">
        <w:rPr>
          <w:b/>
          <w:bCs/>
        </w:rPr>
        <w:t>art. 70 ustawy z 19 czerwca 2020 r. o dopłatach do oprocentowania kredytów bankowych udzielanych przedsiębiorcom dotkniętym skutkami Covid-19 oraz o uproszczonym postępowaniu o zatwierdzenie układu w związku z wystąpieniem Covid-19 (Dz.</w:t>
      </w:r>
      <w:r w:rsidR="00C12F49">
        <w:rPr>
          <w:b/>
          <w:bCs/>
        </w:rPr>
        <w:t xml:space="preserve"> </w:t>
      </w:r>
      <w:r w:rsidRPr="000D016D">
        <w:rPr>
          <w:b/>
          <w:bCs/>
        </w:rPr>
        <w:t xml:space="preserve">U. z 2020 r. poz. 1086) </w:t>
      </w:r>
      <w:r w:rsidR="005C27C1">
        <w:rPr>
          <w:b/>
          <w:bCs/>
        </w:rPr>
        <w:t>–</w:t>
      </w:r>
      <w:r w:rsidR="0094094F">
        <w:rPr>
          <w:b/>
          <w:bCs/>
        </w:rPr>
        <w:t xml:space="preserve"> </w:t>
      </w:r>
      <w:r w:rsidRPr="000D016D">
        <w:rPr>
          <w:b/>
          <w:bCs/>
        </w:rPr>
        <w:t>art. 70 pkt 1 wszedł w życie 1 stycznia 2021 r., a art. 70 pkt 2 i 3 wes</w:t>
      </w:r>
      <w:r w:rsidR="00E1605D">
        <w:rPr>
          <w:b/>
          <w:bCs/>
        </w:rPr>
        <w:t xml:space="preserve">zły w życie 24 czerwca 2020 r. </w:t>
      </w:r>
    </w:p>
    <w:p w14:paraId="5EDB461D" w14:textId="77777777" w:rsidR="00873CE5" w:rsidRPr="000D016D" w:rsidRDefault="00873CE5" w:rsidP="00E63858">
      <w:pPr>
        <w:spacing w:before="6" w:after="6" w:line="288" w:lineRule="auto"/>
        <w:ind w:left="720"/>
        <w:jc w:val="both"/>
        <w:rPr>
          <w:b/>
          <w:bCs/>
        </w:rPr>
      </w:pPr>
    </w:p>
    <w:p w14:paraId="1D1DAACB" w14:textId="5FB3682E" w:rsidR="000D016D" w:rsidRPr="000D016D" w:rsidRDefault="000D016D" w:rsidP="00E65DEF">
      <w:pPr>
        <w:spacing w:before="6" w:after="6" w:line="288" w:lineRule="auto"/>
      </w:pPr>
      <w:r w:rsidRPr="000D016D">
        <w:t>Zmiany wprowadzone w ustawie o PPK t</w:t>
      </w:r>
      <w:r w:rsidR="00264ABB">
        <w:t>ą ustawą przedstawiono w tabeli.</w:t>
      </w:r>
    </w:p>
    <w:tbl>
      <w:tblPr>
        <w:tblStyle w:val="Tabela-Siatka"/>
        <w:tblW w:w="0" w:type="auto"/>
        <w:tblInd w:w="-5" w:type="dxa"/>
        <w:tblLook w:val="04A0" w:firstRow="1" w:lastRow="0" w:firstColumn="1" w:lastColumn="0" w:noHBand="0" w:noVBand="1"/>
      </w:tblPr>
      <w:tblGrid>
        <w:gridCol w:w="567"/>
        <w:gridCol w:w="3969"/>
        <w:gridCol w:w="4531"/>
      </w:tblGrid>
      <w:tr w:rsidR="000D016D" w:rsidRPr="000D016D" w14:paraId="069BE9AA" w14:textId="77777777" w:rsidTr="005821DA">
        <w:tc>
          <w:tcPr>
            <w:tcW w:w="4536" w:type="dxa"/>
            <w:gridSpan w:val="2"/>
          </w:tcPr>
          <w:p w14:paraId="162DE293" w14:textId="77777777" w:rsidR="000D016D" w:rsidRPr="000D016D" w:rsidRDefault="000D016D" w:rsidP="00E65DEF">
            <w:pPr>
              <w:spacing w:before="6" w:after="6" w:line="288" w:lineRule="auto"/>
              <w:rPr>
                <w:b/>
                <w:bCs/>
              </w:rPr>
            </w:pPr>
            <w:r w:rsidRPr="000D016D">
              <w:rPr>
                <w:b/>
                <w:bCs/>
              </w:rPr>
              <w:t>Przepisy ustawy o PPK</w:t>
            </w:r>
          </w:p>
        </w:tc>
        <w:tc>
          <w:tcPr>
            <w:tcW w:w="4531" w:type="dxa"/>
          </w:tcPr>
          <w:p w14:paraId="7959D70C" w14:textId="77777777" w:rsidR="000D016D" w:rsidRPr="000D016D" w:rsidRDefault="000D016D" w:rsidP="00E65DEF">
            <w:pPr>
              <w:spacing w:before="6" w:after="6" w:line="288" w:lineRule="auto"/>
              <w:rPr>
                <w:b/>
                <w:bCs/>
              </w:rPr>
            </w:pPr>
            <w:r w:rsidRPr="000D016D">
              <w:rPr>
                <w:b/>
                <w:bCs/>
              </w:rPr>
              <w:t>Opis zmian</w:t>
            </w:r>
          </w:p>
        </w:tc>
      </w:tr>
      <w:tr w:rsidR="000D016D" w:rsidRPr="000D016D" w14:paraId="36AB29CC" w14:textId="77777777" w:rsidTr="005821DA">
        <w:tc>
          <w:tcPr>
            <w:tcW w:w="567" w:type="dxa"/>
          </w:tcPr>
          <w:p w14:paraId="265FCD71" w14:textId="77777777" w:rsidR="000D016D" w:rsidRPr="000D016D" w:rsidRDefault="000D016D" w:rsidP="00E65DEF">
            <w:pPr>
              <w:spacing w:before="6" w:after="6" w:line="288" w:lineRule="auto"/>
            </w:pPr>
            <w:r w:rsidRPr="000D016D">
              <w:t>1.</w:t>
            </w:r>
          </w:p>
        </w:tc>
        <w:tc>
          <w:tcPr>
            <w:tcW w:w="3969" w:type="dxa"/>
          </w:tcPr>
          <w:p w14:paraId="445921BF" w14:textId="77777777" w:rsidR="000D016D" w:rsidRPr="000D016D" w:rsidRDefault="000D016D" w:rsidP="00E65DEF">
            <w:pPr>
              <w:spacing w:before="6" w:after="6" w:line="288" w:lineRule="auto"/>
            </w:pPr>
            <w:r w:rsidRPr="000D016D">
              <w:t xml:space="preserve">w art. 7 dodano ust. 2a – zmiana weszła w życie 1 stycznia 2021 r. </w:t>
            </w:r>
          </w:p>
        </w:tc>
        <w:tc>
          <w:tcPr>
            <w:tcW w:w="4531" w:type="dxa"/>
          </w:tcPr>
          <w:p w14:paraId="2A7070FB" w14:textId="77777777" w:rsidR="000D016D" w:rsidRPr="000D016D" w:rsidRDefault="000D016D" w:rsidP="00E65DEF">
            <w:pPr>
              <w:spacing w:before="6" w:after="6" w:line="288" w:lineRule="auto"/>
            </w:pPr>
            <w:r w:rsidRPr="000D016D">
              <w:t xml:space="preserve">Przyjęto, że do umów o zarządzanie PPK nie stosuje się przepisów ustawy z 11 września 2019 r. ‒ Prawo zamówień publicznych, jeżeli wartość zamówienia jest mniejsza niż progi unijne, o których mowa w art. 3 ust. 1 tej ustawy. </w:t>
            </w:r>
          </w:p>
        </w:tc>
      </w:tr>
      <w:tr w:rsidR="000D016D" w:rsidRPr="000D016D" w14:paraId="2D532919" w14:textId="77777777" w:rsidTr="005821DA">
        <w:tc>
          <w:tcPr>
            <w:tcW w:w="567" w:type="dxa"/>
          </w:tcPr>
          <w:p w14:paraId="5F6F3E11" w14:textId="77777777" w:rsidR="000D016D" w:rsidRPr="000D016D" w:rsidRDefault="000D016D" w:rsidP="00E65DEF">
            <w:pPr>
              <w:spacing w:before="6" w:after="6" w:line="288" w:lineRule="auto"/>
            </w:pPr>
            <w:r w:rsidRPr="000D016D">
              <w:t>2.</w:t>
            </w:r>
          </w:p>
        </w:tc>
        <w:tc>
          <w:tcPr>
            <w:tcW w:w="3969" w:type="dxa"/>
          </w:tcPr>
          <w:p w14:paraId="49ACEC8A" w14:textId="77777777" w:rsidR="000D016D" w:rsidRPr="000D016D" w:rsidRDefault="000D016D" w:rsidP="00E65DEF">
            <w:pPr>
              <w:spacing w:before="6" w:after="6" w:line="288" w:lineRule="auto"/>
            </w:pPr>
            <w:r w:rsidRPr="00DA2D05">
              <w:t>w art. 7 dodano ust. 4a oraz zmieniono ust. 5 – zmiany weszły w życie 24 czerwca 2020 r.</w:t>
            </w:r>
          </w:p>
        </w:tc>
        <w:tc>
          <w:tcPr>
            <w:tcW w:w="4531" w:type="dxa"/>
          </w:tcPr>
          <w:p w14:paraId="09FB4639" w14:textId="77777777" w:rsidR="000D016D" w:rsidRPr="000D016D" w:rsidRDefault="000D016D" w:rsidP="00E65DEF">
            <w:pPr>
              <w:spacing w:before="6" w:after="6" w:line="288" w:lineRule="auto"/>
            </w:pPr>
            <w:r w:rsidRPr="000D016D">
              <w:t xml:space="preserve">Wprowadzone zmiany umożliwiły wójtowi (burmistrzowi, prezydentowi miasta), zarządowi powiatu albo zarządowi województwa dokonanie wyboru instytucji finansowej zarządzającej PPK, w imieniu podmiotów zatrudniających, będących jednostkami organizacyjnymi danej jednostki samorządu terytorialnego. </w:t>
            </w:r>
          </w:p>
          <w:p w14:paraId="07C1B541" w14:textId="77777777" w:rsidR="000D016D" w:rsidRPr="000D016D" w:rsidRDefault="000D016D" w:rsidP="00E65DEF">
            <w:pPr>
              <w:spacing w:before="6" w:after="6" w:line="288" w:lineRule="auto"/>
            </w:pPr>
            <w:r w:rsidRPr="000D016D">
              <w:t xml:space="preserve">Również w sytuacji, gdy instytucję finansową wybiera, w imieniu tych jednostek, wójt (burmistrz, prezydent miasta), zarząd powiatu albo zarząd województwa, zastrzeżono udział tzw. strony społecznej (takiego wspólnego wyboru dokonuje się, co do zasady, w porozumieniu z przedstawicielami organizacji związkowych działających w jednostkach organizacyjnych objętych wyborem albo – w razie braku organizacji związkowych – z </w:t>
            </w:r>
            <w:r w:rsidRPr="000D016D">
              <w:lastRenderedPageBreak/>
              <w:t>przedstawicielami reprezentacji osób zatrudnionych).</w:t>
            </w:r>
          </w:p>
        </w:tc>
      </w:tr>
    </w:tbl>
    <w:p w14:paraId="6A5C7D8B" w14:textId="77777777" w:rsidR="000D016D" w:rsidRPr="000D016D" w:rsidRDefault="000D016D" w:rsidP="00E65DEF">
      <w:pPr>
        <w:spacing w:before="6" w:after="6" w:line="288" w:lineRule="auto"/>
      </w:pPr>
    </w:p>
    <w:p w14:paraId="7949390D" w14:textId="051F1356" w:rsidR="00F61183" w:rsidRPr="00F61183" w:rsidRDefault="000D016D" w:rsidP="00B51E48">
      <w:pPr>
        <w:pStyle w:val="Akapitzlist"/>
        <w:numPr>
          <w:ilvl w:val="0"/>
          <w:numId w:val="10"/>
        </w:numPr>
        <w:spacing w:before="6" w:after="6" w:line="288" w:lineRule="auto"/>
        <w:jc w:val="both"/>
      </w:pPr>
      <w:r w:rsidRPr="000D016D">
        <w:rPr>
          <w:b/>
          <w:bCs/>
        </w:rPr>
        <w:t>art. 125 ustawy z 28 kwietnia 2022 r. o zasadach realizacji zadań finansowanych ze środków europejskich w perspektywie finansowej 2021</w:t>
      </w:r>
      <w:r w:rsidR="005C27C1">
        <w:rPr>
          <w:b/>
          <w:bCs/>
        </w:rPr>
        <w:t>–</w:t>
      </w:r>
      <w:r w:rsidRPr="000D016D">
        <w:rPr>
          <w:b/>
          <w:bCs/>
        </w:rPr>
        <w:t>2027 (Dz.</w:t>
      </w:r>
      <w:r w:rsidR="00C12F49">
        <w:rPr>
          <w:b/>
          <w:bCs/>
        </w:rPr>
        <w:t xml:space="preserve"> </w:t>
      </w:r>
      <w:r w:rsidRPr="000D016D">
        <w:rPr>
          <w:b/>
          <w:bCs/>
        </w:rPr>
        <w:t xml:space="preserve">U. z 2022 r. poz. 1079) </w:t>
      </w:r>
      <w:r w:rsidR="005C27C1">
        <w:rPr>
          <w:b/>
          <w:bCs/>
        </w:rPr>
        <w:t>–</w:t>
      </w:r>
      <w:r w:rsidR="00947347">
        <w:rPr>
          <w:b/>
          <w:bCs/>
        </w:rPr>
        <w:t xml:space="preserve"> </w:t>
      </w:r>
      <w:r w:rsidRPr="00E436C2" w:rsidDel="00F61183">
        <w:rPr>
          <w:b/>
        </w:rPr>
        <w:t>w</w:t>
      </w:r>
      <w:r w:rsidRPr="00E436C2">
        <w:rPr>
          <w:b/>
        </w:rPr>
        <w:t>iększość zmian w ustawie o PPK weszła w życie 4 czerwca 2022 r.</w:t>
      </w:r>
      <w:r w:rsidR="00EA462F" w:rsidRPr="00E436C2">
        <w:rPr>
          <w:b/>
        </w:rPr>
        <w:t>,</w:t>
      </w:r>
      <w:r w:rsidRPr="00E436C2">
        <w:rPr>
          <w:b/>
        </w:rPr>
        <w:t xml:space="preserve"> </w:t>
      </w:r>
      <w:r w:rsidR="00FC75C6" w:rsidRPr="00E436C2">
        <w:rPr>
          <w:b/>
        </w:rPr>
        <w:t>natomiast</w:t>
      </w:r>
      <w:r w:rsidR="00D1611F" w:rsidRPr="00E436C2">
        <w:rPr>
          <w:b/>
        </w:rPr>
        <w:t>:</w:t>
      </w:r>
      <w:r w:rsidR="00F61183" w:rsidRPr="00247158">
        <w:rPr>
          <w:b/>
        </w:rPr>
        <w:t xml:space="preserve"> </w:t>
      </w:r>
    </w:p>
    <w:p w14:paraId="091E95B9" w14:textId="77777777" w:rsidR="00B666EE" w:rsidRPr="00E436C2" w:rsidRDefault="000D016D" w:rsidP="00B51E48">
      <w:pPr>
        <w:pStyle w:val="Bezodstpw"/>
        <w:numPr>
          <w:ilvl w:val="0"/>
          <w:numId w:val="28"/>
        </w:numPr>
        <w:spacing w:before="6" w:after="6" w:line="288" w:lineRule="auto"/>
        <w:jc w:val="both"/>
        <w:rPr>
          <w:b/>
        </w:rPr>
      </w:pPr>
      <w:r w:rsidRPr="00E436C2">
        <w:rPr>
          <w:b/>
        </w:rPr>
        <w:t>art. 125 pkt 11 lit. b i pkt 13 weszły w życie 21 maja 2022 r., z mocą od dnia 1 lipca 2019 r</w:t>
      </w:r>
      <w:r w:rsidRPr="00247158">
        <w:rPr>
          <w:b/>
        </w:rPr>
        <w:t>.</w:t>
      </w:r>
      <w:r w:rsidR="004870AD" w:rsidRPr="00247158">
        <w:rPr>
          <w:b/>
        </w:rPr>
        <w:t>,</w:t>
      </w:r>
      <w:r w:rsidRPr="00E436C2">
        <w:rPr>
          <w:b/>
        </w:rPr>
        <w:t xml:space="preserve"> </w:t>
      </w:r>
    </w:p>
    <w:p w14:paraId="75628031" w14:textId="2BEAC571" w:rsidR="000D016D" w:rsidRPr="00E436C2" w:rsidRDefault="000D016D" w:rsidP="00B51E48">
      <w:pPr>
        <w:pStyle w:val="Bezodstpw"/>
        <w:numPr>
          <w:ilvl w:val="0"/>
          <w:numId w:val="28"/>
        </w:numPr>
        <w:spacing w:before="6" w:after="6" w:line="288" w:lineRule="auto"/>
        <w:jc w:val="both"/>
        <w:rPr>
          <w:b/>
        </w:rPr>
      </w:pPr>
      <w:r w:rsidRPr="00E436C2">
        <w:rPr>
          <w:b/>
        </w:rPr>
        <w:t>art. 125 pkt 12 w</w:t>
      </w:r>
      <w:r w:rsidR="00B659DC">
        <w:rPr>
          <w:b/>
        </w:rPr>
        <w:t>szedł</w:t>
      </w:r>
      <w:r w:rsidRPr="00E436C2">
        <w:rPr>
          <w:b/>
        </w:rPr>
        <w:t xml:space="preserve"> w życie 21 listopada 2022 r., z mocą od dnia 1 lipca 2019 r</w:t>
      </w:r>
      <w:r w:rsidRPr="00247158">
        <w:rPr>
          <w:b/>
        </w:rPr>
        <w:t>.</w:t>
      </w:r>
      <w:r w:rsidR="004870AD" w:rsidRPr="00247158">
        <w:rPr>
          <w:b/>
        </w:rPr>
        <w:t>,</w:t>
      </w:r>
      <w:r w:rsidRPr="00E436C2">
        <w:rPr>
          <w:b/>
        </w:rPr>
        <w:t xml:space="preserve"> </w:t>
      </w:r>
    </w:p>
    <w:p w14:paraId="5EDCDB86" w14:textId="68A55CCF" w:rsidR="000D016D" w:rsidRPr="00E436C2" w:rsidRDefault="000D016D" w:rsidP="00B51E48">
      <w:pPr>
        <w:pStyle w:val="Bezodstpw"/>
        <w:numPr>
          <w:ilvl w:val="0"/>
          <w:numId w:val="28"/>
        </w:numPr>
        <w:spacing w:before="6" w:after="6" w:line="288" w:lineRule="auto"/>
        <w:jc w:val="both"/>
        <w:rPr>
          <w:b/>
        </w:rPr>
      </w:pPr>
      <w:r w:rsidRPr="00E436C2">
        <w:rPr>
          <w:b/>
        </w:rPr>
        <w:t>art. 125 pkt 10, 17, 18 i 20 w</w:t>
      </w:r>
      <w:r w:rsidR="00B659DC">
        <w:rPr>
          <w:b/>
        </w:rPr>
        <w:t>eszły</w:t>
      </w:r>
      <w:r w:rsidRPr="00E436C2">
        <w:rPr>
          <w:b/>
        </w:rPr>
        <w:t xml:space="preserve"> w życie 21 listopada 2022 r.</w:t>
      </w:r>
    </w:p>
    <w:p w14:paraId="59DE8A1B" w14:textId="77777777" w:rsidR="000D016D" w:rsidRPr="000D016D" w:rsidRDefault="000D016D" w:rsidP="00B51E48">
      <w:pPr>
        <w:spacing w:before="6" w:after="6" w:line="288" w:lineRule="auto"/>
        <w:jc w:val="both"/>
        <w:rPr>
          <w:u w:val="single"/>
        </w:rPr>
      </w:pPr>
    </w:p>
    <w:p w14:paraId="49651343" w14:textId="190C1A26" w:rsidR="000D016D" w:rsidRPr="000D016D" w:rsidRDefault="000D016D" w:rsidP="00E65DEF">
      <w:pPr>
        <w:spacing w:before="6" w:after="6" w:line="288" w:lineRule="auto"/>
      </w:pPr>
      <w:r w:rsidRPr="000D016D">
        <w:t>Najważniejsze zmiany wprowadzone w ustawie o PPK t</w:t>
      </w:r>
      <w:r w:rsidR="002A1800">
        <w:t>ą ustawą przedstawiono w tabeli.</w:t>
      </w:r>
    </w:p>
    <w:tbl>
      <w:tblPr>
        <w:tblStyle w:val="Tabela-Siatka"/>
        <w:tblW w:w="9214" w:type="dxa"/>
        <w:tblInd w:w="-5" w:type="dxa"/>
        <w:tblLook w:val="04A0" w:firstRow="1" w:lastRow="0" w:firstColumn="1" w:lastColumn="0" w:noHBand="0" w:noVBand="1"/>
      </w:tblPr>
      <w:tblGrid>
        <w:gridCol w:w="567"/>
        <w:gridCol w:w="3828"/>
        <w:gridCol w:w="4819"/>
      </w:tblGrid>
      <w:tr w:rsidR="000D016D" w:rsidRPr="000D016D" w14:paraId="4826A145" w14:textId="77777777" w:rsidTr="005821DA">
        <w:tc>
          <w:tcPr>
            <w:tcW w:w="4395" w:type="dxa"/>
            <w:gridSpan w:val="2"/>
          </w:tcPr>
          <w:p w14:paraId="45A0C8EE" w14:textId="77777777" w:rsidR="000D016D" w:rsidRPr="000D016D" w:rsidRDefault="000D016D" w:rsidP="00E65DEF">
            <w:pPr>
              <w:spacing w:before="6" w:after="6" w:line="288" w:lineRule="auto"/>
              <w:rPr>
                <w:b/>
                <w:bCs/>
              </w:rPr>
            </w:pPr>
            <w:r w:rsidRPr="000D016D">
              <w:rPr>
                <w:b/>
                <w:bCs/>
              </w:rPr>
              <w:t xml:space="preserve">Przepisy ustawy o PPK </w:t>
            </w:r>
          </w:p>
        </w:tc>
        <w:tc>
          <w:tcPr>
            <w:tcW w:w="4819" w:type="dxa"/>
          </w:tcPr>
          <w:p w14:paraId="44493943" w14:textId="77777777" w:rsidR="000D016D" w:rsidRPr="000D016D" w:rsidRDefault="000D016D" w:rsidP="00E65DEF">
            <w:pPr>
              <w:spacing w:before="6" w:after="6" w:line="288" w:lineRule="auto"/>
              <w:rPr>
                <w:b/>
                <w:bCs/>
              </w:rPr>
            </w:pPr>
            <w:r w:rsidRPr="000D016D">
              <w:rPr>
                <w:b/>
                <w:bCs/>
              </w:rPr>
              <w:t xml:space="preserve">Opis zmian </w:t>
            </w:r>
          </w:p>
        </w:tc>
      </w:tr>
      <w:tr w:rsidR="000D016D" w:rsidRPr="000D016D" w14:paraId="3040742F" w14:textId="77777777" w:rsidTr="005821DA">
        <w:tc>
          <w:tcPr>
            <w:tcW w:w="9214" w:type="dxa"/>
            <w:gridSpan w:val="3"/>
          </w:tcPr>
          <w:p w14:paraId="0D05BD6B" w14:textId="77777777" w:rsidR="000D016D" w:rsidRPr="000D016D" w:rsidRDefault="000D016D" w:rsidP="00E65DEF">
            <w:pPr>
              <w:spacing w:before="6" w:after="6" w:line="288" w:lineRule="auto"/>
            </w:pPr>
            <w:r w:rsidRPr="000D016D">
              <w:rPr>
                <w:b/>
                <w:bCs/>
              </w:rPr>
              <w:t xml:space="preserve">Uwaga! </w:t>
            </w:r>
            <w:r w:rsidRPr="000D016D">
              <w:t>Zmiany te weszły w życie 4 czerwca 2022 r., chyba, że zaznaczono inaczej.</w:t>
            </w:r>
          </w:p>
        </w:tc>
      </w:tr>
      <w:tr w:rsidR="000D016D" w:rsidRPr="000D016D" w14:paraId="76D85584" w14:textId="77777777" w:rsidTr="005821DA">
        <w:trPr>
          <w:trHeight w:val="1261"/>
        </w:trPr>
        <w:tc>
          <w:tcPr>
            <w:tcW w:w="567" w:type="dxa"/>
          </w:tcPr>
          <w:p w14:paraId="33B5FF66" w14:textId="77777777" w:rsidR="000D016D" w:rsidRPr="000D016D" w:rsidRDefault="000D016D" w:rsidP="00E65DEF">
            <w:pPr>
              <w:spacing w:before="6" w:after="6" w:line="288" w:lineRule="auto"/>
            </w:pPr>
            <w:r w:rsidRPr="000D016D">
              <w:t xml:space="preserve">1. </w:t>
            </w:r>
          </w:p>
        </w:tc>
        <w:tc>
          <w:tcPr>
            <w:tcW w:w="3828" w:type="dxa"/>
          </w:tcPr>
          <w:p w14:paraId="6813BB1A" w14:textId="77777777" w:rsidR="000D016D" w:rsidRPr="000D016D" w:rsidRDefault="000D016D" w:rsidP="00E65DEF">
            <w:pPr>
              <w:spacing w:before="6" w:after="6" w:line="288" w:lineRule="auto"/>
            </w:pPr>
            <w:r w:rsidRPr="000D016D">
              <w:t>W art. 2 ust. 1 dodano pkt 14a oraz pkt 27a oraz wprowadzono zmiany w: art. 69 ust. 2, art. 72 pkt 3 i art. 73 pkt 4.</w:t>
            </w:r>
          </w:p>
          <w:p w14:paraId="57FDC67C" w14:textId="77777777" w:rsidR="000D016D" w:rsidRPr="000D016D" w:rsidRDefault="000D016D" w:rsidP="00E65DEF">
            <w:pPr>
              <w:spacing w:before="6" w:after="6" w:line="288" w:lineRule="auto"/>
            </w:pPr>
          </w:p>
          <w:p w14:paraId="3DB46E6B" w14:textId="77777777" w:rsidR="000D016D" w:rsidRPr="000D016D" w:rsidRDefault="000D016D" w:rsidP="00E65DEF">
            <w:pPr>
              <w:spacing w:before="6" w:after="6" w:line="288" w:lineRule="auto"/>
              <w:rPr>
                <w:u w:val="single"/>
              </w:rPr>
            </w:pPr>
            <w:r w:rsidRPr="000D016D">
              <w:rPr>
                <w:u w:val="single"/>
              </w:rPr>
              <w:t>Uwaga:</w:t>
            </w:r>
          </w:p>
          <w:p w14:paraId="4DFCE3E0" w14:textId="77777777" w:rsidR="000D016D" w:rsidRPr="000D016D" w:rsidRDefault="000D016D" w:rsidP="00E65DEF">
            <w:pPr>
              <w:spacing w:before="6" w:after="6" w:line="288" w:lineRule="auto"/>
            </w:pPr>
            <w:r w:rsidRPr="000D016D">
              <w:t>W art. 143 ustawy nowelizującej przewidziano, że zmienione przepisy art. 2 ust. 1 pkt 14a, pkt 21 lit. a, d i f oraz pkt 27a, art. 69 ust. 2, art. 72 pkt 3 oraz art. 73 pkt 4 ustawy o PPK stosuje się także do umów o zarządzanie PPK i umów o prowadzenie PPK zawartych przed 4 czerwca 2002 r.</w:t>
            </w:r>
          </w:p>
        </w:tc>
        <w:tc>
          <w:tcPr>
            <w:tcW w:w="4819" w:type="dxa"/>
          </w:tcPr>
          <w:p w14:paraId="79BEDC84" w14:textId="77777777" w:rsidR="000D016D" w:rsidRPr="000D016D" w:rsidRDefault="000D016D" w:rsidP="00E65DEF">
            <w:pPr>
              <w:spacing w:before="6" w:after="6" w:line="288" w:lineRule="auto"/>
            </w:pPr>
            <w:r w:rsidRPr="000D016D">
              <w:t xml:space="preserve">Dodana została definicja „numeru identyfikacyjnego” podmiotu zatrudniającego (jest to NIP lub REGON). </w:t>
            </w:r>
          </w:p>
          <w:p w14:paraId="2A1EB37C" w14:textId="77777777" w:rsidR="000D016D" w:rsidRPr="000D016D" w:rsidRDefault="000D016D" w:rsidP="00E65DEF">
            <w:pPr>
              <w:spacing w:before="6" w:after="6" w:line="288" w:lineRule="auto"/>
            </w:pPr>
            <w:r w:rsidRPr="000D016D">
              <w:t>W ten sposób rozstrzygnięte zostały wątpliwości na podstawie jakiego numeru należy ewidencjonować w Ewidencji PPK podmioty zatrudniające oraz umowy o zarządzanie PPK.</w:t>
            </w:r>
          </w:p>
        </w:tc>
      </w:tr>
      <w:tr w:rsidR="000D016D" w:rsidRPr="000D016D" w14:paraId="2616FB04" w14:textId="77777777" w:rsidTr="005821DA">
        <w:tc>
          <w:tcPr>
            <w:tcW w:w="567" w:type="dxa"/>
          </w:tcPr>
          <w:p w14:paraId="64558F01" w14:textId="77777777" w:rsidR="000D016D" w:rsidRPr="000D016D" w:rsidRDefault="000D016D" w:rsidP="00E65DEF">
            <w:pPr>
              <w:spacing w:before="6" w:after="6" w:line="288" w:lineRule="auto"/>
            </w:pPr>
            <w:r w:rsidRPr="000D016D">
              <w:t xml:space="preserve">2. </w:t>
            </w:r>
          </w:p>
        </w:tc>
        <w:tc>
          <w:tcPr>
            <w:tcW w:w="3828" w:type="dxa"/>
          </w:tcPr>
          <w:p w14:paraId="415C027D" w14:textId="77777777" w:rsidR="000D016D" w:rsidRPr="000D016D" w:rsidRDefault="000D016D" w:rsidP="00E65DEF">
            <w:pPr>
              <w:spacing w:before="6" w:after="6" w:line="288" w:lineRule="auto"/>
            </w:pPr>
            <w:r w:rsidRPr="000D016D">
              <w:t>W art. 2 ust. 1 pkt 21 wprowadzono zmiany w lit. a) i d) oraz dodano lit. f).</w:t>
            </w:r>
          </w:p>
          <w:p w14:paraId="01D8492F" w14:textId="77777777" w:rsidR="000D016D" w:rsidRPr="000D016D" w:rsidRDefault="000D016D" w:rsidP="00E65DEF">
            <w:pPr>
              <w:spacing w:before="6" w:after="6" w:line="288" w:lineRule="auto"/>
              <w:rPr>
                <w:u w:val="single"/>
              </w:rPr>
            </w:pPr>
          </w:p>
          <w:p w14:paraId="617C4665" w14:textId="77777777" w:rsidR="000D016D" w:rsidRPr="000D016D" w:rsidRDefault="000D016D" w:rsidP="00E65DEF">
            <w:pPr>
              <w:spacing w:before="6" w:after="6" w:line="288" w:lineRule="auto"/>
              <w:rPr>
                <w:u w:val="single"/>
              </w:rPr>
            </w:pPr>
          </w:p>
          <w:p w14:paraId="77A584FB" w14:textId="77777777" w:rsidR="000D016D" w:rsidRPr="000D016D" w:rsidRDefault="000D016D" w:rsidP="00E65DEF">
            <w:pPr>
              <w:spacing w:before="6" w:after="6" w:line="288" w:lineRule="auto"/>
              <w:rPr>
                <w:u w:val="single"/>
              </w:rPr>
            </w:pPr>
            <w:r w:rsidRPr="000D016D">
              <w:rPr>
                <w:u w:val="single"/>
              </w:rPr>
              <w:t>Uwaga:</w:t>
            </w:r>
          </w:p>
          <w:p w14:paraId="23EB7E6E" w14:textId="77777777" w:rsidR="000D016D" w:rsidRPr="000D016D" w:rsidRDefault="000D016D" w:rsidP="00E65DEF">
            <w:pPr>
              <w:spacing w:before="6" w:after="6" w:line="288" w:lineRule="auto"/>
            </w:pPr>
            <w:r w:rsidRPr="000D016D">
              <w:t>W art. 143 ustawy nowelizującej przewidziano, że zmienione przepisy art. 2 ust. 1 pkt 14a, pkt 21 lit. a, d i f oraz pkt 27a, art. 69 ust. 2, art. 72 pkt 3 oraz art. 73 pkt 4 ustawy o PPK stosuje się także do umów o zarządzanie PPK i umów o prowadzenie PPK zawartych przed 4 czerwca 2002 r.</w:t>
            </w:r>
          </w:p>
        </w:tc>
        <w:tc>
          <w:tcPr>
            <w:tcW w:w="4819" w:type="dxa"/>
          </w:tcPr>
          <w:p w14:paraId="1C5E1582" w14:textId="77777777" w:rsidR="000D016D" w:rsidRPr="000D016D" w:rsidRDefault="000D016D" w:rsidP="00E65DEF">
            <w:pPr>
              <w:spacing w:before="6" w:after="6" w:line="288" w:lineRule="auto"/>
            </w:pPr>
            <w:r w:rsidRPr="000D016D">
              <w:t>Nadano status podmiotu zatrudniającego płatnikowi składek na ubezpieczenia społeczne w przypadku pracodawców i zleceniodawców nieposiadających numeru identyfikacyjnego</w:t>
            </w:r>
            <w:r w:rsidR="00BD709B">
              <w:t>.</w:t>
            </w:r>
          </w:p>
          <w:p w14:paraId="606BE402" w14:textId="77777777" w:rsidR="000D016D" w:rsidRPr="000D016D" w:rsidRDefault="000D016D" w:rsidP="00E65DEF">
            <w:pPr>
              <w:spacing w:before="6" w:after="6" w:line="288" w:lineRule="auto"/>
            </w:pPr>
            <w:r w:rsidRPr="000D016D">
              <w:t>W przypadku</w:t>
            </w:r>
            <w:r w:rsidR="002B7536">
              <w:t xml:space="preserve"> g</w:t>
            </w:r>
            <w:r w:rsidRPr="000D016D">
              <w:t>dy pracodawca lub zleceniodawca nie ma numeru identyfikacyjnego, status podmiotu zatrudniającego ma płatnik składek na ubezpieczenia społeczne. Celem tej zmiany definicji podmiotu zatrudniającego było umożliwienie przystąpienia do PPK osobom zatrudnionym u pracodawców lub zleceniodawców, za których obowiązki związane z wypłatą wynagrodzenia oraz wynikające z ustawy o systemie ubezpieczeń społecznych czy ustaw podatkowych wykonuje inny podmiot.</w:t>
            </w:r>
          </w:p>
        </w:tc>
      </w:tr>
      <w:tr w:rsidR="000D016D" w:rsidRPr="000D016D" w14:paraId="524C424A" w14:textId="77777777" w:rsidTr="005821DA">
        <w:tc>
          <w:tcPr>
            <w:tcW w:w="567" w:type="dxa"/>
          </w:tcPr>
          <w:p w14:paraId="5AA89D92" w14:textId="77777777" w:rsidR="000D016D" w:rsidRPr="000D016D" w:rsidRDefault="000D016D" w:rsidP="00E65DEF">
            <w:pPr>
              <w:spacing w:before="6" w:after="6" w:line="288" w:lineRule="auto"/>
            </w:pPr>
            <w:r w:rsidRPr="000D016D">
              <w:lastRenderedPageBreak/>
              <w:t>3.</w:t>
            </w:r>
          </w:p>
        </w:tc>
        <w:tc>
          <w:tcPr>
            <w:tcW w:w="3828" w:type="dxa"/>
          </w:tcPr>
          <w:p w14:paraId="11B1D112" w14:textId="77777777" w:rsidR="000D016D" w:rsidRPr="000D016D" w:rsidRDefault="000D016D" w:rsidP="00E65DEF">
            <w:pPr>
              <w:spacing w:before="6" w:after="6" w:line="288" w:lineRule="auto"/>
            </w:pPr>
            <w:r w:rsidRPr="000D016D">
              <w:t>W art. 8 dodano ust. 5c.</w:t>
            </w:r>
          </w:p>
        </w:tc>
        <w:tc>
          <w:tcPr>
            <w:tcW w:w="4819" w:type="dxa"/>
          </w:tcPr>
          <w:p w14:paraId="6DAE49A5" w14:textId="6F99135F" w:rsidR="000D016D" w:rsidRPr="000D016D" w:rsidRDefault="000D016D" w:rsidP="00E65DEF">
            <w:pPr>
              <w:spacing w:before="6" w:after="6" w:line="288" w:lineRule="auto"/>
            </w:pPr>
            <w:r w:rsidRPr="000D016D">
              <w:t xml:space="preserve">Mikroprzedsiębiorcy, którym wszystkie osoby zatrudnione złożyły deklarację o niedokonywaniu wpłat do PPK, oraz osoby fizyczne, zatrudniające, w zakresie niezwiązanym ze swoją działalnością gospodarczą, osoby fizyczne, w zakresie niezwiązanym z działalnością gospodarczą tych osób, zostały zobowiązane do złożenia </w:t>
            </w:r>
            <w:r w:rsidR="005C27C1">
              <w:t>–</w:t>
            </w:r>
            <w:r w:rsidRPr="000D016D">
              <w:t xml:space="preserve"> na wezwanie PFR </w:t>
            </w:r>
            <w:r w:rsidR="009376E2">
              <w:t xml:space="preserve">S.A. </w:t>
            </w:r>
            <w:r w:rsidRPr="000D016D">
              <w:t>– oświadczenia o spełnianiu warunków niestosowania do nich przepisów ustawy o PPK.</w:t>
            </w:r>
          </w:p>
        </w:tc>
      </w:tr>
      <w:tr w:rsidR="000D016D" w:rsidRPr="000D016D" w14:paraId="06CB649C" w14:textId="77777777" w:rsidTr="005821DA">
        <w:tc>
          <w:tcPr>
            <w:tcW w:w="567" w:type="dxa"/>
          </w:tcPr>
          <w:p w14:paraId="5297FAC1" w14:textId="77777777" w:rsidR="000D016D" w:rsidRPr="000D016D" w:rsidRDefault="000D016D" w:rsidP="00E65DEF">
            <w:pPr>
              <w:spacing w:before="6" w:after="6" w:line="288" w:lineRule="auto"/>
            </w:pPr>
            <w:r w:rsidRPr="000D016D">
              <w:t>4.</w:t>
            </w:r>
          </w:p>
        </w:tc>
        <w:tc>
          <w:tcPr>
            <w:tcW w:w="3828" w:type="dxa"/>
          </w:tcPr>
          <w:p w14:paraId="2B7BB134" w14:textId="77777777" w:rsidR="000D016D" w:rsidRPr="000D016D" w:rsidRDefault="000D016D" w:rsidP="00E65DEF">
            <w:pPr>
              <w:spacing w:before="6" w:after="6" w:line="288" w:lineRule="auto"/>
            </w:pPr>
            <w:r w:rsidRPr="000D016D">
              <w:t xml:space="preserve">W art. 13 uchylono ust. 3. </w:t>
            </w:r>
          </w:p>
        </w:tc>
        <w:tc>
          <w:tcPr>
            <w:tcW w:w="4819" w:type="dxa"/>
          </w:tcPr>
          <w:p w14:paraId="4349F1BB" w14:textId="5E891194" w:rsidR="000D016D" w:rsidRPr="000D016D" w:rsidRDefault="000D016D" w:rsidP="005C27C1">
            <w:pPr>
              <w:spacing w:before="6" w:after="6" w:line="288" w:lineRule="auto"/>
            </w:pPr>
            <w:r w:rsidRPr="000D016D">
              <w:t xml:space="preserve">Umożliwiono otrzymanie dopłaty rocznej uczestnikowi PPK, za którego podmiot zatrudniający nie finansuje wpłat do PPK </w:t>
            </w:r>
            <w:r w:rsidR="005C27C1">
              <w:t>–</w:t>
            </w:r>
            <w:r w:rsidRPr="000D016D">
              <w:t xml:space="preserve"> z uwagi na to, że uczestnik PPK przystąpił do PPE w tym podmiocie zatrudniającym.</w:t>
            </w:r>
          </w:p>
        </w:tc>
      </w:tr>
      <w:tr w:rsidR="000D016D" w:rsidRPr="000D016D" w14:paraId="3E701333" w14:textId="77777777" w:rsidTr="005821DA">
        <w:tc>
          <w:tcPr>
            <w:tcW w:w="567" w:type="dxa"/>
          </w:tcPr>
          <w:p w14:paraId="43DF67B3" w14:textId="77777777" w:rsidR="000D016D" w:rsidRPr="000D016D" w:rsidRDefault="000D016D" w:rsidP="00E65DEF">
            <w:pPr>
              <w:spacing w:before="6" w:after="6" w:line="288" w:lineRule="auto"/>
            </w:pPr>
            <w:r w:rsidRPr="000D016D">
              <w:t>5.</w:t>
            </w:r>
          </w:p>
        </w:tc>
        <w:tc>
          <w:tcPr>
            <w:tcW w:w="3828" w:type="dxa"/>
          </w:tcPr>
          <w:p w14:paraId="6C9A0C40" w14:textId="77777777" w:rsidR="000D016D" w:rsidRPr="000D016D" w:rsidRDefault="000D016D" w:rsidP="00E65DEF">
            <w:pPr>
              <w:spacing w:before="6" w:after="6" w:line="288" w:lineRule="auto"/>
            </w:pPr>
            <w:r w:rsidRPr="000D016D">
              <w:t>W art. 16 zmieniono ust. 1.</w:t>
            </w:r>
          </w:p>
        </w:tc>
        <w:tc>
          <w:tcPr>
            <w:tcW w:w="4819" w:type="dxa"/>
          </w:tcPr>
          <w:p w14:paraId="6CD4E55D" w14:textId="4B745486" w:rsidR="000D016D" w:rsidRPr="000D016D" w:rsidRDefault="000D016D" w:rsidP="00E65DEF">
            <w:pPr>
              <w:spacing w:before="6" w:after="6" w:line="288" w:lineRule="auto"/>
            </w:pPr>
            <w:r w:rsidRPr="000D016D">
              <w:t xml:space="preserve">Umożliwiono zawarcie umowy o prowadzenie PPK </w:t>
            </w:r>
            <w:r w:rsidR="005C27C1">
              <w:t>–</w:t>
            </w:r>
            <w:r w:rsidRPr="000D016D">
              <w:t xml:space="preserve"> w imieniu i na rzecz osoby zatrudnionej – już po upływie 14 dni zatrudnienia. Przed tą zmianą,</w:t>
            </w:r>
            <w:r w:rsidR="003E4916">
              <w:t xml:space="preserve"> </w:t>
            </w:r>
            <w:r w:rsidRPr="000D016D">
              <w:t xml:space="preserve">podmiot zatrudniający mógł zawrzeć umowę o prowadzenie PPK w imieniu i na rzecz osoby zatrudnionej po upływie trzeciego miesiąca zatrudnienia, nie później niż do 10 dnia miesiąca następującego po miesiącu, w którym upłynęły te 3 miesiące. Po omawianej zmianie, umowa o prowadzenie PPK może być zawarta nie wcześniej niż po upływie 14 dni zatrudnienia i nie później niż do 10 dnia miesiąca następującego po miesiącu, w upłynęły 3 miesiące zatrudnienia. Zmiana ta umożliwiła podmiotom zatrudniającym wcześniejsze zawarcie dla osoby zatrudnionej umowy o prowadzenie PPK, a jednocześnie nie skróciła </w:t>
            </w:r>
            <w:r w:rsidR="00E1605D">
              <w:t xml:space="preserve">terminu na zawarcie tej umowy. </w:t>
            </w:r>
          </w:p>
        </w:tc>
      </w:tr>
      <w:tr w:rsidR="000D016D" w:rsidRPr="000D016D" w14:paraId="656001BC" w14:textId="77777777" w:rsidTr="005821DA">
        <w:tc>
          <w:tcPr>
            <w:tcW w:w="567" w:type="dxa"/>
          </w:tcPr>
          <w:p w14:paraId="6C9D7373" w14:textId="77777777" w:rsidR="000D016D" w:rsidRPr="000D016D" w:rsidRDefault="000D016D" w:rsidP="00E65DEF">
            <w:pPr>
              <w:spacing w:before="6" w:after="6" w:line="288" w:lineRule="auto"/>
            </w:pPr>
            <w:r w:rsidRPr="000D016D">
              <w:t>6.</w:t>
            </w:r>
          </w:p>
        </w:tc>
        <w:tc>
          <w:tcPr>
            <w:tcW w:w="3828" w:type="dxa"/>
          </w:tcPr>
          <w:p w14:paraId="6F630081" w14:textId="77777777" w:rsidR="000D016D" w:rsidRPr="000D016D" w:rsidRDefault="000D016D" w:rsidP="00E65DEF">
            <w:pPr>
              <w:spacing w:before="6" w:after="6" w:line="288" w:lineRule="auto"/>
            </w:pPr>
            <w:r w:rsidRPr="000D016D">
              <w:t xml:space="preserve">W art. 19 zmieniono ust. 1 i 2. </w:t>
            </w:r>
          </w:p>
        </w:tc>
        <w:tc>
          <w:tcPr>
            <w:tcW w:w="4819" w:type="dxa"/>
          </w:tcPr>
          <w:p w14:paraId="44174D46" w14:textId="77777777" w:rsidR="000D016D" w:rsidRPr="000D016D" w:rsidRDefault="000D016D" w:rsidP="00E65DEF">
            <w:pPr>
              <w:spacing w:before="6" w:after="6" w:line="288" w:lineRule="auto"/>
            </w:pPr>
            <w:r w:rsidRPr="000D016D">
              <w:t xml:space="preserve">Zmieniono: </w:t>
            </w:r>
          </w:p>
          <w:p w14:paraId="4CFC4C5F" w14:textId="77777777" w:rsidR="000D016D" w:rsidRPr="000D016D" w:rsidRDefault="000D016D" w:rsidP="00E65DEF">
            <w:pPr>
              <w:numPr>
                <w:ilvl w:val="0"/>
                <w:numId w:val="12"/>
              </w:numPr>
              <w:spacing w:before="6" w:after="6" w:line="288" w:lineRule="auto"/>
            </w:pPr>
            <w:r w:rsidRPr="000D016D">
              <w:t xml:space="preserve">termin na złożenie przez uczestnika PPK, który zmienił podmiot zatrudniający, oświadczenia o zawartych w jego imieniu umowach o prowadzenie PPK (sposób obliczania tego terminu został uproszczony poprzez powiązaniem go z dniem zawarcia umowy o prowadzenie PPK) oraz </w:t>
            </w:r>
          </w:p>
          <w:p w14:paraId="060ABF78" w14:textId="26B97EFF" w:rsidR="000D016D" w:rsidRPr="000D016D" w:rsidRDefault="000D016D" w:rsidP="00E65DEF">
            <w:pPr>
              <w:numPr>
                <w:ilvl w:val="0"/>
                <w:numId w:val="12"/>
              </w:numPr>
              <w:spacing w:before="6" w:after="6" w:line="288" w:lineRule="auto"/>
            </w:pPr>
            <w:r w:rsidRPr="000D016D">
              <w:t xml:space="preserve">termin na poinformowanie uczestnika PPK, który złożył to oświadczenie, przez podmiot zatrudniający o obowiązku </w:t>
            </w:r>
            <w:r w:rsidRPr="000D016D">
              <w:lastRenderedPageBreak/>
              <w:t xml:space="preserve">złożenia </w:t>
            </w:r>
            <w:r w:rsidR="005C27C1">
              <w:t>–</w:t>
            </w:r>
            <w:r w:rsidRPr="000D016D">
              <w:t xml:space="preserve"> w jego imieniu </w:t>
            </w:r>
            <w:r w:rsidR="005C27C1">
              <w:t>–</w:t>
            </w:r>
            <w:r w:rsidRPr="000D016D">
              <w:t xml:space="preserve"> wniosku o wypłatę transferową na rachunek PPK utworzony w związku z zatrud</w:t>
            </w:r>
            <w:r w:rsidR="00E1605D">
              <w:t xml:space="preserve">nieniem w tym nowym podmiocie. </w:t>
            </w:r>
          </w:p>
        </w:tc>
      </w:tr>
      <w:tr w:rsidR="000D016D" w:rsidRPr="000D016D" w14:paraId="6150E6F3" w14:textId="77777777" w:rsidTr="005821DA">
        <w:tc>
          <w:tcPr>
            <w:tcW w:w="567" w:type="dxa"/>
          </w:tcPr>
          <w:p w14:paraId="2F2F6A68" w14:textId="77777777" w:rsidR="000D016D" w:rsidRPr="000D016D" w:rsidRDefault="000D016D" w:rsidP="00E65DEF">
            <w:pPr>
              <w:spacing w:before="6" w:after="6" w:line="288" w:lineRule="auto"/>
            </w:pPr>
            <w:r w:rsidRPr="000D016D">
              <w:lastRenderedPageBreak/>
              <w:t>7.</w:t>
            </w:r>
          </w:p>
        </w:tc>
        <w:tc>
          <w:tcPr>
            <w:tcW w:w="3828" w:type="dxa"/>
          </w:tcPr>
          <w:p w14:paraId="4911DAD8" w14:textId="77777777" w:rsidR="000D016D" w:rsidRPr="000D016D" w:rsidRDefault="000D016D" w:rsidP="00E65DEF">
            <w:pPr>
              <w:spacing w:before="6" w:after="6" w:line="288" w:lineRule="auto"/>
            </w:pPr>
            <w:r w:rsidRPr="000D016D">
              <w:t xml:space="preserve">W art. 27 dodano ust. 3a. </w:t>
            </w:r>
          </w:p>
        </w:tc>
        <w:tc>
          <w:tcPr>
            <w:tcW w:w="4819" w:type="dxa"/>
          </w:tcPr>
          <w:p w14:paraId="4D0559C0" w14:textId="77777777" w:rsidR="000D016D" w:rsidRPr="000D016D" w:rsidRDefault="000D016D" w:rsidP="00E65DEF">
            <w:pPr>
              <w:spacing w:before="6" w:after="6" w:line="288" w:lineRule="auto"/>
            </w:pPr>
            <w:r w:rsidRPr="000D016D">
              <w:t>Przyjęto, że wpłata dodatkowa w wysokości zadeklarowanej przez uczestnika PPK obowiązuje od miesiąca następującego po miesiącu, w którym uczestnik PPK złożył deklarację wpłaty dodatkowej. W ten sposób ujednolicono terminy rozpoczęcia obowiązywania deklaracji dotyczących PPK, składanych przez uczestników PPK. Przed uzupełnieniem przepisów, brak uregulowania tej kwestii powodował, że deklaracja finansowania wpłaty dodatkowej przez uczestnika PPK obowiązywała od momentu jej złożenia podmiotowi zatrudniającemu.</w:t>
            </w:r>
          </w:p>
        </w:tc>
      </w:tr>
      <w:tr w:rsidR="000D016D" w:rsidRPr="000D016D" w14:paraId="5C744F28" w14:textId="77777777" w:rsidTr="005821DA">
        <w:tc>
          <w:tcPr>
            <w:tcW w:w="567" w:type="dxa"/>
          </w:tcPr>
          <w:p w14:paraId="77B8EE10" w14:textId="77777777" w:rsidR="000D016D" w:rsidRPr="000D016D" w:rsidRDefault="000D016D" w:rsidP="00E65DEF">
            <w:pPr>
              <w:spacing w:before="6" w:after="6" w:line="288" w:lineRule="auto"/>
            </w:pPr>
            <w:r w:rsidRPr="000D016D">
              <w:t>8.</w:t>
            </w:r>
          </w:p>
        </w:tc>
        <w:tc>
          <w:tcPr>
            <w:tcW w:w="3828" w:type="dxa"/>
          </w:tcPr>
          <w:p w14:paraId="0C91CA56" w14:textId="77777777" w:rsidR="000D016D" w:rsidRPr="000D016D" w:rsidRDefault="000D016D" w:rsidP="00E65DEF">
            <w:pPr>
              <w:spacing w:before="6" w:after="6" w:line="288" w:lineRule="auto"/>
            </w:pPr>
            <w:r w:rsidRPr="000D016D">
              <w:t xml:space="preserve">W art. 28 zmieniono ust. 1 oraz ust. 6, w którym skreślono zdaniem drugie. </w:t>
            </w:r>
          </w:p>
        </w:tc>
        <w:tc>
          <w:tcPr>
            <w:tcW w:w="4819" w:type="dxa"/>
          </w:tcPr>
          <w:p w14:paraId="500BF5B8" w14:textId="77777777" w:rsidR="000D016D" w:rsidRPr="000D016D" w:rsidRDefault="000D016D" w:rsidP="00E65DEF">
            <w:pPr>
              <w:spacing w:before="6" w:after="6" w:line="288" w:lineRule="auto"/>
            </w:pPr>
            <w:r w:rsidRPr="000D016D">
              <w:t xml:space="preserve">Ujednolicone zostały terminy dokonywania pierwszych i kolejnych wpłat do PPK, co uprościło obsługę PPK przez podmioty zatrudniające. </w:t>
            </w:r>
          </w:p>
          <w:p w14:paraId="75DE81B0" w14:textId="3549D102" w:rsidR="000D016D" w:rsidRPr="000D016D" w:rsidRDefault="000D016D" w:rsidP="00E65DEF">
            <w:pPr>
              <w:spacing w:before="6" w:after="6" w:line="288" w:lineRule="auto"/>
            </w:pPr>
            <w:r w:rsidRPr="000D016D">
              <w:t xml:space="preserve">Zmiana ta umożliwiła podmiotom zatrudniającym dokonywanie pierwszych wpłat do PPK począwszy od dnia, w którym zostały naliczone i pobrane </w:t>
            </w:r>
            <w:r w:rsidR="005C27C1">
              <w:t>–</w:t>
            </w:r>
            <w:r w:rsidRPr="000D016D">
              <w:t xml:space="preserve"> nawet w tym samym miesiącu, w którym została zawarta umowa o prowadzenie PPK. Po zmianie, pierwsze wpłaty do PPK dokonywane są na takich zasadach jak kolejne wpłaty do PPK. </w:t>
            </w:r>
          </w:p>
          <w:p w14:paraId="742221B7" w14:textId="77777777" w:rsidR="000D016D" w:rsidRPr="000D016D" w:rsidRDefault="000D016D" w:rsidP="00E65DEF">
            <w:pPr>
              <w:spacing w:before="6" w:after="6" w:line="288" w:lineRule="auto"/>
            </w:pPr>
            <w:r w:rsidRPr="000D016D">
              <w:t>Z uwagi na dodanie art. 28a, w art. 28 w ust. 6 skreślono zdanie drugie.</w:t>
            </w:r>
          </w:p>
        </w:tc>
      </w:tr>
      <w:tr w:rsidR="000D016D" w:rsidRPr="000D016D" w14:paraId="107678EB" w14:textId="77777777" w:rsidTr="005821DA">
        <w:tc>
          <w:tcPr>
            <w:tcW w:w="567" w:type="dxa"/>
          </w:tcPr>
          <w:p w14:paraId="750D9E19" w14:textId="77777777" w:rsidR="000D016D" w:rsidRPr="000D016D" w:rsidRDefault="000D016D" w:rsidP="00E65DEF">
            <w:pPr>
              <w:spacing w:before="6" w:after="6" w:line="288" w:lineRule="auto"/>
            </w:pPr>
            <w:r w:rsidRPr="000D016D">
              <w:t>9.</w:t>
            </w:r>
          </w:p>
        </w:tc>
        <w:tc>
          <w:tcPr>
            <w:tcW w:w="3828" w:type="dxa"/>
          </w:tcPr>
          <w:p w14:paraId="26772CDB" w14:textId="77777777" w:rsidR="000D016D" w:rsidRPr="000D016D" w:rsidRDefault="000D016D" w:rsidP="00E65DEF">
            <w:pPr>
              <w:spacing w:before="6" w:after="6" w:line="288" w:lineRule="auto"/>
            </w:pPr>
            <w:r w:rsidRPr="000D016D">
              <w:t>Dodano art. 28a.</w:t>
            </w:r>
          </w:p>
          <w:p w14:paraId="45008621" w14:textId="77777777" w:rsidR="000D016D" w:rsidRPr="000D016D" w:rsidRDefault="000D016D" w:rsidP="00E65DEF">
            <w:pPr>
              <w:spacing w:before="6" w:after="6" w:line="288" w:lineRule="auto"/>
            </w:pPr>
          </w:p>
          <w:p w14:paraId="40267F26" w14:textId="2AE66C75" w:rsidR="000D016D" w:rsidRPr="000D016D" w:rsidRDefault="000D016D" w:rsidP="00E65DEF">
            <w:pPr>
              <w:spacing w:before="6" w:after="6" w:line="288" w:lineRule="auto"/>
              <w:rPr>
                <w:u w:val="single"/>
              </w:rPr>
            </w:pPr>
          </w:p>
          <w:p w14:paraId="3AAF1691" w14:textId="5E3CEB4F" w:rsidR="000D016D" w:rsidRPr="000D016D" w:rsidRDefault="000D016D" w:rsidP="00E65DEF">
            <w:pPr>
              <w:spacing w:before="6" w:after="6" w:line="288" w:lineRule="auto"/>
            </w:pPr>
            <w:r w:rsidRPr="000D016D">
              <w:t>Zmiana ta w</w:t>
            </w:r>
            <w:r w:rsidR="00291C45">
              <w:t>eszła</w:t>
            </w:r>
            <w:r w:rsidRPr="000D016D">
              <w:t xml:space="preserve"> w życie</w:t>
            </w:r>
            <w:r w:rsidR="00854023">
              <w:t xml:space="preserve"> </w:t>
            </w:r>
            <w:r w:rsidR="00E1605D">
              <w:t xml:space="preserve">21 listopada 2022 r. </w:t>
            </w:r>
          </w:p>
        </w:tc>
        <w:tc>
          <w:tcPr>
            <w:tcW w:w="4819" w:type="dxa"/>
          </w:tcPr>
          <w:p w14:paraId="6A017B23" w14:textId="77777777" w:rsidR="000D016D" w:rsidRPr="000D016D" w:rsidRDefault="000D016D" w:rsidP="00E65DEF">
            <w:pPr>
              <w:spacing w:before="6" w:after="6" w:line="288" w:lineRule="auto"/>
            </w:pPr>
            <w:r w:rsidRPr="000D016D">
              <w:t>Uregulowano korekty nienależnie dokonanych wpłat do PPK, wpłaty powitalnej lub dopłat rocznych.</w:t>
            </w:r>
          </w:p>
          <w:p w14:paraId="55DDCBF9" w14:textId="77777777" w:rsidR="000D016D" w:rsidRPr="000D016D" w:rsidRDefault="000D016D" w:rsidP="00E65DEF">
            <w:pPr>
              <w:spacing w:before="6" w:after="6" w:line="288" w:lineRule="auto"/>
            </w:pPr>
            <w:r w:rsidRPr="000D016D">
              <w:t>Dotychczas brak było w ustawie o PPK regulacji wskazujących zasady postępowania w przypadku dokonania nienależnych wpłat do PPK, wpłaty powitalnej lub dopłat rocznych. Dotyczyło to np. przypadku dokonania wpłat po zawarciu umowy o prowadzenie PPK na rzecz osoby niespełniającej definicji osoby zatrudnionej czy przekazania wpłat do instytucji finansowej po złożeniu przez uczestnika PPK deklaracji o rezygnacji z dokonywania wpłat do PPK.</w:t>
            </w:r>
          </w:p>
          <w:p w14:paraId="38E6FCA1" w14:textId="6BE4016E" w:rsidR="000D016D" w:rsidRPr="000D016D" w:rsidRDefault="000D016D" w:rsidP="005C27C1">
            <w:pPr>
              <w:spacing w:before="6" w:after="6" w:line="288" w:lineRule="auto"/>
            </w:pPr>
            <w:r w:rsidRPr="000D016D">
              <w:t xml:space="preserve">Konieczne było uregulowanie tej kwestii </w:t>
            </w:r>
            <w:r w:rsidR="005C27C1">
              <w:t>–</w:t>
            </w:r>
            <w:r w:rsidRPr="000D016D">
              <w:t xml:space="preserve"> poprzez umożliwienie wycofania nienależnych wpłat do </w:t>
            </w:r>
            <w:r w:rsidRPr="000D016D">
              <w:lastRenderedPageBreak/>
              <w:t>PPK, wpłaty powitalnej i dopłat rocznych, po stwierdzeniu, że zostały dokonane bezpodstawnie. Zostaną one zwrócone na rzecz podmiotu, który je sfinansował. Po zmianach, taki zwrot środków jest możliwy bez potrzeby złożenia przez uczestnika PPK żądania odkupienia tych jednostek uczestnictwa lub umorzenia tych jednostek rozrachunkowych.</w:t>
            </w:r>
          </w:p>
        </w:tc>
      </w:tr>
      <w:tr w:rsidR="000D016D" w:rsidRPr="000D016D" w14:paraId="0A5BBA90" w14:textId="77777777" w:rsidTr="005821DA">
        <w:tc>
          <w:tcPr>
            <w:tcW w:w="567" w:type="dxa"/>
          </w:tcPr>
          <w:p w14:paraId="2C098D57" w14:textId="77777777" w:rsidR="000D016D" w:rsidRPr="000D016D" w:rsidRDefault="000D016D" w:rsidP="00E65DEF">
            <w:pPr>
              <w:spacing w:before="6" w:after="6" w:line="288" w:lineRule="auto"/>
            </w:pPr>
            <w:r w:rsidRPr="000D016D">
              <w:lastRenderedPageBreak/>
              <w:t>10.</w:t>
            </w:r>
          </w:p>
        </w:tc>
        <w:tc>
          <w:tcPr>
            <w:tcW w:w="3828" w:type="dxa"/>
          </w:tcPr>
          <w:p w14:paraId="057FFE67" w14:textId="77777777" w:rsidR="000D016D" w:rsidRPr="000D016D" w:rsidRDefault="000D016D" w:rsidP="00E65DEF">
            <w:pPr>
              <w:spacing w:before="6" w:after="6" w:line="288" w:lineRule="auto"/>
            </w:pPr>
            <w:r w:rsidRPr="000D016D">
              <w:t xml:space="preserve">W art. 31 zmieniono ust. 2 </w:t>
            </w:r>
          </w:p>
          <w:p w14:paraId="1A4F66F3" w14:textId="792DE5B6" w:rsidR="000D016D" w:rsidRPr="000D016D" w:rsidRDefault="00E1605D" w:rsidP="00E65DEF">
            <w:pPr>
              <w:spacing w:before="6" w:after="6" w:line="288" w:lineRule="auto"/>
            </w:pPr>
            <w:r>
              <w:t xml:space="preserve">oraz dodano ust. 7. </w:t>
            </w:r>
          </w:p>
          <w:p w14:paraId="27533885" w14:textId="30FFCE6F" w:rsidR="000D016D" w:rsidRPr="000D016D" w:rsidRDefault="000D016D" w:rsidP="00E65DEF">
            <w:pPr>
              <w:spacing w:before="6" w:after="6" w:line="288" w:lineRule="auto"/>
            </w:pPr>
          </w:p>
          <w:p w14:paraId="3EAC0AE0" w14:textId="77777777" w:rsidR="000D016D" w:rsidRPr="000D016D" w:rsidRDefault="000D016D" w:rsidP="00E65DEF">
            <w:pPr>
              <w:spacing w:before="6" w:after="6" w:line="288" w:lineRule="auto"/>
            </w:pPr>
            <w:r w:rsidRPr="000D016D">
              <w:t>Zmiana polegają</w:t>
            </w:r>
            <w:r w:rsidR="00A71CCC">
              <w:t>ca</w:t>
            </w:r>
            <w:r w:rsidRPr="000D016D">
              <w:t xml:space="preserve"> na dodaniu ust. 7 weszła w życie 21 maja 2022 r. z mocą od 1 lipca 2019 r.</w:t>
            </w:r>
          </w:p>
        </w:tc>
        <w:tc>
          <w:tcPr>
            <w:tcW w:w="4819" w:type="dxa"/>
          </w:tcPr>
          <w:p w14:paraId="692A14EE" w14:textId="77777777" w:rsidR="000D016D" w:rsidRPr="000D016D" w:rsidRDefault="000D016D" w:rsidP="00E65DEF">
            <w:pPr>
              <w:spacing w:before="6" w:after="6" w:line="288" w:lineRule="auto"/>
            </w:pPr>
            <w:r w:rsidRPr="000D016D">
              <w:t xml:space="preserve">Wydłużono (z 30 dni do 45 dni) termin na zaewidencjonowanie wpłaty powitalnej na rachunku uczestnika PPK. </w:t>
            </w:r>
          </w:p>
          <w:p w14:paraId="0E71DB56" w14:textId="77777777" w:rsidR="000D016D" w:rsidRPr="000D016D" w:rsidRDefault="000D016D" w:rsidP="00E65DEF">
            <w:pPr>
              <w:spacing w:before="6" w:after="6" w:line="288" w:lineRule="auto"/>
            </w:pPr>
            <w:r w:rsidRPr="000D016D">
              <w:t>Wpłata powitalna przekazywana jest do PFR w terminie do 30 dni po zakończeniu kwartału. Zgodnie z dotychczas obowiązującymi przepisami w tym samym terminie powinna była trafić na rachunek uczestnika PPK. Przekazanie wpłaty powitalnej następuje za pośrednictwem PFR</w:t>
            </w:r>
            <w:r w:rsidR="008C3170">
              <w:t xml:space="preserve"> S.A</w:t>
            </w:r>
            <w:r w:rsidRPr="000D016D">
              <w:t xml:space="preserve">. W praktyce mogłoby okazać się, że wpłata powitalna nie zostałaby zaewidencjonowana na rachunku PPK uczestnika PPK w terminie ustawowym, jeżeli minister właściwy ds. pracy przekazałby PFR </w:t>
            </w:r>
            <w:r w:rsidR="001B5DA9">
              <w:t xml:space="preserve">S.A. </w:t>
            </w:r>
            <w:r w:rsidRPr="000D016D">
              <w:t>środki w okolicach końca terminu na ich przekazanie. W związku z tym termin na przekazanie wpłaty powitalnej na rachunek PPK uczestnika PPK został wydłużony o 15 dni.</w:t>
            </w:r>
          </w:p>
          <w:p w14:paraId="40F822CC" w14:textId="77777777" w:rsidR="000D016D" w:rsidRPr="000D016D" w:rsidRDefault="000D016D" w:rsidP="00E65DEF">
            <w:pPr>
              <w:spacing w:before="6" w:after="6" w:line="288" w:lineRule="auto"/>
            </w:pPr>
            <w:r w:rsidRPr="000D016D">
              <w:t xml:space="preserve">Dotychczas brak było przepisu stanowiącego, że niezaewidencjonowane wpłaty powitalne podlegają zwrotowi. Nowelizacją dodano taką regulację. </w:t>
            </w:r>
          </w:p>
        </w:tc>
      </w:tr>
      <w:tr w:rsidR="000D016D" w:rsidRPr="000D016D" w14:paraId="7DBA9C37" w14:textId="77777777" w:rsidTr="00B61E83">
        <w:tc>
          <w:tcPr>
            <w:tcW w:w="567" w:type="dxa"/>
          </w:tcPr>
          <w:p w14:paraId="7C10E09A" w14:textId="77777777" w:rsidR="000D016D" w:rsidRPr="000D016D" w:rsidRDefault="000D016D" w:rsidP="00E65DEF">
            <w:pPr>
              <w:spacing w:before="6" w:after="6" w:line="288" w:lineRule="auto"/>
            </w:pPr>
            <w:r w:rsidRPr="000D016D">
              <w:t>11.</w:t>
            </w:r>
          </w:p>
        </w:tc>
        <w:tc>
          <w:tcPr>
            <w:tcW w:w="3828" w:type="dxa"/>
          </w:tcPr>
          <w:p w14:paraId="2E85804A" w14:textId="77777777" w:rsidR="000D016D" w:rsidRPr="000D016D" w:rsidRDefault="000D016D" w:rsidP="00E65DEF">
            <w:pPr>
              <w:spacing w:before="6" w:after="6" w:line="288" w:lineRule="auto"/>
            </w:pPr>
            <w:r w:rsidRPr="000D016D">
              <w:t xml:space="preserve">W art. 34 zmieniono ust. 2 oraz dodano ust. 5. </w:t>
            </w:r>
          </w:p>
          <w:p w14:paraId="5297529A" w14:textId="77777777" w:rsidR="000D016D" w:rsidRPr="000D016D" w:rsidRDefault="000D016D" w:rsidP="00E65DEF">
            <w:pPr>
              <w:spacing w:before="6" w:after="6" w:line="288" w:lineRule="auto"/>
            </w:pPr>
          </w:p>
          <w:p w14:paraId="1248AEDF" w14:textId="609F5589" w:rsidR="0023110A" w:rsidRDefault="0023110A" w:rsidP="00E65DEF">
            <w:pPr>
              <w:spacing w:before="6" w:after="6" w:line="288" w:lineRule="auto"/>
              <w:rPr>
                <w:u w:val="single"/>
              </w:rPr>
            </w:pPr>
          </w:p>
          <w:p w14:paraId="09695B16" w14:textId="5BA1411C" w:rsidR="000D016D" w:rsidRPr="000D016D" w:rsidRDefault="000D016D" w:rsidP="00E65DEF">
            <w:pPr>
              <w:spacing w:before="6" w:after="6" w:line="288" w:lineRule="auto"/>
            </w:pPr>
            <w:r w:rsidRPr="000D016D">
              <w:t>Zmiany te</w:t>
            </w:r>
            <w:r w:rsidRPr="000D016D">
              <w:rPr>
                <w:u w:val="single"/>
              </w:rPr>
              <w:t xml:space="preserve"> </w:t>
            </w:r>
            <w:r w:rsidRPr="000D016D">
              <w:t>w</w:t>
            </w:r>
            <w:r w:rsidR="00BD19B1">
              <w:t>eszły</w:t>
            </w:r>
            <w:r w:rsidRPr="000D016D">
              <w:t xml:space="preserve"> w życie 21 listopada 2022 r. z mocą od 1 lipca 2019 r.</w:t>
            </w:r>
          </w:p>
        </w:tc>
        <w:tc>
          <w:tcPr>
            <w:tcW w:w="4819" w:type="dxa"/>
          </w:tcPr>
          <w:p w14:paraId="29D805B4" w14:textId="77777777" w:rsidR="000D016D" w:rsidRPr="000D016D" w:rsidRDefault="000D016D" w:rsidP="00E65DEF">
            <w:pPr>
              <w:spacing w:before="6" w:after="6" w:line="288" w:lineRule="auto"/>
            </w:pPr>
            <w:r w:rsidRPr="000D016D">
              <w:t>Umożliwiono zaewidencjonowani</w:t>
            </w:r>
            <w:r w:rsidR="0049262E">
              <w:t>e</w:t>
            </w:r>
            <w:r w:rsidRPr="000D016D">
              <w:t xml:space="preserve"> dopłaty rocznej na rachunku PPK w kolejnych latach.</w:t>
            </w:r>
          </w:p>
          <w:p w14:paraId="5F5F9265" w14:textId="77777777" w:rsidR="000D016D" w:rsidRPr="000D016D" w:rsidRDefault="000D016D" w:rsidP="00E65DEF">
            <w:pPr>
              <w:spacing w:before="6" w:after="6" w:line="288" w:lineRule="auto"/>
            </w:pPr>
            <w:r w:rsidRPr="000D016D">
              <w:t xml:space="preserve">W terminie do ostatniego dnia lutego każdego roku, PFR </w:t>
            </w:r>
            <w:r w:rsidR="0049262E">
              <w:t xml:space="preserve">S.A. </w:t>
            </w:r>
            <w:r w:rsidRPr="000D016D">
              <w:t xml:space="preserve">przekazuje ministrowi właściwemu ds. pracy informację o liczbie uczestników PPK, którzy nabyli prawo do dopłaty rocznej za poprzedni rok. </w:t>
            </w:r>
          </w:p>
          <w:p w14:paraId="70801BE2" w14:textId="77777777" w:rsidR="000D016D" w:rsidRPr="000D016D" w:rsidRDefault="000D016D" w:rsidP="00E65DEF">
            <w:pPr>
              <w:spacing w:before="6" w:after="6" w:line="288" w:lineRule="auto"/>
            </w:pPr>
            <w:r w:rsidRPr="000D016D">
              <w:t xml:space="preserve">Nowelizacją określono tryb postępowania w przypadku, gdy uczestnik PPK, który nabył prawo do dopłaty rocznej za dany rok, nie został uwzględniony w informacji o liczbie uczestników PPK, którzy nabyli prawo do dopłaty rocznej za ten rok, przekazywanej do ministra właściwego ds. pracy. W takiej sytuacji dopłata roczna za ten rok </w:t>
            </w:r>
            <w:r w:rsidRPr="000D016D">
              <w:lastRenderedPageBreak/>
              <w:t>zostanie zaewidencjonowana na rachunku PPK tego uczestnika PPK w roku następnym albo w kolejnych latach, na wniosek złożony przez tego uczestnika PPK, PFR</w:t>
            </w:r>
            <w:r w:rsidR="00165FF3">
              <w:t xml:space="preserve"> S.A.</w:t>
            </w:r>
            <w:r w:rsidRPr="000D016D">
              <w:t>, instytucję finansową lub podmiot zatrudniający – pod warunkiem, że prawo do tej dopłaty rocznej nie uległo przedawnieniu.</w:t>
            </w:r>
          </w:p>
        </w:tc>
      </w:tr>
      <w:tr w:rsidR="000D016D" w:rsidRPr="000D016D" w14:paraId="173B4FE0" w14:textId="77777777" w:rsidTr="00B61E83">
        <w:trPr>
          <w:trHeight w:val="547"/>
        </w:trPr>
        <w:tc>
          <w:tcPr>
            <w:tcW w:w="567" w:type="dxa"/>
          </w:tcPr>
          <w:p w14:paraId="7B07F891" w14:textId="77777777" w:rsidR="000D016D" w:rsidRPr="000D016D" w:rsidRDefault="000D016D" w:rsidP="00E65DEF">
            <w:pPr>
              <w:spacing w:before="6" w:after="6" w:line="288" w:lineRule="auto"/>
            </w:pPr>
            <w:r w:rsidRPr="000D016D">
              <w:lastRenderedPageBreak/>
              <w:t>12.</w:t>
            </w:r>
          </w:p>
        </w:tc>
        <w:tc>
          <w:tcPr>
            <w:tcW w:w="3828" w:type="dxa"/>
          </w:tcPr>
          <w:p w14:paraId="7BD7C5FD" w14:textId="77777777" w:rsidR="000D016D" w:rsidRPr="000D016D" w:rsidRDefault="000D016D" w:rsidP="00E65DEF">
            <w:pPr>
              <w:spacing w:before="6" w:after="6" w:line="288" w:lineRule="auto"/>
            </w:pPr>
            <w:r w:rsidRPr="000D016D">
              <w:t xml:space="preserve">W art. 97 zmieniono ust 2, dodano ust. 2a i ust. 2b oraz zmieniono ust. 3. </w:t>
            </w:r>
          </w:p>
          <w:p w14:paraId="0C8BF74A" w14:textId="7682BF8B" w:rsidR="00AC28E1" w:rsidRDefault="00AC28E1" w:rsidP="00E65DEF">
            <w:pPr>
              <w:spacing w:before="6" w:after="6" w:line="288" w:lineRule="auto"/>
            </w:pPr>
          </w:p>
          <w:p w14:paraId="709A88E1" w14:textId="10FB2498" w:rsidR="000D016D" w:rsidRPr="000D016D" w:rsidRDefault="000D016D" w:rsidP="00E65DEF">
            <w:pPr>
              <w:spacing w:before="6" w:after="6" w:line="288" w:lineRule="auto"/>
            </w:pPr>
            <w:r w:rsidRPr="000D016D">
              <w:t>Zmiany te w</w:t>
            </w:r>
            <w:r w:rsidR="00BD19B1">
              <w:t>eszły</w:t>
            </w:r>
            <w:r w:rsidRPr="000D016D">
              <w:t xml:space="preserve"> w życie 21 listopada 2022 r.</w:t>
            </w:r>
          </w:p>
        </w:tc>
        <w:tc>
          <w:tcPr>
            <w:tcW w:w="4819" w:type="dxa"/>
          </w:tcPr>
          <w:p w14:paraId="73820603" w14:textId="77777777" w:rsidR="000D016D" w:rsidRPr="000D016D" w:rsidRDefault="000D016D" w:rsidP="00E65DEF">
            <w:pPr>
              <w:spacing w:before="6" w:after="6" w:line="288" w:lineRule="auto"/>
            </w:pPr>
            <w:r w:rsidRPr="000D016D">
              <w:t xml:space="preserve">Ustalono tryb uzyskania przez podmiot zatrudniający informacji pozwalających na zablokowanie przez ten podmiot dalszych wpłat do PPK w przypadku rozpoczęcia przez uczestnika PPK wypłat po 60. roku życia. </w:t>
            </w:r>
          </w:p>
          <w:p w14:paraId="5E2D9F0B" w14:textId="2517D2A5" w:rsidR="000D016D" w:rsidRPr="000D016D" w:rsidRDefault="000D016D" w:rsidP="005C27C1">
            <w:pPr>
              <w:spacing w:before="6" w:after="6" w:line="288" w:lineRule="auto"/>
            </w:pPr>
            <w:r w:rsidRPr="000D016D">
              <w:t xml:space="preserve">Jednocześnie, aby uchronić uczestników PPK przed udostępnianiem ich podmiotom zatrudniającym informacji o operacjach realizowanych na rachunku PPK, uchylono części obowiązków informacyjnych instytucji finansowych wobec podmiotów zatrudniających </w:t>
            </w:r>
            <w:r w:rsidR="005C27C1">
              <w:t>–</w:t>
            </w:r>
            <w:r w:rsidRPr="000D016D">
              <w:t xml:space="preserve"> dotyczących wypłat w razie poważnego zachorowania lub na pokrycie wkładu własnego przy kredycie hipotecznym. </w:t>
            </w:r>
          </w:p>
        </w:tc>
      </w:tr>
    </w:tbl>
    <w:p w14:paraId="597406E9" w14:textId="77777777" w:rsidR="000D016D" w:rsidRPr="000D016D" w:rsidRDefault="000D016D" w:rsidP="00E65DEF">
      <w:pPr>
        <w:spacing w:before="6" w:after="6" w:line="288" w:lineRule="auto"/>
        <w:rPr>
          <w:b/>
        </w:rPr>
      </w:pPr>
    </w:p>
    <w:p w14:paraId="5339FDDF" w14:textId="77777777" w:rsidR="000D016D" w:rsidRPr="000D016D" w:rsidRDefault="000D016D">
      <w:pPr>
        <w:pStyle w:val="Nagwek2"/>
        <w:numPr>
          <w:ilvl w:val="0"/>
          <w:numId w:val="26"/>
        </w:numPr>
        <w:spacing w:before="6" w:after="6" w:line="288" w:lineRule="auto"/>
      </w:pPr>
      <w:bookmarkStart w:id="101" w:name="_Toc121828644"/>
      <w:r w:rsidRPr="000D016D">
        <w:t>Akty wykonawcze</w:t>
      </w:r>
      <w:bookmarkEnd w:id="101"/>
      <w:r w:rsidRPr="000D016D">
        <w:t xml:space="preserve"> </w:t>
      </w:r>
    </w:p>
    <w:p w14:paraId="72CD3D0F" w14:textId="0DB7A0AE" w:rsidR="000D016D" w:rsidRDefault="000D016D" w:rsidP="00B51E48">
      <w:pPr>
        <w:spacing w:before="6" w:after="6" w:line="288" w:lineRule="auto"/>
        <w:jc w:val="both"/>
      </w:pPr>
      <w:r w:rsidRPr="000D016D">
        <w:t>Na podstawie delegacji zawartych w przepisach ustawy o PPK</w:t>
      </w:r>
      <w:r w:rsidR="0092714A">
        <w:t xml:space="preserve">, wydano </w:t>
      </w:r>
      <w:r w:rsidR="007874A8">
        <w:t>dzie</w:t>
      </w:r>
      <w:r w:rsidR="00034EA0">
        <w:t>więć</w:t>
      </w:r>
      <w:r w:rsidRPr="000D016D">
        <w:t xml:space="preserve"> rozporządze</w:t>
      </w:r>
      <w:r w:rsidR="0092714A">
        <w:t>ń</w:t>
      </w:r>
      <w:r w:rsidRPr="000D016D">
        <w:t>, wymienion</w:t>
      </w:r>
      <w:r w:rsidR="0092714A">
        <w:t>ych</w:t>
      </w:r>
      <w:r w:rsidRPr="000D016D">
        <w:t xml:space="preserve"> poniż</w:t>
      </w:r>
      <w:r w:rsidR="0092714A">
        <w:t>ej</w:t>
      </w:r>
      <w:r w:rsidRPr="000D016D">
        <w:t>.</w:t>
      </w:r>
    </w:p>
    <w:p w14:paraId="46AC5B9D" w14:textId="77777777" w:rsidR="00B065AF" w:rsidRPr="000D016D" w:rsidRDefault="00B065AF" w:rsidP="00E65DEF">
      <w:pPr>
        <w:spacing w:before="6" w:after="6" w:line="288" w:lineRule="auto"/>
      </w:pPr>
    </w:p>
    <w:tbl>
      <w:tblPr>
        <w:tblStyle w:val="Tabela-Siatka"/>
        <w:tblW w:w="0" w:type="auto"/>
        <w:tblLook w:val="04A0" w:firstRow="1" w:lastRow="0" w:firstColumn="1" w:lastColumn="0" w:noHBand="0" w:noVBand="1"/>
      </w:tblPr>
      <w:tblGrid>
        <w:gridCol w:w="384"/>
        <w:gridCol w:w="2687"/>
        <w:gridCol w:w="3202"/>
        <w:gridCol w:w="2789"/>
      </w:tblGrid>
      <w:tr w:rsidR="000D016D" w:rsidRPr="000D016D" w14:paraId="438ADE09" w14:textId="77777777" w:rsidTr="008D737D">
        <w:tc>
          <w:tcPr>
            <w:tcW w:w="3071" w:type="dxa"/>
            <w:gridSpan w:val="2"/>
          </w:tcPr>
          <w:p w14:paraId="5D4376EA" w14:textId="77777777" w:rsidR="000D016D" w:rsidRPr="000D016D" w:rsidRDefault="000D016D" w:rsidP="009C6432">
            <w:pPr>
              <w:spacing w:before="6" w:after="6" w:line="288" w:lineRule="auto"/>
              <w:rPr>
                <w:b/>
                <w:bCs/>
              </w:rPr>
            </w:pPr>
            <w:r w:rsidRPr="000D016D">
              <w:rPr>
                <w:b/>
                <w:bCs/>
              </w:rPr>
              <w:t>Podstawa prawna rozporządzenia</w:t>
            </w:r>
          </w:p>
        </w:tc>
        <w:tc>
          <w:tcPr>
            <w:tcW w:w="3202" w:type="dxa"/>
          </w:tcPr>
          <w:p w14:paraId="0035E9E5" w14:textId="77777777" w:rsidR="000D016D" w:rsidRPr="000D016D" w:rsidRDefault="000D016D" w:rsidP="009C6432">
            <w:pPr>
              <w:spacing w:before="6" w:after="6" w:line="288" w:lineRule="auto"/>
              <w:rPr>
                <w:b/>
                <w:bCs/>
              </w:rPr>
            </w:pPr>
            <w:r w:rsidRPr="000D016D">
              <w:rPr>
                <w:b/>
                <w:bCs/>
              </w:rPr>
              <w:t>Tytuł rozporządzenia oraz pozycja w Dzienniku Ustaw</w:t>
            </w:r>
          </w:p>
        </w:tc>
        <w:tc>
          <w:tcPr>
            <w:tcW w:w="2789" w:type="dxa"/>
          </w:tcPr>
          <w:p w14:paraId="2F5AA579" w14:textId="77777777" w:rsidR="000D016D" w:rsidRPr="000D016D" w:rsidRDefault="000D016D" w:rsidP="009C6432">
            <w:pPr>
              <w:spacing w:before="6" w:after="6" w:line="288" w:lineRule="auto"/>
              <w:rPr>
                <w:b/>
                <w:bCs/>
              </w:rPr>
            </w:pPr>
            <w:r w:rsidRPr="000D016D">
              <w:rPr>
                <w:b/>
                <w:bCs/>
              </w:rPr>
              <w:t>Uregulowane zagadnienia</w:t>
            </w:r>
          </w:p>
        </w:tc>
      </w:tr>
      <w:tr w:rsidR="000D016D" w:rsidRPr="000D016D" w14:paraId="6B770824" w14:textId="77777777" w:rsidTr="008D737D">
        <w:tc>
          <w:tcPr>
            <w:tcW w:w="384" w:type="dxa"/>
          </w:tcPr>
          <w:p w14:paraId="4174E7A5" w14:textId="77777777" w:rsidR="000D016D" w:rsidRPr="000D016D" w:rsidRDefault="000D016D" w:rsidP="009C6432">
            <w:pPr>
              <w:spacing w:before="6" w:after="6" w:line="288" w:lineRule="auto"/>
            </w:pPr>
            <w:r w:rsidRPr="000D016D">
              <w:t xml:space="preserve">1. </w:t>
            </w:r>
          </w:p>
        </w:tc>
        <w:tc>
          <w:tcPr>
            <w:tcW w:w="2687" w:type="dxa"/>
          </w:tcPr>
          <w:p w14:paraId="3CE77FC1" w14:textId="77777777" w:rsidR="000D016D" w:rsidRPr="000D016D" w:rsidRDefault="000D016D" w:rsidP="009C6432">
            <w:pPr>
              <w:spacing w:before="6" w:after="6" w:line="288" w:lineRule="auto"/>
            </w:pPr>
            <w:r w:rsidRPr="000D016D">
              <w:t>art. 23 ust. 12 ustawy o PPK</w:t>
            </w:r>
          </w:p>
        </w:tc>
        <w:tc>
          <w:tcPr>
            <w:tcW w:w="3202" w:type="dxa"/>
          </w:tcPr>
          <w:p w14:paraId="181CEEA6" w14:textId="598586D9" w:rsidR="000D016D" w:rsidRPr="000D016D" w:rsidRDefault="000D016D" w:rsidP="009C6432">
            <w:pPr>
              <w:spacing w:before="6" w:after="6" w:line="288" w:lineRule="auto"/>
            </w:pPr>
            <w:r w:rsidRPr="000D016D">
              <w:t>rozporządzenie Ministra Finansów z 12 czerwca 2019 r. w sprawie deklaracji o rezygnacji z dokonywania wpłat do pracowniczych planów kapitałowych (Dz.</w:t>
            </w:r>
            <w:r w:rsidR="00C12F49">
              <w:t xml:space="preserve"> </w:t>
            </w:r>
            <w:r w:rsidRPr="000D016D">
              <w:t>U. z 2019 r. poz. 1102)</w:t>
            </w:r>
          </w:p>
        </w:tc>
        <w:tc>
          <w:tcPr>
            <w:tcW w:w="2789" w:type="dxa"/>
          </w:tcPr>
          <w:p w14:paraId="28FC207C" w14:textId="77777777" w:rsidR="000D016D" w:rsidRPr="000D016D" w:rsidRDefault="000D016D" w:rsidP="009C6432">
            <w:pPr>
              <w:spacing w:before="6" w:after="6" w:line="288" w:lineRule="auto"/>
            </w:pPr>
            <w:r w:rsidRPr="000D016D">
              <w:t>W rozporządzeniu określono wzór deklaracji o rezygnacji z dokonywania wpłat do PPK oraz szczegółowy zakres zawartych w niej danych.</w:t>
            </w:r>
          </w:p>
        </w:tc>
      </w:tr>
      <w:tr w:rsidR="000D016D" w:rsidRPr="000D016D" w14:paraId="15D27EBB" w14:textId="77777777" w:rsidTr="008D737D">
        <w:tc>
          <w:tcPr>
            <w:tcW w:w="384" w:type="dxa"/>
          </w:tcPr>
          <w:p w14:paraId="508037C6" w14:textId="77777777" w:rsidR="000D016D" w:rsidRPr="000D016D" w:rsidRDefault="000D016D" w:rsidP="009C6432">
            <w:pPr>
              <w:spacing w:before="6" w:after="6" w:line="288" w:lineRule="auto"/>
            </w:pPr>
            <w:r w:rsidRPr="000D016D">
              <w:t>2.</w:t>
            </w:r>
          </w:p>
        </w:tc>
        <w:tc>
          <w:tcPr>
            <w:tcW w:w="2687" w:type="dxa"/>
          </w:tcPr>
          <w:p w14:paraId="61E899F1" w14:textId="77777777" w:rsidR="000D016D" w:rsidRPr="000D016D" w:rsidRDefault="000D016D" w:rsidP="009C6432">
            <w:pPr>
              <w:spacing w:before="6" w:after="6" w:line="288" w:lineRule="auto"/>
            </w:pPr>
            <w:r w:rsidRPr="000D016D">
              <w:t>art. 49 ust. 13 ustawy o PPK</w:t>
            </w:r>
          </w:p>
        </w:tc>
        <w:tc>
          <w:tcPr>
            <w:tcW w:w="3202" w:type="dxa"/>
          </w:tcPr>
          <w:p w14:paraId="3366ABC9" w14:textId="739FB48E" w:rsidR="000D016D" w:rsidRPr="000D016D" w:rsidRDefault="000D016D" w:rsidP="009C6432">
            <w:pPr>
              <w:spacing w:before="6" w:after="6" w:line="288" w:lineRule="auto"/>
            </w:pPr>
            <w:r w:rsidRPr="000D016D">
              <w:t xml:space="preserve">rozporządzenie Ministra Finansów z 13 czerwca 2019 r. w sprawie sposobu ustalania stopy referencyjnej i szczegółowego sposobu obliczania wynagrodzenia za osiągnięty wynik, pobieranego przez towarzystwa funduszy inwestycyjnych, powszechne </w:t>
            </w:r>
            <w:r w:rsidRPr="000D016D">
              <w:lastRenderedPageBreak/>
              <w:t>towarzystwa emerytalne, pracownicze towarzystwa emerytalne lub zakłady ubezpieczeń, umieszczone w Ewidencji Pracowniczych Planów Kapitałowych (Dz.</w:t>
            </w:r>
            <w:r w:rsidR="00C12F49">
              <w:t xml:space="preserve"> </w:t>
            </w:r>
            <w:r w:rsidRPr="000D016D">
              <w:t>U. z 2019 r. poz. 1198)</w:t>
            </w:r>
          </w:p>
        </w:tc>
        <w:tc>
          <w:tcPr>
            <w:tcW w:w="2789" w:type="dxa"/>
          </w:tcPr>
          <w:p w14:paraId="04D913D1" w14:textId="77777777" w:rsidR="000D016D" w:rsidRPr="000D016D" w:rsidRDefault="000D016D" w:rsidP="009C6432">
            <w:pPr>
              <w:spacing w:before="6" w:after="6" w:line="288" w:lineRule="auto"/>
            </w:pPr>
            <w:r w:rsidRPr="000D016D">
              <w:lastRenderedPageBreak/>
              <w:t xml:space="preserve">W rozporządzeniu określono sposób ustalania stopy referencyjnej oraz szczegółowy sposób obliczania wynagrodzenia za osiągnięty wynik. </w:t>
            </w:r>
          </w:p>
          <w:p w14:paraId="16D9EB95" w14:textId="77777777" w:rsidR="000D016D" w:rsidRPr="000D016D" w:rsidRDefault="000D016D" w:rsidP="009C6432">
            <w:pPr>
              <w:spacing w:before="6" w:after="6" w:line="288" w:lineRule="auto"/>
            </w:pPr>
          </w:p>
          <w:p w14:paraId="412F5E83" w14:textId="77777777" w:rsidR="000D016D" w:rsidRPr="000D016D" w:rsidRDefault="000D016D" w:rsidP="009C6432">
            <w:pPr>
              <w:spacing w:before="6" w:after="6" w:line="288" w:lineRule="auto"/>
              <w:rPr>
                <w:u w:val="single"/>
              </w:rPr>
            </w:pPr>
            <w:r w:rsidRPr="000D016D">
              <w:rPr>
                <w:u w:val="single"/>
              </w:rPr>
              <w:t>Uwagi:</w:t>
            </w:r>
          </w:p>
          <w:p w14:paraId="5149A7F2" w14:textId="77777777" w:rsidR="000D016D" w:rsidRPr="000D016D" w:rsidRDefault="000D016D" w:rsidP="009C6432">
            <w:pPr>
              <w:spacing w:before="6" w:after="6" w:line="288" w:lineRule="auto"/>
            </w:pPr>
            <w:r w:rsidRPr="000D016D">
              <w:lastRenderedPageBreak/>
              <w:t>Osiągnięcie w danym roku przez fundusz inwestycyjny, fundusz emerytalny lub subfundusz stopy zwrotu przewyższającej stopę referencyjną jest jedną z przesłanek dopuszczalności pobierania wynagrodzenia za osiągnięty wynik przez towarzystwo funduszy inwestycyjnych, powszechne towarzystwo emerytalne, pracownicze towarzystwo emerytalne lub zakład ubezpieczeń zarządzający PPK.</w:t>
            </w:r>
          </w:p>
          <w:p w14:paraId="11BCDF62" w14:textId="77777777" w:rsidR="000D016D" w:rsidRPr="000D016D" w:rsidRDefault="000D016D" w:rsidP="009C6432">
            <w:pPr>
              <w:spacing w:before="6" w:after="6" w:line="288" w:lineRule="auto"/>
            </w:pPr>
            <w:r w:rsidRPr="000D016D">
              <w:t>Stopę referencyjną ustala się z uwzględnieniem odpowiednich obiektywnych czynników ekonomicznych, w szczególności stopy zwrotu z papierów wartościowych wyemitowanych przez Skarb Państwa.</w:t>
            </w:r>
          </w:p>
        </w:tc>
      </w:tr>
      <w:tr w:rsidR="000D016D" w:rsidRPr="000D016D" w14:paraId="665E3303" w14:textId="77777777" w:rsidTr="008D737D">
        <w:tc>
          <w:tcPr>
            <w:tcW w:w="384" w:type="dxa"/>
          </w:tcPr>
          <w:p w14:paraId="47549464" w14:textId="77777777" w:rsidR="000D016D" w:rsidRPr="000D016D" w:rsidRDefault="000D016D" w:rsidP="009C6432">
            <w:pPr>
              <w:spacing w:before="6" w:after="6" w:line="288" w:lineRule="auto"/>
            </w:pPr>
            <w:r w:rsidRPr="000D016D">
              <w:lastRenderedPageBreak/>
              <w:t>3.</w:t>
            </w:r>
          </w:p>
        </w:tc>
        <w:tc>
          <w:tcPr>
            <w:tcW w:w="2687" w:type="dxa"/>
          </w:tcPr>
          <w:p w14:paraId="12CD8C9C" w14:textId="77777777" w:rsidR="000D016D" w:rsidRPr="000D016D" w:rsidRDefault="000D016D" w:rsidP="009C6432">
            <w:pPr>
              <w:spacing w:before="6" w:after="6" w:line="288" w:lineRule="auto"/>
            </w:pPr>
            <w:r w:rsidRPr="000D016D">
              <w:t>art. 60 ust. 9 ustawy o PPK</w:t>
            </w:r>
          </w:p>
        </w:tc>
        <w:tc>
          <w:tcPr>
            <w:tcW w:w="3202" w:type="dxa"/>
          </w:tcPr>
          <w:p w14:paraId="7297ECB3" w14:textId="4033A7F8" w:rsidR="000D016D" w:rsidRPr="000D016D" w:rsidRDefault="000D016D" w:rsidP="009C6432">
            <w:pPr>
              <w:spacing w:before="6" w:after="6" w:line="288" w:lineRule="auto"/>
            </w:pPr>
            <w:r w:rsidRPr="000D016D">
              <w:t>rozporządzenie Ministra Finansów z 5 marca 2019 r. w sprawie dokumentów dołączanych do oświadczenia o spełnianiu warunków koniecznych do umieszczenia w Ewidencji Pracowniczych Planów Kapitałowych (Dz.</w:t>
            </w:r>
            <w:r w:rsidR="00C12F49">
              <w:t xml:space="preserve"> </w:t>
            </w:r>
            <w:r w:rsidRPr="000D016D">
              <w:t>U. z 2019 r. poz. 467)</w:t>
            </w:r>
          </w:p>
        </w:tc>
        <w:tc>
          <w:tcPr>
            <w:tcW w:w="2789" w:type="dxa"/>
          </w:tcPr>
          <w:p w14:paraId="4960796D" w14:textId="77777777" w:rsidR="000D016D" w:rsidRPr="000D016D" w:rsidRDefault="000D016D" w:rsidP="009C6432">
            <w:pPr>
              <w:spacing w:before="6" w:after="6" w:line="288" w:lineRule="auto"/>
            </w:pPr>
            <w:r w:rsidRPr="000D016D">
              <w:t xml:space="preserve">W rozporządzeniu określono dokumenty, które towarzystwo funduszy inwestycyjnych, powszechne towarzystwo emerytalne, pracownicze towarzystwo emerytalne lub zakład ubezpieczeń dołącza do oświadczenia o spełnianiu warunków koniecznych do umieszczenia w ewidencji PPK. </w:t>
            </w:r>
          </w:p>
          <w:p w14:paraId="151F21BE" w14:textId="77777777" w:rsidR="000D016D" w:rsidRPr="000D016D" w:rsidRDefault="000D016D" w:rsidP="009C6432">
            <w:pPr>
              <w:spacing w:before="6" w:after="6" w:line="288" w:lineRule="auto"/>
              <w:rPr>
                <w:b/>
                <w:bCs/>
              </w:rPr>
            </w:pPr>
            <w:r w:rsidRPr="000D016D">
              <w:t xml:space="preserve">Oświadczenie to, wraz z dołączonymi dokumentami, towarzystwo funduszy inwestycyjnych, </w:t>
            </w:r>
            <w:r w:rsidR="00B77905">
              <w:t>powszechne towarzystwo emerytalne</w:t>
            </w:r>
            <w:r w:rsidRPr="000D016D">
              <w:t xml:space="preserve">, pracownicze towarzystwo </w:t>
            </w:r>
            <w:r w:rsidRPr="000D016D">
              <w:lastRenderedPageBreak/>
              <w:t xml:space="preserve">emerytalne lub zakład ubezpieczeń składa PFR </w:t>
            </w:r>
            <w:r w:rsidR="00B77905">
              <w:t xml:space="preserve">S.A. </w:t>
            </w:r>
            <w:r w:rsidRPr="000D016D">
              <w:t>oraz KNF.</w:t>
            </w:r>
          </w:p>
        </w:tc>
      </w:tr>
      <w:tr w:rsidR="000D016D" w:rsidRPr="000D016D" w14:paraId="68BD919F" w14:textId="77777777" w:rsidTr="008D737D">
        <w:tc>
          <w:tcPr>
            <w:tcW w:w="384" w:type="dxa"/>
          </w:tcPr>
          <w:p w14:paraId="46D7F4BF" w14:textId="77777777" w:rsidR="000D016D" w:rsidRPr="000D016D" w:rsidRDefault="000D016D" w:rsidP="009C6432">
            <w:pPr>
              <w:spacing w:before="6" w:after="6" w:line="288" w:lineRule="auto"/>
            </w:pPr>
            <w:r w:rsidRPr="000D016D">
              <w:lastRenderedPageBreak/>
              <w:t>4.</w:t>
            </w:r>
          </w:p>
        </w:tc>
        <w:tc>
          <w:tcPr>
            <w:tcW w:w="2687" w:type="dxa"/>
          </w:tcPr>
          <w:p w14:paraId="65D52A7C" w14:textId="77777777" w:rsidR="000D016D" w:rsidRPr="000D016D" w:rsidRDefault="000D016D" w:rsidP="009C6432">
            <w:pPr>
              <w:spacing w:before="6" w:after="6" w:line="288" w:lineRule="auto"/>
            </w:pPr>
            <w:r w:rsidRPr="000D016D">
              <w:t>art. 67 ust. 3 ustawy o PPK</w:t>
            </w:r>
          </w:p>
        </w:tc>
        <w:tc>
          <w:tcPr>
            <w:tcW w:w="3202" w:type="dxa"/>
          </w:tcPr>
          <w:p w14:paraId="3DCBD4DA" w14:textId="6A8B9C22" w:rsidR="000D016D" w:rsidRPr="000D016D" w:rsidRDefault="000D016D" w:rsidP="009C6432">
            <w:pPr>
              <w:spacing w:before="6" w:after="6" w:line="288" w:lineRule="auto"/>
            </w:pPr>
            <w:r w:rsidRPr="000D016D">
              <w:t>rozporządzenie Ministra Finansów z 21 marca 2019 r. w sprawie opłaty za prowadzenie Ewidencji Pracowniczych Planów Kapitałowych oraz realizację obowiązków, o których mowa w art. 8 ust. 4 i 5 ustawy o pracowniczych planach kapitałowych (Dz.</w:t>
            </w:r>
            <w:r w:rsidR="00C12F49">
              <w:t xml:space="preserve"> </w:t>
            </w:r>
            <w:r w:rsidRPr="000D016D">
              <w:t>U. z 2019 r. poz. 613)</w:t>
            </w:r>
          </w:p>
        </w:tc>
        <w:tc>
          <w:tcPr>
            <w:tcW w:w="2789" w:type="dxa"/>
          </w:tcPr>
          <w:p w14:paraId="4FB1880F" w14:textId="77777777" w:rsidR="000D016D" w:rsidRPr="000D016D" w:rsidRDefault="000D016D" w:rsidP="009C6432">
            <w:pPr>
              <w:spacing w:before="6" w:after="6" w:line="288" w:lineRule="auto"/>
            </w:pPr>
            <w:r w:rsidRPr="000D016D">
              <w:t>W rozporządzeniu określono wysokość i sposób obliczania opłaty miesięcznej ponoszonej przez towarzystwo funduszy inwestycyjnych, powszechne towarzystwo emerytalne, pracownicze towarzystwo emerytalne lub zakład ubezpieczeń, umieszczone w ewidencji PPK, na rzecz PFR</w:t>
            </w:r>
            <w:r w:rsidR="006D6A09">
              <w:t xml:space="preserve"> S.A.</w:t>
            </w:r>
            <w:r w:rsidRPr="000D016D">
              <w:t>, a także terminy uiszczania tej opłaty.</w:t>
            </w:r>
          </w:p>
        </w:tc>
      </w:tr>
      <w:tr w:rsidR="000D016D" w:rsidRPr="000D016D" w14:paraId="511FF81E" w14:textId="77777777" w:rsidTr="008D737D">
        <w:tc>
          <w:tcPr>
            <w:tcW w:w="384" w:type="dxa"/>
          </w:tcPr>
          <w:p w14:paraId="4B88695C" w14:textId="77777777" w:rsidR="000D016D" w:rsidRPr="000D016D" w:rsidRDefault="000D016D" w:rsidP="009C6432">
            <w:pPr>
              <w:spacing w:before="6" w:after="6" w:line="288" w:lineRule="auto"/>
            </w:pPr>
            <w:r w:rsidRPr="000D016D">
              <w:t>5.</w:t>
            </w:r>
          </w:p>
        </w:tc>
        <w:tc>
          <w:tcPr>
            <w:tcW w:w="2687" w:type="dxa"/>
          </w:tcPr>
          <w:p w14:paraId="4B3EDE24" w14:textId="77777777" w:rsidR="000D016D" w:rsidRPr="000D016D" w:rsidRDefault="000D016D" w:rsidP="009C6432">
            <w:pPr>
              <w:spacing w:before="6" w:after="6" w:line="288" w:lineRule="auto"/>
            </w:pPr>
            <w:r w:rsidRPr="000D016D">
              <w:t>art. 79 ust. 4 ustawy o PPK</w:t>
            </w:r>
          </w:p>
        </w:tc>
        <w:tc>
          <w:tcPr>
            <w:tcW w:w="3202" w:type="dxa"/>
          </w:tcPr>
          <w:p w14:paraId="45DCDE40" w14:textId="4FADE45B" w:rsidR="000D016D" w:rsidRPr="000D016D" w:rsidRDefault="000D016D" w:rsidP="009C6432">
            <w:pPr>
              <w:spacing w:before="6" w:after="6" w:line="288" w:lineRule="auto"/>
            </w:pPr>
            <w:r w:rsidRPr="000D016D">
              <w:t>rozporządzenie Ministra Finansów z 22 lutego 2019 r. w sprawie wysokości opłaty za utworzenie i prowadzenie portalu PPK oraz wysokości stawki opłaty za udział w tym portalu (Dz.</w:t>
            </w:r>
            <w:r w:rsidR="00C12F49">
              <w:t xml:space="preserve"> </w:t>
            </w:r>
            <w:r w:rsidRPr="000D016D">
              <w:t>U. z 2019 r. poz. 416)</w:t>
            </w:r>
          </w:p>
        </w:tc>
        <w:tc>
          <w:tcPr>
            <w:tcW w:w="2789" w:type="dxa"/>
          </w:tcPr>
          <w:p w14:paraId="4547088E" w14:textId="77777777" w:rsidR="000D016D" w:rsidRPr="000D016D" w:rsidRDefault="000D016D" w:rsidP="009C6432">
            <w:pPr>
              <w:spacing w:before="6" w:after="6" w:line="288" w:lineRule="auto"/>
            </w:pPr>
            <w:r w:rsidRPr="000D016D">
              <w:t>W rozporządzeniu określono: wysokość opłaty wstępnej oraz wysokość stawki opłaty rocznej, które towarzystwo funduszy inwestycyjnych, powszechne towarzystwo emerytalne, pracownicze towarzystwo emerytalne oraz zakład ubezpieczeń, umieszczone w ewidencji PPK, wnoszą na rzecz PFR Portal PPK sp. z o.o.</w:t>
            </w:r>
          </w:p>
        </w:tc>
      </w:tr>
      <w:tr w:rsidR="000D016D" w:rsidRPr="000D016D" w14:paraId="3FC05B87" w14:textId="77777777" w:rsidTr="008D737D">
        <w:tc>
          <w:tcPr>
            <w:tcW w:w="384" w:type="dxa"/>
          </w:tcPr>
          <w:p w14:paraId="527E6A25" w14:textId="77777777" w:rsidR="000D016D" w:rsidRPr="000D016D" w:rsidRDefault="000D016D" w:rsidP="009C6432">
            <w:pPr>
              <w:spacing w:before="6" w:after="6" w:line="288" w:lineRule="auto"/>
            </w:pPr>
            <w:r w:rsidRPr="000D016D">
              <w:t>6.</w:t>
            </w:r>
          </w:p>
        </w:tc>
        <w:tc>
          <w:tcPr>
            <w:tcW w:w="2687" w:type="dxa"/>
          </w:tcPr>
          <w:p w14:paraId="56BADFB6" w14:textId="77777777" w:rsidR="000D016D" w:rsidRPr="000D016D" w:rsidRDefault="000D016D" w:rsidP="009C6432">
            <w:pPr>
              <w:spacing w:before="6" w:after="6" w:line="288" w:lineRule="auto"/>
            </w:pPr>
            <w:r w:rsidRPr="000D016D">
              <w:t>art. 104 ust. 5 ustawy o PPK</w:t>
            </w:r>
          </w:p>
        </w:tc>
        <w:tc>
          <w:tcPr>
            <w:tcW w:w="3202" w:type="dxa"/>
          </w:tcPr>
          <w:p w14:paraId="5A2533E4" w14:textId="7477C96A" w:rsidR="000D016D" w:rsidRPr="000D016D" w:rsidRDefault="000D016D" w:rsidP="009C6432">
            <w:pPr>
              <w:spacing w:before="6" w:after="6" w:line="288" w:lineRule="auto"/>
            </w:pPr>
            <w:r w:rsidRPr="000D016D">
              <w:t>rozporządzenie Ministra Finansów z 21 sierpnia 2019 r. w sprawie sporządzania i przekazywania przez wybraną instytucję finansową informacji dotyczącej uczestnika pracowniczego planu kapitałowego, z którego rachunku ma zostać dokonana wypłata transferowa (Dz.</w:t>
            </w:r>
            <w:r w:rsidR="00C12F49">
              <w:t xml:space="preserve"> </w:t>
            </w:r>
            <w:r w:rsidRPr="000D016D">
              <w:t>U. z 2019 r. poz. 1742)</w:t>
            </w:r>
          </w:p>
        </w:tc>
        <w:tc>
          <w:tcPr>
            <w:tcW w:w="2789" w:type="dxa"/>
          </w:tcPr>
          <w:p w14:paraId="60448572" w14:textId="77777777" w:rsidR="000D016D" w:rsidRPr="000D016D" w:rsidRDefault="000D016D" w:rsidP="009C6432">
            <w:pPr>
              <w:spacing w:before="6" w:after="6" w:line="288" w:lineRule="auto"/>
            </w:pPr>
            <w:r w:rsidRPr="000D016D">
              <w:t>W rozporządzeniu określono sposób sporządzania informacji dotyczącej uczestnika PPK, z którego rachunku PPK ma zostać dokonana wypłata transferowa, tryb przekazywania tej informacji oraz jej wzór.</w:t>
            </w:r>
          </w:p>
        </w:tc>
      </w:tr>
      <w:tr w:rsidR="000D016D" w:rsidRPr="000D016D" w14:paraId="192613EB" w14:textId="77777777" w:rsidTr="008D737D">
        <w:tc>
          <w:tcPr>
            <w:tcW w:w="384" w:type="dxa"/>
          </w:tcPr>
          <w:p w14:paraId="51842036" w14:textId="77777777" w:rsidR="000D016D" w:rsidRPr="000D016D" w:rsidRDefault="000D016D" w:rsidP="009C6432">
            <w:pPr>
              <w:spacing w:before="6" w:after="6" w:line="288" w:lineRule="auto"/>
            </w:pPr>
            <w:r w:rsidRPr="000D016D">
              <w:t>7.</w:t>
            </w:r>
          </w:p>
        </w:tc>
        <w:tc>
          <w:tcPr>
            <w:tcW w:w="2687" w:type="dxa"/>
          </w:tcPr>
          <w:p w14:paraId="54D48D1C" w14:textId="77777777" w:rsidR="000D016D" w:rsidRPr="000D016D" w:rsidRDefault="000D016D" w:rsidP="009C6432">
            <w:pPr>
              <w:spacing w:before="6" w:after="6" w:line="288" w:lineRule="auto"/>
            </w:pPr>
            <w:r w:rsidRPr="000D016D">
              <w:t>art. 105 ust. 7 ustawy o PPK</w:t>
            </w:r>
          </w:p>
        </w:tc>
        <w:tc>
          <w:tcPr>
            <w:tcW w:w="3202" w:type="dxa"/>
          </w:tcPr>
          <w:p w14:paraId="79364EAC" w14:textId="0927372B" w:rsidR="000D016D" w:rsidRPr="000D016D" w:rsidRDefault="000D016D" w:rsidP="009C6432">
            <w:pPr>
              <w:spacing w:before="6" w:after="6" w:line="288" w:lineRule="auto"/>
            </w:pPr>
            <w:r w:rsidRPr="000D016D">
              <w:t xml:space="preserve">rozporządzenie Ministra Rodziny, Pracy i Polityki Społecznej z 21 maja 2019 r. w sprawie </w:t>
            </w:r>
            <w:r w:rsidRPr="000D016D">
              <w:lastRenderedPageBreak/>
              <w:t>określenia zakresu danych zawartych w dokumencie płatniczym przekazywanym przez instytucję finansową do Zakładu Ubezpieczeń Społecznych oraz sposobu i trybu przeliczania przekazanych kwot na podstawę wymiaru świadczenia (Dz.</w:t>
            </w:r>
            <w:r w:rsidR="00C12F49">
              <w:t xml:space="preserve"> </w:t>
            </w:r>
            <w:r w:rsidRPr="000D016D">
              <w:t>U. z 2019 r. poz. 1034)</w:t>
            </w:r>
          </w:p>
        </w:tc>
        <w:tc>
          <w:tcPr>
            <w:tcW w:w="2789" w:type="dxa"/>
          </w:tcPr>
          <w:p w14:paraId="33752514" w14:textId="77777777" w:rsidR="000D016D" w:rsidRPr="000D016D" w:rsidRDefault="000D016D" w:rsidP="009C6432">
            <w:pPr>
              <w:spacing w:before="6" w:after="6" w:line="288" w:lineRule="auto"/>
            </w:pPr>
            <w:r w:rsidRPr="000D016D">
              <w:lastRenderedPageBreak/>
              <w:t xml:space="preserve">W rozporządzeniu określono szczegółowy zakres danych podawanych przez </w:t>
            </w:r>
            <w:r w:rsidRPr="000D016D">
              <w:lastRenderedPageBreak/>
              <w:t xml:space="preserve">instytucję finansową na dokumencie płatniczym przy przekazywaniu na rachunek bankowy wskazany przez ZUS: </w:t>
            </w:r>
          </w:p>
          <w:p w14:paraId="301C4F33" w14:textId="1DF8DD2F" w:rsidR="000D016D" w:rsidRPr="000D016D" w:rsidRDefault="000D016D" w:rsidP="009C6432">
            <w:pPr>
              <w:spacing w:before="6" w:after="6" w:line="288" w:lineRule="auto"/>
            </w:pPr>
            <w:r w:rsidRPr="000D016D">
              <w:t xml:space="preserve">a) w przypadku zwrotu (czyli wycofania środków przed osiągnięciem 60. roku życia) na wniosek uczestnika PPK </w:t>
            </w:r>
            <w:r w:rsidR="005C27C1">
              <w:t>–</w:t>
            </w:r>
            <w:r w:rsidRPr="000D016D">
              <w:t xml:space="preserve"> 30% środków pochodzących z wpłat sfinansowanych przez podmiot zatrudniający;</w:t>
            </w:r>
          </w:p>
          <w:p w14:paraId="491736B0" w14:textId="77777777" w:rsidR="000D016D" w:rsidRPr="000D016D" w:rsidRDefault="000D016D" w:rsidP="009C6432">
            <w:pPr>
              <w:spacing w:before="6" w:after="6" w:line="288" w:lineRule="auto"/>
            </w:pPr>
            <w:r w:rsidRPr="000D016D">
              <w:t xml:space="preserve">b) w przypadku zwrotu na rzecz małżonka uczestnika PPK albo byłego małżonka uczestnika PPK, w wyniku podziału majątku wspólnego małżonków – 30% środków pochodzących z wpłat sfinansowanych przez podmiot zatrudniający na rzecz uczestnika PPK, w części przypadającej w wyniku podziału majątku wspólnego małżonków na tego małżonka albo byłego małżonka uczestnika PPK, </w:t>
            </w:r>
          </w:p>
          <w:p w14:paraId="1A99CBA4" w14:textId="77777777" w:rsidR="000D016D" w:rsidRPr="000D016D" w:rsidRDefault="000D016D" w:rsidP="009C6432">
            <w:pPr>
              <w:spacing w:before="6" w:after="6" w:line="288" w:lineRule="auto"/>
            </w:pPr>
            <w:r w:rsidRPr="000D016D">
              <w:t>a także sposób i tryb przeliczania tych kwot w celu ich uwzględnienia przy ustalaniu podstawy wymiaru emerytury.</w:t>
            </w:r>
          </w:p>
        </w:tc>
      </w:tr>
      <w:tr w:rsidR="009A6934" w:rsidRPr="000D016D" w14:paraId="0F6C31A9" w14:textId="77777777" w:rsidTr="009A6934">
        <w:tc>
          <w:tcPr>
            <w:tcW w:w="384" w:type="dxa"/>
          </w:tcPr>
          <w:p w14:paraId="64D6E0D5" w14:textId="77777777" w:rsidR="009A6934" w:rsidRPr="000D016D" w:rsidRDefault="009A6934" w:rsidP="00565F87">
            <w:pPr>
              <w:spacing w:before="6" w:after="6" w:line="288" w:lineRule="auto"/>
            </w:pPr>
            <w:r>
              <w:lastRenderedPageBreak/>
              <w:t xml:space="preserve">8. </w:t>
            </w:r>
          </w:p>
        </w:tc>
        <w:tc>
          <w:tcPr>
            <w:tcW w:w="2687" w:type="dxa"/>
          </w:tcPr>
          <w:p w14:paraId="227C29A4" w14:textId="3C71E062" w:rsidR="009A6934" w:rsidRPr="000D016D" w:rsidRDefault="009A6934" w:rsidP="00565F87">
            <w:pPr>
              <w:spacing w:before="6" w:after="6" w:line="288" w:lineRule="auto"/>
            </w:pPr>
            <w:r>
              <w:t>Art. 104 ust.</w:t>
            </w:r>
            <w:r w:rsidR="00E256AA">
              <w:t xml:space="preserve"> </w:t>
            </w:r>
            <w:r>
              <w:t xml:space="preserve">5 </w:t>
            </w:r>
            <w:r w:rsidR="003B0551">
              <w:t>ustawy o PPK</w:t>
            </w:r>
          </w:p>
        </w:tc>
        <w:tc>
          <w:tcPr>
            <w:tcW w:w="3202" w:type="dxa"/>
          </w:tcPr>
          <w:p w14:paraId="42411867" w14:textId="589BF54C" w:rsidR="00F435A4" w:rsidRDefault="009A6934" w:rsidP="00565F87">
            <w:pPr>
              <w:spacing w:before="6" w:after="6" w:line="288" w:lineRule="auto"/>
            </w:pPr>
            <w:r w:rsidRPr="00FB04B5">
              <w:t xml:space="preserve">Rozporządzenie Ministra Finansów z 18 października </w:t>
            </w:r>
          </w:p>
          <w:p w14:paraId="10563F63" w14:textId="6F3DE063" w:rsidR="009A6934" w:rsidRPr="000D016D" w:rsidRDefault="009A6934" w:rsidP="00565F87">
            <w:pPr>
              <w:spacing w:before="6" w:after="6" w:line="288" w:lineRule="auto"/>
            </w:pPr>
            <w:r w:rsidRPr="00FB04B5">
              <w:t xml:space="preserve">2022 r. zmieniające rozporządzenie w sprawie sporządzania i przekazywania przez wybraną instytucję finansową informacji dotyczącej uczestnika pracowniczego planu kapitałowego, z którego rachunku ma zostać dokonana </w:t>
            </w:r>
            <w:r w:rsidRPr="00FB04B5">
              <w:lastRenderedPageBreak/>
              <w:t>wypłata transferowa</w:t>
            </w:r>
            <w:r w:rsidR="00BF1C19">
              <w:t xml:space="preserve"> </w:t>
            </w:r>
            <w:r w:rsidR="00B90030">
              <w:t>(Dz.</w:t>
            </w:r>
            <w:r w:rsidR="00C12F49">
              <w:t xml:space="preserve"> </w:t>
            </w:r>
            <w:r w:rsidR="00B90030">
              <w:t xml:space="preserve">U. z 2022 r. poz. </w:t>
            </w:r>
            <w:r w:rsidR="00F64DFA">
              <w:t>2163)</w:t>
            </w:r>
            <w:r w:rsidR="00B90030">
              <w:t xml:space="preserve"> </w:t>
            </w:r>
          </w:p>
        </w:tc>
        <w:tc>
          <w:tcPr>
            <w:tcW w:w="2789" w:type="dxa"/>
          </w:tcPr>
          <w:p w14:paraId="57CA8564" w14:textId="0E7F45BE" w:rsidR="009A6934" w:rsidRPr="000D016D" w:rsidRDefault="009A6934" w:rsidP="00565F87">
            <w:pPr>
              <w:spacing w:before="6" w:after="6" w:line="288" w:lineRule="auto"/>
            </w:pPr>
            <w:r>
              <w:lastRenderedPageBreak/>
              <w:t>W rozporządzeniu określono podmiot zatrudniający</w:t>
            </w:r>
            <w:r w:rsidR="0005691C">
              <w:t xml:space="preserve">, zgodnie z definicją zawartą </w:t>
            </w:r>
            <w:r w:rsidR="006D05B5">
              <w:t>w ustawie o PPK.</w:t>
            </w:r>
          </w:p>
        </w:tc>
      </w:tr>
      <w:tr w:rsidR="006D05B5" w:rsidRPr="000D016D" w14:paraId="73A650D4" w14:textId="77777777" w:rsidTr="009A6934">
        <w:tc>
          <w:tcPr>
            <w:tcW w:w="384" w:type="dxa"/>
          </w:tcPr>
          <w:p w14:paraId="2B9284A7" w14:textId="22789E21" w:rsidR="006D05B5" w:rsidRDefault="006D05B5" w:rsidP="00565F87">
            <w:pPr>
              <w:spacing w:before="6" w:after="6" w:line="288" w:lineRule="auto"/>
            </w:pPr>
            <w:r>
              <w:t>9.</w:t>
            </w:r>
          </w:p>
        </w:tc>
        <w:tc>
          <w:tcPr>
            <w:tcW w:w="2687" w:type="dxa"/>
          </w:tcPr>
          <w:p w14:paraId="2EF7B676" w14:textId="51D3EA5B" w:rsidR="006D05B5" w:rsidRDefault="0082580E" w:rsidP="00565F87">
            <w:pPr>
              <w:spacing w:before="6" w:after="6" w:line="288" w:lineRule="auto"/>
            </w:pPr>
            <w:r>
              <w:t>Art. 23 ust. 12 ustawy o PPK</w:t>
            </w:r>
          </w:p>
        </w:tc>
        <w:tc>
          <w:tcPr>
            <w:tcW w:w="3202" w:type="dxa"/>
          </w:tcPr>
          <w:p w14:paraId="701FA4C1" w14:textId="2E06E394" w:rsidR="006D05B5" w:rsidRPr="00FB04B5" w:rsidRDefault="006C3B02" w:rsidP="00565F87">
            <w:pPr>
              <w:spacing w:before="6" w:after="6" w:line="288" w:lineRule="auto"/>
            </w:pPr>
            <w:r w:rsidRPr="006C3B02">
              <w:t xml:space="preserve">Rozporządzenie Ministra Finansów </w:t>
            </w:r>
            <w:r w:rsidR="00F455B6">
              <w:t xml:space="preserve">z 1 listopada 2022 r. </w:t>
            </w:r>
            <w:r w:rsidRPr="006C3B02">
              <w:t>zmieniające rozporządzenie w sprawie deklaracji o rezygnacji z dokonywania wpłat do pracowniczych planów kapitałowych</w:t>
            </w:r>
            <w:r w:rsidR="00F455B6">
              <w:t xml:space="preserve"> (Dz.</w:t>
            </w:r>
            <w:r w:rsidR="00C12F49">
              <w:t xml:space="preserve"> </w:t>
            </w:r>
            <w:r w:rsidR="00F455B6">
              <w:t xml:space="preserve">U. z </w:t>
            </w:r>
            <w:r w:rsidR="002629E0">
              <w:t>2022 r. poz. 2357)</w:t>
            </w:r>
          </w:p>
        </w:tc>
        <w:tc>
          <w:tcPr>
            <w:tcW w:w="2789" w:type="dxa"/>
          </w:tcPr>
          <w:p w14:paraId="090082CB" w14:textId="23C76F3F" w:rsidR="006D05B5" w:rsidRDefault="006C3B02" w:rsidP="00565F87">
            <w:pPr>
              <w:spacing w:before="6" w:after="6" w:line="288" w:lineRule="auto"/>
            </w:pPr>
            <w:r w:rsidRPr="006C3B02">
              <w:t>W rozporządzeniu określono podmiot zatrudniający, zgodnie z definicją zawartą w ustawie o PPK.</w:t>
            </w:r>
          </w:p>
        </w:tc>
      </w:tr>
    </w:tbl>
    <w:p w14:paraId="2940F555" w14:textId="77777777" w:rsidR="002109A6" w:rsidRDefault="002109A6" w:rsidP="009C6432">
      <w:pPr>
        <w:spacing w:before="6" w:after="6" w:line="288" w:lineRule="auto"/>
      </w:pPr>
    </w:p>
    <w:p w14:paraId="3C1073D4" w14:textId="77777777" w:rsidR="002109A6" w:rsidRPr="004F2940" w:rsidRDefault="002109A6" w:rsidP="009C6432">
      <w:pPr>
        <w:spacing w:before="6" w:after="6" w:line="288" w:lineRule="auto"/>
      </w:pPr>
    </w:p>
    <w:p w14:paraId="5E385D76" w14:textId="77777777" w:rsidR="004F2940" w:rsidRPr="00A8114A" w:rsidRDefault="004F2940">
      <w:pPr>
        <w:pStyle w:val="Nagwek1"/>
        <w:numPr>
          <w:ilvl w:val="0"/>
          <w:numId w:val="22"/>
        </w:numPr>
        <w:spacing w:before="6" w:after="6" w:line="288" w:lineRule="auto"/>
        <w:jc w:val="both"/>
      </w:pPr>
      <w:bookmarkStart w:id="102" w:name="_Toc121828645"/>
      <w:r w:rsidRPr="00A8114A">
        <w:t>Wnioski</w:t>
      </w:r>
      <w:r w:rsidR="00A71002">
        <w:t xml:space="preserve"> i postulaty legislacyjne</w:t>
      </w:r>
      <w:bookmarkEnd w:id="102"/>
    </w:p>
    <w:p w14:paraId="336662B7" w14:textId="1CB52F03" w:rsidR="00E26366" w:rsidRPr="00E26366" w:rsidRDefault="00E26366" w:rsidP="00DB6E01">
      <w:pPr>
        <w:spacing w:before="6" w:after="6" w:line="288" w:lineRule="auto"/>
        <w:jc w:val="both"/>
      </w:pPr>
      <w:r w:rsidRPr="00E26366">
        <w:t>Podstawowy cel</w:t>
      </w:r>
      <w:r w:rsidR="009B3ACC">
        <w:t>,</w:t>
      </w:r>
      <w:r w:rsidRPr="00E26366">
        <w:t xml:space="preserve"> jaki przyświecał powołaniu do życia pracowniczych planów kapitałowych, czyli</w:t>
      </w:r>
      <w:r w:rsidR="00F52443">
        <w:t> </w:t>
      </w:r>
      <w:r w:rsidRPr="00E26366">
        <w:t>stworzenie nowego –</w:t>
      </w:r>
      <w:r w:rsidR="003470B1">
        <w:t xml:space="preserve"> </w:t>
      </w:r>
      <w:r w:rsidR="008C62FD">
        <w:t>ogólnodostępnego</w:t>
      </w:r>
      <w:r w:rsidR="003470B1">
        <w:t xml:space="preserve"> </w:t>
      </w:r>
      <w:r w:rsidRPr="00E26366">
        <w:t>– programu długoterminowego oszczędzania</w:t>
      </w:r>
      <w:r w:rsidR="009B3ACC">
        <w:t>,</w:t>
      </w:r>
      <w:r w:rsidRPr="00E26366">
        <w:t xml:space="preserve"> został zrealizowany. Pracownicze plany kapitałowe działają już 4</w:t>
      </w:r>
      <w:r w:rsidR="009B3ACC">
        <w:t>.</w:t>
      </w:r>
      <w:r w:rsidRPr="00E26366">
        <w:t xml:space="preserve"> rok i z roku na rok przybywa zarówno pracodawców prowadzących ten program</w:t>
      </w:r>
      <w:r w:rsidR="009B3ACC">
        <w:t>,</w:t>
      </w:r>
      <w:r w:rsidRPr="00E26366">
        <w:t xml:space="preserve"> jak i jego uczestników. </w:t>
      </w:r>
      <w:r w:rsidR="0058653C">
        <w:t>W</w:t>
      </w:r>
      <w:r w:rsidR="00437E50">
        <w:t>edług stanu na 31 sierpnia 20</w:t>
      </w:r>
      <w:r w:rsidR="0058653C">
        <w:t>22</w:t>
      </w:r>
      <w:r w:rsidR="002A3248">
        <w:t xml:space="preserve"> </w:t>
      </w:r>
      <w:r w:rsidR="0058653C">
        <w:t>r.</w:t>
      </w:r>
      <w:r w:rsidR="009B3330">
        <w:t xml:space="preserve"> </w:t>
      </w:r>
      <w:r w:rsidR="00247FE6" w:rsidRPr="00247FE6">
        <w:t>294,60</w:t>
      </w:r>
      <w:r w:rsidR="00023277" w:rsidRPr="00023277">
        <w:t xml:space="preserve"> tys.</w:t>
      </w:r>
      <w:r w:rsidR="00023277">
        <w:t xml:space="preserve"> </w:t>
      </w:r>
      <w:r w:rsidR="00023277" w:rsidRPr="00023277">
        <w:t xml:space="preserve">podmiotów </w:t>
      </w:r>
      <w:r w:rsidR="00023277">
        <w:t xml:space="preserve">zatrudniających </w:t>
      </w:r>
      <w:r w:rsidR="00023277" w:rsidRPr="00023277">
        <w:t xml:space="preserve">umożliwia swoim pracownikom udział w </w:t>
      </w:r>
      <w:r w:rsidR="002003F0">
        <w:t>p</w:t>
      </w:r>
      <w:r w:rsidR="00023277" w:rsidRPr="00023277">
        <w:t xml:space="preserve">racowniczych </w:t>
      </w:r>
      <w:r w:rsidR="002003F0">
        <w:t>p</w:t>
      </w:r>
      <w:r w:rsidR="00023277" w:rsidRPr="00023277">
        <w:t xml:space="preserve">lanach </w:t>
      </w:r>
      <w:r w:rsidR="002003F0">
        <w:t>k</w:t>
      </w:r>
      <w:r w:rsidR="00023277" w:rsidRPr="00023277">
        <w:t>apitałowych</w:t>
      </w:r>
      <w:r w:rsidR="002003F0">
        <w:t>. A z możliwoś</w:t>
      </w:r>
      <w:r w:rsidR="00E1605D">
        <w:t xml:space="preserve">ci oszczędzania w PPK korzysta </w:t>
      </w:r>
      <w:r w:rsidR="002003F0">
        <w:t>już 2,44 mln osób.</w:t>
      </w:r>
    </w:p>
    <w:p w14:paraId="79E5E111" w14:textId="4FB1FA44" w:rsidR="00E26366" w:rsidRPr="00E26366" w:rsidRDefault="00E26366" w:rsidP="00DB6E01">
      <w:pPr>
        <w:spacing w:before="6" w:after="6" w:line="288" w:lineRule="auto"/>
        <w:jc w:val="both"/>
      </w:pPr>
      <w:r w:rsidRPr="00E26366">
        <w:t>Oczywiście zainteresowanie programem wśród osób zatrudnionych, dla których uczestnictwo w PPK jest dobrowolne</w:t>
      </w:r>
      <w:r w:rsidR="009B3ACC">
        <w:t>,</w:t>
      </w:r>
      <w:r w:rsidR="006A7005">
        <w:t xml:space="preserve"> nie </w:t>
      </w:r>
      <w:r w:rsidRPr="00E26366">
        <w:t>jest</w:t>
      </w:r>
      <w:r w:rsidRPr="00E26366" w:rsidDel="00F62285">
        <w:t xml:space="preserve"> </w:t>
      </w:r>
      <w:r w:rsidR="006A7005">
        <w:t>w pełni satysfakcjonujące</w:t>
      </w:r>
      <w:r w:rsidR="002109A6">
        <w:t>, choć doświadczenia międzynarodowe jasno wskazują, że budowanie wysokiej partycypacji w takich programach jest zadaniem d</w:t>
      </w:r>
      <w:r w:rsidR="00E1605D">
        <w:t xml:space="preserve">ługotrwałym. </w:t>
      </w:r>
      <w:r w:rsidRPr="00E26366">
        <w:t xml:space="preserve">Wpływ na </w:t>
      </w:r>
      <w:r w:rsidR="006A12FE">
        <w:t xml:space="preserve">trudny start programu </w:t>
      </w:r>
      <w:r w:rsidRPr="00E26366">
        <w:t>miało kilka czynników.</w:t>
      </w:r>
      <w:r w:rsidRPr="00E26366" w:rsidDel="00F62285">
        <w:t xml:space="preserve"> </w:t>
      </w:r>
      <w:r w:rsidRPr="00E26366">
        <w:t xml:space="preserve">Jednym z nich jest obserwowany wśród Polaków, po doświadczeniach związanych z OFE, brak zaufania do organizowanych przez państwo form oszczędzania. Chodzi tu głównie o zmiany w OFE polegające m.in. na przesunięciu części środków zgromadzonych na indywidualnych kontach członków </w:t>
      </w:r>
      <w:r w:rsidR="00872413">
        <w:t xml:space="preserve">OFE </w:t>
      </w:r>
      <w:r w:rsidRPr="00E26366">
        <w:t>do ZUS. I</w:t>
      </w:r>
      <w:r w:rsidR="00DB6E01">
        <w:t> </w:t>
      </w:r>
      <w:r w:rsidRPr="00E26366">
        <w:t>chociaż konstrukcja PPK jest</w:t>
      </w:r>
      <w:r w:rsidR="00F52443">
        <w:t> </w:t>
      </w:r>
      <w:r w:rsidRPr="00E26366">
        <w:t xml:space="preserve">zupełnie inna niż OFE, a </w:t>
      </w:r>
      <w:r w:rsidR="006A2954">
        <w:t>wpłaty do PPK nie pochodzą ze</w:t>
      </w:r>
      <w:r w:rsidRPr="00E26366">
        <w:t xml:space="preserve"> składki emerytalnej</w:t>
      </w:r>
      <w:r w:rsidR="00872413">
        <w:t>,</w:t>
      </w:r>
      <w:r w:rsidRPr="00E26366">
        <w:t xml:space="preserve"> jak to było w OFE</w:t>
      </w:r>
      <w:r w:rsidR="00872413">
        <w:t>,</w:t>
      </w:r>
      <w:r w:rsidRPr="00E26366">
        <w:t xml:space="preserve"> </w:t>
      </w:r>
      <w:r w:rsidR="006A12FE">
        <w:t xml:space="preserve">wiele osób </w:t>
      </w:r>
      <w:r w:rsidR="005C27C1">
        <w:t>–</w:t>
      </w:r>
      <w:r w:rsidR="00872413">
        <w:t xml:space="preserve"> </w:t>
      </w:r>
      <w:r w:rsidRPr="00E26366">
        <w:t xml:space="preserve">m.in. ze strachu przed utratą (nacjonalizacją) gromadzonych środków </w:t>
      </w:r>
      <w:r w:rsidR="005C27C1">
        <w:t>–</w:t>
      </w:r>
      <w:r w:rsidR="00872413">
        <w:t xml:space="preserve"> </w:t>
      </w:r>
      <w:r w:rsidRPr="00E26366">
        <w:t>nie ufa PPK. Ciągle zbyt mała partycypacja w PPK jest także wynikiem niesprzyjających okoliczności</w:t>
      </w:r>
      <w:r w:rsidR="007F717F">
        <w:t>,</w:t>
      </w:r>
      <w:r w:rsidRPr="00E26366">
        <w:t xml:space="preserve"> w jakich program ten był wdrażany. Chodzi tu zwłaszcza o pandemię COVID-19 i jej negatywny wpływ na kondycję polskich przedsiębiorców oraz wywołane przez nią </w:t>
      </w:r>
      <w:r w:rsidR="005C27C1">
        <w:t>–</w:t>
      </w:r>
      <w:r w:rsidRPr="00E26366">
        <w:t xml:space="preserve"> niesprzyjające podejmowaniu decyzji o długoterminowym oszczędzaniu </w:t>
      </w:r>
      <w:r w:rsidR="005C27C1">
        <w:t>–</w:t>
      </w:r>
      <w:r w:rsidRPr="00E26366">
        <w:t xml:space="preserve"> poczucie niepewności m.in. ekonomicznej wśród osób zatrudnionych.</w:t>
      </w:r>
    </w:p>
    <w:p w14:paraId="02F83A2C" w14:textId="780E10B3" w:rsidR="00192F75" w:rsidRDefault="00E26366" w:rsidP="00DB6E01">
      <w:pPr>
        <w:spacing w:before="6" w:after="6" w:line="288" w:lineRule="auto"/>
        <w:jc w:val="both"/>
      </w:pPr>
      <w:r w:rsidRPr="00E26366">
        <w:t xml:space="preserve">Opisane wyżej czynniki mające negatywny wpływ na funkcjonowanie PPK nie są wynikiem stosowania przepisów ustawy o PPK, co oznacza, że ich eliminacja nie jest możliwa na drodze legislacyjnej. </w:t>
      </w:r>
    </w:p>
    <w:p w14:paraId="07DC5A2B" w14:textId="77777777" w:rsidR="00E26366" w:rsidRDefault="00E26366" w:rsidP="00DB6E01">
      <w:pPr>
        <w:spacing w:before="6" w:after="6" w:line="288" w:lineRule="auto"/>
        <w:jc w:val="both"/>
      </w:pPr>
      <w:r w:rsidRPr="00E26366">
        <w:t xml:space="preserve">Dotychczasowe wnioski z funkcjonowania programu pokazują zresztą, że obecnie </w:t>
      </w:r>
      <w:r w:rsidR="00A047EA" w:rsidRPr="00A047EA">
        <w:t>zmiany co do fundamentalnych założeń programu nie są konieczne</w:t>
      </w:r>
      <w:r w:rsidRPr="00E26366">
        <w:t xml:space="preserve">. Jednak doprecyzowanie niektórych przepisów, ich uszczegółowienie oraz uregulowanie kilku pominiętych dotychczas kwestii miałoby korzystny wpływ na dalszy rozwój PPK, co </w:t>
      </w:r>
      <w:r w:rsidR="00805927">
        <w:t>leżałoby</w:t>
      </w:r>
      <w:r w:rsidRPr="00E26366">
        <w:t xml:space="preserve"> w interesie wszystkich stron uczestniczących w </w:t>
      </w:r>
      <w:r w:rsidR="00004CF8">
        <w:t xml:space="preserve">tym </w:t>
      </w:r>
      <w:r w:rsidRPr="00E26366">
        <w:t>programie.</w:t>
      </w:r>
    </w:p>
    <w:p w14:paraId="2B7BCF3C" w14:textId="77777777" w:rsidR="00902003" w:rsidRPr="00E26366" w:rsidRDefault="00902003" w:rsidP="00DB6E01">
      <w:pPr>
        <w:spacing w:before="6" w:after="6" w:line="288" w:lineRule="auto"/>
        <w:jc w:val="both"/>
      </w:pPr>
    </w:p>
    <w:p w14:paraId="47C9F054" w14:textId="77777777" w:rsidR="00EC2775" w:rsidRPr="00923938" w:rsidRDefault="00E26366">
      <w:pPr>
        <w:pStyle w:val="Nagwek2"/>
        <w:numPr>
          <w:ilvl w:val="0"/>
          <w:numId w:val="31"/>
        </w:numPr>
        <w:spacing w:before="6" w:after="6" w:line="288" w:lineRule="auto"/>
        <w:jc w:val="both"/>
      </w:pPr>
      <w:bookmarkStart w:id="103" w:name="_Toc121828646"/>
      <w:r w:rsidRPr="008E48A0">
        <w:lastRenderedPageBreak/>
        <w:t>Powszechność PPK i partycypacja</w:t>
      </w:r>
      <w:bookmarkEnd w:id="103"/>
    </w:p>
    <w:p w14:paraId="2915924F" w14:textId="10E17FBF" w:rsidR="00902003" w:rsidRDefault="00902003" w:rsidP="00DB6E01">
      <w:pPr>
        <w:spacing w:before="6" w:after="6" w:line="288" w:lineRule="auto"/>
        <w:jc w:val="both"/>
      </w:pPr>
      <w:r>
        <w:t xml:space="preserve">Bardzo istotny wpływ </w:t>
      </w:r>
      <w:r w:rsidR="00E26366" w:rsidRPr="00E26366">
        <w:t xml:space="preserve">na poziom uczestnictwa w </w:t>
      </w:r>
      <w:r w:rsidR="00021F18">
        <w:t>PPK</w:t>
      </w:r>
      <w:r w:rsidR="00E26366" w:rsidRPr="00E26366">
        <w:t xml:space="preserve"> </w:t>
      </w:r>
      <w:r w:rsidR="005C27C1">
        <w:t>–</w:t>
      </w:r>
      <w:r w:rsidR="00E26366" w:rsidRPr="00E26366">
        <w:t xml:space="preserve"> obok opisanych wyżej czynników zewnętrznych </w:t>
      </w:r>
      <w:r w:rsidR="005C27C1">
        <w:t>–</w:t>
      </w:r>
      <w:r w:rsidR="00E26366" w:rsidRPr="00E26366">
        <w:t xml:space="preserve"> miało także nastawienie pracodaw</w:t>
      </w:r>
      <w:r>
        <w:t>ców</w:t>
      </w:r>
      <w:r w:rsidR="00E26366" w:rsidRPr="00E26366">
        <w:t>, któr</w:t>
      </w:r>
      <w:r>
        <w:t>zy</w:t>
      </w:r>
      <w:r w:rsidR="00E26366" w:rsidRPr="00E26366">
        <w:t xml:space="preserve"> dla większości pracowników </w:t>
      </w:r>
      <w:r>
        <w:t xml:space="preserve">byli </w:t>
      </w:r>
      <w:r w:rsidR="00E26366" w:rsidRPr="00E26366">
        <w:t xml:space="preserve">głównym źródłem informacji o programie. Partycypacja </w:t>
      </w:r>
      <w:r w:rsidR="008812A1">
        <w:t>jest</w:t>
      </w:r>
      <w:r w:rsidR="00E26366" w:rsidRPr="00E26366">
        <w:t xml:space="preserve"> bowiem wyższa w tych podmiotach, w których pracodawca miał pozytywny stosunek do PPK i był zaangażowany w promowanie programu. Warto zatem zadbać na przyszłość o to, aby to zaangażowanie podmiotów zatrudniających w PPK było większe – dla dobra osób zatrudnionych, które dzięki uczestnictwu w programie mogą wspólnie z pracodawcą i państwem budować swoje bezpieczeństwo finansowe na przyszłość. </w:t>
      </w:r>
    </w:p>
    <w:p w14:paraId="3B9A9CF1" w14:textId="77777777" w:rsidR="00E26366" w:rsidRPr="00E26366" w:rsidRDefault="00E26366" w:rsidP="00DB6E01">
      <w:pPr>
        <w:spacing w:before="6" w:after="6" w:line="288" w:lineRule="auto"/>
        <w:jc w:val="both"/>
      </w:pPr>
      <w:r w:rsidRPr="00E26366">
        <w:t>Cel taki można osiągnąć poprzez m.in:</w:t>
      </w:r>
    </w:p>
    <w:p w14:paraId="3583A4E4" w14:textId="77777777" w:rsidR="00E26366" w:rsidRPr="00E26366" w:rsidRDefault="00E26366">
      <w:pPr>
        <w:pStyle w:val="Akapitzlist"/>
        <w:numPr>
          <w:ilvl w:val="0"/>
          <w:numId w:val="27"/>
        </w:numPr>
        <w:spacing w:before="6" w:after="6" w:line="288" w:lineRule="auto"/>
        <w:jc w:val="both"/>
      </w:pPr>
      <w:r w:rsidRPr="00E26366">
        <w:t>stworzenie zachę</w:t>
      </w:r>
      <w:r w:rsidR="00902003">
        <w:t xml:space="preserve">t </w:t>
      </w:r>
      <w:r w:rsidRPr="00E26366">
        <w:t>dla pracodawców za osiągnięcie wysokiego odsetka uczestnictwa w PPK pracujących u nich osób;</w:t>
      </w:r>
    </w:p>
    <w:p w14:paraId="1659826B" w14:textId="77777777" w:rsidR="00E26366" w:rsidRPr="00E26366" w:rsidRDefault="00E26366">
      <w:pPr>
        <w:pStyle w:val="Akapitzlist"/>
        <w:numPr>
          <w:ilvl w:val="0"/>
          <w:numId w:val="27"/>
        </w:numPr>
        <w:spacing w:before="6" w:after="6" w:line="288" w:lineRule="auto"/>
        <w:jc w:val="both"/>
      </w:pPr>
      <w:r w:rsidRPr="00E26366">
        <w:t xml:space="preserve">dalsze uproszczenie i uelastycznienie obsługi programu. </w:t>
      </w:r>
    </w:p>
    <w:p w14:paraId="02ECF035" w14:textId="74C5CEE7" w:rsidR="00040447" w:rsidRDefault="00E26366" w:rsidP="00923938">
      <w:pPr>
        <w:jc w:val="both"/>
      </w:pPr>
      <w:r w:rsidRPr="00923938">
        <w:t>Należy także podkreślić, że zg</w:t>
      </w:r>
      <w:r w:rsidR="00F52443">
        <w:t>odnie z założeniami ustawodawcy</w:t>
      </w:r>
      <w:r w:rsidRPr="00923938">
        <w:t xml:space="preserve"> zwolnienia ze stosowania ustawy o PPK – jako że program ma być powszechny </w:t>
      </w:r>
      <w:r w:rsidR="005C27C1">
        <w:t>–</w:t>
      </w:r>
      <w:r w:rsidRPr="00923938">
        <w:t xml:space="preserve"> mają charakter wyjątkowy. Każde takie zwolnienie wyklucza bowiem określoną grupę osób (osoby zatrudnione w podmiotach objętych takim zwolnieniem) z</w:t>
      </w:r>
      <w:r w:rsidR="00F52443">
        <w:t> </w:t>
      </w:r>
      <w:r w:rsidRPr="00923938">
        <w:t>uczestnictwa w PPK. Z tego powodu przepisy wprowadzające te wykluczenia nie powinny budzić wątpliwości interpretacyjnych. Dlatego zasadnym</w:t>
      </w:r>
      <w:r w:rsidR="00B53E64" w:rsidRPr="00923938">
        <w:t>,</w:t>
      </w:r>
      <w:r w:rsidRPr="00923938">
        <w:t xml:space="preserve"> jak się wydaje</w:t>
      </w:r>
      <w:r w:rsidR="00B53E64" w:rsidRPr="00923938">
        <w:t>,</w:t>
      </w:r>
      <w:r w:rsidRPr="00923938">
        <w:t xml:space="preserve"> byłoby ich doprecyzowanie, aby</w:t>
      </w:r>
      <w:r w:rsidR="00F52443">
        <w:t> </w:t>
      </w:r>
      <w:r w:rsidRPr="00923938">
        <w:t>nie</w:t>
      </w:r>
      <w:r w:rsidR="00F52443">
        <w:t> </w:t>
      </w:r>
      <w:r w:rsidRPr="00923938">
        <w:t xml:space="preserve">mogły być – wbrew intencji ustawodawcy – stosowane zbyt szeroko. Dotyczy to </w:t>
      </w:r>
      <w:r w:rsidR="0057073D" w:rsidRPr="00923938">
        <w:t>np.</w:t>
      </w:r>
      <w:r w:rsidRPr="00923938">
        <w:t xml:space="preserve"> osób fizycznych zatrudniających inne osoby fizyczne w celach prywatnych</w:t>
      </w:r>
      <w:r w:rsidR="0057073D" w:rsidRPr="00923938">
        <w:t>.</w:t>
      </w:r>
    </w:p>
    <w:p w14:paraId="56C7D09C" w14:textId="77777777" w:rsidR="00040447" w:rsidRPr="00923938" w:rsidRDefault="00040447" w:rsidP="00923938">
      <w:pPr>
        <w:jc w:val="both"/>
      </w:pPr>
    </w:p>
    <w:p w14:paraId="4A9AC2B8" w14:textId="77777777" w:rsidR="001C0845" w:rsidRDefault="00E26366">
      <w:pPr>
        <w:pStyle w:val="Nagwek2"/>
        <w:numPr>
          <w:ilvl w:val="0"/>
          <w:numId w:val="31"/>
        </w:numPr>
      </w:pPr>
      <w:bookmarkStart w:id="104" w:name="_Toc121828647"/>
      <w:r w:rsidRPr="008E48A0">
        <w:t>Wpłaty dodatkowe</w:t>
      </w:r>
      <w:bookmarkEnd w:id="104"/>
    </w:p>
    <w:p w14:paraId="2E2CF9B7" w14:textId="1AB613BB" w:rsidR="00E26366" w:rsidRPr="00E26366" w:rsidRDefault="00E26366" w:rsidP="00DB6E01">
      <w:pPr>
        <w:spacing w:before="6" w:after="6" w:line="288" w:lineRule="auto"/>
        <w:jc w:val="both"/>
      </w:pPr>
      <w:r w:rsidRPr="00E26366">
        <w:t>Konstruując zasady dokonywania wpłat do PPK (dzieląc je na wpłaty podstawowe, które są obowiązkowe oraz wpłaty dodatkowe, które mają charakter fakultatywny)</w:t>
      </w:r>
      <w:r w:rsidR="00914F29">
        <w:t>,</w:t>
      </w:r>
      <w:r w:rsidRPr="00E26366">
        <w:t xml:space="preserve"> ustawodawca dał pracodawcy możliwość </w:t>
      </w:r>
      <w:r w:rsidR="005C27C1">
        <w:t>–</w:t>
      </w:r>
      <w:r w:rsidRPr="00E26366">
        <w:t xml:space="preserve"> jeśli sytuacja finansowa mu na to pozwala – zwiększenia jego zaangażowania w finansowanie wpłat do PPK po</w:t>
      </w:r>
      <w:r w:rsidR="00914F29">
        <w:t>nad</w:t>
      </w:r>
      <w:r w:rsidRPr="00E26366">
        <w:t xml:space="preserve"> obligatoryjne minimum. </w:t>
      </w:r>
    </w:p>
    <w:p w14:paraId="0E74B867" w14:textId="30314B5C" w:rsidR="004F5141" w:rsidRDefault="007A5C7C" w:rsidP="00DB6E01">
      <w:pPr>
        <w:spacing w:before="6" w:after="6" w:line="288" w:lineRule="auto"/>
        <w:jc w:val="both"/>
      </w:pPr>
      <w:r w:rsidRPr="00D33CC1">
        <w:t xml:space="preserve">Na razie </w:t>
      </w:r>
      <w:r w:rsidR="006627D8" w:rsidRPr="00D33CC1">
        <w:t xml:space="preserve">jednak </w:t>
      </w:r>
      <w:r w:rsidR="00E26366" w:rsidRPr="00D33CC1">
        <w:t xml:space="preserve">jeszcze </w:t>
      </w:r>
      <w:r w:rsidR="00D62EB5" w:rsidRPr="00D33CC1">
        <w:t xml:space="preserve">niewielki odsetek </w:t>
      </w:r>
      <w:r w:rsidR="00E26366" w:rsidRPr="00D33CC1">
        <w:t>pracodawców</w:t>
      </w:r>
      <w:r w:rsidR="006627D8">
        <w:t xml:space="preserve"> </w:t>
      </w:r>
      <w:r w:rsidR="00E26366" w:rsidRPr="00E26366">
        <w:t>finans</w:t>
      </w:r>
      <w:r w:rsidR="006627D8">
        <w:t>uje</w:t>
      </w:r>
      <w:r w:rsidR="00E26366" w:rsidRPr="00E26366">
        <w:t xml:space="preserve"> wpłaty dodatkowe za zatrudnione u</w:t>
      </w:r>
      <w:r w:rsidR="00720FBB">
        <w:t> </w:t>
      </w:r>
      <w:r w:rsidR="00E26366" w:rsidRPr="00E26366">
        <w:t>siebie osoby</w:t>
      </w:r>
      <w:r w:rsidR="0061640D">
        <w:t>, traktując je jako benefit dla pracowników</w:t>
      </w:r>
      <w:r w:rsidR="00E26366" w:rsidRPr="00E26366">
        <w:t>. Warto zatem rozważyć wprowadzenie systemu zachęt dla pracodawców, który skłoniłby ich do finansowania dodatkowych wpłat do PPK.</w:t>
      </w:r>
    </w:p>
    <w:p w14:paraId="2ED2EF82" w14:textId="77777777" w:rsidR="00040447" w:rsidRDefault="00040447" w:rsidP="00DB6E01">
      <w:pPr>
        <w:spacing w:before="6" w:after="6" w:line="288" w:lineRule="auto"/>
        <w:jc w:val="both"/>
      </w:pPr>
    </w:p>
    <w:p w14:paraId="6D3B0885" w14:textId="77777777" w:rsidR="001C0845" w:rsidRDefault="001C0845">
      <w:pPr>
        <w:pStyle w:val="Nagwek2"/>
        <w:numPr>
          <w:ilvl w:val="0"/>
          <w:numId w:val="31"/>
        </w:numPr>
      </w:pPr>
      <w:bookmarkStart w:id="105" w:name="_Toc121828648"/>
      <w:r>
        <w:t>Dopłaty od państwa</w:t>
      </w:r>
      <w:bookmarkEnd w:id="105"/>
    </w:p>
    <w:p w14:paraId="0CC2BC4C" w14:textId="057654DE" w:rsidR="0030292A" w:rsidRDefault="0030292A" w:rsidP="00DB6E01">
      <w:pPr>
        <w:spacing w:before="6" w:after="6" w:line="288" w:lineRule="auto"/>
        <w:jc w:val="both"/>
      </w:pPr>
      <w:r>
        <w:t xml:space="preserve">Obecnie zachętą ze strony państwa do uczestnictwa w PPK jest </w:t>
      </w:r>
      <w:r w:rsidR="001E0EE9">
        <w:t xml:space="preserve">wpłata </w:t>
      </w:r>
      <w:r>
        <w:t xml:space="preserve">powitalna (250 zł jednorazowo) oraz dopłata roczna (240 zł co roku). Rozwiązania te mają pełnić </w:t>
      </w:r>
      <w:r w:rsidR="00AA70A7">
        <w:t xml:space="preserve">nie tylko </w:t>
      </w:r>
      <w:r>
        <w:t xml:space="preserve">rolę </w:t>
      </w:r>
      <w:r w:rsidR="00AA70A7">
        <w:t xml:space="preserve">wspominanych zachęt, ale dawać też wyraz solidarności państwa z osobami, które decydują się oszczędzać w PPK oraz ich pracodawcami, którzy wpłacają za nich swoją część wpłat. Zasadnym wydaje się </w:t>
      </w:r>
      <w:r w:rsidR="00982468">
        <w:t>analiza i badania jak</w:t>
      </w:r>
      <w:r w:rsidR="00F52443">
        <w:t> </w:t>
      </w:r>
      <w:r w:rsidR="00982468">
        <w:t>wysokość tych wpłat wpływa na decyzje o pozostaniu/wypisaniu się z programu</w:t>
      </w:r>
      <w:r w:rsidR="00720FBB">
        <w:t>, biorąc pod uwagę możliwości finansowe sektora finansów publicznych</w:t>
      </w:r>
      <w:r w:rsidR="00982468">
        <w:t>. Można założyć, że wyższe wpłaty/dopłaty dla</w:t>
      </w:r>
      <w:r w:rsidR="00F52443">
        <w:t> </w:t>
      </w:r>
      <w:r w:rsidR="00982468">
        <w:t>osób mniej zarabiających byłby dla nich dodatkowym bodźcem do pozostania w programie.</w:t>
      </w:r>
    </w:p>
    <w:p w14:paraId="25BE6B54" w14:textId="77777777" w:rsidR="004C5067" w:rsidRPr="00173C96" w:rsidRDefault="004C5067" w:rsidP="00DB6E01">
      <w:pPr>
        <w:spacing w:before="6" w:after="6" w:line="288" w:lineRule="auto"/>
        <w:jc w:val="both"/>
      </w:pPr>
    </w:p>
    <w:p w14:paraId="15284671" w14:textId="77777777" w:rsidR="00E26366" w:rsidRPr="00A00AD5" w:rsidRDefault="00E26366">
      <w:pPr>
        <w:pStyle w:val="Nagwek2"/>
        <w:numPr>
          <w:ilvl w:val="0"/>
          <w:numId w:val="31"/>
        </w:numPr>
        <w:rPr>
          <w:i/>
        </w:rPr>
      </w:pPr>
      <w:bookmarkStart w:id="106" w:name="_Toc121828649"/>
      <w:r w:rsidRPr="00A00AD5">
        <w:t>Instytucje finansowe</w:t>
      </w:r>
      <w:bookmarkEnd w:id="106"/>
    </w:p>
    <w:p w14:paraId="4523171F" w14:textId="2D150B88" w:rsidR="00E26366" w:rsidRPr="00E26366" w:rsidRDefault="00E26366" w:rsidP="00DB6E01">
      <w:pPr>
        <w:spacing w:before="6" w:after="6" w:line="288" w:lineRule="auto"/>
        <w:jc w:val="both"/>
      </w:pPr>
      <w:r w:rsidRPr="00E26366">
        <w:t xml:space="preserve">Instytucjami finansowymi, które mogą zarządzać środkami gromadzonymi w ramach PPK, są wyłącznie: fundusz inwestycyjny, zarządzany przez towarzystwo funduszy inwestycyjnych, fundusz emerytalny, zarządzany przez powszechne towarzystwo emerytalne albo pracownicze towarzystwo emerytalne </w:t>
      </w:r>
      <w:r w:rsidRPr="00E26366">
        <w:lastRenderedPageBreak/>
        <w:t>lub</w:t>
      </w:r>
      <w:r w:rsidR="00B51E48">
        <w:t> </w:t>
      </w:r>
      <w:r w:rsidRPr="00E26366">
        <w:t>zakład ubezpieczeń. W systemie PPK uczestniczą tylko instytucje finansowe zarządzane przez</w:t>
      </w:r>
      <w:r w:rsidR="00B51E48">
        <w:t> </w:t>
      </w:r>
      <w:r w:rsidRPr="00E26366">
        <w:t xml:space="preserve">podmioty wpisane do </w:t>
      </w:r>
      <w:r w:rsidR="00D23DC5">
        <w:t>e</w:t>
      </w:r>
      <w:r w:rsidRPr="00E26366">
        <w:t>widencji PPK, prowadzonej przez P</w:t>
      </w:r>
      <w:r w:rsidR="004C5067">
        <w:t>FR S.A</w:t>
      </w:r>
      <w:r w:rsidRPr="00E26366">
        <w:t>. Obecnie PPK prowadzi</w:t>
      </w:r>
      <w:r w:rsidRPr="00016E3A" w:rsidDel="001B1703">
        <w:t xml:space="preserve"> </w:t>
      </w:r>
      <w:r w:rsidR="001B1703" w:rsidRPr="00016E3A">
        <w:t>1</w:t>
      </w:r>
      <w:r w:rsidR="001B1703">
        <w:t>7</w:t>
      </w:r>
      <w:r w:rsidR="00B51E48">
        <w:t> </w:t>
      </w:r>
      <w:r w:rsidRPr="00E26366">
        <w:t>instytucji finansowych.</w:t>
      </w:r>
    </w:p>
    <w:p w14:paraId="6E3AD155" w14:textId="6385CFC0" w:rsidR="00E26366" w:rsidRPr="00E26366" w:rsidRDefault="00E26366" w:rsidP="00DB6E01">
      <w:pPr>
        <w:spacing w:before="6" w:after="6" w:line="288" w:lineRule="auto"/>
        <w:jc w:val="both"/>
      </w:pPr>
      <w:r w:rsidRPr="00E26366">
        <w:t xml:space="preserve">Przepisy regulujące </w:t>
      </w:r>
      <w:r w:rsidR="008345A3">
        <w:t>uczestnictwo</w:t>
      </w:r>
      <w:r w:rsidRPr="00E26366">
        <w:t xml:space="preserve"> tych instytucji </w:t>
      </w:r>
      <w:r w:rsidR="008345A3">
        <w:t>w PPK</w:t>
      </w:r>
      <w:r w:rsidRPr="00E26366">
        <w:t xml:space="preserve"> wymagają uzupełnienia. Chodzi </w:t>
      </w:r>
      <w:r w:rsidR="00C07106">
        <w:t>tu</w:t>
      </w:r>
      <w:r w:rsidR="00F52443">
        <w:t> </w:t>
      </w:r>
      <w:r w:rsidRPr="00E26366">
        <w:t>o</w:t>
      </w:r>
      <w:r w:rsidR="00C45392">
        <w:t> </w:t>
      </w:r>
      <w:r w:rsidRPr="00E26366">
        <w:t>uregulowanie sposobu postępowanie w przypadku usunięcia z ewidencji PPK jedynego zakładu ubezpieczeń lub wygaśnięcia wpisu takiego zakładu ubezpieczeń do ewidencji PPK</w:t>
      </w:r>
      <w:r w:rsidR="002343D8">
        <w:t>,</w:t>
      </w:r>
      <w:r w:rsidRPr="00E26366">
        <w:t xml:space="preserve"> </w:t>
      </w:r>
      <w:r w:rsidR="002343D8">
        <w:t>a</w:t>
      </w:r>
      <w:r w:rsidRPr="00E26366">
        <w:t xml:space="preserve"> także</w:t>
      </w:r>
      <w:r w:rsidR="00D23DC5">
        <w:t xml:space="preserve"> o</w:t>
      </w:r>
      <w:r w:rsidR="00C45392">
        <w:t> </w:t>
      </w:r>
      <w:r w:rsidRPr="00E26366">
        <w:t>wprowadzenie możliwości usunięcia podmiotu zarządzającego z ewidencji PPK na jego wniosek. Kwestię te dotychczas nie były uregulowane</w:t>
      </w:r>
      <w:r w:rsidR="002343D8">
        <w:t>,</w:t>
      </w:r>
      <w:r w:rsidRPr="00E26366">
        <w:t xml:space="preserve"> a w interesie oszczędzających w PPK </w:t>
      </w:r>
      <w:r w:rsidR="001A24CC">
        <w:t>leży</w:t>
      </w:r>
      <w:r w:rsidRPr="00E26366">
        <w:t xml:space="preserve">, aby </w:t>
      </w:r>
      <w:r w:rsidR="00106C6D">
        <w:t xml:space="preserve">tryb postępowania w takich </w:t>
      </w:r>
      <w:r w:rsidR="00DB4AB8">
        <w:t>sytuacjach</w:t>
      </w:r>
      <w:r w:rsidR="00106C6D">
        <w:t xml:space="preserve"> został określony w przepisach</w:t>
      </w:r>
      <w:r w:rsidR="00DB4AB8">
        <w:t xml:space="preserve"> ustawy o PPK</w:t>
      </w:r>
      <w:r w:rsidRPr="00E26366">
        <w:t xml:space="preserve">. </w:t>
      </w:r>
    </w:p>
    <w:p w14:paraId="617D983F" w14:textId="77777777" w:rsidR="005D3DEC" w:rsidRPr="00E26366" w:rsidRDefault="005D3DEC" w:rsidP="00DB6E01">
      <w:pPr>
        <w:spacing w:before="6" w:after="6" w:line="288" w:lineRule="auto"/>
        <w:jc w:val="both"/>
      </w:pPr>
    </w:p>
    <w:p w14:paraId="2A469828" w14:textId="77777777" w:rsidR="00E26366" w:rsidRPr="008345A3" w:rsidRDefault="00F54686">
      <w:pPr>
        <w:pStyle w:val="Nagwek2"/>
        <w:numPr>
          <w:ilvl w:val="0"/>
          <w:numId w:val="31"/>
        </w:numPr>
        <w:rPr>
          <w:i/>
        </w:rPr>
      </w:pPr>
      <w:bookmarkStart w:id="107" w:name="_Toc121828650"/>
      <w:r>
        <w:t>U</w:t>
      </w:r>
      <w:r w:rsidR="00E26366" w:rsidRPr="008345A3">
        <w:t>elastycznienie systemu</w:t>
      </w:r>
      <w:bookmarkEnd w:id="107"/>
    </w:p>
    <w:p w14:paraId="71480641" w14:textId="25D5D2D9" w:rsidR="007A3ADF" w:rsidRDefault="00E26366" w:rsidP="000F4660">
      <w:pPr>
        <w:spacing w:before="6" w:after="6" w:line="288" w:lineRule="auto"/>
        <w:jc w:val="both"/>
      </w:pPr>
      <w:r w:rsidRPr="00E26366">
        <w:t>Z dotychczasowych doświadczeń</w:t>
      </w:r>
      <w:r w:rsidR="00A2767E">
        <w:t xml:space="preserve"> </w:t>
      </w:r>
      <w:r w:rsidRPr="00E26366">
        <w:t>funkcjonowania pracowniczych planów kapitałowych wynika, że choć rozwiązania przyjęte w ustawie o PKK sprawdziły się w praktyce, to niektóre z nich wymagają doprecyzowania i uzupełnienia. Obszary, który wymagają uelastycznienia</w:t>
      </w:r>
      <w:r w:rsidR="003E00D1">
        <w:t>,</w:t>
      </w:r>
      <w:r w:rsidRPr="00E26366">
        <w:t xml:space="preserve"> to </w:t>
      </w:r>
      <w:r w:rsidR="00D063D5" w:rsidRPr="00C0503A">
        <w:t>m.in.</w:t>
      </w:r>
      <w:r w:rsidR="00327C9E" w:rsidRPr="00497FB6">
        <w:t>:</w:t>
      </w:r>
      <w:r w:rsidR="00D063D5">
        <w:t xml:space="preserve"> </w:t>
      </w:r>
      <w:r w:rsidRPr="00E26366">
        <w:t>zawierani</w:t>
      </w:r>
      <w:r w:rsidR="00445B14">
        <w:t>e</w:t>
      </w:r>
      <w:r w:rsidRPr="00E26366">
        <w:t xml:space="preserve"> umów o zarządzanie PPK</w:t>
      </w:r>
      <w:r w:rsidR="00125282">
        <w:t xml:space="preserve"> </w:t>
      </w:r>
      <w:r w:rsidR="00025348">
        <w:t>na czas oznaczony</w:t>
      </w:r>
      <w:r w:rsidR="00C0503A">
        <w:t xml:space="preserve"> </w:t>
      </w:r>
      <w:r w:rsidR="003E00D1">
        <w:t xml:space="preserve">i </w:t>
      </w:r>
      <w:r w:rsidR="00C0503A">
        <w:t>dokonywanie</w:t>
      </w:r>
      <w:r w:rsidR="000907EA">
        <w:t xml:space="preserve"> </w:t>
      </w:r>
      <w:r w:rsidR="002E1DD1">
        <w:t>wpłat do PPK</w:t>
      </w:r>
      <w:r w:rsidRPr="00E26366">
        <w:t xml:space="preserve"> </w:t>
      </w:r>
      <w:r w:rsidR="002B6EA0">
        <w:t xml:space="preserve">(np. </w:t>
      </w:r>
      <w:r w:rsidR="00A529D9">
        <w:t>umożliwienie przekazywania do</w:t>
      </w:r>
      <w:r w:rsidR="00F52443">
        <w:t> </w:t>
      </w:r>
      <w:r w:rsidR="00A529D9">
        <w:t>instytucji finansowej zaległych wpłat do PPK, za zgodą uczestnika programu)</w:t>
      </w:r>
      <w:r w:rsidR="00C0503A">
        <w:t>.</w:t>
      </w:r>
    </w:p>
    <w:p w14:paraId="7324CFA4" w14:textId="77777777" w:rsidR="007A3ADF" w:rsidRDefault="007A3ADF" w:rsidP="000F4660">
      <w:pPr>
        <w:spacing w:before="6" w:after="6" w:line="288" w:lineRule="auto"/>
        <w:jc w:val="both"/>
      </w:pPr>
    </w:p>
    <w:p w14:paraId="663EB34C" w14:textId="77777777" w:rsidR="007A3ADF" w:rsidRPr="008E48A0" w:rsidRDefault="007A3ADF">
      <w:pPr>
        <w:pStyle w:val="Nagwek2"/>
        <w:numPr>
          <w:ilvl w:val="0"/>
          <w:numId w:val="31"/>
        </w:numPr>
        <w:spacing w:before="6" w:after="6" w:line="288" w:lineRule="auto"/>
        <w:jc w:val="both"/>
        <w:rPr>
          <w:i/>
        </w:rPr>
      </w:pPr>
      <w:bookmarkStart w:id="108" w:name="_Toc121828651"/>
      <w:r w:rsidRPr="008E48A0">
        <w:t>Tzw. autozapis</w:t>
      </w:r>
      <w:bookmarkEnd w:id="108"/>
    </w:p>
    <w:p w14:paraId="0E715A08" w14:textId="1CC60139" w:rsidR="007A3ADF" w:rsidRPr="00E26366" w:rsidRDefault="007A3ADF" w:rsidP="007A3ADF">
      <w:pPr>
        <w:spacing w:before="6" w:after="6" w:line="288" w:lineRule="auto"/>
        <w:jc w:val="both"/>
      </w:pPr>
      <w:r w:rsidRPr="00E26366">
        <w:t xml:space="preserve">Jedną z cech odróżniających PPK od innych form dobrowolnego oszczędzania na cele </w:t>
      </w:r>
      <w:r>
        <w:t>po zakończeniu aktywności zawodowej</w:t>
      </w:r>
      <w:r w:rsidRPr="00E26366">
        <w:t xml:space="preserve"> jest tzw. autozapis. Wprowadzając </w:t>
      </w:r>
      <w:r>
        <w:t>to rozwiązanie</w:t>
      </w:r>
      <w:r w:rsidRPr="00E26366">
        <w:t xml:space="preserve"> (zaczerpnięte z ekonomii behawioralnej) liczono, że </w:t>
      </w:r>
      <w:r w:rsidR="001E74A1">
        <w:t>–</w:t>
      </w:r>
      <w:r w:rsidRPr="00E26366">
        <w:t xml:space="preserve"> podobnie jak to było m.in. w Wielkiej Brytanii czy Nowej Zelandii </w:t>
      </w:r>
      <w:r w:rsidR="001E74A1">
        <w:t>–</w:t>
      </w:r>
      <w:r w:rsidRPr="00E26366">
        <w:t xml:space="preserve"> pozytywnie wpłynie on na partycypacj</w:t>
      </w:r>
      <w:r>
        <w:t>ę</w:t>
      </w:r>
      <w:r w:rsidRPr="00E26366">
        <w:t xml:space="preserve"> w tym programie. Z dotychczasowych doświadczeń przy</w:t>
      </w:r>
      <w:r w:rsidR="00F52443">
        <w:t> </w:t>
      </w:r>
      <w:r w:rsidRPr="00E26366">
        <w:t xml:space="preserve">wdrażaniu PPK wynika, że w Polsce mechanizm </w:t>
      </w:r>
      <w:r>
        <w:t xml:space="preserve">jeszcze nie </w:t>
      </w:r>
      <w:r w:rsidRPr="00E26366">
        <w:t xml:space="preserve">w pełni zadziałał. </w:t>
      </w:r>
    </w:p>
    <w:p w14:paraId="2D979C34" w14:textId="558C9484" w:rsidR="007A3ADF" w:rsidRPr="00E26366" w:rsidRDefault="007A3ADF" w:rsidP="007A3ADF">
      <w:pPr>
        <w:spacing w:before="6" w:after="6" w:line="288" w:lineRule="auto"/>
        <w:jc w:val="both"/>
      </w:pPr>
      <w:r w:rsidRPr="00E26366">
        <w:t xml:space="preserve">Z publicznych wypowiedzi pracodawców wynika bowiem, że wdrażając PPK wielu z nich </w:t>
      </w:r>
      <w:r w:rsidR="00930B66">
        <w:t>–</w:t>
      </w:r>
      <w:r w:rsidRPr="00E26366">
        <w:t xml:space="preserve"> nie rozumiejąc idei autozapisu – pytało osoby, dla których automatycznie powinni zawrzeć umowy o prowadzenie PPK</w:t>
      </w:r>
      <w:r>
        <w:t>,</w:t>
      </w:r>
      <w:r w:rsidRPr="00E26366">
        <w:t xml:space="preserve"> o zgodę na uczestnictwo w tym programie, co powodowało, że część pracowników</w:t>
      </w:r>
      <w:r>
        <w:t>,</w:t>
      </w:r>
      <w:r w:rsidRPr="00E26366">
        <w:t xml:space="preserve"> ulegając negatywn</w:t>
      </w:r>
      <w:r>
        <w:t>emu</w:t>
      </w:r>
      <w:r w:rsidRPr="00E26366">
        <w:t xml:space="preserve"> </w:t>
      </w:r>
      <w:r>
        <w:t xml:space="preserve">wpływowi, </w:t>
      </w:r>
      <w:r w:rsidRPr="00E26366">
        <w:t>odwołując</w:t>
      </w:r>
      <w:r>
        <w:t>emu</w:t>
      </w:r>
      <w:r w:rsidRPr="00E26366">
        <w:t xml:space="preserve"> się do doświadczeń związanych z</w:t>
      </w:r>
      <w:r w:rsidR="00720FBB">
        <w:t> </w:t>
      </w:r>
      <w:r w:rsidRPr="00E26366">
        <w:t>OFE</w:t>
      </w:r>
      <w:r>
        <w:t>,</w:t>
      </w:r>
      <w:r w:rsidRPr="00E26366">
        <w:t xml:space="preserve"> pochopnie rezygnował</w:t>
      </w:r>
      <w:r>
        <w:t>a</w:t>
      </w:r>
      <w:r w:rsidRPr="00E26366">
        <w:t xml:space="preserve"> z uczestnictwa w PPK. Należy jednak spodziewać się, że </w:t>
      </w:r>
      <w:r w:rsidRPr="0078366D">
        <w:t xml:space="preserve">z czasem pracodawcy będą </w:t>
      </w:r>
      <w:r>
        <w:t xml:space="preserve">realizować </w:t>
      </w:r>
      <w:r w:rsidRPr="008E48A0">
        <w:t>autozapis</w:t>
      </w:r>
      <w:r>
        <w:t xml:space="preserve"> zgodnie z jego celem.</w:t>
      </w:r>
    </w:p>
    <w:p w14:paraId="2C5052AE" w14:textId="77777777" w:rsidR="007A3ADF" w:rsidRDefault="007A3ADF" w:rsidP="007A3ADF">
      <w:pPr>
        <w:spacing w:before="6" w:after="6" w:line="288" w:lineRule="auto"/>
        <w:jc w:val="both"/>
      </w:pPr>
      <w:r w:rsidRPr="00E26366">
        <w:t>Warto przy tym zastanowić się</w:t>
      </w:r>
      <w:r>
        <w:t>,</w:t>
      </w:r>
      <w:r w:rsidRPr="00E26366">
        <w:t xml:space="preserve"> czy dotychczasowy podział potencjalnych uczestników na dwie grupy wiekowe, z których jedna objęta jest tzw. autozapisem (osoby między 18</w:t>
      </w:r>
      <w:r>
        <w:t>.</w:t>
      </w:r>
      <w:r w:rsidRPr="00E26366">
        <w:t xml:space="preserve"> a 55</w:t>
      </w:r>
      <w:r>
        <w:t>.</w:t>
      </w:r>
      <w:r w:rsidRPr="00E26366">
        <w:t xml:space="preserve"> rokiem życia)</w:t>
      </w:r>
      <w:r>
        <w:t>,</w:t>
      </w:r>
      <w:r w:rsidRPr="00E26366">
        <w:t xml:space="preserve"> a druga już nie (osoby między 55</w:t>
      </w:r>
      <w:r>
        <w:t>.</w:t>
      </w:r>
      <w:r w:rsidRPr="00E26366">
        <w:t xml:space="preserve"> a 70</w:t>
      </w:r>
      <w:r>
        <w:t>.</w:t>
      </w:r>
      <w:r w:rsidRPr="00E26366">
        <w:t xml:space="preserve"> rokiem życia) jest optymaln</w:t>
      </w:r>
      <w:r>
        <w:t>y</w:t>
      </w:r>
      <w:r w:rsidRPr="00E26366">
        <w:t>. Z uwagi na wydłużające się średnie trwanie życia Polaków</w:t>
      </w:r>
      <w:r>
        <w:t xml:space="preserve">, </w:t>
      </w:r>
      <w:r w:rsidRPr="00E26366">
        <w:t>a co za tym idzie dłuższą aktywność zawodową wielu z nich</w:t>
      </w:r>
      <w:r>
        <w:t>,</w:t>
      </w:r>
      <w:r w:rsidRPr="00E26366">
        <w:t xml:space="preserve"> rozpoczęcie oszczędzania w każdym wieku ma swoje ekonomiczne uzasadnienie.</w:t>
      </w:r>
    </w:p>
    <w:p w14:paraId="2080A43F" w14:textId="77777777" w:rsidR="000C3D51" w:rsidRDefault="000C3D51" w:rsidP="007A3ADF">
      <w:pPr>
        <w:spacing w:before="6" w:after="6" w:line="288" w:lineRule="auto"/>
        <w:jc w:val="both"/>
      </w:pPr>
    </w:p>
    <w:p w14:paraId="0229BFDC" w14:textId="31396918" w:rsidR="008D7A62" w:rsidRPr="00E26366" w:rsidRDefault="0086429B" w:rsidP="007A3ADF">
      <w:pPr>
        <w:spacing w:before="6" w:after="6" w:line="288" w:lineRule="auto"/>
        <w:jc w:val="both"/>
      </w:pPr>
      <w:r>
        <w:t xml:space="preserve">W 2023 roku będzie miał miejsce pierwszy tzw. ponowny autozapis do PPK. </w:t>
      </w:r>
      <w:r w:rsidR="008D7A62" w:rsidRPr="008D7A62">
        <w:t xml:space="preserve">Odpowiednie przygotowanie się do </w:t>
      </w:r>
      <w:r>
        <w:t>niego</w:t>
      </w:r>
      <w:r w:rsidR="008D7A62" w:rsidRPr="008D7A62">
        <w:t xml:space="preserve"> jest obecnie najistotniejszym wyzwaniem dla rynku PPK. To olbrzymia szansa </w:t>
      </w:r>
      <w:r w:rsidR="0033517C">
        <w:t>na</w:t>
      </w:r>
      <w:r w:rsidR="008D7A62" w:rsidRPr="008D7A62">
        <w:t xml:space="preserve"> </w:t>
      </w:r>
      <w:r w:rsidR="0033517C">
        <w:t>zwiększenie</w:t>
      </w:r>
      <w:r w:rsidR="00BF426C">
        <w:t xml:space="preserve"> </w:t>
      </w:r>
      <w:r w:rsidR="0033517C">
        <w:t>uczestnictwa</w:t>
      </w:r>
      <w:r w:rsidR="008D7A62" w:rsidRPr="008D7A62">
        <w:t xml:space="preserve"> </w:t>
      </w:r>
      <w:r w:rsidR="0033517C">
        <w:t>w</w:t>
      </w:r>
      <w:r w:rsidR="008D7A62" w:rsidRPr="008D7A62">
        <w:t xml:space="preserve"> </w:t>
      </w:r>
      <w:r w:rsidR="00E93D6C">
        <w:t>PPK</w:t>
      </w:r>
      <w:r w:rsidR="0033517C">
        <w:t xml:space="preserve"> i </w:t>
      </w:r>
      <w:r w:rsidR="00165C87">
        <w:t xml:space="preserve">wzrost </w:t>
      </w:r>
      <w:r w:rsidR="006A6E32">
        <w:t xml:space="preserve">aktywów </w:t>
      </w:r>
      <w:r w:rsidR="002955A3">
        <w:t>funduszy zdefiniowanej daty</w:t>
      </w:r>
      <w:r w:rsidR="00165C87">
        <w:t xml:space="preserve">, </w:t>
      </w:r>
      <w:r w:rsidR="00D53B41">
        <w:t xml:space="preserve">co umożliwi pełniejszą realizację </w:t>
      </w:r>
      <w:r w:rsidR="008E04A7">
        <w:t xml:space="preserve">przyjętych </w:t>
      </w:r>
      <w:r w:rsidR="00D53B41">
        <w:t>celów programu.</w:t>
      </w:r>
      <w:r w:rsidR="00291365">
        <w:t xml:space="preserve"> </w:t>
      </w:r>
      <w:r w:rsidR="00DA034D">
        <w:t xml:space="preserve">Doświadczenia uzyskane podczas </w:t>
      </w:r>
      <w:r w:rsidR="00AD2362">
        <w:t xml:space="preserve">tzw. </w:t>
      </w:r>
      <w:r w:rsidR="00DA034D">
        <w:t>ponownego autozapisu w 2023 r</w:t>
      </w:r>
      <w:r w:rsidR="008D2B38">
        <w:t>oku</w:t>
      </w:r>
      <w:r w:rsidR="00DA034D">
        <w:t xml:space="preserve"> </w:t>
      </w:r>
      <w:r w:rsidR="00233BD8">
        <w:t xml:space="preserve">pozwolą </w:t>
      </w:r>
      <w:r w:rsidR="00DC3DA5">
        <w:t xml:space="preserve">wyznaczyć kierunki </w:t>
      </w:r>
      <w:r w:rsidR="00304102">
        <w:t>pożąda</w:t>
      </w:r>
      <w:r w:rsidR="00AB6097">
        <w:t>nych</w:t>
      </w:r>
      <w:r w:rsidR="005B4157">
        <w:t xml:space="preserve"> </w:t>
      </w:r>
      <w:r w:rsidR="00DC3DA5">
        <w:t>zmian</w:t>
      </w:r>
      <w:r w:rsidR="00E93D6C">
        <w:t xml:space="preserve"> </w:t>
      </w:r>
      <w:r w:rsidR="00AB6097">
        <w:t xml:space="preserve">w </w:t>
      </w:r>
      <w:r w:rsidR="003638D2">
        <w:t>PPK</w:t>
      </w:r>
      <w:r w:rsidR="00FF69B5">
        <w:t>,</w:t>
      </w:r>
      <w:r w:rsidR="00E25DE1">
        <w:t xml:space="preserve"> </w:t>
      </w:r>
      <w:r w:rsidR="003F7FB5">
        <w:t xml:space="preserve">które mogą </w:t>
      </w:r>
      <w:r w:rsidR="00E25DE1">
        <w:t>przełoży</w:t>
      </w:r>
      <w:r w:rsidR="00FF69B5">
        <w:t>ć się na potencjalne postulaty legislacyjne.</w:t>
      </w:r>
    </w:p>
    <w:p w14:paraId="16B20C87" w14:textId="77777777" w:rsidR="00EC5E90" w:rsidRDefault="00EC5E90" w:rsidP="000F4660">
      <w:pPr>
        <w:spacing w:before="6" w:after="6" w:line="288" w:lineRule="auto"/>
        <w:jc w:val="both"/>
      </w:pPr>
    </w:p>
    <w:p w14:paraId="67D51761" w14:textId="77777777" w:rsidR="00F815DD" w:rsidRDefault="00F815DD">
      <w:pPr>
        <w:rPr>
          <w:rFonts w:asciiTheme="majorHAnsi" w:hAnsiTheme="majorHAnsi" w:cstheme="majorHAnsi"/>
          <w:b/>
        </w:rPr>
      </w:pPr>
      <w:r>
        <w:rPr>
          <w:rFonts w:asciiTheme="majorHAnsi" w:hAnsiTheme="majorHAnsi" w:cstheme="majorHAnsi"/>
          <w:b/>
        </w:rPr>
        <w:br w:type="page"/>
      </w:r>
    </w:p>
    <w:p w14:paraId="479753F6" w14:textId="042AF108" w:rsidR="00664BB3" w:rsidRPr="00587CC9" w:rsidRDefault="000D7DC2" w:rsidP="00587CC9">
      <w:pPr>
        <w:spacing w:after="0"/>
        <w:rPr>
          <w:rFonts w:asciiTheme="majorHAnsi" w:hAnsiTheme="majorHAnsi" w:cstheme="majorHAnsi"/>
          <w:b/>
        </w:rPr>
      </w:pPr>
      <w:r w:rsidRPr="00F22860">
        <w:rPr>
          <w:rFonts w:asciiTheme="majorHAnsi" w:hAnsiTheme="majorHAnsi" w:cstheme="majorHAnsi"/>
          <w:b/>
        </w:rPr>
        <w:lastRenderedPageBreak/>
        <w:t xml:space="preserve">Spis </w:t>
      </w:r>
      <w:r w:rsidR="0030775B" w:rsidRPr="00F22860">
        <w:rPr>
          <w:rFonts w:asciiTheme="majorHAnsi" w:hAnsiTheme="majorHAnsi" w:cstheme="majorHAnsi"/>
          <w:b/>
        </w:rPr>
        <w:t>tabel</w:t>
      </w:r>
    </w:p>
    <w:p w14:paraId="0084DCF6" w14:textId="49D247C0" w:rsidR="00291ADC" w:rsidRPr="00F45903" w:rsidRDefault="000D7DC2">
      <w:pPr>
        <w:pStyle w:val="Spisilustracji"/>
        <w:tabs>
          <w:tab w:val="right" w:leader="dot" w:pos="9062"/>
        </w:tabs>
        <w:rPr>
          <w:rFonts w:asciiTheme="majorHAnsi" w:hAnsiTheme="majorHAnsi" w:cstheme="majorHAnsi"/>
          <w:noProof/>
          <w:sz w:val="20"/>
          <w:szCs w:val="20"/>
        </w:rPr>
      </w:pPr>
      <w:r w:rsidRPr="00291ADC">
        <w:rPr>
          <w:rFonts w:asciiTheme="majorHAnsi" w:hAnsiTheme="majorHAnsi" w:cstheme="majorHAnsi"/>
          <w:sz w:val="20"/>
          <w:szCs w:val="20"/>
        </w:rPr>
        <w:fldChar w:fldCharType="begin"/>
      </w:r>
      <w:r w:rsidRPr="00291ADC">
        <w:rPr>
          <w:rFonts w:asciiTheme="majorHAnsi" w:hAnsiTheme="majorHAnsi" w:cstheme="majorHAnsi"/>
          <w:sz w:val="20"/>
          <w:szCs w:val="20"/>
        </w:rPr>
        <w:instrText xml:space="preserve"> TOC \h \z \c "Tabela" </w:instrText>
      </w:r>
      <w:r w:rsidRPr="00291ADC">
        <w:rPr>
          <w:rFonts w:asciiTheme="majorHAnsi" w:hAnsiTheme="majorHAnsi" w:cstheme="majorHAnsi"/>
          <w:sz w:val="20"/>
          <w:szCs w:val="20"/>
        </w:rPr>
        <w:fldChar w:fldCharType="separate"/>
      </w:r>
      <w:hyperlink w:anchor="_Toc121826363" w:history="1">
        <w:r w:rsidR="00291ADC" w:rsidRPr="00F45903">
          <w:rPr>
            <w:rFonts w:asciiTheme="majorHAnsi" w:hAnsiTheme="majorHAnsi" w:cstheme="majorHAnsi"/>
            <w:noProof/>
            <w:sz w:val="20"/>
            <w:szCs w:val="20"/>
          </w:rPr>
          <w:t>Tabela 1 Liczba rejestracji nowych programów PPE w latach 2017 – 2021</w:t>
        </w:r>
        <w:r w:rsidR="00291ADC" w:rsidRPr="00F45903">
          <w:rPr>
            <w:rFonts w:asciiTheme="majorHAnsi" w:hAnsiTheme="majorHAnsi" w:cstheme="majorHAnsi"/>
            <w:noProof/>
            <w:webHidden/>
            <w:sz w:val="20"/>
            <w:szCs w:val="20"/>
          </w:rPr>
          <w:tab/>
        </w:r>
        <w:r w:rsidR="00291ADC" w:rsidRPr="00F45903">
          <w:rPr>
            <w:rFonts w:asciiTheme="majorHAnsi" w:hAnsiTheme="majorHAnsi" w:cstheme="majorHAnsi"/>
            <w:noProof/>
            <w:webHidden/>
            <w:sz w:val="20"/>
            <w:szCs w:val="20"/>
          </w:rPr>
          <w:fldChar w:fldCharType="begin"/>
        </w:r>
        <w:r w:rsidR="00291ADC" w:rsidRPr="00F45903">
          <w:rPr>
            <w:rFonts w:asciiTheme="majorHAnsi" w:hAnsiTheme="majorHAnsi" w:cstheme="majorHAnsi"/>
            <w:noProof/>
            <w:webHidden/>
            <w:sz w:val="20"/>
            <w:szCs w:val="20"/>
          </w:rPr>
          <w:instrText xml:space="preserve"> PAGEREF _Toc121826363 \h </w:instrText>
        </w:r>
        <w:r w:rsidR="00291ADC" w:rsidRPr="00F45903">
          <w:rPr>
            <w:rFonts w:asciiTheme="majorHAnsi" w:hAnsiTheme="majorHAnsi" w:cstheme="majorHAnsi"/>
            <w:noProof/>
            <w:webHidden/>
            <w:sz w:val="20"/>
            <w:szCs w:val="20"/>
          </w:rPr>
        </w:r>
        <w:r w:rsidR="00291ADC" w:rsidRPr="00F45903">
          <w:rPr>
            <w:rFonts w:asciiTheme="majorHAnsi" w:hAnsiTheme="majorHAnsi" w:cstheme="majorHAnsi"/>
            <w:noProof/>
            <w:webHidden/>
            <w:sz w:val="20"/>
            <w:szCs w:val="20"/>
          </w:rPr>
          <w:fldChar w:fldCharType="separate"/>
        </w:r>
        <w:r w:rsidR="009D2CBD">
          <w:rPr>
            <w:rFonts w:asciiTheme="majorHAnsi" w:hAnsiTheme="majorHAnsi" w:cstheme="majorHAnsi"/>
            <w:noProof/>
            <w:webHidden/>
            <w:sz w:val="20"/>
            <w:szCs w:val="20"/>
          </w:rPr>
          <w:t>13</w:t>
        </w:r>
        <w:r w:rsidR="00291ADC" w:rsidRPr="00F45903">
          <w:rPr>
            <w:rFonts w:asciiTheme="majorHAnsi" w:hAnsiTheme="majorHAnsi" w:cstheme="majorHAnsi"/>
            <w:noProof/>
            <w:webHidden/>
            <w:sz w:val="20"/>
            <w:szCs w:val="20"/>
          </w:rPr>
          <w:fldChar w:fldCharType="end"/>
        </w:r>
      </w:hyperlink>
    </w:p>
    <w:p w14:paraId="041D6A1D" w14:textId="521CE955" w:rsidR="00291ADC" w:rsidRPr="00F45903" w:rsidRDefault="003700A7">
      <w:pPr>
        <w:pStyle w:val="Spisilustracji"/>
        <w:tabs>
          <w:tab w:val="right" w:leader="dot" w:pos="9062"/>
        </w:tabs>
        <w:rPr>
          <w:rFonts w:asciiTheme="majorHAnsi" w:hAnsiTheme="majorHAnsi" w:cstheme="majorHAnsi"/>
          <w:noProof/>
          <w:sz w:val="20"/>
          <w:szCs w:val="20"/>
        </w:rPr>
      </w:pPr>
      <w:hyperlink w:anchor="_Toc121826364" w:history="1">
        <w:r w:rsidR="00291ADC" w:rsidRPr="00F45903">
          <w:rPr>
            <w:rFonts w:asciiTheme="majorHAnsi" w:hAnsiTheme="majorHAnsi" w:cstheme="majorHAnsi"/>
            <w:noProof/>
            <w:sz w:val="20"/>
            <w:szCs w:val="20"/>
          </w:rPr>
          <w:t>Tabela 2 Instytucje finansowe prowadzące PPK</w:t>
        </w:r>
        <w:r w:rsidR="00291ADC" w:rsidRPr="00F45903">
          <w:rPr>
            <w:rFonts w:asciiTheme="majorHAnsi" w:hAnsiTheme="majorHAnsi" w:cstheme="majorHAnsi"/>
            <w:noProof/>
            <w:webHidden/>
            <w:sz w:val="20"/>
            <w:szCs w:val="20"/>
          </w:rPr>
          <w:tab/>
        </w:r>
        <w:r w:rsidR="00291ADC" w:rsidRPr="00F45903">
          <w:rPr>
            <w:rFonts w:asciiTheme="majorHAnsi" w:hAnsiTheme="majorHAnsi" w:cstheme="majorHAnsi"/>
            <w:noProof/>
            <w:webHidden/>
            <w:sz w:val="20"/>
            <w:szCs w:val="20"/>
          </w:rPr>
          <w:fldChar w:fldCharType="begin"/>
        </w:r>
        <w:r w:rsidR="00291ADC" w:rsidRPr="00F45903">
          <w:rPr>
            <w:rFonts w:asciiTheme="majorHAnsi" w:hAnsiTheme="majorHAnsi" w:cstheme="majorHAnsi"/>
            <w:noProof/>
            <w:webHidden/>
            <w:sz w:val="20"/>
            <w:szCs w:val="20"/>
          </w:rPr>
          <w:instrText xml:space="preserve"> PAGEREF _Toc121826364 \h </w:instrText>
        </w:r>
        <w:r w:rsidR="00291ADC" w:rsidRPr="00F45903">
          <w:rPr>
            <w:rFonts w:asciiTheme="majorHAnsi" w:hAnsiTheme="majorHAnsi" w:cstheme="majorHAnsi"/>
            <w:noProof/>
            <w:webHidden/>
            <w:sz w:val="20"/>
            <w:szCs w:val="20"/>
          </w:rPr>
        </w:r>
        <w:r w:rsidR="00291ADC" w:rsidRPr="00F45903">
          <w:rPr>
            <w:rFonts w:asciiTheme="majorHAnsi" w:hAnsiTheme="majorHAnsi" w:cstheme="majorHAnsi"/>
            <w:noProof/>
            <w:webHidden/>
            <w:sz w:val="20"/>
            <w:szCs w:val="20"/>
          </w:rPr>
          <w:fldChar w:fldCharType="separate"/>
        </w:r>
        <w:r w:rsidR="009D2CBD">
          <w:rPr>
            <w:rFonts w:asciiTheme="majorHAnsi" w:hAnsiTheme="majorHAnsi" w:cstheme="majorHAnsi"/>
            <w:noProof/>
            <w:webHidden/>
            <w:sz w:val="20"/>
            <w:szCs w:val="20"/>
          </w:rPr>
          <w:t>33</w:t>
        </w:r>
        <w:r w:rsidR="00291ADC" w:rsidRPr="00F45903">
          <w:rPr>
            <w:rFonts w:asciiTheme="majorHAnsi" w:hAnsiTheme="majorHAnsi" w:cstheme="majorHAnsi"/>
            <w:noProof/>
            <w:webHidden/>
            <w:sz w:val="20"/>
            <w:szCs w:val="20"/>
          </w:rPr>
          <w:fldChar w:fldCharType="end"/>
        </w:r>
      </w:hyperlink>
    </w:p>
    <w:p w14:paraId="777C9C78" w14:textId="76CFAFD6" w:rsidR="00291ADC" w:rsidRPr="00F45903" w:rsidRDefault="003700A7">
      <w:pPr>
        <w:pStyle w:val="Spisilustracji"/>
        <w:tabs>
          <w:tab w:val="right" w:leader="dot" w:pos="9062"/>
        </w:tabs>
        <w:rPr>
          <w:rFonts w:asciiTheme="majorHAnsi" w:hAnsiTheme="majorHAnsi" w:cstheme="majorHAnsi"/>
          <w:noProof/>
          <w:sz w:val="20"/>
          <w:szCs w:val="20"/>
        </w:rPr>
      </w:pPr>
      <w:hyperlink w:anchor="_Toc121826365" w:history="1">
        <w:r w:rsidR="00291ADC" w:rsidRPr="00F45903">
          <w:rPr>
            <w:rFonts w:asciiTheme="majorHAnsi" w:hAnsiTheme="majorHAnsi" w:cstheme="majorHAnsi"/>
            <w:noProof/>
            <w:sz w:val="20"/>
            <w:szCs w:val="20"/>
          </w:rPr>
          <w:t>Tabela 3 Partycypacja w przedziałach zatrudnienia</w:t>
        </w:r>
        <w:r w:rsidR="00291ADC" w:rsidRPr="00F45903">
          <w:rPr>
            <w:rFonts w:asciiTheme="majorHAnsi" w:hAnsiTheme="majorHAnsi" w:cstheme="majorHAnsi"/>
            <w:noProof/>
            <w:webHidden/>
            <w:sz w:val="20"/>
            <w:szCs w:val="20"/>
          </w:rPr>
          <w:tab/>
        </w:r>
        <w:r w:rsidR="00291ADC" w:rsidRPr="00F45903">
          <w:rPr>
            <w:rFonts w:asciiTheme="majorHAnsi" w:hAnsiTheme="majorHAnsi" w:cstheme="majorHAnsi"/>
            <w:noProof/>
            <w:webHidden/>
            <w:sz w:val="20"/>
            <w:szCs w:val="20"/>
          </w:rPr>
          <w:fldChar w:fldCharType="begin"/>
        </w:r>
        <w:r w:rsidR="00291ADC" w:rsidRPr="00F45903">
          <w:rPr>
            <w:rFonts w:asciiTheme="majorHAnsi" w:hAnsiTheme="majorHAnsi" w:cstheme="majorHAnsi"/>
            <w:noProof/>
            <w:webHidden/>
            <w:sz w:val="20"/>
            <w:szCs w:val="20"/>
          </w:rPr>
          <w:instrText xml:space="preserve"> PAGEREF _Toc121826365 \h </w:instrText>
        </w:r>
        <w:r w:rsidR="00291ADC" w:rsidRPr="00F45903">
          <w:rPr>
            <w:rFonts w:asciiTheme="majorHAnsi" w:hAnsiTheme="majorHAnsi" w:cstheme="majorHAnsi"/>
            <w:noProof/>
            <w:webHidden/>
            <w:sz w:val="20"/>
            <w:szCs w:val="20"/>
          </w:rPr>
        </w:r>
        <w:r w:rsidR="00291ADC" w:rsidRPr="00F45903">
          <w:rPr>
            <w:rFonts w:asciiTheme="majorHAnsi" w:hAnsiTheme="majorHAnsi" w:cstheme="majorHAnsi"/>
            <w:noProof/>
            <w:webHidden/>
            <w:sz w:val="20"/>
            <w:szCs w:val="20"/>
          </w:rPr>
          <w:fldChar w:fldCharType="separate"/>
        </w:r>
        <w:r w:rsidR="009D2CBD">
          <w:rPr>
            <w:rFonts w:asciiTheme="majorHAnsi" w:hAnsiTheme="majorHAnsi" w:cstheme="majorHAnsi"/>
            <w:noProof/>
            <w:webHidden/>
            <w:sz w:val="20"/>
            <w:szCs w:val="20"/>
          </w:rPr>
          <w:t>44</w:t>
        </w:r>
        <w:r w:rsidR="00291ADC" w:rsidRPr="00F45903">
          <w:rPr>
            <w:rFonts w:asciiTheme="majorHAnsi" w:hAnsiTheme="majorHAnsi" w:cstheme="majorHAnsi"/>
            <w:noProof/>
            <w:webHidden/>
            <w:sz w:val="20"/>
            <w:szCs w:val="20"/>
          </w:rPr>
          <w:fldChar w:fldCharType="end"/>
        </w:r>
      </w:hyperlink>
    </w:p>
    <w:p w14:paraId="028BAD4D" w14:textId="5E64291D" w:rsidR="00291ADC" w:rsidRPr="00F45903" w:rsidRDefault="003700A7">
      <w:pPr>
        <w:pStyle w:val="Spisilustracji"/>
        <w:tabs>
          <w:tab w:val="right" w:leader="dot" w:pos="9062"/>
        </w:tabs>
        <w:rPr>
          <w:rFonts w:asciiTheme="majorHAnsi" w:hAnsiTheme="majorHAnsi" w:cstheme="majorHAnsi"/>
          <w:noProof/>
          <w:sz w:val="20"/>
          <w:szCs w:val="20"/>
        </w:rPr>
      </w:pPr>
      <w:hyperlink w:anchor="_Toc121826366" w:history="1">
        <w:r w:rsidR="00291ADC" w:rsidRPr="00F45903">
          <w:rPr>
            <w:rFonts w:asciiTheme="majorHAnsi" w:hAnsiTheme="majorHAnsi" w:cstheme="majorHAnsi"/>
            <w:noProof/>
            <w:sz w:val="20"/>
            <w:szCs w:val="20"/>
          </w:rPr>
          <w:t>Tabela 4 Partycypacja w podziale na województwa</w:t>
        </w:r>
        <w:r w:rsidR="00291ADC" w:rsidRPr="00F45903">
          <w:rPr>
            <w:rFonts w:asciiTheme="majorHAnsi" w:hAnsiTheme="majorHAnsi" w:cstheme="majorHAnsi"/>
            <w:noProof/>
            <w:webHidden/>
            <w:sz w:val="20"/>
            <w:szCs w:val="20"/>
          </w:rPr>
          <w:tab/>
        </w:r>
        <w:r w:rsidR="00291ADC" w:rsidRPr="00F45903">
          <w:rPr>
            <w:rFonts w:asciiTheme="majorHAnsi" w:hAnsiTheme="majorHAnsi" w:cstheme="majorHAnsi"/>
            <w:noProof/>
            <w:webHidden/>
            <w:sz w:val="20"/>
            <w:szCs w:val="20"/>
          </w:rPr>
          <w:fldChar w:fldCharType="begin"/>
        </w:r>
        <w:r w:rsidR="00291ADC" w:rsidRPr="00F45903">
          <w:rPr>
            <w:rFonts w:asciiTheme="majorHAnsi" w:hAnsiTheme="majorHAnsi" w:cstheme="majorHAnsi"/>
            <w:noProof/>
            <w:webHidden/>
            <w:sz w:val="20"/>
            <w:szCs w:val="20"/>
          </w:rPr>
          <w:instrText xml:space="preserve"> PAGEREF _Toc121826366 \h </w:instrText>
        </w:r>
        <w:r w:rsidR="00291ADC" w:rsidRPr="00F45903">
          <w:rPr>
            <w:rFonts w:asciiTheme="majorHAnsi" w:hAnsiTheme="majorHAnsi" w:cstheme="majorHAnsi"/>
            <w:noProof/>
            <w:webHidden/>
            <w:sz w:val="20"/>
            <w:szCs w:val="20"/>
          </w:rPr>
        </w:r>
        <w:r w:rsidR="00291ADC" w:rsidRPr="00F45903">
          <w:rPr>
            <w:rFonts w:asciiTheme="majorHAnsi" w:hAnsiTheme="majorHAnsi" w:cstheme="majorHAnsi"/>
            <w:noProof/>
            <w:webHidden/>
            <w:sz w:val="20"/>
            <w:szCs w:val="20"/>
          </w:rPr>
          <w:fldChar w:fldCharType="separate"/>
        </w:r>
        <w:r w:rsidR="009D2CBD">
          <w:rPr>
            <w:rFonts w:asciiTheme="majorHAnsi" w:hAnsiTheme="majorHAnsi" w:cstheme="majorHAnsi"/>
            <w:noProof/>
            <w:webHidden/>
            <w:sz w:val="20"/>
            <w:szCs w:val="20"/>
          </w:rPr>
          <w:t>45</w:t>
        </w:r>
        <w:r w:rsidR="00291ADC" w:rsidRPr="00F45903">
          <w:rPr>
            <w:rFonts w:asciiTheme="majorHAnsi" w:hAnsiTheme="majorHAnsi" w:cstheme="majorHAnsi"/>
            <w:noProof/>
            <w:webHidden/>
            <w:sz w:val="20"/>
            <w:szCs w:val="20"/>
          </w:rPr>
          <w:fldChar w:fldCharType="end"/>
        </w:r>
      </w:hyperlink>
    </w:p>
    <w:p w14:paraId="43842762" w14:textId="579ADC1B" w:rsidR="00291ADC" w:rsidRPr="00F45903" w:rsidRDefault="003700A7">
      <w:pPr>
        <w:pStyle w:val="Spisilustracji"/>
        <w:tabs>
          <w:tab w:val="right" w:leader="dot" w:pos="9062"/>
        </w:tabs>
        <w:rPr>
          <w:rFonts w:asciiTheme="majorHAnsi" w:hAnsiTheme="majorHAnsi" w:cstheme="majorHAnsi"/>
          <w:noProof/>
          <w:sz w:val="20"/>
          <w:szCs w:val="20"/>
        </w:rPr>
      </w:pPr>
      <w:hyperlink w:anchor="_Toc121826367" w:history="1">
        <w:r w:rsidR="00291ADC" w:rsidRPr="00F45903">
          <w:rPr>
            <w:rFonts w:asciiTheme="majorHAnsi" w:hAnsiTheme="majorHAnsi" w:cstheme="majorHAnsi"/>
            <w:noProof/>
            <w:sz w:val="20"/>
            <w:szCs w:val="20"/>
          </w:rPr>
          <w:t>Tabela 5 Uczestnicy PPK wg obywatelstwa - stan na 31.08.2022 r.</w:t>
        </w:r>
        <w:r w:rsidR="00291ADC" w:rsidRPr="00F45903">
          <w:rPr>
            <w:rFonts w:asciiTheme="majorHAnsi" w:hAnsiTheme="majorHAnsi" w:cstheme="majorHAnsi"/>
            <w:noProof/>
            <w:webHidden/>
            <w:sz w:val="20"/>
            <w:szCs w:val="20"/>
          </w:rPr>
          <w:tab/>
        </w:r>
        <w:r w:rsidR="00291ADC" w:rsidRPr="00F45903">
          <w:rPr>
            <w:rFonts w:asciiTheme="majorHAnsi" w:hAnsiTheme="majorHAnsi" w:cstheme="majorHAnsi"/>
            <w:noProof/>
            <w:webHidden/>
            <w:sz w:val="20"/>
            <w:szCs w:val="20"/>
          </w:rPr>
          <w:fldChar w:fldCharType="begin"/>
        </w:r>
        <w:r w:rsidR="00291ADC" w:rsidRPr="00F45903">
          <w:rPr>
            <w:rFonts w:asciiTheme="majorHAnsi" w:hAnsiTheme="majorHAnsi" w:cstheme="majorHAnsi"/>
            <w:noProof/>
            <w:webHidden/>
            <w:sz w:val="20"/>
            <w:szCs w:val="20"/>
          </w:rPr>
          <w:instrText xml:space="preserve"> PAGEREF _Toc121826367 \h </w:instrText>
        </w:r>
        <w:r w:rsidR="00291ADC" w:rsidRPr="00F45903">
          <w:rPr>
            <w:rFonts w:asciiTheme="majorHAnsi" w:hAnsiTheme="majorHAnsi" w:cstheme="majorHAnsi"/>
            <w:noProof/>
            <w:webHidden/>
            <w:sz w:val="20"/>
            <w:szCs w:val="20"/>
          </w:rPr>
        </w:r>
        <w:r w:rsidR="00291ADC" w:rsidRPr="00F45903">
          <w:rPr>
            <w:rFonts w:asciiTheme="majorHAnsi" w:hAnsiTheme="majorHAnsi" w:cstheme="majorHAnsi"/>
            <w:noProof/>
            <w:webHidden/>
            <w:sz w:val="20"/>
            <w:szCs w:val="20"/>
          </w:rPr>
          <w:fldChar w:fldCharType="separate"/>
        </w:r>
        <w:r w:rsidR="009D2CBD">
          <w:rPr>
            <w:rFonts w:asciiTheme="majorHAnsi" w:hAnsiTheme="majorHAnsi" w:cstheme="majorHAnsi"/>
            <w:noProof/>
            <w:webHidden/>
            <w:sz w:val="20"/>
            <w:szCs w:val="20"/>
          </w:rPr>
          <w:t>46</w:t>
        </w:r>
        <w:r w:rsidR="00291ADC" w:rsidRPr="00F45903">
          <w:rPr>
            <w:rFonts w:asciiTheme="majorHAnsi" w:hAnsiTheme="majorHAnsi" w:cstheme="majorHAnsi"/>
            <w:noProof/>
            <w:webHidden/>
            <w:sz w:val="20"/>
            <w:szCs w:val="20"/>
          </w:rPr>
          <w:fldChar w:fldCharType="end"/>
        </w:r>
      </w:hyperlink>
    </w:p>
    <w:p w14:paraId="3FE7AE39" w14:textId="4F9FA976" w:rsidR="00291ADC" w:rsidRPr="00F45903" w:rsidRDefault="003700A7">
      <w:pPr>
        <w:pStyle w:val="Spisilustracji"/>
        <w:tabs>
          <w:tab w:val="right" w:leader="dot" w:pos="9062"/>
        </w:tabs>
        <w:rPr>
          <w:rFonts w:asciiTheme="majorHAnsi" w:hAnsiTheme="majorHAnsi" w:cstheme="majorHAnsi"/>
          <w:noProof/>
          <w:sz w:val="20"/>
          <w:szCs w:val="20"/>
        </w:rPr>
      </w:pPr>
      <w:hyperlink w:anchor="_Toc121826368" w:history="1">
        <w:r w:rsidR="00291ADC" w:rsidRPr="00F45903">
          <w:rPr>
            <w:rFonts w:asciiTheme="majorHAnsi" w:hAnsiTheme="majorHAnsi" w:cstheme="majorHAnsi"/>
            <w:noProof/>
            <w:sz w:val="20"/>
            <w:szCs w:val="20"/>
          </w:rPr>
          <w:t>Tabela 6 Wartość aktywów netto (w tys.) i udział procentowy podmio</w:t>
        </w:r>
        <w:r w:rsidR="00E1605D">
          <w:rPr>
            <w:rFonts w:asciiTheme="majorHAnsi" w:hAnsiTheme="majorHAnsi" w:cstheme="majorHAnsi"/>
            <w:noProof/>
            <w:sz w:val="20"/>
            <w:szCs w:val="20"/>
          </w:rPr>
          <w:t xml:space="preserve">tów zarządzających w rynku PPK </w:t>
        </w:r>
        <w:r w:rsidR="00291ADC" w:rsidRPr="00F45903">
          <w:rPr>
            <w:rFonts w:asciiTheme="majorHAnsi" w:hAnsiTheme="majorHAnsi" w:cstheme="majorHAnsi"/>
            <w:noProof/>
            <w:sz w:val="20"/>
            <w:szCs w:val="20"/>
          </w:rPr>
          <w:t>według stanu na 31 lipca 2022 r.</w:t>
        </w:r>
        <w:r w:rsidR="00291ADC" w:rsidRPr="00F45903">
          <w:rPr>
            <w:rFonts w:asciiTheme="majorHAnsi" w:hAnsiTheme="majorHAnsi" w:cstheme="majorHAnsi"/>
            <w:noProof/>
            <w:webHidden/>
            <w:sz w:val="20"/>
            <w:szCs w:val="20"/>
          </w:rPr>
          <w:tab/>
        </w:r>
        <w:r w:rsidR="00291ADC" w:rsidRPr="00F45903">
          <w:rPr>
            <w:rFonts w:asciiTheme="majorHAnsi" w:hAnsiTheme="majorHAnsi" w:cstheme="majorHAnsi"/>
            <w:noProof/>
            <w:webHidden/>
            <w:sz w:val="20"/>
            <w:szCs w:val="20"/>
          </w:rPr>
          <w:fldChar w:fldCharType="begin"/>
        </w:r>
        <w:r w:rsidR="00291ADC" w:rsidRPr="00F45903">
          <w:rPr>
            <w:rFonts w:asciiTheme="majorHAnsi" w:hAnsiTheme="majorHAnsi" w:cstheme="majorHAnsi"/>
            <w:noProof/>
            <w:webHidden/>
            <w:sz w:val="20"/>
            <w:szCs w:val="20"/>
          </w:rPr>
          <w:instrText xml:space="preserve"> PAGEREF _Toc121826368 \h </w:instrText>
        </w:r>
        <w:r w:rsidR="00291ADC" w:rsidRPr="00F45903">
          <w:rPr>
            <w:rFonts w:asciiTheme="majorHAnsi" w:hAnsiTheme="majorHAnsi" w:cstheme="majorHAnsi"/>
            <w:noProof/>
            <w:webHidden/>
            <w:sz w:val="20"/>
            <w:szCs w:val="20"/>
          </w:rPr>
        </w:r>
        <w:r w:rsidR="00291ADC" w:rsidRPr="00F45903">
          <w:rPr>
            <w:rFonts w:asciiTheme="majorHAnsi" w:hAnsiTheme="majorHAnsi" w:cstheme="majorHAnsi"/>
            <w:noProof/>
            <w:webHidden/>
            <w:sz w:val="20"/>
            <w:szCs w:val="20"/>
          </w:rPr>
          <w:fldChar w:fldCharType="separate"/>
        </w:r>
        <w:r w:rsidR="009D2CBD">
          <w:rPr>
            <w:rFonts w:asciiTheme="majorHAnsi" w:hAnsiTheme="majorHAnsi" w:cstheme="majorHAnsi"/>
            <w:noProof/>
            <w:webHidden/>
            <w:sz w:val="20"/>
            <w:szCs w:val="20"/>
          </w:rPr>
          <w:t>48</w:t>
        </w:r>
        <w:r w:rsidR="00291ADC" w:rsidRPr="00F45903">
          <w:rPr>
            <w:rFonts w:asciiTheme="majorHAnsi" w:hAnsiTheme="majorHAnsi" w:cstheme="majorHAnsi"/>
            <w:noProof/>
            <w:webHidden/>
            <w:sz w:val="20"/>
            <w:szCs w:val="20"/>
          </w:rPr>
          <w:fldChar w:fldCharType="end"/>
        </w:r>
      </w:hyperlink>
    </w:p>
    <w:p w14:paraId="3613A676" w14:textId="413223A0" w:rsidR="00291ADC" w:rsidRPr="00F45903" w:rsidRDefault="003700A7">
      <w:pPr>
        <w:pStyle w:val="Spisilustracji"/>
        <w:tabs>
          <w:tab w:val="right" w:leader="dot" w:pos="9062"/>
        </w:tabs>
        <w:rPr>
          <w:rFonts w:asciiTheme="majorHAnsi" w:hAnsiTheme="majorHAnsi" w:cstheme="majorHAnsi"/>
          <w:noProof/>
          <w:sz w:val="20"/>
          <w:szCs w:val="20"/>
        </w:rPr>
      </w:pPr>
      <w:hyperlink w:anchor="_Toc121826369" w:history="1">
        <w:r w:rsidR="00291ADC" w:rsidRPr="00F45903">
          <w:rPr>
            <w:rFonts w:asciiTheme="majorHAnsi" w:hAnsiTheme="majorHAnsi" w:cstheme="majorHAnsi"/>
            <w:noProof/>
            <w:sz w:val="20"/>
            <w:szCs w:val="20"/>
          </w:rPr>
          <w:t>Tabela 7 Średnie opłaty za zarządzanie funduszami zdefiniowanej daty, pobierane przez instytucje finansowe, według stanu na 31 sierpnia 2022 r.</w:t>
        </w:r>
        <w:r w:rsidR="00291ADC" w:rsidRPr="00F45903">
          <w:rPr>
            <w:rFonts w:asciiTheme="majorHAnsi" w:hAnsiTheme="majorHAnsi" w:cstheme="majorHAnsi"/>
            <w:noProof/>
            <w:webHidden/>
            <w:sz w:val="20"/>
            <w:szCs w:val="20"/>
          </w:rPr>
          <w:tab/>
        </w:r>
        <w:r w:rsidR="00291ADC" w:rsidRPr="00F45903">
          <w:rPr>
            <w:rFonts w:asciiTheme="majorHAnsi" w:hAnsiTheme="majorHAnsi" w:cstheme="majorHAnsi"/>
            <w:noProof/>
            <w:webHidden/>
            <w:sz w:val="20"/>
            <w:szCs w:val="20"/>
          </w:rPr>
          <w:fldChar w:fldCharType="begin"/>
        </w:r>
        <w:r w:rsidR="00291ADC" w:rsidRPr="00F45903">
          <w:rPr>
            <w:rFonts w:asciiTheme="majorHAnsi" w:hAnsiTheme="majorHAnsi" w:cstheme="majorHAnsi"/>
            <w:noProof/>
            <w:webHidden/>
            <w:sz w:val="20"/>
            <w:szCs w:val="20"/>
          </w:rPr>
          <w:instrText xml:space="preserve"> PAGEREF _Toc121826369 \h </w:instrText>
        </w:r>
        <w:r w:rsidR="00291ADC" w:rsidRPr="00F45903">
          <w:rPr>
            <w:rFonts w:asciiTheme="majorHAnsi" w:hAnsiTheme="majorHAnsi" w:cstheme="majorHAnsi"/>
            <w:noProof/>
            <w:webHidden/>
            <w:sz w:val="20"/>
            <w:szCs w:val="20"/>
          </w:rPr>
        </w:r>
        <w:r w:rsidR="00291ADC" w:rsidRPr="00F45903">
          <w:rPr>
            <w:rFonts w:asciiTheme="majorHAnsi" w:hAnsiTheme="majorHAnsi" w:cstheme="majorHAnsi"/>
            <w:noProof/>
            <w:webHidden/>
            <w:sz w:val="20"/>
            <w:szCs w:val="20"/>
          </w:rPr>
          <w:fldChar w:fldCharType="separate"/>
        </w:r>
        <w:r w:rsidR="009D2CBD">
          <w:rPr>
            <w:rFonts w:asciiTheme="majorHAnsi" w:hAnsiTheme="majorHAnsi" w:cstheme="majorHAnsi"/>
            <w:noProof/>
            <w:webHidden/>
            <w:sz w:val="20"/>
            <w:szCs w:val="20"/>
          </w:rPr>
          <w:t>54</w:t>
        </w:r>
        <w:r w:rsidR="00291ADC" w:rsidRPr="00F45903">
          <w:rPr>
            <w:rFonts w:asciiTheme="majorHAnsi" w:hAnsiTheme="majorHAnsi" w:cstheme="majorHAnsi"/>
            <w:noProof/>
            <w:webHidden/>
            <w:sz w:val="20"/>
            <w:szCs w:val="20"/>
          </w:rPr>
          <w:fldChar w:fldCharType="end"/>
        </w:r>
      </w:hyperlink>
    </w:p>
    <w:p w14:paraId="1FD353FE" w14:textId="77777777" w:rsidR="000D7DC2" w:rsidRPr="00AC6176" w:rsidRDefault="000D7DC2" w:rsidP="00436396">
      <w:pPr>
        <w:spacing w:after="0" w:line="288" w:lineRule="auto"/>
        <w:jc w:val="both"/>
        <w:rPr>
          <w:rFonts w:asciiTheme="majorHAnsi" w:hAnsiTheme="majorHAnsi" w:cstheme="majorHAnsi"/>
          <w:sz w:val="20"/>
          <w:szCs w:val="20"/>
        </w:rPr>
      </w:pPr>
      <w:r w:rsidRPr="00291ADC">
        <w:rPr>
          <w:rFonts w:asciiTheme="majorHAnsi" w:hAnsiTheme="majorHAnsi" w:cstheme="majorHAnsi"/>
          <w:sz w:val="20"/>
          <w:szCs w:val="20"/>
        </w:rPr>
        <w:fldChar w:fldCharType="end"/>
      </w:r>
    </w:p>
    <w:p w14:paraId="0949E775" w14:textId="68915D64" w:rsidR="005B7999" w:rsidRPr="00AC6176" w:rsidRDefault="005B7999" w:rsidP="000F4660">
      <w:pPr>
        <w:spacing w:before="6" w:after="6" w:line="288" w:lineRule="auto"/>
        <w:jc w:val="both"/>
        <w:rPr>
          <w:rFonts w:asciiTheme="majorHAnsi" w:hAnsiTheme="majorHAnsi" w:cstheme="majorHAnsi"/>
          <w:b/>
        </w:rPr>
      </w:pPr>
      <w:r w:rsidRPr="00AC6176">
        <w:rPr>
          <w:rFonts w:asciiTheme="majorHAnsi" w:hAnsiTheme="majorHAnsi" w:cstheme="majorHAnsi"/>
          <w:b/>
        </w:rPr>
        <w:t>Spis wykresów</w:t>
      </w:r>
    </w:p>
    <w:p w14:paraId="0024C6B0" w14:textId="14B2A089" w:rsidR="00B15A9F" w:rsidRPr="00F45903" w:rsidRDefault="005B7999">
      <w:pPr>
        <w:pStyle w:val="Spisilustracji"/>
        <w:tabs>
          <w:tab w:val="right" w:leader="dot" w:pos="9062"/>
        </w:tabs>
        <w:rPr>
          <w:rFonts w:asciiTheme="majorHAnsi" w:hAnsiTheme="majorHAnsi" w:cstheme="majorHAnsi"/>
          <w:noProof/>
          <w:sz w:val="20"/>
          <w:szCs w:val="20"/>
        </w:rPr>
      </w:pPr>
      <w:r w:rsidRPr="00587CC9">
        <w:rPr>
          <w:rFonts w:asciiTheme="majorHAnsi" w:hAnsiTheme="majorHAnsi" w:cstheme="majorHAnsi"/>
          <w:sz w:val="20"/>
          <w:szCs w:val="20"/>
        </w:rPr>
        <w:fldChar w:fldCharType="begin"/>
      </w:r>
      <w:r w:rsidRPr="00587CC9">
        <w:rPr>
          <w:rFonts w:asciiTheme="majorHAnsi" w:hAnsiTheme="majorHAnsi" w:cstheme="majorHAnsi"/>
          <w:sz w:val="20"/>
          <w:szCs w:val="20"/>
        </w:rPr>
        <w:instrText xml:space="preserve"> TOC \f F \h \z \c "Wykres" </w:instrText>
      </w:r>
      <w:r w:rsidRPr="00587CC9">
        <w:rPr>
          <w:rFonts w:asciiTheme="majorHAnsi" w:hAnsiTheme="majorHAnsi" w:cstheme="majorHAnsi"/>
          <w:sz w:val="20"/>
          <w:szCs w:val="20"/>
        </w:rPr>
        <w:fldChar w:fldCharType="separate"/>
      </w:r>
      <w:hyperlink w:anchor="_Toc121826551" w:history="1">
        <w:r w:rsidR="00B15A9F" w:rsidRPr="00F45903">
          <w:rPr>
            <w:rFonts w:asciiTheme="majorHAnsi" w:hAnsiTheme="majorHAnsi" w:cstheme="majorHAnsi"/>
            <w:noProof/>
            <w:sz w:val="20"/>
            <w:szCs w:val="20"/>
          </w:rPr>
          <w:t>Wykres 1 Przeciętna długość trwania życia kobiet i mężczyzn w okresie 1990 – 2021 (w latach)</w:t>
        </w:r>
        <w:r w:rsidR="00B15A9F" w:rsidRPr="00F45903">
          <w:rPr>
            <w:rFonts w:asciiTheme="majorHAnsi" w:hAnsiTheme="majorHAnsi" w:cstheme="majorHAnsi"/>
            <w:noProof/>
            <w:webHidden/>
            <w:sz w:val="20"/>
            <w:szCs w:val="20"/>
          </w:rPr>
          <w:tab/>
        </w:r>
        <w:r w:rsidR="00B15A9F" w:rsidRPr="00F45903">
          <w:rPr>
            <w:rFonts w:asciiTheme="majorHAnsi" w:hAnsiTheme="majorHAnsi" w:cstheme="majorHAnsi"/>
            <w:noProof/>
            <w:webHidden/>
            <w:sz w:val="20"/>
            <w:szCs w:val="20"/>
          </w:rPr>
          <w:fldChar w:fldCharType="begin"/>
        </w:r>
        <w:r w:rsidR="00B15A9F" w:rsidRPr="00F45903">
          <w:rPr>
            <w:rFonts w:asciiTheme="majorHAnsi" w:hAnsiTheme="majorHAnsi" w:cstheme="majorHAnsi"/>
            <w:noProof/>
            <w:webHidden/>
            <w:sz w:val="20"/>
            <w:szCs w:val="20"/>
          </w:rPr>
          <w:instrText xml:space="preserve"> PAGEREF _Toc121826551 \h </w:instrText>
        </w:r>
        <w:r w:rsidR="00B15A9F" w:rsidRPr="00F45903">
          <w:rPr>
            <w:rFonts w:asciiTheme="majorHAnsi" w:hAnsiTheme="majorHAnsi" w:cstheme="majorHAnsi"/>
            <w:noProof/>
            <w:webHidden/>
            <w:sz w:val="20"/>
            <w:szCs w:val="20"/>
          </w:rPr>
        </w:r>
        <w:r w:rsidR="00B15A9F" w:rsidRPr="00F45903">
          <w:rPr>
            <w:rFonts w:asciiTheme="majorHAnsi" w:hAnsiTheme="majorHAnsi" w:cstheme="majorHAnsi"/>
            <w:noProof/>
            <w:webHidden/>
            <w:sz w:val="20"/>
            <w:szCs w:val="20"/>
          </w:rPr>
          <w:fldChar w:fldCharType="separate"/>
        </w:r>
        <w:r w:rsidR="009D2CBD">
          <w:rPr>
            <w:rFonts w:asciiTheme="majorHAnsi" w:hAnsiTheme="majorHAnsi" w:cstheme="majorHAnsi"/>
            <w:noProof/>
            <w:webHidden/>
            <w:sz w:val="20"/>
            <w:szCs w:val="20"/>
          </w:rPr>
          <w:t>9</w:t>
        </w:r>
        <w:r w:rsidR="00B15A9F" w:rsidRPr="00F45903">
          <w:rPr>
            <w:rFonts w:asciiTheme="majorHAnsi" w:hAnsiTheme="majorHAnsi" w:cstheme="majorHAnsi"/>
            <w:noProof/>
            <w:webHidden/>
            <w:sz w:val="20"/>
            <w:szCs w:val="20"/>
          </w:rPr>
          <w:fldChar w:fldCharType="end"/>
        </w:r>
      </w:hyperlink>
    </w:p>
    <w:p w14:paraId="1DE70BD5" w14:textId="21F11E2D" w:rsidR="00B15A9F" w:rsidRPr="00F45903" w:rsidRDefault="003700A7">
      <w:pPr>
        <w:pStyle w:val="Spisilustracji"/>
        <w:tabs>
          <w:tab w:val="right" w:leader="dot" w:pos="9062"/>
        </w:tabs>
        <w:rPr>
          <w:rFonts w:asciiTheme="majorHAnsi" w:hAnsiTheme="majorHAnsi" w:cstheme="majorHAnsi"/>
          <w:noProof/>
          <w:sz w:val="20"/>
          <w:szCs w:val="20"/>
        </w:rPr>
      </w:pPr>
      <w:hyperlink w:anchor="_Toc121826552" w:history="1">
        <w:r w:rsidR="00B15A9F" w:rsidRPr="00F45903">
          <w:rPr>
            <w:rFonts w:asciiTheme="majorHAnsi" w:hAnsiTheme="majorHAnsi" w:cstheme="majorHAnsi"/>
            <w:noProof/>
            <w:sz w:val="20"/>
            <w:szCs w:val="20"/>
          </w:rPr>
          <w:t>Wykres 2 Stopa zastąpienia</w:t>
        </w:r>
        <w:r w:rsidR="00B15A9F" w:rsidRPr="00F45903">
          <w:rPr>
            <w:rFonts w:asciiTheme="majorHAnsi" w:hAnsiTheme="majorHAnsi" w:cstheme="majorHAnsi"/>
            <w:noProof/>
            <w:webHidden/>
            <w:sz w:val="20"/>
            <w:szCs w:val="20"/>
          </w:rPr>
          <w:tab/>
        </w:r>
        <w:r w:rsidR="00B15A9F" w:rsidRPr="00F45903">
          <w:rPr>
            <w:rFonts w:asciiTheme="majorHAnsi" w:hAnsiTheme="majorHAnsi" w:cstheme="majorHAnsi"/>
            <w:noProof/>
            <w:webHidden/>
            <w:sz w:val="20"/>
            <w:szCs w:val="20"/>
          </w:rPr>
          <w:fldChar w:fldCharType="begin"/>
        </w:r>
        <w:r w:rsidR="00B15A9F" w:rsidRPr="00F45903">
          <w:rPr>
            <w:rFonts w:asciiTheme="majorHAnsi" w:hAnsiTheme="majorHAnsi" w:cstheme="majorHAnsi"/>
            <w:noProof/>
            <w:webHidden/>
            <w:sz w:val="20"/>
            <w:szCs w:val="20"/>
          </w:rPr>
          <w:instrText xml:space="preserve"> PAGEREF _Toc121826552 \h </w:instrText>
        </w:r>
        <w:r w:rsidR="00B15A9F" w:rsidRPr="00F45903">
          <w:rPr>
            <w:rFonts w:asciiTheme="majorHAnsi" w:hAnsiTheme="majorHAnsi" w:cstheme="majorHAnsi"/>
            <w:noProof/>
            <w:webHidden/>
            <w:sz w:val="20"/>
            <w:szCs w:val="20"/>
          </w:rPr>
        </w:r>
        <w:r w:rsidR="00B15A9F" w:rsidRPr="00F45903">
          <w:rPr>
            <w:rFonts w:asciiTheme="majorHAnsi" w:hAnsiTheme="majorHAnsi" w:cstheme="majorHAnsi"/>
            <w:noProof/>
            <w:webHidden/>
            <w:sz w:val="20"/>
            <w:szCs w:val="20"/>
          </w:rPr>
          <w:fldChar w:fldCharType="separate"/>
        </w:r>
        <w:r w:rsidR="009D2CBD">
          <w:rPr>
            <w:rFonts w:asciiTheme="majorHAnsi" w:hAnsiTheme="majorHAnsi" w:cstheme="majorHAnsi"/>
            <w:noProof/>
            <w:webHidden/>
            <w:sz w:val="20"/>
            <w:szCs w:val="20"/>
          </w:rPr>
          <w:t>10</w:t>
        </w:r>
        <w:r w:rsidR="00B15A9F" w:rsidRPr="00F45903">
          <w:rPr>
            <w:rFonts w:asciiTheme="majorHAnsi" w:hAnsiTheme="majorHAnsi" w:cstheme="majorHAnsi"/>
            <w:noProof/>
            <w:webHidden/>
            <w:sz w:val="20"/>
            <w:szCs w:val="20"/>
          </w:rPr>
          <w:fldChar w:fldCharType="end"/>
        </w:r>
      </w:hyperlink>
    </w:p>
    <w:p w14:paraId="43BD9F34" w14:textId="6E2D74A6" w:rsidR="00B15A9F" w:rsidRPr="00F45903" w:rsidRDefault="003700A7">
      <w:pPr>
        <w:pStyle w:val="Spisilustracji"/>
        <w:tabs>
          <w:tab w:val="right" w:leader="dot" w:pos="9062"/>
        </w:tabs>
        <w:rPr>
          <w:rFonts w:asciiTheme="majorHAnsi" w:hAnsiTheme="majorHAnsi" w:cstheme="majorHAnsi"/>
          <w:noProof/>
          <w:sz w:val="20"/>
          <w:szCs w:val="20"/>
        </w:rPr>
      </w:pPr>
      <w:hyperlink w:anchor="_Toc121826553" w:history="1">
        <w:r w:rsidR="00B15A9F" w:rsidRPr="00F45903">
          <w:rPr>
            <w:rFonts w:asciiTheme="majorHAnsi" w:hAnsiTheme="majorHAnsi" w:cstheme="majorHAnsi"/>
            <w:noProof/>
            <w:sz w:val="20"/>
            <w:szCs w:val="20"/>
          </w:rPr>
          <w:t>Wykres 3 Liczba uczestników PPE, liczba rachunków IKE i IKZE</w:t>
        </w:r>
        <w:r w:rsidR="00B15A9F" w:rsidRPr="00F45903">
          <w:rPr>
            <w:rFonts w:asciiTheme="majorHAnsi" w:hAnsiTheme="majorHAnsi" w:cstheme="majorHAnsi"/>
            <w:noProof/>
            <w:webHidden/>
            <w:sz w:val="20"/>
            <w:szCs w:val="20"/>
          </w:rPr>
          <w:tab/>
        </w:r>
        <w:r w:rsidR="00B15A9F" w:rsidRPr="00F45903">
          <w:rPr>
            <w:rFonts w:asciiTheme="majorHAnsi" w:hAnsiTheme="majorHAnsi" w:cstheme="majorHAnsi"/>
            <w:noProof/>
            <w:webHidden/>
            <w:sz w:val="20"/>
            <w:szCs w:val="20"/>
          </w:rPr>
          <w:fldChar w:fldCharType="begin"/>
        </w:r>
        <w:r w:rsidR="00B15A9F" w:rsidRPr="00F45903">
          <w:rPr>
            <w:rFonts w:asciiTheme="majorHAnsi" w:hAnsiTheme="majorHAnsi" w:cstheme="majorHAnsi"/>
            <w:noProof/>
            <w:webHidden/>
            <w:sz w:val="20"/>
            <w:szCs w:val="20"/>
          </w:rPr>
          <w:instrText xml:space="preserve"> PAGEREF _Toc121826553 \h </w:instrText>
        </w:r>
        <w:r w:rsidR="00B15A9F" w:rsidRPr="00F45903">
          <w:rPr>
            <w:rFonts w:asciiTheme="majorHAnsi" w:hAnsiTheme="majorHAnsi" w:cstheme="majorHAnsi"/>
            <w:noProof/>
            <w:webHidden/>
            <w:sz w:val="20"/>
            <w:szCs w:val="20"/>
          </w:rPr>
        </w:r>
        <w:r w:rsidR="00B15A9F" w:rsidRPr="00F45903">
          <w:rPr>
            <w:rFonts w:asciiTheme="majorHAnsi" w:hAnsiTheme="majorHAnsi" w:cstheme="majorHAnsi"/>
            <w:noProof/>
            <w:webHidden/>
            <w:sz w:val="20"/>
            <w:szCs w:val="20"/>
          </w:rPr>
          <w:fldChar w:fldCharType="separate"/>
        </w:r>
        <w:r w:rsidR="009D2CBD">
          <w:rPr>
            <w:rFonts w:asciiTheme="majorHAnsi" w:hAnsiTheme="majorHAnsi" w:cstheme="majorHAnsi"/>
            <w:noProof/>
            <w:webHidden/>
            <w:sz w:val="20"/>
            <w:szCs w:val="20"/>
          </w:rPr>
          <w:t>12</w:t>
        </w:r>
        <w:r w:rsidR="00B15A9F" w:rsidRPr="00F45903">
          <w:rPr>
            <w:rFonts w:asciiTheme="majorHAnsi" w:hAnsiTheme="majorHAnsi" w:cstheme="majorHAnsi"/>
            <w:noProof/>
            <w:webHidden/>
            <w:sz w:val="20"/>
            <w:szCs w:val="20"/>
          </w:rPr>
          <w:fldChar w:fldCharType="end"/>
        </w:r>
      </w:hyperlink>
    </w:p>
    <w:p w14:paraId="5C91784A" w14:textId="5445701B" w:rsidR="00B15A9F" w:rsidRPr="00F45903" w:rsidRDefault="003700A7">
      <w:pPr>
        <w:pStyle w:val="Spisilustracji"/>
        <w:tabs>
          <w:tab w:val="right" w:leader="dot" w:pos="9062"/>
        </w:tabs>
        <w:rPr>
          <w:rFonts w:asciiTheme="majorHAnsi" w:hAnsiTheme="majorHAnsi" w:cstheme="majorHAnsi"/>
          <w:noProof/>
          <w:sz w:val="20"/>
          <w:szCs w:val="20"/>
        </w:rPr>
      </w:pPr>
      <w:hyperlink w:anchor="_Toc121826554" w:history="1">
        <w:r w:rsidR="00B15A9F" w:rsidRPr="00F45903">
          <w:rPr>
            <w:rFonts w:asciiTheme="majorHAnsi" w:hAnsiTheme="majorHAnsi" w:cstheme="majorHAnsi"/>
            <w:noProof/>
            <w:sz w:val="20"/>
            <w:szCs w:val="20"/>
          </w:rPr>
          <w:t>Wykres 4 Liczba uczestników PPK oraz suma liczby uczestników PPE i liczby rachunków IKE i IKZE</w:t>
        </w:r>
        <w:r w:rsidR="00B15A9F" w:rsidRPr="00F45903">
          <w:rPr>
            <w:rFonts w:asciiTheme="majorHAnsi" w:hAnsiTheme="majorHAnsi" w:cstheme="majorHAnsi"/>
            <w:noProof/>
            <w:webHidden/>
            <w:sz w:val="20"/>
            <w:szCs w:val="20"/>
          </w:rPr>
          <w:tab/>
        </w:r>
        <w:r w:rsidR="00B15A9F" w:rsidRPr="00F45903">
          <w:rPr>
            <w:rFonts w:asciiTheme="majorHAnsi" w:hAnsiTheme="majorHAnsi" w:cstheme="majorHAnsi"/>
            <w:noProof/>
            <w:webHidden/>
            <w:sz w:val="20"/>
            <w:szCs w:val="20"/>
          </w:rPr>
          <w:fldChar w:fldCharType="begin"/>
        </w:r>
        <w:r w:rsidR="00B15A9F" w:rsidRPr="00F45903">
          <w:rPr>
            <w:rFonts w:asciiTheme="majorHAnsi" w:hAnsiTheme="majorHAnsi" w:cstheme="majorHAnsi"/>
            <w:noProof/>
            <w:webHidden/>
            <w:sz w:val="20"/>
            <w:szCs w:val="20"/>
          </w:rPr>
          <w:instrText xml:space="preserve"> PAGEREF _Toc121826554 \h </w:instrText>
        </w:r>
        <w:r w:rsidR="00B15A9F" w:rsidRPr="00F45903">
          <w:rPr>
            <w:rFonts w:asciiTheme="majorHAnsi" w:hAnsiTheme="majorHAnsi" w:cstheme="majorHAnsi"/>
            <w:noProof/>
            <w:webHidden/>
            <w:sz w:val="20"/>
            <w:szCs w:val="20"/>
          </w:rPr>
        </w:r>
        <w:r w:rsidR="00B15A9F" w:rsidRPr="00F45903">
          <w:rPr>
            <w:rFonts w:asciiTheme="majorHAnsi" w:hAnsiTheme="majorHAnsi" w:cstheme="majorHAnsi"/>
            <w:noProof/>
            <w:webHidden/>
            <w:sz w:val="20"/>
            <w:szCs w:val="20"/>
          </w:rPr>
          <w:fldChar w:fldCharType="separate"/>
        </w:r>
        <w:r w:rsidR="009D2CBD">
          <w:rPr>
            <w:rFonts w:asciiTheme="majorHAnsi" w:hAnsiTheme="majorHAnsi" w:cstheme="majorHAnsi"/>
            <w:noProof/>
            <w:webHidden/>
            <w:sz w:val="20"/>
            <w:szCs w:val="20"/>
          </w:rPr>
          <w:t>12</w:t>
        </w:r>
        <w:r w:rsidR="00B15A9F" w:rsidRPr="00F45903">
          <w:rPr>
            <w:rFonts w:asciiTheme="majorHAnsi" w:hAnsiTheme="majorHAnsi" w:cstheme="majorHAnsi"/>
            <w:noProof/>
            <w:webHidden/>
            <w:sz w:val="20"/>
            <w:szCs w:val="20"/>
          </w:rPr>
          <w:fldChar w:fldCharType="end"/>
        </w:r>
      </w:hyperlink>
    </w:p>
    <w:p w14:paraId="53C08606" w14:textId="3F68E250" w:rsidR="00B15A9F" w:rsidRPr="00F45903" w:rsidRDefault="003700A7">
      <w:pPr>
        <w:pStyle w:val="Spisilustracji"/>
        <w:tabs>
          <w:tab w:val="right" w:leader="dot" w:pos="9062"/>
        </w:tabs>
        <w:rPr>
          <w:rFonts w:asciiTheme="majorHAnsi" w:hAnsiTheme="majorHAnsi" w:cstheme="majorHAnsi"/>
          <w:noProof/>
          <w:sz w:val="20"/>
          <w:szCs w:val="20"/>
        </w:rPr>
      </w:pPr>
      <w:hyperlink w:anchor="_Toc121826555" w:history="1">
        <w:r w:rsidR="00B15A9F" w:rsidRPr="00F45903">
          <w:rPr>
            <w:rFonts w:asciiTheme="majorHAnsi" w:hAnsiTheme="majorHAnsi" w:cstheme="majorHAnsi"/>
            <w:noProof/>
            <w:sz w:val="20"/>
            <w:szCs w:val="20"/>
          </w:rPr>
          <w:t>Wykres 5 Wartość aktywów zgromadzonych na koniec każdego roku (w mld. zł)</w:t>
        </w:r>
        <w:r w:rsidR="00B15A9F" w:rsidRPr="00F45903">
          <w:rPr>
            <w:rFonts w:asciiTheme="majorHAnsi" w:hAnsiTheme="majorHAnsi" w:cstheme="majorHAnsi"/>
            <w:noProof/>
            <w:webHidden/>
            <w:sz w:val="20"/>
            <w:szCs w:val="20"/>
          </w:rPr>
          <w:tab/>
        </w:r>
        <w:r w:rsidR="00B15A9F" w:rsidRPr="00F45903">
          <w:rPr>
            <w:rFonts w:asciiTheme="majorHAnsi" w:hAnsiTheme="majorHAnsi" w:cstheme="majorHAnsi"/>
            <w:noProof/>
            <w:webHidden/>
            <w:sz w:val="20"/>
            <w:szCs w:val="20"/>
          </w:rPr>
          <w:fldChar w:fldCharType="begin"/>
        </w:r>
        <w:r w:rsidR="00B15A9F" w:rsidRPr="00F45903">
          <w:rPr>
            <w:rFonts w:asciiTheme="majorHAnsi" w:hAnsiTheme="majorHAnsi" w:cstheme="majorHAnsi"/>
            <w:noProof/>
            <w:webHidden/>
            <w:sz w:val="20"/>
            <w:szCs w:val="20"/>
          </w:rPr>
          <w:instrText xml:space="preserve"> PAGEREF _Toc121826555 \h </w:instrText>
        </w:r>
        <w:r w:rsidR="00B15A9F" w:rsidRPr="00F45903">
          <w:rPr>
            <w:rFonts w:asciiTheme="majorHAnsi" w:hAnsiTheme="majorHAnsi" w:cstheme="majorHAnsi"/>
            <w:noProof/>
            <w:webHidden/>
            <w:sz w:val="20"/>
            <w:szCs w:val="20"/>
          </w:rPr>
        </w:r>
        <w:r w:rsidR="00B15A9F" w:rsidRPr="00F45903">
          <w:rPr>
            <w:rFonts w:asciiTheme="majorHAnsi" w:hAnsiTheme="majorHAnsi" w:cstheme="majorHAnsi"/>
            <w:noProof/>
            <w:webHidden/>
            <w:sz w:val="20"/>
            <w:szCs w:val="20"/>
          </w:rPr>
          <w:fldChar w:fldCharType="separate"/>
        </w:r>
        <w:r w:rsidR="009D2CBD">
          <w:rPr>
            <w:rFonts w:asciiTheme="majorHAnsi" w:hAnsiTheme="majorHAnsi" w:cstheme="majorHAnsi"/>
            <w:noProof/>
            <w:webHidden/>
            <w:sz w:val="20"/>
            <w:szCs w:val="20"/>
          </w:rPr>
          <w:t>13</w:t>
        </w:r>
        <w:r w:rsidR="00B15A9F" w:rsidRPr="00F45903">
          <w:rPr>
            <w:rFonts w:asciiTheme="majorHAnsi" w:hAnsiTheme="majorHAnsi" w:cstheme="majorHAnsi"/>
            <w:noProof/>
            <w:webHidden/>
            <w:sz w:val="20"/>
            <w:szCs w:val="20"/>
          </w:rPr>
          <w:fldChar w:fldCharType="end"/>
        </w:r>
      </w:hyperlink>
    </w:p>
    <w:p w14:paraId="1BE2778A" w14:textId="4E3C628C" w:rsidR="00B15A9F" w:rsidRPr="00F45903" w:rsidRDefault="003700A7">
      <w:pPr>
        <w:pStyle w:val="Spisilustracji"/>
        <w:tabs>
          <w:tab w:val="right" w:leader="dot" w:pos="9062"/>
        </w:tabs>
        <w:rPr>
          <w:rFonts w:asciiTheme="majorHAnsi" w:hAnsiTheme="majorHAnsi" w:cstheme="majorHAnsi"/>
          <w:noProof/>
          <w:sz w:val="20"/>
          <w:szCs w:val="20"/>
        </w:rPr>
      </w:pPr>
      <w:hyperlink w:anchor="_Toc121826556" w:history="1">
        <w:r w:rsidR="00B15A9F" w:rsidRPr="00F45903">
          <w:rPr>
            <w:rFonts w:asciiTheme="majorHAnsi" w:hAnsiTheme="majorHAnsi" w:cstheme="majorHAnsi"/>
            <w:noProof/>
            <w:sz w:val="20"/>
            <w:szCs w:val="20"/>
          </w:rPr>
          <w:t>Wykres 6 Uczestnictwo w PPE, IKE, IKZE i PPK a lata funkcjonowania – wg. stanu na 31.12.2021 r. w mln.</w:t>
        </w:r>
        <w:r w:rsidR="00B15A9F" w:rsidRPr="00F45903">
          <w:rPr>
            <w:rFonts w:asciiTheme="majorHAnsi" w:hAnsiTheme="majorHAnsi" w:cstheme="majorHAnsi"/>
            <w:noProof/>
            <w:webHidden/>
            <w:sz w:val="20"/>
            <w:szCs w:val="20"/>
          </w:rPr>
          <w:tab/>
        </w:r>
        <w:r w:rsidR="00B15A9F" w:rsidRPr="00F45903">
          <w:rPr>
            <w:rFonts w:asciiTheme="majorHAnsi" w:hAnsiTheme="majorHAnsi" w:cstheme="majorHAnsi"/>
            <w:noProof/>
            <w:webHidden/>
            <w:sz w:val="20"/>
            <w:szCs w:val="20"/>
          </w:rPr>
          <w:fldChar w:fldCharType="begin"/>
        </w:r>
        <w:r w:rsidR="00B15A9F" w:rsidRPr="00F45903">
          <w:rPr>
            <w:rFonts w:asciiTheme="majorHAnsi" w:hAnsiTheme="majorHAnsi" w:cstheme="majorHAnsi"/>
            <w:noProof/>
            <w:webHidden/>
            <w:sz w:val="20"/>
            <w:szCs w:val="20"/>
          </w:rPr>
          <w:instrText xml:space="preserve"> PAGEREF _Toc121826556 \h </w:instrText>
        </w:r>
        <w:r w:rsidR="00B15A9F" w:rsidRPr="00F45903">
          <w:rPr>
            <w:rFonts w:asciiTheme="majorHAnsi" w:hAnsiTheme="majorHAnsi" w:cstheme="majorHAnsi"/>
            <w:noProof/>
            <w:webHidden/>
            <w:sz w:val="20"/>
            <w:szCs w:val="20"/>
          </w:rPr>
        </w:r>
        <w:r w:rsidR="00B15A9F" w:rsidRPr="00F45903">
          <w:rPr>
            <w:rFonts w:asciiTheme="majorHAnsi" w:hAnsiTheme="majorHAnsi" w:cstheme="majorHAnsi"/>
            <w:noProof/>
            <w:webHidden/>
            <w:sz w:val="20"/>
            <w:szCs w:val="20"/>
          </w:rPr>
          <w:fldChar w:fldCharType="separate"/>
        </w:r>
        <w:r w:rsidR="009D2CBD">
          <w:rPr>
            <w:rFonts w:asciiTheme="majorHAnsi" w:hAnsiTheme="majorHAnsi" w:cstheme="majorHAnsi"/>
            <w:noProof/>
            <w:webHidden/>
            <w:sz w:val="20"/>
            <w:szCs w:val="20"/>
          </w:rPr>
          <w:t>14</w:t>
        </w:r>
        <w:r w:rsidR="00B15A9F" w:rsidRPr="00F45903">
          <w:rPr>
            <w:rFonts w:asciiTheme="majorHAnsi" w:hAnsiTheme="majorHAnsi" w:cstheme="majorHAnsi"/>
            <w:noProof/>
            <w:webHidden/>
            <w:sz w:val="20"/>
            <w:szCs w:val="20"/>
          </w:rPr>
          <w:fldChar w:fldCharType="end"/>
        </w:r>
      </w:hyperlink>
    </w:p>
    <w:p w14:paraId="5A109710" w14:textId="5F44FDD3" w:rsidR="00B15A9F" w:rsidRPr="00F45903" w:rsidRDefault="003700A7">
      <w:pPr>
        <w:pStyle w:val="Spisilustracji"/>
        <w:tabs>
          <w:tab w:val="right" w:leader="dot" w:pos="9062"/>
        </w:tabs>
        <w:rPr>
          <w:rFonts w:asciiTheme="majorHAnsi" w:hAnsiTheme="majorHAnsi" w:cstheme="majorHAnsi"/>
          <w:noProof/>
          <w:sz w:val="20"/>
          <w:szCs w:val="20"/>
        </w:rPr>
      </w:pPr>
      <w:hyperlink w:anchor="_Toc121826557" w:history="1">
        <w:r w:rsidR="00B15A9F" w:rsidRPr="00F45903">
          <w:rPr>
            <w:rFonts w:asciiTheme="majorHAnsi" w:hAnsiTheme="majorHAnsi" w:cstheme="majorHAnsi"/>
            <w:noProof/>
            <w:sz w:val="20"/>
            <w:szCs w:val="20"/>
          </w:rPr>
          <w:t>Wykres 7 Kalkulacja stopy zwrotu z inwestycji w PPK w grupie FZD</w:t>
        </w:r>
        <w:r w:rsidR="00B15A9F" w:rsidRPr="00F45903">
          <w:rPr>
            <w:rFonts w:asciiTheme="majorHAnsi" w:hAnsiTheme="majorHAnsi" w:cstheme="majorHAnsi"/>
            <w:noProof/>
            <w:webHidden/>
            <w:sz w:val="20"/>
            <w:szCs w:val="20"/>
          </w:rPr>
          <w:tab/>
        </w:r>
        <w:r w:rsidR="00B15A9F" w:rsidRPr="00F45903">
          <w:rPr>
            <w:rFonts w:asciiTheme="majorHAnsi" w:hAnsiTheme="majorHAnsi" w:cstheme="majorHAnsi"/>
            <w:noProof/>
            <w:webHidden/>
            <w:sz w:val="20"/>
            <w:szCs w:val="20"/>
          </w:rPr>
          <w:fldChar w:fldCharType="begin"/>
        </w:r>
        <w:r w:rsidR="00B15A9F" w:rsidRPr="00F45903">
          <w:rPr>
            <w:rFonts w:asciiTheme="majorHAnsi" w:hAnsiTheme="majorHAnsi" w:cstheme="majorHAnsi"/>
            <w:noProof/>
            <w:webHidden/>
            <w:sz w:val="20"/>
            <w:szCs w:val="20"/>
          </w:rPr>
          <w:instrText xml:space="preserve"> PAGEREF _Toc121826557 \h </w:instrText>
        </w:r>
        <w:r w:rsidR="00B15A9F" w:rsidRPr="00F45903">
          <w:rPr>
            <w:rFonts w:asciiTheme="majorHAnsi" w:hAnsiTheme="majorHAnsi" w:cstheme="majorHAnsi"/>
            <w:noProof/>
            <w:webHidden/>
            <w:sz w:val="20"/>
            <w:szCs w:val="20"/>
          </w:rPr>
        </w:r>
        <w:r w:rsidR="00B15A9F" w:rsidRPr="00F45903">
          <w:rPr>
            <w:rFonts w:asciiTheme="majorHAnsi" w:hAnsiTheme="majorHAnsi" w:cstheme="majorHAnsi"/>
            <w:noProof/>
            <w:webHidden/>
            <w:sz w:val="20"/>
            <w:szCs w:val="20"/>
          </w:rPr>
          <w:fldChar w:fldCharType="separate"/>
        </w:r>
        <w:r w:rsidR="009D2CBD">
          <w:rPr>
            <w:rFonts w:asciiTheme="majorHAnsi" w:hAnsiTheme="majorHAnsi" w:cstheme="majorHAnsi"/>
            <w:noProof/>
            <w:webHidden/>
            <w:sz w:val="20"/>
            <w:szCs w:val="20"/>
          </w:rPr>
          <w:t>17</w:t>
        </w:r>
        <w:r w:rsidR="00B15A9F" w:rsidRPr="00F45903">
          <w:rPr>
            <w:rFonts w:asciiTheme="majorHAnsi" w:hAnsiTheme="majorHAnsi" w:cstheme="majorHAnsi"/>
            <w:noProof/>
            <w:webHidden/>
            <w:sz w:val="20"/>
            <w:szCs w:val="20"/>
          </w:rPr>
          <w:fldChar w:fldCharType="end"/>
        </w:r>
      </w:hyperlink>
    </w:p>
    <w:p w14:paraId="498027EA" w14:textId="56D7DEDD" w:rsidR="00B15A9F" w:rsidRPr="00F45903" w:rsidRDefault="003700A7">
      <w:pPr>
        <w:pStyle w:val="Spisilustracji"/>
        <w:tabs>
          <w:tab w:val="right" w:leader="dot" w:pos="9062"/>
        </w:tabs>
        <w:rPr>
          <w:rFonts w:asciiTheme="majorHAnsi" w:hAnsiTheme="majorHAnsi" w:cstheme="majorHAnsi"/>
          <w:noProof/>
          <w:sz w:val="20"/>
          <w:szCs w:val="20"/>
        </w:rPr>
      </w:pPr>
      <w:hyperlink w:anchor="_Toc121826558" w:history="1">
        <w:r w:rsidR="00B15A9F" w:rsidRPr="00F45903">
          <w:rPr>
            <w:rFonts w:asciiTheme="majorHAnsi" w:hAnsiTheme="majorHAnsi" w:cstheme="majorHAnsi"/>
            <w:noProof/>
            <w:sz w:val="20"/>
            <w:szCs w:val="20"/>
          </w:rPr>
          <w:t>Wykres 8 Łączny majątek obywateli wyszczególnionych krajów (pow. 2 bln USD)</w:t>
        </w:r>
        <w:r w:rsidR="00B15A9F" w:rsidRPr="00F45903">
          <w:rPr>
            <w:rFonts w:asciiTheme="majorHAnsi" w:hAnsiTheme="majorHAnsi" w:cstheme="majorHAnsi"/>
            <w:noProof/>
            <w:webHidden/>
            <w:sz w:val="20"/>
            <w:szCs w:val="20"/>
          </w:rPr>
          <w:tab/>
        </w:r>
        <w:r w:rsidR="00B15A9F" w:rsidRPr="00F45903">
          <w:rPr>
            <w:rFonts w:asciiTheme="majorHAnsi" w:hAnsiTheme="majorHAnsi" w:cstheme="majorHAnsi"/>
            <w:noProof/>
            <w:webHidden/>
            <w:sz w:val="20"/>
            <w:szCs w:val="20"/>
          </w:rPr>
          <w:fldChar w:fldCharType="begin"/>
        </w:r>
        <w:r w:rsidR="00B15A9F" w:rsidRPr="00F45903">
          <w:rPr>
            <w:rFonts w:asciiTheme="majorHAnsi" w:hAnsiTheme="majorHAnsi" w:cstheme="majorHAnsi"/>
            <w:noProof/>
            <w:webHidden/>
            <w:sz w:val="20"/>
            <w:szCs w:val="20"/>
          </w:rPr>
          <w:instrText xml:space="preserve"> PAGEREF _Toc121826558 \h </w:instrText>
        </w:r>
        <w:r w:rsidR="00B15A9F" w:rsidRPr="00F45903">
          <w:rPr>
            <w:rFonts w:asciiTheme="majorHAnsi" w:hAnsiTheme="majorHAnsi" w:cstheme="majorHAnsi"/>
            <w:noProof/>
            <w:webHidden/>
            <w:sz w:val="20"/>
            <w:szCs w:val="20"/>
          </w:rPr>
        </w:r>
        <w:r w:rsidR="00B15A9F" w:rsidRPr="00F45903">
          <w:rPr>
            <w:rFonts w:asciiTheme="majorHAnsi" w:hAnsiTheme="majorHAnsi" w:cstheme="majorHAnsi"/>
            <w:noProof/>
            <w:webHidden/>
            <w:sz w:val="20"/>
            <w:szCs w:val="20"/>
          </w:rPr>
          <w:fldChar w:fldCharType="separate"/>
        </w:r>
        <w:r w:rsidR="009D2CBD">
          <w:rPr>
            <w:rFonts w:asciiTheme="majorHAnsi" w:hAnsiTheme="majorHAnsi" w:cstheme="majorHAnsi"/>
            <w:noProof/>
            <w:webHidden/>
            <w:sz w:val="20"/>
            <w:szCs w:val="20"/>
          </w:rPr>
          <w:t>18</w:t>
        </w:r>
        <w:r w:rsidR="00B15A9F" w:rsidRPr="00F45903">
          <w:rPr>
            <w:rFonts w:asciiTheme="majorHAnsi" w:hAnsiTheme="majorHAnsi" w:cstheme="majorHAnsi"/>
            <w:noProof/>
            <w:webHidden/>
            <w:sz w:val="20"/>
            <w:szCs w:val="20"/>
          </w:rPr>
          <w:fldChar w:fldCharType="end"/>
        </w:r>
      </w:hyperlink>
    </w:p>
    <w:p w14:paraId="54881373" w14:textId="6F396EB5" w:rsidR="00B15A9F" w:rsidRPr="00F45903" w:rsidRDefault="003700A7">
      <w:pPr>
        <w:pStyle w:val="Spisilustracji"/>
        <w:tabs>
          <w:tab w:val="right" w:leader="dot" w:pos="9062"/>
        </w:tabs>
        <w:rPr>
          <w:rFonts w:asciiTheme="majorHAnsi" w:hAnsiTheme="majorHAnsi" w:cstheme="majorHAnsi"/>
          <w:noProof/>
          <w:sz w:val="20"/>
          <w:szCs w:val="20"/>
        </w:rPr>
      </w:pPr>
      <w:hyperlink w:anchor="_Toc121826559" w:history="1">
        <w:r w:rsidR="00B15A9F" w:rsidRPr="00F45903">
          <w:rPr>
            <w:rFonts w:asciiTheme="majorHAnsi" w:hAnsiTheme="majorHAnsi" w:cstheme="majorHAnsi"/>
            <w:noProof/>
            <w:sz w:val="20"/>
            <w:szCs w:val="20"/>
          </w:rPr>
          <w:t>Wykres 9 Poziom przeciętnych miesięcznych dochodów i wydatków na 1 osobę w gospodarstwach domowych oraz udział wydatków w dochodzie rozporządzalnym w latach 2015–2021</w:t>
        </w:r>
        <w:r w:rsidR="00B15A9F" w:rsidRPr="00F45903">
          <w:rPr>
            <w:rFonts w:asciiTheme="majorHAnsi" w:hAnsiTheme="majorHAnsi" w:cstheme="majorHAnsi"/>
            <w:noProof/>
            <w:webHidden/>
            <w:sz w:val="20"/>
            <w:szCs w:val="20"/>
          </w:rPr>
          <w:tab/>
        </w:r>
        <w:r w:rsidR="00B15A9F" w:rsidRPr="00F45903">
          <w:rPr>
            <w:rFonts w:asciiTheme="majorHAnsi" w:hAnsiTheme="majorHAnsi" w:cstheme="majorHAnsi"/>
            <w:noProof/>
            <w:webHidden/>
            <w:sz w:val="20"/>
            <w:szCs w:val="20"/>
          </w:rPr>
          <w:fldChar w:fldCharType="begin"/>
        </w:r>
        <w:r w:rsidR="00B15A9F" w:rsidRPr="00F45903">
          <w:rPr>
            <w:rFonts w:asciiTheme="majorHAnsi" w:hAnsiTheme="majorHAnsi" w:cstheme="majorHAnsi"/>
            <w:noProof/>
            <w:webHidden/>
            <w:sz w:val="20"/>
            <w:szCs w:val="20"/>
          </w:rPr>
          <w:instrText xml:space="preserve"> PAGEREF _Toc121826559 \h </w:instrText>
        </w:r>
        <w:r w:rsidR="00B15A9F" w:rsidRPr="00F45903">
          <w:rPr>
            <w:rFonts w:asciiTheme="majorHAnsi" w:hAnsiTheme="majorHAnsi" w:cstheme="majorHAnsi"/>
            <w:noProof/>
            <w:webHidden/>
            <w:sz w:val="20"/>
            <w:szCs w:val="20"/>
          </w:rPr>
        </w:r>
        <w:r w:rsidR="00B15A9F" w:rsidRPr="00F45903">
          <w:rPr>
            <w:rFonts w:asciiTheme="majorHAnsi" w:hAnsiTheme="majorHAnsi" w:cstheme="majorHAnsi"/>
            <w:noProof/>
            <w:webHidden/>
            <w:sz w:val="20"/>
            <w:szCs w:val="20"/>
          </w:rPr>
          <w:fldChar w:fldCharType="separate"/>
        </w:r>
        <w:r w:rsidR="009D2CBD">
          <w:rPr>
            <w:rFonts w:asciiTheme="majorHAnsi" w:hAnsiTheme="majorHAnsi" w:cstheme="majorHAnsi"/>
            <w:noProof/>
            <w:webHidden/>
            <w:sz w:val="20"/>
            <w:szCs w:val="20"/>
          </w:rPr>
          <w:t>20</w:t>
        </w:r>
        <w:r w:rsidR="00B15A9F" w:rsidRPr="00F45903">
          <w:rPr>
            <w:rFonts w:asciiTheme="majorHAnsi" w:hAnsiTheme="majorHAnsi" w:cstheme="majorHAnsi"/>
            <w:noProof/>
            <w:webHidden/>
            <w:sz w:val="20"/>
            <w:szCs w:val="20"/>
          </w:rPr>
          <w:fldChar w:fldCharType="end"/>
        </w:r>
      </w:hyperlink>
    </w:p>
    <w:p w14:paraId="035EFBA5" w14:textId="03974ABF" w:rsidR="00B15A9F" w:rsidRPr="00F45903" w:rsidRDefault="003700A7">
      <w:pPr>
        <w:pStyle w:val="Spisilustracji"/>
        <w:tabs>
          <w:tab w:val="right" w:leader="dot" w:pos="9062"/>
        </w:tabs>
        <w:rPr>
          <w:rFonts w:asciiTheme="majorHAnsi" w:hAnsiTheme="majorHAnsi" w:cstheme="majorHAnsi"/>
          <w:noProof/>
          <w:sz w:val="20"/>
          <w:szCs w:val="20"/>
        </w:rPr>
      </w:pPr>
      <w:hyperlink w:anchor="_Toc121826560" w:history="1">
        <w:r w:rsidR="00B15A9F" w:rsidRPr="00F45903">
          <w:rPr>
            <w:rFonts w:asciiTheme="majorHAnsi" w:hAnsiTheme="majorHAnsi" w:cstheme="majorHAnsi"/>
            <w:noProof/>
            <w:sz w:val="20"/>
            <w:szCs w:val="20"/>
          </w:rPr>
          <w:t>Wykres 10 USA: aktywa w programie 401(k) w mld USD, dane na koniec okresu</w:t>
        </w:r>
        <w:r w:rsidR="00B15A9F" w:rsidRPr="00F45903">
          <w:rPr>
            <w:rFonts w:asciiTheme="majorHAnsi" w:hAnsiTheme="majorHAnsi" w:cstheme="majorHAnsi"/>
            <w:noProof/>
            <w:webHidden/>
            <w:sz w:val="20"/>
            <w:szCs w:val="20"/>
          </w:rPr>
          <w:tab/>
        </w:r>
        <w:r w:rsidR="00B15A9F" w:rsidRPr="00F45903">
          <w:rPr>
            <w:rFonts w:asciiTheme="majorHAnsi" w:hAnsiTheme="majorHAnsi" w:cstheme="majorHAnsi"/>
            <w:noProof/>
            <w:webHidden/>
            <w:sz w:val="20"/>
            <w:szCs w:val="20"/>
          </w:rPr>
          <w:fldChar w:fldCharType="begin"/>
        </w:r>
        <w:r w:rsidR="00B15A9F" w:rsidRPr="00F45903">
          <w:rPr>
            <w:rFonts w:asciiTheme="majorHAnsi" w:hAnsiTheme="majorHAnsi" w:cstheme="majorHAnsi"/>
            <w:noProof/>
            <w:webHidden/>
            <w:sz w:val="20"/>
            <w:szCs w:val="20"/>
          </w:rPr>
          <w:instrText xml:space="preserve"> PAGEREF _Toc121826560 \h </w:instrText>
        </w:r>
        <w:r w:rsidR="00B15A9F" w:rsidRPr="00F45903">
          <w:rPr>
            <w:rFonts w:asciiTheme="majorHAnsi" w:hAnsiTheme="majorHAnsi" w:cstheme="majorHAnsi"/>
            <w:noProof/>
            <w:webHidden/>
            <w:sz w:val="20"/>
            <w:szCs w:val="20"/>
          </w:rPr>
        </w:r>
        <w:r w:rsidR="00B15A9F" w:rsidRPr="00F45903">
          <w:rPr>
            <w:rFonts w:asciiTheme="majorHAnsi" w:hAnsiTheme="majorHAnsi" w:cstheme="majorHAnsi"/>
            <w:noProof/>
            <w:webHidden/>
            <w:sz w:val="20"/>
            <w:szCs w:val="20"/>
          </w:rPr>
          <w:fldChar w:fldCharType="separate"/>
        </w:r>
        <w:r w:rsidR="009D2CBD">
          <w:rPr>
            <w:rFonts w:asciiTheme="majorHAnsi" w:hAnsiTheme="majorHAnsi" w:cstheme="majorHAnsi"/>
            <w:noProof/>
            <w:webHidden/>
            <w:sz w:val="20"/>
            <w:szCs w:val="20"/>
          </w:rPr>
          <w:t>22</w:t>
        </w:r>
        <w:r w:rsidR="00B15A9F" w:rsidRPr="00F45903">
          <w:rPr>
            <w:rFonts w:asciiTheme="majorHAnsi" w:hAnsiTheme="majorHAnsi" w:cstheme="majorHAnsi"/>
            <w:noProof/>
            <w:webHidden/>
            <w:sz w:val="20"/>
            <w:szCs w:val="20"/>
          </w:rPr>
          <w:fldChar w:fldCharType="end"/>
        </w:r>
      </w:hyperlink>
    </w:p>
    <w:p w14:paraId="6DE8ACC0" w14:textId="5433C7B4" w:rsidR="00B15A9F" w:rsidRPr="00F45903" w:rsidRDefault="003700A7">
      <w:pPr>
        <w:pStyle w:val="Spisilustracji"/>
        <w:tabs>
          <w:tab w:val="right" w:leader="dot" w:pos="9062"/>
        </w:tabs>
        <w:rPr>
          <w:rFonts w:asciiTheme="majorHAnsi" w:hAnsiTheme="majorHAnsi" w:cstheme="majorHAnsi"/>
          <w:noProof/>
          <w:sz w:val="20"/>
          <w:szCs w:val="20"/>
        </w:rPr>
      </w:pPr>
      <w:hyperlink w:anchor="_Toc121826561" w:history="1">
        <w:r w:rsidR="00B15A9F" w:rsidRPr="00F45903">
          <w:rPr>
            <w:rFonts w:asciiTheme="majorHAnsi" w:hAnsiTheme="majorHAnsi" w:cstheme="majorHAnsi"/>
            <w:noProof/>
            <w:sz w:val="20"/>
            <w:szCs w:val="20"/>
          </w:rPr>
          <w:t>Wykres 11 USA: partycypacja w systemie defined contribution</w:t>
        </w:r>
        <w:r w:rsidR="00B15A9F" w:rsidRPr="00F45903">
          <w:rPr>
            <w:rFonts w:asciiTheme="majorHAnsi" w:hAnsiTheme="majorHAnsi" w:cstheme="majorHAnsi"/>
            <w:noProof/>
            <w:webHidden/>
            <w:sz w:val="20"/>
            <w:szCs w:val="20"/>
          </w:rPr>
          <w:tab/>
        </w:r>
        <w:r w:rsidR="00B15A9F" w:rsidRPr="00F45903">
          <w:rPr>
            <w:rFonts w:asciiTheme="majorHAnsi" w:hAnsiTheme="majorHAnsi" w:cstheme="majorHAnsi"/>
            <w:noProof/>
            <w:webHidden/>
            <w:sz w:val="20"/>
            <w:szCs w:val="20"/>
          </w:rPr>
          <w:fldChar w:fldCharType="begin"/>
        </w:r>
        <w:r w:rsidR="00B15A9F" w:rsidRPr="00F45903">
          <w:rPr>
            <w:rFonts w:asciiTheme="majorHAnsi" w:hAnsiTheme="majorHAnsi" w:cstheme="majorHAnsi"/>
            <w:noProof/>
            <w:webHidden/>
            <w:sz w:val="20"/>
            <w:szCs w:val="20"/>
          </w:rPr>
          <w:instrText xml:space="preserve"> PAGEREF _Toc121826561 \h </w:instrText>
        </w:r>
        <w:r w:rsidR="00B15A9F" w:rsidRPr="00F45903">
          <w:rPr>
            <w:rFonts w:asciiTheme="majorHAnsi" w:hAnsiTheme="majorHAnsi" w:cstheme="majorHAnsi"/>
            <w:noProof/>
            <w:webHidden/>
            <w:sz w:val="20"/>
            <w:szCs w:val="20"/>
          </w:rPr>
        </w:r>
        <w:r w:rsidR="00B15A9F" w:rsidRPr="00F45903">
          <w:rPr>
            <w:rFonts w:asciiTheme="majorHAnsi" w:hAnsiTheme="majorHAnsi" w:cstheme="majorHAnsi"/>
            <w:noProof/>
            <w:webHidden/>
            <w:sz w:val="20"/>
            <w:szCs w:val="20"/>
          </w:rPr>
          <w:fldChar w:fldCharType="separate"/>
        </w:r>
        <w:r w:rsidR="009D2CBD">
          <w:rPr>
            <w:rFonts w:asciiTheme="majorHAnsi" w:hAnsiTheme="majorHAnsi" w:cstheme="majorHAnsi"/>
            <w:noProof/>
            <w:webHidden/>
            <w:sz w:val="20"/>
            <w:szCs w:val="20"/>
          </w:rPr>
          <w:t>22</w:t>
        </w:r>
        <w:r w:rsidR="00B15A9F" w:rsidRPr="00F45903">
          <w:rPr>
            <w:rFonts w:asciiTheme="majorHAnsi" w:hAnsiTheme="majorHAnsi" w:cstheme="majorHAnsi"/>
            <w:noProof/>
            <w:webHidden/>
            <w:sz w:val="20"/>
            <w:szCs w:val="20"/>
          </w:rPr>
          <w:fldChar w:fldCharType="end"/>
        </w:r>
      </w:hyperlink>
    </w:p>
    <w:p w14:paraId="12382A5A" w14:textId="043854B7" w:rsidR="00B15A9F" w:rsidRPr="00F45903" w:rsidRDefault="003700A7">
      <w:pPr>
        <w:pStyle w:val="Spisilustracji"/>
        <w:tabs>
          <w:tab w:val="right" w:leader="dot" w:pos="9062"/>
        </w:tabs>
        <w:rPr>
          <w:rFonts w:asciiTheme="majorHAnsi" w:hAnsiTheme="majorHAnsi" w:cstheme="majorHAnsi"/>
          <w:noProof/>
          <w:sz w:val="20"/>
          <w:szCs w:val="20"/>
        </w:rPr>
      </w:pPr>
      <w:hyperlink w:anchor="_Toc121826562" w:history="1">
        <w:r w:rsidR="00B15A9F" w:rsidRPr="00F45903">
          <w:rPr>
            <w:rFonts w:asciiTheme="majorHAnsi" w:hAnsiTheme="majorHAnsi" w:cstheme="majorHAnsi"/>
            <w:noProof/>
            <w:sz w:val="20"/>
            <w:szCs w:val="20"/>
          </w:rPr>
          <w:t>Wykres 12 Nowa Zelandia: aktywa zgromadzone w Kiwisaver (mln NZD, za 1Q danego roku)</w:t>
        </w:r>
        <w:r w:rsidR="00B15A9F" w:rsidRPr="00F45903">
          <w:rPr>
            <w:rFonts w:asciiTheme="majorHAnsi" w:hAnsiTheme="majorHAnsi" w:cstheme="majorHAnsi"/>
            <w:noProof/>
            <w:webHidden/>
            <w:sz w:val="20"/>
            <w:szCs w:val="20"/>
          </w:rPr>
          <w:tab/>
        </w:r>
        <w:r w:rsidR="00B15A9F" w:rsidRPr="00F45903">
          <w:rPr>
            <w:rFonts w:asciiTheme="majorHAnsi" w:hAnsiTheme="majorHAnsi" w:cstheme="majorHAnsi"/>
            <w:noProof/>
            <w:webHidden/>
            <w:sz w:val="20"/>
            <w:szCs w:val="20"/>
          </w:rPr>
          <w:fldChar w:fldCharType="begin"/>
        </w:r>
        <w:r w:rsidR="00B15A9F" w:rsidRPr="00F45903">
          <w:rPr>
            <w:rFonts w:asciiTheme="majorHAnsi" w:hAnsiTheme="majorHAnsi" w:cstheme="majorHAnsi"/>
            <w:noProof/>
            <w:webHidden/>
            <w:sz w:val="20"/>
            <w:szCs w:val="20"/>
          </w:rPr>
          <w:instrText xml:space="preserve"> PAGEREF _Toc121826562 \h </w:instrText>
        </w:r>
        <w:r w:rsidR="00B15A9F" w:rsidRPr="00F45903">
          <w:rPr>
            <w:rFonts w:asciiTheme="majorHAnsi" w:hAnsiTheme="majorHAnsi" w:cstheme="majorHAnsi"/>
            <w:noProof/>
            <w:webHidden/>
            <w:sz w:val="20"/>
            <w:szCs w:val="20"/>
          </w:rPr>
        </w:r>
        <w:r w:rsidR="00B15A9F" w:rsidRPr="00F45903">
          <w:rPr>
            <w:rFonts w:asciiTheme="majorHAnsi" w:hAnsiTheme="majorHAnsi" w:cstheme="majorHAnsi"/>
            <w:noProof/>
            <w:webHidden/>
            <w:sz w:val="20"/>
            <w:szCs w:val="20"/>
          </w:rPr>
          <w:fldChar w:fldCharType="separate"/>
        </w:r>
        <w:r w:rsidR="009D2CBD">
          <w:rPr>
            <w:rFonts w:asciiTheme="majorHAnsi" w:hAnsiTheme="majorHAnsi" w:cstheme="majorHAnsi"/>
            <w:noProof/>
            <w:webHidden/>
            <w:sz w:val="20"/>
            <w:szCs w:val="20"/>
          </w:rPr>
          <w:t>24</w:t>
        </w:r>
        <w:r w:rsidR="00B15A9F" w:rsidRPr="00F45903">
          <w:rPr>
            <w:rFonts w:asciiTheme="majorHAnsi" w:hAnsiTheme="majorHAnsi" w:cstheme="majorHAnsi"/>
            <w:noProof/>
            <w:webHidden/>
            <w:sz w:val="20"/>
            <w:szCs w:val="20"/>
          </w:rPr>
          <w:fldChar w:fldCharType="end"/>
        </w:r>
      </w:hyperlink>
    </w:p>
    <w:p w14:paraId="0FBD880E" w14:textId="7A0242C7" w:rsidR="00B15A9F" w:rsidRPr="00F45903" w:rsidRDefault="003700A7">
      <w:pPr>
        <w:pStyle w:val="Spisilustracji"/>
        <w:tabs>
          <w:tab w:val="right" w:leader="dot" w:pos="9062"/>
        </w:tabs>
        <w:rPr>
          <w:rFonts w:asciiTheme="majorHAnsi" w:hAnsiTheme="majorHAnsi" w:cstheme="majorHAnsi"/>
          <w:noProof/>
          <w:sz w:val="20"/>
          <w:szCs w:val="20"/>
        </w:rPr>
      </w:pPr>
      <w:hyperlink w:anchor="_Toc121826563" w:history="1">
        <w:r w:rsidR="00B15A9F" w:rsidRPr="00F45903">
          <w:rPr>
            <w:rFonts w:asciiTheme="majorHAnsi" w:hAnsiTheme="majorHAnsi" w:cstheme="majorHAnsi"/>
            <w:noProof/>
            <w:sz w:val="20"/>
            <w:szCs w:val="20"/>
          </w:rPr>
          <w:t>Wykres 13 Nowa Zelandia: partycypacja w Kivisaver</w:t>
        </w:r>
        <w:r w:rsidR="00B15A9F" w:rsidRPr="00F45903">
          <w:rPr>
            <w:rFonts w:asciiTheme="majorHAnsi" w:hAnsiTheme="majorHAnsi" w:cstheme="majorHAnsi"/>
            <w:noProof/>
            <w:webHidden/>
            <w:sz w:val="20"/>
            <w:szCs w:val="20"/>
          </w:rPr>
          <w:tab/>
        </w:r>
        <w:r w:rsidR="00B15A9F" w:rsidRPr="00F45903">
          <w:rPr>
            <w:rFonts w:asciiTheme="majorHAnsi" w:hAnsiTheme="majorHAnsi" w:cstheme="majorHAnsi"/>
            <w:noProof/>
            <w:webHidden/>
            <w:sz w:val="20"/>
            <w:szCs w:val="20"/>
          </w:rPr>
          <w:fldChar w:fldCharType="begin"/>
        </w:r>
        <w:r w:rsidR="00B15A9F" w:rsidRPr="00F45903">
          <w:rPr>
            <w:rFonts w:asciiTheme="majorHAnsi" w:hAnsiTheme="majorHAnsi" w:cstheme="majorHAnsi"/>
            <w:noProof/>
            <w:webHidden/>
            <w:sz w:val="20"/>
            <w:szCs w:val="20"/>
          </w:rPr>
          <w:instrText xml:space="preserve"> PAGEREF _Toc121826563 \h </w:instrText>
        </w:r>
        <w:r w:rsidR="00B15A9F" w:rsidRPr="00F45903">
          <w:rPr>
            <w:rFonts w:asciiTheme="majorHAnsi" w:hAnsiTheme="majorHAnsi" w:cstheme="majorHAnsi"/>
            <w:noProof/>
            <w:webHidden/>
            <w:sz w:val="20"/>
            <w:szCs w:val="20"/>
          </w:rPr>
        </w:r>
        <w:r w:rsidR="00B15A9F" w:rsidRPr="00F45903">
          <w:rPr>
            <w:rFonts w:asciiTheme="majorHAnsi" w:hAnsiTheme="majorHAnsi" w:cstheme="majorHAnsi"/>
            <w:noProof/>
            <w:webHidden/>
            <w:sz w:val="20"/>
            <w:szCs w:val="20"/>
          </w:rPr>
          <w:fldChar w:fldCharType="separate"/>
        </w:r>
        <w:r w:rsidR="009D2CBD">
          <w:rPr>
            <w:rFonts w:asciiTheme="majorHAnsi" w:hAnsiTheme="majorHAnsi" w:cstheme="majorHAnsi"/>
            <w:noProof/>
            <w:webHidden/>
            <w:sz w:val="20"/>
            <w:szCs w:val="20"/>
          </w:rPr>
          <w:t>24</w:t>
        </w:r>
        <w:r w:rsidR="00B15A9F" w:rsidRPr="00F45903">
          <w:rPr>
            <w:rFonts w:asciiTheme="majorHAnsi" w:hAnsiTheme="majorHAnsi" w:cstheme="majorHAnsi"/>
            <w:noProof/>
            <w:webHidden/>
            <w:sz w:val="20"/>
            <w:szCs w:val="20"/>
          </w:rPr>
          <w:fldChar w:fldCharType="end"/>
        </w:r>
      </w:hyperlink>
    </w:p>
    <w:p w14:paraId="75192DE4" w14:textId="2A8DF4A8" w:rsidR="00B15A9F" w:rsidRPr="00F45903" w:rsidRDefault="003700A7">
      <w:pPr>
        <w:pStyle w:val="Spisilustracji"/>
        <w:tabs>
          <w:tab w:val="right" w:leader="dot" w:pos="9062"/>
        </w:tabs>
        <w:rPr>
          <w:rFonts w:asciiTheme="majorHAnsi" w:hAnsiTheme="majorHAnsi" w:cstheme="majorHAnsi"/>
          <w:noProof/>
          <w:sz w:val="20"/>
          <w:szCs w:val="20"/>
        </w:rPr>
      </w:pPr>
      <w:hyperlink w:anchor="_Toc121826564" w:history="1">
        <w:r w:rsidR="00B15A9F" w:rsidRPr="00F45903">
          <w:rPr>
            <w:rFonts w:asciiTheme="majorHAnsi" w:hAnsiTheme="majorHAnsi" w:cstheme="majorHAnsi"/>
            <w:noProof/>
            <w:sz w:val="20"/>
            <w:szCs w:val="20"/>
          </w:rPr>
          <w:t>Wykres 14 Wlk. Brytania: partycypacja w workplace pension schemes</w:t>
        </w:r>
        <w:r w:rsidR="00B15A9F" w:rsidRPr="00F45903">
          <w:rPr>
            <w:rFonts w:asciiTheme="majorHAnsi" w:hAnsiTheme="majorHAnsi" w:cstheme="majorHAnsi"/>
            <w:noProof/>
            <w:webHidden/>
            <w:sz w:val="20"/>
            <w:szCs w:val="20"/>
          </w:rPr>
          <w:tab/>
        </w:r>
        <w:r w:rsidR="00B15A9F" w:rsidRPr="00F45903">
          <w:rPr>
            <w:rFonts w:asciiTheme="majorHAnsi" w:hAnsiTheme="majorHAnsi" w:cstheme="majorHAnsi"/>
            <w:noProof/>
            <w:webHidden/>
            <w:sz w:val="20"/>
            <w:szCs w:val="20"/>
          </w:rPr>
          <w:fldChar w:fldCharType="begin"/>
        </w:r>
        <w:r w:rsidR="00B15A9F" w:rsidRPr="00F45903">
          <w:rPr>
            <w:rFonts w:asciiTheme="majorHAnsi" w:hAnsiTheme="majorHAnsi" w:cstheme="majorHAnsi"/>
            <w:noProof/>
            <w:webHidden/>
            <w:sz w:val="20"/>
            <w:szCs w:val="20"/>
          </w:rPr>
          <w:instrText xml:space="preserve"> PAGEREF _Toc121826564 \h </w:instrText>
        </w:r>
        <w:r w:rsidR="00B15A9F" w:rsidRPr="00F45903">
          <w:rPr>
            <w:rFonts w:asciiTheme="majorHAnsi" w:hAnsiTheme="majorHAnsi" w:cstheme="majorHAnsi"/>
            <w:noProof/>
            <w:webHidden/>
            <w:sz w:val="20"/>
            <w:szCs w:val="20"/>
          </w:rPr>
        </w:r>
        <w:r w:rsidR="00B15A9F" w:rsidRPr="00F45903">
          <w:rPr>
            <w:rFonts w:asciiTheme="majorHAnsi" w:hAnsiTheme="majorHAnsi" w:cstheme="majorHAnsi"/>
            <w:noProof/>
            <w:webHidden/>
            <w:sz w:val="20"/>
            <w:szCs w:val="20"/>
          </w:rPr>
          <w:fldChar w:fldCharType="separate"/>
        </w:r>
        <w:r w:rsidR="009D2CBD">
          <w:rPr>
            <w:rFonts w:asciiTheme="majorHAnsi" w:hAnsiTheme="majorHAnsi" w:cstheme="majorHAnsi"/>
            <w:noProof/>
            <w:webHidden/>
            <w:sz w:val="20"/>
            <w:szCs w:val="20"/>
          </w:rPr>
          <w:t>26</w:t>
        </w:r>
        <w:r w:rsidR="00B15A9F" w:rsidRPr="00F45903">
          <w:rPr>
            <w:rFonts w:asciiTheme="majorHAnsi" w:hAnsiTheme="majorHAnsi" w:cstheme="majorHAnsi"/>
            <w:noProof/>
            <w:webHidden/>
            <w:sz w:val="20"/>
            <w:szCs w:val="20"/>
          </w:rPr>
          <w:fldChar w:fldCharType="end"/>
        </w:r>
      </w:hyperlink>
    </w:p>
    <w:p w14:paraId="6202757E" w14:textId="596297CE" w:rsidR="00B15A9F" w:rsidRPr="00F45903" w:rsidRDefault="003700A7">
      <w:pPr>
        <w:pStyle w:val="Spisilustracji"/>
        <w:tabs>
          <w:tab w:val="right" w:leader="dot" w:pos="9062"/>
        </w:tabs>
        <w:rPr>
          <w:rFonts w:asciiTheme="majorHAnsi" w:hAnsiTheme="majorHAnsi" w:cstheme="majorHAnsi"/>
          <w:noProof/>
          <w:sz w:val="20"/>
          <w:szCs w:val="20"/>
        </w:rPr>
      </w:pPr>
      <w:hyperlink w:anchor="_Toc121826565" w:history="1">
        <w:r w:rsidR="00B15A9F" w:rsidRPr="00F45903">
          <w:rPr>
            <w:rFonts w:asciiTheme="majorHAnsi" w:hAnsiTheme="majorHAnsi" w:cstheme="majorHAnsi"/>
            <w:noProof/>
            <w:sz w:val="20"/>
            <w:szCs w:val="20"/>
          </w:rPr>
          <w:t>Wykres 15 Wzrost liczby uczestników PPK</w:t>
        </w:r>
        <w:r w:rsidR="00B15A9F" w:rsidRPr="00F45903">
          <w:rPr>
            <w:rFonts w:asciiTheme="majorHAnsi" w:hAnsiTheme="majorHAnsi" w:cstheme="majorHAnsi"/>
            <w:noProof/>
            <w:webHidden/>
            <w:sz w:val="20"/>
            <w:szCs w:val="20"/>
          </w:rPr>
          <w:tab/>
        </w:r>
        <w:r w:rsidR="00B15A9F" w:rsidRPr="00F45903">
          <w:rPr>
            <w:rFonts w:asciiTheme="majorHAnsi" w:hAnsiTheme="majorHAnsi" w:cstheme="majorHAnsi"/>
            <w:noProof/>
            <w:webHidden/>
            <w:sz w:val="20"/>
            <w:szCs w:val="20"/>
          </w:rPr>
          <w:fldChar w:fldCharType="begin"/>
        </w:r>
        <w:r w:rsidR="00B15A9F" w:rsidRPr="00F45903">
          <w:rPr>
            <w:rFonts w:asciiTheme="majorHAnsi" w:hAnsiTheme="majorHAnsi" w:cstheme="majorHAnsi"/>
            <w:noProof/>
            <w:webHidden/>
            <w:sz w:val="20"/>
            <w:szCs w:val="20"/>
          </w:rPr>
          <w:instrText xml:space="preserve"> PAGEREF _Toc121826565 \h </w:instrText>
        </w:r>
        <w:r w:rsidR="00B15A9F" w:rsidRPr="00F45903">
          <w:rPr>
            <w:rFonts w:asciiTheme="majorHAnsi" w:hAnsiTheme="majorHAnsi" w:cstheme="majorHAnsi"/>
            <w:noProof/>
            <w:webHidden/>
            <w:sz w:val="20"/>
            <w:szCs w:val="20"/>
          </w:rPr>
        </w:r>
        <w:r w:rsidR="00B15A9F" w:rsidRPr="00F45903">
          <w:rPr>
            <w:rFonts w:asciiTheme="majorHAnsi" w:hAnsiTheme="majorHAnsi" w:cstheme="majorHAnsi"/>
            <w:noProof/>
            <w:webHidden/>
            <w:sz w:val="20"/>
            <w:szCs w:val="20"/>
          </w:rPr>
          <w:fldChar w:fldCharType="separate"/>
        </w:r>
        <w:r w:rsidR="009D2CBD">
          <w:rPr>
            <w:rFonts w:asciiTheme="majorHAnsi" w:hAnsiTheme="majorHAnsi" w:cstheme="majorHAnsi"/>
            <w:noProof/>
            <w:webHidden/>
            <w:sz w:val="20"/>
            <w:szCs w:val="20"/>
          </w:rPr>
          <w:t>44</w:t>
        </w:r>
        <w:r w:rsidR="00B15A9F" w:rsidRPr="00F45903">
          <w:rPr>
            <w:rFonts w:asciiTheme="majorHAnsi" w:hAnsiTheme="majorHAnsi" w:cstheme="majorHAnsi"/>
            <w:noProof/>
            <w:webHidden/>
            <w:sz w:val="20"/>
            <w:szCs w:val="20"/>
          </w:rPr>
          <w:fldChar w:fldCharType="end"/>
        </w:r>
      </w:hyperlink>
    </w:p>
    <w:p w14:paraId="136251BF" w14:textId="1EE81DE4" w:rsidR="00B15A9F" w:rsidRPr="00F45903" w:rsidRDefault="003700A7">
      <w:pPr>
        <w:pStyle w:val="Spisilustracji"/>
        <w:tabs>
          <w:tab w:val="right" w:leader="dot" w:pos="9062"/>
        </w:tabs>
        <w:rPr>
          <w:rFonts w:asciiTheme="majorHAnsi" w:hAnsiTheme="majorHAnsi" w:cstheme="majorHAnsi"/>
          <w:noProof/>
          <w:sz w:val="20"/>
          <w:szCs w:val="20"/>
        </w:rPr>
      </w:pPr>
      <w:hyperlink w:anchor="_Toc121826566" w:history="1">
        <w:r w:rsidR="00B15A9F" w:rsidRPr="00F45903">
          <w:rPr>
            <w:rFonts w:asciiTheme="majorHAnsi" w:hAnsiTheme="majorHAnsi" w:cstheme="majorHAnsi"/>
            <w:noProof/>
            <w:sz w:val="20"/>
            <w:szCs w:val="20"/>
          </w:rPr>
          <w:t>Wykres 16 Wartość aktywów netto funduszy zdefiniowanej daty – wg źródła środków (w mld)</w:t>
        </w:r>
        <w:r w:rsidR="00B15A9F" w:rsidRPr="00F45903">
          <w:rPr>
            <w:rFonts w:asciiTheme="majorHAnsi" w:hAnsiTheme="majorHAnsi" w:cstheme="majorHAnsi"/>
            <w:noProof/>
            <w:webHidden/>
            <w:sz w:val="20"/>
            <w:szCs w:val="20"/>
          </w:rPr>
          <w:tab/>
        </w:r>
        <w:r w:rsidR="00B15A9F" w:rsidRPr="00F45903">
          <w:rPr>
            <w:rFonts w:asciiTheme="majorHAnsi" w:hAnsiTheme="majorHAnsi" w:cstheme="majorHAnsi"/>
            <w:noProof/>
            <w:webHidden/>
            <w:sz w:val="20"/>
            <w:szCs w:val="20"/>
          </w:rPr>
          <w:fldChar w:fldCharType="begin"/>
        </w:r>
        <w:r w:rsidR="00B15A9F" w:rsidRPr="00F45903">
          <w:rPr>
            <w:rFonts w:asciiTheme="majorHAnsi" w:hAnsiTheme="majorHAnsi" w:cstheme="majorHAnsi"/>
            <w:noProof/>
            <w:webHidden/>
            <w:sz w:val="20"/>
            <w:szCs w:val="20"/>
          </w:rPr>
          <w:instrText xml:space="preserve"> PAGEREF _Toc121826566 \h </w:instrText>
        </w:r>
        <w:r w:rsidR="00B15A9F" w:rsidRPr="00F45903">
          <w:rPr>
            <w:rFonts w:asciiTheme="majorHAnsi" w:hAnsiTheme="majorHAnsi" w:cstheme="majorHAnsi"/>
            <w:noProof/>
            <w:webHidden/>
            <w:sz w:val="20"/>
            <w:szCs w:val="20"/>
          </w:rPr>
        </w:r>
        <w:r w:rsidR="00B15A9F" w:rsidRPr="00F45903">
          <w:rPr>
            <w:rFonts w:asciiTheme="majorHAnsi" w:hAnsiTheme="majorHAnsi" w:cstheme="majorHAnsi"/>
            <w:noProof/>
            <w:webHidden/>
            <w:sz w:val="20"/>
            <w:szCs w:val="20"/>
          </w:rPr>
          <w:fldChar w:fldCharType="separate"/>
        </w:r>
        <w:r w:rsidR="009D2CBD">
          <w:rPr>
            <w:rFonts w:asciiTheme="majorHAnsi" w:hAnsiTheme="majorHAnsi" w:cstheme="majorHAnsi"/>
            <w:noProof/>
            <w:webHidden/>
            <w:sz w:val="20"/>
            <w:szCs w:val="20"/>
          </w:rPr>
          <w:t>49</w:t>
        </w:r>
        <w:r w:rsidR="00B15A9F" w:rsidRPr="00F45903">
          <w:rPr>
            <w:rFonts w:asciiTheme="majorHAnsi" w:hAnsiTheme="majorHAnsi" w:cstheme="majorHAnsi"/>
            <w:noProof/>
            <w:webHidden/>
            <w:sz w:val="20"/>
            <w:szCs w:val="20"/>
          </w:rPr>
          <w:fldChar w:fldCharType="end"/>
        </w:r>
      </w:hyperlink>
    </w:p>
    <w:p w14:paraId="3DE6C03D" w14:textId="0E090BEE" w:rsidR="00B15A9F" w:rsidRPr="00F45903" w:rsidRDefault="003700A7">
      <w:pPr>
        <w:pStyle w:val="Spisilustracji"/>
        <w:tabs>
          <w:tab w:val="right" w:leader="dot" w:pos="9062"/>
        </w:tabs>
        <w:rPr>
          <w:rFonts w:asciiTheme="majorHAnsi" w:hAnsiTheme="majorHAnsi" w:cstheme="majorHAnsi"/>
          <w:noProof/>
          <w:sz w:val="20"/>
          <w:szCs w:val="20"/>
        </w:rPr>
      </w:pPr>
      <w:hyperlink w:anchor="_Toc121826567" w:history="1">
        <w:r w:rsidR="00B15A9F" w:rsidRPr="00F45903">
          <w:rPr>
            <w:rFonts w:asciiTheme="majorHAnsi" w:hAnsiTheme="majorHAnsi" w:cstheme="majorHAnsi"/>
            <w:noProof/>
            <w:sz w:val="20"/>
            <w:szCs w:val="20"/>
          </w:rPr>
          <w:t>Wykres 17 Suma wpłat wg źródła środków – wg źródła środków (w mld)</w:t>
        </w:r>
        <w:r w:rsidR="00B15A9F" w:rsidRPr="00F45903">
          <w:rPr>
            <w:rFonts w:asciiTheme="majorHAnsi" w:hAnsiTheme="majorHAnsi" w:cstheme="majorHAnsi"/>
            <w:noProof/>
            <w:webHidden/>
            <w:sz w:val="20"/>
            <w:szCs w:val="20"/>
          </w:rPr>
          <w:tab/>
        </w:r>
        <w:r w:rsidR="00B15A9F" w:rsidRPr="00F45903">
          <w:rPr>
            <w:rFonts w:asciiTheme="majorHAnsi" w:hAnsiTheme="majorHAnsi" w:cstheme="majorHAnsi"/>
            <w:noProof/>
            <w:webHidden/>
            <w:sz w:val="20"/>
            <w:szCs w:val="20"/>
          </w:rPr>
          <w:fldChar w:fldCharType="begin"/>
        </w:r>
        <w:r w:rsidR="00B15A9F" w:rsidRPr="00F45903">
          <w:rPr>
            <w:rFonts w:asciiTheme="majorHAnsi" w:hAnsiTheme="majorHAnsi" w:cstheme="majorHAnsi"/>
            <w:noProof/>
            <w:webHidden/>
            <w:sz w:val="20"/>
            <w:szCs w:val="20"/>
          </w:rPr>
          <w:instrText xml:space="preserve"> PAGEREF _Toc121826567 \h </w:instrText>
        </w:r>
        <w:r w:rsidR="00B15A9F" w:rsidRPr="00F45903">
          <w:rPr>
            <w:rFonts w:asciiTheme="majorHAnsi" w:hAnsiTheme="majorHAnsi" w:cstheme="majorHAnsi"/>
            <w:noProof/>
            <w:webHidden/>
            <w:sz w:val="20"/>
            <w:szCs w:val="20"/>
          </w:rPr>
        </w:r>
        <w:r w:rsidR="00B15A9F" w:rsidRPr="00F45903">
          <w:rPr>
            <w:rFonts w:asciiTheme="majorHAnsi" w:hAnsiTheme="majorHAnsi" w:cstheme="majorHAnsi"/>
            <w:noProof/>
            <w:webHidden/>
            <w:sz w:val="20"/>
            <w:szCs w:val="20"/>
          </w:rPr>
          <w:fldChar w:fldCharType="separate"/>
        </w:r>
        <w:r w:rsidR="009D2CBD">
          <w:rPr>
            <w:rFonts w:asciiTheme="majorHAnsi" w:hAnsiTheme="majorHAnsi" w:cstheme="majorHAnsi"/>
            <w:noProof/>
            <w:webHidden/>
            <w:sz w:val="20"/>
            <w:szCs w:val="20"/>
          </w:rPr>
          <w:t>49</w:t>
        </w:r>
        <w:r w:rsidR="00B15A9F" w:rsidRPr="00F45903">
          <w:rPr>
            <w:rFonts w:asciiTheme="majorHAnsi" w:hAnsiTheme="majorHAnsi" w:cstheme="majorHAnsi"/>
            <w:noProof/>
            <w:webHidden/>
            <w:sz w:val="20"/>
            <w:szCs w:val="20"/>
          </w:rPr>
          <w:fldChar w:fldCharType="end"/>
        </w:r>
      </w:hyperlink>
    </w:p>
    <w:p w14:paraId="5869B24F" w14:textId="15AC6056" w:rsidR="00B15A9F" w:rsidRPr="00F45903" w:rsidRDefault="003700A7">
      <w:pPr>
        <w:pStyle w:val="Spisilustracji"/>
        <w:tabs>
          <w:tab w:val="right" w:leader="dot" w:pos="9062"/>
        </w:tabs>
        <w:rPr>
          <w:rFonts w:asciiTheme="majorHAnsi" w:hAnsiTheme="majorHAnsi" w:cstheme="majorHAnsi"/>
          <w:noProof/>
          <w:sz w:val="20"/>
          <w:szCs w:val="20"/>
        </w:rPr>
      </w:pPr>
      <w:hyperlink w:anchor="_Toc121826568" w:history="1">
        <w:r w:rsidR="00B15A9F" w:rsidRPr="00F45903">
          <w:rPr>
            <w:rFonts w:asciiTheme="majorHAnsi" w:hAnsiTheme="majorHAnsi" w:cstheme="majorHAnsi"/>
            <w:noProof/>
            <w:sz w:val="20"/>
            <w:szCs w:val="20"/>
          </w:rPr>
          <w:t>Wykres 18 Wartość aktywów netto funduszy zdefiniowanej daty – wg typu wpłat (w mld)</w:t>
        </w:r>
        <w:r w:rsidR="00B15A9F" w:rsidRPr="00F45903">
          <w:rPr>
            <w:rFonts w:asciiTheme="majorHAnsi" w:hAnsiTheme="majorHAnsi" w:cstheme="majorHAnsi"/>
            <w:noProof/>
            <w:webHidden/>
            <w:sz w:val="20"/>
            <w:szCs w:val="20"/>
          </w:rPr>
          <w:tab/>
        </w:r>
        <w:r w:rsidR="00B15A9F" w:rsidRPr="00F45903">
          <w:rPr>
            <w:rFonts w:asciiTheme="majorHAnsi" w:hAnsiTheme="majorHAnsi" w:cstheme="majorHAnsi"/>
            <w:noProof/>
            <w:webHidden/>
            <w:sz w:val="20"/>
            <w:szCs w:val="20"/>
          </w:rPr>
          <w:fldChar w:fldCharType="begin"/>
        </w:r>
        <w:r w:rsidR="00B15A9F" w:rsidRPr="00F45903">
          <w:rPr>
            <w:rFonts w:asciiTheme="majorHAnsi" w:hAnsiTheme="majorHAnsi" w:cstheme="majorHAnsi"/>
            <w:noProof/>
            <w:webHidden/>
            <w:sz w:val="20"/>
            <w:szCs w:val="20"/>
          </w:rPr>
          <w:instrText xml:space="preserve"> PAGEREF _Toc121826568 \h </w:instrText>
        </w:r>
        <w:r w:rsidR="00B15A9F" w:rsidRPr="00F45903">
          <w:rPr>
            <w:rFonts w:asciiTheme="majorHAnsi" w:hAnsiTheme="majorHAnsi" w:cstheme="majorHAnsi"/>
            <w:noProof/>
            <w:webHidden/>
            <w:sz w:val="20"/>
            <w:szCs w:val="20"/>
          </w:rPr>
        </w:r>
        <w:r w:rsidR="00B15A9F" w:rsidRPr="00F45903">
          <w:rPr>
            <w:rFonts w:asciiTheme="majorHAnsi" w:hAnsiTheme="majorHAnsi" w:cstheme="majorHAnsi"/>
            <w:noProof/>
            <w:webHidden/>
            <w:sz w:val="20"/>
            <w:szCs w:val="20"/>
          </w:rPr>
          <w:fldChar w:fldCharType="separate"/>
        </w:r>
        <w:r w:rsidR="009D2CBD">
          <w:rPr>
            <w:rFonts w:asciiTheme="majorHAnsi" w:hAnsiTheme="majorHAnsi" w:cstheme="majorHAnsi"/>
            <w:noProof/>
            <w:webHidden/>
            <w:sz w:val="20"/>
            <w:szCs w:val="20"/>
          </w:rPr>
          <w:t>50</w:t>
        </w:r>
        <w:r w:rsidR="00B15A9F" w:rsidRPr="00F45903">
          <w:rPr>
            <w:rFonts w:asciiTheme="majorHAnsi" w:hAnsiTheme="majorHAnsi" w:cstheme="majorHAnsi"/>
            <w:noProof/>
            <w:webHidden/>
            <w:sz w:val="20"/>
            <w:szCs w:val="20"/>
          </w:rPr>
          <w:fldChar w:fldCharType="end"/>
        </w:r>
      </w:hyperlink>
    </w:p>
    <w:p w14:paraId="69EA6BD8" w14:textId="04CB0D61" w:rsidR="00B15A9F" w:rsidRPr="00F45903" w:rsidRDefault="003700A7">
      <w:pPr>
        <w:pStyle w:val="Spisilustracji"/>
        <w:tabs>
          <w:tab w:val="right" w:leader="dot" w:pos="9062"/>
        </w:tabs>
        <w:rPr>
          <w:rFonts w:asciiTheme="majorHAnsi" w:hAnsiTheme="majorHAnsi" w:cstheme="majorHAnsi"/>
          <w:noProof/>
          <w:sz w:val="20"/>
          <w:szCs w:val="20"/>
        </w:rPr>
      </w:pPr>
      <w:hyperlink w:anchor="_Toc121826569" w:history="1">
        <w:r w:rsidR="00B15A9F" w:rsidRPr="00F45903">
          <w:rPr>
            <w:rFonts w:asciiTheme="majorHAnsi" w:hAnsiTheme="majorHAnsi" w:cstheme="majorHAnsi"/>
            <w:noProof/>
            <w:sz w:val="20"/>
            <w:szCs w:val="20"/>
          </w:rPr>
          <w:t>Wykres 19 Wysokość wpłat do PPK – wg typu wpłat (w mld)</w:t>
        </w:r>
        <w:r w:rsidR="00B15A9F" w:rsidRPr="00F45903">
          <w:rPr>
            <w:rFonts w:asciiTheme="majorHAnsi" w:hAnsiTheme="majorHAnsi" w:cstheme="majorHAnsi"/>
            <w:noProof/>
            <w:webHidden/>
            <w:sz w:val="20"/>
            <w:szCs w:val="20"/>
          </w:rPr>
          <w:tab/>
        </w:r>
        <w:r w:rsidR="00B15A9F" w:rsidRPr="00F45903">
          <w:rPr>
            <w:rFonts w:asciiTheme="majorHAnsi" w:hAnsiTheme="majorHAnsi" w:cstheme="majorHAnsi"/>
            <w:noProof/>
            <w:webHidden/>
            <w:sz w:val="20"/>
            <w:szCs w:val="20"/>
          </w:rPr>
          <w:fldChar w:fldCharType="begin"/>
        </w:r>
        <w:r w:rsidR="00B15A9F" w:rsidRPr="00F45903">
          <w:rPr>
            <w:rFonts w:asciiTheme="majorHAnsi" w:hAnsiTheme="majorHAnsi" w:cstheme="majorHAnsi"/>
            <w:noProof/>
            <w:webHidden/>
            <w:sz w:val="20"/>
            <w:szCs w:val="20"/>
          </w:rPr>
          <w:instrText xml:space="preserve"> PAGEREF _Toc121826569 \h </w:instrText>
        </w:r>
        <w:r w:rsidR="00B15A9F" w:rsidRPr="00F45903">
          <w:rPr>
            <w:rFonts w:asciiTheme="majorHAnsi" w:hAnsiTheme="majorHAnsi" w:cstheme="majorHAnsi"/>
            <w:noProof/>
            <w:webHidden/>
            <w:sz w:val="20"/>
            <w:szCs w:val="20"/>
          </w:rPr>
        </w:r>
        <w:r w:rsidR="00B15A9F" w:rsidRPr="00F45903">
          <w:rPr>
            <w:rFonts w:asciiTheme="majorHAnsi" w:hAnsiTheme="majorHAnsi" w:cstheme="majorHAnsi"/>
            <w:noProof/>
            <w:webHidden/>
            <w:sz w:val="20"/>
            <w:szCs w:val="20"/>
          </w:rPr>
          <w:fldChar w:fldCharType="separate"/>
        </w:r>
        <w:r w:rsidR="009D2CBD">
          <w:rPr>
            <w:rFonts w:asciiTheme="majorHAnsi" w:hAnsiTheme="majorHAnsi" w:cstheme="majorHAnsi"/>
            <w:noProof/>
            <w:webHidden/>
            <w:sz w:val="20"/>
            <w:szCs w:val="20"/>
          </w:rPr>
          <w:t>50</w:t>
        </w:r>
        <w:r w:rsidR="00B15A9F" w:rsidRPr="00F45903">
          <w:rPr>
            <w:rFonts w:asciiTheme="majorHAnsi" w:hAnsiTheme="majorHAnsi" w:cstheme="majorHAnsi"/>
            <w:noProof/>
            <w:webHidden/>
            <w:sz w:val="20"/>
            <w:szCs w:val="20"/>
          </w:rPr>
          <w:fldChar w:fldCharType="end"/>
        </w:r>
      </w:hyperlink>
    </w:p>
    <w:p w14:paraId="613833EE" w14:textId="0AD1B1BE" w:rsidR="00B15A9F" w:rsidRPr="00F45903" w:rsidRDefault="003700A7">
      <w:pPr>
        <w:pStyle w:val="Spisilustracji"/>
        <w:tabs>
          <w:tab w:val="right" w:leader="dot" w:pos="9062"/>
        </w:tabs>
        <w:rPr>
          <w:rFonts w:asciiTheme="majorHAnsi" w:hAnsiTheme="majorHAnsi" w:cstheme="majorHAnsi"/>
          <w:noProof/>
          <w:sz w:val="20"/>
          <w:szCs w:val="20"/>
        </w:rPr>
      </w:pPr>
      <w:hyperlink w:anchor="_Toc121826570" w:history="1">
        <w:r w:rsidR="00B15A9F" w:rsidRPr="00F45903">
          <w:rPr>
            <w:rFonts w:asciiTheme="majorHAnsi" w:hAnsiTheme="majorHAnsi" w:cstheme="majorHAnsi"/>
            <w:noProof/>
            <w:sz w:val="20"/>
            <w:szCs w:val="20"/>
          </w:rPr>
          <w:t>Wykres 20 Średnie wpłaty na rachunek PPK i WAN (narastająco) w zł</w:t>
        </w:r>
        <w:r w:rsidR="00B15A9F" w:rsidRPr="00F45903">
          <w:rPr>
            <w:rFonts w:asciiTheme="majorHAnsi" w:hAnsiTheme="majorHAnsi" w:cstheme="majorHAnsi"/>
            <w:noProof/>
            <w:webHidden/>
            <w:sz w:val="20"/>
            <w:szCs w:val="20"/>
          </w:rPr>
          <w:tab/>
        </w:r>
        <w:r w:rsidR="00B15A9F" w:rsidRPr="00F45903">
          <w:rPr>
            <w:rFonts w:asciiTheme="majorHAnsi" w:hAnsiTheme="majorHAnsi" w:cstheme="majorHAnsi"/>
            <w:noProof/>
            <w:webHidden/>
            <w:sz w:val="20"/>
            <w:szCs w:val="20"/>
          </w:rPr>
          <w:fldChar w:fldCharType="begin"/>
        </w:r>
        <w:r w:rsidR="00B15A9F" w:rsidRPr="00F45903">
          <w:rPr>
            <w:rFonts w:asciiTheme="majorHAnsi" w:hAnsiTheme="majorHAnsi" w:cstheme="majorHAnsi"/>
            <w:noProof/>
            <w:webHidden/>
            <w:sz w:val="20"/>
            <w:szCs w:val="20"/>
          </w:rPr>
          <w:instrText xml:space="preserve"> PAGEREF _Toc121826570 \h </w:instrText>
        </w:r>
        <w:r w:rsidR="00B15A9F" w:rsidRPr="00F45903">
          <w:rPr>
            <w:rFonts w:asciiTheme="majorHAnsi" w:hAnsiTheme="majorHAnsi" w:cstheme="majorHAnsi"/>
            <w:noProof/>
            <w:webHidden/>
            <w:sz w:val="20"/>
            <w:szCs w:val="20"/>
          </w:rPr>
        </w:r>
        <w:r w:rsidR="00B15A9F" w:rsidRPr="00F45903">
          <w:rPr>
            <w:rFonts w:asciiTheme="majorHAnsi" w:hAnsiTheme="majorHAnsi" w:cstheme="majorHAnsi"/>
            <w:noProof/>
            <w:webHidden/>
            <w:sz w:val="20"/>
            <w:szCs w:val="20"/>
          </w:rPr>
          <w:fldChar w:fldCharType="separate"/>
        </w:r>
        <w:r w:rsidR="009D2CBD">
          <w:rPr>
            <w:rFonts w:asciiTheme="majorHAnsi" w:hAnsiTheme="majorHAnsi" w:cstheme="majorHAnsi"/>
            <w:noProof/>
            <w:webHidden/>
            <w:sz w:val="20"/>
            <w:szCs w:val="20"/>
          </w:rPr>
          <w:t>51</w:t>
        </w:r>
        <w:r w:rsidR="00B15A9F" w:rsidRPr="00F45903">
          <w:rPr>
            <w:rFonts w:asciiTheme="majorHAnsi" w:hAnsiTheme="majorHAnsi" w:cstheme="majorHAnsi"/>
            <w:noProof/>
            <w:webHidden/>
            <w:sz w:val="20"/>
            <w:szCs w:val="20"/>
          </w:rPr>
          <w:fldChar w:fldCharType="end"/>
        </w:r>
      </w:hyperlink>
    </w:p>
    <w:p w14:paraId="442D11F8" w14:textId="064526B6" w:rsidR="00B15A9F" w:rsidRPr="00F45903" w:rsidRDefault="003700A7">
      <w:pPr>
        <w:pStyle w:val="Spisilustracji"/>
        <w:tabs>
          <w:tab w:val="right" w:leader="dot" w:pos="9062"/>
        </w:tabs>
        <w:rPr>
          <w:rFonts w:asciiTheme="majorHAnsi" w:hAnsiTheme="majorHAnsi" w:cstheme="majorHAnsi"/>
          <w:noProof/>
          <w:sz w:val="20"/>
          <w:szCs w:val="20"/>
        </w:rPr>
      </w:pPr>
      <w:hyperlink w:anchor="_Toc121826571" w:history="1">
        <w:r w:rsidR="00B15A9F" w:rsidRPr="00F45903">
          <w:rPr>
            <w:rFonts w:asciiTheme="majorHAnsi" w:hAnsiTheme="majorHAnsi" w:cstheme="majorHAnsi"/>
            <w:noProof/>
            <w:sz w:val="20"/>
            <w:szCs w:val="20"/>
          </w:rPr>
          <w:t>Wykres 21 Średnie wpłaty na rachunek PPK i WAN (rocznie) w zł</w:t>
        </w:r>
        <w:r w:rsidR="00B15A9F" w:rsidRPr="00F45903">
          <w:rPr>
            <w:rFonts w:asciiTheme="majorHAnsi" w:hAnsiTheme="majorHAnsi" w:cstheme="majorHAnsi"/>
            <w:noProof/>
            <w:webHidden/>
            <w:sz w:val="20"/>
            <w:szCs w:val="20"/>
          </w:rPr>
          <w:tab/>
        </w:r>
        <w:r w:rsidR="00B15A9F" w:rsidRPr="00F45903">
          <w:rPr>
            <w:rFonts w:asciiTheme="majorHAnsi" w:hAnsiTheme="majorHAnsi" w:cstheme="majorHAnsi"/>
            <w:noProof/>
            <w:webHidden/>
            <w:sz w:val="20"/>
            <w:szCs w:val="20"/>
          </w:rPr>
          <w:fldChar w:fldCharType="begin"/>
        </w:r>
        <w:r w:rsidR="00B15A9F" w:rsidRPr="00F45903">
          <w:rPr>
            <w:rFonts w:asciiTheme="majorHAnsi" w:hAnsiTheme="majorHAnsi" w:cstheme="majorHAnsi"/>
            <w:noProof/>
            <w:webHidden/>
            <w:sz w:val="20"/>
            <w:szCs w:val="20"/>
          </w:rPr>
          <w:instrText xml:space="preserve"> PAGEREF _Toc121826571 \h </w:instrText>
        </w:r>
        <w:r w:rsidR="00B15A9F" w:rsidRPr="00F45903">
          <w:rPr>
            <w:rFonts w:asciiTheme="majorHAnsi" w:hAnsiTheme="majorHAnsi" w:cstheme="majorHAnsi"/>
            <w:noProof/>
            <w:webHidden/>
            <w:sz w:val="20"/>
            <w:szCs w:val="20"/>
          </w:rPr>
        </w:r>
        <w:r w:rsidR="00B15A9F" w:rsidRPr="00F45903">
          <w:rPr>
            <w:rFonts w:asciiTheme="majorHAnsi" w:hAnsiTheme="majorHAnsi" w:cstheme="majorHAnsi"/>
            <w:noProof/>
            <w:webHidden/>
            <w:sz w:val="20"/>
            <w:szCs w:val="20"/>
          </w:rPr>
          <w:fldChar w:fldCharType="separate"/>
        </w:r>
        <w:r w:rsidR="009D2CBD">
          <w:rPr>
            <w:rFonts w:asciiTheme="majorHAnsi" w:hAnsiTheme="majorHAnsi" w:cstheme="majorHAnsi"/>
            <w:noProof/>
            <w:webHidden/>
            <w:sz w:val="20"/>
            <w:szCs w:val="20"/>
          </w:rPr>
          <w:t>51</w:t>
        </w:r>
        <w:r w:rsidR="00B15A9F" w:rsidRPr="00F45903">
          <w:rPr>
            <w:rFonts w:asciiTheme="majorHAnsi" w:hAnsiTheme="majorHAnsi" w:cstheme="majorHAnsi"/>
            <w:noProof/>
            <w:webHidden/>
            <w:sz w:val="20"/>
            <w:szCs w:val="20"/>
          </w:rPr>
          <w:fldChar w:fldCharType="end"/>
        </w:r>
      </w:hyperlink>
    </w:p>
    <w:p w14:paraId="10172F23" w14:textId="17EDEF98" w:rsidR="00B15A9F" w:rsidRPr="00F45903" w:rsidRDefault="003700A7">
      <w:pPr>
        <w:pStyle w:val="Spisilustracji"/>
        <w:tabs>
          <w:tab w:val="right" w:leader="dot" w:pos="9062"/>
        </w:tabs>
        <w:rPr>
          <w:rFonts w:asciiTheme="majorHAnsi" w:hAnsiTheme="majorHAnsi" w:cstheme="majorHAnsi"/>
          <w:noProof/>
          <w:sz w:val="20"/>
          <w:szCs w:val="20"/>
        </w:rPr>
      </w:pPr>
      <w:hyperlink w:anchor="_Toc121826572" w:history="1">
        <w:r w:rsidR="00B15A9F" w:rsidRPr="00F45903">
          <w:rPr>
            <w:rFonts w:asciiTheme="majorHAnsi" w:hAnsiTheme="majorHAnsi" w:cstheme="majorHAnsi"/>
            <w:noProof/>
            <w:sz w:val="20"/>
            <w:szCs w:val="20"/>
          </w:rPr>
          <w:t>Wykres 22 Średnie dopłaty od państwa, wpłaty pracodawcy i wpłaty uczestnika PPK (rocznie) w zł</w:t>
        </w:r>
        <w:r w:rsidR="00B15A9F" w:rsidRPr="00F45903">
          <w:rPr>
            <w:rFonts w:asciiTheme="majorHAnsi" w:hAnsiTheme="majorHAnsi" w:cstheme="majorHAnsi"/>
            <w:noProof/>
            <w:webHidden/>
            <w:sz w:val="20"/>
            <w:szCs w:val="20"/>
          </w:rPr>
          <w:tab/>
        </w:r>
        <w:r w:rsidR="00B15A9F" w:rsidRPr="00F45903">
          <w:rPr>
            <w:rFonts w:asciiTheme="majorHAnsi" w:hAnsiTheme="majorHAnsi" w:cstheme="majorHAnsi"/>
            <w:noProof/>
            <w:webHidden/>
            <w:sz w:val="20"/>
            <w:szCs w:val="20"/>
          </w:rPr>
          <w:fldChar w:fldCharType="begin"/>
        </w:r>
        <w:r w:rsidR="00B15A9F" w:rsidRPr="00F45903">
          <w:rPr>
            <w:rFonts w:asciiTheme="majorHAnsi" w:hAnsiTheme="majorHAnsi" w:cstheme="majorHAnsi"/>
            <w:noProof/>
            <w:webHidden/>
            <w:sz w:val="20"/>
            <w:szCs w:val="20"/>
          </w:rPr>
          <w:instrText xml:space="preserve"> PAGEREF _Toc121826572 \h </w:instrText>
        </w:r>
        <w:r w:rsidR="00B15A9F" w:rsidRPr="00F45903">
          <w:rPr>
            <w:rFonts w:asciiTheme="majorHAnsi" w:hAnsiTheme="majorHAnsi" w:cstheme="majorHAnsi"/>
            <w:noProof/>
            <w:webHidden/>
            <w:sz w:val="20"/>
            <w:szCs w:val="20"/>
          </w:rPr>
        </w:r>
        <w:r w:rsidR="00B15A9F" w:rsidRPr="00F45903">
          <w:rPr>
            <w:rFonts w:asciiTheme="majorHAnsi" w:hAnsiTheme="majorHAnsi" w:cstheme="majorHAnsi"/>
            <w:noProof/>
            <w:webHidden/>
            <w:sz w:val="20"/>
            <w:szCs w:val="20"/>
          </w:rPr>
          <w:fldChar w:fldCharType="separate"/>
        </w:r>
        <w:r w:rsidR="009D2CBD">
          <w:rPr>
            <w:rFonts w:asciiTheme="majorHAnsi" w:hAnsiTheme="majorHAnsi" w:cstheme="majorHAnsi"/>
            <w:noProof/>
            <w:webHidden/>
            <w:sz w:val="20"/>
            <w:szCs w:val="20"/>
          </w:rPr>
          <w:t>52</w:t>
        </w:r>
        <w:r w:rsidR="00B15A9F" w:rsidRPr="00F45903">
          <w:rPr>
            <w:rFonts w:asciiTheme="majorHAnsi" w:hAnsiTheme="majorHAnsi" w:cstheme="majorHAnsi"/>
            <w:noProof/>
            <w:webHidden/>
            <w:sz w:val="20"/>
            <w:szCs w:val="20"/>
          </w:rPr>
          <w:fldChar w:fldCharType="end"/>
        </w:r>
      </w:hyperlink>
    </w:p>
    <w:p w14:paraId="64781599" w14:textId="539FE877" w:rsidR="00B15A9F" w:rsidRPr="00F45903" w:rsidRDefault="003700A7">
      <w:pPr>
        <w:pStyle w:val="Spisilustracji"/>
        <w:tabs>
          <w:tab w:val="right" w:leader="dot" w:pos="9062"/>
        </w:tabs>
        <w:rPr>
          <w:rFonts w:asciiTheme="majorHAnsi" w:hAnsiTheme="majorHAnsi" w:cstheme="majorHAnsi"/>
          <w:noProof/>
          <w:sz w:val="20"/>
          <w:szCs w:val="20"/>
        </w:rPr>
      </w:pPr>
      <w:hyperlink w:anchor="_Toc121826573" w:history="1">
        <w:r w:rsidR="00B15A9F" w:rsidRPr="00F45903">
          <w:rPr>
            <w:rFonts w:asciiTheme="majorHAnsi" w:hAnsiTheme="majorHAnsi" w:cstheme="majorHAnsi"/>
            <w:noProof/>
            <w:sz w:val="20"/>
            <w:szCs w:val="20"/>
          </w:rPr>
          <w:t>Wykres 23 Portfel FZD PPK</w:t>
        </w:r>
        <w:r w:rsidR="00B15A9F" w:rsidRPr="00F45903">
          <w:rPr>
            <w:rFonts w:asciiTheme="majorHAnsi" w:hAnsiTheme="majorHAnsi" w:cstheme="majorHAnsi"/>
            <w:noProof/>
            <w:webHidden/>
            <w:sz w:val="20"/>
            <w:szCs w:val="20"/>
          </w:rPr>
          <w:tab/>
        </w:r>
        <w:r w:rsidR="00B15A9F" w:rsidRPr="00F45903">
          <w:rPr>
            <w:rFonts w:asciiTheme="majorHAnsi" w:hAnsiTheme="majorHAnsi" w:cstheme="majorHAnsi"/>
            <w:noProof/>
            <w:webHidden/>
            <w:sz w:val="20"/>
            <w:szCs w:val="20"/>
          </w:rPr>
          <w:fldChar w:fldCharType="begin"/>
        </w:r>
        <w:r w:rsidR="00B15A9F" w:rsidRPr="00F45903">
          <w:rPr>
            <w:rFonts w:asciiTheme="majorHAnsi" w:hAnsiTheme="majorHAnsi" w:cstheme="majorHAnsi"/>
            <w:noProof/>
            <w:webHidden/>
            <w:sz w:val="20"/>
            <w:szCs w:val="20"/>
          </w:rPr>
          <w:instrText xml:space="preserve"> PAGEREF _Toc121826573 \h </w:instrText>
        </w:r>
        <w:r w:rsidR="00B15A9F" w:rsidRPr="00F45903">
          <w:rPr>
            <w:rFonts w:asciiTheme="majorHAnsi" w:hAnsiTheme="majorHAnsi" w:cstheme="majorHAnsi"/>
            <w:noProof/>
            <w:webHidden/>
            <w:sz w:val="20"/>
            <w:szCs w:val="20"/>
          </w:rPr>
        </w:r>
        <w:r w:rsidR="00B15A9F" w:rsidRPr="00F45903">
          <w:rPr>
            <w:rFonts w:asciiTheme="majorHAnsi" w:hAnsiTheme="majorHAnsi" w:cstheme="majorHAnsi"/>
            <w:noProof/>
            <w:webHidden/>
            <w:sz w:val="20"/>
            <w:szCs w:val="20"/>
          </w:rPr>
          <w:fldChar w:fldCharType="separate"/>
        </w:r>
        <w:r w:rsidR="009D2CBD">
          <w:rPr>
            <w:rFonts w:asciiTheme="majorHAnsi" w:hAnsiTheme="majorHAnsi" w:cstheme="majorHAnsi"/>
            <w:noProof/>
            <w:webHidden/>
            <w:sz w:val="20"/>
            <w:szCs w:val="20"/>
          </w:rPr>
          <w:t>53</w:t>
        </w:r>
        <w:r w:rsidR="00B15A9F" w:rsidRPr="00F45903">
          <w:rPr>
            <w:rFonts w:asciiTheme="majorHAnsi" w:hAnsiTheme="majorHAnsi" w:cstheme="majorHAnsi"/>
            <w:noProof/>
            <w:webHidden/>
            <w:sz w:val="20"/>
            <w:szCs w:val="20"/>
          </w:rPr>
          <w:fldChar w:fldCharType="end"/>
        </w:r>
      </w:hyperlink>
    </w:p>
    <w:p w14:paraId="68ABB025" w14:textId="77777777" w:rsidR="005B7999" w:rsidRPr="00587CC9" w:rsidRDefault="005B7999" w:rsidP="000F4660">
      <w:pPr>
        <w:spacing w:before="6" w:after="6" w:line="288" w:lineRule="auto"/>
        <w:jc w:val="both"/>
        <w:rPr>
          <w:rFonts w:asciiTheme="majorHAnsi" w:hAnsiTheme="majorHAnsi" w:cstheme="majorHAnsi"/>
          <w:sz w:val="20"/>
          <w:szCs w:val="20"/>
        </w:rPr>
      </w:pPr>
      <w:r w:rsidRPr="00587CC9">
        <w:rPr>
          <w:rFonts w:asciiTheme="majorHAnsi" w:hAnsiTheme="majorHAnsi" w:cstheme="majorHAnsi"/>
          <w:sz w:val="20"/>
          <w:szCs w:val="20"/>
        </w:rPr>
        <w:fldChar w:fldCharType="end"/>
      </w:r>
    </w:p>
    <w:p w14:paraId="1D917A86" w14:textId="0FDC2A60" w:rsidR="002C4C18" w:rsidRPr="00AC6176" w:rsidRDefault="00264ABB" w:rsidP="00AC6176">
      <w:pPr>
        <w:spacing w:after="0" w:line="288" w:lineRule="auto"/>
        <w:jc w:val="both"/>
        <w:rPr>
          <w:rFonts w:cstheme="minorHAnsi"/>
          <w:b/>
        </w:rPr>
      </w:pPr>
      <w:r>
        <w:rPr>
          <w:rFonts w:cstheme="minorHAnsi"/>
          <w:b/>
        </w:rPr>
        <w:t>Bibliografia</w:t>
      </w:r>
    </w:p>
    <w:p w14:paraId="78523E10" w14:textId="77777777" w:rsidR="002C4C18" w:rsidRPr="0084745F" w:rsidRDefault="002C4C18">
      <w:pPr>
        <w:pStyle w:val="Akapitzlist"/>
        <w:numPr>
          <w:ilvl w:val="0"/>
          <w:numId w:val="36"/>
        </w:numPr>
        <w:ind w:left="284" w:hanging="340"/>
        <w:jc w:val="both"/>
        <w:rPr>
          <w:rFonts w:asciiTheme="majorHAnsi" w:hAnsiTheme="majorHAnsi" w:cstheme="majorHAnsi"/>
          <w:sz w:val="20"/>
          <w:szCs w:val="20"/>
        </w:rPr>
      </w:pPr>
      <w:r w:rsidRPr="0084745F">
        <w:rPr>
          <w:rFonts w:asciiTheme="majorHAnsi" w:hAnsiTheme="majorHAnsi" w:cstheme="majorHAnsi"/>
          <w:sz w:val="20"/>
          <w:szCs w:val="20"/>
        </w:rPr>
        <w:t>Biuletyn miesięczny Pracowniczych Planów Kapitałowych, numer 9 (11) – wrzesień 2022 https://www.mojeppk.pl/pliki/repozytorium-plikow/materialy-do-pobrania/pdf/Biuletyn-PPK-09-2022.pdf</w:t>
      </w:r>
    </w:p>
    <w:p w14:paraId="0623DAEF" w14:textId="0D2A6F76" w:rsidR="002C4C18" w:rsidRPr="003D6725" w:rsidRDefault="002C4C18">
      <w:pPr>
        <w:pStyle w:val="Akapitzlist"/>
        <w:numPr>
          <w:ilvl w:val="0"/>
          <w:numId w:val="36"/>
        </w:numPr>
        <w:ind w:left="284" w:hanging="340"/>
        <w:jc w:val="both"/>
        <w:rPr>
          <w:rFonts w:asciiTheme="majorHAnsi" w:hAnsiTheme="majorHAnsi" w:cstheme="majorHAnsi"/>
          <w:sz w:val="18"/>
          <w:szCs w:val="20"/>
        </w:rPr>
      </w:pPr>
      <w:r w:rsidRPr="0084745F">
        <w:rPr>
          <w:rFonts w:asciiTheme="majorHAnsi" w:hAnsiTheme="majorHAnsi" w:cstheme="majorHAnsi"/>
          <w:sz w:val="20"/>
          <w:szCs w:val="20"/>
        </w:rPr>
        <w:t>CBM Indicator</w:t>
      </w:r>
      <w:r w:rsidR="00BD489B" w:rsidRPr="0084745F">
        <w:rPr>
          <w:rFonts w:asciiTheme="majorHAnsi" w:hAnsiTheme="majorHAnsi" w:cstheme="majorHAnsi"/>
          <w:sz w:val="20"/>
          <w:szCs w:val="20"/>
        </w:rPr>
        <w:t xml:space="preserve"> (2022)</w:t>
      </w:r>
      <w:r w:rsidR="0044075D" w:rsidRPr="0084745F">
        <w:rPr>
          <w:rFonts w:asciiTheme="majorHAnsi" w:hAnsiTheme="majorHAnsi" w:cstheme="majorHAnsi"/>
          <w:sz w:val="20"/>
          <w:szCs w:val="20"/>
        </w:rPr>
        <w:t>,</w:t>
      </w:r>
      <w:r w:rsidRPr="0084745F">
        <w:rPr>
          <w:rFonts w:asciiTheme="majorHAnsi" w:hAnsiTheme="majorHAnsi" w:cstheme="majorHAnsi"/>
          <w:sz w:val="20"/>
          <w:szCs w:val="20"/>
        </w:rPr>
        <w:t xml:space="preserve"> Badanie </w:t>
      </w:r>
      <w:r w:rsidR="00930B66">
        <w:rPr>
          <w:rFonts w:asciiTheme="majorHAnsi" w:hAnsiTheme="majorHAnsi" w:cstheme="majorHAnsi"/>
          <w:sz w:val="20"/>
          <w:szCs w:val="20"/>
        </w:rPr>
        <w:t>–</w:t>
      </w:r>
      <w:r w:rsidRPr="0084745F">
        <w:rPr>
          <w:rFonts w:asciiTheme="majorHAnsi" w:hAnsiTheme="majorHAnsi" w:cstheme="majorHAnsi"/>
          <w:sz w:val="20"/>
          <w:szCs w:val="20"/>
        </w:rPr>
        <w:t xml:space="preserve"> Poziom wiedzy finansowej Polaków 2022 na zlecenie WIB oraz Fundacji GPW </w:t>
      </w:r>
      <w:r w:rsidR="00BE201A" w:rsidRPr="003D6725">
        <w:rPr>
          <w:rFonts w:asciiTheme="majorHAnsi" w:hAnsiTheme="majorHAnsi" w:cstheme="majorHAnsi"/>
          <w:sz w:val="20"/>
          <w:szCs w:val="20"/>
        </w:rPr>
        <w:t>https://www.wib.org.pl/wiedza-finansowa-coraz-wazniejsza-dla-polakow/</w:t>
      </w:r>
    </w:p>
    <w:p w14:paraId="2892C4B0" w14:textId="77777777" w:rsidR="002C4C18" w:rsidRPr="0084745F" w:rsidRDefault="002C4C18">
      <w:pPr>
        <w:pStyle w:val="Akapitzlist"/>
        <w:numPr>
          <w:ilvl w:val="0"/>
          <w:numId w:val="36"/>
        </w:numPr>
        <w:ind w:left="284" w:hanging="340"/>
        <w:jc w:val="both"/>
        <w:rPr>
          <w:rFonts w:asciiTheme="majorHAnsi" w:hAnsiTheme="majorHAnsi" w:cstheme="majorHAnsi"/>
          <w:sz w:val="20"/>
          <w:szCs w:val="20"/>
          <w:lang w:val="en-US"/>
        </w:rPr>
      </w:pPr>
      <w:r w:rsidRPr="0084745F">
        <w:rPr>
          <w:rFonts w:asciiTheme="majorHAnsi" w:hAnsiTheme="majorHAnsi" w:cstheme="majorHAnsi"/>
          <w:sz w:val="20"/>
          <w:szCs w:val="20"/>
          <w:lang w:val="en-US"/>
        </w:rPr>
        <w:t>Department for Work &amp; Pensions (2022), Official Statistics: Workplace pension participation and savings trends of eligible employees: 2009 to 2021, https://www.gov.uk/government/statistics/workplace-pension-participation-and-savings-trends-2009-to-2021/workplace-pension-participation-and-savings-trends-of-eligible-employees-2009-to-2021#sect-one</w:t>
      </w:r>
    </w:p>
    <w:p w14:paraId="219060D1" w14:textId="77777777" w:rsidR="002C4C18" w:rsidRPr="0084745F" w:rsidRDefault="002C4C18">
      <w:pPr>
        <w:pStyle w:val="Akapitzlist"/>
        <w:numPr>
          <w:ilvl w:val="0"/>
          <w:numId w:val="36"/>
        </w:numPr>
        <w:spacing w:after="0"/>
        <w:ind w:left="284" w:hanging="340"/>
        <w:jc w:val="both"/>
        <w:rPr>
          <w:rFonts w:asciiTheme="majorHAnsi" w:hAnsiTheme="majorHAnsi" w:cstheme="majorHAnsi"/>
          <w:sz w:val="20"/>
          <w:szCs w:val="20"/>
        </w:rPr>
      </w:pPr>
      <w:r w:rsidRPr="0084745F">
        <w:rPr>
          <w:rFonts w:asciiTheme="majorHAnsi" w:hAnsiTheme="majorHAnsi" w:cstheme="majorHAnsi"/>
          <w:sz w:val="20"/>
          <w:szCs w:val="20"/>
        </w:rPr>
        <w:t>Główny Urząd Statystyczny (2021), Sytuacja demograficzna Polski do 2020 r. Zgony i umieralność https://stat.gov.pl/files/gfx/portalinformacyjny/pl/defaultaktualnosci/5468/40/1/1/sytuacja</w:t>
      </w:r>
    </w:p>
    <w:p w14:paraId="3ADEF357" w14:textId="77777777" w:rsidR="002C4C18" w:rsidRPr="0084745F" w:rsidRDefault="002C4C18" w:rsidP="00AC6176">
      <w:pPr>
        <w:pStyle w:val="Akapitzlist"/>
        <w:spacing w:after="0"/>
        <w:ind w:left="284"/>
        <w:jc w:val="both"/>
        <w:rPr>
          <w:rFonts w:asciiTheme="majorHAnsi" w:hAnsiTheme="majorHAnsi" w:cstheme="majorHAnsi"/>
          <w:sz w:val="20"/>
          <w:szCs w:val="20"/>
        </w:rPr>
      </w:pPr>
      <w:r w:rsidRPr="0084745F">
        <w:rPr>
          <w:rFonts w:asciiTheme="majorHAnsi" w:hAnsiTheme="majorHAnsi" w:cstheme="majorHAnsi"/>
          <w:sz w:val="20"/>
          <w:szCs w:val="20"/>
        </w:rPr>
        <w:t xml:space="preserve">_demograficzna_polski_do_2020_r._zgony_i_umieralnosc._publikacja_w_formacie_pdf.pdf </w:t>
      </w:r>
    </w:p>
    <w:p w14:paraId="162A1A0A" w14:textId="77777777" w:rsidR="002C4C18" w:rsidRPr="0084745F" w:rsidRDefault="002C4C18">
      <w:pPr>
        <w:pStyle w:val="Akapitzlist"/>
        <w:numPr>
          <w:ilvl w:val="0"/>
          <w:numId w:val="36"/>
        </w:numPr>
        <w:ind w:left="284" w:hanging="340"/>
        <w:jc w:val="both"/>
        <w:rPr>
          <w:rFonts w:asciiTheme="majorHAnsi" w:hAnsiTheme="majorHAnsi" w:cstheme="majorHAnsi"/>
          <w:sz w:val="20"/>
          <w:szCs w:val="20"/>
        </w:rPr>
      </w:pPr>
      <w:r w:rsidRPr="0084745F">
        <w:rPr>
          <w:rFonts w:asciiTheme="majorHAnsi" w:hAnsiTheme="majorHAnsi" w:cstheme="majorHAnsi"/>
          <w:sz w:val="20"/>
          <w:szCs w:val="20"/>
        </w:rPr>
        <w:t>Główny Urząd Statystyczny (2022), Tablice trwania życia 1990 – 2021 https://stat.gov.pl/download</w:t>
      </w:r>
    </w:p>
    <w:p w14:paraId="6835A568" w14:textId="77777777" w:rsidR="002C4C18" w:rsidRPr="0084745F" w:rsidRDefault="002C4C18" w:rsidP="00AC6176">
      <w:pPr>
        <w:pStyle w:val="Akapitzlist"/>
        <w:ind w:left="284"/>
        <w:jc w:val="both"/>
        <w:rPr>
          <w:rFonts w:asciiTheme="majorHAnsi" w:hAnsiTheme="majorHAnsi" w:cstheme="majorHAnsi"/>
          <w:sz w:val="20"/>
          <w:szCs w:val="20"/>
        </w:rPr>
      </w:pPr>
      <w:r w:rsidRPr="0084745F">
        <w:rPr>
          <w:rFonts w:asciiTheme="majorHAnsi" w:hAnsiTheme="majorHAnsi" w:cstheme="majorHAnsi"/>
          <w:sz w:val="20"/>
          <w:szCs w:val="20"/>
        </w:rPr>
        <w:t>/gfx/portalinformacyjny/pl/defaultaktualnosci/5470/1/1/7/tablice_trwania_zycia_1990-2021.xls.</w:t>
      </w:r>
    </w:p>
    <w:p w14:paraId="6D177453" w14:textId="77777777" w:rsidR="002C4C18" w:rsidRPr="0084745F" w:rsidRDefault="002C4C18">
      <w:pPr>
        <w:pStyle w:val="Akapitzlist"/>
        <w:numPr>
          <w:ilvl w:val="0"/>
          <w:numId w:val="36"/>
        </w:numPr>
        <w:spacing w:after="0"/>
        <w:ind w:left="284" w:hanging="340"/>
        <w:jc w:val="both"/>
        <w:rPr>
          <w:rFonts w:asciiTheme="majorHAnsi" w:hAnsiTheme="majorHAnsi" w:cstheme="majorHAnsi"/>
          <w:sz w:val="20"/>
          <w:szCs w:val="20"/>
        </w:rPr>
      </w:pPr>
      <w:r w:rsidRPr="0084745F">
        <w:rPr>
          <w:rFonts w:asciiTheme="majorHAnsi" w:hAnsiTheme="majorHAnsi" w:cstheme="majorHAnsi"/>
          <w:sz w:val="20"/>
          <w:szCs w:val="20"/>
        </w:rPr>
        <w:lastRenderedPageBreak/>
        <w:t>Główny Urząd Statystyczny (2021), Ludność. Stan i struktura oraz ruch naturalny w przekroju terytorialnym w 2020 r. Stan w dniu 31 XII, 2021 https://stat.gov.pl/obszary-tematyczne/ludnosc</w:t>
      </w:r>
    </w:p>
    <w:p w14:paraId="37D6836C" w14:textId="77777777" w:rsidR="002C4C18" w:rsidRPr="0084745F" w:rsidRDefault="002C4C18" w:rsidP="00AC6176">
      <w:pPr>
        <w:pStyle w:val="Akapitzlist"/>
        <w:spacing w:after="0"/>
        <w:ind w:left="284"/>
        <w:jc w:val="both"/>
        <w:rPr>
          <w:rFonts w:asciiTheme="majorHAnsi" w:hAnsiTheme="majorHAnsi" w:cstheme="majorHAnsi"/>
          <w:sz w:val="20"/>
          <w:szCs w:val="20"/>
        </w:rPr>
      </w:pPr>
      <w:r w:rsidRPr="0084745F">
        <w:rPr>
          <w:rFonts w:asciiTheme="majorHAnsi" w:hAnsiTheme="majorHAnsi" w:cstheme="majorHAnsi"/>
          <w:sz w:val="20"/>
          <w:szCs w:val="20"/>
        </w:rPr>
        <w:t>/ludnosc/ludnosc-stan-i-struktura-ludnosci-oraz-ruch-naturalny-w-przekroju-terytorialnym</w:t>
      </w:r>
    </w:p>
    <w:p w14:paraId="3B7C9609" w14:textId="77777777" w:rsidR="002C4C18" w:rsidRPr="0084745F" w:rsidRDefault="002C4C18" w:rsidP="00AC6176">
      <w:pPr>
        <w:pStyle w:val="Akapitzlist"/>
        <w:spacing w:after="0"/>
        <w:ind w:left="284"/>
        <w:jc w:val="both"/>
        <w:rPr>
          <w:rFonts w:asciiTheme="majorHAnsi" w:hAnsiTheme="majorHAnsi" w:cstheme="majorHAnsi"/>
          <w:sz w:val="20"/>
          <w:szCs w:val="20"/>
        </w:rPr>
      </w:pPr>
      <w:r w:rsidRPr="0084745F">
        <w:rPr>
          <w:rFonts w:asciiTheme="majorHAnsi" w:hAnsiTheme="majorHAnsi" w:cstheme="majorHAnsi"/>
          <w:sz w:val="20"/>
          <w:szCs w:val="20"/>
        </w:rPr>
        <w:t>-stan-w-dniu-31-12-2020,6,29.html.</w:t>
      </w:r>
    </w:p>
    <w:p w14:paraId="35949BE8" w14:textId="77777777" w:rsidR="002C4C18" w:rsidRPr="0084745F" w:rsidRDefault="002C4C18">
      <w:pPr>
        <w:pStyle w:val="Akapitzlist"/>
        <w:numPr>
          <w:ilvl w:val="0"/>
          <w:numId w:val="36"/>
        </w:numPr>
        <w:spacing w:after="0"/>
        <w:ind w:left="284" w:hanging="340"/>
        <w:jc w:val="both"/>
        <w:rPr>
          <w:rFonts w:asciiTheme="majorHAnsi" w:hAnsiTheme="majorHAnsi" w:cstheme="majorHAnsi"/>
          <w:sz w:val="20"/>
          <w:szCs w:val="20"/>
        </w:rPr>
      </w:pPr>
      <w:r w:rsidRPr="0084745F">
        <w:rPr>
          <w:rFonts w:asciiTheme="majorHAnsi" w:hAnsiTheme="majorHAnsi" w:cstheme="majorHAnsi"/>
          <w:sz w:val="20"/>
          <w:szCs w:val="20"/>
        </w:rPr>
        <w:t>Główny Urząd Statystyczny (2021), Emerytury i renty w 2020 r. https://stat.gov.pl/obszary</w:t>
      </w:r>
    </w:p>
    <w:p w14:paraId="212DD572" w14:textId="77777777" w:rsidR="002C4C18" w:rsidRPr="0084745F" w:rsidRDefault="002C4C18" w:rsidP="00AC6176">
      <w:pPr>
        <w:pStyle w:val="Akapitzlist"/>
        <w:spacing w:after="0"/>
        <w:ind w:left="284"/>
        <w:jc w:val="both"/>
        <w:rPr>
          <w:rFonts w:asciiTheme="majorHAnsi" w:hAnsiTheme="majorHAnsi" w:cstheme="majorHAnsi"/>
          <w:sz w:val="20"/>
          <w:szCs w:val="20"/>
        </w:rPr>
      </w:pPr>
      <w:r w:rsidRPr="0084745F">
        <w:rPr>
          <w:rFonts w:asciiTheme="majorHAnsi" w:hAnsiTheme="majorHAnsi" w:cstheme="majorHAnsi"/>
          <w:sz w:val="20"/>
          <w:szCs w:val="20"/>
        </w:rPr>
        <w:t>-tematyczne/warunki-zycia/dochody-wydatki-i-warunki-zycia-ludnosci/emerytury-i-renty-w</w:t>
      </w:r>
    </w:p>
    <w:p w14:paraId="766238CC" w14:textId="77777777" w:rsidR="002C4C18" w:rsidRPr="0084745F" w:rsidRDefault="002C4C18" w:rsidP="00AC6176">
      <w:pPr>
        <w:pStyle w:val="Akapitzlist"/>
        <w:spacing w:after="0"/>
        <w:ind w:left="284"/>
        <w:jc w:val="both"/>
        <w:rPr>
          <w:rFonts w:asciiTheme="majorHAnsi" w:hAnsiTheme="majorHAnsi" w:cstheme="majorHAnsi"/>
          <w:sz w:val="20"/>
          <w:szCs w:val="20"/>
        </w:rPr>
      </w:pPr>
      <w:r w:rsidRPr="0084745F">
        <w:rPr>
          <w:rFonts w:asciiTheme="majorHAnsi" w:hAnsiTheme="majorHAnsi" w:cstheme="majorHAnsi"/>
          <w:sz w:val="20"/>
          <w:szCs w:val="20"/>
        </w:rPr>
        <w:t>-2020-r-,32,12.html.</w:t>
      </w:r>
    </w:p>
    <w:p w14:paraId="3129E7C4" w14:textId="77777777" w:rsidR="002C4C18" w:rsidRPr="0084745F" w:rsidRDefault="002C4C18">
      <w:pPr>
        <w:pStyle w:val="Akapitzlist"/>
        <w:numPr>
          <w:ilvl w:val="0"/>
          <w:numId w:val="36"/>
        </w:numPr>
        <w:spacing w:after="0"/>
        <w:ind w:left="284" w:hanging="340"/>
        <w:jc w:val="both"/>
        <w:rPr>
          <w:rFonts w:asciiTheme="majorHAnsi" w:hAnsiTheme="majorHAnsi" w:cstheme="majorHAnsi"/>
          <w:sz w:val="20"/>
          <w:szCs w:val="20"/>
        </w:rPr>
      </w:pPr>
      <w:r w:rsidRPr="0084745F">
        <w:rPr>
          <w:rFonts w:asciiTheme="majorHAnsi" w:hAnsiTheme="majorHAnsi" w:cstheme="majorHAnsi"/>
          <w:sz w:val="20"/>
          <w:szCs w:val="20"/>
        </w:rPr>
        <w:t>Główny Urząd Statystyczny w Białymstoku (2021), Sytuacja osób starszych w Polsce w 2020 r. https://stat.gov.pl/files/gfx/portalinformacyjny/pl/defaultaktualnosci/6002</w:t>
      </w:r>
    </w:p>
    <w:p w14:paraId="2FAD1535" w14:textId="77777777" w:rsidR="001E7495" w:rsidRPr="0084745F" w:rsidRDefault="002C4C18" w:rsidP="008318CE">
      <w:pPr>
        <w:pStyle w:val="Akapitzlist"/>
        <w:spacing w:after="0"/>
        <w:ind w:left="284"/>
        <w:jc w:val="both"/>
        <w:rPr>
          <w:rFonts w:asciiTheme="majorHAnsi" w:hAnsiTheme="majorHAnsi" w:cstheme="majorHAnsi"/>
          <w:sz w:val="20"/>
          <w:szCs w:val="20"/>
        </w:rPr>
      </w:pPr>
      <w:r w:rsidRPr="0084745F">
        <w:rPr>
          <w:rFonts w:asciiTheme="majorHAnsi" w:hAnsiTheme="majorHAnsi" w:cstheme="majorHAnsi"/>
          <w:sz w:val="20"/>
          <w:szCs w:val="20"/>
        </w:rPr>
        <w:t>/2/3/1/sytuacja_osob_starszych_w_polsce_w_2020_r.pdf</w:t>
      </w:r>
    </w:p>
    <w:p w14:paraId="1E136547" w14:textId="77777777" w:rsidR="001E7495" w:rsidRPr="0084745F" w:rsidRDefault="001E7495">
      <w:pPr>
        <w:pStyle w:val="Akapitzlist"/>
        <w:numPr>
          <w:ilvl w:val="0"/>
          <w:numId w:val="36"/>
        </w:numPr>
        <w:spacing w:after="0"/>
        <w:ind w:left="303"/>
        <w:jc w:val="both"/>
        <w:rPr>
          <w:rFonts w:asciiTheme="majorHAnsi" w:hAnsiTheme="majorHAnsi" w:cstheme="majorHAnsi"/>
          <w:sz w:val="20"/>
          <w:szCs w:val="20"/>
        </w:rPr>
      </w:pPr>
      <w:r w:rsidRPr="0084745F">
        <w:rPr>
          <w:rFonts w:asciiTheme="majorHAnsi" w:hAnsiTheme="majorHAnsi" w:cstheme="majorHAnsi"/>
          <w:sz w:val="20"/>
          <w:szCs w:val="20"/>
        </w:rPr>
        <w:t>Główny Urząd Statystyczny (2022), Produkt krajowy brutto i wartość dodana brutto w przekroju regionów w 2020 r., https://stat.gov.pl/obszary-tematyczne/rachunki-narodowe/rachunki-regionalne/produkt-krajowy-brutto-i-wartosc-dodana-brutto-w-przekroju-regionow-w-2020-r-,7,5.html</w:t>
      </w:r>
    </w:p>
    <w:p w14:paraId="69211228" w14:textId="519DAE38" w:rsidR="002C4C18" w:rsidRPr="0084745F" w:rsidRDefault="001E7495">
      <w:pPr>
        <w:pStyle w:val="Akapitzlist"/>
        <w:numPr>
          <w:ilvl w:val="0"/>
          <w:numId w:val="36"/>
        </w:numPr>
        <w:spacing w:after="0"/>
        <w:ind w:left="303"/>
        <w:jc w:val="both"/>
        <w:rPr>
          <w:rFonts w:asciiTheme="majorHAnsi" w:hAnsiTheme="majorHAnsi" w:cstheme="majorHAnsi"/>
          <w:sz w:val="20"/>
          <w:szCs w:val="20"/>
        </w:rPr>
      </w:pPr>
      <w:r w:rsidRPr="0084745F">
        <w:rPr>
          <w:rFonts w:asciiTheme="majorHAnsi" w:hAnsiTheme="majorHAnsi" w:cstheme="majorHAnsi"/>
          <w:sz w:val="20"/>
          <w:szCs w:val="20"/>
        </w:rPr>
        <w:t xml:space="preserve">Główny Urząd Statystyczny (2022), Ludność według cech społecznych – wyniki wstępne 31 maja 2022 r. Narodowy Spis Powszechny 2021 </w:t>
      </w:r>
      <w:r w:rsidR="00BE201A" w:rsidRPr="003D6725">
        <w:rPr>
          <w:rFonts w:asciiTheme="majorHAnsi" w:hAnsiTheme="majorHAnsi" w:cstheme="majorHAnsi"/>
          <w:sz w:val="20"/>
          <w:szCs w:val="20"/>
        </w:rPr>
        <w:t>https://stat.gov.pl/spisy-powszechne/nsp-2021/nsp-2021-wyniki-wstepne/ludnosc-wedlug-cech-spolecznych-wyniki-wstepne-nsp-2021,2,1.html</w:t>
      </w:r>
    </w:p>
    <w:p w14:paraId="34C27FAB" w14:textId="29317A8E" w:rsidR="002C4C18" w:rsidRPr="0084745F" w:rsidRDefault="002C4C18">
      <w:pPr>
        <w:pStyle w:val="Akapitzlist"/>
        <w:numPr>
          <w:ilvl w:val="0"/>
          <w:numId w:val="36"/>
        </w:numPr>
        <w:spacing w:after="0"/>
        <w:ind w:left="284" w:hanging="340"/>
        <w:jc w:val="both"/>
        <w:rPr>
          <w:rFonts w:asciiTheme="majorHAnsi" w:hAnsiTheme="majorHAnsi" w:cstheme="majorHAnsi"/>
          <w:sz w:val="20"/>
          <w:szCs w:val="20"/>
        </w:rPr>
      </w:pPr>
      <w:r w:rsidRPr="0084745F">
        <w:rPr>
          <w:rFonts w:asciiTheme="majorHAnsi" w:hAnsiTheme="majorHAnsi" w:cstheme="majorHAnsi"/>
          <w:sz w:val="20"/>
          <w:szCs w:val="20"/>
        </w:rPr>
        <w:t>K</w:t>
      </w:r>
      <w:r w:rsidR="002F755C" w:rsidRPr="0084745F">
        <w:rPr>
          <w:rFonts w:asciiTheme="majorHAnsi" w:hAnsiTheme="majorHAnsi" w:cstheme="majorHAnsi"/>
          <w:sz w:val="20"/>
          <w:szCs w:val="20"/>
        </w:rPr>
        <w:t xml:space="preserve">omisja </w:t>
      </w:r>
      <w:r w:rsidRPr="0084745F">
        <w:rPr>
          <w:rFonts w:asciiTheme="majorHAnsi" w:hAnsiTheme="majorHAnsi" w:cstheme="majorHAnsi"/>
          <w:sz w:val="20"/>
          <w:szCs w:val="20"/>
        </w:rPr>
        <w:t>N</w:t>
      </w:r>
      <w:r w:rsidR="002F755C" w:rsidRPr="0084745F">
        <w:rPr>
          <w:rFonts w:asciiTheme="majorHAnsi" w:hAnsiTheme="majorHAnsi" w:cstheme="majorHAnsi"/>
          <w:sz w:val="20"/>
          <w:szCs w:val="20"/>
        </w:rPr>
        <w:t xml:space="preserve">adzoru </w:t>
      </w:r>
      <w:r w:rsidRPr="0084745F">
        <w:rPr>
          <w:rFonts w:asciiTheme="majorHAnsi" w:hAnsiTheme="majorHAnsi" w:cstheme="majorHAnsi"/>
          <w:sz w:val="20"/>
          <w:szCs w:val="20"/>
        </w:rPr>
        <w:t>F</w:t>
      </w:r>
      <w:r w:rsidR="002F755C" w:rsidRPr="0084745F">
        <w:rPr>
          <w:rFonts w:asciiTheme="majorHAnsi" w:hAnsiTheme="majorHAnsi" w:cstheme="majorHAnsi"/>
          <w:sz w:val="20"/>
          <w:szCs w:val="20"/>
        </w:rPr>
        <w:t>inansowego (2022)</w:t>
      </w:r>
      <w:r w:rsidRPr="0084745F">
        <w:rPr>
          <w:rFonts w:asciiTheme="majorHAnsi" w:hAnsiTheme="majorHAnsi" w:cstheme="majorHAnsi"/>
          <w:sz w:val="20"/>
          <w:szCs w:val="20"/>
        </w:rPr>
        <w:t xml:space="preserve">, Informacje o rynku PPE w 2021 roku, </w:t>
      </w:r>
      <w:r w:rsidR="00BE201A" w:rsidRPr="003D6725">
        <w:rPr>
          <w:rFonts w:asciiTheme="majorHAnsi" w:hAnsiTheme="majorHAnsi" w:cstheme="majorHAnsi"/>
          <w:sz w:val="20"/>
          <w:szCs w:val="20"/>
        </w:rPr>
        <w:t>https://www.knf.gov.pl/?articleId=79141&amp;p_id=18</w:t>
      </w:r>
    </w:p>
    <w:p w14:paraId="24A8959E" w14:textId="6A376CC1" w:rsidR="002C4C18" w:rsidRPr="0084745F" w:rsidRDefault="002C4C18">
      <w:pPr>
        <w:pStyle w:val="Akapitzlist"/>
        <w:numPr>
          <w:ilvl w:val="0"/>
          <w:numId w:val="36"/>
        </w:numPr>
        <w:spacing w:after="0"/>
        <w:ind w:left="284" w:hanging="340"/>
        <w:jc w:val="both"/>
        <w:rPr>
          <w:rFonts w:asciiTheme="majorHAnsi" w:hAnsiTheme="majorHAnsi" w:cstheme="majorHAnsi"/>
          <w:sz w:val="20"/>
          <w:szCs w:val="20"/>
        </w:rPr>
      </w:pPr>
      <w:r w:rsidRPr="0084745F">
        <w:rPr>
          <w:rFonts w:asciiTheme="majorHAnsi" w:hAnsiTheme="majorHAnsi" w:cstheme="majorHAnsi"/>
          <w:sz w:val="20"/>
          <w:szCs w:val="20"/>
        </w:rPr>
        <w:t>K</w:t>
      </w:r>
      <w:r w:rsidR="002F755C" w:rsidRPr="0084745F">
        <w:rPr>
          <w:rFonts w:asciiTheme="majorHAnsi" w:hAnsiTheme="majorHAnsi" w:cstheme="majorHAnsi"/>
          <w:sz w:val="20"/>
          <w:szCs w:val="20"/>
        </w:rPr>
        <w:t xml:space="preserve">omisja </w:t>
      </w:r>
      <w:r w:rsidRPr="0084745F">
        <w:rPr>
          <w:rFonts w:asciiTheme="majorHAnsi" w:hAnsiTheme="majorHAnsi" w:cstheme="majorHAnsi"/>
          <w:sz w:val="20"/>
          <w:szCs w:val="20"/>
        </w:rPr>
        <w:t>N</w:t>
      </w:r>
      <w:r w:rsidR="002F755C" w:rsidRPr="0084745F">
        <w:rPr>
          <w:rFonts w:asciiTheme="majorHAnsi" w:hAnsiTheme="majorHAnsi" w:cstheme="majorHAnsi"/>
          <w:sz w:val="20"/>
          <w:szCs w:val="20"/>
        </w:rPr>
        <w:t xml:space="preserve">adzoru </w:t>
      </w:r>
      <w:r w:rsidRPr="0084745F">
        <w:rPr>
          <w:rFonts w:asciiTheme="majorHAnsi" w:hAnsiTheme="majorHAnsi" w:cstheme="majorHAnsi"/>
          <w:sz w:val="20"/>
          <w:szCs w:val="20"/>
        </w:rPr>
        <w:t>F</w:t>
      </w:r>
      <w:r w:rsidR="002F755C" w:rsidRPr="0084745F">
        <w:rPr>
          <w:rFonts w:asciiTheme="majorHAnsi" w:hAnsiTheme="majorHAnsi" w:cstheme="majorHAnsi"/>
          <w:sz w:val="20"/>
          <w:szCs w:val="20"/>
        </w:rPr>
        <w:t>inansowego (2022)</w:t>
      </w:r>
      <w:r w:rsidRPr="0084745F">
        <w:rPr>
          <w:rFonts w:asciiTheme="majorHAnsi" w:hAnsiTheme="majorHAnsi" w:cstheme="majorHAnsi"/>
          <w:sz w:val="20"/>
          <w:szCs w:val="20"/>
        </w:rPr>
        <w:t xml:space="preserve">, Informacje o IKE według stanu na 31 grudnia 2021 roku, </w:t>
      </w:r>
      <w:r w:rsidR="00BE201A" w:rsidRPr="003D6725">
        <w:rPr>
          <w:rFonts w:asciiTheme="majorHAnsi" w:hAnsiTheme="majorHAnsi" w:cstheme="majorHAnsi"/>
          <w:sz w:val="20"/>
          <w:szCs w:val="20"/>
        </w:rPr>
        <w:t>https://www.knf.gov.pl/?articleId=77283&amp;p_id=18</w:t>
      </w:r>
    </w:p>
    <w:p w14:paraId="7280A7B6" w14:textId="6B5419C7" w:rsidR="002C4C18" w:rsidRPr="0084745F" w:rsidRDefault="002C4C18">
      <w:pPr>
        <w:pStyle w:val="Akapitzlist"/>
        <w:numPr>
          <w:ilvl w:val="0"/>
          <w:numId w:val="36"/>
        </w:numPr>
        <w:spacing w:after="0"/>
        <w:ind w:left="284" w:hanging="340"/>
        <w:jc w:val="both"/>
        <w:rPr>
          <w:rFonts w:asciiTheme="majorHAnsi" w:hAnsiTheme="majorHAnsi" w:cstheme="majorHAnsi"/>
          <w:sz w:val="20"/>
          <w:szCs w:val="20"/>
        </w:rPr>
      </w:pPr>
      <w:r w:rsidRPr="0084745F">
        <w:rPr>
          <w:rFonts w:asciiTheme="majorHAnsi" w:hAnsiTheme="majorHAnsi" w:cstheme="majorHAnsi"/>
          <w:sz w:val="20"/>
          <w:szCs w:val="20"/>
        </w:rPr>
        <w:t>K</w:t>
      </w:r>
      <w:r w:rsidR="002F755C" w:rsidRPr="0084745F">
        <w:rPr>
          <w:rFonts w:asciiTheme="majorHAnsi" w:hAnsiTheme="majorHAnsi" w:cstheme="majorHAnsi"/>
          <w:sz w:val="20"/>
          <w:szCs w:val="20"/>
        </w:rPr>
        <w:t xml:space="preserve">omisja </w:t>
      </w:r>
      <w:r w:rsidRPr="0084745F">
        <w:rPr>
          <w:rFonts w:asciiTheme="majorHAnsi" w:hAnsiTheme="majorHAnsi" w:cstheme="majorHAnsi"/>
          <w:sz w:val="20"/>
          <w:szCs w:val="20"/>
        </w:rPr>
        <w:t>N</w:t>
      </w:r>
      <w:r w:rsidR="002F755C" w:rsidRPr="0084745F">
        <w:rPr>
          <w:rFonts w:asciiTheme="majorHAnsi" w:hAnsiTheme="majorHAnsi" w:cstheme="majorHAnsi"/>
          <w:sz w:val="20"/>
          <w:szCs w:val="20"/>
        </w:rPr>
        <w:t xml:space="preserve">adzoru </w:t>
      </w:r>
      <w:r w:rsidRPr="0084745F">
        <w:rPr>
          <w:rFonts w:asciiTheme="majorHAnsi" w:hAnsiTheme="majorHAnsi" w:cstheme="majorHAnsi"/>
          <w:sz w:val="20"/>
          <w:szCs w:val="20"/>
        </w:rPr>
        <w:t>F</w:t>
      </w:r>
      <w:r w:rsidR="002F755C" w:rsidRPr="0084745F">
        <w:rPr>
          <w:rFonts w:asciiTheme="majorHAnsi" w:hAnsiTheme="majorHAnsi" w:cstheme="majorHAnsi"/>
          <w:sz w:val="20"/>
          <w:szCs w:val="20"/>
        </w:rPr>
        <w:t>inansowego (2022)</w:t>
      </w:r>
      <w:r w:rsidRPr="0084745F">
        <w:rPr>
          <w:rFonts w:asciiTheme="majorHAnsi" w:hAnsiTheme="majorHAnsi" w:cstheme="majorHAnsi"/>
          <w:sz w:val="20"/>
          <w:szCs w:val="20"/>
        </w:rPr>
        <w:t xml:space="preserve">, Informacje o rynku IKZE według stanu na 31 grudnia 2021 roku, </w:t>
      </w:r>
      <w:r w:rsidR="00BE201A" w:rsidRPr="003D6725">
        <w:rPr>
          <w:rFonts w:asciiTheme="majorHAnsi" w:hAnsiTheme="majorHAnsi" w:cstheme="majorHAnsi"/>
          <w:sz w:val="20"/>
          <w:szCs w:val="20"/>
        </w:rPr>
        <w:t>https://www.knf.gov.pl/?articleId=77281&amp;p_id=18</w:t>
      </w:r>
    </w:p>
    <w:p w14:paraId="4CAEDEBD" w14:textId="77777777" w:rsidR="002C4C18" w:rsidRPr="0084745F" w:rsidRDefault="002C4C18">
      <w:pPr>
        <w:pStyle w:val="Akapitzlist"/>
        <w:numPr>
          <w:ilvl w:val="0"/>
          <w:numId w:val="36"/>
        </w:numPr>
        <w:spacing w:after="0"/>
        <w:ind w:left="284" w:hanging="340"/>
        <w:jc w:val="both"/>
        <w:rPr>
          <w:rFonts w:asciiTheme="majorHAnsi" w:hAnsiTheme="majorHAnsi" w:cstheme="majorHAnsi"/>
          <w:sz w:val="20"/>
          <w:szCs w:val="20"/>
        </w:rPr>
      </w:pPr>
      <w:r w:rsidRPr="0084745F">
        <w:rPr>
          <w:rFonts w:asciiTheme="majorHAnsi" w:hAnsiTheme="majorHAnsi" w:cstheme="majorHAnsi"/>
          <w:sz w:val="20"/>
          <w:szCs w:val="20"/>
        </w:rPr>
        <w:t>Ministerstwo Pracy i Polityki Społecznej oraz Ministerstwo Finansów (2013), Przegląd funkcjonowania systemu emerytalnego – „Bezpieczeństwo dzięki zrównoważeniu” https://mf-arch2.mf.gov.pl/documents/764034/1159300/20130626_przeglad.pdf</w:t>
      </w:r>
    </w:p>
    <w:p w14:paraId="6BA3C89B" w14:textId="77777777" w:rsidR="002C4C18" w:rsidRPr="0084745F" w:rsidRDefault="002C4C18">
      <w:pPr>
        <w:pStyle w:val="Akapitzlist"/>
        <w:numPr>
          <w:ilvl w:val="0"/>
          <w:numId w:val="36"/>
        </w:numPr>
        <w:spacing w:after="0"/>
        <w:ind w:left="284" w:hanging="340"/>
        <w:jc w:val="both"/>
        <w:rPr>
          <w:rFonts w:asciiTheme="majorHAnsi" w:hAnsiTheme="majorHAnsi" w:cstheme="majorHAnsi"/>
          <w:sz w:val="20"/>
          <w:szCs w:val="20"/>
          <w:lang w:val="en-US"/>
        </w:rPr>
      </w:pPr>
      <w:r w:rsidRPr="0084745F">
        <w:rPr>
          <w:rFonts w:asciiTheme="majorHAnsi" w:hAnsiTheme="majorHAnsi" w:cstheme="majorHAnsi"/>
          <w:sz w:val="20"/>
          <w:szCs w:val="20"/>
          <w:lang w:val="en-US"/>
        </w:rPr>
        <w:t>New Zealand Institute of Economic Research (2015), KiwiSaver and the wealth of New Zealanders https://www.interest.co.nz/sites/default/files/embedded_images/Kiwisaver%20review%20FINAL%20Aug%2020%283%29.pdf</w:t>
      </w:r>
    </w:p>
    <w:p w14:paraId="0553DB3F" w14:textId="77777777" w:rsidR="002C4C18" w:rsidRPr="0084745F" w:rsidRDefault="002C4C18">
      <w:pPr>
        <w:pStyle w:val="Akapitzlist"/>
        <w:numPr>
          <w:ilvl w:val="0"/>
          <w:numId w:val="36"/>
        </w:numPr>
        <w:spacing w:after="0"/>
        <w:ind w:left="284" w:hanging="340"/>
        <w:jc w:val="both"/>
        <w:rPr>
          <w:rFonts w:asciiTheme="majorHAnsi" w:hAnsiTheme="majorHAnsi" w:cstheme="majorHAnsi"/>
          <w:sz w:val="20"/>
          <w:szCs w:val="20"/>
          <w:lang w:val="en-US"/>
        </w:rPr>
      </w:pPr>
      <w:r w:rsidRPr="0084745F">
        <w:rPr>
          <w:rFonts w:asciiTheme="majorHAnsi" w:hAnsiTheme="majorHAnsi" w:cstheme="majorHAnsi"/>
          <w:sz w:val="20"/>
          <w:szCs w:val="20"/>
          <w:lang w:val="en-US"/>
        </w:rPr>
        <w:t>OECD (2021), Pensions at a Glance 2021 - OECD and G20 Indicators https://www.oecd-ilibrary.org/docserver/ca401ebd-en.pdf?expires=1664359167&amp;id=id&amp;accname=guest&amp;checksum=B93ABCB7E03C63C067CCA8D1A9253A17</w:t>
      </w:r>
    </w:p>
    <w:p w14:paraId="6C62706B" w14:textId="77777777" w:rsidR="002C4C18" w:rsidRPr="0084745F" w:rsidRDefault="002C4C18">
      <w:pPr>
        <w:pStyle w:val="Akapitzlist"/>
        <w:numPr>
          <w:ilvl w:val="0"/>
          <w:numId w:val="36"/>
        </w:numPr>
        <w:spacing w:after="0"/>
        <w:ind w:left="284" w:hanging="340"/>
        <w:jc w:val="both"/>
        <w:rPr>
          <w:rFonts w:asciiTheme="majorHAnsi" w:hAnsiTheme="majorHAnsi" w:cstheme="majorHAnsi"/>
          <w:sz w:val="20"/>
          <w:szCs w:val="20"/>
        </w:rPr>
      </w:pPr>
      <w:r w:rsidRPr="0084745F">
        <w:rPr>
          <w:rFonts w:asciiTheme="majorHAnsi" w:hAnsiTheme="majorHAnsi" w:cstheme="majorHAnsi"/>
          <w:sz w:val="20"/>
          <w:szCs w:val="20"/>
        </w:rPr>
        <w:t>Polskie Stowarzyszenie Ubezpieczenia Emerytalnego (2012), Wiek emerytalny</w:t>
      </w:r>
    </w:p>
    <w:p w14:paraId="177FB601" w14:textId="146DD631" w:rsidR="002C4C18" w:rsidRPr="0084745F" w:rsidRDefault="002C4C18">
      <w:pPr>
        <w:pStyle w:val="Akapitzlist"/>
        <w:numPr>
          <w:ilvl w:val="0"/>
          <w:numId w:val="36"/>
        </w:numPr>
        <w:ind w:left="284" w:hanging="340"/>
        <w:jc w:val="both"/>
        <w:rPr>
          <w:rFonts w:asciiTheme="majorHAnsi" w:hAnsiTheme="majorHAnsi" w:cstheme="majorHAnsi"/>
          <w:sz w:val="20"/>
          <w:szCs w:val="20"/>
          <w:lang w:val="en-US"/>
        </w:rPr>
      </w:pPr>
      <w:r w:rsidRPr="0084745F">
        <w:rPr>
          <w:rFonts w:asciiTheme="majorHAnsi" w:hAnsiTheme="majorHAnsi" w:cstheme="majorHAnsi"/>
          <w:sz w:val="20"/>
          <w:szCs w:val="20"/>
          <w:lang w:val="en-US"/>
        </w:rPr>
        <w:t>U.S. Department of Labor, Bureau of Labor Statistics (</w:t>
      </w:r>
      <w:r w:rsidR="00290CAD" w:rsidRPr="0084745F">
        <w:rPr>
          <w:rFonts w:asciiTheme="majorHAnsi" w:hAnsiTheme="majorHAnsi" w:cstheme="majorHAnsi"/>
          <w:sz w:val="20"/>
          <w:szCs w:val="20"/>
          <w:lang w:val="en-US"/>
        </w:rPr>
        <w:t>2021</w:t>
      </w:r>
      <w:r w:rsidRPr="0084745F">
        <w:rPr>
          <w:rFonts w:asciiTheme="majorHAnsi" w:hAnsiTheme="majorHAnsi" w:cstheme="majorHAnsi"/>
          <w:sz w:val="20"/>
          <w:szCs w:val="20"/>
          <w:lang w:val="en-US"/>
        </w:rPr>
        <w:t>), National Compensation Survey: Employee Benefits in the United States, March 2021</w:t>
      </w:r>
      <w:r w:rsidR="00754E9D" w:rsidRPr="0084745F">
        <w:rPr>
          <w:rFonts w:asciiTheme="majorHAnsi" w:hAnsiTheme="majorHAnsi" w:cstheme="majorHAnsi"/>
          <w:sz w:val="20"/>
          <w:szCs w:val="20"/>
          <w:lang w:val="en-US"/>
        </w:rPr>
        <w:t xml:space="preserve"> </w:t>
      </w:r>
      <w:r w:rsidR="00BE201A" w:rsidRPr="003D6725">
        <w:rPr>
          <w:rFonts w:asciiTheme="majorHAnsi" w:hAnsiTheme="majorHAnsi" w:cstheme="majorHAnsi"/>
          <w:sz w:val="20"/>
          <w:szCs w:val="20"/>
        </w:rPr>
        <w:t>https://www.bls.gov/ncs/ebs/benefits/2021/employee-benefits-in-the-united-states-march-2021.pdf</w:t>
      </w:r>
    </w:p>
    <w:p w14:paraId="19760507" w14:textId="77777777" w:rsidR="002C4C18" w:rsidRPr="0084745F" w:rsidRDefault="002C4C18">
      <w:pPr>
        <w:pStyle w:val="Akapitzlist"/>
        <w:numPr>
          <w:ilvl w:val="0"/>
          <w:numId w:val="36"/>
        </w:numPr>
        <w:ind w:left="284" w:hanging="340"/>
        <w:jc w:val="both"/>
        <w:rPr>
          <w:rFonts w:asciiTheme="majorHAnsi" w:hAnsiTheme="majorHAnsi" w:cstheme="majorHAnsi"/>
          <w:sz w:val="20"/>
          <w:szCs w:val="20"/>
        </w:rPr>
      </w:pPr>
      <w:bookmarkStart w:id="109" w:name="_Hlk116597420"/>
      <w:r w:rsidRPr="0084745F">
        <w:rPr>
          <w:rFonts w:asciiTheme="majorHAnsi" w:hAnsiTheme="majorHAnsi" w:cstheme="majorHAnsi"/>
          <w:sz w:val="20"/>
          <w:szCs w:val="20"/>
        </w:rPr>
        <w:t>Zakład Ubezpieczeń Społecznych (2012), Analiza wyników badania okresów pobierania emerytur https://www.zus.pl/documents/10182/39558/OkresPobierania2012.pdf/5dc0d2f7-5554-413a-a427-b48d05d07de4?t=1431439163923</w:t>
      </w:r>
    </w:p>
    <w:p w14:paraId="5FABAE04" w14:textId="77777777" w:rsidR="002C4C18" w:rsidRPr="0084745F" w:rsidRDefault="002C4C18">
      <w:pPr>
        <w:pStyle w:val="Akapitzlist"/>
        <w:numPr>
          <w:ilvl w:val="0"/>
          <w:numId w:val="36"/>
        </w:numPr>
        <w:spacing w:after="0"/>
        <w:ind w:left="284" w:hanging="340"/>
        <w:jc w:val="both"/>
        <w:rPr>
          <w:rFonts w:asciiTheme="majorHAnsi" w:hAnsiTheme="majorHAnsi" w:cstheme="majorHAnsi"/>
          <w:sz w:val="20"/>
          <w:szCs w:val="20"/>
        </w:rPr>
      </w:pPr>
      <w:r w:rsidRPr="0084745F">
        <w:rPr>
          <w:rFonts w:asciiTheme="majorHAnsi" w:hAnsiTheme="majorHAnsi" w:cstheme="majorHAnsi"/>
          <w:sz w:val="20"/>
          <w:szCs w:val="20"/>
        </w:rPr>
        <w:t>Zakład Ubezpieczeń Społecznych (2019), Analiza wyników badania okresów pobierania emerytur https://www.zus.pl/documents/10182/39558/Analiza+wynik%C3%B3w+badania+okres%C3%B3w+pobierania+emerytur+%28za+2017+r.%29.pdf/177e092b-eb8d-cfa1-3fa6-92729f18a34c?t=1551183516692</w:t>
      </w:r>
    </w:p>
    <w:p w14:paraId="583FAC70" w14:textId="77777777" w:rsidR="002C4C18" w:rsidRPr="0084745F" w:rsidRDefault="002C4C18">
      <w:pPr>
        <w:pStyle w:val="Akapitzlist"/>
        <w:numPr>
          <w:ilvl w:val="0"/>
          <w:numId w:val="36"/>
        </w:numPr>
        <w:spacing w:after="0"/>
        <w:ind w:left="284" w:hanging="340"/>
        <w:jc w:val="both"/>
        <w:rPr>
          <w:rFonts w:asciiTheme="majorHAnsi" w:hAnsiTheme="majorHAnsi" w:cstheme="majorHAnsi"/>
          <w:sz w:val="20"/>
          <w:szCs w:val="20"/>
        </w:rPr>
      </w:pPr>
      <w:r w:rsidRPr="0084745F">
        <w:rPr>
          <w:rFonts w:asciiTheme="majorHAnsi" w:hAnsiTheme="majorHAnsi" w:cstheme="majorHAnsi"/>
          <w:sz w:val="20"/>
          <w:szCs w:val="20"/>
        </w:rPr>
        <w:t>Żuk P., Filar kapitałowy w systemie emerytalnym w Polsce, praca doktorska, Warszawa 2014</w:t>
      </w:r>
    </w:p>
    <w:bookmarkEnd w:id="109"/>
    <w:p w14:paraId="1DC72E7D" w14:textId="77777777" w:rsidR="002C4C18" w:rsidRPr="0084745F" w:rsidRDefault="002C4C18" w:rsidP="00AC6176">
      <w:pPr>
        <w:spacing w:after="0"/>
        <w:ind w:left="284"/>
        <w:jc w:val="both"/>
        <w:rPr>
          <w:rFonts w:asciiTheme="majorHAnsi" w:hAnsiTheme="majorHAnsi" w:cstheme="majorHAnsi"/>
          <w:sz w:val="20"/>
          <w:szCs w:val="20"/>
        </w:rPr>
      </w:pPr>
    </w:p>
    <w:p w14:paraId="7D4F372A" w14:textId="59FABA15" w:rsidR="002C4C18" w:rsidRPr="0084745F" w:rsidRDefault="00264ABB" w:rsidP="00AC6176">
      <w:pPr>
        <w:spacing w:after="0"/>
        <w:jc w:val="both"/>
        <w:rPr>
          <w:rFonts w:asciiTheme="majorHAnsi" w:hAnsiTheme="majorHAnsi" w:cstheme="majorHAnsi"/>
          <w:b/>
          <w:sz w:val="20"/>
          <w:szCs w:val="20"/>
        </w:rPr>
      </w:pPr>
      <w:r>
        <w:rPr>
          <w:rFonts w:asciiTheme="majorHAnsi" w:hAnsiTheme="majorHAnsi" w:cstheme="majorHAnsi"/>
          <w:b/>
          <w:sz w:val="20"/>
          <w:szCs w:val="20"/>
        </w:rPr>
        <w:t>Strony internetowe</w:t>
      </w:r>
    </w:p>
    <w:p w14:paraId="63044A94" w14:textId="77777777" w:rsidR="002C4C18" w:rsidRPr="0084745F" w:rsidRDefault="00EF5F06">
      <w:pPr>
        <w:pStyle w:val="Akapitzlist"/>
        <w:numPr>
          <w:ilvl w:val="0"/>
          <w:numId w:val="35"/>
        </w:numPr>
        <w:spacing w:after="0"/>
        <w:ind w:left="284"/>
        <w:jc w:val="both"/>
        <w:rPr>
          <w:rFonts w:asciiTheme="majorHAnsi" w:hAnsiTheme="majorHAnsi" w:cstheme="majorHAnsi"/>
          <w:sz w:val="20"/>
          <w:szCs w:val="20"/>
        </w:rPr>
      </w:pPr>
      <w:r w:rsidRPr="00EF5F06">
        <w:rPr>
          <w:rFonts w:asciiTheme="majorHAnsi" w:hAnsiTheme="majorHAnsi" w:cstheme="majorHAnsi"/>
          <w:sz w:val="20"/>
          <w:szCs w:val="20"/>
        </w:rPr>
        <w:t>https://www.knf.gov.pl/</w:t>
      </w:r>
    </w:p>
    <w:p w14:paraId="36AE0794" w14:textId="77777777" w:rsidR="002C4C18" w:rsidRPr="00EF5F06" w:rsidRDefault="00EF5F06">
      <w:pPr>
        <w:pStyle w:val="Akapitzlist"/>
        <w:numPr>
          <w:ilvl w:val="0"/>
          <w:numId w:val="35"/>
        </w:numPr>
        <w:spacing w:after="0"/>
        <w:ind w:left="284"/>
        <w:jc w:val="both"/>
        <w:rPr>
          <w:rStyle w:val="Hipercze"/>
          <w:rFonts w:asciiTheme="majorHAnsi" w:hAnsiTheme="majorHAnsi" w:cstheme="majorHAnsi"/>
          <w:color w:val="auto"/>
          <w:sz w:val="20"/>
          <w:szCs w:val="20"/>
          <w:u w:val="none"/>
        </w:rPr>
      </w:pPr>
      <w:r w:rsidRPr="00EF5F06">
        <w:rPr>
          <w:rFonts w:asciiTheme="majorHAnsi" w:hAnsiTheme="majorHAnsi" w:cstheme="majorHAnsi"/>
          <w:sz w:val="20"/>
          <w:szCs w:val="20"/>
        </w:rPr>
        <w:t>https://www.ird.govt.nz/about-us/tax-statistics/kiwisaver</w:t>
      </w:r>
    </w:p>
    <w:p w14:paraId="4D657D40" w14:textId="77777777" w:rsidR="00550B07" w:rsidRPr="0084745F" w:rsidRDefault="00550B07">
      <w:pPr>
        <w:pStyle w:val="Akapitzlist"/>
        <w:numPr>
          <w:ilvl w:val="0"/>
          <w:numId w:val="35"/>
        </w:numPr>
        <w:spacing w:after="0"/>
        <w:ind w:left="284"/>
        <w:jc w:val="both"/>
        <w:rPr>
          <w:rFonts w:asciiTheme="majorHAnsi" w:hAnsiTheme="majorHAnsi" w:cstheme="majorHAnsi"/>
          <w:sz w:val="20"/>
          <w:szCs w:val="20"/>
        </w:rPr>
      </w:pPr>
      <w:r w:rsidRPr="00550B07">
        <w:rPr>
          <w:rFonts w:asciiTheme="majorHAnsi" w:hAnsiTheme="majorHAnsi" w:cstheme="majorHAnsi"/>
          <w:sz w:val="20"/>
          <w:szCs w:val="20"/>
        </w:rPr>
        <w:t>https://www.ici.org/faqs/faq/401k/faqs_401k</w:t>
      </w:r>
    </w:p>
    <w:p w14:paraId="4982DAD7" w14:textId="77777777" w:rsidR="002C4C18" w:rsidRPr="0084745F" w:rsidRDefault="00EF5F06">
      <w:pPr>
        <w:pStyle w:val="Akapitzlist"/>
        <w:numPr>
          <w:ilvl w:val="0"/>
          <w:numId w:val="35"/>
        </w:numPr>
        <w:spacing w:after="0"/>
        <w:ind w:left="284"/>
        <w:jc w:val="both"/>
        <w:rPr>
          <w:rFonts w:asciiTheme="majorHAnsi" w:hAnsiTheme="majorHAnsi" w:cstheme="majorHAnsi"/>
          <w:sz w:val="20"/>
          <w:szCs w:val="20"/>
        </w:rPr>
      </w:pPr>
      <w:r w:rsidRPr="00EF5F06">
        <w:rPr>
          <w:rFonts w:asciiTheme="majorHAnsi" w:hAnsiTheme="majorHAnsi" w:cstheme="majorHAnsi"/>
          <w:sz w:val="20"/>
          <w:szCs w:val="20"/>
        </w:rPr>
        <w:t>https://www.stats.govt.nz/information-releases/national-population-estimates-at-30-june-2021</w:t>
      </w:r>
    </w:p>
    <w:p w14:paraId="3C1234BC" w14:textId="77777777" w:rsidR="002C4C18" w:rsidRPr="00EF5F06" w:rsidRDefault="002C4C18" w:rsidP="00AC6176">
      <w:pPr>
        <w:spacing w:after="0"/>
        <w:ind w:left="284"/>
        <w:jc w:val="both"/>
        <w:rPr>
          <w:rFonts w:asciiTheme="majorHAnsi" w:hAnsiTheme="majorHAnsi" w:cstheme="majorHAnsi"/>
          <w:sz w:val="20"/>
          <w:szCs w:val="20"/>
        </w:rPr>
      </w:pPr>
    </w:p>
    <w:p w14:paraId="217DE6D7" w14:textId="2AABB3B1" w:rsidR="002C4C18" w:rsidRPr="0084745F" w:rsidRDefault="00264ABB" w:rsidP="00AC6176">
      <w:pPr>
        <w:spacing w:after="0"/>
        <w:jc w:val="both"/>
        <w:rPr>
          <w:rFonts w:asciiTheme="majorHAnsi" w:hAnsiTheme="majorHAnsi" w:cstheme="majorHAnsi"/>
          <w:b/>
          <w:sz w:val="20"/>
          <w:szCs w:val="20"/>
          <w:lang w:val="en-US"/>
        </w:rPr>
      </w:pPr>
      <w:r>
        <w:rPr>
          <w:rFonts w:asciiTheme="majorHAnsi" w:hAnsiTheme="majorHAnsi" w:cstheme="majorHAnsi"/>
          <w:b/>
          <w:sz w:val="20"/>
          <w:szCs w:val="20"/>
          <w:lang w:val="en-US"/>
        </w:rPr>
        <w:t>Ustawy</w:t>
      </w:r>
    </w:p>
    <w:p w14:paraId="760D9813" w14:textId="4A214172" w:rsidR="002C4C18" w:rsidRPr="0084745F" w:rsidRDefault="002C4C18">
      <w:pPr>
        <w:pStyle w:val="Akapitzlist"/>
        <w:numPr>
          <w:ilvl w:val="0"/>
          <w:numId w:val="34"/>
        </w:numPr>
        <w:spacing w:after="0"/>
        <w:ind w:left="284"/>
        <w:jc w:val="both"/>
        <w:rPr>
          <w:rFonts w:asciiTheme="majorHAnsi" w:hAnsiTheme="majorHAnsi" w:cstheme="majorHAnsi"/>
          <w:sz w:val="20"/>
          <w:szCs w:val="20"/>
        </w:rPr>
      </w:pPr>
      <w:r w:rsidRPr="0084745F">
        <w:rPr>
          <w:rFonts w:asciiTheme="majorHAnsi" w:hAnsiTheme="majorHAnsi" w:cstheme="majorHAnsi"/>
          <w:sz w:val="20"/>
          <w:szCs w:val="20"/>
        </w:rPr>
        <w:t>Ustawa z dnia 17 grudnia 1998 r. o emeryturach i rentach z Funduszu Ubezpieczeń Społecznych (Dz. U. z</w:t>
      </w:r>
      <w:r w:rsidR="00B51E48">
        <w:rPr>
          <w:rFonts w:asciiTheme="majorHAnsi" w:hAnsiTheme="majorHAnsi" w:cstheme="majorHAnsi"/>
          <w:sz w:val="20"/>
          <w:szCs w:val="20"/>
        </w:rPr>
        <w:t> </w:t>
      </w:r>
      <w:r w:rsidRPr="0084745F">
        <w:rPr>
          <w:rFonts w:asciiTheme="majorHAnsi" w:hAnsiTheme="majorHAnsi" w:cstheme="majorHAnsi"/>
          <w:sz w:val="20"/>
          <w:szCs w:val="20"/>
        </w:rPr>
        <w:t>1998</w:t>
      </w:r>
      <w:r w:rsidR="00B51E48">
        <w:rPr>
          <w:rFonts w:asciiTheme="majorHAnsi" w:hAnsiTheme="majorHAnsi" w:cstheme="majorHAnsi"/>
          <w:sz w:val="20"/>
          <w:szCs w:val="20"/>
        </w:rPr>
        <w:t> </w:t>
      </w:r>
      <w:r w:rsidRPr="0084745F">
        <w:rPr>
          <w:rFonts w:asciiTheme="majorHAnsi" w:hAnsiTheme="majorHAnsi" w:cstheme="majorHAnsi"/>
          <w:sz w:val="20"/>
          <w:szCs w:val="20"/>
        </w:rPr>
        <w:t>r., nr 162, poz. 1118)</w:t>
      </w:r>
    </w:p>
    <w:p w14:paraId="0290062B" w14:textId="48A5EAAA" w:rsidR="002C4C18" w:rsidRPr="0084745F" w:rsidRDefault="002C4C18">
      <w:pPr>
        <w:pStyle w:val="Akapitzlist"/>
        <w:numPr>
          <w:ilvl w:val="0"/>
          <w:numId w:val="34"/>
        </w:numPr>
        <w:spacing w:after="0"/>
        <w:ind w:left="284"/>
        <w:jc w:val="both"/>
        <w:rPr>
          <w:rFonts w:asciiTheme="majorHAnsi" w:hAnsiTheme="majorHAnsi" w:cstheme="majorHAnsi"/>
          <w:sz w:val="20"/>
          <w:szCs w:val="20"/>
        </w:rPr>
      </w:pPr>
      <w:r w:rsidRPr="0084745F">
        <w:rPr>
          <w:rFonts w:asciiTheme="majorHAnsi" w:hAnsiTheme="majorHAnsi" w:cstheme="majorHAnsi"/>
          <w:sz w:val="20"/>
          <w:szCs w:val="20"/>
        </w:rPr>
        <w:lastRenderedPageBreak/>
        <w:t>Ustawa z dnia 11 maja 2012 r. o zmianie ustawy o emeryturach i rentach z Funduszu Ubezpieczeń Społecznych oraz niektórych</w:t>
      </w:r>
      <w:r w:rsidR="00D97A4C">
        <w:rPr>
          <w:rFonts w:asciiTheme="majorHAnsi" w:hAnsiTheme="majorHAnsi" w:cstheme="majorHAnsi"/>
          <w:sz w:val="20"/>
          <w:szCs w:val="20"/>
        </w:rPr>
        <w:t xml:space="preserve"> innych ustaw (Dz. U. z 2012 r.</w:t>
      </w:r>
      <w:r w:rsidRPr="0084745F">
        <w:rPr>
          <w:rFonts w:asciiTheme="majorHAnsi" w:hAnsiTheme="majorHAnsi" w:cstheme="majorHAnsi"/>
          <w:sz w:val="20"/>
          <w:szCs w:val="20"/>
        </w:rPr>
        <w:t xml:space="preserve"> poz. 637) art. 22</w:t>
      </w:r>
    </w:p>
    <w:p w14:paraId="6A495D6F" w14:textId="3C418512" w:rsidR="002C4C18" w:rsidRPr="0084745F" w:rsidRDefault="002C4C18">
      <w:pPr>
        <w:pStyle w:val="Akapitzlist"/>
        <w:numPr>
          <w:ilvl w:val="0"/>
          <w:numId w:val="34"/>
        </w:numPr>
        <w:spacing w:after="0"/>
        <w:ind w:left="284"/>
        <w:jc w:val="both"/>
        <w:rPr>
          <w:rFonts w:asciiTheme="majorHAnsi" w:hAnsiTheme="majorHAnsi" w:cstheme="majorHAnsi"/>
          <w:sz w:val="20"/>
          <w:szCs w:val="20"/>
        </w:rPr>
      </w:pPr>
      <w:r w:rsidRPr="0084745F">
        <w:rPr>
          <w:rFonts w:asciiTheme="majorHAnsi" w:hAnsiTheme="majorHAnsi" w:cstheme="majorHAnsi"/>
          <w:sz w:val="20"/>
          <w:szCs w:val="20"/>
        </w:rPr>
        <w:t>Ustawa z dnia 6 grudnia 2013 r. o zmianie niektórych ustaw w związku z określeniem zasad wypłaty emerytur ze środków zgromadzonych w otwartych funduszach emerytalnych (Dz.</w:t>
      </w:r>
      <w:r w:rsidR="00C12F49">
        <w:rPr>
          <w:rFonts w:asciiTheme="majorHAnsi" w:hAnsiTheme="majorHAnsi" w:cstheme="majorHAnsi"/>
          <w:sz w:val="20"/>
          <w:szCs w:val="20"/>
        </w:rPr>
        <w:t xml:space="preserve"> </w:t>
      </w:r>
      <w:r w:rsidRPr="0084745F">
        <w:rPr>
          <w:rFonts w:asciiTheme="majorHAnsi" w:hAnsiTheme="majorHAnsi" w:cstheme="majorHAnsi"/>
          <w:sz w:val="20"/>
          <w:szCs w:val="20"/>
        </w:rPr>
        <w:t>U. z 2013 r. poz. 1717)</w:t>
      </w:r>
    </w:p>
    <w:p w14:paraId="1B9265E9" w14:textId="77777777" w:rsidR="00793539" w:rsidRPr="0084745F" w:rsidRDefault="00793539" w:rsidP="002C4C18">
      <w:pPr>
        <w:spacing w:before="6" w:after="6" w:line="288" w:lineRule="auto"/>
        <w:jc w:val="both"/>
        <w:rPr>
          <w:rFonts w:asciiTheme="majorHAnsi" w:hAnsiTheme="majorHAnsi" w:cstheme="majorHAnsi"/>
          <w:sz w:val="20"/>
          <w:szCs w:val="20"/>
        </w:rPr>
      </w:pPr>
    </w:p>
    <w:sectPr w:rsidR="00793539" w:rsidRPr="0084745F" w:rsidSect="004B6D6C">
      <w:footerReference w:type="default" r:id="rId3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F2D68" w14:textId="77777777" w:rsidR="003700A7" w:rsidRDefault="003700A7" w:rsidP="004F2940">
      <w:pPr>
        <w:spacing w:after="0" w:line="240" w:lineRule="auto"/>
      </w:pPr>
      <w:r>
        <w:separator/>
      </w:r>
    </w:p>
  </w:endnote>
  <w:endnote w:type="continuationSeparator" w:id="0">
    <w:p w14:paraId="5CFE0917" w14:textId="77777777" w:rsidR="003700A7" w:rsidRDefault="003700A7" w:rsidP="004F2940">
      <w:pPr>
        <w:spacing w:after="0" w:line="240" w:lineRule="auto"/>
      </w:pPr>
      <w:r>
        <w:continuationSeparator/>
      </w:r>
    </w:p>
  </w:endnote>
  <w:endnote w:type="continuationNotice" w:id="1">
    <w:p w14:paraId="26FF67AF" w14:textId="77777777" w:rsidR="003700A7" w:rsidRDefault="003700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Yu Gothic"/>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DiodrumW03-Medium">
    <w:altName w:val="Calibri"/>
    <w:charset w:val="EE"/>
    <w:family w:val="auto"/>
    <w:pitch w:val="variable"/>
    <w:sig w:usb0="A0000027" w:usb1="00000000" w:usb2="00000000" w:usb3="00000000" w:csb0="00000093" w:csb1="00000000"/>
  </w:font>
  <w:font w:name="Chronicle Text G1">
    <w:altName w:val="Cambria"/>
    <w:panose1 w:val="00000000000000000000"/>
    <w:charset w:val="00"/>
    <w:family w:val="roman"/>
    <w:notTrueType/>
    <w:pitch w:val="default"/>
    <w:sig w:usb0="00000007" w:usb1="00000000" w:usb2="00000000" w:usb3="00000000" w:csb0="00000003" w:csb1="00000000"/>
  </w:font>
  <w:font w:name="TimesNewRomanPS-ItalicMT">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4268752"/>
      <w:docPartObj>
        <w:docPartGallery w:val="Page Numbers (Bottom of Page)"/>
        <w:docPartUnique/>
      </w:docPartObj>
    </w:sdtPr>
    <w:sdtEndPr/>
    <w:sdtContent>
      <w:p w14:paraId="38E4F819" w14:textId="4EC330DC" w:rsidR="00C84DC2" w:rsidRDefault="00C84DC2">
        <w:pPr>
          <w:pStyle w:val="Stopka"/>
          <w:jc w:val="center"/>
        </w:pPr>
        <w:r>
          <w:fldChar w:fldCharType="begin"/>
        </w:r>
        <w:r>
          <w:instrText>PAGE   \* MERGEFORMAT</w:instrText>
        </w:r>
        <w:r>
          <w:fldChar w:fldCharType="separate"/>
        </w:r>
        <w:r w:rsidR="00420020">
          <w:rPr>
            <w:noProof/>
          </w:rPr>
          <w:t>21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27362" w14:textId="77777777" w:rsidR="003700A7" w:rsidRDefault="003700A7" w:rsidP="004F2940">
      <w:pPr>
        <w:spacing w:after="0" w:line="240" w:lineRule="auto"/>
      </w:pPr>
      <w:r>
        <w:separator/>
      </w:r>
    </w:p>
  </w:footnote>
  <w:footnote w:type="continuationSeparator" w:id="0">
    <w:p w14:paraId="270FDA1A" w14:textId="77777777" w:rsidR="003700A7" w:rsidRDefault="003700A7" w:rsidP="004F2940">
      <w:pPr>
        <w:spacing w:after="0" w:line="240" w:lineRule="auto"/>
      </w:pPr>
      <w:r>
        <w:continuationSeparator/>
      </w:r>
    </w:p>
  </w:footnote>
  <w:footnote w:type="continuationNotice" w:id="1">
    <w:p w14:paraId="6D3B352F" w14:textId="77777777" w:rsidR="003700A7" w:rsidRDefault="003700A7">
      <w:pPr>
        <w:spacing w:after="0" w:line="240" w:lineRule="auto"/>
      </w:pPr>
    </w:p>
  </w:footnote>
  <w:footnote w:id="2">
    <w:p w14:paraId="76C45E5C" w14:textId="5B3E4D6B" w:rsidR="00C84DC2" w:rsidRPr="00F57ACE" w:rsidRDefault="00C84DC2" w:rsidP="004B6D6C">
      <w:pPr>
        <w:pStyle w:val="Tekstprzypisudolnego"/>
        <w:ind w:left="284" w:hanging="284"/>
        <w:jc w:val="both"/>
        <w:rPr>
          <w:sz w:val="18"/>
          <w:szCs w:val="18"/>
        </w:rPr>
      </w:pPr>
      <w:r w:rsidRPr="00EE4274">
        <w:rPr>
          <w:rStyle w:val="Odwoanieprzypisudolnego"/>
        </w:rPr>
        <w:footnoteRef/>
      </w:r>
      <w:r w:rsidRPr="004B6D6C">
        <w:rPr>
          <w:vertAlign w:val="superscript"/>
        </w:rPr>
        <w:t>)</w:t>
      </w:r>
      <w:r>
        <w:tab/>
      </w:r>
      <w:r w:rsidRPr="00F57ACE">
        <w:rPr>
          <w:sz w:val="18"/>
          <w:szCs w:val="18"/>
        </w:rPr>
        <w:t xml:space="preserve">Ministerstwo Pracy i Polityki </w:t>
      </w:r>
      <w:r>
        <w:rPr>
          <w:sz w:val="18"/>
          <w:szCs w:val="18"/>
        </w:rPr>
        <w:t>S</w:t>
      </w:r>
      <w:r w:rsidRPr="00F57ACE">
        <w:rPr>
          <w:sz w:val="18"/>
          <w:szCs w:val="18"/>
        </w:rPr>
        <w:t>połecznej oraz Ministerstwo Finansów</w:t>
      </w:r>
      <w:r>
        <w:rPr>
          <w:sz w:val="18"/>
          <w:szCs w:val="18"/>
        </w:rPr>
        <w:t xml:space="preserve"> (2013)</w:t>
      </w:r>
      <w:r w:rsidRPr="00F57ACE">
        <w:rPr>
          <w:sz w:val="18"/>
          <w:szCs w:val="18"/>
        </w:rPr>
        <w:t>, Przegląd funkcjonowania systemu emerytalnego</w:t>
      </w:r>
      <w:r w:rsidRPr="0079564D">
        <w:rPr>
          <w:sz w:val="18"/>
          <w:szCs w:val="18"/>
        </w:rPr>
        <w:t xml:space="preserve"> – „</w:t>
      </w:r>
      <w:r w:rsidRPr="00F57ACE">
        <w:rPr>
          <w:sz w:val="18"/>
          <w:szCs w:val="18"/>
        </w:rPr>
        <w:t>Bezpieczeństwo dzięki zrównoważeniu</w:t>
      </w:r>
      <w:r w:rsidRPr="0079564D">
        <w:rPr>
          <w:sz w:val="18"/>
          <w:szCs w:val="18"/>
        </w:rPr>
        <w:t>”</w:t>
      </w:r>
      <w:r>
        <w:rPr>
          <w:sz w:val="18"/>
          <w:szCs w:val="18"/>
        </w:rPr>
        <w:t>.</w:t>
      </w:r>
    </w:p>
  </w:footnote>
  <w:footnote w:id="3">
    <w:p w14:paraId="6664E61B" w14:textId="4AECE636" w:rsidR="00C84DC2" w:rsidRPr="00F57ACE" w:rsidRDefault="00C84DC2" w:rsidP="004B6D6C">
      <w:pPr>
        <w:pStyle w:val="Tekstprzypisudolnego"/>
        <w:ind w:left="284" w:hanging="284"/>
        <w:jc w:val="both"/>
        <w:rPr>
          <w:sz w:val="18"/>
          <w:szCs w:val="18"/>
        </w:rPr>
      </w:pPr>
      <w:r w:rsidRPr="00F57ACE">
        <w:rPr>
          <w:rStyle w:val="Odwoanieprzypisudolnego"/>
          <w:sz w:val="18"/>
          <w:szCs w:val="18"/>
        </w:rPr>
        <w:footnoteRef/>
      </w:r>
      <w:r w:rsidRPr="004B6D6C">
        <w:rPr>
          <w:sz w:val="18"/>
          <w:szCs w:val="18"/>
          <w:vertAlign w:val="superscript"/>
        </w:rPr>
        <w:t>)</w:t>
      </w:r>
      <w:r>
        <w:rPr>
          <w:sz w:val="18"/>
          <w:szCs w:val="18"/>
        </w:rPr>
        <w:tab/>
      </w:r>
      <w:r w:rsidRPr="00F57ACE">
        <w:rPr>
          <w:sz w:val="18"/>
          <w:szCs w:val="18"/>
        </w:rPr>
        <w:t>Polskie Stowarzyszenie Ubezpieczenia Emerytalnego</w:t>
      </w:r>
      <w:r>
        <w:rPr>
          <w:sz w:val="18"/>
          <w:szCs w:val="18"/>
        </w:rPr>
        <w:t xml:space="preserve"> (2012)</w:t>
      </w:r>
      <w:r w:rsidRPr="00F57ACE">
        <w:rPr>
          <w:sz w:val="18"/>
          <w:szCs w:val="18"/>
        </w:rPr>
        <w:t>, Wiek emerytalny, s. 18</w:t>
      </w:r>
      <w:r>
        <w:rPr>
          <w:sz w:val="18"/>
          <w:szCs w:val="18"/>
        </w:rPr>
        <w:t>.</w:t>
      </w:r>
    </w:p>
  </w:footnote>
  <w:footnote w:id="4">
    <w:p w14:paraId="47DC8F39" w14:textId="79E5B8BB" w:rsidR="00C84DC2" w:rsidRDefault="00C84DC2" w:rsidP="004B6D6C">
      <w:pPr>
        <w:pStyle w:val="Tekstprzypisudolnego"/>
        <w:ind w:left="284" w:hanging="284"/>
        <w:jc w:val="both"/>
      </w:pPr>
      <w:r w:rsidRPr="00874ECA">
        <w:rPr>
          <w:rStyle w:val="Odwoanieprzypisudolnego"/>
          <w:sz w:val="18"/>
          <w:szCs w:val="18"/>
        </w:rPr>
        <w:footnoteRef/>
      </w:r>
      <w:r w:rsidRPr="004B6D6C">
        <w:rPr>
          <w:sz w:val="18"/>
          <w:szCs w:val="18"/>
          <w:vertAlign w:val="superscript"/>
        </w:rPr>
        <w:t>)</w:t>
      </w:r>
      <w:r>
        <w:rPr>
          <w:sz w:val="18"/>
          <w:szCs w:val="18"/>
        </w:rPr>
        <w:tab/>
      </w:r>
      <w:bookmarkStart w:id="5" w:name="_Hlk67526684"/>
      <w:r w:rsidRPr="00874ECA">
        <w:rPr>
          <w:sz w:val="18"/>
          <w:szCs w:val="18"/>
        </w:rPr>
        <w:t>Ustawa z dnia 17 grudnia 1998 r. o emeryturach i rentach z Funduszu Ubezpieczeń Społecznych (Dz. U. z 1998 r., nr 162, poz. 1118)</w:t>
      </w:r>
      <w:bookmarkEnd w:id="5"/>
      <w:r>
        <w:rPr>
          <w:sz w:val="18"/>
          <w:szCs w:val="18"/>
        </w:rPr>
        <w:t>.</w:t>
      </w:r>
    </w:p>
  </w:footnote>
  <w:footnote w:id="5">
    <w:p w14:paraId="736F4962" w14:textId="4AE5840D" w:rsidR="00C84DC2" w:rsidRPr="00AC568E" w:rsidRDefault="00C84DC2" w:rsidP="004B6D6C">
      <w:pPr>
        <w:pStyle w:val="Tekstprzypisudolnego"/>
        <w:ind w:left="284" w:hanging="284"/>
        <w:jc w:val="both"/>
        <w:rPr>
          <w:sz w:val="18"/>
          <w:szCs w:val="18"/>
        </w:rPr>
      </w:pPr>
      <w:r w:rsidRPr="00874ECA">
        <w:rPr>
          <w:rStyle w:val="Odwoanieprzypisudolnego"/>
        </w:rPr>
        <w:footnoteRef/>
      </w:r>
      <w:r w:rsidRPr="004B6D6C">
        <w:rPr>
          <w:vertAlign w:val="superscript"/>
        </w:rPr>
        <w:t>)</w:t>
      </w:r>
      <w:r>
        <w:tab/>
      </w:r>
      <w:bookmarkStart w:id="7" w:name="_Hlk67526790"/>
      <w:r w:rsidRPr="00AC568E">
        <w:rPr>
          <w:sz w:val="18"/>
          <w:szCs w:val="18"/>
        </w:rPr>
        <w:t>Ustawa z dnia 11 maja 2012 r. o zmianie ustawy o emeryturach i rentach z Funduszu Ubezpieczeń Społecznych oraz</w:t>
      </w:r>
      <w:r>
        <w:rPr>
          <w:sz w:val="18"/>
          <w:szCs w:val="18"/>
        </w:rPr>
        <w:t> </w:t>
      </w:r>
      <w:r w:rsidRPr="00AC568E">
        <w:rPr>
          <w:sz w:val="18"/>
          <w:szCs w:val="18"/>
        </w:rPr>
        <w:t>niektórych</w:t>
      </w:r>
      <w:r w:rsidR="00D97A4C">
        <w:rPr>
          <w:sz w:val="18"/>
          <w:szCs w:val="18"/>
        </w:rPr>
        <w:t xml:space="preserve"> innych ustaw (Dz. U. z 2012 r.</w:t>
      </w:r>
      <w:r w:rsidRPr="00AC568E">
        <w:rPr>
          <w:sz w:val="18"/>
          <w:szCs w:val="18"/>
        </w:rPr>
        <w:t xml:space="preserve"> poz. 637) </w:t>
      </w:r>
      <w:bookmarkEnd w:id="7"/>
      <w:r w:rsidRPr="00AC568E">
        <w:rPr>
          <w:sz w:val="18"/>
          <w:szCs w:val="18"/>
        </w:rPr>
        <w:t>art. 22</w:t>
      </w:r>
      <w:r>
        <w:rPr>
          <w:sz w:val="18"/>
          <w:szCs w:val="18"/>
        </w:rPr>
        <w:t>.</w:t>
      </w:r>
    </w:p>
  </w:footnote>
  <w:footnote w:id="6">
    <w:p w14:paraId="0F5F1FFA" w14:textId="2DB39105" w:rsidR="00C84DC2" w:rsidRPr="00AC568E" w:rsidRDefault="00C84DC2" w:rsidP="004B6D6C">
      <w:pPr>
        <w:pStyle w:val="Tekstprzypisudolnego"/>
        <w:ind w:left="284" w:hanging="284"/>
        <w:jc w:val="both"/>
        <w:rPr>
          <w:sz w:val="18"/>
          <w:szCs w:val="18"/>
        </w:rPr>
      </w:pPr>
      <w:r w:rsidRPr="00874ECA">
        <w:rPr>
          <w:rStyle w:val="Odwoanieprzypisudolnego"/>
        </w:rPr>
        <w:footnoteRef/>
      </w:r>
      <w:r w:rsidRPr="004B6D6C">
        <w:rPr>
          <w:vertAlign w:val="superscript"/>
        </w:rPr>
        <w:t>)</w:t>
      </w:r>
      <w:r>
        <w:tab/>
      </w:r>
      <w:bookmarkStart w:id="8" w:name="_Hlk67526882"/>
      <w:r w:rsidRPr="00AC568E">
        <w:rPr>
          <w:sz w:val="18"/>
          <w:szCs w:val="18"/>
        </w:rPr>
        <w:t>Ustawa z dnia 6 grudnia 2013 r</w:t>
      </w:r>
      <w:r>
        <w:rPr>
          <w:sz w:val="18"/>
          <w:szCs w:val="18"/>
        </w:rPr>
        <w:t>.</w:t>
      </w:r>
      <w:r w:rsidRPr="00AC568E">
        <w:rPr>
          <w:sz w:val="18"/>
          <w:szCs w:val="18"/>
        </w:rPr>
        <w:t xml:space="preserve"> o zmianie niektórych ustaw w związku z określeniem zasad wypłaty emerytur ze środków zgromadzonych w otwartych funduszach emerytalnych (Dz.</w:t>
      </w:r>
      <w:r w:rsidR="00C12F49">
        <w:rPr>
          <w:sz w:val="18"/>
          <w:szCs w:val="18"/>
        </w:rPr>
        <w:t xml:space="preserve"> </w:t>
      </w:r>
      <w:r w:rsidRPr="00AC568E">
        <w:rPr>
          <w:sz w:val="18"/>
          <w:szCs w:val="18"/>
        </w:rPr>
        <w:t>U. z 2013 r. poz. 1717</w:t>
      </w:r>
      <w:bookmarkEnd w:id="8"/>
      <w:r w:rsidRPr="00AC568E">
        <w:rPr>
          <w:sz w:val="18"/>
          <w:szCs w:val="18"/>
        </w:rPr>
        <w:t>)</w:t>
      </w:r>
      <w:r>
        <w:rPr>
          <w:sz w:val="18"/>
          <w:szCs w:val="18"/>
        </w:rPr>
        <w:t>.</w:t>
      </w:r>
    </w:p>
  </w:footnote>
  <w:footnote w:id="7">
    <w:p w14:paraId="4F5A7889" w14:textId="7862F4BA" w:rsidR="00C84DC2" w:rsidRPr="009217E8" w:rsidRDefault="00C84DC2" w:rsidP="004B6D6C">
      <w:pPr>
        <w:pStyle w:val="Tekstprzypisudolnego"/>
        <w:ind w:left="284" w:hanging="284"/>
        <w:jc w:val="both"/>
        <w:rPr>
          <w:sz w:val="18"/>
          <w:szCs w:val="18"/>
        </w:rPr>
      </w:pPr>
      <w:r w:rsidRPr="009217E8">
        <w:rPr>
          <w:rStyle w:val="Odwoanieprzypisudolnego"/>
          <w:sz w:val="18"/>
          <w:szCs w:val="18"/>
        </w:rPr>
        <w:footnoteRef/>
      </w:r>
      <w:r w:rsidRPr="004B6D6C">
        <w:rPr>
          <w:sz w:val="18"/>
          <w:szCs w:val="18"/>
          <w:vertAlign w:val="superscript"/>
        </w:rPr>
        <w:t>)</w:t>
      </w:r>
      <w:r>
        <w:rPr>
          <w:sz w:val="18"/>
          <w:szCs w:val="18"/>
        </w:rPr>
        <w:tab/>
      </w:r>
      <w:r w:rsidRPr="009217E8">
        <w:rPr>
          <w:sz w:val="18"/>
          <w:szCs w:val="18"/>
        </w:rPr>
        <w:t>Żuk</w:t>
      </w:r>
      <w:r>
        <w:rPr>
          <w:sz w:val="18"/>
          <w:szCs w:val="18"/>
        </w:rPr>
        <w:t xml:space="preserve"> P.</w:t>
      </w:r>
      <w:r w:rsidRPr="009217E8">
        <w:rPr>
          <w:sz w:val="18"/>
          <w:szCs w:val="18"/>
        </w:rPr>
        <w:t xml:space="preserve">, Filar kapitałowy w systemie emerytalnym w Polsce, </w:t>
      </w:r>
      <w:r w:rsidRPr="006F647A">
        <w:rPr>
          <w:sz w:val="18"/>
          <w:szCs w:val="18"/>
        </w:rPr>
        <w:t>praca doktorska</w:t>
      </w:r>
      <w:r>
        <w:rPr>
          <w:sz w:val="18"/>
          <w:szCs w:val="18"/>
        </w:rPr>
        <w:t xml:space="preserve">, Warszawa 2014, s. 47–48. </w:t>
      </w:r>
    </w:p>
  </w:footnote>
  <w:footnote w:id="8">
    <w:p w14:paraId="5CCEFAE2" w14:textId="4A7C54A0" w:rsidR="00C84DC2" w:rsidRPr="00EB6FBA" w:rsidRDefault="00C84DC2" w:rsidP="004B6D6C">
      <w:pPr>
        <w:pStyle w:val="Tekstprzypisudolnego"/>
        <w:ind w:left="284" w:hanging="284"/>
        <w:jc w:val="both"/>
        <w:rPr>
          <w:sz w:val="18"/>
          <w:szCs w:val="18"/>
        </w:rPr>
      </w:pPr>
      <w:r w:rsidRPr="00EB6FBA">
        <w:rPr>
          <w:rStyle w:val="Odwoanieprzypisudolnego"/>
          <w:sz w:val="18"/>
          <w:szCs w:val="18"/>
        </w:rPr>
        <w:footnoteRef/>
      </w:r>
      <w:r w:rsidRPr="004B6D6C">
        <w:rPr>
          <w:sz w:val="18"/>
          <w:szCs w:val="18"/>
          <w:vertAlign w:val="superscript"/>
        </w:rPr>
        <w:t>)</w:t>
      </w:r>
      <w:r>
        <w:rPr>
          <w:sz w:val="18"/>
          <w:szCs w:val="18"/>
        </w:rPr>
        <w:tab/>
      </w:r>
      <w:r w:rsidRPr="005B7B94">
        <w:rPr>
          <w:sz w:val="18"/>
          <w:szCs w:val="18"/>
        </w:rPr>
        <w:t>Główny Urząd Statystyczny</w:t>
      </w:r>
      <w:r>
        <w:rPr>
          <w:sz w:val="18"/>
          <w:szCs w:val="18"/>
        </w:rPr>
        <w:t xml:space="preserve"> (2021),</w:t>
      </w:r>
      <w:r w:rsidRPr="00EB6FBA">
        <w:rPr>
          <w:sz w:val="18"/>
          <w:szCs w:val="18"/>
        </w:rPr>
        <w:t xml:space="preserve"> </w:t>
      </w:r>
      <w:bookmarkStart w:id="10" w:name="_Hlk115184096"/>
      <w:r w:rsidRPr="00EB6FBA">
        <w:rPr>
          <w:sz w:val="18"/>
          <w:szCs w:val="18"/>
        </w:rPr>
        <w:t>Sytuacja demograficzna Polski do 202</w:t>
      </w:r>
      <w:r w:rsidR="00A65D0A">
        <w:rPr>
          <w:sz w:val="18"/>
          <w:szCs w:val="18"/>
        </w:rPr>
        <w:t>0 r. Zgony i umieralność, s. 16–</w:t>
      </w:r>
      <w:r w:rsidRPr="00EB6FBA">
        <w:rPr>
          <w:sz w:val="18"/>
          <w:szCs w:val="18"/>
        </w:rPr>
        <w:t>17</w:t>
      </w:r>
      <w:r>
        <w:rPr>
          <w:sz w:val="18"/>
          <w:szCs w:val="18"/>
        </w:rPr>
        <w:t>.</w:t>
      </w:r>
    </w:p>
    <w:bookmarkEnd w:id="10"/>
  </w:footnote>
  <w:footnote w:id="9">
    <w:p w14:paraId="0B7B8526" w14:textId="383E0992" w:rsidR="00C84DC2" w:rsidRPr="00F57ACE" w:rsidRDefault="00C84DC2" w:rsidP="004B6D6C">
      <w:pPr>
        <w:pStyle w:val="Tekstprzypisudolnego"/>
        <w:ind w:left="284" w:hanging="284"/>
        <w:jc w:val="both"/>
        <w:rPr>
          <w:sz w:val="18"/>
          <w:szCs w:val="18"/>
        </w:rPr>
      </w:pPr>
      <w:r>
        <w:rPr>
          <w:rStyle w:val="Odwoanieprzypisudolnego"/>
        </w:rPr>
        <w:footnoteRef/>
      </w:r>
      <w:r w:rsidRPr="004B6D6C">
        <w:rPr>
          <w:vertAlign w:val="superscript"/>
        </w:rPr>
        <w:t>)</w:t>
      </w:r>
      <w:r>
        <w:tab/>
      </w:r>
      <w:r w:rsidRPr="00EB6FBA">
        <w:rPr>
          <w:sz w:val="18"/>
          <w:szCs w:val="18"/>
        </w:rPr>
        <w:t>Sytuacja demograficzna Polski do 2020 r.</w:t>
      </w:r>
      <w:r>
        <w:rPr>
          <w:sz w:val="18"/>
          <w:szCs w:val="18"/>
        </w:rPr>
        <w:t>, … op. cit.,</w:t>
      </w:r>
      <w:r w:rsidRPr="00EB6FBA">
        <w:rPr>
          <w:sz w:val="18"/>
          <w:szCs w:val="18"/>
        </w:rPr>
        <w:t xml:space="preserve"> s</w:t>
      </w:r>
      <w:r>
        <w:rPr>
          <w:sz w:val="18"/>
          <w:szCs w:val="18"/>
        </w:rPr>
        <w:t xml:space="preserve"> 20.</w:t>
      </w:r>
    </w:p>
  </w:footnote>
  <w:footnote w:id="10">
    <w:p w14:paraId="1CAFBC81" w14:textId="2C42D2CF" w:rsidR="00C84DC2" w:rsidRPr="00EB6FBA" w:rsidRDefault="00C84DC2" w:rsidP="004B6D6C">
      <w:pPr>
        <w:pStyle w:val="Tekstprzypisudolnego"/>
        <w:ind w:left="284" w:hanging="284"/>
        <w:jc w:val="both"/>
        <w:rPr>
          <w:sz w:val="18"/>
          <w:szCs w:val="18"/>
        </w:rPr>
      </w:pPr>
      <w:r w:rsidRPr="00EB6FBA">
        <w:rPr>
          <w:rStyle w:val="Odwoanieprzypisudolnego"/>
          <w:sz w:val="18"/>
          <w:szCs w:val="18"/>
        </w:rPr>
        <w:footnoteRef/>
      </w:r>
      <w:r w:rsidRPr="004B6D6C">
        <w:rPr>
          <w:sz w:val="18"/>
          <w:szCs w:val="18"/>
          <w:vertAlign w:val="superscript"/>
        </w:rPr>
        <w:t>)</w:t>
      </w:r>
      <w:r>
        <w:rPr>
          <w:sz w:val="18"/>
          <w:szCs w:val="18"/>
        </w:rPr>
        <w:tab/>
      </w:r>
      <w:r w:rsidRPr="00566641">
        <w:rPr>
          <w:sz w:val="18"/>
          <w:szCs w:val="18"/>
        </w:rPr>
        <w:t xml:space="preserve">Główny Urząd Statystyczny </w:t>
      </w:r>
      <w:r>
        <w:rPr>
          <w:sz w:val="18"/>
          <w:szCs w:val="18"/>
        </w:rPr>
        <w:t>(2022),</w:t>
      </w:r>
      <w:r w:rsidRPr="00EB6FBA">
        <w:rPr>
          <w:sz w:val="18"/>
          <w:szCs w:val="18"/>
        </w:rPr>
        <w:t xml:space="preserve"> </w:t>
      </w:r>
      <w:bookmarkStart w:id="11" w:name="_Hlk113021812"/>
      <w:r w:rsidRPr="00EB6FBA">
        <w:rPr>
          <w:sz w:val="18"/>
          <w:szCs w:val="18"/>
        </w:rPr>
        <w:t>Tablice trwania życia 1990</w:t>
      </w:r>
      <w:r>
        <w:rPr>
          <w:sz w:val="18"/>
          <w:szCs w:val="18"/>
        </w:rPr>
        <w:t>–</w:t>
      </w:r>
      <w:r w:rsidRPr="00EB6FBA">
        <w:rPr>
          <w:sz w:val="18"/>
          <w:szCs w:val="18"/>
        </w:rPr>
        <w:t>202</w:t>
      </w:r>
      <w:r>
        <w:rPr>
          <w:sz w:val="18"/>
          <w:szCs w:val="18"/>
        </w:rPr>
        <w:t>1</w:t>
      </w:r>
      <w:bookmarkEnd w:id="11"/>
      <w:r>
        <w:rPr>
          <w:sz w:val="18"/>
          <w:szCs w:val="18"/>
        </w:rPr>
        <w:t>.</w:t>
      </w:r>
    </w:p>
  </w:footnote>
  <w:footnote w:id="11">
    <w:p w14:paraId="1CDF4F19" w14:textId="070A9F44" w:rsidR="00C84DC2" w:rsidRPr="00470D03" w:rsidRDefault="00C84DC2" w:rsidP="004B6D6C">
      <w:pPr>
        <w:pStyle w:val="Tekstprzypisudolnego"/>
        <w:ind w:left="284" w:hanging="284"/>
        <w:jc w:val="both"/>
        <w:rPr>
          <w:sz w:val="18"/>
          <w:szCs w:val="18"/>
        </w:rPr>
      </w:pPr>
      <w:r w:rsidRPr="00874ECA">
        <w:rPr>
          <w:rStyle w:val="Odwoanieprzypisudolnego"/>
        </w:rPr>
        <w:footnoteRef/>
      </w:r>
      <w:r w:rsidRPr="004B6D6C">
        <w:rPr>
          <w:vertAlign w:val="superscript"/>
        </w:rPr>
        <w:t>)</w:t>
      </w:r>
      <w:r>
        <w:tab/>
      </w:r>
      <w:r w:rsidRPr="00470D03">
        <w:rPr>
          <w:sz w:val="18"/>
          <w:szCs w:val="18"/>
        </w:rPr>
        <w:t>Główny Urząd Statystyczny</w:t>
      </w:r>
      <w:r>
        <w:rPr>
          <w:sz w:val="18"/>
          <w:szCs w:val="18"/>
        </w:rPr>
        <w:t xml:space="preserve"> (2021), </w:t>
      </w:r>
      <w:r w:rsidRPr="00470D03">
        <w:rPr>
          <w:sz w:val="18"/>
          <w:szCs w:val="18"/>
        </w:rPr>
        <w:t>Ludność. Stan i struktura oraz ruch naturalny w przekroju terytorialnym w 2020 r. Stan w dniu 31 XII,</w:t>
      </w:r>
      <w:r>
        <w:rPr>
          <w:sz w:val="18"/>
          <w:szCs w:val="18"/>
        </w:rPr>
        <w:t xml:space="preserve"> </w:t>
      </w:r>
      <w:r w:rsidRPr="00470D03">
        <w:rPr>
          <w:sz w:val="18"/>
          <w:szCs w:val="18"/>
        </w:rPr>
        <w:t>s.</w:t>
      </w:r>
      <w:r>
        <w:rPr>
          <w:sz w:val="18"/>
          <w:szCs w:val="18"/>
        </w:rPr>
        <w:t xml:space="preserve"> </w:t>
      </w:r>
      <w:bookmarkStart w:id="13" w:name="_Hlk96065514"/>
      <w:r w:rsidRPr="00470D03">
        <w:rPr>
          <w:sz w:val="18"/>
          <w:szCs w:val="18"/>
        </w:rPr>
        <w:t>10</w:t>
      </w:r>
      <w:r>
        <w:rPr>
          <w:sz w:val="18"/>
          <w:szCs w:val="18"/>
        </w:rPr>
        <w:t>.</w:t>
      </w:r>
    </w:p>
    <w:bookmarkEnd w:id="13"/>
  </w:footnote>
  <w:footnote w:id="12">
    <w:p w14:paraId="3DEA2855" w14:textId="468E3BC9" w:rsidR="00C84DC2" w:rsidRPr="00151177" w:rsidRDefault="00C84DC2" w:rsidP="004B6D6C">
      <w:pPr>
        <w:pStyle w:val="Tekstprzypisudolnego"/>
        <w:ind w:left="284" w:hanging="284"/>
        <w:jc w:val="both"/>
        <w:rPr>
          <w:sz w:val="18"/>
          <w:szCs w:val="18"/>
        </w:rPr>
      </w:pPr>
      <w:r w:rsidRPr="00470D03">
        <w:rPr>
          <w:rStyle w:val="Odwoanieprzypisudolnego"/>
          <w:sz w:val="18"/>
          <w:szCs w:val="18"/>
        </w:rPr>
        <w:footnoteRef/>
      </w:r>
      <w:r w:rsidRPr="004B6D6C">
        <w:rPr>
          <w:sz w:val="18"/>
          <w:szCs w:val="18"/>
          <w:vertAlign w:val="superscript"/>
        </w:rPr>
        <w:t>)</w:t>
      </w:r>
      <w:r>
        <w:rPr>
          <w:sz w:val="18"/>
          <w:szCs w:val="18"/>
        </w:rPr>
        <w:tab/>
      </w:r>
      <w:r w:rsidRPr="00151177">
        <w:rPr>
          <w:sz w:val="18"/>
          <w:szCs w:val="18"/>
        </w:rPr>
        <w:t>Tamże, s. 17, 18</w:t>
      </w:r>
      <w:r>
        <w:rPr>
          <w:sz w:val="18"/>
          <w:szCs w:val="18"/>
        </w:rPr>
        <w:t>.</w:t>
      </w:r>
    </w:p>
  </w:footnote>
  <w:footnote w:id="13">
    <w:p w14:paraId="5B1A0BD6" w14:textId="6C179948" w:rsidR="00C84DC2" w:rsidRPr="003E0CBA" w:rsidRDefault="00C84DC2" w:rsidP="004B6D6C">
      <w:pPr>
        <w:pStyle w:val="Tekstprzypisudolnego"/>
        <w:ind w:left="284" w:hanging="284"/>
        <w:jc w:val="both"/>
        <w:rPr>
          <w:sz w:val="18"/>
          <w:szCs w:val="18"/>
        </w:rPr>
      </w:pPr>
      <w:r w:rsidRPr="003E0CBA">
        <w:rPr>
          <w:rStyle w:val="Odwoanieprzypisudolnego"/>
          <w:sz w:val="18"/>
          <w:szCs w:val="18"/>
        </w:rPr>
        <w:footnoteRef/>
      </w:r>
      <w:r w:rsidRPr="004B6D6C">
        <w:rPr>
          <w:sz w:val="18"/>
          <w:szCs w:val="18"/>
          <w:vertAlign w:val="superscript"/>
        </w:rPr>
        <w:t>)</w:t>
      </w:r>
      <w:r>
        <w:rPr>
          <w:sz w:val="18"/>
          <w:szCs w:val="18"/>
        </w:rPr>
        <w:tab/>
      </w:r>
      <w:r w:rsidRPr="00CA6AA2">
        <w:rPr>
          <w:sz w:val="18"/>
          <w:szCs w:val="18"/>
        </w:rPr>
        <w:t>Główny Urząd Statystyczny w Białymstoku</w:t>
      </w:r>
      <w:r w:rsidRPr="003E0CBA">
        <w:rPr>
          <w:sz w:val="18"/>
          <w:szCs w:val="18"/>
        </w:rPr>
        <w:t xml:space="preserve"> </w:t>
      </w:r>
      <w:r>
        <w:rPr>
          <w:sz w:val="18"/>
          <w:szCs w:val="18"/>
        </w:rPr>
        <w:t xml:space="preserve">(2021), </w:t>
      </w:r>
      <w:r w:rsidRPr="00B3263D">
        <w:rPr>
          <w:sz w:val="18"/>
          <w:szCs w:val="18"/>
        </w:rPr>
        <w:t>Sytuacja osób starszych w Polsce w 2020 r.</w:t>
      </w:r>
      <w:r>
        <w:rPr>
          <w:sz w:val="18"/>
          <w:szCs w:val="18"/>
        </w:rPr>
        <w:t>,</w:t>
      </w:r>
      <w:r w:rsidRPr="007F50D9">
        <w:rPr>
          <w:sz w:val="18"/>
          <w:szCs w:val="18"/>
        </w:rPr>
        <w:t xml:space="preserve"> s. 10</w:t>
      </w:r>
      <w:r>
        <w:rPr>
          <w:sz w:val="18"/>
          <w:szCs w:val="18"/>
        </w:rPr>
        <w:t xml:space="preserve">. </w:t>
      </w:r>
    </w:p>
  </w:footnote>
  <w:footnote w:id="14">
    <w:p w14:paraId="1144EB1C" w14:textId="35CBEAEF" w:rsidR="00C84DC2" w:rsidRPr="007B3BB1" w:rsidRDefault="00C84DC2" w:rsidP="004B6D6C">
      <w:pPr>
        <w:pStyle w:val="Tekstprzypisudolnego"/>
        <w:ind w:left="284" w:hanging="284"/>
        <w:jc w:val="both"/>
        <w:rPr>
          <w:sz w:val="18"/>
          <w:szCs w:val="18"/>
          <w:lang w:val="en-US"/>
        </w:rPr>
      </w:pPr>
      <w:r>
        <w:rPr>
          <w:rStyle w:val="Odwoanieprzypisudolnego"/>
        </w:rPr>
        <w:footnoteRef/>
      </w:r>
      <w:r w:rsidRPr="004B6D6C">
        <w:rPr>
          <w:vertAlign w:val="superscript"/>
          <w:lang w:val="en-US"/>
        </w:rPr>
        <w:t>)</w:t>
      </w:r>
      <w:r>
        <w:rPr>
          <w:lang w:val="en-US"/>
        </w:rPr>
        <w:tab/>
      </w:r>
      <w:r w:rsidRPr="00C6349D">
        <w:rPr>
          <w:sz w:val="18"/>
          <w:szCs w:val="18"/>
          <w:lang w:val="en-US"/>
        </w:rPr>
        <w:t>OECD (2021),</w:t>
      </w:r>
      <w:r w:rsidRPr="00FA11FF">
        <w:rPr>
          <w:lang w:val="en-US"/>
        </w:rPr>
        <w:t xml:space="preserve"> </w:t>
      </w:r>
      <w:r w:rsidRPr="00FA11FF">
        <w:rPr>
          <w:sz w:val="18"/>
          <w:szCs w:val="18"/>
          <w:lang w:val="en-US"/>
        </w:rPr>
        <w:t>Pensions at a Glance 2021</w:t>
      </w:r>
      <w:r>
        <w:rPr>
          <w:sz w:val="18"/>
          <w:szCs w:val="18"/>
          <w:lang w:val="en-US"/>
        </w:rPr>
        <w:t xml:space="preserve"> -</w:t>
      </w:r>
      <w:r w:rsidRPr="00FA11FF">
        <w:rPr>
          <w:sz w:val="18"/>
          <w:szCs w:val="18"/>
          <w:lang w:val="en-US"/>
        </w:rPr>
        <w:t xml:space="preserve"> OECD and G20 Indicators, s. 139</w:t>
      </w:r>
      <w:r>
        <w:rPr>
          <w:sz w:val="18"/>
          <w:szCs w:val="18"/>
          <w:lang w:val="en-US"/>
        </w:rPr>
        <w:t xml:space="preserve"> </w:t>
      </w:r>
      <w:r w:rsidRPr="001704EB">
        <w:rPr>
          <w:sz w:val="18"/>
          <w:szCs w:val="18"/>
          <w:lang w:val="en-US"/>
        </w:rPr>
        <w:t>https://www.oecd-ilibrary.org/docserver/ca401ebd-en.pdf?expires=1664359167&amp;id=id&amp;accname=guest&amp;checksum=B93ABCB7E03C63C067CCA8D1A9253A17</w:t>
      </w:r>
    </w:p>
  </w:footnote>
  <w:footnote w:id="15">
    <w:p w14:paraId="1BFC46E6" w14:textId="2A579908" w:rsidR="00C84DC2" w:rsidRPr="003E0CBA" w:rsidRDefault="00C84DC2" w:rsidP="004B6D6C">
      <w:pPr>
        <w:pStyle w:val="Tekstprzypisudolnego"/>
        <w:ind w:left="284" w:hanging="284"/>
        <w:jc w:val="both"/>
        <w:rPr>
          <w:sz w:val="18"/>
          <w:szCs w:val="18"/>
        </w:rPr>
      </w:pPr>
      <w:r w:rsidRPr="003E0CBA">
        <w:rPr>
          <w:rStyle w:val="Odwoanieprzypisudolnego"/>
          <w:sz w:val="18"/>
          <w:szCs w:val="18"/>
        </w:rPr>
        <w:footnoteRef/>
      </w:r>
      <w:bookmarkStart w:id="16" w:name="_Hlk95931318"/>
      <w:r w:rsidRPr="004B6D6C">
        <w:rPr>
          <w:sz w:val="18"/>
          <w:szCs w:val="18"/>
          <w:vertAlign w:val="superscript"/>
        </w:rPr>
        <w:t>)</w:t>
      </w:r>
      <w:r>
        <w:rPr>
          <w:sz w:val="18"/>
          <w:szCs w:val="18"/>
        </w:rPr>
        <w:tab/>
      </w:r>
      <w:r w:rsidRPr="00F02172">
        <w:rPr>
          <w:sz w:val="18"/>
          <w:szCs w:val="18"/>
        </w:rPr>
        <w:t xml:space="preserve">Zakład Ubezpieczeń Społecznych </w:t>
      </w:r>
      <w:r>
        <w:rPr>
          <w:sz w:val="18"/>
          <w:szCs w:val="18"/>
        </w:rPr>
        <w:t xml:space="preserve">(2012), </w:t>
      </w:r>
      <w:r w:rsidRPr="003E0CBA">
        <w:rPr>
          <w:sz w:val="18"/>
          <w:szCs w:val="18"/>
        </w:rPr>
        <w:t>Analiza wyników badania okresów pobierania emerytur, s. 15</w:t>
      </w:r>
      <w:bookmarkEnd w:id="16"/>
      <w:r>
        <w:rPr>
          <w:sz w:val="18"/>
          <w:szCs w:val="18"/>
        </w:rPr>
        <w:t>.</w:t>
      </w:r>
    </w:p>
  </w:footnote>
  <w:footnote w:id="16">
    <w:p w14:paraId="3838A219" w14:textId="13F8339E" w:rsidR="00C84DC2" w:rsidRPr="003E0CBA" w:rsidRDefault="00C84DC2" w:rsidP="004B6D6C">
      <w:pPr>
        <w:pStyle w:val="Tekstprzypisudolnego"/>
        <w:ind w:left="284" w:hanging="284"/>
        <w:jc w:val="both"/>
        <w:rPr>
          <w:sz w:val="18"/>
          <w:szCs w:val="18"/>
        </w:rPr>
      </w:pPr>
      <w:r w:rsidRPr="003E0CBA">
        <w:rPr>
          <w:rStyle w:val="Odwoanieprzypisudolnego"/>
          <w:sz w:val="18"/>
          <w:szCs w:val="18"/>
        </w:rPr>
        <w:footnoteRef/>
      </w:r>
      <w:r w:rsidRPr="004B6D6C">
        <w:rPr>
          <w:sz w:val="18"/>
          <w:szCs w:val="18"/>
          <w:vertAlign w:val="superscript"/>
        </w:rPr>
        <w:t>)</w:t>
      </w:r>
      <w:r>
        <w:rPr>
          <w:sz w:val="18"/>
          <w:szCs w:val="18"/>
        </w:rPr>
        <w:tab/>
      </w:r>
      <w:r w:rsidRPr="00E54D04">
        <w:rPr>
          <w:sz w:val="18"/>
          <w:szCs w:val="18"/>
        </w:rPr>
        <w:t xml:space="preserve">Zakład Ubezpieczeń Społecznych </w:t>
      </w:r>
      <w:r>
        <w:rPr>
          <w:sz w:val="18"/>
          <w:szCs w:val="18"/>
        </w:rPr>
        <w:t>(</w:t>
      </w:r>
      <w:r w:rsidRPr="00E54D04">
        <w:rPr>
          <w:sz w:val="18"/>
          <w:szCs w:val="18"/>
        </w:rPr>
        <w:t>2019</w:t>
      </w:r>
      <w:r>
        <w:rPr>
          <w:sz w:val="18"/>
          <w:szCs w:val="18"/>
        </w:rPr>
        <w:t>),</w:t>
      </w:r>
      <w:r w:rsidRPr="003E0CBA">
        <w:rPr>
          <w:sz w:val="18"/>
          <w:szCs w:val="18"/>
        </w:rPr>
        <w:t xml:space="preserve"> Analiza wyników badania okresów pobierania emerytur, s. 19</w:t>
      </w:r>
      <w:r>
        <w:rPr>
          <w:sz w:val="18"/>
          <w:szCs w:val="18"/>
        </w:rPr>
        <w:t>.</w:t>
      </w:r>
    </w:p>
  </w:footnote>
  <w:footnote w:id="17">
    <w:p w14:paraId="6FAF69ED" w14:textId="2EA74C29" w:rsidR="00C84DC2" w:rsidRPr="003E0CBA" w:rsidRDefault="00C84DC2" w:rsidP="004B6D6C">
      <w:pPr>
        <w:pStyle w:val="Tekstprzypisudolnego"/>
        <w:ind w:left="284" w:hanging="284"/>
        <w:jc w:val="both"/>
        <w:rPr>
          <w:sz w:val="18"/>
          <w:szCs w:val="18"/>
        </w:rPr>
      </w:pPr>
      <w:r w:rsidRPr="003E0CBA">
        <w:rPr>
          <w:rStyle w:val="Odwoanieprzypisudolnego"/>
          <w:sz w:val="18"/>
          <w:szCs w:val="18"/>
        </w:rPr>
        <w:footnoteRef/>
      </w:r>
      <w:r w:rsidRPr="004B6D6C">
        <w:rPr>
          <w:sz w:val="18"/>
          <w:szCs w:val="18"/>
          <w:vertAlign w:val="superscript"/>
        </w:rPr>
        <w:t>)</w:t>
      </w:r>
      <w:r>
        <w:rPr>
          <w:sz w:val="18"/>
          <w:szCs w:val="18"/>
        </w:rPr>
        <w:tab/>
      </w:r>
      <w:r w:rsidRPr="00721BEE">
        <w:rPr>
          <w:sz w:val="18"/>
          <w:szCs w:val="18"/>
        </w:rPr>
        <w:t xml:space="preserve">Główny Urząd Statystyczny </w:t>
      </w:r>
      <w:r>
        <w:rPr>
          <w:sz w:val="18"/>
          <w:szCs w:val="18"/>
        </w:rPr>
        <w:t>(2021),</w:t>
      </w:r>
      <w:r w:rsidRPr="003E0CBA">
        <w:rPr>
          <w:sz w:val="18"/>
          <w:szCs w:val="18"/>
        </w:rPr>
        <w:t xml:space="preserve"> Emerytury i renty w 2020 r., </w:t>
      </w:r>
      <w:bookmarkStart w:id="17" w:name="_Hlk95990532"/>
      <w:r w:rsidRPr="003E0CBA">
        <w:rPr>
          <w:sz w:val="18"/>
          <w:szCs w:val="18"/>
        </w:rPr>
        <w:t>s. 16, 19</w:t>
      </w:r>
      <w:bookmarkEnd w:id="17"/>
      <w:r>
        <w:rPr>
          <w:sz w:val="18"/>
          <w:szCs w:val="18"/>
        </w:rPr>
        <w:t>.</w:t>
      </w:r>
    </w:p>
  </w:footnote>
  <w:footnote w:id="18">
    <w:p w14:paraId="377FA8ED" w14:textId="6EE43D02" w:rsidR="00C84DC2" w:rsidRPr="00F06895" w:rsidRDefault="00C84DC2" w:rsidP="00FE6826">
      <w:pPr>
        <w:pStyle w:val="Tekstprzypisudolnego"/>
        <w:ind w:left="284" w:hanging="284"/>
      </w:pPr>
      <w:r w:rsidRPr="003E0CBA">
        <w:rPr>
          <w:rStyle w:val="Odwoanieprzypisudolnego"/>
          <w:sz w:val="18"/>
          <w:szCs w:val="18"/>
        </w:rPr>
        <w:footnoteRef/>
      </w:r>
      <w:r w:rsidRPr="004B6D6C">
        <w:rPr>
          <w:sz w:val="18"/>
          <w:szCs w:val="18"/>
          <w:vertAlign w:val="superscript"/>
        </w:rPr>
        <w:t>)</w:t>
      </w:r>
      <w:r>
        <w:rPr>
          <w:sz w:val="18"/>
          <w:szCs w:val="18"/>
        </w:rPr>
        <w:tab/>
      </w:r>
      <w:r w:rsidRPr="003E0CBA">
        <w:rPr>
          <w:sz w:val="18"/>
          <w:szCs w:val="18"/>
        </w:rPr>
        <w:t>Sytuacja osób starszych w Polsce w 2020 r.,</w:t>
      </w:r>
      <w:r>
        <w:rPr>
          <w:sz w:val="18"/>
          <w:szCs w:val="18"/>
        </w:rPr>
        <w:t xml:space="preserve"> … op. cit., </w:t>
      </w:r>
      <w:r w:rsidRPr="003E0CBA">
        <w:rPr>
          <w:sz w:val="18"/>
          <w:szCs w:val="18"/>
        </w:rPr>
        <w:t>s. 10</w:t>
      </w:r>
      <w:r>
        <w:rPr>
          <w:sz w:val="18"/>
          <w:szCs w:val="18"/>
        </w:rPr>
        <w:t>.</w:t>
      </w:r>
    </w:p>
  </w:footnote>
  <w:footnote w:id="19">
    <w:p w14:paraId="37806171" w14:textId="41FF511E" w:rsidR="00C84DC2" w:rsidRPr="00407ADC" w:rsidRDefault="00C84DC2" w:rsidP="004B6D6C">
      <w:pPr>
        <w:pStyle w:val="Tekstprzypisudolnego"/>
        <w:ind w:left="284" w:hanging="284"/>
        <w:jc w:val="both"/>
        <w:rPr>
          <w:sz w:val="18"/>
          <w:szCs w:val="18"/>
        </w:rPr>
      </w:pPr>
      <w:r w:rsidRPr="00407ADC">
        <w:rPr>
          <w:rStyle w:val="Odwoanieprzypisudolnego"/>
          <w:sz w:val="18"/>
          <w:szCs w:val="18"/>
        </w:rPr>
        <w:footnoteRef/>
      </w:r>
      <w:r w:rsidRPr="004B6D6C">
        <w:rPr>
          <w:sz w:val="18"/>
          <w:szCs w:val="18"/>
          <w:vertAlign w:val="superscript"/>
        </w:rPr>
        <w:t>)</w:t>
      </w:r>
      <w:r>
        <w:rPr>
          <w:sz w:val="18"/>
          <w:szCs w:val="18"/>
        </w:rPr>
        <w:tab/>
      </w:r>
      <w:r w:rsidRPr="00407ADC">
        <w:rPr>
          <w:sz w:val="18"/>
          <w:szCs w:val="18"/>
        </w:rPr>
        <w:t>Biuletyn miesięczny Pracowniczych Planów Kapitałowych, numer 9 (11) – wrzesień 2022 (dane o uczestnikach PPK z</w:t>
      </w:r>
      <w:r>
        <w:rPr>
          <w:sz w:val="18"/>
          <w:szCs w:val="18"/>
        </w:rPr>
        <w:t> </w:t>
      </w:r>
      <w:r w:rsidRPr="00407ADC">
        <w:rPr>
          <w:sz w:val="18"/>
          <w:szCs w:val="18"/>
        </w:rPr>
        <w:t>Ewidencji PPK</w:t>
      </w:r>
      <w:r>
        <w:rPr>
          <w:sz w:val="18"/>
          <w:szCs w:val="18"/>
        </w:rPr>
        <w:t>,</w:t>
      </w:r>
      <w:r w:rsidRPr="00407ADC">
        <w:rPr>
          <w:sz w:val="18"/>
          <w:szCs w:val="18"/>
        </w:rPr>
        <w:t xml:space="preserve"> prowadzonej przez PFR S.A.)</w:t>
      </w:r>
      <w:r>
        <w:rPr>
          <w:sz w:val="18"/>
          <w:szCs w:val="18"/>
        </w:rPr>
        <w:t>.</w:t>
      </w:r>
    </w:p>
  </w:footnote>
  <w:footnote w:id="20">
    <w:p w14:paraId="5327019E" w14:textId="599C8163" w:rsidR="00C84DC2" w:rsidRDefault="00C84DC2" w:rsidP="004B6D6C">
      <w:pPr>
        <w:pStyle w:val="Tekstprzypisudolnego"/>
        <w:ind w:left="284" w:hanging="284"/>
        <w:jc w:val="both"/>
      </w:pPr>
      <w:r>
        <w:rPr>
          <w:rStyle w:val="Odwoanieprzypisudolnego"/>
        </w:rPr>
        <w:footnoteRef/>
      </w:r>
      <w:r w:rsidRPr="004B6D6C">
        <w:rPr>
          <w:vertAlign w:val="superscript"/>
        </w:rPr>
        <w:t>)</w:t>
      </w:r>
      <w:r>
        <w:tab/>
      </w:r>
      <w:r w:rsidRPr="00765397">
        <w:rPr>
          <w:sz w:val="18"/>
          <w:szCs w:val="18"/>
        </w:rPr>
        <w:t>https://www.knf.gov.pl/</w:t>
      </w:r>
    </w:p>
  </w:footnote>
  <w:footnote w:id="21">
    <w:p w14:paraId="1A75F4E0" w14:textId="641C9B7D" w:rsidR="00C84DC2" w:rsidRPr="00621ACD" w:rsidRDefault="00C84DC2" w:rsidP="004B6D6C">
      <w:pPr>
        <w:pStyle w:val="Tekstprzypisudolnego"/>
        <w:ind w:left="284" w:hanging="284"/>
        <w:jc w:val="both"/>
        <w:rPr>
          <w:sz w:val="18"/>
          <w:szCs w:val="18"/>
        </w:rPr>
      </w:pPr>
      <w:r>
        <w:rPr>
          <w:rStyle w:val="Odwoanieprzypisudolnego"/>
        </w:rPr>
        <w:footnoteRef/>
      </w:r>
      <w:r w:rsidRPr="004B6D6C">
        <w:rPr>
          <w:vertAlign w:val="superscript"/>
        </w:rPr>
        <w:t>)</w:t>
      </w:r>
      <w:r>
        <w:tab/>
      </w:r>
      <w:r w:rsidRPr="00621ACD">
        <w:rPr>
          <w:sz w:val="18"/>
          <w:szCs w:val="18"/>
        </w:rPr>
        <w:t xml:space="preserve">Inflacja w strefie euro przyspieszyła w </w:t>
      </w:r>
      <w:r>
        <w:rPr>
          <w:sz w:val="18"/>
          <w:szCs w:val="18"/>
        </w:rPr>
        <w:t>październiku</w:t>
      </w:r>
      <w:r w:rsidRPr="00621ACD">
        <w:rPr>
          <w:sz w:val="18"/>
          <w:szCs w:val="18"/>
        </w:rPr>
        <w:t xml:space="preserve"> do </w:t>
      </w:r>
      <w:r>
        <w:rPr>
          <w:sz w:val="18"/>
          <w:szCs w:val="18"/>
        </w:rPr>
        <w:t>10,6</w:t>
      </w:r>
      <w:r w:rsidRPr="00621ACD">
        <w:rPr>
          <w:sz w:val="18"/>
          <w:szCs w:val="18"/>
        </w:rPr>
        <w:t xml:space="preserve">%, w Unii Europejskiej do </w:t>
      </w:r>
      <w:r>
        <w:rPr>
          <w:sz w:val="18"/>
          <w:szCs w:val="18"/>
        </w:rPr>
        <w:t>11,5</w:t>
      </w:r>
      <w:r w:rsidRPr="00621ACD">
        <w:rPr>
          <w:sz w:val="18"/>
          <w:szCs w:val="18"/>
        </w:rPr>
        <w:t>%</w:t>
      </w:r>
      <w:r>
        <w:rPr>
          <w:sz w:val="18"/>
          <w:szCs w:val="18"/>
        </w:rPr>
        <w:t xml:space="preserve"> (wg danych Eurostatu)</w:t>
      </w:r>
      <w:r w:rsidRPr="00621ACD">
        <w:rPr>
          <w:sz w:val="18"/>
          <w:szCs w:val="18"/>
        </w:rPr>
        <w:t xml:space="preserve">. </w:t>
      </w:r>
    </w:p>
  </w:footnote>
  <w:footnote w:id="22">
    <w:p w14:paraId="4702F36A" w14:textId="3885F329" w:rsidR="00C84DC2" w:rsidRDefault="00C84DC2" w:rsidP="004B6D6C">
      <w:pPr>
        <w:pStyle w:val="Tekstprzypisudolnego"/>
        <w:ind w:left="284" w:hanging="284"/>
        <w:jc w:val="both"/>
      </w:pPr>
      <w:r>
        <w:rPr>
          <w:rStyle w:val="Odwoanieprzypisudolnego"/>
        </w:rPr>
        <w:footnoteRef/>
      </w:r>
      <w:r w:rsidRPr="004B6D6C">
        <w:rPr>
          <w:vertAlign w:val="superscript"/>
        </w:rPr>
        <w:t>)</w:t>
      </w:r>
      <w:r>
        <w:tab/>
      </w:r>
      <w:r w:rsidRPr="004F7A83">
        <w:rPr>
          <w:sz w:val="18"/>
          <w:szCs w:val="18"/>
        </w:rPr>
        <w:t>Punktem odniesienia dla opracowania był grudzień 202</w:t>
      </w:r>
      <w:r>
        <w:rPr>
          <w:sz w:val="18"/>
          <w:szCs w:val="18"/>
        </w:rPr>
        <w:t>0</w:t>
      </w:r>
      <w:r w:rsidRPr="004F7A83">
        <w:rPr>
          <w:sz w:val="18"/>
          <w:szCs w:val="18"/>
        </w:rPr>
        <w:t xml:space="preserve"> r., przy ówczesnym kurs</w:t>
      </w:r>
      <w:r>
        <w:rPr>
          <w:sz w:val="18"/>
          <w:szCs w:val="18"/>
        </w:rPr>
        <w:t>ie</w:t>
      </w:r>
      <w:r w:rsidRPr="004F7A83">
        <w:rPr>
          <w:sz w:val="18"/>
          <w:szCs w:val="18"/>
        </w:rPr>
        <w:t xml:space="preserve"> dolara 3,7 zł, dla Polski dane nie były kompletne i zostały doszacowane.</w:t>
      </w:r>
    </w:p>
  </w:footnote>
  <w:footnote w:id="23">
    <w:p w14:paraId="6222AE56" w14:textId="3002BDBC" w:rsidR="00C84DC2" w:rsidRDefault="00C84DC2" w:rsidP="004B6D6C">
      <w:pPr>
        <w:pStyle w:val="Tekstprzypisudolnego"/>
        <w:ind w:left="284" w:hanging="284"/>
        <w:jc w:val="both"/>
      </w:pPr>
      <w:r>
        <w:rPr>
          <w:rStyle w:val="Odwoanieprzypisudolnego"/>
        </w:rPr>
        <w:footnoteRef/>
      </w:r>
      <w:r w:rsidRPr="004B6D6C">
        <w:rPr>
          <w:vertAlign w:val="superscript"/>
        </w:rPr>
        <w:t>)</w:t>
      </w:r>
      <w:r>
        <w:tab/>
      </w:r>
      <w:r w:rsidRPr="008D64D3">
        <w:rPr>
          <w:sz w:val="18"/>
          <w:szCs w:val="18"/>
        </w:rPr>
        <w:t>CBM Indicator</w:t>
      </w:r>
      <w:r>
        <w:rPr>
          <w:sz w:val="18"/>
          <w:szCs w:val="18"/>
        </w:rPr>
        <w:t xml:space="preserve"> (2022)</w:t>
      </w:r>
      <w:r w:rsidRPr="008D64D3">
        <w:rPr>
          <w:sz w:val="18"/>
          <w:szCs w:val="18"/>
        </w:rPr>
        <w:t xml:space="preserve">, Badanie </w:t>
      </w:r>
      <w:r>
        <w:rPr>
          <w:sz w:val="18"/>
          <w:szCs w:val="18"/>
        </w:rPr>
        <w:t>–</w:t>
      </w:r>
      <w:r w:rsidRPr="008D64D3">
        <w:rPr>
          <w:sz w:val="18"/>
          <w:szCs w:val="18"/>
        </w:rPr>
        <w:t xml:space="preserve"> Poziom wiedzy finansowej Polaków 2022 na zlecenie WIB oraz Fundacji GPW</w:t>
      </w:r>
      <w:r>
        <w:rPr>
          <w:sz w:val="18"/>
          <w:szCs w:val="18"/>
        </w:rPr>
        <w:t>.</w:t>
      </w:r>
      <w:r w:rsidRPr="008D64D3">
        <w:rPr>
          <w:sz w:val="18"/>
          <w:szCs w:val="18"/>
        </w:rPr>
        <w:t xml:space="preserve"> </w:t>
      </w:r>
    </w:p>
  </w:footnote>
  <w:footnote w:id="24">
    <w:p w14:paraId="67870E0E" w14:textId="22AF7A33" w:rsidR="00C84DC2" w:rsidRPr="009A6934" w:rsidRDefault="00C84DC2" w:rsidP="004B6D6C">
      <w:pPr>
        <w:pStyle w:val="Tekstprzypisudolnego"/>
        <w:ind w:left="284" w:hanging="284"/>
        <w:jc w:val="both"/>
        <w:rPr>
          <w:lang w:val="en-PH"/>
        </w:rPr>
      </w:pPr>
      <w:r>
        <w:rPr>
          <w:rStyle w:val="Odwoanieprzypisudolnego"/>
        </w:rPr>
        <w:footnoteRef/>
      </w:r>
      <w:r w:rsidRPr="004B6D6C">
        <w:rPr>
          <w:vertAlign w:val="superscript"/>
          <w:lang w:val="en-PH"/>
        </w:rPr>
        <w:t>)</w:t>
      </w:r>
      <w:r>
        <w:rPr>
          <w:lang w:val="en-PH"/>
        </w:rPr>
        <w:tab/>
      </w:r>
      <w:r>
        <w:rPr>
          <w:sz w:val="18"/>
          <w:szCs w:val="18"/>
          <w:lang w:val="en-PH"/>
        </w:rPr>
        <w:t>Tamże.</w:t>
      </w:r>
    </w:p>
  </w:footnote>
  <w:footnote w:id="25">
    <w:p w14:paraId="43330FBE" w14:textId="0EBD7E5B" w:rsidR="00C84DC2" w:rsidRPr="004F2940" w:rsidRDefault="00C84DC2" w:rsidP="004B6D6C">
      <w:pPr>
        <w:pStyle w:val="Tekstprzypisudolnego"/>
        <w:ind w:left="284" w:hanging="284"/>
        <w:jc w:val="both"/>
        <w:rPr>
          <w:sz w:val="18"/>
          <w:szCs w:val="18"/>
          <w:lang w:val="en-US"/>
        </w:rPr>
      </w:pPr>
      <w:r w:rsidRPr="004F2940">
        <w:rPr>
          <w:rFonts w:cstheme="minorHAnsi"/>
          <w:sz w:val="18"/>
          <w:szCs w:val="18"/>
          <w:vertAlign w:val="superscript"/>
        </w:rPr>
        <w:footnoteRef/>
      </w:r>
      <w:r w:rsidRPr="004B6D6C">
        <w:rPr>
          <w:rFonts w:ascii="Times New Roman" w:hAnsi="Times New Roman" w:cs="Times New Roman"/>
          <w:sz w:val="18"/>
          <w:szCs w:val="18"/>
          <w:vertAlign w:val="superscript"/>
          <w:lang w:val="en-US"/>
        </w:rPr>
        <w:t>)</w:t>
      </w:r>
      <w:r>
        <w:rPr>
          <w:rFonts w:ascii="Times New Roman" w:hAnsi="Times New Roman" w:cs="Times New Roman"/>
          <w:sz w:val="18"/>
          <w:szCs w:val="18"/>
          <w:lang w:val="en-US"/>
        </w:rPr>
        <w:tab/>
        <w:t>OECD (2021),</w:t>
      </w:r>
      <w:r w:rsidRPr="004F2940">
        <w:rPr>
          <w:rFonts w:ascii="Times New Roman" w:hAnsi="Times New Roman" w:cs="Times New Roman"/>
          <w:sz w:val="18"/>
          <w:szCs w:val="18"/>
          <w:lang w:val="en-US"/>
        </w:rPr>
        <w:t xml:space="preserve"> </w:t>
      </w:r>
      <w:r w:rsidRPr="004F2940">
        <w:rPr>
          <w:sz w:val="18"/>
          <w:szCs w:val="18"/>
          <w:lang w:val="en-US"/>
        </w:rPr>
        <w:t xml:space="preserve">Pension at </w:t>
      </w:r>
      <w:r>
        <w:rPr>
          <w:sz w:val="18"/>
          <w:szCs w:val="18"/>
          <w:lang w:val="en-US"/>
        </w:rPr>
        <w:t>a</w:t>
      </w:r>
      <w:r w:rsidRPr="004F2940">
        <w:rPr>
          <w:sz w:val="18"/>
          <w:szCs w:val="18"/>
          <w:lang w:val="en-US"/>
        </w:rPr>
        <w:t xml:space="preserve"> Glance 2021</w:t>
      </w:r>
      <w:r>
        <w:rPr>
          <w:sz w:val="18"/>
          <w:szCs w:val="18"/>
          <w:lang w:val="en-US"/>
        </w:rPr>
        <w:t>.</w:t>
      </w:r>
    </w:p>
  </w:footnote>
  <w:footnote w:id="26">
    <w:p w14:paraId="18EFD201" w14:textId="7380D160" w:rsidR="00C84DC2" w:rsidRPr="004F2940" w:rsidRDefault="00C84DC2" w:rsidP="004B6D6C">
      <w:pPr>
        <w:pStyle w:val="Tekstprzypisudolnego"/>
        <w:ind w:left="284" w:hanging="284"/>
        <w:jc w:val="both"/>
        <w:rPr>
          <w:sz w:val="18"/>
          <w:szCs w:val="18"/>
          <w:lang w:val="en-US"/>
        </w:rPr>
      </w:pPr>
      <w:r w:rsidRPr="004F2940">
        <w:rPr>
          <w:sz w:val="18"/>
          <w:szCs w:val="18"/>
          <w:vertAlign w:val="superscript"/>
        </w:rPr>
        <w:footnoteRef/>
      </w:r>
      <w:r w:rsidRPr="004B6D6C">
        <w:rPr>
          <w:sz w:val="18"/>
          <w:szCs w:val="18"/>
          <w:vertAlign w:val="superscript"/>
          <w:lang w:val="en-US"/>
        </w:rPr>
        <w:t>)</w:t>
      </w:r>
      <w:r>
        <w:rPr>
          <w:sz w:val="18"/>
          <w:szCs w:val="18"/>
          <w:lang w:val="en-US"/>
        </w:rPr>
        <w:tab/>
      </w:r>
      <w:r w:rsidRPr="00215943">
        <w:rPr>
          <w:rFonts w:ascii="Calibri" w:eastAsia="Calibri" w:hAnsi="Calibri" w:cs="Times New Roman"/>
          <w:sz w:val="18"/>
          <w:szCs w:val="18"/>
          <w:lang w:val="en-US"/>
        </w:rPr>
        <w:t>U.S. Department of Labor, Bureau of Labor Statistics (</w:t>
      </w:r>
      <w:r>
        <w:rPr>
          <w:rFonts w:ascii="Calibri" w:eastAsia="Calibri" w:hAnsi="Calibri" w:cs="Times New Roman"/>
          <w:sz w:val="18"/>
          <w:szCs w:val="18"/>
          <w:lang w:val="en-US"/>
        </w:rPr>
        <w:t>2021</w:t>
      </w:r>
      <w:r w:rsidRPr="00215943">
        <w:rPr>
          <w:rFonts w:ascii="Calibri" w:eastAsia="Calibri" w:hAnsi="Calibri" w:cs="Times New Roman"/>
          <w:sz w:val="18"/>
          <w:szCs w:val="18"/>
          <w:lang w:val="en-US"/>
        </w:rPr>
        <w:t>), National Compensation Survey: Employee Benefits in the United States, March 2021</w:t>
      </w:r>
      <w:r>
        <w:rPr>
          <w:rFonts w:ascii="Calibri" w:eastAsia="Calibri" w:hAnsi="Calibri" w:cs="Times New Roman"/>
          <w:sz w:val="18"/>
          <w:szCs w:val="18"/>
          <w:lang w:val="en-US"/>
        </w:rPr>
        <w:t xml:space="preserve"> </w:t>
      </w:r>
      <w:r w:rsidRPr="00012AA3">
        <w:rPr>
          <w:rFonts w:ascii="Calibri" w:eastAsia="Calibri" w:hAnsi="Calibri" w:cs="Times New Roman"/>
          <w:sz w:val="18"/>
          <w:szCs w:val="18"/>
          <w:lang w:val="en-US"/>
        </w:rPr>
        <w:t>https://www.bls.gov/ncs/ebs/benefits/2021/employee-benefits-in-the-united-states-march-2021.pdf</w:t>
      </w:r>
    </w:p>
  </w:footnote>
  <w:footnote w:id="27">
    <w:p w14:paraId="43582C02" w14:textId="2FED46A3" w:rsidR="00C84DC2" w:rsidRPr="00DB6E01" w:rsidRDefault="00C84DC2" w:rsidP="004B6D6C">
      <w:pPr>
        <w:pStyle w:val="Tekstprzypisudolnego"/>
        <w:ind w:left="284" w:hanging="284"/>
        <w:jc w:val="both"/>
        <w:rPr>
          <w:sz w:val="18"/>
          <w:szCs w:val="18"/>
          <w:lang w:val="en-US"/>
        </w:rPr>
      </w:pPr>
      <w:r w:rsidRPr="004F2940">
        <w:rPr>
          <w:rStyle w:val="Odwoanieprzypisudolnego"/>
          <w:sz w:val="18"/>
          <w:szCs w:val="18"/>
        </w:rPr>
        <w:footnoteRef/>
      </w:r>
      <w:r w:rsidRPr="004B6D6C">
        <w:rPr>
          <w:sz w:val="18"/>
          <w:szCs w:val="18"/>
          <w:vertAlign w:val="superscript"/>
          <w:lang w:val="en-US"/>
        </w:rPr>
        <w:t>)</w:t>
      </w:r>
      <w:r>
        <w:rPr>
          <w:sz w:val="18"/>
          <w:szCs w:val="18"/>
          <w:lang w:val="en-US"/>
        </w:rPr>
        <w:tab/>
      </w:r>
      <w:r w:rsidRPr="004F2940">
        <w:rPr>
          <w:sz w:val="18"/>
          <w:szCs w:val="18"/>
          <w:lang w:val="en-US"/>
        </w:rPr>
        <w:t>New Zealand Institute of Economic Research (2015)</w:t>
      </w:r>
      <w:r>
        <w:rPr>
          <w:sz w:val="18"/>
          <w:szCs w:val="18"/>
          <w:lang w:val="en-US"/>
        </w:rPr>
        <w:t>,</w:t>
      </w:r>
      <w:r w:rsidRPr="004F2940">
        <w:rPr>
          <w:sz w:val="18"/>
          <w:szCs w:val="18"/>
          <w:lang w:val="en-US"/>
        </w:rPr>
        <w:t xml:space="preserve"> KiwiSaver and the wealth of New Zealanders</w:t>
      </w:r>
      <w:r w:rsidRPr="00DB6E01">
        <w:rPr>
          <w:sz w:val="18"/>
          <w:szCs w:val="18"/>
          <w:lang w:val="de-CH"/>
        </w:rPr>
        <w:t xml:space="preserve"> https://www.interest.co.nz/sites/default/files/embedded_images/Kiwisaver%20review%20FINAL%20Aug%2020%283%29.pdf</w:t>
      </w:r>
    </w:p>
  </w:footnote>
  <w:footnote w:id="28">
    <w:p w14:paraId="289D12AF" w14:textId="358480E3" w:rsidR="00C84DC2" w:rsidRPr="004F2940" w:rsidRDefault="00C84DC2" w:rsidP="004B6D6C">
      <w:pPr>
        <w:pStyle w:val="Tekstprzypisudolnego"/>
        <w:ind w:left="284" w:hanging="284"/>
        <w:jc w:val="both"/>
        <w:rPr>
          <w:sz w:val="18"/>
          <w:szCs w:val="18"/>
        </w:rPr>
      </w:pPr>
      <w:r w:rsidRPr="004F2940">
        <w:rPr>
          <w:rStyle w:val="Odwoanieprzypisudolnego"/>
          <w:sz w:val="18"/>
          <w:szCs w:val="18"/>
        </w:rPr>
        <w:footnoteRef/>
      </w:r>
      <w:r w:rsidRPr="004B6D6C">
        <w:rPr>
          <w:sz w:val="18"/>
          <w:szCs w:val="18"/>
          <w:vertAlign w:val="superscript"/>
        </w:rPr>
        <w:t>)</w:t>
      </w:r>
      <w:r>
        <w:rPr>
          <w:sz w:val="18"/>
          <w:szCs w:val="18"/>
        </w:rPr>
        <w:tab/>
        <w:t>O</w:t>
      </w:r>
      <w:r w:rsidRPr="00A45BDB">
        <w:rPr>
          <w:sz w:val="18"/>
          <w:szCs w:val="18"/>
        </w:rPr>
        <w:t xml:space="preserve">pracowanie PFR Portal PPK </w:t>
      </w:r>
      <w:r w:rsidRPr="004F2940">
        <w:rPr>
          <w:sz w:val="18"/>
          <w:szCs w:val="18"/>
        </w:rPr>
        <w:t xml:space="preserve">na podstawie Inland </w:t>
      </w:r>
      <w:r>
        <w:rPr>
          <w:sz w:val="18"/>
          <w:szCs w:val="18"/>
        </w:rPr>
        <w:t>Revenue NZ</w:t>
      </w:r>
      <w:r w:rsidRPr="004F2940">
        <w:rPr>
          <w:sz w:val="18"/>
          <w:szCs w:val="18"/>
        </w:rPr>
        <w:t xml:space="preserve"> i Stats NZ</w:t>
      </w:r>
      <w:r>
        <w:rPr>
          <w:sz w:val="18"/>
          <w:szCs w:val="18"/>
        </w:rPr>
        <w:t>.</w:t>
      </w:r>
    </w:p>
  </w:footnote>
  <w:footnote w:id="29">
    <w:p w14:paraId="2CE281C4" w14:textId="5E3348A6" w:rsidR="00C84DC2" w:rsidRPr="00C421B1" w:rsidRDefault="00C84DC2" w:rsidP="004B6D6C">
      <w:pPr>
        <w:pStyle w:val="Tekstprzypisudolnego"/>
        <w:ind w:left="284" w:hanging="284"/>
        <w:jc w:val="both"/>
        <w:rPr>
          <w:sz w:val="18"/>
          <w:szCs w:val="18"/>
          <w:lang w:val="en-US"/>
        </w:rPr>
      </w:pPr>
      <w:r w:rsidRPr="004F2940">
        <w:rPr>
          <w:rStyle w:val="Odwoanieprzypisudolnego"/>
          <w:sz w:val="18"/>
          <w:szCs w:val="18"/>
        </w:rPr>
        <w:footnoteRef/>
      </w:r>
      <w:r w:rsidRPr="004B6D6C">
        <w:rPr>
          <w:sz w:val="18"/>
          <w:szCs w:val="18"/>
          <w:vertAlign w:val="superscript"/>
          <w:lang w:val="en-US"/>
        </w:rPr>
        <w:t>)</w:t>
      </w:r>
      <w:r>
        <w:rPr>
          <w:sz w:val="18"/>
          <w:szCs w:val="18"/>
          <w:lang w:val="en-US"/>
        </w:rPr>
        <w:tab/>
      </w:r>
      <w:r w:rsidRPr="004F2940">
        <w:rPr>
          <w:sz w:val="18"/>
          <w:szCs w:val="18"/>
          <w:lang w:val="en-US"/>
        </w:rPr>
        <w:t>Department for Work &amp; Pensions</w:t>
      </w:r>
      <w:r>
        <w:rPr>
          <w:sz w:val="18"/>
          <w:szCs w:val="18"/>
          <w:lang w:val="en-US"/>
        </w:rPr>
        <w:t xml:space="preserve"> (2022)</w:t>
      </w:r>
      <w:r w:rsidRPr="004F2940">
        <w:rPr>
          <w:sz w:val="18"/>
          <w:szCs w:val="18"/>
          <w:lang w:val="en-US"/>
        </w:rPr>
        <w:t>, Official Statistics: Workplace pension participation and savings trends of e</w:t>
      </w:r>
      <w:r>
        <w:rPr>
          <w:sz w:val="18"/>
          <w:szCs w:val="18"/>
          <w:lang w:val="en-US"/>
        </w:rPr>
        <w:t>ligible employees: 2009 to 2021.</w:t>
      </w:r>
    </w:p>
  </w:footnote>
  <w:footnote w:id="30">
    <w:p w14:paraId="08990CE8" w14:textId="6B925C55" w:rsidR="00C84DC2" w:rsidRPr="00765397" w:rsidRDefault="00C84DC2" w:rsidP="004B6D6C">
      <w:pPr>
        <w:pStyle w:val="Tekstprzypisudolnego"/>
        <w:ind w:left="284" w:hanging="284"/>
        <w:jc w:val="both"/>
        <w:rPr>
          <w:rStyle w:val="cf01"/>
          <w:rFonts w:asciiTheme="minorHAnsi" w:hAnsiTheme="minorHAnsi" w:cstheme="minorHAnsi"/>
        </w:rPr>
      </w:pPr>
      <w:r>
        <w:rPr>
          <w:rStyle w:val="Odwoanieprzypisudolnego"/>
        </w:rPr>
        <w:footnoteRef/>
      </w:r>
      <w:r w:rsidRPr="004B6D6C">
        <w:rPr>
          <w:vertAlign w:val="superscript"/>
        </w:rPr>
        <w:t>)</w:t>
      </w:r>
      <w:r>
        <w:tab/>
      </w:r>
      <w:r w:rsidRPr="00436396">
        <w:rPr>
          <w:sz w:val="18"/>
          <w:szCs w:val="18"/>
        </w:rPr>
        <w:t>Główny Urząd Statystyczny (2022), Produkt krajowy brutto i wartość dodana brutto w przekroju regionów w 2020 r.</w:t>
      </w:r>
    </w:p>
  </w:footnote>
  <w:footnote w:id="31">
    <w:p w14:paraId="7290C571" w14:textId="5D07A6B6" w:rsidR="00C84DC2" w:rsidRDefault="00C84DC2" w:rsidP="004B6D6C">
      <w:pPr>
        <w:pStyle w:val="Tekstprzypisudolnego"/>
        <w:ind w:left="284" w:hanging="284"/>
        <w:jc w:val="both"/>
      </w:pPr>
      <w:r>
        <w:rPr>
          <w:rStyle w:val="Odwoanieprzypisudolnego"/>
        </w:rPr>
        <w:footnoteRef/>
      </w:r>
      <w:r w:rsidRPr="004B6D6C">
        <w:rPr>
          <w:vertAlign w:val="superscript"/>
        </w:rPr>
        <w:t>)</w:t>
      </w:r>
      <w:r>
        <w:tab/>
      </w:r>
      <w:r w:rsidRPr="00436396">
        <w:rPr>
          <w:rFonts w:cstheme="minorHAnsi"/>
          <w:sz w:val="18"/>
          <w:szCs w:val="18"/>
        </w:rPr>
        <w:t>Główny Urząd Statystyczny (2022), Ludność według cech społecznych – wyniki wstępne 31 maja 2022 r. Narodowy Spis Powszechny 2021</w:t>
      </w:r>
      <w:r>
        <w:rPr>
          <w:rFonts w:cstheme="minorHAnsi"/>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E0F05"/>
    <w:multiLevelType w:val="hybridMultilevel"/>
    <w:tmpl w:val="BA0297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5736EE"/>
    <w:multiLevelType w:val="hybridMultilevel"/>
    <w:tmpl w:val="2DBE17F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887F45"/>
    <w:multiLevelType w:val="hybridMultilevel"/>
    <w:tmpl w:val="BD3AE2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0BC2428"/>
    <w:multiLevelType w:val="hybridMultilevel"/>
    <w:tmpl w:val="A6D022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4F2179"/>
    <w:multiLevelType w:val="hybridMultilevel"/>
    <w:tmpl w:val="8FB24C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2A862D4"/>
    <w:multiLevelType w:val="hybridMultilevel"/>
    <w:tmpl w:val="B3F40FEC"/>
    <w:lvl w:ilvl="0" w:tplc="0415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656171"/>
    <w:multiLevelType w:val="hybridMultilevel"/>
    <w:tmpl w:val="89E22248"/>
    <w:lvl w:ilvl="0" w:tplc="6472D142">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B2A4412"/>
    <w:multiLevelType w:val="hybridMultilevel"/>
    <w:tmpl w:val="3A0EB4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0797142"/>
    <w:multiLevelType w:val="hybridMultilevel"/>
    <w:tmpl w:val="88DCDA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5BA1451"/>
    <w:multiLevelType w:val="multilevel"/>
    <w:tmpl w:val="3B7C98AA"/>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55685C"/>
    <w:multiLevelType w:val="hybridMultilevel"/>
    <w:tmpl w:val="ABAA1F36"/>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1" w15:restartNumberingAfterBreak="0">
    <w:nsid w:val="32DD759C"/>
    <w:multiLevelType w:val="hybridMultilevel"/>
    <w:tmpl w:val="72B62D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1C773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AE01B1"/>
    <w:multiLevelType w:val="hybridMultilevel"/>
    <w:tmpl w:val="27183F4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3A5874C9"/>
    <w:multiLevelType w:val="multilevel"/>
    <w:tmpl w:val="0415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B2C413D"/>
    <w:multiLevelType w:val="hybridMultilevel"/>
    <w:tmpl w:val="07A0E7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D1B75FF"/>
    <w:multiLevelType w:val="hybridMultilevel"/>
    <w:tmpl w:val="BE10F588"/>
    <w:lvl w:ilvl="0" w:tplc="04150013">
      <w:start w:val="1"/>
      <w:numFmt w:val="upperRoman"/>
      <w:lvlText w:val="%1."/>
      <w:lvlJc w:val="right"/>
      <w:pPr>
        <w:ind w:left="360" w:hanging="360"/>
      </w:pPr>
    </w:lvl>
    <w:lvl w:ilvl="1" w:tplc="1D9C494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2225046"/>
    <w:multiLevelType w:val="hybridMultilevel"/>
    <w:tmpl w:val="8BAA78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5534DD3"/>
    <w:multiLevelType w:val="hybridMultilevel"/>
    <w:tmpl w:val="D80CF4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AC4172B"/>
    <w:multiLevelType w:val="hybridMultilevel"/>
    <w:tmpl w:val="16BC93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F681960"/>
    <w:multiLevelType w:val="hybridMultilevel"/>
    <w:tmpl w:val="73C48D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34B2BE9"/>
    <w:multiLevelType w:val="hybridMultilevel"/>
    <w:tmpl w:val="910CEB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48C4B90"/>
    <w:multiLevelType w:val="hybridMultilevel"/>
    <w:tmpl w:val="54C468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80E4F74"/>
    <w:multiLevelType w:val="hybridMultilevel"/>
    <w:tmpl w:val="BEC2AF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B6159D0"/>
    <w:multiLevelType w:val="hybridMultilevel"/>
    <w:tmpl w:val="936E54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0D80910"/>
    <w:multiLevelType w:val="hybridMultilevel"/>
    <w:tmpl w:val="AC3033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1194AE6"/>
    <w:multiLevelType w:val="hybridMultilevel"/>
    <w:tmpl w:val="955082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36D24C1"/>
    <w:multiLevelType w:val="hybridMultilevel"/>
    <w:tmpl w:val="740665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5780187"/>
    <w:multiLevelType w:val="hybridMultilevel"/>
    <w:tmpl w:val="78E8BA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A13342C"/>
    <w:multiLevelType w:val="hybridMultilevel"/>
    <w:tmpl w:val="73E462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A3F4588"/>
    <w:multiLevelType w:val="hybridMultilevel"/>
    <w:tmpl w:val="83526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FC05643"/>
    <w:multiLevelType w:val="hybridMultilevel"/>
    <w:tmpl w:val="DDD60544"/>
    <w:lvl w:ilvl="0" w:tplc="040EEF2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22254FE"/>
    <w:multiLevelType w:val="hybridMultilevel"/>
    <w:tmpl w:val="A99A1B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35A26A9"/>
    <w:multiLevelType w:val="hybridMultilevel"/>
    <w:tmpl w:val="53123934"/>
    <w:lvl w:ilvl="0" w:tplc="CCD20816">
      <w:start w:val="1"/>
      <w:numFmt w:val="decimal"/>
      <w:lvlText w:val="%1."/>
      <w:lvlJc w:val="left"/>
      <w:pPr>
        <w:ind w:left="720" w:hanging="360"/>
      </w:pPr>
      <w:rPr>
        <w:rFonts w:asciiTheme="majorHAnsi" w:hAnsiTheme="majorHAnsi" w:cstheme="maj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8F06D95"/>
    <w:multiLevelType w:val="hybridMultilevel"/>
    <w:tmpl w:val="5D6A48D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7A4D2151"/>
    <w:multiLevelType w:val="hybridMultilevel"/>
    <w:tmpl w:val="BED8FBFC"/>
    <w:lvl w:ilvl="0" w:tplc="04150001">
      <w:start w:val="1"/>
      <w:numFmt w:val="bullet"/>
      <w:lvlText w:val=""/>
      <w:lvlJc w:val="left"/>
      <w:pPr>
        <w:ind w:left="1791" w:hanging="360"/>
      </w:pPr>
      <w:rPr>
        <w:rFonts w:ascii="Symbol" w:hAnsi="Symbol" w:hint="default"/>
      </w:rPr>
    </w:lvl>
    <w:lvl w:ilvl="1" w:tplc="04150003" w:tentative="1">
      <w:start w:val="1"/>
      <w:numFmt w:val="bullet"/>
      <w:lvlText w:val="o"/>
      <w:lvlJc w:val="left"/>
      <w:pPr>
        <w:ind w:left="2511" w:hanging="360"/>
      </w:pPr>
      <w:rPr>
        <w:rFonts w:ascii="Courier New" w:hAnsi="Courier New" w:cs="Courier New" w:hint="default"/>
      </w:rPr>
    </w:lvl>
    <w:lvl w:ilvl="2" w:tplc="04150005" w:tentative="1">
      <w:start w:val="1"/>
      <w:numFmt w:val="bullet"/>
      <w:lvlText w:val=""/>
      <w:lvlJc w:val="left"/>
      <w:pPr>
        <w:ind w:left="3231" w:hanging="360"/>
      </w:pPr>
      <w:rPr>
        <w:rFonts w:ascii="Wingdings" w:hAnsi="Wingdings" w:hint="default"/>
      </w:rPr>
    </w:lvl>
    <w:lvl w:ilvl="3" w:tplc="04150001" w:tentative="1">
      <w:start w:val="1"/>
      <w:numFmt w:val="bullet"/>
      <w:lvlText w:val=""/>
      <w:lvlJc w:val="left"/>
      <w:pPr>
        <w:ind w:left="3951" w:hanging="360"/>
      </w:pPr>
      <w:rPr>
        <w:rFonts w:ascii="Symbol" w:hAnsi="Symbol" w:hint="default"/>
      </w:rPr>
    </w:lvl>
    <w:lvl w:ilvl="4" w:tplc="04150003" w:tentative="1">
      <w:start w:val="1"/>
      <w:numFmt w:val="bullet"/>
      <w:lvlText w:val="o"/>
      <w:lvlJc w:val="left"/>
      <w:pPr>
        <w:ind w:left="4671" w:hanging="360"/>
      </w:pPr>
      <w:rPr>
        <w:rFonts w:ascii="Courier New" w:hAnsi="Courier New" w:cs="Courier New" w:hint="default"/>
      </w:rPr>
    </w:lvl>
    <w:lvl w:ilvl="5" w:tplc="04150005" w:tentative="1">
      <w:start w:val="1"/>
      <w:numFmt w:val="bullet"/>
      <w:lvlText w:val=""/>
      <w:lvlJc w:val="left"/>
      <w:pPr>
        <w:ind w:left="5391" w:hanging="360"/>
      </w:pPr>
      <w:rPr>
        <w:rFonts w:ascii="Wingdings" w:hAnsi="Wingdings" w:hint="default"/>
      </w:rPr>
    </w:lvl>
    <w:lvl w:ilvl="6" w:tplc="04150001" w:tentative="1">
      <w:start w:val="1"/>
      <w:numFmt w:val="bullet"/>
      <w:lvlText w:val=""/>
      <w:lvlJc w:val="left"/>
      <w:pPr>
        <w:ind w:left="6111" w:hanging="360"/>
      </w:pPr>
      <w:rPr>
        <w:rFonts w:ascii="Symbol" w:hAnsi="Symbol" w:hint="default"/>
      </w:rPr>
    </w:lvl>
    <w:lvl w:ilvl="7" w:tplc="04150003" w:tentative="1">
      <w:start w:val="1"/>
      <w:numFmt w:val="bullet"/>
      <w:lvlText w:val="o"/>
      <w:lvlJc w:val="left"/>
      <w:pPr>
        <w:ind w:left="6831" w:hanging="360"/>
      </w:pPr>
      <w:rPr>
        <w:rFonts w:ascii="Courier New" w:hAnsi="Courier New" w:cs="Courier New" w:hint="default"/>
      </w:rPr>
    </w:lvl>
    <w:lvl w:ilvl="8" w:tplc="04150005" w:tentative="1">
      <w:start w:val="1"/>
      <w:numFmt w:val="bullet"/>
      <w:lvlText w:val=""/>
      <w:lvlJc w:val="left"/>
      <w:pPr>
        <w:ind w:left="7551" w:hanging="360"/>
      </w:pPr>
      <w:rPr>
        <w:rFonts w:ascii="Wingdings" w:hAnsi="Wingdings" w:hint="default"/>
      </w:rPr>
    </w:lvl>
  </w:abstractNum>
  <w:num w:numId="1">
    <w:abstractNumId w:val="24"/>
  </w:num>
  <w:num w:numId="2">
    <w:abstractNumId w:val="7"/>
  </w:num>
  <w:num w:numId="3">
    <w:abstractNumId w:val="34"/>
  </w:num>
  <w:num w:numId="4">
    <w:abstractNumId w:val="19"/>
  </w:num>
  <w:num w:numId="5">
    <w:abstractNumId w:val="22"/>
  </w:num>
  <w:num w:numId="6">
    <w:abstractNumId w:val="3"/>
  </w:num>
  <w:num w:numId="7">
    <w:abstractNumId w:val="23"/>
  </w:num>
  <w:num w:numId="8">
    <w:abstractNumId w:val="20"/>
  </w:num>
  <w:num w:numId="9">
    <w:abstractNumId w:val="0"/>
  </w:num>
  <w:num w:numId="10">
    <w:abstractNumId w:val="1"/>
  </w:num>
  <w:num w:numId="11">
    <w:abstractNumId w:val="5"/>
  </w:num>
  <w:num w:numId="12">
    <w:abstractNumId w:val="6"/>
  </w:num>
  <w:num w:numId="13">
    <w:abstractNumId w:val="35"/>
  </w:num>
  <w:num w:numId="14">
    <w:abstractNumId w:val="8"/>
  </w:num>
  <w:num w:numId="15">
    <w:abstractNumId w:val="31"/>
  </w:num>
  <w:num w:numId="16">
    <w:abstractNumId w:val="2"/>
  </w:num>
  <w:num w:numId="17">
    <w:abstractNumId w:val="17"/>
  </w:num>
  <w:num w:numId="18">
    <w:abstractNumId w:val="15"/>
  </w:num>
  <w:num w:numId="19">
    <w:abstractNumId w:val="30"/>
  </w:num>
  <w:num w:numId="20">
    <w:abstractNumId w:val="28"/>
  </w:num>
  <w:num w:numId="21">
    <w:abstractNumId w:val="27"/>
  </w:num>
  <w:num w:numId="22">
    <w:abstractNumId w:val="16"/>
  </w:num>
  <w:num w:numId="23">
    <w:abstractNumId w:val="12"/>
  </w:num>
  <w:num w:numId="24">
    <w:abstractNumId w:val="14"/>
  </w:num>
  <w:num w:numId="25">
    <w:abstractNumId w:val="33"/>
  </w:num>
  <w:num w:numId="26">
    <w:abstractNumId w:val="26"/>
  </w:num>
  <w:num w:numId="27">
    <w:abstractNumId w:val="25"/>
  </w:num>
  <w:num w:numId="28">
    <w:abstractNumId w:val="29"/>
  </w:num>
  <w:num w:numId="29">
    <w:abstractNumId w:val="18"/>
  </w:num>
  <w:num w:numId="30">
    <w:abstractNumId w:val="13"/>
  </w:num>
  <w:num w:numId="31">
    <w:abstractNumId w:val="9"/>
  </w:num>
  <w:num w:numId="32">
    <w:abstractNumId w:val="21"/>
  </w:num>
  <w:num w:numId="33">
    <w:abstractNumId w:val="10"/>
  </w:num>
  <w:num w:numId="34">
    <w:abstractNumId w:val="4"/>
  </w:num>
  <w:num w:numId="35">
    <w:abstractNumId w:val="32"/>
  </w:num>
  <w:num w:numId="36">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940"/>
    <w:rsid w:val="00000415"/>
    <w:rsid w:val="00000949"/>
    <w:rsid w:val="0000097E"/>
    <w:rsid w:val="000009A6"/>
    <w:rsid w:val="00000BE0"/>
    <w:rsid w:val="00000D29"/>
    <w:rsid w:val="00000D46"/>
    <w:rsid w:val="00000DB0"/>
    <w:rsid w:val="00001422"/>
    <w:rsid w:val="000017A2"/>
    <w:rsid w:val="00001860"/>
    <w:rsid w:val="00001B5D"/>
    <w:rsid w:val="00002046"/>
    <w:rsid w:val="000032A5"/>
    <w:rsid w:val="0000340D"/>
    <w:rsid w:val="00003410"/>
    <w:rsid w:val="00003B83"/>
    <w:rsid w:val="00003C99"/>
    <w:rsid w:val="00004C6A"/>
    <w:rsid w:val="00004C88"/>
    <w:rsid w:val="00004CF8"/>
    <w:rsid w:val="00005043"/>
    <w:rsid w:val="00005856"/>
    <w:rsid w:val="00005C1C"/>
    <w:rsid w:val="00005DE5"/>
    <w:rsid w:val="0000614A"/>
    <w:rsid w:val="0000642F"/>
    <w:rsid w:val="00006448"/>
    <w:rsid w:val="00006685"/>
    <w:rsid w:val="00006812"/>
    <w:rsid w:val="00006EE5"/>
    <w:rsid w:val="000078DD"/>
    <w:rsid w:val="00010634"/>
    <w:rsid w:val="0001088F"/>
    <w:rsid w:val="00010CF4"/>
    <w:rsid w:val="00010EC0"/>
    <w:rsid w:val="00010F3A"/>
    <w:rsid w:val="00010F9E"/>
    <w:rsid w:val="0001101C"/>
    <w:rsid w:val="000112AB"/>
    <w:rsid w:val="0001169B"/>
    <w:rsid w:val="000116EC"/>
    <w:rsid w:val="0001209F"/>
    <w:rsid w:val="00012165"/>
    <w:rsid w:val="00012195"/>
    <w:rsid w:val="000128D7"/>
    <w:rsid w:val="00012AA3"/>
    <w:rsid w:val="00012CCC"/>
    <w:rsid w:val="00012CDE"/>
    <w:rsid w:val="00012F40"/>
    <w:rsid w:val="0001354C"/>
    <w:rsid w:val="0001384E"/>
    <w:rsid w:val="00013A0E"/>
    <w:rsid w:val="00013C9C"/>
    <w:rsid w:val="00014100"/>
    <w:rsid w:val="0001420B"/>
    <w:rsid w:val="000148F4"/>
    <w:rsid w:val="00014A1B"/>
    <w:rsid w:val="000152AF"/>
    <w:rsid w:val="00015438"/>
    <w:rsid w:val="00015492"/>
    <w:rsid w:val="000154BC"/>
    <w:rsid w:val="00015510"/>
    <w:rsid w:val="0001555D"/>
    <w:rsid w:val="0001578F"/>
    <w:rsid w:val="00016048"/>
    <w:rsid w:val="00016401"/>
    <w:rsid w:val="000166DD"/>
    <w:rsid w:val="0001693B"/>
    <w:rsid w:val="0001694F"/>
    <w:rsid w:val="00016B70"/>
    <w:rsid w:val="00016B8D"/>
    <w:rsid w:val="00016CE5"/>
    <w:rsid w:val="00016DAE"/>
    <w:rsid w:val="00016E3A"/>
    <w:rsid w:val="000170DA"/>
    <w:rsid w:val="00017585"/>
    <w:rsid w:val="00017709"/>
    <w:rsid w:val="00017885"/>
    <w:rsid w:val="000178B8"/>
    <w:rsid w:val="00017BE3"/>
    <w:rsid w:val="00017E42"/>
    <w:rsid w:val="000201C0"/>
    <w:rsid w:val="00020220"/>
    <w:rsid w:val="00020400"/>
    <w:rsid w:val="00020880"/>
    <w:rsid w:val="00021002"/>
    <w:rsid w:val="0002100D"/>
    <w:rsid w:val="000217C9"/>
    <w:rsid w:val="0002188E"/>
    <w:rsid w:val="00021BA0"/>
    <w:rsid w:val="00021F16"/>
    <w:rsid w:val="00021F18"/>
    <w:rsid w:val="0002287E"/>
    <w:rsid w:val="00022BE6"/>
    <w:rsid w:val="00022C4B"/>
    <w:rsid w:val="00023081"/>
    <w:rsid w:val="00023277"/>
    <w:rsid w:val="000233EE"/>
    <w:rsid w:val="00023B39"/>
    <w:rsid w:val="00023C10"/>
    <w:rsid w:val="00023C39"/>
    <w:rsid w:val="00023D03"/>
    <w:rsid w:val="00024627"/>
    <w:rsid w:val="00024BD1"/>
    <w:rsid w:val="00024ECD"/>
    <w:rsid w:val="00025348"/>
    <w:rsid w:val="000258EB"/>
    <w:rsid w:val="000259C5"/>
    <w:rsid w:val="00025A82"/>
    <w:rsid w:val="00025D20"/>
    <w:rsid w:val="00026674"/>
    <w:rsid w:val="00026A19"/>
    <w:rsid w:val="00026A1B"/>
    <w:rsid w:val="00026A44"/>
    <w:rsid w:val="00026CCF"/>
    <w:rsid w:val="00026E5C"/>
    <w:rsid w:val="00026EE2"/>
    <w:rsid w:val="00027235"/>
    <w:rsid w:val="000274E8"/>
    <w:rsid w:val="00027595"/>
    <w:rsid w:val="000275BC"/>
    <w:rsid w:val="00027905"/>
    <w:rsid w:val="00027A18"/>
    <w:rsid w:val="00030024"/>
    <w:rsid w:val="0003002C"/>
    <w:rsid w:val="00030033"/>
    <w:rsid w:val="0003030C"/>
    <w:rsid w:val="00030484"/>
    <w:rsid w:val="00030563"/>
    <w:rsid w:val="00030959"/>
    <w:rsid w:val="00031598"/>
    <w:rsid w:val="0003160E"/>
    <w:rsid w:val="000316E1"/>
    <w:rsid w:val="0003173F"/>
    <w:rsid w:val="00031772"/>
    <w:rsid w:val="000319F0"/>
    <w:rsid w:val="00031A45"/>
    <w:rsid w:val="00031BE0"/>
    <w:rsid w:val="00031C03"/>
    <w:rsid w:val="0003206B"/>
    <w:rsid w:val="00032647"/>
    <w:rsid w:val="00032BBC"/>
    <w:rsid w:val="0003333D"/>
    <w:rsid w:val="00033459"/>
    <w:rsid w:val="000335A7"/>
    <w:rsid w:val="00033970"/>
    <w:rsid w:val="00033C2D"/>
    <w:rsid w:val="00033F98"/>
    <w:rsid w:val="0003403A"/>
    <w:rsid w:val="0003440B"/>
    <w:rsid w:val="00034657"/>
    <w:rsid w:val="00034985"/>
    <w:rsid w:val="00034DD5"/>
    <w:rsid w:val="00034EA0"/>
    <w:rsid w:val="000352A1"/>
    <w:rsid w:val="00035446"/>
    <w:rsid w:val="000357B3"/>
    <w:rsid w:val="000358BF"/>
    <w:rsid w:val="0003596E"/>
    <w:rsid w:val="00035981"/>
    <w:rsid w:val="00035CA2"/>
    <w:rsid w:val="00035CE4"/>
    <w:rsid w:val="00035EC0"/>
    <w:rsid w:val="00035F31"/>
    <w:rsid w:val="00036B14"/>
    <w:rsid w:val="00036BEC"/>
    <w:rsid w:val="000372E7"/>
    <w:rsid w:val="000376B2"/>
    <w:rsid w:val="000378AA"/>
    <w:rsid w:val="00037983"/>
    <w:rsid w:val="00037B8A"/>
    <w:rsid w:val="00037C49"/>
    <w:rsid w:val="00037F33"/>
    <w:rsid w:val="00037FFA"/>
    <w:rsid w:val="00040361"/>
    <w:rsid w:val="000403D8"/>
    <w:rsid w:val="00040447"/>
    <w:rsid w:val="00040820"/>
    <w:rsid w:val="00040A9C"/>
    <w:rsid w:val="00040B94"/>
    <w:rsid w:val="00040D89"/>
    <w:rsid w:val="00040F1D"/>
    <w:rsid w:val="00040F28"/>
    <w:rsid w:val="000414AD"/>
    <w:rsid w:val="00041582"/>
    <w:rsid w:val="000419C1"/>
    <w:rsid w:val="00041B73"/>
    <w:rsid w:val="00041D21"/>
    <w:rsid w:val="00041F3E"/>
    <w:rsid w:val="00041FC0"/>
    <w:rsid w:val="000422E8"/>
    <w:rsid w:val="00042720"/>
    <w:rsid w:val="00042DDE"/>
    <w:rsid w:val="00042E03"/>
    <w:rsid w:val="000433D6"/>
    <w:rsid w:val="000433DE"/>
    <w:rsid w:val="000437B3"/>
    <w:rsid w:val="00043946"/>
    <w:rsid w:val="000443FB"/>
    <w:rsid w:val="00044A14"/>
    <w:rsid w:val="00044B12"/>
    <w:rsid w:val="00044E1F"/>
    <w:rsid w:val="00044E7E"/>
    <w:rsid w:val="00045134"/>
    <w:rsid w:val="0004519E"/>
    <w:rsid w:val="000452F5"/>
    <w:rsid w:val="000457C9"/>
    <w:rsid w:val="00045971"/>
    <w:rsid w:val="00045A5F"/>
    <w:rsid w:val="00045E44"/>
    <w:rsid w:val="00046667"/>
    <w:rsid w:val="000467D8"/>
    <w:rsid w:val="00046812"/>
    <w:rsid w:val="00046CB8"/>
    <w:rsid w:val="00046D37"/>
    <w:rsid w:val="000473D9"/>
    <w:rsid w:val="000474DA"/>
    <w:rsid w:val="000475F8"/>
    <w:rsid w:val="00047E4B"/>
    <w:rsid w:val="0004CDE6"/>
    <w:rsid w:val="000501CE"/>
    <w:rsid w:val="00050B29"/>
    <w:rsid w:val="00050B5F"/>
    <w:rsid w:val="00050DE5"/>
    <w:rsid w:val="00050E02"/>
    <w:rsid w:val="00050EDB"/>
    <w:rsid w:val="00050F6C"/>
    <w:rsid w:val="000512C4"/>
    <w:rsid w:val="00051541"/>
    <w:rsid w:val="0005177B"/>
    <w:rsid w:val="00051793"/>
    <w:rsid w:val="00051D82"/>
    <w:rsid w:val="00051DCE"/>
    <w:rsid w:val="00051E02"/>
    <w:rsid w:val="00051E4C"/>
    <w:rsid w:val="000520ED"/>
    <w:rsid w:val="00052220"/>
    <w:rsid w:val="00052503"/>
    <w:rsid w:val="00052524"/>
    <w:rsid w:val="00052CA3"/>
    <w:rsid w:val="00053212"/>
    <w:rsid w:val="0005360E"/>
    <w:rsid w:val="00053975"/>
    <w:rsid w:val="00053D9C"/>
    <w:rsid w:val="00053E11"/>
    <w:rsid w:val="00053E1A"/>
    <w:rsid w:val="000547FF"/>
    <w:rsid w:val="00054A67"/>
    <w:rsid w:val="00054BCA"/>
    <w:rsid w:val="00054BD8"/>
    <w:rsid w:val="00055357"/>
    <w:rsid w:val="0005598B"/>
    <w:rsid w:val="00055B85"/>
    <w:rsid w:val="00055B95"/>
    <w:rsid w:val="00055CE1"/>
    <w:rsid w:val="00055D4D"/>
    <w:rsid w:val="00055D81"/>
    <w:rsid w:val="0005640D"/>
    <w:rsid w:val="000567C3"/>
    <w:rsid w:val="0005691C"/>
    <w:rsid w:val="00056DFD"/>
    <w:rsid w:val="00056E0B"/>
    <w:rsid w:val="00056E5F"/>
    <w:rsid w:val="00056EE4"/>
    <w:rsid w:val="00056F0E"/>
    <w:rsid w:val="00057203"/>
    <w:rsid w:val="000572C2"/>
    <w:rsid w:val="000573B2"/>
    <w:rsid w:val="00057636"/>
    <w:rsid w:val="00057921"/>
    <w:rsid w:val="000579E6"/>
    <w:rsid w:val="00057C65"/>
    <w:rsid w:val="00057E4A"/>
    <w:rsid w:val="00060009"/>
    <w:rsid w:val="00060AED"/>
    <w:rsid w:val="00060BE6"/>
    <w:rsid w:val="00060CF9"/>
    <w:rsid w:val="00060D4D"/>
    <w:rsid w:val="00060DDA"/>
    <w:rsid w:val="000610C0"/>
    <w:rsid w:val="00061581"/>
    <w:rsid w:val="00061800"/>
    <w:rsid w:val="000619F9"/>
    <w:rsid w:val="00061ABC"/>
    <w:rsid w:val="00061C33"/>
    <w:rsid w:val="00061E2F"/>
    <w:rsid w:val="00061FDA"/>
    <w:rsid w:val="00062269"/>
    <w:rsid w:val="0006235B"/>
    <w:rsid w:val="000623C2"/>
    <w:rsid w:val="000626B8"/>
    <w:rsid w:val="00062C98"/>
    <w:rsid w:val="00062CB6"/>
    <w:rsid w:val="00062F50"/>
    <w:rsid w:val="00063033"/>
    <w:rsid w:val="000630A1"/>
    <w:rsid w:val="0006326B"/>
    <w:rsid w:val="00063463"/>
    <w:rsid w:val="00063506"/>
    <w:rsid w:val="0006372B"/>
    <w:rsid w:val="000644C7"/>
    <w:rsid w:val="000645AB"/>
    <w:rsid w:val="000646AA"/>
    <w:rsid w:val="00064C5F"/>
    <w:rsid w:val="00064D3C"/>
    <w:rsid w:val="00064F57"/>
    <w:rsid w:val="000651A6"/>
    <w:rsid w:val="00065519"/>
    <w:rsid w:val="00065945"/>
    <w:rsid w:val="00065F40"/>
    <w:rsid w:val="000660F8"/>
    <w:rsid w:val="00066285"/>
    <w:rsid w:val="00066601"/>
    <w:rsid w:val="00066B54"/>
    <w:rsid w:val="00066D97"/>
    <w:rsid w:val="00066DA7"/>
    <w:rsid w:val="00066DC3"/>
    <w:rsid w:val="000679AC"/>
    <w:rsid w:val="00067B01"/>
    <w:rsid w:val="00067EFA"/>
    <w:rsid w:val="00070052"/>
    <w:rsid w:val="00070459"/>
    <w:rsid w:val="0007048A"/>
    <w:rsid w:val="00070AC8"/>
    <w:rsid w:val="00070D1A"/>
    <w:rsid w:val="00070D20"/>
    <w:rsid w:val="00070F5C"/>
    <w:rsid w:val="0007127B"/>
    <w:rsid w:val="000717C9"/>
    <w:rsid w:val="00071B3D"/>
    <w:rsid w:val="00071E05"/>
    <w:rsid w:val="000722CD"/>
    <w:rsid w:val="000723A4"/>
    <w:rsid w:val="00072511"/>
    <w:rsid w:val="00072732"/>
    <w:rsid w:val="00072A6C"/>
    <w:rsid w:val="00072C03"/>
    <w:rsid w:val="00072D10"/>
    <w:rsid w:val="00072E74"/>
    <w:rsid w:val="00073064"/>
    <w:rsid w:val="000732FE"/>
    <w:rsid w:val="000733CE"/>
    <w:rsid w:val="0007367E"/>
    <w:rsid w:val="000736EE"/>
    <w:rsid w:val="00073BA6"/>
    <w:rsid w:val="00073C43"/>
    <w:rsid w:val="00073CE8"/>
    <w:rsid w:val="00073DAD"/>
    <w:rsid w:val="00074105"/>
    <w:rsid w:val="00074153"/>
    <w:rsid w:val="0007431F"/>
    <w:rsid w:val="0007482C"/>
    <w:rsid w:val="000748B1"/>
    <w:rsid w:val="00074A8E"/>
    <w:rsid w:val="00074B41"/>
    <w:rsid w:val="00074D7C"/>
    <w:rsid w:val="00076281"/>
    <w:rsid w:val="000765D5"/>
    <w:rsid w:val="000765EB"/>
    <w:rsid w:val="00076A15"/>
    <w:rsid w:val="000772C2"/>
    <w:rsid w:val="00077329"/>
    <w:rsid w:val="00077377"/>
    <w:rsid w:val="000776B7"/>
    <w:rsid w:val="000779B8"/>
    <w:rsid w:val="000800DF"/>
    <w:rsid w:val="00080459"/>
    <w:rsid w:val="00080461"/>
    <w:rsid w:val="00080D74"/>
    <w:rsid w:val="00080D8C"/>
    <w:rsid w:val="00080E77"/>
    <w:rsid w:val="000811B9"/>
    <w:rsid w:val="0008128F"/>
    <w:rsid w:val="000814F0"/>
    <w:rsid w:val="00081A8E"/>
    <w:rsid w:val="00082044"/>
    <w:rsid w:val="00082146"/>
    <w:rsid w:val="00082180"/>
    <w:rsid w:val="000822CB"/>
    <w:rsid w:val="00082416"/>
    <w:rsid w:val="00082956"/>
    <w:rsid w:val="00082B69"/>
    <w:rsid w:val="00082EB0"/>
    <w:rsid w:val="00082ED2"/>
    <w:rsid w:val="00082F97"/>
    <w:rsid w:val="000830F1"/>
    <w:rsid w:val="000834D6"/>
    <w:rsid w:val="00083A43"/>
    <w:rsid w:val="00083ABE"/>
    <w:rsid w:val="0008411B"/>
    <w:rsid w:val="0008430D"/>
    <w:rsid w:val="000843CE"/>
    <w:rsid w:val="000846EC"/>
    <w:rsid w:val="000849EA"/>
    <w:rsid w:val="00084F59"/>
    <w:rsid w:val="00085237"/>
    <w:rsid w:val="000853F7"/>
    <w:rsid w:val="000855C7"/>
    <w:rsid w:val="00085A40"/>
    <w:rsid w:val="00085CB2"/>
    <w:rsid w:val="00085CD0"/>
    <w:rsid w:val="00085E06"/>
    <w:rsid w:val="00085E20"/>
    <w:rsid w:val="00085E77"/>
    <w:rsid w:val="00086120"/>
    <w:rsid w:val="00086A8C"/>
    <w:rsid w:val="00086C07"/>
    <w:rsid w:val="00086D85"/>
    <w:rsid w:val="00087749"/>
    <w:rsid w:val="0008794A"/>
    <w:rsid w:val="00087BD7"/>
    <w:rsid w:val="00087CD6"/>
    <w:rsid w:val="00087EFB"/>
    <w:rsid w:val="00090717"/>
    <w:rsid w:val="000907EA"/>
    <w:rsid w:val="00091212"/>
    <w:rsid w:val="00091422"/>
    <w:rsid w:val="00091778"/>
    <w:rsid w:val="000917AB"/>
    <w:rsid w:val="00091918"/>
    <w:rsid w:val="00091A59"/>
    <w:rsid w:val="000920FD"/>
    <w:rsid w:val="000935AF"/>
    <w:rsid w:val="00093610"/>
    <w:rsid w:val="00093660"/>
    <w:rsid w:val="00093E0D"/>
    <w:rsid w:val="00093F20"/>
    <w:rsid w:val="00093F85"/>
    <w:rsid w:val="0009405E"/>
    <w:rsid w:val="000941CD"/>
    <w:rsid w:val="00094399"/>
    <w:rsid w:val="0009442E"/>
    <w:rsid w:val="000945F5"/>
    <w:rsid w:val="00094778"/>
    <w:rsid w:val="0009477C"/>
    <w:rsid w:val="00094801"/>
    <w:rsid w:val="00094F56"/>
    <w:rsid w:val="000952B9"/>
    <w:rsid w:val="000959B9"/>
    <w:rsid w:val="00095AFF"/>
    <w:rsid w:val="00095D59"/>
    <w:rsid w:val="0009657E"/>
    <w:rsid w:val="00096FD0"/>
    <w:rsid w:val="000974C7"/>
    <w:rsid w:val="0009768C"/>
    <w:rsid w:val="000977C4"/>
    <w:rsid w:val="000A00C0"/>
    <w:rsid w:val="000A0C08"/>
    <w:rsid w:val="000A0E56"/>
    <w:rsid w:val="000A16B4"/>
    <w:rsid w:val="000A1A16"/>
    <w:rsid w:val="000A1B03"/>
    <w:rsid w:val="000A1E09"/>
    <w:rsid w:val="000A1E3B"/>
    <w:rsid w:val="000A212A"/>
    <w:rsid w:val="000A23C8"/>
    <w:rsid w:val="000A2918"/>
    <w:rsid w:val="000A2C0E"/>
    <w:rsid w:val="000A3596"/>
    <w:rsid w:val="000A37C6"/>
    <w:rsid w:val="000A39B3"/>
    <w:rsid w:val="000A3CEB"/>
    <w:rsid w:val="000A412A"/>
    <w:rsid w:val="000A47FD"/>
    <w:rsid w:val="000A4ACD"/>
    <w:rsid w:val="000A4D53"/>
    <w:rsid w:val="000A4F3D"/>
    <w:rsid w:val="000A53E1"/>
    <w:rsid w:val="000A540E"/>
    <w:rsid w:val="000A54D9"/>
    <w:rsid w:val="000A5713"/>
    <w:rsid w:val="000A58B4"/>
    <w:rsid w:val="000A59D1"/>
    <w:rsid w:val="000A67E0"/>
    <w:rsid w:val="000A6DDD"/>
    <w:rsid w:val="000A6F71"/>
    <w:rsid w:val="000A7046"/>
    <w:rsid w:val="000A7116"/>
    <w:rsid w:val="000A77F9"/>
    <w:rsid w:val="000A799A"/>
    <w:rsid w:val="000A7BE2"/>
    <w:rsid w:val="000A7BFA"/>
    <w:rsid w:val="000A7D0B"/>
    <w:rsid w:val="000A7D32"/>
    <w:rsid w:val="000B0555"/>
    <w:rsid w:val="000B06C3"/>
    <w:rsid w:val="000B07D4"/>
    <w:rsid w:val="000B0966"/>
    <w:rsid w:val="000B0AAA"/>
    <w:rsid w:val="000B0D77"/>
    <w:rsid w:val="000B0E15"/>
    <w:rsid w:val="000B11F0"/>
    <w:rsid w:val="000B1399"/>
    <w:rsid w:val="000B14EF"/>
    <w:rsid w:val="000B16B3"/>
    <w:rsid w:val="000B1AF7"/>
    <w:rsid w:val="000B20D3"/>
    <w:rsid w:val="000B250A"/>
    <w:rsid w:val="000B2583"/>
    <w:rsid w:val="000B2A3C"/>
    <w:rsid w:val="000B2CFE"/>
    <w:rsid w:val="000B2F69"/>
    <w:rsid w:val="000B3187"/>
    <w:rsid w:val="000B31BA"/>
    <w:rsid w:val="000B325E"/>
    <w:rsid w:val="000B358F"/>
    <w:rsid w:val="000B37CA"/>
    <w:rsid w:val="000B3A00"/>
    <w:rsid w:val="000B3AB8"/>
    <w:rsid w:val="000B3BB5"/>
    <w:rsid w:val="000B3E1B"/>
    <w:rsid w:val="000B3E7B"/>
    <w:rsid w:val="000B3F8D"/>
    <w:rsid w:val="000B437C"/>
    <w:rsid w:val="000B43AA"/>
    <w:rsid w:val="000B4664"/>
    <w:rsid w:val="000B49F6"/>
    <w:rsid w:val="000B4CDD"/>
    <w:rsid w:val="000B4DFF"/>
    <w:rsid w:val="000B5451"/>
    <w:rsid w:val="000B5569"/>
    <w:rsid w:val="000B5929"/>
    <w:rsid w:val="000B5FCF"/>
    <w:rsid w:val="000B6590"/>
    <w:rsid w:val="000B6D29"/>
    <w:rsid w:val="000B70AF"/>
    <w:rsid w:val="000B733D"/>
    <w:rsid w:val="000B7966"/>
    <w:rsid w:val="000C001F"/>
    <w:rsid w:val="000C0748"/>
    <w:rsid w:val="000C09ED"/>
    <w:rsid w:val="000C0A39"/>
    <w:rsid w:val="000C0BF2"/>
    <w:rsid w:val="000C0DCC"/>
    <w:rsid w:val="000C15EB"/>
    <w:rsid w:val="000C162B"/>
    <w:rsid w:val="000C170B"/>
    <w:rsid w:val="000C18BE"/>
    <w:rsid w:val="000C1C2D"/>
    <w:rsid w:val="000C1CD4"/>
    <w:rsid w:val="000C23BD"/>
    <w:rsid w:val="000C276C"/>
    <w:rsid w:val="000C2889"/>
    <w:rsid w:val="000C29E0"/>
    <w:rsid w:val="000C2D17"/>
    <w:rsid w:val="000C301D"/>
    <w:rsid w:val="000C30C5"/>
    <w:rsid w:val="000C3487"/>
    <w:rsid w:val="000C388E"/>
    <w:rsid w:val="000C3906"/>
    <w:rsid w:val="000C3D2A"/>
    <w:rsid w:val="000C3D51"/>
    <w:rsid w:val="000C3FAD"/>
    <w:rsid w:val="000C4236"/>
    <w:rsid w:val="000C47DA"/>
    <w:rsid w:val="000C4D68"/>
    <w:rsid w:val="000C4FBF"/>
    <w:rsid w:val="000C504F"/>
    <w:rsid w:val="000C555E"/>
    <w:rsid w:val="000C563E"/>
    <w:rsid w:val="000C58E3"/>
    <w:rsid w:val="000C6063"/>
    <w:rsid w:val="000C608B"/>
    <w:rsid w:val="000C6266"/>
    <w:rsid w:val="000C627B"/>
    <w:rsid w:val="000C66B2"/>
    <w:rsid w:val="000C688D"/>
    <w:rsid w:val="000C6917"/>
    <w:rsid w:val="000C69BC"/>
    <w:rsid w:val="000C6B24"/>
    <w:rsid w:val="000C6CF2"/>
    <w:rsid w:val="000C77CD"/>
    <w:rsid w:val="000C7807"/>
    <w:rsid w:val="000C7956"/>
    <w:rsid w:val="000C7AA3"/>
    <w:rsid w:val="000C7AF4"/>
    <w:rsid w:val="000C7CDA"/>
    <w:rsid w:val="000C7EDB"/>
    <w:rsid w:val="000D016D"/>
    <w:rsid w:val="000D05FE"/>
    <w:rsid w:val="000D0615"/>
    <w:rsid w:val="000D0649"/>
    <w:rsid w:val="000D07D9"/>
    <w:rsid w:val="000D0C2E"/>
    <w:rsid w:val="000D10A9"/>
    <w:rsid w:val="000D13D6"/>
    <w:rsid w:val="000D147F"/>
    <w:rsid w:val="000D14DC"/>
    <w:rsid w:val="000D1890"/>
    <w:rsid w:val="000D1BD4"/>
    <w:rsid w:val="000D21BD"/>
    <w:rsid w:val="000D2246"/>
    <w:rsid w:val="000D226E"/>
    <w:rsid w:val="000D24FF"/>
    <w:rsid w:val="000D2848"/>
    <w:rsid w:val="000D2A68"/>
    <w:rsid w:val="000D2D6B"/>
    <w:rsid w:val="000D338D"/>
    <w:rsid w:val="000D34D2"/>
    <w:rsid w:val="000D35C6"/>
    <w:rsid w:val="000D3939"/>
    <w:rsid w:val="000D3A74"/>
    <w:rsid w:val="000D3AAA"/>
    <w:rsid w:val="000D3B4A"/>
    <w:rsid w:val="000D3BC9"/>
    <w:rsid w:val="000D3CB4"/>
    <w:rsid w:val="000D3CC7"/>
    <w:rsid w:val="000D3F5B"/>
    <w:rsid w:val="000D40BE"/>
    <w:rsid w:val="000D486A"/>
    <w:rsid w:val="000D50E5"/>
    <w:rsid w:val="000D5423"/>
    <w:rsid w:val="000D5817"/>
    <w:rsid w:val="000D5C40"/>
    <w:rsid w:val="000D66F6"/>
    <w:rsid w:val="000D6C79"/>
    <w:rsid w:val="000D6D80"/>
    <w:rsid w:val="000D6F04"/>
    <w:rsid w:val="000D71D3"/>
    <w:rsid w:val="000D732E"/>
    <w:rsid w:val="000D7702"/>
    <w:rsid w:val="000D7BFB"/>
    <w:rsid w:val="000D7DC2"/>
    <w:rsid w:val="000D7EB6"/>
    <w:rsid w:val="000E0163"/>
    <w:rsid w:val="000E0282"/>
    <w:rsid w:val="000E08B8"/>
    <w:rsid w:val="000E0B5C"/>
    <w:rsid w:val="000E0E29"/>
    <w:rsid w:val="000E0FC2"/>
    <w:rsid w:val="000E1058"/>
    <w:rsid w:val="000E11E0"/>
    <w:rsid w:val="000E130B"/>
    <w:rsid w:val="000E1431"/>
    <w:rsid w:val="000E143B"/>
    <w:rsid w:val="000E1451"/>
    <w:rsid w:val="000E14B0"/>
    <w:rsid w:val="000E14C3"/>
    <w:rsid w:val="000E2226"/>
    <w:rsid w:val="000E2275"/>
    <w:rsid w:val="000E26D4"/>
    <w:rsid w:val="000E2749"/>
    <w:rsid w:val="000E2878"/>
    <w:rsid w:val="000E28F8"/>
    <w:rsid w:val="000E2BEE"/>
    <w:rsid w:val="000E2DBB"/>
    <w:rsid w:val="000E37D1"/>
    <w:rsid w:val="000E3818"/>
    <w:rsid w:val="000E3B3B"/>
    <w:rsid w:val="000E3E91"/>
    <w:rsid w:val="000E3F5F"/>
    <w:rsid w:val="000E3F94"/>
    <w:rsid w:val="000E4490"/>
    <w:rsid w:val="000E4646"/>
    <w:rsid w:val="000E48B9"/>
    <w:rsid w:val="000E4DE1"/>
    <w:rsid w:val="000E4E86"/>
    <w:rsid w:val="000E4EBC"/>
    <w:rsid w:val="000E4FC3"/>
    <w:rsid w:val="000E53BD"/>
    <w:rsid w:val="000E5681"/>
    <w:rsid w:val="000E571E"/>
    <w:rsid w:val="000E5A97"/>
    <w:rsid w:val="000E5FC9"/>
    <w:rsid w:val="000E60D1"/>
    <w:rsid w:val="000E6136"/>
    <w:rsid w:val="000E6B4B"/>
    <w:rsid w:val="000E6BB3"/>
    <w:rsid w:val="000E7068"/>
    <w:rsid w:val="000E71CC"/>
    <w:rsid w:val="000E727D"/>
    <w:rsid w:val="000E73F2"/>
    <w:rsid w:val="000E7E8E"/>
    <w:rsid w:val="000F0109"/>
    <w:rsid w:val="000F0267"/>
    <w:rsid w:val="000F0702"/>
    <w:rsid w:val="000F080E"/>
    <w:rsid w:val="000F08C3"/>
    <w:rsid w:val="000F0B1B"/>
    <w:rsid w:val="000F0F1A"/>
    <w:rsid w:val="000F1371"/>
    <w:rsid w:val="000F14DF"/>
    <w:rsid w:val="000F1AE2"/>
    <w:rsid w:val="000F1E92"/>
    <w:rsid w:val="000F2107"/>
    <w:rsid w:val="000F213E"/>
    <w:rsid w:val="000F2213"/>
    <w:rsid w:val="000F2328"/>
    <w:rsid w:val="000F2D71"/>
    <w:rsid w:val="000F314A"/>
    <w:rsid w:val="000F3371"/>
    <w:rsid w:val="000F35E2"/>
    <w:rsid w:val="000F3919"/>
    <w:rsid w:val="000F3B6D"/>
    <w:rsid w:val="000F4660"/>
    <w:rsid w:val="000F47D8"/>
    <w:rsid w:val="000F47DD"/>
    <w:rsid w:val="000F4833"/>
    <w:rsid w:val="000F4A95"/>
    <w:rsid w:val="000F51F7"/>
    <w:rsid w:val="000F52BC"/>
    <w:rsid w:val="000F56DB"/>
    <w:rsid w:val="000F58AD"/>
    <w:rsid w:val="000F5B21"/>
    <w:rsid w:val="000F5DB1"/>
    <w:rsid w:val="000F5DEE"/>
    <w:rsid w:val="000F5E11"/>
    <w:rsid w:val="000F5E48"/>
    <w:rsid w:val="000F5EEE"/>
    <w:rsid w:val="000F60BA"/>
    <w:rsid w:val="000F60C1"/>
    <w:rsid w:val="000F64AB"/>
    <w:rsid w:val="000F6D12"/>
    <w:rsid w:val="000F6D24"/>
    <w:rsid w:val="000F764A"/>
    <w:rsid w:val="000F76CA"/>
    <w:rsid w:val="000F77D3"/>
    <w:rsid w:val="000F77ED"/>
    <w:rsid w:val="000F7B95"/>
    <w:rsid w:val="000F7C84"/>
    <w:rsid w:val="000F7E8F"/>
    <w:rsid w:val="000F7F98"/>
    <w:rsid w:val="001002D4"/>
    <w:rsid w:val="0010075E"/>
    <w:rsid w:val="00100819"/>
    <w:rsid w:val="00100821"/>
    <w:rsid w:val="00100923"/>
    <w:rsid w:val="00100CC6"/>
    <w:rsid w:val="00100E40"/>
    <w:rsid w:val="00100E6D"/>
    <w:rsid w:val="00100F45"/>
    <w:rsid w:val="00101616"/>
    <w:rsid w:val="00101892"/>
    <w:rsid w:val="0010190C"/>
    <w:rsid w:val="00101E49"/>
    <w:rsid w:val="00101FE0"/>
    <w:rsid w:val="00102294"/>
    <w:rsid w:val="00102396"/>
    <w:rsid w:val="001024E3"/>
    <w:rsid w:val="001025C7"/>
    <w:rsid w:val="00102CB2"/>
    <w:rsid w:val="001032FF"/>
    <w:rsid w:val="001037B1"/>
    <w:rsid w:val="00103897"/>
    <w:rsid w:val="001039F0"/>
    <w:rsid w:val="00103A46"/>
    <w:rsid w:val="00103CD0"/>
    <w:rsid w:val="001046A9"/>
    <w:rsid w:val="001047AC"/>
    <w:rsid w:val="00104F49"/>
    <w:rsid w:val="00105567"/>
    <w:rsid w:val="00105BB0"/>
    <w:rsid w:val="00105C1D"/>
    <w:rsid w:val="00105D1C"/>
    <w:rsid w:val="00105E02"/>
    <w:rsid w:val="00105FE3"/>
    <w:rsid w:val="00106146"/>
    <w:rsid w:val="00106501"/>
    <w:rsid w:val="001069B2"/>
    <w:rsid w:val="00106C6D"/>
    <w:rsid w:val="00106CB0"/>
    <w:rsid w:val="00106F3D"/>
    <w:rsid w:val="00106FEA"/>
    <w:rsid w:val="001070AB"/>
    <w:rsid w:val="001071A8"/>
    <w:rsid w:val="0010736F"/>
    <w:rsid w:val="001073B0"/>
    <w:rsid w:val="00107773"/>
    <w:rsid w:val="00107986"/>
    <w:rsid w:val="0011004D"/>
    <w:rsid w:val="00110397"/>
    <w:rsid w:val="001108D8"/>
    <w:rsid w:val="00110A65"/>
    <w:rsid w:val="00110BD6"/>
    <w:rsid w:val="00110C1D"/>
    <w:rsid w:val="00110FD2"/>
    <w:rsid w:val="00111091"/>
    <w:rsid w:val="00111270"/>
    <w:rsid w:val="00111302"/>
    <w:rsid w:val="0011182D"/>
    <w:rsid w:val="0011186C"/>
    <w:rsid w:val="001119E4"/>
    <w:rsid w:val="00111C2C"/>
    <w:rsid w:val="00111F68"/>
    <w:rsid w:val="00111FCA"/>
    <w:rsid w:val="001121B3"/>
    <w:rsid w:val="00112207"/>
    <w:rsid w:val="00112237"/>
    <w:rsid w:val="00112711"/>
    <w:rsid w:val="00112C6D"/>
    <w:rsid w:val="00112D82"/>
    <w:rsid w:val="00112EC6"/>
    <w:rsid w:val="00112F98"/>
    <w:rsid w:val="00113085"/>
    <w:rsid w:val="001131EA"/>
    <w:rsid w:val="0011338F"/>
    <w:rsid w:val="001134A2"/>
    <w:rsid w:val="001139B2"/>
    <w:rsid w:val="00113F4A"/>
    <w:rsid w:val="00114034"/>
    <w:rsid w:val="00114052"/>
    <w:rsid w:val="00114582"/>
    <w:rsid w:val="00115029"/>
    <w:rsid w:val="00115065"/>
    <w:rsid w:val="0011516E"/>
    <w:rsid w:val="001151A0"/>
    <w:rsid w:val="00115383"/>
    <w:rsid w:val="001155DB"/>
    <w:rsid w:val="00115B74"/>
    <w:rsid w:val="00115C14"/>
    <w:rsid w:val="00115CA0"/>
    <w:rsid w:val="00115F74"/>
    <w:rsid w:val="001161F1"/>
    <w:rsid w:val="001164DC"/>
    <w:rsid w:val="00116581"/>
    <w:rsid w:val="001166BF"/>
    <w:rsid w:val="00116771"/>
    <w:rsid w:val="0011686D"/>
    <w:rsid w:val="001169AE"/>
    <w:rsid w:val="00116C93"/>
    <w:rsid w:val="00116D0B"/>
    <w:rsid w:val="00116D5A"/>
    <w:rsid w:val="00117452"/>
    <w:rsid w:val="001174E2"/>
    <w:rsid w:val="001175A5"/>
    <w:rsid w:val="00117667"/>
    <w:rsid w:val="001176E4"/>
    <w:rsid w:val="001177F8"/>
    <w:rsid w:val="001177FD"/>
    <w:rsid w:val="001178F6"/>
    <w:rsid w:val="00117B30"/>
    <w:rsid w:val="00117BAD"/>
    <w:rsid w:val="00117BD4"/>
    <w:rsid w:val="00117E88"/>
    <w:rsid w:val="00117ED7"/>
    <w:rsid w:val="00120948"/>
    <w:rsid w:val="00120B53"/>
    <w:rsid w:val="00120DC0"/>
    <w:rsid w:val="001213E0"/>
    <w:rsid w:val="001214BD"/>
    <w:rsid w:val="001217A7"/>
    <w:rsid w:val="001218AF"/>
    <w:rsid w:val="00121903"/>
    <w:rsid w:val="00121932"/>
    <w:rsid w:val="00121A6B"/>
    <w:rsid w:val="00121E5C"/>
    <w:rsid w:val="001220CB"/>
    <w:rsid w:val="001222FC"/>
    <w:rsid w:val="00122340"/>
    <w:rsid w:val="001223DB"/>
    <w:rsid w:val="00122F25"/>
    <w:rsid w:val="001231FB"/>
    <w:rsid w:val="00123214"/>
    <w:rsid w:val="00123652"/>
    <w:rsid w:val="00123B77"/>
    <w:rsid w:val="00123D99"/>
    <w:rsid w:val="001243E3"/>
    <w:rsid w:val="001244F9"/>
    <w:rsid w:val="00124501"/>
    <w:rsid w:val="001245BF"/>
    <w:rsid w:val="00124807"/>
    <w:rsid w:val="0012494D"/>
    <w:rsid w:val="00124A07"/>
    <w:rsid w:val="00124AC8"/>
    <w:rsid w:val="00124E06"/>
    <w:rsid w:val="001251A8"/>
    <w:rsid w:val="00125282"/>
    <w:rsid w:val="001253D8"/>
    <w:rsid w:val="00125B1A"/>
    <w:rsid w:val="001264AA"/>
    <w:rsid w:val="00126CC1"/>
    <w:rsid w:val="00126CE2"/>
    <w:rsid w:val="00126CE4"/>
    <w:rsid w:val="00126FB9"/>
    <w:rsid w:val="00127128"/>
    <w:rsid w:val="00127139"/>
    <w:rsid w:val="0012782E"/>
    <w:rsid w:val="00127DFA"/>
    <w:rsid w:val="0013031B"/>
    <w:rsid w:val="00130471"/>
    <w:rsid w:val="001305C0"/>
    <w:rsid w:val="001306C8"/>
    <w:rsid w:val="0013077E"/>
    <w:rsid w:val="001307E5"/>
    <w:rsid w:val="00130A57"/>
    <w:rsid w:val="00130B15"/>
    <w:rsid w:val="00130BC0"/>
    <w:rsid w:val="00130C4E"/>
    <w:rsid w:val="00130F98"/>
    <w:rsid w:val="00131463"/>
    <w:rsid w:val="001315BF"/>
    <w:rsid w:val="00131636"/>
    <w:rsid w:val="00131F4E"/>
    <w:rsid w:val="001320A1"/>
    <w:rsid w:val="0013247D"/>
    <w:rsid w:val="00132772"/>
    <w:rsid w:val="00132B08"/>
    <w:rsid w:val="00132B1A"/>
    <w:rsid w:val="00132D7D"/>
    <w:rsid w:val="00133271"/>
    <w:rsid w:val="00133325"/>
    <w:rsid w:val="001333DB"/>
    <w:rsid w:val="00133543"/>
    <w:rsid w:val="00133BBB"/>
    <w:rsid w:val="00133CD5"/>
    <w:rsid w:val="00133D03"/>
    <w:rsid w:val="001345DB"/>
    <w:rsid w:val="001347A2"/>
    <w:rsid w:val="001347FB"/>
    <w:rsid w:val="001349BE"/>
    <w:rsid w:val="00134CB2"/>
    <w:rsid w:val="00134DB3"/>
    <w:rsid w:val="00134E36"/>
    <w:rsid w:val="00135422"/>
    <w:rsid w:val="00135525"/>
    <w:rsid w:val="00135A65"/>
    <w:rsid w:val="00135B1F"/>
    <w:rsid w:val="00135CCE"/>
    <w:rsid w:val="00136BE8"/>
    <w:rsid w:val="00136C73"/>
    <w:rsid w:val="00137020"/>
    <w:rsid w:val="00137255"/>
    <w:rsid w:val="00137335"/>
    <w:rsid w:val="001375C7"/>
    <w:rsid w:val="0013790F"/>
    <w:rsid w:val="00137912"/>
    <w:rsid w:val="00137AB7"/>
    <w:rsid w:val="00137B83"/>
    <w:rsid w:val="00137BA1"/>
    <w:rsid w:val="00137D3B"/>
    <w:rsid w:val="00137DE4"/>
    <w:rsid w:val="00137F8A"/>
    <w:rsid w:val="00140166"/>
    <w:rsid w:val="00140C87"/>
    <w:rsid w:val="00140E44"/>
    <w:rsid w:val="00140FF8"/>
    <w:rsid w:val="00141013"/>
    <w:rsid w:val="001410E9"/>
    <w:rsid w:val="00141193"/>
    <w:rsid w:val="00141AE4"/>
    <w:rsid w:val="00141B22"/>
    <w:rsid w:val="00141CAB"/>
    <w:rsid w:val="001424E5"/>
    <w:rsid w:val="00142A54"/>
    <w:rsid w:val="00142C33"/>
    <w:rsid w:val="0014359A"/>
    <w:rsid w:val="001435EE"/>
    <w:rsid w:val="00143AF1"/>
    <w:rsid w:val="00143B7B"/>
    <w:rsid w:val="00143D82"/>
    <w:rsid w:val="001445B6"/>
    <w:rsid w:val="0014495C"/>
    <w:rsid w:val="00144A63"/>
    <w:rsid w:val="001451DD"/>
    <w:rsid w:val="001454F6"/>
    <w:rsid w:val="00145552"/>
    <w:rsid w:val="00145705"/>
    <w:rsid w:val="0014591C"/>
    <w:rsid w:val="0014599B"/>
    <w:rsid w:val="00146C5C"/>
    <w:rsid w:val="00146C90"/>
    <w:rsid w:val="00146F1F"/>
    <w:rsid w:val="00147037"/>
    <w:rsid w:val="001472CF"/>
    <w:rsid w:val="001473C1"/>
    <w:rsid w:val="00147739"/>
    <w:rsid w:val="00150589"/>
    <w:rsid w:val="001509C9"/>
    <w:rsid w:val="00150E40"/>
    <w:rsid w:val="00150E93"/>
    <w:rsid w:val="00151495"/>
    <w:rsid w:val="0015173F"/>
    <w:rsid w:val="00151926"/>
    <w:rsid w:val="00151A94"/>
    <w:rsid w:val="0015204D"/>
    <w:rsid w:val="001523DB"/>
    <w:rsid w:val="001526F3"/>
    <w:rsid w:val="00152921"/>
    <w:rsid w:val="00152B59"/>
    <w:rsid w:val="00152B60"/>
    <w:rsid w:val="00152BF9"/>
    <w:rsid w:val="00152F87"/>
    <w:rsid w:val="00153483"/>
    <w:rsid w:val="0015383B"/>
    <w:rsid w:val="00153901"/>
    <w:rsid w:val="00153A75"/>
    <w:rsid w:val="00153E56"/>
    <w:rsid w:val="0015437B"/>
    <w:rsid w:val="00154655"/>
    <w:rsid w:val="001548EB"/>
    <w:rsid w:val="00154B53"/>
    <w:rsid w:val="00154FB2"/>
    <w:rsid w:val="00155032"/>
    <w:rsid w:val="001555E5"/>
    <w:rsid w:val="0015578E"/>
    <w:rsid w:val="00155B65"/>
    <w:rsid w:val="00155F20"/>
    <w:rsid w:val="00156235"/>
    <w:rsid w:val="0015658B"/>
    <w:rsid w:val="001566B5"/>
    <w:rsid w:val="00156CF9"/>
    <w:rsid w:val="00156FC4"/>
    <w:rsid w:val="00157058"/>
    <w:rsid w:val="00157ADF"/>
    <w:rsid w:val="00157BEC"/>
    <w:rsid w:val="00157C20"/>
    <w:rsid w:val="00157CB5"/>
    <w:rsid w:val="00160090"/>
    <w:rsid w:val="001600B7"/>
    <w:rsid w:val="0016012F"/>
    <w:rsid w:val="001605EF"/>
    <w:rsid w:val="0016071D"/>
    <w:rsid w:val="00160871"/>
    <w:rsid w:val="00160D9B"/>
    <w:rsid w:val="0016119F"/>
    <w:rsid w:val="0016143E"/>
    <w:rsid w:val="00161A33"/>
    <w:rsid w:val="0016221A"/>
    <w:rsid w:val="001625E6"/>
    <w:rsid w:val="001626D7"/>
    <w:rsid w:val="0016286F"/>
    <w:rsid w:val="00162A7E"/>
    <w:rsid w:val="001630D1"/>
    <w:rsid w:val="00163630"/>
    <w:rsid w:val="00163904"/>
    <w:rsid w:val="00163920"/>
    <w:rsid w:val="0016399B"/>
    <w:rsid w:val="00163AFE"/>
    <w:rsid w:val="00163C44"/>
    <w:rsid w:val="00164005"/>
    <w:rsid w:val="00164105"/>
    <w:rsid w:val="001641DB"/>
    <w:rsid w:val="0016442A"/>
    <w:rsid w:val="00164786"/>
    <w:rsid w:val="00164994"/>
    <w:rsid w:val="0016504A"/>
    <w:rsid w:val="00165111"/>
    <w:rsid w:val="00165730"/>
    <w:rsid w:val="001658FD"/>
    <w:rsid w:val="001659BF"/>
    <w:rsid w:val="00165AC5"/>
    <w:rsid w:val="00165C87"/>
    <w:rsid w:val="00165FF3"/>
    <w:rsid w:val="00166957"/>
    <w:rsid w:val="00166BA2"/>
    <w:rsid w:val="001670A2"/>
    <w:rsid w:val="001678D1"/>
    <w:rsid w:val="00167B4C"/>
    <w:rsid w:val="00167D32"/>
    <w:rsid w:val="00167FE4"/>
    <w:rsid w:val="001704EB"/>
    <w:rsid w:val="00170A50"/>
    <w:rsid w:val="00170CC2"/>
    <w:rsid w:val="00170E82"/>
    <w:rsid w:val="00170F96"/>
    <w:rsid w:val="001711FC"/>
    <w:rsid w:val="0017129D"/>
    <w:rsid w:val="001714F5"/>
    <w:rsid w:val="00171704"/>
    <w:rsid w:val="0017206E"/>
    <w:rsid w:val="001725D5"/>
    <w:rsid w:val="00172967"/>
    <w:rsid w:val="00172E4A"/>
    <w:rsid w:val="00173110"/>
    <w:rsid w:val="00173352"/>
    <w:rsid w:val="001733CA"/>
    <w:rsid w:val="00173418"/>
    <w:rsid w:val="001735D5"/>
    <w:rsid w:val="00173A93"/>
    <w:rsid w:val="00173C96"/>
    <w:rsid w:val="00174013"/>
    <w:rsid w:val="00174097"/>
    <w:rsid w:val="0017410D"/>
    <w:rsid w:val="0017489B"/>
    <w:rsid w:val="00174A6A"/>
    <w:rsid w:val="00174A9B"/>
    <w:rsid w:val="00174E87"/>
    <w:rsid w:val="00174F52"/>
    <w:rsid w:val="00174FB4"/>
    <w:rsid w:val="0017533C"/>
    <w:rsid w:val="0017552F"/>
    <w:rsid w:val="0017593D"/>
    <w:rsid w:val="00175A8C"/>
    <w:rsid w:val="00175E71"/>
    <w:rsid w:val="00176061"/>
    <w:rsid w:val="00176235"/>
    <w:rsid w:val="0017666B"/>
    <w:rsid w:val="00176B3B"/>
    <w:rsid w:val="00176BD4"/>
    <w:rsid w:val="00177154"/>
    <w:rsid w:val="001772F5"/>
    <w:rsid w:val="001774AD"/>
    <w:rsid w:val="00177603"/>
    <w:rsid w:val="0017766A"/>
    <w:rsid w:val="001778AB"/>
    <w:rsid w:val="001801F2"/>
    <w:rsid w:val="0018037A"/>
    <w:rsid w:val="001804D5"/>
    <w:rsid w:val="001806C6"/>
    <w:rsid w:val="00180BB2"/>
    <w:rsid w:val="00180FB6"/>
    <w:rsid w:val="00181224"/>
    <w:rsid w:val="00181831"/>
    <w:rsid w:val="00181BA6"/>
    <w:rsid w:val="00181BFE"/>
    <w:rsid w:val="00181E39"/>
    <w:rsid w:val="001820DC"/>
    <w:rsid w:val="00182492"/>
    <w:rsid w:val="001824B9"/>
    <w:rsid w:val="00182625"/>
    <w:rsid w:val="00182751"/>
    <w:rsid w:val="001833DF"/>
    <w:rsid w:val="00183451"/>
    <w:rsid w:val="0018350E"/>
    <w:rsid w:val="00183B80"/>
    <w:rsid w:val="00183C81"/>
    <w:rsid w:val="00183EA8"/>
    <w:rsid w:val="001841EA"/>
    <w:rsid w:val="0018451D"/>
    <w:rsid w:val="0018456C"/>
    <w:rsid w:val="00184605"/>
    <w:rsid w:val="001846E1"/>
    <w:rsid w:val="00184850"/>
    <w:rsid w:val="00184C4D"/>
    <w:rsid w:val="00184CD5"/>
    <w:rsid w:val="001853B2"/>
    <w:rsid w:val="00186374"/>
    <w:rsid w:val="001866FE"/>
    <w:rsid w:val="00186D60"/>
    <w:rsid w:val="00186D68"/>
    <w:rsid w:val="001870E8"/>
    <w:rsid w:val="00187101"/>
    <w:rsid w:val="00187213"/>
    <w:rsid w:val="001873E2"/>
    <w:rsid w:val="0018742B"/>
    <w:rsid w:val="00187BC3"/>
    <w:rsid w:val="00187F46"/>
    <w:rsid w:val="00190148"/>
    <w:rsid w:val="00190207"/>
    <w:rsid w:val="001903E9"/>
    <w:rsid w:val="001903EB"/>
    <w:rsid w:val="0019055F"/>
    <w:rsid w:val="00190BBB"/>
    <w:rsid w:val="00190BEB"/>
    <w:rsid w:val="001913F6"/>
    <w:rsid w:val="0019147C"/>
    <w:rsid w:val="00191499"/>
    <w:rsid w:val="001917A9"/>
    <w:rsid w:val="00191982"/>
    <w:rsid w:val="00191A18"/>
    <w:rsid w:val="00191ACB"/>
    <w:rsid w:val="00191BFD"/>
    <w:rsid w:val="00191CB5"/>
    <w:rsid w:val="00191F95"/>
    <w:rsid w:val="0019213F"/>
    <w:rsid w:val="001921D7"/>
    <w:rsid w:val="001922BF"/>
    <w:rsid w:val="001922CC"/>
    <w:rsid w:val="001926A4"/>
    <w:rsid w:val="00192C3E"/>
    <w:rsid w:val="00192F75"/>
    <w:rsid w:val="00192F8D"/>
    <w:rsid w:val="00192FA9"/>
    <w:rsid w:val="00193291"/>
    <w:rsid w:val="001939AE"/>
    <w:rsid w:val="00193DC9"/>
    <w:rsid w:val="001945FD"/>
    <w:rsid w:val="001946BA"/>
    <w:rsid w:val="001947A1"/>
    <w:rsid w:val="00194D78"/>
    <w:rsid w:val="00194F4F"/>
    <w:rsid w:val="00194FF8"/>
    <w:rsid w:val="001956DF"/>
    <w:rsid w:val="001957B6"/>
    <w:rsid w:val="00195DCF"/>
    <w:rsid w:val="0019659E"/>
    <w:rsid w:val="001968F6"/>
    <w:rsid w:val="00196A67"/>
    <w:rsid w:val="00196F0B"/>
    <w:rsid w:val="0019731C"/>
    <w:rsid w:val="001978DE"/>
    <w:rsid w:val="00197A8C"/>
    <w:rsid w:val="00197F1E"/>
    <w:rsid w:val="001A008E"/>
    <w:rsid w:val="001A02AE"/>
    <w:rsid w:val="001A06E1"/>
    <w:rsid w:val="001A09D9"/>
    <w:rsid w:val="001A0B30"/>
    <w:rsid w:val="001A0B8C"/>
    <w:rsid w:val="001A0F3F"/>
    <w:rsid w:val="001A1022"/>
    <w:rsid w:val="001A12AB"/>
    <w:rsid w:val="001A14E5"/>
    <w:rsid w:val="001A18BB"/>
    <w:rsid w:val="001A1C35"/>
    <w:rsid w:val="001A1CF3"/>
    <w:rsid w:val="001A1EEE"/>
    <w:rsid w:val="001A24CC"/>
    <w:rsid w:val="001A2762"/>
    <w:rsid w:val="001A2BA9"/>
    <w:rsid w:val="001A3772"/>
    <w:rsid w:val="001A381D"/>
    <w:rsid w:val="001A3883"/>
    <w:rsid w:val="001A3C39"/>
    <w:rsid w:val="001A3D2E"/>
    <w:rsid w:val="001A3E6F"/>
    <w:rsid w:val="001A4618"/>
    <w:rsid w:val="001A463D"/>
    <w:rsid w:val="001A46B1"/>
    <w:rsid w:val="001A489E"/>
    <w:rsid w:val="001A48BB"/>
    <w:rsid w:val="001A48D6"/>
    <w:rsid w:val="001A4C14"/>
    <w:rsid w:val="001A4C9E"/>
    <w:rsid w:val="001A4CE0"/>
    <w:rsid w:val="001A4E27"/>
    <w:rsid w:val="001A4E6E"/>
    <w:rsid w:val="001A4F1A"/>
    <w:rsid w:val="001A53F0"/>
    <w:rsid w:val="001A5569"/>
    <w:rsid w:val="001A58D0"/>
    <w:rsid w:val="001A5ECB"/>
    <w:rsid w:val="001A619E"/>
    <w:rsid w:val="001A6309"/>
    <w:rsid w:val="001A6381"/>
    <w:rsid w:val="001A6538"/>
    <w:rsid w:val="001A6665"/>
    <w:rsid w:val="001A6C57"/>
    <w:rsid w:val="001A6E3B"/>
    <w:rsid w:val="001A71C5"/>
    <w:rsid w:val="001A7464"/>
    <w:rsid w:val="001A7755"/>
    <w:rsid w:val="001A7960"/>
    <w:rsid w:val="001A7B4B"/>
    <w:rsid w:val="001A7DF2"/>
    <w:rsid w:val="001A7E7A"/>
    <w:rsid w:val="001B012E"/>
    <w:rsid w:val="001B019A"/>
    <w:rsid w:val="001B020C"/>
    <w:rsid w:val="001B0910"/>
    <w:rsid w:val="001B0947"/>
    <w:rsid w:val="001B0A6D"/>
    <w:rsid w:val="001B0A76"/>
    <w:rsid w:val="001B0C60"/>
    <w:rsid w:val="001B1300"/>
    <w:rsid w:val="001B15E1"/>
    <w:rsid w:val="001B1636"/>
    <w:rsid w:val="001B1703"/>
    <w:rsid w:val="001B1760"/>
    <w:rsid w:val="001B1F44"/>
    <w:rsid w:val="001B21AB"/>
    <w:rsid w:val="001B2289"/>
    <w:rsid w:val="001B256C"/>
    <w:rsid w:val="001B2803"/>
    <w:rsid w:val="001B28C1"/>
    <w:rsid w:val="001B29DE"/>
    <w:rsid w:val="001B2AC1"/>
    <w:rsid w:val="001B2C8F"/>
    <w:rsid w:val="001B3110"/>
    <w:rsid w:val="001B35A4"/>
    <w:rsid w:val="001B37AB"/>
    <w:rsid w:val="001B3815"/>
    <w:rsid w:val="001B3F8B"/>
    <w:rsid w:val="001B466D"/>
    <w:rsid w:val="001B48A3"/>
    <w:rsid w:val="001B4AD8"/>
    <w:rsid w:val="001B4B7D"/>
    <w:rsid w:val="001B4D01"/>
    <w:rsid w:val="001B4EB4"/>
    <w:rsid w:val="001B5601"/>
    <w:rsid w:val="001B5774"/>
    <w:rsid w:val="001B5A11"/>
    <w:rsid w:val="001B5B5B"/>
    <w:rsid w:val="001B5CFD"/>
    <w:rsid w:val="001B5D79"/>
    <w:rsid w:val="001B5DA9"/>
    <w:rsid w:val="001B5FB9"/>
    <w:rsid w:val="001B6346"/>
    <w:rsid w:val="001B6700"/>
    <w:rsid w:val="001B67BC"/>
    <w:rsid w:val="001B68F7"/>
    <w:rsid w:val="001B6D14"/>
    <w:rsid w:val="001B6D4F"/>
    <w:rsid w:val="001B6D96"/>
    <w:rsid w:val="001B6E8B"/>
    <w:rsid w:val="001B714C"/>
    <w:rsid w:val="001B76FE"/>
    <w:rsid w:val="001B7723"/>
    <w:rsid w:val="001C04A0"/>
    <w:rsid w:val="001C060E"/>
    <w:rsid w:val="001C0624"/>
    <w:rsid w:val="001C07FE"/>
    <w:rsid w:val="001C0808"/>
    <w:rsid w:val="001C080E"/>
    <w:rsid w:val="001C0845"/>
    <w:rsid w:val="001C08E4"/>
    <w:rsid w:val="001C09FD"/>
    <w:rsid w:val="001C0EA0"/>
    <w:rsid w:val="001C1A35"/>
    <w:rsid w:val="001C1AA1"/>
    <w:rsid w:val="001C1D18"/>
    <w:rsid w:val="001C1E79"/>
    <w:rsid w:val="001C1F97"/>
    <w:rsid w:val="001C2254"/>
    <w:rsid w:val="001C29C4"/>
    <w:rsid w:val="001C2C5C"/>
    <w:rsid w:val="001C2FF5"/>
    <w:rsid w:val="001C31D0"/>
    <w:rsid w:val="001C3211"/>
    <w:rsid w:val="001C33DD"/>
    <w:rsid w:val="001C401A"/>
    <w:rsid w:val="001C451B"/>
    <w:rsid w:val="001C46AE"/>
    <w:rsid w:val="001C475D"/>
    <w:rsid w:val="001C49F6"/>
    <w:rsid w:val="001C4B69"/>
    <w:rsid w:val="001C4BA9"/>
    <w:rsid w:val="001C4C44"/>
    <w:rsid w:val="001C4E46"/>
    <w:rsid w:val="001C5728"/>
    <w:rsid w:val="001C634C"/>
    <w:rsid w:val="001C66B0"/>
    <w:rsid w:val="001C68E4"/>
    <w:rsid w:val="001C6A96"/>
    <w:rsid w:val="001C6C75"/>
    <w:rsid w:val="001C7158"/>
    <w:rsid w:val="001C725A"/>
    <w:rsid w:val="001C739E"/>
    <w:rsid w:val="001C73C8"/>
    <w:rsid w:val="001C7686"/>
    <w:rsid w:val="001C7923"/>
    <w:rsid w:val="001C7A28"/>
    <w:rsid w:val="001C7FB5"/>
    <w:rsid w:val="001D0317"/>
    <w:rsid w:val="001D035F"/>
    <w:rsid w:val="001D038F"/>
    <w:rsid w:val="001D0A0B"/>
    <w:rsid w:val="001D0A19"/>
    <w:rsid w:val="001D0E0F"/>
    <w:rsid w:val="001D110B"/>
    <w:rsid w:val="001D1441"/>
    <w:rsid w:val="001D1A34"/>
    <w:rsid w:val="001D1B08"/>
    <w:rsid w:val="001D20E1"/>
    <w:rsid w:val="001D2993"/>
    <w:rsid w:val="001D2AD9"/>
    <w:rsid w:val="001D2ADE"/>
    <w:rsid w:val="001D3497"/>
    <w:rsid w:val="001D40C7"/>
    <w:rsid w:val="001D4219"/>
    <w:rsid w:val="001D429E"/>
    <w:rsid w:val="001D43B1"/>
    <w:rsid w:val="001D455B"/>
    <w:rsid w:val="001D4784"/>
    <w:rsid w:val="001D48EE"/>
    <w:rsid w:val="001D4975"/>
    <w:rsid w:val="001D4B41"/>
    <w:rsid w:val="001D4BBE"/>
    <w:rsid w:val="001D4C75"/>
    <w:rsid w:val="001D4DE7"/>
    <w:rsid w:val="001D4E3F"/>
    <w:rsid w:val="001D501F"/>
    <w:rsid w:val="001D5442"/>
    <w:rsid w:val="001D54B9"/>
    <w:rsid w:val="001D58C1"/>
    <w:rsid w:val="001D5D62"/>
    <w:rsid w:val="001D657C"/>
    <w:rsid w:val="001D6BA4"/>
    <w:rsid w:val="001D6C49"/>
    <w:rsid w:val="001D6FD8"/>
    <w:rsid w:val="001D716C"/>
    <w:rsid w:val="001D7281"/>
    <w:rsid w:val="001D7669"/>
    <w:rsid w:val="001D7A8B"/>
    <w:rsid w:val="001D7CAA"/>
    <w:rsid w:val="001D7D85"/>
    <w:rsid w:val="001D7EA7"/>
    <w:rsid w:val="001D7EDF"/>
    <w:rsid w:val="001E0061"/>
    <w:rsid w:val="001E0146"/>
    <w:rsid w:val="001E01E5"/>
    <w:rsid w:val="001E053F"/>
    <w:rsid w:val="001E0ECE"/>
    <w:rsid w:val="001E0EE9"/>
    <w:rsid w:val="001E1383"/>
    <w:rsid w:val="001E16EE"/>
    <w:rsid w:val="001E17F1"/>
    <w:rsid w:val="001E1BA7"/>
    <w:rsid w:val="001E1BE2"/>
    <w:rsid w:val="001E1DAB"/>
    <w:rsid w:val="001E223A"/>
    <w:rsid w:val="001E23B5"/>
    <w:rsid w:val="001E2BFA"/>
    <w:rsid w:val="001E2D72"/>
    <w:rsid w:val="001E2E6E"/>
    <w:rsid w:val="001E3244"/>
    <w:rsid w:val="001E33C3"/>
    <w:rsid w:val="001E34C7"/>
    <w:rsid w:val="001E38FD"/>
    <w:rsid w:val="001E3AC8"/>
    <w:rsid w:val="001E3B3F"/>
    <w:rsid w:val="001E3C94"/>
    <w:rsid w:val="001E3D8E"/>
    <w:rsid w:val="001E3F3E"/>
    <w:rsid w:val="001E4079"/>
    <w:rsid w:val="001E4454"/>
    <w:rsid w:val="001E457B"/>
    <w:rsid w:val="001E47AD"/>
    <w:rsid w:val="001E48F3"/>
    <w:rsid w:val="001E4A16"/>
    <w:rsid w:val="001E4BAA"/>
    <w:rsid w:val="001E4FBC"/>
    <w:rsid w:val="001E5180"/>
    <w:rsid w:val="001E5648"/>
    <w:rsid w:val="001E5832"/>
    <w:rsid w:val="001E5A93"/>
    <w:rsid w:val="001E5B79"/>
    <w:rsid w:val="001E5B7B"/>
    <w:rsid w:val="001E5D9D"/>
    <w:rsid w:val="001E6051"/>
    <w:rsid w:val="001E6139"/>
    <w:rsid w:val="001E614E"/>
    <w:rsid w:val="001E6739"/>
    <w:rsid w:val="001E6740"/>
    <w:rsid w:val="001E6990"/>
    <w:rsid w:val="001E6CAF"/>
    <w:rsid w:val="001E6E86"/>
    <w:rsid w:val="001E6EEE"/>
    <w:rsid w:val="001E6FEA"/>
    <w:rsid w:val="001E702B"/>
    <w:rsid w:val="001E70CF"/>
    <w:rsid w:val="001E71B2"/>
    <w:rsid w:val="001E71EC"/>
    <w:rsid w:val="001E724B"/>
    <w:rsid w:val="001E727B"/>
    <w:rsid w:val="001E7495"/>
    <w:rsid w:val="001E74A1"/>
    <w:rsid w:val="001E7612"/>
    <w:rsid w:val="001E76BC"/>
    <w:rsid w:val="001E797D"/>
    <w:rsid w:val="001E7B6F"/>
    <w:rsid w:val="001E7E74"/>
    <w:rsid w:val="001F0A9A"/>
    <w:rsid w:val="001F0BDC"/>
    <w:rsid w:val="001F0E7F"/>
    <w:rsid w:val="001F11BB"/>
    <w:rsid w:val="001F11C9"/>
    <w:rsid w:val="001F1A16"/>
    <w:rsid w:val="001F1DE7"/>
    <w:rsid w:val="001F1F35"/>
    <w:rsid w:val="001F2472"/>
    <w:rsid w:val="001F2919"/>
    <w:rsid w:val="001F2B23"/>
    <w:rsid w:val="001F2C78"/>
    <w:rsid w:val="001F2EFB"/>
    <w:rsid w:val="001F2F6F"/>
    <w:rsid w:val="001F2FA9"/>
    <w:rsid w:val="001F33D8"/>
    <w:rsid w:val="001F37C2"/>
    <w:rsid w:val="001F3A33"/>
    <w:rsid w:val="001F3D06"/>
    <w:rsid w:val="001F40ED"/>
    <w:rsid w:val="001F447C"/>
    <w:rsid w:val="001F4CB0"/>
    <w:rsid w:val="001F4CC3"/>
    <w:rsid w:val="001F4FD9"/>
    <w:rsid w:val="001F500D"/>
    <w:rsid w:val="001F591D"/>
    <w:rsid w:val="001F5BD7"/>
    <w:rsid w:val="001F5C43"/>
    <w:rsid w:val="001F5CBB"/>
    <w:rsid w:val="001F5D36"/>
    <w:rsid w:val="001F5F89"/>
    <w:rsid w:val="001F6155"/>
    <w:rsid w:val="001F6197"/>
    <w:rsid w:val="001F6244"/>
    <w:rsid w:val="001F65B7"/>
    <w:rsid w:val="001F7040"/>
    <w:rsid w:val="001F79D3"/>
    <w:rsid w:val="001F7FC1"/>
    <w:rsid w:val="002002B0"/>
    <w:rsid w:val="002002BE"/>
    <w:rsid w:val="002003F0"/>
    <w:rsid w:val="002007C9"/>
    <w:rsid w:val="00200866"/>
    <w:rsid w:val="00200A76"/>
    <w:rsid w:val="00200C7F"/>
    <w:rsid w:val="00200DBD"/>
    <w:rsid w:val="002010D8"/>
    <w:rsid w:val="002013B3"/>
    <w:rsid w:val="00201530"/>
    <w:rsid w:val="00201872"/>
    <w:rsid w:val="0020190B"/>
    <w:rsid w:val="00201B53"/>
    <w:rsid w:val="00201B65"/>
    <w:rsid w:val="0020268D"/>
    <w:rsid w:val="00202CC7"/>
    <w:rsid w:val="00202DCF"/>
    <w:rsid w:val="002030E2"/>
    <w:rsid w:val="00203911"/>
    <w:rsid w:val="00203A44"/>
    <w:rsid w:val="00203D01"/>
    <w:rsid w:val="00204069"/>
    <w:rsid w:val="0020462E"/>
    <w:rsid w:val="00204958"/>
    <w:rsid w:val="00204B0B"/>
    <w:rsid w:val="0020524D"/>
    <w:rsid w:val="002054AB"/>
    <w:rsid w:val="002054B1"/>
    <w:rsid w:val="00205539"/>
    <w:rsid w:val="00205AC5"/>
    <w:rsid w:val="00205C19"/>
    <w:rsid w:val="0020602A"/>
    <w:rsid w:val="00206151"/>
    <w:rsid w:val="002066E0"/>
    <w:rsid w:val="002066FE"/>
    <w:rsid w:val="00206E71"/>
    <w:rsid w:val="00207024"/>
    <w:rsid w:val="002071AB"/>
    <w:rsid w:val="00207747"/>
    <w:rsid w:val="0020783F"/>
    <w:rsid w:val="0020792E"/>
    <w:rsid w:val="002079D9"/>
    <w:rsid w:val="00207C4B"/>
    <w:rsid w:val="002104CC"/>
    <w:rsid w:val="00210553"/>
    <w:rsid w:val="002106DB"/>
    <w:rsid w:val="0021078B"/>
    <w:rsid w:val="002108D6"/>
    <w:rsid w:val="002109A6"/>
    <w:rsid w:val="00210AB4"/>
    <w:rsid w:val="00210D35"/>
    <w:rsid w:val="00210EBF"/>
    <w:rsid w:val="002112C4"/>
    <w:rsid w:val="00211ABE"/>
    <w:rsid w:val="002126DD"/>
    <w:rsid w:val="002128C6"/>
    <w:rsid w:val="0021299F"/>
    <w:rsid w:val="00212B5D"/>
    <w:rsid w:val="00212D40"/>
    <w:rsid w:val="0021309F"/>
    <w:rsid w:val="00213247"/>
    <w:rsid w:val="0021426A"/>
    <w:rsid w:val="002146A8"/>
    <w:rsid w:val="002146C0"/>
    <w:rsid w:val="002149A5"/>
    <w:rsid w:val="00215564"/>
    <w:rsid w:val="0021563D"/>
    <w:rsid w:val="0021587F"/>
    <w:rsid w:val="002158A3"/>
    <w:rsid w:val="00215943"/>
    <w:rsid w:val="00215C3F"/>
    <w:rsid w:val="00215D01"/>
    <w:rsid w:val="00215F00"/>
    <w:rsid w:val="00215FAB"/>
    <w:rsid w:val="002165C9"/>
    <w:rsid w:val="002166B8"/>
    <w:rsid w:val="0021691D"/>
    <w:rsid w:val="00216B96"/>
    <w:rsid w:val="00216BC0"/>
    <w:rsid w:val="00216C63"/>
    <w:rsid w:val="00216FD2"/>
    <w:rsid w:val="002170C8"/>
    <w:rsid w:val="002170E7"/>
    <w:rsid w:val="00217978"/>
    <w:rsid w:val="00217AF3"/>
    <w:rsid w:val="00217E4E"/>
    <w:rsid w:val="002206C6"/>
    <w:rsid w:val="002208D6"/>
    <w:rsid w:val="00220C3F"/>
    <w:rsid w:val="00220EAF"/>
    <w:rsid w:val="002210C4"/>
    <w:rsid w:val="002213DC"/>
    <w:rsid w:val="002213FB"/>
    <w:rsid w:val="00221653"/>
    <w:rsid w:val="00221AA1"/>
    <w:rsid w:val="00221C87"/>
    <w:rsid w:val="00221E3E"/>
    <w:rsid w:val="00221F22"/>
    <w:rsid w:val="0022244E"/>
    <w:rsid w:val="002224AB"/>
    <w:rsid w:val="002226F1"/>
    <w:rsid w:val="002229FB"/>
    <w:rsid w:val="00222B54"/>
    <w:rsid w:val="00222B9F"/>
    <w:rsid w:val="0022328F"/>
    <w:rsid w:val="002233D5"/>
    <w:rsid w:val="00223469"/>
    <w:rsid w:val="002240F1"/>
    <w:rsid w:val="00224392"/>
    <w:rsid w:val="00224483"/>
    <w:rsid w:val="00224798"/>
    <w:rsid w:val="002247A6"/>
    <w:rsid w:val="00224A59"/>
    <w:rsid w:val="0022569C"/>
    <w:rsid w:val="002263F6"/>
    <w:rsid w:val="002266AA"/>
    <w:rsid w:val="0022733B"/>
    <w:rsid w:val="002277C1"/>
    <w:rsid w:val="00227BB7"/>
    <w:rsid w:val="00227C4A"/>
    <w:rsid w:val="00230257"/>
    <w:rsid w:val="00230296"/>
    <w:rsid w:val="002302ED"/>
    <w:rsid w:val="0023079D"/>
    <w:rsid w:val="00230935"/>
    <w:rsid w:val="00230CF9"/>
    <w:rsid w:val="0023110A"/>
    <w:rsid w:val="00231589"/>
    <w:rsid w:val="00231736"/>
    <w:rsid w:val="00231806"/>
    <w:rsid w:val="002322DF"/>
    <w:rsid w:val="00232D7F"/>
    <w:rsid w:val="00232FB1"/>
    <w:rsid w:val="00233156"/>
    <w:rsid w:val="002334E8"/>
    <w:rsid w:val="0023377A"/>
    <w:rsid w:val="002338DB"/>
    <w:rsid w:val="00233BD8"/>
    <w:rsid w:val="00233E40"/>
    <w:rsid w:val="00234314"/>
    <w:rsid w:val="002343D8"/>
    <w:rsid w:val="00234753"/>
    <w:rsid w:val="00234919"/>
    <w:rsid w:val="00234945"/>
    <w:rsid w:val="00234AD3"/>
    <w:rsid w:val="00234AFF"/>
    <w:rsid w:val="00234CBF"/>
    <w:rsid w:val="002350DB"/>
    <w:rsid w:val="00235296"/>
    <w:rsid w:val="002354B0"/>
    <w:rsid w:val="002354C5"/>
    <w:rsid w:val="00235A57"/>
    <w:rsid w:val="00235E63"/>
    <w:rsid w:val="00235E6D"/>
    <w:rsid w:val="00235E76"/>
    <w:rsid w:val="002361E0"/>
    <w:rsid w:val="00236743"/>
    <w:rsid w:val="00237153"/>
    <w:rsid w:val="00237D06"/>
    <w:rsid w:val="002404B2"/>
    <w:rsid w:val="00240865"/>
    <w:rsid w:val="002408D8"/>
    <w:rsid w:val="00240A2F"/>
    <w:rsid w:val="0024158D"/>
    <w:rsid w:val="00241D2C"/>
    <w:rsid w:val="00241D77"/>
    <w:rsid w:val="00241FC2"/>
    <w:rsid w:val="002422EF"/>
    <w:rsid w:val="002426DE"/>
    <w:rsid w:val="0024282A"/>
    <w:rsid w:val="0024315E"/>
    <w:rsid w:val="00243AD2"/>
    <w:rsid w:val="00243B88"/>
    <w:rsid w:val="00243C4E"/>
    <w:rsid w:val="00243D04"/>
    <w:rsid w:val="002440C3"/>
    <w:rsid w:val="00244839"/>
    <w:rsid w:val="00244A12"/>
    <w:rsid w:val="00244A3B"/>
    <w:rsid w:val="00244AEB"/>
    <w:rsid w:val="00244BE3"/>
    <w:rsid w:val="00244EAD"/>
    <w:rsid w:val="002450D8"/>
    <w:rsid w:val="002453EA"/>
    <w:rsid w:val="002454C3"/>
    <w:rsid w:val="00245B2E"/>
    <w:rsid w:val="00245B5C"/>
    <w:rsid w:val="00246117"/>
    <w:rsid w:val="00246413"/>
    <w:rsid w:val="0024661F"/>
    <w:rsid w:val="002469CF"/>
    <w:rsid w:val="00246A67"/>
    <w:rsid w:val="00246BC7"/>
    <w:rsid w:val="00247158"/>
    <w:rsid w:val="002472E4"/>
    <w:rsid w:val="00247567"/>
    <w:rsid w:val="002478A7"/>
    <w:rsid w:val="00247945"/>
    <w:rsid w:val="00247BA6"/>
    <w:rsid w:val="00247DAD"/>
    <w:rsid w:val="00247E1D"/>
    <w:rsid w:val="00247FC4"/>
    <w:rsid w:val="00247FE6"/>
    <w:rsid w:val="0025022B"/>
    <w:rsid w:val="00250F3A"/>
    <w:rsid w:val="00251694"/>
    <w:rsid w:val="002529EA"/>
    <w:rsid w:val="00252B45"/>
    <w:rsid w:val="00252B9C"/>
    <w:rsid w:val="00252BA7"/>
    <w:rsid w:val="00252BDA"/>
    <w:rsid w:val="00252C98"/>
    <w:rsid w:val="00252D04"/>
    <w:rsid w:val="00252F7D"/>
    <w:rsid w:val="0025341D"/>
    <w:rsid w:val="00253550"/>
    <w:rsid w:val="002535B4"/>
    <w:rsid w:val="002537F8"/>
    <w:rsid w:val="00253C55"/>
    <w:rsid w:val="00253D99"/>
    <w:rsid w:val="00254226"/>
    <w:rsid w:val="00254864"/>
    <w:rsid w:val="00254BB9"/>
    <w:rsid w:val="00254D2F"/>
    <w:rsid w:val="00255156"/>
    <w:rsid w:val="00255537"/>
    <w:rsid w:val="00255689"/>
    <w:rsid w:val="00255742"/>
    <w:rsid w:val="002558C2"/>
    <w:rsid w:val="002558E9"/>
    <w:rsid w:val="00255978"/>
    <w:rsid w:val="00255E04"/>
    <w:rsid w:val="002560A9"/>
    <w:rsid w:val="002564B6"/>
    <w:rsid w:val="00256CE0"/>
    <w:rsid w:val="00256D71"/>
    <w:rsid w:val="00256DC0"/>
    <w:rsid w:val="00256E80"/>
    <w:rsid w:val="00257058"/>
    <w:rsid w:val="0025746B"/>
    <w:rsid w:val="002575CE"/>
    <w:rsid w:val="00257690"/>
    <w:rsid w:val="002600F9"/>
    <w:rsid w:val="002603E1"/>
    <w:rsid w:val="0026065F"/>
    <w:rsid w:val="00260A5B"/>
    <w:rsid w:val="00260C76"/>
    <w:rsid w:val="00260CA4"/>
    <w:rsid w:val="00261488"/>
    <w:rsid w:val="00261699"/>
    <w:rsid w:val="002616F1"/>
    <w:rsid w:val="002617B5"/>
    <w:rsid w:val="002619C7"/>
    <w:rsid w:val="00261EB5"/>
    <w:rsid w:val="00262236"/>
    <w:rsid w:val="002622F1"/>
    <w:rsid w:val="00262875"/>
    <w:rsid w:val="0026291C"/>
    <w:rsid w:val="002629E0"/>
    <w:rsid w:val="00262E1B"/>
    <w:rsid w:val="00262F51"/>
    <w:rsid w:val="00263752"/>
    <w:rsid w:val="00263AAC"/>
    <w:rsid w:val="00263B4E"/>
    <w:rsid w:val="0026429A"/>
    <w:rsid w:val="002643C7"/>
    <w:rsid w:val="0026443C"/>
    <w:rsid w:val="00264777"/>
    <w:rsid w:val="00264874"/>
    <w:rsid w:val="002648FC"/>
    <w:rsid w:val="00264ABB"/>
    <w:rsid w:val="002650A9"/>
    <w:rsid w:val="00265B7B"/>
    <w:rsid w:val="00265C7C"/>
    <w:rsid w:val="00265CCE"/>
    <w:rsid w:val="00265EA8"/>
    <w:rsid w:val="0026628D"/>
    <w:rsid w:val="00266625"/>
    <w:rsid w:val="002666E0"/>
    <w:rsid w:val="00266809"/>
    <w:rsid w:val="00266823"/>
    <w:rsid w:val="0026689D"/>
    <w:rsid w:val="00266D9F"/>
    <w:rsid w:val="00266FDC"/>
    <w:rsid w:val="002670BF"/>
    <w:rsid w:val="00267A3F"/>
    <w:rsid w:val="00267D96"/>
    <w:rsid w:val="00267EAE"/>
    <w:rsid w:val="002707F8"/>
    <w:rsid w:val="00271012"/>
    <w:rsid w:val="00271139"/>
    <w:rsid w:val="00271303"/>
    <w:rsid w:val="00271573"/>
    <w:rsid w:val="002715B5"/>
    <w:rsid w:val="002718E2"/>
    <w:rsid w:val="0027197C"/>
    <w:rsid w:val="0027217A"/>
    <w:rsid w:val="00272276"/>
    <w:rsid w:val="00272303"/>
    <w:rsid w:val="00272455"/>
    <w:rsid w:val="0027247F"/>
    <w:rsid w:val="00272518"/>
    <w:rsid w:val="00272881"/>
    <w:rsid w:val="00272A8A"/>
    <w:rsid w:val="00272E33"/>
    <w:rsid w:val="00272FC6"/>
    <w:rsid w:val="00273204"/>
    <w:rsid w:val="00273593"/>
    <w:rsid w:val="0027399D"/>
    <w:rsid w:val="00273B2E"/>
    <w:rsid w:val="00273B50"/>
    <w:rsid w:val="00273B9F"/>
    <w:rsid w:val="00273D0A"/>
    <w:rsid w:val="00273D6A"/>
    <w:rsid w:val="0027405D"/>
    <w:rsid w:val="0027409C"/>
    <w:rsid w:val="0027417C"/>
    <w:rsid w:val="002742F9"/>
    <w:rsid w:val="002745D0"/>
    <w:rsid w:val="002748D9"/>
    <w:rsid w:val="00274A10"/>
    <w:rsid w:val="002751FD"/>
    <w:rsid w:val="0027536B"/>
    <w:rsid w:val="002756F5"/>
    <w:rsid w:val="0027582D"/>
    <w:rsid w:val="00275B9C"/>
    <w:rsid w:val="00275E37"/>
    <w:rsid w:val="00275E5A"/>
    <w:rsid w:val="00276557"/>
    <w:rsid w:val="00276697"/>
    <w:rsid w:val="00276757"/>
    <w:rsid w:val="00276971"/>
    <w:rsid w:val="00277872"/>
    <w:rsid w:val="002779F2"/>
    <w:rsid w:val="00277C3E"/>
    <w:rsid w:val="00277FAF"/>
    <w:rsid w:val="0028000C"/>
    <w:rsid w:val="0028025C"/>
    <w:rsid w:val="0028087E"/>
    <w:rsid w:val="00280992"/>
    <w:rsid w:val="00280F24"/>
    <w:rsid w:val="002813E3"/>
    <w:rsid w:val="0028159F"/>
    <w:rsid w:val="00281B7D"/>
    <w:rsid w:val="00281E83"/>
    <w:rsid w:val="002820BB"/>
    <w:rsid w:val="00282389"/>
    <w:rsid w:val="002824A2"/>
    <w:rsid w:val="00282657"/>
    <w:rsid w:val="00282A59"/>
    <w:rsid w:val="00282B1C"/>
    <w:rsid w:val="00282FF0"/>
    <w:rsid w:val="0028303A"/>
    <w:rsid w:val="00283165"/>
    <w:rsid w:val="002831BE"/>
    <w:rsid w:val="00283413"/>
    <w:rsid w:val="002835BF"/>
    <w:rsid w:val="00283AD7"/>
    <w:rsid w:val="00283F66"/>
    <w:rsid w:val="00284778"/>
    <w:rsid w:val="00284E5B"/>
    <w:rsid w:val="00284FCC"/>
    <w:rsid w:val="0028536B"/>
    <w:rsid w:val="002859C9"/>
    <w:rsid w:val="00285F41"/>
    <w:rsid w:val="002860B0"/>
    <w:rsid w:val="002862AF"/>
    <w:rsid w:val="0028678C"/>
    <w:rsid w:val="00286B3D"/>
    <w:rsid w:val="00287058"/>
    <w:rsid w:val="00287173"/>
    <w:rsid w:val="0028746C"/>
    <w:rsid w:val="0028773C"/>
    <w:rsid w:val="00287873"/>
    <w:rsid w:val="00290428"/>
    <w:rsid w:val="002906B4"/>
    <w:rsid w:val="0029098D"/>
    <w:rsid w:val="00290CAD"/>
    <w:rsid w:val="00290D1F"/>
    <w:rsid w:val="00290ECB"/>
    <w:rsid w:val="00291362"/>
    <w:rsid w:val="00291365"/>
    <w:rsid w:val="0029150C"/>
    <w:rsid w:val="002915B7"/>
    <w:rsid w:val="002916C5"/>
    <w:rsid w:val="002918C4"/>
    <w:rsid w:val="00291911"/>
    <w:rsid w:val="002919BE"/>
    <w:rsid w:val="00291AD2"/>
    <w:rsid w:val="00291ADC"/>
    <w:rsid w:val="00291B87"/>
    <w:rsid w:val="00291BEE"/>
    <w:rsid w:val="00291C45"/>
    <w:rsid w:val="00291FA7"/>
    <w:rsid w:val="0029238F"/>
    <w:rsid w:val="0029245D"/>
    <w:rsid w:val="00292B3B"/>
    <w:rsid w:val="00292B63"/>
    <w:rsid w:val="002937EB"/>
    <w:rsid w:val="00293B33"/>
    <w:rsid w:val="00293BAF"/>
    <w:rsid w:val="00293E9B"/>
    <w:rsid w:val="00293F17"/>
    <w:rsid w:val="00293FBE"/>
    <w:rsid w:val="00294070"/>
    <w:rsid w:val="0029410D"/>
    <w:rsid w:val="00294209"/>
    <w:rsid w:val="002945CC"/>
    <w:rsid w:val="002949C2"/>
    <w:rsid w:val="00294DD2"/>
    <w:rsid w:val="002955A3"/>
    <w:rsid w:val="002957AF"/>
    <w:rsid w:val="00295BB8"/>
    <w:rsid w:val="002960C9"/>
    <w:rsid w:val="00296355"/>
    <w:rsid w:val="00296459"/>
    <w:rsid w:val="002967B6"/>
    <w:rsid w:val="0029680D"/>
    <w:rsid w:val="002968EC"/>
    <w:rsid w:val="0029696D"/>
    <w:rsid w:val="00296E08"/>
    <w:rsid w:val="0029725D"/>
    <w:rsid w:val="00297C01"/>
    <w:rsid w:val="00297D01"/>
    <w:rsid w:val="00297D91"/>
    <w:rsid w:val="00297F88"/>
    <w:rsid w:val="002A0092"/>
    <w:rsid w:val="002A01D9"/>
    <w:rsid w:val="002A025A"/>
    <w:rsid w:val="002A040B"/>
    <w:rsid w:val="002A06D9"/>
    <w:rsid w:val="002A08D0"/>
    <w:rsid w:val="002A0B5C"/>
    <w:rsid w:val="002A0C55"/>
    <w:rsid w:val="002A10AA"/>
    <w:rsid w:val="002A1156"/>
    <w:rsid w:val="002A1641"/>
    <w:rsid w:val="002A1800"/>
    <w:rsid w:val="002A2292"/>
    <w:rsid w:val="002A237D"/>
    <w:rsid w:val="002A27C7"/>
    <w:rsid w:val="002A2A4D"/>
    <w:rsid w:val="002A3096"/>
    <w:rsid w:val="002A3248"/>
    <w:rsid w:val="002A3286"/>
    <w:rsid w:val="002A36FC"/>
    <w:rsid w:val="002A39A0"/>
    <w:rsid w:val="002A3BD4"/>
    <w:rsid w:val="002A3DF1"/>
    <w:rsid w:val="002A3F2C"/>
    <w:rsid w:val="002A3FAE"/>
    <w:rsid w:val="002A41CE"/>
    <w:rsid w:val="002A46C5"/>
    <w:rsid w:val="002A4FE4"/>
    <w:rsid w:val="002A509A"/>
    <w:rsid w:val="002A53B0"/>
    <w:rsid w:val="002A5B06"/>
    <w:rsid w:val="002A5C11"/>
    <w:rsid w:val="002A5C5C"/>
    <w:rsid w:val="002A5D32"/>
    <w:rsid w:val="002A5E12"/>
    <w:rsid w:val="002A5F8F"/>
    <w:rsid w:val="002A62A7"/>
    <w:rsid w:val="002A6475"/>
    <w:rsid w:val="002A68EF"/>
    <w:rsid w:val="002A6B7D"/>
    <w:rsid w:val="002A6BDB"/>
    <w:rsid w:val="002A6BEA"/>
    <w:rsid w:val="002A73D1"/>
    <w:rsid w:val="002A7586"/>
    <w:rsid w:val="002A7727"/>
    <w:rsid w:val="002A78FA"/>
    <w:rsid w:val="002A7E46"/>
    <w:rsid w:val="002A7EE0"/>
    <w:rsid w:val="002A7EFB"/>
    <w:rsid w:val="002B059A"/>
    <w:rsid w:val="002B0807"/>
    <w:rsid w:val="002B08F8"/>
    <w:rsid w:val="002B0C38"/>
    <w:rsid w:val="002B0CE1"/>
    <w:rsid w:val="002B0E95"/>
    <w:rsid w:val="002B159A"/>
    <w:rsid w:val="002B1781"/>
    <w:rsid w:val="002B1902"/>
    <w:rsid w:val="002B1B28"/>
    <w:rsid w:val="002B1F5D"/>
    <w:rsid w:val="002B2062"/>
    <w:rsid w:val="002B2432"/>
    <w:rsid w:val="002B2584"/>
    <w:rsid w:val="002B2812"/>
    <w:rsid w:val="002B2CC0"/>
    <w:rsid w:val="002B315A"/>
    <w:rsid w:val="002B31DF"/>
    <w:rsid w:val="002B32AC"/>
    <w:rsid w:val="002B36B5"/>
    <w:rsid w:val="002B3924"/>
    <w:rsid w:val="002B3C06"/>
    <w:rsid w:val="002B3FB4"/>
    <w:rsid w:val="002B4B5E"/>
    <w:rsid w:val="002B4C9D"/>
    <w:rsid w:val="002B4FC4"/>
    <w:rsid w:val="002B501F"/>
    <w:rsid w:val="002B5058"/>
    <w:rsid w:val="002B5248"/>
    <w:rsid w:val="002B52D3"/>
    <w:rsid w:val="002B5472"/>
    <w:rsid w:val="002B5514"/>
    <w:rsid w:val="002B5896"/>
    <w:rsid w:val="002B5A04"/>
    <w:rsid w:val="002B5BAC"/>
    <w:rsid w:val="002B5F3F"/>
    <w:rsid w:val="002B62FD"/>
    <w:rsid w:val="002B67C3"/>
    <w:rsid w:val="002B6851"/>
    <w:rsid w:val="002B6B97"/>
    <w:rsid w:val="002B6BFF"/>
    <w:rsid w:val="002B6EA0"/>
    <w:rsid w:val="002B7536"/>
    <w:rsid w:val="002B75BE"/>
    <w:rsid w:val="002B7634"/>
    <w:rsid w:val="002B7659"/>
    <w:rsid w:val="002B773A"/>
    <w:rsid w:val="002C01D2"/>
    <w:rsid w:val="002C0DC5"/>
    <w:rsid w:val="002C23C7"/>
    <w:rsid w:val="002C246E"/>
    <w:rsid w:val="002C2BB0"/>
    <w:rsid w:val="002C2DFE"/>
    <w:rsid w:val="002C329F"/>
    <w:rsid w:val="002C3376"/>
    <w:rsid w:val="002C3A34"/>
    <w:rsid w:val="002C3C8F"/>
    <w:rsid w:val="002C3D40"/>
    <w:rsid w:val="002C4194"/>
    <w:rsid w:val="002C4389"/>
    <w:rsid w:val="002C44DA"/>
    <w:rsid w:val="002C4589"/>
    <w:rsid w:val="002C46C0"/>
    <w:rsid w:val="002C46DB"/>
    <w:rsid w:val="002C48B7"/>
    <w:rsid w:val="002C4944"/>
    <w:rsid w:val="002C4C18"/>
    <w:rsid w:val="002C4C8F"/>
    <w:rsid w:val="002C4DA7"/>
    <w:rsid w:val="002C4E5A"/>
    <w:rsid w:val="002C51A3"/>
    <w:rsid w:val="002C5862"/>
    <w:rsid w:val="002C59C9"/>
    <w:rsid w:val="002C5B27"/>
    <w:rsid w:val="002C5B43"/>
    <w:rsid w:val="002C5F71"/>
    <w:rsid w:val="002C6026"/>
    <w:rsid w:val="002C605D"/>
    <w:rsid w:val="002C6088"/>
    <w:rsid w:val="002C67C6"/>
    <w:rsid w:val="002C68F7"/>
    <w:rsid w:val="002C7338"/>
    <w:rsid w:val="002C74F9"/>
    <w:rsid w:val="002C766D"/>
    <w:rsid w:val="002C77BB"/>
    <w:rsid w:val="002C7B52"/>
    <w:rsid w:val="002C7CDE"/>
    <w:rsid w:val="002D0209"/>
    <w:rsid w:val="002D04E3"/>
    <w:rsid w:val="002D0787"/>
    <w:rsid w:val="002D0887"/>
    <w:rsid w:val="002D0DDB"/>
    <w:rsid w:val="002D0ED7"/>
    <w:rsid w:val="002D10E3"/>
    <w:rsid w:val="002D15A8"/>
    <w:rsid w:val="002D163D"/>
    <w:rsid w:val="002D16EB"/>
    <w:rsid w:val="002D1720"/>
    <w:rsid w:val="002D176D"/>
    <w:rsid w:val="002D1D6C"/>
    <w:rsid w:val="002D1F4D"/>
    <w:rsid w:val="002D278F"/>
    <w:rsid w:val="002D2A49"/>
    <w:rsid w:val="002D2A5C"/>
    <w:rsid w:val="002D2D53"/>
    <w:rsid w:val="002D334B"/>
    <w:rsid w:val="002D3757"/>
    <w:rsid w:val="002D4024"/>
    <w:rsid w:val="002D42E5"/>
    <w:rsid w:val="002D46D8"/>
    <w:rsid w:val="002D477E"/>
    <w:rsid w:val="002D47BA"/>
    <w:rsid w:val="002D52A8"/>
    <w:rsid w:val="002D57C5"/>
    <w:rsid w:val="002D5830"/>
    <w:rsid w:val="002D5BA7"/>
    <w:rsid w:val="002D5C20"/>
    <w:rsid w:val="002D5D35"/>
    <w:rsid w:val="002D5D4E"/>
    <w:rsid w:val="002D61ED"/>
    <w:rsid w:val="002D64B5"/>
    <w:rsid w:val="002D66C5"/>
    <w:rsid w:val="002D6CAE"/>
    <w:rsid w:val="002D743D"/>
    <w:rsid w:val="002D7DB0"/>
    <w:rsid w:val="002E01AE"/>
    <w:rsid w:val="002E021F"/>
    <w:rsid w:val="002E064E"/>
    <w:rsid w:val="002E06FE"/>
    <w:rsid w:val="002E137D"/>
    <w:rsid w:val="002E1654"/>
    <w:rsid w:val="002E1656"/>
    <w:rsid w:val="002E1776"/>
    <w:rsid w:val="002E1944"/>
    <w:rsid w:val="002E1DD1"/>
    <w:rsid w:val="002E2198"/>
    <w:rsid w:val="002E2386"/>
    <w:rsid w:val="002E27A3"/>
    <w:rsid w:val="002E28AE"/>
    <w:rsid w:val="002E29D3"/>
    <w:rsid w:val="002E2C60"/>
    <w:rsid w:val="002E2FF1"/>
    <w:rsid w:val="002E30CB"/>
    <w:rsid w:val="002E3159"/>
    <w:rsid w:val="002E3345"/>
    <w:rsid w:val="002E3354"/>
    <w:rsid w:val="002E346D"/>
    <w:rsid w:val="002E3681"/>
    <w:rsid w:val="002E39A3"/>
    <w:rsid w:val="002E3C74"/>
    <w:rsid w:val="002E3DE5"/>
    <w:rsid w:val="002E3F79"/>
    <w:rsid w:val="002E451A"/>
    <w:rsid w:val="002E4B73"/>
    <w:rsid w:val="002E4C00"/>
    <w:rsid w:val="002E4C47"/>
    <w:rsid w:val="002E4E6C"/>
    <w:rsid w:val="002E5059"/>
    <w:rsid w:val="002E55A5"/>
    <w:rsid w:val="002E5ACF"/>
    <w:rsid w:val="002E5C8E"/>
    <w:rsid w:val="002E5E12"/>
    <w:rsid w:val="002E6068"/>
    <w:rsid w:val="002E60A3"/>
    <w:rsid w:val="002E6105"/>
    <w:rsid w:val="002E65B0"/>
    <w:rsid w:val="002E698A"/>
    <w:rsid w:val="002E69EE"/>
    <w:rsid w:val="002E6B44"/>
    <w:rsid w:val="002E720C"/>
    <w:rsid w:val="002E72AA"/>
    <w:rsid w:val="002E7605"/>
    <w:rsid w:val="002E7712"/>
    <w:rsid w:val="002E7FD0"/>
    <w:rsid w:val="002F00B8"/>
    <w:rsid w:val="002F02BF"/>
    <w:rsid w:val="002F02FE"/>
    <w:rsid w:val="002F03C8"/>
    <w:rsid w:val="002F06B3"/>
    <w:rsid w:val="002F081A"/>
    <w:rsid w:val="002F09FE"/>
    <w:rsid w:val="002F0AF8"/>
    <w:rsid w:val="002F0E4F"/>
    <w:rsid w:val="002F1314"/>
    <w:rsid w:val="002F1369"/>
    <w:rsid w:val="002F16A9"/>
    <w:rsid w:val="002F16C0"/>
    <w:rsid w:val="002F18C4"/>
    <w:rsid w:val="002F19CD"/>
    <w:rsid w:val="002F19E3"/>
    <w:rsid w:val="002F1A4A"/>
    <w:rsid w:val="002F1AA0"/>
    <w:rsid w:val="002F1E1E"/>
    <w:rsid w:val="002F212A"/>
    <w:rsid w:val="002F240F"/>
    <w:rsid w:val="002F2582"/>
    <w:rsid w:val="002F2931"/>
    <w:rsid w:val="002F2D0D"/>
    <w:rsid w:val="002F2E5D"/>
    <w:rsid w:val="002F2EEE"/>
    <w:rsid w:val="002F2F80"/>
    <w:rsid w:val="002F30D6"/>
    <w:rsid w:val="002F3567"/>
    <w:rsid w:val="002F38CA"/>
    <w:rsid w:val="002F3B3C"/>
    <w:rsid w:val="002F3DA0"/>
    <w:rsid w:val="002F3FF1"/>
    <w:rsid w:val="002F470A"/>
    <w:rsid w:val="002F4847"/>
    <w:rsid w:val="002F4931"/>
    <w:rsid w:val="002F4CD4"/>
    <w:rsid w:val="002F4F33"/>
    <w:rsid w:val="002F5321"/>
    <w:rsid w:val="002F595F"/>
    <w:rsid w:val="002F5C18"/>
    <w:rsid w:val="002F5CEF"/>
    <w:rsid w:val="002F5E8B"/>
    <w:rsid w:val="002F60CA"/>
    <w:rsid w:val="002F6251"/>
    <w:rsid w:val="002F636A"/>
    <w:rsid w:val="002F6BCC"/>
    <w:rsid w:val="002F6EDD"/>
    <w:rsid w:val="002F7336"/>
    <w:rsid w:val="002F74AE"/>
    <w:rsid w:val="002F755C"/>
    <w:rsid w:val="002F7713"/>
    <w:rsid w:val="002F7A43"/>
    <w:rsid w:val="002F7B00"/>
    <w:rsid w:val="00300594"/>
    <w:rsid w:val="003007A1"/>
    <w:rsid w:val="003008DB"/>
    <w:rsid w:val="003009BF"/>
    <w:rsid w:val="003009C5"/>
    <w:rsid w:val="00300A1F"/>
    <w:rsid w:val="00300C13"/>
    <w:rsid w:val="00300DF8"/>
    <w:rsid w:val="0030124C"/>
    <w:rsid w:val="003016BC"/>
    <w:rsid w:val="00301775"/>
    <w:rsid w:val="00301852"/>
    <w:rsid w:val="00301CA7"/>
    <w:rsid w:val="00301EDE"/>
    <w:rsid w:val="0030231F"/>
    <w:rsid w:val="00302433"/>
    <w:rsid w:val="0030268F"/>
    <w:rsid w:val="0030292A"/>
    <w:rsid w:val="0030297D"/>
    <w:rsid w:val="00302C29"/>
    <w:rsid w:val="00302F52"/>
    <w:rsid w:val="00303302"/>
    <w:rsid w:val="00303399"/>
    <w:rsid w:val="00303593"/>
    <w:rsid w:val="003037F3"/>
    <w:rsid w:val="00303817"/>
    <w:rsid w:val="00303D12"/>
    <w:rsid w:val="00303D58"/>
    <w:rsid w:val="00303EB3"/>
    <w:rsid w:val="00303EE4"/>
    <w:rsid w:val="00303FAE"/>
    <w:rsid w:val="00304102"/>
    <w:rsid w:val="0030437A"/>
    <w:rsid w:val="0030455D"/>
    <w:rsid w:val="0030456D"/>
    <w:rsid w:val="00304815"/>
    <w:rsid w:val="00304A59"/>
    <w:rsid w:val="00305150"/>
    <w:rsid w:val="0030547A"/>
    <w:rsid w:val="0030562F"/>
    <w:rsid w:val="003056E6"/>
    <w:rsid w:val="0030576B"/>
    <w:rsid w:val="00305D89"/>
    <w:rsid w:val="0030603D"/>
    <w:rsid w:val="003061F9"/>
    <w:rsid w:val="003066B9"/>
    <w:rsid w:val="003067A2"/>
    <w:rsid w:val="0030702C"/>
    <w:rsid w:val="0030775B"/>
    <w:rsid w:val="003077DD"/>
    <w:rsid w:val="003078B0"/>
    <w:rsid w:val="00307942"/>
    <w:rsid w:val="00310301"/>
    <w:rsid w:val="00310683"/>
    <w:rsid w:val="00310B7E"/>
    <w:rsid w:val="00310B7F"/>
    <w:rsid w:val="0031124C"/>
    <w:rsid w:val="00311B11"/>
    <w:rsid w:val="00311EF2"/>
    <w:rsid w:val="003120F5"/>
    <w:rsid w:val="0031267D"/>
    <w:rsid w:val="0031298D"/>
    <w:rsid w:val="00312AE3"/>
    <w:rsid w:val="00312C3B"/>
    <w:rsid w:val="00312CBA"/>
    <w:rsid w:val="00312DAE"/>
    <w:rsid w:val="0031323C"/>
    <w:rsid w:val="00313492"/>
    <w:rsid w:val="003134D7"/>
    <w:rsid w:val="0031356E"/>
    <w:rsid w:val="00313580"/>
    <w:rsid w:val="003136DA"/>
    <w:rsid w:val="003137AC"/>
    <w:rsid w:val="003138D4"/>
    <w:rsid w:val="0031392D"/>
    <w:rsid w:val="003139C2"/>
    <w:rsid w:val="00313B48"/>
    <w:rsid w:val="00313D0A"/>
    <w:rsid w:val="00314516"/>
    <w:rsid w:val="00314C1A"/>
    <w:rsid w:val="00314C7A"/>
    <w:rsid w:val="00314E65"/>
    <w:rsid w:val="0031520C"/>
    <w:rsid w:val="00315AC9"/>
    <w:rsid w:val="003162FD"/>
    <w:rsid w:val="00316704"/>
    <w:rsid w:val="00316BCA"/>
    <w:rsid w:val="00316F8C"/>
    <w:rsid w:val="00317716"/>
    <w:rsid w:val="0031776E"/>
    <w:rsid w:val="00317D48"/>
    <w:rsid w:val="00317DCE"/>
    <w:rsid w:val="00317EE1"/>
    <w:rsid w:val="00320321"/>
    <w:rsid w:val="00320390"/>
    <w:rsid w:val="0032054E"/>
    <w:rsid w:val="00320C09"/>
    <w:rsid w:val="00320D83"/>
    <w:rsid w:val="00320FCA"/>
    <w:rsid w:val="003218B0"/>
    <w:rsid w:val="00321B2C"/>
    <w:rsid w:val="00321EA0"/>
    <w:rsid w:val="00322160"/>
    <w:rsid w:val="0032219E"/>
    <w:rsid w:val="00322310"/>
    <w:rsid w:val="003226EA"/>
    <w:rsid w:val="003228CB"/>
    <w:rsid w:val="00322C59"/>
    <w:rsid w:val="00322E99"/>
    <w:rsid w:val="00322F4D"/>
    <w:rsid w:val="003231D9"/>
    <w:rsid w:val="003233B4"/>
    <w:rsid w:val="00323883"/>
    <w:rsid w:val="00324385"/>
    <w:rsid w:val="00324429"/>
    <w:rsid w:val="00324578"/>
    <w:rsid w:val="003246EC"/>
    <w:rsid w:val="00324812"/>
    <w:rsid w:val="00324A33"/>
    <w:rsid w:val="00324FB9"/>
    <w:rsid w:val="003255FA"/>
    <w:rsid w:val="0032565B"/>
    <w:rsid w:val="00325812"/>
    <w:rsid w:val="0032591B"/>
    <w:rsid w:val="00325D83"/>
    <w:rsid w:val="00325E11"/>
    <w:rsid w:val="00325FF5"/>
    <w:rsid w:val="00326021"/>
    <w:rsid w:val="0032608D"/>
    <w:rsid w:val="00326125"/>
    <w:rsid w:val="00326997"/>
    <w:rsid w:val="00326ABA"/>
    <w:rsid w:val="00327292"/>
    <w:rsid w:val="0032736D"/>
    <w:rsid w:val="00327AD9"/>
    <w:rsid w:val="00327C9E"/>
    <w:rsid w:val="00327E04"/>
    <w:rsid w:val="00327F6D"/>
    <w:rsid w:val="00327F89"/>
    <w:rsid w:val="00330490"/>
    <w:rsid w:val="00330565"/>
    <w:rsid w:val="00330852"/>
    <w:rsid w:val="00330E8C"/>
    <w:rsid w:val="0033186C"/>
    <w:rsid w:val="00331D06"/>
    <w:rsid w:val="00331EC4"/>
    <w:rsid w:val="00331F25"/>
    <w:rsid w:val="00332039"/>
    <w:rsid w:val="003321B6"/>
    <w:rsid w:val="00332241"/>
    <w:rsid w:val="003328BE"/>
    <w:rsid w:val="00332B69"/>
    <w:rsid w:val="00332DE0"/>
    <w:rsid w:val="00332FC8"/>
    <w:rsid w:val="003332EB"/>
    <w:rsid w:val="0033337D"/>
    <w:rsid w:val="0033340A"/>
    <w:rsid w:val="0033341A"/>
    <w:rsid w:val="003337F6"/>
    <w:rsid w:val="003338EC"/>
    <w:rsid w:val="00333BD3"/>
    <w:rsid w:val="00333DA6"/>
    <w:rsid w:val="00333DC2"/>
    <w:rsid w:val="00333EB0"/>
    <w:rsid w:val="00333EB6"/>
    <w:rsid w:val="003341D7"/>
    <w:rsid w:val="00334435"/>
    <w:rsid w:val="00334733"/>
    <w:rsid w:val="00334759"/>
    <w:rsid w:val="00334AA6"/>
    <w:rsid w:val="00334BC7"/>
    <w:rsid w:val="00334E73"/>
    <w:rsid w:val="0033517C"/>
    <w:rsid w:val="003353EC"/>
    <w:rsid w:val="00335443"/>
    <w:rsid w:val="0033571B"/>
    <w:rsid w:val="00335811"/>
    <w:rsid w:val="00335950"/>
    <w:rsid w:val="00335A00"/>
    <w:rsid w:val="00335E24"/>
    <w:rsid w:val="00336262"/>
    <w:rsid w:val="00336405"/>
    <w:rsid w:val="00336470"/>
    <w:rsid w:val="0033665C"/>
    <w:rsid w:val="0033778D"/>
    <w:rsid w:val="00337BF5"/>
    <w:rsid w:val="0034005A"/>
    <w:rsid w:val="00340060"/>
    <w:rsid w:val="003400FF"/>
    <w:rsid w:val="003402FB"/>
    <w:rsid w:val="00340836"/>
    <w:rsid w:val="0034092F"/>
    <w:rsid w:val="00340B51"/>
    <w:rsid w:val="00340E34"/>
    <w:rsid w:val="00340E73"/>
    <w:rsid w:val="00341174"/>
    <w:rsid w:val="003411FD"/>
    <w:rsid w:val="00341AE4"/>
    <w:rsid w:val="00341D45"/>
    <w:rsid w:val="003424B6"/>
    <w:rsid w:val="00342BA7"/>
    <w:rsid w:val="00342E57"/>
    <w:rsid w:val="00343899"/>
    <w:rsid w:val="003440BF"/>
    <w:rsid w:val="00344124"/>
    <w:rsid w:val="003444A8"/>
    <w:rsid w:val="00344895"/>
    <w:rsid w:val="003448E6"/>
    <w:rsid w:val="00344A2B"/>
    <w:rsid w:val="00344FBF"/>
    <w:rsid w:val="00344FDB"/>
    <w:rsid w:val="0034526A"/>
    <w:rsid w:val="0034534D"/>
    <w:rsid w:val="00345566"/>
    <w:rsid w:val="003455F6"/>
    <w:rsid w:val="00345E3B"/>
    <w:rsid w:val="00346012"/>
    <w:rsid w:val="00346BF8"/>
    <w:rsid w:val="00346CA7"/>
    <w:rsid w:val="0034703B"/>
    <w:rsid w:val="003470B1"/>
    <w:rsid w:val="003470C4"/>
    <w:rsid w:val="003471DD"/>
    <w:rsid w:val="00347863"/>
    <w:rsid w:val="00347B31"/>
    <w:rsid w:val="003503B9"/>
    <w:rsid w:val="003508B6"/>
    <w:rsid w:val="00350EA2"/>
    <w:rsid w:val="0035129D"/>
    <w:rsid w:val="0035132E"/>
    <w:rsid w:val="00351389"/>
    <w:rsid w:val="00351424"/>
    <w:rsid w:val="00351543"/>
    <w:rsid w:val="00351671"/>
    <w:rsid w:val="003519A6"/>
    <w:rsid w:val="00351C78"/>
    <w:rsid w:val="00351D48"/>
    <w:rsid w:val="003528B6"/>
    <w:rsid w:val="00352C4E"/>
    <w:rsid w:val="00352C53"/>
    <w:rsid w:val="00352DF7"/>
    <w:rsid w:val="0035321E"/>
    <w:rsid w:val="0035425C"/>
    <w:rsid w:val="0035452C"/>
    <w:rsid w:val="00354550"/>
    <w:rsid w:val="0035457B"/>
    <w:rsid w:val="00354968"/>
    <w:rsid w:val="00354C60"/>
    <w:rsid w:val="0035532F"/>
    <w:rsid w:val="0035561B"/>
    <w:rsid w:val="0035591A"/>
    <w:rsid w:val="00355B02"/>
    <w:rsid w:val="003562BF"/>
    <w:rsid w:val="003563BC"/>
    <w:rsid w:val="00356765"/>
    <w:rsid w:val="00356E8C"/>
    <w:rsid w:val="00356F0D"/>
    <w:rsid w:val="00356F23"/>
    <w:rsid w:val="00357B35"/>
    <w:rsid w:val="00357BD1"/>
    <w:rsid w:val="00357BD4"/>
    <w:rsid w:val="00357D46"/>
    <w:rsid w:val="00357D55"/>
    <w:rsid w:val="00360015"/>
    <w:rsid w:val="003602B4"/>
    <w:rsid w:val="003607CA"/>
    <w:rsid w:val="003609B7"/>
    <w:rsid w:val="003609FB"/>
    <w:rsid w:val="00360AB7"/>
    <w:rsid w:val="00360D92"/>
    <w:rsid w:val="00360F41"/>
    <w:rsid w:val="003610DE"/>
    <w:rsid w:val="003613D9"/>
    <w:rsid w:val="00361573"/>
    <w:rsid w:val="00361B1A"/>
    <w:rsid w:val="00361C8A"/>
    <w:rsid w:val="0036200F"/>
    <w:rsid w:val="00362874"/>
    <w:rsid w:val="00362D38"/>
    <w:rsid w:val="00362FCF"/>
    <w:rsid w:val="0036322B"/>
    <w:rsid w:val="00363386"/>
    <w:rsid w:val="00363396"/>
    <w:rsid w:val="003638D2"/>
    <w:rsid w:val="00363AD9"/>
    <w:rsid w:val="00363CFC"/>
    <w:rsid w:val="00363EA8"/>
    <w:rsid w:val="0036466C"/>
    <w:rsid w:val="0036485A"/>
    <w:rsid w:val="0036495F"/>
    <w:rsid w:val="00365272"/>
    <w:rsid w:val="0036581C"/>
    <w:rsid w:val="00365E4F"/>
    <w:rsid w:val="00366254"/>
    <w:rsid w:val="00366454"/>
    <w:rsid w:val="003667AA"/>
    <w:rsid w:val="00366A51"/>
    <w:rsid w:val="00366D50"/>
    <w:rsid w:val="0036703B"/>
    <w:rsid w:val="00367321"/>
    <w:rsid w:val="0036741C"/>
    <w:rsid w:val="00367B92"/>
    <w:rsid w:val="00367B95"/>
    <w:rsid w:val="00367BC9"/>
    <w:rsid w:val="00367F5D"/>
    <w:rsid w:val="003700A7"/>
    <w:rsid w:val="003700AB"/>
    <w:rsid w:val="00370A59"/>
    <w:rsid w:val="00370CE0"/>
    <w:rsid w:val="00370EC6"/>
    <w:rsid w:val="00371274"/>
    <w:rsid w:val="00371486"/>
    <w:rsid w:val="003714EA"/>
    <w:rsid w:val="0037163D"/>
    <w:rsid w:val="0037198C"/>
    <w:rsid w:val="00371C0F"/>
    <w:rsid w:val="003723E2"/>
    <w:rsid w:val="00372791"/>
    <w:rsid w:val="003735E8"/>
    <w:rsid w:val="00373819"/>
    <w:rsid w:val="00373D2B"/>
    <w:rsid w:val="00373ED6"/>
    <w:rsid w:val="003740CE"/>
    <w:rsid w:val="00374127"/>
    <w:rsid w:val="003743AF"/>
    <w:rsid w:val="0037452D"/>
    <w:rsid w:val="00374532"/>
    <w:rsid w:val="00374CDF"/>
    <w:rsid w:val="00374EBC"/>
    <w:rsid w:val="003753C3"/>
    <w:rsid w:val="003754BA"/>
    <w:rsid w:val="003754DA"/>
    <w:rsid w:val="00375983"/>
    <w:rsid w:val="00375996"/>
    <w:rsid w:val="00375A42"/>
    <w:rsid w:val="0037620E"/>
    <w:rsid w:val="0037626D"/>
    <w:rsid w:val="003766AA"/>
    <w:rsid w:val="00376D11"/>
    <w:rsid w:val="0037723C"/>
    <w:rsid w:val="00377492"/>
    <w:rsid w:val="003776E9"/>
    <w:rsid w:val="0037771E"/>
    <w:rsid w:val="003778BE"/>
    <w:rsid w:val="00377C5D"/>
    <w:rsid w:val="00377DED"/>
    <w:rsid w:val="00377E71"/>
    <w:rsid w:val="00380049"/>
    <w:rsid w:val="00380227"/>
    <w:rsid w:val="00380355"/>
    <w:rsid w:val="00380879"/>
    <w:rsid w:val="003808C1"/>
    <w:rsid w:val="00381215"/>
    <w:rsid w:val="00381387"/>
    <w:rsid w:val="003815AD"/>
    <w:rsid w:val="003816D3"/>
    <w:rsid w:val="00381830"/>
    <w:rsid w:val="0038192A"/>
    <w:rsid w:val="00381B97"/>
    <w:rsid w:val="00381C13"/>
    <w:rsid w:val="00381D0C"/>
    <w:rsid w:val="00381DD5"/>
    <w:rsid w:val="00381E64"/>
    <w:rsid w:val="00381F8F"/>
    <w:rsid w:val="00382863"/>
    <w:rsid w:val="00382A4D"/>
    <w:rsid w:val="003830B6"/>
    <w:rsid w:val="003831B1"/>
    <w:rsid w:val="00383414"/>
    <w:rsid w:val="00383686"/>
    <w:rsid w:val="003836E6"/>
    <w:rsid w:val="00383979"/>
    <w:rsid w:val="003839F7"/>
    <w:rsid w:val="00383A2B"/>
    <w:rsid w:val="00383DA8"/>
    <w:rsid w:val="0038416D"/>
    <w:rsid w:val="0038465B"/>
    <w:rsid w:val="00384832"/>
    <w:rsid w:val="003849AF"/>
    <w:rsid w:val="00384E62"/>
    <w:rsid w:val="0038534A"/>
    <w:rsid w:val="00385CF5"/>
    <w:rsid w:val="00385DF2"/>
    <w:rsid w:val="00385ED0"/>
    <w:rsid w:val="00385EEF"/>
    <w:rsid w:val="0038619C"/>
    <w:rsid w:val="0038671B"/>
    <w:rsid w:val="0038678E"/>
    <w:rsid w:val="00386796"/>
    <w:rsid w:val="00386D5B"/>
    <w:rsid w:val="00386D6E"/>
    <w:rsid w:val="00387420"/>
    <w:rsid w:val="00387658"/>
    <w:rsid w:val="003878C6"/>
    <w:rsid w:val="00387D11"/>
    <w:rsid w:val="00387F80"/>
    <w:rsid w:val="0039094F"/>
    <w:rsid w:val="0039097A"/>
    <w:rsid w:val="00390A2D"/>
    <w:rsid w:val="00390A4B"/>
    <w:rsid w:val="00390C8A"/>
    <w:rsid w:val="00390D10"/>
    <w:rsid w:val="00390F10"/>
    <w:rsid w:val="00391592"/>
    <w:rsid w:val="00391668"/>
    <w:rsid w:val="003916AD"/>
    <w:rsid w:val="0039249F"/>
    <w:rsid w:val="003927E6"/>
    <w:rsid w:val="003928A0"/>
    <w:rsid w:val="003929BF"/>
    <w:rsid w:val="00392FD9"/>
    <w:rsid w:val="00392FE1"/>
    <w:rsid w:val="003931EC"/>
    <w:rsid w:val="003934F0"/>
    <w:rsid w:val="00393538"/>
    <w:rsid w:val="0039368D"/>
    <w:rsid w:val="003938CA"/>
    <w:rsid w:val="0039393C"/>
    <w:rsid w:val="00393D36"/>
    <w:rsid w:val="00393E86"/>
    <w:rsid w:val="00393EB1"/>
    <w:rsid w:val="0039417A"/>
    <w:rsid w:val="00394257"/>
    <w:rsid w:val="0039429D"/>
    <w:rsid w:val="003947B2"/>
    <w:rsid w:val="00394A56"/>
    <w:rsid w:val="003950BD"/>
    <w:rsid w:val="00395A21"/>
    <w:rsid w:val="00395DC4"/>
    <w:rsid w:val="00395E7D"/>
    <w:rsid w:val="0039631B"/>
    <w:rsid w:val="00396567"/>
    <w:rsid w:val="00396A6E"/>
    <w:rsid w:val="00396C8E"/>
    <w:rsid w:val="00397538"/>
    <w:rsid w:val="0039763D"/>
    <w:rsid w:val="003976D5"/>
    <w:rsid w:val="003978FF"/>
    <w:rsid w:val="00397CC5"/>
    <w:rsid w:val="003A0001"/>
    <w:rsid w:val="003A00CB"/>
    <w:rsid w:val="003A0623"/>
    <w:rsid w:val="003A06E8"/>
    <w:rsid w:val="003A09F1"/>
    <w:rsid w:val="003A1222"/>
    <w:rsid w:val="003A14A4"/>
    <w:rsid w:val="003A196B"/>
    <w:rsid w:val="003A1D70"/>
    <w:rsid w:val="003A1F6E"/>
    <w:rsid w:val="003A215A"/>
    <w:rsid w:val="003A2644"/>
    <w:rsid w:val="003A264C"/>
    <w:rsid w:val="003A27F1"/>
    <w:rsid w:val="003A2B08"/>
    <w:rsid w:val="003A3232"/>
    <w:rsid w:val="003A331E"/>
    <w:rsid w:val="003A34AC"/>
    <w:rsid w:val="003A39A7"/>
    <w:rsid w:val="003A39F6"/>
    <w:rsid w:val="003A3FB3"/>
    <w:rsid w:val="003A40CD"/>
    <w:rsid w:val="003A410E"/>
    <w:rsid w:val="003A420E"/>
    <w:rsid w:val="003A4348"/>
    <w:rsid w:val="003A4A08"/>
    <w:rsid w:val="003A4C74"/>
    <w:rsid w:val="003A52ED"/>
    <w:rsid w:val="003A595F"/>
    <w:rsid w:val="003A5C4E"/>
    <w:rsid w:val="003A5CF9"/>
    <w:rsid w:val="003A5F6A"/>
    <w:rsid w:val="003A5FE9"/>
    <w:rsid w:val="003A61A1"/>
    <w:rsid w:val="003A61F4"/>
    <w:rsid w:val="003A7B0B"/>
    <w:rsid w:val="003A7B98"/>
    <w:rsid w:val="003A7D46"/>
    <w:rsid w:val="003A7F1E"/>
    <w:rsid w:val="003B04A3"/>
    <w:rsid w:val="003B0551"/>
    <w:rsid w:val="003B060C"/>
    <w:rsid w:val="003B093D"/>
    <w:rsid w:val="003B0AB4"/>
    <w:rsid w:val="003B0AB5"/>
    <w:rsid w:val="003B0C07"/>
    <w:rsid w:val="003B0E99"/>
    <w:rsid w:val="003B1088"/>
    <w:rsid w:val="003B1476"/>
    <w:rsid w:val="003B14ED"/>
    <w:rsid w:val="003B188B"/>
    <w:rsid w:val="003B189B"/>
    <w:rsid w:val="003B18C5"/>
    <w:rsid w:val="003B1994"/>
    <w:rsid w:val="003B1AF5"/>
    <w:rsid w:val="003B1F17"/>
    <w:rsid w:val="003B1F40"/>
    <w:rsid w:val="003B2326"/>
    <w:rsid w:val="003B25DB"/>
    <w:rsid w:val="003B2607"/>
    <w:rsid w:val="003B26A8"/>
    <w:rsid w:val="003B29F6"/>
    <w:rsid w:val="003B2CF8"/>
    <w:rsid w:val="003B31B1"/>
    <w:rsid w:val="003B349E"/>
    <w:rsid w:val="003B37A3"/>
    <w:rsid w:val="003B3C37"/>
    <w:rsid w:val="003B425E"/>
    <w:rsid w:val="003B4777"/>
    <w:rsid w:val="003B4DEE"/>
    <w:rsid w:val="003B5015"/>
    <w:rsid w:val="003B5767"/>
    <w:rsid w:val="003B5CBA"/>
    <w:rsid w:val="003B61C2"/>
    <w:rsid w:val="003B61D0"/>
    <w:rsid w:val="003B6277"/>
    <w:rsid w:val="003B6560"/>
    <w:rsid w:val="003B663E"/>
    <w:rsid w:val="003B6725"/>
    <w:rsid w:val="003B67E4"/>
    <w:rsid w:val="003B68C1"/>
    <w:rsid w:val="003B696B"/>
    <w:rsid w:val="003B6CA9"/>
    <w:rsid w:val="003B6ED2"/>
    <w:rsid w:val="003B764C"/>
    <w:rsid w:val="003B787F"/>
    <w:rsid w:val="003B7976"/>
    <w:rsid w:val="003B7F4C"/>
    <w:rsid w:val="003C00F0"/>
    <w:rsid w:val="003C05FB"/>
    <w:rsid w:val="003C0637"/>
    <w:rsid w:val="003C0674"/>
    <w:rsid w:val="003C09FB"/>
    <w:rsid w:val="003C0C81"/>
    <w:rsid w:val="003C112B"/>
    <w:rsid w:val="003C1732"/>
    <w:rsid w:val="003C17AE"/>
    <w:rsid w:val="003C18F1"/>
    <w:rsid w:val="003C1B30"/>
    <w:rsid w:val="003C1CC4"/>
    <w:rsid w:val="003C1D19"/>
    <w:rsid w:val="003C1DB1"/>
    <w:rsid w:val="003C1E0F"/>
    <w:rsid w:val="003C20C0"/>
    <w:rsid w:val="003C2580"/>
    <w:rsid w:val="003C2FAE"/>
    <w:rsid w:val="003C2FBF"/>
    <w:rsid w:val="003C3051"/>
    <w:rsid w:val="003C326C"/>
    <w:rsid w:val="003C357B"/>
    <w:rsid w:val="003C3AD0"/>
    <w:rsid w:val="003C3E42"/>
    <w:rsid w:val="003C40A2"/>
    <w:rsid w:val="003C40B3"/>
    <w:rsid w:val="003C4194"/>
    <w:rsid w:val="003C44E4"/>
    <w:rsid w:val="003C4AAA"/>
    <w:rsid w:val="003C4B1C"/>
    <w:rsid w:val="003C4F39"/>
    <w:rsid w:val="003C541B"/>
    <w:rsid w:val="003C54D9"/>
    <w:rsid w:val="003C556F"/>
    <w:rsid w:val="003C5B8B"/>
    <w:rsid w:val="003C5EB0"/>
    <w:rsid w:val="003C61A5"/>
    <w:rsid w:val="003C626C"/>
    <w:rsid w:val="003C626E"/>
    <w:rsid w:val="003C66AB"/>
    <w:rsid w:val="003C66D0"/>
    <w:rsid w:val="003C6A90"/>
    <w:rsid w:val="003C6AC9"/>
    <w:rsid w:val="003C6CF6"/>
    <w:rsid w:val="003C6DF3"/>
    <w:rsid w:val="003C6E3D"/>
    <w:rsid w:val="003C6FD1"/>
    <w:rsid w:val="003C7145"/>
    <w:rsid w:val="003C7734"/>
    <w:rsid w:val="003C78B9"/>
    <w:rsid w:val="003C7ABF"/>
    <w:rsid w:val="003D00AC"/>
    <w:rsid w:val="003D0B9F"/>
    <w:rsid w:val="003D0C32"/>
    <w:rsid w:val="003D0D27"/>
    <w:rsid w:val="003D0ED0"/>
    <w:rsid w:val="003D0FC0"/>
    <w:rsid w:val="003D1000"/>
    <w:rsid w:val="003D16E0"/>
    <w:rsid w:val="003D1762"/>
    <w:rsid w:val="003D1977"/>
    <w:rsid w:val="003D1D07"/>
    <w:rsid w:val="003D1D5B"/>
    <w:rsid w:val="003D1F79"/>
    <w:rsid w:val="003D2116"/>
    <w:rsid w:val="003D2353"/>
    <w:rsid w:val="003D2498"/>
    <w:rsid w:val="003D26A8"/>
    <w:rsid w:val="003D26BF"/>
    <w:rsid w:val="003D2C10"/>
    <w:rsid w:val="003D2EDD"/>
    <w:rsid w:val="003D313E"/>
    <w:rsid w:val="003D3222"/>
    <w:rsid w:val="003D330F"/>
    <w:rsid w:val="003D3320"/>
    <w:rsid w:val="003D341C"/>
    <w:rsid w:val="003D3578"/>
    <w:rsid w:val="003D3734"/>
    <w:rsid w:val="003D3990"/>
    <w:rsid w:val="003D3B47"/>
    <w:rsid w:val="003D3E69"/>
    <w:rsid w:val="003D3EB9"/>
    <w:rsid w:val="003D3FAB"/>
    <w:rsid w:val="003D439E"/>
    <w:rsid w:val="003D4763"/>
    <w:rsid w:val="003D4952"/>
    <w:rsid w:val="003D49C0"/>
    <w:rsid w:val="003D4AD9"/>
    <w:rsid w:val="003D4B2A"/>
    <w:rsid w:val="003D5142"/>
    <w:rsid w:val="003D592C"/>
    <w:rsid w:val="003D5D63"/>
    <w:rsid w:val="003D5FB5"/>
    <w:rsid w:val="003D6006"/>
    <w:rsid w:val="003D6511"/>
    <w:rsid w:val="003D671F"/>
    <w:rsid w:val="003D6725"/>
    <w:rsid w:val="003D6818"/>
    <w:rsid w:val="003D6987"/>
    <w:rsid w:val="003D6E6B"/>
    <w:rsid w:val="003D7759"/>
    <w:rsid w:val="003D782D"/>
    <w:rsid w:val="003D7C1D"/>
    <w:rsid w:val="003D7CC6"/>
    <w:rsid w:val="003E00D1"/>
    <w:rsid w:val="003E0213"/>
    <w:rsid w:val="003E057C"/>
    <w:rsid w:val="003E061B"/>
    <w:rsid w:val="003E0659"/>
    <w:rsid w:val="003E07F4"/>
    <w:rsid w:val="003E0B53"/>
    <w:rsid w:val="003E1160"/>
    <w:rsid w:val="003E1879"/>
    <w:rsid w:val="003E1B0A"/>
    <w:rsid w:val="003E1BC9"/>
    <w:rsid w:val="003E1BEA"/>
    <w:rsid w:val="003E202B"/>
    <w:rsid w:val="003E2735"/>
    <w:rsid w:val="003E31CB"/>
    <w:rsid w:val="003E363A"/>
    <w:rsid w:val="003E3AAA"/>
    <w:rsid w:val="003E3B36"/>
    <w:rsid w:val="003E3CBC"/>
    <w:rsid w:val="003E3F88"/>
    <w:rsid w:val="003E409E"/>
    <w:rsid w:val="003E4690"/>
    <w:rsid w:val="003E46ED"/>
    <w:rsid w:val="003E4916"/>
    <w:rsid w:val="003E49B8"/>
    <w:rsid w:val="003E4F5A"/>
    <w:rsid w:val="003E5056"/>
    <w:rsid w:val="003E5272"/>
    <w:rsid w:val="003E5418"/>
    <w:rsid w:val="003E5FA1"/>
    <w:rsid w:val="003E642A"/>
    <w:rsid w:val="003E687B"/>
    <w:rsid w:val="003E6F17"/>
    <w:rsid w:val="003E703B"/>
    <w:rsid w:val="003E7162"/>
    <w:rsid w:val="003E751E"/>
    <w:rsid w:val="003E7A0A"/>
    <w:rsid w:val="003E7DB3"/>
    <w:rsid w:val="003F00E2"/>
    <w:rsid w:val="003F03A6"/>
    <w:rsid w:val="003F0427"/>
    <w:rsid w:val="003F0D42"/>
    <w:rsid w:val="003F0F2B"/>
    <w:rsid w:val="003F169C"/>
    <w:rsid w:val="003F1906"/>
    <w:rsid w:val="003F19A9"/>
    <w:rsid w:val="003F1F39"/>
    <w:rsid w:val="003F2202"/>
    <w:rsid w:val="003F2324"/>
    <w:rsid w:val="003F2907"/>
    <w:rsid w:val="003F2A45"/>
    <w:rsid w:val="003F3604"/>
    <w:rsid w:val="003F3C4C"/>
    <w:rsid w:val="003F3CAB"/>
    <w:rsid w:val="003F3D11"/>
    <w:rsid w:val="003F4077"/>
    <w:rsid w:val="003F4372"/>
    <w:rsid w:val="003F4892"/>
    <w:rsid w:val="003F48C3"/>
    <w:rsid w:val="003F4BB6"/>
    <w:rsid w:val="003F50C5"/>
    <w:rsid w:val="003F5387"/>
    <w:rsid w:val="003F55CD"/>
    <w:rsid w:val="003F5A99"/>
    <w:rsid w:val="003F6396"/>
    <w:rsid w:val="003F6969"/>
    <w:rsid w:val="003F6DBE"/>
    <w:rsid w:val="003F7479"/>
    <w:rsid w:val="003F7D38"/>
    <w:rsid w:val="003F7DC8"/>
    <w:rsid w:val="003F7FB5"/>
    <w:rsid w:val="004000CA"/>
    <w:rsid w:val="004001FA"/>
    <w:rsid w:val="004003EB"/>
    <w:rsid w:val="00400726"/>
    <w:rsid w:val="00400FC2"/>
    <w:rsid w:val="00400FCF"/>
    <w:rsid w:val="004010A3"/>
    <w:rsid w:val="004010B0"/>
    <w:rsid w:val="0040110B"/>
    <w:rsid w:val="00401A38"/>
    <w:rsid w:val="00401A75"/>
    <w:rsid w:val="00401F86"/>
    <w:rsid w:val="0040218E"/>
    <w:rsid w:val="00402369"/>
    <w:rsid w:val="0040251A"/>
    <w:rsid w:val="0040253A"/>
    <w:rsid w:val="004026B8"/>
    <w:rsid w:val="0040318D"/>
    <w:rsid w:val="00403409"/>
    <w:rsid w:val="00403477"/>
    <w:rsid w:val="004034E4"/>
    <w:rsid w:val="00403AF8"/>
    <w:rsid w:val="00404176"/>
    <w:rsid w:val="004041D0"/>
    <w:rsid w:val="0040485E"/>
    <w:rsid w:val="0040497C"/>
    <w:rsid w:val="00404C21"/>
    <w:rsid w:val="00404C40"/>
    <w:rsid w:val="00405493"/>
    <w:rsid w:val="00405705"/>
    <w:rsid w:val="00405D32"/>
    <w:rsid w:val="0040612F"/>
    <w:rsid w:val="00406281"/>
    <w:rsid w:val="00406507"/>
    <w:rsid w:val="0040653A"/>
    <w:rsid w:val="00406573"/>
    <w:rsid w:val="0040659C"/>
    <w:rsid w:val="0040677A"/>
    <w:rsid w:val="00406858"/>
    <w:rsid w:val="00406A4D"/>
    <w:rsid w:val="00406D29"/>
    <w:rsid w:val="00406D88"/>
    <w:rsid w:val="004073AB"/>
    <w:rsid w:val="004073F9"/>
    <w:rsid w:val="004074E7"/>
    <w:rsid w:val="00407789"/>
    <w:rsid w:val="00407948"/>
    <w:rsid w:val="00407ADC"/>
    <w:rsid w:val="00407C71"/>
    <w:rsid w:val="00407E1A"/>
    <w:rsid w:val="0041009E"/>
    <w:rsid w:val="004103EB"/>
    <w:rsid w:val="0041086A"/>
    <w:rsid w:val="004108A4"/>
    <w:rsid w:val="00410C71"/>
    <w:rsid w:val="00410C90"/>
    <w:rsid w:val="00410CFE"/>
    <w:rsid w:val="0041104E"/>
    <w:rsid w:val="004115E3"/>
    <w:rsid w:val="004116E1"/>
    <w:rsid w:val="004118BB"/>
    <w:rsid w:val="00412434"/>
    <w:rsid w:val="00412947"/>
    <w:rsid w:val="00412AA8"/>
    <w:rsid w:val="00412D22"/>
    <w:rsid w:val="00412EEE"/>
    <w:rsid w:val="00412F47"/>
    <w:rsid w:val="00412FF5"/>
    <w:rsid w:val="004131C6"/>
    <w:rsid w:val="00413715"/>
    <w:rsid w:val="004138BC"/>
    <w:rsid w:val="00413C35"/>
    <w:rsid w:val="00413F96"/>
    <w:rsid w:val="0041401F"/>
    <w:rsid w:val="004143B4"/>
    <w:rsid w:val="00414F60"/>
    <w:rsid w:val="0041506C"/>
    <w:rsid w:val="0041509B"/>
    <w:rsid w:val="004150D0"/>
    <w:rsid w:val="004152E6"/>
    <w:rsid w:val="004153AE"/>
    <w:rsid w:val="004159EE"/>
    <w:rsid w:val="00415A1D"/>
    <w:rsid w:val="00415D24"/>
    <w:rsid w:val="00415E75"/>
    <w:rsid w:val="0041612A"/>
    <w:rsid w:val="004161D1"/>
    <w:rsid w:val="004164F5"/>
    <w:rsid w:val="004165CE"/>
    <w:rsid w:val="00416CDA"/>
    <w:rsid w:val="00417105"/>
    <w:rsid w:val="00417365"/>
    <w:rsid w:val="00417446"/>
    <w:rsid w:val="0041763D"/>
    <w:rsid w:val="004176BA"/>
    <w:rsid w:val="00417BAF"/>
    <w:rsid w:val="00417EAD"/>
    <w:rsid w:val="00420020"/>
    <w:rsid w:val="004202C0"/>
    <w:rsid w:val="00420358"/>
    <w:rsid w:val="00420825"/>
    <w:rsid w:val="00420889"/>
    <w:rsid w:val="00420A5C"/>
    <w:rsid w:val="00420C47"/>
    <w:rsid w:val="004211CF"/>
    <w:rsid w:val="0042138E"/>
    <w:rsid w:val="00421AC1"/>
    <w:rsid w:val="00421E7F"/>
    <w:rsid w:val="00422A9C"/>
    <w:rsid w:val="00422E1D"/>
    <w:rsid w:val="00423019"/>
    <w:rsid w:val="00423290"/>
    <w:rsid w:val="00423518"/>
    <w:rsid w:val="004235B8"/>
    <w:rsid w:val="0042415B"/>
    <w:rsid w:val="004242C9"/>
    <w:rsid w:val="00424366"/>
    <w:rsid w:val="00424471"/>
    <w:rsid w:val="004244C4"/>
    <w:rsid w:val="00424744"/>
    <w:rsid w:val="00424763"/>
    <w:rsid w:val="00424880"/>
    <w:rsid w:val="004249FA"/>
    <w:rsid w:val="0042508F"/>
    <w:rsid w:val="004252B3"/>
    <w:rsid w:val="0042547F"/>
    <w:rsid w:val="0042562F"/>
    <w:rsid w:val="00425ABC"/>
    <w:rsid w:val="00425CF9"/>
    <w:rsid w:val="00425E24"/>
    <w:rsid w:val="00426593"/>
    <w:rsid w:val="00426ABC"/>
    <w:rsid w:val="00426CD0"/>
    <w:rsid w:val="00426D28"/>
    <w:rsid w:val="00426D6B"/>
    <w:rsid w:val="00426E28"/>
    <w:rsid w:val="004272DB"/>
    <w:rsid w:val="0042750A"/>
    <w:rsid w:val="00427613"/>
    <w:rsid w:val="004277AF"/>
    <w:rsid w:val="004278B7"/>
    <w:rsid w:val="00427AC1"/>
    <w:rsid w:val="00427F0F"/>
    <w:rsid w:val="00430027"/>
    <w:rsid w:val="0043049A"/>
    <w:rsid w:val="004306E3"/>
    <w:rsid w:val="00430885"/>
    <w:rsid w:val="00430A2B"/>
    <w:rsid w:val="00430A96"/>
    <w:rsid w:val="00430CA6"/>
    <w:rsid w:val="00430F71"/>
    <w:rsid w:val="00431557"/>
    <w:rsid w:val="00431610"/>
    <w:rsid w:val="0043206A"/>
    <w:rsid w:val="0043209B"/>
    <w:rsid w:val="0043236D"/>
    <w:rsid w:val="0043243B"/>
    <w:rsid w:val="004326AA"/>
    <w:rsid w:val="00432AB8"/>
    <w:rsid w:val="00432C86"/>
    <w:rsid w:val="00432D06"/>
    <w:rsid w:val="00432D3C"/>
    <w:rsid w:val="004332E6"/>
    <w:rsid w:val="00433AF8"/>
    <w:rsid w:val="00433DC3"/>
    <w:rsid w:val="00433E26"/>
    <w:rsid w:val="00433FB1"/>
    <w:rsid w:val="00434008"/>
    <w:rsid w:val="004342B2"/>
    <w:rsid w:val="004347B5"/>
    <w:rsid w:val="004353F8"/>
    <w:rsid w:val="00435603"/>
    <w:rsid w:val="004358DB"/>
    <w:rsid w:val="00435B07"/>
    <w:rsid w:val="00435B6E"/>
    <w:rsid w:val="00435E83"/>
    <w:rsid w:val="00436396"/>
    <w:rsid w:val="004364D4"/>
    <w:rsid w:val="004366B9"/>
    <w:rsid w:val="004369EC"/>
    <w:rsid w:val="00436FB1"/>
    <w:rsid w:val="004375F6"/>
    <w:rsid w:val="00437667"/>
    <w:rsid w:val="00437A80"/>
    <w:rsid w:val="00437C6B"/>
    <w:rsid w:val="00437E50"/>
    <w:rsid w:val="00437E77"/>
    <w:rsid w:val="004401BE"/>
    <w:rsid w:val="00440217"/>
    <w:rsid w:val="0044075D"/>
    <w:rsid w:val="00440913"/>
    <w:rsid w:val="00440DCB"/>
    <w:rsid w:val="00441241"/>
    <w:rsid w:val="00441289"/>
    <w:rsid w:val="0044133B"/>
    <w:rsid w:val="004414A0"/>
    <w:rsid w:val="00441A93"/>
    <w:rsid w:val="00441B5E"/>
    <w:rsid w:val="00441C33"/>
    <w:rsid w:val="00441D7B"/>
    <w:rsid w:val="00441EC2"/>
    <w:rsid w:val="00441F2A"/>
    <w:rsid w:val="0044259A"/>
    <w:rsid w:val="004425A0"/>
    <w:rsid w:val="00442742"/>
    <w:rsid w:val="00442872"/>
    <w:rsid w:val="00442B64"/>
    <w:rsid w:val="0044342E"/>
    <w:rsid w:val="0044358D"/>
    <w:rsid w:val="00443631"/>
    <w:rsid w:val="0044383C"/>
    <w:rsid w:val="00443B8F"/>
    <w:rsid w:val="00443E44"/>
    <w:rsid w:val="004444CA"/>
    <w:rsid w:val="00444A65"/>
    <w:rsid w:val="00444CBA"/>
    <w:rsid w:val="00444D35"/>
    <w:rsid w:val="0044522C"/>
    <w:rsid w:val="00445439"/>
    <w:rsid w:val="004454E5"/>
    <w:rsid w:val="004459F9"/>
    <w:rsid w:val="00445AA7"/>
    <w:rsid w:val="00445B14"/>
    <w:rsid w:val="00445BF4"/>
    <w:rsid w:val="00445E73"/>
    <w:rsid w:val="00445FA6"/>
    <w:rsid w:val="00446108"/>
    <w:rsid w:val="004465E1"/>
    <w:rsid w:val="00446796"/>
    <w:rsid w:val="00446D4D"/>
    <w:rsid w:val="00446E7A"/>
    <w:rsid w:val="00446F40"/>
    <w:rsid w:val="0044747A"/>
    <w:rsid w:val="004476CF"/>
    <w:rsid w:val="0044785A"/>
    <w:rsid w:val="00447A3F"/>
    <w:rsid w:val="00447A53"/>
    <w:rsid w:val="00447EB8"/>
    <w:rsid w:val="00450650"/>
    <w:rsid w:val="00450E21"/>
    <w:rsid w:val="00450F90"/>
    <w:rsid w:val="00451175"/>
    <w:rsid w:val="00451521"/>
    <w:rsid w:val="0045174C"/>
    <w:rsid w:val="00451842"/>
    <w:rsid w:val="00451A9B"/>
    <w:rsid w:val="00452244"/>
    <w:rsid w:val="00452E56"/>
    <w:rsid w:val="004538BE"/>
    <w:rsid w:val="00453C6D"/>
    <w:rsid w:val="00453E31"/>
    <w:rsid w:val="00454019"/>
    <w:rsid w:val="00454294"/>
    <w:rsid w:val="004546FA"/>
    <w:rsid w:val="00454885"/>
    <w:rsid w:val="00454C88"/>
    <w:rsid w:val="00454CD0"/>
    <w:rsid w:val="00454D2B"/>
    <w:rsid w:val="00454E72"/>
    <w:rsid w:val="00455877"/>
    <w:rsid w:val="00455C18"/>
    <w:rsid w:val="00455C95"/>
    <w:rsid w:val="00455D04"/>
    <w:rsid w:val="004567C9"/>
    <w:rsid w:val="00456947"/>
    <w:rsid w:val="00456C89"/>
    <w:rsid w:val="00457139"/>
    <w:rsid w:val="0045726E"/>
    <w:rsid w:val="0045762A"/>
    <w:rsid w:val="00457B54"/>
    <w:rsid w:val="004600C3"/>
    <w:rsid w:val="0046025D"/>
    <w:rsid w:val="0046055E"/>
    <w:rsid w:val="00460570"/>
    <w:rsid w:val="004607A0"/>
    <w:rsid w:val="004607D2"/>
    <w:rsid w:val="00460902"/>
    <w:rsid w:val="00460ED9"/>
    <w:rsid w:val="00460FD1"/>
    <w:rsid w:val="0046161E"/>
    <w:rsid w:val="00461851"/>
    <w:rsid w:val="00461C57"/>
    <w:rsid w:val="00461CE6"/>
    <w:rsid w:val="00461D25"/>
    <w:rsid w:val="0046244D"/>
    <w:rsid w:val="00462887"/>
    <w:rsid w:val="0046288C"/>
    <w:rsid w:val="00462BBC"/>
    <w:rsid w:val="00462D0C"/>
    <w:rsid w:val="00463115"/>
    <w:rsid w:val="004633A4"/>
    <w:rsid w:val="004634E6"/>
    <w:rsid w:val="004634E9"/>
    <w:rsid w:val="00463936"/>
    <w:rsid w:val="00463B06"/>
    <w:rsid w:val="00463C1B"/>
    <w:rsid w:val="00463D71"/>
    <w:rsid w:val="0046452C"/>
    <w:rsid w:val="00464974"/>
    <w:rsid w:val="00464EE4"/>
    <w:rsid w:val="004652A8"/>
    <w:rsid w:val="00465449"/>
    <w:rsid w:val="00465B41"/>
    <w:rsid w:val="00466023"/>
    <w:rsid w:val="004661CD"/>
    <w:rsid w:val="00466281"/>
    <w:rsid w:val="00466291"/>
    <w:rsid w:val="00466395"/>
    <w:rsid w:val="004664CF"/>
    <w:rsid w:val="00466711"/>
    <w:rsid w:val="0046671D"/>
    <w:rsid w:val="004667D4"/>
    <w:rsid w:val="00466A34"/>
    <w:rsid w:val="00466CC4"/>
    <w:rsid w:val="00466F52"/>
    <w:rsid w:val="0046740F"/>
    <w:rsid w:val="0046743C"/>
    <w:rsid w:val="00467540"/>
    <w:rsid w:val="00467FDF"/>
    <w:rsid w:val="00470483"/>
    <w:rsid w:val="004712F4"/>
    <w:rsid w:val="004716A6"/>
    <w:rsid w:val="004716C9"/>
    <w:rsid w:val="00471847"/>
    <w:rsid w:val="004718A4"/>
    <w:rsid w:val="00471AC6"/>
    <w:rsid w:val="004724C2"/>
    <w:rsid w:val="004726EB"/>
    <w:rsid w:val="00472C62"/>
    <w:rsid w:val="00472CC3"/>
    <w:rsid w:val="00472CED"/>
    <w:rsid w:val="00473654"/>
    <w:rsid w:val="00473663"/>
    <w:rsid w:val="004736A8"/>
    <w:rsid w:val="004737A6"/>
    <w:rsid w:val="004737BF"/>
    <w:rsid w:val="00473889"/>
    <w:rsid w:val="00474269"/>
    <w:rsid w:val="004742E0"/>
    <w:rsid w:val="004742FB"/>
    <w:rsid w:val="00474832"/>
    <w:rsid w:val="00474887"/>
    <w:rsid w:val="00474D4D"/>
    <w:rsid w:val="00474E2F"/>
    <w:rsid w:val="004750A2"/>
    <w:rsid w:val="00475274"/>
    <w:rsid w:val="00475827"/>
    <w:rsid w:val="0047618B"/>
    <w:rsid w:val="004763F6"/>
    <w:rsid w:val="004765E1"/>
    <w:rsid w:val="004768C6"/>
    <w:rsid w:val="00476A20"/>
    <w:rsid w:val="00476E66"/>
    <w:rsid w:val="00476E75"/>
    <w:rsid w:val="00477166"/>
    <w:rsid w:val="00477543"/>
    <w:rsid w:val="0047798C"/>
    <w:rsid w:val="00480022"/>
    <w:rsid w:val="00480110"/>
    <w:rsid w:val="004801E3"/>
    <w:rsid w:val="00480292"/>
    <w:rsid w:val="004806F4"/>
    <w:rsid w:val="00480B8D"/>
    <w:rsid w:val="00480F02"/>
    <w:rsid w:val="0048111A"/>
    <w:rsid w:val="004816F3"/>
    <w:rsid w:val="00481735"/>
    <w:rsid w:val="00481790"/>
    <w:rsid w:val="00481AF1"/>
    <w:rsid w:val="00481CD1"/>
    <w:rsid w:val="00481D72"/>
    <w:rsid w:val="00481FEF"/>
    <w:rsid w:val="00482231"/>
    <w:rsid w:val="0048231D"/>
    <w:rsid w:val="004824D3"/>
    <w:rsid w:val="0048259E"/>
    <w:rsid w:val="00482602"/>
    <w:rsid w:val="00482784"/>
    <w:rsid w:val="004829FE"/>
    <w:rsid w:val="00482A6C"/>
    <w:rsid w:val="00482C42"/>
    <w:rsid w:val="00482D5D"/>
    <w:rsid w:val="00482DD9"/>
    <w:rsid w:val="00483266"/>
    <w:rsid w:val="0048335F"/>
    <w:rsid w:val="004833A8"/>
    <w:rsid w:val="004833C3"/>
    <w:rsid w:val="0048345E"/>
    <w:rsid w:val="00483AFE"/>
    <w:rsid w:val="00483B2E"/>
    <w:rsid w:val="00484B46"/>
    <w:rsid w:val="00485065"/>
    <w:rsid w:val="00485233"/>
    <w:rsid w:val="004860F8"/>
    <w:rsid w:val="004861FC"/>
    <w:rsid w:val="004866BD"/>
    <w:rsid w:val="00486804"/>
    <w:rsid w:val="00486B55"/>
    <w:rsid w:val="00486C91"/>
    <w:rsid w:val="00486EE0"/>
    <w:rsid w:val="0048701A"/>
    <w:rsid w:val="004870AD"/>
    <w:rsid w:val="004870F8"/>
    <w:rsid w:val="004871A7"/>
    <w:rsid w:val="0048725C"/>
    <w:rsid w:val="004872B7"/>
    <w:rsid w:val="00487365"/>
    <w:rsid w:val="0048752D"/>
    <w:rsid w:val="00487E3E"/>
    <w:rsid w:val="0049009C"/>
    <w:rsid w:val="004906C1"/>
    <w:rsid w:val="004909F4"/>
    <w:rsid w:val="00490B13"/>
    <w:rsid w:val="00490CE7"/>
    <w:rsid w:val="00491641"/>
    <w:rsid w:val="004916A4"/>
    <w:rsid w:val="00491779"/>
    <w:rsid w:val="00491791"/>
    <w:rsid w:val="0049182A"/>
    <w:rsid w:val="00491C40"/>
    <w:rsid w:val="00491E69"/>
    <w:rsid w:val="004922F4"/>
    <w:rsid w:val="0049236B"/>
    <w:rsid w:val="00492578"/>
    <w:rsid w:val="0049262E"/>
    <w:rsid w:val="004927AC"/>
    <w:rsid w:val="00492885"/>
    <w:rsid w:val="00492915"/>
    <w:rsid w:val="00493110"/>
    <w:rsid w:val="00493246"/>
    <w:rsid w:val="004934E2"/>
    <w:rsid w:val="004936D1"/>
    <w:rsid w:val="004937C2"/>
    <w:rsid w:val="00493A7B"/>
    <w:rsid w:val="00493C44"/>
    <w:rsid w:val="00493D11"/>
    <w:rsid w:val="00493FCD"/>
    <w:rsid w:val="00494011"/>
    <w:rsid w:val="00494135"/>
    <w:rsid w:val="00494E01"/>
    <w:rsid w:val="00494E86"/>
    <w:rsid w:val="00494ECF"/>
    <w:rsid w:val="00494FCA"/>
    <w:rsid w:val="00495336"/>
    <w:rsid w:val="004954D2"/>
    <w:rsid w:val="0049575B"/>
    <w:rsid w:val="004959D8"/>
    <w:rsid w:val="004959F1"/>
    <w:rsid w:val="00495D08"/>
    <w:rsid w:val="00496368"/>
    <w:rsid w:val="00496472"/>
    <w:rsid w:val="0049690F"/>
    <w:rsid w:val="00496B55"/>
    <w:rsid w:val="00496D19"/>
    <w:rsid w:val="004971DF"/>
    <w:rsid w:val="00497283"/>
    <w:rsid w:val="00497A93"/>
    <w:rsid w:val="00497AA1"/>
    <w:rsid w:val="00497FB6"/>
    <w:rsid w:val="004A0045"/>
    <w:rsid w:val="004A0518"/>
    <w:rsid w:val="004A0626"/>
    <w:rsid w:val="004A0C60"/>
    <w:rsid w:val="004A0ECE"/>
    <w:rsid w:val="004A112F"/>
    <w:rsid w:val="004A11C9"/>
    <w:rsid w:val="004A178A"/>
    <w:rsid w:val="004A200C"/>
    <w:rsid w:val="004A2176"/>
    <w:rsid w:val="004A21E2"/>
    <w:rsid w:val="004A22EB"/>
    <w:rsid w:val="004A24C6"/>
    <w:rsid w:val="004A2995"/>
    <w:rsid w:val="004A2B05"/>
    <w:rsid w:val="004A2EB8"/>
    <w:rsid w:val="004A32E7"/>
    <w:rsid w:val="004A339A"/>
    <w:rsid w:val="004A3646"/>
    <w:rsid w:val="004A3A7A"/>
    <w:rsid w:val="004A3ABC"/>
    <w:rsid w:val="004A3B52"/>
    <w:rsid w:val="004A3BAF"/>
    <w:rsid w:val="004A3C1A"/>
    <w:rsid w:val="004A3E8A"/>
    <w:rsid w:val="004A3FE6"/>
    <w:rsid w:val="004A4263"/>
    <w:rsid w:val="004A46E4"/>
    <w:rsid w:val="004A4880"/>
    <w:rsid w:val="004A48B2"/>
    <w:rsid w:val="004A499F"/>
    <w:rsid w:val="004A4C51"/>
    <w:rsid w:val="004A4C75"/>
    <w:rsid w:val="004A54AE"/>
    <w:rsid w:val="004A5FC8"/>
    <w:rsid w:val="004A6254"/>
    <w:rsid w:val="004A62C9"/>
    <w:rsid w:val="004A6697"/>
    <w:rsid w:val="004A6CD7"/>
    <w:rsid w:val="004A735D"/>
    <w:rsid w:val="004A76BA"/>
    <w:rsid w:val="004A7A09"/>
    <w:rsid w:val="004A7E03"/>
    <w:rsid w:val="004A7E89"/>
    <w:rsid w:val="004B00B8"/>
    <w:rsid w:val="004B01FF"/>
    <w:rsid w:val="004B0452"/>
    <w:rsid w:val="004B05D8"/>
    <w:rsid w:val="004B085B"/>
    <w:rsid w:val="004B088A"/>
    <w:rsid w:val="004B08D6"/>
    <w:rsid w:val="004B0928"/>
    <w:rsid w:val="004B0B4D"/>
    <w:rsid w:val="004B0B76"/>
    <w:rsid w:val="004B0F4A"/>
    <w:rsid w:val="004B0F73"/>
    <w:rsid w:val="004B16CE"/>
    <w:rsid w:val="004B1951"/>
    <w:rsid w:val="004B1D38"/>
    <w:rsid w:val="004B1E2C"/>
    <w:rsid w:val="004B213E"/>
    <w:rsid w:val="004B2236"/>
    <w:rsid w:val="004B2631"/>
    <w:rsid w:val="004B2D69"/>
    <w:rsid w:val="004B31C2"/>
    <w:rsid w:val="004B34DD"/>
    <w:rsid w:val="004B367A"/>
    <w:rsid w:val="004B36CC"/>
    <w:rsid w:val="004B38F9"/>
    <w:rsid w:val="004B3B44"/>
    <w:rsid w:val="004B3DC2"/>
    <w:rsid w:val="004B3FBA"/>
    <w:rsid w:val="004B404F"/>
    <w:rsid w:val="004B460C"/>
    <w:rsid w:val="004B4625"/>
    <w:rsid w:val="004B4C06"/>
    <w:rsid w:val="004B58C9"/>
    <w:rsid w:val="004B599D"/>
    <w:rsid w:val="004B5D43"/>
    <w:rsid w:val="004B6A76"/>
    <w:rsid w:val="004B6D6C"/>
    <w:rsid w:val="004B6E5D"/>
    <w:rsid w:val="004B6EA0"/>
    <w:rsid w:val="004B709F"/>
    <w:rsid w:val="004B76CD"/>
    <w:rsid w:val="004B7B09"/>
    <w:rsid w:val="004B7D64"/>
    <w:rsid w:val="004B7E05"/>
    <w:rsid w:val="004C029F"/>
    <w:rsid w:val="004C0527"/>
    <w:rsid w:val="004C07BD"/>
    <w:rsid w:val="004C09B2"/>
    <w:rsid w:val="004C0A8F"/>
    <w:rsid w:val="004C0A9C"/>
    <w:rsid w:val="004C10E4"/>
    <w:rsid w:val="004C1628"/>
    <w:rsid w:val="004C183F"/>
    <w:rsid w:val="004C233D"/>
    <w:rsid w:val="004C25BF"/>
    <w:rsid w:val="004C2692"/>
    <w:rsid w:val="004C2A3C"/>
    <w:rsid w:val="004C3323"/>
    <w:rsid w:val="004C385E"/>
    <w:rsid w:val="004C3E59"/>
    <w:rsid w:val="004C413A"/>
    <w:rsid w:val="004C45E7"/>
    <w:rsid w:val="004C462B"/>
    <w:rsid w:val="004C4B0E"/>
    <w:rsid w:val="004C4B3F"/>
    <w:rsid w:val="004C4D93"/>
    <w:rsid w:val="004C5067"/>
    <w:rsid w:val="004C5480"/>
    <w:rsid w:val="004C54FD"/>
    <w:rsid w:val="004C550D"/>
    <w:rsid w:val="004C5850"/>
    <w:rsid w:val="004C5964"/>
    <w:rsid w:val="004C5A75"/>
    <w:rsid w:val="004C5AAC"/>
    <w:rsid w:val="004C5CFB"/>
    <w:rsid w:val="004C5F70"/>
    <w:rsid w:val="004C63C5"/>
    <w:rsid w:val="004C6E38"/>
    <w:rsid w:val="004C71BE"/>
    <w:rsid w:val="004C722F"/>
    <w:rsid w:val="004C726B"/>
    <w:rsid w:val="004C7A41"/>
    <w:rsid w:val="004C7ADB"/>
    <w:rsid w:val="004D0302"/>
    <w:rsid w:val="004D05F8"/>
    <w:rsid w:val="004D083E"/>
    <w:rsid w:val="004D08E7"/>
    <w:rsid w:val="004D0AD7"/>
    <w:rsid w:val="004D0D12"/>
    <w:rsid w:val="004D0EB8"/>
    <w:rsid w:val="004D1254"/>
    <w:rsid w:val="004D1661"/>
    <w:rsid w:val="004D21CE"/>
    <w:rsid w:val="004D22F2"/>
    <w:rsid w:val="004D2335"/>
    <w:rsid w:val="004D2442"/>
    <w:rsid w:val="004D2501"/>
    <w:rsid w:val="004D256F"/>
    <w:rsid w:val="004D2C54"/>
    <w:rsid w:val="004D2C7C"/>
    <w:rsid w:val="004D2E1D"/>
    <w:rsid w:val="004D2E9A"/>
    <w:rsid w:val="004D2FFD"/>
    <w:rsid w:val="004D329D"/>
    <w:rsid w:val="004D385E"/>
    <w:rsid w:val="004D38D2"/>
    <w:rsid w:val="004D39A8"/>
    <w:rsid w:val="004D3C48"/>
    <w:rsid w:val="004D4138"/>
    <w:rsid w:val="004D41EE"/>
    <w:rsid w:val="004D46C3"/>
    <w:rsid w:val="004D483B"/>
    <w:rsid w:val="004D4CF9"/>
    <w:rsid w:val="004D4EBE"/>
    <w:rsid w:val="004D5291"/>
    <w:rsid w:val="004D5684"/>
    <w:rsid w:val="004D57BC"/>
    <w:rsid w:val="004D5853"/>
    <w:rsid w:val="004D58E8"/>
    <w:rsid w:val="004D5927"/>
    <w:rsid w:val="004D5B02"/>
    <w:rsid w:val="004D5BE6"/>
    <w:rsid w:val="004D6163"/>
    <w:rsid w:val="004D618A"/>
    <w:rsid w:val="004D618C"/>
    <w:rsid w:val="004D6380"/>
    <w:rsid w:val="004D6705"/>
    <w:rsid w:val="004D677F"/>
    <w:rsid w:val="004D68EC"/>
    <w:rsid w:val="004D6A9F"/>
    <w:rsid w:val="004D6E5A"/>
    <w:rsid w:val="004D7266"/>
    <w:rsid w:val="004D7861"/>
    <w:rsid w:val="004D788E"/>
    <w:rsid w:val="004D7919"/>
    <w:rsid w:val="004E0292"/>
    <w:rsid w:val="004E0456"/>
    <w:rsid w:val="004E0BC8"/>
    <w:rsid w:val="004E1149"/>
    <w:rsid w:val="004E114D"/>
    <w:rsid w:val="004E1552"/>
    <w:rsid w:val="004E1B6A"/>
    <w:rsid w:val="004E1DB6"/>
    <w:rsid w:val="004E25AC"/>
    <w:rsid w:val="004E262B"/>
    <w:rsid w:val="004E2ACA"/>
    <w:rsid w:val="004E2C8C"/>
    <w:rsid w:val="004E3117"/>
    <w:rsid w:val="004E345D"/>
    <w:rsid w:val="004E34A6"/>
    <w:rsid w:val="004E382D"/>
    <w:rsid w:val="004E387E"/>
    <w:rsid w:val="004E3A8A"/>
    <w:rsid w:val="004E3F06"/>
    <w:rsid w:val="004E3F11"/>
    <w:rsid w:val="004E4026"/>
    <w:rsid w:val="004E404B"/>
    <w:rsid w:val="004E432A"/>
    <w:rsid w:val="004E453F"/>
    <w:rsid w:val="004E471B"/>
    <w:rsid w:val="004E4745"/>
    <w:rsid w:val="004E4866"/>
    <w:rsid w:val="004E4B69"/>
    <w:rsid w:val="004E52F0"/>
    <w:rsid w:val="004E538A"/>
    <w:rsid w:val="004E53C6"/>
    <w:rsid w:val="004E566C"/>
    <w:rsid w:val="004E5A53"/>
    <w:rsid w:val="004E5CD4"/>
    <w:rsid w:val="004E6048"/>
    <w:rsid w:val="004E629D"/>
    <w:rsid w:val="004E645B"/>
    <w:rsid w:val="004E64B9"/>
    <w:rsid w:val="004E67D4"/>
    <w:rsid w:val="004E68D7"/>
    <w:rsid w:val="004E6BD4"/>
    <w:rsid w:val="004E70E5"/>
    <w:rsid w:val="004E72D1"/>
    <w:rsid w:val="004E75CB"/>
    <w:rsid w:val="004E7A18"/>
    <w:rsid w:val="004E7A3F"/>
    <w:rsid w:val="004E7B01"/>
    <w:rsid w:val="004F0BD3"/>
    <w:rsid w:val="004F0D8B"/>
    <w:rsid w:val="004F12E2"/>
    <w:rsid w:val="004F1ECB"/>
    <w:rsid w:val="004F2154"/>
    <w:rsid w:val="004F24B9"/>
    <w:rsid w:val="004F2940"/>
    <w:rsid w:val="004F2CCE"/>
    <w:rsid w:val="004F3084"/>
    <w:rsid w:val="004F31F0"/>
    <w:rsid w:val="004F3948"/>
    <w:rsid w:val="004F3A6D"/>
    <w:rsid w:val="004F3EAD"/>
    <w:rsid w:val="004F3EFD"/>
    <w:rsid w:val="004F49D0"/>
    <w:rsid w:val="004F4A03"/>
    <w:rsid w:val="004F4F64"/>
    <w:rsid w:val="004F5141"/>
    <w:rsid w:val="004F53BF"/>
    <w:rsid w:val="004F577F"/>
    <w:rsid w:val="004F5E30"/>
    <w:rsid w:val="004F5ECF"/>
    <w:rsid w:val="004F5FC8"/>
    <w:rsid w:val="004F5FEC"/>
    <w:rsid w:val="004F644D"/>
    <w:rsid w:val="004F6514"/>
    <w:rsid w:val="004F69E0"/>
    <w:rsid w:val="004F6FE1"/>
    <w:rsid w:val="004F7146"/>
    <w:rsid w:val="004F7482"/>
    <w:rsid w:val="004F7623"/>
    <w:rsid w:val="004F7695"/>
    <w:rsid w:val="004F79D1"/>
    <w:rsid w:val="004F7A83"/>
    <w:rsid w:val="004F7E69"/>
    <w:rsid w:val="00500523"/>
    <w:rsid w:val="00500CA5"/>
    <w:rsid w:val="00500CB3"/>
    <w:rsid w:val="00500E5E"/>
    <w:rsid w:val="00501A26"/>
    <w:rsid w:val="00501AC7"/>
    <w:rsid w:val="00501BCC"/>
    <w:rsid w:val="00501F3D"/>
    <w:rsid w:val="0050233B"/>
    <w:rsid w:val="0050279D"/>
    <w:rsid w:val="005028F7"/>
    <w:rsid w:val="00502E8D"/>
    <w:rsid w:val="00502E9E"/>
    <w:rsid w:val="00502EE8"/>
    <w:rsid w:val="00502F1F"/>
    <w:rsid w:val="005031D4"/>
    <w:rsid w:val="0050344F"/>
    <w:rsid w:val="005035C2"/>
    <w:rsid w:val="00503A83"/>
    <w:rsid w:val="00503E57"/>
    <w:rsid w:val="005040A9"/>
    <w:rsid w:val="005040F4"/>
    <w:rsid w:val="00504147"/>
    <w:rsid w:val="00504669"/>
    <w:rsid w:val="005048F4"/>
    <w:rsid w:val="00504946"/>
    <w:rsid w:val="00504BE6"/>
    <w:rsid w:val="00504C23"/>
    <w:rsid w:val="005052DD"/>
    <w:rsid w:val="005054F1"/>
    <w:rsid w:val="0050575A"/>
    <w:rsid w:val="005058DF"/>
    <w:rsid w:val="00505AFB"/>
    <w:rsid w:val="00505BD2"/>
    <w:rsid w:val="00505FD9"/>
    <w:rsid w:val="00506243"/>
    <w:rsid w:val="0050635A"/>
    <w:rsid w:val="00506525"/>
    <w:rsid w:val="0050692B"/>
    <w:rsid w:val="00506C4A"/>
    <w:rsid w:val="00506F2D"/>
    <w:rsid w:val="00507412"/>
    <w:rsid w:val="0050746C"/>
    <w:rsid w:val="00507606"/>
    <w:rsid w:val="00507808"/>
    <w:rsid w:val="005104D5"/>
    <w:rsid w:val="0051087E"/>
    <w:rsid w:val="00510A75"/>
    <w:rsid w:val="00510C1C"/>
    <w:rsid w:val="00510D40"/>
    <w:rsid w:val="00510F72"/>
    <w:rsid w:val="0051111E"/>
    <w:rsid w:val="00511148"/>
    <w:rsid w:val="00511184"/>
    <w:rsid w:val="0051137A"/>
    <w:rsid w:val="0051166B"/>
    <w:rsid w:val="005118C7"/>
    <w:rsid w:val="005119A6"/>
    <w:rsid w:val="005120FB"/>
    <w:rsid w:val="0051234C"/>
    <w:rsid w:val="0051242D"/>
    <w:rsid w:val="00512616"/>
    <w:rsid w:val="00512B58"/>
    <w:rsid w:val="00512E13"/>
    <w:rsid w:val="00512FB8"/>
    <w:rsid w:val="005133AD"/>
    <w:rsid w:val="005134F2"/>
    <w:rsid w:val="00513D02"/>
    <w:rsid w:val="00513D74"/>
    <w:rsid w:val="00513F4F"/>
    <w:rsid w:val="00513FEA"/>
    <w:rsid w:val="0051407E"/>
    <w:rsid w:val="005142BB"/>
    <w:rsid w:val="005143F6"/>
    <w:rsid w:val="005145EE"/>
    <w:rsid w:val="005147AE"/>
    <w:rsid w:val="00514975"/>
    <w:rsid w:val="00514C18"/>
    <w:rsid w:val="00514CC1"/>
    <w:rsid w:val="00514EF0"/>
    <w:rsid w:val="005153BA"/>
    <w:rsid w:val="005153EB"/>
    <w:rsid w:val="0051554D"/>
    <w:rsid w:val="00515555"/>
    <w:rsid w:val="005156C4"/>
    <w:rsid w:val="00515807"/>
    <w:rsid w:val="00515B1B"/>
    <w:rsid w:val="00515C1D"/>
    <w:rsid w:val="00515DBE"/>
    <w:rsid w:val="005160BD"/>
    <w:rsid w:val="005161AC"/>
    <w:rsid w:val="005161E5"/>
    <w:rsid w:val="00516366"/>
    <w:rsid w:val="005163A0"/>
    <w:rsid w:val="005164DC"/>
    <w:rsid w:val="005166FE"/>
    <w:rsid w:val="005167C2"/>
    <w:rsid w:val="005168AC"/>
    <w:rsid w:val="00516C2E"/>
    <w:rsid w:val="00516C82"/>
    <w:rsid w:val="00516E1B"/>
    <w:rsid w:val="00516FB0"/>
    <w:rsid w:val="0051720F"/>
    <w:rsid w:val="00517391"/>
    <w:rsid w:val="00517831"/>
    <w:rsid w:val="00517B51"/>
    <w:rsid w:val="00517C2B"/>
    <w:rsid w:val="005200C3"/>
    <w:rsid w:val="005200EF"/>
    <w:rsid w:val="005201E4"/>
    <w:rsid w:val="005203BE"/>
    <w:rsid w:val="0052052C"/>
    <w:rsid w:val="00520A82"/>
    <w:rsid w:val="0052113D"/>
    <w:rsid w:val="00521292"/>
    <w:rsid w:val="00521582"/>
    <w:rsid w:val="005215D9"/>
    <w:rsid w:val="00521839"/>
    <w:rsid w:val="005218FD"/>
    <w:rsid w:val="005220D2"/>
    <w:rsid w:val="005229D7"/>
    <w:rsid w:val="00522CEF"/>
    <w:rsid w:val="00522E3F"/>
    <w:rsid w:val="00522F18"/>
    <w:rsid w:val="00522F5D"/>
    <w:rsid w:val="005230BA"/>
    <w:rsid w:val="0052398F"/>
    <w:rsid w:val="00523A07"/>
    <w:rsid w:val="00524249"/>
    <w:rsid w:val="0052428F"/>
    <w:rsid w:val="00524349"/>
    <w:rsid w:val="005245A0"/>
    <w:rsid w:val="0052469B"/>
    <w:rsid w:val="0052492D"/>
    <w:rsid w:val="00524936"/>
    <w:rsid w:val="00524A95"/>
    <w:rsid w:val="00524C86"/>
    <w:rsid w:val="00524E1E"/>
    <w:rsid w:val="0052524C"/>
    <w:rsid w:val="005256D3"/>
    <w:rsid w:val="00525B43"/>
    <w:rsid w:val="00525BFF"/>
    <w:rsid w:val="00525D02"/>
    <w:rsid w:val="00525E33"/>
    <w:rsid w:val="00525FFC"/>
    <w:rsid w:val="00526387"/>
    <w:rsid w:val="0052659D"/>
    <w:rsid w:val="005266AE"/>
    <w:rsid w:val="00526D12"/>
    <w:rsid w:val="00527199"/>
    <w:rsid w:val="005275C1"/>
    <w:rsid w:val="00527E02"/>
    <w:rsid w:val="0053012E"/>
    <w:rsid w:val="005301C9"/>
    <w:rsid w:val="00530334"/>
    <w:rsid w:val="00530519"/>
    <w:rsid w:val="00530D3C"/>
    <w:rsid w:val="00530F8F"/>
    <w:rsid w:val="00530FEF"/>
    <w:rsid w:val="005316C0"/>
    <w:rsid w:val="005317B4"/>
    <w:rsid w:val="00531859"/>
    <w:rsid w:val="00531A3A"/>
    <w:rsid w:val="00531BC6"/>
    <w:rsid w:val="00531DC9"/>
    <w:rsid w:val="00532548"/>
    <w:rsid w:val="005328E4"/>
    <w:rsid w:val="005330AD"/>
    <w:rsid w:val="005332C9"/>
    <w:rsid w:val="0053333A"/>
    <w:rsid w:val="00533637"/>
    <w:rsid w:val="00533786"/>
    <w:rsid w:val="00533CB6"/>
    <w:rsid w:val="00533F57"/>
    <w:rsid w:val="00534D59"/>
    <w:rsid w:val="00535099"/>
    <w:rsid w:val="00535479"/>
    <w:rsid w:val="00535578"/>
    <w:rsid w:val="00535613"/>
    <w:rsid w:val="00535766"/>
    <w:rsid w:val="00535B5E"/>
    <w:rsid w:val="00535F1A"/>
    <w:rsid w:val="005365BF"/>
    <w:rsid w:val="00536B95"/>
    <w:rsid w:val="00536FFA"/>
    <w:rsid w:val="0053711E"/>
    <w:rsid w:val="00537405"/>
    <w:rsid w:val="00537A03"/>
    <w:rsid w:val="00537CF3"/>
    <w:rsid w:val="00537E89"/>
    <w:rsid w:val="00537F1D"/>
    <w:rsid w:val="00537FF8"/>
    <w:rsid w:val="00540160"/>
    <w:rsid w:val="005406A2"/>
    <w:rsid w:val="005408B2"/>
    <w:rsid w:val="0054095D"/>
    <w:rsid w:val="005409D9"/>
    <w:rsid w:val="00540AC9"/>
    <w:rsid w:val="0054128B"/>
    <w:rsid w:val="00541385"/>
    <w:rsid w:val="0054164C"/>
    <w:rsid w:val="005417E4"/>
    <w:rsid w:val="00541900"/>
    <w:rsid w:val="00541928"/>
    <w:rsid w:val="005419DE"/>
    <w:rsid w:val="005425E6"/>
    <w:rsid w:val="00542898"/>
    <w:rsid w:val="00542A01"/>
    <w:rsid w:val="00542D1D"/>
    <w:rsid w:val="00542E32"/>
    <w:rsid w:val="00542FAA"/>
    <w:rsid w:val="005432C0"/>
    <w:rsid w:val="00543D65"/>
    <w:rsid w:val="00543E93"/>
    <w:rsid w:val="0054440F"/>
    <w:rsid w:val="005447AF"/>
    <w:rsid w:val="00544C8F"/>
    <w:rsid w:val="00544DC9"/>
    <w:rsid w:val="00544ED2"/>
    <w:rsid w:val="005455E9"/>
    <w:rsid w:val="005457C8"/>
    <w:rsid w:val="00545D71"/>
    <w:rsid w:val="00546B52"/>
    <w:rsid w:val="00546E1C"/>
    <w:rsid w:val="00547B89"/>
    <w:rsid w:val="00547C5D"/>
    <w:rsid w:val="00547DB9"/>
    <w:rsid w:val="005500B9"/>
    <w:rsid w:val="0055011F"/>
    <w:rsid w:val="00550166"/>
    <w:rsid w:val="0055016C"/>
    <w:rsid w:val="005509EC"/>
    <w:rsid w:val="00550A4C"/>
    <w:rsid w:val="00550B06"/>
    <w:rsid w:val="00550B07"/>
    <w:rsid w:val="00550CB7"/>
    <w:rsid w:val="00551185"/>
    <w:rsid w:val="005511E6"/>
    <w:rsid w:val="0055180B"/>
    <w:rsid w:val="00551E8D"/>
    <w:rsid w:val="00552004"/>
    <w:rsid w:val="00552184"/>
    <w:rsid w:val="00552261"/>
    <w:rsid w:val="00552643"/>
    <w:rsid w:val="00552AEA"/>
    <w:rsid w:val="00552BE2"/>
    <w:rsid w:val="00552CFD"/>
    <w:rsid w:val="00552E30"/>
    <w:rsid w:val="00552EA8"/>
    <w:rsid w:val="00553143"/>
    <w:rsid w:val="00553320"/>
    <w:rsid w:val="005536A0"/>
    <w:rsid w:val="005537DF"/>
    <w:rsid w:val="00553CCB"/>
    <w:rsid w:val="00553EFB"/>
    <w:rsid w:val="00553F05"/>
    <w:rsid w:val="0055472E"/>
    <w:rsid w:val="00554B90"/>
    <w:rsid w:val="00554BEC"/>
    <w:rsid w:val="00554C6F"/>
    <w:rsid w:val="00554D42"/>
    <w:rsid w:val="0055516F"/>
    <w:rsid w:val="0055525F"/>
    <w:rsid w:val="005554A6"/>
    <w:rsid w:val="00555596"/>
    <w:rsid w:val="00555933"/>
    <w:rsid w:val="00555F15"/>
    <w:rsid w:val="0055637B"/>
    <w:rsid w:val="005565FB"/>
    <w:rsid w:val="0055671D"/>
    <w:rsid w:val="00556A2E"/>
    <w:rsid w:val="00556ACC"/>
    <w:rsid w:val="00556DC4"/>
    <w:rsid w:val="00556FC1"/>
    <w:rsid w:val="005570CA"/>
    <w:rsid w:val="0055750C"/>
    <w:rsid w:val="005576B2"/>
    <w:rsid w:val="00557A77"/>
    <w:rsid w:val="00557FB5"/>
    <w:rsid w:val="00560455"/>
    <w:rsid w:val="00560BF2"/>
    <w:rsid w:val="005610D4"/>
    <w:rsid w:val="00561ACC"/>
    <w:rsid w:val="00561FA0"/>
    <w:rsid w:val="00562570"/>
    <w:rsid w:val="00562587"/>
    <w:rsid w:val="00562860"/>
    <w:rsid w:val="0056292D"/>
    <w:rsid w:val="00562A7C"/>
    <w:rsid w:val="0056301B"/>
    <w:rsid w:val="00563094"/>
    <w:rsid w:val="00563179"/>
    <w:rsid w:val="00563374"/>
    <w:rsid w:val="00563513"/>
    <w:rsid w:val="00563A0C"/>
    <w:rsid w:val="00563CD7"/>
    <w:rsid w:val="00564085"/>
    <w:rsid w:val="0056414F"/>
    <w:rsid w:val="00564299"/>
    <w:rsid w:val="00564AA4"/>
    <w:rsid w:val="00564B4F"/>
    <w:rsid w:val="005651C4"/>
    <w:rsid w:val="00565329"/>
    <w:rsid w:val="0056562B"/>
    <w:rsid w:val="00565700"/>
    <w:rsid w:val="00565801"/>
    <w:rsid w:val="00565A64"/>
    <w:rsid w:val="00565B93"/>
    <w:rsid w:val="00565B96"/>
    <w:rsid w:val="00565E18"/>
    <w:rsid w:val="00565EF2"/>
    <w:rsid w:val="00565F77"/>
    <w:rsid w:val="00565F87"/>
    <w:rsid w:val="00566423"/>
    <w:rsid w:val="00566641"/>
    <w:rsid w:val="00567085"/>
    <w:rsid w:val="005672B6"/>
    <w:rsid w:val="0056749F"/>
    <w:rsid w:val="005677B6"/>
    <w:rsid w:val="0056797A"/>
    <w:rsid w:val="00567C8D"/>
    <w:rsid w:val="00567F00"/>
    <w:rsid w:val="0057024A"/>
    <w:rsid w:val="005703AB"/>
    <w:rsid w:val="005704FD"/>
    <w:rsid w:val="005705A4"/>
    <w:rsid w:val="0057073D"/>
    <w:rsid w:val="0057077A"/>
    <w:rsid w:val="00570849"/>
    <w:rsid w:val="00570A66"/>
    <w:rsid w:val="00570C86"/>
    <w:rsid w:val="00570D0F"/>
    <w:rsid w:val="00570D61"/>
    <w:rsid w:val="00570F03"/>
    <w:rsid w:val="00571652"/>
    <w:rsid w:val="005719CD"/>
    <w:rsid w:val="00571B49"/>
    <w:rsid w:val="00571E38"/>
    <w:rsid w:val="00571F5C"/>
    <w:rsid w:val="005722D1"/>
    <w:rsid w:val="005725CC"/>
    <w:rsid w:val="0057297A"/>
    <w:rsid w:val="00572A80"/>
    <w:rsid w:val="00572ED0"/>
    <w:rsid w:val="00572EF8"/>
    <w:rsid w:val="005734E2"/>
    <w:rsid w:val="00573733"/>
    <w:rsid w:val="0057391A"/>
    <w:rsid w:val="00573A44"/>
    <w:rsid w:val="0057423C"/>
    <w:rsid w:val="0057482A"/>
    <w:rsid w:val="00574D2C"/>
    <w:rsid w:val="00574D38"/>
    <w:rsid w:val="00575634"/>
    <w:rsid w:val="0057566B"/>
    <w:rsid w:val="005759F8"/>
    <w:rsid w:val="00575A02"/>
    <w:rsid w:val="00575B1C"/>
    <w:rsid w:val="00575F3E"/>
    <w:rsid w:val="005762CD"/>
    <w:rsid w:val="00576525"/>
    <w:rsid w:val="00576AEC"/>
    <w:rsid w:val="00576BBB"/>
    <w:rsid w:val="00576C63"/>
    <w:rsid w:val="00576C85"/>
    <w:rsid w:val="00576D8D"/>
    <w:rsid w:val="005771F7"/>
    <w:rsid w:val="00577230"/>
    <w:rsid w:val="005777D5"/>
    <w:rsid w:val="00577A8F"/>
    <w:rsid w:val="00577B23"/>
    <w:rsid w:val="00577F76"/>
    <w:rsid w:val="00580051"/>
    <w:rsid w:val="005800BD"/>
    <w:rsid w:val="0058032F"/>
    <w:rsid w:val="0058040C"/>
    <w:rsid w:val="00580646"/>
    <w:rsid w:val="00581953"/>
    <w:rsid w:val="00581A3E"/>
    <w:rsid w:val="005821DA"/>
    <w:rsid w:val="00582795"/>
    <w:rsid w:val="00582AD3"/>
    <w:rsid w:val="00582B38"/>
    <w:rsid w:val="00583183"/>
    <w:rsid w:val="00583186"/>
    <w:rsid w:val="005832FE"/>
    <w:rsid w:val="00583310"/>
    <w:rsid w:val="00583654"/>
    <w:rsid w:val="005842FF"/>
    <w:rsid w:val="005847D0"/>
    <w:rsid w:val="00584ABD"/>
    <w:rsid w:val="00584AE1"/>
    <w:rsid w:val="00584BA5"/>
    <w:rsid w:val="00584CFB"/>
    <w:rsid w:val="00584F21"/>
    <w:rsid w:val="005856B7"/>
    <w:rsid w:val="00585868"/>
    <w:rsid w:val="00585BF2"/>
    <w:rsid w:val="005861B9"/>
    <w:rsid w:val="005863BD"/>
    <w:rsid w:val="0058653C"/>
    <w:rsid w:val="00586642"/>
    <w:rsid w:val="005866C6"/>
    <w:rsid w:val="00586763"/>
    <w:rsid w:val="005867A4"/>
    <w:rsid w:val="00586F9A"/>
    <w:rsid w:val="00587B20"/>
    <w:rsid w:val="00587CC9"/>
    <w:rsid w:val="005900D8"/>
    <w:rsid w:val="0059020F"/>
    <w:rsid w:val="00590669"/>
    <w:rsid w:val="0059084B"/>
    <w:rsid w:val="0059091D"/>
    <w:rsid w:val="00590D38"/>
    <w:rsid w:val="00590DC7"/>
    <w:rsid w:val="00591954"/>
    <w:rsid w:val="00591CD5"/>
    <w:rsid w:val="00591F70"/>
    <w:rsid w:val="0059202B"/>
    <w:rsid w:val="005920B3"/>
    <w:rsid w:val="005926DB"/>
    <w:rsid w:val="00592D5C"/>
    <w:rsid w:val="00592D79"/>
    <w:rsid w:val="00592FA8"/>
    <w:rsid w:val="005931EC"/>
    <w:rsid w:val="0059378A"/>
    <w:rsid w:val="00593E45"/>
    <w:rsid w:val="00593FDC"/>
    <w:rsid w:val="005940EB"/>
    <w:rsid w:val="005941BE"/>
    <w:rsid w:val="005945E9"/>
    <w:rsid w:val="00594664"/>
    <w:rsid w:val="0059489A"/>
    <w:rsid w:val="00594AC6"/>
    <w:rsid w:val="00594D93"/>
    <w:rsid w:val="00594E12"/>
    <w:rsid w:val="005950A9"/>
    <w:rsid w:val="0059579F"/>
    <w:rsid w:val="0059587D"/>
    <w:rsid w:val="00595E10"/>
    <w:rsid w:val="00596094"/>
    <w:rsid w:val="0059614F"/>
    <w:rsid w:val="00596434"/>
    <w:rsid w:val="00596914"/>
    <w:rsid w:val="00596BA9"/>
    <w:rsid w:val="005977C8"/>
    <w:rsid w:val="005A04AF"/>
    <w:rsid w:val="005A0754"/>
    <w:rsid w:val="005A13C5"/>
    <w:rsid w:val="005A16ED"/>
    <w:rsid w:val="005A1E76"/>
    <w:rsid w:val="005A230E"/>
    <w:rsid w:val="005A242A"/>
    <w:rsid w:val="005A2795"/>
    <w:rsid w:val="005A289A"/>
    <w:rsid w:val="005A29A6"/>
    <w:rsid w:val="005A2AC6"/>
    <w:rsid w:val="005A2B36"/>
    <w:rsid w:val="005A2DC6"/>
    <w:rsid w:val="005A2FDE"/>
    <w:rsid w:val="005A3666"/>
    <w:rsid w:val="005A4243"/>
    <w:rsid w:val="005A42BE"/>
    <w:rsid w:val="005A45A6"/>
    <w:rsid w:val="005A46A6"/>
    <w:rsid w:val="005A46F2"/>
    <w:rsid w:val="005A4E1B"/>
    <w:rsid w:val="005A5418"/>
    <w:rsid w:val="005A5468"/>
    <w:rsid w:val="005A5874"/>
    <w:rsid w:val="005A5B2B"/>
    <w:rsid w:val="005A5BA3"/>
    <w:rsid w:val="005A5C14"/>
    <w:rsid w:val="005A5C9C"/>
    <w:rsid w:val="005A628A"/>
    <w:rsid w:val="005A62A4"/>
    <w:rsid w:val="005A67C9"/>
    <w:rsid w:val="005A6AD8"/>
    <w:rsid w:val="005A719E"/>
    <w:rsid w:val="005A7391"/>
    <w:rsid w:val="005A73D1"/>
    <w:rsid w:val="005A73F8"/>
    <w:rsid w:val="005A77FB"/>
    <w:rsid w:val="005B0ACB"/>
    <w:rsid w:val="005B1022"/>
    <w:rsid w:val="005B11AD"/>
    <w:rsid w:val="005B13EC"/>
    <w:rsid w:val="005B1930"/>
    <w:rsid w:val="005B1973"/>
    <w:rsid w:val="005B1B3E"/>
    <w:rsid w:val="005B1D5E"/>
    <w:rsid w:val="005B21C5"/>
    <w:rsid w:val="005B2256"/>
    <w:rsid w:val="005B24CB"/>
    <w:rsid w:val="005B2650"/>
    <w:rsid w:val="005B2F0B"/>
    <w:rsid w:val="005B3119"/>
    <w:rsid w:val="005B31E1"/>
    <w:rsid w:val="005B329D"/>
    <w:rsid w:val="005B32A9"/>
    <w:rsid w:val="005B34DF"/>
    <w:rsid w:val="005B3682"/>
    <w:rsid w:val="005B3837"/>
    <w:rsid w:val="005B4157"/>
    <w:rsid w:val="005B416A"/>
    <w:rsid w:val="005B43E5"/>
    <w:rsid w:val="005B43E7"/>
    <w:rsid w:val="005B4E24"/>
    <w:rsid w:val="005B5356"/>
    <w:rsid w:val="005B551D"/>
    <w:rsid w:val="005B55DF"/>
    <w:rsid w:val="005B569C"/>
    <w:rsid w:val="005B5925"/>
    <w:rsid w:val="005B5BCD"/>
    <w:rsid w:val="005B5E67"/>
    <w:rsid w:val="005B604A"/>
    <w:rsid w:val="005B613E"/>
    <w:rsid w:val="005B630C"/>
    <w:rsid w:val="005B65BF"/>
    <w:rsid w:val="005B670A"/>
    <w:rsid w:val="005B6A4B"/>
    <w:rsid w:val="005B6BCD"/>
    <w:rsid w:val="005B6C9C"/>
    <w:rsid w:val="005B6DB0"/>
    <w:rsid w:val="005B7999"/>
    <w:rsid w:val="005B7A98"/>
    <w:rsid w:val="005B7B5A"/>
    <w:rsid w:val="005B7B94"/>
    <w:rsid w:val="005B7C01"/>
    <w:rsid w:val="005B7C5D"/>
    <w:rsid w:val="005B7C87"/>
    <w:rsid w:val="005B7DD4"/>
    <w:rsid w:val="005B7FC5"/>
    <w:rsid w:val="005C0358"/>
    <w:rsid w:val="005C0814"/>
    <w:rsid w:val="005C0C1C"/>
    <w:rsid w:val="005C0E76"/>
    <w:rsid w:val="005C1529"/>
    <w:rsid w:val="005C1700"/>
    <w:rsid w:val="005C1EC8"/>
    <w:rsid w:val="005C222E"/>
    <w:rsid w:val="005C2596"/>
    <w:rsid w:val="005C27C1"/>
    <w:rsid w:val="005C29CF"/>
    <w:rsid w:val="005C2C83"/>
    <w:rsid w:val="005C2D1B"/>
    <w:rsid w:val="005C3014"/>
    <w:rsid w:val="005C3267"/>
    <w:rsid w:val="005C33C2"/>
    <w:rsid w:val="005C38A5"/>
    <w:rsid w:val="005C38E8"/>
    <w:rsid w:val="005C3965"/>
    <w:rsid w:val="005C3BEA"/>
    <w:rsid w:val="005C3CC2"/>
    <w:rsid w:val="005C405E"/>
    <w:rsid w:val="005C4331"/>
    <w:rsid w:val="005C4346"/>
    <w:rsid w:val="005C45EB"/>
    <w:rsid w:val="005C4AC7"/>
    <w:rsid w:val="005C532F"/>
    <w:rsid w:val="005C54A3"/>
    <w:rsid w:val="005C565F"/>
    <w:rsid w:val="005C5E0D"/>
    <w:rsid w:val="005C63BB"/>
    <w:rsid w:val="005C6629"/>
    <w:rsid w:val="005C6A48"/>
    <w:rsid w:val="005C6CB2"/>
    <w:rsid w:val="005C6CE7"/>
    <w:rsid w:val="005C6E73"/>
    <w:rsid w:val="005C6FF6"/>
    <w:rsid w:val="005C7074"/>
    <w:rsid w:val="005C720E"/>
    <w:rsid w:val="005C74E1"/>
    <w:rsid w:val="005C7F07"/>
    <w:rsid w:val="005C7F2F"/>
    <w:rsid w:val="005C7F6B"/>
    <w:rsid w:val="005D024E"/>
    <w:rsid w:val="005D0765"/>
    <w:rsid w:val="005D0C23"/>
    <w:rsid w:val="005D0DC5"/>
    <w:rsid w:val="005D1151"/>
    <w:rsid w:val="005D16A7"/>
    <w:rsid w:val="005D1714"/>
    <w:rsid w:val="005D1852"/>
    <w:rsid w:val="005D1A67"/>
    <w:rsid w:val="005D1BA8"/>
    <w:rsid w:val="005D2355"/>
    <w:rsid w:val="005D23BC"/>
    <w:rsid w:val="005D2F70"/>
    <w:rsid w:val="005D30EF"/>
    <w:rsid w:val="005D31C3"/>
    <w:rsid w:val="005D3D17"/>
    <w:rsid w:val="005D3D40"/>
    <w:rsid w:val="005D3DEC"/>
    <w:rsid w:val="005D4058"/>
    <w:rsid w:val="005D4446"/>
    <w:rsid w:val="005D452A"/>
    <w:rsid w:val="005D4867"/>
    <w:rsid w:val="005D48E9"/>
    <w:rsid w:val="005D4A6C"/>
    <w:rsid w:val="005D4C1D"/>
    <w:rsid w:val="005D4D44"/>
    <w:rsid w:val="005D5326"/>
    <w:rsid w:val="005D56D1"/>
    <w:rsid w:val="005D57C2"/>
    <w:rsid w:val="005D5D61"/>
    <w:rsid w:val="005D5DFF"/>
    <w:rsid w:val="005D66D9"/>
    <w:rsid w:val="005D6991"/>
    <w:rsid w:val="005D6CA8"/>
    <w:rsid w:val="005D721F"/>
    <w:rsid w:val="005D7450"/>
    <w:rsid w:val="005D7773"/>
    <w:rsid w:val="005D7C1E"/>
    <w:rsid w:val="005E0182"/>
    <w:rsid w:val="005E029B"/>
    <w:rsid w:val="005E0992"/>
    <w:rsid w:val="005E0B5D"/>
    <w:rsid w:val="005E0DF9"/>
    <w:rsid w:val="005E13BA"/>
    <w:rsid w:val="005E1DAC"/>
    <w:rsid w:val="005E1F9A"/>
    <w:rsid w:val="005E2006"/>
    <w:rsid w:val="005E2306"/>
    <w:rsid w:val="005E24A2"/>
    <w:rsid w:val="005E2670"/>
    <w:rsid w:val="005E2C6E"/>
    <w:rsid w:val="005E2CD7"/>
    <w:rsid w:val="005E2D22"/>
    <w:rsid w:val="005E2F36"/>
    <w:rsid w:val="005E3062"/>
    <w:rsid w:val="005E30E0"/>
    <w:rsid w:val="005E31C5"/>
    <w:rsid w:val="005E36E8"/>
    <w:rsid w:val="005E3963"/>
    <w:rsid w:val="005E3B09"/>
    <w:rsid w:val="005E3C65"/>
    <w:rsid w:val="005E44FC"/>
    <w:rsid w:val="005E4752"/>
    <w:rsid w:val="005E48A1"/>
    <w:rsid w:val="005E4B42"/>
    <w:rsid w:val="005E50A3"/>
    <w:rsid w:val="005E520D"/>
    <w:rsid w:val="005E534D"/>
    <w:rsid w:val="005E56F2"/>
    <w:rsid w:val="005E5D22"/>
    <w:rsid w:val="005E5EB8"/>
    <w:rsid w:val="005E69A0"/>
    <w:rsid w:val="005E6D1D"/>
    <w:rsid w:val="005E730C"/>
    <w:rsid w:val="005E7673"/>
    <w:rsid w:val="005E76DE"/>
    <w:rsid w:val="005E7B16"/>
    <w:rsid w:val="005E7E46"/>
    <w:rsid w:val="005F07F9"/>
    <w:rsid w:val="005F0991"/>
    <w:rsid w:val="005F0A0C"/>
    <w:rsid w:val="005F0DF5"/>
    <w:rsid w:val="005F0F59"/>
    <w:rsid w:val="005F0FBD"/>
    <w:rsid w:val="005F12BA"/>
    <w:rsid w:val="005F14B4"/>
    <w:rsid w:val="005F14DD"/>
    <w:rsid w:val="005F1575"/>
    <w:rsid w:val="005F173E"/>
    <w:rsid w:val="005F19EE"/>
    <w:rsid w:val="005F2243"/>
    <w:rsid w:val="005F2669"/>
    <w:rsid w:val="005F28D7"/>
    <w:rsid w:val="005F2A3A"/>
    <w:rsid w:val="005F2DD3"/>
    <w:rsid w:val="005F2F73"/>
    <w:rsid w:val="005F365A"/>
    <w:rsid w:val="005F40F0"/>
    <w:rsid w:val="005F46C9"/>
    <w:rsid w:val="005F47FF"/>
    <w:rsid w:val="005F48B5"/>
    <w:rsid w:val="005F4AF1"/>
    <w:rsid w:val="005F4ED1"/>
    <w:rsid w:val="005F4EFE"/>
    <w:rsid w:val="005F53BC"/>
    <w:rsid w:val="005F56AD"/>
    <w:rsid w:val="005F580B"/>
    <w:rsid w:val="005F5C57"/>
    <w:rsid w:val="005F5CF4"/>
    <w:rsid w:val="005F6408"/>
    <w:rsid w:val="005F68F7"/>
    <w:rsid w:val="005F6C0A"/>
    <w:rsid w:val="005F6ED0"/>
    <w:rsid w:val="005F7849"/>
    <w:rsid w:val="005F7C79"/>
    <w:rsid w:val="005F7EB9"/>
    <w:rsid w:val="005F7EFF"/>
    <w:rsid w:val="00600192"/>
    <w:rsid w:val="00600202"/>
    <w:rsid w:val="00600538"/>
    <w:rsid w:val="00600B21"/>
    <w:rsid w:val="006011AE"/>
    <w:rsid w:val="00601349"/>
    <w:rsid w:val="00601820"/>
    <w:rsid w:val="00601922"/>
    <w:rsid w:val="00601BC2"/>
    <w:rsid w:val="00601CD2"/>
    <w:rsid w:val="00601F4D"/>
    <w:rsid w:val="00602576"/>
    <w:rsid w:val="0060267E"/>
    <w:rsid w:val="00602989"/>
    <w:rsid w:val="00602B58"/>
    <w:rsid w:val="006033AF"/>
    <w:rsid w:val="00603AF8"/>
    <w:rsid w:val="0060427B"/>
    <w:rsid w:val="0060433B"/>
    <w:rsid w:val="00604672"/>
    <w:rsid w:val="00604705"/>
    <w:rsid w:val="00604800"/>
    <w:rsid w:val="006052A2"/>
    <w:rsid w:val="00605490"/>
    <w:rsid w:val="006056C1"/>
    <w:rsid w:val="00605A12"/>
    <w:rsid w:val="00605DAA"/>
    <w:rsid w:val="00606409"/>
    <w:rsid w:val="006066E0"/>
    <w:rsid w:val="006067F2"/>
    <w:rsid w:val="00606915"/>
    <w:rsid w:val="006069CB"/>
    <w:rsid w:val="00606AAB"/>
    <w:rsid w:val="00606AEC"/>
    <w:rsid w:val="00606C60"/>
    <w:rsid w:val="00606FFE"/>
    <w:rsid w:val="006070BA"/>
    <w:rsid w:val="0060732B"/>
    <w:rsid w:val="00607346"/>
    <w:rsid w:val="00607580"/>
    <w:rsid w:val="006075B6"/>
    <w:rsid w:val="00607686"/>
    <w:rsid w:val="00607737"/>
    <w:rsid w:val="00607984"/>
    <w:rsid w:val="00607A00"/>
    <w:rsid w:val="00607A6E"/>
    <w:rsid w:val="00607A80"/>
    <w:rsid w:val="006101AD"/>
    <w:rsid w:val="006102C6"/>
    <w:rsid w:val="0061069A"/>
    <w:rsid w:val="00610831"/>
    <w:rsid w:val="0061085F"/>
    <w:rsid w:val="006108BC"/>
    <w:rsid w:val="006109BF"/>
    <w:rsid w:val="00610A9B"/>
    <w:rsid w:val="00610B3B"/>
    <w:rsid w:val="00610D95"/>
    <w:rsid w:val="00610DCA"/>
    <w:rsid w:val="00610E5F"/>
    <w:rsid w:val="00610FDC"/>
    <w:rsid w:val="00611183"/>
    <w:rsid w:val="00611219"/>
    <w:rsid w:val="006114AB"/>
    <w:rsid w:val="00611918"/>
    <w:rsid w:val="00611BF3"/>
    <w:rsid w:val="00611F4E"/>
    <w:rsid w:val="006123BC"/>
    <w:rsid w:val="00612427"/>
    <w:rsid w:val="006126AD"/>
    <w:rsid w:val="00612943"/>
    <w:rsid w:val="00612ABD"/>
    <w:rsid w:val="00612B28"/>
    <w:rsid w:val="00612D71"/>
    <w:rsid w:val="00612D73"/>
    <w:rsid w:val="00613642"/>
    <w:rsid w:val="00613CB9"/>
    <w:rsid w:val="006145CE"/>
    <w:rsid w:val="006148D4"/>
    <w:rsid w:val="00614953"/>
    <w:rsid w:val="006149F8"/>
    <w:rsid w:val="00614B8F"/>
    <w:rsid w:val="00614FBB"/>
    <w:rsid w:val="006151FE"/>
    <w:rsid w:val="006153F5"/>
    <w:rsid w:val="006154EC"/>
    <w:rsid w:val="00615527"/>
    <w:rsid w:val="00615A31"/>
    <w:rsid w:val="00615BC7"/>
    <w:rsid w:val="00615CEC"/>
    <w:rsid w:val="006160F3"/>
    <w:rsid w:val="006161A0"/>
    <w:rsid w:val="006161D1"/>
    <w:rsid w:val="006161DB"/>
    <w:rsid w:val="0061640D"/>
    <w:rsid w:val="00616771"/>
    <w:rsid w:val="006172DD"/>
    <w:rsid w:val="00617E0A"/>
    <w:rsid w:val="00620BC3"/>
    <w:rsid w:val="00621035"/>
    <w:rsid w:val="00621572"/>
    <w:rsid w:val="0062185D"/>
    <w:rsid w:val="00621ACD"/>
    <w:rsid w:val="00621FEF"/>
    <w:rsid w:val="00622081"/>
    <w:rsid w:val="00622391"/>
    <w:rsid w:val="0062277F"/>
    <w:rsid w:val="00622C47"/>
    <w:rsid w:val="006235C5"/>
    <w:rsid w:val="006238FD"/>
    <w:rsid w:val="00623AB3"/>
    <w:rsid w:val="00623B01"/>
    <w:rsid w:val="00623C57"/>
    <w:rsid w:val="00623E43"/>
    <w:rsid w:val="00623FB8"/>
    <w:rsid w:val="00624240"/>
    <w:rsid w:val="00624718"/>
    <w:rsid w:val="00624D96"/>
    <w:rsid w:val="0062522E"/>
    <w:rsid w:val="0062533F"/>
    <w:rsid w:val="0062544B"/>
    <w:rsid w:val="00625975"/>
    <w:rsid w:val="006259D4"/>
    <w:rsid w:val="00625FF8"/>
    <w:rsid w:val="00626035"/>
    <w:rsid w:val="00626129"/>
    <w:rsid w:val="00626301"/>
    <w:rsid w:val="0062643C"/>
    <w:rsid w:val="00626DBD"/>
    <w:rsid w:val="0062740F"/>
    <w:rsid w:val="0062794C"/>
    <w:rsid w:val="006279E6"/>
    <w:rsid w:val="00627B0A"/>
    <w:rsid w:val="00627CDB"/>
    <w:rsid w:val="00627DB8"/>
    <w:rsid w:val="00630956"/>
    <w:rsid w:val="00630B3A"/>
    <w:rsid w:val="006310A7"/>
    <w:rsid w:val="006310F0"/>
    <w:rsid w:val="0063134F"/>
    <w:rsid w:val="006315CF"/>
    <w:rsid w:val="0063168F"/>
    <w:rsid w:val="006318AD"/>
    <w:rsid w:val="00631A88"/>
    <w:rsid w:val="00631BAF"/>
    <w:rsid w:val="00631C08"/>
    <w:rsid w:val="0063262C"/>
    <w:rsid w:val="006327E1"/>
    <w:rsid w:val="00632906"/>
    <w:rsid w:val="00632BBC"/>
    <w:rsid w:val="00632FDB"/>
    <w:rsid w:val="00633491"/>
    <w:rsid w:val="00633633"/>
    <w:rsid w:val="00633755"/>
    <w:rsid w:val="00633A69"/>
    <w:rsid w:val="00633CEC"/>
    <w:rsid w:val="00633DBF"/>
    <w:rsid w:val="006349AD"/>
    <w:rsid w:val="00634AAF"/>
    <w:rsid w:val="00634E70"/>
    <w:rsid w:val="00634F0E"/>
    <w:rsid w:val="00635532"/>
    <w:rsid w:val="006355BE"/>
    <w:rsid w:val="00635650"/>
    <w:rsid w:val="006362CF"/>
    <w:rsid w:val="006364FC"/>
    <w:rsid w:val="00636558"/>
    <w:rsid w:val="00636E95"/>
    <w:rsid w:val="00636FD9"/>
    <w:rsid w:val="00637486"/>
    <w:rsid w:val="00637568"/>
    <w:rsid w:val="00637B68"/>
    <w:rsid w:val="00637D80"/>
    <w:rsid w:val="00640006"/>
    <w:rsid w:val="00640436"/>
    <w:rsid w:val="00640911"/>
    <w:rsid w:val="00640B0D"/>
    <w:rsid w:val="00640CEE"/>
    <w:rsid w:val="00640FAA"/>
    <w:rsid w:val="006415F4"/>
    <w:rsid w:val="00641651"/>
    <w:rsid w:val="006417B3"/>
    <w:rsid w:val="00641974"/>
    <w:rsid w:val="00641A3F"/>
    <w:rsid w:val="00641DBA"/>
    <w:rsid w:val="00641E13"/>
    <w:rsid w:val="00642092"/>
    <w:rsid w:val="0064291D"/>
    <w:rsid w:val="0064292B"/>
    <w:rsid w:val="00642C7D"/>
    <w:rsid w:val="00642DEE"/>
    <w:rsid w:val="006430BB"/>
    <w:rsid w:val="006438A2"/>
    <w:rsid w:val="00643C38"/>
    <w:rsid w:val="006440D7"/>
    <w:rsid w:val="00644128"/>
    <w:rsid w:val="006448EA"/>
    <w:rsid w:val="00644C19"/>
    <w:rsid w:val="00644D92"/>
    <w:rsid w:val="006450E7"/>
    <w:rsid w:val="006453A8"/>
    <w:rsid w:val="0064559C"/>
    <w:rsid w:val="00645A2C"/>
    <w:rsid w:val="00645C0E"/>
    <w:rsid w:val="0064610C"/>
    <w:rsid w:val="006461AD"/>
    <w:rsid w:val="0064660C"/>
    <w:rsid w:val="00646612"/>
    <w:rsid w:val="00646859"/>
    <w:rsid w:val="0064698F"/>
    <w:rsid w:val="00646A8A"/>
    <w:rsid w:val="00646DB7"/>
    <w:rsid w:val="006472CA"/>
    <w:rsid w:val="00647312"/>
    <w:rsid w:val="00647470"/>
    <w:rsid w:val="006474E8"/>
    <w:rsid w:val="0064760A"/>
    <w:rsid w:val="00647614"/>
    <w:rsid w:val="0064779F"/>
    <w:rsid w:val="00647A25"/>
    <w:rsid w:val="00647C27"/>
    <w:rsid w:val="006503D1"/>
    <w:rsid w:val="0065054E"/>
    <w:rsid w:val="006508D5"/>
    <w:rsid w:val="00650A90"/>
    <w:rsid w:val="00650CFF"/>
    <w:rsid w:val="00651000"/>
    <w:rsid w:val="0065143C"/>
    <w:rsid w:val="006514DC"/>
    <w:rsid w:val="0065165B"/>
    <w:rsid w:val="006518D9"/>
    <w:rsid w:val="00651903"/>
    <w:rsid w:val="00651AFC"/>
    <w:rsid w:val="00651B27"/>
    <w:rsid w:val="00651CFB"/>
    <w:rsid w:val="00651D64"/>
    <w:rsid w:val="00651D71"/>
    <w:rsid w:val="00651E90"/>
    <w:rsid w:val="00652005"/>
    <w:rsid w:val="00652321"/>
    <w:rsid w:val="0065276A"/>
    <w:rsid w:val="00652BF1"/>
    <w:rsid w:val="00652D14"/>
    <w:rsid w:val="00652EFF"/>
    <w:rsid w:val="0065300C"/>
    <w:rsid w:val="00653027"/>
    <w:rsid w:val="00653033"/>
    <w:rsid w:val="006530A7"/>
    <w:rsid w:val="00653152"/>
    <w:rsid w:val="006533A5"/>
    <w:rsid w:val="00653550"/>
    <w:rsid w:val="00653719"/>
    <w:rsid w:val="00653BE9"/>
    <w:rsid w:val="00653E47"/>
    <w:rsid w:val="00653FA8"/>
    <w:rsid w:val="00654378"/>
    <w:rsid w:val="00654562"/>
    <w:rsid w:val="00654589"/>
    <w:rsid w:val="0065472A"/>
    <w:rsid w:val="00654AA2"/>
    <w:rsid w:val="00654E16"/>
    <w:rsid w:val="00655131"/>
    <w:rsid w:val="0065567C"/>
    <w:rsid w:val="0065584F"/>
    <w:rsid w:val="00655850"/>
    <w:rsid w:val="00655AD8"/>
    <w:rsid w:val="00655DA6"/>
    <w:rsid w:val="00655E07"/>
    <w:rsid w:val="00656D90"/>
    <w:rsid w:val="00656DC9"/>
    <w:rsid w:val="006573A8"/>
    <w:rsid w:val="0065745D"/>
    <w:rsid w:val="0065751F"/>
    <w:rsid w:val="0065782A"/>
    <w:rsid w:val="00657A9D"/>
    <w:rsid w:val="00657BD5"/>
    <w:rsid w:val="0066003E"/>
    <w:rsid w:val="0066033D"/>
    <w:rsid w:val="006603F9"/>
    <w:rsid w:val="00660CE7"/>
    <w:rsid w:val="00660F3E"/>
    <w:rsid w:val="006611C3"/>
    <w:rsid w:val="006616F6"/>
    <w:rsid w:val="00661A0F"/>
    <w:rsid w:val="00661A14"/>
    <w:rsid w:val="00661D97"/>
    <w:rsid w:val="00661E12"/>
    <w:rsid w:val="0066215F"/>
    <w:rsid w:val="0066229C"/>
    <w:rsid w:val="006627D8"/>
    <w:rsid w:val="00662A60"/>
    <w:rsid w:val="00662AC8"/>
    <w:rsid w:val="00662BAF"/>
    <w:rsid w:val="006633BC"/>
    <w:rsid w:val="00663464"/>
    <w:rsid w:val="006636CF"/>
    <w:rsid w:val="0066392E"/>
    <w:rsid w:val="00663D49"/>
    <w:rsid w:val="00663F37"/>
    <w:rsid w:val="00663F80"/>
    <w:rsid w:val="00664639"/>
    <w:rsid w:val="006648A4"/>
    <w:rsid w:val="00664BB3"/>
    <w:rsid w:val="00664F0B"/>
    <w:rsid w:val="006654F3"/>
    <w:rsid w:val="00665617"/>
    <w:rsid w:val="00665762"/>
    <w:rsid w:val="006657FD"/>
    <w:rsid w:val="00665967"/>
    <w:rsid w:val="00665AF0"/>
    <w:rsid w:val="00665B27"/>
    <w:rsid w:val="00665DBB"/>
    <w:rsid w:val="006660C1"/>
    <w:rsid w:val="00666171"/>
    <w:rsid w:val="0066679B"/>
    <w:rsid w:val="006667AA"/>
    <w:rsid w:val="00666B58"/>
    <w:rsid w:val="006670AA"/>
    <w:rsid w:val="006672D5"/>
    <w:rsid w:val="00667449"/>
    <w:rsid w:val="006678AD"/>
    <w:rsid w:val="006678B0"/>
    <w:rsid w:val="00667CD4"/>
    <w:rsid w:val="00667CDD"/>
    <w:rsid w:val="00667D70"/>
    <w:rsid w:val="006700C9"/>
    <w:rsid w:val="006701DE"/>
    <w:rsid w:val="0067028C"/>
    <w:rsid w:val="006703C7"/>
    <w:rsid w:val="00670C55"/>
    <w:rsid w:val="00670D9A"/>
    <w:rsid w:val="00670E55"/>
    <w:rsid w:val="00670FE9"/>
    <w:rsid w:val="006710FE"/>
    <w:rsid w:val="006719E3"/>
    <w:rsid w:val="00671A4F"/>
    <w:rsid w:val="00671F4F"/>
    <w:rsid w:val="0067203F"/>
    <w:rsid w:val="00672434"/>
    <w:rsid w:val="00672443"/>
    <w:rsid w:val="006728BE"/>
    <w:rsid w:val="00672CCC"/>
    <w:rsid w:val="006736B4"/>
    <w:rsid w:val="00673A53"/>
    <w:rsid w:val="00673C52"/>
    <w:rsid w:val="00673CC4"/>
    <w:rsid w:val="00673DA5"/>
    <w:rsid w:val="00673E9F"/>
    <w:rsid w:val="00673EBE"/>
    <w:rsid w:val="00674423"/>
    <w:rsid w:val="0067462E"/>
    <w:rsid w:val="006748F3"/>
    <w:rsid w:val="006749B8"/>
    <w:rsid w:val="00674EEF"/>
    <w:rsid w:val="00674F58"/>
    <w:rsid w:val="00674F9E"/>
    <w:rsid w:val="0067527B"/>
    <w:rsid w:val="0067564B"/>
    <w:rsid w:val="0067592F"/>
    <w:rsid w:val="00675B59"/>
    <w:rsid w:val="00675C6B"/>
    <w:rsid w:val="00675DF9"/>
    <w:rsid w:val="00675E3A"/>
    <w:rsid w:val="00675EFF"/>
    <w:rsid w:val="00676591"/>
    <w:rsid w:val="00676B92"/>
    <w:rsid w:val="00676C9D"/>
    <w:rsid w:val="00676DD6"/>
    <w:rsid w:val="00676EE0"/>
    <w:rsid w:val="006772EC"/>
    <w:rsid w:val="0067750F"/>
    <w:rsid w:val="00677874"/>
    <w:rsid w:val="00677D85"/>
    <w:rsid w:val="006809F6"/>
    <w:rsid w:val="00680BC9"/>
    <w:rsid w:val="00680BF4"/>
    <w:rsid w:val="00680D29"/>
    <w:rsid w:val="00680E97"/>
    <w:rsid w:val="00680F13"/>
    <w:rsid w:val="00681097"/>
    <w:rsid w:val="00681242"/>
    <w:rsid w:val="006816B8"/>
    <w:rsid w:val="00681AE1"/>
    <w:rsid w:val="00681AF0"/>
    <w:rsid w:val="00681C03"/>
    <w:rsid w:val="00681CD0"/>
    <w:rsid w:val="00681F31"/>
    <w:rsid w:val="006824C7"/>
    <w:rsid w:val="00682746"/>
    <w:rsid w:val="00682825"/>
    <w:rsid w:val="00682BD4"/>
    <w:rsid w:val="00683079"/>
    <w:rsid w:val="006830EF"/>
    <w:rsid w:val="006834D9"/>
    <w:rsid w:val="006837E1"/>
    <w:rsid w:val="00684171"/>
    <w:rsid w:val="00684537"/>
    <w:rsid w:val="00684C0D"/>
    <w:rsid w:val="00684EED"/>
    <w:rsid w:val="00685049"/>
    <w:rsid w:val="006850D9"/>
    <w:rsid w:val="00685A42"/>
    <w:rsid w:val="00685A8A"/>
    <w:rsid w:val="00685C61"/>
    <w:rsid w:val="006861DF"/>
    <w:rsid w:val="00686498"/>
    <w:rsid w:val="006866D8"/>
    <w:rsid w:val="00686AD6"/>
    <w:rsid w:val="0068717A"/>
    <w:rsid w:val="00687321"/>
    <w:rsid w:val="006875FE"/>
    <w:rsid w:val="0068766F"/>
    <w:rsid w:val="00687A47"/>
    <w:rsid w:val="00690295"/>
    <w:rsid w:val="00690656"/>
    <w:rsid w:val="00690862"/>
    <w:rsid w:val="00690939"/>
    <w:rsid w:val="00690CAD"/>
    <w:rsid w:val="00691AD2"/>
    <w:rsid w:val="00691BEF"/>
    <w:rsid w:val="00691C13"/>
    <w:rsid w:val="00691C97"/>
    <w:rsid w:val="00691E1B"/>
    <w:rsid w:val="00691E87"/>
    <w:rsid w:val="00691EAB"/>
    <w:rsid w:val="00691EC3"/>
    <w:rsid w:val="00692226"/>
    <w:rsid w:val="0069230C"/>
    <w:rsid w:val="006925BC"/>
    <w:rsid w:val="006926D9"/>
    <w:rsid w:val="0069271A"/>
    <w:rsid w:val="00692821"/>
    <w:rsid w:val="00692927"/>
    <w:rsid w:val="0069306E"/>
    <w:rsid w:val="006939C7"/>
    <w:rsid w:val="00694123"/>
    <w:rsid w:val="00694347"/>
    <w:rsid w:val="006947D2"/>
    <w:rsid w:val="0069483E"/>
    <w:rsid w:val="0069487D"/>
    <w:rsid w:val="00694A5E"/>
    <w:rsid w:val="00694AE2"/>
    <w:rsid w:val="00694CB0"/>
    <w:rsid w:val="00694CF5"/>
    <w:rsid w:val="00694F84"/>
    <w:rsid w:val="006953CE"/>
    <w:rsid w:val="0069548E"/>
    <w:rsid w:val="0069582E"/>
    <w:rsid w:val="00695831"/>
    <w:rsid w:val="00695BCA"/>
    <w:rsid w:val="006960D2"/>
    <w:rsid w:val="00696858"/>
    <w:rsid w:val="006968CF"/>
    <w:rsid w:val="00696A08"/>
    <w:rsid w:val="00696B0F"/>
    <w:rsid w:val="00696B75"/>
    <w:rsid w:val="006971B1"/>
    <w:rsid w:val="00697449"/>
    <w:rsid w:val="00697769"/>
    <w:rsid w:val="00697CCE"/>
    <w:rsid w:val="00697E60"/>
    <w:rsid w:val="006A0306"/>
    <w:rsid w:val="006A0A43"/>
    <w:rsid w:val="006A0AE7"/>
    <w:rsid w:val="006A0CF6"/>
    <w:rsid w:val="006A0DE4"/>
    <w:rsid w:val="006A0E83"/>
    <w:rsid w:val="006A0FEF"/>
    <w:rsid w:val="006A12FE"/>
    <w:rsid w:val="006A13AC"/>
    <w:rsid w:val="006A170C"/>
    <w:rsid w:val="006A1A06"/>
    <w:rsid w:val="006A21FB"/>
    <w:rsid w:val="006A222C"/>
    <w:rsid w:val="006A2954"/>
    <w:rsid w:val="006A2B60"/>
    <w:rsid w:val="006A300E"/>
    <w:rsid w:val="006A324C"/>
    <w:rsid w:val="006A33C2"/>
    <w:rsid w:val="006A34B6"/>
    <w:rsid w:val="006A36E4"/>
    <w:rsid w:val="006A419B"/>
    <w:rsid w:val="006A42BE"/>
    <w:rsid w:val="006A42E4"/>
    <w:rsid w:val="006A443C"/>
    <w:rsid w:val="006A45B8"/>
    <w:rsid w:val="006A56F5"/>
    <w:rsid w:val="006A5DAB"/>
    <w:rsid w:val="006A605C"/>
    <w:rsid w:val="006A609D"/>
    <w:rsid w:val="006A60F9"/>
    <w:rsid w:val="006A6244"/>
    <w:rsid w:val="006A6AD8"/>
    <w:rsid w:val="006A6E31"/>
    <w:rsid w:val="006A6E32"/>
    <w:rsid w:val="006A7005"/>
    <w:rsid w:val="006A739A"/>
    <w:rsid w:val="006A746E"/>
    <w:rsid w:val="006A75BF"/>
    <w:rsid w:val="006A77B9"/>
    <w:rsid w:val="006A77D9"/>
    <w:rsid w:val="006A781C"/>
    <w:rsid w:val="006A7D4A"/>
    <w:rsid w:val="006B00B1"/>
    <w:rsid w:val="006B0359"/>
    <w:rsid w:val="006B092D"/>
    <w:rsid w:val="006B0EE8"/>
    <w:rsid w:val="006B1361"/>
    <w:rsid w:val="006B1426"/>
    <w:rsid w:val="006B1914"/>
    <w:rsid w:val="006B1930"/>
    <w:rsid w:val="006B1D9C"/>
    <w:rsid w:val="006B1E93"/>
    <w:rsid w:val="006B1F3F"/>
    <w:rsid w:val="006B25D9"/>
    <w:rsid w:val="006B2808"/>
    <w:rsid w:val="006B2871"/>
    <w:rsid w:val="006B2C09"/>
    <w:rsid w:val="006B2D6A"/>
    <w:rsid w:val="006B32B8"/>
    <w:rsid w:val="006B32F8"/>
    <w:rsid w:val="006B3472"/>
    <w:rsid w:val="006B3538"/>
    <w:rsid w:val="006B38FC"/>
    <w:rsid w:val="006B3B34"/>
    <w:rsid w:val="006B40AB"/>
    <w:rsid w:val="006B4D1E"/>
    <w:rsid w:val="006B4DFF"/>
    <w:rsid w:val="006B4E8B"/>
    <w:rsid w:val="006B50E9"/>
    <w:rsid w:val="006B514D"/>
    <w:rsid w:val="006B5171"/>
    <w:rsid w:val="006B52BA"/>
    <w:rsid w:val="006B52BE"/>
    <w:rsid w:val="006B52D6"/>
    <w:rsid w:val="006B5723"/>
    <w:rsid w:val="006B5914"/>
    <w:rsid w:val="006B5CAE"/>
    <w:rsid w:val="006B6084"/>
    <w:rsid w:val="006B60F8"/>
    <w:rsid w:val="006B6302"/>
    <w:rsid w:val="006B6657"/>
    <w:rsid w:val="006B6E38"/>
    <w:rsid w:val="006B6F13"/>
    <w:rsid w:val="006B73D2"/>
    <w:rsid w:val="006B76FA"/>
    <w:rsid w:val="006B7717"/>
    <w:rsid w:val="006B7DA5"/>
    <w:rsid w:val="006B7FF8"/>
    <w:rsid w:val="006C0491"/>
    <w:rsid w:val="006C1627"/>
    <w:rsid w:val="006C1A01"/>
    <w:rsid w:val="006C1DB9"/>
    <w:rsid w:val="006C1FF4"/>
    <w:rsid w:val="006C1FFC"/>
    <w:rsid w:val="006C21F8"/>
    <w:rsid w:val="006C22AE"/>
    <w:rsid w:val="006C2514"/>
    <w:rsid w:val="006C257D"/>
    <w:rsid w:val="006C28A1"/>
    <w:rsid w:val="006C296C"/>
    <w:rsid w:val="006C2CD5"/>
    <w:rsid w:val="006C2FA2"/>
    <w:rsid w:val="006C30EE"/>
    <w:rsid w:val="006C3B02"/>
    <w:rsid w:val="006C43A1"/>
    <w:rsid w:val="006C4528"/>
    <w:rsid w:val="006C46D2"/>
    <w:rsid w:val="006C4855"/>
    <w:rsid w:val="006C4A12"/>
    <w:rsid w:val="006C4AA5"/>
    <w:rsid w:val="006C4AAF"/>
    <w:rsid w:val="006C4EA1"/>
    <w:rsid w:val="006C4F3A"/>
    <w:rsid w:val="006C4F7F"/>
    <w:rsid w:val="006C513A"/>
    <w:rsid w:val="006C5231"/>
    <w:rsid w:val="006C56A1"/>
    <w:rsid w:val="006C583D"/>
    <w:rsid w:val="006C58B1"/>
    <w:rsid w:val="006C5A33"/>
    <w:rsid w:val="006C5F07"/>
    <w:rsid w:val="006C5FA5"/>
    <w:rsid w:val="006C5FD8"/>
    <w:rsid w:val="006C6263"/>
    <w:rsid w:val="006C6C1C"/>
    <w:rsid w:val="006C721B"/>
    <w:rsid w:val="006C72BB"/>
    <w:rsid w:val="006C7423"/>
    <w:rsid w:val="006C75D7"/>
    <w:rsid w:val="006C7634"/>
    <w:rsid w:val="006C7C9C"/>
    <w:rsid w:val="006C7D61"/>
    <w:rsid w:val="006C7D7E"/>
    <w:rsid w:val="006D010C"/>
    <w:rsid w:val="006D0300"/>
    <w:rsid w:val="006D0490"/>
    <w:rsid w:val="006D05B5"/>
    <w:rsid w:val="006D0B5F"/>
    <w:rsid w:val="006D0F41"/>
    <w:rsid w:val="006D108C"/>
    <w:rsid w:val="006D1145"/>
    <w:rsid w:val="006D1155"/>
    <w:rsid w:val="006D11C1"/>
    <w:rsid w:val="006D1363"/>
    <w:rsid w:val="006D1D73"/>
    <w:rsid w:val="006D1E26"/>
    <w:rsid w:val="006D1FC2"/>
    <w:rsid w:val="006D2115"/>
    <w:rsid w:val="006D2309"/>
    <w:rsid w:val="006D24B7"/>
    <w:rsid w:val="006D3748"/>
    <w:rsid w:val="006D4253"/>
    <w:rsid w:val="006D4367"/>
    <w:rsid w:val="006D4B0C"/>
    <w:rsid w:val="006D4D87"/>
    <w:rsid w:val="006D4E9F"/>
    <w:rsid w:val="006D4FEB"/>
    <w:rsid w:val="006D5095"/>
    <w:rsid w:val="006D548A"/>
    <w:rsid w:val="006D5629"/>
    <w:rsid w:val="006D5BE8"/>
    <w:rsid w:val="006D5F07"/>
    <w:rsid w:val="006D63B3"/>
    <w:rsid w:val="006D666B"/>
    <w:rsid w:val="006D682C"/>
    <w:rsid w:val="006D6A09"/>
    <w:rsid w:val="006D6C75"/>
    <w:rsid w:val="006D6CD1"/>
    <w:rsid w:val="006D6F58"/>
    <w:rsid w:val="006D6F6D"/>
    <w:rsid w:val="006D742F"/>
    <w:rsid w:val="006D748C"/>
    <w:rsid w:val="006D77AC"/>
    <w:rsid w:val="006D7A6C"/>
    <w:rsid w:val="006D7C8D"/>
    <w:rsid w:val="006D7F15"/>
    <w:rsid w:val="006E03AE"/>
    <w:rsid w:val="006E06B0"/>
    <w:rsid w:val="006E0A56"/>
    <w:rsid w:val="006E0D49"/>
    <w:rsid w:val="006E10E5"/>
    <w:rsid w:val="006E116C"/>
    <w:rsid w:val="006E11D9"/>
    <w:rsid w:val="006E1654"/>
    <w:rsid w:val="006E1B51"/>
    <w:rsid w:val="006E1E71"/>
    <w:rsid w:val="006E1F28"/>
    <w:rsid w:val="006E2055"/>
    <w:rsid w:val="006E2AC2"/>
    <w:rsid w:val="006E2AC9"/>
    <w:rsid w:val="006E36C1"/>
    <w:rsid w:val="006E36C6"/>
    <w:rsid w:val="006E3B8A"/>
    <w:rsid w:val="006E3BD1"/>
    <w:rsid w:val="006E3C2D"/>
    <w:rsid w:val="006E3F12"/>
    <w:rsid w:val="006E428C"/>
    <w:rsid w:val="006E43ED"/>
    <w:rsid w:val="006E469B"/>
    <w:rsid w:val="006E484A"/>
    <w:rsid w:val="006E48D6"/>
    <w:rsid w:val="006E4AD7"/>
    <w:rsid w:val="006E4E0F"/>
    <w:rsid w:val="006E514F"/>
    <w:rsid w:val="006E5AC6"/>
    <w:rsid w:val="006E5AD6"/>
    <w:rsid w:val="006E5B33"/>
    <w:rsid w:val="006E5B3C"/>
    <w:rsid w:val="006E5F86"/>
    <w:rsid w:val="006E62FC"/>
    <w:rsid w:val="006E67A1"/>
    <w:rsid w:val="006E6A86"/>
    <w:rsid w:val="006E6CB0"/>
    <w:rsid w:val="006E7168"/>
    <w:rsid w:val="006E7A4D"/>
    <w:rsid w:val="006E7ABF"/>
    <w:rsid w:val="006E7AF3"/>
    <w:rsid w:val="006F0285"/>
    <w:rsid w:val="006F074E"/>
    <w:rsid w:val="006F096A"/>
    <w:rsid w:val="006F0C60"/>
    <w:rsid w:val="006F0E22"/>
    <w:rsid w:val="006F0EEF"/>
    <w:rsid w:val="006F0FFF"/>
    <w:rsid w:val="006F10B4"/>
    <w:rsid w:val="006F1153"/>
    <w:rsid w:val="006F16EC"/>
    <w:rsid w:val="006F1C62"/>
    <w:rsid w:val="006F1C79"/>
    <w:rsid w:val="006F20CB"/>
    <w:rsid w:val="006F234F"/>
    <w:rsid w:val="006F2530"/>
    <w:rsid w:val="006F26BF"/>
    <w:rsid w:val="006F26EF"/>
    <w:rsid w:val="006F2C83"/>
    <w:rsid w:val="006F2F47"/>
    <w:rsid w:val="006F2FBA"/>
    <w:rsid w:val="006F3A94"/>
    <w:rsid w:val="006F44C4"/>
    <w:rsid w:val="006F468B"/>
    <w:rsid w:val="006F4CF0"/>
    <w:rsid w:val="006F50C1"/>
    <w:rsid w:val="006F52F5"/>
    <w:rsid w:val="006F60D1"/>
    <w:rsid w:val="006F6430"/>
    <w:rsid w:val="006F647A"/>
    <w:rsid w:val="006F693A"/>
    <w:rsid w:val="006F6A07"/>
    <w:rsid w:val="006F6A15"/>
    <w:rsid w:val="006F6AD3"/>
    <w:rsid w:val="006F6C1D"/>
    <w:rsid w:val="006F6C67"/>
    <w:rsid w:val="006F6E27"/>
    <w:rsid w:val="006F6F1D"/>
    <w:rsid w:val="006F6FD3"/>
    <w:rsid w:val="006F723E"/>
    <w:rsid w:val="006F7423"/>
    <w:rsid w:val="006F74EC"/>
    <w:rsid w:val="006F768C"/>
    <w:rsid w:val="006F796C"/>
    <w:rsid w:val="006F7BEF"/>
    <w:rsid w:val="006F7CF1"/>
    <w:rsid w:val="006F7D6A"/>
    <w:rsid w:val="006F7E0D"/>
    <w:rsid w:val="007001B7"/>
    <w:rsid w:val="00700562"/>
    <w:rsid w:val="007005A5"/>
    <w:rsid w:val="00700621"/>
    <w:rsid w:val="007009C7"/>
    <w:rsid w:val="00700E99"/>
    <w:rsid w:val="00701371"/>
    <w:rsid w:val="0070170D"/>
    <w:rsid w:val="00701953"/>
    <w:rsid w:val="007020AC"/>
    <w:rsid w:val="0070214A"/>
    <w:rsid w:val="00702423"/>
    <w:rsid w:val="007024AF"/>
    <w:rsid w:val="00702B06"/>
    <w:rsid w:val="00702D45"/>
    <w:rsid w:val="00702EAC"/>
    <w:rsid w:val="00702F6A"/>
    <w:rsid w:val="0070301A"/>
    <w:rsid w:val="007030D8"/>
    <w:rsid w:val="007031B9"/>
    <w:rsid w:val="00703386"/>
    <w:rsid w:val="007033AA"/>
    <w:rsid w:val="00703688"/>
    <w:rsid w:val="0070374C"/>
    <w:rsid w:val="00703E3F"/>
    <w:rsid w:val="007048A9"/>
    <w:rsid w:val="007048D6"/>
    <w:rsid w:val="00704FED"/>
    <w:rsid w:val="0070536F"/>
    <w:rsid w:val="00705591"/>
    <w:rsid w:val="00705B2A"/>
    <w:rsid w:val="00705E0F"/>
    <w:rsid w:val="00705FEC"/>
    <w:rsid w:val="00706273"/>
    <w:rsid w:val="007063F2"/>
    <w:rsid w:val="00706651"/>
    <w:rsid w:val="00706735"/>
    <w:rsid w:val="00706870"/>
    <w:rsid w:val="00707611"/>
    <w:rsid w:val="00707B0A"/>
    <w:rsid w:val="00707D10"/>
    <w:rsid w:val="00710093"/>
    <w:rsid w:val="007100B5"/>
    <w:rsid w:val="00710599"/>
    <w:rsid w:val="00710748"/>
    <w:rsid w:val="00710B27"/>
    <w:rsid w:val="007111E2"/>
    <w:rsid w:val="007111E5"/>
    <w:rsid w:val="007114C3"/>
    <w:rsid w:val="007116B7"/>
    <w:rsid w:val="007118E9"/>
    <w:rsid w:val="00711B62"/>
    <w:rsid w:val="00711EBF"/>
    <w:rsid w:val="007128B2"/>
    <w:rsid w:val="007129CA"/>
    <w:rsid w:val="00712A68"/>
    <w:rsid w:val="00712C13"/>
    <w:rsid w:val="00712CCE"/>
    <w:rsid w:val="00712D99"/>
    <w:rsid w:val="0071356F"/>
    <w:rsid w:val="007135BF"/>
    <w:rsid w:val="0071360D"/>
    <w:rsid w:val="007139E6"/>
    <w:rsid w:val="00713D8F"/>
    <w:rsid w:val="00713ED7"/>
    <w:rsid w:val="00714108"/>
    <w:rsid w:val="007144E1"/>
    <w:rsid w:val="00714901"/>
    <w:rsid w:val="007149CD"/>
    <w:rsid w:val="00714DD6"/>
    <w:rsid w:val="00715502"/>
    <w:rsid w:val="007156D1"/>
    <w:rsid w:val="0071584E"/>
    <w:rsid w:val="007159A6"/>
    <w:rsid w:val="00715AAE"/>
    <w:rsid w:val="007164C9"/>
    <w:rsid w:val="007171E3"/>
    <w:rsid w:val="00717978"/>
    <w:rsid w:val="00717B8E"/>
    <w:rsid w:val="00717F90"/>
    <w:rsid w:val="00720173"/>
    <w:rsid w:val="007204E2"/>
    <w:rsid w:val="00720C3C"/>
    <w:rsid w:val="00720C5C"/>
    <w:rsid w:val="00720D19"/>
    <w:rsid w:val="00720FBB"/>
    <w:rsid w:val="00720FE4"/>
    <w:rsid w:val="007211B4"/>
    <w:rsid w:val="0072146C"/>
    <w:rsid w:val="00721596"/>
    <w:rsid w:val="0072175B"/>
    <w:rsid w:val="00721B66"/>
    <w:rsid w:val="00721BEE"/>
    <w:rsid w:val="007226B4"/>
    <w:rsid w:val="00722A7C"/>
    <w:rsid w:val="00723473"/>
    <w:rsid w:val="007235B2"/>
    <w:rsid w:val="00723604"/>
    <w:rsid w:val="0072371A"/>
    <w:rsid w:val="00723C9C"/>
    <w:rsid w:val="00723D54"/>
    <w:rsid w:val="00723D86"/>
    <w:rsid w:val="00723D8E"/>
    <w:rsid w:val="007242A9"/>
    <w:rsid w:val="00724302"/>
    <w:rsid w:val="00724A06"/>
    <w:rsid w:val="00724F25"/>
    <w:rsid w:val="0072507A"/>
    <w:rsid w:val="00725324"/>
    <w:rsid w:val="00725E3D"/>
    <w:rsid w:val="007264A0"/>
    <w:rsid w:val="007264E4"/>
    <w:rsid w:val="00726D58"/>
    <w:rsid w:val="00726D94"/>
    <w:rsid w:val="00726FFC"/>
    <w:rsid w:val="00727238"/>
    <w:rsid w:val="007272EE"/>
    <w:rsid w:val="007275A8"/>
    <w:rsid w:val="00727768"/>
    <w:rsid w:val="007278D7"/>
    <w:rsid w:val="00727B55"/>
    <w:rsid w:val="00727D9C"/>
    <w:rsid w:val="00727E10"/>
    <w:rsid w:val="007301FF"/>
    <w:rsid w:val="0073039C"/>
    <w:rsid w:val="00730DE1"/>
    <w:rsid w:val="00731145"/>
    <w:rsid w:val="0073169A"/>
    <w:rsid w:val="00731ACD"/>
    <w:rsid w:val="00731AE0"/>
    <w:rsid w:val="00731EDA"/>
    <w:rsid w:val="00731F99"/>
    <w:rsid w:val="00732524"/>
    <w:rsid w:val="00732916"/>
    <w:rsid w:val="00732D16"/>
    <w:rsid w:val="007331DA"/>
    <w:rsid w:val="0073346E"/>
    <w:rsid w:val="0073354E"/>
    <w:rsid w:val="007336FE"/>
    <w:rsid w:val="0073375D"/>
    <w:rsid w:val="007337FC"/>
    <w:rsid w:val="00733974"/>
    <w:rsid w:val="00733BCE"/>
    <w:rsid w:val="00733E8F"/>
    <w:rsid w:val="00733FB4"/>
    <w:rsid w:val="00734327"/>
    <w:rsid w:val="007343C8"/>
    <w:rsid w:val="007344FB"/>
    <w:rsid w:val="00734593"/>
    <w:rsid w:val="00734843"/>
    <w:rsid w:val="0073498F"/>
    <w:rsid w:val="00734D5E"/>
    <w:rsid w:val="007352FE"/>
    <w:rsid w:val="007352FF"/>
    <w:rsid w:val="00735C31"/>
    <w:rsid w:val="00735D45"/>
    <w:rsid w:val="00736027"/>
    <w:rsid w:val="00736172"/>
    <w:rsid w:val="007361AD"/>
    <w:rsid w:val="007361D6"/>
    <w:rsid w:val="0073623B"/>
    <w:rsid w:val="00736526"/>
    <w:rsid w:val="00736B51"/>
    <w:rsid w:val="00736BD4"/>
    <w:rsid w:val="00736D01"/>
    <w:rsid w:val="00736E7D"/>
    <w:rsid w:val="0073704F"/>
    <w:rsid w:val="00737446"/>
    <w:rsid w:val="00737556"/>
    <w:rsid w:val="0073765D"/>
    <w:rsid w:val="007377C1"/>
    <w:rsid w:val="00737AC0"/>
    <w:rsid w:val="0074022C"/>
    <w:rsid w:val="007402C1"/>
    <w:rsid w:val="007407E8"/>
    <w:rsid w:val="0074166E"/>
    <w:rsid w:val="00741BB6"/>
    <w:rsid w:val="00741FF0"/>
    <w:rsid w:val="0074223B"/>
    <w:rsid w:val="0074288D"/>
    <w:rsid w:val="00742C35"/>
    <w:rsid w:val="00742C55"/>
    <w:rsid w:val="00742CBC"/>
    <w:rsid w:val="00742FA8"/>
    <w:rsid w:val="0074316B"/>
    <w:rsid w:val="007438E6"/>
    <w:rsid w:val="00743FE4"/>
    <w:rsid w:val="0074401F"/>
    <w:rsid w:val="007448A8"/>
    <w:rsid w:val="00744DF1"/>
    <w:rsid w:val="007450C1"/>
    <w:rsid w:val="0074513C"/>
    <w:rsid w:val="007454E5"/>
    <w:rsid w:val="00745545"/>
    <w:rsid w:val="007456B4"/>
    <w:rsid w:val="00745C6C"/>
    <w:rsid w:val="00745F43"/>
    <w:rsid w:val="007462BE"/>
    <w:rsid w:val="0074631E"/>
    <w:rsid w:val="0074644F"/>
    <w:rsid w:val="007467A4"/>
    <w:rsid w:val="00746C9F"/>
    <w:rsid w:val="00746DE1"/>
    <w:rsid w:val="00746E6D"/>
    <w:rsid w:val="0074704E"/>
    <w:rsid w:val="007470A1"/>
    <w:rsid w:val="007470E1"/>
    <w:rsid w:val="00747180"/>
    <w:rsid w:val="0074769B"/>
    <w:rsid w:val="00747AF4"/>
    <w:rsid w:val="00747BBE"/>
    <w:rsid w:val="00747D61"/>
    <w:rsid w:val="00747E8D"/>
    <w:rsid w:val="00747EED"/>
    <w:rsid w:val="00750006"/>
    <w:rsid w:val="007502F6"/>
    <w:rsid w:val="007509E5"/>
    <w:rsid w:val="00750AD6"/>
    <w:rsid w:val="00750B3C"/>
    <w:rsid w:val="00750C89"/>
    <w:rsid w:val="007510C5"/>
    <w:rsid w:val="007519FD"/>
    <w:rsid w:val="007521FB"/>
    <w:rsid w:val="007522EB"/>
    <w:rsid w:val="00752371"/>
    <w:rsid w:val="00752644"/>
    <w:rsid w:val="0075303A"/>
    <w:rsid w:val="007534AB"/>
    <w:rsid w:val="00753632"/>
    <w:rsid w:val="0075365E"/>
    <w:rsid w:val="0075368F"/>
    <w:rsid w:val="00753ABF"/>
    <w:rsid w:val="00753D57"/>
    <w:rsid w:val="00753E82"/>
    <w:rsid w:val="00753E92"/>
    <w:rsid w:val="007542BF"/>
    <w:rsid w:val="0075478E"/>
    <w:rsid w:val="00754E9D"/>
    <w:rsid w:val="00754F38"/>
    <w:rsid w:val="00755181"/>
    <w:rsid w:val="0075541B"/>
    <w:rsid w:val="0075590F"/>
    <w:rsid w:val="00755B1B"/>
    <w:rsid w:val="00755FF5"/>
    <w:rsid w:val="00756169"/>
    <w:rsid w:val="007563AF"/>
    <w:rsid w:val="007563E7"/>
    <w:rsid w:val="00756ABA"/>
    <w:rsid w:val="00757208"/>
    <w:rsid w:val="007574F0"/>
    <w:rsid w:val="00757B61"/>
    <w:rsid w:val="00757BF5"/>
    <w:rsid w:val="00757CA6"/>
    <w:rsid w:val="00757E4C"/>
    <w:rsid w:val="00757E53"/>
    <w:rsid w:val="0076003F"/>
    <w:rsid w:val="00760336"/>
    <w:rsid w:val="0076055F"/>
    <w:rsid w:val="0076063F"/>
    <w:rsid w:val="0076077B"/>
    <w:rsid w:val="0076095F"/>
    <w:rsid w:val="00760A40"/>
    <w:rsid w:val="00760B7C"/>
    <w:rsid w:val="00760C2A"/>
    <w:rsid w:val="00760F25"/>
    <w:rsid w:val="0076110F"/>
    <w:rsid w:val="007611C8"/>
    <w:rsid w:val="00761202"/>
    <w:rsid w:val="00761369"/>
    <w:rsid w:val="007614F5"/>
    <w:rsid w:val="007629AC"/>
    <w:rsid w:val="00762DBB"/>
    <w:rsid w:val="007630AE"/>
    <w:rsid w:val="007631B2"/>
    <w:rsid w:val="00763535"/>
    <w:rsid w:val="007636C2"/>
    <w:rsid w:val="00763866"/>
    <w:rsid w:val="00763A8A"/>
    <w:rsid w:val="00763D08"/>
    <w:rsid w:val="007640C2"/>
    <w:rsid w:val="007640FE"/>
    <w:rsid w:val="0076430A"/>
    <w:rsid w:val="00764477"/>
    <w:rsid w:val="0076520D"/>
    <w:rsid w:val="007652F7"/>
    <w:rsid w:val="00765397"/>
    <w:rsid w:val="007658AC"/>
    <w:rsid w:val="00765CC7"/>
    <w:rsid w:val="00765DBF"/>
    <w:rsid w:val="007665E0"/>
    <w:rsid w:val="00766EBB"/>
    <w:rsid w:val="00766F44"/>
    <w:rsid w:val="00767769"/>
    <w:rsid w:val="00767904"/>
    <w:rsid w:val="00767A68"/>
    <w:rsid w:val="00767D53"/>
    <w:rsid w:val="00767ED5"/>
    <w:rsid w:val="00770357"/>
    <w:rsid w:val="0077037E"/>
    <w:rsid w:val="007707A8"/>
    <w:rsid w:val="00770C65"/>
    <w:rsid w:val="00771295"/>
    <w:rsid w:val="00771683"/>
    <w:rsid w:val="007716E3"/>
    <w:rsid w:val="00771B08"/>
    <w:rsid w:val="0077225C"/>
    <w:rsid w:val="007722FC"/>
    <w:rsid w:val="00772752"/>
    <w:rsid w:val="00772805"/>
    <w:rsid w:val="00772D04"/>
    <w:rsid w:val="00772D16"/>
    <w:rsid w:val="00772D55"/>
    <w:rsid w:val="00772FA5"/>
    <w:rsid w:val="00772FFE"/>
    <w:rsid w:val="0077303D"/>
    <w:rsid w:val="00773305"/>
    <w:rsid w:val="00773604"/>
    <w:rsid w:val="00773B16"/>
    <w:rsid w:val="00773F3E"/>
    <w:rsid w:val="00773F47"/>
    <w:rsid w:val="007740AC"/>
    <w:rsid w:val="007740D9"/>
    <w:rsid w:val="0077420D"/>
    <w:rsid w:val="0077422D"/>
    <w:rsid w:val="00774849"/>
    <w:rsid w:val="00774B46"/>
    <w:rsid w:val="00774B91"/>
    <w:rsid w:val="00774BC3"/>
    <w:rsid w:val="00774CAC"/>
    <w:rsid w:val="0077537F"/>
    <w:rsid w:val="007753FC"/>
    <w:rsid w:val="00775442"/>
    <w:rsid w:val="00775982"/>
    <w:rsid w:val="00775A80"/>
    <w:rsid w:val="00775C3B"/>
    <w:rsid w:val="00775FF2"/>
    <w:rsid w:val="007762B3"/>
    <w:rsid w:val="00776357"/>
    <w:rsid w:val="00776745"/>
    <w:rsid w:val="00776997"/>
    <w:rsid w:val="00776D01"/>
    <w:rsid w:val="007773FF"/>
    <w:rsid w:val="0077747B"/>
    <w:rsid w:val="007777B1"/>
    <w:rsid w:val="00780207"/>
    <w:rsid w:val="0078041E"/>
    <w:rsid w:val="0078047E"/>
    <w:rsid w:val="007804A2"/>
    <w:rsid w:val="00780D93"/>
    <w:rsid w:val="00780E64"/>
    <w:rsid w:val="00781377"/>
    <w:rsid w:val="007817FB"/>
    <w:rsid w:val="00781D3A"/>
    <w:rsid w:val="00781F5D"/>
    <w:rsid w:val="0078201B"/>
    <w:rsid w:val="00782586"/>
    <w:rsid w:val="007825C7"/>
    <w:rsid w:val="007826F5"/>
    <w:rsid w:val="007828D7"/>
    <w:rsid w:val="007828DB"/>
    <w:rsid w:val="00782ADC"/>
    <w:rsid w:val="007833EB"/>
    <w:rsid w:val="00783522"/>
    <w:rsid w:val="0078366D"/>
    <w:rsid w:val="00783A06"/>
    <w:rsid w:val="00783CFC"/>
    <w:rsid w:val="00783E8B"/>
    <w:rsid w:val="0078409A"/>
    <w:rsid w:val="00784437"/>
    <w:rsid w:val="00784664"/>
    <w:rsid w:val="0078490D"/>
    <w:rsid w:val="0078511A"/>
    <w:rsid w:val="0078541B"/>
    <w:rsid w:val="00785593"/>
    <w:rsid w:val="00785EB3"/>
    <w:rsid w:val="0078615D"/>
    <w:rsid w:val="00786A91"/>
    <w:rsid w:val="00786C9A"/>
    <w:rsid w:val="00786DB6"/>
    <w:rsid w:val="00786EBD"/>
    <w:rsid w:val="007870C7"/>
    <w:rsid w:val="0078734B"/>
    <w:rsid w:val="007874A8"/>
    <w:rsid w:val="007874DB"/>
    <w:rsid w:val="00787909"/>
    <w:rsid w:val="00787AB4"/>
    <w:rsid w:val="00787CE8"/>
    <w:rsid w:val="00787E9A"/>
    <w:rsid w:val="00787EEB"/>
    <w:rsid w:val="00787F0D"/>
    <w:rsid w:val="007902B2"/>
    <w:rsid w:val="00790630"/>
    <w:rsid w:val="007908BB"/>
    <w:rsid w:val="00790CC5"/>
    <w:rsid w:val="00790CDD"/>
    <w:rsid w:val="00790D2F"/>
    <w:rsid w:val="00791033"/>
    <w:rsid w:val="0079129D"/>
    <w:rsid w:val="007912D5"/>
    <w:rsid w:val="0079138A"/>
    <w:rsid w:val="0079175B"/>
    <w:rsid w:val="007917D6"/>
    <w:rsid w:val="00791D2B"/>
    <w:rsid w:val="00792014"/>
    <w:rsid w:val="007921B6"/>
    <w:rsid w:val="007922DB"/>
    <w:rsid w:val="0079230B"/>
    <w:rsid w:val="00792326"/>
    <w:rsid w:val="007927A9"/>
    <w:rsid w:val="0079282D"/>
    <w:rsid w:val="00792A00"/>
    <w:rsid w:val="007930F4"/>
    <w:rsid w:val="00793539"/>
    <w:rsid w:val="0079372B"/>
    <w:rsid w:val="007937C4"/>
    <w:rsid w:val="00793908"/>
    <w:rsid w:val="00793CDC"/>
    <w:rsid w:val="00793E23"/>
    <w:rsid w:val="007941BB"/>
    <w:rsid w:val="007942FE"/>
    <w:rsid w:val="007948B7"/>
    <w:rsid w:val="00794B37"/>
    <w:rsid w:val="00794C81"/>
    <w:rsid w:val="00794D50"/>
    <w:rsid w:val="00794EF0"/>
    <w:rsid w:val="00794F0D"/>
    <w:rsid w:val="00794FC5"/>
    <w:rsid w:val="00795045"/>
    <w:rsid w:val="0079564D"/>
    <w:rsid w:val="007956D1"/>
    <w:rsid w:val="00795925"/>
    <w:rsid w:val="00795EC9"/>
    <w:rsid w:val="0079600D"/>
    <w:rsid w:val="0079623E"/>
    <w:rsid w:val="0079685B"/>
    <w:rsid w:val="00796C25"/>
    <w:rsid w:val="00796E45"/>
    <w:rsid w:val="007971D5"/>
    <w:rsid w:val="007972B6"/>
    <w:rsid w:val="00797FB7"/>
    <w:rsid w:val="007A008E"/>
    <w:rsid w:val="007A0145"/>
    <w:rsid w:val="007A0A3C"/>
    <w:rsid w:val="007A0BC8"/>
    <w:rsid w:val="007A0FAB"/>
    <w:rsid w:val="007A1022"/>
    <w:rsid w:val="007A1082"/>
    <w:rsid w:val="007A10B1"/>
    <w:rsid w:val="007A12CD"/>
    <w:rsid w:val="007A181B"/>
    <w:rsid w:val="007A1887"/>
    <w:rsid w:val="007A1AF4"/>
    <w:rsid w:val="007A1C25"/>
    <w:rsid w:val="007A1F60"/>
    <w:rsid w:val="007A2042"/>
    <w:rsid w:val="007A24F1"/>
    <w:rsid w:val="007A26CC"/>
    <w:rsid w:val="007A2B0F"/>
    <w:rsid w:val="007A2C95"/>
    <w:rsid w:val="007A2DC5"/>
    <w:rsid w:val="007A300E"/>
    <w:rsid w:val="007A311B"/>
    <w:rsid w:val="007A3519"/>
    <w:rsid w:val="007A37C7"/>
    <w:rsid w:val="007A3A99"/>
    <w:rsid w:val="007A3ADF"/>
    <w:rsid w:val="007A3C18"/>
    <w:rsid w:val="007A42BD"/>
    <w:rsid w:val="007A4568"/>
    <w:rsid w:val="007A4749"/>
    <w:rsid w:val="007A47CC"/>
    <w:rsid w:val="007A4804"/>
    <w:rsid w:val="007A4C54"/>
    <w:rsid w:val="007A50CE"/>
    <w:rsid w:val="007A523C"/>
    <w:rsid w:val="007A532B"/>
    <w:rsid w:val="007A53F7"/>
    <w:rsid w:val="007A5623"/>
    <w:rsid w:val="007A5707"/>
    <w:rsid w:val="007A579B"/>
    <w:rsid w:val="007A5BA2"/>
    <w:rsid w:val="007A5C7C"/>
    <w:rsid w:val="007A5E44"/>
    <w:rsid w:val="007A6244"/>
    <w:rsid w:val="007A62D5"/>
    <w:rsid w:val="007A6437"/>
    <w:rsid w:val="007A67D8"/>
    <w:rsid w:val="007A69E5"/>
    <w:rsid w:val="007A6A5B"/>
    <w:rsid w:val="007A6B33"/>
    <w:rsid w:val="007A6EF8"/>
    <w:rsid w:val="007A6F51"/>
    <w:rsid w:val="007A6FDB"/>
    <w:rsid w:val="007B03A8"/>
    <w:rsid w:val="007B0464"/>
    <w:rsid w:val="007B0490"/>
    <w:rsid w:val="007B0A7F"/>
    <w:rsid w:val="007B0B24"/>
    <w:rsid w:val="007B0C54"/>
    <w:rsid w:val="007B0F05"/>
    <w:rsid w:val="007B142E"/>
    <w:rsid w:val="007B1482"/>
    <w:rsid w:val="007B17EB"/>
    <w:rsid w:val="007B1913"/>
    <w:rsid w:val="007B1C98"/>
    <w:rsid w:val="007B1D7C"/>
    <w:rsid w:val="007B22FF"/>
    <w:rsid w:val="007B240B"/>
    <w:rsid w:val="007B2441"/>
    <w:rsid w:val="007B255E"/>
    <w:rsid w:val="007B2863"/>
    <w:rsid w:val="007B2D6A"/>
    <w:rsid w:val="007B31A4"/>
    <w:rsid w:val="007B32BB"/>
    <w:rsid w:val="007B3342"/>
    <w:rsid w:val="007B3759"/>
    <w:rsid w:val="007B3A4E"/>
    <w:rsid w:val="007B3BB1"/>
    <w:rsid w:val="007B40DF"/>
    <w:rsid w:val="007B41C3"/>
    <w:rsid w:val="007B44E9"/>
    <w:rsid w:val="007B4554"/>
    <w:rsid w:val="007B45A9"/>
    <w:rsid w:val="007B4696"/>
    <w:rsid w:val="007B4B90"/>
    <w:rsid w:val="007B4F6D"/>
    <w:rsid w:val="007B50C2"/>
    <w:rsid w:val="007B515C"/>
    <w:rsid w:val="007B5224"/>
    <w:rsid w:val="007B52BC"/>
    <w:rsid w:val="007B5404"/>
    <w:rsid w:val="007B5416"/>
    <w:rsid w:val="007B5802"/>
    <w:rsid w:val="007B59E6"/>
    <w:rsid w:val="007B5E24"/>
    <w:rsid w:val="007B5E8F"/>
    <w:rsid w:val="007B5FDA"/>
    <w:rsid w:val="007B6137"/>
    <w:rsid w:val="007B69CA"/>
    <w:rsid w:val="007B6C87"/>
    <w:rsid w:val="007B6DB9"/>
    <w:rsid w:val="007B70D1"/>
    <w:rsid w:val="007B71C5"/>
    <w:rsid w:val="007B742D"/>
    <w:rsid w:val="007B76B1"/>
    <w:rsid w:val="007B7725"/>
    <w:rsid w:val="007B77D2"/>
    <w:rsid w:val="007B7BD8"/>
    <w:rsid w:val="007C0305"/>
    <w:rsid w:val="007C0871"/>
    <w:rsid w:val="007C0A00"/>
    <w:rsid w:val="007C0A7F"/>
    <w:rsid w:val="007C0ED8"/>
    <w:rsid w:val="007C1494"/>
    <w:rsid w:val="007C166E"/>
    <w:rsid w:val="007C1B2C"/>
    <w:rsid w:val="007C1C78"/>
    <w:rsid w:val="007C1D63"/>
    <w:rsid w:val="007C1F0C"/>
    <w:rsid w:val="007C2422"/>
    <w:rsid w:val="007C245F"/>
    <w:rsid w:val="007C26F1"/>
    <w:rsid w:val="007C2B1A"/>
    <w:rsid w:val="007C2BA0"/>
    <w:rsid w:val="007C2CCC"/>
    <w:rsid w:val="007C326C"/>
    <w:rsid w:val="007C3836"/>
    <w:rsid w:val="007C3894"/>
    <w:rsid w:val="007C38CB"/>
    <w:rsid w:val="007C39D6"/>
    <w:rsid w:val="007C4233"/>
    <w:rsid w:val="007C4551"/>
    <w:rsid w:val="007C489A"/>
    <w:rsid w:val="007C4D86"/>
    <w:rsid w:val="007C4D9C"/>
    <w:rsid w:val="007C5018"/>
    <w:rsid w:val="007C551D"/>
    <w:rsid w:val="007C5848"/>
    <w:rsid w:val="007C60F7"/>
    <w:rsid w:val="007C6EB5"/>
    <w:rsid w:val="007C7185"/>
    <w:rsid w:val="007C7310"/>
    <w:rsid w:val="007C7332"/>
    <w:rsid w:val="007C7888"/>
    <w:rsid w:val="007C7BBB"/>
    <w:rsid w:val="007C7C8E"/>
    <w:rsid w:val="007D0449"/>
    <w:rsid w:val="007D0525"/>
    <w:rsid w:val="007D0704"/>
    <w:rsid w:val="007D0849"/>
    <w:rsid w:val="007D0E36"/>
    <w:rsid w:val="007D0FC2"/>
    <w:rsid w:val="007D12A3"/>
    <w:rsid w:val="007D1875"/>
    <w:rsid w:val="007D197F"/>
    <w:rsid w:val="007D1C25"/>
    <w:rsid w:val="007D1F30"/>
    <w:rsid w:val="007D1FCB"/>
    <w:rsid w:val="007D244C"/>
    <w:rsid w:val="007D24B7"/>
    <w:rsid w:val="007D26FD"/>
    <w:rsid w:val="007D2745"/>
    <w:rsid w:val="007D28E6"/>
    <w:rsid w:val="007D2ADE"/>
    <w:rsid w:val="007D2D78"/>
    <w:rsid w:val="007D45B3"/>
    <w:rsid w:val="007D480A"/>
    <w:rsid w:val="007D4B71"/>
    <w:rsid w:val="007D4F34"/>
    <w:rsid w:val="007D50B6"/>
    <w:rsid w:val="007D526B"/>
    <w:rsid w:val="007D5578"/>
    <w:rsid w:val="007D5821"/>
    <w:rsid w:val="007D5844"/>
    <w:rsid w:val="007D5DB7"/>
    <w:rsid w:val="007D5F64"/>
    <w:rsid w:val="007D60F5"/>
    <w:rsid w:val="007D6196"/>
    <w:rsid w:val="007D6952"/>
    <w:rsid w:val="007D6C25"/>
    <w:rsid w:val="007D724C"/>
    <w:rsid w:val="007D75A1"/>
    <w:rsid w:val="007D7656"/>
    <w:rsid w:val="007D7972"/>
    <w:rsid w:val="007D7A71"/>
    <w:rsid w:val="007D7B82"/>
    <w:rsid w:val="007D7D41"/>
    <w:rsid w:val="007D7F26"/>
    <w:rsid w:val="007E063A"/>
    <w:rsid w:val="007E06A0"/>
    <w:rsid w:val="007E0987"/>
    <w:rsid w:val="007E0A4B"/>
    <w:rsid w:val="007E0B35"/>
    <w:rsid w:val="007E0E00"/>
    <w:rsid w:val="007E10F4"/>
    <w:rsid w:val="007E1117"/>
    <w:rsid w:val="007E17A3"/>
    <w:rsid w:val="007E1E64"/>
    <w:rsid w:val="007E1F40"/>
    <w:rsid w:val="007E1FB8"/>
    <w:rsid w:val="007E2183"/>
    <w:rsid w:val="007E279D"/>
    <w:rsid w:val="007E29FA"/>
    <w:rsid w:val="007E2DCE"/>
    <w:rsid w:val="007E2EB2"/>
    <w:rsid w:val="007E2F58"/>
    <w:rsid w:val="007E2FFA"/>
    <w:rsid w:val="007E32D2"/>
    <w:rsid w:val="007E3980"/>
    <w:rsid w:val="007E398C"/>
    <w:rsid w:val="007E3D92"/>
    <w:rsid w:val="007E40BC"/>
    <w:rsid w:val="007E40E0"/>
    <w:rsid w:val="007E4B17"/>
    <w:rsid w:val="007E50E3"/>
    <w:rsid w:val="007E51A3"/>
    <w:rsid w:val="007E5BE3"/>
    <w:rsid w:val="007E5CAE"/>
    <w:rsid w:val="007E6109"/>
    <w:rsid w:val="007E6B80"/>
    <w:rsid w:val="007E6EF7"/>
    <w:rsid w:val="007E6F4E"/>
    <w:rsid w:val="007E70A0"/>
    <w:rsid w:val="007E748A"/>
    <w:rsid w:val="007E76A7"/>
    <w:rsid w:val="007E76B4"/>
    <w:rsid w:val="007E7B37"/>
    <w:rsid w:val="007E7D77"/>
    <w:rsid w:val="007E7DDD"/>
    <w:rsid w:val="007E7E0C"/>
    <w:rsid w:val="007E7E54"/>
    <w:rsid w:val="007F03B4"/>
    <w:rsid w:val="007F049F"/>
    <w:rsid w:val="007F094D"/>
    <w:rsid w:val="007F0D7F"/>
    <w:rsid w:val="007F0E75"/>
    <w:rsid w:val="007F11D9"/>
    <w:rsid w:val="007F12CC"/>
    <w:rsid w:val="007F137B"/>
    <w:rsid w:val="007F181E"/>
    <w:rsid w:val="007F1888"/>
    <w:rsid w:val="007F1B17"/>
    <w:rsid w:val="007F1C8D"/>
    <w:rsid w:val="007F1CB6"/>
    <w:rsid w:val="007F2750"/>
    <w:rsid w:val="007F289D"/>
    <w:rsid w:val="007F28FB"/>
    <w:rsid w:val="007F2AC3"/>
    <w:rsid w:val="007F3353"/>
    <w:rsid w:val="007F33DE"/>
    <w:rsid w:val="007F374D"/>
    <w:rsid w:val="007F382F"/>
    <w:rsid w:val="007F39D6"/>
    <w:rsid w:val="007F3B17"/>
    <w:rsid w:val="007F3C8F"/>
    <w:rsid w:val="007F3D7E"/>
    <w:rsid w:val="007F3E28"/>
    <w:rsid w:val="007F3ED8"/>
    <w:rsid w:val="007F403B"/>
    <w:rsid w:val="007F4215"/>
    <w:rsid w:val="007F470F"/>
    <w:rsid w:val="007F4BE5"/>
    <w:rsid w:val="007F54FC"/>
    <w:rsid w:val="007F563B"/>
    <w:rsid w:val="007F56F7"/>
    <w:rsid w:val="007F57E0"/>
    <w:rsid w:val="007F5F72"/>
    <w:rsid w:val="007F5F9B"/>
    <w:rsid w:val="007F675E"/>
    <w:rsid w:val="007F6912"/>
    <w:rsid w:val="007F69AE"/>
    <w:rsid w:val="007F6AA3"/>
    <w:rsid w:val="007F6BC4"/>
    <w:rsid w:val="007F6CDD"/>
    <w:rsid w:val="007F6D32"/>
    <w:rsid w:val="007F6D57"/>
    <w:rsid w:val="007F6DAD"/>
    <w:rsid w:val="007F6E4F"/>
    <w:rsid w:val="007F6F1D"/>
    <w:rsid w:val="007F717F"/>
    <w:rsid w:val="007F71B5"/>
    <w:rsid w:val="007F7754"/>
    <w:rsid w:val="007F7D86"/>
    <w:rsid w:val="00800436"/>
    <w:rsid w:val="00800816"/>
    <w:rsid w:val="0080095C"/>
    <w:rsid w:val="00800B46"/>
    <w:rsid w:val="008011CA"/>
    <w:rsid w:val="00801272"/>
    <w:rsid w:val="008017C2"/>
    <w:rsid w:val="00801801"/>
    <w:rsid w:val="00801812"/>
    <w:rsid w:val="00801966"/>
    <w:rsid w:val="00802339"/>
    <w:rsid w:val="0080245F"/>
    <w:rsid w:val="00802478"/>
    <w:rsid w:val="008024C7"/>
    <w:rsid w:val="00802618"/>
    <w:rsid w:val="00802BF1"/>
    <w:rsid w:val="00802D62"/>
    <w:rsid w:val="00802D91"/>
    <w:rsid w:val="00802DE4"/>
    <w:rsid w:val="00803173"/>
    <w:rsid w:val="00803180"/>
    <w:rsid w:val="008038E0"/>
    <w:rsid w:val="00803F46"/>
    <w:rsid w:val="00804384"/>
    <w:rsid w:val="00804394"/>
    <w:rsid w:val="008044D0"/>
    <w:rsid w:val="00804535"/>
    <w:rsid w:val="00805134"/>
    <w:rsid w:val="0080551D"/>
    <w:rsid w:val="00805927"/>
    <w:rsid w:val="00805B12"/>
    <w:rsid w:val="00805E63"/>
    <w:rsid w:val="0080618E"/>
    <w:rsid w:val="00807011"/>
    <w:rsid w:val="008070B8"/>
    <w:rsid w:val="00807377"/>
    <w:rsid w:val="00807921"/>
    <w:rsid w:val="00807AC9"/>
    <w:rsid w:val="00807C31"/>
    <w:rsid w:val="00807F77"/>
    <w:rsid w:val="00807FE7"/>
    <w:rsid w:val="00810420"/>
    <w:rsid w:val="00810D1F"/>
    <w:rsid w:val="00810E4F"/>
    <w:rsid w:val="00810F29"/>
    <w:rsid w:val="00811039"/>
    <w:rsid w:val="008110CF"/>
    <w:rsid w:val="008117FF"/>
    <w:rsid w:val="00811893"/>
    <w:rsid w:val="00811F13"/>
    <w:rsid w:val="00812761"/>
    <w:rsid w:val="00812BA4"/>
    <w:rsid w:val="00812CC5"/>
    <w:rsid w:val="00812D27"/>
    <w:rsid w:val="00812E8D"/>
    <w:rsid w:val="0081301E"/>
    <w:rsid w:val="0081350F"/>
    <w:rsid w:val="00813798"/>
    <w:rsid w:val="00813A27"/>
    <w:rsid w:val="0081417B"/>
    <w:rsid w:val="00814184"/>
    <w:rsid w:val="0081440B"/>
    <w:rsid w:val="00814993"/>
    <w:rsid w:val="00814AAE"/>
    <w:rsid w:val="00814B2B"/>
    <w:rsid w:val="00814B81"/>
    <w:rsid w:val="00814CD8"/>
    <w:rsid w:val="00814E05"/>
    <w:rsid w:val="008153AF"/>
    <w:rsid w:val="00815C15"/>
    <w:rsid w:val="00815C67"/>
    <w:rsid w:val="00815D01"/>
    <w:rsid w:val="00815D8D"/>
    <w:rsid w:val="0081663F"/>
    <w:rsid w:val="00816AFB"/>
    <w:rsid w:val="00816BA1"/>
    <w:rsid w:val="00816BC1"/>
    <w:rsid w:val="00816C1D"/>
    <w:rsid w:val="00816E8D"/>
    <w:rsid w:val="00816F97"/>
    <w:rsid w:val="008171A6"/>
    <w:rsid w:val="0081728C"/>
    <w:rsid w:val="00817531"/>
    <w:rsid w:val="00817F69"/>
    <w:rsid w:val="00817FA5"/>
    <w:rsid w:val="00820279"/>
    <w:rsid w:val="008203CC"/>
    <w:rsid w:val="0082057E"/>
    <w:rsid w:val="008212DE"/>
    <w:rsid w:val="0082159E"/>
    <w:rsid w:val="00821728"/>
    <w:rsid w:val="0082178B"/>
    <w:rsid w:val="00821AEE"/>
    <w:rsid w:val="00821B4D"/>
    <w:rsid w:val="00821C73"/>
    <w:rsid w:val="00822072"/>
    <w:rsid w:val="008220B4"/>
    <w:rsid w:val="00822469"/>
    <w:rsid w:val="00822E81"/>
    <w:rsid w:val="00822E9C"/>
    <w:rsid w:val="0082305C"/>
    <w:rsid w:val="008232ED"/>
    <w:rsid w:val="00823774"/>
    <w:rsid w:val="008237CD"/>
    <w:rsid w:val="00823C2C"/>
    <w:rsid w:val="00823CC4"/>
    <w:rsid w:val="00824193"/>
    <w:rsid w:val="00824E25"/>
    <w:rsid w:val="0082504B"/>
    <w:rsid w:val="0082513C"/>
    <w:rsid w:val="0082523B"/>
    <w:rsid w:val="00825262"/>
    <w:rsid w:val="0082550E"/>
    <w:rsid w:val="0082580E"/>
    <w:rsid w:val="00825BA4"/>
    <w:rsid w:val="00825CE3"/>
    <w:rsid w:val="008263DE"/>
    <w:rsid w:val="008265C5"/>
    <w:rsid w:val="00826610"/>
    <w:rsid w:val="008267E6"/>
    <w:rsid w:val="008279D7"/>
    <w:rsid w:val="00827DC8"/>
    <w:rsid w:val="00827FD4"/>
    <w:rsid w:val="00830870"/>
    <w:rsid w:val="00830AB1"/>
    <w:rsid w:val="00831178"/>
    <w:rsid w:val="008311D8"/>
    <w:rsid w:val="008313EB"/>
    <w:rsid w:val="008318CE"/>
    <w:rsid w:val="00831BC1"/>
    <w:rsid w:val="00832591"/>
    <w:rsid w:val="0083284F"/>
    <w:rsid w:val="00832932"/>
    <w:rsid w:val="00832A70"/>
    <w:rsid w:val="00832DEF"/>
    <w:rsid w:val="00833135"/>
    <w:rsid w:val="008331B9"/>
    <w:rsid w:val="008333AC"/>
    <w:rsid w:val="008338BE"/>
    <w:rsid w:val="008339E1"/>
    <w:rsid w:val="00833A1D"/>
    <w:rsid w:val="00833DAA"/>
    <w:rsid w:val="008345A3"/>
    <w:rsid w:val="008346C5"/>
    <w:rsid w:val="008347EF"/>
    <w:rsid w:val="00834A82"/>
    <w:rsid w:val="00834BBA"/>
    <w:rsid w:val="00834DFF"/>
    <w:rsid w:val="00834F9E"/>
    <w:rsid w:val="00835147"/>
    <w:rsid w:val="00836094"/>
    <w:rsid w:val="00836188"/>
    <w:rsid w:val="008361F3"/>
    <w:rsid w:val="00836675"/>
    <w:rsid w:val="00836985"/>
    <w:rsid w:val="00836E85"/>
    <w:rsid w:val="00837449"/>
    <w:rsid w:val="008375FF"/>
    <w:rsid w:val="00837673"/>
    <w:rsid w:val="008377DB"/>
    <w:rsid w:val="00837ADE"/>
    <w:rsid w:val="00837D59"/>
    <w:rsid w:val="00837E72"/>
    <w:rsid w:val="00837FC5"/>
    <w:rsid w:val="008401E8"/>
    <w:rsid w:val="00840641"/>
    <w:rsid w:val="00840756"/>
    <w:rsid w:val="00840C65"/>
    <w:rsid w:val="00840E10"/>
    <w:rsid w:val="00841164"/>
    <w:rsid w:val="008416D6"/>
    <w:rsid w:val="00841E26"/>
    <w:rsid w:val="00841FE5"/>
    <w:rsid w:val="008428C2"/>
    <w:rsid w:val="00842963"/>
    <w:rsid w:val="008429AE"/>
    <w:rsid w:val="00842BD6"/>
    <w:rsid w:val="00842EC0"/>
    <w:rsid w:val="00843214"/>
    <w:rsid w:val="00843385"/>
    <w:rsid w:val="0084363E"/>
    <w:rsid w:val="0084375B"/>
    <w:rsid w:val="00843EF2"/>
    <w:rsid w:val="0084427F"/>
    <w:rsid w:val="008446A1"/>
    <w:rsid w:val="00844AAE"/>
    <w:rsid w:val="00845165"/>
    <w:rsid w:val="00845462"/>
    <w:rsid w:val="0084556E"/>
    <w:rsid w:val="0084574F"/>
    <w:rsid w:val="00845847"/>
    <w:rsid w:val="00845965"/>
    <w:rsid w:val="00845B68"/>
    <w:rsid w:val="00845BE4"/>
    <w:rsid w:val="00845DFE"/>
    <w:rsid w:val="00845FA6"/>
    <w:rsid w:val="008460EE"/>
    <w:rsid w:val="0084630F"/>
    <w:rsid w:val="00846637"/>
    <w:rsid w:val="0084666D"/>
    <w:rsid w:val="0084745F"/>
    <w:rsid w:val="008476CD"/>
    <w:rsid w:val="00847C88"/>
    <w:rsid w:val="0085010B"/>
    <w:rsid w:val="00850248"/>
    <w:rsid w:val="008504BC"/>
    <w:rsid w:val="00850E8A"/>
    <w:rsid w:val="00850EC6"/>
    <w:rsid w:val="00851401"/>
    <w:rsid w:val="00851E00"/>
    <w:rsid w:val="00852021"/>
    <w:rsid w:val="0085209F"/>
    <w:rsid w:val="00852595"/>
    <w:rsid w:val="00852671"/>
    <w:rsid w:val="0085277C"/>
    <w:rsid w:val="008527B1"/>
    <w:rsid w:val="00852ADD"/>
    <w:rsid w:val="00852D93"/>
    <w:rsid w:val="00852E89"/>
    <w:rsid w:val="008537E2"/>
    <w:rsid w:val="008537E6"/>
    <w:rsid w:val="00853848"/>
    <w:rsid w:val="00853A91"/>
    <w:rsid w:val="00853AB0"/>
    <w:rsid w:val="00853CB7"/>
    <w:rsid w:val="00853CC2"/>
    <w:rsid w:val="00853E5F"/>
    <w:rsid w:val="00854023"/>
    <w:rsid w:val="00854572"/>
    <w:rsid w:val="008549E7"/>
    <w:rsid w:val="00854B23"/>
    <w:rsid w:val="00854C37"/>
    <w:rsid w:val="00854E82"/>
    <w:rsid w:val="008550A3"/>
    <w:rsid w:val="00855254"/>
    <w:rsid w:val="008557EE"/>
    <w:rsid w:val="0085598A"/>
    <w:rsid w:val="00855CA9"/>
    <w:rsid w:val="008560BE"/>
    <w:rsid w:val="0085624E"/>
    <w:rsid w:val="008569FA"/>
    <w:rsid w:val="00856B32"/>
    <w:rsid w:val="00856D44"/>
    <w:rsid w:val="00856FD2"/>
    <w:rsid w:val="008573F1"/>
    <w:rsid w:val="0085742E"/>
    <w:rsid w:val="0085743F"/>
    <w:rsid w:val="0085753D"/>
    <w:rsid w:val="00857614"/>
    <w:rsid w:val="00857F27"/>
    <w:rsid w:val="00857FE0"/>
    <w:rsid w:val="008601C6"/>
    <w:rsid w:val="00860708"/>
    <w:rsid w:val="008607A3"/>
    <w:rsid w:val="0086090F"/>
    <w:rsid w:val="008609EC"/>
    <w:rsid w:val="00860AC6"/>
    <w:rsid w:val="00860D07"/>
    <w:rsid w:val="00860EBD"/>
    <w:rsid w:val="00861440"/>
    <w:rsid w:val="008617C5"/>
    <w:rsid w:val="00861A9E"/>
    <w:rsid w:val="00861C1A"/>
    <w:rsid w:val="00861E1D"/>
    <w:rsid w:val="00861EAA"/>
    <w:rsid w:val="0086209D"/>
    <w:rsid w:val="0086228A"/>
    <w:rsid w:val="008624FE"/>
    <w:rsid w:val="0086277D"/>
    <w:rsid w:val="00862787"/>
    <w:rsid w:val="00862BBC"/>
    <w:rsid w:val="00862C0D"/>
    <w:rsid w:val="008630A0"/>
    <w:rsid w:val="0086313B"/>
    <w:rsid w:val="008633D1"/>
    <w:rsid w:val="008634BC"/>
    <w:rsid w:val="0086360E"/>
    <w:rsid w:val="00863BE9"/>
    <w:rsid w:val="00863D66"/>
    <w:rsid w:val="00863D79"/>
    <w:rsid w:val="00863E35"/>
    <w:rsid w:val="00863F2E"/>
    <w:rsid w:val="00863F8E"/>
    <w:rsid w:val="00864213"/>
    <w:rsid w:val="0086429B"/>
    <w:rsid w:val="00864470"/>
    <w:rsid w:val="008644EF"/>
    <w:rsid w:val="00864614"/>
    <w:rsid w:val="00864AE1"/>
    <w:rsid w:val="00864B4E"/>
    <w:rsid w:val="00864EE3"/>
    <w:rsid w:val="00864F05"/>
    <w:rsid w:val="00865311"/>
    <w:rsid w:val="00865728"/>
    <w:rsid w:val="00865919"/>
    <w:rsid w:val="00865D19"/>
    <w:rsid w:val="00865FDD"/>
    <w:rsid w:val="00866159"/>
    <w:rsid w:val="008664AC"/>
    <w:rsid w:val="00866582"/>
    <w:rsid w:val="0086686C"/>
    <w:rsid w:val="008668CE"/>
    <w:rsid w:val="00866B21"/>
    <w:rsid w:val="00866B78"/>
    <w:rsid w:val="00866FC0"/>
    <w:rsid w:val="00866FC3"/>
    <w:rsid w:val="0086702F"/>
    <w:rsid w:val="00867240"/>
    <w:rsid w:val="00867376"/>
    <w:rsid w:val="00867888"/>
    <w:rsid w:val="00870691"/>
    <w:rsid w:val="00870801"/>
    <w:rsid w:val="0087097E"/>
    <w:rsid w:val="00870980"/>
    <w:rsid w:val="00871087"/>
    <w:rsid w:val="00871258"/>
    <w:rsid w:val="00871499"/>
    <w:rsid w:val="008716D7"/>
    <w:rsid w:val="00871BC0"/>
    <w:rsid w:val="00871DFD"/>
    <w:rsid w:val="00871FD1"/>
    <w:rsid w:val="0087213B"/>
    <w:rsid w:val="00872413"/>
    <w:rsid w:val="0087248E"/>
    <w:rsid w:val="00872613"/>
    <w:rsid w:val="008727DA"/>
    <w:rsid w:val="00872932"/>
    <w:rsid w:val="00872CEC"/>
    <w:rsid w:val="00873022"/>
    <w:rsid w:val="008731EC"/>
    <w:rsid w:val="0087353E"/>
    <w:rsid w:val="00873618"/>
    <w:rsid w:val="008738A7"/>
    <w:rsid w:val="00873CE5"/>
    <w:rsid w:val="00873D07"/>
    <w:rsid w:val="00873EB3"/>
    <w:rsid w:val="00873EFE"/>
    <w:rsid w:val="0087441D"/>
    <w:rsid w:val="00874B15"/>
    <w:rsid w:val="00874EBE"/>
    <w:rsid w:val="00874ECA"/>
    <w:rsid w:val="0087509D"/>
    <w:rsid w:val="008755B8"/>
    <w:rsid w:val="008757BC"/>
    <w:rsid w:val="00875FCC"/>
    <w:rsid w:val="008762CB"/>
    <w:rsid w:val="00876C40"/>
    <w:rsid w:val="00876C98"/>
    <w:rsid w:val="0087705B"/>
    <w:rsid w:val="00877229"/>
    <w:rsid w:val="008772E2"/>
    <w:rsid w:val="008774F8"/>
    <w:rsid w:val="00877616"/>
    <w:rsid w:val="00877635"/>
    <w:rsid w:val="00877971"/>
    <w:rsid w:val="0088046A"/>
    <w:rsid w:val="00880F25"/>
    <w:rsid w:val="0088112E"/>
    <w:rsid w:val="008811EA"/>
    <w:rsid w:val="008812A1"/>
    <w:rsid w:val="008813EE"/>
    <w:rsid w:val="0088174D"/>
    <w:rsid w:val="00881D3F"/>
    <w:rsid w:val="00881EDB"/>
    <w:rsid w:val="00882019"/>
    <w:rsid w:val="00882150"/>
    <w:rsid w:val="00882901"/>
    <w:rsid w:val="008829A5"/>
    <w:rsid w:val="008836C1"/>
    <w:rsid w:val="008838C0"/>
    <w:rsid w:val="00883998"/>
    <w:rsid w:val="00883CCD"/>
    <w:rsid w:val="00883D24"/>
    <w:rsid w:val="008841B0"/>
    <w:rsid w:val="008845AB"/>
    <w:rsid w:val="008846F2"/>
    <w:rsid w:val="00884BD5"/>
    <w:rsid w:val="008850CA"/>
    <w:rsid w:val="00885149"/>
    <w:rsid w:val="0088529F"/>
    <w:rsid w:val="008852E3"/>
    <w:rsid w:val="00885B77"/>
    <w:rsid w:val="00885C11"/>
    <w:rsid w:val="00885EC2"/>
    <w:rsid w:val="0088608D"/>
    <w:rsid w:val="0088615C"/>
    <w:rsid w:val="008862B3"/>
    <w:rsid w:val="00886443"/>
    <w:rsid w:val="00886509"/>
    <w:rsid w:val="0088686A"/>
    <w:rsid w:val="00886A10"/>
    <w:rsid w:val="008876D7"/>
    <w:rsid w:val="00887801"/>
    <w:rsid w:val="00887905"/>
    <w:rsid w:val="00887F1B"/>
    <w:rsid w:val="008900A9"/>
    <w:rsid w:val="00890462"/>
    <w:rsid w:val="00890597"/>
    <w:rsid w:val="00890A66"/>
    <w:rsid w:val="0089111B"/>
    <w:rsid w:val="00891618"/>
    <w:rsid w:val="00891678"/>
    <w:rsid w:val="008916C6"/>
    <w:rsid w:val="0089172D"/>
    <w:rsid w:val="0089173E"/>
    <w:rsid w:val="00891B66"/>
    <w:rsid w:val="00891DC3"/>
    <w:rsid w:val="00891FC2"/>
    <w:rsid w:val="00891FF3"/>
    <w:rsid w:val="008923CB"/>
    <w:rsid w:val="00892A3A"/>
    <w:rsid w:val="00892AC3"/>
    <w:rsid w:val="00892C32"/>
    <w:rsid w:val="00892E6D"/>
    <w:rsid w:val="00893135"/>
    <w:rsid w:val="0089351E"/>
    <w:rsid w:val="00893556"/>
    <w:rsid w:val="008936F7"/>
    <w:rsid w:val="008937EF"/>
    <w:rsid w:val="008938BC"/>
    <w:rsid w:val="008939F9"/>
    <w:rsid w:val="00893AF4"/>
    <w:rsid w:val="00894102"/>
    <w:rsid w:val="008944DD"/>
    <w:rsid w:val="008946FC"/>
    <w:rsid w:val="00894A06"/>
    <w:rsid w:val="00894B44"/>
    <w:rsid w:val="00894B88"/>
    <w:rsid w:val="00894C0B"/>
    <w:rsid w:val="00895093"/>
    <w:rsid w:val="008954C0"/>
    <w:rsid w:val="008959FC"/>
    <w:rsid w:val="00895AC8"/>
    <w:rsid w:val="00895B1A"/>
    <w:rsid w:val="00895D4C"/>
    <w:rsid w:val="00895F17"/>
    <w:rsid w:val="00896097"/>
    <w:rsid w:val="008960F5"/>
    <w:rsid w:val="00896101"/>
    <w:rsid w:val="0089617C"/>
    <w:rsid w:val="0089631E"/>
    <w:rsid w:val="008964D1"/>
    <w:rsid w:val="008964F2"/>
    <w:rsid w:val="008966B3"/>
    <w:rsid w:val="00896AB6"/>
    <w:rsid w:val="00896CE2"/>
    <w:rsid w:val="008972F3"/>
    <w:rsid w:val="0089736E"/>
    <w:rsid w:val="0089758E"/>
    <w:rsid w:val="0089769C"/>
    <w:rsid w:val="00897722"/>
    <w:rsid w:val="008977C7"/>
    <w:rsid w:val="00897A23"/>
    <w:rsid w:val="00897C39"/>
    <w:rsid w:val="00897D0B"/>
    <w:rsid w:val="008A02AF"/>
    <w:rsid w:val="008A0483"/>
    <w:rsid w:val="008A0961"/>
    <w:rsid w:val="008A0D40"/>
    <w:rsid w:val="008A0ECD"/>
    <w:rsid w:val="008A1A78"/>
    <w:rsid w:val="008A1F64"/>
    <w:rsid w:val="008A2061"/>
    <w:rsid w:val="008A22AD"/>
    <w:rsid w:val="008A22DA"/>
    <w:rsid w:val="008A2312"/>
    <w:rsid w:val="008A23C0"/>
    <w:rsid w:val="008A250F"/>
    <w:rsid w:val="008A26E6"/>
    <w:rsid w:val="008A2A58"/>
    <w:rsid w:val="008A2BB4"/>
    <w:rsid w:val="008A2E1B"/>
    <w:rsid w:val="008A2F3D"/>
    <w:rsid w:val="008A2FBB"/>
    <w:rsid w:val="008A2FC9"/>
    <w:rsid w:val="008A3497"/>
    <w:rsid w:val="008A37F1"/>
    <w:rsid w:val="008A3931"/>
    <w:rsid w:val="008A39D5"/>
    <w:rsid w:val="008A3D21"/>
    <w:rsid w:val="008A3F9E"/>
    <w:rsid w:val="008A401D"/>
    <w:rsid w:val="008A426F"/>
    <w:rsid w:val="008A4CDF"/>
    <w:rsid w:val="008A5C5D"/>
    <w:rsid w:val="008A5CEB"/>
    <w:rsid w:val="008A5D67"/>
    <w:rsid w:val="008A5F62"/>
    <w:rsid w:val="008A6365"/>
    <w:rsid w:val="008A6411"/>
    <w:rsid w:val="008A6D1F"/>
    <w:rsid w:val="008A7611"/>
    <w:rsid w:val="008A78E3"/>
    <w:rsid w:val="008A7AAC"/>
    <w:rsid w:val="008A7BAB"/>
    <w:rsid w:val="008B0206"/>
    <w:rsid w:val="008B0344"/>
    <w:rsid w:val="008B0377"/>
    <w:rsid w:val="008B07E9"/>
    <w:rsid w:val="008B0887"/>
    <w:rsid w:val="008B0FD9"/>
    <w:rsid w:val="008B103D"/>
    <w:rsid w:val="008B12AE"/>
    <w:rsid w:val="008B15B3"/>
    <w:rsid w:val="008B2ADD"/>
    <w:rsid w:val="008B2B0E"/>
    <w:rsid w:val="008B2B1F"/>
    <w:rsid w:val="008B2BF9"/>
    <w:rsid w:val="008B2D36"/>
    <w:rsid w:val="008B31F8"/>
    <w:rsid w:val="008B333B"/>
    <w:rsid w:val="008B35B5"/>
    <w:rsid w:val="008B39FF"/>
    <w:rsid w:val="008B3BEB"/>
    <w:rsid w:val="008B3E54"/>
    <w:rsid w:val="008B423B"/>
    <w:rsid w:val="008B43E1"/>
    <w:rsid w:val="008B4647"/>
    <w:rsid w:val="008B4729"/>
    <w:rsid w:val="008B4932"/>
    <w:rsid w:val="008B4C2F"/>
    <w:rsid w:val="008B4F4F"/>
    <w:rsid w:val="008B5059"/>
    <w:rsid w:val="008B536B"/>
    <w:rsid w:val="008B573C"/>
    <w:rsid w:val="008B5755"/>
    <w:rsid w:val="008B5946"/>
    <w:rsid w:val="008B5A6C"/>
    <w:rsid w:val="008B5B4C"/>
    <w:rsid w:val="008B5BCD"/>
    <w:rsid w:val="008B5EA9"/>
    <w:rsid w:val="008B60C5"/>
    <w:rsid w:val="008B6171"/>
    <w:rsid w:val="008B68C6"/>
    <w:rsid w:val="008B68E5"/>
    <w:rsid w:val="008B6A93"/>
    <w:rsid w:val="008B6C04"/>
    <w:rsid w:val="008B6CB7"/>
    <w:rsid w:val="008B6ED0"/>
    <w:rsid w:val="008B763D"/>
    <w:rsid w:val="008B7B7A"/>
    <w:rsid w:val="008C01D2"/>
    <w:rsid w:val="008C02CD"/>
    <w:rsid w:val="008C03CC"/>
    <w:rsid w:val="008C09D2"/>
    <w:rsid w:val="008C0D0F"/>
    <w:rsid w:val="008C0F55"/>
    <w:rsid w:val="008C1424"/>
    <w:rsid w:val="008C1BF2"/>
    <w:rsid w:val="008C1C40"/>
    <w:rsid w:val="008C1C74"/>
    <w:rsid w:val="008C1EB3"/>
    <w:rsid w:val="008C1FA9"/>
    <w:rsid w:val="008C2300"/>
    <w:rsid w:val="008C26C0"/>
    <w:rsid w:val="008C2DA6"/>
    <w:rsid w:val="008C3110"/>
    <w:rsid w:val="008C3170"/>
    <w:rsid w:val="008C34F6"/>
    <w:rsid w:val="008C35DA"/>
    <w:rsid w:val="008C3AE8"/>
    <w:rsid w:val="008C3BC9"/>
    <w:rsid w:val="008C3E0A"/>
    <w:rsid w:val="008C3E34"/>
    <w:rsid w:val="008C4083"/>
    <w:rsid w:val="008C42DA"/>
    <w:rsid w:val="008C447F"/>
    <w:rsid w:val="008C4529"/>
    <w:rsid w:val="008C4779"/>
    <w:rsid w:val="008C5018"/>
    <w:rsid w:val="008C51D8"/>
    <w:rsid w:val="008C5D64"/>
    <w:rsid w:val="008C5F52"/>
    <w:rsid w:val="008C5F9A"/>
    <w:rsid w:val="008C62FD"/>
    <w:rsid w:val="008C63E8"/>
    <w:rsid w:val="008C64F4"/>
    <w:rsid w:val="008C6C9A"/>
    <w:rsid w:val="008C70D1"/>
    <w:rsid w:val="008C739E"/>
    <w:rsid w:val="008C76B4"/>
    <w:rsid w:val="008C79B8"/>
    <w:rsid w:val="008C7EA4"/>
    <w:rsid w:val="008D0165"/>
    <w:rsid w:val="008D0675"/>
    <w:rsid w:val="008D0B57"/>
    <w:rsid w:val="008D0C00"/>
    <w:rsid w:val="008D0C7D"/>
    <w:rsid w:val="008D0F44"/>
    <w:rsid w:val="008D0FDD"/>
    <w:rsid w:val="008D1024"/>
    <w:rsid w:val="008D1134"/>
    <w:rsid w:val="008D1763"/>
    <w:rsid w:val="008D1D56"/>
    <w:rsid w:val="008D1F31"/>
    <w:rsid w:val="008D223B"/>
    <w:rsid w:val="008D22D4"/>
    <w:rsid w:val="008D2B38"/>
    <w:rsid w:val="008D2BFC"/>
    <w:rsid w:val="008D2C6C"/>
    <w:rsid w:val="008D2D94"/>
    <w:rsid w:val="008D3355"/>
    <w:rsid w:val="008D33E2"/>
    <w:rsid w:val="008D349F"/>
    <w:rsid w:val="008D34E4"/>
    <w:rsid w:val="008D3601"/>
    <w:rsid w:val="008D368D"/>
    <w:rsid w:val="008D3CCF"/>
    <w:rsid w:val="008D3FDF"/>
    <w:rsid w:val="008D409D"/>
    <w:rsid w:val="008D436B"/>
    <w:rsid w:val="008D4537"/>
    <w:rsid w:val="008D48E2"/>
    <w:rsid w:val="008D4A0D"/>
    <w:rsid w:val="008D4B0F"/>
    <w:rsid w:val="008D4DA9"/>
    <w:rsid w:val="008D5480"/>
    <w:rsid w:val="008D567F"/>
    <w:rsid w:val="008D59A6"/>
    <w:rsid w:val="008D5A3C"/>
    <w:rsid w:val="008D5B88"/>
    <w:rsid w:val="008D5E84"/>
    <w:rsid w:val="008D5F00"/>
    <w:rsid w:val="008D6392"/>
    <w:rsid w:val="008D64D3"/>
    <w:rsid w:val="008D6527"/>
    <w:rsid w:val="008D65D9"/>
    <w:rsid w:val="008D6810"/>
    <w:rsid w:val="008D7168"/>
    <w:rsid w:val="008D737D"/>
    <w:rsid w:val="008D78A1"/>
    <w:rsid w:val="008D7A62"/>
    <w:rsid w:val="008D7AA3"/>
    <w:rsid w:val="008D7B0B"/>
    <w:rsid w:val="008D7BF3"/>
    <w:rsid w:val="008E019D"/>
    <w:rsid w:val="008E0311"/>
    <w:rsid w:val="008E04A7"/>
    <w:rsid w:val="008E069E"/>
    <w:rsid w:val="008E0854"/>
    <w:rsid w:val="008E1061"/>
    <w:rsid w:val="008E13B7"/>
    <w:rsid w:val="008E1487"/>
    <w:rsid w:val="008E17A0"/>
    <w:rsid w:val="008E1BC2"/>
    <w:rsid w:val="008E1C7A"/>
    <w:rsid w:val="008E21C4"/>
    <w:rsid w:val="008E21C5"/>
    <w:rsid w:val="008E23B1"/>
    <w:rsid w:val="008E275D"/>
    <w:rsid w:val="008E2919"/>
    <w:rsid w:val="008E297D"/>
    <w:rsid w:val="008E2B45"/>
    <w:rsid w:val="008E2D93"/>
    <w:rsid w:val="008E3327"/>
    <w:rsid w:val="008E33E5"/>
    <w:rsid w:val="008E371E"/>
    <w:rsid w:val="008E372B"/>
    <w:rsid w:val="008E39BA"/>
    <w:rsid w:val="008E3B07"/>
    <w:rsid w:val="008E3C7E"/>
    <w:rsid w:val="008E3C91"/>
    <w:rsid w:val="008E42D1"/>
    <w:rsid w:val="008E47D6"/>
    <w:rsid w:val="008E48A0"/>
    <w:rsid w:val="008E49CE"/>
    <w:rsid w:val="008E4F19"/>
    <w:rsid w:val="008E5841"/>
    <w:rsid w:val="008E5FFD"/>
    <w:rsid w:val="008E68CE"/>
    <w:rsid w:val="008E6ADF"/>
    <w:rsid w:val="008E6BB1"/>
    <w:rsid w:val="008E701B"/>
    <w:rsid w:val="008E7217"/>
    <w:rsid w:val="008E748E"/>
    <w:rsid w:val="008E7A3F"/>
    <w:rsid w:val="008E7B5D"/>
    <w:rsid w:val="008E7C7E"/>
    <w:rsid w:val="008E7F4D"/>
    <w:rsid w:val="008E7FA2"/>
    <w:rsid w:val="008E7FBD"/>
    <w:rsid w:val="008F0186"/>
    <w:rsid w:val="008F03CD"/>
    <w:rsid w:val="008F067B"/>
    <w:rsid w:val="008F08CF"/>
    <w:rsid w:val="008F0EAD"/>
    <w:rsid w:val="008F11A4"/>
    <w:rsid w:val="008F18CA"/>
    <w:rsid w:val="008F18FC"/>
    <w:rsid w:val="008F1CFB"/>
    <w:rsid w:val="008F1CFF"/>
    <w:rsid w:val="008F1DC7"/>
    <w:rsid w:val="008F1F67"/>
    <w:rsid w:val="008F1FF8"/>
    <w:rsid w:val="008F28EB"/>
    <w:rsid w:val="008F2942"/>
    <w:rsid w:val="008F2B0E"/>
    <w:rsid w:val="008F304B"/>
    <w:rsid w:val="008F309A"/>
    <w:rsid w:val="008F3CE5"/>
    <w:rsid w:val="008F4241"/>
    <w:rsid w:val="008F4541"/>
    <w:rsid w:val="008F45EB"/>
    <w:rsid w:val="008F48C6"/>
    <w:rsid w:val="008F495F"/>
    <w:rsid w:val="008F49EC"/>
    <w:rsid w:val="008F4E86"/>
    <w:rsid w:val="008F546F"/>
    <w:rsid w:val="008F5A65"/>
    <w:rsid w:val="008F5F1F"/>
    <w:rsid w:val="008F63E5"/>
    <w:rsid w:val="008F6650"/>
    <w:rsid w:val="008F6956"/>
    <w:rsid w:val="008F6B96"/>
    <w:rsid w:val="008F6C1D"/>
    <w:rsid w:val="008F6D04"/>
    <w:rsid w:val="008F7D3D"/>
    <w:rsid w:val="008F7E28"/>
    <w:rsid w:val="009001E0"/>
    <w:rsid w:val="009003DA"/>
    <w:rsid w:val="00900432"/>
    <w:rsid w:val="00900809"/>
    <w:rsid w:val="009010FB"/>
    <w:rsid w:val="00901122"/>
    <w:rsid w:val="0090123D"/>
    <w:rsid w:val="00901713"/>
    <w:rsid w:val="00901AE0"/>
    <w:rsid w:val="00901B5F"/>
    <w:rsid w:val="00902003"/>
    <w:rsid w:val="0090216D"/>
    <w:rsid w:val="00902604"/>
    <w:rsid w:val="00902751"/>
    <w:rsid w:val="00902A0E"/>
    <w:rsid w:val="00902D17"/>
    <w:rsid w:val="00902DC7"/>
    <w:rsid w:val="0090314E"/>
    <w:rsid w:val="00903329"/>
    <w:rsid w:val="00903368"/>
    <w:rsid w:val="00903AF1"/>
    <w:rsid w:val="00903C3F"/>
    <w:rsid w:val="00903F1D"/>
    <w:rsid w:val="00904416"/>
    <w:rsid w:val="009054AF"/>
    <w:rsid w:val="009054CC"/>
    <w:rsid w:val="00905692"/>
    <w:rsid w:val="00905866"/>
    <w:rsid w:val="00905D4A"/>
    <w:rsid w:val="00905FFB"/>
    <w:rsid w:val="00906106"/>
    <w:rsid w:val="009062E1"/>
    <w:rsid w:val="00906629"/>
    <w:rsid w:val="0090688D"/>
    <w:rsid w:val="00906B43"/>
    <w:rsid w:val="00906DB3"/>
    <w:rsid w:val="00907048"/>
    <w:rsid w:val="00907436"/>
    <w:rsid w:val="00907489"/>
    <w:rsid w:val="0090752C"/>
    <w:rsid w:val="00907638"/>
    <w:rsid w:val="00907A47"/>
    <w:rsid w:val="00907EA8"/>
    <w:rsid w:val="009100C9"/>
    <w:rsid w:val="0091051F"/>
    <w:rsid w:val="009107F8"/>
    <w:rsid w:val="0091083C"/>
    <w:rsid w:val="009109EE"/>
    <w:rsid w:val="00910A95"/>
    <w:rsid w:val="00910BAC"/>
    <w:rsid w:val="00910ED6"/>
    <w:rsid w:val="009110BC"/>
    <w:rsid w:val="009111CE"/>
    <w:rsid w:val="0091189E"/>
    <w:rsid w:val="0091190D"/>
    <w:rsid w:val="00911C07"/>
    <w:rsid w:val="00911D6F"/>
    <w:rsid w:val="0091218C"/>
    <w:rsid w:val="00912235"/>
    <w:rsid w:val="009122DE"/>
    <w:rsid w:val="009127FD"/>
    <w:rsid w:val="00912836"/>
    <w:rsid w:val="0091298D"/>
    <w:rsid w:val="00912ABB"/>
    <w:rsid w:val="00912CF1"/>
    <w:rsid w:val="00912E99"/>
    <w:rsid w:val="00912EC0"/>
    <w:rsid w:val="009132D4"/>
    <w:rsid w:val="00913490"/>
    <w:rsid w:val="009135A3"/>
    <w:rsid w:val="0091365C"/>
    <w:rsid w:val="009136BF"/>
    <w:rsid w:val="009138EB"/>
    <w:rsid w:val="00913AAF"/>
    <w:rsid w:val="00913C34"/>
    <w:rsid w:val="00913D0A"/>
    <w:rsid w:val="00914256"/>
    <w:rsid w:val="00914296"/>
    <w:rsid w:val="00914593"/>
    <w:rsid w:val="00914845"/>
    <w:rsid w:val="00914DAE"/>
    <w:rsid w:val="00914DF0"/>
    <w:rsid w:val="00914EFA"/>
    <w:rsid w:val="00914F29"/>
    <w:rsid w:val="00914F95"/>
    <w:rsid w:val="009150AF"/>
    <w:rsid w:val="009152A6"/>
    <w:rsid w:val="0091545B"/>
    <w:rsid w:val="00915460"/>
    <w:rsid w:val="0091558F"/>
    <w:rsid w:val="0091568D"/>
    <w:rsid w:val="009156A6"/>
    <w:rsid w:val="009158BE"/>
    <w:rsid w:val="00916015"/>
    <w:rsid w:val="00916233"/>
    <w:rsid w:val="00916B30"/>
    <w:rsid w:val="00916C4A"/>
    <w:rsid w:val="009171E2"/>
    <w:rsid w:val="00917299"/>
    <w:rsid w:val="009174FB"/>
    <w:rsid w:val="00917502"/>
    <w:rsid w:val="00917637"/>
    <w:rsid w:val="00917906"/>
    <w:rsid w:val="00917D71"/>
    <w:rsid w:val="00917FAE"/>
    <w:rsid w:val="00920343"/>
    <w:rsid w:val="0092073A"/>
    <w:rsid w:val="009207DF"/>
    <w:rsid w:val="009208C3"/>
    <w:rsid w:val="00920E63"/>
    <w:rsid w:val="009211EB"/>
    <w:rsid w:val="009213EF"/>
    <w:rsid w:val="009215D7"/>
    <w:rsid w:val="00921AA1"/>
    <w:rsid w:val="00921BA8"/>
    <w:rsid w:val="00921DA2"/>
    <w:rsid w:val="00922118"/>
    <w:rsid w:val="009226FB"/>
    <w:rsid w:val="00922812"/>
    <w:rsid w:val="0092322A"/>
    <w:rsid w:val="009232EA"/>
    <w:rsid w:val="00923568"/>
    <w:rsid w:val="00923938"/>
    <w:rsid w:val="00923BC2"/>
    <w:rsid w:val="00923C75"/>
    <w:rsid w:val="00923DAA"/>
    <w:rsid w:val="00923E62"/>
    <w:rsid w:val="009243F5"/>
    <w:rsid w:val="00924C73"/>
    <w:rsid w:val="00924CDD"/>
    <w:rsid w:val="00924ED1"/>
    <w:rsid w:val="009255AA"/>
    <w:rsid w:val="009257C4"/>
    <w:rsid w:val="00925C5F"/>
    <w:rsid w:val="00925EAC"/>
    <w:rsid w:val="00925EDA"/>
    <w:rsid w:val="009262FB"/>
    <w:rsid w:val="00926418"/>
    <w:rsid w:val="0092655F"/>
    <w:rsid w:val="0092714A"/>
    <w:rsid w:val="009272E4"/>
    <w:rsid w:val="0092759F"/>
    <w:rsid w:val="0092784F"/>
    <w:rsid w:val="00927857"/>
    <w:rsid w:val="0092792B"/>
    <w:rsid w:val="0092794E"/>
    <w:rsid w:val="00927A5C"/>
    <w:rsid w:val="0093052A"/>
    <w:rsid w:val="009306A0"/>
    <w:rsid w:val="00930B66"/>
    <w:rsid w:val="00930D0F"/>
    <w:rsid w:val="00930E12"/>
    <w:rsid w:val="00930EB1"/>
    <w:rsid w:val="00931110"/>
    <w:rsid w:val="00931511"/>
    <w:rsid w:val="00931764"/>
    <w:rsid w:val="00931E5E"/>
    <w:rsid w:val="009324C6"/>
    <w:rsid w:val="009324E6"/>
    <w:rsid w:val="0093258F"/>
    <w:rsid w:val="009328AA"/>
    <w:rsid w:val="00932B6C"/>
    <w:rsid w:val="00932CC3"/>
    <w:rsid w:val="00932FC3"/>
    <w:rsid w:val="0093313B"/>
    <w:rsid w:val="0093357E"/>
    <w:rsid w:val="0093358C"/>
    <w:rsid w:val="00933E03"/>
    <w:rsid w:val="00933E1F"/>
    <w:rsid w:val="00933F7B"/>
    <w:rsid w:val="00934481"/>
    <w:rsid w:val="00934C5E"/>
    <w:rsid w:val="00934FE6"/>
    <w:rsid w:val="0093511D"/>
    <w:rsid w:val="00935363"/>
    <w:rsid w:val="0093546A"/>
    <w:rsid w:val="00935532"/>
    <w:rsid w:val="00935711"/>
    <w:rsid w:val="009358C7"/>
    <w:rsid w:val="00935A0D"/>
    <w:rsid w:val="00935D78"/>
    <w:rsid w:val="00935F7E"/>
    <w:rsid w:val="009360F7"/>
    <w:rsid w:val="00936461"/>
    <w:rsid w:val="00936578"/>
    <w:rsid w:val="009365D2"/>
    <w:rsid w:val="00936CFE"/>
    <w:rsid w:val="00936FAB"/>
    <w:rsid w:val="00937061"/>
    <w:rsid w:val="009372ED"/>
    <w:rsid w:val="00937348"/>
    <w:rsid w:val="00937514"/>
    <w:rsid w:val="009376E2"/>
    <w:rsid w:val="009377C7"/>
    <w:rsid w:val="009377EE"/>
    <w:rsid w:val="0093786B"/>
    <w:rsid w:val="009378DB"/>
    <w:rsid w:val="00937BA9"/>
    <w:rsid w:val="00937BEB"/>
    <w:rsid w:val="0094026D"/>
    <w:rsid w:val="009403A9"/>
    <w:rsid w:val="00940478"/>
    <w:rsid w:val="00940507"/>
    <w:rsid w:val="0094094F"/>
    <w:rsid w:val="00940AC9"/>
    <w:rsid w:val="00940B8D"/>
    <w:rsid w:val="009411EC"/>
    <w:rsid w:val="00941C5C"/>
    <w:rsid w:val="00941CEB"/>
    <w:rsid w:val="0094221C"/>
    <w:rsid w:val="00942555"/>
    <w:rsid w:val="009426C2"/>
    <w:rsid w:val="00942D68"/>
    <w:rsid w:val="00942E4A"/>
    <w:rsid w:val="0094301E"/>
    <w:rsid w:val="00943D93"/>
    <w:rsid w:val="00944365"/>
    <w:rsid w:val="0094449F"/>
    <w:rsid w:val="00944C8A"/>
    <w:rsid w:val="00944D0F"/>
    <w:rsid w:val="0094534C"/>
    <w:rsid w:val="00945459"/>
    <w:rsid w:val="00945493"/>
    <w:rsid w:val="009457F8"/>
    <w:rsid w:val="00945809"/>
    <w:rsid w:val="00945D54"/>
    <w:rsid w:val="009460EE"/>
    <w:rsid w:val="00946808"/>
    <w:rsid w:val="00946DCB"/>
    <w:rsid w:val="00946FC3"/>
    <w:rsid w:val="0094717B"/>
    <w:rsid w:val="009471A4"/>
    <w:rsid w:val="0094723F"/>
    <w:rsid w:val="00947347"/>
    <w:rsid w:val="00947D55"/>
    <w:rsid w:val="00947E82"/>
    <w:rsid w:val="00950208"/>
    <w:rsid w:val="00950746"/>
    <w:rsid w:val="009507DE"/>
    <w:rsid w:val="009507F2"/>
    <w:rsid w:val="00950B32"/>
    <w:rsid w:val="00950C20"/>
    <w:rsid w:val="00951138"/>
    <w:rsid w:val="0095129E"/>
    <w:rsid w:val="009514BD"/>
    <w:rsid w:val="009515E8"/>
    <w:rsid w:val="009516D1"/>
    <w:rsid w:val="00951D5A"/>
    <w:rsid w:val="00952893"/>
    <w:rsid w:val="0095298C"/>
    <w:rsid w:val="00952C1A"/>
    <w:rsid w:val="00952CD7"/>
    <w:rsid w:val="00953698"/>
    <w:rsid w:val="00953CD7"/>
    <w:rsid w:val="00953FDF"/>
    <w:rsid w:val="00954054"/>
    <w:rsid w:val="00954127"/>
    <w:rsid w:val="0095417F"/>
    <w:rsid w:val="00954321"/>
    <w:rsid w:val="00954529"/>
    <w:rsid w:val="00954585"/>
    <w:rsid w:val="00954A54"/>
    <w:rsid w:val="00954AC9"/>
    <w:rsid w:val="00954C4F"/>
    <w:rsid w:val="00955205"/>
    <w:rsid w:val="00955707"/>
    <w:rsid w:val="00955A92"/>
    <w:rsid w:val="00956565"/>
    <w:rsid w:val="0095680E"/>
    <w:rsid w:val="00956A03"/>
    <w:rsid w:val="00956B30"/>
    <w:rsid w:val="009576CB"/>
    <w:rsid w:val="009578C7"/>
    <w:rsid w:val="00957902"/>
    <w:rsid w:val="00957A07"/>
    <w:rsid w:val="00957DEF"/>
    <w:rsid w:val="00957DF2"/>
    <w:rsid w:val="00957EAC"/>
    <w:rsid w:val="009601E1"/>
    <w:rsid w:val="00960734"/>
    <w:rsid w:val="009607AA"/>
    <w:rsid w:val="00960B87"/>
    <w:rsid w:val="00960C0C"/>
    <w:rsid w:val="00960E40"/>
    <w:rsid w:val="00960EBF"/>
    <w:rsid w:val="00960F0C"/>
    <w:rsid w:val="00961220"/>
    <w:rsid w:val="009615BF"/>
    <w:rsid w:val="009617BA"/>
    <w:rsid w:val="00961EF3"/>
    <w:rsid w:val="009627CF"/>
    <w:rsid w:val="00962B3C"/>
    <w:rsid w:val="009632FE"/>
    <w:rsid w:val="009635E5"/>
    <w:rsid w:val="00963610"/>
    <w:rsid w:val="00963B3B"/>
    <w:rsid w:val="00963B7D"/>
    <w:rsid w:val="00964097"/>
    <w:rsid w:val="00964465"/>
    <w:rsid w:val="009649AC"/>
    <w:rsid w:val="009649C8"/>
    <w:rsid w:val="009649F5"/>
    <w:rsid w:val="00964B3A"/>
    <w:rsid w:val="00964D87"/>
    <w:rsid w:val="00964F33"/>
    <w:rsid w:val="00965025"/>
    <w:rsid w:val="009655B6"/>
    <w:rsid w:val="00965AD3"/>
    <w:rsid w:val="00965DF3"/>
    <w:rsid w:val="00965FFF"/>
    <w:rsid w:val="009660F9"/>
    <w:rsid w:val="009664DD"/>
    <w:rsid w:val="00966810"/>
    <w:rsid w:val="009669AF"/>
    <w:rsid w:val="00966A23"/>
    <w:rsid w:val="00966ADA"/>
    <w:rsid w:val="0096707C"/>
    <w:rsid w:val="0096786E"/>
    <w:rsid w:val="00967ABB"/>
    <w:rsid w:val="00967CCC"/>
    <w:rsid w:val="00967EFC"/>
    <w:rsid w:val="00967F88"/>
    <w:rsid w:val="00970025"/>
    <w:rsid w:val="00970711"/>
    <w:rsid w:val="009709F4"/>
    <w:rsid w:val="00970AD0"/>
    <w:rsid w:val="00970D77"/>
    <w:rsid w:val="00970E2B"/>
    <w:rsid w:val="00970E5B"/>
    <w:rsid w:val="00970ED9"/>
    <w:rsid w:val="009711E9"/>
    <w:rsid w:val="00971866"/>
    <w:rsid w:val="0097189F"/>
    <w:rsid w:val="0097196E"/>
    <w:rsid w:val="00971982"/>
    <w:rsid w:val="00971B40"/>
    <w:rsid w:val="00971EBC"/>
    <w:rsid w:val="00971EE3"/>
    <w:rsid w:val="00972079"/>
    <w:rsid w:val="0097208A"/>
    <w:rsid w:val="0097222A"/>
    <w:rsid w:val="0097290B"/>
    <w:rsid w:val="00972A82"/>
    <w:rsid w:val="00972ADD"/>
    <w:rsid w:val="00972C4D"/>
    <w:rsid w:val="00972E5D"/>
    <w:rsid w:val="0097351B"/>
    <w:rsid w:val="0097353D"/>
    <w:rsid w:val="00973656"/>
    <w:rsid w:val="009736C8"/>
    <w:rsid w:val="00973D0A"/>
    <w:rsid w:val="009740F9"/>
    <w:rsid w:val="00974534"/>
    <w:rsid w:val="0097499D"/>
    <w:rsid w:val="00974FE0"/>
    <w:rsid w:val="00975076"/>
    <w:rsid w:val="00975088"/>
    <w:rsid w:val="00975209"/>
    <w:rsid w:val="00975248"/>
    <w:rsid w:val="0097534B"/>
    <w:rsid w:val="0097575F"/>
    <w:rsid w:val="009757CE"/>
    <w:rsid w:val="00975D2F"/>
    <w:rsid w:val="009761CC"/>
    <w:rsid w:val="009763F7"/>
    <w:rsid w:val="00976BFA"/>
    <w:rsid w:val="00976DE9"/>
    <w:rsid w:val="00977163"/>
    <w:rsid w:val="00977553"/>
    <w:rsid w:val="0097764B"/>
    <w:rsid w:val="009776FD"/>
    <w:rsid w:val="00977869"/>
    <w:rsid w:val="009779A5"/>
    <w:rsid w:val="00977DC5"/>
    <w:rsid w:val="00977FE5"/>
    <w:rsid w:val="009804CC"/>
    <w:rsid w:val="00980567"/>
    <w:rsid w:val="00980880"/>
    <w:rsid w:val="009808C1"/>
    <w:rsid w:val="00980B99"/>
    <w:rsid w:val="00981008"/>
    <w:rsid w:val="009813A0"/>
    <w:rsid w:val="0098154C"/>
    <w:rsid w:val="009818EE"/>
    <w:rsid w:val="009821A3"/>
    <w:rsid w:val="00982468"/>
    <w:rsid w:val="0098291E"/>
    <w:rsid w:val="00982BA9"/>
    <w:rsid w:val="00982C89"/>
    <w:rsid w:val="00982DA7"/>
    <w:rsid w:val="00983063"/>
    <w:rsid w:val="00983341"/>
    <w:rsid w:val="00983795"/>
    <w:rsid w:val="009839EA"/>
    <w:rsid w:val="00983C84"/>
    <w:rsid w:val="00983EDB"/>
    <w:rsid w:val="0098420B"/>
    <w:rsid w:val="009847F5"/>
    <w:rsid w:val="00984953"/>
    <w:rsid w:val="0098495C"/>
    <w:rsid w:val="00984A20"/>
    <w:rsid w:val="00984CFC"/>
    <w:rsid w:val="00985068"/>
    <w:rsid w:val="009854CC"/>
    <w:rsid w:val="00985660"/>
    <w:rsid w:val="0098575E"/>
    <w:rsid w:val="00985E11"/>
    <w:rsid w:val="00985F56"/>
    <w:rsid w:val="009863A6"/>
    <w:rsid w:val="009864A9"/>
    <w:rsid w:val="0098657E"/>
    <w:rsid w:val="0098667A"/>
    <w:rsid w:val="00986A0C"/>
    <w:rsid w:val="00986E22"/>
    <w:rsid w:val="0098741D"/>
    <w:rsid w:val="0098782B"/>
    <w:rsid w:val="0098788F"/>
    <w:rsid w:val="009900EC"/>
    <w:rsid w:val="0099040D"/>
    <w:rsid w:val="00990640"/>
    <w:rsid w:val="009908AE"/>
    <w:rsid w:val="00990F07"/>
    <w:rsid w:val="00990FD4"/>
    <w:rsid w:val="00991205"/>
    <w:rsid w:val="009915F0"/>
    <w:rsid w:val="00991857"/>
    <w:rsid w:val="009918C2"/>
    <w:rsid w:val="00991BB4"/>
    <w:rsid w:val="00992031"/>
    <w:rsid w:val="00992278"/>
    <w:rsid w:val="0099227B"/>
    <w:rsid w:val="00992512"/>
    <w:rsid w:val="009927CE"/>
    <w:rsid w:val="0099318A"/>
    <w:rsid w:val="00993BA3"/>
    <w:rsid w:val="00994068"/>
    <w:rsid w:val="0099412E"/>
    <w:rsid w:val="00994162"/>
    <w:rsid w:val="009941C8"/>
    <w:rsid w:val="009941DA"/>
    <w:rsid w:val="0099547E"/>
    <w:rsid w:val="00995486"/>
    <w:rsid w:val="0099553E"/>
    <w:rsid w:val="009955DA"/>
    <w:rsid w:val="00995C7D"/>
    <w:rsid w:val="00995CB4"/>
    <w:rsid w:val="00995D0B"/>
    <w:rsid w:val="0099618C"/>
    <w:rsid w:val="009961ED"/>
    <w:rsid w:val="009962ED"/>
    <w:rsid w:val="00996826"/>
    <w:rsid w:val="0099690C"/>
    <w:rsid w:val="0099699A"/>
    <w:rsid w:val="00996AA7"/>
    <w:rsid w:val="00997432"/>
    <w:rsid w:val="00997639"/>
    <w:rsid w:val="00997DC8"/>
    <w:rsid w:val="009A0060"/>
    <w:rsid w:val="009A03B6"/>
    <w:rsid w:val="009A0BD6"/>
    <w:rsid w:val="009A0C10"/>
    <w:rsid w:val="009A0E3E"/>
    <w:rsid w:val="009A144E"/>
    <w:rsid w:val="009A1DD9"/>
    <w:rsid w:val="009A1F73"/>
    <w:rsid w:val="009A2398"/>
    <w:rsid w:val="009A25C1"/>
    <w:rsid w:val="009A2743"/>
    <w:rsid w:val="009A2A49"/>
    <w:rsid w:val="009A2B99"/>
    <w:rsid w:val="009A2C60"/>
    <w:rsid w:val="009A2C8C"/>
    <w:rsid w:val="009A309A"/>
    <w:rsid w:val="009A30C2"/>
    <w:rsid w:val="009A351A"/>
    <w:rsid w:val="009A35CA"/>
    <w:rsid w:val="009A3653"/>
    <w:rsid w:val="009A3D98"/>
    <w:rsid w:val="009A3FCC"/>
    <w:rsid w:val="009A420D"/>
    <w:rsid w:val="009A4280"/>
    <w:rsid w:val="009A42AA"/>
    <w:rsid w:val="009A42FD"/>
    <w:rsid w:val="009A434B"/>
    <w:rsid w:val="009A4461"/>
    <w:rsid w:val="009A468B"/>
    <w:rsid w:val="009A468F"/>
    <w:rsid w:val="009A46DC"/>
    <w:rsid w:val="009A4A9C"/>
    <w:rsid w:val="009A4B43"/>
    <w:rsid w:val="009A4F83"/>
    <w:rsid w:val="009A50FE"/>
    <w:rsid w:val="009A511F"/>
    <w:rsid w:val="009A5318"/>
    <w:rsid w:val="009A5783"/>
    <w:rsid w:val="009A579C"/>
    <w:rsid w:val="009A5C57"/>
    <w:rsid w:val="009A60D5"/>
    <w:rsid w:val="009A692B"/>
    <w:rsid w:val="009A6934"/>
    <w:rsid w:val="009A6F99"/>
    <w:rsid w:val="009A6FD4"/>
    <w:rsid w:val="009A74C7"/>
    <w:rsid w:val="009A77E2"/>
    <w:rsid w:val="009A7950"/>
    <w:rsid w:val="009A7BA6"/>
    <w:rsid w:val="009A7E56"/>
    <w:rsid w:val="009B0335"/>
    <w:rsid w:val="009B03BE"/>
    <w:rsid w:val="009B052A"/>
    <w:rsid w:val="009B0617"/>
    <w:rsid w:val="009B07A6"/>
    <w:rsid w:val="009B0A6D"/>
    <w:rsid w:val="009B0AE2"/>
    <w:rsid w:val="009B0B7B"/>
    <w:rsid w:val="009B0F5D"/>
    <w:rsid w:val="009B13A3"/>
    <w:rsid w:val="009B171B"/>
    <w:rsid w:val="009B1814"/>
    <w:rsid w:val="009B1CE5"/>
    <w:rsid w:val="009B1F40"/>
    <w:rsid w:val="009B2DF0"/>
    <w:rsid w:val="009B31EC"/>
    <w:rsid w:val="009B32EE"/>
    <w:rsid w:val="009B3330"/>
    <w:rsid w:val="009B335D"/>
    <w:rsid w:val="009B339A"/>
    <w:rsid w:val="009B34F8"/>
    <w:rsid w:val="009B35F6"/>
    <w:rsid w:val="009B3704"/>
    <w:rsid w:val="009B38FA"/>
    <w:rsid w:val="009B3ACC"/>
    <w:rsid w:val="009B3CD2"/>
    <w:rsid w:val="009B3D7A"/>
    <w:rsid w:val="009B3EC3"/>
    <w:rsid w:val="009B4186"/>
    <w:rsid w:val="009B459A"/>
    <w:rsid w:val="009B48E6"/>
    <w:rsid w:val="009B4E97"/>
    <w:rsid w:val="009B50E5"/>
    <w:rsid w:val="009B5213"/>
    <w:rsid w:val="009B55B6"/>
    <w:rsid w:val="009B5663"/>
    <w:rsid w:val="009B5CF1"/>
    <w:rsid w:val="009B5FCC"/>
    <w:rsid w:val="009B62C3"/>
    <w:rsid w:val="009B637E"/>
    <w:rsid w:val="009B6416"/>
    <w:rsid w:val="009B641C"/>
    <w:rsid w:val="009B6695"/>
    <w:rsid w:val="009B67CD"/>
    <w:rsid w:val="009B6D75"/>
    <w:rsid w:val="009B712A"/>
    <w:rsid w:val="009B7177"/>
    <w:rsid w:val="009B72EB"/>
    <w:rsid w:val="009B754A"/>
    <w:rsid w:val="009B7730"/>
    <w:rsid w:val="009C07A5"/>
    <w:rsid w:val="009C0D0E"/>
    <w:rsid w:val="009C1094"/>
    <w:rsid w:val="009C1644"/>
    <w:rsid w:val="009C16FD"/>
    <w:rsid w:val="009C19AC"/>
    <w:rsid w:val="009C20B3"/>
    <w:rsid w:val="009C2256"/>
    <w:rsid w:val="009C226F"/>
    <w:rsid w:val="009C22F5"/>
    <w:rsid w:val="009C2392"/>
    <w:rsid w:val="009C25DB"/>
    <w:rsid w:val="009C2C75"/>
    <w:rsid w:val="009C2CB3"/>
    <w:rsid w:val="009C3163"/>
    <w:rsid w:val="009C3513"/>
    <w:rsid w:val="009C3872"/>
    <w:rsid w:val="009C4162"/>
    <w:rsid w:val="009C41A1"/>
    <w:rsid w:val="009C431A"/>
    <w:rsid w:val="009C44E2"/>
    <w:rsid w:val="009C45D1"/>
    <w:rsid w:val="009C4A33"/>
    <w:rsid w:val="009C4B74"/>
    <w:rsid w:val="009C4C37"/>
    <w:rsid w:val="009C512D"/>
    <w:rsid w:val="009C5489"/>
    <w:rsid w:val="009C548B"/>
    <w:rsid w:val="009C54BA"/>
    <w:rsid w:val="009C5586"/>
    <w:rsid w:val="009C5B16"/>
    <w:rsid w:val="009C5D1E"/>
    <w:rsid w:val="009C6300"/>
    <w:rsid w:val="009C63AC"/>
    <w:rsid w:val="009C6432"/>
    <w:rsid w:val="009C66AB"/>
    <w:rsid w:val="009C68A8"/>
    <w:rsid w:val="009C68B8"/>
    <w:rsid w:val="009C6AD3"/>
    <w:rsid w:val="009C718C"/>
    <w:rsid w:val="009C71FE"/>
    <w:rsid w:val="009C7A0F"/>
    <w:rsid w:val="009C7A35"/>
    <w:rsid w:val="009C7A78"/>
    <w:rsid w:val="009D00AE"/>
    <w:rsid w:val="009D01F2"/>
    <w:rsid w:val="009D025C"/>
    <w:rsid w:val="009D0451"/>
    <w:rsid w:val="009D0471"/>
    <w:rsid w:val="009D083C"/>
    <w:rsid w:val="009D08A0"/>
    <w:rsid w:val="009D1294"/>
    <w:rsid w:val="009D142D"/>
    <w:rsid w:val="009D1602"/>
    <w:rsid w:val="009D16AD"/>
    <w:rsid w:val="009D1946"/>
    <w:rsid w:val="009D1D1B"/>
    <w:rsid w:val="009D1F05"/>
    <w:rsid w:val="009D24D4"/>
    <w:rsid w:val="009D26AB"/>
    <w:rsid w:val="009D277B"/>
    <w:rsid w:val="009D27F1"/>
    <w:rsid w:val="009D2AD3"/>
    <w:rsid w:val="009D2CBD"/>
    <w:rsid w:val="009D2DAB"/>
    <w:rsid w:val="009D2E61"/>
    <w:rsid w:val="009D32C6"/>
    <w:rsid w:val="009D33AF"/>
    <w:rsid w:val="009D34C7"/>
    <w:rsid w:val="009D39A7"/>
    <w:rsid w:val="009D39BE"/>
    <w:rsid w:val="009D3AAB"/>
    <w:rsid w:val="009D3BDB"/>
    <w:rsid w:val="009D3DD6"/>
    <w:rsid w:val="009D3EA2"/>
    <w:rsid w:val="009D444E"/>
    <w:rsid w:val="009D452C"/>
    <w:rsid w:val="009D46F5"/>
    <w:rsid w:val="009D46FF"/>
    <w:rsid w:val="009D4875"/>
    <w:rsid w:val="009D4CA2"/>
    <w:rsid w:val="009D4D78"/>
    <w:rsid w:val="009D4E03"/>
    <w:rsid w:val="009D4E07"/>
    <w:rsid w:val="009D4EA5"/>
    <w:rsid w:val="009D517D"/>
    <w:rsid w:val="009D5288"/>
    <w:rsid w:val="009D54BF"/>
    <w:rsid w:val="009D5AA5"/>
    <w:rsid w:val="009D5BB0"/>
    <w:rsid w:val="009D5E20"/>
    <w:rsid w:val="009D5E75"/>
    <w:rsid w:val="009D6F19"/>
    <w:rsid w:val="009D7142"/>
    <w:rsid w:val="009D7348"/>
    <w:rsid w:val="009D74AE"/>
    <w:rsid w:val="009D76AA"/>
    <w:rsid w:val="009D7766"/>
    <w:rsid w:val="009D7835"/>
    <w:rsid w:val="009E02D2"/>
    <w:rsid w:val="009E06DE"/>
    <w:rsid w:val="009E0741"/>
    <w:rsid w:val="009E083F"/>
    <w:rsid w:val="009E0B72"/>
    <w:rsid w:val="009E104A"/>
    <w:rsid w:val="009E126B"/>
    <w:rsid w:val="009E1302"/>
    <w:rsid w:val="009E14FD"/>
    <w:rsid w:val="009E15FC"/>
    <w:rsid w:val="009E199D"/>
    <w:rsid w:val="009E1A8C"/>
    <w:rsid w:val="009E1B9F"/>
    <w:rsid w:val="009E1BCB"/>
    <w:rsid w:val="009E1DFC"/>
    <w:rsid w:val="009E1E9A"/>
    <w:rsid w:val="009E2007"/>
    <w:rsid w:val="009E22E0"/>
    <w:rsid w:val="009E2559"/>
    <w:rsid w:val="009E2724"/>
    <w:rsid w:val="009E28A1"/>
    <w:rsid w:val="009E2CD2"/>
    <w:rsid w:val="009E2FA6"/>
    <w:rsid w:val="009E3139"/>
    <w:rsid w:val="009E3383"/>
    <w:rsid w:val="009E3C75"/>
    <w:rsid w:val="009E3C84"/>
    <w:rsid w:val="009E464F"/>
    <w:rsid w:val="009E4896"/>
    <w:rsid w:val="009E5285"/>
    <w:rsid w:val="009E53B7"/>
    <w:rsid w:val="009E5B23"/>
    <w:rsid w:val="009E5DC2"/>
    <w:rsid w:val="009E609A"/>
    <w:rsid w:val="009E60E3"/>
    <w:rsid w:val="009E659A"/>
    <w:rsid w:val="009E68C1"/>
    <w:rsid w:val="009E6C7C"/>
    <w:rsid w:val="009E6E26"/>
    <w:rsid w:val="009E75BA"/>
    <w:rsid w:val="009E76EB"/>
    <w:rsid w:val="009E7AA8"/>
    <w:rsid w:val="009E7CA4"/>
    <w:rsid w:val="009E7EB5"/>
    <w:rsid w:val="009F05B8"/>
    <w:rsid w:val="009F05D1"/>
    <w:rsid w:val="009F077C"/>
    <w:rsid w:val="009F0814"/>
    <w:rsid w:val="009F0B1A"/>
    <w:rsid w:val="009F0B92"/>
    <w:rsid w:val="009F113F"/>
    <w:rsid w:val="009F1735"/>
    <w:rsid w:val="009F18A2"/>
    <w:rsid w:val="009F21EF"/>
    <w:rsid w:val="009F25C0"/>
    <w:rsid w:val="009F27D3"/>
    <w:rsid w:val="009F2862"/>
    <w:rsid w:val="009F2AD3"/>
    <w:rsid w:val="009F2AEE"/>
    <w:rsid w:val="009F2C5D"/>
    <w:rsid w:val="009F2C7B"/>
    <w:rsid w:val="009F3D90"/>
    <w:rsid w:val="009F3DC6"/>
    <w:rsid w:val="009F3DCE"/>
    <w:rsid w:val="009F4309"/>
    <w:rsid w:val="009F450B"/>
    <w:rsid w:val="009F458E"/>
    <w:rsid w:val="009F48C6"/>
    <w:rsid w:val="009F49A9"/>
    <w:rsid w:val="009F49F7"/>
    <w:rsid w:val="009F5186"/>
    <w:rsid w:val="009F5280"/>
    <w:rsid w:val="009F529A"/>
    <w:rsid w:val="009F5403"/>
    <w:rsid w:val="009F555B"/>
    <w:rsid w:val="009F55B2"/>
    <w:rsid w:val="009F55F8"/>
    <w:rsid w:val="009F56CA"/>
    <w:rsid w:val="009F5CDE"/>
    <w:rsid w:val="009F5D79"/>
    <w:rsid w:val="009F5E9A"/>
    <w:rsid w:val="009F5F2E"/>
    <w:rsid w:val="009F5F65"/>
    <w:rsid w:val="009F5F96"/>
    <w:rsid w:val="009F60C3"/>
    <w:rsid w:val="009F61AE"/>
    <w:rsid w:val="009F6754"/>
    <w:rsid w:val="009F67DC"/>
    <w:rsid w:val="009F681B"/>
    <w:rsid w:val="009F688A"/>
    <w:rsid w:val="009F7002"/>
    <w:rsid w:val="009F7461"/>
    <w:rsid w:val="009F75CC"/>
    <w:rsid w:val="009F7A2E"/>
    <w:rsid w:val="00A0022A"/>
    <w:rsid w:val="00A002B6"/>
    <w:rsid w:val="00A008F6"/>
    <w:rsid w:val="00A0097B"/>
    <w:rsid w:val="00A00AD5"/>
    <w:rsid w:val="00A00D73"/>
    <w:rsid w:val="00A014DC"/>
    <w:rsid w:val="00A01612"/>
    <w:rsid w:val="00A024CB"/>
    <w:rsid w:val="00A02608"/>
    <w:rsid w:val="00A026D7"/>
    <w:rsid w:val="00A028A2"/>
    <w:rsid w:val="00A02908"/>
    <w:rsid w:val="00A02CBC"/>
    <w:rsid w:val="00A02E8F"/>
    <w:rsid w:val="00A03406"/>
    <w:rsid w:val="00A0348B"/>
    <w:rsid w:val="00A036C3"/>
    <w:rsid w:val="00A0378A"/>
    <w:rsid w:val="00A03978"/>
    <w:rsid w:val="00A0426D"/>
    <w:rsid w:val="00A04471"/>
    <w:rsid w:val="00A045CF"/>
    <w:rsid w:val="00A04629"/>
    <w:rsid w:val="00A04734"/>
    <w:rsid w:val="00A047EA"/>
    <w:rsid w:val="00A04A7C"/>
    <w:rsid w:val="00A04AC2"/>
    <w:rsid w:val="00A04DD4"/>
    <w:rsid w:val="00A04F9C"/>
    <w:rsid w:val="00A051CB"/>
    <w:rsid w:val="00A05318"/>
    <w:rsid w:val="00A053B5"/>
    <w:rsid w:val="00A05C43"/>
    <w:rsid w:val="00A05D9C"/>
    <w:rsid w:val="00A05E18"/>
    <w:rsid w:val="00A05E4D"/>
    <w:rsid w:val="00A06777"/>
    <w:rsid w:val="00A067C5"/>
    <w:rsid w:val="00A068FB"/>
    <w:rsid w:val="00A06B69"/>
    <w:rsid w:val="00A06BF9"/>
    <w:rsid w:val="00A0756B"/>
    <w:rsid w:val="00A0778C"/>
    <w:rsid w:val="00A07854"/>
    <w:rsid w:val="00A07C4C"/>
    <w:rsid w:val="00A07CB6"/>
    <w:rsid w:val="00A07E7E"/>
    <w:rsid w:val="00A07FE2"/>
    <w:rsid w:val="00A10560"/>
    <w:rsid w:val="00A109C1"/>
    <w:rsid w:val="00A10B30"/>
    <w:rsid w:val="00A10D4A"/>
    <w:rsid w:val="00A10E47"/>
    <w:rsid w:val="00A11099"/>
    <w:rsid w:val="00A1112A"/>
    <w:rsid w:val="00A11148"/>
    <w:rsid w:val="00A11938"/>
    <w:rsid w:val="00A11A29"/>
    <w:rsid w:val="00A11AE3"/>
    <w:rsid w:val="00A11B6A"/>
    <w:rsid w:val="00A1227C"/>
    <w:rsid w:val="00A126E7"/>
    <w:rsid w:val="00A1278F"/>
    <w:rsid w:val="00A12AB0"/>
    <w:rsid w:val="00A12AE9"/>
    <w:rsid w:val="00A12B66"/>
    <w:rsid w:val="00A12BE9"/>
    <w:rsid w:val="00A1328F"/>
    <w:rsid w:val="00A132A6"/>
    <w:rsid w:val="00A13A20"/>
    <w:rsid w:val="00A13C4E"/>
    <w:rsid w:val="00A13FCB"/>
    <w:rsid w:val="00A14247"/>
    <w:rsid w:val="00A14CE6"/>
    <w:rsid w:val="00A153A5"/>
    <w:rsid w:val="00A154FA"/>
    <w:rsid w:val="00A15A82"/>
    <w:rsid w:val="00A15D60"/>
    <w:rsid w:val="00A16053"/>
    <w:rsid w:val="00A16153"/>
    <w:rsid w:val="00A16462"/>
    <w:rsid w:val="00A16526"/>
    <w:rsid w:val="00A16994"/>
    <w:rsid w:val="00A16A02"/>
    <w:rsid w:val="00A16CB2"/>
    <w:rsid w:val="00A17621"/>
    <w:rsid w:val="00A17CC9"/>
    <w:rsid w:val="00A17CE9"/>
    <w:rsid w:val="00A17E44"/>
    <w:rsid w:val="00A2006A"/>
    <w:rsid w:val="00A2031C"/>
    <w:rsid w:val="00A2038E"/>
    <w:rsid w:val="00A20614"/>
    <w:rsid w:val="00A20837"/>
    <w:rsid w:val="00A2091A"/>
    <w:rsid w:val="00A20BD5"/>
    <w:rsid w:val="00A20E13"/>
    <w:rsid w:val="00A2107E"/>
    <w:rsid w:val="00A21530"/>
    <w:rsid w:val="00A21E2B"/>
    <w:rsid w:val="00A22208"/>
    <w:rsid w:val="00A2228A"/>
    <w:rsid w:val="00A223F5"/>
    <w:rsid w:val="00A22AF5"/>
    <w:rsid w:val="00A22CDD"/>
    <w:rsid w:val="00A22CE7"/>
    <w:rsid w:val="00A22E7D"/>
    <w:rsid w:val="00A22F55"/>
    <w:rsid w:val="00A230C8"/>
    <w:rsid w:val="00A232A9"/>
    <w:rsid w:val="00A23401"/>
    <w:rsid w:val="00A234C4"/>
    <w:rsid w:val="00A23820"/>
    <w:rsid w:val="00A23C6D"/>
    <w:rsid w:val="00A23D30"/>
    <w:rsid w:val="00A240ED"/>
    <w:rsid w:val="00A24268"/>
    <w:rsid w:val="00A24BB7"/>
    <w:rsid w:val="00A25367"/>
    <w:rsid w:val="00A259C4"/>
    <w:rsid w:val="00A25A16"/>
    <w:rsid w:val="00A25BCD"/>
    <w:rsid w:val="00A25F82"/>
    <w:rsid w:val="00A26152"/>
    <w:rsid w:val="00A2623A"/>
    <w:rsid w:val="00A2628B"/>
    <w:rsid w:val="00A2661C"/>
    <w:rsid w:val="00A2692B"/>
    <w:rsid w:val="00A26BD7"/>
    <w:rsid w:val="00A26BE3"/>
    <w:rsid w:val="00A26C28"/>
    <w:rsid w:val="00A27238"/>
    <w:rsid w:val="00A27447"/>
    <w:rsid w:val="00A274D4"/>
    <w:rsid w:val="00A2767E"/>
    <w:rsid w:val="00A276DD"/>
    <w:rsid w:val="00A278F9"/>
    <w:rsid w:val="00A27977"/>
    <w:rsid w:val="00A27E3E"/>
    <w:rsid w:val="00A3046D"/>
    <w:rsid w:val="00A30AC1"/>
    <w:rsid w:val="00A3116A"/>
    <w:rsid w:val="00A31326"/>
    <w:rsid w:val="00A32096"/>
    <w:rsid w:val="00A322C6"/>
    <w:rsid w:val="00A32656"/>
    <w:rsid w:val="00A32A1C"/>
    <w:rsid w:val="00A330E8"/>
    <w:rsid w:val="00A33275"/>
    <w:rsid w:val="00A33424"/>
    <w:rsid w:val="00A3370A"/>
    <w:rsid w:val="00A3389B"/>
    <w:rsid w:val="00A33990"/>
    <w:rsid w:val="00A33A4C"/>
    <w:rsid w:val="00A341EB"/>
    <w:rsid w:val="00A3453E"/>
    <w:rsid w:val="00A3462B"/>
    <w:rsid w:val="00A34A60"/>
    <w:rsid w:val="00A34BB0"/>
    <w:rsid w:val="00A34BE5"/>
    <w:rsid w:val="00A34DC1"/>
    <w:rsid w:val="00A3521F"/>
    <w:rsid w:val="00A3547A"/>
    <w:rsid w:val="00A3567A"/>
    <w:rsid w:val="00A35DB1"/>
    <w:rsid w:val="00A35E76"/>
    <w:rsid w:val="00A35F60"/>
    <w:rsid w:val="00A36220"/>
    <w:rsid w:val="00A3634C"/>
    <w:rsid w:val="00A36403"/>
    <w:rsid w:val="00A365FA"/>
    <w:rsid w:val="00A374BB"/>
    <w:rsid w:val="00A37539"/>
    <w:rsid w:val="00A37B2A"/>
    <w:rsid w:val="00A37C7E"/>
    <w:rsid w:val="00A37F3F"/>
    <w:rsid w:val="00A37F4C"/>
    <w:rsid w:val="00A40132"/>
    <w:rsid w:val="00A4078D"/>
    <w:rsid w:val="00A40C96"/>
    <w:rsid w:val="00A40F45"/>
    <w:rsid w:val="00A412C9"/>
    <w:rsid w:val="00A41453"/>
    <w:rsid w:val="00A414C4"/>
    <w:rsid w:val="00A4172D"/>
    <w:rsid w:val="00A41BD3"/>
    <w:rsid w:val="00A41D65"/>
    <w:rsid w:val="00A420EA"/>
    <w:rsid w:val="00A4217F"/>
    <w:rsid w:val="00A42229"/>
    <w:rsid w:val="00A4266A"/>
    <w:rsid w:val="00A4293F"/>
    <w:rsid w:val="00A430CC"/>
    <w:rsid w:val="00A43144"/>
    <w:rsid w:val="00A432E4"/>
    <w:rsid w:val="00A43733"/>
    <w:rsid w:val="00A438E7"/>
    <w:rsid w:val="00A438F5"/>
    <w:rsid w:val="00A4397F"/>
    <w:rsid w:val="00A43C05"/>
    <w:rsid w:val="00A43DD9"/>
    <w:rsid w:val="00A43EAE"/>
    <w:rsid w:val="00A440B0"/>
    <w:rsid w:val="00A44516"/>
    <w:rsid w:val="00A44B39"/>
    <w:rsid w:val="00A44E12"/>
    <w:rsid w:val="00A4500C"/>
    <w:rsid w:val="00A4509A"/>
    <w:rsid w:val="00A452B8"/>
    <w:rsid w:val="00A458F6"/>
    <w:rsid w:val="00A45AC1"/>
    <w:rsid w:val="00A45BDB"/>
    <w:rsid w:val="00A45C8B"/>
    <w:rsid w:val="00A4624C"/>
    <w:rsid w:val="00A462E8"/>
    <w:rsid w:val="00A46311"/>
    <w:rsid w:val="00A46569"/>
    <w:rsid w:val="00A46628"/>
    <w:rsid w:val="00A46800"/>
    <w:rsid w:val="00A46D6E"/>
    <w:rsid w:val="00A46EC7"/>
    <w:rsid w:val="00A46FB8"/>
    <w:rsid w:val="00A47138"/>
    <w:rsid w:val="00A47186"/>
    <w:rsid w:val="00A473CD"/>
    <w:rsid w:val="00A47D1A"/>
    <w:rsid w:val="00A47DCC"/>
    <w:rsid w:val="00A5014C"/>
    <w:rsid w:val="00A5066C"/>
    <w:rsid w:val="00A50862"/>
    <w:rsid w:val="00A50EEF"/>
    <w:rsid w:val="00A5107B"/>
    <w:rsid w:val="00A510BB"/>
    <w:rsid w:val="00A514A9"/>
    <w:rsid w:val="00A5177F"/>
    <w:rsid w:val="00A518D9"/>
    <w:rsid w:val="00A51D28"/>
    <w:rsid w:val="00A51DA5"/>
    <w:rsid w:val="00A51EBB"/>
    <w:rsid w:val="00A52010"/>
    <w:rsid w:val="00A52025"/>
    <w:rsid w:val="00A52974"/>
    <w:rsid w:val="00A529D9"/>
    <w:rsid w:val="00A52DFD"/>
    <w:rsid w:val="00A52EFE"/>
    <w:rsid w:val="00A52FA8"/>
    <w:rsid w:val="00A5313C"/>
    <w:rsid w:val="00A539BE"/>
    <w:rsid w:val="00A53BF6"/>
    <w:rsid w:val="00A53FAF"/>
    <w:rsid w:val="00A54058"/>
    <w:rsid w:val="00A5406E"/>
    <w:rsid w:val="00A54204"/>
    <w:rsid w:val="00A544DE"/>
    <w:rsid w:val="00A549EB"/>
    <w:rsid w:val="00A5505D"/>
    <w:rsid w:val="00A553E9"/>
    <w:rsid w:val="00A556D7"/>
    <w:rsid w:val="00A558B4"/>
    <w:rsid w:val="00A55AB1"/>
    <w:rsid w:val="00A55B02"/>
    <w:rsid w:val="00A55C42"/>
    <w:rsid w:val="00A5604C"/>
    <w:rsid w:val="00A560C0"/>
    <w:rsid w:val="00A5617B"/>
    <w:rsid w:val="00A56513"/>
    <w:rsid w:val="00A5667B"/>
    <w:rsid w:val="00A56E03"/>
    <w:rsid w:val="00A5708E"/>
    <w:rsid w:val="00A572C7"/>
    <w:rsid w:val="00A5745B"/>
    <w:rsid w:val="00A579D9"/>
    <w:rsid w:val="00A57C02"/>
    <w:rsid w:val="00A57EA6"/>
    <w:rsid w:val="00A604E6"/>
    <w:rsid w:val="00A607B8"/>
    <w:rsid w:val="00A60CD3"/>
    <w:rsid w:val="00A60FD8"/>
    <w:rsid w:val="00A610AC"/>
    <w:rsid w:val="00A61BA0"/>
    <w:rsid w:val="00A61BAD"/>
    <w:rsid w:val="00A61D1F"/>
    <w:rsid w:val="00A61D99"/>
    <w:rsid w:val="00A62C97"/>
    <w:rsid w:val="00A62E58"/>
    <w:rsid w:val="00A6344C"/>
    <w:rsid w:val="00A63947"/>
    <w:rsid w:val="00A63F4E"/>
    <w:rsid w:val="00A64309"/>
    <w:rsid w:val="00A64544"/>
    <w:rsid w:val="00A6474E"/>
    <w:rsid w:val="00A648B3"/>
    <w:rsid w:val="00A64C7C"/>
    <w:rsid w:val="00A64CF2"/>
    <w:rsid w:val="00A65140"/>
    <w:rsid w:val="00A651E1"/>
    <w:rsid w:val="00A653E1"/>
    <w:rsid w:val="00A658D3"/>
    <w:rsid w:val="00A65B16"/>
    <w:rsid w:val="00A65D0A"/>
    <w:rsid w:val="00A65E5A"/>
    <w:rsid w:val="00A6614E"/>
    <w:rsid w:val="00A664AC"/>
    <w:rsid w:val="00A6667C"/>
    <w:rsid w:val="00A66E27"/>
    <w:rsid w:val="00A66F56"/>
    <w:rsid w:val="00A670CF"/>
    <w:rsid w:val="00A677CC"/>
    <w:rsid w:val="00A67BF1"/>
    <w:rsid w:val="00A67CE2"/>
    <w:rsid w:val="00A7030F"/>
    <w:rsid w:val="00A70B05"/>
    <w:rsid w:val="00A70D3A"/>
    <w:rsid w:val="00A70EDC"/>
    <w:rsid w:val="00A71002"/>
    <w:rsid w:val="00A710AF"/>
    <w:rsid w:val="00A71109"/>
    <w:rsid w:val="00A71A13"/>
    <w:rsid w:val="00A71CCC"/>
    <w:rsid w:val="00A71D76"/>
    <w:rsid w:val="00A7249D"/>
    <w:rsid w:val="00A72692"/>
    <w:rsid w:val="00A72756"/>
    <w:rsid w:val="00A72795"/>
    <w:rsid w:val="00A72A07"/>
    <w:rsid w:val="00A72ECF"/>
    <w:rsid w:val="00A73162"/>
    <w:rsid w:val="00A7357B"/>
    <w:rsid w:val="00A73C7D"/>
    <w:rsid w:val="00A73E35"/>
    <w:rsid w:val="00A73F71"/>
    <w:rsid w:val="00A743BD"/>
    <w:rsid w:val="00A745C3"/>
    <w:rsid w:val="00A7470B"/>
    <w:rsid w:val="00A7527C"/>
    <w:rsid w:val="00A754DD"/>
    <w:rsid w:val="00A757DF"/>
    <w:rsid w:val="00A761BC"/>
    <w:rsid w:val="00A76435"/>
    <w:rsid w:val="00A76624"/>
    <w:rsid w:val="00A766D8"/>
    <w:rsid w:val="00A7677F"/>
    <w:rsid w:val="00A77263"/>
    <w:rsid w:val="00A77399"/>
    <w:rsid w:val="00A773A8"/>
    <w:rsid w:val="00A776AA"/>
    <w:rsid w:val="00A77845"/>
    <w:rsid w:val="00A77B12"/>
    <w:rsid w:val="00A801E0"/>
    <w:rsid w:val="00A80309"/>
    <w:rsid w:val="00A80503"/>
    <w:rsid w:val="00A8061E"/>
    <w:rsid w:val="00A80661"/>
    <w:rsid w:val="00A8070B"/>
    <w:rsid w:val="00A8085D"/>
    <w:rsid w:val="00A80A6A"/>
    <w:rsid w:val="00A80C5D"/>
    <w:rsid w:val="00A80C73"/>
    <w:rsid w:val="00A80C75"/>
    <w:rsid w:val="00A80F90"/>
    <w:rsid w:val="00A8100A"/>
    <w:rsid w:val="00A8110D"/>
    <w:rsid w:val="00A8114A"/>
    <w:rsid w:val="00A81C15"/>
    <w:rsid w:val="00A81F62"/>
    <w:rsid w:val="00A824FE"/>
    <w:rsid w:val="00A82E78"/>
    <w:rsid w:val="00A83123"/>
    <w:rsid w:val="00A832AF"/>
    <w:rsid w:val="00A832EF"/>
    <w:rsid w:val="00A8355E"/>
    <w:rsid w:val="00A83E2D"/>
    <w:rsid w:val="00A8426B"/>
    <w:rsid w:val="00A84495"/>
    <w:rsid w:val="00A8468A"/>
    <w:rsid w:val="00A84A0F"/>
    <w:rsid w:val="00A84B03"/>
    <w:rsid w:val="00A84BF9"/>
    <w:rsid w:val="00A84D18"/>
    <w:rsid w:val="00A851A4"/>
    <w:rsid w:val="00A8531C"/>
    <w:rsid w:val="00A854F0"/>
    <w:rsid w:val="00A85511"/>
    <w:rsid w:val="00A8574A"/>
    <w:rsid w:val="00A8586A"/>
    <w:rsid w:val="00A858F3"/>
    <w:rsid w:val="00A85A42"/>
    <w:rsid w:val="00A85CAB"/>
    <w:rsid w:val="00A86C2F"/>
    <w:rsid w:val="00A86D4F"/>
    <w:rsid w:val="00A86F53"/>
    <w:rsid w:val="00A8712C"/>
    <w:rsid w:val="00A8713E"/>
    <w:rsid w:val="00A8745C"/>
    <w:rsid w:val="00A87752"/>
    <w:rsid w:val="00A87865"/>
    <w:rsid w:val="00A87895"/>
    <w:rsid w:val="00A87B1D"/>
    <w:rsid w:val="00A87C94"/>
    <w:rsid w:val="00A87E03"/>
    <w:rsid w:val="00A90E75"/>
    <w:rsid w:val="00A90EBD"/>
    <w:rsid w:val="00A90EE9"/>
    <w:rsid w:val="00A9108A"/>
    <w:rsid w:val="00A911A6"/>
    <w:rsid w:val="00A912F1"/>
    <w:rsid w:val="00A91429"/>
    <w:rsid w:val="00A9227E"/>
    <w:rsid w:val="00A924CC"/>
    <w:rsid w:val="00A92848"/>
    <w:rsid w:val="00A9343A"/>
    <w:rsid w:val="00A93510"/>
    <w:rsid w:val="00A9410E"/>
    <w:rsid w:val="00A941C6"/>
    <w:rsid w:val="00A9433B"/>
    <w:rsid w:val="00A943C7"/>
    <w:rsid w:val="00A949C5"/>
    <w:rsid w:val="00A94BD2"/>
    <w:rsid w:val="00A94BEC"/>
    <w:rsid w:val="00A95182"/>
    <w:rsid w:val="00A9567C"/>
    <w:rsid w:val="00A957C0"/>
    <w:rsid w:val="00A958BB"/>
    <w:rsid w:val="00A95A5E"/>
    <w:rsid w:val="00A95B5F"/>
    <w:rsid w:val="00A95CA6"/>
    <w:rsid w:val="00A95F2D"/>
    <w:rsid w:val="00A96860"/>
    <w:rsid w:val="00A96BD2"/>
    <w:rsid w:val="00A97008"/>
    <w:rsid w:val="00A9729A"/>
    <w:rsid w:val="00AA05E6"/>
    <w:rsid w:val="00AA0864"/>
    <w:rsid w:val="00AA087F"/>
    <w:rsid w:val="00AA0D97"/>
    <w:rsid w:val="00AA0E13"/>
    <w:rsid w:val="00AA1454"/>
    <w:rsid w:val="00AA1765"/>
    <w:rsid w:val="00AA1E90"/>
    <w:rsid w:val="00AA22F5"/>
    <w:rsid w:val="00AA2409"/>
    <w:rsid w:val="00AA27BC"/>
    <w:rsid w:val="00AA28C5"/>
    <w:rsid w:val="00AA2B43"/>
    <w:rsid w:val="00AA32E0"/>
    <w:rsid w:val="00AA3333"/>
    <w:rsid w:val="00AA33EE"/>
    <w:rsid w:val="00AA34B8"/>
    <w:rsid w:val="00AA357F"/>
    <w:rsid w:val="00AA360A"/>
    <w:rsid w:val="00AA3644"/>
    <w:rsid w:val="00AA38C4"/>
    <w:rsid w:val="00AA38DC"/>
    <w:rsid w:val="00AA3949"/>
    <w:rsid w:val="00AA3DC5"/>
    <w:rsid w:val="00AA4A25"/>
    <w:rsid w:val="00AA4C6C"/>
    <w:rsid w:val="00AA4E0B"/>
    <w:rsid w:val="00AA526F"/>
    <w:rsid w:val="00AA5301"/>
    <w:rsid w:val="00AA535B"/>
    <w:rsid w:val="00AA535F"/>
    <w:rsid w:val="00AA53E3"/>
    <w:rsid w:val="00AA58F9"/>
    <w:rsid w:val="00AA5B38"/>
    <w:rsid w:val="00AA5CA5"/>
    <w:rsid w:val="00AA5CFD"/>
    <w:rsid w:val="00AA5D58"/>
    <w:rsid w:val="00AA5E5F"/>
    <w:rsid w:val="00AA661C"/>
    <w:rsid w:val="00AA673D"/>
    <w:rsid w:val="00AA6F56"/>
    <w:rsid w:val="00AA7036"/>
    <w:rsid w:val="00AA706B"/>
    <w:rsid w:val="00AA70A7"/>
    <w:rsid w:val="00AA71E0"/>
    <w:rsid w:val="00AA795B"/>
    <w:rsid w:val="00AA7A5C"/>
    <w:rsid w:val="00AA7A61"/>
    <w:rsid w:val="00AA7E50"/>
    <w:rsid w:val="00AB0579"/>
    <w:rsid w:val="00AB07CF"/>
    <w:rsid w:val="00AB0C33"/>
    <w:rsid w:val="00AB0E1A"/>
    <w:rsid w:val="00AB1292"/>
    <w:rsid w:val="00AB12A3"/>
    <w:rsid w:val="00AB16B7"/>
    <w:rsid w:val="00AB16BA"/>
    <w:rsid w:val="00AB18C5"/>
    <w:rsid w:val="00AB199A"/>
    <w:rsid w:val="00AB1A85"/>
    <w:rsid w:val="00AB1BD6"/>
    <w:rsid w:val="00AB1EC2"/>
    <w:rsid w:val="00AB2128"/>
    <w:rsid w:val="00AB294E"/>
    <w:rsid w:val="00AB29A5"/>
    <w:rsid w:val="00AB2A4D"/>
    <w:rsid w:val="00AB2B36"/>
    <w:rsid w:val="00AB2C59"/>
    <w:rsid w:val="00AB3088"/>
    <w:rsid w:val="00AB3296"/>
    <w:rsid w:val="00AB3BDA"/>
    <w:rsid w:val="00AB3BE3"/>
    <w:rsid w:val="00AB3FFC"/>
    <w:rsid w:val="00AB41A4"/>
    <w:rsid w:val="00AB41BC"/>
    <w:rsid w:val="00AB43C5"/>
    <w:rsid w:val="00AB4467"/>
    <w:rsid w:val="00AB46DD"/>
    <w:rsid w:val="00AB4E28"/>
    <w:rsid w:val="00AB4F45"/>
    <w:rsid w:val="00AB5448"/>
    <w:rsid w:val="00AB55FE"/>
    <w:rsid w:val="00AB56ED"/>
    <w:rsid w:val="00AB5F78"/>
    <w:rsid w:val="00AB6097"/>
    <w:rsid w:val="00AB631E"/>
    <w:rsid w:val="00AB6952"/>
    <w:rsid w:val="00AB6995"/>
    <w:rsid w:val="00AB69DA"/>
    <w:rsid w:val="00AB6D96"/>
    <w:rsid w:val="00AB6DF4"/>
    <w:rsid w:val="00AB6FEC"/>
    <w:rsid w:val="00AB7193"/>
    <w:rsid w:val="00AB752B"/>
    <w:rsid w:val="00AB765D"/>
    <w:rsid w:val="00AB7922"/>
    <w:rsid w:val="00AB7A39"/>
    <w:rsid w:val="00AB7B44"/>
    <w:rsid w:val="00AB7D91"/>
    <w:rsid w:val="00AB7E5D"/>
    <w:rsid w:val="00AC036B"/>
    <w:rsid w:val="00AC071F"/>
    <w:rsid w:val="00AC0B95"/>
    <w:rsid w:val="00AC0CEC"/>
    <w:rsid w:val="00AC11A4"/>
    <w:rsid w:val="00AC132C"/>
    <w:rsid w:val="00AC1538"/>
    <w:rsid w:val="00AC15EE"/>
    <w:rsid w:val="00AC18FB"/>
    <w:rsid w:val="00AC2022"/>
    <w:rsid w:val="00AC22D9"/>
    <w:rsid w:val="00AC23A5"/>
    <w:rsid w:val="00AC26C9"/>
    <w:rsid w:val="00AC289F"/>
    <w:rsid w:val="00AC28E1"/>
    <w:rsid w:val="00AC2E8E"/>
    <w:rsid w:val="00AC2F77"/>
    <w:rsid w:val="00AC2FEC"/>
    <w:rsid w:val="00AC35D4"/>
    <w:rsid w:val="00AC3690"/>
    <w:rsid w:val="00AC3D49"/>
    <w:rsid w:val="00AC3D4C"/>
    <w:rsid w:val="00AC452D"/>
    <w:rsid w:val="00AC4970"/>
    <w:rsid w:val="00AC4C77"/>
    <w:rsid w:val="00AC5420"/>
    <w:rsid w:val="00AC5438"/>
    <w:rsid w:val="00AC5466"/>
    <w:rsid w:val="00AC568E"/>
    <w:rsid w:val="00AC59E6"/>
    <w:rsid w:val="00AC5A30"/>
    <w:rsid w:val="00AC5F68"/>
    <w:rsid w:val="00AC5FAA"/>
    <w:rsid w:val="00AC6176"/>
    <w:rsid w:val="00AC62B3"/>
    <w:rsid w:val="00AC6B49"/>
    <w:rsid w:val="00AC6EAF"/>
    <w:rsid w:val="00AD00F6"/>
    <w:rsid w:val="00AD0162"/>
    <w:rsid w:val="00AD0ACF"/>
    <w:rsid w:val="00AD0B98"/>
    <w:rsid w:val="00AD1194"/>
    <w:rsid w:val="00AD12E9"/>
    <w:rsid w:val="00AD17B6"/>
    <w:rsid w:val="00AD1A06"/>
    <w:rsid w:val="00AD1B77"/>
    <w:rsid w:val="00AD1C5B"/>
    <w:rsid w:val="00AD2362"/>
    <w:rsid w:val="00AD23C4"/>
    <w:rsid w:val="00AD24CF"/>
    <w:rsid w:val="00AD2594"/>
    <w:rsid w:val="00AD26D5"/>
    <w:rsid w:val="00AD2A1E"/>
    <w:rsid w:val="00AD2FA5"/>
    <w:rsid w:val="00AD3685"/>
    <w:rsid w:val="00AD3998"/>
    <w:rsid w:val="00AD3A58"/>
    <w:rsid w:val="00AD3CB0"/>
    <w:rsid w:val="00AD3E13"/>
    <w:rsid w:val="00AD3FAB"/>
    <w:rsid w:val="00AD4135"/>
    <w:rsid w:val="00AD4395"/>
    <w:rsid w:val="00AD4471"/>
    <w:rsid w:val="00AD4E6B"/>
    <w:rsid w:val="00AD51EA"/>
    <w:rsid w:val="00AD5476"/>
    <w:rsid w:val="00AD56AD"/>
    <w:rsid w:val="00AD5739"/>
    <w:rsid w:val="00AD57C7"/>
    <w:rsid w:val="00AD5A04"/>
    <w:rsid w:val="00AD5A6F"/>
    <w:rsid w:val="00AD5C9B"/>
    <w:rsid w:val="00AD5DA7"/>
    <w:rsid w:val="00AD5E03"/>
    <w:rsid w:val="00AD61B7"/>
    <w:rsid w:val="00AD639C"/>
    <w:rsid w:val="00AD6B5B"/>
    <w:rsid w:val="00AD7704"/>
    <w:rsid w:val="00AD78F6"/>
    <w:rsid w:val="00AD7D2A"/>
    <w:rsid w:val="00AD7F54"/>
    <w:rsid w:val="00AD7F6B"/>
    <w:rsid w:val="00AE0196"/>
    <w:rsid w:val="00AE024E"/>
    <w:rsid w:val="00AE0307"/>
    <w:rsid w:val="00AE0395"/>
    <w:rsid w:val="00AE0E22"/>
    <w:rsid w:val="00AE0FA3"/>
    <w:rsid w:val="00AE108F"/>
    <w:rsid w:val="00AE109C"/>
    <w:rsid w:val="00AE118A"/>
    <w:rsid w:val="00AE11B1"/>
    <w:rsid w:val="00AE1207"/>
    <w:rsid w:val="00AE1B33"/>
    <w:rsid w:val="00AE1D26"/>
    <w:rsid w:val="00AE1EB2"/>
    <w:rsid w:val="00AE248C"/>
    <w:rsid w:val="00AE267B"/>
    <w:rsid w:val="00AE271F"/>
    <w:rsid w:val="00AE3457"/>
    <w:rsid w:val="00AE425F"/>
    <w:rsid w:val="00AE43A0"/>
    <w:rsid w:val="00AE478F"/>
    <w:rsid w:val="00AE4ABF"/>
    <w:rsid w:val="00AE50EA"/>
    <w:rsid w:val="00AE511A"/>
    <w:rsid w:val="00AE51AB"/>
    <w:rsid w:val="00AE526D"/>
    <w:rsid w:val="00AE541F"/>
    <w:rsid w:val="00AE54A7"/>
    <w:rsid w:val="00AE5859"/>
    <w:rsid w:val="00AE5925"/>
    <w:rsid w:val="00AE5CC9"/>
    <w:rsid w:val="00AE5D83"/>
    <w:rsid w:val="00AE63A3"/>
    <w:rsid w:val="00AE6673"/>
    <w:rsid w:val="00AE6B25"/>
    <w:rsid w:val="00AE6CD4"/>
    <w:rsid w:val="00AE6E05"/>
    <w:rsid w:val="00AE7341"/>
    <w:rsid w:val="00AE74ED"/>
    <w:rsid w:val="00AE77F6"/>
    <w:rsid w:val="00AE7D28"/>
    <w:rsid w:val="00AF028B"/>
    <w:rsid w:val="00AF04B2"/>
    <w:rsid w:val="00AF0658"/>
    <w:rsid w:val="00AF0693"/>
    <w:rsid w:val="00AF06BE"/>
    <w:rsid w:val="00AF1924"/>
    <w:rsid w:val="00AF1962"/>
    <w:rsid w:val="00AF1EAF"/>
    <w:rsid w:val="00AF2267"/>
    <w:rsid w:val="00AF2392"/>
    <w:rsid w:val="00AF23EC"/>
    <w:rsid w:val="00AF27B0"/>
    <w:rsid w:val="00AF287A"/>
    <w:rsid w:val="00AF2CCE"/>
    <w:rsid w:val="00AF2F29"/>
    <w:rsid w:val="00AF32C8"/>
    <w:rsid w:val="00AF412C"/>
    <w:rsid w:val="00AF413C"/>
    <w:rsid w:val="00AF4784"/>
    <w:rsid w:val="00AF4B80"/>
    <w:rsid w:val="00AF4BEB"/>
    <w:rsid w:val="00AF4EB0"/>
    <w:rsid w:val="00AF50B2"/>
    <w:rsid w:val="00AF52CC"/>
    <w:rsid w:val="00AF541A"/>
    <w:rsid w:val="00AF5A7A"/>
    <w:rsid w:val="00AF62D9"/>
    <w:rsid w:val="00AF6561"/>
    <w:rsid w:val="00AF6614"/>
    <w:rsid w:val="00AF6D79"/>
    <w:rsid w:val="00AF6E26"/>
    <w:rsid w:val="00AF6F50"/>
    <w:rsid w:val="00AF7050"/>
    <w:rsid w:val="00AF73C2"/>
    <w:rsid w:val="00AF752E"/>
    <w:rsid w:val="00AF7BDA"/>
    <w:rsid w:val="00AF7BEC"/>
    <w:rsid w:val="00AF7F8A"/>
    <w:rsid w:val="00B003CB"/>
    <w:rsid w:val="00B00492"/>
    <w:rsid w:val="00B009AA"/>
    <w:rsid w:val="00B009F5"/>
    <w:rsid w:val="00B00CF3"/>
    <w:rsid w:val="00B00E2A"/>
    <w:rsid w:val="00B016B0"/>
    <w:rsid w:val="00B017C9"/>
    <w:rsid w:val="00B01831"/>
    <w:rsid w:val="00B01AA9"/>
    <w:rsid w:val="00B01C44"/>
    <w:rsid w:val="00B02284"/>
    <w:rsid w:val="00B023FC"/>
    <w:rsid w:val="00B025CC"/>
    <w:rsid w:val="00B02967"/>
    <w:rsid w:val="00B029D5"/>
    <w:rsid w:val="00B02DF1"/>
    <w:rsid w:val="00B02F1E"/>
    <w:rsid w:val="00B03B4E"/>
    <w:rsid w:val="00B04528"/>
    <w:rsid w:val="00B04A45"/>
    <w:rsid w:val="00B04A47"/>
    <w:rsid w:val="00B04AB1"/>
    <w:rsid w:val="00B04CD3"/>
    <w:rsid w:val="00B04F4B"/>
    <w:rsid w:val="00B05116"/>
    <w:rsid w:val="00B053C8"/>
    <w:rsid w:val="00B05478"/>
    <w:rsid w:val="00B055AF"/>
    <w:rsid w:val="00B05ABC"/>
    <w:rsid w:val="00B060E9"/>
    <w:rsid w:val="00B062C1"/>
    <w:rsid w:val="00B063AD"/>
    <w:rsid w:val="00B06585"/>
    <w:rsid w:val="00B065AF"/>
    <w:rsid w:val="00B06627"/>
    <w:rsid w:val="00B06708"/>
    <w:rsid w:val="00B06A4A"/>
    <w:rsid w:val="00B06A5E"/>
    <w:rsid w:val="00B06CAC"/>
    <w:rsid w:val="00B06F24"/>
    <w:rsid w:val="00B070AE"/>
    <w:rsid w:val="00B07171"/>
    <w:rsid w:val="00B0743C"/>
    <w:rsid w:val="00B07540"/>
    <w:rsid w:val="00B0759A"/>
    <w:rsid w:val="00B1040C"/>
    <w:rsid w:val="00B1080D"/>
    <w:rsid w:val="00B10883"/>
    <w:rsid w:val="00B108EF"/>
    <w:rsid w:val="00B10960"/>
    <w:rsid w:val="00B11320"/>
    <w:rsid w:val="00B1147B"/>
    <w:rsid w:val="00B119AF"/>
    <w:rsid w:val="00B11E24"/>
    <w:rsid w:val="00B1228B"/>
    <w:rsid w:val="00B12339"/>
    <w:rsid w:val="00B12A16"/>
    <w:rsid w:val="00B12B3D"/>
    <w:rsid w:val="00B12D97"/>
    <w:rsid w:val="00B13156"/>
    <w:rsid w:val="00B131C7"/>
    <w:rsid w:val="00B137DA"/>
    <w:rsid w:val="00B13B87"/>
    <w:rsid w:val="00B14129"/>
    <w:rsid w:val="00B14390"/>
    <w:rsid w:val="00B14403"/>
    <w:rsid w:val="00B14581"/>
    <w:rsid w:val="00B147E8"/>
    <w:rsid w:val="00B15754"/>
    <w:rsid w:val="00B15791"/>
    <w:rsid w:val="00B157EB"/>
    <w:rsid w:val="00B158F8"/>
    <w:rsid w:val="00B15A9F"/>
    <w:rsid w:val="00B15E20"/>
    <w:rsid w:val="00B15EC3"/>
    <w:rsid w:val="00B16192"/>
    <w:rsid w:val="00B16543"/>
    <w:rsid w:val="00B16784"/>
    <w:rsid w:val="00B167E6"/>
    <w:rsid w:val="00B16EEF"/>
    <w:rsid w:val="00B170F3"/>
    <w:rsid w:val="00B172AE"/>
    <w:rsid w:val="00B173C8"/>
    <w:rsid w:val="00B179EF"/>
    <w:rsid w:val="00B17CBE"/>
    <w:rsid w:val="00B17EF9"/>
    <w:rsid w:val="00B20022"/>
    <w:rsid w:val="00B202F8"/>
    <w:rsid w:val="00B2039C"/>
    <w:rsid w:val="00B205FD"/>
    <w:rsid w:val="00B206A1"/>
    <w:rsid w:val="00B208F3"/>
    <w:rsid w:val="00B20914"/>
    <w:rsid w:val="00B20DF7"/>
    <w:rsid w:val="00B21335"/>
    <w:rsid w:val="00B2151A"/>
    <w:rsid w:val="00B215A8"/>
    <w:rsid w:val="00B2187D"/>
    <w:rsid w:val="00B21D4D"/>
    <w:rsid w:val="00B21F60"/>
    <w:rsid w:val="00B220B4"/>
    <w:rsid w:val="00B222C4"/>
    <w:rsid w:val="00B2244E"/>
    <w:rsid w:val="00B22911"/>
    <w:rsid w:val="00B22A15"/>
    <w:rsid w:val="00B22ADC"/>
    <w:rsid w:val="00B22C30"/>
    <w:rsid w:val="00B22CBB"/>
    <w:rsid w:val="00B22E20"/>
    <w:rsid w:val="00B23320"/>
    <w:rsid w:val="00B23332"/>
    <w:rsid w:val="00B23DC5"/>
    <w:rsid w:val="00B2492B"/>
    <w:rsid w:val="00B25521"/>
    <w:rsid w:val="00B255C3"/>
    <w:rsid w:val="00B25B00"/>
    <w:rsid w:val="00B25F61"/>
    <w:rsid w:val="00B26415"/>
    <w:rsid w:val="00B264B1"/>
    <w:rsid w:val="00B26971"/>
    <w:rsid w:val="00B26A78"/>
    <w:rsid w:val="00B26C07"/>
    <w:rsid w:val="00B26DB0"/>
    <w:rsid w:val="00B26DD9"/>
    <w:rsid w:val="00B27409"/>
    <w:rsid w:val="00B27841"/>
    <w:rsid w:val="00B278CC"/>
    <w:rsid w:val="00B27999"/>
    <w:rsid w:val="00B27C92"/>
    <w:rsid w:val="00B27DB4"/>
    <w:rsid w:val="00B306C6"/>
    <w:rsid w:val="00B306F3"/>
    <w:rsid w:val="00B307D3"/>
    <w:rsid w:val="00B310CF"/>
    <w:rsid w:val="00B31221"/>
    <w:rsid w:val="00B312C9"/>
    <w:rsid w:val="00B3155B"/>
    <w:rsid w:val="00B3182B"/>
    <w:rsid w:val="00B31AD5"/>
    <w:rsid w:val="00B31E8C"/>
    <w:rsid w:val="00B31FA1"/>
    <w:rsid w:val="00B31FC8"/>
    <w:rsid w:val="00B32C62"/>
    <w:rsid w:val="00B3314B"/>
    <w:rsid w:val="00B331D2"/>
    <w:rsid w:val="00B33550"/>
    <w:rsid w:val="00B33B1F"/>
    <w:rsid w:val="00B347AF"/>
    <w:rsid w:val="00B34AB5"/>
    <w:rsid w:val="00B34CAE"/>
    <w:rsid w:val="00B34F55"/>
    <w:rsid w:val="00B351A3"/>
    <w:rsid w:val="00B353FA"/>
    <w:rsid w:val="00B35876"/>
    <w:rsid w:val="00B35D17"/>
    <w:rsid w:val="00B35DB9"/>
    <w:rsid w:val="00B35DED"/>
    <w:rsid w:val="00B35E8C"/>
    <w:rsid w:val="00B35FF3"/>
    <w:rsid w:val="00B3623A"/>
    <w:rsid w:val="00B36548"/>
    <w:rsid w:val="00B3693C"/>
    <w:rsid w:val="00B369EC"/>
    <w:rsid w:val="00B36D20"/>
    <w:rsid w:val="00B36E2E"/>
    <w:rsid w:val="00B37012"/>
    <w:rsid w:val="00B370F6"/>
    <w:rsid w:val="00B3713F"/>
    <w:rsid w:val="00B373CD"/>
    <w:rsid w:val="00B375FE"/>
    <w:rsid w:val="00B376AF"/>
    <w:rsid w:val="00B400AD"/>
    <w:rsid w:val="00B40209"/>
    <w:rsid w:val="00B4038D"/>
    <w:rsid w:val="00B407C4"/>
    <w:rsid w:val="00B40F3B"/>
    <w:rsid w:val="00B4104A"/>
    <w:rsid w:val="00B41385"/>
    <w:rsid w:val="00B41558"/>
    <w:rsid w:val="00B421C9"/>
    <w:rsid w:val="00B42453"/>
    <w:rsid w:val="00B4258E"/>
    <w:rsid w:val="00B428E1"/>
    <w:rsid w:val="00B42F86"/>
    <w:rsid w:val="00B43251"/>
    <w:rsid w:val="00B43ED6"/>
    <w:rsid w:val="00B44208"/>
    <w:rsid w:val="00B4424D"/>
    <w:rsid w:val="00B444B9"/>
    <w:rsid w:val="00B446B1"/>
    <w:rsid w:val="00B44965"/>
    <w:rsid w:val="00B449AB"/>
    <w:rsid w:val="00B455D0"/>
    <w:rsid w:val="00B458FC"/>
    <w:rsid w:val="00B45933"/>
    <w:rsid w:val="00B4599C"/>
    <w:rsid w:val="00B459A6"/>
    <w:rsid w:val="00B45D7A"/>
    <w:rsid w:val="00B46135"/>
    <w:rsid w:val="00B466FF"/>
    <w:rsid w:val="00B468A0"/>
    <w:rsid w:val="00B46944"/>
    <w:rsid w:val="00B469D4"/>
    <w:rsid w:val="00B46A65"/>
    <w:rsid w:val="00B47014"/>
    <w:rsid w:val="00B47375"/>
    <w:rsid w:val="00B47486"/>
    <w:rsid w:val="00B47C44"/>
    <w:rsid w:val="00B47EB8"/>
    <w:rsid w:val="00B50157"/>
    <w:rsid w:val="00B5020D"/>
    <w:rsid w:val="00B50340"/>
    <w:rsid w:val="00B50545"/>
    <w:rsid w:val="00B50744"/>
    <w:rsid w:val="00B508A3"/>
    <w:rsid w:val="00B50A59"/>
    <w:rsid w:val="00B50DB5"/>
    <w:rsid w:val="00B50DB9"/>
    <w:rsid w:val="00B5135B"/>
    <w:rsid w:val="00B51C9F"/>
    <w:rsid w:val="00B51E48"/>
    <w:rsid w:val="00B51EB4"/>
    <w:rsid w:val="00B520DD"/>
    <w:rsid w:val="00B521A3"/>
    <w:rsid w:val="00B52643"/>
    <w:rsid w:val="00B52847"/>
    <w:rsid w:val="00B530E9"/>
    <w:rsid w:val="00B5317A"/>
    <w:rsid w:val="00B53583"/>
    <w:rsid w:val="00B53A3A"/>
    <w:rsid w:val="00B53D06"/>
    <w:rsid w:val="00B53E64"/>
    <w:rsid w:val="00B5406F"/>
    <w:rsid w:val="00B544C2"/>
    <w:rsid w:val="00B546D1"/>
    <w:rsid w:val="00B54727"/>
    <w:rsid w:val="00B54754"/>
    <w:rsid w:val="00B55392"/>
    <w:rsid w:val="00B556BA"/>
    <w:rsid w:val="00B55821"/>
    <w:rsid w:val="00B55D94"/>
    <w:rsid w:val="00B560E4"/>
    <w:rsid w:val="00B565D4"/>
    <w:rsid w:val="00B56AD2"/>
    <w:rsid w:val="00B56D5B"/>
    <w:rsid w:val="00B56D65"/>
    <w:rsid w:val="00B56EEB"/>
    <w:rsid w:val="00B56EED"/>
    <w:rsid w:val="00B5754C"/>
    <w:rsid w:val="00B57742"/>
    <w:rsid w:val="00B577E2"/>
    <w:rsid w:val="00B57877"/>
    <w:rsid w:val="00B5793E"/>
    <w:rsid w:val="00B57E90"/>
    <w:rsid w:val="00B57F2A"/>
    <w:rsid w:val="00B60105"/>
    <w:rsid w:val="00B602EC"/>
    <w:rsid w:val="00B6091B"/>
    <w:rsid w:val="00B60A54"/>
    <w:rsid w:val="00B60C9A"/>
    <w:rsid w:val="00B61446"/>
    <w:rsid w:val="00B6144C"/>
    <w:rsid w:val="00B61522"/>
    <w:rsid w:val="00B61BAE"/>
    <w:rsid w:val="00B61C0F"/>
    <w:rsid w:val="00B61E4E"/>
    <w:rsid w:val="00B61E83"/>
    <w:rsid w:val="00B61EC6"/>
    <w:rsid w:val="00B61ED7"/>
    <w:rsid w:val="00B61F7B"/>
    <w:rsid w:val="00B620D1"/>
    <w:rsid w:val="00B629FB"/>
    <w:rsid w:val="00B62CA3"/>
    <w:rsid w:val="00B63372"/>
    <w:rsid w:val="00B63489"/>
    <w:rsid w:val="00B63BAB"/>
    <w:rsid w:val="00B64B91"/>
    <w:rsid w:val="00B64BC8"/>
    <w:rsid w:val="00B65122"/>
    <w:rsid w:val="00B652A5"/>
    <w:rsid w:val="00B655C1"/>
    <w:rsid w:val="00B657C0"/>
    <w:rsid w:val="00B659DC"/>
    <w:rsid w:val="00B65ADE"/>
    <w:rsid w:val="00B65F12"/>
    <w:rsid w:val="00B66089"/>
    <w:rsid w:val="00B66153"/>
    <w:rsid w:val="00B664C7"/>
    <w:rsid w:val="00B6661F"/>
    <w:rsid w:val="00B666C1"/>
    <w:rsid w:val="00B666EE"/>
    <w:rsid w:val="00B66766"/>
    <w:rsid w:val="00B66842"/>
    <w:rsid w:val="00B66C5B"/>
    <w:rsid w:val="00B66E84"/>
    <w:rsid w:val="00B672FD"/>
    <w:rsid w:val="00B6752E"/>
    <w:rsid w:val="00B675FD"/>
    <w:rsid w:val="00B67748"/>
    <w:rsid w:val="00B67AB1"/>
    <w:rsid w:val="00B67C12"/>
    <w:rsid w:val="00B70152"/>
    <w:rsid w:val="00B709A7"/>
    <w:rsid w:val="00B70A1D"/>
    <w:rsid w:val="00B70C57"/>
    <w:rsid w:val="00B70D8F"/>
    <w:rsid w:val="00B71058"/>
    <w:rsid w:val="00B7123B"/>
    <w:rsid w:val="00B71248"/>
    <w:rsid w:val="00B71595"/>
    <w:rsid w:val="00B7171C"/>
    <w:rsid w:val="00B71908"/>
    <w:rsid w:val="00B71E23"/>
    <w:rsid w:val="00B72022"/>
    <w:rsid w:val="00B7235E"/>
    <w:rsid w:val="00B728A5"/>
    <w:rsid w:val="00B733C9"/>
    <w:rsid w:val="00B734E8"/>
    <w:rsid w:val="00B737C2"/>
    <w:rsid w:val="00B73901"/>
    <w:rsid w:val="00B73B40"/>
    <w:rsid w:val="00B73FBE"/>
    <w:rsid w:val="00B74034"/>
    <w:rsid w:val="00B7443D"/>
    <w:rsid w:val="00B7504D"/>
    <w:rsid w:val="00B7513C"/>
    <w:rsid w:val="00B75708"/>
    <w:rsid w:val="00B757A0"/>
    <w:rsid w:val="00B75A5C"/>
    <w:rsid w:val="00B75ABA"/>
    <w:rsid w:val="00B75C62"/>
    <w:rsid w:val="00B75D8A"/>
    <w:rsid w:val="00B75E58"/>
    <w:rsid w:val="00B76333"/>
    <w:rsid w:val="00B7636B"/>
    <w:rsid w:val="00B7658C"/>
    <w:rsid w:val="00B76854"/>
    <w:rsid w:val="00B768F7"/>
    <w:rsid w:val="00B76DE3"/>
    <w:rsid w:val="00B76E01"/>
    <w:rsid w:val="00B77013"/>
    <w:rsid w:val="00B77017"/>
    <w:rsid w:val="00B775BE"/>
    <w:rsid w:val="00B777D5"/>
    <w:rsid w:val="00B77867"/>
    <w:rsid w:val="00B778CF"/>
    <w:rsid w:val="00B77905"/>
    <w:rsid w:val="00B77A76"/>
    <w:rsid w:val="00B77B98"/>
    <w:rsid w:val="00B77DE1"/>
    <w:rsid w:val="00B801C3"/>
    <w:rsid w:val="00B80837"/>
    <w:rsid w:val="00B80881"/>
    <w:rsid w:val="00B80BC3"/>
    <w:rsid w:val="00B80CBF"/>
    <w:rsid w:val="00B80F64"/>
    <w:rsid w:val="00B8109E"/>
    <w:rsid w:val="00B812D2"/>
    <w:rsid w:val="00B813D9"/>
    <w:rsid w:val="00B8143B"/>
    <w:rsid w:val="00B81501"/>
    <w:rsid w:val="00B815A0"/>
    <w:rsid w:val="00B8192C"/>
    <w:rsid w:val="00B81946"/>
    <w:rsid w:val="00B81DA1"/>
    <w:rsid w:val="00B81DF5"/>
    <w:rsid w:val="00B81F47"/>
    <w:rsid w:val="00B81FAA"/>
    <w:rsid w:val="00B827D9"/>
    <w:rsid w:val="00B8289D"/>
    <w:rsid w:val="00B82C7B"/>
    <w:rsid w:val="00B82FEB"/>
    <w:rsid w:val="00B83118"/>
    <w:rsid w:val="00B8313E"/>
    <w:rsid w:val="00B8390E"/>
    <w:rsid w:val="00B8393B"/>
    <w:rsid w:val="00B83F18"/>
    <w:rsid w:val="00B84173"/>
    <w:rsid w:val="00B8423E"/>
    <w:rsid w:val="00B84799"/>
    <w:rsid w:val="00B847E1"/>
    <w:rsid w:val="00B84B10"/>
    <w:rsid w:val="00B84C40"/>
    <w:rsid w:val="00B85165"/>
    <w:rsid w:val="00B855E7"/>
    <w:rsid w:val="00B859D3"/>
    <w:rsid w:val="00B85FA5"/>
    <w:rsid w:val="00B86419"/>
    <w:rsid w:val="00B86676"/>
    <w:rsid w:val="00B86D1F"/>
    <w:rsid w:val="00B86EC9"/>
    <w:rsid w:val="00B86ECA"/>
    <w:rsid w:val="00B86F04"/>
    <w:rsid w:val="00B86FAA"/>
    <w:rsid w:val="00B870FC"/>
    <w:rsid w:val="00B87423"/>
    <w:rsid w:val="00B8750B"/>
    <w:rsid w:val="00B879CA"/>
    <w:rsid w:val="00B879FC"/>
    <w:rsid w:val="00B87A58"/>
    <w:rsid w:val="00B87C24"/>
    <w:rsid w:val="00B87E61"/>
    <w:rsid w:val="00B87F0E"/>
    <w:rsid w:val="00B87F3D"/>
    <w:rsid w:val="00B90030"/>
    <w:rsid w:val="00B900E3"/>
    <w:rsid w:val="00B90584"/>
    <w:rsid w:val="00B90762"/>
    <w:rsid w:val="00B90C3C"/>
    <w:rsid w:val="00B90CF2"/>
    <w:rsid w:val="00B9104C"/>
    <w:rsid w:val="00B911B2"/>
    <w:rsid w:val="00B91376"/>
    <w:rsid w:val="00B916EE"/>
    <w:rsid w:val="00B91AA1"/>
    <w:rsid w:val="00B91CCF"/>
    <w:rsid w:val="00B91D54"/>
    <w:rsid w:val="00B9204B"/>
    <w:rsid w:val="00B926C2"/>
    <w:rsid w:val="00B92958"/>
    <w:rsid w:val="00B9313B"/>
    <w:rsid w:val="00B93754"/>
    <w:rsid w:val="00B93B7B"/>
    <w:rsid w:val="00B941BE"/>
    <w:rsid w:val="00B94358"/>
    <w:rsid w:val="00B944DB"/>
    <w:rsid w:val="00B94A53"/>
    <w:rsid w:val="00B94B20"/>
    <w:rsid w:val="00B94E72"/>
    <w:rsid w:val="00B94EF6"/>
    <w:rsid w:val="00B95092"/>
    <w:rsid w:val="00B955ED"/>
    <w:rsid w:val="00B95908"/>
    <w:rsid w:val="00B95E45"/>
    <w:rsid w:val="00B95EBC"/>
    <w:rsid w:val="00B95F63"/>
    <w:rsid w:val="00B962B1"/>
    <w:rsid w:val="00B962E3"/>
    <w:rsid w:val="00B97427"/>
    <w:rsid w:val="00B976F2"/>
    <w:rsid w:val="00B97767"/>
    <w:rsid w:val="00BA01D3"/>
    <w:rsid w:val="00BA04EC"/>
    <w:rsid w:val="00BA0DD1"/>
    <w:rsid w:val="00BA0F1B"/>
    <w:rsid w:val="00BA1104"/>
    <w:rsid w:val="00BA1735"/>
    <w:rsid w:val="00BA1E41"/>
    <w:rsid w:val="00BA20FA"/>
    <w:rsid w:val="00BA2214"/>
    <w:rsid w:val="00BA2270"/>
    <w:rsid w:val="00BA262E"/>
    <w:rsid w:val="00BA2A2D"/>
    <w:rsid w:val="00BA2B91"/>
    <w:rsid w:val="00BA2F06"/>
    <w:rsid w:val="00BA342A"/>
    <w:rsid w:val="00BA3631"/>
    <w:rsid w:val="00BA368C"/>
    <w:rsid w:val="00BA369F"/>
    <w:rsid w:val="00BA3F73"/>
    <w:rsid w:val="00BA3FA6"/>
    <w:rsid w:val="00BA413C"/>
    <w:rsid w:val="00BA42EF"/>
    <w:rsid w:val="00BA46FE"/>
    <w:rsid w:val="00BA486C"/>
    <w:rsid w:val="00BA4CDC"/>
    <w:rsid w:val="00BA5042"/>
    <w:rsid w:val="00BA53DF"/>
    <w:rsid w:val="00BA5A78"/>
    <w:rsid w:val="00BA5DA4"/>
    <w:rsid w:val="00BA62D9"/>
    <w:rsid w:val="00BA65AB"/>
    <w:rsid w:val="00BA6D78"/>
    <w:rsid w:val="00BA7402"/>
    <w:rsid w:val="00BA75BE"/>
    <w:rsid w:val="00BA77C8"/>
    <w:rsid w:val="00BA7869"/>
    <w:rsid w:val="00BA7D52"/>
    <w:rsid w:val="00BA7E8E"/>
    <w:rsid w:val="00BB02BE"/>
    <w:rsid w:val="00BB045E"/>
    <w:rsid w:val="00BB04A9"/>
    <w:rsid w:val="00BB056F"/>
    <w:rsid w:val="00BB0587"/>
    <w:rsid w:val="00BB0707"/>
    <w:rsid w:val="00BB0CD1"/>
    <w:rsid w:val="00BB0D5D"/>
    <w:rsid w:val="00BB0E67"/>
    <w:rsid w:val="00BB0F67"/>
    <w:rsid w:val="00BB1230"/>
    <w:rsid w:val="00BB1458"/>
    <w:rsid w:val="00BB179C"/>
    <w:rsid w:val="00BB17A7"/>
    <w:rsid w:val="00BB1D48"/>
    <w:rsid w:val="00BB1D80"/>
    <w:rsid w:val="00BB1DBE"/>
    <w:rsid w:val="00BB1DFC"/>
    <w:rsid w:val="00BB2396"/>
    <w:rsid w:val="00BB2840"/>
    <w:rsid w:val="00BB362E"/>
    <w:rsid w:val="00BB3836"/>
    <w:rsid w:val="00BB3911"/>
    <w:rsid w:val="00BB3E6F"/>
    <w:rsid w:val="00BB4A1D"/>
    <w:rsid w:val="00BB4DB7"/>
    <w:rsid w:val="00BB4E1D"/>
    <w:rsid w:val="00BB5711"/>
    <w:rsid w:val="00BB5AB9"/>
    <w:rsid w:val="00BB5F23"/>
    <w:rsid w:val="00BB64CB"/>
    <w:rsid w:val="00BB65D1"/>
    <w:rsid w:val="00BB6709"/>
    <w:rsid w:val="00BB6A14"/>
    <w:rsid w:val="00BB6D69"/>
    <w:rsid w:val="00BB70BB"/>
    <w:rsid w:val="00BB7140"/>
    <w:rsid w:val="00BB72F4"/>
    <w:rsid w:val="00BB742B"/>
    <w:rsid w:val="00BB762A"/>
    <w:rsid w:val="00BB7AC0"/>
    <w:rsid w:val="00BB7CDB"/>
    <w:rsid w:val="00BB7EEF"/>
    <w:rsid w:val="00BC007E"/>
    <w:rsid w:val="00BC03B4"/>
    <w:rsid w:val="00BC097F"/>
    <w:rsid w:val="00BC0A50"/>
    <w:rsid w:val="00BC0D16"/>
    <w:rsid w:val="00BC0F49"/>
    <w:rsid w:val="00BC1216"/>
    <w:rsid w:val="00BC143E"/>
    <w:rsid w:val="00BC14A4"/>
    <w:rsid w:val="00BC157F"/>
    <w:rsid w:val="00BC189F"/>
    <w:rsid w:val="00BC1903"/>
    <w:rsid w:val="00BC1A13"/>
    <w:rsid w:val="00BC1DF5"/>
    <w:rsid w:val="00BC1F28"/>
    <w:rsid w:val="00BC21FC"/>
    <w:rsid w:val="00BC22FD"/>
    <w:rsid w:val="00BC25B8"/>
    <w:rsid w:val="00BC29A8"/>
    <w:rsid w:val="00BC2A06"/>
    <w:rsid w:val="00BC2D3E"/>
    <w:rsid w:val="00BC30DF"/>
    <w:rsid w:val="00BC3131"/>
    <w:rsid w:val="00BC315C"/>
    <w:rsid w:val="00BC3E31"/>
    <w:rsid w:val="00BC4005"/>
    <w:rsid w:val="00BC4096"/>
    <w:rsid w:val="00BC43A8"/>
    <w:rsid w:val="00BC460A"/>
    <w:rsid w:val="00BC48E0"/>
    <w:rsid w:val="00BC490A"/>
    <w:rsid w:val="00BC4D7E"/>
    <w:rsid w:val="00BC4ED8"/>
    <w:rsid w:val="00BC5396"/>
    <w:rsid w:val="00BC57E6"/>
    <w:rsid w:val="00BC5CA0"/>
    <w:rsid w:val="00BC5D4D"/>
    <w:rsid w:val="00BC5DBA"/>
    <w:rsid w:val="00BC63CD"/>
    <w:rsid w:val="00BC6600"/>
    <w:rsid w:val="00BC700C"/>
    <w:rsid w:val="00BC7395"/>
    <w:rsid w:val="00BC7CD6"/>
    <w:rsid w:val="00BD08F4"/>
    <w:rsid w:val="00BD099B"/>
    <w:rsid w:val="00BD0A41"/>
    <w:rsid w:val="00BD0A5F"/>
    <w:rsid w:val="00BD0C84"/>
    <w:rsid w:val="00BD0D4A"/>
    <w:rsid w:val="00BD0EAD"/>
    <w:rsid w:val="00BD117F"/>
    <w:rsid w:val="00BD118B"/>
    <w:rsid w:val="00BD157A"/>
    <w:rsid w:val="00BD1670"/>
    <w:rsid w:val="00BD19B1"/>
    <w:rsid w:val="00BD1AD2"/>
    <w:rsid w:val="00BD1CD4"/>
    <w:rsid w:val="00BD1D07"/>
    <w:rsid w:val="00BD2036"/>
    <w:rsid w:val="00BD23DF"/>
    <w:rsid w:val="00BD2886"/>
    <w:rsid w:val="00BD29BB"/>
    <w:rsid w:val="00BD2B28"/>
    <w:rsid w:val="00BD2F31"/>
    <w:rsid w:val="00BD32E1"/>
    <w:rsid w:val="00BD333F"/>
    <w:rsid w:val="00BD3516"/>
    <w:rsid w:val="00BD356C"/>
    <w:rsid w:val="00BD3755"/>
    <w:rsid w:val="00BD3B32"/>
    <w:rsid w:val="00BD3FAB"/>
    <w:rsid w:val="00BD41C3"/>
    <w:rsid w:val="00BD4254"/>
    <w:rsid w:val="00BD4439"/>
    <w:rsid w:val="00BD460D"/>
    <w:rsid w:val="00BD489B"/>
    <w:rsid w:val="00BD515E"/>
    <w:rsid w:val="00BD518C"/>
    <w:rsid w:val="00BD51AB"/>
    <w:rsid w:val="00BD55F1"/>
    <w:rsid w:val="00BD576A"/>
    <w:rsid w:val="00BD5D07"/>
    <w:rsid w:val="00BD5E9B"/>
    <w:rsid w:val="00BD60D8"/>
    <w:rsid w:val="00BD6131"/>
    <w:rsid w:val="00BD630A"/>
    <w:rsid w:val="00BD633E"/>
    <w:rsid w:val="00BD64D5"/>
    <w:rsid w:val="00BD64EF"/>
    <w:rsid w:val="00BD658C"/>
    <w:rsid w:val="00BD691A"/>
    <w:rsid w:val="00BD69D4"/>
    <w:rsid w:val="00BD6A84"/>
    <w:rsid w:val="00BD6C87"/>
    <w:rsid w:val="00BD6DD3"/>
    <w:rsid w:val="00BD6E8C"/>
    <w:rsid w:val="00BD709B"/>
    <w:rsid w:val="00BD7147"/>
    <w:rsid w:val="00BD7256"/>
    <w:rsid w:val="00BD73F5"/>
    <w:rsid w:val="00BD7B84"/>
    <w:rsid w:val="00BD7DBE"/>
    <w:rsid w:val="00BE01D4"/>
    <w:rsid w:val="00BE02C1"/>
    <w:rsid w:val="00BE0630"/>
    <w:rsid w:val="00BE0636"/>
    <w:rsid w:val="00BE0715"/>
    <w:rsid w:val="00BE08F3"/>
    <w:rsid w:val="00BE0913"/>
    <w:rsid w:val="00BE0D2D"/>
    <w:rsid w:val="00BE0FDC"/>
    <w:rsid w:val="00BE1177"/>
    <w:rsid w:val="00BE13A7"/>
    <w:rsid w:val="00BE14A8"/>
    <w:rsid w:val="00BE14FD"/>
    <w:rsid w:val="00BE152E"/>
    <w:rsid w:val="00BE15B4"/>
    <w:rsid w:val="00BE1903"/>
    <w:rsid w:val="00BE1A72"/>
    <w:rsid w:val="00BE1CCF"/>
    <w:rsid w:val="00BE1D98"/>
    <w:rsid w:val="00BE201A"/>
    <w:rsid w:val="00BE224B"/>
    <w:rsid w:val="00BE2357"/>
    <w:rsid w:val="00BE2586"/>
    <w:rsid w:val="00BE2A6E"/>
    <w:rsid w:val="00BE2D66"/>
    <w:rsid w:val="00BE2FC1"/>
    <w:rsid w:val="00BE344B"/>
    <w:rsid w:val="00BE35ED"/>
    <w:rsid w:val="00BE37E9"/>
    <w:rsid w:val="00BE3800"/>
    <w:rsid w:val="00BE3D58"/>
    <w:rsid w:val="00BE42AB"/>
    <w:rsid w:val="00BE4421"/>
    <w:rsid w:val="00BE4B94"/>
    <w:rsid w:val="00BE4EE8"/>
    <w:rsid w:val="00BE5628"/>
    <w:rsid w:val="00BE5689"/>
    <w:rsid w:val="00BE56EE"/>
    <w:rsid w:val="00BE578F"/>
    <w:rsid w:val="00BE580E"/>
    <w:rsid w:val="00BE58AC"/>
    <w:rsid w:val="00BE5EFE"/>
    <w:rsid w:val="00BE6053"/>
    <w:rsid w:val="00BE6334"/>
    <w:rsid w:val="00BE645A"/>
    <w:rsid w:val="00BE657E"/>
    <w:rsid w:val="00BE6702"/>
    <w:rsid w:val="00BE6950"/>
    <w:rsid w:val="00BE6BB2"/>
    <w:rsid w:val="00BE6CDC"/>
    <w:rsid w:val="00BE71DE"/>
    <w:rsid w:val="00BE7207"/>
    <w:rsid w:val="00BE739E"/>
    <w:rsid w:val="00BE7B6A"/>
    <w:rsid w:val="00BE7DF0"/>
    <w:rsid w:val="00BE7E17"/>
    <w:rsid w:val="00BE7F4F"/>
    <w:rsid w:val="00BE7FB3"/>
    <w:rsid w:val="00BF033B"/>
    <w:rsid w:val="00BF03E3"/>
    <w:rsid w:val="00BF04F3"/>
    <w:rsid w:val="00BF0941"/>
    <w:rsid w:val="00BF0B34"/>
    <w:rsid w:val="00BF0B99"/>
    <w:rsid w:val="00BF0D30"/>
    <w:rsid w:val="00BF0D38"/>
    <w:rsid w:val="00BF0F96"/>
    <w:rsid w:val="00BF192A"/>
    <w:rsid w:val="00BF195F"/>
    <w:rsid w:val="00BF19D9"/>
    <w:rsid w:val="00BF1A73"/>
    <w:rsid w:val="00BF1C19"/>
    <w:rsid w:val="00BF2606"/>
    <w:rsid w:val="00BF2711"/>
    <w:rsid w:val="00BF2712"/>
    <w:rsid w:val="00BF2EF2"/>
    <w:rsid w:val="00BF30B9"/>
    <w:rsid w:val="00BF35C3"/>
    <w:rsid w:val="00BF361B"/>
    <w:rsid w:val="00BF36A5"/>
    <w:rsid w:val="00BF387B"/>
    <w:rsid w:val="00BF3DBB"/>
    <w:rsid w:val="00BF426C"/>
    <w:rsid w:val="00BF4287"/>
    <w:rsid w:val="00BF4F8E"/>
    <w:rsid w:val="00BF52C4"/>
    <w:rsid w:val="00BF5772"/>
    <w:rsid w:val="00BF5CB9"/>
    <w:rsid w:val="00BF5D14"/>
    <w:rsid w:val="00BF5DD7"/>
    <w:rsid w:val="00BF5EE2"/>
    <w:rsid w:val="00BF62B8"/>
    <w:rsid w:val="00BF633E"/>
    <w:rsid w:val="00BF6436"/>
    <w:rsid w:val="00BF6721"/>
    <w:rsid w:val="00BF6BF5"/>
    <w:rsid w:val="00BF756B"/>
    <w:rsid w:val="00C00183"/>
    <w:rsid w:val="00C0031E"/>
    <w:rsid w:val="00C006AD"/>
    <w:rsid w:val="00C008A1"/>
    <w:rsid w:val="00C00918"/>
    <w:rsid w:val="00C00B35"/>
    <w:rsid w:val="00C00C88"/>
    <w:rsid w:val="00C01595"/>
    <w:rsid w:val="00C015A6"/>
    <w:rsid w:val="00C01625"/>
    <w:rsid w:val="00C0189C"/>
    <w:rsid w:val="00C0205A"/>
    <w:rsid w:val="00C02945"/>
    <w:rsid w:val="00C03268"/>
    <w:rsid w:val="00C04049"/>
    <w:rsid w:val="00C0404F"/>
    <w:rsid w:val="00C040AA"/>
    <w:rsid w:val="00C041C6"/>
    <w:rsid w:val="00C041D8"/>
    <w:rsid w:val="00C04648"/>
    <w:rsid w:val="00C04902"/>
    <w:rsid w:val="00C049B3"/>
    <w:rsid w:val="00C04B47"/>
    <w:rsid w:val="00C04C48"/>
    <w:rsid w:val="00C0503A"/>
    <w:rsid w:val="00C05318"/>
    <w:rsid w:val="00C054D4"/>
    <w:rsid w:val="00C05530"/>
    <w:rsid w:val="00C056F9"/>
    <w:rsid w:val="00C059B8"/>
    <w:rsid w:val="00C05CBC"/>
    <w:rsid w:val="00C05EE2"/>
    <w:rsid w:val="00C060D1"/>
    <w:rsid w:val="00C063FA"/>
    <w:rsid w:val="00C066EF"/>
    <w:rsid w:val="00C06789"/>
    <w:rsid w:val="00C06C19"/>
    <w:rsid w:val="00C06E98"/>
    <w:rsid w:val="00C07106"/>
    <w:rsid w:val="00C07298"/>
    <w:rsid w:val="00C0733A"/>
    <w:rsid w:val="00C074FB"/>
    <w:rsid w:val="00C075E3"/>
    <w:rsid w:val="00C0766B"/>
    <w:rsid w:val="00C10102"/>
    <w:rsid w:val="00C10603"/>
    <w:rsid w:val="00C10A91"/>
    <w:rsid w:val="00C10B93"/>
    <w:rsid w:val="00C10E73"/>
    <w:rsid w:val="00C1104F"/>
    <w:rsid w:val="00C11607"/>
    <w:rsid w:val="00C1162C"/>
    <w:rsid w:val="00C1184F"/>
    <w:rsid w:val="00C1186E"/>
    <w:rsid w:val="00C119FF"/>
    <w:rsid w:val="00C11E79"/>
    <w:rsid w:val="00C11EB5"/>
    <w:rsid w:val="00C121CF"/>
    <w:rsid w:val="00C122B1"/>
    <w:rsid w:val="00C1298D"/>
    <w:rsid w:val="00C12ACC"/>
    <w:rsid w:val="00C12F49"/>
    <w:rsid w:val="00C134AE"/>
    <w:rsid w:val="00C1389C"/>
    <w:rsid w:val="00C14058"/>
    <w:rsid w:val="00C145CC"/>
    <w:rsid w:val="00C1462C"/>
    <w:rsid w:val="00C149F9"/>
    <w:rsid w:val="00C14C69"/>
    <w:rsid w:val="00C15565"/>
    <w:rsid w:val="00C155A8"/>
    <w:rsid w:val="00C15792"/>
    <w:rsid w:val="00C15C60"/>
    <w:rsid w:val="00C15D58"/>
    <w:rsid w:val="00C1619A"/>
    <w:rsid w:val="00C16413"/>
    <w:rsid w:val="00C1676D"/>
    <w:rsid w:val="00C16BE3"/>
    <w:rsid w:val="00C16D00"/>
    <w:rsid w:val="00C16E86"/>
    <w:rsid w:val="00C1750B"/>
    <w:rsid w:val="00C179BB"/>
    <w:rsid w:val="00C17A15"/>
    <w:rsid w:val="00C17C7F"/>
    <w:rsid w:val="00C17DE5"/>
    <w:rsid w:val="00C17E15"/>
    <w:rsid w:val="00C17E7E"/>
    <w:rsid w:val="00C17E89"/>
    <w:rsid w:val="00C20043"/>
    <w:rsid w:val="00C201A5"/>
    <w:rsid w:val="00C20388"/>
    <w:rsid w:val="00C2052C"/>
    <w:rsid w:val="00C206E6"/>
    <w:rsid w:val="00C20B6E"/>
    <w:rsid w:val="00C20F34"/>
    <w:rsid w:val="00C21343"/>
    <w:rsid w:val="00C21892"/>
    <w:rsid w:val="00C21B71"/>
    <w:rsid w:val="00C22401"/>
    <w:rsid w:val="00C2267E"/>
    <w:rsid w:val="00C23063"/>
    <w:rsid w:val="00C230B2"/>
    <w:rsid w:val="00C23170"/>
    <w:rsid w:val="00C231A3"/>
    <w:rsid w:val="00C231C3"/>
    <w:rsid w:val="00C2322D"/>
    <w:rsid w:val="00C23393"/>
    <w:rsid w:val="00C233B2"/>
    <w:rsid w:val="00C233D6"/>
    <w:rsid w:val="00C23851"/>
    <w:rsid w:val="00C23888"/>
    <w:rsid w:val="00C24A90"/>
    <w:rsid w:val="00C24AB6"/>
    <w:rsid w:val="00C24C6A"/>
    <w:rsid w:val="00C24EF9"/>
    <w:rsid w:val="00C25045"/>
    <w:rsid w:val="00C2544C"/>
    <w:rsid w:val="00C254F4"/>
    <w:rsid w:val="00C25883"/>
    <w:rsid w:val="00C259A8"/>
    <w:rsid w:val="00C25B81"/>
    <w:rsid w:val="00C2601C"/>
    <w:rsid w:val="00C260BC"/>
    <w:rsid w:val="00C26230"/>
    <w:rsid w:val="00C26553"/>
    <w:rsid w:val="00C268D5"/>
    <w:rsid w:val="00C26911"/>
    <w:rsid w:val="00C27106"/>
    <w:rsid w:val="00C272F0"/>
    <w:rsid w:val="00C275FE"/>
    <w:rsid w:val="00C27748"/>
    <w:rsid w:val="00C302EB"/>
    <w:rsid w:val="00C3071A"/>
    <w:rsid w:val="00C31158"/>
    <w:rsid w:val="00C3143E"/>
    <w:rsid w:val="00C3158C"/>
    <w:rsid w:val="00C3193E"/>
    <w:rsid w:val="00C31C63"/>
    <w:rsid w:val="00C31E51"/>
    <w:rsid w:val="00C32350"/>
    <w:rsid w:val="00C32497"/>
    <w:rsid w:val="00C326D6"/>
    <w:rsid w:val="00C3281E"/>
    <w:rsid w:val="00C3292A"/>
    <w:rsid w:val="00C329EB"/>
    <w:rsid w:val="00C32D3B"/>
    <w:rsid w:val="00C32F2C"/>
    <w:rsid w:val="00C33299"/>
    <w:rsid w:val="00C33394"/>
    <w:rsid w:val="00C33636"/>
    <w:rsid w:val="00C33865"/>
    <w:rsid w:val="00C33916"/>
    <w:rsid w:val="00C343DD"/>
    <w:rsid w:val="00C343F5"/>
    <w:rsid w:val="00C347A8"/>
    <w:rsid w:val="00C347B9"/>
    <w:rsid w:val="00C34C0E"/>
    <w:rsid w:val="00C34D67"/>
    <w:rsid w:val="00C34FD9"/>
    <w:rsid w:val="00C3565C"/>
    <w:rsid w:val="00C3599F"/>
    <w:rsid w:val="00C36004"/>
    <w:rsid w:val="00C3627B"/>
    <w:rsid w:val="00C3661C"/>
    <w:rsid w:val="00C36C8C"/>
    <w:rsid w:val="00C36F0A"/>
    <w:rsid w:val="00C371D4"/>
    <w:rsid w:val="00C3720D"/>
    <w:rsid w:val="00C37A2C"/>
    <w:rsid w:val="00C37AAA"/>
    <w:rsid w:val="00C37D8A"/>
    <w:rsid w:val="00C400ED"/>
    <w:rsid w:val="00C4019B"/>
    <w:rsid w:val="00C40639"/>
    <w:rsid w:val="00C408F8"/>
    <w:rsid w:val="00C40CC0"/>
    <w:rsid w:val="00C40D6E"/>
    <w:rsid w:val="00C40E04"/>
    <w:rsid w:val="00C41134"/>
    <w:rsid w:val="00C41812"/>
    <w:rsid w:val="00C4188E"/>
    <w:rsid w:val="00C419D0"/>
    <w:rsid w:val="00C419DA"/>
    <w:rsid w:val="00C41A87"/>
    <w:rsid w:val="00C41DA2"/>
    <w:rsid w:val="00C41DD8"/>
    <w:rsid w:val="00C42091"/>
    <w:rsid w:val="00C421B1"/>
    <w:rsid w:val="00C42352"/>
    <w:rsid w:val="00C42516"/>
    <w:rsid w:val="00C426A3"/>
    <w:rsid w:val="00C429F9"/>
    <w:rsid w:val="00C42C6B"/>
    <w:rsid w:val="00C42D3B"/>
    <w:rsid w:val="00C4360D"/>
    <w:rsid w:val="00C437D9"/>
    <w:rsid w:val="00C43A39"/>
    <w:rsid w:val="00C43E6D"/>
    <w:rsid w:val="00C4442D"/>
    <w:rsid w:val="00C44771"/>
    <w:rsid w:val="00C4479D"/>
    <w:rsid w:val="00C44890"/>
    <w:rsid w:val="00C44ABD"/>
    <w:rsid w:val="00C44F1F"/>
    <w:rsid w:val="00C44F57"/>
    <w:rsid w:val="00C45392"/>
    <w:rsid w:val="00C457B0"/>
    <w:rsid w:val="00C45934"/>
    <w:rsid w:val="00C45B86"/>
    <w:rsid w:val="00C45ED8"/>
    <w:rsid w:val="00C46B02"/>
    <w:rsid w:val="00C46C8E"/>
    <w:rsid w:val="00C46D66"/>
    <w:rsid w:val="00C478FE"/>
    <w:rsid w:val="00C47D98"/>
    <w:rsid w:val="00C47E34"/>
    <w:rsid w:val="00C5073D"/>
    <w:rsid w:val="00C5112A"/>
    <w:rsid w:val="00C51AB8"/>
    <w:rsid w:val="00C51D9B"/>
    <w:rsid w:val="00C51F8D"/>
    <w:rsid w:val="00C51FD4"/>
    <w:rsid w:val="00C5230A"/>
    <w:rsid w:val="00C525E8"/>
    <w:rsid w:val="00C528C7"/>
    <w:rsid w:val="00C5293A"/>
    <w:rsid w:val="00C52C6B"/>
    <w:rsid w:val="00C53013"/>
    <w:rsid w:val="00C531FF"/>
    <w:rsid w:val="00C5330D"/>
    <w:rsid w:val="00C5336C"/>
    <w:rsid w:val="00C53BE6"/>
    <w:rsid w:val="00C53D03"/>
    <w:rsid w:val="00C53F8F"/>
    <w:rsid w:val="00C540DF"/>
    <w:rsid w:val="00C5410D"/>
    <w:rsid w:val="00C5435E"/>
    <w:rsid w:val="00C544B5"/>
    <w:rsid w:val="00C5458B"/>
    <w:rsid w:val="00C546DE"/>
    <w:rsid w:val="00C54AE3"/>
    <w:rsid w:val="00C54D20"/>
    <w:rsid w:val="00C54F10"/>
    <w:rsid w:val="00C54F26"/>
    <w:rsid w:val="00C55706"/>
    <w:rsid w:val="00C55967"/>
    <w:rsid w:val="00C55BC2"/>
    <w:rsid w:val="00C55C27"/>
    <w:rsid w:val="00C55CBF"/>
    <w:rsid w:val="00C565E5"/>
    <w:rsid w:val="00C565EB"/>
    <w:rsid w:val="00C567CF"/>
    <w:rsid w:val="00C5684B"/>
    <w:rsid w:val="00C569EC"/>
    <w:rsid w:val="00C56ECB"/>
    <w:rsid w:val="00C571BF"/>
    <w:rsid w:val="00C572A0"/>
    <w:rsid w:val="00C57F6D"/>
    <w:rsid w:val="00C606D1"/>
    <w:rsid w:val="00C606E7"/>
    <w:rsid w:val="00C6090B"/>
    <w:rsid w:val="00C60A92"/>
    <w:rsid w:val="00C610DC"/>
    <w:rsid w:val="00C61118"/>
    <w:rsid w:val="00C61256"/>
    <w:rsid w:val="00C61A91"/>
    <w:rsid w:val="00C61B74"/>
    <w:rsid w:val="00C61F8B"/>
    <w:rsid w:val="00C621CB"/>
    <w:rsid w:val="00C626C7"/>
    <w:rsid w:val="00C62B0E"/>
    <w:rsid w:val="00C62E7A"/>
    <w:rsid w:val="00C62F06"/>
    <w:rsid w:val="00C6349D"/>
    <w:rsid w:val="00C6354D"/>
    <w:rsid w:val="00C63593"/>
    <w:rsid w:val="00C63DD7"/>
    <w:rsid w:val="00C644D3"/>
    <w:rsid w:val="00C6484D"/>
    <w:rsid w:val="00C64A39"/>
    <w:rsid w:val="00C64ADF"/>
    <w:rsid w:val="00C64FEC"/>
    <w:rsid w:val="00C65483"/>
    <w:rsid w:val="00C65487"/>
    <w:rsid w:val="00C6572D"/>
    <w:rsid w:val="00C6596F"/>
    <w:rsid w:val="00C65A27"/>
    <w:rsid w:val="00C65C45"/>
    <w:rsid w:val="00C65ED5"/>
    <w:rsid w:val="00C66271"/>
    <w:rsid w:val="00C66677"/>
    <w:rsid w:val="00C669FD"/>
    <w:rsid w:val="00C66B4F"/>
    <w:rsid w:val="00C66C6E"/>
    <w:rsid w:val="00C66F11"/>
    <w:rsid w:val="00C673D7"/>
    <w:rsid w:val="00C67423"/>
    <w:rsid w:val="00C67823"/>
    <w:rsid w:val="00C67B90"/>
    <w:rsid w:val="00C67DF5"/>
    <w:rsid w:val="00C70DDC"/>
    <w:rsid w:val="00C711D8"/>
    <w:rsid w:val="00C71BA7"/>
    <w:rsid w:val="00C720AF"/>
    <w:rsid w:val="00C72347"/>
    <w:rsid w:val="00C72428"/>
    <w:rsid w:val="00C727E0"/>
    <w:rsid w:val="00C7291B"/>
    <w:rsid w:val="00C72B20"/>
    <w:rsid w:val="00C72DB6"/>
    <w:rsid w:val="00C7348D"/>
    <w:rsid w:val="00C734EC"/>
    <w:rsid w:val="00C735C4"/>
    <w:rsid w:val="00C736B5"/>
    <w:rsid w:val="00C73765"/>
    <w:rsid w:val="00C7390F"/>
    <w:rsid w:val="00C73D9C"/>
    <w:rsid w:val="00C73E69"/>
    <w:rsid w:val="00C74072"/>
    <w:rsid w:val="00C74476"/>
    <w:rsid w:val="00C74C67"/>
    <w:rsid w:val="00C74EC9"/>
    <w:rsid w:val="00C75259"/>
    <w:rsid w:val="00C753D9"/>
    <w:rsid w:val="00C75831"/>
    <w:rsid w:val="00C75A39"/>
    <w:rsid w:val="00C75B1B"/>
    <w:rsid w:val="00C75BA1"/>
    <w:rsid w:val="00C75D01"/>
    <w:rsid w:val="00C75F38"/>
    <w:rsid w:val="00C760BD"/>
    <w:rsid w:val="00C764F2"/>
    <w:rsid w:val="00C765E5"/>
    <w:rsid w:val="00C768B0"/>
    <w:rsid w:val="00C76DA4"/>
    <w:rsid w:val="00C76E27"/>
    <w:rsid w:val="00C77006"/>
    <w:rsid w:val="00C770A9"/>
    <w:rsid w:val="00C770F8"/>
    <w:rsid w:val="00C771F5"/>
    <w:rsid w:val="00C77369"/>
    <w:rsid w:val="00C7754D"/>
    <w:rsid w:val="00C8005E"/>
    <w:rsid w:val="00C8094C"/>
    <w:rsid w:val="00C80ADE"/>
    <w:rsid w:val="00C80AF3"/>
    <w:rsid w:val="00C80B20"/>
    <w:rsid w:val="00C811CE"/>
    <w:rsid w:val="00C81B5A"/>
    <w:rsid w:val="00C81F61"/>
    <w:rsid w:val="00C8208D"/>
    <w:rsid w:val="00C82141"/>
    <w:rsid w:val="00C824CA"/>
    <w:rsid w:val="00C824CD"/>
    <w:rsid w:val="00C826DF"/>
    <w:rsid w:val="00C82738"/>
    <w:rsid w:val="00C829D4"/>
    <w:rsid w:val="00C82E3B"/>
    <w:rsid w:val="00C83452"/>
    <w:rsid w:val="00C8360F"/>
    <w:rsid w:val="00C83994"/>
    <w:rsid w:val="00C83999"/>
    <w:rsid w:val="00C83A31"/>
    <w:rsid w:val="00C83FE7"/>
    <w:rsid w:val="00C84188"/>
    <w:rsid w:val="00C8470F"/>
    <w:rsid w:val="00C84736"/>
    <w:rsid w:val="00C84C56"/>
    <w:rsid w:val="00C84DC2"/>
    <w:rsid w:val="00C84F18"/>
    <w:rsid w:val="00C85207"/>
    <w:rsid w:val="00C8528A"/>
    <w:rsid w:val="00C85393"/>
    <w:rsid w:val="00C856AC"/>
    <w:rsid w:val="00C85BC6"/>
    <w:rsid w:val="00C8601C"/>
    <w:rsid w:val="00C86A8A"/>
    <w:rsid w:val="00C87416"/>
    <w:rsid w:val="00C8758A"/>
    <w:rsid w:val="00C87636"/>
    <w:rsid w:val="00C87880"/>
    <w:rsid w:val="00C87B46"/>
    <w:rsid w:val="00C87BC4"/>
    <w:rsid w:val="00C87BEA"/>
    <w:rsid w:val="00C87EBE"/>
    <w:rsid w:val="00C90082"/>
    <w:rsid w:val="00C90244"/>
    <w:rsid w:val="00C903EC"/>
    <w:rsid w:val="00C90BDA"/>
    <w:rsid w:val="00C90C1C"/>
    <w:rsid w:val="00C90D1C"/>
    <w:rsid w:val="00C90D7D"/>
    <w:rsid w:val="00C9146C"/>
    <w:rsid w:val="00C915E9"/>
    <w:rsid w:val="00C91896"/>
    <w:rsid w:val="00C919FE"/>
    <w:rsid w:val="00C922D7"/>
    <w:rsid w:val="00C92351"/>
    <w:rsid w:val="00C924BE"/>
    <w:rsid w:val="00C92736"/>
    <w:rsid w:val="00C9287A"/>
    <w:rsid w:val="00C92C93"/>
    <w:rsid w:val="00C92FAA"/>
    <w:rsid w:val="00C92FE5"/>
    <w:rsid w:val="00C930B6"/>
    <w:rsid w:val="00C9379D"/>
    <w:rsid w:val="00C93B9E"/>
    <w:rsid w:val="00C93F46"/>
    <w:rsid w:val="00C93FF3"/>
    <w:rsid w:val="00C94018"/>
    <w:rsid w:val="00C94234"/>
    <w:rsid w:val="00C9442B"/>
    <w:rsid w:val="00C9461B"/>
    <w:rsid w:val="00C947E0"/>
    <w:rsid w:val="00C949ED"/>
    <w:rsid w:val="00C94A0C"/>
    <w:rsid w:val="00C95133"/>
    <w:rsid w:val="00C95343"/>
    <w:rsid w:val="00C9534C"/>
    <w:rsid w:val="00C95529"/>
    <w:rsid w:val="00C955D5"/>
    <w:rsid w:val="00C959FF"/>
    <w:rsid w:val="00C95DF5"/>
    <w:rsid w:val="00C95F84"/>
    <w:rsid w:val="00C96147"/>
    <w:rsid w:val="00C9633D"/>
    <w:rsid w:val="00C964A4"/>
    <w:rsid w:val="00C9662B"/>
    <w:rsid w:val="00C96CCD"/>
    <w:rsid w:val="00C96CCF"/>
    <w:rsid w:val="00C97651"/>
    <w:rsid w:val="00C97831"/>
    <w:rsid w:val="00C978F7"/>
    <w:rsid w:val="00C97D07"/>
    <w:rsid w:val="00C97F89"/>
    <w:rsid w:val="00CA037A"/>
    <w:rsid w:val="00CA0593"/>
    <w:rsid w:val="00CA0716"/>
    <w:rsid w:val="00CA076A"/>
    <w:rsid w:val="00CA0797"/>
    <w:rsid w:val="00CA09F5"/>
    <w:rsid w:val="00CA0D34"/>
    <w:rsid w:val="00CA1514"/>
    <w:rsid w:val="00CA1773"/>
    <w:rsid w:val="00CA1A6C"/>
    <w:rsid w:val="00CA205A"/>
    <w:rsid w:val="00CA2466"/>
    <w:rsid w:val="00CA24B7"/>
    <w:rsid w:val="00CA250C"/>
    <w:rsid w:val="00CA2709"/>
    <w:rsid w:val="00CA27AA"/>
    <w:rsid w:val="00CA29F1"/>
    <w:rsid w:val="00CA2A31"/>
    <w:rsid w:val="00CA3913"/>
    <w:rsid w:val="00CA3E6D"/>
    <w:rsid w:val="00CA4448"/>
    <w:rsid w:val="00CA447D"/>
    <w:rsid w:val="00CA4497"/>
    <w:rsid w:val="00CA46B5"/>
    <w:rsid w:val="00CA4D76"/>
    <w:rsid w:val="00CA4FAF"/>
    <w:rsid w:val="00CA59D3"/>
    <w:rsid w:val="00CA61F5"/>
    <w:rsid w:val="00CA63A0"/>
    <w:rsid w:val="00CA63A7"/>
    <w:rsid w:val="00CA649F"/>
    <w:rsid w:val="00CA6697"/>
    <w:rsid w:val="00CA66CF"/>
    <w:rsid w:val="00CA67F6"/>
    <w:rsid w:val="00CA6AA2"/>
    <w:rsid w:val="00CA7217"/>
    <w:rsid w:val="00CA7A79"/>
    <w:rsid w:val="00CA7AA7"/>
    <w:rsid w:val="00CA7ABC"/>
    <w:rsid w:val="00CA7D15"/>
    <w:rsid w:val="00CA7D43"/>
    <w:rsid w:val="00CA7ECE"/>
    <w:rsid w:val="00CB0339"/>
    <w:rsid w:val="00CB0464"/>
    <w:rsid w:val="00CB08EE"/>
    <w:rsid w:val="00CB0A00"/>
    <w:rsid w:val="00CB0A4F"/>
    <w:rsid w:val="00CB1089"/>
    <w:rsid w:val="00CB1626"/>
    <w:rsid w:val="00CB169C"/>
    <w:rsid w:val="00CB17C1"/>
    <w:rsid w:val="00CB1916"/>
    <w:rsid w:val="00CB19F8"/>
    <w:rsid w:val="00CB1AAE"/>
    <w:rsid w:val="00CB1BE9"/>
    <w:rsid w:val="00CB21D1"/>
    <w:rsid w:val="00CB22C7"/>
    <w:rsid w:val="00CB23A8"/>
    <w:rsid w:val="00CB2A8E"/>
    <w:rsid w:val="00CB2AFA"/>
    <w:rsid w:val="00CB3238"/>
    <w:rsid w:val="00CB3344"/>
    <w:rsid w:val="00CB3446"/>
    <w:rsid w:val="00CB39E4"/>
    <w:rsid w:val="00CB3B83"/>
    <w:rsid w:val="00CB3DD5"/>
    <w:rsid w:val="00CB4301"/>
    <w:rsid w:val="00CB4333"/>
    <w:rsid w:val="00CB43D3"/>
    <w:rsid w:val="00CB47D1"/>
    <w:rsid w:val="00CB4A15"/>
    <w:rsid w:val="00CB4A25"/>
    <w:rsid w:val="00CB4AE1"/>
    <w:rsid w:val="00CB4C27"/>
    <w:rsid w:val="00CB4CA5"/>
    <w:rsid w:val="00CB4EBC"/>
    <w:rsid w:val="00CB5067"/>
    <w:rsid w:val="00CB50D8"/>
    <w:rsid w:val="00CB59B7"/>
    <w:rsid w:val="00CB5BD3"/>
    <w:rsid w:val="00CB5F4C"/>
    <w:rsid w:val="00CB646C"/>
    <w:rsid w:val="00CB6862"/>
    <w:rsid w:val="00CB6B72"/>
    <w:rsid w:val="00CB6C55"/>
    <w:rsid w:val="00CB6CD8"/>
    <w:rsid w:val="00CB72DA"/>
    <w:rsid w:val="00CB7347"/>
    <w:rsid w:val="00CB7412"/>
    <w:rsid w:val="00CB7A06"/>
    <w:rsid w:val="00CB7AA9"/>
    <w:rsid w:val="00CB7BE9"/>
    <w:rsid w:val="00CB7DE0"/>
    <w:rsid w:val="00CC0144"/>
    <w:rsid w:val="00CC0657"/>
    <w:rsid w:val="00CC0AC1"/>
    <w:rsid w:val="00CC0D75"/>
    <w:rsid w:val="00CC0DA6"/>
    <w:rsid w:val="00CC0EC8"/>
    <w:rsid w:val="00CC10E9"/>
    <w:rsid w:val="00CC1644"/>
    <w:rsid w:val="00CC1A95"/>
    <w:rsid w:val="00CC1AC5"/>
    <w:rsid w:val="00CC20B3"/>
    <w:rsid w:val="00CC2105"/>
    <w:rsid w:val="00CC2531"/>
    <w:rsid w:val="00CC2ABC"/>
    <w:rsid w:val="00CC3ADF"/>
    <w:rsid w:val="00CC3CFF"/>
    <w:rsid w:val="00CC3FC0"/>
    <w:rsid w:val="00CC3FCE"/>
    <w:rsid w:val="00CC414F"/>
    <w:rsid w:val="00CC42E2"/>
    <w:rsid w:val="00CC43EA"/>
    <w:rsid w:val="00CC4406"/>
    <w:rsid w:val="00CC475D"/>
    <w:rsid w:val="00CC4812"/>
    <w:rsid w:val="00CC4966"/>
    <w:rsid w:val="00CC4BDA"/>
    <w:rsid w:val="00CC4C51"/>
    <w:rsid w:val="00CC4CA0"/>
    <w:rsid w:val="00CC523E"/>
    <w:rsid w:val="00CC5464"/>
    <w:rsid w:val="00CC56EC"/>
    <w:rsid w:val="00CC577A"/>
    <w:rsid w:val="00CC598D"/>
    <w:rsid w:val="00CC5B7F"/>
    <w:rsid w:val="00CC5F44"/>
    <w:rsid w:val="00CC5FDE"/>
    <w:rsid w:val="00CC5FFF"/>
    <w:rsid w:val="00CC6058"/>
    <w:rsid w:val="00CC616C"/>
    <w:rsid w:val="00CC66B8"/>
    <w:rsid w:val="00CC673A"/>
    <w:rsid w:val="00CC68E3"/>
    <w:rsid w:val="00CC69DF"/>
    <w:rsid w:val="00CC6A5F"/>
    <w:rsid w:val="00CC6C20"/>
    <w:rsid w:val="00CC7895"/>
    <w:rsid w:val="00CD0551"/>
    <w:rsid w:val="00CD0599"/>
    <w:rsid w:val="00CD0913"/>
    <w:rsid w:val="00CD0AEB"/>
    <w:rsid w:val="00CD0B05"/>
    <w:rsid w:val="00CD0D0E"/>
    <w:rsid w:val="00CD0D66"/>
    <w:rsid w:val="00CD0DE9"/>
    <w:rsid w:val="00CD0F72"/>
    <w:rsid w:val="00CD1210"/>
    <w:rsid w:val="00CD12A5"/>
    <w:rsid w:val="00CD1596"/>
    <w:rsid w:val="00CD1643"/>
    <w:rsid w:val="00CD1702"/>
    <w:rsid w:val="00CD19A7"/>
    <w:rsid w:val="00CD1DAC"/>
    <w:rsid w:val="00CD2352"/>
    <w:rsid w:val="00CD2508"/>
    <w:rsid w:val="00CD28BE"/>
    <w:rsid w:val="00CD29E8"/>
    <w:rsid w:val="00CD2EEA"/>
    <w:rsid w:val="00CD316C"/>
    <w:rsid w:val="00CD31B9"/>
    <w:rsid w:val="00CD340B"/>
    <w:rsid w:val="00CD35ED"/>
    <w:rsid w:val="00CD3B78"/>
    <w:rsid w:val="00CD3C6D"/>
    <w:rsid w:val="00CD3DBB"/>
    <w:rsid w:val="00CD3E39"/>
    <w:rsid w:val="00CD4664"/>
    <w:rsid w:val="00CD485D"/>
    <w:rsid w:val="00CD4960"/>
    <w:rsid w:val="00CD4AB2"/>
    <w:rsid w:val="00CD4BEE"/>
    <w:rsid w:val="00CD4DA3"/>
    <w:rsid w:val="00CD50A2"/>
    <w:rsid w:val="00CD5228"/>
    <w:rsid w:val="00CD5478"/>
    <w:rsid w:val="00CD574B"/>
    <w:rsid w:val="00CD57A0"/>
    <w:rsid w:val="00CD5F5C"/>
    <w:rsid w:val="00CD6358"/>
    <w:rsid w:val="00CD63CC"/>
    <w:rsid w:val="00CD6CDC"/>
    <w:rsid w:val="00CD756B"/>
    <w:rsid w:val="00CD761C"/>
    <w:rsid w:val="00CD769B"/>
    <w:rsid w:val="00CE0064"/>
    <w:rsid w:val="00CE0096"/>
    <w:rsid w:val="00CE01DE"/>
    <w:rsid w:val="00CE057D"/>
    <w:rsid w:val="00CE05A2"/>
    <w:rsid w:val="00CE09E6"/>
    <w:rsid w:val="00CE0C67"/>
    <w:rsid w:val="00CE0F28"/>
    <w:rsid w:val="00CE128D"/>
    <w:rsid w:val="00CE1860"/>
    <w:rsid w:val="00CE2294"/>
    <w:rsid w:val="00CE24F1"/>
    <w:rsid w:val="00CE2558"/>
    <w:rsid w:val="00CE2A75"/>
    <w:rsid w:val="00CE309C"/>
    <w:rsid w:val="00CE319F"/>
    <w:rsid w:val="00CE3262"/>
    <w:rsid w:val="00CE3544"/>
    <w:rsid w:val="00CE36C3"/>
    <w:rsid w:val="00CE389A"/>
    <w:rsid w:val="00CE3BE3"/>
    <w:rsid w:val="00CE3ED9"/>
    <w:rsid w:val="00CE3F76"/>
    <w:rsid w:val="00CE40BC"/>
    <w:rsid w:val="00CE4EE9"/>
    <w:rsid w:val="00CE5196"/>
    <w:rsid w:val="00CE51FB"/>
    <w:rsid w:val="00CE57F8"/>
    <w:rsid w:val="00CE5800"/>
    <w:rsid w:val="00CE58DC"/>
    <w:rsid w:val="00CE622A"/>
    <w:rsid w:val="00CE6791"/>
    <w:rsid w:val="00CE6BD3"/>
    <w:rsid w:val="00CE6D3D"/>
    <w:rsid w:val="00CE70D7"/>
    <w:rsid w:val="00CE7327"/>
    <w:rsid w:val="00CE73B9"/>
    <w:rsid w:val="00CE7637"/>
    <w:rsid w:val="00CE7781"/>
    <w:rsid w:val="00CF0255"/>
    <w:rsid w:val="00CF083C"/>
    <w:rsid w:val="00CF08C6"/>
    <w:rsid w:val="00CF0AAA"/>
    <w:rsid w:val="00CF0CA0"/>
    <w:rsid w:val="00CF0E11"/>
    <w:rsid w:val="00CF1127"/>
    <w:rsid w:val="00CF1132"/>
    <w:rsid w:val="00CF1167"/>
    <w:rsid w:val="00CF16A6"/>
    <w:rsid w:val="00CF18BD"/>
    <w:rsid w:val="00CF1A5A"/>
    <w:rsid w:val="00CF1CFC"/>
    <w:rsid w:val="00CF253C"/>
    <w:rsid w:val="00CF2819"/>
    <w:rsid w:val="00CF2841"/>
    <w:rsid w:val="00CF2D87"/>
    <w:rsid w:val="00CF39A8"/>
    <w:rsid w:val="00CF3D40"/>
    <w:rsid w:val="00CF3FC6"/>
    <w:rsid w:val="00CF4670"/>
    <w:rsid w:val="00CF4CEB"/>
    <w:rsid w:val="00CF4F55"/>
    <w:rsid w:val="00CF519A"/>
    <w:rsid w:val="00CF56B9"/>
    <w:rsid w:val="00CF57AB"/>
    <w:rsid w:val="00CF5A55"/>
    <w:rsid w:val="00CF5AA6"/>
    <w:rsid w:val="00CF5BB5"/>
    <w:rsid w:val="00CF6AB7"/>
    <w:rsid w:val="00CF6C9B"/>
    <w:rsid w:val="00CF6F6E"/>
    <w:rsid w:val="00CF71BE"/>
    <w:rsid w:val="00CF72A4"/>
    <w:rsid w:val="00CF7330"/>
    <w:rsid w:val="00CF7424"/>
    <w:rsid w:val="00CF745C"/>
    <w:rsid w:val="00CF77F7"/>
    <w:rsid w:val="00D0034F"/>
    <w:rsid w:val="00D00BD4"/>
    <w:rsid w:val="00D00FD1"/>
    <w:rsid w:val="00D01079"/>
    <w:rsid w:val="00D015DF"/>
    <w:rsid w:val="00D01668"/>
    <w:rsid w:val="00D01C64"/>
    <w:rsid w:val="00D01EFB"/>
    <w:rsid w:val="00D023C1"/>
    <w:rsid w:val="00D02FDA"/>
    <w:rsid w:val="00D030AD"/>
    <w:rsid w:val="00D0321A"/>
    <w:rsid w:val="00D03505"/>
    <w:rsid w:val="00D035C3"/>
    <w:rsid w:val="00D03BAF"/>
    <w:rsid w:val="00D040B7"/>
    <w:rsid w:val="00D04606"/>
    <w:rsid w:val="00D056B1"/>
    <w:rsid w:val="00D05711"/>
    <w:rsid w:val="00D05B8B"/>
    <w:rsid w:val="00D05BA7"/>
    <w:rsid w:val="00D05FA3"/>
    <w:rsid w:val="00D06069"/>
    <w:rsid w:val="00D06236"/>
    <w:rsid w:val="00D063D5"/>
    <w:rsid w:val="00D06C40"/>
    <w:rsid w:val="00D06EF9"/>
    <w:rsid w:val="00D06F18"/>
    <w:rsid w:val="00D06FD7"/>
    <w:rsid w:val="00D07050"/>
    <w:rsid w:val="00D0724C"/>
    <w:rsid w:val="00D07321"/>
    <w:rsid w:val="00D07499"/>
    <w:rsid w:val="00D0751F"/>
    <w:rsid w:val="00D079EE"/>
    <w:rsid w:val="00D07CBF"/>
    <w:rsid w:val="00D07E36"/>
    <w:rsid w:val="00D07E43"/>
    <w:rsid w:val="00D07ED9"/>
    <w:rsid w:val="00D07EE7"/>
    <w:rsid w:val="00D101B3"/>
    <w:rsid w:val="00D108E6"/>
    <w:rsid w:val="00D111A2"/>
    <w:rsid w:val="00D11555"/>
    <w:rsid w:val="00D12317"/>
    <w:rsid w:val="00D129D3"/>
    <w:rsid w:val="00D12A18"/>
    <w:rsid w:val="00D1306B"/>
    <w:rsid w:val="00D1377B"/>
    <w:rsid w:val="00D13C2D"/>
    <w:rsid w:val="00D13FA9"/>
    <w:rsid w:val="00D140CB"/>
    <w:rsid w:val="00D14176"/>
    <w:rsid w:val="00D14628"/>
    <w:rsid w:val="00D14761"/>
    <w:rsid w:val="00D15013"/>
    <w:rsid w:val="00D151C7"/>
    <w:rsid w:val="00D152E0"/>
    <w:rsid w:val="00D15C11"/>
    <w:rsid w:val="00D15F08"/>
    <w:rsid w:val="00D1611F"/>
    <w:rsid w:val="00D162D6"/>
    <w:rsid w:val="00D168EF"/>
    <w:rsid w:val="00D16938"/>
    <w:rsid w:val="00D1695C"/>
    <w:rsid w:val="00D16CD9"/>
    <w:rsid w:val="00D170D1"/>
    <w:rsid w:val="00D176B0"/>
    <w:rsid w:val="00D179F6"/>
    <w:rsid w:val="00D17C5A"/>
    <w:rsid w:val="00D17E3A"/>
    <w:rsid w:val="00D20126"/>
    <w:rsid w:val="00D203DD"/>
    <w:rsid w:val="00D20522"/>
    <w:rsid w:val="00D206FB"/>
    <w:rsid w:val="00D20863"/>
    <w:rsid w:val="00D20BC7"/>
    <w:rsid w:val="00D21200"/>
    <w:rsid w:val="00D214B7"/>
    <w:rsid w:val="00D21526"/>
    <w:rsid w:val="00D21537"/>
    <w:rsid w:val="00D215E0"/>
    <w:rsid w:val="00D21C08"/>
    <w:rsid w:val="00D21C73"/>
    <w:rsid w:val="00D22000"/>
    <w:rsid w:val="00D22196"/>
    <w:rsid w:val="00D222FA"/>
    <w:rsid w:val="00D22363"/>
    <w:rsid w:val="00D23DC5"/>
    <w:rsid w:val="00D23F3C"/>
    <w:rsid w:val="00D24773"/>
    <w:rsid w:val="00D2480F"/>
    <w:rsid w:val="00D24A60"/>
    <w:rsid w:val="00D24AFC"/>
    <w:rsid w:val="00D25241"/>
    <w:rsid w:val="00D25353"/>
    <w:rsid w:val="00D253B8"/>
    <w:rsid w:val="00D25400"/>
    <w:rsid w:val="00D255C2"/>
    <w:rsid w:val="00D25D44"/>
    <w:rsid w:val="00D265E2"/>
    <w:rsid w:val="00D26AE5"/>
    <w:rsid w:val="00D26CDC"/>
    <w:rsid w:val="00D26E27"/>
    <w:rsid w:val="00D2706C"/>
    <w:rsid w:val="00D271C4"/>
    <w:rsid w:val="00D276E6"/>
    <w:rsid w:val="00D2791F"/>
    <w:rsid w:val="00D27BF5"/>
    <w:rsid w:val="00D306F8"/>
    <w:rsid w:val="00D307FF"/>
    <w:rsid w:val="00D3083C"/>
    <w:rsid w:val="00D3084D"/>
    <w:rsid w:val="00D308CB"/>
    <w:rsid w:val="00D30994"/>
    <w:rsid w:val="00D30D76"/>
    <w:rsid w:val="00D30E70"/>
    <w:rsid w:val="00D30EAF"/>
    <w:rsid w:val="00D3113F"/>
    <w:rsid w:val="00D311A7"/>
    <w:rsid w:val="00D317A5"/>
    <w:rsid w:val="00D31DC0"/>
    <w:rsid w:val="00D32314"/>
    <w:rsid w:val="00D33945"/>
    <w:rsid w:val="00D33981"/>
    <w:rsid w:val="00D33A40"/>
    <w:rsid w:val="00D33CC1"/>
    <w:rsid w:val="00D33E03"/>
    <w:rsid w:val="00D3407C"/>
    <w:rsid w:val="00D34127"/>
    <w:rsid w:val="00D342EF"/>
    <w:rsid w:val="00D34460"/>
    <w:rsid w:val="00D3472E"/>
    <w:rsid w:val="00D34886"/>
    <w:rsid w:val="00D34F9C"/>
    <w:rsid w:val="00D350E3"/>
    <w:rsid w:val="00D3518A"/>
    <w:rsid w:val="00D35306"/>
    <w:rsid w:val="00D35362"/>
    <w:rsid w:val="00D35710"/>
    <w:rsid w:val="00D359C5"/>
    <w:rsid w:val="00D364FD"/>
    <w:rsid w:val="00D36975"/>
    <w:rsid w:val="00D36A8B"/>
    <w:rsid w:val="00D36AA6"/>
    <w:rsid w:val="00D36F69"/>
    <w:rsid w:val="00D37496"/>
    <w:rsid w:val="00D37602"/>
    <w:rsid w:val="00D37945"/>
    <w:rsid w:val="00D37E24"/>
    <w:rsid w:val="00D40AB3"/>
    <w:rsid w:val="00D40B86"/>
    <w:rsid w:val="00D40CA1"/>
    <w:rsid w:val="00D40D5E"/>
    <w:rsid w:val="00D412E5"/>
    <w:rsid w:val="00D41433"/>
    <w:rsid w:val="00D41700"/>
    <w:rsid w:val="00D4199D"/>
    <w:rsid w:val="00D41AB4"/>
    <w:rsid w:val="00D41B6C"/>
    <w:rsid w:val="00D41BB3"/>
    <w:rsid w:val="00D421A9"/>
    <w:rsid w:val="00D424B8"/>
    <w:rsid w:val="00D4254F"/>
    <w:rsid w:val="00D4258E"/>
    <w:rsid w:val="00D42AC4"/>
    <w:rsid w:val="00D42C9B"/>
    <w:rsid w:val="00D42D15"/>
    <w:rsid w:val="00D432D9"/>
    <w:rsid w:val="00D434AF"/>
    <w:rsid w:val="00D43AAE"/>
    <w:rsid w:val="00D43AB4"/>
    <w:rsid w:val="00D43D81"/>
    <w:rsid w:val="00D43F9A"/>
    <w:rsid w:val="00D43FC4"/>
    <w:rsid w:val="00D44092"/>
    <w:rsid w:val="00D443B0"/>
    <w:rsid w:val="00D44536"/>
    <w:rsid w:val="00D44916"/>
    <w:rsid w:val="00D449BD"/>
    <w:rsid w:val="00D44A03"/>
    <w:rsid w:val="00D44D64"/>
    <w:rsid w:val="00D45283"/>
    <w:rsid w:val="00D45355"/>
    <w:rsid w:val="00D45682"/>
    <w:rsid w:val="00D45942"/>
    <w:rsid w:val="00D45AD3"/>
    <w:rsid w:val="00D45CAB"/>
    <w:rsid w:val="00D45D77"/>
    <w:rsid w:val="00D4602C"/>
    <w:rsid w:val="00D46368"/>
    <w:rsid w:val="00D464D1"/>
    <w:rsid w:val="00D4652D"/>
    <w:rsid w:val="00D4660B"/>
    <w:rsid w:val="00D470BC"/>
    <w:rsid w:val="00D4744B"/>
    <w:rsid w:val="00D474D3"/>
    <w:rsid w:val="00D47735"/>
    <w:rsid w:val="00D47EE1"/>
    <w:rsid w:val="00D5000F"/>
    <w:rsid w:val="00D51030"/>
    <w:rsid w:val="00D51130"/>
    <w:rsid w:val="00D51150"/>
    <w:rsid w:val="00D5148D"/>
    <w:rsid w:val="00D517FC"/>
    <w:rsid w:val="00D5187B"/>
    <w:rsid w:val="00D5378E"/>
    <w:rsid w:val="00D53AFB"/>
    <w:rsid w:val="00D53B0A"/>
    <w:rsid w:val="00D53B41"/>
    <w:rsid w:val="00D53C85"/>
    <w:rsid w:val="00D53F17"/>
    <w:rsid w:val="00D544AB"/>
    <w:rsid w:val="00D5470E"/>
    <w:rsid w:val="00D548D9"/>
    <w:rsid w:val="00D54A58"/>
    <w:rsid w:val="00D54AA7"/>
    <w:rsid w:val="00D54CDF"/>
    <w:rsid w:val="00D550EE"/>
    <w:rsid w:val="00D55677"/>
    <w:rsid w:val="00D55714"/>
    <w:rsid w:val="00D55C87"/>
    <w:rsid w:val="00D55D77"/>
    <w:rsid w:val="00D55DF8"/>
    <w:rsid w:val="00D56181"/>
    <w:rsid w:val="00D5653B"/>
    <w:rsid w:val="00D56CDB"/>
    <w:rsid w:val="00D56F12"/>
    <w:rsid w:val="00D5700C"/>
    <w:rsid w:val="00D57040"/>
    <w:rsid w:val="00D571FB"/>
    <w:rsid w:val="00D5727B"/>
    <w:rsid w:val="00D574DB"/>
    <w:rsid w:val="00D57547"/>
    <w:rsid w:val="00D57D22"/>
    <w:rsid w:val="00D6006D"/>
    <w:rsid w:val="00D60112"/>
    <w:rsid w:val="00D60AA6"/>
    <w:rsid w:val="00D60CB1"/>
    <w:rsid w:val="00D6108B"/>
    <w:rsid w:val="00D611A3"/>
    <w:rsid w:val="00D611C6"/>
    <w:rsid w:val="00D612D1"/>
    <w:rsid w:val="00D6178A"/>
    <w:rsid w:val="00D618AF"/>
    <w:rsid w:val="00D61A33"/>
    <w:rsid w:val="00D61E16"/>
    <w:rsid w:val="00D61ECA"/>
    <w:rsid w:val="00D620C1"/>
    <w:rsid w:val="00D62371"/>
    <w:rsid w:val="00D62381"/>
    <w:rsid w:val="00D624AA"/>
    <w:rsid w:val="00D6293C"/>
    <w:rsid w:val="00D629D9"/>
    <w:rsid w:val="00D62DB9"/>
    <w:rsid w:val="00D62E95"/>
    <w:rsid w:val="00D62EB5"/>
    <w:rsid w:val="00D62F11"/>
    <w:rsid w:val="00D631C6"/>
    <w:rsid w:val="00D63644"/>
    <w:rsid w:val="00D63B78"/>
    <w:rsid w:val="00D63C71"/>
    <w:rsid w:val="00D63D3C"/>
    <w:rsid w:val="00D63FCC"/>
    <w:rsid w:val="00D64AEA"/>
    <w:rsid w:val="00D65038"/>
    <w:rsid w:val="00D65039"/>
    <w:rsid w:val="00D65241"/>
    <w:rsid w:val="00D656BC"/>
    <w:rsid w:val="00D65EF9"/>
    <w:rsid w:val="00D6614F"/>
    <w:rsid w:val="00D661A9"/>
    <w:rsid w:val="00D66447"/>
    <w:rsid w:val="00D6650A"/>
    <w:rsid w:val="00D66C48"/>
    <w:rsid w:val="00D6737D"/>
    <w:rsid w:val="00D676B0"/>
    <w:rsid w:val="00D67960"/>
    <w:rsid w:val="00D67FE7"/>
    <w:rsid w:val="00D70A5B"/>
    <w:rsid w:val="00D70AD4"/>
    <w:rsid w:val="00D70D10"/>
    <w:rsid w:val="00D70F14"/>
    <w:rsid w:val="00D70FAE"/>
    <w:rsid w:val="00D710D7"/>
    <w:rsid w:val="00D715C9"/>
    <w:rsid w:val="00D7175F"/>
    <w:rsid w:val="00D718B1"/>
    <w:rsid w:val="00D719F1"/>
    <w:rsid w:val="00D71C82"/>
    <w:rsid w:val="00D71F10"/>
    <w:rsid w:val="00D7218E"/>
    <w:rsid w:val="00D723DA"/>
    <w:rsid w:val="00D72A7C"/>
    <w:rsid w:val="00D72CAB"/>
    <w:rsid w:val="00D72CC5"/>
    <w:rsid w:val="00D72FB0"/>
    <w:rsid w:val="00D73B17"/>
    <w:rsid w:val="00D73EE4"/>
    <w:rsid w:val="00D73EF5"/>
    <w:rsid w:val="00D73F06"/>
    <w:rsid w:val="00D74B33"/>
    <w:rsid w:val="00D74F12"/>
    <w:rsid w:val="00D7544A"/>
    <w:rsid w:val="00D756CE"/>
    <w:rsid w:val="00D75AD8"/>
    <w:rsid w:val="00D75E39"/>
    <w:rsid w:val="00D76187"/>
    <w:rsid w:val="00D762BF"/>
    <w:rsid w:val="00D76379"/>
    <w:rsid w:val="00D767EB"/>
    <w:rsid w:val="00D772F2"/>
    <w:rsid w:val="00D77439"/>
    <w:rsid w:val="00D77CC5"/>
    <w:rsid w:val="00D77D3A"/>
    <w:rsid w:val="00D800BB"/>
    <w:rsid w:val="00D8039C"/>
    <w:rsid w:val="00D8062E"/>
    <w:rsid w:val="00D807BA"/>
    <w:rsid w:val="00D80822"/>
    <w:rsid w:val="00D808DF"/>
    <w:rsid w:val="00D80EF8"/>
    <w:rsid w:val="00D80FD3"/>
    <w:rsid w:val="00D81017"/>
    <w:rsid w:val="00D81147"/>
    <w:rsid w:val="00D8123F"/>
    <w:rsid w:val="00D814E1"/>
    <w:rsid w:val="00D81663"/>
    <w:rsid w:val="00D81696"/>
    <w:rsid w:val="00D81837"/>
    <w:rsid w:val="00D818B0"/>
    <w:rsid w:val="00D81C0B"/>
    <w:rsid w:val="00D81CA6"/>
    <w:rsid w:val="00D8222A"/>
    <w:rsid w:val="00D827D9"/>
    <w:rsid w:val="00D829C0"/>
    <w:rsid w:val="00D82B81"/>
    <w:rsid w:val="00D832B2"/>
    <w:rsid w:val="00D8376F"/>
    <w:rsid w:val="00D8387F"/>
    <w:rsid w:val="00D83AB9"/>
    <w:rsid w:val="00D83CB0"/>
    <w:rsid w:val="00D83DD3"/>
    <w:rsid w:val="00D83F25"/>
    <w:rsid w:val="00D84400"/>
    <w:rsid w:val="00D845EF"/>
    <w:rsid w:val="00D848AB"/>
    <w:rsid w:val="00D84B59"/>
    <w:rsid w:val="00D84F08"/>
    <w:rsid w:val="00D84FAD"/>
    <w:rsid w:val="00D85058"/>
    <w:rsid w:val="00D8521A"/>
    <w:rsid w:val="00D852FB"/>
    <w:rsid w:val="00D85420"/>
    <w:rsid w:val="00D85A2D"/>
    <w:rsid w:val="00D85A58"/>
    <w:rsid w:val="00D85E26"/>
    <w:rsid w:val="00D861DA"/>
    <w:rsid w:val="00D867B4"/>
    <w:rsid w:val="00D86EA0"/>
    <w:rsid w:val="00D87201"/>
    <w:rsid w:val="00D872DA"/>
    <w:rsid w:val="00D8744F"/>
    <w:rsid w:val="00D8768D"/>
    <w:rsid w:val="00D876B7"/>
    <w:rsid w:val="00D876BC"/>
    <w:rsid w:val="00D87868"/>
    <w:rsid w:val="00D87EAF"/>
    <w:rsid w:val="00D87EFA"/>
    <w:rsid w:val="00D9064B"/>
    <w:rsid w:val="00D90662"/>
    <w:rsid w:val="00D90969"/>
    <w:rsid w:val="00D909D3"/>
    <w:rsid w:val="00D90AF8"/>
    <w:rsid w:val="00D90FCD"/>
    <w:rsid w:val="00D91421"/>
    <w:rsid w:val="00D92061"/>
    <w:rsid w:val="00D92455"/>
    <w:rsid w:val="00D92512"/>
    <w:rsid w:val="00D925A7"/>
    <w:rsid w:val="00D92935"/>
    <w:rsid w:val="00D92ADF"/>
    <w:rsid w:val="00D93092"/>
    <w:rsid w:val="00D9410F"/>
    <w:rsid w:val="00D94439"/>
    <w:rsid w:val="00D94551"/>
    <w:rsid w:val="00D94718"/>
    <w:rsid w:val="00D949AC"/>
    <w:rsid w:val="00D94E96"/>
    <w:rsid w:val="00D9520F"/>
    <w:rsid w:val="00D95718"/>
    <w:rsid w:val="00D95842"/>
    <w:rsid w:val="00D95930"/>
    <w:rsid w:val="00D9675E"/>
    <w:rsid w:val="00D96868"/>
    <w:rsid w:val="00D96C32"/>
    <w:rsid w:val="00D96E48"/>
    <w:rsid w:val="00D972E3"/>
    <w:rsid w:val="00D97511"/>
    <w:rsid w:val="00D97727"/>
    <w:rsid w:val="00D97774"/>
    <w:rsid w:val="00D9790D"/>
    <w:rsid w:val="00D97A4C"/>
    <w:rsid w:val="00D97F5C"/>
    <w:rsid w:val="00DA034D"/>
    <w:rsid w:val="00DA099E"/>
    <w:rsid w:val="00DA0A8F"/>
    <w:rsid w:val="00DA0B4A"/>
    <w:rsid w:val="00DA0BCB"/>
    <w:rsid w:val="00DA0FC5"/>
    <w:rsid w:val="00DA113A"/>
    <w:rsid w:val="00DA117E"/>
    <w:rsid w:val="00DA138D"/>
    <w:rsid w:val="00DA17C5"/>
    <w:rsid w:val="00DA1AEC"/>
    <w:rsid w:val="00DA1D98"/>
    <w:rsid w:val="00DA25A7"/>
    <w:rsid w:val="00DA27A1"/>
    <w:rsid w:val="00DA288C"/>
    <w:rsid w:val="00DA2D05"/>
    <w:rsid w:val="00DA2FCA"/>
    <w:rsid w:val="00DA30F2"/>
    <w:rsid w:val="00DA3EEE"/>
    <w:rsid w:val="00DA3F2D"/>
    <w:rsid w:val="00DA405C"/>
    <w:rsid w:val="00DA4601"/>
    <w:rsid w:val="00DA49A4"/>
    <w:rsid w:val="00DA4C5E"/>
    <w:rsid w:val="00DA5546"/>
    <w:rsid w:val="00DA5895"/>
    <w:rsid w:val="00DA5F3F"/>
    <w:rsid w:val="00DA64A4"/>
    <w:rsid w:val="00DA6BC6"/>
    <w:rsid w:val="00DA6D56"/>
    <w:rsid w:val="00DA6F6A"/>
    <w:rsid w:val="00DA70EE"/>
    <w:rsid w:val="00DA74B5"/>
    <w:rsid w:val="00DA79C2"/>
    <w:rsid w:val="00DB02DD"/>
    <w:rsid w:val="00DB0A8A"/>
    <w:rsid w:val="00DB0D6C"/>
    <w:rsid w:val="00DB0EAF"/>
    <w:rsid w:val="00DB0ED7"/>
    <w:rsid w:val="00DB10FD"/>
    <w:rsid w:val="00DB12DE"/>
    <w:rsid w:val="00DB1AF3"/>
    <w:rsid w:val="00DB1BD9"/>
    <w:rsid w:val="00DB2094"/>
    <w:rsid w:val="00DB2128"/>
    <w:rsid w:val="00DB25BF"/>
    <w:rsid w:val="00DB25FA"/>
    <w:rsid w:val="00DB294F"/>
    <w:rsid w:val="00DB321E"/>
    <w:rsid w:val="00DB3383"/>
    <w:rsid w:val="00DB33DD"/>
    <w:rsid w:val="00DB3670"/>
    <w:rsid w:val="00DB3CAD"/>
    <w:rsid w:val="00DB3D9B"/>
    <w:rsid w:val="00DB3E7B"/>
    <w:rsid w:val="00DB3F01"/>
    <w:rsid w:val="00DB40FF"/>
    <w:rsid w:val="00DB4660"/>
    <w:rsid w:val="00DB4AB8"/>
    <w:rsid w:val="00DB4CD8"/>
    <w:rsid w:val="00DB4E21"/>
    <w:rsid w:val="00DB4F14"/>
    <w:rsid w:val="00DB5276"/>
    <w:rsid w:val="00DB570B"/>
    <w:rsid w:val="00DB5B13"/>
    <w:rsid w:val="00DB5CDD"/>
    <w:rsid w:val="00DB5D4C"/>
    <w:rsid w:val="00DB5DEB"/>
    <w:rsid w:val="00DB6603"/>
    <w:rsid w:val="00DB6632"/>
    <w:rsid w:val="00DB6700"/>
    <w:rsid w:val="00DB6BA9"/>
    <w:rsid w:val="00DB6E01"/>
    <w:rsid w:val="00DB6F80"/>
    <w:rsid w:val="00DB7013"/>
    <w:rsid w:val="00DB74C3"/>
    <w:rsid w:val="00DB7608"/>
    <w:rsid w:val="00DB766D"/>
    <w:rsid w:val="00DB7718"/>
    <w:rsid w:val="00DB7787"/>
    <w:rsid w:val="00DB785B"/>
    <w:rsid w:val="00DB7C98"/>
    <w:rsid w:val="00DB7CF1"/>
    <w:rsid w:val="00DB7EFD"/>
    <w:rsid w:val="00DC0282"/>
    <w:rsid w:val="00DC0996"/>
    <w:rsid w:val="00DC0AA7"/>
    <w:rsid w:val="00DC0B03"/>
    <w:rsid w:val="00DC0BA2"/>
    <w:rsid w:val="00DC0D4A"/>
    <w:rsid w:val="00DC105D"/>
    <w:rsid w:val="00DC1244"/>
    <w:rsid w:val="00DC1F78"/>
    <w:rsid w:val="00DC22B5"/>
    <w:rsid w:val="00DC269F"/>
    <w:rsid w:val="00DC29B5"/>
    <w:rsid w:val="00DC2BB3"/>
    <w:rsid w:val="00DC2C32"/>
    <w:rsid w:val="00DC2CE0"/>
    <w:rsid w:val="00DC2F17"/>
    <w:rsid w:val="00DC300D"/>
    <w:rsid w:val="00DC30E1"/>
    <w:rsid w:val="00DC38AD"/>
    <w:rsid w:val="00DC38C4"/>
    <w:rsid w:val="00DC3DA5"/>
    <w:rsid w:val="00DC4079"/>
    <w:rsid w:val="00DC45BC"/>
    <w:rsid w:val="00DC4A3F"/>
    <w:rsid w:val="00DC522D"/>
    <w:rsid w:val="00DC5420"/>
    <w:rsid w:val="00DC589B"/>
    <w:rsid w:val="00DC59AA"/>
    <w:rsid w:val="00DC5B3A"/>
    <w:rsid w:val="00DC5FF0"/>
    <w:rsid w:val="00DC6080"/>
    <w:rsid w:val="00DC6142"/>
    <w:rsid w:val="00DC65B6"/>
    <w:rsid w:val="00DC69D6"/>
    <w:rsid w:val="00DC6B7A"/>
    <w:rsid w:val="00DC6E78"/>
    <w:rsid w:val="00DC7025"/>
    <w:rsid w:val="00DC725A"/>
    <w:rsid w:val="00DC72EC"/>
    <w:rsid w:val="00DC771E"/>
    <w:rsid w:val="00DC77E1"/>
    <w:rsid w:val="00DC7DB3"/>
    <w:rsid w:val="00DC7E16"/>
    <w:rsid w:val="00DD0195"/>
    <w:rsid w:val="00DD02CF"/>
    <w:rsid w:val="00DD09E9"/>
    <w:rsid w:val="00DD09EF"/>
    <w:rsid w:val="00DD0E04"/>
    <w:rsid w:val="00DD0FBA"/>
    <w:rsid w:val="00DD159A"/>
    <w:rsid w:val="00DD17FE"/>
    <w:rsid w:val="00DD18E7"/>
    <w:rsid w:val="00DD198B"/>
    <w:rsid w:val="00DD1A1C"/>
    <w:rsid w:val="00DD2026"/>
    <w:rsid w:val="00DD228E"/>
    <w:rsid w:val="00DD2308"/>
    <w:rsid w:val="00DD24F8"/>
    <w:rsid w:val="00DD255B"/>
    <w:rsid w:val="00DD33BC"/>
    <w:rsid w:val="00DD340F"/>
    <w:rsid w:val="00DD35D9"/>
    <w:rsid w:val="00DD398C"/>
    <w:rsid w:val="00DD3B4E"/>
    <w:rsid w:val="00DD3D7E"/>
    <w:rsid w:val="00DD4380"/>
    <w:rsid w:val="00DD43A1"/>
    <w:rsid w:val="00DD4652"/>
    <w:rsid w:val="00DD4768"/>
    <w:rsid w:val="00DD485C"/>
    <w:rsid w:val="00DD487C"/>
    <w:rsid w:val="00DD4B6B"/>
    <w:rsid w:val="00DD4C57"/>
    <w:rsid w:val="00DD4CDE"/>
    <w:rsid w:val="00DD53F1"/>
    <w:rsid w:val="00DD54D9"/>
    <w:rsid w:val="00DD56D6"/>
    <w:rsid w:val="00DD56F5"/>
    <w:rsid w:val="00DD5931"/>
    <w:rsid w:val="00DD5C37"/>
    <w:rsid w:val="00DD60C9"/>
    <w:rsid w:val="00DD65DA"/>
    <w:rsid w:val="00DD65E5"/>
    <w:rsid w:val="00DD6D10"/>
    <w:rsid w:val="00DD711D"/>
    <w:rsid w:val="00DD724E"/>
    <w:rsid w:val="00DD769E"/>
    <w:rsid w:val="00DD7B60"/>
    <w:rsid w:val="00DD7B73"/>
    <w:rsid w:val="00DD7C85"/>
    <w:rsid w:val="00DD7E6A"/>
    <w:rsid w:val="00DD7EAC"/>
    <w:rsid w:val="00DE0BAE"/>
    <w:rsid w:val="00DE104C"/>
    <w:rsid w:val="00DE1112"/>
    <w:rsid w:val="00DE134C"/>
    <w:rsid w:val="00DE1593"/>
    <w:rsid w:val="00DE16AB"/>
    <w:rsid w:val="00DE16E1"/>
    <w:rsid w:val="00DE207C"/>
    <w:rsid w:val="00DE2089"/>
    <w:rsid w:val="00DE21F5"/>
    <w:rsid w:val="00DE2326"/>
    <w:rsid w:val="00DE2395"/>
    <w:rsid w:val="00DE2618"/>
    <w:rsid w:val="00DE26BE"/>
    <w:rsid w:val="00DE2A2F"/>
    <w:rsid w:val="00DE3034"/>
    <w:rsid w:val="00DE329B"/>
    <w:rsid w:val="00DE3330"/>
    <w:rsid w:val="00DE3948"/>
    <w:rsid w:val="00DE3B4E"/>
    <w:rsid w:val="00DE3CE8"/>
    <w:rsid w:val="00DE43E7"/>
    <w:rsid w:val="00DE4638"/>
    <w:rsid w:val="00DE4AC2"/>
    <w:rsid w:val="00DE4BD5"/>
    <w:rsid w:val="00DE4C2F"/>
    <w:rsid w:val="00DE4C81"/>
    <w:rsid w:val="00DE516E"/>
    <w:rsid w:val="00DE5406"/>
    <w:rsid w:val="00DE549A"/>
    <w:rsid w:val="00DE56B5"/>
    <w:rsid w:val="00DE56EA"/>
    <w:rsid w:val="00DE599C"/>
    <w:rsid w:val="00DE626D"/>
    <w:rsid w:val="00DE6480"/>
    <w:rsid w:val="00DE677D"/>
    <w:rsid w:val="00DE6799"/>
    <w:rsid w:val="00DE68D8"/>
    <w:rsid w:val="00DE6E1C"/>
    <w:rsid w:val="00DE6FF3"/>
    <w:rsid w:val="00DE71BA"/>
    <w:rsid w:val="00DE7353"/>
    <w:rsid w:val="00DE763E"/>
    <w:rsid w:val="00DE78AC"/>
    <w:rsid w:val="00DF0007"/>
    <w:rsid w:val="00DF00AC"/>
    <w:rsid w:val="00DF0230"/>
    <w:rsid w:val="00DF0F20"/>
    <w:rsid w:val="00DF112F"/>
    <w:rsid w:val="00DF1134"/>
    <w:rsid w:val="00DF114D"/>
    <w:rsid w:val="00DF19A2"/>
    <w:rsid w:val="00DF19B5"/>
    <w:rsid w:val="00DF1A47"/>
    <w:rsid w:val="00DF1BB0"/>
    <w:rsid w:val="00DF1D64"/>
    <w:rsid w:val="00DF1FEE"/>
    <w:rsid w:val="00DF2075"/>
    <w:rsid w:val="00DF21DA"/>
    <w:rsid w:val="00DF21E0"/>
    <w:rsid w:val="00DF2645"/>
    <w:rsid w:val="00DF29E2"/>
    <w:rsid w:val="00DF2C97"/>
    <w:rsid w:val="00DF2EB2"/>
    <w:rsid w:val="00DF3029"/>
    <w:rsid w:val="00DF30DA"/>
    <w:rsid w:val="00DF3182"/>
    <w:rsid w:val="00DF359E"/>
    <w:rsid w:val="00DF365E"/>
    <w:rsid w:val="00DF3781"/>
    <w:rsid w:val="00DF3BD0"/>
    <w:rsid w:val="00DF4302"/>
    <w:rsid w:val="00DF44CB"/>
    <w:rsid w:val="00DF463C"/>
    <w:rsid w:val="00DF47DD"/>
    <w:rsid w:val="00DF4911"/>
    <w:rsid w:val="00DF4D80"/>
    <w:rsid w:val="00DF4DAD"/>
    <w:rsid w:val="00DF58FF"/>
    <w:rsid w:val="00DF59DE"/>
    <w:rsid w:val="00DF60C9"/>
    <w:rsid w:val="00DF620E"/>
    <w:rsid w:val="00DF6591"/>
    <w:rsid w:val="00DF677D"/>
    <w:rsid w:val="00DF67ED"/>
    <w:rsid w:val="00DF725D"/>
    <w:rsid w:val="00DF768E"/>
    <w:rsid w:val="00E00414"/>
    <w:rsid w:val="00E006D5"/>
    <w:rsid w:val="00E009F7"/>
    <w:rsid w:val="00E00ADD"/>
    <w:rsid w:val="00E00EF9"/>
    <w:rsid w:val="00E00F0F"/>
    <w:rsid w:val="00E01155"/>
    <w:rsid w:val="00E0117C"/>
    <w:rsid w:val="00E01188"/>
    <w:rsid w:val="00E01412"/>
    <w:rsid w:val="00E01488"/>
    <w:rsid w:val="00E01888"/>
    <w:rsid w:val="00E019A0"/>
    <w:rsid w:val="00E01B0A"/>
    <w:rsid w:val="00E01D9C"/>
    <w:rsid w:val="00E01E07"/>
    <w:rsid w:val="00E01EF0"/>
    <w:rsid w:val="00E02528"/>
    <w:rsid w:val="00E0252D"/>
    <w:rsid w:val="00E02862"/>
    <w:rsid w:val="00E036DB"/>
    <w:rsid w:val="00E0379E"/>
    <w:rsid w:val="00E037B0"/>
    <w:rsid w:val="00E037CD"/>
    <w:rsid w:val="00E03EB9"/>
    <w:rsid w:val="00E03F1A"/>
    <w:rsid w:val="00E03FF0"/>
    <w:rsid w:val="00E04215"/>
    <w:rsid w:val="00E04329"/>
    <w:rsid w:val="00E04424"/>
    <w:rsid w:val="00E046A3"/>
    <w:rsid w:val="00E046F3"/>
    <w:rsid w:val="00E04871"/>
    <w:rsid w:val="00E04D20"/>
    <w:rsid w:val="00E04D77"/>
    <w:rsid w:val="00E0524E"/>
    <w:rsid w:val="00E056B3"/>
    <w:rsid w:val="00E0586B"/>
    <w:rsid w:val="00E0630B"/>
    <w:rsid w:val="00E06483"/>
    <w:rsid w:val="00E06A15"/>
    <w:rsid w:val="00E06CDE"/>
    <w:rsid w:val="00E074EC"/>
    <w:rsid w:val="00E07BE2"/>
    <w:rsid w:val="00E07C6C"/>
    <w:rsid w:val="00E07EAA"/>
    <w:rsid w:val="00E07EFF"/>
    <w:rsid w:val="00E1103F"/>
    <w:rsid w:val="00E1129F"/>
    <w:rsid w:val="00E11590"/>
    <w:rsid w:val="00E11668"/>
    <w:rsid w:val="00E1182C"/>
    <w:rsid w:val="00E11891"/>
    <w:rsid w:val="00E11C89"/>
    <w:rsid w:val="00E11E66"/>
    <w:rsid w:val="00E12039"/>
    <w:rsid w:val="00E1222F"/>
    <w:rsid w:val="00E122DB"/>
    <w:rsid w:val="00E12307"/>
    <w:rsid w:val="00E123A4"/>
    <w:rsid w:val="00E12746"/>
    <w:rsid w:val="00E12A28"/>
    <w:rsid w:val="00E12D1C"/>
    <w:rsid w:val="00E12DD3"/>
    <w:rsid w:val="00E12E01"/>
    <w:rsid w:val="00E133A7"/>
    <w:rsid w:val="00E134A3"/>
    <w:rsid w:val="00E134A5"/>
    <w:rsid w:val="00E137BC"/>
    <w:rsid w:val="00E1395A"/>
    <w:rsid w:val="00E13BCF"/>
    <w:rsid w:val="00E13D40"/>
    <w:rsid w:val="00E13F24"/>
    <w:rsid w:val="00E14076"/>
    <w:rsid w:val="00E14497"/>
    <w:rsid w:val="00E14D15"/>
    <w:rsid w:val="00E15997"/>
    <w:rsid w:val="00E15E75"/>
    <w:rsid w:val="00E1605D"/>
    <w:rsid w:val="00E16071"/>
    <w:rsid w:val="00E162CA"/>
    <w:rsid w:val="00E16343"/>
    <w:rsid w:val="00E16365"/>
    <w:rsid w:val="00E16466"/>
    <w:rsid w:val="00E16545"/>
    <w:rsid w:val="00E168DA"/>
    <w:rsid w:val="00E16A6E"/>
    <w:rsid w:val="00E16F9B"/>
    <w:rsid w:val="00E17228"/>
    <w:rsid w:val="00E17489"/>
    <w:rsid w:val="00E174FD"/>
    <w:rsid w:val="00E17501"/>
    <w:rsid w:val="00E1756F"/>
    <w:rsid w:val="00E17F93"/>
    <w:rsid w:val="00E20116"/>
    <w:rsid w:val="00E201CB"/>
    <w:rsid w:val="00E202C9"/>
    <w:rsid w:val="00E209F2"/>
    <w:rsid w:val="00E20AAE"/>
    <w:rsid w:val="00E20B2C"/>
    <w:rsid w:val="00E20E31"/>
    <w:rsid w:val="00E21125"/>
    <w:rsid w:val="00E21DB6"/>
    <w:rsid w:val="00E21E32"/>
    <w:rsid w:val="00E2216F"/>
    <w:rsid w:val="00E22C10"/>
    <w:rsid w:val="00E22D23"/>
    <w:rsid w:val="00E22FF5"/>
    <w:rsid w:val="00E23583"/>
    <w:rsid w:val="00E23E56"/>
    <w:rsid w:val="00E241ED"/>
    <w:rsid w:val="00E24911"/>
    <w:rsid w:val="00E24CEA"/>
    <w:rsid w:val="00E25434"/>
    <w:rsid w:val="00E256AA"/>
    <w:rsid w:val="00E25A25"/>
    <w:rsid w:val="00E25ACC"/>
    <w:rsid w:val="00E25CDE"/>
    <w:rsid w:val="00E25D5C"/>
    <w:rsid w:val="00E25DE1"/>
    <w:rsid w:val="00E25FF1"/>
    <w:rsid w:val="00E26153"/>
    <w:rsid w:val="00E26366"/>
    <w:rsid w:val="00E26AED"/>
    <w:rsid w:val="00E26DC3"/>
    <w:rsid w:val="00E27171"/>
    <w:rsid w:val="00E2719D"/>
    <w:rsid w:val="00E2764E"/>
    <w:rsid w:val="00E27852"/>
    <w:rsid w:val="00E27D4B"/>
    <w:rsid w:val="00E27FCD"/>
    <w:rsid w:val="00E300C8"/>
    <w:rsid w:val="00E30592"/>
    <w:rsid w:val="00E30752"/>
    <w:rsid w:val="00E30969"/>
    <w:rsid w:val="00E30C56"/>
    <w:rsid w:val="00E3113F"/>
    <w:rsid w:val="00E311B4"/>
    <w:rsid w:val="00E31297"/>
    <w:rsid w:val="00E312FA"/>
    <w:rsid w:val="00E313BE"/>
    <w:rsid w:val="00E313EF"/>
    <w:rsid w:val="00E313FF"/>
    <w:rsid w:val="00E315A2"/>
    <w:rsid w:val="00E317EC"/>
    <w:rsid w:val="00E31B80"/>
    <w:rsid w:val="00E31CEF"/>
    <w:rsid w:val="00E3267B"/>
    <w:rsid w:val="00E32A9A"/>
    <w:rsid w:val="00E32C3F"/>
    <w:rsid w:val="00E3307E"/>
    <w:rsid w:val="00E331B0"/>
    <w:rsid w:val="00E332DD"/>
    <w:rsid w:val="00E33909"/>
    <w:rsid w:val="00E33FC1"/>
    <w:rsid w:val="00E346F2"/>
    <w:rsid w:val="00E34A20"/>
    <w:rsid w:val="00E34B0A"/>
    <w:rsid w:val="00E34BEF"/>
    <w:rsid w:val="00E3559C"/>
    <w:rsid w:val="00E355B0"/>
    <w:rsid w:val="00E355F4"/>
    <w:rsid w:val="00E35839"/>
    <w:rsid w:val="00E35BBA"/>
    <w:rsid w:val="00E35CE9"/>
    <w:rsid w:val="00E35FB8"/>
    <w:rsid w:val="00E36C35"/>
    <w:rsid w:val="00E36E7C"/>
    <w:rsid w:val="00E37050"/>
    <w:rsid w:val="00E3734A"/>
    <w:rsid w:val="00E37D58"/>
    <w:rsid w:val="00E401E8"/>
    <w:rsid w:val="00E40432"/>
    <w:rsid w:val="00E40875"/>
    <w:rsid w:val="00E40924"/>
    <w:rsid w:val="00E40D87"/>
    <w:rsid w:val="00E41408"/>
    <w:rsid w:val="00E41651"/>
    <w:rsid w:val="00E41918"/>
    <w:rsid w:val="00E41A8C"/>
    <w:rsid w:val="00E41D5D"/>
    <w:rsid w:val="00E42589"/>
    <w:rsid w:val="00E42A9D"/>
    <w:rsid w:val="00E42C0A"/>
    <w:rsid w:val="00E42DF5"/>
    <w:rsid w:val="00E42ED1"/>
    <w:rsid w:val="00E43067"/>
    <w:rsid w:val="00E433EE"/>
    <w:rsid w:val="00E4350E"/>
    <w:rsid w:val="00E43675"/>
    <w:rsid w:val="00E436C2"/>
    <w:rsid w:val="00E4374A"/>
    <w:rsid w:val="00E43791"/>
    <w:rsid w:val="00E437D2"/>
    <w:rsid w:val="00E437E4"/>
    <w:rsid w:val="00E43FF1"/>
    <w:rsid w:val="00E440AD"/>
    <w:rsid w:val="00E44251"/>
    <w:rsid w:val="00E4435E"/>
    <w:rsid w:val="00E447D5"/>
    <w:rsid w:val="00E44AAF"/>
    <w:rsid w:val="00E44B40"/>
    <w:rsid w:val="00E44D8E"/>
    <w:rsid w:val="00E4508D"/>
    <w:rsid w:val="00E45252"/>
    <w:rsid w:val="00E45296"/>
    <w:rsid w:val="00E45371"/>
    <w:rsid w:val="00E4574D"/>
    <w:rsid w:val="00E4598F"/>
    <w:rsid w:val="00E45B45"/>
    <w:rsid w:val="00E45E88"/>
    <w:rsid w:val="00E45E91"/>
    <w:rsid w:val="00E464C2"/>
    <w:rsid w:val="00E468E6"/>
    <w:rsid w:val="00E47976"/>
    <w:rsid w:val="00E47AC6"/>
    <w:rsid w:val="00E47C75"/>
    <w:rsid w:val="00E47D13"/>
    <w:rsid w:val="00E50189"/>
    <w:rsid w:val="00E50248"/>
    <w:rsid w:val="00E50A38"/>
    <w:rsid w:val="00E50BCC"/>
    <w:rsid w:val="00E50C2D"/>
    <w:rsid w:val="00E51255"/>
    <w:rsid w:val="00E514DB"/>
    <w:rsid w:val="00E523D8"/>
    <w:rsid w:val="00E52E3D"/>
    <w:rsid w:val="00E5317E"/>
    <w:rsid w:val="00E53378"/>
    <w:rsid w:val="00E53464"/>
    <w:rsid w:val="00E53475"/>
    <w:rsid w:val="00E538AC"/>
    <w:rsid w:val="00E53C53"/>
    <w:rsid w:val="00E53CC5"/>
    <w:rsid w:val="00E53F37"/>
    <w:rsid w:val="00E54002"/>
    <w:rsid w:val="00E540AD"/>
    <w:rsid w:val="00E54504"/>
    <w:rsid w:val="00E545CD"/>
    <w:rsid w:val="00E54651"/>
    <w:rsid w:val="00E5477F"/>
    <w:rsid w:val="00E54866"/>
    <w:rsid w:val="00E54C09"/>
    <w:rsid w:val="00E54C5C"/>
    <w:rsid w:val="00E54D04"/>
    <w:rsid w:val="00E54D0F"/>
    <w:rsid w:val="00E54EA5"/>
    <w:rsid w:val="00E550D3"/>
    <w:rsid w:val="00E55551"/>
    <w:rsid w:val="00E55930"/>
    <w:rsid w:val="00E55B96"/>
    <w:rsid w:val="00E55CA4"/>
    <w:rsid w:val="00E55E0A"/>
    <w:rsid w:val="00E56222"/>
    <w:rsid w:val="00E563E9"/>
    <w:rsid w:val="00E56570"/>
    <w:rsid w:val="00E5673D"/>
    <w:rsid w:val="00E56A7A"/>
    <w:rsid w:val="00E56E6D"/>
    <w:rsid w:val="00E571D2"/>
    <w:rsid w:val="00E57432"/>
    <w:rsid w:val="00E57725"/>
    <w:rsid w:val="00E5780A"/>
    <w:rsid w:val="00E60024"/>
    <w:rsid w:val="00E60788"/>
    <w:rsid w:val="00E6151C"/>
    <w:rsid w:val="00E61A0F"/>
    <w:rsid w:val="00E61CCC"/>
    <w:rsid w:val="00E62541"/>
    <w:rsid w:val="00E6263C"/>
    <w:rsid w:val="00E62776"/>
    <w:rsid w:val="00E62866"/>
    <w:rsid w:val="00E6299C"/>
    <w:rsid w:val="00E630B3"/>
    <w:rsid w:val="00E635F8"/>
    <w:rsid w:val="00E636C0"/>
    <w:rsid w:val="00E63858"/>
    <w:rsid w:val="00E6402E"/>
    <w:rsid w:val="00E640B8"/>
    <w:rsid w:val="00E6412C"/>
    <w:rsid w:val="00E6437A"/>
    <w:rsid w:val="00E6442E"/>
    <w:rsid w:val="00E645A2"/>
    <w:rsid w:val="00E646AF"/>
    <w:rsid w:val="00E64850"/>
    <w:rsid w:val="00E64934"/>
    <w:rsid w:val="00E64A69"/>
    <w:rsid w:val="00E64A8F"/>
    <w:rsid w:val="00E64BE2"/>
    <w:rsid w:val="00E64D88"/>
    <w:rsid w:val="00E65795"/>
    <w:rsid w:val="00E65DEF"/>
    <w:rsid w:val="00E65E2E"/>
    <w:rsid w:val="00E66084"/>
    <w:rsid w:val="00E662DD"/>
    <w:rsid w:val="00E663F3"/>
    <w:rsid w:val="00E66AAB"/>
    <w:rsid w:val="00E66ED2"/>
    <w:rsid w:val="00E66F9D"/>
    <w:rsid w:val="00E6718E"/>
    <w:rsid w:val="00E6727B"/>
    <w:rsid w:val="00E67AB7"/>
    <w:rsid w:val="00E67B8E"/>
    <w:rsid w:val="00E67E7B"/>
    <w:rsid w:val="00E67EB2"/>
    <w:rsid w:val="00E67EDE"/>
    <w:rsid w:val="00E67F49"/>
    <w:rsid w:val="00E70087"/>
    <w:rsid w:val="00E70240"/>
    <w:rsid w:val="00E70698"/>
    <w:rsid w:val="00E708D4"/>
    <w:rsid w:val="00E70997"/>
    <w:rsid w:val="00E70DEC"/>
    <w:rsid w:val="00E70E37"/>
    <w:rsid w:val="00E710E3"/>
    <w:rsid w:val="00E711F5"/>
    <w:rsid w:val="00E713CA"/>
    <w:rsid w:val="00E716FE"/>
    <w:rsid w:val="00E717F7"/>
    <w:rsid w:val="00E718F3"/>
    <w:rsid w:val="00E719A0"/>
    <w:rsid w:val="00E71D73"/>
    <w:rsid w:val="00E71D98"/>
    <w:rsid w:val="00E71F33"/>
    <w:rsid w:val="00E72168"/>
    <w:rsid w:val="00E722CC"/>
    <w:rsid w:val="00E72CC6"/>
    <w:rsid w:val="00E72DD8"/>
    <w:rsid w:val="00E72F7A"/>
    <w:rsid w:val="00E72FDA"/>
    <w:rsid w:val="00E73213"/>
    <w:rsid w:val="00E73C57"/>
    <w:rsid w:val="00E73DFD"/>
    <w:rsid w:val="00E73F74"/>
    <w:rsid w:val="00E73FA1"/>
    <w:rsid w:val="00E740B7"/>
    <w:rsid w:val="00E74147"/>
    <w:rsid w:val="00E747E5"/>
    <w:rsid w:val="00E74D99"/>
    <w:rsid w:val="00E74EBE"/>
    <w:rsid w:val="00E750B8"/>
    <w:rsid w:val="00E75295"/>
    <w:rsid w:val="00E75330"/>
    <w:rsid w:val="00E75610"/>
    <w:rsid w:val="00E758D5"/>
    <w:rsid w:val="00E75C06"/>
    <w:rsid w:val="00E76A5A"/>
    <w:rsid w:val="00E76A62"/>
    <w:rsid w:val="00E76D4B"/>
    <w:rsid w:val="00E76D55"/>
    <w:rsid w:val="00E77043"/>
    <w:rsid w:val="00E7752E"/>
    <w:rsid w:val="00E77775"/>
    <w:rsid w:val="00E77802"/>
    <w:rsid w:val="00E778B0"/>
    <w:rsid w:val="00E77A40"/>
    <w:rsid w:val="00E8006D"/>
    <w:rsid w:val="00E805BC"/>
    <w:rsid w:val="00E8087C"/>
    <w:rsid w:val="00E81086"/>
    <w:rsid w:val="00E811AA"/>
    <w:rsid w:val="00E815B5"/>
    <w:rsid w:val="00E81D55"/>
    <w:rsid w:val="00E81D68"/>
    <w:rsid w:val="00E81D97"/>
    <w:rsid w:val="00E81FEC"/>
    <w:rsid w:val="00E82418"/>
    <w:rsid w:val="00E8257A"/>
    <w:rsid w:val="00E825BE"/>
    <w:rsid w:val="00E8283F"/>
    <w:rsid w:val="00E82AF8"/>
    <w:rsid w:val="00E82EDA"/>
    <w:rsid w:val="00E83357"/>
    <w:rsid w:val="00E83394"/>
    <w:rsid w:val="00E8401D"/>
    <w:rsid w:val="00E84172"/>
    <w:rsid w:val="00E841CF"/>
    <w:rsid w:val="00E84316"/>
    <w:rsid w:val="00E843ED"/>
    <w:rsid w:val="00E8449E"/>
    <w:rsid w:val="00E844E3"/>
    <w:rsid w:val="00E8473B"/>
    <w:rsid w:val="00E84A71"/>
    <w:rsid w:val="00E84DB0"/>
    <w:rsid w:val="00E851A4"/>
    <w:rsid w:val="00E8539A"/>
    <w:rsid w:val="00E853F2"/>
    <w:rsid w:val="00E857D7"/>
    <w:rsid w:val="00E85AD3"/>
    <w:rsid w:val="00E85C5D"/>
    <w:rsid w:val="00E85C92"/>
    <w:rsid w:val="00E867FA"/>
    <w:rsid w:val="00E86D11"/>
    <w:rsid w:val="00E86F4A"/>
    <w:rsid w:val="00E87126"/>
    <w:rsid w:val="00E87282"/>
    <w:rsid w:val="00E8740C"/>
    <w:rsid w:val="00E87704"/>
    <w:rsid w:val="00E90192"/>
    <w:rsid w:val="00E902E8"/>
    <w:rsid w:val="00E90632"/>
    <w:rsid w:val="00E90D65"/>
    <w:rsid w:val="00E9131A"/>
    <w:rsid w:val="00E9160A"/>
    <w:rsid w:val="00E916A0"/>
    <w:rsid w:val="00E9178E"/>
    <w:rsid w:val="00E91C70"/>
    <w:rsid w:val="00E92416"/>
    <w:rsid w:val="00E92648"/>
    <w:rsid w:val="00E92716"/>
    <w:rsid w:val="00E92B0A"/>
    <w:rsid w:val="00E92BB0"/>
    <w:rsid w:val="00E92C4A"/>
    <w:rsid w:val="00E92CBF"/>
    <w:rsid w:val="00E92D0E"/>
    <w:rsid w:val="00E931F5"/>
    <w:rsid w:val="00E932B0"/>
    <w:rsid w:val="00E93545"/>
    <w:rsid w:val="00E9357E"/>
    <w:rsid w:val="00E936F8"/>
    <w:rsid w:val="00E93D6C"/>
    <w:rsid w:val="00E93FF4"/>
    <w:rsid w:val="00E94000"/>
    <w:rsid w:val="00E94608"/>
    <w:rsid w:val="00E947AC"/>
    <w:rsid w:val="00E9499B"/>
    <w:rsid w:val="00E949CF"/>
    <w:rsid w:val="00E94CFC"/>
    <w:rsid w:val="00E951AB"/>
    <w:rsid w:val="00E952A9"/>
    <w:rsid w:val="00E952EA"/>
    <w:rsid w:val="00E953C6"/>
    <w:rsid w:val="00E955BB"/>
    <w:rsid w:val="00E956D8"/>
    <w:rsid w:val="00E95A25"/>
    <w:rsid w:val="00E95D15"/>
    <w:rsid w:val="00E95D2B"/>
    <w:rsid w:val="00E96684"/>
    <w:rsid w:val="00E966A4"/>
    <w:rsid w:val="00E96E9E"/>
    <w:rsid w:val="00E96F14"/>
    <w:rsid w:val="00E970AE"/>
    <w:rsid w:val="00E97266"/>
    <w:rsid w:val="00E9732D"/>
    <w:rsid w:val="00E97769"/>
    <w:rsid w:val="00E97DE6"/>
    <w:rsid w:val="00E97E43"/>
    <w:rsid w:val="00E97F2C"/>
    <w:rsid w:val="00E97F8D"/>
    <w:rsid w:val="00EA0007"/>
    <w:rsid w:val="00EA06CC"/>
    <w:rsid w:val="00EA0746"/>
    <w:rsid w:val="00EA0949"/>
    <w:rsid w:val="00EA0A3A"/>
    <w:rsid w:val="00EA0B2F"/>
    <w:rsid w:val="00EA0F0A"/>
    <w:rsid w:val="00EA10EE"/>
    <w:rsid w:val="00EA1119"/>
    <w:rsid w:val="00EA1287"/>
    <w:rsid w:val="00EA14CE"/>
    <w:rsid w:val="00EA164D"/>
    <w:rsid w:val="00EA19F8"/>
    <w:rsid w:val="00EA1E12"/>
    <w:rsid w:val="00EA1F76"/>
    <w:rsid w:val="00EA211D"/>
    <w:rsid w:val="00EA24DF"/>
    <w:rsid w:val="00EA2AF8"/>
    <w:rsid w:val="00EA2DA7"/>
    <w:rsid w:val="00EA31D7"/>
    <w:rsid w:val="00EA34ED"/>
    <w:rsid w:val="00EA367C"/>
    <w:rsid w:val="00EA3866"/>
    <w:rsid w:val="00EA3937"/>
    <w:rsid w:val="00EA3C4B"/>
    <w:rsid w:val="00EA3E51"/>
    <w:rsid w:val="00EA3EB4"/>
    <w:rsid w:val="00EA431D"/>
    <w:rsid w:val="00EA434C"/>
    <w:rsid w:val="00EA462F"/>
    <w:rsid w:val="00EA46B9"/>
    <w:rsid w:val="00EA4749"/>
    <w:rsid w:val="00EA4991"/>
    <w:rsid w:val="00EA4A81"/>
    <w:rsid w:val="00EA4AC5"/>
    <w:rsid w:val="00EA4B3C"/>
    <w:rsid w:val="00EA4B55"/>
    <w:rsid w:val="00EA4BCA"/>
    <w:rsid w:val="00EA519C"/>
    <w:rsid w:val="00EA51C5"/>
    <w:rsid w:val="00EA5214"/>
    <w:rsid w:val="00EA5414"/>
    <w:rsid w:val="00EA57C8"/>
    <w:rsid w:val="00EA7970"/>
    <w:rsid w:val="00EA7DB2"/>
    <w:rsid w:val="00EA7E1B"/>
    <w:rsid w:val="00EA7F64"/>
    <w:rsid w:val="00EB00E0"/>
    <w:rsid w:val="00EB02CC"/>
    <w:rsid w:val="00EB0A55"/>
    <w:rsid w:val="00EB0A81"/>
    <w:rsid w:val="00EB0B28"/>
    <w:rsid w:val="00EB0CD7"/>
    <w:rsid w:val="00EB0D7C"/>
    <w:rsid w:val="00EB0FBE"/>
    <w:rsid w:val="00EB1233"/>
    <w:rsid w:val="00EB142B"/>
    <w:rsid w:val="00EB19BF"/>
    <w:rsid w:val="00EB1C73"/>
    <w:rsid w:val="00EB1C96"/>
    <w:rsid w:val="00EB20C5"/>
    <w:rsid w:val="00EB24E6"/>
    <w:rsid w:val="00EB2649"/>
    <w:rsid w:val="00EB26EF"/>
    <w:rsid w:val="00EB27FE"/>
    <w:rsid w:val="00EB2A80"/>
    <w:rsid w:val="00EB2B6C"/>
    <w:rsid w:val="00EB2CE7"/>
    <w:rsid w:val="00EB31C9"/>
    <w:rsid w:val="00EB3450"/>
    <w:rsid w:val="00EB3A15"/>
    <w:rsid w:val="00EB3E29"/>
    <w:rsid w:val="00EB3F7A"/>
    <w:rsid w:val="00EB41DA"/>
    <w:rsid w:val="00EB4629"/>
    <w:rsid w:val="00EB499A"/>
    <w:rsid w:val="00EB4A8F"/>
    <w:rsid w:val="00EB4ADD"/>
    <w:rsid w:val="00EB4B5F"/>
    <w:rsid w:val="00EB4C32"/>
    <w:rsid w:val="00EB4CE0"/>
    <w:rsid w:val="00EB4E68"/>
    <w:rsid w:val="00EB4FF4"/>
    <w:rsid w:val="00EB5441"/>
    <w:rsid w:val="00EB584F"/>
    <w:rsid w:val="00EB598B"/>
    <w:rsid w:val="00EB5CEC"/>
    <w:rsid w:val="00EB61D1"/>
    <w:rsid w:val="00EB6234"/>
    <w:rsid w:val="00EB62B3"/>
    <w:rsid w:val="00EB6822"/>
    <w:rsid w:val="00EB6907"/>
    <w:rsid w:val="00EB6DD7"/>
    <w:rsid w:val="00EB6F79"/>
    <w:rsid w:val="00EB70F7"/>
    <w:rsid w:val="00EB7285"/>
    <w:rsid w:val="00EB7588"/>
    <w:rsid w:val="00EB77FF"/>
    <w:rsid w:val="00EC0032"/>
    <w:rsid w:val="00EC0600"/>
    <w:rsid w:val="00EC06F3"/>
    <w:rsid w:val="00EC1160"/>
    <w:rsid w:val="00EC1253"/>
    <w:rsid w:val="00EC13D3"/>
    <w:rsid w:val="00EC1446"/>
    <w:rsid w:val="00EC190B"/>
    <w:rsid w:val="00EC194E"/>
    <w:rsid w:val="00EC1A0F"/>
    <w:rsid w:val="00EC1F04"/>
    <w:rsid w:val="00EC21B4"/>
    <w:rsid w:val="00EC21ED"/>
    <w:rsid w:val="00EC2390"/>
    <w:rsid w:val="00EC242D"/>
    <w:rsid w:val="00EC2742"/>
    <w:rsid w:val="00EC2775"/>
    <w:rsid w:val="00EC2849"/>
    <w:rsid w:val="00EC2974"/>
    <w:rsid w:val="00EC2A4A"/>
    <w:rsid w:val="00EC2B17"/>
    <w:rsid w:val="00EC3700"/>
    <w:rsid w:val="00EC3CDD"/>
    <w:rsid w:val="00EC40F9"/>
    <w:rsid w:val="00EC4B28"/>
    <w:rsid w:val="00EC5809"/>
    <w:rsid w:val="00EC5AB0"/>
    <w:rsid w:val="00EC5E90"/>
    <w:rsid w:val="00EC64FE"/>
    <w:rsid w:val="00EC6953"/>
    <w:rsid w:val="00EC6964"/>
    <w:rsid w:val="00EC6C73"/>
    <w:rsid w:val="00EC6C89"/>
    <w:rsid w:val="00EC71BC"/>
    <w:rsid w:val="00EC732B"/>
    <w:rsid w:val="00EC7421"/>
    <w:rsid w:val="00EC7489"/>
    <w:rsid w:val="00EC7849"/>
    <w:rsid w:val="00EC7AB7"/>
    <w:rsid w:val="00EC7D05"/>
    <w:rsid w:val="00EC7D69"/>
    <w:rsid w:val="00ED0891"/>
    <w:rsid w:val="00ED0AF8"/>
    <w:rsid w:val="00ED0BDD"/>
    <w:rsid w:val="00ED0C2A"/>
    <w:rsid w:val="00ED0CCB"/>
    <w:rsid w:val="00ED13B9"/>
    <w:rsid w:val="00ED15C8"/>
    <w:rsid w:val="00ED1729"/>
    <w:rsid w:val="00ED1876"/>
    <w:rsid w:val="00ED1887"/>
    <w:rsid w:val="00ED1955"/>
    <w:rsid w:val="00ED19D5"/>
    <w:rsid w:val="00ED20A7"/>
    <w:rsid w:val="00ED2963"/>
    <w:rsid w:val="00ED29D7"/>
    <w:rsid w:val="00ED2A75"/>
    <w:rsid w:val="00ED2B1E"/>
    <w:rsid w:val="00ED2C1A"/>
    <w:rsid w:val="00ED2F61"/>
    <w:rsid w:val="00ED3393"/>
    <w:rsid w:val="00ED36F6"/>
    <w:rsid w:val="00ED37C1"/>
    <w:rsid w:val="00ED38BF"/>
    <w:rsid w:val="00ED38EA"/>
    <w:rsid w:val="00ED391B"/>
    <w:rsid w:val="00ED3FB7"/>
    <w:rsid w:val="00ED41F4"/>
    <w:rsid w:val="00ED449C"/>
    <w:rsid w:val="00ED465E"/>
    <w:rsid w:val="00ED48EB"/>
    <w:rsid w:val="00ED4ACC"/>
    <w:rsid w:val="00ED52E3"/>
    <w:rsid w:val="00ED55DB"/>
    <w:rsid w:val="00ED5648"/>
    <w:rsid w:val="00ED5697"/>
    <w:rsid w:val="00ED5895"/>
    <w:rsid w:val="00ED58C0"/>
    <w:rsid w:val="00ED58F4"/>
    <w:rsid w:val="00ED59DC"/>
    <w:rsid w:val="00ED5B22"/>
    <w:rsid w:val="00ED5CBA"/>
    <w:rsid w:val="00ED5ED3"/>
    <w:rsid w:val="00ED60E0"/>
    <w:rsid w:val="00ED6136"/>
    <w:rsid w:val="00ED62CF"/>
    <w:rsid w:val="00ED631A"/>
    <w:rsid w:val="00ED63BA"/>
    <w:rsid w:val="00ED6436"/>
    <w:rsid w:val="00ED681F"/>
    <w:rsid w:val="00ED68C5"/>
    <w:rsid w:val="00ED6EDA"/>
    <w:rsid w:val="00ED70BD"/>
    <w:rsid w:val="00ED71F2"/>
    <w:rsid w:val="00ED7708"/>
    <w:rsid w:val="00ED7ACC"/>
    <w:rsid w:val="00ED7C6D"/>
    <w:rsid w:val="00ED7D06"/>
    <w:rsid w:val="00EE0171"/>
    <w:rsid w:val="00EE05C0"/>
    <w:rsid w:val="00EE08B0"/>
    <w:rsid w:val="00EE0D6B"/>
    <w:rsid w:val="00EE0F39"/>
    <w:rsid w:val="00EE1161"/>
    <w:rsid w:val="00EE16D6"/>
    <w:rsid w:val="00EE1945"/>
    <w:rsid w:val="00EE1A25"/>
    <w:rsid w:val="00EE1C2B"/>
    <w:rsid w:val="00EE1CDB"/>
    <w:rsid w:val="00EE1F9C"/>
    <w:rsid w:val="00EE1FB7"/>
    <w:rsid w:val="00EE2492"/>
    <w:rsid w:val="00EE2CF9"/>
    <w:rsid w:val="00EE3734"/>
    <w:rsid w:val="00EE387A"/>
    <w:rsid w:val="00EE3C19"/>
    <w:rsid w:val="00EE3C4C"/>
    <w:rsid w:val="00EE3EB1"/>
    <w:rsid w:val="00EE4274"/>
    <w:rsid w:val="00EE42FF"/>
    <w:rsid w:val="00EE5023"/>
    <w:rsid w:val="00EE5239"/>
    <w:rsid w:val="00EE5321"/>
    <w:rsid w:val="00EE577E"/>
    <w:rsid w:val="00EE5A3F"/>
    <w:rsid w:val="00EE5CE2"/>
    <w:rsid w:val="00EE5E7D"/>
    <w:rsid w:val="00EE6126"/>
    <w:rsid w:val="00EE628A"/>
    <w:rsid w:val="00EE643F"/>
    <w:rsid w:val="00EE66C8"/>
    <w:rsid w:val="00EE67EB"/>
    <w:rsid w:val="00EE69AB"/>
    <w:rsid w:val="00EE69E5"/>
    <w:rsid w:val="00EE6B11"/>
    <w:rsid w:val="00EE6B47"/>
    <w:rsid w:val="00EE6C94"/>
    <w:rsid w:val="00EE6FAF"/>
    <w:rsid w:val="00EE708E"/>
    <w:rsid w:val="00EE7195"/>
    <w:rsid w:val="00EE7233"/>
    <w:rsid w:val="00EE7BEE"/>
    <w:rsid w:val="00EE7E20"/>
    <w:rsid w:val="00EF00B5"/>
    <w:rsid w:val="00EF044F"/>
    <w:rsid w:val="00EF119F"/>
    <w:rsid w:val="00EF12E7"/>
    <w:rsid w:val="00EF12EE"/>
    <w:rsid w:val="00EF13F6"/>
    <w:rsid w:val="00EF15EF"/>
    <w:rsid w:val="00EF16DE"/>
    <w:rsid w:val="00EF1995"/>
    <w:rsid w:val="00EF19BD"/>
    <w:rsid w:val="00EF1BCD"/>
    <w:rsid w:val="00EF1E34"/>
    <w:rsid w:val="00EF202A"/>
    <w:rsid w:val="00EF22B4"/>
    <w:rsid w:val="00EF2394"/>
    <w:rsid w:val="00EF2606"/>
    <w:rsid w:val="00EF28F3"/>
    <w:rsid w:val="00EF2D17"/>
    <w:rsid w:val="00EF2E73"/>
    <w:rsid w:val="00EF302D"/>
    <w:rsid w:val="00EF3155"/>
    <w:rsid w:val="00EF343B"/>
    <w:rsid w:val="00EF3AB2"/>
    <w:rsid w:val="00EF3B3B"/>
    <w:rsid w:val="00EF3B40"/>
    <w:rsid w:val="00EF3D92"/>
    <w:rsid w:val="00EF3E7E"/>
    <w:rsid w:val="00EF409C"/>
    <w:rsid w:val="00EF419F"/>
    <w:rsid w:val="00EF4D1C"/>
    <w:rsid w:val="00EF4DCB"/>
    <w:rsid w:val="00EF4E60"/>
    <w:rsid w:val="00EF53F8"/>
    <w:rsid w:val="00EF5A20"/>
    <w:rsid w:val="00EF5C8A"/>
    <w:rsid w:val="00EF5F06"/>
    <w:rsid w:val="00EF615E"/>
    <w:rsid w:val="00EF6710"/>
    <w:rsid w:val="00EF6844"/>
    <w:rsid w:val="00EF6A30"/>
    <w:rsid w:val="00EF6C6F"/>
    <w:rsid w:val="00EF6E8C"/>
    <w:rsid w:val="00EF6EB7"/>
    <w:rsid w:val="00EF70ED"/>
    <w:rsid w:val="00EF710E"/>
    <w:rsid w:val="00EF7171"/>
    <w:rsid w:val="00EF7E3B"/>
    <w:rsid w:val="00F0024D"/>
    <w:rsid w:val="00F002E5"/>
    <w:rsid w:val="00F003CC"/>
    <w:rsid w:val="00F00552"/>
    <w:rsid w:val="00F007CD"/>
    <w:rsid w:val="00F00EAE"/>
    <w:rsid w:val="00F01220"/>
    <w:rsid w:val="00F0136B"/>
    <w:rsid w:val="00F0140E"/>
    <w:rsid w:val="00F01614"/>
    <w:rsid w:val="00F01B1D"/>
    <w:rsid w:val="00F01CE1"/>
    <w:rsid w:val="00F01DE6"/>
    <w:rsid w:val="00F01E1D"/>
    <w:rsid w:val="00F02065"/>
    <w:rsid w:val="00F02172"/>
    <w:rsid w:val="00F0223F"/>
    <w:rsid w:val="00F0231C"/>
    <w:rsid w:val="00F02393"/>
    <w:rsid w:val="00F02707"/>
    <w:rsid w:val="00F0320C"/>
    <w:rsid w:val="00F032F5"/>
    <w:rsid w:val="00F0346A"/>
    <w:rsid w:val="00F0370F"/>
    <w:rsid w:val="00F0371E"/>
    <w:rsid w:val="00F03D6A"/>
    <w:rsid w:val="00F04091"/>
    <w:rsid w:val="00F04219"/>
    <w:rsid w:val="00F04715"/>
    <w:rsid w:val="00F0499E"/>
    <w:rsid w:val="00F050D1"/>
    <w:rsid w:val="00F052AC"/>
    <w:rsid w:val="00F057EB"/>
    <w:rsid w:val="00F05C98"/>
    <w:rsid w:val="00F06394"/>
    <w:rsid w:val="00F0643F"/>
    <w:rsid w:val="00F069EB"/>
    <w:rsid w:val="00F06EC7"/>
    <w:rsid w:val="00F07124"/>
    <w:rsid w:val="00F0784D"/>
    <w:rsid w:val="00F07860"/>
    <w:rsid w:val="00F07B1E"/>
    <w:rsid w:val="00F07F37"/>
    <w:rsid w:val="00F07FD6"/>
    <w:rsid w:val="00F10162"/>
    <w:rsid w:val="00F1065F"/>
    <w:rsid w:val="00F10718"/>
    <w:rsid w:val="00F1079A"/>
    <w:rsid w:val="00F1087F"/>
    <w:rsid w:val="00F1097F"/>
    <w:rsid w:val="00F10E44"/>
    <w:rsid w:val="00F11411"/>
    <w:rsid w:val="00F11617"/>
    <w:rsid w:val="00F11BA7"/>
    <w:rsid w:val="00F11D22"/>
    <w:rsid w:val="00F11DA9"/>
    <w:rsid w:val="00F12BE6"/>
    <w:rsid w:val="00F135FA"/>
    <w:rsid w:val="00F13794"/>
    <w:rsid w:val="00F137A2"/>
    <w:rsid w:val="00F138F4"/>
    <w:rsid w:val="00F13960"/>
    <w:rsid w:val="00F13C8F"/>
    <w:rsid w:val="00F13DA8"/>
    <w:rsid w:val="00F13F7D"/>
    <w:rsid w:val="00F146A0"/>
    <w:rsid w:val="00F146A3"/>
    <w:rsid w:val="00F146B5"/>
    <w:rsid w:val="00F14914"/>
    <w:rsid w:val="00F14BD6"/>
    <w:rsid w:val="00F14C0D"/>
    <w:rsid w:val="00F14D1F"/>
    <w:rsid w:val="00F14D33"/>
    <w:rsid w:val="00F151D6"/>
    <w:rsid w:val="00F15589"/>
    <w:rsid w:val="00F15651"/>
    <w:rsid w:val="00F15762"/>
    <w:rsid w:val="00F15825"/>
    <w:rsid w:val="00F15D60"/>
    <w:rsid w:val="00F160A8"/>
    <w:rsid w:val="00F161D6"/>
    <w:rsid w:val="00F162BD"/>
    <w:rsid w:val="00F1646A"/>
    <w:rsid w:val="00F16D25"/>
    <w:rsid w:val="00F16E58"/>
    <w:rsid w:val="00F1706B"/>
    <w:rsid w:val="00F1722D"/>
    <w:rsid w:val="00F174C7"/>
    <w:rsid w:val="00F17568"/>
    <w:rsid w:val="00F1796D"/>
    <w:rsid w:val="00F17D26"/>
    <w:rsid w:val="00F17E41"/>
    <w:rsid w:val="00F201AC"/>
    <w:rsid w:val="00F20307"/>
    <w:rsid w:val="00F207AB"/>
    <w:rsid w:val="00F208E2"/>
    <w:rsid w:val="00F20ED3"/>
    <w:rsid w:val="00F21002"/>
    <w:rsid w:val="00F211FF"/>
    <w:rsid w:val="00F2123C"/>
    <w:rsid w:val="00F21467"/>
    <w:rsid w:val="00F218DB"/>
    <w:rsid w:val="00F21EFD"/>
    <w:rsid w:val="00F227E0"/>
    <w:rsid w:val="00F22860"/>
    <w:rsid w:val="00F22CA3"/>
    <w:rsid w:val="00F22CB0"/>
    <w:rsid w:val="00F234BD"/>
    <w:rsid w:val="00F2398B"/>
    <w:rsid w:val="00F2398E"/>
    <w:rsid w:val="00F23F12"/>
    <w:rsid w:val="00F23FE9"/>
    <w:rsid w:val="00F243A7"/>
    <w:rsid w:val="00F24436"/>
    <w:rsid w:val="00F24469"/>
    <w:rsid w:val="00F2477E"/>
    <w:rsid w:val="00F24A3C"/>
    <w:rsid w:val="00F24B16"/>
    <w:rsid w:val="00F24B42"/>
    <w:rsid w:val="00F24F02"/>
    <w:rsid w:val="00F25055"/>
    <w:rsid w:val="00F250E5"/>
    <w:rsid w:val="00F251FA"/>
    <w:rsid w:val="00F2558A"/>
    <w:rsid w:val="00F256D2"/>
    <w:rsid w:val="00F25E29"/>
    <w:rsid w:val="00F25E71"/>
    <w:rsid w:val="00F26081"/>
    <w:rsid w:val="00F26274"/>
    <w:rsid w:val="00F2658C"/>
    <w:rsid w:val="00F265B9"/>
    <w:rsid w:val="00F26744"/>
    <w:rsid w:val="00F267E9"/>
    <w:rsid w:val="00F27063"/>
    <w:rsid w:val="00F2753F"/>
    <w:rsid w:val="00F279AC"/>
    <w:rsid w:val="00F27FA7"/>
    <w:rsid w:val="00F3001E"/>
    <w:rsid w:val="00F30043"/>
    <w:rsid w:val="00F301F9"/>
    <w:rsid w:val="00F304B0"/>
    <w:rsid w:val="00F30628"/>
    <w:rsid w:val="00F306DD"/>
    <w:rsid w:val="00F30844"/>
    <w:rsid w:val="00F30916"/>
    <w:rsid w:val="00F30984"/>
    <w:rsid w:val="00F30B6B"/>
    <w:rsid w:val="00F30B87"/>
    <w:rsid w:val="00F30D1D"/>
    <w:rsid w:val="00F30FC2"/>
    <w:rsid w:val="00F31022"/>
    <w:rsid w:val="00F31359"/>
    <w:rsid w:val="00F3148F"/>
    <w:rsid w:val="00F31C04"/>
    <w:rsid w:val="00F31E52"/>
    <w:rsid w:val="00F31F7A"/>
    <w:rsid w:val="00F3213C"/>
    <w:rsid w:val="00F32D71"/>
    <w:rsid w:val="00F32E90"/>
    <w:rsid w:val="00F32F29"/>
    <w:rsid w:val="00F334C2"/>
    <w:rsid w:val="00F33778"/>
    <w:rsid w:val="00F33818"/>
    <w:rsid w:val="00F33ACC"/>
    <w:rsid w:val="00F33E19"/>
    <w:rsid w:val="00F33E85"/>
    <w:rsid w:val="00F3407A"/>
    <w:rsid w:val="00F3446B"/>
    <w:rsid w:val="00F34579"/>
    <w:rsid w:val="00F346C6"/>
    <w:rsid w:val="00F34F1D"/>
    <w:rsid w:val="00F3500A"/>
    <w:rsid w:val="00F35147"/>
    <w:rsid w:val="00F3540F"/>
    <w:rsid w:val="00F35C56"/>
    <w:rsid w:val="00F35E17"/>
    <w:rsid w:val="00F35F5E"/>
    <w:rsid w:val="00F35FD3"/>
    <w:rsid w:val="00F3603F"/>
    <w:rsid w:val="00F36342"/>
    <w:rsid w:val="00F36E06"/>
    <w:rsid w:val="00F36E90"/>
    <w:rsid w:val="00F3734D"/>
    <w:rsid w:val="00F37609"/>
    <w:rsid w:val="00F37689"/>
    <w:rsid w:val="00F377C0"/>
    <w:rsid w:val="00F37EC2"/>
    <w:rsid w:val="00F404B9"/>
    <w:rsid w:val="00F40662"/>
    <w:rsid w:val="00F408A8"/>
    <w:rsid w:val="00F40BD9"/>
    <w:rsid w:val="00F40C40"/>
    <w:rsid w:val="00F41092"/>
    <w:rsid w:val="00F412D5"/>
    <w:rsid w:val="00F41318"/>
    <w:rsid w:val="00F414DF"/>
    <w:rsid w:val="00F41986"/>
    <w:rsid w:val="00F4246A"/>
    <w:rsid w:val="00F425FE"/>
    <w:rsid w:val="00F42835"/>
    <w:rsid w:val="00F42FF6"/>
    <w:rsid w:val="00F430EF"/>
    <w:rsid w:val="00F435A4"/>
    <w:rsid w:val="00F43F4B"/>
    <w:rsid w:val="00F44027"/>
    <w:rsid w:val="00F44146"/>
    <w:rsid w:val="00F442D1"/>
    <w:rsid w:val="00F445D2"/>
    <w:rsid w:val="00F44AB0"/>
    <w:rsid w:val="00F44BBB"/>
    <w:rsid w:val="00F44C7E"/>
    <w:rsid w:val="00F4545C"/>
    <w:rsid w:val="00F455B6"/>
    <w:rsid w:val="00F45719"/>
    <w:rsid w:val="00F45903"/>
    <w:rsid w:val="00F459EB"/>
    <w:rsid w:val="00F45BE4"/>
    <w:rsid w:val="00F45DEE"/>
    <w:rsid w:val="00F45EFF"/>
    <w:rsid w:val="00F46065"/>
    <w:rsid w:val="00F465BB"/>
    <w:rsid w:val="00F46B06"/>
    <w:rsid w:val="00F46B3A"/>
    <w:rsid w:val="00F46F9C"/>
    <w:rsid w:val="00F47098"/>
    <w:rsid w:val="00F4731C"/>
    <w:rsid w:val="00F474C0"/>
    <w:rsid w:val="00F47AD9"/>
    <w:rsid w:val="00F47B4D"/>
    <w:rsid w:val="00F47BFE"/>
    <w:rsid w:val="00F47EE1"/>
    <w:rsid w:val="00F47F86"/>
    <w:rsid w:val="00F5049D"/>
    <w:rsid w:val="00F507E7"/>
    <w:rsid w:val="00F50C40"/>
    <w:rsid w:val="00F51306"/>
    <w:rsid w:val="00F51B83"/>
    <w:rsid w:val="00F51D2B"/>
    <w:rsid w:val="00F52443"/>
    <w:rsid w:val="00F5259B"/>
    <w:rsid w:val="00F52DFC"/>
    <w:rsid w:val="00F52FA1"/>
    <w:rsid w:val="00F533A6"/>
    <w:rsid w:val="00F53520"/>
    <w:rsid w:val="00F536AA"/>
    <w:rsid w:val="00F537B9"/>
    <w:rsid w:val="00F53BEA"/>
    <w:rsid w:val="00F53D2D"/>
    <w:rsid w:val="00F53E38"/>
    <w:rsid w:val="00F53FB5"/>
    <w:rsid w:val="00F54141"/>
    <w:rsid w:val="00F54353"/>
    <w:rsid w:val="00F54540"/>
    <w:rsid w:val="00F5455F"/>
    <w:rsid w:val="00F54614"/>
    <w:rsid w:val="00F54686"/>
    <w:rsid w:val="00F546B1"/>
    <w:rsid w:val="00F54AAA"/>
    <w:rsid w:val="00F54BB8"/>
    <w:rsid w:val="00F54C86"/>
    <w:rsid w:val="00F54F2D"/>
    <w:rsid w:val="00F550D9"/>
    <w:rsid w:val="00F550E2"/>
    <w:rsid w:val="00F550ED"/>
    <w:rsid w:val="00F5524A"/>
    <w:rsid w:val="00F5542F"/>
    <w:rsid w:val="00F55693"/>
    <w:rsid w:val="00F559AA"/>
    <w:rsid w:val="00F559F4"/>
    <w:rsid w:val="00F55A72"/>
    <w:rsid w:val="00F55D8F"/>
    <w:rsid w:val="00F55EEF"/>
    <w:rsid w:val="00F55F63"/>
    <w:rsid w:val="00F56016"/>
    <w:rsid w:val="00F56059"/>
    <w:rsid w:val="00F561C2"/>
    <w:rsid w:val="00F56536"/>
    <w:rsid w:val="00F56727"/>
    <w:rsid w:val="00F56813"/>
    <w:rsid w:val="00F568A0"/>
    <w:rsid w:val="00F56A36"/>
    <w:rsid w:val="00F56A7F"/>
    <w:rsid w:val="00F56E9D"/>
    <w:rsid w:val="00F570A1"/>
    <w:rsid w:val="00F57514"/>
    <w:rsid w:val="00F575BB"/>
    <w:rsid w:val="00F57638"/>
    <w:rsid w:val="00F57666"/>
    <w:rsid w:val="00F57895"/>
    <w:rsid w:val="00F57ACE"/>
    <w:rsid w:val="00F57E13"/>
    <w:rsid w:val="00F6004E"/>
    <w:rsid w:val="00F6038B"/>
    <w:rsid w:val="00F60486"/>
    <w:rsid w:val="00F609EE"/>
    <w:rsid w:val="00F60AD8"/>
    <w:rsid w:val="00F61183"/>
    <w:rsid w:val="00F6118B"/>
    <w:rsid w:val="00F611DB"/>
    <w:rsid w:val="00F61439"/>
    <w:rsid w:val="00F617A3"/>
    <w:rsid w:val="00F61E58"/>
    <w:rsid w:val="00F62285"/>
    <w:rsid w:val="00F62325"/>
    <w:rsid w:val="00F628D3"/>
    <w:rsid w:val="00F62D1A"/>
    <w:rsid w:val="00F62DF1"/>
    <w:rsid w:val="00F62E18"/>
    <w:rsid w:val="00F62F67"/>
    <w:rsid w:val="00F630E9"/>
    <w:rsid w:val="00F631A3"/>
    <w:rsid w:val="00F6320E"/>
    <w:rsid w:val="00F6338A"/>
    <w:rsid w:val="00F634C5"/>
    <w:rsid w:val="00F63920"/>
    <w:rsid w:val="00F63D3A"/>
    <w:rsid w:val="00F64013"/>
    <w:rsid w:val="00F64203"/>
    <w:rsid w:val="00F642DE"/>
    <w:rsid w:val="00F645A3"/>
    <w:rsid w:val="00F64682"/>
    <w:rsid w:val="00F64817"/>
    <w:rsid w:val="00F64842"/>
    <w:rsid w:val="00F6485D"/>
    <w:rsid w:val="00F6494F"/>
    <w:rsid w:val="00F64DFA"/>
    <w:rsid w:val="00F650AC"/>
    <w:rsid w:val="00F65154"/>
    <w:rsid w:val="00F65220"/>
    <w:rsid w:val="00F65551"/>
    <w:rsid w:val="00F65982"/>
    <w:rsid w:val="00F659C8"/>
    <w:rsid w:val="00F65D41"/>
    <w:rsid w:val="00F65E13"/>
    <w:rsid w:val="00F66014"/>
    <w:rsid w:val="00F66134"/>
    <w:rsid w:val="00F66448"/>
    <w:rsid w:val="00F66518"/>
    <w:rsid w:val="00F66742"/>
    <w:rsid w:val="00F667B3"/>
    <w:rsid w:val="00F66C91"/>
    <w:rsid w:val="00F67381"/>
    <w:rsid w:val="00F67414"/>
    <w:rsid w:val="00F67513"/>
    <w:rsid w:val="00F67A95"/>
    <w:rsid w:val="00F67B25"/>
    <w:rsid w:val="00F67B69"/>
    <w:rsid w:val="00F67BD9"/>
    <w:rsid w:val="00F67CAD"/>
    <w:rsid w:val="00F70315"/>
    <w:rsid w:val="00F70430"/>
    <w:rsid w:val="00F70480"/>
    <w:rsid w:val="00F7130A"/>
    <w:rsid w:val="00F71725"/>
    <w:rsid w:val="00F71933"/>
    <w:rsid w:val="00F71A7D"/>
    <w:rsid w:val="00F7236A"/>
    <w:rsid w:val="00F72B02"/>
    <w:rsid w:val="00F72F34"/>
    <w:rsid w:val="00F733CB"/>
    <w:rsid w:val="00F73A92"/>
    <w:rsid w:val="00F73B7E"/>
    <w:rsid w:val="00F741DE"/>
    <w:rsid w:val="00F741E5"/>
    <w:rsid w:val="00F75086"/>
    <w:rsid w:val="00F75822"/>
    <w:rsid w:val="00F75AAF"/>
    <w:rsid w:val="00F75C1F"/>
    <w:rsid w:val="00F75F79"/>
    <w:rsid w:val="00F76088"/>
    <w:rsid w:val="00F763BB"/>
    <w:rsid w:val="00F766B5"/>
    <w:rsid w:val="00F76914"/>
    <w:rsid w:val="00F7691F"/>
    <w:rsid w:val="00F769A8"/>
    <w:rsid w:val="00F76A0E"/>
    <w:rsid w:val="00F76B35"/>
    <w:rsid w:val="00F76BB7"/>
    <w:rsid w:val="00F76C66"/>
    <w:rsid w:val="00F76F04"/>
    <w:rsid w:val="00F76F3F"/>
    <w:rsid w:val="00F77353"/>
    <w:rsid w:val="00F77472"/>
    <w:rsid w:val="00F777D5"/>
    <w:rsid w:val="00F77C62"/>
    <w:rsid w:val="00F77C8A"/>
    <w:rsid w:val="00F8031D"/>
    <w:rsid w:val="00F8037A"/>
    <w:rsid w:val="00F804DB"/>
    <w:rsid w:val="00F80C22"/>
    <w:rsid w:val="00F80CDC"/>
    <w:rsid w:val="00F813F9"/>
    <w:rsid w:val="00F81475"/>
    <w:rsid w:val="00F815DD"/>
    <w:rsid w:val="00F817F7"/>
    <w:rsid w:val="00F8213D"/>
    <w:rsid w:val="00F823B5"/>
    <w:rsid w:val="00F82E15"/>
    <w:rsid w:val="00F83014"/>
    <w:rsid w:val="00F830CC"/>
    <w:rsid w:val="00F8322C"/>
    <w:rsid w:val="00F8325A"/>
    <w:rsid w:val="00F833F1"/>
    <w:rsid w:val="00F8364E"/>
    <w:rsid w:val="00F836C5"/>
    <w:rsid w:val="00F8372A"/>
    <w:rsid w:val="00F83995"/>
    <w:rsid w:val="00F83B12"/>
    <w:rsid w:val="00F83CD9"/>
    <w:rsid w:val="00F83EF5"/>
    <w:rsid w:val="00F8407C"/>
    <w:rsid w:val="00F846B6"/>
    <w:rsid w:val="00F8484E"/>
    <w:rsid w:val="00F84CFC"/>
    <w:rsid w:val="00F852A5"/>
    <w:rsid w:val="00F8552A"/>
    <w:rsid w:val="00F856AC"/>
    <w:rsid w:val="00F8573C"/>
    <w:rsid w:val="00F85973"/>
    <w:rsid w:val="00F85D07"/>
    <w:rsid w:val="00F86196"/>
    <w:rsid w:val="00F867D3"/>
    <w:rsid w:val="00F87062"/>
    <w:rsid w:val="00F8706E"/>
    <w:rsid w:val="00F871DD"/>
    <w:rsid w:val="00F874E0"/>
    <w:rsid w:val="00F87C18"/>
    <w:rsid w:val="00F905F0"/>
    <w:rsid w:val="00F90CCE"/>
    <w:rsid w:val="00F90EC4"/>
    <w:rsid w:val="00F91049"/>
    <w:rsid w:val="00F9123B"/>
    <w:rsid w:val="00F913C0"/>
    <w:rsid w:val="00F91623"/>
    <w:rsid w:val="00F9184C"/>
    <w:rsid w:val="00F91BF1"/>
    <w:rsid w:val="00F91CB4"/>
    <w:rsid w:val="00F91E7E"/>
    <w:rsid w:val="00F91EE4"/>
    <w:rsid w:val="00F921EC"/>
    <w:rsid w:val="00F924E1"/>
    <w:rsid w:val="00F925F7"/>
    <w:rsid w:val="00F92829"/>
    <w:rsid w:val="00F92B63"/>
    <w:rsid w:val="00F92BAD"/>
    <w:rsid w:val="00F930F8"/>
    <w:rsid w:val="00F93114"/>
    <w:rsid w:val="00F9327E"/>
    <w:rsid w:val="00F936ED"/>
    <w:rsid w:val="00F93900"/>
    <w:rsid w:val="00F93BAF"/>
    <w:rsid w:val="00F9402D"/>
    <w:rsid w:val="00F94255"/>
    <w:rsid w:val="00F946D7"/>
    <w:rsid w:val="00F94E0D"/>
    <w:rsid w:val="00F94E15"/>
    <w:rsid w:val="00F94F7B"/>
    <w:rsid w:val="00F9503B"/>
    <w:rsid w:val="00F9597F"/>
    <w:rsid w:val="00F959B3"/>
    <w:rsid w:val="00F95C14"/>
    <w:rsid w:val="00F95D16"/>
    <w:rsid w:val="00F9641D"/>
    <w:rsid w:val="00F96BAE"/>
    <w:rsid w:val="00F96C5B"/>
    <w:rsid w:val="00F971DD"/>
    <w:rsid w:val="00F973B2"/>
    <w:rsid w:val="00F979EF"/>
    <w:rsid w:val="00F97A7C"/>
    <w:rsid w:val="00F97C72"/>
    <w:rsid w:val="00FA05C5"/>
    <w:rsid w:val="00FA07B6"/>
    <w:rsid w:val="00FA0A38"/>
    <w:rsid w:val="00FA0B58"/>
    <w:rsid w:val="00FA0D50"/>
    <w:rsid w:val="00FA0E18"/>
    <w:rsid w:val="00FA0E39"/>
    <w:rsid w:val="00FA0EA3"/>
    <w:rsid w:val="00FA0F2B"/>
    <w:rsid w:val="00FA11FF"/>
    <w:rsid w:val="00FA14F5"/>
    <w:rsid w:val="00FA18C6"/>
    <w:rsid w:val="00FA1BB1"/>
    <w:rsid w:val="00FA24E9"/>
    <w:rsid w:val="00FA28D1"/>
    <w:rsid w:val="00FA29C2"/>
    <w:rsid w:val="00FA2AE1"/>
    <w:rsid w:val="00FA2B97"/>
    <w:rsid w:val="00FA2D7E"/>
    <w:rsid w:val="00FA3CAF"/>
    <w:rsid w:val="00FA3D28"/>
    <w:rsid w:val="00FA3E8B"/>
    <w:rsid w:val="00FA4444"/>
    <w:rsid w:val="00FA45F6"/>
    <w:rsid w:val="00FA467F"/>
    <w:rsid w:val="00FA4686"/>
    <w:rsid w:val="00FA57D3"/>
    <w:rsid w:val="00FA5BCE"/>
    <w:rsid w:val="00FA5C7D"/>
    <w:rsid w:val="00FA697E"/>
    <w:rsid w:val="00FA6C59"/>
    <w:rsid w:val="00FA6EDA"/>
    <w:rsid w:val="00FA72CB"/>
    <w:rsid w:val="00FA72F6"/>
    <w:rsid w:val="00FA7535"/>
    <w:rsid w:val="00FA7541"/>
    <w:rsid w:val="00FA79ED"/>
    <w:rsid w:val="00FA7D93"/>
    <w:rsid w:val="00FA7F62"/>
    <w:rsid w:val="00FB010B"/>
    <w:rsid w:val="00FB02BC"/>
    <w:rsid w:val="00FB05AC"/>
    <w:rsid w:val="00FB0619"/>
    <w:rsid w:val="00FB06CC"/>
    <w:rsid w:val="00FB076E"/>
    <w:rsid w:val="00FB0A84"/>
    <w:rsid w:val="00FB0C36"/>
    <w:rsid w:val="00FB0ED0"/>
    <w:rsid w:val="00FB0F09"/>
    <w:rsid w:val="00FB16FA"/>
    <w:rsid w:val="00FB17A0"/>
    <w:rsid w:val="00FB1CB7"/>
    <w:rsid w:val="00FB21E4"/>
    <w:rsid w:val="00FB22F4"/>
    <w:rsid w:val="00FB29C1"/>
    <w:rsid w:val="00FB2FB7"/>
    <w:rsid w:val="00FB3085"/>
    <w:rsid w:val="00FB313B"/>
    <w:rsid w:val="00FB357E"/>
    <w:rsid w:val="00FB368E"/>
    <w:rsid w:val="00FB383E"/>
    <w:rsid w:val="00FB3F3E"/>
    <w:rsid w:val="00FB40D3"/>
    <w:rsid w:val="00FB4994"/>
    <w:rsid w:val="00FB4BB9"/>
    <w:rsid w:val="00FB514D"/>
    <w:rsid w:val="00FB5204"/>
    <w:rsid w:val="00FB5239"/>
    <w:rsid w:val="00FB527A"/>
    <w:rsid w:val="00FB527B"/>
    <w:rsid w:val="00FB538E"/>
    <w:rsid w:val="00FB5547"/>
    <w:rsid w:val="00FB5AA0"/>
    <w:rsid w:val="00FB5B33"/>
    <w:rsid w:val="00FB5C98"/>
    <w:rsid w:val="00FB6106"/>
    <w:rsid w:val="00FB619A"/>
    <w:rsid w:val="00FB63D6"/>
    <w:rsid w:val="00FB6547"/>
    <w:rsid w:val="00FB6699"/>
    <w:rsid w:val="00FB6999"/>
    <w:rsid w:val="00FB69AE"/>
    <w:rsid w:val="00FB6C3B"/>
    <w:rsid w:val="00FB70B4"/>
    <w:rsid w:val="00FB7177"/>
    <w:rsid w:val="00FB73BF"/>
    <w:rsid w:val="00FB7492"/>
    <w:rsid w:val="00FC0076"/>
    <w:rsid w:val="00FC0195"/>
    <w:rsid w:val="00FC01EF"/>
    <w:rsid w:val="00FC06FA"/>
    <w:rsid w:val="00FC0BFD"/>
    <w:rsid w:val="00FC0C1C"/>
    <w:rsid w:val="00FC0C36"/>
    <w:rsid w:val="00FC0EB3"/>
    <w:rsid w:val="00FC1B12"/>
    <w:rsid w:val="00FC1BD4"/>
    <w:rsid w:val="00FC1C49"/>
    <w:rsid w:val="00FC1E4D"/>
    <w:rsid w:val="00FC221E"/>
    <w:rsid w:val="00FC242B"/>
    <w:rsid w:val="00FC2654"/>
    <w:rsid w:val="00FC2C4A"/>
    <w:rsid w:val="00FC2D08"/>
    <w:rsid w:val="00FC3567"/>
    <w:rsid w:val="00FC36F9"/>
    <w:rsid w:val="00FC377C"/>
    <w:rsid w:val="00FC381D"/>
    <w:rsid w:val="00FC38BD"/>
    <w:rsid w:val="00FC391E"/>
    <w:rsid w:val="00FC3B69"/>
    <w:rsid w:val="00FC3C2E"/>
    <w:rsid w:val="00FC3ECF"/>
    <w:rsid w:val="00FC45B5"/>
    <w:rsid w:val="00FC4755"/>
    <w:rsid w:val="00FC48CE"/>
    <w:rsid w:val="00FC4B54"/>
    <w:rsid w:val="00FC522D"/>
    <w:rsid w:val="00FC5B23"/>
    <w:rsid w:val="00FC5BC5"/>
    <w:rsid w:val="00FC5C4F"/>
    <w:rsid w:val="00FC614F"/>
    <w:rsid w:val="00FC6403"/>
    <w:rsid w:val="00FC64A0"/>
    <w:rsid w:val="00FC64C1"/>
    <w:rsid w:val="00FC64DC"/>
    <w:rsid w:val="00FC6BBC"/>
    <w:rsid w:val="00FC6CB5"/>
    <w:rsid w:val="00FC7488"/>
    <w:rsid w:val="00FC75C6"/>
    <w:rsid w:val="00FC76E3"/>
    <w:rsid w:val="00FC7952"/>
    <w:rsid w:val="00FC7994"/>
    <w:rsid w:val="00FC7E84"/>
    <w:rsid w:val="00FD0101"/>
    <w:rsid w:val="00FD0308"/>
    <w:rsid w:val="00FD034B"/>
    <w:rsid w:val="00FD067E"/>
    <w:rsid w:val="00FD0943"/>
    <w:rsid w:val="00FD0B47"/>
    <w:rsid w:val="00FD0DE2"/>
    <w:rsid w:val="00FD1335"/>
    <w:rsid w:val="00FD16DF"/>
    <w:rsid w:val="00FD16F2"/>
    <w:rsid w:val="00FD182A"/>
    <w:rsid w:val="00FD1943"/>
    <w:rsid w:val="00FD1AC8"/>
    <w:rsid w:val="00FD1B79"/>
    <w:rsid w:val="00FD1BAC"/>
    <w:rsid w:val="00FD2228"/>
    <w:rsid w:val="00FD226C"/>
    <w:rsid w:val="00FD2673"/>
    <w:rsid w:val="00FD2674"/>
    <w:rsid w:val="00FD2CF6"/>
    <w:rsid w:val="00FD2D2A"/>
    <w:rsid w:val="00FD2F4C"/>
    <w:rsid w:val="00FD3002"/>
    <w:rsid w:val="00FD309D"/>
    <w:rsid w:val="00FD3321"/>
    <w:rsid w:val="00FD3370"/>
    <w:rsid w:val="00FD338A"/>
    <w:rsid w:val="00FD36B2"/>
    <w:rsid w:val="00FD37AF"/>
    <w:rsid w:val="00FD40E7"/>
    <w:rsid w:val="00FD4401"/>
    <w:rsid w:val="00FD45D5"/>
    <w:rsid w:val="00FD4CE5"/>
    <w:rsid w:val="00FD4E72"/>
    <w:rsid w:val="00FD5104"/>
    <w:rsid w:val="00FD5123"/>
    <w:rsid w:val="00FD562A"/>
    <w:rsid w:val="00FD5A02"/>
    <w:rsid w:val="00FD5C68"/>
    <w:rsid w:val="00FD5D68"/>
    <w:rsid w:val="00FD608B"/>
    <w:rsid w:val="00FD6526"/>
    <w:rsid w:val="00FD6637"/>
    <w:rsid w:val="00FD691D"/>
    <w:rsid w:val="00FD6981"/>
    <w:rsid w:val="00FD721D"/>
    <w:rsid w:val="00FD7248"/>
    <w:rsid w:val="00FD7A38"/>
    <w:rsid w:val="00FD7ACE"/>
    <w:rsid w:val="00FE00C4"/>
    <w:rsid w:val="00FE00F7"/>
    <w:rsid w:val="00FE024E"/>
    <w:rsid w:val="00FE0BE8"/>
    <w:rsid w:val="00FE1024"/>
    <w:rsid w:val="00FE1140"/>
    <w:rsid w:val="00FE122E"/>
    <w:rsid w:val="00FE1273"/>
    <w:rsid w:val="00FE195F"/>
    <w:rsid w:val="00FE198B"/>
    <w:rsid w:val="00FE1AAF"/>
    <w:rsid w:val="00FE1B22"/>
    <w:rsid w:val="00FE1DC8"/>
    <w:rsid w:val="00FE222A"/>
    <w:rsid w:val="00FE260D"/>
    <w:rsid w:val="00FE2FA4"/>
    <w:rsid w:val="00FE35CC"/>
    <w:rsid w:val="00FE3713"/>
    <w:rsid w:val="00FE3C70"/>
    <w:rsid w:val="00FE42DF"/>
    <w:rsid w:val="00FE4581"/>
    <w:rsid w:val="00FE46DD"/>
    <w:rsid w:val="00FE5399"/>
    <w:rsid w:val="00FE572F"/>
    <w:rsid w:val="00FE5771"/>
    <w:rsid w:val="00FE57C7"/>
    <w:rsid w:val="00FE5CAF"/>
    <w:rsid w:val="00FE5E59"/>
    <w:rsid w:val="00FE5EE0"/>
    <w:rsid w:val="00FE6644"/>
    <w:rsid w:val="00FE6826"/>
    <w:rsid w:val="00FE6837"/>
    <w:rsid w:val="00FE6945"/>
    <w:rsid w:val="00FE6A07"/>
    <w:rsid w:val="00FE7128"/>
    <w:rsid w:val="00FE78D4"/>
    <w:rsid w:val="00FF0223"/>
    <w:rsid w:val="00FF0779"/>
    <w:rsid w:val="00FF0A30"/>
    <w:rsid w:val="00FF0B68"/>
    <w:rsid w:val="00FF0E9F"/>
    <w:rsid w:val="00FF100A"/>
    <w:rsid w:val="00FF1046"/>
    <w:rsid w:val="00FF1B32"/>
    <w:rsid w:val="00FF1CA3"/>
    <w:rsid w:val="00FF1E4C"/>
    <w:rsid w:val="00FF2BE3"/>
    <w:rsid w:val="00FF2F4F"/>
    <w:rsid w:val="00FF303D"/>
    <w:rsid w:val="00FF3382"/>
    <w:rsid w:val="00FF3507"/>
    <w:rsid w:val="00FF3855"/>
    <w:rsid w:val="00FF3A27"/>
    <w:rsid w:val="00FF3F2C"/>
    <w:rsid w:val="00FF4069"/>
    <w:rsid w:val="00FF43A4"/>
    <w:rsid w:val="00FF4434"/>
    <w:rsid w:val="00FF4568"/>
    <w:rsid w:val="00FF51AB"/>
    <w:rsid w:val="00FF5B7F"/>
    <w:rsid w:val="00FF5C42"/>
    <w:rsid w:val="00FF6270"/>
    <w:rsid w:val="00FF6675"/>
    <w:rsid w:val="00FF68C4"/>
    <w:rsid w:val="00FF69B5"/>
    <w:rsid w:val="00FF6DF5"/>
    <w:rsid w:val="00FF6EFF"/>
    <w:rsid w:val="00FF6F0B"/>
    <w:rsid w:val="00FF6F9A"/>
    <w:rsid w:val="00FF6FAF"/>
    <w:rsid w:val="00FF72EF"/>
    <w:rsid w:val="00FF7336"/>
    <w:rsid w:val="00FF7548"/>
    <w:rsid w:val="00FF7C76"/>
    <w:rsid w:val="00FF7D0D"/>
    <w:rsid w:val="0431F5AD"/>
    <w:rsid w:val="047E7480"/>
    <w:rsid w:val="05029EEB"/>
    <w:rsid w:val="18696497"/>
    <w:rsid w:val="2518BF0E"/>
    <w:rsid w:val="2B713615"/>
    <w:rsid w:val="36494A59"/>
    <w:rsid w:val="3D5F4273"/>
    <w:rsid w:val="3FD142C6"/>
    <w:rsid w:val="466400AF"/>
    <w:rsid w:val="4A4B14A6"/>
    <w:rsid w:val="4BAB35FA"/>
    <w:rsid w:val="55F133B5"/>
    <w:rsid w:val="5CA59EAC"/>
    <w:rsid w:val="5CFE9CE3"/>
    <w:rsid w:val="62A5865A"/>
    <w:rsid w:val="64E93187"/>
    <w:rsid w:val="66781D00"/>
    <w:rsid w:val="672C0AAF"/>
    <w:rsid w:val="681C3F8E"/>
    <w:rsid w:val="6E9B6838"/>
    <w:rsid w:val="7ED496A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4929B"/>
  <w15:docId w15:val="{0891AC87-834D-47F4-B402-ABF05129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230A"/>
  </w:style>
  <w:style w:type="paragraph" w:styleId="Nagwek1">
    <w:name w:val="heading 1"/>
    <w:basedOn w:val="Normalny"/>
    <w:next w:val="Normalny"/>
    <w:link w:val="Nagwek1Znak"/>
    <w:uiPriority w:val="9"/>
    <w:qFormat/>
    <w:rsid w:val="006537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65371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F54F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AC0CE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4F2940"/>
    <w:rPr>
      <w:sz w:val="16"/>
      <w:szCs w:val="16"/>
    </w:rPr>
  </w:style>
  <w:style w:type="paragraph" w:styleId="Tekstkomentarza">
    <w:name w:val="annotation text"/>
    <w:basedOn w:val="Normalny"/>
    <w:link w:val="TekstkomentarzaZnak"/>
    <w:uiPriority w:val="99"/>
    <w:unhideWhenUsed/>
    <w:rsid w:val="004F2940"/>
    <w:pPr>
      <w:spacing w:line="240" w:lineRule="auto"/>
    </w:pPr>
    <w:rPr>
      <w:sz w:val="20"/>
      <w:szCs w:val="20"/>
    </w:rPr>
  </w:style>
  <w:style w:type="character" w:customStyle="1" w:styleId="TekstkomentarzaZnak">
    <w:name w:val="Tekst komentarza Znak"/>
    <w:basedOn w:val="Domylnaczcionkaakapitu"/>
    <w:link w:val="Tekstkomentarza"/>
    <w:uiPriority w:val="99"/>
    <w:rsid w:val="004F2940"/>
    <w:rPr>
      <w:sz w:val="20"/>
      <w:szCs w:val="20"/>
    </w:rPr>
  </w:style>
  <w:style w:type="character" w:styleId="Hipercze">
    <w:name w:val="Hyperlink"/>
    <w:basedOn w:val="Domylnaczcionkaakapitu"/>
    <w:uiPriority w:val="99"/>
    <w:unhideWhenUsed/>
    <w:rsid w:val="004F2940"/>
    <w:rPr>
      <w:color w:val="0000FF"/>
      <w:u w:val="single"/>
    </w:rPr>
  </w:style>
  <w:style w:type="paragraph" w:styleId="Tekstprzypisudolnego">
    <w:name w:val="footnote text"/>
    <w:basedOn w:val="Normalny"/>
    <w:link w:val="TekstprzypisudolnegoZnak"/>
    <w:uiPriority w:val="99"/>
    <w:unhideWhenUsed/>
    <w:rsid w:val="004F294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4F2940"/>
    <w:rPr>
      <w:sz w:val="20"/>
      <w:szCs w:val="20"/>
    </w:rPr>
  </w:style>
  <w:style w:type="character" w:styleId="Odwoanieprzypisudolnego">
    <w:name w:val="footnote reference"/>
    <w:basedOn w:val="Domylnaczcionkaakapitu"/>
    <w:uiPriority w:val="99"/>
    <w:semiHidden/>
    <w:unhideWhenUsed/>
    <w:rsid w:val="004F2940"/>
    <w:rPr>
      <w:vertAlign w:val="superscript"/>
    </w:rPr>
  </w:style>
  <w:style w:type="table" w:customStyle="1" w:styleId="Zwykatabela21">
    <w:name w:val="Zwykła tabela 21"/>
    <w:basedOn w:val="Standardowy"/>
    <w:uiPriority w:val="42"/>
    <w:rsid w:val="004F294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kapitzlist">
    <w:name w:val="List Paragraph"/>
    <w:basedOn w:val="Normalny"/>
    <w:uiPriority w:val="34"/>
    <w:qFormat/>
    <w:rsid w:val="00407ADC"/>
    <w:pPr>
      <w:ind w:left="720"/>
      <w:contextualSpacing/>
    </w:pPr>
  </w:style>
  <w:style w:type="table" w:styleId="Tabela-Siatka">
    <w:name w:val="Table Grid"/>
    <w:basedOn w:val="Standardowy"/>
    <w:uiPriority w:val="39"/>
    <w:rsid w:val="000D0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41">
    <w:name w:val="Tabela siatki 41"/>
    <w:basedOn w:val="Standardowy"/>
    <w:uiPriority w:val="49"/>
    <w:rsid w:val="0029150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agwek">
    <w:name w:val="header"/>
    <w:basedOn w:val="Normalny"/>
    <w:link w:val="NagwekZnak"/>
    <w:uiPriority w:val="99"/>
    <w:unhideWhenUsed/>
    <w:rsid w:val="001F5B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F5BD7"/>
  </w:style>
  <w:style w:type="paragraph" w:styleId="Stopka">
    <w:name w:val="footer"/>
    <w:basedOn w:val="Normalny"/>
    <w:link w:val="StopkaZnak"/>
    <w:uiPriority w:val="99"/>
    <w:unhideWhenUsed/>
    <w:rsid w:val="001F5B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F5BD7"/>
  </w:style>
  <w:style w:type="paragraph" w:styleId="Tekstprzypisukocowego">
    <w:name w:val="endnote text"/>
    <w:basedOn w:val="Normalny"/>
    <w:link w:val="TekstprzypisukocowegoZnak"/>
    <w:uiPriority w:val="99"/>
    <w:semiHidden/>
    <w:unhideWhenUsed/>
    <w:rsid w:val="000920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920FD"/>
    <w:rPr>
      <w:sz w:val="20"/>
      <w:szCs w:val="20"/>
    </w:rPr>
  </w:style>
  <w:style w:type="character" w:styleId="Odwoanieprzypisukocowego">
    <w:name w:val="endnote reference"/>
    <w:basedOn w:val="Domylnaczcionkaakapitu"/>
    <w:uiPriority w:val="99"/>
    <w:semiHidden/>
    <w:unhideWhenUsed/>
    <w:rsid w:val="000920FD"/>
    <w:rPr>
      <w:vertAlign w:val="superscript"/>
    </w:rPr>
  </w:style>
  <w:style w:type="paragraph" w:styleId="Tematkomentarza">
    <w:name w:val="annotation subject"/>
    <w:basedOn w:val="Tekstkomentarza"/>
    <w:next w:val="Tekstkomentarza"/>
    <w:link w:val="TematkomentarzaZnak"/>
    <w:uiPriority w:val="99"/>
    <w:semiHidden/>
    <w:unhideWhenUsed/>
    <w:rsid w:val="00D92061"/>
    <w:rPr>
      <w:b/>
      <w:bCs/>
    </w:rPr>
  </w:style>
  <w:style w:type="character" w:customStyle="1" w:styleId="TematkomentarzaZnak">
    <w:name w:val="Temat komentarza Znak"/>
    <w:basedOn w:val="TekstkomentarzaZnak"/>
    <w:link w:val="Tematkomentarza"/>
    <w:uiPriority w:val="99"/>
    <w:semiHidden/>
    <w:rsid w:val="00D92061"/>
    <w:rPr>
      <w:b/>
      <w:bCs/>
      <w:sz w:val="20"/>
      <w:szCs w:val="20"/>
    </w:rPr>
  </w:style>
  <w:style w:type="paragraph" w:styleId="Poprawka">
    <w:name w:val="Revision"/>
    <w:hidden/>
    <w:uiPriority w:val="99"/>
    <w:semiHidden/>
    <w:rsid w:val="0098667A"/>
    <w:pPr>
      <w:spacing w:after="0" w:line="240" w:lineRule="auto"/>
    </w:pPr>
  </w:style>
  <w:style w:type="character" w:customStyle="1" w:styleId="normaltextrun">
    <w:name w:val="normaltextrun"/>
    <w:basedOn w:val="Domylnaczcionkaakapitu"/>
    <w:rsid w:val="00E6299C"/>
  </w:style>
  <w:style w:type="character" w:customStyle="1" w:styleId="Nagwek1Znak">
    <w:name w:val="Nagłówek 1 Znak"/>
    <w:basedOn w:val="Domylnaczcionkaakapitu"/>
    <w:link w:val="Nagwek1"/>
    <w:uiPriority w:val="9"/>
    <w:rsid w:val="00653719"/>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653719"/>
    <w:pPr>
      <w:outlineLvl w:val="9"/>
    </w:pPr>
    <w:rPr>
      <w:lang w:eastAsia="pl-PL"/>
    </w:rPr>
  </w:style>
  <w:style w:type="character" w:customStyle="1" w:styleId="Nagwek2Znak">
    <w:name w:val="Nagłówek 2 Znak"/>
    <w:basedOn w:val="Domylnaczcionkaakapitu"/>
    <w:link w:val="Nagwek2"/>
    <w:uiPriority w:val="9"/>
    <w:rsid w:val="00653719"/>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C5230A"/>
    <w:pPr>
      <w:tabs>
        <w:tab w:val="left" w:pos="440"/>
        <w:tab w:val="right" w:leader="dot" w:pos="9062"/>
      </w:tabs>
      <w:spacing w:after="100"/>
    </w:pPr>
  </w:style>
  <w:style w:type="paragraph" w:styleId="Spistreci2">
    <w:name w:val="toc 2"/>
    <w:basedOn w:val="Normalny"/>
    <w:next w:val="Normalny"/>
    <w:autoRedefine/>
    <w:uiPriority w:val="39"/>
    <w:unhideWhenUsed/>
    <w:rsid w:val="00AA357F"/>
    <w:pPr>
      <w:tabs>
        <w:tab w:val="left" w:pos="660"/>
        <w:tab w:val="right" w:leader="dot" w:pos="9062"/>
      </w:tabs>
      <w:spacing w:after="100"/>
      <w:ind w:left="220"/>
    </w:pPr>
  </w:style>
  <w:style w:type="paragraph" w:styleId="Spistreci3">
    <w:name w:val="toc 3"/>
    <w:basedOn w:val="Normalny"/>
    <w:next w:val="Normalny"/>
    <w:autoRedefine/>
    <w:uiPriority w:val="39"/>
    <w:unhideWhenUsed/>
    <w:rsid w:val="00AA357F"/>
    <w:pPr>
      <w:tabs>
        <w:tab w:val="left" w:pos="1100"/>
        <w:tab w:val="right" w:leader="dot" w:pos="9062"/>
      </w:tabs>
      <w:spacing w:after="100"/>
      <w:ind w:left="440"/>
    </w:pPr>
    <w:rPr>
      <w:rFonts w:eastAsiaTheme="minorEastAsia" w:cs="Times New Roman"/>
      <w:lang w:eastAsia="pl-PL"/>
    </w:rPr>
  </w:style>
  <w:style w:type="character" w:customStyle="1" w:styleId="Nagwek3Znak">
    <w:name w:val="Nagłówek 3 Znak"/>
    <w:basedOn w:val="Domylnaczcionkaakapitu"/>
    <w:link w:val="Nagwek3"/>
    <w:uiPriority w:val="9"/>
    <w:rsid w:val="005E2306"/>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uiPriority w:val="9"/>
    <w:rsid w:val="00AC0CEC"/>
    <w:rPr>
      <w:rFonts w:asciiTheme="majorHAnsi" w:eastAsiaTheme="majorEastAsia" w:hAnsiTheme="majorHAnsi" w:cstheme="majorBidi"/>
      <w:i/>
      <w:iCs/>
      <w:color w:val="2F5496" w:themeColor="accent1" w:themeShade="BF"/>
    </w:rPr>
  </w:style>
  <w:style w:type="paragraph" w:styleId="Bezodstpw">
    <w:name w:val="No Spacing"/>
    <w:uiPriority w:val="1"/>
    <w:qFormat/>
    <w:rsid w:val="000F0B1B"/>
    <w:pPr>
      <w:spacing w:after="0" w:line="240" w:lineRule="auto"/>
    </w:pPr>
  </w:style>
  <w:style w:type="character" w:customStyle="1" w:styleId="Nierozpoznanawzmianka1">
    <w:name w:val="Nierozpoznana wzmianka1"/>
    <w:basedOn w:val="Domylnaczcionkaakapitu"/>
    <w:uiPriority w:val="99"/>
    <w:semiHidden/>
    <w:unhideWhenUsed/>
    <w:rsid w:val="004D2442"/>
    <w:rPr>
      <w:color w:val="605E5C"/>
      <w:shd w:val="clear" w:color="auto" w:fill="E1DFDD"/>
    </w:rPr>
  </w:style>
  <w:style w:type="table" w:customStyle="1" w:styleId="Tabelasiatki6kolorowa1">
    <w:name w:val="Tabela siatki 6 — kolorowa1"/>
    <w:basedOn w:val="Standardowy"/>
    <w:uiPriority w:val="51"/>
    <w:rsid w:val="00EA4A8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i6kolorowaakcent31">
    <w:name w:val="Tabela siatki 6 — kolorowa — akcent 31"/>
    <w:basedOn w:val="Standardowy"/>
    <w:uiPriority w:val="51"/>
    <w:rsid w:val="00EA4A8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UyteHipercze">
    <w:name w:val="FollowedHyperlink"/>
    <w:basedOn w:val="Domylnaczcionkaakapitu"/>
    <w:uiPriority w:val="99"/>
    <w:semiHidden/>
    <w:unhideWhenUsed/>
    <w:rsid w:val="007B50C2"/>
    <w:rPr>
      <w:color w:val="954F72" w:themeColor="followedHyperlink"/>
      <w:u w:val="single"/>
    </w:rPr>
  </w:style>
  <w:style w:type="paragraph" w:styleId="Legenda">
    <w:name w:val="caption"/>
    <w:basedOn w:val="Normalny"/>
    <w:next w:val="Normalny"/>
    <w:uiPriority w:val="35"/>
    <w:unhideWhenUsed/>
    <w:qFormat/>
    <w:rsid w:val="00B66842"/>
    <w:pPr>
      <w:spacing w:after="200" w:line="240" w:lineRule="auto"/>
    </w:pPr>
    <w:rPr>
      <w:i/>
      <w:iCs/>
      <w:color w:val="44546A" w:themeColor="text2"/>
      <w:sz w:val="18"/>
      <w:szCs w:val="18"/>
    </w:rPr>
  </w:style>
  <w:style w:type="paragraph" w:styleId="NormalnyWeb">
    <w:name w:val="Normal (Web)"/>
    <w:basedOn w:val="Normalny"/>
    <w:uiPriority w:val="99"/>
    <w:semiHidden/>
    <w:unhideWhenUsed/>
    <w:rsid w:val="003A52E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931110"/>
    <w:rPr>
      <w:i/>
      <w:iCs/>
    </w:rPr>
  </w:style>
  <w:style w:type="character" w:customStyle="1" w:styleId="Wzmianka1">
    <w:name w:val="Wzmianka1"/>
    <w:basedOn w:val="Domylnaczcionkaakapitu"/>
    <w:uiPriority w:val="99"/>
    <w:unhideWhenUsed/>
    <w:rsid w:val="0091189E"/>
    <w:rPr>
      <w:color w:val="2B579A"/>
      <w:shd w:val="clear" w:color="auto" w:fill="E1DFDD"/>
    </w:rPr>
  </w:style>
  <w:style w:type="paragraph" w:styleId="Bibliografia">
    <w:name w:val="Bibliography"/>
    <w:basedOn w:val="Normalny"/>
    <w:next w:val="Normalny"/>
    <w:uiPriority w:val="37"/>
    <w:unhideWhenUsed/>
    <w:rsid w:val="00095D59"/>
  </w:style>
  <w:style w:type="paragraph" w:styleId="Spisilustracji">
    <w:name w:val="table of figures"/>
    <w:basedOn w:val="Normalny"/>
    <w:next w:val="Normalny"/>
    <w:uiPriority w:val="99"/>
    <w:unhideWhenUsed/>
    <w:rsid w:val="000357B3"/>
    <w:pPr>
      <w:spacing w:after="0"/>
    </w:pPr>
  </w:style>
  <w:style w:type="character" w:customStyle="1" w:styleId="cf01">
    <w:name w:val="cf01"/>
    <w:basedOn w:val="Domylnaczcionkaakapitu"/>
    <w:rsid w:val="006235C5"/>
    <w:rPr>
      <w:rFonts w:ascii="Segoe UI" w:hAnsi="Segoe UI" w:cs="Segoe UI" w:hint="default"/>
      <w:sz w:val="18"/>
      <w:szCs w:val="18"/>
    </w:rPr>
  </w:style>
  <w:style w:type="paragraph" w:styleId="Tekstdymka">
    <w:name w:val="Balloon Text"/>
    <w:basedOn w:val="Normalny"/>
    <w:link w:val="TekstdymkaZnak"/>
    <w:uiPriority w:val="99"/>
    <w:semiHidden/>
    <w:unhideWhenUsed/>
    <w:rsid w:val="00565F8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65F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3843">
      <w:bodyDiv w:val="1"/>
      <w:marLeft w:val="0"/>
      <w:marRight w:val="0"/>
      <w:marTop w:val="0"/>
      <w:marBottom w:val="0"/>
      <w:divBdr>
        <w:top w:val="none" w:sz="0" w:space="0" w:color="auto"/>
        <w:left w:val="none" w:sz="0" w:space="0" w:color="auto"/>
        <w:bottom w:val="none" w:sz="0" w:space="0" w:color="auto"/>
        <w:right w:val="none" w:sz="0" w:space="0" w:color="auto"/>
      </w:divBdr>
    </w:div>
    <w:div w:id="27687723">
      <w:bodyDiv w:val="1"/>
      <w:marLeft w:val="0"/>
      <w:marRight w:val="0"/>
      <w:marTop w:val="0"/>
      <w:marBottom w:val="0"/>
      <w:divBdr>
        <w:top w:val="none" w:sz="0" w:space="0" w:color="auto"/>
        <w:left w:val="none" w:sz="0" w:space="0" w:color="auto"/>
        <w:bottom w:val="none" w:sz="0" w:space="0" w:color="auto"/>
        <w:right w:val="none" w:sz="0" w:space="0" w:color="auto"/>
      </w:divBdr>
    </w:div>
    <w:div w:id="36706996">
      <w:bodyDiv w:val="1"/>
      <w:marLeft w:val="0"/>
      <w:marRight w:val="0"/>
      <w:marTop w:val="0"/>
      <w:marBottom w:val="0"/>
      <w:divBdr>
        <w:top w:val="none" w:sz="0" w:space="0" w:color="auto"/>
        <w:left w:val="none" w:sz="0" w:space="0" w:color="auto"/>
        <w:bottom w:val="none" w:sz="0" w:space="0" w:color="auto"/>
        <w:right w:val="none" w:sz="0" w:space="0" w:color="auto"/>
      </w:divBdr>
    </w:div>
    <w:div w:id="55319492">
      <w:bodyDiv w:val="1"/>
      <w:marLeft w:val="0"/>
      <w:marRight w:val="0"/>
      <w:marTop w:val="0"/>
      <w:marBottom w:val="0"/>
      <w:divBdr>
        <w:top w:val="none" w:sz="0" w:space="0" w:color="auto"/>
        <w:left w:val="none" w:sz="0" w:space="0" w:color="auto"/>
        <w:bottom w:val="none" w:sz="0" w:space="0" w:color="auto"/>
        <w:right w:val="none" w:sz="0" w:space="0" w:color="auto"/>
      </w:divBdr>
    </w:div>
    <w:div w:id="109248748">
      <w:bodyDiv w:val="1"/>
      <w:marLeft w:val="0"/>
      <w:marRight w:val="0"/>
      <w:marTop w:val="0"/>
      <w:marBottom w:val="0"/>
      <w:divBdr>
        <w:top w:val="none" w:sz="0" w:space="0" w:color="auto"/>
        <w:left w:val="none" w:sz="0" w:space="0" w:color="auto"/>
        <w:bottom w:val="none" w:sz="0" w:space="0" w:color="auto"/>
        <w:right w:val="none" w:sz="0" w:space="0" w:color="auto"/>
      </w:divBdr>
    </w:div>
    <w:div w:id="111680789">
      <w:bodyDiv w:val="1"/>
      <w:marLeft w:val="0"/>
      <w:marRight w:val="0"/>
      <w:marTop w:val="0"/>
      <w:marBottom w:val="0"/>
      <w:divBdr>
        <w:top w:val="none" w:sz="0" w:space="0" w:color="auto"/>
        <w:left w:val="none" w:sz="0" w:space="0" w:color="auto"/>
        <w:bottom w:val="none" w:sz="0" w:space="0" w:color="auto"/>
        <w:right w:val="none" w:sz="0" w:space="0" w:color="auto"/>
      </w:divBdr>
    </w:div>
    <w:div w:id="132530623">
      <w:bodyDiv w:val="1"/>
      <w:marLeft w:val="0"/>
      <w:marRight w:val="0"/>
      <w:marTop w:val="0"/>
      <w:marBottom w:val="0"/>
      <w:divBdr>
        <w:top w:val="none" w:sz="0" w:space="0" w:color="auto"/>
        <w:left w:val="none" w:sz="0" w:space="0" w:color="auto"/>
        <w:bottom w:val="none" w:sz="0" w:space="0" w:color="auto"/>
        <w:right w:val="none" w:sz="0" w:space="0" w:color="auto"/>
      </w:divBdr>
    </w:div>
    <w:div w:id="133564402">
      <w:bodyDiv w:val="1"/>
      <w:marLeft w:val="0"/>
      <w:marRight w:val="0"/>
      <w:marTop w:val="0"/>
      <w:marBottom w:val="0"/>
      <w:divBdr>
        <w:top w:val="none" w:sz="0" w:space="0" w:color="auto"/>
        <w:left w:val="none" w:sz="0" w:space="0" w:color="auto"/>
        <w:bottom w:val="none" w:sz="0" w:space="0" w:color="auto"/>
        <w:right w:val="none" w:sz="0" w:space="0" w:color="auto"/>
      </w:divBdr>
    </w:div>
    <w:div w:id="133957660">
      <w:bodyDiv w:val="1"/>
      <w:marLeft w:val="0"/>
      <w:marRight w:val="0"/>
      <w:marTop w:val="0"/>
      <w:marBottom w:val="0"/>
      <w:divBdr>
        <w:top w:val="none" w:sz="0" w:space="0" w:color="auto"/>
        <w:left w:val="none" w:sz="0" w:space="0" w:color="auto"/>
        <w:bottom w:val="none" w:sz="0" w:space="0" w:color="auto"/>
        <w:right w:val="none" w:sz="0" w:space="0" w:color="auto"/>
      </w:divBdr>
    </w:div>
    <w:div w:id="135027281">
      <w:bodyDiv w:val="1"/>
      <w:marLeft w:val="0"/>
      <w:marRight w:val="0"/>
      <w:marTop w:val="0"/>
      <w:marBottom w:val="0"/>
      <w:divBdr>
        <w:top w:val="none" w:sz="0" w:space="0" w:color="auto"/>
        <w:left w:val="none" w:sz="0" w:space="0" w:color="auto"/>
        <w:bottom w:val="none" w:sz="0" w:space="0" w:color="auto"/>
        <w:right w:val="none" w:sz="0" w:space="0" w:color="auto"/>
      </w:divBdr>
    </w:div>
    <w:div w:id="143086509">
      <w:bodyDiv w:val="1"/>
      <w:marLeft w:val="0"/>
      <w:marRight w:val="0"/>
      <w:marTop w:val="0"/>
      <w:marBottom w:val="0"/>
      <w:divBdr>
        <w:top w:val="none" w:sz="0" w:space="0" w:color="auto"/>
        <w:left w:val="none" w:sz="0" w:space="0" w:color="auto"/>
        <w:bottom w:val="none" w:sz="0" w:space="0" w:color="auto"/>
        <w:right w:val="none" w:sz="0" w:space="0" w:color="auto"/>
      </w:divBdr>
    </w:div>
    <w:div w:id="147676871">
      <w:bodyDiv w:val="1"/>
      <w:marLeft w:val="0"/>
      <w:marRight w:val="0"/>
      <w:marTop w:val="0"/>
      <w:marBottom w:val="0"/>
      <w:divBdr>
        <w:top w:val="none" w:sz="0" w:space="0" w:color="auto"/>
        <w:left w:val="none" w:sz="0" w:space="0" w:color="auto"/>
        <w:bottom w:val="none" w:sz="0" w:space="0" w:color="auto"/>
        <w:right w:val="none" w:sz="0" w:space="0" w:color="auto"/>
      </w:divBdr>
    </w:div>
    <w:div w:id="187302855">
      <w:bodyDiv w:val="1"/>
      <w:marLeft w:val="0"/>
      <w:marRight w:val="0"/>
      <w:marTop w:val="0"/>
      <w:marBottom w:val="0"/>
      <w:divBdr>
        <w:top w:val="none" w:sz="0" w:space="0" w:color="auto"/>
        <w:left w:val="none" w:sz="0" w:space="0" w:color="auto"/>
        <w:bottom w:val="none" w:sz="0" w:space="0" w:color="auto"/>
        <w:right w:val="none" w:sz="0" w:space="0" w:color="auto"/>
      </w:divBdr>
    </w:div>
    <w:div w:id="218826146">
      <w:bodyDiv w:val="1"/>
      <w:marLeft w:val="0"/>
      <w:marRight w:val="0"/>
      <w:marTop w:val="0"/>
      <w:marBottom w:val="0"/>
      <w:divBdr>
        <w:top w:val="none" w:sz="0" w:space="0" w:color="auto"/>
        <w:left w:val="none" w:sz="0" w:space="0" w:color="auto"/>
        <w:bottom w:val="none" w:sz="0" w:space="0" w:color="auto"/>
        <w:right w:val="none" w:sz="0" w:space="0" w:color="auto"/>
      </w:divBdr>
    </w:div>
    <w:div w:id="228151021">
      <w:bodyDiv w:val="1"/>
      <w:marLeft w:val="0"/>
      <w:marRight w:val="0"/>
      <w:marTop w:val="0"/>
      <w:marBottom w:val="0"/>
      <w:divBdr>
        <w:top w:val="none" w:sz="0" w:space="0" w:color="auto"/>
        <w:left w:val="none" w:sz="0" w:space="0" w:color="auto"/>
        <w:bottom w:val="none" w:sz="0" w:space="0" w:color="auto"/>
        <w:right w:val="none" w:sz="0" w:space="0" w:color="auto"/>
      </w:divBdr>
    </w:div>
    <w:div w:id="257326209">
      <w:bodyDiv w:val="1"/>
      <w:marLeft w:val="0"/>
      <w:marRight w:val="0"/>
      <w:marTop w:val="0"/>
      <w:marBottom w:val="0"/>
      <w:divBdr>
        <w:top w:val="none" w:sz="0" w:space="0" w:color="auto"/>
        <w:left w:val="none" w:sz="0" w:space="0" w:color="auto"/>
        <w:bottom w:val="none" w:sz="0" w:space="0" w:color="auto"/>
        <w:right w:val="none" w:sz="0" w:space="0" w:color="auto"/>
      </w:divBdr>
    </w:div>
    <w:div w:id="284775385">
      <w:bodyDiv w:val="1"/>
      <w:marLeft w:val="0"/>
      <w:marRight w:val="0"/>
      <w:marTop w:val="0"/>
      <w:marBottom w:val="0"/>
      <w:divBdr>
        <w:top w:val="none" w:sz="0" w:space="0" w:color="auto"/>
        <w:left w:val="none" w:sz="0" w:space="0" w:color="auto"/>
        <w:bottom w:val="none" w:sz="0" w:space="0" w:color="auto"/>
        <w:right w:val="none" w:sz="0" w:space="0" w:color="auto"/>
      </w:divBdr>
    </w:div>
    <w:div w:id="293408818">
      <w:bodyDiv w:val="1"/>
      <w:marLeft w:val="0"/>
      <w:marRight w:val="0"/>
      <w:marTop w:val="0"/>
      <w:marBottom w:val="0"/>
      <w:divBdr>
        <w:top w:val="none" w:sz="0" w:space="0" w:color="auto"/>
        <w:left w:val="none" w:sz="0" w:space="0" w:color="auto"/>
        <w:bottom w:val="none" w:sz="0" w:space="0" w:color="auto"/>
        <w:right w:val="none" w:sz="0" w:space="0" w:color="auto"/>
      </w:divBdr>
    </w:div>
    <w:div w:id="293602129">
      <w:bodyDiv w:val="1"/>
      <w:marLeft w:val="0"/>
      <w:marRight w:val="0"/>
      <w:marTop w:val="0"/>
      <w:marBottom w:val="0"/>
      <w:divBdr>
        <w:top w:val="none" w:sz="0" w:space="0" w:color="auto"/>
        <w:left w:val="none" w:sz="0" w:space="0" w:color="auto"/>
        <w:bottom w:val="none" w:sz="0" w:space="0" w:color="auto"/>
        <w:right w:val="none" w:sz="0" w:space="0" w:color="auto"/>
      </w:divBdr>
    </w:div>
    <w:div w:id="294331034">
      <w:bodyDiv w:val="1"/>
      <w:marLeft w:val="0"/>
      <w:marRight w:val="0"/>
      <w:marTop w:val="0"/>
      <w:marBottom w:val="0"/>
      <w:divBdr>
        <w:top w:val="none" w:sz="0" w:space="0" w:color="auto"/>
        <w:left w:val="none" w:sz="0" w:space="0" w:color="auto"/>
        <w:bottom w:val="none" w:sz="0" w:space="0" w:color="auto"/>
        <w:right w:val="none" w:sz="0" w:space="0" w:color="auto"/>
      </w:divBdr>
    </w:div>
    <w:div w:id="304552109">
      <w:bodyDiv w:val="1"/>
      <w:marLeft w:val="0"/>
      <w:marRight w:val="0"/>
      <w:marTop w:val="0"/>
      <w:marBottom w:val="0"/>
      <w:divBdr>
        <w:top w:val="none" w:sz="0" w:space="0" w:color="auto"/>
        <w:left w:val="none" w:sz="0" w:space="0" w:color="auto"/>
        <w:bottom w:val="none" w:sz="0" w:space="0" w:color="auto"/>
        <w:right w:val="none" w:sz="0" w:space="0" w:color="auto"/>
      </w:divBdr>
    </w:div>
    <w:div w:id="307635189">
      <w:bodyDiv w:val="1"/>
      <w:marLeft w:val="0"/>
      <w:marRight w:val="0"/>
      <w:marTop w:val="0"/>
      <w:marBottom w:val="0"/>
      <w:divBdr>
        <w:top w:val="none" w:sz="0" w:space="0" w:color="auto"/>
        <w:left w:val="none" w:sz="0" w:space="0" w:color="auto"/>
        <w:bottom w:val="none" w:sz="0" w:space="0" w:color="auto"/>
        <w:right w:val="none" w:sz="0" w:space="0" w:color="auto"/>
      </w:divBdr>
    </w:div>
    <w:div w:id="328138804">
      <w:bodyDiv w:val="1"/>
      <w:marLeft w:val="0"/>
      <w:marRight w:val="0"/>
      <w:marTop w:val="0"/>
      <w:marBottom w:val="0"/>
      <w:divBdr>
        <w:top w:val="none" w:sz="0" w:space="0" w:color="auto"/>
        <w:left w:val="none" w:sz="0" w:space="0" w:color="auto"/>
        <w:bottom w:val="none" w:sz="0" w:space="0" w:color="auto"/>
        <w:right w:val="none" w:sz="0" w:space="0" w:color="auto"/>
      </w:divBdr>
    </w:div>
    <w:div w:id="346559960">
      <w:bodyDiv w:val="1"/>
      <w:marLeft w:val="0"/>
      <w:marRight w:val="0"/>
      <w:marTop w:val="0"/>
      <w:marBottom w:val="0"/>
      <w:divBdr>
        <w:top w:val="none" w:sz="0" w:space="0" w:color="auto"/>
        <w:left w:val="none" w:sz="0" w:space="0" w:color="auto"/>
        <w:bottom w:val="none" w:sz="0" w:space="0" w:color="auto"/>
        <w:right w:val="none" w:sz="0" w:space="0" w:color="auto"/>
      </w:divBdr>
    </w:div>
    <w:div w:id="347223370">
      <w:bodyDiv w:val="1"/>
      <w:marLeft w:val="0"/>
      <w:marRight w:val="0"/>
      <w:marTop w:val="0"/>
      <w:marBottom w:val="0"/>
      <w:divBdr>
        <w:top w:val="none" w:sz="0" w:space="0" w:color="auto"/>
        <w:left w:val="none" w:sz="0" w:space="0" w:color="auto"/>
        <w:bottom w:val="none" w:sz="0" w:space="0" w:color="auto"/>
        <w:right w:val="none" w:sz="0" w:space="0" w:color="auto"/>
      </w:divBdr>
    </w:div>
    <w:div w:id="361787461">
      <w:bodyDiv w:val="1"/>
      <w:marLeft w:val="0"/>
      <w:marRight w:val="0"/>
      <w:marTop w:val="0"/>
      <w:marBottom w:val="0"/>
      <w:divBdr>
        <w:top w:val="none" w:sz="0" w:space="0" w:color="auto"/>
        <w:left w:val="none" w:sz="0" w:space="0" w:color="auto"/>
        <w:bottom w:val="none" w:sz="0" w:space="0" w:color="auto"/>
        <w:right w:val="none" w:sz="0" w:space="0" w:color="auto"/>
      </w:divBdr>
    </w:div>
    <w:div w:id="365448425">
      <w:bodyDiv w:val="1"/>
      <w:marLeft w:val="0"/>
      <w:marRight w:val="0"/>
      <w:marTop w:val="0"/>
      <w:marBottom w:val="0"/>
      <w:divBdr>
        <w:top w:val="none" w:sz="0" w:space="0" w:color="auto"/>
        <w:left w:val="none" w:sz="0" w:space="0" w:color="auto"/>
        <w:bottom w:val="none" w:sz="0" w:space="0" w:color="auto"/>
        <w:right w:val="none" w:sz="0" w:space="0" w:color="auto"/>
      </w:divBdr>
    </w:div>
    <w:div w:id="383532162">
      <w:bodyDiv w:val="1"/>
      <w:marLeft w:val="0"/>
      <w:marRight w:val="0"/>
      <w:marTop w:val="0"/>
      <w:marBottom w:val="0"/>
      <w:divBdr>
        <w:top w:val="none" w:sz="0" w:space="0" w:color="auto"/>
        <w:left w:val="none" w:sz="0" w:space="0" w:color="auto"/>
        <w:bottom w:val="none" w:sz="0" w:space="0" w:color="auto"/>
        <w:right w:val="none" w:sz="0" w:space="0" w:color="auto"/>
      </w:divBdr>
    </w:div>
    <w:div w:id="386419469">
      <w:bodyDiv w:val="1"/>
      <w:marLeft w:val="0"/>
      <w:marRight w:val="0"/>
      <w:marTop w:val="0"/>
      <w:marBottom w:val="0"/>
      <w:divBdr>
        <w:top w:val="none" w:sz="0" w:space="0" w:color="auto"/>
        <w:left w:val="none" w:sz="0" w:space="0" w:color="auto"/>
        <w:bottom w:val="none" w:sz="0" w:space="0" w:color="auto"/>
        <w:right w:val="none" w:sz="0" w:space="0" w:color="auto"/>
      </w:divBdr>
    </w:div>
    <w:div w:id="395666428">
      <w:bodyDiv w:val="1"/>
      <w:marLeft w:val="0"/>
      <w:marRight w:val="0"/>
      <w:marTop w:val="0"/>
      <w:marBottom w:val="0"/>
      <w:divBdr>
        <w:top w:val="none" w:sz="0" w:space="0" w:color="auto"/>
        <w:left w:val="none" w:sz="0" w:space="0" w:color="auto"/>
        <w:bottom w:val="none" w:sz="0" w:space="0" w:color="auto"/>
        <w:right w:val="none" w:sz="0" w:space="0" w:color="auto"/>
      </w:divBdr>
    </w:div>
    <w:div w:id="402338824">
      <w:bodyDiv w:val="1"/>
      <w:marLeft w:val="0"/>
      <w:marRight w:val="0"/>
      <w:marTop w:val="0"/>
      <w:marBottom w:val="0"/>
      <w:divBdr>
        <w:top w:val="none" w:sz="0" w:space="0" w:color="auto"/>
        <w:left w:val="none" w:sz="0" w:space="0" w:color="auto"/>
        <w:bottom w:val="none" w:sz="0" w:space="0" w:color="auto"/>
        <w:right w:val="none" w:sz="0" w:space="0" w:color="auto"/>
      </w:divBdr>
    </w:div>
    <w:div w:id="430131363">
      <w:bodyDiv w:val="1"/>
      <w:marLeft w:val="0"/>
      <w:marRight w:val="0"/>
      <w:marTop w:val="0"/>
      <w:marBottom w:val="0"/>
      <w:divBdr>
        <w:top w:val="none" w:sz="0" w:space="0" w:color="auto"/>
        <w:left w:val="none" w:sz="0" w:space="0" w:color="auto"/>
        <w:bottom w:val="none" w:sz="0" w:space="0" w:color="auto"/>
        <w:right w:val="none" w:sz="0" w:space="0" w:color="auto"/>
      </w:divBdr>
    </w:div>
    <w:div w:id="431626638">
      <w:bodyDiv w:val="1"/>
      <w:marLeft w:val="0"/>
      <w:marRight w:val="0"/>
      <w:marTop w:val="0"/>
      <w:marBottom w:val="0"/>
      <w:divBdr>
        <w:top w:val="none" w:sz="0" w:space="0" w:color="auto"/>
        <w:left w:val="none" w:sz="0" w:space="0" w:color="auto"/>
        <w:bottom w:val="none" w:sz="0" w:space="0" w:color="auto"/>
        <w:right w:val="none" w:sz="0" w:space="0" w:color="auto"/>
      </w:divBdr>
    </w:div>
    <w:div w:id="431824882">
      <w:bodyDiv w:val="1"/>
      <w:marLeft w:val="0"/>
      <w:marRight w:val="0"/>
      <w:marTop w:val="0"/>
      <w:marBottom w:val="0"/>
      <w:divBdr>
        <w:top w:val="none" w:sz="0" w:space="0" w:color="auto"/>
        <w:left w:val="none" w:sz="0" w:space="0" w:color="auto"/>
        <w:bottom w:val="none" w:sz="0" w:space="0" w:color="auto"/>
        <w:right w:val="none" w:sz="0" w:space="0" w:color="auto"/>
      </w:divBdr>
    </w:div>
    <w:div w:id="439839836">
      <w:bodyDiv w:val="1"/>
      <w:marLeft w:val="0"/>
      <w:marRight w:val="0"/>
      <w:marTop w:val="0"/>
      <w:marBottom w:val="0"/>
      <w:divBdr>
        <w:top w:val="none" w:sz="0" w:space="0" w:color="auto"/>
        <w:left w:val="none" w:sz="0" w:space="0" w:color="auto"/>
        <w:bottom w:val="none" w:sz="0" w:space="0" w:color="auto"/>
        <w:right w:val="none" w:sz="0" w:space="0" w:color="auto"/>
      </w:divBdr>
    </w:div>
    <w:div w:id="441263265">
      <w:bodyDiv w:val="1"/>
      <w:marLeft w:val="0"/>
      <w:marRight w:val="0"/>
      <w:marTop w:val="0"/>
      <w:marBottom w:val="0"/>
      <w:divBdr>
        <w:top w:val="none" w:sz="0" w:space="0" w:color="auto"/>
        <w:left w:val="none" w:sz="0" w:space="0" w:color="auto"/>
        <w:bottom w:val="none" w:sz="0" w:space="0" w:color="auto"/>
        <w:right w:val="none" w:sz="0" w:space="0" w:color="auto"/>
      </w:divBdr>
    </w:div>
    <w:div w:id="456216242">
      <w:bodyDiv w:val="1"/>
      <w:marLeft w:val="0"/>
      <w:marRight w:val="0"/>
      <w:marTop w:val="0"/>
      <w:marBottom w:val="0"/>
      <w:divBdr>
        <w:top w:val="none" w:sz="0" w:space="0" w:color="auto"/>
        <w:left w:val="none" w:sz="0" w:space="0" w:color="auto"/>
        <w:bottom w:val="none" w:sz="0" w:space="0" w:color="auto"/>
        <w:right w:val="none" w:sz="0" w:space="0" w:color="auto"/>
      </w:divBdr>
    </w:div>
    <w:div w:id="457572591">
      <w:bodyDiv w:val="1"/>
      <w:marLeft w:val="0"/>
      <w:marRight w:val="0"/>
      <w:marTop w:val="0"/>
      <w:marBottom w:val="0"/>
      <w:divBdr>
        <w:top w:val="none" w:sz="0" w:space="0" w:color="auto"/>
        <w:left w:val="none" w:sz="0" w:space="0" w:color="auto"/>
        <w:bottom w:val="none" w:sz="0" w:space="0" w:color="auto"/>
        <w:right w:val="none" w:sz="0" w:space="0" w:color="auto"/>
      </w:divBdr>
    </w:div>
    <w:div w:id="475923170">
      <w:bodyDiv w:val="1"/>
      <w:marLeft w:val="0"/>
      <w:marRight w:val="0"/>
      <w:marTop w:val="0"/>
      <w:marBottom w:val="0"/>
      <w:divBdr>
        <w:top w:val="none" w:sz="0" w:space="0" w:color="auto"/>
        <w:left w:val="none" w:sz="0" w:space="0" w:color="auto"/>
        <w:bottom w:val="none" w:sz="0" w:space="0" w:color="auto"/>
        <w:right w:val="none" w:sz="0" w:space="0" w:color="auto"/>
      </w:divBdr>
    </w:div>
    <w:div w:id="482896209">
      <w:bodyDiv w:val="1"/>
      <w:marLeft w:val="0"/>
      <w:marRight w:val="0"/>
      <w:marTop w:val="0"/>
      <w:marBottom w:val="0"/>
      <w:divBdr>
        <w:top w:val="none" w:sz="0" w:space="0" w:color="auto"/>
        <w:left w:val="none" w:sz="0" w:space="0" w:color="auto"/>
        <w:bottom w:val="none" w:sz="0" w:space="0" w:color="auto"/>
        <w:right w:val="none" w:sz="0" w:space="0" w:color="auto"/>
      </w:divBdr>
    </w:div>
    <w:div w:id="498885325">
      <w:bodyDiv w:val="1"/>
      <w:marLeft w:val="0"/>
      <w:marRight w:val="0"/>
      <w:marTop w:val="0"/>
      <w:marBottom w:val="0"/>
      <w:divBdr>
        <w:top w:val="none" w:sz="0" w:space="0" w:color="auto"/>
        <w:left w:val="none" w:sz="0" w:space="0" w:color="auto"/>
        <w:bottom w:val="none" w:sz="0" w:space="0" w:color="auto"/>
        <w:right w:val="none" w:sz="0" w:space="0" w:color="auto"/>
      </w:divBdr>
      <w:divsChild>
        <w:div w:id="540092694">
          <w:marLeft w:val="0"/>
          <w:marRight w:val="0"/>
          <w:marTop w:val="0"/>
          <w:marBottom w:val="0"/>
          <w:divBdr>
            <w:top w:val="none" w:sz="0" w:space="0" w:color="auto"/>
            <w:left w:val="none" w:sz="0" w:space="0" w:color="auto"/>
            <w:bottom w:val="none" w:sz="0" w:space="0" w:color="auto"/>
            <w:right w:val="none" w:sz="0" w:space="0" w:color="auto"/>
          </w:divBdr>
          <w:divsChild>
            <w:div w:id="28923534">
              <w:marLeft w:val="255"/>
              <w:marRight w:val="0"/>
              <w:marTop w:val="0"/>
              <w:marBottom w:val="0"/>
              <w:divBdr>
                <w:top w:val="none" w:sz="0" w:space="0" w:color="auto"/>
                <w:left w:val="none" w:sz="0" w:space="0" w:color="auto"/>
                <w:bottom w:val="none" w:sz="0" w:space="0" w:color="auto"/>
                <w:right w:val="none" w:sz="0" w:space="0" w:color="auto"/>
              </w:divBdr>
            </w:div>
          </w:divsChild>
        </w:div>
        <w:div w:id="1596280451">
          <w:marLeft w:val="0"/>
          <w:marRight w:val="0"/>
          <w:marTop w:val="0"/>
          <w:marBottom w:val="0"/>
          <w:divBdr>
            <w:top w:val="none" w:sz="0" w:space="0" w:color="auto"/>
            <w:left w:val="none" w:sz="0" w:space="0" w:color="auto"/>
            <w:bottom w:val="none" w:sz="0" w:space="0" w:color="auto"/>
            <w:right w:val="none" w:sz="0" w:space="0" w:color="auto"/>
          </w:divBdr>
          <w:divsChild>
            <w:div w:id="117337192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04898318">
      <w:bodyDiv w:val="1"/>
      <w:marLeft w:val="0"/>
      <w:marRight w:val="0"/>
      <w:marTop w:val="0"/>
      <w:marBottom w:val="0"/>
      <w:divBdr>
        <w:top w:val="none" w:sz="0" w:space="0" w:color="auto"/>
        <w:left w:val="none" w:sz="0" w:space="0" w:color="auto"/>
        <w:bottom w:val="none" w:sz="0" w:space="0" w:color="auto"/>
        <w:right w:val="none" w:sz="0" w:space="0" w:color="auto"/>
      </w:divBdr>
    </w:div>
    <w:div w:id="519009545">
      <w:bodyDiv w:val="1"/>
      <w:marLeft w:val="0"/>
      <w:marRight w:val="0"/>
      <w:marTop w:val="0"/>
      <w:marBottom w:val="0"/>
      <w:divBdr>
        <w:top w:val="none" w:sz="0" w:space="0" w:color="auto"/>
        <w:left w:val="none" w:sz="0" w:space="0" w:color="auto"/>
        <w:bottom w:val="none" w:sz="0" w:space="0" w:color="auto"/>
        <w:right w:val="none" w:sz="0" w:space="0" w:color="auto"/>
      </w:divBdr>
    </w:div>
    <w:div w:id="543561902">
      <w:bodyDiv w:val="1"/>
      <w:marLeft w:val="0"/>
      <w:marRight w:val="0"/>
      <w:marTop w:val="0"/>
      <w:marBottom w:val="0"/>
      <w:divBdr>
        <w:top w:val="none" w:sz="0" w:space="0" w:color="auto"/>
        <w:left w:val="none" w:sz="0" w:space="0" w:color="auto"/>
        <w:bottom w:val="none" w:sz="0" w:space="0" w:color="auto"/>
        <w:right w:val="none" w:sz="0" w:space="0" w:color="auto"/>
      </w:divBdr>
    </w:div>
    <w:div w:id="544560027">
      <w:bodyDiv w:val="1"/>
      <w:marLeft w:val="0"/>
      <w:marRight w:val="0"/>
      <w:marTop w:val="0"/>
      <w:marBottom w:val="0"/>
      <w:divBdr>
        <w:top w:val="none" w:sz="0" w:space="0" w:color="auto"/>
        <w:left w:val="none" w:sz="0" w:space="0" w:color="auto"/>
        <w:bottom w:val="none" w:sz="0" w:space="0" w:color="auto"/>
        <w:right w:val="none" w:sz="0" w:space="0" w:color="auto"/>
      </w:divBdr>
    </w:div>
    <w:div w:id="589847889">
      <w:bodyDiv w:val="1"/>
      <w:marLeft w:val="0"/>
      <w:marRight w:val="0"/>
      <w:marTop w:val="0"/>
      <w:marBottom w:val="0"/>
      <w:divBdr>
        <w:top w:val="none" w:sz="0" w:space="0" w:color="auto"/>
        <w:left w:val="none" w:sz="0" w:space="0" w:color="auto"/>
        <w:bottom w:val="none" w:sz="0" w:space="0" w:color="auto"/>
        <w:right w:val="none" w:sz="0" w:space="0" w:color="auto"/>
      </w:divBdr>
    </w:div>
    <w:div w:id="594367731">
      <w:bodyDiv w:val="1"/>
      <w:marLeft w:val="0"/>
      <w:marRight w:val="0"/>
      <w:marTop w:val="0"/>
      <w:marBottom w:val="0"/>
      <w:divBdr>
        <w:top w:val="none" w:sz="0" w:space="0" w:color="auto"/>
        <w:left w:val="none" w:sz="0" w:space="0" w:color="auto"/>
        <w:bottom w:val="none" w:sz="0" w:space="0" w:color="auto"/>
        <w:right w:val="none" w:sz="0" w:space="0" w:color="auto"/>
      </w:divBdr>
    </w:div>
    <w:div w:id="594872548">
      <w:bodyDiv w:val="1"/>
      <w:marLeft w:val="0"/>
      <w:marRight w:val="0"/>
      <w:marTop w:val="0"/>
      <w:marBottom w:val="0"/>
      <w:divBdr>
        <w:top w:val="none" w:sz="0" w:space="0" w:color="auto"/>
        <w:left w:val="none" w:sz="0" w:space="0" w:color="auto"/>
        <w:bottom w:val="none" w:sz="0" w:space="0" w:color="auto"/>
        <w:right w:val="none" w:sz="0" w:space="0" w:color="auto"/>
      </w:divBdr>
    </w:div>
    <w:div w:id="596448606">
      <w:bodyDiv w:val="1"/>
      <w:marLeft w:val="0"/>
      <w:marRight w:val="0"/>
      <w:marTop w:val="0"/>
      <w:marBottom w:val="0"/>
      <w:divBdr>
        <w:top w:val="none" w:sz="0" w:space="0" w:color="auto"/>
        <w:left w:val="none" w:sz="0" w:space="0" w:color="auto"/>
        <w:bottom w:val="none" w:sz="0" w:space="0" w:color="auto"/>
        <w:right w:val="none" w:sz="0" w:space="0" w:color="auto"/>
      </w:divBdr>
    </w:div>
    <w:div w:id="597950908">
      <w:bodyDiv w:val="1"/>
      <w:marLeft w:val="0"/>
      <w:marRight w:val="0"/>
      <w:marTop w:val="0"/>
      <w:marBottom w:val="0"/>
      <w:divBdr>
        <w:top w:val="none" w:sz="0" w:space="0" w:color="auto"/>
        <w:left w:val="none" w:sz="0" w:space="0" w:color="auto"/>
        <w:bottom w:val="none" w:sz="0" w:space="0" w:color="auto"/>
        <w:right w:val="none" w:sz="0" w:space="0" w:color="auto"/>
      </w:divBdr>
    </w:div>
    <w:div w:id="609824721">
      <w:bodyDiv w:val="1"/>
      <w:marLeft w:val="0"/>
      <w:marRight w:val="0"/>
      <w:marTop w:val="0"/>
      <w:marBottom w:val="0"/>
      <w:divBdr>
        <w:top w:val="none" w:sz="0" w:space="0" w:color="auto"/>
        <w:left w:val="none" w:sz="0" w:space="0" w:color="auto"/>
        <w:bottom w:val="none" w:sz="0" w:space="0" w:color="auto"/>
        <w:right w:val="none" w:sz="0" w:space="0" w:color="auto"/>
      </w:divBdr>
    </w:div>
    <w:div w:id="626081170">
      <w:bodyDiv w:val="1"/>
      <w:marLeft w:val="0"/>
      <w:marRight w:val="0"/>
      <w:marTop w:val="0"/>
      <w:marBottom w:val="0"/>
      <w:divBdr>
        <w:top w:val="none" w:sz="0" w:space="0" w:color="auto"/>
        <w:left w:val="none" w:sz="0" w:space="0" w:color="auto"/>
        <w:bottom w:val="none" w:sz="0" w:space="0" w:color="auto"/>
        <w:right w:val="none" w:sz="0" w:space="0" w:color="auto"/>
      </w:divBdr>
    </w:div>
    <w:div w:id="637951615">
      <w:bodyDiv w:val="1"/>
      <w:marLeft w:val="0"/>
      <w:marRight w:val="0"/>
      <w:marTop w:val="0"/>
      <w:marBottom w:val="0"/>
      <w:divBdr>
        <w:top w:val="none" w:sz="0" w:space="0" w:color="auto"/>
        <w:left w:val="none" w:sz="0" w:space="0" w:color="auto"/>
        <w:bottom w:val="none" w:sz="0" w:space="0" w:color="auto"/>
        <w:right w:val="none" w:sz="0" w:space="0" w:color="auto"/>
      </w:divBdr>
    </w:div>
    <w:div w:id="647977242">
      <w:bodyDiv w:val="1"/>
      <w:marLeft w:val="0"/>
      <w:marRight w:val="0"/>
      <w:marTop w:val="0"/>
      <w:marBottom w:val="0"/>
      <w:divBdr>
        <w:top w:val="none" w:sz="0" w:space="0" w:color="auto"/>
        <w:left w:val="none" w:sz="0" w:space="0" w:color="auto"/>
        <w:bottom w:val="none" w:sz="0" w:space="0" w:color="auto"/>
        <w:right w:val="none" w:sz="0" w:space="0" w:color="auto"/>
      </w:divBdr>
    </w:div>
    <w:div w:id="649940096">
      <w:bodyDiv w:val="1"/>
      <w:marLeft w:val="0"/>
      <w:marRight w:val="0"/>
      <w:marTop w:val="0"/>
      <w:marBottom w:val="0"/>
      <w:divBdr>
        <w:top w:val="none" w:sz="0" w:space="0" w:color="auto"/>
        <w:left w:val="none" w:sz="0" w:space="0" w:color="auto"/>
        <w:bottom w:val="none" w:sz="0" w:space="0" w:color="auto"/>
        <w:right w:val="none" w:sz="0" w:space="0" w:color="auto"/>
      </w:divBdr>
    </w:div>
    <w:div w:id="656491579">
      <w:bodyDiv w:val="1"/>
      <w:marLeft w:val="0"/>
      <w:marRight w:val="0"/>
      <w:marTop w:val="0"/>
      <w:marBottom w:val="0"/>
      <w:divBdr>
        <w:top w:val="none" w:sz="0" w:space="0" w:color="auto"/>
        <w:left w:val="none" w:sz="0" w:space="0" w:color="auto"/>
        <w:bottom w:val="none" w:sz="0" w:space="0" w:color="auto"/>
        <w:right w:val="none" w:sz="0" w:space="0" w:color="auto"/>
      </w:divBdr>
    </w:div>
    <w:div w:id="676811569">
      <w:bodyDiv w:val="1"/>
      <w:marLeft w:val="0"/>
      <w:marRight w:val="0"/>
      <w:marTop w:val="0"/>
      <w:marBottom w:val="0"/>
      <w:divBdr>
        <w:top w:val="none" w:sz="0" w:space="0" w:color="auto"/>
        <w:left w:val="none" w:sz="0" w:space="0" w:color="auto"/>
        <w:bottom w:val="none" w:sz="0" w:space="0" w:color="auto"/>
        <w:right w:val="none" w:sz="0" w:space="0" w:color="auto"/>
      </w:divBdr>
    </w:div>
    <w:div w:id="686448079">
      <w:bodyDiv w:val="1"/>
      <w:marLeft w:val="0"/>
      <w:marRight w:val="0"/>
      <w:marTop w:val="0"/>
      <w:marBottom w:val="0"/>
      <w:divBdr>
        <w:top w:val="none" w:sz="0" w:space="0" w:color="auto"/>
        <w:left w:val="none" w:sz="0" w:space="0" w:color="auto"/>
        <w:bottom w:val="none" w:sz="0" w:space="0" w:color="auto"/>
        <w:right w:val="none" w:sz="0" w:space="0" w:color="auto"/>
      </w:divBdr>
    </w:div>
    <w:div w:id="694573190">
      <w:bodyDiv w:val="1"/>
      <w:marLeft w:val="0"/>
      <w:marRight w:val="0"/>
      <w:marTop w:val="0"/>
      <w:marBottom w:val="0"/>
      <w:divBdr>
        <w:top w:val="none" w:sz="0" w:space="0" w:color="auto"/>
        <w:left w:val="none" w:sz="0" w:space="0" w:color="auto"/>
        <w:bottom w:val="none" w:sz="0" w:space="0" w:color="auto"/>
        <w:right w:val="none" w:sz="0" w:space="0" w:color="auto"/>
      </w:divBdr>
    </w:div>
    <w:div w:id="705450046">
      <w:bodyDiv w:val="1"/>
      <w:marLeft w:val="0"/>
      <w:marRight w:val="0"/>
      <w:marTop w:val="0"/>
      <w:marBottom w:val="0"/>
      <w:divBdr>
        <w:top w:val="none" w:sz="0" w:space="0" w:color="auto"/>
        <w:left w:val="none" w:sz="0" w:space="0" w:color="auto"/>
        <w:bottom w:val="none" w:sz="0" w:space="0" w:color="auto"/>
        <w:right w:val="none" w:sz="0" w:space="0" w:color="auto"/>
      </w:divBdr>
    </w:div>
    <w:div w:id="708182910">
      <w:bodyDiv w:val="1"/>
      <w:marLeft w:val="0"/>
      <w:marRight w:val="0"/>
      <w:marTop w:val="0"/>
      <w:marBottom w:val="0"/>
      <w:divBdr>
        <w:top w:val="none" w:sz="0" w:space="0" w:color="auto"/>
        <w:left w:val="none" w:sz="0" w:space="0" w:color="auto"/>
        <w:bottom w:val="none" w:sz="0" w:space="0" w:color="auto"/>
        <w:right w:val="none" w:sz="0" w:space="0" w:color="auto"/>
      </w:divBdr>
    </w:div>
    <w:div w:id="712996940">
      <w:bodyDiv w:val="1"/>
      <w:marLeft w:val="0"/>
      <w:marRight w:val="0"/>
      <w:marTop w:val="0"/>
      <w:marBottom w:val="0"/>
      <w:divBdr>
        <w:top w:val="none" w:sz="0" w:space="0" w:color="auto"/>
        <w:left w:val="none" w:sz="0" w:space="0" w:color="auto"/>
        <w:bottom w:val="none" w:sz="0" w:space="0" w:color="auto"/>
        <w:right w:val="none" w:sz="0" w:space="0" w:color="auto"/>
      </w:divBdr>
    </w:div>
    <w:div w:id="718825555">
      <w:bodyDiv w:val="1"/>
      <w:marLeft w:val="0"/>
      <w:marRight w:val="0"/>
      <w:marTop w:val="0"/>
      <w:marBottom w:val="0"/>
      <w:divBdr>
        <w:top w:val="none" w:sz="0" w:space="0" w:color="auto"/>
        <w:left w:val="none" w:sz="0" w:space="0" w:color="auto"/>
        <w:bottom w:val="none" w:sz="0" w:space="0" w:color="auto"/>
        <w:right w:val="none" w:sz="0" w:space="0" w:color="auto"/>
      </w:divBdr>
    </w:div>
    <w:div w:id="724446473">
      <w:bodyDiv w:val="1"/>
      <w:marLeft w:val="0"/>
      <w:marRight w:val="0"/>
      <w:marTop w:val="0"/>
      <w:marBottom w:val="0"/>
      <w:divBdr>
        <w:top w:val="none" w:sz="0" w:space="0" w:color="auto"/>
        <w:left w:val="none" w:sz="0" w:space="0" w:color="auto"/>
        <w:bottom w:val="none" w:sz="0" w:space="0" w:color="auto"/>
        <w:right w:val="none" w:sz="0" w:space="0" w:color="auto"/>
      </w:divBdr>
    </w:div>
    <w:div w:id="745305670">
      <w:bodyDiv w:val="1"/>
      <w:marLeft w:val="0"/>
      <w:marRight w:val="0"/>
      <w:marTop w:val="0"/>
      <w:marBottom w:val="0"/>
      <w:divBdr>
        <w:top w:val="none" w:sz="0" w:space="0" w:color="auto"/>
        <w:left w:val="none" w:sz="0" w:space="0" w:color="auto"/>
        <w:bottom w:val="none" w:sz="0" w:space="0" w:color="auto"/>
        <w:right w:val="none" w:sz="0" w:space="0" w:color="auto"/>
      </w:divBdr>
    </w:div>
    <w:div w:id="757210724">
      <w:bodyDiv w:val="1"/>
      <w:marLeft w:val="0"/>
      <w:marRight w:val="0"/>
      <w:marTop w:val="0"/>
      <w:marBottom w:val="0"/>
      <w:divBdr>
        <w:top w:val="none" w:sz="0" w:space="0" w:color="auto"/>
        <w:left w:val="none" w:sz="0" w:space="0" w:color="auto"/>
        <w:bottom w:val="none" w:sz="0" w:space="0" w:color="auto"/>
        <w:right w:val="none" w:sz="0" w:space="0" w:color="auto"/>
      </w:divBdr>
    </w:div>
    <w:div w:id="765079365">
      <w:bodyDiv w:val="1"/>
      <w:marLeft w:val="0"/>
      <w:marRight w:val="0"/>
      <w:marTop w:val="0"/>
      <w:marBottom w:val="0"/>
      <w:divBdr>
        <w:top w:val="none" w:sz="0" w:space="0" w:color="auto"/>
        <w:left w:val="none" w:sz="0" w:space="0" w:color="auto"/>
        <w:bottom w:val="none" w:sz="0" w:space="0" w:color="auto"/>
        <w:right w:val="none" w:sz="0" w:space="0" w:color="auto"/>
      </w:divBdr>
    </w:div>
    <w:div w:id="789319561">
      <w:bodyDiv w:val="1"/>
      <w:marLeft w:val="0"/>
      <w:marRight w:val="0"/>
      <w:marTop w:val="0"/>
      <w:marBottom w:val="0"/>
      <w:divBdr>
        <w:top w:val="none" w:sz="0" w:space="0" w:color="auto"/>
        <w:left w:val="none" w:sz="0" w:space="0" w:color="auto"/>
        <w:bottom w:val="none" w:sz="0" w:space="0" w:color="auto"/>
        <w:right w:val="none" w:sz="0" w:space="0" w:color="auto"/>
      </w:divBdr>
    </w:div>
    <w:div w:id="790321117">
      <w:bodyDiv w:val="1"/>
      <w:marLeft w:val="0"/>
      <w:marRight w:val="0"/>
      <w:marTop w:val="0"/>
      <w:marBottom w:val="0"/>
      <w:divBdr>
        <w:top w:val="none" w:sz="0" w:space="0" w:color="auto"/>
        <w:left w:val="none" w:sz="0" w:space="0" w:color="auto"/>
        <w:bottom w:val="none" w:sz="0" w:space="0" w:color="auto"/>
        <w:right w:val="none" w:sz="0" w:space="0" w:color="auto"/>
      </w:divBdr>
    </w:div>
    <w:div w:id="792747037">
      <w:bodyDiv w:val="1"/>
      <w:marLeft w:val="0"/>
      <w:marRight w:val="0"/>
      <w:marTop w:val="0"/>
      <w:marBottom w:val="0"/>
      <w:divBdr>
        <w:top w:val="none" w:sz="0" w:space="0" w:color="auto"/>
        <w:left w:val="none" w:sz="0" w:space="0" w:color="auto"/>
        <w:bottom w:val="none" w:sz="0" w:space="0" w:color="auto"/>
        <w:right w:val="none" w:sz="0" w:space="0" w:color="auto"/>
      </w:divBdr>
    </w:div>
    <w:div w:id="799879756">
      <w:bodyDiv w:val="1"/>
      <w:marLeft w:val="0"/>
      <w:marRight w:val="0"/>
      <w:marTop w:val="0"/>
      <w:marBottom w:val="0"/>
      <w:divBdr>
        <w:top w:val="none" w:sz="0" w:space="0" w:color="auto"/>
        <w:left w:val="none" w:sz="0" w:space="0" w:color="auto"/>
        <w:bottom w:val="none" w:sz="0" w:space="0" w:color="auto"/>
        <w:right w:val="none" w:sz="0" w:space="0" w:color="auto"/>
      </w:divBdr>
    </w:div>
    <w:div w:id="805590838">
      <w:bodyDiv w:val="1"/>
      <w:marLeft w:val="0"/>
      <w:marRight w:val="0"/>
      <w:marTop w:val="0"/>
      <w:marBottom w:val="0"/>
      <w:divBdr>
        <w:top w:val="none" w:sz="0" w:space="0" w:color="auto"/>
        <w:left w:val="none" w:sz="0" w:space="0" w:color="auto"/>
        <w:bottom w:val="none" w:sz="0" w:space="0" w:color="auto"/>
        <w:right w:val="none" w:sz="0" w:space="0" w:color="auto"/>
      </w:divBdr>
    </w:div>
    <w:div w:id="819007368">
      <w:bodyDiv w:val="1"/>
      <w:marLeft w:val="0"/>
      <w:marRight w:val="0"/>
      <w:marTop w:val="0"/>
      <w:marBottom w:val="0"/>
      <w:divBdr>
        <w:top w:val="none" w:sz="0" w:space="0" w:color="auto"/>
        <w:left w:val="none" w:sz="0" w:space="0" w:color="auto"/>
        <w:bottom w:val="none" w:sz="0" w:space="0" w:color="auto"/>
        <w:right w:val="none" w:sz="0" w:space="0" w:color="auto"/>
      </w:divBdr>
    </w:div>
    <w:div w:id="822432834">
      <w:bodyDiv w:val="1"/>
      <w:marLeft w:val="0"/>
      <w:marRight w:val="0"/>
      <w:marTop w:val="0"/>
      <w:marBottom w:val="0"/>
      <w:divBdr>
        <w:top w:val="none" w:sz="0" w:space="0" w:color="auto"/>
        <w:left w:val="none" w:sz="0" w:space="0" w:color="auto"/>
        <w:bottom w:val="none" w:sz="0" w:space="0" w:color="auto"/>
        <w:right w:val="none" w:sz="0" w:space="0" w:color="auto"/>
      </w:divBdr>
    </w:div>
    <w:div w:id="829753234">
      <w:bodyDiv w:val="1"/>
      <w:marLeft w:val="0"/>
      <w:marRight w:val="0"/>
      <w:marTop w:val="0"/>
      <w:marBottom w:val="0"/>
      <w:divBdr>
        <w:top w:val="none" w:sz="0" w:space="0" w:color="auto"/>
        <w:left w:val="none" w:sz="0" w:space="0" w:color="auto"/>
        <w:bottom w:val="none" w:sz="0" w:space="0" w:color="auto"/>
        <w:right w:val="none" w:sz="0" w:space="0" w:color="auto"/>
      </w:divBdr>
    </w:div>
    <w:div w:id="843014476">
      <w:bodyDiv w:val="1"/>
      <w:marLeft w:val="0"/>
      <w:marRight w:val="0"/>
      <w:marTop w:val="0"/>
      <w:marBottom w:val="0"/>
      <w:divBdr>
        <w:top w:val="none" w:sz="0" w:space="0" w:color="auto"/>
        <w:left w:val="none" w:sz="0" w:space="0" w:color="auto"/>
        <w:bottom w:val="none" w:sz="0" w:space="0" w:color="auto"/>
        <w:right w:val="none" w:sz="0" w:space="0" w:color="auto"/>
      </w:divBdr>
    </w:div>
    <w:div w:id="846822779">
      <w:bodyDiv w:val="1"/>
      <w:marLeft w:val="0"/>
      <w:marRight w:val="0"/>
      <w:marTop w:val="0"/>
      <w:marBottom w:val="0"/>
      <w:divBdr>
        <w:top w:val="none" w:sz="0" w:space="0" w:color="auto"/>
        <w:left w:val="none" w:sz="0" w:space="0" w:color="auto"/>
        <w:bottom w:val="none" w:sz="0" w:space="0" w:color="auto"/>
        <w:right w:val="none" w:sz="0" w:space="0" w:color="auto"/>
      </w:divBdr>
    </w:div>
    <w:div w:id="859010358">
      <w:bodyDiv w:val="1"/>
      <w:marLeft w:val="0"/>
      <w:marRight w:val="0"/>
      <w:marTop w:val="0"/>
      <w:marBottom w:val="0"/>
      <w:divBdr>
        <w:top w:val="none" w:sz="0" w:space="0" w:color="auto"/>
        <w:left w:val="none" w:sz="0" w:space="0" w:color="auto"/>
        <w:bottom w:val="none" w:sz="0" w:space="0" w:color="auto"/>
        <w:right w:val="none" w:sz="0" w:space="0" w:color="auto"/>
      </w:divBdr>
    </w:div>
    <w:div w:id="865406705">
      <w:bodyDiv w:val="1"/>
      <w:marLeft w:val="0"/>
      <w:marRight w:val="0"/>
      <w:marTop w:val="0"/>
      <w:marBottom w:val="0"/>
      <w:divBdr>
        <w:top w:val="none" w:sz="0" w:space="0" w:color="auto"/>
        <w:left w:val="none" w:sz="0" w:space="0" w:color="auto"/>
        <w:bottom w:val="none" w:sz="0" w:space="0" w:color="auto"/>
        <w:right w:val="none" w:sz="0" w:space="0" w:color="auto"/>
      </w:divBdr>
    </w:div>
    <w:div w:id="887301944">
      <w:bodyDiv w:val="1"/>
      <w:marLeft w:val="0"/>
      <w:marRight w:val="0"/>
      <w:marTop w:val="0"/>
      <w:marBottom w:val="0"/>
      <w:divBdr>
        <w:top w:val="none" w:sz="0" w:space="0" w:color="auto"/>
        <w:left w:val="none" w:sz="0" w:space="0" w:color="auto"/>
        <w:bottom w:val="none" w:sz="0" w:space="0" w:color="auto"/>
        <w:right w:val="none" w:sz="0" w:space="0" w:color="auto"/>
      </w:divBdr>
    </w:div>
    <w:div w:id="892304927">
      <w:bodyDiv w:val="1"/>
      <w:marLeft w:val="0"/>
      <w:marRight w:val="0"/>
      <w:marTop w:val="0"/>
      <w:marBottom w:val="0"/>
      <w:divBdr>
        <w:top w:val="none" w:sz="0" w:space="0" w:color="auto"/>
        <w:left w:val="none" w:sz="0" w:space="0" w:color="auto"/>
        <w:bottom w:val="none" w:sz="0" w:space="0" w:color="auto"/>
        <w:right w:val="none" w:sz="0" w:space="0" w:color="auto"/>
      </w:divBdr>
    </w:div>
    <w:div w:id="903025753">
      <w:bodyDiv w:val="1"/>
      <w:marLeft w:val="0"/>
      <w:marRight w:val="0"/>
      <w:marTop w:val="0"/>
      <w:marBottom w:val="0"/>
      <w:divBdr>
        <w:top w:val="none" w:sz="0" w:space="0" w:color="auto"/>
        <w:left w:val="none" w:sz="0" w:space="0" w:color="auto"/>
        <w:bottom w:val="none" w:sz="0" w:space="0" w:color="auto"/>
        <w:right w:val="none" w:sz="0" w:space="0" w:color="auto"/>
      </w:divBdr>
    </w:div>
    <w:div w:id="926033160">
      <w:bodyDiv w:val="1"/>
      <w:marLeft w:val="0"/>
      <w:marRight w:val="0"/>
      <w:marTop w:val="0"/>
      <w:marBottom w:val="0"/>
      <w:divBdr>
        <w:top w:val="none" w:sz="0" w:space="0" w:color="auto"/>
        <w:left w:val="none" w:sz="0" w:space="0" w:color="auto"/>
        <w:bottom w:val="none" w:sz="0" w:space="0" w:color="auto"/>
        <w:right w:val="none" w:sz="0" w:space="0" w:color="auto"/>
      </w:divBdr>
    </w:div>
    <w:div w:id="934635138">
      <w:bodyDiv w:val="1"/>
      <w:marLeft w:val="0"/>
      <w:marRight w:val="0"/>
      <w:marTop w:val="0"/>
      <w:marBottom w:val="0"/>
      <w:divBdr>
        <w:top w:val="none" w:sz="0" w:space="0" w:color="auto"/>
        <w:left w:val="none" w:sz="0" w:space="0" w:color="auto"/>
        <w:bottom w:val="none" w:sz="0" w:space="0" w:color="auto"/>
        <w:right w:val="none" w:sz="0" w:space="0" w:color="auto"/>
      </w:divBdr>
    </w:div>
    <w:div w:id="941835183">
      <w:bodyDiv w:val="1"/>
      <w:marLeft w:val="0"/>
      <w:marRight w:val="0"/>
      <w:marTop w:val="0"/>
      <w:marBottom w:val="0"/>
      <w:divBdr>
        <w:top w:val="none" w:sz="0" w:space="0" w:color="auto"/>
        <w:left w:val="none" w:sz="0" w:space="0" w:color="auto"/>
        <w:bottom w:val="none" w:sz="0" w:space="0" w:color="auto"/>
        <w:right w:val="none" w:sz="0" w:space="0" w:color="auto"/>
      </w:divBdr>
    </w:div>
    <w:div w:id="942032879">
      <w:bodyDiv w:val="1"/>
      <w:marLeft w:val="0"/>
      <w:marRight w:val="0"/>
      <w:marTop w:val="0"/>
      <w:marBottom w:val="0"/>
      <w:divBdr>
        <w:top w:val="none" w:sz="0" w:space="0" w:color="auto"/>
        <w:left w:val="none" w:sz="0" w:space="0" w:color="auto"/>
        <w:bottom w:val="none" w:sz="0" w:space="0" w:color="auto"/>
        <w:right w:val="none" w:sz="0" w:space="0" w:color="auto"/>
      </w:divBdr>
    </w:div>
    <w:div w:id="963661139">
      <w:bodyDiv w:val="1"/>
      <w:marLeft w:val="0"/>
      <w:marRight w:val="0"/>
      <w:marTop w:val="0"/>
      <w:marBottom w:val="0"/>
      <w:divBdr>
        <w:top w:val="none" w:sz="0" w:space="0" w:color="auto"/>
        <w:left w:val="none" w:sz="0" w:space="0" w:color="auto"/>
        <w:bottom w:val="none" w:sz="0" w:space="0" w:color="auto"/>
        <w:right w:val="none" w:sz="0" w:space="0" w:color="auto"/>
      </w:divBdr>
    </w:div>
    <w:div w:id="970785933">
      <w:bodyDiv w:val="1"/>
      <w:marLeft w:val="0"/>
      <w:marRight w:val="0"/>
      <w:marTop w:val="0"/>
      <w:marBottom w:val="0"/>
      <w:divBdr>
        <w:top w:val="none" w:sz="0" w:space="0" w:color="auto"/>
        <w:left w:val="none" w:sz="0" w:space="0" w:color="auto"/>
        <w:bottom w:val="none" w:sz="0" w:space="0" w:color="auto"/>
        <w:right w:val="none" w:sz="0" w:space="0" w:color="auto"/>
      </w:divBdr>
    </w:div>
    <w:div w:id="982927007">
      <w:bodyDiv w:val="1"/>
      <w:marLeft w:val="0"/>
      <w:marRight w:val="0"/>
      <w:marTop w:val="0"/>
      <w:marBottom w:val="0"/>
      <w:divBdr>
        <w:top w:val="none" w:sz="0" w:space="0" w:color="auto"/>
        <w:left w:val="none" w:sz="0" w:space="0" w:color="auto"/>
        <w:bottom w:val="none" w:sz="0" w:space="0" w:color="auto"/>
        <w:right w:val="none" w:sz="0" w:space="0" w:color="auto"/>
      </w:divBdr>
    </w:div>
    <w:div w:id="988553395">
      <w:bodyDiv w:val="1"/>
      <w:marLeft w:val="0"/>
      <w:marRight w:val="0"/>
      <w:marTop w:val="0"/>
      <w:marBottom w:val="0"/>
      <w:divBdr>
        <w:top w:val="none" w:sz="0" w:space="0" w:color="auto"/>
        <w:left w:val="none" w:sz="0" w:space="0" w:color="auto"/>
        <w:bottom w:val="none" w:sz="0" w:space="0" w:color="auto"/>
        <w:right w:val="none" w:sz="0" w:space="0" w:color="auto"/>
      </w:divBdr>
    </w:div>
    <w:div w:id="989869828">
      <w:bodyDiv w:val="1"/>
      <w:marLeft w:val="0"/>
      <w:marRight w:val="0"/>
      <w:marTop w:val="0"/>
      <w:marBottom w:val="0"/>
      <w:divBdr>
        <w:top w:val="none" w:sz="0" w:space="0" w:color="auto"/>
        <w:left w:val="none" w:sz="0" w:space="0" w:color="auto"/>
        <w:bottom w:val="none" w:sz="0" w:space="0" w:color="auto"/>
        <w:right w:val="none" w:sz="0" w:space="0" w:color="auto"/>
      </w:divBdr>
    </w:div>
    <w:div w:id="998384481">
      <w:bodyDiv w:val="1"/>
      <w:marLeft w:val="0"/>
      <w:marRight w:val="0"/>
      <w:marTop w:val="0"/>
      <w:marBottom w:val="0"/>
      <w:divBdr>
        <w:top w:val="none" w:sz="0" w:space="0" w:color="auto"/>
        <w:left w:val="none" w:sz="0" w:space="0" w:color="auto"/>
        <w:bottom w:val="none" w:sz="0" w:space="0" w:color="auto"/>
        <w:right w:val="none" w:sz="0" w:space="0" w:color="auto"/>
      </w:divBdr>
    </w:div>
    <w:div w:id="1003170890">
      <w:bodyDiv w:val="1"/>
      <w:marLeft w:val="0"/>
      <w:marRight w:val="0"/>
      <w:marTop w:val="0"/>
      <w:marBottom w:val="0"/>
      <w:divBdr>
        <w:top w:val="none" w:sz="0" w:space="0" w:color="auto"/>
        <w:left w:val="none" w:sz="0" w:space="0" w:color="auto"/>
        <w:bottom w:val="none" w:sz="0" w:space="0" w:color="auto"/>
        <w:right w:val="none" w:sz="0" w:space="0" w:color="auto"/>
      </w:divBdr>
    </w:div>
    <w:div w:id="1015808497">
      <w:bodyDiv w:val="1"/>
      <w:marLeft w:val="0"/>
      <w:marRight w:val="0"/>
      <w:marTop w:val="0"/>
      <w:marBottom w:val="0"/>
      <w:divBdr>
        <w:top w:val="none" w:sz="0" w:space="0" w:color="auto"/>
        <w:left w:val="none" w:sz="0" w:space="0" w:color="auto"/>
        <w:bottom w:val="none" w:sz="0" w:space="0" w:color="auto"/>
        <w:right w:val="none" w:sz="0" w:space="0" w:color="auto"/>
      </w:divBdr>
    </w:div>
    <w:div w:id="1055814569">
      <w:bodyDiv w:val="1"/>
      <w:marLeft w:val="0"/>
      <w:marRight w:val="0"/>
      <w:marTop w:val="0"/>
      <w:marBottom w:val="0"/>
      <w:divBdr>
        <w:top w:val="none" w:sz="0" w:space="0" w:color="auto"/>
        <w:left w:val="none" w:sz="0" w:space="0" w:color="auto"/>
        <w:bottom w:val="none" w:sz="0" w:space="0" w:color="auto"/>
        <w:right w:val="none" w:sz="0" w:space="0" w:color="auto"/>
      </w:divBdr>
    </w:div>
    <w:div w:id="1076518310">
      <w:bodyDiv w:val="1"/>
      <w:marLeft w:val="0"/>
      <w:marRight w:val="0"/>
      <w:marTop w:val="0"/>
      <w:marBottom w:val="0"/>
      <w:divBdr>
        <w:top w:val="none" w:sz="0" w:space="0" w:color="auto"/>
        <w:left w:val="none" w:sz="0" w:space="0" w:color="auto"/>
        <w:bottom w:val="none" w:sz="0" w:space="0" w:color="auto"/>
        <w:right w:val="none" w:sz="0" w:space="0" w:color="auto"/>
      </w:divBdr>
    </w:div>
    <w:div w:id="1086347557">
      <w:bodyDiv w:val="1"/>
      <w:marLeft w:val="0"/>
      <w:marRight w:val="0"/>
      <w:marTop w:val="0"/>
      <w:marBottom w:val="0"/>
      <w:divBdr>
        <w:top w:val="none" w:sz="0" w:space="0" w:color="auto"/>
        <w:left w:val="none" w:sz="0" w:space="0" w:color="auto"/>
        <w:bottom w:val="none" w:sz="0" w:space="0" w:color="auto"/>
        <w:right w:val="none" w:sz="0" w:space="0" w:color="auto"/>
      </w:divBdr>
    </w:div>
    <w:div w:id="1096025070">
      <w:bodyDiv w:val="1"/>
      <w:marLeft w:val="0"/>
      <w:marRight w:val="0"/>
      <w:marTop w:val="0"/>
      <w:marBottom w:val="0"/>
      <w:divBdr>
        <w:top w:val="none" w:sz="0" w:space="0" w:color="auto"/>
        <w:left w:val="none" w:sz="0" w:space="0" w:color="auto"/>
        <w:bottom w:val="none" w:sz="0" w:space="0" w:color="auto"/>
        <w:right w:val="none" w:sz="0" w:space="0" w:color="auto"/>
      </w:divBdr>
    </w:div>
    <w:div w:id="1136145853">
      <w:bodyDiv w:val="1"/>
      <w:marLeft w:val="0"/>
      <w:marRight w:val="0"/>
      <w:marTop w:val="0"/>
      <w:marBottom w:val="0"/>
      <w:divBdr>
        <w:top w:val="none" w:sz="0" w:space="0" w:color="auto"/>
        <w:left w:val="none" w:sz="0" w:space="0" w:color="auto"/>
        <w:bottom w:val="none" w:sz="0" w:space="0" w:color="auto"/>
        <w:right w:val="none" w:sz="0" w:space="0" w:color="auto"/>
      </w:divBdr>
    </w:div>
    <w:div w:id="1136992759">
      <w:bodyDiv w:val="1"/>
      <w:marLeft w:val="0"/>
      <w:marRight w:val="0"/>
      <w:marTop w:val="0"/>
      <w:marBottom w:val="0"/>
      <w:divBdr>
        <w:top w:val="none" w:sz="0" w:space="0" w:color="auto"/>
        <w:left w:val="none" w:sz="0" w:space="0" w:color="auto"/>
        <w:bottom w:val="none" w:sz="0" w:space="0" w:color="auto"/>
        <w:right w:val="none" w:sz="0" w:space="0" w:color="auto"/>
      </w:divBdr>
    </w:div>
    <w:div w:id="1141770832">
      <w:bodyDiv w:val="1"/>
      <w:marLeft w:val="0"/>
      <w:marRight w:val="0"/>
      <w:marTop w:val="0"/>
      <w:marBottom w:val="0"/>
      <w:divBdr>
        <w:top w:val="none" w:sz="0" w:space="0" w:color="auto"/>
        <w:left w:val="none" w:sz="0" w:space="0" w:color="auto"/>
        <w:bottom w:val="none" w:sz="0" w:space="0" w:color="auto"/>
        <w:right w:val="none" w:sz="0" w:space="0" w:color="auto"/>
      </w:divBdr>
    </w:div>
    <w:div w:id="1155419274">
      <w:bodyDiv w:val="1"/>
      <w:marLeft w:val="0"/>
      <w:marRight w:val="0"/>
      <w:marTop w:val="0"/>
      <w:marBottom w:val="0"/>
      <w:divBdr>
        <w:top w:val="none" w:sz="0" w:space="0" w:color="auto"/>
        <w:left w:val="none" w:sz="0" w:space="0" w:color="auto"/>
        <w:bottom w:val="none" w:sz="0" w:space="0" w:color="auto"/>
        <w:right w:val="none" w:sz="0" w:space="0" w:color="auto"/>
      </w:divBdr>
    </w:div>
    <w:div w:id="1189564038">
      <w:bodyDiv w:val="1"/>
      <w:marLeft w:val="0"/>
      <w:marRight w:val="0"/>
      <w:marTop w:val="0"/>
      <w:marBottom w:val="0"/>
      <w:divBdr>
        <w:top w:val="none" w:sz="0" w:space="0" w:color="auto"/>
        <w:left w:val="none" w:sz="0" w:space="0" w:color="auto"/>
        <w:bottom w:val="none" w:sz="0" w:space="0" w:color="auto"/>
        <w:right w:val="none" w:sz="0" w:space="0" w:color="auto"/>
      </w:divBdr>
    </w:div>
    <w:div w:id="1198355744">
      <w:bodyDiv w:val="1"/>
      <w:marLeft w:val="0"/>
      <w:marRight w:val="0"/>
      <w:marTop w:val="0"/>
      <w:marBottom w:val="0"/>
      <w:divBdr>
        <w:top w:val="none" w:sz="0" w:space="0" w:color="auto"/>
        <w:left w:val="none" w:sz="0" w:space="0" w:color="auto"/>
        <w:bottom w:val="none" w:sz="0" w:space="0" w:color="auto"/>
        <w:right w:val="none" w:sz="0" w:space="0" w:color="auto"/>
      </w:divBdr>
    </w:div>
    <w:div w:id="1198540966">
      <w:bodyDiv w:val="1"/>
      <w:marLeft w:val="0"/>
      <w:marRight w:val="0"/>
      <w:marTop w:val="0"/>
      <w:marBottom w:val="0"/>
      <w:divBdr>
        <w:top w:val="none" w:sz="0" w:space="0" w:color="auto"/>
        <w:left w:val="none" w:sz="0" w:space="0" w:color="auto"/>
        <w:bottom w:val="none" w:sz="0" w:space="0" w:color="auto"/>
        <w:right w:val="none" w:sz="0" w:space="0" w:color="auto"/>
      </w:divBdr>
    </w:div>
    <w:div w:id="1204826896">
      <w:bodyDiv w:val="1"/>
      <w:marLeft w:val="0"/>
      <w:marRight w:val="0"/>
      <w:marTop w:val="0"/>
      <w:marBottom w:val="0"/>
      <w:divBdr>
        <w:top w:val="none" w:sz="0" w:space="0" w:color="auto"/>
        <w:left w:val="none" w:sz="0" w:space="0" w:color="auto"/>
        <w:bottom w:val="none" w:sz="0" w:space="0" w:color="auto"/>
        <w:right w:val="none" w:sz="0" w:space="0" w:color="auto"/>
      </w:divBdr>
    </w:div>
    <w:div w:id="1209994606">
      <w:bodyDiv w:val="1"/>
      <w:marLeft w:val="0"/>
      <w:marRight w:val="0"/>
      <w:marTop w:val="0"/>
      <w:marBottom w:val="0"/>
      <w:divBdr>
        <w:top w:val="none" w:sz="0" w:space="0" w:color="auto"/>
        <w:left w:val="none" w:sz="0" w:space="0" w:color="auto"/>
        <w:bottom w:val="none" w:sz="0" w:space="0" w:color="auto"/>
        <w:right w:val="none" w:sz="0" w:space="0" w:color="auto"/>
      </w:divBdr>
    </w:div>
    <w:div w:id="1234584007">
      <w:bodyDiv w:val="1"/>
      <w:marLeft w:val="0"/>
      <w:marRight w:val="0"/>
      <w:marTop w:val="0"/>
      <w:marBottom w:val="0"/>
      <w:divBdr>
        <w:top w:val="none" w:sz="0" w:space="0" w:color="auto"/>
        <w:left w:val="none" w:sz="0" w:space="0" w:color="auto"/>
        <w:bottom w:val="none" w:sz="0" w:space="0" w:color="auto"/>
        <w:right w:val="none" w:sz="0" w:space="0" w:color="auto"/>
      </w:divBdr>
    </w:div>
    <w:div w:id="1243762413">
      <w:bodyDiv w:val="1"/>
      <w:marLeft w:val="0"/>
      <w:marRight w:val="0"/>
      <w:marTop w:val="0"/>
      <w:marBottom w:val="0"/>
      <w:divBdr>
        <w:top w:val="none" w:sz="0" w:space="0" w:color="auto"/>
        <w:left w:val="none" w:sz="0" w:space="0" w:color="auto"/>
        <w:bottom w:val="none" w:sz="0" w:space="0" w:color="auto"/>
        <w:right w:val="none" w:sz="0" w:space="0" w:color="auto"/>
      </w:divBdr>
    </w:div>
    <w:div w:id="1243950005">
      <w:bodyDiv w:val="1"/>
      <w:marLeft w:val="0"/>
      <w:marRight w:val="0"/>
      <w:marTop w:val="0"/>
      <w:marBottom w:val="0"/>
      <w:divBdr>
        <w:top w:val="none" w:sz="0" w:space="0" w:color="auto"/>
        <w:left w:val="none" w:sz="0" w:space="0" w:color="auto"/>
        <w:bottom w:val="none" w:sz="0" w:space="0" w:color="auto"/>
        <w:right w:val="none" w:sz="0" w:space="0" w:color="auto"/>
      </w:divBdr>
    </w:div>
    <w:div w:id="1253516794">
      <w:bodyDiv w:val="1"/>
      <w:marLeft w:val="0"/>
      <w:marRight w:val="0"/>
      <w:marTop w:val="0"/>
      <w:marBottom w:val="0"/>
      <w:divBdr>
        <w:top w:val="none" w:sz="0" w:space="0" w:color="auto"/>
        <w:left w:val="none" w:sz="0" w:space="0" w:color="auto"/>
        <w:bottom w:val="none" w:sz="0" w:space="0" w:color="auto"/>
        <w:right w:val="none" w:sz="0" w:space="0" w:color="auto"/>
      </w:divBdr>
    </w:div>
    <w:div w:id="1265530403">
      <w:bodyDiv w:val="1"/>
      <w:marLeft w:val="0"/>
      <w:marRight w:val="0"/>
      <w:marTop w:val="0"/>
      <w:marBottom w:val="0"/>
      <w:divBdr>
        <w:top w:val="none" w:sz="0" w:space="0" w:color="auto"/>
        <w:left w:val="none" w:sz="0" w:space="0" w:color="auto"/>
        <w:bottom w:val="none" w:sz="0" w:space="0" w:color="auto"/>
        <w:right w:val="none" w:sz="0" w:space="0" w:color="auto"/>
      </w:divBdr>
    </w:div>
    <w:div w:id="1269432590">
      <w:bodyDiv w:val="1"/>
      <w:marLeft w:val="0"/>
      <w:marRight w:val="0"/>
      <w:marTop w:val="0"/>
      <w:marBottom w:val="0"/>
      <w:divBdr>
        <w:top w:val="none" w:sz="0" w:space="0" w:color="auto"/>
        <w:left w:val="none" w:sz="0" w:space="0" w:color="auto"/>
        <w:bottom w:val="none" w:sz="0" w:space="0" w:color="auto"/>
        <w:right w:val="none" w:sz="0" w:space="0" w:color="auto"/>
      </w:divBdr>
    </w:div>
    <w:div w:id="1272740203">
      <w:bodyDiv w:val="1"/>
      <w:marLeft w:val="0"/>
      <w:marRight w:val="0"/>
      <w:marTop w:val="0"/>
      <w:marBottom w:val="0"/>
      <w:divBdr>
        <w:top w:val="none" w:sz="0" w:space="0" w:color="auto"/>
        <w:left w:val="none" w:sz="0" w:space="0" w:color="auto"/>
        <w:bottom w:val="none" w:sz="0" w:space="0" w:color="auto"/>
        <w:right w:val="none" w:sz="0" w:space="0" w:color="auto"/>
      </w:divBdr>
    </w:div>
    <w:div w:id="1281690742">
      <w:bodyDiv w:val="1"/>
      <w:marLeft w:val="0"/>
      <w:marRight w:val="0"/>
      <w:marTop w:val="0"/>
      <w:marBottom w:val="0"/>
      <w:divBdr>
        <w:top w:val="none" w:sz="0" w:space="0" w:color="auto"/>
        <w:left w:val="none" w:sz="0" w:space="0" w:color="auto"/>
        <w:bottom w:val="none" w:sz="0" w:space="0" w:color="auto"/>
        <w:right w:val="none" w:sz="0" w:space="0" w:color="auto"/>
      </w:divBdr>
    </w:div>
    <w:div w:id="1288580420">
      <w:bodyDiv w:val="1"/>
      <w:marLeft w:val="0"/>
      <w:marRight w:val="0"/>
      <w:marTop w:val="0"/>
      <w:marBottom w:val="0"/>
      <w:divBdr>
        <w:top w:val="none" w:sz="0" w:space="0" w:color="auto"/>
        <w:left w:val="none" w:sz="0" w:space="0" w:color="auto"/>
        <w:bottom w:val="none" w:sz="0" w:space="0" w:color="auto"/>
        <w:right w:val="none" w:sz="0" w:space="0" w:color="auto"/>
      </w:divBdr>
    </w:div>
    <w:div w:id="1292248361">
      <w:bodyDiv w:val="1"/>
      <w:marLeft w:val="0"/>
      <w:marRight w:val="0"/>
      <w:marTop w:val="0"/>
      <w:marBottom w:val="0"/>
      <w:divBdr>
        <w:top w:val="none" w:sz="0" w:space="0" w:color="auto"/>
        <w:left w:val="none" w:sz="0" w:space="0" w:color="auto"/>
        <w:bottom w:val="none" w:sz="0" w:space="0" w:color="auto"/>
        <w:right w:val="none" w:sz="0" w:space="0" w:color="auto"/>
      </w:divBdr>
    </w:div>
    <w:div w:id="1330133123">
      <w:bodyDiv w:val="1"/>
      <w:marLeft w:val="0"/>
      <w:marRight w:val="0"/>
      <w:marTop w:val="0"/>
      <w:marBottom w:val="0"/>
      <w:divBdr>
        <w:top w:val="none" w:sz="0" w:space="0" w:color="auto"/>
        <w:left w:val="none" w:sz="0" w:space="0" w:color="auto"/>
        <w:bottom w:val="none" w:sz="0" w:space="0" w:color="auto"/>
        <w:right w:val="none" w:sz="0" w:space="0" w:color="auto"/>
      </w:divBdr>
    </w:div>
    <w:div w:id="1340738871">
      <w:bodyDiv w:val="1"/>
      <w:marLeft w:val="0"/>
      <w:marRight w:val="0"/>
      <w:marTop w:val="0"/>
      <w:marBottom w:val="0"/>
      <w:divBdr>
        <w:top w:val="none" w:sz="0" w:space="0" w:color="auto"/>
        <w:left w:val="none" w:sz="0" w:space="0" w:color="auto"/>
        <w:bottom w:val="none" w:sz="0" w:space="0" w:color="auto"/>
        <w:right w:val="none" w:sz="0" w:space="0" w:color="auto"/>
      </w:divBdr>
    </w:div>
    <w:div w:id="1347632895">
      <w:bodyDiv w:val="1"/>
      <w:marLeft w:val="0"/>
      <w:marRight w:val="0"/>
      <w:marTop w:val="0"/>
      <w:marBottom w:val="0"/>
      <w:divBdr>
        <w:top w:val="none" w:sz="0" w:space="0" w:color="auto"/>
        <w:left w:val="none" w:sz="0" w:space="0" w:color="auto"/>
        <w:bottom w:val="none" w:sz="0" w:space="0" w:color="auto"/>
        <w:right w:val="none" w:sz="0" w:space="0" w:color="auto"/>
      </w:divBdr>
    </w:div>
    <w:div w:id="1394619718">
      <w:bodyDiv w:val="1"/>
      <w:marLeft w:val="0"/>
      <w:marRight w:val="0"/>
      <w:marTop w:val="0"/>
      <w:marBottom w:val="0"/>
      <w:divBdr>
        <w:top w:val="none" w:sz="0" w:space="0" w:color="auto"/>
        <w:left w:val="none" w:sz="0" w:space="0" w:color="auto"/>
        <w:bottom w:val="none" w:sz="0" w:space="0" w:color="auto"/>
        <w:right w:val="none" w:sz="0" w:space="0" w:color="auto"/>
      </w:divBdr>
    </w:div>
    <w:div w:id="1399867539">
      <w:bodyDiv w:val="1"/>
      <w:marLeft w:val="0"/>
      <w:marRight w:val="0"/>
      <w:marTop w:val="0"/>
      <w:marBottom w:val="0"/>
      <w:divBdr>
        <w:top w:val="none" w:sz="0" w:space="0" w:color="auto"/>
        <w:left w:val="none" w:sz="0" w:space="0" w:color="auto"/>
        <w:bottom w:val="none" w:sz="0" w:space="0" w:color="auto"/>
        <w:right w:val="none" w:sz="0" w:space="0" w:color="auto"/>
      </w:divBdr>
    </w:div>
    <w:div w:id="1427535710">
      <w:bodyDiv w:val="1"/>
      <w:marLeft w:val="0"/>
      <w:marRight w:val="0"/>
      <w:marTop w:val="0"/>
      <w:marBottom w:val="0"/>
      <w:divBdr>
        <w:top w:val="none" w:sz="0" w:space="0" w:color="auto"/>
        <w:left w:val="none" w:sz="0" w:space="0" w:color="auto"/>
        <w:bottom w:val="none" w:sz="0" w:space="0" w:color="auto"/>
        <w:right w:val="none" w:sz="0" w:space="0" w:color="auto"/>
      </w:divBdr>
    </w:div>
    <w:div w:id="1445148490">
      <w:bodyDiv w:val="1"/>
      <w:marLeft w:val="0"/>
      <w:marRight w:val="0"/>
      <w:marTop w:val="0"/>
      <w:marBottom w:val="0"/>
      <w:divBdr>
        <w:top w:val="none" w:sz="0" w:space="0" w:color="auto"/>
        <w:left w:val="none" w:sz="0" w:space="0" w:color="auto"/>
        <w:bottom w:val="none" w:sz="0" w:space="0" w:color="auto"/>
        <w:right w:val="none" w:sz="0" w:space="0" w:color="auto"/>
      </w:divBdr>
    </w:div>
    <w:div w:id="1445226692">
      <w:bodyDiv w:val="1"/>
      <w:marLeft w:val="0"/>
      <w:marRight w:val="0"/>
      <w:marTop w:val="0"/>
      <w:marBottom w:val="0"/>
      <w:divBdr>
        <w:top w:val="none" w:sz="0" w:space="0" w:color="auto"/>
        <w:left w:val="none" w:sz="0" w:space="0" w:color="auto"/>
        <w:bottom w:val="none" w:sz="0" w:space="0" w:color="auto"/>
        <w:right w:val="none" w:sz="0" w:space="0" w:color="auto"/>
      </w:divBdr>
    </w:div>
    <w:div w:id="1448814368">
      <w:bodyDiv w:val="1"/>
      <w:marLeft w:val="0"/>
      <w:marRight w:val="0"/>
      <w:marTop w:val="0"/>
      <w:marBottom w:val="0"/>
      <w:divBdr>
        <w:top w:val="none" w:sz="0" w:space="0" w:color="auto"/>
        <w:left w:val="none" w:sz="0" w:space="0" w:color="auto"/>
        <w:bottom w:val="none" w:sz="0" w:space="0" w:color="auto"/>
        <w:right w:val="none" w:sz="0" w:space="0" w:color="auto"/>
      </w:divBdr>
    </w:div>
    <w:div w:id="1461803567">
      <w:bodyDiv w:val="1"/>
      <w:marLeft w:val="0"/>
      <w:marRight w:val="0"/>
      <w:marTop w:val="0"/>
      <w:marBottom w:val="0"/>
      <w:divBdr>
        <w:top w:val="none" w:sz="0" w:space="0" w:color="auto"/>
        <w:left w:val="none" w:sz="0" w:space="0" w:color="auto"/>
        <w:bottom w:val="none" w:sz="0" w:space="0" w:color="auto"/>
        <w:right w:val="none" w:sz="0" w:space="0" w:color="auto"/>
      </w:divBdr>
    </w:div>
    <w:div w:id="1469012735">
      <w:bodyDiv w:val="1"/>
      <w:marLeft w:val="0"/>
      <w:marRight w:val="0"/>
      <w:marTop w:val="0"/>
      <w:marBottom w:val="0"/>
      <w:divBdr>
        <w:top w:val="none" w:sz="0" w:space="0" w:color="auto"/>
        <w:left w:val="none" w:sz="0" w:space="0" w:color="auto"/>
        <w:bottom w:val="none" w:sz="0" w:space="0" w:color="auto"/>
        <w:right w:val="none" w:sz="0" w:space="0" w:color="auto"/>
      </w:divBdr>
    </w:div>
    <w:div w:id="1487622652">
      <w:bodyDiv w:val="1"/>
      <w:marLeft w:val="0"/>
      <w:marRight w:val="0"/>
      <w:marTop w:val="0"/>
      <w:marBottom w:val="0"/>
      <w:divBdr>
        <w:top w:val="none" w:sz="0" w:space="0" w:color="auto"/>
        <w:left w:val="none" w:sz="0" w:space="0" w:color="auto"/>
        <w:bottom w:val="none" w:sz="0" w:space="0" w:color="auto"/>
        <w:right w:val="none" w:sz="0" w:space="0" w:color="auto"/>
      </w:divBdr>
    </w:div>
    <w:div w:id="1500926369">
      <w:bodyDiv w:val="1"/>
      <w:marLeft w:val="0"/>
      <w:marRight w:val="0"/>
      <w:marTop w:val="0"/>
      <w:marBottom w:val="0"/>
      <w:divBdr>
        <w:top w:val="none" w:sz="0" w:space="0" w:color="auto"/>
        <w:left w:val="none" w:sz="0" w:space="0" w:color="auto"/>
        <w:bottom w:val="none" w:sz="0" w:space="0" w:color="auto"/>
        <w:right w:val="none" w:sz="0" w:space="0" w:color="auto"/>
      </w:divBdr>
    </w:div>
    <w:div w:id="1504779592">
      <w:bodyDiv w:val="1"/>
      <w:marLeft w:val="0"/>
      <w:marRight w:val="0"/>
      <w:marTop w:val="0"/>
      <w:marBottom w:val="0"/>
      <w:divBdr>
        <w:top w:val="none" w:sz="0" w:space="0" w:color="auto"/>
        <w:left w:val="none" w:sz="0" w:space="0" w:color="auto"/>
        <w:bottom w:val="none" w:sz="0" w:space="0" w:color="auto"/>
        <w:right w:val="none" w:sz="0" w:space="0" w:color="auto"/>
      </w:divBdr>
    </w:div>
    <w:div w:id="1514418309">
      <w:bodyDiv w:val="1"/>
      <w:marLeft w:val="0"/>
      <w:marRight w:val="0"/>
      <w:marTop w:val="0"/>
      <w:marBottom w:val="0"/>
      <w:divBdr>
        <w:top w:val="none" w:sz="0" w:space="0" w:color="auto"/>
        <w:left w:val="none" w:sz="0" w:space="0" w:color="auto"/>
        <w:bottom w:val="none" w:sz="0" w:space="0" w:color="auto"/>
        <w:right w:val="none" w:sz="0" w:space="0" w:color="auto"/>
      </w:divBdr>
    </w:div>
    <w:div w:id="1530147950">
      <w:bodyDiv w:val="1"/>
      <w:marLeft w:val="0"/>
      <w:marRight w:val="0"/>
      <w:marTop w:val="0"/>
      <w:marBottom w:val="0"/>
      <w:divBdr>
        <w:top w:val="none" w:sz="0" w:space="0" w:color="auto"/>
        <w:left w:val="none" w:sz="0" w:space="0" w:color="auto"/>
        <w:bottom w:val="none" w:sz="0" w:space="0" w:color="auto"/>
        <w:right w:val="none" w:sz="0" w:space="0" w:color="auto"/>
      </w:divBdr>
    </w:div>
    <w:div w:id="1531261630">
      <w:bodyDiv w:val="1"/>
      <w:marLeft w:val="0"/>
      <w:marRight w:val="0"/>
      <w:marTop w:val="0"/>
      <w:marBottom w:val="0"/>
      <w:divBdr>
        <w:top w:val="none" w:sz="0" w:space="0" w:color="auto"/>
        <w:left w:val="none" w:sz="0" w:space="0" w:color="auto"/>
        <w:bottom w:val="none" w:sz="0" w:space="0" w:color="auto"/>
        <w:right w:val="none" w:sz="0" w:space="0" w:color="auto"/>
      </w:divBdr>
    </w:div>
    <w:div w:id="1535389437">
      <w:bodyDiv w:val="1"/>
      <w:marLeft w:val="0"/>
      <w:marRight w:val="0"/>
      <w:marTop w:val="0"/>
      <w:marBottom w:val="0"/>
      <w:divBdr>
        <w:top w:val="none" w:sz="0" w:space="0" w:color="auto"/>
        <w:left w:val="none" w:sz="0" w:space="0" w:color="auto"/>
        <w:bottom w:val="none" w:sz="0" w:space="0" w:color="auto"/>
        <w:right w:val="none" w:sz="0" w:space="0" w:color="auto"/>
      </w:divBdr>
    </w:div>
    <w:div w:id="1578638245">
      <w:bodyDiv w:val="1"/>
      <w:marLeft w:val="0"/>
      <w:marRight w:val="0"/>
      <w:marTop w:val="0"/>
      <w:marBottom w:val="0"/>
      <w:divBdr>
        <w:top w:val="none" w:sz="0" w:space="0" w:color="auto"/>
        <w:left w:val="none" w:sz="0" w:space="0" w:color="auto"/>
        <w:bottom w:val="none" w:sz="0" w:space="0" w:color="auto"/>
        <w:right w:val="none" w:sz="0" w:space="0" w:color="auto"/>
      </w:divBdr>
    </w:div>
    <w:div w:id="1586065425">
      <w:bodyDiv w:val="1"/>
      <w:marLeft w:val="0"/>
      <w:marRight w:val="0"/>
      <w:marTop w:val="0"/>
      <w:marBottom w:val="0"/>
      <w:divBdr>
        <w:top w:val="none" w:sz="0" w:space="0" w:color="auto"/>
        <w:left w:val="none" w:sz="0" w:space="0" w:color="auto"/>
        <w:bottom w:val="none" w:sz="0" w:space="0" w:color="auto"/>
        <w:right w:val="none" w:sz="0" w:space="0" w:color="auto"/>
      </w:divBdr>
    </w:div>
    <w:div w:id="1594557863">
      <w:bodyDiv w:val="1"/>
      <w:marLeft w:val="0"/>
      <w:marRight w:val="0"/>
      <w:marTop w:val="0"/>
      <w:marBottom w:val="0"/>
      <w:divBdr>
        <w:top w:val="none" w:sz="0" w:space="0" w:color="auto"/>
        <w:left w:val="none" w:sz="0" w:space="0" w:color="auto"/>
        <w:bottom w:val="none" w:sz="0" w:space="0" w:color="auto"/>
        <w:right w:val="none" w:sz="0" w:space="0" w:color="auto"/>
      </w:divBdr>
    </w:div>
    <w:div w:id="1617910637">
      <w:bodyDiv w:val="1"/>
      <w:marLeft w:val="0"/>
      <w:marRight w:val="0"/>
      <w:marTop w:val="0"/>
      <w:marBottom w:val="0"/>
      <w:divBdr>
        <w:top w:val="none" w:sz="0" w:space="0" w:color="auto"/>
        <w:left w:val="none" w:sz="0" w:space="0" w:color="auto"/>
        <w:bottom w:val="none" w:sz="0" w:space="0" w:color="auto"/>
        <w:right w:val="none" w:sz="0" w:space="0" w:color="auto"/>
      </w:divBdr>
    </w:div>
    <w:div w:id="1663926239">
      <w:bodyDiv w:val="1"/>
      <w:marLeft w:val="0"/>
      <w:marRight w:val="0"/>
      <w:marTop w:val="0"/>
      <w:marBottom w:val="0"/>
      <w:divBdr>
        <w:top w:val="none" w:sz="0" w:space="0" w:color="auto"/>
        <w:left w:val="none" w:sz="0" w:space="0" w:color="auto"/>
        <w:bottom w:val="none" w:sz="0" w:space="0" w:color="auto"/>
        <w:right w:val="none" w:sz="0" w:space="0" w:color="auto"/>
      </w:divBdr>
    </w:div>
    <w:div w:id="1682852684">
      <w:bodyDiv w:val="1"/>
      <w:marLeft w:val="0"/>
      <w:marRight w:val="0"/>
      <w:marTop w:val="0"/>
      <w:marBottom w:val="0"/>
      <w:divBdr>
        <w:top w:val="none" w:sz="0" w:space="0" w:color="auto"/>
        <w:left w:val="none" w:sz="0" w:space="0" w:color="auto"/>
        <w:bottom w:val="none" w:sz="0" w:space="0" w:color="auto"/>
        <w:right w:val="none" w:sz="0" w:space="0" w:color="auto"/>
      </w:divBdr>
    </w:div>
    <w:div w:id="1690837560">
      <w:bodyDiv w:val="1"/>
      <w:marLeft w:val="0"/>
      <w:marRight w:val="0"/>
      <w:marTop w:val="0"/>
      <w:marBottom w:val="0"/>
      <w:divBdr>
        <w:top w:val="none" w:sz="0" w:space="0" w:color="auto"/>
        <w:left w:val="none" w:sz="0" w:space="0" w:color="auto"/>
        <w:bottom w:val="none" w:sz="0" w:space="0" w:color="auto"/>
        <w:right w:val="none" w:sz="0" w:space="0" w:color="auto"/>
      </w:divBdr>
    </w:div>
    <w:div w:id="1695426849">
      <w:bodyDiv w:val="1"/>
      <w:marLeft w:val="0"/>
      <w:marRight w:val="0"/>
      <w:marTop w:val="0"/>
      <w:marBottom w:val="0"/>
      <w:divBdr>
        <w:top w:val="none" w:sz="0" w:space="0" w:color="auto"/>
        <w:left w:val="none" w:sz="0" w:space="0" w:color="auto"/>
        <w:bottom w:val="none" w:sz="0" w:space="0" w:color="auto"/>
        <w:right w:val="none" w:sz="0" w:space="0" w:color="auto"/>
      </w:divBdr>
    </w:div>
    <w:div w:id="1705445559">
      <w:bodyDiv w:val="1"/>
      <w:marLeft w:val="0"/>
      <w:marRight w:val="0"/>
      <w:marTop w:val="0"/>
      <w:marBottom w:val="0"/>
      <w:divBdr>
        <w:top w:val="none" w:sz="0" w:space="0" w:color="auto"/>
        <w:left w:val="none" w:sz="0" w:space="0" w:color="auto"/>
        <w:bottom w:val="none" w:sz="0" w:space="0" w:color="auto"/>
        <w:right w:val="none" w:sz="0" w:space="0" w:color="auto"/>
      </w:divBdr>
    </w:div>
    <w:div w:id="1714504268">
      <w:bodyDiv w:val="1"/>
      <w:marLeft w:val="0"/>
      <w:marRight w:val="0"/>
      <w:marTop w:val="0"/>
      <w:marBottom w:val="0"/>
      <w:divBdr>
        <w:top w:val="none" w:sz="0" w:space="0" w:color="auto"/>
        <w:left w:val="none" w:sz="0" w:space="0" w:color="auto"/>
        <w:bottom w:val="none" w:sz="0" w:space="0" w:color="auto"/>
        <w:right w:val="none" w:sz="0" w:space="0" w:color="auto"/>
      </w:divBdr>
    </w:div>
    <w:div w:id="1716463844">
      <w:bodyDiv w:val="1"/>
      <w:marLeft w:val="0"/>
      <w:marRight w:val="0"/>
      <w:marTop w:val="0"/>
      <w:marBottom w:val="0"/>
      <w:divBdr>
        <w:top w:val="none" w:sz="0" w:space="0" w:color="auto"/>
        <w:left w:val="none" w:sz="0" w:space="0" w:color="auto"/>
        <w:bottom w:val="none" w:sz="0" w:space="0" w:color="auto"/>
        <w:right w:val="none" w:sz="0" w:space="0" w:color="auto"/>
      </w:divBdr>
    </w:div>
    <w:div w:id="1722945808">
      <w:bodyDiv w:val="1"/>
      <w:marLeft w:val="0"/>
      <w:marRight w:val="0"/>
      <w:marTop w:val="0"/>
      <w:marBottom w:val="0"/>
      <w:divBdr>
        <w:top w:val="none" w:sz="0" w:space="0" w:color="auto"/>
        <w:left w:val="none" w:sz="0" w:space="0" w:color="auto"/>
        <w:bottom w:val="none" w:sz="0" w:space="0" w:color="auto"/>
        <w:right w:val="none" w:sz="0" w:space="0" w:color="auto"/>
      </w:divBdr>
    </w:div>
    <w:div w:id="1727803614">
      <w:bodyDiv w:val="1"/>
      <w:marLeft w:val="0"/>
      <w:marRight w:val="0"/>
      <w:marTop w:val="0"/>
      <w:marBottom w:val="0"/>
      <w:divBdr>
        <w:top w:val="none" w:sz="0" w:space="0" w:color="auto"/>
        <w:left w:val="none" w:sz="0" w:space="0" w:color="auto"/>
        <w:bottom w:val="none" w:sz="0" w:space="0" w:color="auto"/>
        <w:right w:val="none" w:sz="0" w:space="0" w:color="auto"/>
      </w:divBdr>
    </w:div>
    <w:div w:id="1736660172">
      <w:bodyDiv w:val="1"/>
      <w:marLeft w:val="0"/>
      <w:marRight w:val="0"/>
      <w:marTop w:val="0"/>
      <w:marBottom w:val="0"/>
      <w:divBdr>
        <w:top w:val="none" w:sz="0" w:space="0" w:color="auto"/>
        <w:left w:val="none" w:sz="0" w:space="0" w:color="auto"/>
        <w:bottom w:val="none" w:sz="0" w:space="0" w:color="auto"/>
        <w:right w:val="none" w:sz="0" w:space="0" w:color="auto"/>
      </w:divBdr>
    </w:div>
    <w:div w:id="1760826583">
      <w:bodyDiv w:val="1"/>
      <w:marLeft w:val="0"/>
      <w:marRight w:val="0"/>
      <w:marTop w:val="0"/>
      <w:marBottom w:val="0"/>
      <w:divBdr>
        <w:top w:val="none" w:sz="0" w:space="0" w:color="auto"/>
        <w:left w:val="none" w:sz="0" w:space="0" w:color="auto"/>
        <w:bottom w:val="none" w:sz="0" w:space="0" w:color="auto"/>
        <w:right w:val="none" w:sz="0" w:space="0" w:color="auto"/>
      </w:divBdr>
    </w:div>
    <w:div w:id="1802192673">
      <w:bodyDiv w:val="1"/>
      <w:marLeft w:val="0"/>
      <w:marRight w:val="0"/>
      <w:marTop w:val="0"/>
      <w:marBottom w:val="0"/>
      <w:divBdr>
        <w:top w:val="none" w:sz="0" w:space="0" w:color="auto"/>
        <w:left w:val="none" w:sz="0" w:space="0" w:color="auto"/>
        <w:bottom w:val="none" w:sz="0" w:space="0" w:color="auto"/>
        <w:right w:val="none" w:sz="0" w:space="0" w:color="auto"/>
      </w:divBdr>
    </w:div>
    <w:div w:id="1805152526">
      <w:bodyDiv w:val="1"/>
      <w:marLeft w:val="0"/>
      <w:marRight w:val="0"/>
      <w:marTop w:val="0"/>
      <w:marBottom w:val="0"/>
      <w:divBdr>
        <w:top w:val="none" w:sz="0" w:space="0" w:color="auto"/>
        <w:left w:val="none" w:sz="0" w:space="0" w:color="auto"/>
        <w:bottom w:val="none" w:sz="0" w:space="0" w:color="auto"/>
        <w:right w:val="none" w:sz="0" w:space="0" w:color="auto"/>
      </w:divBdr>
    </w:div>
    <w:div w:id="1808426248">
      <w:bodyDiv w:val="1"/>
      <w:marLeft w:val="0"/>
      <w:marRight w:val="0"/>
      <w:marTop w:val="0"/>
      <w:marBottom w:val="0"/>
      <w:divBdr>
        <w:top w:val="none" w:sz="0" w:space="0" w:color="auto"/>
        <w:left w:val="none" w:sz="0" w:space="0" w:color="auto"/>
        <w:bottom w:val="none" w:sz="0" w:space="0" w:color="auto"/>
        <w:right w:val="none" w:sz="0" w:space="0" w:color="auto"/>
      </w:divBdr>
    </w:div>
    <w:div w:id="1819030461">
      <w:bodyDiv w:val="1"/>
      <w:marLeft w:val="0"/>
      <w:marRight w:val="0"/>
      <w:marTop w:val="0"/>
      <w:marBottom w:val="0"/>
      <w:divBdr>
        <w:top w:val="none" w:sz="0" w:space="0" w:color="auto"/>
        <w:left w:val="none" w:sz="0" w:space="0" w:color="auto"/>
        <w:bottom w:val="none" w:sz="0" w:space="0" w:color="auto"/>
        <w:right w:val="none" w:sz="0" w:space="0" w:color="auto"/>
      </w:divBdr>
    </w:div>
    <w:div w:id="1826782032">
      <w:bodyDiv w:val="1"/>
      <w:marLeft w:val="0"/>
      <w:marRight w:val="0"/>
      <w:marTop w:val="0"/>
      <w:marBottom w:val="0"/>
      <w:divBdr>
        <w:top w:val="none" w:sz="0" w:space="0" w:color="auto"/>
        <w:left w:val="none" w:sz="0" w:space="0" w:color="auto"/>
        <w:bottom w:val="none" w:sz="0" w:space="0" w:color="auto"/>
        <w:right w:val="none" w:sz="0" w:space="0" w:color="auto"/>
      </w:divBdr>
    </w:div>
    <w:div w:id="1848981859">
      <w:bodyDiv w:val="1"/>
      <w:marLeft w:val="0"/>
      <w:marRight w:val="0"/>
      <w:marTop w:val="0"/>
      <w:marBottom w:val="0"/>
      <w:divBdr>
        <w:top w:val="none" w:sz="0" w:space="0" w:color="auto"/>
        <w:left w:val="none" w:sz="0" w:space="0" w:color="auto"/>
        <w:bottom w:val="none" w:sz="0" w:space="0" w:color="auto"/>
        <w:right w:val="none" w:sz="0" w:space="0" w:color="auto"/>
      </w:divBdr>
    </w:div>
    <w:div w:id="1862892056">
      <w:bodyDiv w:val="1"/>
      <w:marLeft w:val="0"/>
      <w:marRight w:val="0"/>
      <w:marTop w:val="0"/>
      <w:marBottom w:val="0"/>
      <w:divBdr>
        <w:top w:val="none" w:sz="0" w:space="0" w:color="auto"/>
        <w:left w:val="none" w:sz="0" w:space="0" w:color="auto"/>
        <w:bottom w:val="none" w:sz="0" w:space="0" w:color="auto"/>
        <w:right w:val="none" w:sz="0" w:space="0" w:color="auto"/>
      </w:divBdr>
    </w:div>
    <w:div w:id="1895193852">
      <w:bodyDiv w:val="1"/>
      <w:marLeft w:val="0"/>
      <w:marRight w:val="0"/>
      <w:marTop w:val="0"/>
      <w:marBottom w:val="0"/>
      <w:divBdr>
        <w:top w:val="none" w:sz="0" w:space="0" w:color="auto"/>
        <w:left w:val="none" w:sz="0" w:space="0" w:color="auto"/>
        <w:bottom w:val="none" w:sz="0" w:space="0" w:color="auto"/>
        <w:right w:val="none" w:sz="0" w:space="0" w:color="auto"/>
      </w:divBdr>
    </w:div>
    <w:div w:id="1903517928">
      <w:bodyDiv w:val="1"/>
      <w:marLeft w:val="0"/>
      <w:marRight w:val="0"/>
      <w:marTop w:val="0"/>
      <w:marBottom w:val="0"/>
      <w:divBdr>
        <w:top w:val="none" w:sz="0" w:space="0" w:color="auto"/>
        <w:left w:val="none" w:sz="0" w:space="0" w:color="auto"/>
        <w:bottom w:val="none" w:sz="0" w:space="0" w:color="auto"/>
        <w:right w:val="none" w:sz="0" w:space="0" w:color="auto"/>
      </w:divBdr>
    </w:div>
    <w:div w:id="1914117642">
      <w:bodyDiv w:val="1"/>
      <w:marLeft w:val="0"/>
      <w:marRight w:val="0"/>
      <w:marTop w:val="0"/>
      <w:marBottom w:val="0"/>
      <w:divBdr>
        <w:top w:val="none" w:sz="0" w:space="0" w:color="auto"/>
        <w:left w:val="none" w:sz="0" w:space="0" w:color="auto"/>
        <w:bottom w:val="none" w:sz="0" w:space="0" w:color="auto"/>
        <w:right w:val="none" w:sz="0" w:space="0" w:color="auto"/>
      </w:divBdr>
    </w:div>
    <w:div w:id="1933972979">
      <w:bodyDiv w:val="1"/>
      <w:marLeft w:val="0"/>
      <w:marRight w:val="0"/>
      <w:marTop w:val="0"/>
      <w:marBottom w:val="0"/>
      <w:divBdr>
        <w:top w:val="none" w:sz="0" w:space="0" w:color="auto"/>
        <w:left w:val="none" w:sz="0" w:space="0" w:color="auto"/>
        <w:bottom w:val="none" w:sz="0" w:space="0" w:color="auto"/>
        <w:right w:val="none" w:sz="0" w:space="0" w:color="auto"/>
      </w:divBdr>
    </w:div>
    <w:div w:id="1939288769">
      <w:bodyDiv w:val="1"/>
      <w:marLeft w:val="0"/>
      <w:marRight w:val="0"/>
      <w:marTop w:val="0"/>
      <w:marBottom w:val="0"/>
      <w:divBdr>
        <w:top w:val="none" w:sz="0" w:space="0" w:color="auto"/>
        <w:left w:val="none" w:sz="0" w:space="0" w:color="auto"/>
        <w:bottom w:val="none" w:sz="0" w:space="0" w:color="auto"/>
        <w:right w:val="none" w:sz="0" w:space="0" w:color="auto"/>
      </w:divBdr>
    </w:div>
    <w:div w:id="1961036691">
      <w:bodyDiv w:val="1"/>
      <w:marLeft w:val="0"/>
      <w:marRight w:val="0"/>
      <w:marTop w:val="0"/>
      <w:marBottom w:val="0"/>
      <w:divBdr>
        <w:top w:val="none" w:sz="0" w:space="0" w:color="auto"/>
        <w:left w:val="none" w:sz="0" w:space="0" w:color="auto"/>
        <w:bottom w:val="none" w:sz="0" w:space="0" w:color="auto"/>
        <w:right w:val="none" w:sz="0" w:space="0" w:color="auto"/>
      </w:divBdr>
    </w:div>
    <w:div w:id="1986549108">
      <w:bodyDiv w:val="1"/>
      <w:marLeft w:val="0"/>
      <w:marRight w:val="0"/>
      <w:marTop w:val="0"/>
      <w:marBottom w:val="0"/>
      <w:divBdr>
        <w:top w:val="none" w:sz="0" w:space="0" w:color="auto"/>
        <w:left w:val="none" w:sz="0" w:space="0" w:color="auto"/>
        <w:bottom w:val="none" w:sz="0" w:space="0" w:color="auto"/>
        <w:right w:val="none" w:sz="0" w:space="0" w:color="auto"/>
      </w:divBdr>
    </w:div>
    <w:div w:id="2004241444">
      <w:bodyDiv w:val="1"/>
      <w:marLeft w:val="0"/>
      <w:marRight w:val="0"/>
      <w:marTop w:val="0"/>
      <w:marBottom w:val="0"/>
      <w:divBdr>
        <w:top w:val="none" w:sz="0" w:space="0" w:color="auto"/>
        <w:left w:val="none" w:sz="0" w:space="0" w:color="auto"/>
        <w:bottom w:val="none" w:sz="0" w:space="0" w:color="auto"/>
        <w:right w:val="none" w:sz="0" w:space="0" w:color="auto"/>
      </w:divBdr>
    </w:div>
    <w:div w:id="2013406439">
      <w:bodyDiv w:val="1"/>
      <w:marLeft w:val="0"/>
      <w:marRight w:val="0"/>
      <w:marTop w:val="0"/>
      <w:marBottom w:val="0"/>
      <w:divBdr>
        <w:top w:val="none" w:sz="0" w:space="0" w:color="auto"/>
        <w:left w:val="none" w:sz="0" w:space="0" w:color="auto"/>
        <w:bottom w:val="none" w:sz="0" w:space="0" w:color="auto"/>
        <w:right w:val="none" w:sz="0" w:space="0" w:color="auto"/>
      </w:divBdr>
    </w:div>
    <w:div w:id="2031301467">
      <w:bodyDiv w:val="1"/>
      <w:marLeft w:val="0"/>
      <w:marRight w:val="0"/>
      <w:marTop w:val="0"/>
      <w:marBottom w:val="0"/>
      <w:divBdr>
        <w:top w:val="none" w:sz="0" w:space="0" w:color="auto"/>
        <w:left w:val="none" w:sz="0" w:space="0" w:color="auto"/>
        <w:bottom w:val="none" w:sz="0" w:space="0" w:color="auto"/>
        <w:right w:val="none" w:sz="0" w:space="0" w:color="auto"/>
      </w:divBdr>
    </w:div>
    <w:div w:id="2033847057">
      <w:bodyDiv w:val="1"/>
      <w:marLeft w:val="0"/>
      <w:marRight w:val="0"/>
      <w:marTop w:val="0"/>
      <w:marBottom w:val="0"/>
      <w:divBdr>
        <w:top w:val="none" w:sz="0" w:space="0" w:color="auto"/>
        <w:left w:val="none" w:sz="0" w:space="0" w:color="auto"/>
        <w:bottom w:val="none" w:sz="0" w:space="0" w:color="auto"/>
        <w:right w:val="none" w:sz="0" w:space="0" w:color="auto"/>
      </w:divBdr>
    </w:div>
    <w:div w:id="2049795609">
      <w:bodyDiv w:val="1"/>
      <w:marLeft w:val="0"/>
      <w:marRight w:val="0"/>
      <w:marTop w:val="0"/>
      <w:marBottom w:val="0"/>
      <w:divBdr>
        <w:top w:val="none" w:sz="0" w:space="0" w:color="auto"/>
        <w:left w:val="none" w:sz="0" w:space="0" w:color="auto"/>
        <w:bottom w:val="none" w:sz="0" w:space="0" w:color="auto"/>
        <w:right w:val="none" w:sz="0" w:space="0" w:color="auto"/>
      </w:divBdr>
    </w:div>
    <w:div w:id="2062167431">
      <w:bodyDiv w:val="1"/>
      <w:marLeft w:val="0"/>
      <w:marRight w:val="0"/>
      <w:marTop w:val="0"/>
      <w:marBottom w:val="0"/>
      <w:divBdr>
        <w:top w:val="none" w:sz="0" w:space="0" w:color="auto"/>
        <w:left w:val="none" w:sz="0" w:space="0" w:color="auto"/>
        <w:bottom w:val="none" w:sz="0" w:space="0" w:color="auto"/>
        <w:right w:val="none" w:sz="0" w:space="0" w:color="auto"/>
      </w:divBdr>
    </w:div>
    <w:div w:id="2069569519">
      <w:bodyDiv w:val="1"/>
      <w:marLeft w:val="0"/>
      <w:marRight w:val="0"/>
      <w:marTop w:val="0"/>
      <w:marBottom w:val="0"/>
      <w:divBdr>
        <w:top w:val="none" w:sz="0" w:space="0" w:color="auto"/>
        <w:left w:val="none" w:sz="0" w:space="0" w:color="auto"/>
        <w:bottom w:val="none" w:sz="0" w:space="0" w:color="auto"/>
        <w:right w:val="none" w:sz="0" w:space="0" w:color="auto"/>
      </w:divBdr>
    </w:div>
    <w:div w:id="2079011688">
      <w:bodyDiv w:val="1"/>
      <w:marLeft w:val="0"/>
      <w:marRight w:val="0"/>
      <w:marTop w:val="0"/>
      <w:marBottom w:val="0"/>
      <w:divBdr>
        <w:top w:val="none" w:sz="0" w:space="0" w:color="auto"/>
        <w:left w:val="none" w:sz="0" w:space="0" w:color="auto"/>
        <w:bottom w:val="none" w:sz="0" w:space="0" w:color="auto"/>
        <w:right w:val="none" w:sz="0" w:space="0" w:color="auto"/>
      </w:divBdr>
    </w:div>
    <w:div w:id="2098944754">
      <w:bodyDiv w:val="1"/>
      <w:marLeft w:val="0"/>
      <w:marRight w:val="0"/>
      <w:marTop w:val="0"/>
      <w:marBottom w:val="0"/>
      <w:divBdr>
        <w:top w:val="none" w:sz="0" w:space="0" w:color="auto"/>
        <w:left w:val="none" w:sz="0" w:space="0" w:color="auto"/>
        <w:bottom w:val="none" w:sz="0" w:space="0" w:color="auto"/>
        <w:right w:val="none" w:sz="0" w:space="0" w:color="auto"/>
      </w:divBdr>
    </w:div>
    <w:div w:id="213216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5.xml"/><Relationship Id="rId21" Type="http://schemas.openxmlformats.org/officeDocument/2006/relationships/chart" Target="charts/chart10.xml"/><Relationship Id="rId34" Type="http://schemas.openxmlformats.org/officeDocument/2006/relationships/chart" Target="charts/chart23.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chart" Target="charts/chart22.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chart" Target="charts/chart1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hart" Target="charts/chart13.xml"/><Relationship Id="rId32" Type="http://schemas.openxmlformats.org/officeDocument/2006/relationships/chart" Target="charts/chart2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chart" Target="charts/chart8.xml"/><Relationship Id="rId31" Type="http://schemas.openxmlformats.org/officeDocument/2006/relationships/chart" Target="charts/chart20.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joanna.gaweda\Downloads\przecietne_dalsze_trwanie_zycia_w_latach_1950-2021%20(4).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pirint-my.sharepoint.com/personal/anna_maciocha_pfrportal_pl/Documents/Pulpit/przegl&#261;d/wykresy%20BM/Zeszyt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pirint.sharepoint.com/sites/vdr-portal/Dokumenty/Biuro%20Redakcji/NOWELIZACJA%20DU&#379;Y%20PRZEGL&#260;D%20USTAWY%202022/AM_partycypacja_27092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pirint-my.sharepoint.com/personal/anna_maciocha_pfrportal_pl/Documents/Pulpit/przegl&#261;d/wykresy%20BM/Zeszyt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pirint.sharepoint.com/sites/vdr-portal/Dokumenty/Biuro%20Redakcji/NOWELIZACJA%20DU&#379;Y%20PRZEGL&#260;D%20USTAWY%202022/AM_partycypacja_27092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pirint.sharepoint.com/sites/vdr-portal/Dokumenty/Biuro%20Redakcji/NOWELIZACJA%20DU&#379;Y%20PRZEGL&#260;D%20USTAWY%202022/AM_partycypacja_270922.xlsx" TargetMode="External"/></Relationships>
</file>

<file path=word/charts/_rels/chart15.xml.rels><?xml version="1.0" encoding="UTF-8" standalone="yes"?>
<Relationships xmlns="http://schemas.openxmlformats.org/package/2006/relationships"><Relationship Id="rId1" Type="http://schemas.openxmlformats.org/officeDocument/2006/relationships/package" Target="../embeddings/Arkusz_programu_Microsoft_Excel1.xlsx"/></Relationships>
</file>

<file path=word/charts/_rels/chart16.xml.rels><?xml version="1.0" encoding="UTF-8" standalone="yes"?>
<Relationships xmlns="http://schemas.openxmlformats.org/package/2006/relationships"><Relationship Id="rId1" Type="http://schemas.openxmlformats.org/officeDocument/2006/relationships/oleObject" Target="https://pirint-my.sharepoint.com/personal/lukasz_skoczen_pfrportal_pl/Documents/Pulpit/dane%20do%20biuletynu%20PPK%20-%2031082022%20v2.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pirint-my.sharepoint.com/personal/lukasz_skoczen_pfrportal_pl/Documents/Pulpit/dane%20do%20biuletynu%20PPK%20-%2031082022%20v2.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pirint-my.sharepoint.com/personal/lukasz_skoczen_pfrportal_pl/Documents/Pulpit/dane%20do%20biuletynu%20PPK%20-%2031082022%20v2.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pirint-my.sharepoint.com/personal/lukasz_skoczen_pfrportal_pl/Documents/Pulpit/dane%20do%20biuletynu%20PPK%20-%2031082022%20v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pirint.sharepoint.com/sites/vdr-portal/Dokumenty/Biuro%20Redakcji/NOWELIZACJA%20DU&#379;Y%20PRZEGL&#260;D%20USTAWY%202022/Kopia%20pliku%20Stopa%20zastapienia.xlsx" TargetMode="External"/></Relationships>
</file>

<file path=word/charts/_rels/chart20.xml.rels><?xml version="1.0" encoding="UTF-8" standalone="yes"?>
<Relationships xmlns="http://schemas.openxmlformats.org/package/2006/relationships"><Relationship Id="rId3" Type="http://schemas.openxmlformats.org/officeDocument/2006/relationships/oleObject" Target="https://pirint.sharepoint.com/sites/vdr-portal/Dokumenty/Biuro%20Redakcji/NOWELIZACJA%20DU&#379;Y%20PRZEGL&#260;D%20USTAWY%202022/WAN_skladki_podzial_rok_v2.xlsx" TargetMode="External"/><Relationship Id="rId2" Type="http://schemas.microsoft.com/office/2011/relationships/chartColorStyle" Target="colors1.xml"/><Relationship Id="rId1" Type="http://schemas.microsoft.com/office/2011/relationships/chartStyle" Target="style1.xml"/></Relationships>
</file>

<file path=word/charts/_rels/chart21.xml.rels><?xml version="1.0" encoding="UTF-8" standalone="yes"?>
<Relationships xmlns="http://schemas.openxmlformats.org/package/2006/relationships"><Relationship Id="rId3" Type="http://schemas.openxmlformats.org/officeDocument/2006/relationships/oleObject" Target="https://pirint.sharepoint.com/sites/vdr-portal/Dokumenty/Biuro%20Redakcji/NOWELIZACJA%20DU&#379;Y%20PRZEGL&#260;D%20USTAWY%202022/WAN_skladki_podzial_rok_v2.xlsx" TargetMode="External"/><Relationship Id="rId2" Type="http://schemas.microsoft.com/office/2011/relationships/chartColorStyle" Target="colors2.xml"/><Relationship Id="rId1" Type="http://schemas.microsoft.com/office/2011/relationships/chartStyle" Target="style2.xml"/></Relationships>
</file>

<file path=word/charts/_rels/chart22.xml.rels><?xml version="1.0" encoding="UTF-8" standalone="yes"?>
<Relationships xmlns="http://schemas.openxmlformats.org/package/2006/relationships"><Relationship Id="rId3" Type="http://schemas.openxmlformats.org/officeDocument/2006/relationships/oleObject" Target="https://pirint.sharepoint.com/sites/vdr-portal/Dokumenty/Biuro%20Redakcji/NOWELIZACJA%20DU&#379;Y%20PRZEGL&#260;D%20USTAWY%202022/WAN_skladki_podzial_rok_v2.xlsx" TargetMode="External"/><Relationship Id="rId2" Type="http://schemas.microsoft.com/office/2011/relationships/chartColorStyle" Target="colors3.xml"/><Relationship Id="rId1" Type="http://schemas.microsoft.com/office/2011/relationships/chartStyle" Target="style3.xml"/></Relationships>
</file>

<file path=word/charts/_rels/chart23.xml.rels><?xml version="1.0" encoding="UTF-8" standalone="yes"?>
<Relationships xmlns="http://schemas.openxmlformats.org/package/2006/relationships"><Relationship Id="rId1" Type="http://schemas.openxmlformats.org/officeDocument/2006/relationships/oleObject" Target="https://pirint.sharepoint.com/sites/vdr-portal/Dokumenty/Biuro%20Redakcji/NOWELIZACJA%20DU&#379;Y%20PRZEGL&#260;D%20USTAWY%202022/PFR%20-%20dane%20liczbowe%20do%20przegladu%20PPK%20(00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pirint.sharepoint.com/sites/vdr-portal/Dokumenty/Biuro%20Redakcji/NOWELIZACJA%20DU&#379;Y%20PRZEGL&#260;D%20USTAWY%202022/PFR%20-%20dane%20liczbowe%20do%20przegladu%20PPK%20(00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pirint.sharepoint.com/sites/vdr-portal/Dokumenty/Biuro%20Redakcji/NOWELIZACJA%20DU&#379;Y%20PRZEGL&#260;D%20USTAWY%202022/PFR%20-%20dane%20liczbowe%20do%20przegladu%20PPK%20(00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pirint.sharepoint.com/sites/vdr-portal/Dokumenty/Biuro%20Redakcji/NOWELIZACJA%20DU&#379;Y%20PRZEGL&#260;D%20USTAWY%202022/PFR%20-%20dane%20liczbowe%20do%20przegladu%20PPK%20(00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pirint-my.sharepoint.com/personal/lukasz_skoczen_pfrportal_pl/Documents/PPE,%20IKE,%20IKZE,%20PPK%20(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pirint.sharepoint.com/sites/vdr-portal/Dokumenty/Biuro%20Redakcji/NOWELIZACJA%20DU&#379;Y%20PRZEGL&#260;D%20USTAWY%202022/Tabela%20Analizy.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Zeszyt1" TargetMode="External"/></Relationships>
</file>

<file path=word/charts/_rels/chart9.xml.rels><?xml version="1.0" encoding="UTF-8" standalone="yes"?>
<Relationships xmlns="http://schemas.openxmlformats.org/package/2006/relationships"><Relationship Id="rId1" Type="http://schemas.openxmlformats.org/officeDocument/2006/relationships/package" Target="../embeddings/Arkusz_programu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ex!$B$3</c:f>
              <c:strCache>
                <c:ptCount val="1"/>
                <c:pt idx="0">
                  <c:v>Mężczyźni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ex!$A$4:$A$11</c:f>
              <c:numCache>
                <c:formatCode>General</c:formatCode>
                <c:ptCount val="8"/>
                <c:pt idx="0">
                  <c:v>1990</c:v>
                </c:pt>
                <c:pt idx="1">
                  <c:v>2000</c:v>
                </c:pt>
                <c:pt idx="2">
                  <c:v>2005</c:v>
                </c:pt>
                <c:pt idx="3">
                  <c:v>2010</c:v>
                </c:pt>
                <c:pt idx="4">
                  <c:v>2015</c:v>
                </c:pt>
                <c:pt idx="5">
                  <c:v>2019</c:v>
                </c:pt>
                <c:pt idx="6">
                  <c:v>2020</c:v>
                </c:pt>
                <c:pt idx="7">
                  <c:v>2021</c:v>
                </c:pt>
              </c:numCache>
            </c:numRef>
          </c:cat>
          <c:val>
            <c:numRef>
              <c:f>ex!$B$4:$B$11</c:f>
              <c:numCache>
                <c:formatCode>0.0</c:formatCode>
                <c:ptCount val="8"/>
                <c:pt idx="0">
                  <c:v>66.23</c:v>
                </c:pt>
                <c:pt idx="1">
                  <c:v>69.739999999999995</c:v>
                </c:pt>
                <c:pt idx="2">
                  <c:v>70.81</c:v>
                </c:pt>
                <c:pt idx="3">
                  <c:v>72.099999999999994</c:v>
                </c:pt>
                <c:pt idx="4">
                  <c:v>73.58</c:v>
                </c:pt>
                <c:pt idx="5">
                  <c:v>74.099999999999994</c:v>
                </c:pt>
                <c:pt idx="6">
                  <c:v>72.599999999999994</c:v>
                </c:pt>
                <c:pt idx="7">
                  <c:v>71.8</c:v>
                </c:pt>
              </c:numCache>
            </c:numRef>
          </c:val>
          <c:extLst>
            <c:ext xmlns:c16="http://schemas.microsoft.com/office/drawing/2014/chart" uri="{C3380CC4-5D6E-409C-BE32-E72D297353CC}">
              <c16:uniqueId val="{00000000-194C-40B7-9B16-7EB0FA06A1E1}"/>
            </c:ext>
          </c:extLst>
        </c:ser>
        <c:ser>
          <c:idx val="1"/>
          <c:order val="1"/>
          <c:tx>
            <c:strRef>
              <c:f>ex!$C$3</c:f>
              <c:strCache>
                <c:ptCount val="1"/>
                <c:pt idx="0">
                  <c:v>Kobiety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ex!$A$4:$A$11</c:f>
              <c:numCache>
                <c:formatCode>General</c:formatCode>
                <c:ptCount val="8"/>
                <c:pt idx="0">
                  <c:v>1990</c:v>
                </c:pt>
                <c:pt idx="1">
                  <c:v>2000</c:v>
                </c:pt>
                <c:pt idx="2">
                  <c:v>2005</c:v>
                </c:pt>
                <c:pt idx="3">
                  <c:v>2010</c:v>
                </c:pt>
                <c:pt idx="4">
                  <c:v>2015</c:v>
                </c:pt>
                <c:pt idx="5">
                  <c:v>2019</c:v>
                </c:pt>
                <c:pt idx="6">
                  <c:v>2020</c:v>
                </c:pt>
                <c:pt idx="7">
                  <c:v>2021</c:v>
                </c:pt>
              </c:numCache>
            </c:numRef>
          </c:cat>
          <c:val>
            <c:numRef>
              <c:f>ex!$C$4:$C$11</c:f>
              <c:numCache>
                <c:formatCode>0.0</c:formatCode>
                <c:ptCount val="8"/>
                <c:pt idx="0">
                  <c:v>75.239999999999995</c:v>
                </c:pt>
                <c:pt idx="1">
                  <c:v>78</c:v>
                </c:pt>
                <c:pt idx="2">
                  <c:v>79.400000000000006</c:v>
                </c:pt>
                <c:pt idx="3">
                  <c:v>80.59</c:v>
                </c:pt>
                <c:pt idx="4">
                  <c:v>81.569999999999993</c:v>
                </c:pt>
                <c:pt idx="5">
                  <c:v>81.8</c:v>
                </c:pt>
                <c:pt idx="6">
                  <c:v>80.7</c:v>
                </c:pt>
                <c:pt idx="7">
                  <c:v>79.7</c:v>
                </c:pt>
              </c:numCache>
            </c:numRef>
          </c:val>
          <c:extLst>
            <c:ext xmlns:c16="http://schemas.microsoft.com/office/drawing/2014/chart" uri="{C3380CC4-5D6E-409C-BE32-E72D297353CC}">
              <c16:uniqueId val="{00000001-194C-40B7-9B16-7EB0FA06A1E1}"/>
            </c:ext>
          </c:extLst>
        </c:ser>
        <c:dLbls>
          <c:showLegendKey val="0"/>
          <c:showVal val="0"/>
          <c:showCatName val="0"/>
          <c:showSerName val="0"/>
          <c:showPercent val="0"/>
          <c:showBubbleSize val="0"/>
        </c:dLbls>
        <c:gapWidth val="219"/>
        <c:overlap val="-27"/>
        <c:axId val="406519720"/>
        <c:axId val="21406368"/>
        <c:extLst>
          <c:ext xmlns:c15="http://schemas.microsoft.com/office/drawing/2012/chart" uri="{02D57815-91ED-43cb-92C2-25804820EDAC}">
            <c15:filteredBarSeries>
              <c15:ser>
                <c:idx val="2"/>
                <c:order val="2"/>
                <c:tx>
                  <c:strRef>
                    <c:extLst>
                      <c:ext uri="{02D57815-91ED-43cb-92C2-25804820EDAC}">
                        <c15:formulaRef>
                          <c15:sqref>ex!$D$3</c15:sqref>
                        </c15:formulaRef>
                      </c:ext>
                    </c:extLst>
                    <c:strCache>
                      <c:ptCount val="1"/>
                    </c:strCache>
                  </c:strRef>
                </c:tx>
                <c:spPr>
                  <a:solidFill>
                    <a:schemeClr val="accent3"/>
                  </a:solidFill>
                  <a:ln>
                    <a:noFill/>
                  </a:ln>
                  <a:effectLst/>
                </c:spPr>
                <c:invertIfNegative val="0"/>
                <c:cat>
                  <c:numRef>
                    <c:extLst>
                      <c:ext uri="{02D57815-91ED-43cb-92C2-25804820EDAC}">
                        <c15:formulaRef>
                          <c15:sqref>ex!$A$4:$A$11</c15:sqref>
                        </c15:formulaRef>
                      </c:ext>
                    </c:extLst>
                    <c:numCache>
                      <c:formatCode>General</c:formatCode>
                      <c:ptCount val="8"/>
                      <c:pt idx="0">
                        <c:v>1990</c:v>
                      </c:pt>
                      <c:pt idx="1">
                        <c:v>2000</c:v>
                      </c:pt>
                      <c:pt idx="2">
                        <c:v>2005</c:v>
                      </c:pt>
                      <c:pt idx="3">
                        <c:v>2010</c:v>
                      </c:pt>
                      <c:pt idx="4">
                        <c:v>2015</c:v>
                      </c:pt>
                      <c:pt idx="5">
                        <c:v>2019</c:v>
                      </c:pt>
                      <c:pt idx="6">
                        <c:v>2020</c:v>
                      </c:pt>
                      <c:pt idx="7">
                        <c:v>2021</c:v>
                      </c:pt>
                    </c:numCache>
                  </c:numRef>
                </c:cat>
                <c:val>
                  <c:numRef>
                    <c:extLst>
                      <c:ext uri="{02D57815-91ED-43cb-92C2-25804820EDAC}">
                        <c15:formulaRef>
                          <c15:sqref>ex!$D$4:$D$11</c15:sqref>
                        </c15:formulaRef>
                      </c:ext>
                    </c:extLst>
                    <c:numCache>
                      <c:formatCode>General</c:formatCode>
                      <c:ptCount val="8"/>
                      <c:pt idx="4">
                        <c:v>0</c:v>
                      </c:pt>
                    </c:numCache>
                  </c:numRef>
                </c:val>
                <c:extLst>
                  <c:ext xmlns:c16="http://schemas.microsoft.com/office/drawing/2014/chart" uri="{C3380CC4-5D6E-409C-BE32-E72D297353CC}">
                    <c16:uniqueId val="{00000002-194C-40B7-9B16-7EB0FA06A1E1}"/>
                  </c:ext>
                </c:extLst>
              </c15:ser>
            </c15:filteredBarSeries>
          </c:ext>
        </c:extLst>
      </c:barChart>
      <c:catAx>
        <c:axId val="406519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1406368"/>
        <c:crosses val="autoZero"/>
        <c:auto val="1"/>
        <c:lblAlgn val="ctr"/>
        <c:lblOffset val="100"/>
        <c:noMultiLvlLbl val="0"/>
      </c:catAx>
      <c:valAx>
        <c:axId val="2140636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06519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USA!$C$5</c:f>
              <c:strCache>
                <c:ptCount val="1"/>
                <c:pt idx="0">
                  <c:v>Aktywa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USA!$B$6:$B$17</c:f>
              <c:strCache>
                <c:ptCount val="12"/>
                <c:pt idx="0">
                  <c:v>2000</c:v>
                </c:pt>
                <c:pt idx="1">
                  <c:v>2005</c:v>
                </c:pt>
                <c:pt idx="2">
                  <c:v>2010</c:v>
                </c:pt>
                <c:pt idx="3">
                  <c:v>2015</c:v>
                </c:pt>
                <c:pt idx="4">
                  <c:v>2017</c:v>
                </c:pt>
                <c:pt idx="5">
                  <c:v>2018</c:v>
                </c:pt>
                <c:pt idx="6">
                  <c:v>2019</c:v>
                </c:pt>
                <c:pt idx="7">
                  <c:v>2020 Q2</c:v>
                </c:pt>
                <c:pt idx="8">
                  <c:v>2020 Q3</c:v>
                </c:pt>
                <c:pt idx="9">
                  <c:v>2020 Q4</c:v>
                </c:pt>
                <c:pt idx="10">
                  <c:v>2021 Q1</c:v>
                </c:pt>
                <c:pt idx="11">
                  <c:v>2021 Q2</c:v>
                </c:pt>
              </c:strCache>
            </c:strRef>
          </c:cat>
          <c:val>
            <c:numRef>
              <c:f>USA!$C$6:$C$17</c:f>
              <c:numCache>
                <c:formatCode>#,##0</c:formatCode>
                <c:ptCount val="12"/>
                <c:pt idx="0">
                  <c:v>1738</c:v>
                </c:pt>
                <c:pt idx="1">
                  <c:v>2393</c:v>
                </c:pt>
                <c:pt idx="2">
                  <c:v>3119</c:v>
                </c:pt>
                <c:pt idx="3">
                  <c:v>4377</c:v>
                </c:pt>
                <c:pt idx="4">
                  <c:v>5486</c:v>
                </c:pt>
                <c:pt idx="5">
                  <c:v>5207</c:v>
                </c:pt>
                <c:pt idx="6">
                  <c:v>6150</c:v>
                </c:pt>
                <c:pt idx="7">
                  <c:v>6025</c:v>
                </c:pt>
                <c:pt idx="8">
                  <c:v>6300</c:v>
                </c:pt>
                <c:pt idx="9">
                  <c:v>6725</c:v>
                </c:pt>
                <c:pt idx="10">
                  <c:v>6875</c:v>
                </c:pt>
                <c:pt idx="11">
                  <c:v>7260</c:v>
                </c:pt>
              </c:numCache>
            </c:numRef>
          </c:val>
          <c:extLst>
            <c:ext xmlns:c16="http://schemas.microsoft.com/office/drawing/2014/chart" uri="{C3380CC4-5D6E-409C-BE32-E72D297353CC}">
              <c16:uniqueId val="{00000000-CEC4-4668-8B1D-F867F3F03641}"/>
            </c:ext>
          </c:extLst>
        </c:ser>
        <c:dLbls>
          <c:showLegendKey val="0"/>
          <c:showVal val="0"/>
          <c:showCatName val="0"/>
          <c:showSerName val="0"/>
          <c:showPercent val="0"/>
          <c:showBubbleSize val="0"/>
        </c:dLbls>
        <c:gapWidth val="219"/>
        <c:overlap val="-27"/>
        <c:axId val="407175704"/>
        <c:axId val="407176096"/>
      </c:barChart>
      <c:catAx>
        <c:axId val="407175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07176096"/>
        <c:crosses val="autoZero"/>
        <c:auto val="1"/>
        <c:lblAlgn val="ctr"/>
        <c:lblOffset val="100"/>
        <c:noMultiLvlLbl val="0"/>
      </c:catAx>
      <c:valAx>
        <c:axId val="407176096"/>
        <c:scaling>
          <c:orientation val="minMax"/>
          <c:min val="1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071757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7419740428533668E-2"/>
          <c:y val="0.11335673638553587"/>
          <c:w val="0.89174297407820813"/>
          <c:h val="0.73481530873397982"/>
        </c:manualLayout>
      </c:layout>
      <c:lineChart>
        <c:grouping val="standard"/>
        <c:varyColors val="0"/>
        <c:ser>
          <c:idx val="0"/>
          <c:order val="0"/>
          <c:tx>
            <c:strRef>
              <c:f>dane!$A$12</c:f>
              <c:strCache>
                <c:ptCount val="1"/>
                <c:pt idx="0">
                  <c:v>USA: partycypacja w systemie defined contribution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1"/>
              <c:delete val="1"/>
              <c:extLst>
                <c:ext xmlns:c15="http://schemas.microsoft.com/office/drawing/2012/chart" uri="{CE6537A1-D6FC-4f65-9D91-7224C49458BB}"/>
                <c:ext xmlns:c16="http://schemas.microsoft.com/office/drawing/2014/chart" uri="{C3380CC4-5D6E-409C-BE32-E72D297353CC}">
                  <c16:uniqueId val="{00000000-EB59-4C08-8154-5FD1721A6DAA}"/>
                </c:ext>
              </c:extLst>
            </c:dLbl>
            <c:dLbl>
              <c:idx val="2"/>
              <c:delete val="1"/>
              <c:extLst>
                <c:ext xmlns:c15="http://schemas.microsoft.com/office/drawing/2012/chart" uri="{CE6537A1-D6FC-4f65-9D91-7224C49458BB}"/>
                <c:ext xmlns:c16="http://schemas.microsoft.com/office/drawing/2014/chart" uri="{C3380CC4-5D6E-409C-BE32-E72D297353CC}">
                  <c16:uniqueId val="{00000001-EB59-4C08-8154-5FD1721A6DAA}"/>
                </c:ext>
              </c:extLst>
            </c:dLbl>
            <c:dLbl>
              <c:idx val="3"/>
              <c:delete val="1"/>
              <c:extLst>
                <c:ext xmlns:c15="http://schemas.microsoft.com/office/drawing/2012/chart" uri="{CE6537A1-D6FC-4f65-9D91-7224C49458BB}"/>
                <c:ext xmlns:c16="http://schemas.microsoft.com/office/drawing/2014/chart" uri="{C3380CC4-5D6E-409C-BE32-E72D297353CC}">
                  <c16:uniqueId val="{00000002-EB59-4C08-8154-5FD1721A6DAA}"/>
                </c:ext>
              </c:extLst>
            </c:dLbl>
            <c:dLbl>
              <c:idx val="5"/>
              <c:delete val="1"/>
              <c:extLst>
                <c:ext xmlns:c15="http://schemas.microsoft.com/office/drawing/2012/chart" uri="{CE6537A1-D6FC-4f65-9D91-7224C49458BB}"/>
                <c:ext xmlns:c16="http://schemas.microsoft.com/office/drawing/2014/chart" uri="{C3380CC4-5D6E-409C-BE32-E72D297353CC}">
                  <c16:uniqueId val="{00000003-EB59-4C08-8154-5FD1721A6DAA}"/>
                </c:ext>
              </c:extLst>
            </c:dLbl>
            <c:dLbl>
              <c:idx val="6"/>
              <c:delete val="1"/>
              <c:extLst>
                <c:ext xmlns:c15="http://schemas.microsoft.com/office/drawing/2012/chart" uri="{CE6537A1-D6FC-4f65-9D91-7224C49458BB}"/>
                <c:ext xmlns:c16="http://schemas.microsoft.com/office/drawing/2014/chart" uri="{C3380CC4-5D6E-409C-BE32-E72D297353CC}">
                  <c16:uniqueId val="{00000004-EB59-4C08-8154-5FD1721A6DAA}"/>
                </c:ext>
              </c:extLst>
            </c:dLbl>
            <c:dLbl>
              <c:idx val="7"/>
              <c:delete val="1"/>
              <c:extLst>
                <c:ext xmlns:c15="http://schemas.microsoft.com/office/drawing/2012/chart" uri="{CE6537A1-D6FC-4f65-9D91-7224C49458BB}"/>
                <c:ext xmlns:c16="http://schemas.microsoft.com/office/drawing/2014/chart" uri="{C3380CC4-5D6E-409C-BE32-E72D297353CC}">
                  <c16:uniqueId val="{00000005-EB59-4C08-8154-5FD1721A6DAA}"/>
                </c:ext>
              </c:extLst>
            </c:dLbl>
            <c:dLbl>
              <c:idx val="9"/>
              <c:delete val="1"/>
              <c:extLst>
                <c:ext xmlns:c15="http://schemas.microsoft.com/office/drawing/2012/chart" uri="{CE6537A1-D6FC-4f65-9D91-7224C49458BB}"/>
                <c:ext xmlns:c16="http://schemas.microsoft.com/office/drawing/2014/chart" uri="{C3380CC4-5D6E-409C-BE32-E72D297353CC}">
                  <c16:uniqueId val="{00000006-EB59-4C08-8154-5FD1721A6DAA}"/>
                </c:ext>
              </c:extLst>
            </c:dLbl>
            <c:dLbl>
              <c:idx val="10"/>
              <c:delete val="1"/>
              <c:extLst>
                <c:ext xmlns:c15="http://schemas.microsoft.com/office/drawing/2012/chart" uri="{CE6537A1-D6FC-4f65-9D91-7224C49458BB}"/>
                <c:ext xmlns:c16="http://schemas.microsoft.com/office/drawing/2014/chart" uri="{C3380CC4-5D6E-409C-BE32-E72D297353CC}">
                  <c16:uniqueId val="{00000007-EB59-4C08-8154-5FD1721A6DAA}"/>
                </c:ext>
              </c:extLst>
            </c:dLbl>
            <c:dLbl>
              <c:idx val="11"/>
              <c:delete val="1"/>
              <c:extLst>
                <c:ext xmlns:c15="http://schemas.microsoft.com/office/drawing/2012/chart" uri="{CE6537A1-D6FC-4f65-9D91-7224C49458BB}"/>
                <c:ext xmlns:c16="http://schemas.microsoft.com/office/drawing/2014/chart" uri="{C3380CC4-5D6E-409C-BE32-E72D297353CC}">
                  <c16:uniqueId val="{00000008-EB59-4C08-8154-5FD1721A6DAA}"/>
                </c:ext>
              </c:extLst>
            </c:dLbl>
            <c:dLbl>
              <c:idx val="13"/>
              <c:delete val="1"/>
              <c:extLst>
                <c:ext xmlns:c15="http://schemas.microsoft.com/office/drawing/2012/chart" uri="{CE6537A1-D6FC-4f65-9D91-7224C49458BB}"/>
                <c:ext xmlns:c16="http://schemas.microsoft.com/office/drawing/2014/chart" uri="{C3380CC4-5D6E-409C-BE32-E72D297353CC}">
                  <c16:uniqueId val="{00000009-EB59-4C08-8154-5FD1721A6DAA}"/>
                </c:ext>
              </c:extLst>
            </c:dLbl>
            <c:dLbl>
              <c:idx val="14"/>
              <c:delete val="1"/>
              <c:extLst>
                <c:ext xmlns:c15="http://schemas.microsoft.com/office/drawing/2012/chart" uri="{CE6537A1-D6FC-4f65-9D91-7224C49458BB}"/>
                <c:ext xmlns:c16="http://schemas.microsoft.com/office/drawing/2014/chart" uri="{C3380CC4-5D6E-409C-BE32-E72D297353CC}">
                  <c16:uniqueId val="{0000000A-EB59-4C08-8154-5FD1721A6DAA}"/>
                </c:ext>
              </c:extLst>
            </c:dLbl>
            <c:dLbl>
              <c:idx val="15"/>
              <c:delete val="1"/>
              <c:extLst>
                <c:ext xmlns:c15="http://schemas.microsoft.com/office/drawing/2012/chart" uri="{CE6537A1-D6FC-4f65-9D91-7224C49458BB}"/>
                <c:ext xmlns:c16="http://schemas.microsoft.com/office/drawing/2014/chart" uri="{C3380CC4-5D6E-409C-BE32-E72D297353CC}">
                  <c16:uniqueId val="{0000000B-EB59-4C08-8154-5FD1721A6DAA}"/>
                </c:ext>
              </c:extLst>
            </c:dLbl>
            <c:dLbl>
              <c:idx val="17"/>
              <c:delete val="1"/>
              <c:extLst>
                <c:ext xmlns:c15="http://schemas.microsoft.com/office/drawing/2012/chart" uri="{CE6537A1-D6FC-4f65-9D91-7224C49458BB}"/>
                <c:ext xmlns:c16="http://schemas.microsoft.com/office/drawing/2014/chart" uri="{C3380CC4-5D6E-409C-BE32-E72D297353CC}">
                  <c16:uniqueId val="{0000000C-EB59-4C08-8154-5FD1721A6DAA}"/>
                </c:ext>
              </c:extLst>
            </c:dLbl>
            <c:dLbl>
              <c:idx val="18"/>
              <c:delete val="1"/>
              <c:extLst>
                <c:ext xmlns:c15="http://schemas.microsoft.com/office/drawing/2012/chart" uri="{CE6537A1-D6FC-4f65-9D91-7224C49458BB}"/>
                <c:ext xmlns:c16="http://schemas.microsoft.com/office/drawing/2014/chart" uri="{C3380CC4-5D6E-409C-BE32-E72D297353CC}">
                  <c16:uniqueId val="{0000000D-EB59-4C08-8154-5FD1721A6DAA}"/>
                </c:ext>
              </c:extLst>
            </c:dLbl>
            <c:dLbl>
              <c:idx val="19"/>
              <c:delete val="1"/>
              <c:extLst>
                <c:ext xmlns:c15="http://schemas.microsoft.com/office/drawing/2012/chart" uri="{CE6537A1-D6FC-4f65-9D91-7224C49458BB}"/>
                <c:ext xmlns:c16="http://schemas.microsoft.com/office/drawing/2014/chart" uri="{C3380CC4-5D6E-409C-BE32-E72D297353CC}">
                  <c16:uniqueId val="{0000000E-EB59-4C08-8154-5FD1721A6DAA}"/>
                </c:ext>
              </c:extLst>
            </c:dLbl>
            <c:dLbl>
              <c:idx val="21"/>
              <c:delete val="1"/>
              <c:extLst>
                <c:ext xmlns:c15="http://schemas.microsoft.com/office/drawing/2012/chart" uri="{CE6537A1-D6FC-4f65-9D91-7224C49458BB}"/>
                <c:ext xmlns:c16="http://schemas.microsoft.com/office/drawing/2014/chart" uri="{C3380CC4-5D6E-409C-BE32-E72D297353CC}">
                  <c16:uniqueId val="{0000000F-EB59-4C08-8154-5FD1721A6DAA}"/>
                </c:ext>
              </c:extLst>
            </c:dLbl>
            <c:dLbl>
              <c:idx val="22"/>
              <c:delete val="1"/>
              <c:extLst>
                <c:ext xmlns:c15="http://schemas.microsoft.com/office/drawing/2012/chart" uri="{CE6537A1-D6FC-4f65-9D91-7224C49458BB}"/>
                <c:ext xmlns:c16="http://schemas.microsoft.com/office/drawing/2014/chart" uri="{C3380CC4-5D6E-409C-BE32-E72D297353CC}">
                  <c16:uniqueId val="{00000010-EB59-4C08-8154-5FD1721A6DAA}"/>
                </c:ext>
              </c:extLst>
            </c:dLbl>
            <c:dLbl>
              <c:idx val="23"/>
              <c:delete val="1"/>
              <c:extLst>
                <c:ext xmlns:c15="http://schemas.microsoft.com/office/drawing/2012/chart" uri="{CE6537A1-D6FC-4f65-9D91-7224C49458BB}"/>
                <c:ext xmlns:c16="http://schemas.microsoft.com/office/drawing/2014/chart" uri="{C3380CC4-5D6E-409C-BE32-E72D297353CC}">
                  <c16:uniqueId val="{00000011-EB59-4C08-8154-5FD1721A6DAA}"/>
                </c:ext>
              </c:extLst>
            </c:dLbl>
            <c:dLbl>
              <c:idx val="25"/>
              <c:delete val="1"/>
              <c:extLst>
                <c:ext xmlns:c15="http://schemas.microsoft.com/office/drawing/2012/chart" uri="{CE6537A1-D6FC-4f65-9D91-7224C49458BB}"/>
                <c:ext xmlns:c16="http://schemas.microsoft.com/office/drawing/2014/chart" uri="{C3380CC4-5D6E-409C-BE32-E72D297353CC}">
                  <c16:uniqueId val="{00000012-EB59-4C08-8154-5FD1721A6DAA}"/>
                </c:ext>
              </c:extLst>
            </c:dLbl>
            <c:dLbl>
              <c:idx val="26"/>
              <c:delete val="1"/>
              <c:extLst>
                <c:ext xmlns:c15="http://schemas.microsoft.com/office/drawing/2012/chart" uri="{CE6537A1-D6FC-4f65-9D91-7224C49458BB}"/>
                <c:ext xmlns:c16="http://schemas.microsoft.com/office/drawing/2014/chart" uri="{C3380CC4-5D6E-409C-BE32-E72D297353CC}">
                  <c16:uniqueId val="{00000013-EB59-4C08-8154-5FD1721A6DAA}"/>
                </c:ext>
              </c:extLst>
            </c:dLbl>
            <c:dLbl>
              <c:idx val="27"/>
              <c:delete val="1"/>
              <c:extLst>
                <c:ext xmlns:c15="http://schemas.microsoft.com/office/drawing/2012/chart" uri="{CE6537A1-D6FC-4f65-9D91-7224C49458BB}"/>
                <c:ext xmlns:c16="http://schemas.microsoft.com/office/drawing/2014/chart" uri="{C3380CC4-5D6E-409C-BE32-E72D297353CC}">
                  <c16:uniqueId val="{00000014-EB59-4C08-8154-5FD1721A6DAA}"/>
                </c:ext>
              </c:extLst>
            </c:dLbl>
            <c:dLbl>
              <c:idx val="30"/>
              <c:delete val="1"/>
              <c:extLst>
                <c:ext xmlns:c15="http://schemas.microsoft.com/office/drawing/2012/chart" uri="{CE6537A1-D6FC-4f65-9D91-7224C49458BB}"/>
                <c:ext xmlns:c16="http://schemas.microsoft.com/office/drawing/2014/chart" uri="{C3380CC4-5D6E-409C-BE32-E72D297353CC}">
                  <c16:uniqueId val="{00000015-EB59-4C08-8154-5FD1721A6DAA}"/>
                </c:ext>
              </c:extLst>
            </c:dLbl>
            <c:dLbl>
              <c:idx val="31"/>
              <c:delete val="1"/>
              <c:extLst>
                <c:ext xmlns:c15="http://schemas.microsoft.com/office/drawing/2012/chart" uri="{CE6537A1-D6FC-4f65-9D91-7224C49458BB}"/>
                <c:ext xmlns:c16="http://schemas.microsoft.com/office/drawing/2014/chart" uri="{C3380CC4-5D6E-409C-BE32-E72D297353CC}">
                  <c16:uniqueId val="{00000016-EB59-4C08-8154-5FD1721A6DAA}"/>
                </c:ext>
              </c:extLst>
            </c:dLbl>
            <c:dLbl>
              <c:idx val="32"/>
              <c:delete val="1"/>
              <c:extLst>
                <c:ext xmlns:c15="http://schemas.microsoft.com/office/drawing/2012/chart" uri="{CE6537A1-D6FC-4f65-9D91-7224C49458BB}"/>
                <c:ext xmlns:c16="http://schemas.microsoft.com/office/drawing/2014/chart" uri="{C3380CC4-5D6E-409C-BE32-E72D297353CC}">
                  <c16:uniqueId val="{00000017-EB59-4C08-8154-5FD1721A6DAA}"/>
                </c:ext>
              </c:extLst>
            </c:dLbl>
            <c:dLbl>
              <c:idx val="33"/>
              <c:delete val="1"/>
              <c:extLst>
                <c:ext xmlns:c15="http://schemas.microsoft.com/office/drawing/2012/chart" uri="{CE6537A1-D6FC-4f65-9D91-7224C49458BB}"/>
                <c:ext xmlns:c16="http://schemas.microsoft.com/office/drawing/2014/chart" uri="{C3380CC4-5D6E-409C-BE32-E72D297353CC}">
                  <c16:uniqueId val="{00000018-EB59-4C08-8154-5FD1721A6DAA}"/>
                </c:ext>
              </c:extLst>
            </c:dLbl>
            <c:dLbl>
              <c:idx val="35"/>
              <c:delete val="1"/>
              <c:extLst>
                <c:ext xmlns:c15="http://schemas.microsoft.com/office/drawing/2012/chart" uri="{CE6537A1-D6FC-4f65-9D91-7224C49458BB}"/>
                <c:ext xmlns:c16="http://schemas.microsoft.com/office/drawing/2014/chart" uri="{C3380CC4-5D6E-409C-BE32-E72D297353CC}">
                  <c16:uniqueId val="{00000019-EB59-4C08-8154-5FD1721A6DAA}"/>
                </c:ext>
              </c:extLst>
            </c:dLbl>
            <c:dLbl>
              <c:idx val="36"/>
              <c:delete val="1"/>
              <c:extLst>
                <c:ext xmlns:c15="http://schemas.microsoft.com/office/drawing/2012/chart" uri="{CE6537A1-D6FC-4f65-9D91-7224C49458BB}"/>
                <c:ext xmlns:c16="http://schemas.microsoft.com/office/drawing/2014/chart" uri="{C3380CC4-5D6E-409C-BE32-E72D297353CC}">
                  <c16:uniqueId val="{0000001A-EB59-4C08-8154-5FD1721A6DAA}"/>
                </c:ext>
              </c:extLst>
            </c:dLbl>
            <c:dLbl>
              <c:idx val="37"/>
              <c:delete val="1"/>
              <c:extLst>
                <c:ext xmlns:c15="http://schemas.microsoft.com/office/drawing/2012/chart" uri="{CE6537A1-D6FC-4f65-9D91-7224C49458BB}"/>
                <c:ext xmlns:c16="http://schemas.microsoft.com/office/drawing/2014/chart" uri="{C3380CC4-5D6E-409C-BE32-E72D297353CC}">
                  <c16:uniqueId val="{0000001B-EB59-4C08-8154-5FD1721A6DAA}"/>
                </c:ext>
              </c:extLst>
            </c:dLbl>
            <c:dLbl>
              <c:idx val="38"/>
              <c:delete val="1"/>
              <c:extLst>
                <c:ext xmlns:c15="http://schemas.microsoft.com/office/drawing/2012/chart" uri="{CE6537A1-D6FC-4f65-9D91-7224C49458BB}"/>
                <c:ext xmlns:c16="http://schemas.microsoft.com/office/drawing/2014/chart" uri="{C3380CC4-5D6E-409C-BE32-E72D297353CC}">
                  <c16:uniqueId val="{0000001C-EB59-4C08-8154-5FD1721A6DAA}"/>
                </c:ext>
              </c:extLst>
            </c:dLbl>
            <c:dLbl>
              <c:idx val="40"/>
              <c:delete val="1"/>
              <c:extLst>
                <c:ext xmlns:c15="http://schemas.microsoft.com/office/drawing/2012/chart" uri="{CE6537A1-D6FC-4f65-9D91-7224C49458BB}"/>
                <c:ext xmlns:c16="http://schemas.microsoft.com/office/drawing/2014/chart" uri="{C3380CC4-5D6E-409C-BE32-E72D297353CC}">
                  <c16:uniqueId val="{0000001D-EB59-4C08-8154-5FD1721A6DAA}"/>
                </c:ext>
              </c:extLst>
            </c:dLbl>
            <c:dLbl>
              <c:idx val="41"/>
              <c:delete val="1"/>
              <c:extLst>
                <c:ext xmlns:c15="http://schemas.microsoft.com/office/drawing/2012/chart" uri="{CE6537A1-D6FC-4f65-9D91-7224C49458BB}"/>
                <c:ext xmlns:c16="http://schemas.microsoft.com/office/drawing/2014/chart" uri="{C3380CC4-5D6E-409C-BE32-E72D297353CC}">
                  <c16:uniqueId val="{0000001E-EB59-4C08-8154-5FD1721A6DAA}"/>
                </c:ext>
              </c:extLst>
            </c:dLbl>
            <c:dLbl>
              <c:idx val="42"/>
              <c:delete val="1"/>
              <c:extLst>
                <c:ext xmlns:c15="http://schemas.microsoft.com/office/drawing/2012/chart" uri="{CE6537A1-D6FC-4f65-9D91-7224C49458BB}"/>
                <c:ext xmlns:c16="http://schemas.microsoft.com/office/drawing/2014/chart" uri="{C3380CC4-5D6E-409C-BE32-E72D297353CC}">
                  <c16:uniqueId val="{0000001F-EB59-4C08-8154-5FD1721A6DAA}"/>
                </c:ext>
              </c:extLst>
            </c:dLbl>
            <c:dLbl>
              <c:idx val="43"/>
              <c:delete val="1"/>
              <c:extLst>
                <c:ext xmlns:c15="http://schemas.microsoft.com/office/drawing/2012/chart" uri="{CE6537A1-D6FC-4f65-9D91-7224C49458BB}"/>
                <c:ext xmlns:c16="http://schemas.microsoft.com/office/drawing/2014/chart" uri="{C3380CC4-5D6E-409C-BE32-E72D297353CC}">
                  <c16:uniqueId val="{00000020-EB59-4C08-8154-5FD1721A6DA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dane!$B$11:$AT$11</c:f>
              <c:numCache>
                <c:formatCode>General</c:formatCode>
                <c:ptCount val="45"/>
                <c:pt idx="0">
                  <c:v>1975</c:v>
                </c:pt>
                <c:pt idx="1">
                  <c:v>1976</c:v>
                </c:pt>
                <c:pt idx="2">
                  <c:v>1977</c:v>
                </c:pt>
                <c:pt idx="3">
                  <c:v>1978</c:v>
                </c:pt>
                <c:pt idx="4">
                  <c:v>1979</c:v>
                </c:pt>
                <c:pt idx="5">
                  <c:v>1980</c:v>
                </c:pt>
                <c:pt idx="6">
                  <c:v>1981</c:v>
                </c:pt>
                <c:pt idx="7">
                  <c:v>1982</c:v>
                </c:pt>
                <c:pt idx="8">
                  <c:v>1983</c:v>
                </c:pt>
                <c:pt idx="9">
                  <c:v>1984</c:v>
                </c:pt>
                <c:pt idx="10">
                  <c:v>1985</c:v>
                </c:pt>
                <c:pt idx="11">
                  <c:v>1986</c:v>
                </c:pt>
                <c:pt idx="12">
                  <c:v>1987</c:v>
                </c:pt>
                <c:pt idx="13">
                  <c:v>1988</c:v>
                </c:pt>
                <c:pt idx="14">
                  <c:v>1989</c:v>
                </c:pt>
                <c:pt idx="15">
                  <c:v>1990</c:v>
                </c:pt>
                <c:pt idx="16">
                  <c:v>1991</c:v>
                </c:pt>
                <c:pt idx="17">
                  <c:v>1992</c:v>
                </c:pt>
                <c:pt idx="18">
                  <c:v>1993</c:v>
                </c:pt>
                <c:pt idx="19">
                  <c:v>1994</c:v>
                </c:pt>
                <c:pt idx="20">
                  <c:v>1995</c:v>
                </c:pt>
                <c:pt idx="21">
                  <c:v>1996</c:v>
                </c:pt>
                <c:pt idx="22">
                  <c:v>1997</c:v>
                </c:pt>
                <c:pt idx="23">
                  <c:v>1998</c:v>
                </c:pt>
                <c:pt idx="24">
                  <c:v>1999</c:v>
                </c:pt>
                <c:pt idx="25">
                  <c:v>2000</c:v>
                </c:pt>
                <c:pt idx="26">
                  <c:v>2001</c:v>
                </c:pt>
                <c:pt idx="27">
                  <c:v>2002</c:v>
                </c:pt>
                <c:pt idx="28">
                  <c:v>2003</c:v>
                </c:pt>
                <c:pt idx="29">
                  <c:v>2004</c:v>
                </c:pt>
                <c:pt idx="30">
                  <c:v>2005</c:v>
                </c:pt>
                <c:pt idx="31">
                  <c:v>2006</c:v>
                </c:pt>
                <c:pt idx="32">
                  <c:v>2007</c:v>
                </c:pt>
                <c:pt idx="33">
                  <c:v>2008</c:v>
                </c:pt>
                <c:pt idx="34">
                  <c:v>2009</c:v>
                </c:pt>
                <c:pt idx="35">
                  <c:v>2010</c:v>
                </c:pt>
                <c:pt idx="36">
                  <c:v>2011</c:v>
                </c:pt>
                <c:pt idx="37">
                  <c:v>2012</c:v>
                </c:pt>
                <c:pt idx="38">
                  <c:v>2013</c:v>
                </c:pt>
                <c:pt idx="39">
                  <c:v>2014</c:v>
                </c:pt>
                <c:pt idx="40">
                  <c:v>2015</c:v>
                </c:pt>
                <c:pt idx="41">
                  <c:v>2016</c:v>
                </c:pt>
                <c:pt idx="42">
                  <c:v>2017</c:v>
                </c:pt>
                <c:pt idx="43">
                  <c:v>2018</c:v>
                </c:pt>
                <c:pt idx="44">
                  <c:v>2019</c:v>
                </c:pt>
              </c:numCache>
            </c:numRef>
          </c:cat>
          <c:val>
            <c:numRef>
              <c:f>dane!$B$12:$AT$12</c:f>
              <c:numCache>
                <c:formatCode>0.0%</c:formatCode>
                <c:ptCount val="45"/>
                <c:pt idx="0">
                  <c:v>0.13438518224391838</c:v>
                </c:pt>
                <c:pt idx="1">
                  <c:v>0.15414187643020594</c:v>
                </c:pt>
                <c:pt idx="2">
                  <c:v>0.16945778845298462</c:v>
                </c:pt>
                <c:pt idx="3">
                  <c:v>0.17235972198677743</c:v>
                </c:pt>
                <c:pt idx="4">
                  <c:v>0.18670110670968268</c:v>
                </c:pt>
                <c:pt idx="5">
                  <c:v>0.19948137246067743</c:v>
                </c:pt>
                <c:pt idx="6">
                  <c:v>0.21670751838327248</c:v>
                </c:pt>
                <c:pt idx="7">
                  <c:v>0.24686032981583275</c:v>
                </c:pt>
                <c:pt idx="8">
                  <c:v>0.29368400883411827</c:v>
                </c:pt>
                <c:pt idx="9">
                  <c:v>0.31894070793887658</c:v>
                </c:pt>
                <c:pt idx="10">
                  <c:v>0.32899663223645842</c:v>
                </c:pt>
                <c:pt idx="11">
                  <c:v>0.33688135406430519</c:v>
                </c:pt>
                <c:pt idx="12">
                  <c:v>0.34487575820392419</c:v>
                </c:pt>
                <c:pt idx="13">
                  <c:v>0.32419134156609597</c:v>
                </c:pt>
                <c:pt idx="14">
                  <c:v>0.31229221647187855</c:v>
                </c:pt>
                <c:pt idx="15">
                  <c:v>0.31987470713212013</c:v>
                </c:pt>
                <c:pt idx="16">
                  <c:v>0.32757334237748009</c:v>
                </c:pt>
                <c:pt idx="17">
                  <c:v>0.35924494397260504</c:v>
                </c:pt>
                <c:pt idx="18">
                  <c:v>0.36618097837497376</c:v>
                </c:pt>
                <c:pt idx="19">
                  <c:v>0.36713510322548909</c:v>
                </c:pt>
                <c:pt idx="20">
                  <c:v>0.38275992074633214</c:v>
                </c:pt>
                <c:pt idx="21">
                  <c:v>0.40443556443556444</c:v>
                </c:pt>
                <c:pt idx="22">
                  <c:v>0.42551715537264806</c:v>
                </c:pt>
                <c:pt idx="23">
                  <c:v>0.44293407585331152</c:v>
                </c:pt>
                <c:pt idx="24">
                  <c:v>0.45380261149992107</c:v>
                </c:pt>
                <c:pt idx="25">
                  <c:v>0.45193652560431757</c:v>
                </c:pt>
                <c:pt idx="26">
                  <c:v>0.46822424479960517</c:v>
                </c:pt>
                <c:pt idx="27">
                  <c:v>0.48102077361257473</c:v>
                </c:pt>
                <c:pt idx="28">
                  <c:v>0.46658710348792359</c:v>
                </c:pt>
                <c:pt idx="29">
                  <c:v>0.5328802934889364</c:v>
                </c:pt>
                <c:pt idx="30">
                  <c:v>0.53820813576241577</c:v>
                </c:pt>
                <c:pt idx="31">
                  <c:v>0.55779951100244496</c:v>
                </c:pt>
                <c:pt idx="32">
                  <c:v>0.55861889500643713</c:v>
                </c:pt>
                <c:pt idx="33">
                  <c:v>0.56367760182541093</c:v>
                </c:pt>
                <c:pt idx="34">
                  <c:v>0.61517249141763741</c:v>
                </c:pt>
                <c:pt idx="35">
                  <c:v>0.63783787688351468</c:v>
                </c:pt>
                <c:pt idx="36">
                  <c:v>0.63701974865350086</c:v>
                </c:pt>
                <c:pt idx="37">
                  <c:v>0.64113882924624255</c:v>
                </c:pt>
                <c:pt idx="38">
                  <c:v>0.6458629930491584</c:v>
                </c:pt>
                <c:pt idx="39">
                  <c:v>0.65232518084739921</c:v>
                </c:pt>
                <c:pt idx="40">
                  <c:v>0.6586249957811604</c:v>
                </c:pt>
                <c:pt idx="41">
                  <c:v>0.66492720138626094</c:v>
                </c:pt>
                <c:pt idx="42">
                  <c:v>0.67337588493975509</c:v>
                </c:pt>
                <c:pt idx="43">
                  <c:v>0.68514946338179517</c:v>
                </c:pt>
                <c:pt idx="44">
                  <c:v>0.69653380323954361</c:v>
                </c:pt>
              </c:numCache>
            </c:numRef>
          </c:val>
          <c:smooth val="0"/>
          <c:extLst>
            <c:ext xmlns:c16="http://schemas.microsoft.com/office/drawing/2014/chart" uri="{C3380CC4-5D6E-409C-BE32-E72D297353CC}">
              <c16:uniqueId val="{00000021-EB59-4C08-8154-5FD1721A6DAA}"/>
            </c:ext>
          </c:extLst>
        </c:ser>
        <c:dLbls>
          <c:dLblPos val="t"/>
          <c:showLegendKey val="0"/>
          <c:showVal val="1"/>
          <c:showCatName val="0"/>
          <c:showSerName val="0"/>
          <c:showPercent val="0"/>
          <c:showBubbleSize val="0"/>
        </c:dLbls>
        <c:marker val="1"/>
        <c:smooth val="0"/>
        <c:axId val="407823008"/>
        <c:axId val="407823400"/>
      </c:lineChart>
      <c:catAx>
        <c:axId val="407823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07823400"/>
        <c:crosses val="autoZero"/>
        <c:auto val="1"/>
        <c:lblAlgn val="ctr"/>
        <c:lblOffset val="100"/>
        <c:noMultiLvlLbl val="0"/>
      </c:catAx>
      <c:valAx>
        <c:axId val="40782340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078230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NZ!$A$4:$A$18</c:f>
              <c:numCache>
                <c:formatCode>General</c:formatCode>
                <c:ptCount val="15"/>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numCache>
            </c:numRef>
          </c:cat>
          <c:val>
            <c:numRef>
              <c:f>NZ!$B$4:$B$18</c:f>
              <c:numCache>
                <c:formatCode>#,##0</c:formatCode>
                <c:ptCount val="15"/>
                <c:pt idx="0">
                  <c:v>767</c:v>
                </c:pt>
                <c:pt idx="1">
                  <c:v>2754</c:v>
                </c:pt>
                <c:pt idx="2">
                  <c:v>5995</c:v>
                </c:pt>
                <c:pt idx="3">
                  <c:v>9037</c:v>
                </c:pt>
                <c:pt idx="4">
                  <c:v>12480</c:v>
                </c:pt>
                <c:pt idx="5">
                  <c:v>16480</c:v>
                </c:pt>
                <c:pt idx="6">
                  <c:v>21459</c:v>
                </c:pt>
                <c:pt idx="7">
                  <c:v>28630</c:v>
                </c:pt>
                <c:pt idx="8">
                  <c:v>33889</c:v>
                </c:pt>
                <c:pt idx="9">
                  <c:v>41006</c:v>
                </c:pt>
                <c:pt idx="10">
                  <c:v>48583</c:v>
                </c:pt>
                <c:pt idx="11">
                  <c:v>57076</c:v>
                </c:pt>
                <c:pt idx="12">
                  <c:v>63487</c:v>
                </c:pt>
                <c:pt idx="13">
                  <c:v>83289</c:v>
                </c:pt>
                <c:pt idx="14">
                  <c:v>92328</c:v>
                </c:pt>
              </c:numCache>
            </c:numRef>
          </c:val>
          <c:smooth val="0"/>
          <c:extLst>
            <c:ext xmlns:c16="http://schemas.microsoft.com/office/drawing/2014/chart" uri="{C3380CC4-5D6E-409C-BE32-E72D297353CC}">
              <c16:uniqueId val="{00000000-F3B9-4F96-B349-EA0AF0980031}"/>
            </c:ext>
          </c:extLst>
        </c:ser>
        <c:dLbls>
          <c:showLegendKey val="0"/>
          <c:showVal val="0"/>
          <c:showCatName val="0"/>
          <c:showSerName val="0"/>
          <c:showPercent val="0"/>
          <c:showBubbleSize val="0"/>
        </c:dLbls>
        <c:marker val="1"/>
        <c:smooth val="0"/>
        <c:axId val="407821832"/>
        <c:axId val="407823792"/>
      </c:lineChart>
      <c:catAx>
        <c:axId val="40782183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07823792"/>
        <c:crosses val="autoZero"/>
        <c:auto val="1"/>
        <c:lblAlgn val="ctr"/>
        <c:lblOffset val="100"/>
        <c:noMultiLvlLbl val="0"/>
      </c:catAx>
      <c:valAx>
        <c:axId val="4078237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07821832"/>
        <c:crosses val="autoZero"/>
        <c:crossBetween val="between"/>
      </c:valAx>
      <c:spPr>
        <a:noFill/>
        <a:ln>
          <a:no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dane!$A$19</c:f>
              <c:strCache>
                <c:ptCount val="1"/>
                <c:pt idx="0">
                  <c:v>Partycypacja w całości populacji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dane!$B$18:$O$18</c:f>
              <c:numCache>
                <c:formatCode>General</c:formatCode>
                <c:ptCount val="14"/>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numCache>
            </c:numRef>
          </c:cat>
          <c:val>
            <c:numRef>
              <c:f>dane!$B$19:$O$19</c:f>
              <c:numCache>
                <c:formatCode>0%</c:formatCode>
                <c:ptCount val="14"/>
                <c:pt idx="0">
                  <c:v>0.16741817162348432</c:v>
                </c:pt>
                <c:pt idx="1">
                  <c:v>0.25403384040072946</c:v>
                </c:pt>
                <c:pt idx="2">
                  <c:v>0.33378495164498501</c:v>
                </c:pt>
                <c:pt idx="3">
                  <c:v>0.39912988134745647</c:v>
                </c:pt>
                <c:pt idx="4">
                  <c:v>0.44430375742786776</c:v>
                </c:pt>
                <c:pt idx="5">
                  <c:v>0.47948429892348238</c:v>
                </c:pt>
                <c:pt idx="6">
                  <c:v>0.5149778722285514</c:v>
                </c:pt>
                <c:pt idx="7">
                  <c:v>0.54268477818041472</c:v>
                </c:pt>
                <c:pt idx="8">
                  <c:v>0.55417149089688733</c:v>
                </c:pt>
                <c:pt idx="9">
                  <c:v>0.56816647803271947</c:v>
                </c:pt>
                <c:pt idx="10">
                  <c:v>0.58146442159799239</c:v>
                </c:pt>
                <c:pt idx="11">
                  <c:v>0.58846004285374176</c:v>
                </c:pt>
                <c:pt idx="12">
                  <c:v>0.59853322099653194</c:v>
                </c:pt>
                <c:pt idx="13">
                  <c:v>0.61136420550142823</c:v>
                </c:pt>
              </c:numCache>
            </c:numRef>
          </c:val>
          <c:smooth val="0"/>
          <c:extLst>
            <c:ext xmlns:c16="http://schemas.microsoft.com/office/drawing/2014/chart" uri="{C3380CC4-5D6E-409C-BE32-E72D297353CC}">
              <c16:uniqueId val="{00000000-523B-499F-AE88-A342536FEFA4}"/>
            </c:ext>
          </c:extLst>
        </c:ser>
        <c:ser>
          <c:idx val="1"/>
          <c:order val="1"/>
          <c:tx>
            <c:strRef>
              <c:f>dane!$A$20</c:f>
              <c:strCache>
                <c:ptCount val="1"/>
                <c:pt idx="0">
                  <c:v>Partycypacja w populacji 0-64</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dane!$B$18:$O$18</c:f>
              <c:numCache>
                <c:formatCode>General</c:formatCode>
                <c:ptCount val="14"/>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numCache>
            </c:numRef>
          </c:cat>
          <c:val>
            <c:numRef>
              <c:f>dane!$B$20:$O$20</c:f>
              <c:numCache>
                <c:formatCode>General</c:formatCode>
                <c:ptCount val="14"/>
                <c:pt idx="4" formatCode="0%">
                  <c:v>0.51288334382871537</c:v>
                </c:pt>
                <c:pt idx="5" formatCode="0%">
                  <c:v>0.55580704815982085</c:v>
                </c:pt>
                <c:pt idx="6" formatCode="0%">
                  <c:v>0.59981151403400945</c:v>
                </c:pt>
                <c:pt idx="7" formatCode="0%">
                  <c:v>0.63368948372840495</c:v>
                </c:pt>
                <c:pt idx="8" formatCode="0%">
                  <c:v>0.62176221642635698</c:v>
                </c:pt>
                <c:pt idx="9" formatCode="0%">
                  <c:v>0.63732912494558114</c:v>
                </c:pt>
                <c:pt idx="10" formatCode="0%">
                  <c:v>0.65238016883674343</c:v>
                </c:pt>
                <c:pt idx="11" formatCode="0%">
                  <c:v>0.66076181540987455</c:v>
                </c:pt>
                <c:pt idx="12" formatCode="0%">
                  <c:v>0.66923792902850499</c:v>
                </c:pt>
                <c:pt idx="13" formatCode="0%">
                  <c:v>0.68276544649102355</c:v>
                </c:pt>
              </c:numCache>
            </c:numRef>
          </c:val>
          <c:smooth val="0"/>
          <c:extLst>
            <c:ext xmlns:c16="http://schemas.microsoft.com/office/drawing/2014/chart" uri="{C3380CC4-5D6E-409C-BE32-E72D297353CC}">
              <c16:uniqueId val="{00000001-523B-499F-AE88-A342536FEFA4}"/>
            </c:ext>
          </c:extLst>
        </c:ser>
        <c:dLbls>
          <c:dLblPos val="t"/>
          <c:showLegendKey val="0"/>
          <c:showVal val="1"/>
          <c:showCatName val="0"/>
          <c:showSerName val="0"/>
          <c:showPercent val="0"/>
          <c:showBubbleSize val="0"/>
        </c:dLbls>
        <c:marker val="1"/>
        <c:smooth val="0"/>
        <c:axId val="407822224"/>
        <c:axId val="407824576"/>
      </c:lineChart>
      <c:catAx>
        <c:axId val="407822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07824576"/>
        <c:crosses val="autoZero"/>
        <c:auto val="1"/>
        <c:lblAlgn val="ctr"/>
        <c:lblOffset val="100"/>
        <c:noMultiLvlLbl val="0"/>
      </c:catAx>
      <c:valAx>
        <c:axId val="4078245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07822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dane!$A$4</c:f>
              <c:strCache>
                <c:ptCount val="1"/>
                <c:pt idx="0">
                  <c:v>Wlk. Brytania: partycypacja w workplace pension schemes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dane!$B$3:$T$3</c:f>
              <c:numCache>
                <c:formatCode>General</c:formatCode>
                <c:ptCount val="19"/>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numCache>
            </c:numRef>
          </c:cat>
          <c:val>
            <c:numRef>
              <c:f>dane!$B$4:$T$4</c:f>
              <c:numCache>
                <c:formatCode>0%</c:formatCode>
                <c:ptCount val="19"/>
                <c:pt idx="0">
                  <c:v>0.64936951513090435</c:v>
                </c:pt>
                <c:pt idx="1">
                  <c:v>0.63059664023294515</c:v>
                </c:pt>
                <c:pt idx="2">
                  <c:v>0.61712769982958304</c:v>
                </c:pt>
                <c:pt idx="3">
                  <c:v>0.61885495083314013</c:v>
                </c:pt>
                <c:pt idx="4">
                  <c:v>0.60304574889861684</c:v>
                </c:pt>
                <c:pt idx="5">
                  <c:v>0.59062930906291755</c:v>
                </c:pt>
                <c:pt idx="6">
                  <c:v>0.58229705228653861</c:v>
                </c:pt>
                <c:pt idx="7">
                  <c:v>0.57839225066866751</c:v>
                </c:pt>
                <c:pt idx="8">
                  <c:v>0.55939510714492058</c:v>
                </c:pt>
                <c:pt idx="9">
                  <c:v>0.54869650815336657</c:v>
                </c:pt>
                <c:pt idx="10">
                  <c:v>0.58766935493320094</c:v>
                </c:pt>
                <c:pt idx="11">
                  <c:v>0.70529092229910872</c:v>
                </c:pt>
                <c:pt idx="12">
                  <c:v>0.75100895378739807</c:v>
                </c:pt>
                <c:pt idx="13">
                  <c:v>0.77128705810737863</c:v>
                </c:pt>
                <c:pt idx="14">
                  <c:v>0.83618286000828235</c:v>
                </c:pt>
                <c:pt idx="15">
                  <c:v>0.86992440727507792</c:v>
                </c:pt>
                <c:pt idx="16">
                  <c:v>0.88</c:v>
                </c:pt>
                <c:pt idx="17">
                  <c:v>0.88</c:v>
                </c:pt>
                <c:pt idx="18">
                  <c:v>0.88</c:v>
                </c:pt>
              </c:numCache>
            </c:numRef>
          </c:val>
          <c:smooth val="0"/>
          <c:extLst>
            <c:ext xmlns:c16="http://schemas.microsoft.com/office/drawing/2014/chart" uri="{C3380CC4-5D6E-409C-BE32-E72D297353CC}">
              <c16:uniqueId val="{00000000-A575-4506-B75E-744AF63A56A0}"/>
            </c:ext>
          </c:extLst>
        </c:ser>
        <c:dLbls>
          <c:dLblPos val="t"/>
          <c:showLegendKey val="0"/>
          <c:showVal val="1"/>
          <c:showCatName val="0"/>
          <c:showSerName val="0"/>
          <c:showPercent val="0"/>
          <c:showBubbleSize val="0"/>
        </c:dLbls>
        <c:marker val="1"/>
        <c:smooth val="0"/>
        <c:axId val="407828888"/>
        <c:axId val="407826928"/>
      </c:lineChart>
      <c:catAx>
        <c:axId val="407828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07826928"/>
        <c:crosses val="autoZero"/>
        <c:auto val="1"/>
        <c:lblAlgn val="ctr"/>
        <c:lblOffset val="100"/>
        <c:tickLblSkip val="1"/>
        <c:noMultiLvlLbl val="0"/>
      </c:catAx>
      <c:valAx>
        <c:axId val="407826928"/>
        <c:scaling>
          <c:orientation val="minMax"/>
          <c:min val="0.4"/>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07828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9675216654256"/>
          <c:y val="0.12825548505465942"/>
          <c:w val="0.87367528002661621"/>
          <c:h val="0.71066202889687335"/>
        </c:manualLayout>
      </c:layout>
      <c:lineChart>
        <c:grouping val="standard"/>
        <c:varyColors val="0"/>
        <c:ser>
          <c:idx val="0"/>
          <c:order val="0"/>
          <c:tx>
            <c:strRef>
              <c:f>Arkusz1!$E$1</c:f>
              <c:strCache>
                <c:ptCount val="1"/>
                <c:pt idx="0">
                  <c:v>uczestnicy PPK</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4"/>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A71-4235-BA1C-0E0695D37438}"/>
                </c:ext>
              </c:extLst>
            </c:dLbl>
            <c:dLbl>
              <c:idx val="15"/>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A71-4235-BA1C-0E0695D37438}"/>
                </c:ext>
              </c:extLst>
            </c:dLbl>
            <c:dLbl>
              <c:idx val="2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A71-4235-BA1C-0E0695D37438}"/>
                </c:ext>
              </c:extLst>
            </c:dLbl>
            <c:dLbl>
              <c:idx val="36"/>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A71-4235-BA1C-0E0695D3743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Arkusz1!$D$2:$D$38</c:f>
              <c:numCache>
                <c:formatCode>m/d/yyyy</c:formatCode>
                <c:ptCount val="37"/>
                <c:pt idx="0">
                  <c:v>43708</c:v>
                </c:pt>
                <c:pt idx="1">
                  <c:v>43738</c:v>
                </c:pt>
                <c:pt idx="2">
                  <c:v>43769</c:v>
                </c:pt>
                <c:pt idx="3">
                  <c:v>43799</c:v>
                </c:pt>
                <c:pt idx="4">
                  <c:v>43830</c:v>
                </c:pt>
                <c:pt idx="5">
                  <c:v>43861</c:v>
                </c:pt>
                <c:pt idx="6">
                  <c:v>43890</c:v>
                </c:pt>
                <c:pt idx="7">
                  <c:v>43921</c:v>
                </c:pt>
                <c:pt idx="8">
                  <c:v>43951</c:v>
                </c:pt>
                <c:pt idx="9">
                  <c:v>43982</c:v>
                </c:pt>
                <c:pt idx="10">
                  <c:v>44012</c:v>
                </c:pt>
                <c:pt idx="11">
                  <c:v>44043</c:v>
                </c:pt>
                <c:pt idx="12">
                  <c:v>44074</c:v>
                </c:pt>
                <c:pt idx="13">
                  <c:v>44104</c:v>
                </c:pt>
                <c:pt idx="14">
                  <c:v>44135</c:v>
                </c:pt>
                <c:pt idx="15">
                  <c:v>44165</c:v>
                </c:pt>
                <c:pt idx="16">
                  <c:v>44196</c:v>
                </c:pt>
                <c:pt idx="17">
                  <c:v>44227</c:v>
                </c:pt>
                <c:pt idx="18">
                  <c:v>44255</c:v>
                </c:pt>
                <c:pt idx="19">
                  <c:v>44286</c:v>
                </c:pt>
                <c:pt idx="20">
                  <c:v>44316</c:v>
                </c:pt>
                <c:pt idx="21">
                  <c:v>44347</c:v>
                </c:pt>
                <c:pt idx="22">
                  <c:v>44377</c:v>
                </c:pt>
                <c:pt idx="23">
                  <c:v>44408</c:v>
                </c:pt>
                <c:pt idx="24">
                  <c:v>44439</c:v>
                </c:pt>
                <c:pt idx="25">
                  <c:v>44469</c:v>
                </c:pt>
                <c:pt idx="26">
                  <c:v>44500</c:v>
                </c:pt>
                <c:pt idx="27">
                  <c:v>44530</c:v>
                </c:pt>
                <c:pt idx="28">
                  <c:v>44561</c:v>
                </c:pt>
                <c:pt idx="29">
                  <c:v>44592</c:v>
                </c:pt>
                <c:pt idx="30">
                  <c:v>44620</c:v>
                </c:pt>
                <c:pt idx="31">
                  <c:v>44651</c:v>
                </c:pt>
                <c:pt idx="32">
                  <c:v>44681</c:v>
                </c:pt>
                <c:pt idx="33">
                  <c:v>44712</c:v>
                </c:pt>
                <c:pt idx="34">
                  <c:v>44742</c:v>
                </c:pt>
                <c:pt idx="35">
                  <c:v>44773</c:v>
                </c:pt>
                <c:pt idx="36">
                  <c:v>44804</c:v>
                </c:pt>
              </c:numCache>
            </c:numRef>
          </c:cat>
          <c:val>
            <c:numRef>
              <c:f>Arkusz1!$E$2:$E$38</c:f>
              <c:numCache>
                <c:formatCode>#,##0</c:formatCode>
                <c:ptCount val="37"/>
                <c:pt idx="0">
                  <c:v>254</c:v>
                </c:pt>
                <c:pt idx="1">
                  <c:v>1651</c:v>
                </c:pt>
                <c:pt idx="2">
                  <c:v>11006</c:v>
                </c:pt>
                <c:pt idx="3">
                  <c:v>910131</c:v>
                </c:pt>
                <c:pt idx="4">
                  <c:v>1035775</c:v>
                </c:pt>
                <c:pt idx="5">
                  <c:v>1019200</c:v>
                </c:pt>
                <c:pt idx="6">
                  <c:v>1010745</c:v>
                </c:pt>
                <c:pt idx="7">
                  <c:v>1025339</c:v>
                </c:pt>
                <c:pt idx="8">
                  <c:v>1038411</c:v>
                </c:pt>
                <c:pt idx="9">
                  <c:v>1055170</c:v>
                </c:pt>
                <c:pt idx="10">
                  <c:v>1064400</c:v>
                </c:pt>
                <c:pt idx="11">
                  <c:v>1086861</c:v>
                </c:pt>
                <c:pt idx="12">
                  <c:v>1095301</c:v>
                </c:pt>
                <c:pt idx="13">
                  <c:v>1106684</c:v>
                </c:pt>
                <c:pt idx="14">
                  <c:v>1134719</c:v>
                </c:pt>
                <c:pt idx="15">
                  <c:v>1610623</c:v>
                </c:pt>
                <c:pt idx="16">
                  <c:v>1613331</c:v>
                </c:pt>
                <c:pt idx="17">
                  <c:v>1632141</c:v>
                </c:pt>
                <c:pt idx="18">
                  <c:v>1652230</c:v>
                </c:pt>
                <c:pt idx="19">
                  <c:v>1720535</c:v>
                </c:pt>
                <c:pt idx="20">
                  <c:v>2073874</c:v>
                </c:pt>
                <c:pt idx="21">
                  <c:v>2143641</c:v>
                </c:pt>
                <c:pt idx="22">
                  <c:v>2162213</c:v>
                </c:pt>
                <c:pt idx="23">
                  <c:v>2177251</c:v>
                </c:pt>
                <c:pt idx="24">
                  <c:v>2192661</c:v>
                </c:pt>
                <c:pt idx="25">
                  <c:v>2214770</c:v>
                </c:pt>
                <c:pt idx="26">
                  <c:v>2232412</c:v>
                </c:pt>
                <c:pt idx="27">
                  <c:v>2251890</c:v>
                </c:pt>
                <c:pt idx="28">
                  <c:v>2277409</c:v>
                </c:pt>
                <c:pt idx="29">
                  <c:v>2302138</c:v>
                </c:pt>
                <c:pt idx="30">
                  <c:v>2323391</c:v>
                </c:pt>
                <c:pt idx="31">
                  <c:v>2338627</c:v>
                </c:pt>
                <c:pt idx="32">
                  <c:v>2354536</c:v>
                </c:pt>
                <c:pt idx="33">
                  <c:v>2372625</c:v>
                </c:pt>
                <c:pt idx="34">
                  <c:v>2398595</c:v>
                </c:pt>
                <c:pt idx="35">
                  <c:v>2419968</c:v>
                </c:pt>
                <c:pt idx="36">
                  <c:v>2439262</c:v>
                </c:pt>
              </c:numCache>
            </c:numRef>
          </c:val>
          <c:smooth val="1"/>
          <c:extLst>
            <c:ext xmlns:c16="http://schemas.microsoft.com/office/drawing/2014/chart" uri="{C3380CC4-5D6E-409C-BE32-E72D297353CC}">
              <c16:uniqueId val="{00000000-490B-4FC0-AFF1-3E6B65E1AEB6}"/>
            </c:ext>
          </c:extLst>
        </c:ser>
        <c:dLbls>
          <c:showLegendKey val="0"/>
          <c:showVal val="0"/>
          <c:showCatName val="0"/>
          <c:showSerName val="0"/>
          <c:showPercent val="0"/>
          <c:showBubbleSize val="0"/>
        </c:dLbls>
        <c:marker val="1"/>
        <c:smooth val="0"/>
        <c:axId val="407827320"/>
        <c:axId val="407828104"/>
      </c:lineChart>
      <c:dateAx>
        <c:axId val="407827320"/>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07828104"/>
        <c:crosses val="autoZero"/>
        <c:auto val="1"/>
        <c:lblOffset val="100"/>
        <c:baseTimeUnit val="months"/>
      </c:dateAx>
      <c:valAx>
        <c:axId val="407828104"/>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50000"/>
                    <a:lumOff val="50000"/>
                  </a:schemeClr>
                </a:solidFill>
                <a:latin typeface="Calibri" panose="020F0502020204030204" pitchFamily="34" charset="0"/>
                <a:ea typeface="+mn-ea"/>
                <a:cs typeface="Calibri" panose="020F0502020204030204" pitchFamily="34" charset="0"/>
              </a:defRPr>
            </a:pPr>
            <a:endParaRPr lang="pl-PL"/>
          </a:p>
        </c:txPr>
        <c:crossAx val="407827320"/>
        <c:crosses val="autoZero"/>
        <c:crossBetween val="between"/>
      </c:valAx>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35745273556819"/>
          <c:y val="5.1752528816749001E-2"/>
          <c:w val="0.48015623031372057"/>
          <c:h val="0.89649494236650196"/>
        </c:manualLayout>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9B1-4D31-9CCC-E167CAE54DF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9B1-4D31-9CCC-E167CAE54DFB}"/>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9B1-4D31-9CCC-E167CAE54DFB}"/>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l-PL"/>
              </a:p>
            </c:txPr>
            <c:dLblPos val="ctr"/>
            <c:showLegendKey val="0"/>
            <c:showVal val="1"/>
            <c:showCatName val="0"/>
            <c:showSerName val="0"/>
            <c:showPercent val="1"/>
            <c:showBubbleSize val="0"/>
            <c:separator>
</c:separator>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'dane EPPK '!$A$87:$A$89</c:f>
              <c:strCache>
                <c:ptCount val="3"/>
                <c:pt idx="0">
                  <c:v>Uczestnik</c:v>
                </c:pt>
                <c:pt idx="1">
                  <c:v>Pracodawca</c:v>
                </c:pt>
                <c:pt idx="2">
                  <c:v>Dopłaty od państwa</c:v>
                </c:pt>
              </c:strCache>
            </c:strRef>
          </c:cat>
          <c:val>
            <c:numRef>
              <c:f>'dane EPPK '!$C$87:$C$89</c:f>
              <c:numCache>
                <c:formatCode>0.00</c:formatCode>
                <c:ptCount val="3"/>
                <c:pt idx="0">
                  <c:v>4.9416360084299997</c:v>
                </c:pt>
                <c:pt idx="1">
                  <c:v>3.74578332364</c:v>
                </c:pt>
                <c:pt idx="2">
                  <c:v>1.0778795758199999</c:v>
                </c:pt>
              </c:numCache>
            </c:numRef>
          </c:val>
          <c:extLst>
            <c:ext xmlns:c16="http://schemas.microsoft.com/office/drawing/2014/chart" uri="{C3380CC4-5D6E-409C-BE32-E72D297353CC}">
              <c16:uniqueId val="{00000006-39B1-4D31-9CCC-E167CAE54DFB}"/>
            </c:ext>
          </c:extLst>
        </c:ser>
        <c:ser>
          <c:idx val="1"/>
          <c:order val="1"/>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8-39B1-4D31-9CCC-E167CAE54DF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A-39B1-4D31-9CCC-E167CAE54DFB}"/>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39B1-4D31-9CCC-E167CAE54DFB}"/>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l-PL"/>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'dane EPPK '!$A$87:$A$89</c:f>
              <c:strCache>
                <c:ptCount val="3"/>
                <c:pt idx="0">
                  <c:v>Uczestnik</c:v>
                </c:pt>
                <c:pt idx="1">
                  <c:v>Pracodawca</c:v>
                </c:pt>
                <c:pt idx="2">
                  <c:v>Dopłaty od państwa</c:v>
                </c:pt>
              </c:strCache>
            </c:strRef>
          </c:cat>
          <c:val>
            <c:numRef>
              <c:f>'dane EPPK '!$C$95:$C$97</c:f>
              <c:numCache>
                <c:formatCode>0.00</c:formatCode>
                <c:ptCount val="3"/>
                <c:pt idx="0">
                  <c:v>5.7432019239400001</c:v>
                </c:pt>
                <c:pt idx="1">
                  <c:v>4.3599025075500002</c:v>
                </c:pt>
                <c:pt idx="2">
                  <c:v>1.2611406012699999</c:v>
                </c:pt>
              </c:numCache>
            </c:numRef>
          </c:val>
          <c:extLst>
            <c:ext xmlns:c16="http://schemas.microsoft.com/office/drawing/2014/chart" uri="{C3380CC4-5D6E-409C-BE32-E72D297353CC}">
              <c16:uniqueId val="{0000000D-39B1-4D31-9CCC-E167CAE54DFB}"/>
            </c:ext>
          </c:extLst>
        </c:ser>
        <c:ser>
          <c:idx val="2"/>
          <c:order val="2"/>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39B1-4D31-9CCC-E167CAE54DF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39B1-4D31-9CCC-E167CAE54DFB}"/>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3-39B1-4D31-9CCC-E167CAE54DFB}"/>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l-PL"/>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'dane EPPK '!$A$87:$A$89</c:f>
              <c:strCache>
                <c:ptCount val="3"/>
                <c:pt idx="0">
                  <c:v>Uczestnik</c:v>
                </c:pt>
                <c:pt idx="1">
                  <c:v>Pracodawca</c:v>
                </c:pt>
                <c:pt idx="2">
                  <c:v>Dopłaty od państwa</c:v>
                </c:pt>
              </c:strCache>
            </c:strRef>
          </c:cat>
          <c:val>
            <c:numRef>
              <c:f>'dane EPPK '!$D$95:$D$97</c:f>
              <c:numCache>
                <c:formatCode>General</c:formatCode>
                <c:ptCount val="3"/>
                <c:pt idx="0">
                  <c:v>50.54</c:v>
                </c:pt>
                <c:pt idx="1">
                  <c:v>38.369999999999997</c:v>
                </c:pt>
                <c:pt idx="2">
                  <c:v>11.1</c:v>
                </c:pt>
              </c:numCache>
            </c:numRef>
          </c:val>
          <c:extLst>
            <c:ext xmlns:c16="http://schemas.microsoft.com/office/drawing/2014/chart" uri="{C3380CC4-5D6E-409C-BE32-E72D297353CC}">
              <c16:uniqueId val="{00000014-39B1-4D31-9CCC-E167CAE54DF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2482806737765371"/>
          <c:y val="0.17728133875274227"/>
          <c:w val="0.20894607794278877"/>
          <c:h val="0.5609030458665669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dk1">
          <a:lumMod val="25000"/>
          <a:lumOff val="75000"/>
        </a:schemeClr>
      </a:solidFill>
      <a:round/>
    </a:ln>
    <a:effectLst/>
  </c:spPr>
  <c:txPr>
    <a:bodyPr/>
    <a:lstStyle/>
    <a:p>
      <a:pPr>
        <a:defRPr/>
      </a:pPr>
      <a:endParaRPr lang="pl-PL"/>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686147825547451E-2"/>
          <c:y val="5.0560398505603982E-2"/>
          <c:w val="0.48909631854793506"/>
          <c:h val="0.91318689256997432"/>
        </c:manualLayout>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8F2-44FD-85BF-CC28D2EDC02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8F2-44FD-85BF-CC28D2EDC024}"/>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8F2-44FD-85BF-CC28D2EDC024}"/>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l-PL"/>
              </a:p>
            </c:txPr>
            <c:dLblPos val="ctr"/>
            <c:showLegendKey val="0"/>
            <c:showVal val="1"/>
            <c:showCatName val="0"/>
            <c:showSerName val="0"/>
            <c:showPercent val="1"/>
            <c:showBubbleSize val="0"/>
            <c:separator>
</c:separator>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'dane EPPK '!$A$95:$A$97</c:f>
              <c:strCache>
                <c:ptCount val="3"/>
                <c:pt idx="0">
                  <c:v>Uczestnik</c:v>
                </c:pt>
                <c:pt idx="1">
                  <c:v>Pracodawca</c:v>
                </c:pt>
                <c:pt idx="2">
                  <c:v>Dopłaty od państwa</c:v>
                </c:pt>
              </c:strCache>
            </c:strRef>
          </c:cat>
          <c:val>
            <c:numRef>
              <c:f>'dane EPPK '!$C$95:$C$97</c:f>
              <c:numCache>
                <c:formatCode>0.00</c:formatCode>
                <c:ptCount val="3"/>
                <c:pt idx="0">
                  <c:v>5.7432019239400001</c:v>
                </c:pt>
                <c:pt idx="1">
                  <c:v>4.3599025075500002</c:v>
                </c:pt>
                <c:pt idx="2">
                  <c:v>1.2611406012699999</c:v>
                </c:pt>
              </c:numCache>
            </c:numRef>
          </c:val>
          <c:extLst>
            <c:ext xmlns:c16="http://schemas.microsoft.com/office/drawing/2014/chart" uri="{C3380CC4-5D6E-409C-BE32-E72D297353CC}">
              <c16:uniqueId val="{00000006-18F2-44FD-85BF-CC28D2EDC024}"/>
            </c:ext>
          </c:extLst>
        </c:ser>
        <c:ser>
          <c:idx val="1"/>
          <c:order val="1"/>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8-18F2-44FD-85BF-CC28D2EDC02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A-18F2-44FD-85BF-CC28D2EDC024}"/>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18F2-44FD-85BF-CC28D2EDC024}"/>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l-PL"/>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'dane EPPK '!$A$95:$A$97</c:f>
              <c:strCache>
                <c:ptCount val="3"/>
                <c:pt idx="0">
                  <c:v>Uczestnik</c:v>
                </c:pt>
                <c:pt idx="1">
                  <c:v>Pracodawca</c:v>
                </c:pt>
                <c:pt idx="2">
                  <c:v>Dopłaty od państwa</c:v>
                </c:pt>
              </c:strCache>
            </c:strRef>
          </c:cat>
          <c:val>
            <c:numRef>
              <c:f>'dane EPPK '!$C$95:$C$97</c:f>
              <c:numCache>
                <c:formatCode>0.00</c:formatCode>
                <c:ptCount val="3"/>
                <c:pt idx="0">
                  <c:v>5.7432019239400001</c:v>
                </c:pt>
                <c:pt idx="1">
                  <c:v>4.3599025075500002</c:v>
                </c:pt>
                <c:pt idx="2">
                  <c:v>1.2611406012699999</c:v>
                </c:pt>
              </c:numCache>
            </c:numRef>
          </c:val>
          <c:extLst>
            <c:ext xmlns:c16="http://schemas.microsoft.com/office/drawing/2014/chart" uri="{C3380CC4-5D6E-409C-BE32-E72D297353CC}">
              <c16:uniqueId val="{0000000D-18F2-44FD-85BF-CC28D2EDC024}"/>
            </c:ext>
          </c:extLst>
        </c:ser>
        <c:ser>
          <c:idx val="2"/>
          <c:order val="2"/>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18F2-44FD-85BF-CC28D2EDC02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18F2-44FD-85BF-CC28D2EDC024}"/>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3-18F2-44FD-85BF-CC28D2EDC024}"/>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l-PL"/>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'dane EPPK '!$A$95:$A$97</c:f>
              <c:strCache>
                <c:ptCount val="3"/>
                <c:pt idx="0">
                  <c:v>Uczestnik</c:v>
                </c:pt>
                <c:pt idx="1">
                  <c:v>Pracodawca</c:v>
                </c:pt>
                <c:pt idx="2">
                  <c:v>Dopłaty od państwa</c:v>
                </c:pt>
              </c:strCache>
            </c:strRef>
          </c:cat>
          <c:val>
            <c:numRef>
              <c:f>'dane EPPK '!$D$95:$D$97</c:f>
              <c:numCache>
                <c:formatCode>General</c:formatCode>
                <c:ptCount val="3"/>
                <c:pt idx="0">
                  <c:v>50.54</c:v>
                </c:pt>
                <c:pt idx="1">
                  <c:v>38.369999999999997</c:v>
                </c:pt>
                <c:pt idx="2">
                  <c:v>11.1</c:v>
                </c:pt>
              </c:numCache>
            </c:numRef>
          </c:val>
          <c:extLst>
            <c:ext xmlns:c16="http://schemas.microsoft.com/office/drawing/2014/chart" uri="{C3380CC4-5D6E-409C-BE32-E72D297353CC}">
              <c16:uniqueId val="{00000014-18F2-44FD-85BF-CC28D2EDC02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8442948806396264"/>
          <c:y val="0.23533893568409803"/>
          <c:w val="0.22658570712884105"/>
          <c:h val="0.53369516543931383"/>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dk1">
          <a:lumMod val="25000"/>
          <a:lumOff val="75000"/>
        </a:schemeClr>
      </a:solidFill>
      <a:round/>
    </a:ln>
    <a:effectLst/>
  </c:spPr>
  <c:txPr>
    <a:bodyPr/>
    <a:lstStyle/>
    <a:p>
      <a:pPr>
        <a:defRPr/>
      </a:pPr>
      <a:endParaRPr lang="pl-PL"/>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3154249949525536E-2"/>
          <c:y val="0.10538472164663627"/>
          <c:w val="0.4553935073348287"/>
          <c:h val="0.85026070753153038"/>
        </c:manualLayout>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61F-4198-AAF9-4A4ED288E83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61F-4198-AAF9-4A4ED288E83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61F-4198-AAF9-4A4ED288E839}"/>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F61F-4198-AAF9-4A4ED288E839}"/>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F61F-4198-AAF9-4A4ED288E839}"/>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F61F-4198-AAF9-4A4ED288E839}"/>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l-PL"/>
              </a:p>
            </c:txPr>
            <c:dLblPos val="bestFit"/>
            <c:showLegendKey val="0"/>
            <c:showVal val="1"/>
            <c:showCatName val="0"/>
            <c:showSerName val="0"/>
            <c:showPercent val="1"/>
            <c:showBubbleSize val="0"/>
            <c:separator>
</c:separator>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'dane EPPK '!$A$103:$A$108</c:f>
              <c:strCache>
                <c:ptCount val="6"/>
                <c:pt idx="0">
                  <c:v>Podstawowa uczestnika</c:v>
                </c:pt>
                <c:pt idx="1">
                  <c:v>Podstawowa pracodawcy</c:v>
                </c:pt>
                <c:pt idx="2">
                  <c:v>Wpłata powitalna</c:v>
                </c:pt>
                <c:pt idx="3">
                  <c:v>Dopłata roczna</c:v>
                </c:pt>
                <c:pt idx="4">
                  <c:v>Dodatkowa pracodawcy</c:v>
                </c:pt>
                <c:pt idx="5">
                  <c:v>Dodatkowa uczestnika</c:v>
                </c:pt>
              </c:strCache>
            </c:strRef>
          </c:cat>
          <c:val>
            <c:numRef>
              <c:f>'dane EPPK '!$C$103:$C$108</c:f>
              <c:numCache>
                <c:formatCode>0.00</c:formatCode>
                <c:ptCount val="6"/>
                <c:pt idx="0">
                  <c:v>4.8801392306700002</c:v>
                </c:pt>
                <c:pt idx="1">
                  <c:v>3.6626095367399998</c:v>
                </c:pt>
                <c:pt idx="2">
                  <c:v>0.51151841761000005</c:v>
                </c:pt>
                <c:pt idx="3">
                  <c:v>0.56636115820999999</c:v>
                </c:pt>
                <c:pt idx="4">
                  <c:v>8.3173786900000005E-2</c:v>
                </c:pt>
                <c:pt idx="5">
                  <c:v>6.1496777760000003E-2</c:v>
                </c:pt>
              </c:numCache>
            </c:numRef>
          </c:val>
          <c:extLst>
            <c:ext xmlns:c16="http://schemas.microsoft.com/office/drawing/2014/chart" uri="{C3380CC4-5D6E-409C-BE32-E72D297353CC}">
              <c16:uniqueId val="{0000000C-F61F-4198-AAF9-4A4ED288E839}"/>
            </c:ext>
          </c:extLst>
        </c:ser>
        <c:ser>
          <c:idx val="1"/>
          <c:order val="1"/>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F61F-4198-AAF9-4A4ED288E83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F61F-4198-AAF9-4A4ED288E83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2-F61F-4198-AAF9-4A4ED288E839}"/>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l-PL"/>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'dane EPPK '!$A$103:$A$108</c:f>
              <c:strCache>
                <c:ptCount val="6"/>
                <c:pt idx="0">
                  <c:v>Podstawowa uczestnika</c:v>
                </c:pt>
                <c:pt idx="1">
                  <c:v>Podstawowa pracodawcy</c:v>
                </c:pt>
                <c:pt idx="2">
                  <c:v>Wpłata powitalna</c:v>
                </c:pt>
                <c:pt idx="3">
                  <c:v>Dopłata roczna</c:v>
                </c:pt>
                <c:pt idx="4">
                  <c:v>Dodatkowa pracodawcy</c:v>
                </c:pt>
                <c:pt idx="5">
                  <c:v>Dodatkowa uczestnika</c:v>
                </c:pt>
              </c:strCache>
            </c:strRef>
          </c:cat>
          <c:val>
            <c:numRef>
              <c:f>'dane EPPK '!$C$95:$C$97</c:f>
              <c:numCache>
                <c:formatCode>0.00</c:formatCode>
                <c:ptCount val="3"/>
                <c:pt idx="0">
                  <c:v>5.7432019239400001</c:v>
                </c:pt>
                <c:pt idx="1">
                  <c:v>4.3599025075500002</c:v>
                </c:pt>
                <c:pt idx="2">
                  <c:v>1.2611406012699999</c:v>
                </c:pt>
              </c:numCache>
            </c:numRef>
          </c:val>
          <c:extLst>
            <c:ext xmlns:c16="http://schemas.microsoft.com/office/drawing/2014/chart" uri="{C3380CC4-5D6E-409C-BE32-E72D297353CC}">
              <c16:uniqueId val="{00000013-F61F-4198-AAF9-4A4ED288E839}"/>
            </c:ext>
          </c:extLst>
        </c:ser>
        <c:ser>
          <c:idx val="2"/>
          <c:order val="2"/>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5-F61F-4198-AAF9-4A4ED288E83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7-F61F-4198-AAF9-4A4ED288E83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9-F61F-4198-AAF9-4A4ED288E839}"/>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l-PL"/>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'dane EPPK '!$A$103:$A$108</c:f>
              <c:strCache>
                <c:ptCount val="6"/>
                <c:pt idx="0">
                  <c:v>Podstawowa uczestnika</c:v>
                </c:pt>
                <c:pt idx="1">
                  <c:v>Podstawowa pracodawcy</c:v>
                </c:pt>
                <c:pt idx="2">
                  <c:v>Wpłata powitalna</c:v>
                </c:pt>
                <c:pt idx="3">
                  <c:v>Dopłata roczna</c:v>
                </c:pt>
                <c:pt idx="4">
                  <c:v>Dodatkowa pracodawcy</c:v>
                </c:pt>
                <c:pt idx="5">
                  <c:v>Dodatkowa uczestnika</c:v>
                </c:pt>
              </c:strCache>
            </c:strRef>
          </c:cat>
          <c:val>
            <c:numRef>
              <c:f>'dane EPPK '!$D$95:$D$97</c:f>
              <c:numCache>
                <c:formatCode>General</c:formatCode>
                <c:ptCount val="3"/>
                <c:pt idx="0">
                  <c:v>50.54</c:v>
                </c:pt>
                <c:pt idx="1">
                  <c:v>38.369999999999997</c:v>
                </c:pt>
                <c:pt idx="2">
                  <c:v>11.1</c:v>
                </c:pt>
              </c:numCache>
            </c:numRef>
          </c:val>
          <c:extLst>
            <c:ext xmlns:c16="http://schemas.microsoft.com/office/drawing/2014/chart" uri="{C3380CC4-5D6E-409C-BE32-E72D297353CC}">
              <c16:uniqueId val="{0000001A-F61F-4198-AAF9-4A4ED288E83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784146981627297"/>
          <c:y val="0.1279974213749597"/>
          <c:w val="0.23553765394710277"/>
          <c:h val="0.7521892219612901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dk1">
          <a:lumMod val="25000"/>
          <a:lumOff val="75000"/>
        </a:schemeClr>
      </a:solidFill>
      <a:round/>
    </a:ln>
    <a:effectLst/>
  </c:spPr>
  <c:txPr>
    <a:bodyPr/>
    <a:lstStyle/>
    <a:p>
      <a:pPr>
        <a:defRPr/>
      </a:pPr>
      <a:endParaRPr lang="pl-PL"/>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2165454509026E-2"/>
          <c:y val="0.12873561940960626"/>
          <c:w val="0.4575877555434083"/>
          <c:h val="0.85435756663091778"/>
        </c:manualLayout>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D81-4BE4-A374-1014FC88DA0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D81-4BE4-A374-1014FC88DA0E}"/>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D81-4BE4-A374-1014FC88DA0E}"/>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9D81-4BE4-A374-1014FC88DA0E}"/>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9D81-4BE4-A374-1014FC88DA0E}"/>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9D81-4BE4-A374-1014FC88DA0E}"/>
              </c:ext>
            </c:extLst>
          </c:dPt>
          <c:dLbls>
            <c:dLbl>
              <c:idx val="2"/>
              <c:layout>
                <c:manualLayout>
                  <c:x val="-6.3301059465065257E-2"/>
                  <c:y val="-3.7949123388070632E-3"/>
                </c:manualLayout>
              </c:layout>
              <c:dLblPos val="bestFi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9D81-4BE4-A374-1014FC88DA0E}"/>
                </c:ext>
              </c:extLst>
            </c:dLbl>
            <c:dLbl>
              <c:idx val="3"/>
              <c:layout>
                <c:manualLayout>
                  <c:x val="-6.7548301527457888E-2"/>
                  <c:y val="-1.4242793977900944E-2"/>
                </c:manualLayout>
              </c:layout>
              <c:dLblPos val="bestFi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9D81-4BE4-A374-1014FC88DA0E}"/>
                </c:ext>
              </c:extLst>
            </c:dLbl>
            <c:dLbl>
              <c:idx val="4"/>
              <c:layout>
                <c:manualLayout>
                  <c:x val="-3.3350778265585322E-2"/>
                  <c:y val="-5.8023762362696251E-3"/>
                </c:manualLayout>
              </c:layout>
              <c:dLblPos val="bestFi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9D81-4BE4-A374-1014FC88DA0E}"/>
                </c:ext>
              </c:extLst>
            </c:dLbl>
            <c:dLbl>
              <c:idx val="5"/>
              <c:layout>
                <c:manualLayout>
                  <c:x val="7.0146365817777639E-2"/>
                  <c:y val="-9.3825378485311792E-3"/>
                </c:manualLayout>
              </c:layout>
              <c:dLblPos val="bestFi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B-9D81-4BE4-A374-1014FC88DA0E}"/>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l-PL"/>
              </a:p>
            </c:txPr>
            <c:dLblPos val="bestFit"/>
            <c:showLegendKey val="0"/>
            <c:showVal val="1"/>
            <c:showCatName val="0"/>
            <c:showSerName val="0"/>
            <c:showPercent val="1"/>
            <c:showBubbleSize val="0"/>
            <c:separator>
</c:separator>
            <c:showLeaderLines val="1"/>
            <c:leaderLines>
              <c:spPr>
                <a:ln w="9525">
                  <a:solidFill>
                    <a:schemeClr val="dk1">
                      <a:lumMod val="50000"/>
                      <a:lumOff val="50000"/>
                    </a:schemeClr>
                  </a:solidFill>
                </a:ln>
                <a:effectLst/>
              </c:spPr>
            </c:leaderLines>
            <c:extLst>
              <c:ext xmlns:c15="http://schemas.microsoft.com/office/drawing/2012/chart" uri="{CE6537A1-D6FC-4f65-9D91-7224C49458BB}">
                <c15:spPr xmlns:c15="http://schemas.microsoft.com/office/drawing/2012/chart">
                  <a:prstGeom prst="rect">
                    <a:avLst/>
                  </a:prstGeom>
                </c15:spPr>
              </c:ext>
            </c:extLst>
          </c:dLbls>
          <c:cat>
            <c:strRef>
              <c:f>'dane EPPK '!$A$113:$A$118</c:f>
              <c:strCache>
                <c:ptCount val="6"/>
                <c:pt idx="0">
                  <c:v>Podstawowa uczestnika</c:v>
                </c:pt>
                <c:pt idx="1">
                  <c:v>Podstawowa pracodawcy</c:v>
                </c:pt>
                <c:pt idx="2">
                  <c:v>Wpłata powitalna</c:v>
                </c:pt>
                <c:pt idx="3">
                  <c:v>Dopłata roczna</c:v>
                </c:pt>
                <c:pt idx="4">
                  <c:v>Dodatkowa pracodawcy</c:v>
                </c:pt>
                <c:pt idx="5">
                  <c:v>Dodatkowa uczestnika</c:v>
                </c:pt>
              </c:strCache>
            </c:strRef>
          </c:cat>
          <c:val>
            <c:numRef>
              <c:f>'dane EPPK '!$C$113:$C$118</c:f>
              <c:numCache>
                <c:formatCode>0.00</c:formatCode>
                <c:ptCount val="6"/>
                <c:pt idx="0">
                  <c:v>5.6677431349300003</c:v>
                </c:pt>
                <c:pt idx="1">
                  <c:v>4.2588111392199997</c:v>
                </c:pt>
                <c:pt idx="2">
                  <c:v>0.58842542331000003</c:v>
                </c:pt>
                <c:pt idx="3">
                  <c:v>0.67271517796000002</c:v>
                </c:pt>
                <c:pt idx="4">
                  <c:v>0.10109136833</c:v>
                </c:pt>
                <c:pt idx="5">
                  <c:v>7.5458789009999999E-2</c:v>
                </c:pt>
              </c:numCache>
            </c:numRef>
          </c:val>
          <c:extLst>
            <c:ext xmlns:c16="http://schemas.microsoft.com/office/drawing/2014/chart" uri="{C3380CC4-5D6E-409C-BE32-E72D297353CC}">
              <c16:uniqueId val="{0000000C-9D81-4BE4-A374-1014FC88DA0E}"/>
            </c:ext>
          </c:extLst>
        </c:ser>
        <c:ser>
          <c:idx val="1"/>
          <c:order val="1"/>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9D81-4BE4-A374-1014FC88DA0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9D81-4BE4-A374-1014FC88DA0E}"/>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2-9D81-4BE4-A374-1014FC88DA0E}"/>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l-PL"/>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'dane EPPK '!$A$113:$A$118</c:f>
              <c:strCache>
                <c:ptCount val="6"/>
                <c:pt idx="0">
                  <c:v>Podstawowa uczestnika</c:v>
                </c:pt>
                <c:pt idx="1">
                  <c:v>Podstawowa pracodawcy</c:v>
                </c:pt>
                <c:pt idx="2">
                  <c:v>Wpłata powitalna</c:v>
                </c:pt>
                <c:pt idx="3">
                  <c:v>Dopłata roczna</c:v>
                </c:pt>
                <c:pt idx="4">
                  <c:v>Dodatkowa pracodawcy</c:v>
                </c:pt>
                <c:pt idx="5">
                  <c:v>Dodatkowa uczestnika</c:v>
                </c:pt>
              </c:strCache>
            </c:strRef>
          </c:cat>
          <c:val>
            <c:numRef>
              <c:f>'dane EPPK '!$C$95:$C$97</c:f>
              <c:numCache>
                <c:formatCode>0.00</c:formatCode>
                <c:ptCount val="3"/>
                <c:pt idx="0">
                  <c:v>5.7432019239400001</c:v>
                </c:pt>
                <c:pt idx="1">
                  <c:v>4.3599025075500002</c:v>
                </c:pt>
                <c:pt idx="2">
                  <c:v>1.2611406012699999</c:v>
                </c:pt>
              </c:numCache>
            </c:numRef>
          </c:val>
          <c:extLst>
            <c:ext xmlns:c16="http://schemas.microsoft.com/office/drawing/2014/chart" uri="{C3380CC4-5D6E-409C-BE32-E72D297353CC}">
              <c16:uniqueId val="{00000013-9D81-4BE4-A374-1014FC88DA0E}"/>
            </c:ext>
          </c:extLst>
        </c:ser>
        <c:ser>
          <c:idx val="2"/>
          <c:order val="2"/>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5-9D81-4BE4-A374-1014FC88DA0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7-9D81-4BE4-A374-1014FC88DA0E}"/>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9-9D81-4BE4-A374-1014FC88DA0E}"/>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l-PL"/>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'dane EPPK '!$A$113:$A$118</c:f>
              <c:strCache>
                <c:ptCount val="6"/>
                <c:pt idx="0">
                  <c:v>Podstawowa uczestnika</c:v>
                </c:pt>
                <c:pt idx="1">
                  <c:v>Podstawowa pracodawcy</c:v>
                </c:pt>
                <c:pt idx="2">
                  <c:v>Wpłata powitalna</c:v>
                </c:pt>
                <c:pt idx="3">
                  <c:v>Dopłata roczna</c:v>
                </c:pt>
                <c:pt idx="4">
                  <c:v>Dodatkowa pracodawcy</c:v>
                </c:pt>
                <c:pt idx="5">
                  <c:v>Dodatkowa uczestnika</c:v>
                </c:pt>
              </c:strCache>
            </c:strRef>
          </c:cat>
          <c:val>
            <c:numRef>
              <c:f>'dane EPPK '!$D$95:$D$97</c:f>
              <c:numCache>
                <c:formatCode>General</c:formatCode>
                <c:ptCount val="3"/>
                <c:pt idx="0">
                  <c:v>50.54</c:v>
                </c:pt>
                <c:pt idx="1">
                  <c:v>38.369999999999997</c:v>
                </c:pt>
                <c:pt idx="2">
                  <c:v>11.1</c:v>
                </c:pt>
              </c:numCache>
            </c:numRef>
          </c:val>
          <c:extLst>
            <c:ext xmlns:c16="http://schemas.microsoft.com/office/drawing/2014/chart" uri="{C3380CC4-5D6E-409C-BE32-E72D297353CC}">
              <c16:uniqueId val="{0000001A-9D81-4BE4-A374-1014FC88DA0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0706141573553161"/>
          <c:y val="8.0708754031010785E-2"/>
          <c:w val="0.24468853639735755"/>
          <c:h val="0.80888757994876614"/>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dk1">
          <a:lumMod val="25000"/>
          <a:lumOff val="75000"/>
        </a:schemeClr>
      </a:solidFill>
      <a:round/>
    </a:ln>
    <a:effectLst/>
  </c:spPr>
  <c:txPr>
    <a:bodyPr/>
    <a:lstStyle/>
    <a:p>
      <a:pPr>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Arkusz1!$A$2:$A$10</c:f>
              <c:strCache>
                <c:ptCount val="9"/>
                <c:pt idx="0">
                  <c:v>2000</c:v>
                </c:pt>
                <c:pt idx="1">
                  <c:v>2010</c:v>
                </c:pt>
                <c:pt idx="2">
                  <c:v>2015</c:v>
                </c:pt>
                <c:pt idx="3">
                  <c:v>2019</c:v>
                </c:pt>
                <c:pt idx="4">
                  <c:v>2020</c:v>
                </c:pt>
                <c:pt idx="5">
                  <c:v>2030*</c:v>
                </c:pt>
                <c:pt idx="6">
                  <c:v>2040*</c:v>
                </c:pt>
                <c:pt idx="7">
                  <c:v>2050*</c:v>
                </c:pt>
                <c:pt idx="8">
                  <c:v>2060*</c:v>
                </c:pt>
              </c:strCache>
            </c:strRef>
          </c:cat>
          <c:val>
            <c:numRef>
              <c:f>Arkusz1!$B$2:$B$10</c:f>
              <c:numCache>
                <c:formatCode>0.0%</c:formatCode>
                <c:ptCount val="9"/>
                <c:pt idx="0">
                  <c:v>0.63700000000000001</c:v>
                </c:pt>
                <c:pt idx="1">
                  <c:v>0.622</c:v>
                </c:pt>
                <c:pt idx="2">
                  <c:v>0.63700000000000001</c:v>
                </c:pt>
                <c:pt idx="3">
                  <c:v>0.56399999999999995</c:v>
                </c:pt>
                <c:pt idx="4">
                  <c:v>0.56399999999999995</c:v>
                </c:pt>
                <c:pt idx="5">
                  <c:v>0.47100000000000003</c:v>
                </c:pt>
                <c:pt idx="6">
                  <c:v>0.376</c:v>
                </c:pt>
                <c:pt idx="7">
                  <c:v>0.28699999999999998</c:v>
                </c:pt>
                <c:pt idx="8">
                  <c:v>0.24600000000000002</c:v>
                </c:pt>
              </c:numCache>
            </c:numRef>
          </c:val>
          <c:extLst>
            <c:ext xmlns:c16="http://schemas.microsoft.com/office/drawing/2014/chart" uri="{C3380CC4-5D6E-409C-BE32-E72D297353CC}">
              <c16:uniqueId val="{00000000-00C6-4CAD-A393-694B83D8202A}"/>
            </c:ext>
          </c:extLst>
        </c:ser>
        <c:dLbls>
          <c:showLegendKey val="0"/>
          <c:showVal val="0"/>
          <c:showCatName val="0"/>
          <c:showSerName val="0"/>
          <c:showPercent val="0"/>
          <c:showBubbleSize val="0"/>
        </c:dLbls>
        <c:gapWidth val="219"/>
        <c:overlap val="-27"/>
        <c:axId val="407399816"/>
        <c:axId val="406766456"/>
      </c:barChart>
      <c:catAx>
        <c:axId val="4073998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a:t>
                </a:r>
                <a:r>
                  <a:rPr lang="pl-PL" baseline="0"/>
                  <a:t> </a:t>
                </a:r>
                <a:r>
                  <a:rPr lang="pl-PL" sz="900" baseline="0"/>
                  <a:t>prognoza</a:t>
                </a:r>
                <a:endParaRPr lang="pl-PL"/>
              </a:p>
            </c:rich>
          </c:tx>
          <c:layout>
            <c:manualLayout>
              <c:xMode val="edge"/>
              <c:yMode val="edge"/>
              <c:x val="0.74584257177334645"/>
              <c:y val="0.8844320204186163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06766456"/>
        <c:crosses val="autoZero"/>
        <c:auto val="1"/>
        <c:lblAlgn val="ctr"/>
        <c:lblOffset val="100"/>
        <c:noMultiLvlLbl val="0"/>
      </c:catAx>
      <c:valAx>
        <c:axId val="406766456"/>
        <c:scaling>
          <c:orientation val="minMax"/>
          <c:max val="0.70000000000000007"/>
          <c:min val="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07399816"/>
        <c:crosses val="autoZero"/>
        <c:crossBetween val="between"/>
        <c:majorUnit val="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pl-PL" sz="800"/>
              <a:t>*stan na 05.12.2022 r.</a:t>
            </a:r>
          </a:p>
        </c:rich>
      </c:tx>
      <c:layout>
        <c:manualLayout>
          <c:xMode val="edge"/>
          <c:yMode val="edge"/>
          <c:x val="5.8482099459789751E-2"/>
          <c:y val="0.93629520837158065"/>
        </c:manualLayout>
      </c:layout>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manualLayout>
          <c:layoutTarget val="inner"/>
          <c:xMode val="edge"/>
          <c:yMode val="edge"/>
          <c:x val="0.12913670166229221"/>
          <c:y val="0.10621583333333333"/>
          <c:w val="0.84483254355648985"/>
          <c:h val="0.6652111111111112"/>
        </c:manualLayout>
      </c:layout>
      <c:barChart>
        <c:barDir val="col"/>
        <c:grouping val="clustered"/>
        <c:varyColors val="0"/>
        <c:ser>
          <c:idx val="1"/>
          <c:order val="0"/>
          <c:tx>
            <c:strRef>
              <c:f>Robocze!$B$1</c:f>
              <c:strCache>
                <c:ptCount val="1"/>
                <c:pt idx="0">
                  <c:v>wpłata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Robocze!$A$2:$A$5</c:f>
              <c:strCache>
                <c:ptCount val="4"/>
                <c:pt idx="0">
                  <c:v>2019</c:v>
                </c:pt>
                <c:pt idx="1">
                  <c:v>2020</c:v>
                </c:pt>
                <c:pt idx="2">
                  <c:v>2021</c:v>
                </c:pt>
                <c:pt idx="3">
                  <c:v>2022*</c:v>
                </c:pt>
              </c:strCache>
            </c:strRef>
          </c:cat>
          <c:val>
            <c:numRef>
              <c:f>Robocze!$B$2:$B$5</c:f>
              <c:numCache>
                <c:formatCode>#\ ##0.0</c:formatCode>
                <c:ptCount val="4"/>
                <c:pt idx="0">
                  <c:v>82.273582189752389</c:v>
                </c:pt>
                <c:pt idx="1">
                  <c:v>1518.722573526273</c:v>
                </c:pt>
                <c:pt idx="2">
                  <c:v>2948.7375111606152</c:v>
                </c:pt>
                <c:pt idx="3">
                  <c:v>4457.9499356922797</c:v>
                </c:pt>
              </c:numCache>
            </c:numRef>
          </c:val>
          <c:extLst>
            <c:ext xmlns:c16="http://schemas.microsoft.com/office/drawing/2014/chart" uri="{C3380CC4-5D6E-409C-BE32-E72D297353CC}">
              <c16:uniqueId val="{00000000-1C00-438A-A9C2-FD1F32F6AE2B}"/>
            </c:ext>
          </c:extLst>
        </c:ser>
        <c:ser>
          <c:idx val="2"/>
          <c:order val="1"/>
          <c:tx>
            <c:strRef>
              <c:f>Robocze!$C$1</c:f>
              <c:strCache>
                <c:ptCount val="1"/>
                <c:pt idx="0">
                  <c:v>WAN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Robocze!$A$2:$A$5</c:f>
              <c:strCache>
                <c:ptCount val="4"/>
                <c:pt idx="0">
                  <c:v>2019</c:v>
                </c:pt>
                <c:pt idx="1">
                  <c:v>2020</c:v>
                </c:pt>
                <c:pt idx="2">
                  <c:v>2021</c:v>
                </c:pt>
                <c:pt idx="3">
                  <c:v>2022*</c:v>
                </c:pt>
              </c:strCache>
            </c:strRef>
          </c:cat>
          <c:val>
            <c:numRef>
              <c:f>Robocze!$C$2:$C$5</c:f>
              <c:numCache>
                <c:formatCode>#\ ##0.0</c:formatCode>
                <c:ptCount val="4"/>
                <c:pt idx="0">
                  <c:v>82.661079264434562</c:v>
                </c:pt>
                <c:pt idx="1">
                  <c:v>1670.108020892932</c:v>
                </c:pt>
                <c:pt idx="2">
                  <c:v>3089.4213077486402</c:v>
                </c:pt>
                <c:pt idx="3">
                  <c:v>4050.2702210147681</c:v>
                </c:pt>
              </c:numCache>
            </c:numRef>
          </c:val>
          <c:extLst>
            <c:ext xmlns:c16="http://schemas.microsoft.com/office/drawing/2014/chart" uri="{C3380CC4-5D6E-409C-BE32-E72D297353CC}">
              <c16:uniqueId val="{00000001-1C00-438A-A9C2-FD1F32F6AE2B}"/>
            </c:ext>
          </c:extLst>
        </c:ser>
        <c:dLbls>
          <c:showLegendKey val="0"/>
          <c:showVal val="1"/>
          <c:showCatName val="0"/>
          <c:showSerName val="0"/>
          <c:showPercent val="0"/>
          <c:showBubbleSize val="0"/>
        </c:dLbls>
        <c:gapWidth val="219"/>
        <c:axId val="391176319"/>
        <c:axId val="391175903"/>
      </c:barChart>
      <c:catAx>
        <c:axId val="3911763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91175903"/>
        <c:crosses val="autoZero"/>
        <c:auto val="1"/>
        <c:lblAlgn val="ctr"/>
        <c:lblOffset val="350"/>
        <c:noMultiLvlLbl val="0"/>
      </c:catAx>
      <c:valAx>
        <c:axId val="391175903"/>
        <c:scaling>
          <c:orientation val="minMax"/>
        </c:scaling>
        <c:delete val="0"/>
        <c:axPos val="l"/>
        <c:majorGridlines>
          <c:spPr>
            <a:ln w="9525" cap="flat" cmpd="sng" algn="ctr">
              <a:solidFill>
                <a:schemeClr val="tx1">
                  <a:lumMod val="15000"/>
                  <a:lumOff val="85000"/>
                </a:schemeClr>
              </a:solidFill>
              <a:round/>
            </a:ln>
            <a:effectLst/>
          </c:spPr>
        </c:majorGridlines>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91176319"/>
        <c:crosses val="autoZero"/>
        <c:crossBetween val="between"/>
        <c:majorUnit val="1000"/>
      </c:valAx>
      <c:spPr>
        <a:noFill/>
        <a:ln>
          <a:noFill/>
        </a:ln>
        <a:effectLst/>
      </c:spPr>
    </c:plotArea>
    <c:legend>
      <c:legendPos val="b"/>
      <c:layout>
        <c:manualLayout>
          <c:xMode val="edge"/>
          <c:yMode val="edge"/>
          <c:x val="6.4871557344924641E-2"/>
          <c:y val="0.85682923765956809"/>
          <c:w val="0.87456579861111106"/>
          <c:h val="6.6146296296296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pl-PL" sz="800" b="0" i="0" baseline="0">
                <a:effectLst/>
              </a:rPr>
              <a:t>*stan na 05.12.2022 r.</a:t>
            </a:r>
          </a:p>
        </c:rich>
      </c:tx>
      <c:layout>
        <c:manualLayout>
          <c:xMode val="edge"/>
          <c:yMode val="edge"/>
          <c:x val="3.6436244080601039E-2"/>
          <c:y val="0.94238910362598938"/>
        </c:manualLayout>
      </c:layout>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Robocze!$D$1</c:f>
              <c:strCache>
                <c:ptCount val="1"/>
                <c:pt idx="0">
                  <c:v>wpłata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Robocze!$A$2:$A$5</c:f>
              <c:strCache>
                <c:ptCount val="4"/>
                <c:pt idx="0">
                  <c:v>2019</c:v>
                </c:pt>
                <c:pt idx="1">
                  <c:v>2020</c:v>
                </c:pt>
                <c:pt idx="2">
                  <c:v>2021</c:v>
                </c:pt>
                <c:pt idx="3">
                  <c:v>2022*</c:v>
                </c:pt>
              </c:strCache>
            </c:strRef>
          </c:cat>
          <c:val>
            <c:numRef>
              <c:f>Robocze!$D$2:$D$5</c:f>
              <c:numCache>
                <c:formatCode>#\ ##0.0</c:formatCode>
                <c:ptCount val="4"/>
                <c:pt idx="0">
                  <c:v>82.273582189752403</c:v>
                </c:pt>
                <c:pt idx="1">
                  <c:v>1467.4963651957071</c:v>
                </c:pt>
                <c:pt idx="2">
                  <c:v>1916.8732020512491</c:v>
                </c:pt>
                <c:pt idx="3">
                  <c:v>1881.8697080620259</c:v>
                </c:pt>
              </c:numCache>
            </c:numRef>
          </c:val>
          <c:extLst>
            <c:ext xmlns:c16="http://schemas.microsoft.com/office/drawing/2014/chart" uri="{C3380CC4-5D6E-409C-BE32-E72D297353CC}">
              <c16:uniqueId val="{00000000-8573-413B-975A-2EB92696CFF9}"/>
            </c:ext>
          </c:extLst>
        </c:ser>
        <c:ser>
          <c:idx val="1"/>
          <c:order val="1"/>
          <c:tx>
            <c:strRef>
              <c:f>Robocze!$E$1</c:f>
              <c:strCache>
                <c:ptCount val="1"/>
                <c:pt idx="0">
                  <c:v>WAN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Robocze!$A$2:$A$5</c:f>
              <c:strCache>
                <c:ptCount val="4"/>
                <c:pt idx="0">
                  <c:v>2019</c:v>
                </c:pt>
                <c:pt idx="1">
                  <c:v>2020</c:v>
                </c:pt>
                <c:pt idx="2">
                  <c:v>2021</c:v>
                </c:pt>
                <c:pt idx="3">
                  <c:v>2022*</c:v>
                </c:pt>
              </c:strCache>
            </c:strRef>
          </c:cat>
          <c:val>
            <c:numRef>
              <c:f>Robocze!$E$2:$E$5</c:f>
              <c:numCache>
                <c:formatCode>#\ ##0.0</c:formatCode>
                <c:ptCount val="4"/>
                <c:pt idx="0">
                  <c:v>82.661079264434562</c:v>
                </c:pt>
                <c:pt idx="1">
                  <c:v>1614.176058111148</c:v>
                </c:pt>
                <c:pt idx="2">
                  <c:v>1837.3466501943501</c:v>
                </c:pt>
                <c:pt idx="3">
                  <c:v>1666.4081681203761</c:v>
                </c:pt>
              </c:numCache>
            </c:numRef>
          </c:val>
          <c:extLst>
            <c:ext xmlns:c16="http://schemas.microsoft.com/office/drawing/2014/chart" uri="{C3380CC4-5D6E-409C-BE32-E72D297353CC}">
              <c16:uniqueId val="{00000001-8573-413B-975A-2EB92696CFF9}"/>
            </c:ext>
          </c:extLst>
        </c:ser>
        <c:dLbls>
          <c:showLegendKey val="0"/>
          <c:showVal val="0"/>
          <c:showCatName val="0"/>
          <c:showSerName val="0"/>
          <c:showPercent val="0"/>
          <c:showBubbleSize val="0"/>
        </c:dLbls>
        <c:gapWidth val="219"/>
        <c:axId val="1314099519"/>
        <c:axId val="1314094111"/>
      </c:barChart>
      <c:catAx>
        <c:axId val="13140995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314094111"/>
        <c:crosses val="autoZero"/>
        <c:auto val="1"/>
        <c:lblAlgn val="ctr"/>
        <c:lblOffset val="100"/>
        <c:noMultiLvlLbl val="0"/>
      </c:catAx>
      <c:valAx>
        <c:axId val="1314094111"/>
        <c:scaling>
          <c:orientation val="minMax"/>
        </c:scaling>
        <c:delete val="0"/>
        <c:axPos val="l"/>
        <c:majorGridlines>
          <c:spPr>
            <a:ln w="9525" cap="flat" cmpd="sng" algn="ctr">
              <a:solidFill>
                <a:schemeClr val="tx1">
                  <a:lumMod val="15000"/>
                  <a:lumOff val="85000"/>
                </a:schemeClr>
              </a:solidFill>
              <a:round/>
            </a:ln>
            <a:effectLst/>
          </c:spPr>
        </c:majorGridlines>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314099519"/>
        <c:crosses val="autoZero"/>
        <c:crossBetween val="between"/>
      </c:valAx>
      <c:spPr>
        <a:noFill/>
        <a:ln>
          <a:noFill/>
        </a:ln>
        <a:effectLst/>
      </c:spPr>
    </c:plotArea>
    <c:legend>
      <c:legendPos val="b"/>
      <c:layout>
        <c:manualLayout>
          <c:xMode val="edge"/>
          <c:yMode val="edge"/>
          <c:x val="0.16150286195286195"/>
          <c:y val="0.90423555555555557"/>
          <c:w val="0.71070798611111108"/>
          <c:h val="6.6146296296296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800" b="0" i="0" u="none" strike="noStrike" kern="1200" spc="0" baseline="0">
                <a:solidFill>
                  <a:schemeClr val="tx1">
                    <a:lumMod val="65000"/>
                    <a:lumOff val="35000"/>
                  </a:schemeClr>
                </a:solidFill>
                <a:latin typeface="+mn-lt"/>
                <a:ea typeface="+mn-ea"/>
                <a:cs typeface="+mn-cs"/>
              </a:defRPr>
            </a:pPr>
            <a:r>
              <a:rPr lang="pl-PL" sz="800" b="0" i="0" baseline="0">
                <a:effectLst/>
              </a:rPr>
              <a:t>* stan na 05.12.2022 r.</a:t>
            </a:r>
            <a:br>
              <a:rPr lang="pl-PL" sz="800" b="0" i="0" baseline="0">
                <a:effectLst/>
              </a:rPr>
            </a:br>
            <a:r>
              <a:rPr lang="pl-PL" sz="800" b="0" i="0" baseline="0">
                <a:effectLst/>
              </a:rPr>
              <a:t>** uwzględnione wpłaty podstawowe i dodatkowe</a:t>
            </a:r>
            <a:br>
              <a:rPr lang="pl-PL" sz="800" b="0" i="0" baseline="0">
                <a:effectLst/>
              </a:rPr>
            </a:br>
            <a:r>
              <a:rPr lang="pl-PL" sz="800" b="0" i="0" baseline="0">
                <a:effectLst/>
              </a:rPr>
              <a:t>*** dopłaty roczne i wpłaty powitalne</a:t>
            </a:r>
          </a:p>
        </c:rich>
      </c:tx>
      <c:layout>
        <c:manualLayout>
          <c:xMode val="edge"/>
          <c:yMode val="edge"/>
          <c:x val="2.7551479092695196E-2"/>
          <c:y val="0.9205150820250485"/>
        </c:manualLayout>
      </c:layout>
      <c:overlay val="0"/>
      <c:spPr>
        <a:noFill/>
        <a:ln>
          <a:noFill/>
        </a:ln>
        <a:effectLst/>
      </c:spPr>
      <c:txPr>
        <a:bodyPr rot="0" spcFirstLastPara="1" vertOverflow="ellipsis" vert="horz" wrap="square" anchor="ctr" anchorCtr="1"/>
        <a:lstStyle/>
        <a:p>
          <a:pPr algn="l">
            <a:defRPr sz="8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manualLayout>
          <c:layoutTarget val="inner"/>
          <c:xMode val="edge"/>
          <c:yMode val="edge"/>
          <c:x val="7.7434244330569793E-2"/>
          <c:y val="0.10945041136267233"/>
          <c:w val="0.89831531475232262"/>
          <c:h val="0.64980658919651169"/>
        </c:manualLayout>
      </c:layout>
      <c:barChart>
        <c:barDir val="col"/>
        <c:grouping val="clustered"/>
        <c:varyColors val="0"/>
        <c:ser>
          <c:idx val="0"/>
          <c:order val="0"/>
          <c:tx>
            <c:strRef>
              <c:f>Robocze!$F$1</c:f>
              <c:strCache>
                <c:ptCount val="1"/>
                <c:pt idx="0">
                  <c:v>dopłaty od państwa***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Robocze!$A$2:$A$5</c:f>
              <c:strCache>
                <c:ptCount val="4"/>
                <c:pt idx="0">
                  <c:v>2019</c:v>
                </c:pt>
                <c:pt idx="1">
                  <c:v>2020</c:v>
                </c:pt>
                <c:pt idx="2">
                  <c:v>2021</c:v>
                </c:pt>
                <c:pt idx="3">
                  <c:v>2022*</c:v>
                </c:pt>
              </c:strCache>
            </c:strRef>
          </c:cat>
          <c:val>
            <c:numRef>
              <c:f>Robocze!$F$2:$F$5</c:f>
              <c:numCache>
                <c:formatCode>#\ ##0.0</c:formatCode>
                <c:ptCount val="4"/>
                <c:pt idx="1">
                  <c:v>160.26738281805851</c:v>
                </c:pt>
                <c:pt idx="2">
                  <c:v>196.4804093393866</c:v>
                </c:pt>
                <c:pt idx="3">
                  <c:v>170.15670469830309</c:v>
                </c:pt>
              </c:numCache>
            </c:numRef>
          </c:val>
          <c:extLst>
            <c:ext xmlns:c16="http://schemas.microsoft.com/office/drawing/2014/chart" uri="{C3380CC4-5D6E-409C-BE32-E72D297353CC}">
              <c16:uniqueId val="{00000000-57AB-41FE-81D7-1CCF9E0297F8}"/>
            </c:ext>
          </c:extLst>
        </c:ser>
        <c:ser>
          <c:idx val="1"/>
          <c:order val="1"/>
          <c:tx>
            <c:strRef>
              <c:f>Robocze!$G$1</c:f>
              <c:strCache>
                <c:ptCount val="1"/>
                <c:pt idx="0">
                  <c:v>wpłaty pracodawcy**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Robocze!$A$2:$A$5</c:f>
              <c:strCache>
                <c:ptCount val="4"/>
                <c:pt idx="0">
                  <c:v>2019</c:v>
                </c:pt>
                <c:pt idx="1">
                  <c:v>2020</c:v>
                </c:pt>
                <c:pt idx="2">
                  <c:v>2021</c:v>
                </c:pt>
                <c:pt idx="3">
                  <c:v>2022*</c:v>
                </c:pt>
              </c:strCache>
            </c:strRef>
          </c:cat>
          <c:val>
            <c:numRef>
              <c:f>Robocze!$G$2:$G$5</c:f>
              <c:numCache>
                <c:formatCode>#\ ##0.0</c:formatCode>
                <c:ptCount val="4"/>
                <c:pt idx="0">
                  <c:v>35.374826951150183</c:v>
                </c:pt>
                <c:pt idx="1">
                  <c:v>562.97180060215533</c:v>
                </c:pt>
                <c:pt idx="2">
                  <c:v>741.74794020278841</c:v>
                </c:pt>
                <c:pt idx="3">
                  <c:v>739.76297524119354</c:v>
                </c:pt>
              </c:numCache>
            </c:numRef>
          </c:val>
          <c:extLst>
            <c:ext xmlns:c16="http://schemas.microsoft.com/office/drawing/2014/chart" uri="{C3380CC4-5D6E-409C-BE32-E72D297353CC}">
              <c16:uniqueId val="{00000001-57AB-41FE-81D7-1CCF9E0297F8}"/>
            </c:ext>
          </c:extLst>
        </c:ser>
        <c:ser>
          <c:idx val="2"/>
          <c:order val="2"/>
          <c:tx>
            <c:strRef>
              <c:f>Robocze!$H$1</c:f>
              <c:strCache>
                <c:ptCount val="1"/>
                <c:pt idx="0">
                  <c:v>wpłaty uczestnika PPK**</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Robocze!$A$2:$A$5</c:f>
              <c:strCache>
                <c:ptCount val="4"/>
                <c:pt idx="0">
                  <c:v>2019</c:v>
                </c:pt>
                <c:pt idx="1">
                  <c:v>2020</c:v>
                </c:pt>
                <c:pt idx="2">
                  <c:v>2021</c:v>
                </c:pt>
                <c:pt idx="3">
                  <c:v>2022*</c:v>
                </c:pt>
              </c:strCache>
            </c:strRef>
          </c:cat>
          <c:val>
            <c:numRef>
              <c:f>Robocze!$H$2:$H$5</c:f>
              <c:numCache>
                <c:formatCode>#\ ##0.0</c:formatCode>
                <c:ptCount val="4"/>
                <c:pt idx="0">
                  <c:v>46.898755238602213</c:v>
                </c:pt>
                <c:pt idx="1">
                  <c:v>744.25718177549254</c:v>
                </c:pt>
                <c:pt idx="2">
                  <c:v>978.64485250907398</c:v>
                </c:pt>
                <c:pt idx="3">
                  <c:v>971.95002812252994</c:v>
                </c:pt>
              </c:numCache>
            </c:numRef>
          </c:val>
          <c:extLst>
            <c:ext xmlns:c16="http://schemas.microsoft.com/office/drawing/2014/chart" uri="{C3380CC4-5D6E-409C-BE32-E72D297353CC}">
              <c16:uniqueId val="{00000002-57AB-41FE-81D7-1CCF9E0297F8}"/>
            </c:ext>
          </c:extLst>
        </c:ser>
        <c:dLbls>
          <c:showLegendKey val="0"/>
          <c:showVal val="0"/>
          <c:showCatName val="0"/>
          <c:showSerName val="0"/>
          <c:showPercent val="0"/>
          <c:showBubbleSize val="0"/>
        </c:dLbls>
        <c:gapWidth val="219"/>
        <c:axId val="1490388495"/>
        <c:axId val="1490376431"/>
      </c:barChart>
      <c:catAx>
        <c:axId val="14903884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90376431"/>
        <c:crosses val="autoZero"/>
        <c:auto val="1"/>
        <c:lblAlgn val="ctr"/>
        <c:lblOffset val="100"/>
        <c:noMultiLvlLbl val="0"/>
      </c:catAx>
      <c:valAx>
        <c:axId val="1490376431"/>
        <c:scaling>
          <c:orientation val="minMax"/>
        </c:scaling>
        <c:delete val="0"/>
        <c:axPos val="l"/>
        <c:majorGridlines>
          <c:spPr>
            <a:ln w="9525" cap="flat" cmpd="sng" algn="ctr">
              <a:solidFill>
                <a:schemeClr val="tx1">
                  <a:lumMod val="15000"/>
                  <a:lumOff val="85000"/>
                </a:schemeClr>
              </a:solidFill>
              <a:round/>
            </a:ln>
            <a:effectLst/>
          </c:spPr>
        </c:majorGridlines>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90388495"/>
        <c:crosses val="autoZero"/>
        <c:crossBetween val="between"/>
      </c:valAx>
      <c:spPr>
        <a:noFill/>
        <a:ln>
          <a:noFill/>
        </a:ln>
        <a:effectLst/>
      </c:spPr>
    </c:plotArea>
    <c:legend>
      <c:legendPos val="b"/>
      <c:layout>
        <c:manualLayout>
          <c:xMode val="edge"/>
          <c:yMode val="edge"/>
          <c:x val="0.16999203675550822"/>
          <c:y val="0.83016864575395821"/>
          <c:w val="0.71975030898915415"/>
          <c:h val="6.205228207477925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portfel!$A$4:$A$9</c:f>
              <c:strCache>
                <c:ptCount val="6"/>
                <c:pt idx="0">
                  <c:v>Instrumenty udziałowe</c:v>
                </c:pt>
                <c:pt idx="1">
                  <c:v>Dłużne papiery wartościowe </c:v>
                </c:pt>
                <c:pt idx="2">
                  <c:v>Lokaty terminowe w instytucjach kredytowych</c:v>
                </c:pt>
                <c:pt idx="3">
                  <c:v>Tytuły uczestnictwa emitowane przez instytucje wspólnego inwestowania mające siedzibę za granicą</c:v>
                </c:pt>
                <c:pt idx="4">
                  <c:v>Instrumenty pochodne</c:v>
                </c:pt>
                <c:pt idx="5">
                  <c:v>Jednostki uczestnictwa i certyfikaty inwestycyjne w funduszach inwestycyjnych</c:v>
                </c:pt>
              </c:strCache>
            </c:strRef>
          </c:cat>
          <c:val>
            <c:numRef>
              <c:f>portfel!$B$4:$B$9</c:f>
              <c:numCache>
                <c:formatCode>0.0%</c:formatCode>
                <c:ptCount val="6"/>
                <c:pt idx="0">
                  <c:v>0.48269835868915656</c:v>
                </c:pt>
                <c:pt idx="1">
                  <c:v>0.41111459226433178</c:v>
                </c:pt>
                <c:pt idx="2">
                  <c:v>2.3791462046744358E-3</c:v>
                </c:pt>
                <c:pt idx="3">
                  <c:v>0.10066399961276082</c:v>
                </c:pt>
                <c:pt idx="4">
                  <c:v>8.1984023365544391E-4</c:v>
                </c:pt>
                <c:pt idx="5">
                  <c:v>2.3240629954209991E-3</c:v>
                </c:pt>
              </c:numCache>
            </c:numRef>
          </c:val>
          <c:extLst>
            <c:ext xmlns:c16="http://schemas.microsoft.com/office/drawing/2014/chart" uri="{C3380CC4-5D6E-409C-BE32-E72D297353CC}">
              <c16:uniqueId val="{00000000-4F8B-4C4E-99A7-A8C463998A79}"/>
            </c:ext>
          </c:extLst>
        </c:ser>
        <c:dLbls>
          <c:showLegendKey val="0"/>
          <c:showVal val="0"/>
          <c:showCatName val="0"/>
          <c:showSerName val="0"/>
          <c:showPercent val="0"/>
          <c:showBubbleSize val="0"/>
        </c:dLbls>
        <c:gapWidth val="219"/>
        <c:overlap val="-27"/>
        <c:axId val="408272632"/>
        <c:axId val="408270672"/>
      </c:barChart>
      <c:catAx>
        <c:axId val="408272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08270672"/>
        <c:crosses val="autoZero"/>
        <c:auto val="1"/>
        <c:lblAlgn val="ctr"/>
        <c:lblOffset val="100"/>
        <c:noMultiLvlLbl val="0"/>
      </c:catAx>
      <c:valAx>
        <c:axId val="40827067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082726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900" b="0" i="0" u="none" strike="noStrike" kern="1200" spc="0" baseline="0">
                <a:solidFill>
                  <a:schemeClr val="tx1">
                    <a:lumMod val="65000"/>
                    <a:lumOff val="35000"/>
                  </a:schemeClr>
                </a:solidFill>
                <a:latin typeface="+mn-lt"/>
                <a:ea typeface="+mn-ea"/>
                <a:cs typeface="+mn-cs"/>
              </a:defRPr>
            </a:pPr>
            <a:r>
              <a:rPr lang="pl-PL" sz="900" b="0" i="1" baseline="0">
                <a:effectLst/>
              </a:rPr>
              <a:t>*Liczba uczestników czynnych na koniec każdego roku</a:t>
            </a:r>
          </a:p>
          <a:p>
            <a:pPr algn="l">
              <a:defRPr sz="900" b="0" i="0" u="none" strike="noStrike" kern="1200" spc="0" baseline="0">
                <a:solidFill>
                  <a:schemeClr val="tx1">
                    <a:lumMod val="65000"/>
                    <a:lumOff val="35000"/>
                  </a:schemeClr>
                </a:solidFill>
                <a:latin typeface="+mn-lt"/>
                <a:ea typeface="+mn-ea"/>
                <a:cs typeface="+mn-cs"/>
              </a:defRPr>
            </a:pPr>
            <a:r>
              <a:rPr lang="pl-PL" sz="900" b="0" i="1" baseline="0">
                <a:effectLst/>
              </a:rPr>
              <a:t>**Liczba rachunków, na które dokonywano wpłat w danym roku</a:t>
            </a:r>
          </a:p>
        </c:rich>
      </c:tx>
      <c:layout>
        <c:manualLayout>
          <c:xMode val="edge"/>
          <c:yMode val="edge"/>
          <c:x val="2.9988372734221485E-2"/>
          <c:y val="0.91816185495790614"/>
        </c:manualLayout>
      </c:layout>
      <c:overlay val="0"/>
      <c:spPr>
        <a:noFill/>
        <a:ln>
          <a:noFill/>
        </a:ln>
        <a:effectLst/>
      </c:spPr>
    </c:title>
    <c:autoTitleDeleted val="0"/>
    <c:plotArea>
      <c:layout>
        <c:manualLayout>
          <c:layoutTarget val="inner"/>
          <c:xMode val="edge"/>
          <c:yMode val="edge"/>
          <c:x val="8.9681485700935495E-2"/>
          <c:y val="5.1176869020404706E-2"/>
          <c:w val="0.89091427311809768"/>
          <c:h val="0.78371301117602232"/>
        </c:manualLayout>
      </c:layout>
      <c:lineChart>
        <c:grouping val="standard"/>
        <c:varyColors val="0"/>
        <c:ser>
          <c:idx val="0"/>
          <c:order val="0"/>
          <c:tx>
            <c:strRef>
              <c:f>czynne!$C$20</c:f>
              <c:strCache>
                <c:ptCount val="1"/>
                <c:pt idx="0">
                  <c:v>PPE*</c:v>
                </c:pt>
              </c:strCache>
            </c:strRef>
          </c:tx>
          <c:spPr>
            <a:ln w="28575" cap="rnd">
              <a:solidFill>
                <a:schemeClr val="accent1">
                  <a:lumMod val="75000"/>
                </a:schemeClr>
              </a:solidFill>
              <a:round/>
            </a:ln>
            <a:effectLst/>
          </c:spPr>
          <c:marker>
            <c:symbol val="circle"/>
            <c:size val="5"/>
            <c:spPr>
              <a:solidFill>
                <a:schemeClr val="accent1">
                  <a:lumMod val="75000"/>
                </a:schemeClr>
              </a:solidFill>
              <a:ln w="9525">
                <a:solidFill>
                  <a:schemeClr val="accent1">
                    <a:lumMod val="75000"/>
                  </a:schemeClr>
                </a:solidFill>
              </a:ln>
              <a:effectLst/>
            </c:spPr>
          </c:marker>
          <c:dLbls>
            <c:dLbl>
              <c:idx val="5"/>
              <c:layout>
                <c:manualLayout>
                  <c:x val="-6.0186892326826273E-2"/>
                  <c:y val="-3.632210447378297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9FF-4131-A9D9-2C8EE27E6EA4}"/>
                </c:ext>
              </c:extLst>
            </c:dLbl>
            <c:dLbl>
              <c:idx val="6"/>
              <c:layout>
                <c:manualLayout>
                  <c:x val="-7.9397137791073949E-2"/>
                  <c:y val="-2.37907761529808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9FF-4131-A9D9-2C8EE27E6EA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czynne!$B$21:$B$30</c:f>
              <c:strCache>
                <c:ptCount val="10"/>
                <c:pt idx="0">
                  <c:v>2012</c:v>
                </c:pt>
                <c:pt idx="1">
                  <c:v>2013</c:v>
                </c:pt>
                <c:pt idx="2">
                  <c:v>2014</c:v>
                </c:pt>
                <c:pt idx="3">
                  <c:v>2015</c:v>
                </c:pt>
                <c:pt idx="4">
                  <c:v>2016</c:v>
                </c:pt>
                <c:pt idx="5">
                  <c:v>2017</c:v>
                </c:pt>
                <c:pt idx="6">
                  <c:v>2018</c:v>
                </c:pt>
                <c:pt idx="7">
                  <c:v>2019</c:v>
                </c:pt>
                <c:pt idx="8">
                  <c:v>2020</c:v>
                </c:pt>
                <c:pt idx="9">
                  <c:v>2021</c:v>
                </c:pt>
              </c:strCache>
            </c:strRef>
          </c:cat>
          <c:val>
            <c:numRef>
              <c:f>czynne!$C$21:$C$30</c:f>
              <c:numCache>
                <c:formatCode>#,##0</c:formatCode>
                <c:ptCount val="10"/>
                <c:pt idx="0">
                  <c:v>302113</c:v>
                </c:pt>
                <c:pt idx="1">
                  <c:v>314041</c:v>
                </c:pt>
                <c:pt idx="2">
                  <c:v>322233</c:v>
                </c:pt>
                <c:pt idx="3">
                  <c:v>329690</c:v>
                </c:pt>
                <c:pt idx="4">
                  <c:v>330228</c:v>
                </c:pt>
                <c:pt idx="5">
                  <c:v>309805</c:v>
                </c:pt>
                <c:pt idx="6">
                  <c:v>334284</c:v>
                </c:pt>
                <c:pt idx="7">
                  <c:v>527851</c:v>
                </c:pt>
                <c:pt idx="8">
                  <c:v>530415</c:v>
                </c:pt>
                <c:pt idx="9">
                  <c:v>521621</c:v>
                </c:pt>
              </c:numCache>
            </c:numRef>
          </c:val>
          <c:smooth val="0"/>
          <c:extLst>
            <c:ext xmlns:c16="http://schemas.microsoft.com/office/drawing/2014/chart" uri="{C3380CC4-5D6E-409C-BE32-E72D297353CC}">
              <c16:uniqueId val="{00000000-98DA-4EA0-9F3B-D09833FCFE8A}"/>
            </c:ext>
          </c:extLst>
        </c:ser>
        <c:ser>
          <c:idx val="1"/>
          <c:order val="1"/>
          <c:tx>
            <c:strRef>
              <c:f>czynne!$D$20</c:f>
              <c:strCache>
                <c:ptCount val="1"/>
                <c:pt idx="0">
                  <c:v>IKE**</c:v>
                </c:pt>
              </c:strCache>
            </c:strRef>
          </c:tx>
          <c:spPr>
            <a:ln w="28575" cap="rnd">
              <a:solidFill>
                <a:schemeClr val="accent2">
                  <a:lumMod val="75000"/>
                </a:schemeClr>
              </a:solidFill>
              <a:round/>
            </a:ln>
            <a:effectLst/>
          </c:spPr>
          <c:marker>
            <c:symbol val="circle"/>
            <c:size val="5"/>
            <c:spPr>
              <a:solidFill>
                <a:schemeClr val="accent2">
                  <a:lumMod val="75000"/>
                </a:schemeClr>
              </a:solidFill>
              <a:ln w="9525">
                <a:solidFill>
                  <a:schemeClr val="accent2">
                    <a:lumMod val="75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czynne!$B$21:$B$30</c:f>
              <c:strCache>
                <c:ptCount val="10"/>
                <c:pt idx="0">
                  <c:v>2012</c:v>
                </c:pt>
                <c:pt idx="1">
                  <c:v>2013</c:v>
                </c:pt>
                <c:pt idx="2">
                  <c:v>2014</c:v>
                </c:pt>
                <c:pt idx="3">
                  <c:v>2015</c:v>
                </c:pt>
                <c:pt idx="4">
                  <c:v>2016</c:v>
                </c:pt>
                <c:pt idx="5">
                  <c:v>2017</c:v>
                </c:pt>
                <c:pt idx="6">
                  <c:v>2018</c:v>
                </c:pt>
                <c:pt idx="7">
                  <c:v>2019</c:v>
                </c:pt>
                <c:pt idx="8">
                  <c:v>2020</c:v>
                </c:pt>
                <c:pt idx="9">
                  <c:v>2021</c:v>
                </c:pt>
              </c:strCache>
            </c:strRef>
          </c:cat>
          <c:val>
            <c:numRef>
              <c:f>czynne!$D$21:$D$30</c:f>
              <c:numCache>
                <c:formatCode>#,##0</c:formatCode>
                <c:ptCount val="10"/>
                <c:pt idx="0">
                  <c:v>257777</c:v>
                </c:pt>
                <c:pt idx="1">
                  <c:v>259923</c:v>
                </c:pt>
                <c:pt idx="2">
                  <c:v>264217</c:v>
                </c:pt>
                <c:pt idx="3">
                  <c:v>269395</c:v>
                </c:pt>
                <c:pt idx="4">
                  <c:v>285001</c:v>
                </c:pt>
                <c:pt idx="5">
                  <c:v>313994</c:v>
                </c:pt>
                <c:pt idx="6">
                  <c:v>336154</c:v>
                </c:pt>
                <c:pt idx="7">
                  <c:v>373668</c:v>
                </c:pt>
                <c:pt idx="8">
                  <c:v>405231</c:v>
                </c:pt>
                <c:pt idx="9">
                  <c:v>446595</c:v>
                </c:pt>
              </c:numCache>
            </c:numRef>
          </c:val>
          <c:smooth val="0"/>
          <c:extLst>
            <c:ext xmlns:c16="http://schemas.microsoft.com/office/drawing/2014/chart" uri="{C3380CC4-5D6E-409C-BE32-E72D297353CC}">
              <c16:uniqueId val="{00000001-98DA-4EA0-9F3B-D09833FCFE8A}"/>
            </c:ext>
          </c:extLst>
        </c:ser>
        <c:ser>
          <c:idx val="2"/>
          <c:order val="2"/>
          <c:tx>
            <c:strRef>
              <c:f>czynne!$E$20</c:f>
              <c:strCache>
                <c:ptCount val="1"/>
                <c:pt idx="0">
                  <c:v>IKZE**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czynne!$B$21:$B$30</c:f>
              <c:strCache>
                <c:ptCount val="10"/>
                <c:pt idx="0">
                  <c:v>2012</c:v>
                </c:pt>
                <c:pt idx="1">
                  <c:v>2013</c:v>
                </c:pt>
                <c:pt idx="2">
                  <c:v>2014</c:v>
                </c:pt>
                <c:pt idx="3">
                  <c:v>2015</c:v>
                </c:pt>
                <c:pt idx="4">
                  <c:v>2016</c:v>
                </c:pt>
                <c:pt idx="5">
                  <c:v>2017</c:v>
                </c:pt>
                <c:pt idx="6">
                  <c:v>2018</c:v>
                </c:pt>
                <c:pt idx="7">
                  <c:v>2019</c:v>
                </c:pt>
                <c:pt idx="8">
                  <c:v>2020</c:v>
                </c:pt>
                <c:pt idx="9">
                  <c:v>2021</c:v>
                </c:pt>
              </c:strCache>
            </c:strRef>
          </c:cat>
          <c:val>
            <c:numRef>
              <c:f>czynne!$E$21:$E$30</c:f>
              <c:numCache>
                <c:formatCode>#,##0</c:formatCode>
                <c:ptCount val="10"/>
                <c:pt idx="0">
                  <c:v>32837</c:v>
                </c:pt>
                <c:pt idx="1">
                  <c:v>54431</c:v>
                </c:pt>
                <c:pt idx="2">
                  <c:v>86521</c:v>
                </c:pt>
                <c:pt idx="3">
                  <c:v>142755</c:v>
                </c:pt>
                <c:pt idx="4">
                  <c:v>169603</c:v>
                </c:pt>
                <c:pt idx="5">
                  <c:v>198030</c:v>
                </c:pt>
                <c:pt idx="6">
                  <c:v>230129</c:v>
                </c:pt>
                <c:pt idx="7">
                  <c:v>252092</c:v>
                </c:pt>
                <c:pt idx="8">
                  <c:v>280843</c:v>
                </c:pt>
                <c:pt idx="9">
                  <c:v>318781</c:v>
                </c:pt>
              </c:numCache>
            </c:numRef>
          </c:val>
          <c:smooth val="0"/>
          <c:extLst>
            <c:ext xmlns:c16="http://schemas.microsoft.com/office/drawing/2014/chart" uri="{C3380CC4-5D6E-409C-BE32-E72D297353CC}">
              <c16:uniqueId val="{00000005-98DA-4EA0-9F3B-D09833FCFE8A}"/>
            </c:ext>
          </c:extLst>
        </c:ser>
        <c:dLbls>
          <c:showLegendKey val="0"/>
          <c:showVal val="0"/>
          <c:showCatName val="0"/>
          <c:showSerName val="0"/>
          <c:showPercent val="0"/>
          <c:showBubbleSize val="0"/>
        </c:dLbls>
        <c:marker val="1"/>
        <c:smooth val="0"/>
        <c:axId val="406820488"/>
        <c:axId val="406853664"/>
        <c:extLst>
          <c:ext xmlns:c15="http://schemas.microsoft.com/office/drawing/2012/chart" uri="{02D57815-91ED-43cb-92C2-25804820EDAC}">
            <c15:filteredLineSeries>
              <c15:ser>
                <c:idx val="3"/>
                <c:order val="3"/>
                <c:tx>
                  <c:strRef>
                    <c:extLst>
                      <c:ext uri="{02D57815-91ED-43cb-92C2-25804820EDAC}">
                        <c15:formulaRef>
                          <c15:sqref>czynne!$F$20</c15:sqref>
                        </c15:formulaRef>
                      </c:ext>
                    </c:extLst>
                    <c:strCache>
                      <c:ptCount val="1"/>
                      <c:pt idx="0">
                        <c:v>PPK</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czynne!$B$21:$B$30</c15:sqref>
                        </c15:formulaRef>
                      </c:ext>
                    </c:extLst>
                    <c:strCache>
                      <c:ptCount val="10"/>
                      <c:pt idx="0">
                        <c:v>2012</c:v>
                      </c:pt>
                      <c:pt idx="1">
                        <c:v>2013</c:v>
                      </c:pt>
                      <c:pt idx="2">
                        <c:v>2014</c:v>
                      </c:pt>
                      <c:pt idx="3">
                        <c:v>2015</c:v>
                      </c:pt>
                      <c:pt idx="4">
                        <c:v>2016</c:v>
                      </c:pt>
                      <c:pt idx="5">
                        <c:v>2017</c:v>
                      </c:pt>
                      <c:pt idx="6">
                        <c:v>2018</c:v>
                      </c:pt>
                      <c:pt idx="7">
                        <c:v>2019</c:v>
                      </c:pt>
                      <c:pt idx="8">
                        <c:v>2020</c:v>
                      </c:pt>
                      <c:pt idx="9">
                        <c:v>2021</c:v>
                      </c:pt>
                    </c:strCache>
                  </c:strRef>
                </c:cat>
                <c:val>
                  <c:numRef>
                    <c:extLst>
                      <c:ext uri="{02D57815-91ED-43cb-92C2-25804820EDAC}">
                        <c15:formulaRef>
                          <c15:sqref>czynne!$F$21:$F$30</c15:sqref>
                        </c15:formulaRef>
                      </c:ext>
                    </c:extLst>
                    <c:numCache>
                      <c:formatCode>General</c:formatCode>
                      <c:ptCount val="10"/>
                      <c:pt idx="7" formatCode="#,##0">
                        <c:v>1035775</c:v>
                      </c:pt>
                      <c:pt idx="8" formatCode="#,##0">
                        <c:v>1613331</c:v>
                      </c:pt>
                      <c:pt idx="9" formatCode="#,##0">
                        <c:v>2277409</c:v>
                      </c:pt>
                    </c:numCache>
                  </c:numRef>
                </c:val>
                <c:smooth val="0"/>
                <c:extLst>
                  <c:ext xmlns:c16="http://schemas.microsoft.com/office/drawing/2014/chart" uri="{C3380CC4-5D6E-409C-BE32-E72D297353CC}">
                    <c16:uniqueId val="{00000006-98DA-4EA0-9F3B-D09833FCFE8A}"/>
                  </c:ext>
                </c:extLst>
              </c15:ser>
            </c15:filteredLineSeries>
          </c:ext>
        </c:extLst>
      </c:lineChart>
      <c:catAx>
        <c:axId val="406820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06853664"/>
        <c:crosses val="autoZero"/>
        <c:auto val="1"/>
        <c:lblAlgn val="ctr"/>
        <c:lblOffset val="100"/>
        <c:noMultiLvlLbl val="0"/>
      </c:catAx>
      <c:valAx>
        <c:axId val="4068536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06820488"/>
        <c:crosses val="autoZero"/>
        <c:crossBetween val="between"/>
      </c:valAx>
      <c:spPr>
        <a:noFill/>
        <a:ln w="25400">
          <a:noFill/>
        </a:ln>
        <a:effectLst/>
      </c:spPr>
    </c:plotArea>
    <c:legend>
      <c:legendPos val="b"/>
      <c:layout>
        <c:manualLayout>
          <c:xMode val="edge"/>
          <c:yMode val="edge"/>
          <c:x val="0.53716938797805025"/>
          <c:y val="0.92986635038820986"/>
          <c:w val="0.36433678631736138"/>
          <c:h val="6.3795778394167474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900" b="0" i="0" u="none" strike="noStrike" kern="1200" spc="0" baseline="0">
                <a:solidFill>
                  <a:schemeClr val="tx1">
                    <a:lumMod val="65000"/>
                    <a:lumOff val="35000"/>
                  </a:schemeClr>
                </a:solidFill>
                <a:latin typeface="+mn-lt"/>
                <a:ea typeface="+mn-ea"/>
                <a:cs typeface="+mn-cs"/>
              </a:defRPr>
            </a:pPr>
            <a:r>
              <a:rPr lang="pl-PL" sz="900" b="0" i="1" baseline="0">
                <a:effectLst/>
              </a:rPr>
              <a:t>*Liczba uczestników czynnych na koniec każdego roku</a:t>
            </a:r>
          </a:p>
          <a:p>
            <a:pPr algn="l">
              <a:defRPr sz="900" b="0" i="0" u="none" strike="noStrike" kern="1200" spc="0" baseline="0">
                <a:solidFill>
                  <a:schemeClr val="tx1">
                    <a:lumMod val="65000"/>
                    <a:lumOff val="35000"/>
                  </a:schemeClr>
                </a:solidFill>
                <a:latin typeface="+mn-lt"/>
                <a:ea typeface="+mn-ea"/>
                <a:cs typeface="+mn-cs"/>
              </a:defRPr>
            </a:pPr>
            <a:r>
              <a:rPr lang="pl-PL" sz="900" b="0" i="1" baseline="0">
                <a:effectLst/>
              </a:rPr>
              <a:t>**Liczba rachunków, na które dokonywano wpłat w danym roku</a:t>
            </a:r>
          </a:p>
        </c:rich>
      </c:tx>
      <c:layout>
        <c:manualLayout>
          <c:xMode val="edge"/>
          <c:yMode val="edge"/>
          <c:x val="6.2411075597976304E-2"/>
          <c:y val="0.89952949926433734"/>
        </c:manualLayout>
      </c:layout>
      <c:overlay val="0"/>
      <c:spPr>
        <a:noFill/>
        <a:ln>
          <a:noFill/>
        </a:ln>
        <a:effectLst/>
      </c:spPr>
    </c:title>
    <c:autoTitleDeleted val="0"/>
    <c:plotArea>
      <c:layout>
        <c:manualLayout>
          <c:layoutTarget val="inner"/>
          <c:xMode val="edge"/>
          <c:yMode val="edge"/>
          <c:x val="8.9307534441453312E-2"/>
          <c:y val="8.3581244736910629E-2"/>
          <c:w val="0.89402020120235615"/>
          <c:h val="0.71283751052617872"/>
        </c:manualLayout>
      </c:layout>
      <c:lineChart>
        <c:grouping val="standard"/>
        <c:varyColors val="0"/>
        <c:ser>
          <c:idx val="0"/>
          <c:order val="0"/>
          <c:tx>
            <c:strRef>
              <c:f>czynne!$F$20</c:f>
              <c:strCache>
                <c:ptCount val="1"/>
                <c:pt idx="0">
                  <c:v>PPK</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9"/>
              <c:layout>
                <c:manualLayout>
                  <c:x val="-2.5657472738935216E-2"/>
                  <c:y val="-3.96912899669239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8EE-4A4D-8EAC-0FECE88EEFA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czynne!$B$21:$B$30</c:f>
              <c:strCache>
                <c:ptCount val="10"/>
                <c:pt idx="0">
                  <c:v>2012</c:v>
                </c:pt>
                <c:pt idx="1">
                  <c:v>2013</c:v>
                </c:pt>
                <c:pt idx="2">
                  <c:v>2014</c:v>
                </c:pt>
                <c:pt idx="3">
                  <c:v>2015</c:v>
                </c:pt>
                <c:pt idx="4">
                  <c:v>2016</c:v>
                </c:pt>
                <c:pt idx="5">
                  <c:v>2017</c:v>
                </c:pt>
                <c:pt idx="6">
                  <c:v>2018</c:v>
                </c:pt>
                <c:pt idx="7">
                  <c:v>2019</c:v>
                </c:pt>
                <c:pt idx="8">
                  <c:v>2020</c:v>
                </c:pt>
                <c:pt idx="9">
                  <c:v>2021</c:v>
                </c:pt>
              </c:strCache>
            </c:strRef>
          </c:cat>
          <c:val>
            <c:numRef>
              <c:f>czynne!$F$21:$F$30</c:f>
              <c:numCache>
                <c:formatCode>General</c:formatCode>
                <c:ptCount val="10"/>
                <c:pt idx="7" formatCode="#,##0">
                  <c:v>1035775</c:v>
                </c:pt>
                <c:pt idx="8" formatCode="#,##0">
                  <c:v>1613331</c:v>
                </c:pt>
                <c:pt idx="9" formatCode="#,##0">
                  <c:v>2277409</c:v>
                </c:pt>
              </c:numCache>
            </c:numRef>
          </c:val>
          <c:smooth val="0"/>
          <c:extLst>
            <c:ext xmlns:c16="http://schemas.microsoft.com/office/drawing/2014/chart" uri="{C3380CC4-5D6E-409C-BE32-E72D297353CC}">
              <c16:uniqueId val="{00000000-B3B2-4781-B5C0-97BB06350FC3}"/>
            </c:ext>
          </c:extLst>
        </c:ser>
        <c:ser>
          <c:idx val="1"/>
          <c:order val="1"/>
          <c:tx>
            <c:strRef>
              <c:f>czynne!$G$20</c:f>
              <c:strCache>
                <c:ptCount val="1"/>
                <c:pt idx="0">
                  <c:v>PPE*, IKE**, IKZE**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czynne!$B$21:$B$30</c:f>
              <c:strCache>
                <c:ptCount val="10"/>
                <c:pt idx="0">
                  <c:v>2012</c:v>
                </c:pt>
                <c:pt idx="1">
                  <c:v>2013</c:v>
                </c:pt>
                <c:pt idx="2">
                  <c:v>2014</c:v>
                </c:pt>
                <c:pt idx="3">
                  <c:v>2015</c:v>
                </c:pt>
                <c:pt idx="4">
                  <c:v>2016</c:v>
                </c:pt>
                <c:pt idx="5">
                  <c:v>2017</c:v>
                </c:pt>
                <c:pt idx="6">
                  <c:v>2018</c:v>
                </c:pt>
                <c:pt idx="7">
                  <c:v>2019</c:v>
                </c:pt>
                <c:pt idx="8">
                  <c:v>2020</c:v>
                </c:pt>
                <c:pt idx="9">
                  <c:v>2021</c:v>
                </c:pt>
              </c:strCache>
            </c:strRef>
          </c:cat>
          <c:val>
            <c:numRef>
              <c:f>czynne!$G$21:$G$30</c:f>
              <c:numCache>
                <c:formatCode>#,##0</c:formatCode>
                <c:ptCount val="10"/>
                <c:pt idx="0">
                  <c:v>592727</c:v>
                </c:pt>
                <c:pt idx="1">
                  <c:v>628395</c:v>
                </c:pt>
                <c:pt idx="2">
                  <c:v>672971</c:v>
                </c:pt>
                <c:pt idx="3">
                  <c:v>741840</c:v>
                </c:pt>
                <c:pt idx="4">
                  <c:v>784832</c:v>
                </c:pt>
                <c:pt idx="5">
                  <c:v>821829</c:v>
                </c:pt>
                <c:pt idx="6">
                  <c:v>900567</c:v>
                </c:pt>
                <c:pt idx="7">
                  <c:v>1153611</c:v>
                </c:pt>
                <c:pt idx="8">
                  <c:v>1216489</c:v>
                </c:pt>
                <c:pt idx="9">
                  <c:v>1286997</c:v>
                </c:pt>
              </c:numCache>
            </c:numRef>
          </c:val>
          <c:smooth val="0"/>
          <c:extLst>
            <c:ext xmlns:c16="http://schemas.microsoft.com/office/drawing/2014/chart" uri="{C3380CC4-5D6E-409C-BE32-E72D297353CC}">
              <c16:uniqueId val="{00000001-B3B2-4781-B5C0-97BB06350FC3}"/>
            </c:ext>
          </c:extLst>
        </c:ser>
        <c:dLbls>
          <c:dLblPos val="t"/>
          <c:showLegendKey val="0"/>
          <c:showVal val="1"/>
          <c:showCatName val="0"/>
          <c:showSerName val="0"/>
          <c:showPercent val="0"/>
          <c:showBubbleSize val="0"/>
        </c:dLbls>
        <c:marker val="1"/>
        <c:smooth val="0"/>
        <c:axId val="294063336"/>
        <c:axId val="294064904"/>
      </c:lineChart>
      <c:catAx>
        <c:axId val="294063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94064904"/>
        <c:crosses val="autoZero"/>
        <c:auto val="1"/>
        <c:lblAlgn val="ctr"/>
        <c:lblOffset val="100"/>
        <c:noMultiLvlLbl val="0"/>
      </c:catAx>
      <c:valAx>
        <c:axId val="294064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94063336"/>
        <c:crosses val="autoZero"/>
        <c:crossBetween val="between"/>
        <c:majorUnit val="250000"/>
      </c:valAx>
      <c:spPr>
        <a:noFill/>
        <a:ln>
          <a:noFill/>
        </a:ln>
        <a:effectLst/>
      </c:spPr>
    </c:plotArea>
    <c:legend>
      <c:legendPos val="b"/>
      <c:layout>
        <c:manualLayout>
          <c:xMode val="edge"/>
          <c:yMode val="edge"/>
          <c:x val="0.57345528551322855"/>
          <c:y val="0.9032253822481634"/>
          <c:w val="0.3543349175644257"/>
          <c:h val="8.329558120303455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aktywa!$C$7</c:f>
              <c:strCache>
                <c:ptCount val="1"/>
                <c:pt idx="0">
                  <c:v>PPE</c:v>
                </c:pt>
              </c:strCache>
            </c:strRef>
          </c:tx>
          <c:spPr>
            <a:ln w="28575" cap="rnd">
              <a:solidFill>
                <a:schemeClr val="accent1">
                  <a:lumMod val="75000"/>
                </a:schemeClr>
              </a:solidFill>
              <a:round/>
            </a:ln>
            <a:effectLst/>
          </c:spPr>
          <c:marker>
            <c:symbol val="circle"/>
            <c:size val="5"/>
            <c:spPr>
              <a:solidFill>
                <a:schemeClr val="accent1">
                  <a:lumMod val="75000"/>
                </a:schemeClr>
              </a:solidFill>
              <a:ln w="9525">
                <a:solidFill>
                  <a:schemeClr val="accent1">
                    <a:lumMod val="75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aktywa!$B$8:$B$17</c:f>
              <c:strCache>
                <c:ptCount val="10"/>
                <c:pt idx="0">
                  <c:v>2012</c:v>
                </c:pt>
                <c:pt idx="1">
                  <c:v>2013</c:v>
                </c:pt>
                <c:pt idx="2">
                  <c:v>2014</c:v>
                </c:pt>
                <c:pt idx="3">
                  <c:v>2015</c:v>
                </c:pt>
                <c:pt idx="4">
                  <c:v>2016</c:v>
                </c:pt>
                <c:pt idx="5">
                  <c:v>2017</c:v>
                </c:pt>
                <c:pt idx="6">
                  <c:v>2018</c:v>
                </c:pt>
                <c:pt idx="7">
                  <c:v>2019</c:v>
                </c:pt>
                <c:pt idx="8">
                  <c:v>2020</c:v>
                </c:pt>
                <c:pt idx="9">
                  <c:v>2021</c:v>
                </c:pt>
              </c:strCache>
            </c:strRef>
          </c:cat>
          <c:val>
            <c:numRef>
              <c:f>aktywa!$C$8:$C$17</c:f>
              <c:numCache>
                <c:formatCode>#,##0.00</c:formatCode>
                <c:ptCount val="10"/>
                <c:pt idx="0">
                  <c:v>8.3508970000000016</c:v>
                </c:pt>
                <c:pt idx="1">
                  <c:v>9.4073349999999998</c:v>
                </c:pt>
                <c:pt idx="2">
                  <c:v>10.259532</c:v>
                </c:pt>
                <c:pt idx="3">
                  <c:v>10.623451999999999</c:v>
                </c:pt>
                <c:pt idx="4">
                  <c:v>11.394485000000001</c:v>
                </c:pt>
                <c:pt idx="5">
                  <c:v>12.643466</c:v>
                </c:pt>
                <c:pt idx="6">
                  <c:v>12.802536</c:v>
                </c:pt>
                <c:pt idx="7">
                  <c:v>14.547572000000001</c:v>
                </c:pt>
                <c:pt idx="8">
                  <c:v>17.016038999999999</c:v>
                </c:pt>
                <c:pt idx="9">
                  <c:v>18.929308000000002</c:v>
                </c:pt>
              </c:numCache>
            </c:numRef>
          </c:val>
          <c:smooth val="0"/>
          <c:extLst>
            <c:ext xmlns:c16="http://schemas.microsoft.com/office/drawing/2014/chart" uri="{C3380CC4-5D6E-409C-BE32-E72D297353CC}">
              <c16:uniqueId val="{00000000-880D-4AFE-9AC7-98D8BB03A0A5}"/>
            </c:ext>
          </c:extLst>
        </c:ser>
        <c:ser>
          <c:idx val="1"/>
          <c:order val="1"/>
          <c:tx>
            <c:strRef>
              <c:f>aktywa!$D$7</c:f>
              <c:strCache>
                <c:ptCount val="1"/>
                <c:pt idx="0">
                  <c:v>IKE</c:v>
                </c:pt>
              </c:strCache>
            </c:strRef>
          </c:tx>
          <c:spPr>
            <a:ln w="28575" cap="rnd">
              <a:solidFill>
                <a:schemeClr val="accent2">
                  <a:lumMod val="75000"/>
                </a:schemeClr>
              </a:solidFill>
              <a:round/>
            </a:ln>
            <a:effectLst/>
          </c:spPr>
          <c:marker>
            <c:symbol val="circle"/>
            <c:size val="5"/>
            <c:spPr>
              <a:solidFill>
                <a:schemeClr val="accent2">
                  <a:lumMod val="75000"/>
                </a:schemeClr>
              </a:solidFill>
              <a:ln w="9525">
                <a:solidFill>
                  <a:schemeClr val="accent2">
                    <a:lumMod val="75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aktywa!$B$8:$B$17</c:f>
              <c:strCache>
                <c:ptCount val="10"/>
                <c:pt idx="0">
                  <c:v>2012</c:v>
                </c:pt>
                <c:pt idx="1">
                  <c:v>2013</c:v>
                </c:pt>
                <c:pt idx="2">
                  <c:v>2014</c:v>
                </c:pt>
                <c:pt idx="3">
                  <c:v>2015</c:v>
                </c:pt>
                <c:pt idx="4">
                  <c:v>2016</c:v>
                </c:pt>
                <c:pt idx="5">
                  <c:v>2017</c:v>
                </c:pt>
                <c:pt idx="6">
                  <c:v>2018</c:v>
                </c:pt>
                <c:pt idx="7">
                  <c:v>2019</c:v>
                </c:pt>
                <c:pt idx="8">
                  <c:v>2020</c:v>
                </c:pt>
                <c:pt idx="9">
                  <c:v>2021</c:v>
                </c:pt>
              </c:strCache>
            </c:strRef>
          </c:cat>
          <c:val>
            <c:numRef>
              <c:f>aktywa!$D$8:$D$17</c:f>
              <c:numCache>
                <c:formatCode>#,##0.00</c:formatCode>
                <c:ptCount val="10"/>
                <c:pt idx="0">
                  <c:v>3.530313</c:v>
                </c:pt>
                <c:pt idx="1">
                  <c:v>4.2711499999999996</c:v>
                </c:pt>
                <c:pt idx="2">
                  <c:v>5.0305370000000007</c:v>
                </c:pt>
                <c:pt idx="3">
                  <c:v>5.6449819999999997</c:v>
                </c:pt>
                <c:pt idx="4">
                  <c:v>6.6554970000000004</c:v>
                </c:pt>
                <c:pt idx="5">
                  <c:v>7.9613419999999993</c:v>
                </c:pt>
                <c:pt idx="6">
                  <c:v>8.6914800000000003</c:v>
                </c:pt>
                <c:pt idx="7">
                  <c:v>10.167365</c:v>
                </c:pt>
                <c:pt idx="8">
                  <c:v>11.923658999999999</c:v>
                </c:pt>
                <c:pt idx="9">
                  <c:v>13.466246</c:v>
                </c:pt>
              </c:numCache>
            </c:numRef>
          </c:val>
          <c:smooth val="0"/>
          <c:extLst>
            <c:ext xmlns:c16="http://schemas.microsoft.com/office/drawing/2014/chart" uri="{C3380CC4-5D6E-409C-BE32-E72D297353CC}">
              <c16:uniqueId val="{00000001-880D-4AFE-9AC7-98D8BB03A0A5}"/>
            </c:ext>
          </c:extLst>
        </c:ser>
        <c:ser>
          <c:idx val="2"/>
          <c:order val="2"/>
          <c:tx>
            <c:strRef>
              <c:f>aktywa!$E$7</c:f>
              <c:strCache>
                <c:ptCount val="1"/>
                <c:pt idx="0">
                  <c:v>IKZE</c:v>
                </c:pt>
              </c:strCache>
            </c:strRef>
          </c:tx>
          <c:spPr>
            <a:ln w="28575" cap="rnd">
              <a:solidFill>
                <a:schemeClr val="bg1">
                  <a:lumMod val="50000"/>
                </a:schemeClr>
              </a:solidFill>
              <a:round/>
            </a:ln>
            <a:effectLst/>
          </c:spPr>
          <c:marker>
            <c:symbol val="circle"/>
            <c:size val="5"/>
            <c:spPr>
              <a:solidFill>
                <a:schemeClr val="bg1">
                  <a:lumMod val="50000"/>
                </a:schemeClr>
              </a:solidFill>
              <a:ln w="9525">
                <a:solidFill>
                  <a:schemeClr val="bg1">
                    <a:lumMod val="5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aktywa!$B$8:$B$17</c:f>
              <c:strCache>
                <c:ptCount val="10"/>
                <c:pt idx="0">
                  <c:v>2012</c:v>
                </c:pt>
                <c:pt idx="1">
                  <c:v>2013</c:v>
                </c:pt>
                <c:pt idx="2">
                  <c:v>2014</c:v>
                </c:pt>
                <c:pt idx="3">
                  <c:v>2015</c:v>
                </c:pt>
                <c:pt idx="4">
                  <c:v>2016</c:v>
                </c:pt>
                <c:pt idx="5">
                  <c:v>2017</c:v>
                </c:pt>
                <c:pt idx="6">
                  <c:v>2018</c:v>
                </c:pt>
                <c:pt idx="7">
                  <c:v>2019</c:v>
                </c:pt>
                <c:pt idx="8">
                  <c:v>2020</c:v>
                </c:pt>
                <c:pt idx="9">
                  <c:v>2021</c:v>
                </c:pt>
              </c:strCache>
            </c:strRef>
          </c:cat>
          <c:val>
            <c:numRef>
              <c:f>aktywa!$E$8:$E$17</c:f>
              <c:numCache>
                <c:formatCode>#,##0.00</c:formatCode>
                <c:ptCount val="10"/>
                <c:pt idx="0">
                  <c:v>5.2881999999999998E-2</c:v>
                </c:pt>
                <c:pt idx="1">
                  <c:v>0.11920600000000001</c:v>
                </c:pt>
                <c:pt idx="2">
                  <c:v>0.29535</c:v>
                </c:pt>
                <c:pt idx="3">
                  <c:v>0.61959200000000003</c:v>
                </c:pt>
                <c:pt idx="4">
                  <c:v>1.07809</c:v>
                </c:pt>
                <c:pt idx="5">
                  <c:v>1.7068489999999998</c:v>
                </c:pt>
                <c:pt idx="6">
                  <c:v>2.3175949999999998</c:v>
                </c:pt>
                <c:pt idx="7">
                  <c:v>3.2838290000000003</c:v>
                </c:pt>
                <c:pt idx="8">
                  <c:v>4.5817740000000002</c:v>
                </c:pt>
                <c:pt idx="9">
                  <c:v>5.9767520000000003</c:v>
                </c:pt>
              </c:numCache>
            </c:numRef>
          </c:val>
          <c:smooth val="0"/>
          <c:extLst>
            <c:ext xmlns:c16="http://schemas.microsoft.com/office/drawing/2014/chart" uri="{C3380CC4-5D6E-409C-BE32-E72D297353CC}">
              <c16:uniqueId val="{00000002-880D-4AFE-9AC7-98D8BB03A0A5}"/>
            </c:ext>
          </c:extLst>
        </c:ser>
        <c:ser>
          <c:idx val="3"/>
          <c:order val="3"/>
          <c:tx>
            <c:strRef>
              <c:f>aktywa!$F$7</c:f>
              <c:strCache>
                <c:ptCount val="1"/>
                <c:pt idx="0">
                  <c:v>PPK</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aktywa!$B$8:$B$17</c:f>
              <c:strCache>
                <c:ptCount val="10"/>
                <c:pt idx="0">
                  <c:v>2012</c:v>
                </c:pt>
                <c:pt idx="1">
                  <c:v>2013</c:v>
                </c:pt>
                <c:pt idx="2">
                  <c:v>2014</c:v>
                </c:pt>
                <c:pt idx="3">
                  <c:v>2015</c:v>
                </c:pt>
                <c:pt idx="4">
                  <c:v>2016</c:v>
                </c:pt>
                <c:pt idx="5">
                  <c:v>2017</c:v>
                </c:pt>
                <c:pt idx="6">
                  <c:v>2018</c:v>
                </c:pt>
                <c:pt idx="7">
                  <c:v>2019</c:v>
                </c:pt>
                <c:pt idx="8">
                  <c:v>2020</c:v>
                </c:pt>
                <c:pt idx="9">
                  <c:v>2021</c:v>
                </c:pt>
              </c:strCache>
            </c:strRef>
          </c:cat>
          <c:val>
            <c:numRef>
              <c:f>aktywa!$F$8:$F$17</c:f>
              <c:numCache>
                <c:formatCode>General</c:formatCode>
                <c:ptCount val="10"/>
                <c:pt idx="7" formatCode="0.00">
                  <c:v>8.6999999999999994E-2</c:v>
                </c:pt>
                <c:pt idx="8" formatCode="0.00">
                  <c:v>2.8170000000000002</c:v>
                </c:pt>
                <c:pt idx="9" formatCode="0.00">
                  <c:v>7.6689999999999996</c:v>
                </c:pt>
              </c:numCache>
            </c:numRef>
          </c:val>
          <c:smooth val="0"/>
          <c:extLst>
            <c:ext xmlns:c16="http://schemas.microsoft.com/office/drawing/2014/chart" uri="{C3380CC4-5D6E-409C-BE32-E72D297353CC}">
              <c16:uniqueId val="{00000003-880D-4AFE-9AC7-98D8BB03A0A5}"/>
            </c:ext>
          </c:extLst>
        </c:ser>
        <c:dLbls>
          <c:dLblPos val="t"/>
          <c:showLegendKey val="0"/>
          <c:showVal val="1"/>
          <c:showCatName val="0"/>
          <c:showSerName val="0"/>
          <c:showPercent val="0"/>
          <c:showBubbleSize val="0"/>
        </c:dLbls>
        <c:marker val="1"/>
        <c:smooth val="0"/>
        <c:axId val="294066080"/>
        <c:axId val="294062160"/>
      </c:lineChart>
      <c:catAx>
        <c:axId val="294066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94062160"/>
        <c:crosses val="autoZero"/>
        <c:auto val="1"/>
        <c:lblAlgn val="ctr"/>
        <c:lblOffset val="100"/>
        <c:noMultiLvlLbl val="0"/>
      </c:catAx>
      <c:valAx>
        <c:axId val="29406216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94066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50920823800168"/>
          <c:y val="7.3537005163511207E-2"/>
          <c:w val="0.76436372329661484"/>
          <c:h val="0.63785117974710981"/>
        </c:manualLayout>
      </c:layout>
      <c:barChart>
        <c:barDir val="bar"/>
        <c:grouping val="clustered"/>
        <c:varyColors val="0"/>
        <c:ser>
          <c:idx val="0"/>
          <c:order val="0"/>
          <c:tx>
            <c:strRef>
              <c:f>Arkusz1!$E$9</c:f>
              <c:strCache>
                <c:ptCount val="1"/>
                <c:pt idx="0">
                  <c:v>Liczba oszczędzających (mln)</c:v>
                </c:pt>
              </c:strCache>
            </c:strRef>
          </c:tx>
          <c:spPr>
            <a:solidFill>
              <a:schemeClr val="accent1">
                <a:lumMod val="75000"/>
              </a:schemeClr>
            </a:solidFill>
            <a:ln>
              <a:solidFill>
                <a:schemeClr val="accent1">
                  <a:lumMod val="75000"/>
                </a:schemeClr>
              </a:solidFill>
            </a:ln>
            <a:effectLst/>
          </c:spPr>
          <c:invertIfNegative val="0"/>
          <c:dPt>
            <c:idx val="1"/>
            <c:invertIfNegative val="0"/>
            <c:bubble3D val="0"/>
            <c:extLst>
              <c:ext xmlns:c16="http://schemas.microsoft.com/office/drawing/2014/chart" uri="{C3380CC4-5D6E-409C-BE32-E72D297353CC}">
                <c16:uniqueId val="{00000002-28D7-49D0-ADCF-5B059A44A8D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Arkusz1!$F$8:$J$8</c:f>
              <c:strCache>
                <c:ptCount val="5"/>
                <c:pt idx="0">
                  <c:v>PPK (3 lata)</c:v>
                </c:pt>
                <c:pt idx="1">
                  <c:v>IKE, IKZE, PPE (suma)</c:v>
                </c:pt>
                <c:pt idx="2">
                  <c:v>IKZE (10 lat)</c:v>
                </c:pt>
                <c:pt idx="3">
                  <c:v>IKE (18 lat)</c:v>
                </c:pt>
                <c:pt idx="4">
                  <c:v>PPE (23 lata)</c:v>
                </c:pt>
              </c:strCache>
            </c:strRef>
          </c:cat>
          <c:val>
            <c:numRef>
              <c:f>Arkusz1!$F$9:$J$9</c:f>
              <c:numCache>
                <c:formatCode>0.00</c:formatCode>
                <c:ptCount val="5"/>
                <c:pt idx="0">
                  <c:v>2.5198800000000001</c:v>
                </c:pt>
                <c:pt idx="1">
                  <c:v>1.9005459999999998</c:v>
                </c:pt>
                <c:pt idx="2">
                  <c:v>0.46265099999999998</c:v>
                </c:pt>
                <c:pt idx="3">
                  <c:v>0.796489</c:v>
                </c:pt>
                <c:pt idx="4">
                  <c:v>0.64140600000000003</c:v>
                </c:pt>
              </c:numCache>
            </c:numRef>
          </c:val>
          <c:extLst>
            <c:ext xmlns:c16="http://schemas.microsoft.com/office/drawing/2014/chart" uri="{C3380CC4-5D6E-409C-BE32-E72D297353CC}">
              <c16:uniqueId val="{00000000-28D7-49D0-ADCF-5B059A44A8DD}"/>
            </c:ext>
          </c:extLst>
        </c:ser>
        <c:dLbls>
          <c:showLegendKey val="0"/>
          <c:showVal val="0"/>
          <c:showCatName val="0"/>
          <c:showSerName val="0"/>
          <c:showPercent val="0"/>
          <c:showBubbleSize val="0"/>
        </c:dLbls>
        <c:gapWidth val="200"/>
        <c:overlap val="100"/>
        <c:axId val="294059024"/>
        <c:axId val="294060200"/>
      </c:barChart>
      <c:catAx>
        <c:axId val="2940590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94060200"/>
        <c:crosses val="autoZero"/>
        <c:auto val="1"/>
        <c:lblAlgn val="ctr"/>
        <c:lblOffset val="100"/>
        <c:noMultiLvlLbl val="0"/>
      </c:catAx>
      <c:valAx>
        <c:axId val="294060200"/>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940590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699495284143423E-2"/>
          <c:y val="8.0575978843574064E-2"/>
          <c:w val="0.89713233134778947"/>
          <c:h val="0.77350776332057214"/>
        </c:manualLayout>
      </c:layout>
      <c:barChart>
        <c:barDir val="col"/>
        <c:grouping val="clustered"/>
        <c:varyColors val="0"/>
        <c:ser>
          <c:idx val="1"/>
          <c:order val="1"/>
          <c:tx>
            <c:strRef>
              <c:f>Arkusz1!$D$3</c:f>
              <c:strCache>
                <c:ptCount val="1"/>
                <c:pt idx="0">
                  <c:v>wpłaty pracownika</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Arkusz1!$C$4:$C$11</c:f>
              <c:numCache>
                <c:formatCode>General</c:formatCode>
                <c:ptCount val="8"/>
                <c:pt idx="0">
                  <c:v>2025</c:v>
                </c:pt>
                <c:pt idx="1">
                  <c:v>2030</c:v>
                </c:pt>
                <c:pt idx="2">
                  <c:v>2035</c:v>
                </c:pt>
                <c:pt idx="3">
                  <c:v>2040</c:v>
                </c:pt>
                <c:pt idx="4">
                  <c:v>2045</c:v>
                </c:pt>
                <c:pt idx="5">
                  <c:v>2050</c:v>
                </c:pt>
                <c:pt idx="6">
                  <c:v>2055</c:v>
                </c:pt>
                <c:pt idx="7">
                  <c:v>2060</c:v>
                </c:pt>
              </c:numCache>
            </c:numRef>
          </c:cat>
          <c:val>
            <c:numRef>
              <c:f>Arkusz1!$D$4:$D$11</c:f>
              <c:numCache>
                <c:formatCode>0.00</c:formatCode>
                <c:ptCount val="8"/>
                <c:pt idx="0">
                  <c:v>3498</c:v>
                </c:pt>
                <c:pt idx="1">
                  <c:v>3498</c:v>
                </c:pt>
                <c:pt idx="2">
                  <c:v>3498</c:v>
                </c:pt>
                <c:pt idx="3">
                  <c:v>3498</c:v>
                </c:pt>
                <c:pt idx="4">
                  <c:v>3498</c:v>
                </c:pt>
                <c:pt idx="5">
                  <c:v>3498</c:v>
                </c:pt>
                <c:pt idx="6">
                  <c:v>3498</c:v>
                </c:pt>
                <c:pt idx="7">
                  <c:v>3498</c:v>
                </c:pt>
              </c:numCache>
            </c:numRef>
          </c:val>
          <c:extLst>
            <c:ext xmlns:c16="http://schemas.microsoft.com/office/drawing/2014/chart" uri="{C3380CC4-5D6E-409C-BE32-E72D297353CC}">
              <c16:uniqueId val="{00000000-91FA-448D-AA54-A927FFBDE212}"/>
            </c:ext>
          </c:extLst>
        </c:ser>
        <c:ser>
          <c:idx val="2"/>
          <c:order val="2"/>
          <c:tx>
            <c:strRef>
              <c:f>Arkusz1!$F$3</c:f>
              <c:strCache>
                <c:ptCount val="1"/>
                <c:pt idx="0">
                  <c:v>wynik z inwestycji</c:v>
                </c:pt>
              </c:strCache>
            </c:strRef>
          </c:tx>
          <c:spPr>
            <a:solidFill>
              <a:schemeClr val="accent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Arkusz1!$C$4:$C$11</c:f>
              <c:numCache>
                <c:formatCode>General</c:formatCode>
                <c:ptCount val="8"/>
                <c:pt idx="0">
                  <c:v>2025</c:v>
                </c:pt>
                <c:pt idx="1">
                  <c:v>2030</c:v>
                </c:pt>
                <c:pt idx="2">
                  <c:v>2035</c:v>
                </c:pt>
                <c:pt idx="3">
                  <c:v>2040</c:v>
                </c:pt>
                <c:pt idx="4">
                  <c:v>2045</c:v>
                </c:pt>
                <c:pt idx="5">
                  <c:v>2050</c:v>
                </c:pt>
                <c:pt idx="6">
                  <c:v>2055</c:v>
                </c:pt>
                <c:pt idx="7">
                  <c:v>2060</c:v>
                </c:pt>
              </c:numCache>
            </c:numRef>
          </c:cat>
          <c:val>
            <c:numRef>
              <c:f>Arkusz1!$F$4:$F$11</c:f>
              <c:numCache>
                <c:formatCode>General</c:formatCode>
                <c:ptCount val="8"/>
                <c:pt idx="0">
                  <c:v>-387</c:v>
                </c:pt>
                <c:pt idx="1">
                  <c:v>-346</c:v>
                </c:pt>
                <c:pt idx="2">
                  <c:v>-312</c:v>
                </c:pt>
                <c:pt idx="3">
                  <c:v>-293</c:v>
                </c:pt>
                <c:pt idx="4">
                  <c:v>-272</c:v>
                </c:pt>
                <c:pt idx="5">
                  <c:v>-280</c:v>
                </c:pt>
                <c:pt idx="6">
                  <c:v>-276</c:v>
                </c:pt>
                <c:pt idx="7">
                  <c:v>-276</c:v>
                </c:pt>
              </c:numCache>
            </c:numRef>
          </c:val>
          <c:extLst>
            <c:ext xmlns:c16="http://schemas.microsoft.com/office/drawing/2014/chart" uri="{C3380CC4-5D6E-409C-BE32-E72D297353CC}">
              <c16:uniqueId val="{00000001-91FA-448D-AA54-A927FFBDE212}"/>
            </c:ext>
          </c:extLst>
        </c:ser>
        <c:ser>
          <c:idx val="3"/>
          <c:order val="3"/>
          <c:tx>
            <c:strRef>
              <c:f>Arkusz1!$G$3</c:f>
              <c:strCache>
                <c:ptCount val="1"/>
                <c:pt idx="0">
                  <c:v>wpłaty pracodacy</c:v>
                </c:pt>
              </c:strCache>
            </c:strRef>
          </c:tx>
          <c:spPr>
            <a:solidFill>
              <a:schemeClr val="bg1">
                <a:lumMod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Arkusz1!$C$4:$C$11</c:f>
              <c:numCache>
                <c:formatCode>General</c:formatCode>
                <c:ptCount val="8"/>
                <c:pt idx="0">
                  <c:v>2025</c:v>
                </c:pt>
                <c:pt idx="1">
                  <c:v>2030</c:v>
                </c:pt>
                <c:pt idx="2">
                  <c:v>2035</c:v>
                </c:pt>
                <c:pt idx="3">
                  <c:v>2040</c:v>
                </c:pt>
                <c:pt idx="4">
                  <c:v>2045</c:v>
                </c:pt>
                <c:pt idx="5">
                  <c:v>2050</c:v>
                </c:pt>
                <c:pt idx="6">
                  <c:v>2055</c:v>
                </c:pt>
                <c:pt idx="7">
                  <c:v>2060</c:v>
                </c:pt>
              </c:numCache>
            </c:numRef>
          </c:cat>
          <c:val>
            <c:numRef>
              <c:f>Arkusz1!$G$4:$G$11</c:f>
              <c:numCache>
                <c:formatCode>General</c:formatCode>
                <c:ptCount val="8"/>
                <c:pt idx="0">
                  <c:v>2624</c:v>
                </c:pt>
                <c:pt idx="1">
                  <c:v>2624</c:v>
                </c:pt>
                <c:pt idx="2">
                  <c:v>2624</c:v>
                </c:pt>
                <c:pt idx="3">
                  <c:v>2624</c:v>
                </c:pt>
                <c:pt idx="4">
                  <c:v>2624</c:v>
                </c:pt>
                <c:pt idx="5">
                  <c:v>2624</c:v>
                </c:pt>
                <c:pt idx="6">
                  <c:v>2624</c:v>
                </c:pt>
                <c:pt idx="7">
                  <c:v>2624</c:v>
                </c:pt>
              </c:numCache>
            </c:numRef>
          </c:val>
          <c:extLst>
            <c:ext xmlns:c16="http://schemas.microsoft.com/office/drawing/2014/chart" uri="{C3380CC4-5D6E-409C-BE32-E72D297353CC}">
              <c16:uniqueId val="{00000002-91FA-448D-AA54-A927FFBDE212}"/>
            </c:ext>
          </c:extLst>
        </c:ser>
        <c:ser>
          <c:idx val="4"/>
          <c:order val="4"/>
          <c:tx>
            <c:strRef>
              <c:f>Arkusz1!$H$3</c:f>
              <c:strCache>
                <c:ptCount val="1"/>
                <c:pt idx="0">
                  <c:v>dopłaty od państwa</c:v>
                </c:pt>
              </c:strCache>
            </c:strRef>
          </c:tx>
          <c:spPr>
            <a:solidFill>
              <a:schemeClr val="accent4">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Arkusz1!$C$4:$C$11</c:f>
              <c:numCache>
                <c:formatCode>General</c:formatCode>
                <c:ptCount val="8"/>
                <c:pt idx="0">
                  <c:v>2025</c:v>
                </c:pt>
                <c:pt idx="1">
                  <c:v>2030</c:v>
                </c:pt>
                <c:pt idx="2">
                  <c:v>2035</c:v>
                </c:pt>
                <c:pt idx="3">
                  <c:v>2040</c:v>
                </c:pt>
                <c:pt idx="4">
                  <c:v>2045</c:v>
                </c:pt>
                <c:pt idx="5">
                  <c:v>2050</c:v>
                </c:pt>
                <c:pt idx="6">
                  <c:v>2055</c:v>
                </c:pt>
                <c:pt idx="7">
                  <c:v>2060</c:v>
                </c:pt>
              </c:numCache>
            </c:numRef>
          </c:cat>
          <c:val>
            <c:numRef>
              <c:f>Arkusz1!$H$4:$H$11</c:f>
              <c:numCache>
                <c:formatCode>General</c:formatCode>
                <c:ptCount val="8"/>
                <c:pt idx="0">
                  <c:v>730</c:v>
                </c:pt>
                <c:pt idx="1">
                  <c:v>730</c:v>
                </c:pt>
                <c:pt idx="2">
                  <c:v>730</c:v>
                </c:pt>
                <c:pt idx="3">
                  <c:v>730</c:v>
                </c:pt>
                <c:pt idx="4">
                  <c:v>730</c:v>
                </c:pt>
                <c:pt idx="5">
                  <c:v>730</c:v>
                </c:pt>
                <c:pt idx="6">
                  <c:v>730</c:v>
                </c:pt>
                <c:pt idx="7">
                  <c:v>730</c:v>
                </c:pt>
              </c:numCache>
            </c:numRef>
          </c:val>
          <c:extLst>
            <c:ext xmlns:c16="http://schemas.microsoft.com/office/drawing/2014/chart" uri="{C3380CC4-5D6E-409C-BE32-E72D297353CC}">
              <c16:uniqueId val="{00000003-91FA-448D-AA54-A927FFBDE212}"/>
            </c:ext>
          </c:extLst>
        </c:ser>
        <c:dLbls>
          <c:showLegendKey val="0"/>
          <c:showVal val="0"/>
          <c:showCatName val="0"/>
          <c:showSerName val="0"/>
          <c:showPercent val="0"/>
          <c:showBubbleSize val="0"/>
        </c:dLbls>
        <c:gapWidth val="150"/>
        <c:axId val="407176880"/>
        <c:axId val="407172176"/>
        <c:extLst>
          <c:ext xmlns:c15="http://schemas.microsoft.com/office/drawing/2012/chart" uri="{02D57815-91ED-43cb-92C2-25804820EDAC}">
            <c15:filteredBarSeries>
              <c15:ser>
                <c:idx val="0"/>
                <c:order val="0"/>
                <c:tx>
                  <c:strRef>
                    <c:extLst>
                      <c:ext uri="{02D57815-91ED-43cb-92C2-25804820EDAC}">
                        <c15:formulaRef>
                          <c15:sqref>Arkusz1!$C$3</c15:sqref>
                        </c15:formulaRef>
                      </c:ext>
                    </c:extLst>
                    <c:strCache>
                      <c:ptCount val="1"/>
                      <c:pt idx="0">
                        <c:v>FZD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Arkusz1!$C$4:$C$11</c15:sqref>
                        </c15:formulaRef>
                      </c:ext>
                    </c:extLst>
                    <c:numCache>
                      <c:formatCode>General</c:formatCode>
                      <c:ptCount val="8"/>
                      <c:pt idx="0">
                        <c:v>2025</c:v>
                      </c:pt>
                      <c:pt idx="1">
                        <c:v>2030</c:v>
                      </c:pt>
                      <c:pt idx="2">
                        <c:v>2035</c:v>
                      </c:pt>
                      <c:pt idx="3">
                        <c:v>2040</c:v>
                      </c:pt>
                      <c:pt idx="4">
                        <c:v>2045</c:v>
                      </c:pt>
                      <c:pt idx="5">
                        <c:v>2050</c:v>
                      </c:pt>
                      <c:pt idx="6">
                        <c:v>2055</c:v>
                      </c:pt>
                      <c:pt idx="7">
                        <c:v>2060</c:v>
                      </c:pt>
                    </c:numCache>
                  </c:numRef>
                </c:cat>
                <c:val>
                  <c:numRef>
                    <c:extLst>
                      <c:ext uri="{02D57815-91ED-43cb-92C2-25804820EDAC}">
                        <c15:formulaRef>
                          <c15:sqref>Arkusz1!$C$4:$C$11</c15:sqref>
                        </c15:formulaRef>
                      </c:ext>
                    </c:extLst>
                    <c:numCache>
                      <c:formatCode>General</c:formatCode>
                      <c:ptCount val="8"/>
                      <c:pt idx="0">
                        <c:v>2025</c:v>
                      </c:pt>
                      <c:pt idx="1">
                        <c:v>2030</c:v>
                      </c:pt>
                      <c:pt idx="2">
                        <c:v>2035</c:v>
                      </c:pt>
                      <c:pt idx="3">
                        <c:v>2040</c:v>
                      </c:pt>
                      <c:pt idx="4">
                        <c:v>2045</c:v>
                      </c:pt>
                      <c:pt idx="5">
                        <c:v>2050</c:v>
                      </c:pt>
                      <c:pt idx="6">
                        <c:v>2055</c:v>
                      </c:pt>
                      <c:pt idx="7">
                        <c:v>2060</c:v>
                      </c:pt>
                    </c:numCache>
                  </c:numRef>
                </c:val>
                <c:extLst>
                  <c:ext xmlns:c16="http://schemas.microsoft.com/office/drawing/2014/chart" uri="{C3380CC4-5D6E-409C-BE32-E72D297353CC}">
                    <c16:uniqueId val="{00000005-91FA-448D-AA54-A927FFBDE212}"/>
                  </c:ext>
                </c:extLst>
              </c15:ser>
            </c15:filteredBarSeries>
          </c:ext>
        </c:extLst>
      </c:barChart>
      <c:lineChart>
        <c:grouping val="standard"/>
        <c:varyColors val="0"/>
        <c:ser>
          <c:idx val="5"/>
          <c:order val="5"/>
          <c:tx>
            <c:strRef>
              <c:f>Arkusz1!$I$3</c:f>
              <c:strCache>
                <c:ptCount val="1"/>
                <c:pt idx="0">
                  <c:v>stosunek innych wpłat i wyniku z inwestycji do wpłat pracownika</c:v>
                </c:pt>
              </c:strCache>
            </c:strRef>
          </c:tx>
          <c:spPr>
            <a:ln w="28575" cap="rnd">
              <a:solidFill>
                <a:schemeClr val="accent6"/>
              </a:solidFill>
              <a:round/>
            </a:ln>
            <a:effectLst/>
          </c:spPr>
          <c:marker>
            <c:symbol val="none"/>
          </c:marker>
          <c:dLbls>
            <c:spPr>
              <a:solidFill>
                <a:schemeClr val="accent6">
                  <a:lumMod val="20000"/>
                  <a:lumOff val="80000"/>
                </a:schemeClr>
              </a:solid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pl-PL"/>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Arkusz1!$C$4:$C$11</c:f>
              <c:numCache>
                <c:formatCode>General</c:formatCode>
                <c:ptCount val="8"/>
                <c:pt idx="0">
                  <c:v>2025</c:v>
                </c:pt>
                <c:pt idx="1">
                  <c:v>2030</c:v>
                </c:pt>
                <c:pt idx="2">
                  <c:v>2035</c:v>
                </c:pt>
                <c:pt idx="3">
                  <c:v>2040</c:v>
                </c:pt>
                <c:pt idx="4">
                  <c:v>2045</c:v>
                </c:pt>
                <c:pt idx="5">
                  <c:v>2050</c:v>
                </c:pt>
                <c:pt idx="6">
                  <c:v>2055</c:v>
                </c:pt>
                <c:pt idx="7">
                  <c:v>2060</c:v>
                </c:pt>
              </c:numCache>
            </c:numRef>
          </c:cat>
          <c:val>
            <c:numRef>
              <c:f>Arkusz1!$I$4:$I$11</c:f>
              <c:numCache>
                <c:formatCode>0.0%</c:formatCode>
                <c:ptCount val="8"/>
                <c:pt idx="0">
                  <c:v>0.84819897084048024</c:v>
                </c:pt>
                <c:pt idx="1">
                  <c:v>0.8599199542595769</c:v>
                </c:pt>
                <c:pt idx="2">
                  <c:v>0.869639794168096</c:v>
                </c:pt>
                <c:pt idx="3">
                  <c:v>0.87507146941109204</c:v>
                </c:pt>
                <c:pt idx="4">
                  <c:v>0.88107489994282451</c:v>
                </c:pt>
                <c:pt idx="5">
                  <c:v>0.87878787878787878</c:v>
                </c:pt>
                <c:pt idx="6">
                  <c:v>0.87993138936535165</c:v>
                </c:pt>
                <c:pt idx="7">
                  <c:v>0.87993138936535165</c:v>
                </c:pt>
              </c:numCache>
            </c:numRef>
          </c:val>
          <c:smooth val="0"/>
          <c:extLst>
            <c:ext xmlns:c16="http://schemas.microsoft.com/office/drawing/2014/chart" uri="{C3380CC4-5D6E-409C-BE32-E72D297353CC}">
              <c16:uniqueId val="{00000004-91FA-448D-AA54-A927FFBDE212}"/>
            </c:ext>
          </c:extLst>
        </c:ser>
        <c:dLbls>
          <c:showLegendKey val="0"/>
          <c:showVal val="0"/>
          <c:showCatName val="0"/>
          <c:showSerName val="0"/>
          <c:showPercent val="0"/>
          <c:showBubbleSize val="0"/>
        </c:dLbls>
        <c:marker val="1"/>
        <c:smooth val="0"/>
        <c:axId val="407177272"/>
        <c:axId val="407171784"/>
      </c:lineChart>
      <c:catAx>
        <c:axId val="407176880"/>
        <c:scaling>
          <c:orientation val="minMax"/>
        </c:scaling>
        <c:delete val="0"/>
        <c:axPos val="b"/>
        <c:numFmt formatCode="General" sourceLinked="1"/>
        <c:majorTickMark val="none"/>
        <c:minorTickMark val="none"/>
        <c:tickLblPos val="high"/>
        <c:spPr>
          <a:noFill/>
          <a:ln w="9525" cap="flat" cmpd="sng" algn="ctr">
            <a:solidFill>
              <a:schemeClr val="tx1">
                <a:lumMod val="15000"/>
                <a:lumOff val="85000"/>
              </a:schemeClr>
            </a:solidFill>
            <a:round/>
          </a:ln>
          <a:effectLst>
            <a:softEdge rad="0"/>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07172176"/>
        <c:crosses val="autoZero"/>
        <c:auto val="0"/>
        <c:lblAlgn val="ctr"/>
        <c:lblOffset val="100"/>
        <c:noMultiLvlLbl val="0"/>
      </c:catAx>
      <c:valAx>
        <c:axId val="407172176"/>
        <c:scaling>
          <c:orientation val="minMax"/>
          <c:max val="3800"/>
          <c:min val="-40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pl-PL"/>
          </a:p>
        </c:txPr>
        <c:crossAx val="407176880"/>
        <c:crosses val="autoZero"/>
        <c:crossBetween val="between"/>
        <c:majorUnit val="600"/>
      </c:valAx>
      <c:valAx>
        <c:axId val="407171784"/>
        <c:scaling>
          <c:orientation val="minMax"/>
          <c:min val="0.8"/>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pl-PL"/>
          </a:p>
        </c:txPr>
        <c:crossAx val="407177272"/>
        <c:crosses val="max"/>
        <c:crossBetween val="between"/>
      </c:valAx>
      <c:catAx>
        <c:axId val="407177272"/>
        <c:scaling>
          <c:orientation val="minMax"/>
        </c:scaling>
        <c:delete val="1"/>
        <c:axPos val="b"/>
        <c:numFmt formatCode="General" sourceLinked="1"/>
        <c:majorTickMark val="out"/>
        <c:minorTickMark val="none"/>
        <c:tickLblPos val="nextTo"/>
        <c:crossAx val="40717178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Arkusz1!$A$6</c:f>
              <c:strCache>
                <c:ptCount val="1"/>
                <c:pt idx="0">
                  <c:v>Kwota (bln USD)</c:v>
                </c:pt>
              </c:strCache>
            </c:strRef>
          </c:tx>
          <c:spPr>
            <a:solidFill>
              <a:schemeClr val="accent1">
                <a:lumMod val="75000"/>
              </a:schemeClr>
            </a:solidFill>
            <a:ln>
              <a:noFill/>
            </a:ln>
            <a:effectLst/>
          </c:spPr>
          <c:invertIfNegative val="0"/>
          <c:dPt>
            <c:idx val="23"/>
            <c:invertIfNegative val="0"/>
            <c:bubble3D val="0"/>
            <c:extLst>
              <c:ext xmlns:c16="http://schemas.microsoft.com/office/drawing/2014/chart" uri="{C3380CC4-5D6E-409C-BE32-E72D297353CC}">
                <c16:uniqueId val="{00000001-E52B-42CE-8504-7A99FD269D67}"/>
              </c:ext>
            </c:extLst>
          </c:dPt>
          <c:dLbls>
            <c:dLbl>
              <c:idx val="23"/>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rgbClr val="FF0000"/>
                      </a:solidFill>
                      <a:latin typeface="+mn-lt"/>
                      <a:ea typeface="+mn-ea"/>
                      <a:cs typeface="+mn-cs"/>
                    </a:defRPr>
                  </a:pPr>
                  <a:endParaRPr lang="pl-PL"/>
                </a:p>
              </c:txPr>
              <c:showLegendKey val="0"/>
              <c:showVal val="1"/>
              <c:showCatName val="0"/>
              <c:showSerName val="0"/>
              <c:showPercent val="0"/>
              <c:showBubbleSize val="0"/>
              <c:extLst>
                <c:ext xmlns:c16="http://schemas.microsoft.com/office/drawing/2014/chart" uri="{C3380CC4-5D6E-409C-BE32-E72D297353CC}">
                  <c16:uniqueId val="{00000001-E52B-42CE-8504-7A99FD269D67}"/>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Arkusz1!$B$5:$Z$5</c:f>
              <c:strCache>
                <c:ptCount val="25"/>
                <c:pt idx="0">
                  <c:v>Stany Zjednoczone</c:v>
                </c:pt>
                <c:pt idx="1">
                  <c:v>Chiny</c:v>
                </c:pt>
                <c:pt idx="2">
                  <c:v>Japonia</c:v>
                </c:pt>
                <c:pt idx="3">
                  <c:v>Niemcy</c:v>
                </c:pt>
                <c:pt idx="4">
                  <c:v>Wielka Brytania</c:v>
                </c:pt>
                <c:pt idx="5">
                  <c:v>Francja </c:v>
                </c:pt>
                <c:pt idx="6">
                  <c:v>Indie</c:v>
                </c:pt>
                <c:pt idx="7">
                  <c:v>Włochy </c:v>
                </c:pt>
                <c:pt idx="8">
                  <c:v>Kanada</c:v>
                </c:pt>
                <c:pt idx="9">
                  <c:v>Australia</c:v>
                </c:pt>
                <c:pt idx="10">
                  <c:v>Korea Płd.</c:v>
                </c:pt>
                <c:pt idx="11">
                  <c:v>Hiszpania</c:v>
                </c:pt>
                <c:pt idx="12">
                  <c:v>Holandia</c:v>
                </c:pt>
                <c:pt idx="13">
                  <c:v>Tajwan</c:v>
                </c:pt>
                <c:pt idx="14">
                  <c:v>Szwajcaria</c:v>
                </c:pt>
                <c:pt idx="15">
                  <c:v>Meksyk</c:v>
                </c:pt>
                <c:pt idx="16">
                  <c:v>Indonezja</c:v>
                </c:pt>
                <c:pt idx="17">
                  <c:v>Hong Kong</c:v>
                </c:pt>
                <c:pt idx="18">
                  <c:v>Belgia</c:v>
                </c:pt>
                <c:pt idx="19">
                  <c:v>Rosja</c:v>
                </c:pt>
                <c:pt idx="20">
                  <c:v>Brazylia</c:v>
                </c:pt>
                <c:pt idx="21">
                  <c:v>Szwecja</c:v>
                </c:pt>
                <c:pt idx="22">
                  <c:v>Austria</c:v>
                </c:pt>
                <c:pt idx="23">
                  <c:v>Polska</c:v>
                </c:pt>
                <c:pt idx="24">
                  <c:v>Pozostałe (&lt;2M)</c:v>
                </c:pt>
              </c:strCache>
            </c:strRef>
          </c:cat>
          <c:val>
            <c:numRef>
              <c:f>Arkusz1!$B$6:$Z$6</c:f>
              <c:numCache>
                <c:formatCode>General</c:formatCode>
                <c:ptCount val="25"/>
                <c:pt idx="0">
                  <c:v>126.3</c:v>
                </c:pt>
                <c:pt idx="1">
                  <c:v>74.900000000000006</c:v>
                </c:pt>
                <c:pt idx="2">
                  <c:v>26.9</c:v>
                </c:pt>
                <c:pt idx="3">
                  <c:v>18.3</c:v>
                </c:pt>
                <c:pt idx="4">
                  <c:v>15.3</c:v>
                </c:pt>
                <c:pt idx="5">
                  <c:v>15</c:v>
                </c:pt>
                <c:pt idx="6">
                  <c:v>12.8</c:v>
                </c:pt>
                <c:pt idx="7">
                  <c:v>11.9</c:v>
                </c:pt>
                <c:pt idx="8">
                  <c:v>9.9</c:v>
                </c:pt>
                <c:pt idx="9">
                  <c:v>9.3000000000000007</c:v>
                </c:pt>
                <c:pt idx="10">
                  <c:v>9</c:v>
                </c:pt>
                <c:pt idx="11">
                  <c:v>8.6</c:v>
                </c:pt>
                <c:pt idx="12">
                  <c:v>5.0999999999999996</c:v>
                </c:pt>
                <c:pt idx="13">
                  <c:v>4.7</c:v>
                </c:pt>
                <c:pt idx="14">
                  <c:v>4.7</c:v>
                </c:pt>
                <c:pt idx="15">
                  <c:v>3.6</c:v>
                </c:pt>
                <c:pt idx="16">
                  <c:v>3.2</c:v>
                </c:pt>
                <c:pt idx="17">
                  <c:v>3.2</c:v>
                </c:pt>
                <c:pt idx="18">
                  <c:v>3.2</c:v>
                </c:pt>
                <c:pt idx="19">
                  <c:v>3</c:v>
                </c:pt>
                <c:pt idx="20">
                  <c:v>2.8</c:v>
                </c:pt>
                <c:pt idx="21">
                  <c:v>2.6</c:v>
                </c:pt>
                <c:pt idx="22">
                  <c:v>2.1</c:v>
                </c:pt>
                <c:pt idx="23">
                  <c:v>2</c:v>
                </c:pt>
                <c:pt idx="24">
                  <c:v>38</c:v>
                </c:pt>
              </c:numCache>
            </c:numRef>
          </c:val>
          <c:extLst>
            <c:ext xmlns:c16="http://schemas.microsoft.com/office/drawing/2014/chart" uri="{C3380CC4-5D6E-409C-BE32-E72D297353CC}">
              <c16:uniqueId val="{00000000-E52B-42CE-8504-7A99FD269D67}"/>
            </c:ext>
          </c:extLst>
        </c:ser>
        <c:dLbls>
          <c:showLegendKey val="0"/>
          <c:showVal val="0"/>
          <c:showCatName val="0"/>
          <c:showSerName val="0"/>
          <c:showPercent val="0"/>
          <c:showBubbleSize val="0"/>
        </c:dLbls>
        <c:gapWidth val="100"/>
        <c:overlap val="-24"/>
        <c:axId val="407171392"/>
        <c:axId val="407172568"/>
      </c:barChart>
      <c:catAx>
        <c:axId val="40717139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pl-PL"/>
                  <a:t>Obywatele kraju</a:t>
                </a:r>
              </a:p>
            </c:rich>
          </c:tx>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07172568"/>
        <c:crosses val="autoZero"/>
        <c:auto val="1"/>
        <c:lblAlgn val="ctr"/>
        <c:lblOffset val="100"/>
        <c:noMultiLvlLbl val="0"/>
      </c:catAx>
      <c:valAx>
        <c:axId val="407172568"/>
        <c:scaling>
          <c:orientation val="minMax"/>
          <c:max val="16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pl-PL"/>
                  <a:t>Kwota</a:t>
                </a:r>
                <a:r>
                  <a:rPr lang="pl-PL" baseline="0"/>
                  <a:t> (bln USD)</a:t>
                </a:r>
                <a:endParaRPr lang="pl-PL"/>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07171392"/>
        <c:crosses val="autoZero"/>
        <c:crossBetween val="between"/>
        <c:majorUnit val="50"/>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401169064899596E-2"/>
          <c:y val="5.9326812954731668E-2"/>
          <c:w val="0.94607957520383734"/>
          <c:h val="0.65615844147546476"/>
        </c:manualLayout>
      </c:layout>
      <c:barChart>
        <c:barDir val="col"/>
        <c:grouping val="clustered"/>
        <c:varyColors val="0"/>
        <c:ser>
          <c:idx val="0"/>
          <c:order val="0"/>
          <c:tx>
            <c:strRef>
              <c:f>'1. dochód rozporządzalny'!$F$5</c:f>
              <c:strCache>
                <c:ptCount val="1"/>
                <c:pt idx="0">
                  <c:v>Udział wydatków w dochodzie rozporządzalnym</c:v>
                </c:pt>
              </c:strCache>
            </c:strRef>
          </c:tx>
          <c:spPr>
            <a:solidFill>
              <a:schemeClr val="bg1"/>
            </a:solidFill>
            <a:ln>
              <a:solidFill>
                <a:schemeClr val="tx1"/>
              </a:solidFill>
            </a:ln>
            <a:effectLst/>
          </c:spPr>
          <c:invertIfNegative val="0"/>
          <c:dLbls>
            <c:spPr>
              <a:solidFill>
                <a:schemeClr val="bg1"/>
              </a:solidFill>
              <a:ln w="6350">
                <a:noFill/>
              </a:ln>
              <a:effectLst/>
            </c:spPr>
            <c:txPr>
              <a:bodyPr rot="0" spcFirstLastPara="1" vertOverflow="ellipsis" vert="horz" wrap="square" lIns="18000" tIns="19050" rIns="18000" bIns="19050" anchor="ctr" anchorCtr="1">
                <a:spAutoFit/>
              </a:bodyPr>
              <a:lstStyle/>
              <a:p>
                <a:pPr>
                  <a:defRPr sz="1000" b="1" i="0" u="none" strike="noStrike" kern="1200" baseline="0">
                    <a:solidFill>
                      <a:srgbClr val="B61928"/>
                    </a:solidFill>
                    <a:latin typeface="Calibri" panose="020F0502020204030204" pitchFamily="34" charset="0"/>
                    <a:ea typeface="+mn-ea"/>
                    <a:cs typeface="Calibri" panose="020F050202020403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numRef>
              <c:f>'1. dochód rozporządzalny'!$G$1:$M$1</c:f>
              <c:numCache>
                <c:formatCode>General</c:formatCode>
                <c:ptCount val="7"/>
                <c:pt idx="0">
                  <c:v>2015</c:v>
                </c:pt>
                <c:pt idx="1">
                  <c:v>2016</c:v>
                </c:pt>
                <c:pt idx="2">
                  <c:v>2017</c:v>
                </c:pt>
                <c:pt idx="3">
                  <c:v>2018</c:v>
                </c:pt>
                <c:pt idx="4">
                  <c:v>2019</c:v>
                </c:pt>
                <c:pt idx="5">
                  <c:v>2020</c:v>
                </c:pt>
                <c:pt idx="6">
                  <c:v>2021</c:v>
                </c:pt>
              </c:numCache>
            </c:numRef>
          </c:cat>
          <c:val>
            <c:numRef>
              <c:f>'1. dochód rozporządzalny'!$G$5:$M$5</c:f>
              <c:numCache>
                <c:formatCode>0.0%</c:formatCode>
                <c:ptCount val="7"/>
                <c:pt idx="0">
                  <c:v>0.78720349743175388</c:v>
                </c:pt>
                <c:pt idx="1">
                  <c:v>0.76744249131944453</c:v>
                </c:pt>
                <c:pt idx="2">
                  <c:v>0.73613535819989606</c:v>
                </c:pt>
                <c:pt idx="3">
                  <c:v>0.70112226816302425</c:v>
                </c:pt>
                <c:pt idx="4">
                  <c:v>0.68808887716173572</c:v>
                </c:pt>
                <c:pt idx="5">
                  <c:v>0.63024890449716287</c:v>
                </c:pt>
                <c:pt idx="6">
                  <c:v>0.63823699155645441</c:v>
                </c:pt>
              </c:numCache>
            </c:numRef>
          </c:val>
          <c:extLst>
            <c:ext xmlns:c16="http://schemas.microsoft.com/office/drawing/2014/chart" uri="{C3380CC4-5D6E-409C-BE32-E72D297353CC}">
              <c16:uniqueId val="{00000000-7277-454C-94C4-F27343FBC6B1}"/>
            </c:ext>
          </c:extLst>
        </c:ser>
        <c:ser>
          <c:idx val="1"/>
          <c:order val="1"/>
          <c:tx>
            <c:strRef>
              <c:f>'1. dochód rozporządzalny'!$F$2</c:f>
              <c:strCache>
                <c:ptCount val="1"/>
                <c:pt idx="0">
                  <c:v>dochód rozporządzalny </c:v>
                </c:pt>
              </c:strCache>
            </c:strRef>
          </c:tx>
          <c:spPr>
            <a:solidFill>
              <a:schemeClr val="accent3">
                <a:lumMod val="75000"/>
              </a:schemeClr>
            </a:solidFill>
            <a:ln w="25400">
              <a:noFill/>
            </a:ln>
            <a:effectLst/>
          </c:spPr>
          <c:invertIfNegative val="0"/>
          <c:dLbls>
            <c:spPr>
              <a:noFill/>
              <a:ln>
                <a:noFill/>
              </a:ln>
              <a:effectLst/>
            </c:spPr>
            <c:txPr>
              <a:bodyPr wrap="square" lIns="38100" tIns="19050" rIns="38100" bIns="19050" anchor="ctr">
                <a:spAutoFit/>
              </a:bodyPr>
              <a:lstStyle/>
              <a:p>
                <a:pPr>
                  <a:defRPr b="1"/>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'1. dochód rozporządzalny'!$G$1:$M$1</c:f>
              <c:numCache>
                <c:formatCode>General</c:formatCode>
                <c:ptCount val="7"/>
                <c:pt idx="0">
                  <c:v>2015</c:v>
                </c:pt>
                <c:pt idx="1">
                  <c:v>2016</c:v>
                </c:pt>
                <c:pt idx="2">
                  <c:v>2017</c:v>
                </c:pt>
                <c:pt idx="3">
                  <c:v>2018</c:v>
                </c:pt>
                <c:pt idx="4">
                  <c:v>2019</c:v>
                </c:pt>
                <c:pt idx="5">
                  <c:v>2020</c:v>
                </c:pt>
                <c:pt idx="6">
                  <c:v>2021</c:v>
                </c:pt>
              </c:numCache>
            </c:numRef>
          </c:cat>
          <c:val>
            <c:numRef>
              <c:f>'1. dochód rozporządzalny'!$G$2:$M$2</c:f>
              <c:numCache>
                <c:formatCode>#,##0</c:formatCode>
                <c:ptCount val="7"/>
                <c:pt idx="0">
                  <c:v>1386.16</c:v>
                </c:pt>
                <c:pt idx="1">
                  <c:v>1474.56</c:v>
                </c:pt>
                <c:pt idx="2">
                  <c:v>1598.13</c:v>
                </c:pt>
                <c:pt idx="3">
                  <c:v>1693</c:v>
                </c:pt>
                <c:pt idx="4">
                  <c:v>1819.14</c:v>
                </c:pt>
                <c:pt idx="5">
                  <c:v>1919.21</c:v>
                </c:pt>
                <c:pt idx="6">
                  <c:v>2061.9299999999998</c:v>
                </c:pt>
              </c:numCache>
            </c:numRef>
          </c:val>
          <c:extLst>
            <c:ext xmlns:c16="http://schemas.microsoft.com/office/drawing/2014/chart" uri="{C3380CC4-5D6E-409C-BE32-E72D297353CC}">
              <c16:uniqueId val="{00000001-7277-454C-94C4-F27343FBC6B1}"/>
            </c:ext>
          </c:extLst>
        </c:ser>
        <c:ser>
          <c:idx val="2"/>
          <c:order val="2"/>
          <c:tx>
            <c:strRef>
              <c:f>'1. dochód rozporządzalny'!$F$3</c:f>
              <c:strCache>
                <c:ptCount val="1"/>
                <c:pt idx="0">
                  <c:v>wydatki</c:v>
                </c:pt>
              </c:strCache>
            </c:strRef>
          </c:tx>
          <c:spPr>
            <a:solidFill>
              <a:schemeClr val="accent2">
                <a:lumMod val="50000"/>
              </a:schemeClr>
            </a:solidFill>
            <a:ln w="25400">
              <a:noFill/>
            </a:ln>
            <a:effectLst/>
          </c:spPr>
          <c:invertIfNegative val="0"/>
          <c:cat>
            <c:numRef>
              <c:f>'1. dochód rozporządzalny'!$G$1:$M$1</c:f>
              <c:numCache>
                <c:formatCode>General</c:formatCode>
                <c:ptCount val="7"/>
                <c:pt idx="0">
                  <c:v>2015</c:v>
                </c:pt>
                <c:pt idx="1">
                  <c:v>2016</c:v>
                </c:pt>
                <c:pt idx="2">
                  <c:v>2017</c:v>
                </c:pt>
                <c:pt idx="3">
                  <c:v>2018</c:v>
                </c:pt>
                <c:pt idx="4">
                  <c:v>2019</c:v>
                </c:pt>
                <c:pt idx="5">
                  <c:v>2020</c:v>
                </c:pt>
                <c:pt idx="6">
                  <c:v>2021</c:v>
                </c:pt>
              </c:numCache>
            </c:numRef>
          </c:cat>
          <c:val>
            <c:numRef>
              <c:f>'1. dochód rozporządzalny'!$G$3:$M$3</c:f>
              <c:numCache>
                <c:formatCode>#,##0</c:formatCode>
                <c:ptCount val="7"/>
                <c:pt idx="0">
                  <c:v>1091.19</c:v>
                </c:pt>
                <c:pt idx="1">
                  <c:v>1131.6400000000001</c:v>
                </c:pt>
                <c:pt idx="2">
                  <c:v>1176.44</c:v>
                </c:pt>
                <c:pt idx="3">
                  <c:v>1187</c:v>
                </c:pt>
                <c:pt idx="4">
                  <c:v>1251.73</c:v>
                </c:pt>
                <c:pt idx="5">
                  <c:v>1209.58</c:v>
                </c:pt>
                <c:pt idx="6">
                  <c:v>1316</c:v>
                </c:pt>
              </c:numCache>
            </c:numRef>
          </c:val>
          <c:extLst>
            <c:ext xmlns:c16="http://schemas.microsoft.com/office/drawing/2014/chart" uri="{C3380CC4-5D6E-409C-BE32-E72D297353CC}">
              <c16:uniqueId val="{00000002-7277-454C-94C4-F27343FBC6B1}"/>
            </c:ext>
          </c:extLst>
        </c:ser>
        <c:ser>
          <c:idx val="3"/>
          <c:order val="3"/>
          <c:tx>
            <c:strRef>
              <c:f>'1. dochód rozporządzalny'!$F$6</c:f>
              <c:strCache>
                <c:ptCount val="1"/>
                <c:pt idx="0">
                  <c:v>Udział nadwyżki w dochodzie rozporządzalnym</c:v>
                </c:pt>
              </c:strCache>
            </c:strRef>
          </c:tx>
          <c:invertIfNegative val="0"/>
          <c:val>
            <c:numRef>
              <c:f>'1. dochód rozporządzalny'!$G$6:$M$6</c:f>
              <c:numCache>
                <c:formatCode>0.0%</c:formatCode>
                <c:ptCount val="7"/>
                <c:pt idx="0">
                  <c:v>0.21279650256824612</c:v>
                </c:pt>
                <c:pt idx="1">
                  <c:v>0.23255750868055547</c:v>
                </c:pt>
                <c:pt idx="2">
                  <c:v>0.26386464180010394</c:v>
                </c:pt>
                <c:pt idx="3">
                  <c:v>0.29887773183697575</c:v>
                </c:pt>
                <c:pt idx="4">
                  <c:v>0.31191112283826428</c:v>
                </c:pt>
                <c:pt idx="5">
                  <c:v>0.36975109550283713</c:v>
                </c:pt>
                <c:pt idx="6">
                  <c:v>0.36176300844354559</c:v>
                </c:pt>
              </c:numCache>
            </c:numRef>
          </c:val>
          <c:extLst>
            <c:ext xmlns:c16="http://schemas.microsoft.com/office/drawing/2014/chart" uri="{C3380CC4-5D6E-409C-BE32-E72D297353CC}">
              <c16:uniqueId val="{00000020-7277-454C-94C4-F27343FBC6B1}"/>
            </c:ext>
          </c:extLst>
        </c:ser>
        <c:dLbls>
          <c:showLegendKey val="0"/>
          <c:showVal val="0"/>
          <c:showCatName val="0"/>
          <c:showSerName val="0"/>
          <c:showPercent val="0"/>
          <c:showBubbleSize val="0"/>
        </c:dLbls>
        <c:gapWidth val="160"/>
        <c:overlap val="100"/>
        <c:axId val="407174528"/>
        <c:axId val="407178840"/>
      </c:barChart>
      <c:catAx>
        <c:axId val="407174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1000" b="0" i="0" u="none" strike="noStrike" kern="1200" baseline="0">
                <a:solidFill>
                  <a:schemeClr val="tx1">
                    <a:lumMod val="50000"/>
                    <a:lumOff val="50000"/>
                  </a:schemeClr>
                </a:solidFill>
                <a:latin typeface="Calibri" panose="020F0502020204030204" pitchFamily="34" charset="0"/>
                <a:ea typeface="+mn-ea"/>
                <a:cs typeface="Calibri" panose="020F0502020204030204" pitchFamily="34" charset="0"/>
              </a:defRPr>
            </a:pPr>
            <a:endParaRPr lang="pl-PL"/>
          </a:p>
        </c:txPr>
        <c:crossAx val="407178840"/>
        <c:crosses val="autoZero"/>
        <c:auto val="1"/>
        <c:lblAlgn val="ctr"/>
        <c:lblOffset val="100"/>
        <c:noMultiLvlLbl val="0"/>
      </c:catAx>
      <c:valAx>
        <c:axId val="407178840"/>
        <c:scaling>
          <c:orientation val="minMax"/>
          <c:max val="2400"/>
          <c:min val="0"/>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50000"/>
                    <a:lumOff val="50000"/>
                  </a:schemeClr>
                </a:solidFill>
                <a:latin typeface="+mn-lt"/>
                <a:ea typeface="+mn-ea"/>
                <a:cs typeface="+mn-cs"/>
              </a:defRPr>
            </a:pPr>
            <a:endParaRPr lang="pl-PL"/>
          </a:p>
        </c:txPr>
        <c:crossAx val="407174528"/>
        <c:crosses val="autoZero"/>
        <c:crossBetween val="between"/>
      </c:valAx>
      <c:spPr>
        <a:noFill/>
        <a:ln>
          <a:noFill/>
        </a:ln>
        <a:effectLst/>
      </c:spPr>
    </c:plotArea>
    <c:legend>
      <c:legendPos val="b"/>
      <c:legendEntry>
        <c:idx val="3"/>
        <c:delete val="1"/>
      </c:legendEntry>
      <c:layout>
        <c:manualLayout>
          <c:xMode val="edge"/>
          <c:yMode val="edge"/>
          <c:x val="1.6323641071485692E-2"/>
          <c:y val="0.82987079576981426"/>
          <c:w val="0.95865091221002519"/>
          <c:h val="0.14073011571030228"/>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pl-PL"/>
        </a:p>
      </c:txPr>
    </c:legend>
    <c:plotVisOnly val="1"/>
    <c:dispBlanksAs val="gap"/>
    <c:showDLblsOverMax val="0"/>
  </c:chart>
  <c:spPr>
    <a:solidFill>
      <a:schemeClr val="bg1"/>
    </a:solidFill>
    <a:ln w="9525" cap="flat" cmpd="sng" algn="ctr">
      <a:solidFill>
        <a:schemeClr val="tx1">
          <a:lumMod val="65000"/>
          <a:lumOff val="35000"/>
        </a:schemeClr>
      </a:solidFill>
      <a:round/>
    </a:ln>
    <a:effectLst/>
  </c:spPr>
  <c:txPr>
    <a:bodyPr/>
    <a:lstStyle/>
    <a:p>
      <a:pPr>
        <a:defRPr/>
      </a:pPr>
      <a:endParaRPr lang="pl-PL"/>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Niestandardowy 3">
      <a:dk1>
        <a:sysClr val="windowText" lastClr="000000"/>
      </a:dk1>
      <a:lt1>
        <a:sysClr val="window" lastClr="FFFFFF"/>
      </a:lt1>
      <a:dk2>
        <a:srgbClr val="44546A"/>
      </a:dk2>
      <a:lt2>
        <a:srgbClr val="E7E6E6"/>
      </a:lt2>
      <a:accent1>
        <a:srgbClr val="4472C4"/>
      </a:accent1>
      <a:accent2>
        <a:srgbClr val="FF3F3F"/>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65720D8BA34A74CA93F433720250E3D" ma:contentTypeVersion="16" ma:contentTypeDescription="Utwórz nowy dokument." ma:contentTypeScope="" ma:versionID="b24be26967372f23490a719f79743ec7">
  <xsd:schema xmlns:xsd="http://www.w3.org/2001/XMLSchema" xmlns:xs="http://www.w3.org/2001/XMLSchema" xmlns:p="http://schemas.microsoft.com/office/2006/metadata/properties" xmlns:ns2="b8bd1419-f31a-4d85-9d55-d0ba9df340ad" xmlns:ns3="acc94a1d-133c-4167-98a0-e0f2fe8bf252" targetNamespace="http://schemas.microsoft.com/office/2006/metadata/properties" ma:root="true" ma:fieldsID="f56b7794799ad0089fc4bafe1dc6a047" ns2:_="" ns3:_="">
    <xsd:import namespace="b8bd1419-f31a-4d85-9d55-d0ba9df340ad"/>
    <xsd:import namespace="acc94a1d-133c-4167-98a0-e0f2fe8bf252"/>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d1419-f31a-4d85-9d55-d0ba9df340ad"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element name="TaxCatchAll" ma:index="26" nillable="true" ma:displayName="Taxonomy Catch All Column" ma:hidden="true" ma:list="{ff0fa5a9-48ff-46f5-9609-2bcf2e0eabc0}" ma:internalName="TaxCatchAll" ma:showField="CatchAllData" ma:web="b8bd1419-f31a-4d85-9d55-d0ba9df340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c94a1d-133c-4167-98a0-e0f2fe8bf25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1d9afc5f-0e13-4ad5-9fc9-1a4fe86ef20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8bd1419-f31a-4d85-9d55-d0ba9df340ad">523Q4MJZVFZ5-1247504999-90314</_dlc_DocId>
    <lcf76f155ced4ddcb4097134ff3c332f xmlns="acc94a1d-133c-4167-98a0-e0f2fe8bf252">
      <Terms xmlns="http://schemas.microsoft.com/office/infopath/2007/PartnerControls"/>
    </lcf76f155ced4ddcb4097134ff3c332f>
    <TaxCatchAll xmlns="b8bd1419-f31a-4d85-9d55-d0ba9df340ad" xsi:nil="true"/>
    <_dlc_DocIdUrl xmlns="b8bd1419-f31a-4d85-9d55-d0ba9df340ad">
      <Url>https://pirint.sharepoint.com/sites/vdr-portal/_layouts/15/DocIdRedir.aspx?ID=523Q4MJZVFZ5-1247504999-90314</Url>
      <Description>523Q4MJZVFZ5-1247504999-90314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AA2C1-502F-416A-90AD-2A7852480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d1419-f31a-4d85-9d55-d0ba9df340ad"/>
    <ds:schemaRef ds:uri="acc94a1d-133c-4167-98a0-e0f2fe8bf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B037D5-BE97-40BB-BF59-ECC4A7A90FD0}">
  <ds:schemaRefs>
    <ds:schemaRef ds:uri="http://schemas.microsoft.com/sharepoint/v3/contenttype/forms"/>
  </ds:schemaRefs>
</ds:datastoreItem>
</file>

<file path=customXml/itemProps3.xml><?xml version="1.0" encoding="utf-8"?>
<ds:datastoreItem xmlns:ds="http://schemas.openxmlformats.org/officeDocument/2006/customXml" ds:itemID="{753BD373-E652-4EE0-BD62-26B564BDE892}">
  <ds:schemaRefs>
    <ds:schemaRef ds:uri="http://schemas.microsoft.com/office/2006/metadata/properties"/>
    <ds:schemaRef ds:uri="http://schemas.microsoft.com/office/infopath/2007/PartnerControls"/>
    <ds:schemaRef ds:uri="b8bd1419-f31a-4d85-9d55-d0ba9df340ad"/>
    <ds:schemaRef ds:uri="acc94a1d-133c-4167-98a0-e0f2fe8bf252"/>
  </ds:schemaRefs>
</ds:datastoreItem>
</file>

<file path=customXml/itemProps4.xml><?xml version="1.0" encoding="utf-8"?>
<ds:datastoreItem xmlns:ds="http://schemas.openxmlformats.org/officeDocument/2006/customXml" ds:itemID="{CF0E142A-BC24-45A3-B32A-A6E6633F7F68}">
  <ds:schemaRefs>
    <ds:schemaRef ds:uri="http://schemas.microsoft.com/sharepoint/events"/>
  </ds:schemaRefs>
</ds:datastoreItem>
</file>

<file path=customXml/itemProps5.xml><?xml version="1.0" encoding="utf-8"?>
<ds:datastoreItem xmlns:ds="http://schemas.openxmlformats.org/officeDocument/2006/customXml" ds:itemID="{3AC965EF-C680-4326-B990-8D7D4CDD8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76</Pages>
  <Words>25129</Words>
  <Characters>150774</Characters>
  <Application>Microsoft Office Word</Application>
  <DocSecurity>0</DocSecurity>
  <Lines>1256</Lines>
  <Paragraphs>351</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175552</CharactersWithSpaces>
  <SharedDoc>false</SharedDoc>
  <HLinks>
    <vt:vector size="540" baseType="variant">
      <vt:variant>
        <vt:i4>3473448</vt:i4>
      </vt:variant>
      <vt:variant>
        <vt:i4>618</vt:i4>
      </vt:variant>
      <vt:variant>
        <vt:i4>0</vt:i4>
      </vt:variant>
      <vt:variant>
        <vt:i4>5</vt:i4>
      </vt:variant>
      <vt:variant>
        <vt:lpwstr>https://www.bls.gov/ncs/ebs/benefits/2021/employee-benefits-in-the-united-states-march-2021.pdf</vt:lpwstr>
      </vt:variant>
      <vt:variant>
        <vt:lpwstr/>
      </vt:variant>
      <vt:variant>
        <vt:i4>1704036</vt:i4>
      </vt:variant>
      <vt:variant>
        <vt:i4>615</vt:i4>
      </vt:variant>
      <vt:variant>
        <vt:i4>0</vt:i4>
      </vt:variant>
      <vt:variant>
        <vt:i4>5</vt:i4>
      </vt:variant>
      <vt:variant>
        <vt:lpwstr>https://www.knf.gov.pl/?articleId=77281&amp;p_id=18</vt:lpwstr>
      </vt:variant>
      <vt:variant>
        <vt:lpwstr/>
      </vt:variant>
      <vt:variant>
        <vt:i4>1704038</vt:i4>
      </vt:variant>
      <vt:variant>
        <vt:i4>612</vt:i4>
      </vt:variant>
      <vt:variant>
        <vt:i4>0</vt:i4>
      </vt:variant>
      <vt:variant>
        <vt:i4>5</vt:i4>
      </vt:variant>
      <vt:variant>
        <vt:lpwstr>https://www.knf.gov.pl/?articleId=77283&amp;p_id=18</vt:lpwstr>
      </vt:variant>
      <vt:variant>
        <vt:lpwstr/>
      </vt:variant>
      <vt:variant>
        <vt:i4>1572967</vt:i4>
      </vt:variant>
      <vt:variant>
        <vt:i4>609</vt:i4>
      </vt:variant>
      <vt:variant>
        <vt:i4>0</vt:i4>
      </vt:variant>
      <vt:variant>
        <vt:i4>5</vt:i4>
      </vt:variant>
      <vt:variant>
        <vt:lpwstr>https://www.knf.gov.pl/?articleId=79141&amp;p_id=18</vt:lpwstr>
      </vt:variant>
      <vt:variant>
        <vt:lpwstr/>
      </vt:variant>
      <vt:variant>
        <vt:i4>8192109</vt:i4>
      </vt:variant>
      <vt:variant>
        <vt:i4>606</vt:i4>
      </vt:variant>
      <vt:variant>
        <vt:i4>0</vt:i4>
      </vt:variant>
      <vt:variant>
        <vt:i4>5</vt:i4>
      </vt:variant>
      <vt:variant>
        <vt:lpwstr>https://stat.gov.pl/spisy-powszechne/nsp-2021/nsp-2021-wyniki-wstepne/ludnosc-wedlug-cech-spolecznych-wyniki-wstepne-nsp-2021,2,1.html</vt:lpwstr>
      </vt:variant>
      <vt:variant>
        <vt:lpwstr/>
      </vt:variant>
      <vt:variant>
        <vt:i4>327700</vt:i4>
      </vt:variant>
      <vt:variant>
        <vt:i4>603</vt:i4>
      </vt:variant>
      <vt:variant>
        <vt:i4>0</vt:i4>
      </vt:variant>
      <vt:variant>
        <vt:i4>5</vt:i4>
      </vt:variant>
      <vt:variant>
        <vt:lpwstr>https://www.wib.org.pl/wiedza-finansowa-coraz-wazniejsza-dla-polakow/</vt:lpwstr>
      </vt:variant>
      <vt:variant>
        <vt:lpwstr/>
      </vt:variant>
      <vt:variant>
        <vt:i4>1835063</vt:i4>
      </vt:variant>
      <vt:variant>
        <vt:i4>593</vt:i4>
      </vt:variant>
      <vt:variant>
        <vt:i4>0</vt:i4>
      </vt:variant>
      <vt:variant>
        <vt:i4>5</vt:i4>
      </vt:variant>
      <vt:variant>
        <vt:lpwstr/>
      </vt:variant>
      <vt:variant>
        <vt:lpwstr>_Toc121826573</vt:lpwstr>
      </vt:variant>
      <vt:variant>
        <vt:i4>1835063</vt:i4>
      </vt:variant>
      <vt:variant>
        <vt:i4>587</vt:i4>
      </vt:variant>
      <vt:variant>
        <vt:i4>0</vt:i4>
      </vt:variant>
      <vt:variant>
        <vt:i4>5</vt:i4>
      </vt:variant>
      <vt:variant>
        <vt:lpwstr/>
      </vt:variant>
      <vt:variant>
        <vt:lpwstr>_Toc121826572</vt:lpwstr>
      </vt:variant>
      <vt:variant>
        <vt:i4>1835063</vt:i4>
      </vt:variant>
      <vt:variant>
        <vt:i4>581</vt:i4>
      </vt:variant>
      <vt:variant>
        <vt:i4>0</vt:i4>
      </vt:variant>
      <vt:variant>
        <vt:i4>5</vt:i4>
      </vt:variant>
      <vt:variant>
        <vt:lpwstr/>
      </vt:variant>
      <vt:variant>
        <vt:lpwstr>_Toc121826571</vt:lpwstr>
      </vt:variant>
      <vt:variant>
        <vt:i4>1835063</vt:i4>
      </vt:variant>
      <vt:variant>
        <vt:i4>575</vt:i4>
      </vt:variant>
      <vt:variant>
        <vt:i4>0</vt:i4>
      </vt:variant>
      <vt:variant>
        <vt:i4>5</vt:i4>
      </vt:variant>
      <vt:variant>
        <vt:lpwstr/>
      </vt:variant>
      <vt:variant>
        <vt:lpwstr>_Toc121826570</vt:lpwstr>
      </vt:variant>
      <vt:variant>
        <vt:i4>1900599</vt:i4>
      </vt:variant>
      <vt:variant>
        <vt:i4>569</vt:i4>
      </vt:variant>
      <vt:variant>
        <vt:i4>0</vt:i4>
      </vt:variant>
      <vt:variant>
        <vt:i4>5</vt:i4>
      </vt:variant>
      <vt:variant>
        <vt:lpwstr/>
      </vt:variant>
      <vt:variant>
        <vt:lpwstr>_Toc121826569</vt:lpwstr>
      </vt:variant>
      <vt:variant>
        <vt:i4>1900599</vt:i4>
      </vt:variant>
      <vt:variant>
        <vt:i4>563</vt:i4>
      </vt:variant>
      <vt:variant>
        <vt:i4>0</vt:i4>
      </vt:variant>
      <vt:variant>
        <vt:i4>5</vt:i4>
      </vt:variant>
      <vt:variant>
        <vt:lpwstr/>
      </vt:variant>
      <vt:variant>
        <vt:lpwstr>_Toc121826568</vt:lpwstr>
      </vt:variant>
      <vt:variant>
        <vt:i4>1900599</vt:i4>
      </vt:variant>
      <vt:variant>
        <vt:i4>557</vt:i4>
      </vt:variant>
      <vt:variant>
        <vt:i4>0</vt:i4>
      </vt:variant>
      <vt:variant>
        <vt:i4>5</vt:i4>
      </vt:variant>
      <vt:variant>
        <vt:lpwstr/>
      </vt:variant>
      <vt:variant>
        <vt:lpwstr>_Toc121826567</vt:lpwstr>
      </vt:variant>
      <vt:variant>
        <vt:i4>1900599</vt:i4>
      </vt:variant>
      <vt:variant>
        <vt:i4>551</vt:i4>
      </vt:variant>
      <vt:variant>
        <vt:i4>0</vt:i4>
      </vt:variant>
      <vt:variant>
        <vt:i4>5</vt:i4>
      </vt:variant>
      <vt:variant>
        <vt:lpwstr/>
      </vt:variant>
      <vt:variant>
        <vt:lpwstr>_Toc121826566</vt:lpwstr>
      </vt:variant>
      <vt:variant>
        <vt:i4>1900599</vt:i4>
      </vt:variant>
      <vt:variant>
        <vt:i4>545</vt:i4>
      </vt:variant>
      <vt:variant>
        <vt:i4>0</vt:i4>
      </vt:variant>
      <vt:variant>
        <vt:i4>5</vt:i4>
      </vt:variant>
      <vt:variant>
        <vt:lpwstr/>
      </vt:variant>
      <vt:variant>
        <vt:lpwstr>_Toc121826565</vt:lpwstr>
      </vt:variant>
      <vt:variant>
        <vt:i4>1900599</vt:i4>
      </vt:variant>
      <vt:variant>
        <vt:i4>539</vt:i4>
      </vt:variant>
      <vt:variant>
        <vt:i4>0</vt:i4>
      </vt:variant>
      <vt:variant>
        <vt:i4>5</vt:i4>
      </vt:variant>
      <vt:variant>
        <vt:lpwstr/>
      </vt:variant>
      <vt:variant>
        <vt:lpwstr>_Toc121826564</vt:lpwstr>
      </vt:variant>
      <vt:variant>
        <vt:i4>1900599</vt:i4>
      </vt:variant>
      <vt:variant>
        <vt:i4>533</vt:i4>
      </vt:variant>
      <vt:variant>
        <vt:i4>0</vt:i4>
      </vt:variant>
      <vt:variant>
        <vt:i4>5</vt:i4>
      </vt:variant>
      <vt:variant>
        <vt:lpwstr/>
      </vt:variant>
      <vt:variant>
        <vt:lpwstr>_Toc121826563</vt:lpwstr>
      </vt:variant>
      <vt:variant>
        <vt:i4>1900599</vt:i4>
      </vt:variant>
      <vt:variant>
        <vt:i4>527</vt:i4>
      </vt:variant>
      <vt:variant>
        <vt:i4>0</vt:i4>
      </vt:variant>
      <vt:variant>
        <vt:i4>5</vt:i4>
      </vt:variant>
      <vt:variant>
        <vt:lpwstr/>
      </vt:variant>
      <vt:variant>
        <vt:lpwstr>_Toc121826562</vt:lpwstr>
      </vt:variant>
      <vt:variant>
        <vt:i4>1900599</vt:i4>
      </vt:variant>
      <vt:variant>
        <vt:i4>521</vt:i4>
      </vt:variant>
      <vt:variant>
        <vt:i4>0</vt:i4>
      </vt:variant>
      <vt:variant>
        <vt:i4>5</vt:i4>
      </vt:variant>
      <vt:variant>
        <vt:lpwstr/>
      </vt:variant>
      <vt:variant>
        <vt:lpwstr>_Toc121826561</vt:lpwstr>
      </vt:variant>
      <vt:variant>
        <vt:i4>1900599</vt:i4>
      </vt:variant>
      <vt:variant>
        <vt:i4>515</vt:i4>
      </vt:variant>
      <vt:variant>
        <vt:i4>0</vt:i4>
      </vt:variant>
      <vt:variant>
        <vt:i4>5</vt:i4>
      </vt:variant>
      <vt:variant>
        <vt:lpwstr/>
      </vt:variant>
      <vt:variant>
        <vt:lpwstr>_Toc121826560</vt:lpwstr>
      </vt:variant>
      <vt:variant>
        <vt:i4>1966135</vt:i4>
      </vt:variant>
      <vt:variant>
        <vt:i4>509</vt:i4>
      </vt:variant>
      <vt:variant>
        <vt:i4>0</vt:i4>
      </vt:variant>
      <vt:variant>
        <vt:i4>5</vt:i4>
      </vt:variant>
      <vt:variant>
        <vt:lpwstr/>
      </vt:variant>
      <vt:variant>
        <vt:lpwstr>_Toc121826559</vt:lpwstr>
      </vt:variant>
      <vt:variant>
        <vt:i4>1966135</vt:i4>
      </vt:variant>
      <vt:variant>
        <vt:i4>503</vt:i4>
      </vt:variant>
      <vt:variant>
        <vt:i4>0</vt:i4>
      </vt:variant>
      <vt:variant>
        <vt:i4>5</vt:i4>
      </vt:variant>
      <vt:variant>
        <vt:lpwstr/>
      </vt:variant>
      <vt:variant>
        <vt:lpwstr>_Toc121826558</vt:lpwstr>
      </vt:variant>
      <vt:variant>
        <vt:i4>1966135</vt:i4>
      </vt:variant>
      <vt:variant>
        <vt:i4>497</vt:i4>
      </vt:variant>
      <vt:variant>
        <vt:i4>0</vt:i4>
      </vt:variant>
      <vt:variant>
        <vt:i4>5</vt:i4>
      </vt:variant>
      <vt:variant>
        <vt:lpwstr/>
      </vt:variant>
      <vt:variant>
        <vt:lpwstr>_Toc121826557</vt:lpwstr>
      </vt:variant>
      <vt:variant>
        <vt:i4>1966135</vt:i4>
      </vt:variant>
      <vt:variant>
        <vt:i4>491</vt:i4>
      </vt:variant>
      <vt:variant>
        <vt:i4>0</vt:i4>
      </vt:variant>
      <vt:variant>
        <vt:i4>5</vt:i4>
      </vt:variant>
      <vt:variant>
        <vt:lpwstr/>
      </vt:variant>
      <vt:variant>
        <vt:lpwstr>_Toc121826556</vt:lpwstr>
      </vt:variant>
      <vt:variant>
        <vt:i4>1966135</vt:i4>
      </vt:variant>
      <vt:variant>
        <vt:i4>485</vt:i4>
      </vt:variant>
      <vt:variant>
        <vt:i4>0</vt:i4>
      </vt:variant>
      <vt:variant>
        <vt:i4>5</vt:i4>
      </vt:variant>
      <vt:variant>
        <vt:lpwstr/>
      </vt:variant>
      <vt:variant>
        <vt:lpwstr>_Toc121826555</vt:lpwstr>
      </vt:variant>
      <vt:variant>
        <vt:i4>1966135</vt:i4>
      </vt:variant>
      <vt:variant>
        <vt:i4>479</vt:i4>
      </vt:variant>
      <vt:variant>
        <vt:i4>0</vt:i4>
      </vt:variant>
      <vt:variant>
        <vt:i4>5</vt:i4>
      </vt:variant>
      <vt:variant>
        <vt:lpwstr/>
      </vt:variant>
      <vt:variant>
        <vt:lpwstr>_Toc121826554</vt:lpwstr>
      </vt:variant>
      <vt:variant>
        <vt:i4>1966135</vt:i4>
      </vt:variant>
      <vt:variant>
        <vt:i4>473</vt:i4>
      </vt:variant>
      <vt:variant>
        <vt:i4>0</vt:i4>
      </vt:variant>
      <vt:variant>
        <vt:i4>5</vt:i4>
      </vt:variant>
      <vt:variant>
        <vt:lpwstr/>
      </vt:variant>
      <vt:variant>
        <vt:lpwstr>_Toc121826553</vt:lpwstr>
      </vt:variant>
      <vt:variant>
        <vt:i4>1966135</vt:i4>
      </vt:variant>
      <vt:variant>
        <vt:i4>467</vt:i4>
      </vt:variant>
      <vt:variant>
        <vt:i4>0</vt:i4>
      </vt:variant>
      <vt:variant>
        <vt:i4>5</vt:i4>
      </vt:variant>
      <vt:variant>
        <vt:lpwstr/>
      </vt:variant>
      <vt:variant>
        <vt:lpwstr>_Toc121826552</vt:lpwstr>
      </vt:variant>
      <vt:variant>
        <vt:i4>1966135</vt:i4>
      </vt:variant>
      <vt:variant>
        <vt:i4>461</vt:i4>
      </vt:variant>
      <vt:variant>
        <vt:i4>0</vt:i4>
      </vt:variant>
      <vt:variant>
        <vt:i4>5</vt:i4>
      </vt:variant>
      <vt:variant>
        <vt:lpwstr/>
      </vt:variant>
      <vt:variant>
        <vt:lpwstr>_Toc121826551</vt:lpwstr>
      </vt:variant>
      <vt:variant>
        <vt:i4>1900593</vt:i4>
      </vt:variant>
      <vt:variant>
        <vt:i4>452</vt:i4>
      </vt:variant>
      <vt:variant>
        <vt:i4>0</vt:i4>
      </vt:variant>
      <vt:variant>
        <vt:i4>5</vt:i4>
      </vt:variant>
      <vt:variant>
        <vt:lpwstr/>
      </vt:variant>
      <vt:variant>
        <vt:lpwstr>_Toc121826369</vt:lpwstr>
      </vt:variant>
      <vt:variant>
        <vt:i4>1900593</vt:i4>
      </vt:variant>
      <vt:variant>
        <vt:i4>446</vt:i4>
      </vt:variant>
      <vt:variant>
        <vt:i4>0</vt:i4>
      </vt:variant>
      <vt:variant>
        <vt:i4>5</vt:i4>
      </vt:variant>
      <vt:variant>
        <vt:lpwstr/>
      </vt:variant>
      <vt:variant>
        <vt:lpwstr>_Toc121826368</vt:lpwstr>
      </vt:variant>
      <vt:variant>
        <vt:i4>1900593</vt:i4>
      </vt:variant>
      <vt:variant>
        <vt:i4>440</vt:i4>
      </vt:variant>
      <vt:variant>
        <vt:i4>0</vt:i4>
      </vt:variant>
      <vt:variant>
        <vt:i4>5</vt:i4>
      </vt:variant>
      <vt:variant>
        <vt:lpwstr/>
      </vt:variant>
      <vt:variant>
        <vt:lpwstr>_Toc121826367</vt:lpwstr>
      </vt:variant>
      <vt:variant>
        <vt:i4>1900593</vt:i4>
      </vt:variant>
      <vt:variant>
        <vt:i4>434</vt:i4>
      </vt:variant>
      <vt:variant>
        <vt:i4>0</vt:i4>
      </vt:variant>
      <vt:variant>
        <vt:i4>5</vt:i4>
      </vt:variant>
      <vt:variant>
        <vt:lpwstr/>
      </vt:variant>
      <vt:variant>
        <vt:lpwstr>_Toc121826366</vt:lpwstr>
      </vt:variant>
      <vt:variant>
        <vt:i4>1900593</vt:i4>
      </vt:variant>
      <vt:variant>
        <vt:i4>428</vt:i4>
      </vt:variant>
      <vt:variant>
        <vt:i4>0</vt:i4>
      </vt:variant>
      <vt:variant>
        <vt:i4>5</vt:i4>
      </vt:variant>
      <vt:variant>
        <vt:lpwstr/>
      </vt:variant>
      <vt:variant>
        <vt:lpwstr>_Toc121826365</vt:lpwstr>
      </vt:variant>
      <vt:variant>
        <vt:i4>1900593</vt:i4>
      </vt:variant>
      <vt:variant>
        <vt:i4>422</vt:i4>
      </vt:variant>
      <vt:variant>
        <vt:i4>0</vt:i4>
      </vt:variant>
      <vt:variant>
        <vt:i4>5</vt:i4>
      </vt:variant>
      <vt:variant>
        <vt:lpwstr/>
      </vt:variant>
      <vt:variant>
        <vt:lpwstr>_Toc121826364</vt:lpwstr>
      </vt:variant>
      <vt:variant>
        <vt:i4>1900593</vt:i4>
      </vt:variant>
      <vt:variant>
        <vt:i4>416</vt:i4>
      </vt:variant>
      <vt:variant>
        <vt:i4>0</vt:i4>
      </vt:variant>
      <vt:variant>
        <vt:i4>5</vt:i4>
      </vt:variant>
      <vt:variant>
        <vt:lpwstr/>
      </vt:variant>
      <vt:variant>
        <vt:lpwstr>_Toc121826363</vt:lpwstr>
      </vt:variant>
      <vt:variant>
        <vt:i4>6815848</vt:i4>
      </vt:variant>
      <vt:variant>
        <vt:i4>411</vt:i4>
      </vt:variant>
      <vt:variant>
        <vt:i4>0</vt:i4>
      </vt:variant>
      <vt:variant>
        <vt:i4>5</vt:i4>
      </vt:variant>
      <vt:variant>
        <vt:lpwstr>http://www.mojeppk.pl/</vt:lpwstr>
      </vt:variant>
      <vt:variant>
        <vt:lpwstr/>
      </vt:variant>
      <vt:variant>
        <vt:i4>1835060</vt:i4>
      </vt:variant>
      <vt:variant>
        <vt:i4>314</vt:i4>
      </vt:variant>
      <vt:variant>
        <vt:i4>0</vt:i4>
      </vt:variant>
      <vt:variant>
        <vt:i4>5</vt:i4>
      </vt:variant>
      <vt:variant>
        <vt:lpwstr/>
      </vt:variant>
      <vt:variant>
        <vt:lpwstr>_Toc121826678</vt:lpwstr>
      </vt:variant>
      <vt:variant>
        <vt:i4>1835060</vt:i4>
      </vt:variant>
      <vt:variant>
        <vt:i4>308</vt:i4>
      </vt:variant>
      <vt:variant>
        <vt:i4>0</vt:i4>
      </vt:variant>
      <vt:variant>
        <vt:i4>5</vt:i4>
      </vt:variant>
      <vt:variant>
        <vt:lpwstr/>
      </vt:variant>
      <vt:variant>
        <vt:lpwstr>_Toc121826677</vt:lpwstr>
      </vt:variant>
      <vt:variant>
        <vt:i4>1835060</vt:i4>
      </vt:variant>
      <vt:variant>
        <vt:i4>302</vt:i4>
      </vt:variant>
      <vt:variant>
        <vt:i4>0</vt:i4>
      </vt:variant>
      <vt:variant>
        <vt:i4>5</vt:i4>
      </vt:variant>
      <vt:variant>
        <vt:lpwstr/>
      </vt:variant>
      <vt:variant>
        <vt:lpwstr>_Toc121826676</vt:lpwstr>
      </vt:variant>
      <vt:variant>
        <vt:i4>1835060</vt:i4>
      </vt:variant>
      <vt:variant>
        <vt:i4>296</vt:i4>
      </vt:variant>
      <vt:variant>
        <vt:i4>0</vt:i4>
      </vt:variant>
      <vt:variant>
        <vt:i4>5</vt:i4>
      </vt:variant>
      <vt:variant>
        <vt:lpwstr/>
      </vt:variant>
      <vt:variant>
        <vt:lpwstr>_Toc121826675</vt:lpwstr>
      </vt:variant>
      <vt:variant>
        <vt:i4>1835060</vt:i4>
      </vt:variant>
      <vt:variant>
        <vt:i4>290</vt:i4>
      </vt:variant>
      <vt:variant>
        <vt:i4>0</vt:i4>
      </vt:variant>
      <vt:variant>
        <vt:i4>5</vt:i4>
      </vt:variant>
      <vt:variant>
        <vt:lpwstr/>
      </vt:variant>
      <vt:variant>
        <vt:lpwstr>_Toc121826674</vt:lpwstr>
      </vt:variant>
      <vt:variant>
        <vt:i4>1835060</vt:i4>
      </vt:variant>
      <vt:variant>
        <vt:i4>284</vt:i4>
      </vt:variant>
      <vt:variant>
        <vt:i4>0</vt:i4>
      </vt:variant>
      <vt:variant>
        <vt:i4>5</vt:i4>
      </vt:variant>
      <vt:variant>
        <vt:lpwstr/>
      </vt:variant>
      <vt:variant>
        <vt:lpwstr>_Toc121826673</vt:lpwstr>
      </vt:variant>
      <vt:variant>
        <vt:i4>1835060</vt:i4>
      </vt:variant>
      <vt:variant>
        <vt:i4>278</vt:i4>
      </vt:variant>
      <vt:variant>
        <vt:i4>0</vt:i4>
      </vt:variant>
      <vt:variant>
        <vt:i4>5</vt:i4>
      </vt:variant>
      <vt:variant>
        <vt:lpwstr/>
      </vt:variant>
      <vt:variant>
        <vt:lpwstr>_Toc121826672</vt:lpwstr>
      </vt:variant>
      <vt:variant>
        <vt:i4>1835060</vt:i4>
      </vt:variant>
      <vt:variant>
        <vt:i4>272</vt:i4>
      </vt:variant>
      <vt:variant>
        <vt:i4>0</vt:i4>
      </vt:variant>
      <vt:variant>
        <vt:i4>5</vt:i4>
      </vt:variant>
      <vt:variant>
        <vt:lpwstr/>
      </vt:variant>
      <vt:variant>
        <vt:lpwstr>_Toc121826671</vt:lpwstr>
      </vt:variant>
      <vt:variant>
        <vt:i4>1835060</vt:i4>
      </vt:variant>
      <vt:variant>
        <vt:i4>266</vt:i4>
      </vt:variant>
      <vt:variant>
        <vt:i4>0</vt:i4>
      </vt:variant>
      <vt:variant>
        <vt:i4>5</vt:i4>
      </vt:variant>
      <vt:variant>
        <vt:lpwstr/>
      </vt:variant>
      <vt:variant>
        <vt:lpwstr>_Toc121826670</vt:lpwstr>
      </vt:variant>
      <vt:variant>
        <vt:i4>1900596</vt:i4>
      </vt:variant>
      <vt:variant>
        <vt:i4>260</vt:i4>
      </vt:variant>
      <vt:variant>
        <vt:i4>0</vt:i4>
      </vt:variant>
      <vt:variant>
        <vt:i4>5</vt:i4>
      </vt:variant>
      <vt:variant>
        <vt:lpwstr/>
      </vt:variant>
      <vt:variant>
        <vt:lpwstr>_Toc121826669</vt:lpwstr>
      </vt:variant>
      <vt:variant>
        <vt:i4>1900596</vt:i4>
      </vt:variant>
      <vt:variant>
        <vt:i4>254</vt:i4>
      </vt:variant>
      <vt:variant>
        <vt:i4>0</vt:i4>
      </vt:variant>
      <vt:variant>
        <vt:i4>5</vt:i4>
      </vt:variant>
      <vt:variant>
        <vt:lpwstr/>
      </vt:variant>
      <vt:variant>
        <vt:lpwstr>_Toc121826668</vt:lpwstr>
      </vt:variant>
      <vt:variant>
        <vt:i4>1900596</vt:i4>
      </vt:variant>
      <vt:variant>
        <vt:i4>248</vt:i4>
      </vt:variant>
      <vt:variant>
        <vt:i4>0</vt:i4>
      </vt:variant>
      <vt:variant>
        <vt:i4>5</vt:i4>
      </vt:variant>
      <vt:variant>
        <vt:lpwstr/>
      </vt:variant>
      <vt:variant>
        <vt:lpwstr>_Toc121826667</vt:lpwstr>
      </vt:variant>
      <vt:variant>
        <vt:i4>1900596</vt:i4>
      </vt:variant>
      <vt:variant>
        <vt:i4>242</vt:i4>
      </vt:variant>
      <vt:variant>
        <vt:i4>0</vt:i4>
      </vt:variant>
      <vt:variant>
        <vt:i4>5</vt:i4>
      </vt:variant>
      <vt:variant>
        <vt:lpwstr/>
      </vt:variant>
      <vt:variant>
        <vt:lpwstr>_Toc121826666</vt:lpwstr>
      </vt:variant>
      <vt:variant>
        <vt:i4>1900596</vt:i4>
      </vt:variant>
      <vt:variant>
        <vt:i4>236</vt:i4>
      </vt:variant>
      <vt:variant>
        <vt:i4>0</vt:i4>
      </vt:variant>
      <vt:variant>
        <vt:i4>5</vt:i4>
      </vt:variant>
      <vt:variant>
        <vt:lpwstr/>
      </vt:variant>
      <vt:variant>
        <vt:lpwstr>_Toc121826665</vt:lpwstr>
      </vt:variant>
      <vt:variant>
        <vt:i4>1900596</vt:i4>
      </vt:variant>
      <vt:variant>
        <vt:i4>230</vt:i4>
      </vt:variant>
      <vt:variant>
        <vt:i4>0</vt:i4>
      </vt:variant>
      <vt:variant>
        <vt:i4>5</vt:i4>
      </vt:variant>
      <vt:variant>
        <vt:lpwstr/>
      </vt:variant>
      <vt:variant>
        <vt:lpwstr>_Toc121826664</vt:lpwstr>
      </vt:variant>
      <vt:variant>
        <vt:i4>1900596</vt:i4>
      </vt:variant>
      <vt:variant>
        <vt:i4>224</vt:i4>
      </vt:variant>
      <vt:variant>
        <vt:i4>0</vt:i4>
      </vt:variant>
      <vt:variant>
        <vt:i4>5</vt:i4>
      </vt:variant>
      <vt:variant>
        <vt:lpwstr/>
      </vt:variant>
      <vt:variant>
        <vt:lpwstr>_Toc121826663</vt:lpwstr>
      </vt:variant>
      <vt:variant>
        <vt:i4>1900596</vt:i4>
      </vt:variant>
      <vt:variant>
        <vt:i4>218</vt:i4>
      </vt:variant>
      <vt:variant>
        <vt:i4>0</vt:i4>
      </vt:variant>
      <vt:variant>
        <vt:i4>5</vt:i4>
      </vt:variant>
      <vt:variant>
        <vt:lpwstr/>
      </vt:variant>
      <vt:variant>
        <vt:lpwstr>_Toc121826662</vt:lpwstr>
      </vt:variant>
      <vt:variant>
        <vt:i4>1900596</vt:i4>
      </vt:variant>
      <vt:variant>
        <vt:i4>212</vt:i4>
      </vt:variant>
      <vt:variant>
        <vt:i4>0</vt:i4>
      </vt:variant>
      <vt:variant>
        <vt:i4>5</vt:i4>
      </vt:variant>
      <vt:variant>
        <vt:lpwstr/>
      </vt:variant>
      <vt:variant>
        <vt:lpwstr>_Toc121826661</vt:lpwstr>
      </vt:variant>
      <vt:variant>
        <vt:i4>1900596</vt:i4>
      </vt:variant>
      <vt:variant>
        <vt:i4>206</vt:i4>
      </vt:variant>
      <vt:variant>
        <vt:i4>0</vt:i4>
      </vt:variant>
      <vt:variant>
        <vt:i4>5</vt:i4>
      </vt:variant>
      <vt:variant>
        <vt:lpwstr/>
      </vt:variant>
      <vt:variant>
        <vt:lpwstr>_Toc121826660</vt:lpwstr>
      </vt:variant>
      <vt:variant>
        <vt:i4>1966132</vt:i4>
      </vt:variant>
      <vt:variant>
        <vt:i4>200</vt:i4>
      </vt:variant>
      <vt:variant>
        <vt:i4>0</vt:i4>
      </vt:variant>
      <vt:variant>
        <vt:i4>5</vt:i4>
      </vt:variant>
      <vt:variant>
        <vt:lpwstr/>
      </vt:variant>
      <vt:variant>
        <vt:lpwstr>_Toc121826659</vt:lpwstr>
      </vt:variant>
      <vt:variant>
        <vt:i4>1966132</vt:i4>
      </vt:variant>
      <vt:variant>
        <vt:i4>194</vt:i4>
      </vt:variant>
      <vt:variant>
        <vt:i4>0</vt:i4>
      </vt:variant>
      <vt:variant>
        <vt:i4>5</vt:i4>
      </vt:variant>
      <vt:variant>
        <vt:lpwstr/>
      </vt:variant>
      <vt:variant>
        <vt:lpwstr>_Toc121826658</vt:lpwstr>
      </vt:variant>
      <vt:variant>
        <vt:i4>1966132</vt:i4>
      </vt:variant>
      <vt:variant>
        <vt:i4>188</vt:i4>
      </vt:variant>
      <vt:variant>
        <vt:i4>0</vt:i4>
      </vt:variant>
      <vt:variant>
        <vt:i4>5</vt:i4>
      </vt:variant>
      <vt:variant>
        <vt:lpwstr/>
      </vt:variant>
      <vt:variant>
        <vt:lpwstr>_Toc121826657</vt:lpwstr>
      </vt:variant>
      <vt:variant>
        <vt:i4>1966132</vt:i4>
      </vt:variant>
      <vt:variant>
        <vt:i4>182</vt:i4>
      </vt:variant>
      <vt:variant>
        <vt:i4>0</vt:i4>
      </vt:variant>
      <vt:variant>
        <vt:i4>5</vt:i4>
      </vt:variant>
      <vt:variant>
        <vt:lpwstr/>
      </vt:variant>
      <vt:variant>
        <vt:lpwstr>_Toc121826656</vt:lpwstr>
      </vt:variant>
      <vt:variant>
        <vt:i4>1966132</vt:i4>
      </vt:variant>
      <vt:variant>
        <vt:i4>176</vt:i4>
      </vt:variant>
      <vt:variant>
        <vt:i4>0</vt:i4>
      </vt:variant>
      <vt:variant>
        <vt:i4>5</vt:i4>
      </vt:variant>
      <vt:variant>
        <vt:lpwstr/>
      </vt:variant>
      <vt:variant>
        <vt:lpwstr>_Toc121826655</vt:lpwstr>
      </vt:variant>
      <vt:variant>
        <vt:i4>1966132</vt:i4>
      </vt:variant>
      <vt:variant>
        <vt:i4>170</vt:i4>
      </vt:variant>
      <vt:variant>
        <vt:i4>0</vt:i4>
      </vt:variant>
      <vt:variant>
        <vt:i4>5</vt:i4>
      </vt:variant>
      <vt:variant>
        <vt:lpwstr/>
      </vt:variant>
      <vt:variant>
        <vt:lpwstr>_Toc121826654</vt:lpwstr>
      </vt:variant>
      <vt:variant>
        <vt:i4>1966132</vt:i4>
      </vt:variant>
      <vt:variant>
        <vt:i4>164</vt:i4>
      </vt:variant>
      <vt:variant>
        <vt:i4>0</vt:i4>
      </vt:variant>
      <vt:variant>
        <vt:i4>5</vt:i4>
      </vt:variant>
      <vt:variant>
        <vt:lpwstr/>
      </vt:variant>
      <vt:variant>
        <vt:lpwstr>_Toc121826653</vt:lpwstr>
      </vt:variant>
      <vt:variant>
        <vt:i4>1966132</vt:i4>
      </vt:variant>
      <vt:variant>
        <vt:i4>158</vt:i4>
      </vt:variant>
      <vt:variant>
        <vt:i4>0</vt:i4>
      </vt:variant>
      <vt:variant>
        <vt:i4>5</vt:i4>
      </vt:variant>
      <vt:variant>
        <vt:lpwstr/>
      </vt:variant>
      <vt:variant>
        <vt:lpwstr>_Toc121826652</vt:lpwstr>
      </vt:variant>
      <vt:variant>
        <vt:i4>1966132</vt:i4>
      </vt:variant>
      <vt:variant>
        <vt:i4>152</vt:i4>
      </vt:variant>
      <vt:variant>
        <vt:i4>0</vt:i4>
      </vt:variant>
      <vt:variant>
        <vt:i4>5</vt:i4>
      </vt:variant>
      <vt:variant>
        <vt:lpwstr/>
      </vt:variant>
      <vt:variant>
        <vt:lpwstr>_Toc121826651</vt:lpwstr>
      </vt:variant>
      <vt:variant>
        <vt:i4>1966132</vt:i4>
      </vt:variant>
      <vt:variant>
        <vt:i4>146</vt:i4>
      </vt:variant>
      <vt:variant>
        <vt:i4>0</vt:i4>
      </vt:variant>
      <vt:variant>
        <vt:i4>5</vt:i4>
      </vt:variant>
      <vt:variant>
        <vt:lpwstr/>
      </vt:variant>
      <vt:variant>
        <vt:lpwstr>_Toc121826650</vt:lpwstr>
      </vt:variant>
      <vt:variant>
        <vt:i4>2031668</vt:i4>
      </vt:variant>
      <vt:variant>
        <vt:i4>140</vt:i4>
      </vt:variant>
      <vt:variant>
        <vt:i4>0</vt:i4>
      </vt:variant>
      <vt:variant>
        <vt:i4>5</vt:i4>
      </vt:variant>
      <vt:variant>
        <vt:lpwstr/>
      </vt:variant>
      <vt:variant>
        <vt:lpwstr>_Toc121826649</vt:lpwstr>
      </vt:variant>
      <vt:variant>
        <vt:i4>2031668</vt:i4>
      </vt:variant>
      <vt:variant>
        <vt:i4>134</vt:i4>
      </vt:variant>
      <vt:variant>
        <vt:i4>0</vt:i4>
      </vt:variant>
      <vt:variant>
        <vt:i4>5</vt:i4>
      </vt:variant>
      <vt:variant>
        <vt:lpwstr/>
      </vt:variant>
      <vt:variant>
        <vt:lpwstr>_Toc121826648</vt:lpwstr>
      </vt:variant>
      <vt:variant>
        <vt:i4>2031668</vt:i4>
      </vt:variant>
      <vt:variant>
        <vt:i4>128</vt:i4>
      </vt:variant>
      <vt:variant>
        <vt:i4>0</vt:i4>
      </vt:variant>
      <vt:variant>
        <vt:i4>5</vt:i4>
      </vt:variant>
      <vt:variant>
        <vt:lpwstr/>
      </vt:variant>
      <vt:variant>
        <vt:lpwstr>_Toc121826647</vt:lpwstr>
      </vt:variant>
      <vt:variant>
        <vt:i4>2031668</vt:i4>
      </vt:variant>
      <vt:variant>
        <vt:i4>122</vt:i4>
      </vt:variant>
      <vt:variant>
        <vt:i4>0</vt:i4>
      </vt:variant>
      <vt:variant>
        <vt:i4>5</vt:i4>
      </vt:variant>
      <vt:variant>
        <vt:lpwstr/>
      </vt:variant>
      <vt:variant>
        <vt:lpwstr>_Toc121826646</vt:lpwstr>
      </vt:variant>
      <vt:variant>
        <vt:i4>2031668</vt:i4>
      </vt:variant>
      <vt:variant>
        <vt:i4>116</vt:i4>
      </vt:variant>
      <vt:variant>
        <vt:i4>0</vt:i4>
      </vt:variant>
      <vt:variant>
        <vt:i4>5</vt:i4>
      </vt:variant>
      <vt:variant>
        <vt:lpwstr/>
      </vt:variant>
      <vt:variant>
        <vt:lpwstr>_Toc121826645</vt:lpwstr>
      </vt:variant>
      <vt:variant>
        <vt:i4>2031668</vt:i4>
      </vt:variant>
      <vt:variant>
        <vt:i4>110</vt:i4>
      </vt:variant>
      <vt:variant>
        <vt:i4>0</vt:i4>
      </vt:variant>
      <vt:variant>
        <vt:i4>5</vt:i4>
      </vt:variant>
      <vt:variant>
        <vt:lpwstr/>
      </vt:variant>
      <vt:variant>
        <vt:lpwstr>_Toc121826644</vt:lpwstr>
      </vt:variant>
      <vt:variant>
        <vt:i4>2031668</vt:i4>
      </vt:variant>
      <vt:variant>
        <vt:i4>104</vt:i4>
      </vt:variant>
      <vt:variant>
        <vt:i4>0</vt:i4>
      </vt:variant>
      <vt:variant>
        <vt:i4>5</vt:i4>
      </vt:variant>
      <vt:variant>
        <vt:lpwstr/>
      </vt:variant>
      <vt:variant>
        <vt:lpwstr>_Toc121826643</vt:lpwstr>
      </vt:variant>
      <vt:variant>
        <vt:i4>2031668</vt:i4>
      </vt:variant>
      <vt:variant>
        <vt:i4>98</vt:i4>
      </vt:variant>
      <vt:variant>
        <vt:i4>0</vt:i4>
      </vt:variant>
      <vt:variant>
        <vt:i4>5</vt:i4>
      </vt:variant>
      <vt:variant>
        <vt:lpwstr/>
      </vt:variant>
      <vt:variant>
        <vt:lpwstr>_Toc121826642</vt:lpwstr>
      </vt:variant>
      <vt:variant>
        <vt:i4>2031668</vt:i4>
      </vt:variant>
      <vt:variant>
        <vt:i4>92</vt:i4>
      </vt:variant>
      <vt:variant>
        <vt:i4>0</vt:i4>
      </vt:variant>
      <vt:variant>
        <vt:i4>5</vt:i4>
      </vt:variant>
      <vt:variant>
        <vt:lpwstr/>
      </vt:variant>
      <vt:variant>
        <vt:lpwstr>_Toc121826641</vt:lpwstr>
      </vt:variant>
      <vt:variant>
        <vt:i4>2031668</vt:i4>
      </vt:variant>
      <vt:variant>
        <vt:i4>86</vt:i4>
      </vt:variant>
      <vt:variant>
        <vt:i4>0</vt:i4>
      </vt:variant>
      <vt:variant>
        <vt:i4>5</vt:i4>
      </vt:variant>
      <vt:variant>
        <vt:lpwstr/>
      </vt:variant>
      <vt:variant>
        <vt:lpwstr>_Toc121826640</vt:lpwstr>
      </vt:variant>
      <vt:variant>
        <vt:i4>1572916</vt:i4>
      </vt:variant>
      <vt:variant>
        <vt:i4>80</vt:i4>
      </vt:variant>
      <vt:variant>
        <vt:i4>0</vt:i4>
      </vt:variant>
      <vt:variant>
        <vt:i4>5</vt:i4>
      </vt:variant>
      <vt:variant>
        <vt:lpwstr/>
      </vt:variant>
      <vt:variant>
        <vt:lpwstr>_Toc121826639</vt:lpwstr>
      </vt:variant>
      <vt:variant>
        <vt:i4>1572916</vt:i4>
      </vt:variant>
      <vt:variant>
        <vt:i4>74</vt:i4>
      </vt:variant>
      <vt:variant>
        <vt:i4>0</vt:i4>
      </vt:variant>
      <vt:variant>
        <vt:i4>5</vt:i4>
      </vt:variant>
      <vt:variant>
        <vt:lpwstr/>
      </vt:variant>
      <vt:variant>
        <vt:lpwstr>_Toc121826638</vt:lpwstr>
      </vt:variant>
      <vt:variant>
        <vt:i4>1572916</vt:i4>
      </vt:variant>
      <vt:variant>
        <vt:i4>68</vt:i4>
      </vt:variant>
      <vt:variant>
        <vt:i4>0</vt:i4>
      </vt:variant>
      <vt:variant>
        <vt:i4>5</vt:i4>
      </vt:variant>
      <vt:variant>
        <vt:lpwstr/>
      </vt:variant>
      <vt:variant>
        <vt:lpwstr>_Toc121826637</vt:lpwstr>
      </vt:variant>
      <vt:variant>
        <vt:i4>1572916</vt:i4>
      </vt:variant>
      <vt:variant>
        <vt:i4>62</vt:i4>
      </vt:variant>
      <vt:variant>
        <vt:i4>0</vt:i4>
      </vt:variant>
      <vt:variant>
        <vt:i4>5</vt:i4>
      </vt:variant>
      <vt:variant>
        <vt:lpwstr/>
      </vt:variant>
      <vt:variant>
        <vt:lpwstr>_Toc121826636</vt:lpwstr>
      </vt:variant>
      <vt:variant>
        <vt:i4>1572916</vt:i4>
      </vt:variant>
      <vt:variant>
        <vt:i4>56</vt:i4>
      </vt:variant>
      <vt:variant>
        <vt:i4>0</vt:i4>
      </vt:variant>
      <vt:variant>
        <vt:i4>5</vt:i4>
      </vt:variant>
      <vt:variant>
        <vt:lpwstr/>
      </vt:variant>
      <vt:variant>
        <vt:lpwstr>_Toc121826635</vt:lpwstr>
      </vt:variant>
      <vt:variant>
        <vt:i4>1572916</vt:i4>
      </vt:variant>
      <vt:variant>
        <vt:i4>50</vt:i4>
      </vt:variant>
      <vt:variant>
        <vt:i4>0</vt:i4>
      </vt:variant>
      <vt:variant>
        <vt:i4>5</vt:i4>
      </vt:variant>
      <vt:variant>
        <vt:lpwstr/>
      </vt:variant>
      <vt:variant>
        <vt:lpwstr>_Toc121826634</vt:lpwstr>
      </vt:variant>
      <vt:variant>
        <vt:i4>1572916</vt:i4>
      </vt:variant>
      <vt:variant>
        <vt:i4>44</vt:i4>
      </vt:variant>
      <vt:variant>
        <vt:i4>0</vt:i4>
      </vt:variant>
      <vt:variant>
        <vt:i4>5</vt:i4>
      </vt:variant>
      <vt:variant>
        <vt:lpwstr/>
      </vt:variant>
      <vt:variant>
        <vt:lpwstr>_Toc121826633</vt:lpwstr>
      </vt:variant>
      <vt:variant>
        <vt:i4>1572916</vt:i4>
      </vt:variant>
      <vt:variant>
        <vt:i4>38</vt:i4>
      </vt:variant>
      <vt:variant>
        <vt:i4>0</vt:i4>
      </vt:variant>
      <vt:variant>
        <vt:i4>5</vt:i4>
      </vt:variant>
      <vt:variant>
        <vt:lpwstr/>
      </vt:variant>
      <vt:variant>
        <vt:lpwstr>_Toc121826632</vt:lpwstr>
      </vt:variant>
      <vt:variant>
        <vt:i4>1572916</vt:i4>
      </vt:variant>
      <vt:variant>
        <vt:i4>32</vt:i4>
      </vt:variant>
      <vt:variant>
        <vt:i4>0</vt:i4>
      </vt:variant>
      <vt:variant>
        <vt:i4>5</vt:i4>
      </vt:variant>
      <vt:variant>
        <vt:lpwstr/>
      </vt:variant>
      <vt:variant>
        <vt:lpwstr>_Toc121826631</vt:lpwstr>
      </vt:variant>
      <vt:variant>
        <vt:i4>1572916</vt:i4>
      </vt:variant>
      <vt:variant>
        <vt:i4>26</vt:i4>
      </vt:variant>
      <vt:variant>
        <vt:i4>0</vt:i4>
      </vt:variant>
      <vt:variant>
        <vt:i4>5</vt:i4>
      </vt:variant>
      <vt:variant>
        <vt:lpwstr/>
      </vt:variant>
      <vt:variant>
        <vt:lpwstr>_Toc121826630</vt:lpwstr>
      </vt:variant>
      <vt:variant>
        <vt:i4>1638452</vt:i4>
      </vt:variant>
      <vt:variant>
        <vt:i4>20</vt:i4>
      </vt:variant>
      <vt:variant>
        <vt:i4>0</vt:i4>
      </vt:variant>
      <vt:variant>
        <vt:i4>5</vt:i4>
      </vt:variant>
      <vt:variant>
        <vt:lpwstr/>
      </vt:variant>
      <vt:variant>
        <vt:lpwstr>_Toc121826629</vt:lpwstr>
      </vt:variant>
      <vt:variant>
        <vt:i4>1638452</vt:i4>
      </vt:variant>
      <vt:variant>
        <vt:i4>14</vt:i4>
      </vt:variant>
      <vt:variant>
        <vt:i4>0</vt:i4>
      </vt:variant>
      <vt:variant>
        <vt:i4>5</vt:i4>
      </vt:variant>
      <vt:variant>
        <vt:lpwstr/>
      </vt:variant>
      <vt:variant>
        <vt:lpwstr>_Toc121826628</vt:lpwstr>
      </vt:variant>
      <vt:variant>
        <vt:i4>1638452</vt:i4>
      </vt:variant>
      <vt:variant>
        <vt:i4>8</vt:i4>
      </vt:variant>
      <vt:variant>
        <vt:i4>0</vt:i4>
      </vt:variant>
      <vt:variant>
        <vt:i4>5</vt:i4>
      </vt:variant>
      <vt:variant>
        <vt:lpwstr/>
      </vt:variant>
      <vt:variant>
        <vt:lpwstr>_Toc121826627</vt:lpwstr>
      </vt:variant>
      <vt:variant>
        <vt:i4>1638452</vt:i4>
      </vt:variant>
      <vt:variant>
        <vt:i4>2</vt:i4>
      </vt:variant>
      <vt:variant>
        <vt:i4>0</vt:i4>
      </vt:variant>
      <vt:variant>
        <vt:i4>5</vt:i4>
      </vt:variant>
      <vt:variant>
        <vt:lpwstr/>
      </vt:variant>
      <vt:variant>
        <vt:lpwstr>_Toc121826626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Jankowska</dc:creator>
  <cp:keywords/>
  <cp:lastModifiedBy>Znojkiewicz Sylwia</cp:lastModifiedBy>
  <cp:revision>2</cp:revision>
  <dcterms:created xsi:type="dcterms:W3CDTF">2023-02-14T08:07:00Z</dcterms:created>
  <dcterms:modified xsi:type="dcterms:W3CDTF">2023-02-14T08:07:00Z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0x010100965720D8BA34A74CA93F433720250E3D</vt:lpwstr>
  </property>
  <property fmtid="{D5CDD505-2E9C-101B-9397-08002B2CF9AE}" pid="3" name="MediaServiceImageTags">
    <vt:lpwstr/>
  </property>
  <property fmtid="{D5CDD505-2E9C-101B-9397-08002B2CF9AE}" pid="4" name="_dlc_DocIdItemGuid">
    <vt:lpwstr>f498a0cb-d0c1-4c68-b7f3-192b9d46bac2</vt:lpwstr>
  </property>
  <property fmtid="{D5CDD505-2E9C-101B-9397-08002B2CF9AE}" pid="5" name="MFCATEGORY">
    <vt:lpwstr>InformacjePubliczneInformacjeSektoraPublicznego</vt:lpwstr>
  </property>
  <property fmtid="{D5CDD505-2E9C-101B-9397-08002B2CF9AE}" pid="6" name="MFClassifiedBy">
    <vt:lpwstr>MF\AMKT;Mańk-Goździkowska Katarzyna</vt:lpwstr>
  </property>
  <property fmtid="{D5CDD505-2E9C-101B-9397-08002B2CF9AE}" pid="7" name="MFClassificationDate">
    <vt:lpwstr>2022-11-10T10:57:30.7353112+01:00</vt:lpwstr>
  </property>
  <property fmtid="{D5CDD505-2E9C-101B-9397-08002B2CF9AE}" pid="8" name="MFClassifiedBySID">
    <vt:lpwstr>MF\S-1-5-21-1525952054-1005573771-2909822258-7252</vt:lpwstr>
  </property>
  <property fmtid="{D5CDD505-2E9C-101B-9397-08002B2CF9AE}" pid="9" name="MFGRNItemId">
    <vt:lpwstr>GRN-62346eec-f2bd-4f80-9476-4f78e1b48028</vt:lpwstr>
  </property>
  <property fmtid="{D5CDD505-2E9C-101B-9397-08002B2CF9AE}" pid="10" name="MFHash">
    <vt:lpwstr>t6sVXdvQn5tYYoyFgaZ81Fmtwj8X1/ueWErO77nnfac=</vt:lpwstr>
  </property>
  <property fmtid="{D5CDD505-2E9C-101B-9397-08002B2CF9AE}" pid="11" name="DLPManualFileClassification">
    <vt:lpwstr>{2755b7d9-e53d-4779-a40c-03797dcf43b3}</vt:lpwstr>
  </property>
  <property fmtid="{D5CDD505-2E9C-101B-9397-08002B2CF9AE}" pid="12" name="MFRefresh">
    <vt:lpwstr>False</vt:lpwstr>
  </property>
</Properties>
</file>