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MON_1657603847"/>
    <w:bookmarkEnd w:id="0"/>
    <w:p w14:paraId="519544CA" w14:textId="4D1E20DA" w:rsidR="000B373D" w:rsidRPr="000B373D" w:rsidRDefault="00A151A3" w:rsidP="000B373D">
      <w:pPr>
        <w:widowControl w:val="0"/>
        <w:suppressAutoHyphens/>
        <w:spacing w:after="0"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w14:anchorId="5D86B3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8.8pt;height:40.05pt" o:ole="" filled="t">
            <v:fill color2="black"/>
            <v:imagedata r:id="rId5" o:title=""/>
          </v:shape>
          <o:OLEObject Type="Embed" ProgID="Word.Picture.8" ShapeID="_x0000_i1025" DrawAspect="Content" ObjectID="_1796031379" r:id="rId6"/>
        </w:object>
      </w:r>
    </w:p>
    <w:p w14:paraId="667CE0C8" w14:textId="77777777" w:rsidR="000B373D" w:rsidRDefault="000B373D" w:rsidP="000B373D">
      <w:pPr>
        <w:widowControl w:val="0"/>
        <w:suppressAutoHyphens/>
        <w:spacing w:after="0" w:line="408" w:lineRule="auto"/>
        <w:rPr>
          <w:rFonts w:ascii="Arial" w:eastAsia="Lucida Sans Unicode" w:hAnsi="Arial" w:cs="Arial"/>
          <w:bCs/>
          <w:kern w:val="28"/>
          <w:sz w:val="24"/>
          <w:szCs w:val="24"/>
        </w:rPr>
      </w:pPr>
    </w:p>
    <w:p w14:paraId="5FC84BF8" w14:textId="7C634FAC" w:rsidR="000B373D" w:rsidRPr="00412867" w:rsidRDefault="000B373D" w:rsidP="00412867">
      <w:pPr>
        <w:pStyle w:val="Nagwek2"/>
        <w:spacing w:before="0" w:after="100" w:afterAutospacing="1" w:line="360" w:lineRule="auto"/>
        <w:rPr>
          <w:rFonts w:asciiTheme="minorHAnsi" w:eastAsia="Lucida Sans Unicode" w:hAnsiTheme="minorHAnsi" w:cstheme="minorHAnsi"/>
          <w:color w:val="auto"/>
          <w:sz w:val="32"/>
          <w:szCs w:val="32"/>
        </w:rPr>
      </w:pPr>
      <w:r w:rsidRPr="00412867">
        <w:rPr>
          <w:rFonts w:asciiTheme="minorHAnsi" w:eastAsia="Lucida Sans Unicode" w:hAnsiTheme="minorHAnsi" w:cstheme="minorHAnsi"/>
          <w:color w:val="auto"/>
          <w:sz w:val="32"/>
          <w:szCs w:val="32"/>
        </w:rPr>
        <w:t>R</w:t>
      </w:r>
      <w:r w:rsidR="00412867" w:rsidRPr="00412867">
        <w:rPr>
          <w:rFonts w:asciiTheme="minorHAnsi" w:eastAsia="Lucida Sans Unicode" w:hAnsiTheme="minorHAnsi" w:cstheme="minorHAnsi"/>
          <w:color w:val="auto"/>
          <w:sz w:val="32"/>
          <w:szCs w:val="32"/>
        </w:rPr>
        <w:t>egionalny Dyrektor Ochrony Środowiska w Olsztynie</w:t>
      </w:r>
    </w:p>
    <w:p w14:paraId="221757D7" w14:textId="138967CD" w:rsidR="00F432E6" w:rsidRDefault="006021BE" w:rsidP="009F0EDF">
      <w:pPr>
        <w:widowControl w:val="0"/>
        <w:suppressAutoHyphens/>
        <w:spacing w:after="0"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WOOŚ.</w:t>
      </w:r>
      <w:r w:rsidR="00CF4F1C">
        <w:rPr>
          <w:rFonts w:ascii="Calibri" w:eastAsia="Lucida Sans Unicode" w:hAnsi="Calibri" w:cs="Calibri"/>
          <w:bCs/>
          <w:kern w:val="28"/>
          <w:sz w:val="24"/>
          <w:szCs w:val="24"/>
        </w:rPr>
        <w:t>420.</w:t>
      </w:r>
      <w:r w:rsidR="002F21A2">
        <w:rPr>
          <w:rFonts w:ascii="Calibri" w:eastAsia="Lucida Sans Unicode" w:hAnsi="Calibri" w:cs="Calibri"/>
          <w:bCs/>
          <w:kern w:val="28"/>
          <w:sz w:val="24"/>
          <w:szCs w:val="24"/>
        </w:rPr>
        <w:t xml:space="preserve">15.2024.KT.10 </w:t>
      </w:r>
    </w:p>
    <w:p w14:paraId="74919869" w14:textId="504F0337" w:rsidR="00E74C48" w:rsidRDefault="00CF4F1C" w:rsidP="00C503ED">
      <w:pPr>
        <w:widowControl w:val="0"/>
        <w:suppressAutoHyphens/>
        <w:spacing w:after="100" w:afterAutospacing="1"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 xml:space="preserve">Olsztyn, </w:t>
      </w:r>
      <w:r w:rsidR="002F21A2">
        <w:rPr>
          <w:rFonts w:ascii="Calibri" w:eastAsia="Lucida Sans Unicode" w:hAnsi="Calibri" w:cs="Calibri"/>
          <w:bCs/>
          <w:kern w:val="28"/>
          <w:sz w:val="24"/>
          <w:szCs w:val="24"/>
        </w:rPr>
        <w:t xml:space="preserve">18 grudnia </w:t>
      </w:r>
      <w:r w:rsidR="00B11B26">
        <w:rPr>
          <w:rFonts w:ascii="Calibri" w:eastAsia="Lucida Sans Unicode" w:hAnsi="Calibri" w:cs="Calibri"/>
          <w:bCs/>
          <w:kern w:val="28"/>
          <w:sz w:val="24"/>
          <w:szCs w:val="24"/>
        </w:rPr>
        <w:t>2024 r.</w:t>
      </w:r>
    </w:p>
    <w:p w14:paraId="70453D61" w14:textId="0F8EB4B9" w:rsidR="002F21A2" w:rsidRPr="002F21A2" w:rsidRDefault="002F21A2" w:rsidP="002F21A2">
      <w:pPr>
        <w:spacing w:after="100" w:afterAutospacing="1" w:line="360" w:lineRule="auto"/>
        <w:rPr>
          <w:sz w:val="24"/>
          <w:szCs w:val="24"/>
        </w:rPr>
      </w:pPr>
      <w:r w:rsidRPr="002F21A2">
        <w:rPr>
          <w:sz w:val="24"/>
          <w:szCs w:val="24"/>
        </w:rPr>
        <w:t>Załącznik nr 1 do decyzji Regionalnego Dyrektora Ochrony Środowiska w Olsztynie z 18 grudnia 2024 r., znak: WOOŚ.420.15.2024.KT.10 o środowiskowych uwarunkowaniach dla</w:t>
      </w:r>
      <w:r>
        <w:rPr>
          <w:sz w:val="24"/>
          <w:szCs w:val="24"/>
        </w:rPr>
        <w:t xml:space="preserve"> </w:t>
      </w:r>
      <w:r w:rsidRPr="002F21A2">
        <w:rPr>
          <w:sz w:val="24"/>
          <w:szCs w:val="24"/>
        </w:rPr>
        <w:t>przedsięwzięcia polegającego na zmianie lasu, niestanowiącego własności Skarbu Państwa, o powierzchni 0,78 ha na użytek rolny, na działce nr 63, obręb 0033 Turośl, gm. Pisz, pow. piski, woj. warmińsko-mazurskie.</w:t>
      </w:r>
    </w:p>
    <w:p w14:paraId="2414AAD8" w14:textId="77777777" w:rsidR="00CF4F1C" w:rsidRDefault="00CF4F1C" w:rsidP="00682693">
      <w:pPr>
        <w:pStyle w:val="Nagwek1"/>
        <w:spacing w:before="0" w:after="100" w:afterAutospacing="1" w:line="360" w:lineRule="auto"/>
        <w:rPr>
          <w:rFonts w:asciiTheme="minorHAnsi" w:eastAsia="Lucida Sans Unicode" w:hAnsiTheme="minorHAnsi" w:cstheme="minorHAnsi"/>
          <w:color w:val="auto"/>
          <w:sz w:val="28"/>
          <w:szCs w:val="28"/>
        </w:rPr>
      </w:pPr>
      <w:r w:rsidRPr="00682693">
        <w:rPr>
          <w:rFonts w:asciiTheme="minorHAnsi" w:eastAsia="Lucida Sans Unicode" w:hAnsiTheme="minorHAnsi" w:cstheme="minorHAnsi"/>
          <w:color w:val="auto"/>
          <w:sz w:val="28"/>
          <w:szCs w:val="28"/>
        </w:rPr>
        <w:t>Charakterystyka planowanego przedsięwzięcia</w:t>
      </w:r>
    </w:p>
    <w:p w14:paraId="16A3D7C5" w14:textId="77777777" w:rsidR="002F21A2" w:rsidRPr="002F21A2" w:rsidRDefault="002F21A2" w:rsidP="002F21A2">
      <w:pPr>
        <w:spacing w:after="0" w:line="360" w:lineRule="auto"/>
        <w:rPr>
          <w:bCs/>
          <w:sz w:val="24"/>
          <w:szCs w:val="24"/>
        </w:rPr>
      </w:pPr>
      <w:bookmarkStart w:id="1" w:name="_Hlk131513490"/>
      <w:r w:rsidRPr="002F21A2">
        <w:rPr>
          <w:bCs/>
          <w:sz w:val="24"/>
          <w:szCs w:val="24"/>
        </w:rPr>
        <w:t>Planowane przedsięwzięcie dotyczy zmiany lasu o powierzchni 0,78 ha, niestanowiącego własności Skarbu Państwa, na użytek rolny, na działce nr 63, obręb 0033 Turośl, gm. Pisz, pow. piski, woj. warmińsko-mazurskie.</w:t>
      </w:r>
    </w:p>
    <w:p w14:paraId="2699576A" w14:textId="77777777" w:rsidR="002F21A2" w:rsidRPr="002F21A2" w:rsidRDefault="002F21A2" w:rsidP="002F21A2">
      <w:pPr>
        <w:spacing w:after="0" w:line="360" w:lineRule="auto"/>
        <w:rPr>
          <w:bCs/>
          <w:sz w:val="24"/>
          <w:szCs w:val="24"/>
        </w:rPr>
      </w:pPr>
      <w:r w:rsidRPr="002F21A2">
        <w:rPr>
          <w:bCs/>
          <w:sz w:val="24"/>
          <w:szCs w:val="24"/>
        </w:rPr>
        <w:t>Zgodnie z wypisem z rejestru gruntów na ww. działce o powierzchni 7,06 ha znajdują się grunty rolne zabudowane (Br-</w:t>
      </w:r>
      <w:proofErr w:type="spellStart"/>
      <w:r w:rsidRPr="002F21A2">
        <w:rPr>
          <w:bCs/>
          <w:sz w:val="24"/>
          <w:szCs w:val="24"/>
        </w:rPr>
        <w:t>PsVI</w:t>
      </w:r>
      <w:proofErr w:type="spellEnd"/>
      <w:r w:rsidRPr="002F21A2">
        <w:rPr>
          <w:bCs/>
          <w:sz w:val="24"/>
          <w:szCs w:val="24"/>
        </w:rPr>
        <w:t>, Br-RVI) – 0,24 ha, łąki trwałe (ŁIV i ŁV) – 3,33 ha, pastwiska trwałe (</w:t>
      </w:r>
      <w:proofErr w:type="spellStart"/>
      <w:r w:rsidRPr="002F21A2">
        <w:rPr>
          <w:bCs/>
          <w:sz w:val="24"/>
          <w:szCs w:val="24"/>
        </w:rPr>
        <w:t>PsVI</w:t>
      </w:r>
      <w:proofErr w:type="spellEnd"/>
      <w:r w:rsidRPr="002F21A2">
        <w:rPr>
          <w:bCs/>
          <w:sz w:val="24"/>
          <w:szCs w:val="24"/>
        </w:rPr>
        <w:t>) – 0,20 ha, grunty orne (RV, RVI) – 2,47 ha, nieużytki – 0,04 ha, lasy (</w:t>
      </w:r>
      <w:proofErr w:type="spellStart"/>
      <w:r w:rsidRPr="002F21A2">
        <w:rPr>
          <w:bCs/>
          <w:sz w:val="24"/>
          <w:szCs w:val="24"/>
        </w:rPr>
        <w:t>LsIV</w:t>
      </w:r>
      <w:proofErr w:type="spellEnd"/>
      <w:r w:rsidRPr="002F21A2">
        <w:rPr>
          <w:bCs/>
          <w:sz w:val="24"/>
          <w:szCs w:val="24"/>
        </w:rPr>
        <w:t>) – 0,78 ha. Do zmiany lasu na użytek rolny wnioskuje się całą powierzchnię leśną znajdująca się na przedmiotowej działce.</w:t>
      </w:r>
    </w:p>
    <w:p w14:paraId="63BB55D9" w14:textId="77777777" w:rsidR="002F21A2" w:rsidRPr="002F21A2" w:rsidRDefault="002F21A2" w:rsidP="002F21A2">
      <w:pPr>
        <w:spacing w:after="0" w:line="360" w:lineRule="auto"/>
        <w:rPr>
          <w:bCs/>
          <w:sz w:val="24"/>
          <w:szCs w:val="24"/>
        </w:rPr>
      </w:pPr>
      <w:r w:rsidRPr="002F21A2">
        <w:rPr>
          <w:bCs/>
          <w:sz w:val="24"/>
          <w:szCs w:val="24"/>
        </w:rPr>
        <w:t>Teren, na którym realizowane będzie planowane przedsięwzięcie nie jest objęty miejscowym planem zagospodarowania przestrzennego.</w:t>
      </w:r>
    </w:p>
    <w:p w14:paraId="24D94598" w14:textId="77777777" w:rsidR="002F21A2" w:rsidRPr="002F21A2" w:rsidRDefault="002F21A2" w:rsidP="002F21A2">
      <w:pPr>
        <w:spacing w:after="0" w:line="360" w:lineRule="auto"/>
        <w:rPr>
          <w:bCs/>
          <w:sz w:val="24"/>
          <w:szCs w:val="24"/>
        </w:rPr>
      </w:pPr>
      <w:r w:rsidRPr="002F21A2">
        <w:rPr>
          <w:bCs/>
          <w:sz w:val="24"/>
          <w:szCs w:val="24"/>
        </w:rPr>
        <w:t>Powierzchnia leśna planowana do zmiany na użytek rolny (grunt orny) znajduje się w części południowo-wschodniej ww. działki nr 63. Przedmiotowy las znajduje się przy drodze gminnej, w sąsiedztwie uprawianych gruntów ornych oraz innych terenów leśnych. Wnioskowana powierzchnia do zmiany pokryta jest odroślami czeremchy, osiki pozostałymi po pracach zrębowych. Inwestor wyjaśnił, że prace zrębowe wykonał na podstawie zapisów w Uproszczonym Planie Urządzenia Lasu w 2022 r. Prace związane z usunięciem podrostów zostaną wykonane poza okresem lęgowym ptaków, czyli poza okresem od 1 marca do 31 sierpnia.</w:t>
      </w:r>
    </w:p>
    <w:p w14:paraId="3E4F90F1" w14:textId="77777777" w:rsidR="002F21A2" w:rsidRPr="002F21A2" w:rsidRDefault="002F21A2" w:rsidP="002F21A2">
      <w:pPr>
        <w:spacing w:after="0" w:line="360" w:lineRule="auto"/>
        <w:rPr>
          <w:bCs/>
          <w:sz w:val="24"/>
          <w:szCs w:val="24"/>
        </w:rPr>
      </w:pPr>
      <w:r w:rsidRPr="002F21A2">
        <w:rPr>
          <w:bCs/>
          <w:sz w:val="24"/>
          <w:szCs w:val="24"/>
        </w:rPr>
        <w:lastRenderedPageBreak/>
        <w:t>Zmiana lasu na użytek rolny wymagała będzie nie tylko wycinki podrostów z terenu leśnego, ale także wykonania prac agrotechnicznych, aby przystosować teren do użytkowania rolniczego (talerzowanie, orka). W procesie przygotowawczym niezbędne będzie frezowanie karpin tak, aby znajdowały się kilkadziesiąt centymetrów pod powierzchnią ziemi lub całkowite wyciąganie karpin. Do prac wykorzystywany będzie sprzęt sprawny technicznie. Postój maszyn będzie odbywał się na utwardzonym terenie, wyłożonym płytami betonowymi. W przypadku wycieku substancji ropopochodnych zostanie zastosowany sorbent, a zanieczyszczone materiały będą przekazane specjalistycznej firmie, posiadającej odpowiednie zezwolenia. Prace związane ze zmianą lasu na użytek rolny potrwają ok. 3-5 dni. Prace prowadzone będzie w porze dziennej, tj. w godzinach od 6:00 od 22:00. Oddziaływania jakie mogą wystąpić na etapie realizacji związane będą z emisją hałasu i zanieczyszczeń do powietrza spowodowaną pracą sprzętu, które będą miały zasięg lokalny i krótkotrwały. Drewno pozyskane z wycinki zostanie wykorzystane na potrzeby gospodarstwa rolnego.</w:t>
      </w:r>
    </w:p>
    <w:p w14:paraId="0D783449" w14:textId="77777777" w:rsidR="002F21A2" w:rsidRPr="002F21A2" w:rsidRDefault="002F21A2" w:rsidP="002F21A2">
      <w:pPr>
        <w:spacing w:after="0" w:line="360" w:lineRule="auto"/>
        <w:rPr>
          <w:bCs/>
          <w:sz w:val="24"/>
          <w:szCs w:val="24"/>
        </w:rPr>
      </w:pPr>
      <w:r w:rsidRPr="002F21A2">
        <w:rPr>
          <w:bCs/>
          <w:sz w:val="24"/>
          <w:szCs w:val="24"/>
        </w:rPr>
        <w:t>Przedmiotowe przedsięwzięcie nie jest zlokalizowane na: obszarach wybrzeży i środowiska morskiego, obszarach górskich, obszarach wodno-błotnych, innych obszarach o płytkim zaleganiu wód podziemnych, w tym siedliskach łęgowych oraz ujściach rzek, obszarach przylegających do jezior, w strefach ochronnych ujęć wód i obszarach ochronnych zbiorników wód śródlądowych, obszarach, na których standardy jakości środowiska zostały przekroczone lub istnieje prawdopodobieństwo ich przekroczenia, obszarach o dużej gęstości zaludnienia, obszarach o krajobrazie mającym znaczenie historyczne, kulturowe lub archeologiczne, uzdrowiskach i obszarach ochrony uzdrowiskowej.</w:t>
      </w:r>
    </w:p>
    <w:p w14:paraId="577A99FA" w14:textId="77777777" w:rsidR="002F21A2" w:rsidRPr="002F21A2" w:rsidRDefault="002F21A2" w:rsidP="002F21A2">
      <w:pPr>
        <w:spacing w:after="0" w:line="360" w:lineRule="auto"/>
        <w:rPr>
          <w:bCs/>
          <w:sz w:val="24"/>
          <w:szCs w:val="24"/>
        </w:rPr>
      </w:pPr>
      <w:r w:rsidRPr="002F21A2">
        <w:rPr>
          <w:bCs/>
          <w:sz w:val="24"/>
          <w:szCs w:val="24"/>
        </w:rPr>
        <w:t>Przedmiotowe przedsięwzięcie zlokalizowane jest na obszarze dorzecza Wisły, dla którego opracowano Plan gospodarowania wodami na obszarze dorzecza Wisły. Planowane przedsięwzięcie znajduje się w zlewni jednolitej części wód powierzchniowych rzecznych (JCWP) o nazwie „Turośl", kod: PLRW20001026489 oraz na jednolitej części wód podziemnych (</w:t>
      </w:r>
      <w:proofErr w:type="spellStart"/>
      <w:r w:rsidRPr="002F21A2">
        <w:rPr>
          <w:bCs/>
          <w:sz w:val="24"/>
          <w:szCs w:val="24"/>
        </w:rPr>
        <w:t>JCWPd</w:t>
      </w:r>
      <w:proofErr w:type="spellEnd"/>
      <w:r w:rsidRPr="002F21A2">
        <w:rPr>
          <w:bCs/>
          <w:sz w:val="24"/>
          <w:szCs w:val="24"/>
        </w:rPr>
        <w:t>) o kodzie PLGW200031. Biorąc pod uwagę opinię Państwowego Gospodarstwa Wodnego Wody Polskie Zarządu Zlewni w Giżycku o braku potrzeby przeprowadzenia oceny oddziaływania przedsięwzięcia na środowisko oraz uwzględniając charakter i skalę zamierzenia, nie przewiduje się negatywnego oddziaływania przedmiotowego przedsięwzięcia na stan jednolitych części wód oraz na realizację celów środowiskowych, określonych dla nich w ww. Planie gospodarowania wodami na obszarze dorzecza Wisły.</w:t>
      </w:r>
    </w:p>
    <w:p w14:paraId="1571F446" w14:textId="77777777" w:rsidR="002F21A2" w:rsidRPr="002F21A2" w:rsidRDefault="002F21A2" w:rsidP="002F21A2">
      <w:pPr>
        <w:spacing w:after="0" w:line="360" w:lineRule="auto"/>
        <w:rPr>
          <w:bCs/>
          <w:sz w:val="24"/>
          <w:szCs w:val="24"/>
        </w:rPr>
      </w:pPr>
      <w:r w:rsidRPr="002F21A2">
        <w:rPr>
          <w:bCs/>
          <w:sz w:val="24"/>
          <w:szCs w:val="24"/>
        </w:rPr>
        <w:t xml:space="preserve">Przedsięwzięcie jest położone na korytarzu ekologicznym, istotnym dla populacji dużych ssaków leśnych oraz spójności siedlisk leśnych i wodno-błotnych w skali krajowej i kontynentalnej o </w:t>
      </w:r>
      <w:r w:rsidRPr="002F21A2">
        <w:rPr>
          <w:bCs/>
          <w:sz w:val="24"/>
          <w:szCs w:val="24"/>
        </w:rPr>
        <w:lastRenderedPageBreak/>
        <w:t xml:space="preserve">nazwie „Puszcza Piska GKPn-8”. Mając na uwadze niewielką powierzchnię terenu leśnego planowanego do zmiany na użytek rolny, a także występujące w sąsiedztwie inne tereny leśne, nie przewiduje się negatywnego wpływu na funkcjonowanie i zachowanie ciągłości korytarza ekologicznego. </w:t>
      </w:r>
    </w:p>
    <w:p w14:paraId="4FB4DCD9" w14:textId="77777777" w:rsidR="002F21A2" w:rsidRPr="002F21A2" w:rsidRDefault="002F21A2" w:rsidP="002F21A2">
      <w:pPr>
        <w:spacing w:after="0" w:line="360" w:lineRule="auto"/>
        <w:rPr>
          <w:bCs/>
          <w:sz w:val="24"/>
          <w:szCs w:val="24"/>
        </w:rPr>
      </w:pPr>
      <w:r w:rsidRPr="002F21A2">
        <w:rPr>
          <w:bCs/>
          <w:sz w:val="24"/>
          <w:szCs w:val="24"/>
        </w:rPr>
        <w:t xml:space="preserve">Planowane przedsięwzięcie zlokalizowane jest na obszarze specjalnej ochrony ptaków Puszcza Piska PLB280008. Dla specjalnego obszaru ochrony ptaków Puszcza Piska nie ustanowiono zarządzenia Regionalnego Dyrektora Ochrony Środowiska w sprawie planu zadań ochronnych (PZO). </w:t>
      </w:r>
      <w:r w:rsidRPr="002F21A2">
        <w:rPr>
          <w:bCs/>
          <w:sz w:val="24"/>
          <w:szCs w:val="24"/>
          <w:lang w:bidi="pl-PL"/>
        </w:rPr>
        <w:t>Przedsięwzięcie nie jest bezpośrednio związane z ochroną tego obszaru, ani nie wynika z tej ochrony.</w:t>
      </w:r>
    </w:p>
    <w:p w14:paraId="68894C3E" w14:textId="77777777" w:rsidR="002F21A2" w:rsidRPr="002F21A2" w:rsidRDefault="002F21A2" w:rsidP="002F21A2">
      <w:pPr>
        <w:spacing w:after="0" w:line="360" w:lineRule="auto"/>
        <w:rPr>
          <w:bCs/>
          <w:sz w:val="24"/>
          <w:szCs w:val="24"/>
        </w:rPr>
      </w:pPr>
      <w:r w:rsidRPr="002F21A2">
        <w:rPr>
          <w:bCs/>
          <w:sz w:val="24"/>
          <w:szCs w:val="24"/>
        </w:rPr>
        <w:t xml:space="preserve">Zgodnie ze Standardowym Formularzem Danych sporządzonym dla obszaru Natura 2000 Puszcza Piska (aktualizacja marzec 2024 r.), na terenie tego obszaru występują 52 gatunki ptaków z Załącznika I Dyrektywy Ptasiej, w tym 12 gatunków z Polskiej Czerwonej Księgi Zwierząt (PCKZ). W okresie lęgowym obszar zasiedla ok. 13%-22% populacji krajowej rybołowa </w:t>
      </w:r>
      <w:proofErr w:type="spellStart"/>
      <w:r w:rsidRPr="002F21A2">
        <w:rPr>
          <w:bCs/>
          <w:sz w:val="24"/>
          <w:szCs w:val="24"/>
        </w:rPr>
        <w:t>Pandion</w:t>
      </w:r>
      <w:proofErr w:type="spellEnd"/>
      <w:r w:rsidRPr="002F21A2">
        <w:rPr>
          <w:bCs/>
          <w:sz w:val="24"/>
          <w:szCs w:val="24"/>
        </w:rPr>
        <w:t xml:space="preserve"> </w:t>
      </w:r>
      <w:proofErr w:type="spellStart"/>
      <w:r w:rsidRPr="002F21A2">
        <w:rPr>
          <w:bCs/>
          <w:sz w:val="24"/>
          <w:szCs w:val="24"/>
        </w:rPr>
        <w:t>haliaetus</w:t>
      </w:r>
      <w:proofErr w:type="spellEnd"/>
      <w:r w:rsidRPr="002F21A2">
        <w:rPr>
          <w:bCs/>
          <w:sz w:val="24"/>
          <w:szCs w:val="24"/>
        </w:rPr>
        <w:t xml:space="preserve"> (PCKZ), 2,4% - 4,9% orlika krzykliwego </w:t>
      </w:r>
      <w:proofErr w:type="spellStart"/>
      <w:r w:rsidRPr="002F21A2">
        <w:rPr>
          <w:bCs/>
          <w:sz w:val="24"/>
          <w:szCs w:val="24"/>
        </w:rPr>
        <w:t>Aquila</w:t>
      </w:r>
      <w:proofErr w:type="spellEnd"/>
      <w:r w:rsidRPr="002F21A2">
        <w:rPr>
          <w:bCs/>
          <w:sz w:val="24"/>
          <w:szCs w:val="24"/>
        </w:rPr>
        <w:t xml:space="preserve"> </w:t>
      </w:r>
      <w:proofErr w:type="spellStart"/>
      <w:r w:rsidRPr="002F21A2">
        <w:rPr>
          <w:bCs/>
          <w:sz w:val="24"/>
          <w:szCs w:val="24"/>
        </w:rPr>
        <w:t>pomarina</w:t>
      </w:r>
      <w:proofErr w:type="spellEnd"/>
      <w:r w:rsidRPr="002F21A2">
        <w:rPr>
          <w:bCs/>
          <w:sz w:val="24"/>
          <w:szCs w:val="24"/>
        </w:rPr>
        <w:t xml:space="preserve"> (PCKZ), 1,9-2,8% bielika </w:t>
      </w:r>
      <w:proofErr w:type="spellStart"/>
      <w:r w:rsidRPr="002F21A2">
        <w:rPr>
          <w:bCs/>
          <w:sz w:val="24"/>
          <w:szCs w:val="24"/>
        </w:rPr>
        <w:t>Haliaetus</w:t>
      </w:r>
      <w:proofErr w:type="spellEnd"/>
      <w:r w:rsidRPr="002F21A2">
        <w:rPr>
          <w:bCs/>
          <w:sz w:val="24"/>
          <w:szCs w:val="24"/>
        </w:rPr>
        <w:t xml:space="preserve"> </w:t>
      </w:r>
      <w:proofErr w:type="spellStart"/>
      <w:r w:rsidRPr="002F21A2">
        <w:rPr>
          <w:bCs/>
          <w:sz w:val="24"/>
          <w:szCs w:val="24"/>
        </w:rPr>
        <w:t>albicilla</w:t>
      </w:r>
      <w:proofErr w:type="spellEnd"/>
      <w:r w:rsidRPr="002F21A2">
        <w:rPr>
          <w:bCs/>
          <w:sz w:val="24"/>
          <w:szCs w:val="24"/>
        </w:rPr>
        <w:t xml:space="preserve"> (PCKZ) i 1,2-4,4% kani czarnej </w:t>
      </w:r>
      <w:proofErr w:type="spellStart"/>
      <w:r w:rsidRPr="002F21A2">
        <w:rPr>
          <w:bCs/>
          <w:sz w:val="24"/>
          <w:szCs w:val="24"/>
        </w:rPr>
        <w:t>Milvus</w:t>
      </w:r>
      <w:proofErr w:type="spellEnd"/>
      <w:r w:rsidRPr="002F21A2">
        <w:rPr>
          <w:bCs/>
          <w:sz w:val="24"/>
          <w:szCs w:val="24"/>
        </w:rPr>
        <w:t xml:space="preserve"> </w:t>
      </w:r>
      <w:proofErr w:type="spellStart"/>
      <w:r w:rsidRPr="002F21A2">
        <w:rPr>
          <w:bCs/>
          <w:sz w:val="24"/>
          <w:szCs w:val="24"/>
        </w:rPr>
        <w:t>migrans</w:t>
      </w:r>
      <w:proofErr w:type="spellEnd"/>
      <w:r w:rsidRPr="002F21A2">
        <w:rPr>
          <w:bCs/>
          <w:sz w:val="24"/>
          <w:szCs w:val="24"/>
        </w:rPr>
        <w:t xml:space="preserve"> (PCKZ), 1,4-2,3% populacji krajowej trzmielojada </w:t>
      </w:r>
      <w:proofErr w:type="spellStart"/>
      <w:r w:rsidRPr="002F21A2">
        <w:rPr>
          <w:bCs/>
          <w:sz w:val="24"/>
          <w:szCs w:val="24"/>
        </w:rPr>
        <w:t>Pernis</w:t>
      </w:r>
      <w:proofErr w:type="spellEnd"/>
      <w:r w:rsidRPr="002F21A2">
        <w:rPr>
          <w:bCs/>
          <w:sz w:val="24"/>
          <w:szCs w:val="24"/>
        </w:rPr>
        <w:t xml:space="preserve"> </w:t>
      </w:r>
      <w:proofErr w:type="spellStart"/>
      <w:r w:rsidRPr="002F21A2">
        <w:rPr>
          <w:bCs/>
          <w:sz w:val="24"/>
          <w:szCs w:val="24"/>
        </w:rPr>
        <w:t>apivorus</w:t>
      </w:r>
      <w:proofErr w:type="spellEnd"/>
      <w:r w:rsidRPr="002F21A2">
        <w:rPr>
          <w:bCs/>
          <w:sz w:val="24"/>
          <w:szCs w:val="24"/>
        </w:rPr>
        <w:t xml:space="preserve">. Ponadto, obszar zasiedla powyżej 1% populacji krajowej takich gatunków, jak: żuraw </w:t>
      </w:r>
      <w:proofErr w:type="spellStart"/>
      <w:r w:rsidRPr="002F21A2">
        <w:rPr>
          <w:bCs/>
          <w:sz w:val="24"/>
          <w:szCs w:val="24"/>
        </w:rPr>
        <w:t>Grus</w:t>
      </w:r>
      <w:proofErr w:type="spellEnd"/>
      <w:r w:rsidRPr="002F21A2">
        <w:rPr>
          <w:bCs/>
          <w:sz w:val="24"/>
          <w:szCs w:val="24"/>
        </w:rPr>
        <w:t xml:space="preserve"> </w:t>
      </w:r>
      <w:proofErr w:type="spellStart"/>
      <w:r w:rsidRPr="002F21A2">
        <w:rPr>
          <w:bCs/>
          <w:sz w:val="24"/>
          <w:szCs w:val="24"/>
        </w:rPr>
        <w:t>grus</w:t>
      </w:r>
      <w:proofErr w:type="spellEnd"/>
      <w:r w:rsidRPr="002F21A2">
        <w:rPr>
          <w:bCs/>
          <w:sz w:val="24"/>
          <w:szCs w:val="24"/>
        </w:rPr>
        <w:t xml:space="preserve">, bocian czarny </w:t>
      </w:r>
      <w:proofErr w:type="spellStart"/>
      <w:r w:rsidRPr="002F21A2">
        <w:rPr>
          <w:bCs/>
          <w:sz w:val="24"/>
          <w:szCs w:val="24"/>
        </w:rPr>
        <w:t>Ciconia</w:t>
      </w:r>
      <w:proofErr w:type="spellEnd"/>
      <w:r w:rsidRPr="002F21A2">
        <w:rPr>
          <w:bCs/>
          <w:sz w:val="24"/>
          <w:szCs w:val="24"/>
        </w:rPr>
        <w:t xml:space="preserve"> </w:t>
      </w:r>
      <w:proofErr w:type="spellStart"/>
      <w:r w:rsidRPr="002F21A2">
        <w:rPr>
          <w:bCs/>
          <w:sz w:val="24"/>
          <w:szCs w:val="24"/>
        </w:rPr>
        <w:t>nigra</w:t>
      </w:r>
      <w:proofErr w:type="spellEnd"/>
      <w:r w:rsidRPr="002F21A2">
        <w:rPr>
          <w:bCs/>
          <w:sz w:val="24"/>
          <w:szCs w:val="24"/>
        </w:rPr>
        <w:t xml:space="preserve">, bąk </w:t>
      </w:r>
      <w:proofErr w:type="spellStart"/>
      <w:r w:rsidRPr="002F21A2">
        <w:rPr>
          <w:bCs/>
          <w:sz w:val="24"/>
          <w:szCs w:val="24"/>
        </w:rPr>
        <w:t>Botaurus</w:t>
      </w:r>
      <w:proofErr w:type="spellEnd"/>
      <w:r w:rsidRPr="002F21A2">
        <w:rPr>
          <w:bCs/>
          <w:sz w:val="24"/>
          <w:szCs w:val="24"/>
        </w:rPr>
        <w:t xml:space="preserve"> </w:t>
      </w:r>
      <w:proofErr w:type="spellStart"/>
      <w:r w:rsidRPr="002F21A2">
        <w:rPr>
          <w:bCs/>
          <w:sz w:val="24"/>
          <w:szCs w:val="24"/>
        </w:rPr>
        <w:t>stellaris</w:t>
      </w:r>
      <w:proofErr w:type="spellEnd"/>
      <w:r w:rsidRPr="002F21A2">
        <w:rPr>
          <w:bCs/>
          <w:sz w:val="24"/>
          <w:szCs w:val="24"/>
        </w:rPr>
        <w:t xml:space="preserve">, bączek </w:t>
      </w:r>
      <w:proofErr w:type="spellStart"/>
      <w:r w:rsidRPr="002F21A2">
        <w:rPr>
          <w:bCs/>
          <w:sz w:val="24"/>
          <w:szCs w:val="24"/>
        </w:rPr>
        <w:t>Ixobrychus</w:t>
      </w:r>
      <w:proofErr w:type="spellEnd"/>
      <w:r w:rsidRPr="002F21A2">
        <w:rPr>
          <w:bCs/>
          <w:sz w:val="24"/>
          <w:szCs w:val="24"/>
        </w:rPr>
        <w:t xml:space="preserve"> </w:t>
      </w:r>
      <w:proofErr w:type="spellStart"/>
      <w:r w:rsidRPr="002F21A2">
        <w:rPr>
          <w:bCs/>
          <w:sz w:val="24"/>
          <w:szCs w:val="24"/>
        </w:rPr>
        <w:t>minutus</w:t>
      </w:r>
      <w:proofErr w:type="spellEnd"/>
      <w:r w:rsidRPr="002F21A2">
        <w:rPr>
          <w:bCs/>
          <w:sz w:val="24"/>
          <w:szCs w:val="24"/>
        </w:rPr>
        <w:t xml:space="preserve">, puchacz Bubo </w:t>
      </w:r>
      <w:proofErr w:type="spellStart"/>
      <w:r w:rsidRPr="002F21A2">
        <w:rPr>
          <w:bCs/>
          <w:sz w:val="24"/>
          <w:szCs w:val="24"/>
        </w:rPr>
        <w:t>bubo</w:t>
      </w:r>
      <w:proofErr w:type="spellEnd"/>
      <w:r w:rsidRPr="002F21A2">
        <w:rPr>
          <w:bCs/>
          <w:sz w:val="24"/>
          <w:szCs w:val="24"/>
        </w:rPr>
        <w:t xml:space="preserve"> (PCKZ), włochatka </w:t>
      </w:r>
      <w:proofErr w:type="spellStart"/>
      <w:r w:rsidRPr="002F21A2">
        <w:rPr>
          <w:bCs/>
          <w:sz w:val="24"/>
          <w:szCs w:val="24"/>
        </w:rPr>
        <w:t>Aegolius</w:t>
      </w:r>
      <w:proofErr w:type="spellEnd"/>
      <w:r w:rsidRPr="002F21A2">
        <w:rPr>
          <w:bCs/>
          <w:sz w:val="24"/>
          <w:szCs w:val="24"/>
        </w:rPr>
        <w:t xml:space="preserve"> </w:t>
      </w:r>
      <w:proofErr w:type="spellStart"/>
      <w:r w:rsidRPr="002F21A2">
        <w:rPr>
          <w:bCs/>
          <w:sz w:val="24"/>
          <w:szCs w:val="24"/>
        </w:rPr>
        <w:t>funereus</w:t>
      </w:r>
      <w:proofErr w:type="spellEnd"/>
      <w:r w:rsidRPr="002F21A2">
        <w:rPr>
          <w:bCs/>
          <w:sz w:val="24"/>
          <w:szCs w:val="24"/>
        </w:rPr>
        <w:t xml:space="preserve"> (PCKZ), kropiatka </w:t>
      </w:r>
      <w:proofErr w:type="spellStart"/>
      <w:r w:rsidRPr="002F21A2">
        <w:rPr>
          <w:bCs/>
          <w:sz w:val="24"/>
          <w:szCs w:val="24"/>
        </w:rPr>
        <w:t>Porzana</w:t>
      </w:r>
      <w:proofErr w:type="spellEnd"/>
      <w:r w:rsidRPr="002F21A2">
        <w:rPr>
          <w:bCs/>
          <w:sz w:val="24"/>
          <w:szCs w:val="24"/>
        </w:rPr>
        <w:t xml:space="preserve"> </w:t>
      </w:r>
      <w:proofErr w:type="spellStart"/>
      <w:r w:rsidRPr="002F21A2">
        <w:rPr>
          <w:bCs/>
          <w:sz w:val="24"/>
          <w:szCs w:val="24"/>
        </w:rPr>
        <w:t>porzana</w:t>
      </w:r>
      <w:proofErr w:type="spellEnd"/>
      <w:r w:rsidRPr="002F21A2">
        <w:rPr>
          <w:bCs/>
          <w:sz w:val="24"/>
          <w:szCs w:val="24"/>
        </w:rPr>
        <w:t xml:space="preserve">, zielonka </w:t>
      </w:r>
      <w:proofErr w:type="spellStart"/>
      <w:r w:rsidRPr="002F21A2">
        <w:rPr>
          <w:bCs/>
          <w:sz w:val="24"/>
          <w:szCs w:val="24"/>
        </w:rPr>
        <w:t>Porzana</w:t>
      </w:r>
      <w:proofErr w:type="spellEnd"/>
      <w:r w:rsidRPr="002F21A2">
        <w:rPr>
          <w:bCs/>
          <w:sz w:val="24"/>
          <w:szCs w:val="24"/>
        </w:rPr>
        <w:t xml:space="preserve"> </w:t>
      </w:r>
      <w:proofErr w:type="spellStart"/>
      <w:r w:rsidRPr="002F21A2">
        <w:rPr>
          <w:bCs/>
          <w:sz w:val="24"/>
          <w:szCs w:val="24"/>
        </w:rPr>
        <w:t>parva</w:t>
      </w:r>
      <w:proofErr w:type="spellEnd"/>
      <w:r w:rsidRPr="002F21A2">
        <w:rPr>
          <w:bCs/>
          <w:sz w:val="24"/>
          <w:szCs w:val="24"/>
        </w:rPr>
        <w:t xml:space="preserve">, lelek </w:t>
      </w:r>
      <w:proofErr w:type="spellStart"/>
      <w:r w:rsidRPr="002F21A2">
        <w:rPr>
          <w:bCs/>
          <w:sz w:val="24"/>
          <w:szCs w:val="24"/>
        </w:rPr>
        <w:t>Caprimulgus</w:t>
      </w:r>
      <w:proofErr w:type="spellEnd"/>
      <w:r w:rsidRPr="002F21A2">
        <w:rPr>
          <w:bCs/>
          <w:sz w:val="24"/>
          <w:szCs w:val="24"/>
        </w:rPr>
        <w:t xml:space="preserve"> </w:t>
      </w:r>
      <w:proofErr w:type="spellStart"/>
      <w:r w:rsidRPr="002F21A2">
        <w:rPr>
          <w:bCs/>
          <w:sz w:val="24"/>
          <w:szCs w:val="24"/>
        </w:rPr>
        <w:t>europaeus</w:t>
      </w:r>
      <w:proofErr w:type="spellEnd"/>
      <w:r w:rsidRPr="002F21A2">
        <w:rPr>
          <w:bCs/>
          <w:sz w:val="24"/>
          <w:szCs w:val="24"/>
        </w:rPr>
        <w:t xml:space="preserve">, dzięcioł średni </w:t>
      </w:r>
      <w:proofErr w:type="spellStart"/>
      <w:r w:rsidRPr="002F21A2">
        <w:rPr>
          <w:bCs/>
          <w:sz w:val="24"/>
          <w:szCs w:val="24"/>
        </w:rPr>
        <w:t>Dendrocopos</w:t>
      </w:r>
      <w:proofErr w:type="spellEnd"/>
      <w:r w:rsidRPr="002F21A2">
        <w:rPr>
          <w:bCs/>
          <w:sz w:val="24"/>
          <w:szCs w:val="24"/>
        </w:rPr>
        <w:t xml:space="preserve"> </w:t>
      </w:r>
      <w:proofErr w:type="spellStart"/>
      <w:r w:rsidRPr="002F21A2">
        <w:rPr>
          <w:bCs/>
          <w:sz w:val="24"/>
          <w:szCs w:val="24"/>
        </w:rPr>
        <w:t>medius</w:t>
      </w:r>
      <w:proofErr w:type="spellEnd"/>
      <w:r w:rsidRPr="002F21A2">
        <w:rPr>
          <w:bCs/>
          <w:sz w:val="24"/>
          <w:szCs w:val="24"/>
        </w:rPr>
        <w:t xml:space="preserve">, dzięcioł czarny </w:t>
      </w:r>
      <w:proofErr w:type="spellStart"/>
      <w:r w:rsidRPr="002F21A2">
        <w:rPr>
          <w:bCs/>
          <w:sz w:val="24"/>
          <w:szCs w:val="24"/>
        </w:rPr>
        <w:t>Dryocopus</w:t>
      </w:r>
      <w:proofErr w:type="spellEnd"/>
      <w:r w:rsidRPr="002F21A2">
        <w:rPr>
          <w:bCs/>
          <w:sz w:val="24"/>
          <w:szCs w:val="24"/>
        </w:rPr>
        <w:t xml:space="preserve"> </w:t>
      </w:r>
      <w:proofErr w:type="spellStart"/>
      <w:r w:rsidRPr="002F21A2">
        <w:rPr>
          <w:bCs/>
          <w:sz w:val="24"/>
          <w:szCs w:val="24"/>
        </w:rPr>
        <w:t>martius</w:t>
      </w:r>
      <w:proofErr w:type="spellEnd"/>
      <w:r w:rsidRPr="002F21A2">
        <w:rPr>
          <w:bCs/>
          <w:sz w:val="24"/>
          <w:szCs w:val="24"/>
        </w:rPr>
        <w:t xml:space="preserve">, lerka </w:t>
      </w:r>
      <w:proofErr w:type="spellStart"/>
      <w:r w:rsidRPr="002F21A2">
        <w:rPr>
          <w:bCs/>
          <w:sz w:val="24"/>
          <w:szCs w:val="24"/>
        </w:rPr>
        <w:t>Lullula</w:t>
      </w:r>
      <w:proofErr w:type="spellEnd"/>
      <w:r w:rsidRPr="002F21A2">
        <w:rPr>
          <w:bCs/>
          <w:sz w:val="24"/>
          <w:szCs w:val="24"/>
        </w:rPr>
        <w:t xml:space="preserve"> </w:t>
      </w:r>
      <w:proofErr w:type="spellStart"/>
      <w:r w:rsidRPr="002F21A2">
        <w:rPr>
          <w:bCs/>
          <w:sz w:val="24"/>
          <w:szCs w:val="24"/>
        </w:rPr>
        <w:t>arborea</w:t>
      </w:r>
      <w:proofErr w:type="spellEnd"/>
      <w:r w:rsidRPr="002F21A2">
        <w:rPr>
          <w:bCs/>
          <w:sz w:val="24"/>
          <w:szCs w:val="24"/>
        </w:rPr>
        <w:t xml:space="preserve">, gąsiorek </w:t>
      </w:r>
      <w:proofErr w:type="spellStart"/>
      <w:r w:rsidRPr="002F21A2">
        <w:rPr>
          <w:bCs/>
          <w:sz w:val="24"/>
          <w:szCs w:val="24"/>
        </w:rPr>
        <w:t>Lanius</w:t>
      </w:r>
      <w:proofErr w:type="spellEnd"/>
      <w:r w:rsidRPr="002F21A2">
        <w:rPr>
          <w:bCs/>
          <w:sz w:val="24"/>
          <w:szCs w:val="24"/>
        </w:rPr>
        <w:t xml:space="preserve"> </w:t>
      </w:r>
      <w:proofErr w:type="spellStart"/>
      <w:r w:rsidRPr="002F21A2">
        <w:rPr>
          <w:bCs/>
          <w:sz w:val="24"/>
          <w:szCs w:val="24"/>
        </w:rPr>
        <w:t>collurio</w:t>
      </w:r>
      <w:proofErr w:type="spellEnd"/>
      <w:r w:rsidRPr="002F21A2">
        <w:rPr>
          <w:bCs/>
          <w:sz w:val="24"/>
          <w:szCs w:val="24"/>
        </w:rPr>
        <w:t xml:space="preserve">, rybitwa rzeczna Sterna </w:t>
      </w:r>
      <w:proofErr w:type="spellStart"/>
      <w:r w:rsidRPr="002F21A2">
        <w:rPr>
          <w:bCs/>
          <w:sz w:val="24"/>
          <w:szCs w:val="24"/>
        </w:rPr>
        <w:t>hirundo</w:t>
      </w:r>
      <w:proofErr w:type="spellEnd"/>
      <w:r w:rsidRPr="002F21A2">
        <w:rPr>
          <w:bCs/>
          <w:sz w:val="24"/>
          <w:szCs w:val="24"/>
        </w:rPr>
        <w:t xml:space="preserve">. W stosunkowo wysokiej liczebności występuje derkacz </w:t>
      </w:r>
      <w:proofErr w:type="spellStart"/>
      <w:r w:rsidRPr="002F21A2">
        <w:rPr>
          <w:bCs/>
          <w:sz w:val="24"/>
          <w:szCs w:val="24"/>
        </w:rPr>
        <w:t>Crex</w:t>
      </w:r>
      <w:proofErr w:type="spellEnd"/>
      <w:r w:rsidRPr="002F21A2">
        <w:rPr>
          <w:bCs/>
          <w:sz w:val="24"/>
          <w:szCs w:val="24"/>
        </w:rPr>
        <w:t xml:space="preserve"> </w:t>
      </w:r>
      <w:proofErr w:type="spellStart"/>
      <w:r w:rsidRPr="002F21A2">
        <w:rPr>
          <w:bCs/>
          <w:sz w:val="24"/>
          <w:szCs w:val="24"/>
        </w:rPr>
        <w:t>crex</w:t>
      </w:r>
      <w:proofErr w:type="spellEnd"/>
      <w:r w:rsidRPr="002F21A2">
        <w:rPr>
          <w:bCs/>
          <w:sz w:val="24"/>
          <w:szCs w:val="24"/>
        </w:rPr>
        <w:t>. Wszystkie gatunki ptaków, które stanowią przedmioty ochrony obszaru Natura 2000 Puszcza Piska PLB280008, także ich szacowana liczebność i oceny ochrony wymienione są w pkt. 3 i 4.2 Standardowego Formularza Danych.</w:t>
      </w:r>
    </w:p>
    <w:p w14:paraId="763ED770" w14:textId="77777777" w:rsidR="002F21A2" w:rsidRPr="002F21A2" w:rsidRDefault="002F21A2" w:rsidP="002F21A2">
      <w:pPr>
        <w:spacing w:after="0" w:line="360" w:lineRule="auto"/>
        <w:rPr>
          <w:bCs/>
          <w:sz w:val="24"/>
          <w:szCs w:val="24"/>
        </w:rPr>
      </w:pPr>
      <w:r w:rsidRPr="002F21A2">
        <w:rPr>
          <w:bCs/>
          <w:sz w:val="24"/>
          <w:szCs w:val="24"/>
        </w:rPr>
        <w:t xml:space="preserve">Z przedłożonych informacji o planowanym przedsięwzięciu wynika, że na terenie obszaru leśnego planowanego do zmiany na użytek rolny nie stwierdzono objętych ochroną gatunkową roślin, zwierząt i grzybów. Wnioskowana do zmiany na użytek rolny powierzchnia leśna – 0,78 ha pokryta jest odroślami czeremchy, osiki pozostałymi po pracach zrębowych. Prace związane z usunięciem podrostów zostaną wykonane poza okresem lęgowym ptaków, czyli poza okresem od 1 marca do 31 sierpnia. Biorąc pod uwagę skalę i charakter przedsięwzięcia oraz charakterystykę analizowanego terenu, nie przewiduje się negatywnego wpływu na cele i przedmioty ochrony ww. obszaru Natura 2000 oraz jego integralność. </w:t>
      </w:r>
    </w:p>
    <w:p w14:paraId="63DBD99F" w14:textId="77777777" w:rsidR="002F21A2" w:rsidRPr="002F21A2" w:rsidRDefault="002F21A2" w:rsidP="002F21A2">
      <w:pPr>
        <w:spacing w:after="0" w:line="360" w:lineRule="auto"/>
        <w:rPr>
          <w:bCs/>
          <w:sz w:val="24"/>
          <w:szCs w:val="24"/>
        </w:rPr>
      </w:pPr>
      <w:r w:rsidRPr="002F21A2">
        <w:rPr>
          <w:bCs/>
          <w:sz w:val="24"/>
          <w:szCs w:val="24"/>
        </w:rPr>
        <w:lastRenderedPageBreak/>
        <w:t xml:space="preserve">Biorąc pod uwagę, że teren leśny wnioskowany do zmiany na użytek rolny pozbawiony jest roślinności leśnej – na analizowanym terenie wykonano już prace zrębowe oraz niewielką skalę planowanego przedsięwzięcia, nie przewiduje się aby realizacja przedsięwzięcia wpłynęła znacząco na klimat i jego zmiany. </w:t>
      </w:r>
    </w:p>
    <w:p w14:paraId="0E63F096" w14:textId="79FE0BF9" w:rsidR="002F21A2" w:rsidRPr="002F21A2" w:rsidRDefault="002F21A2" w:rsidP="002F21A2">
      <w:pPr>
        <w:spacing w:after="100" w:afterAutospacing="1" w:line="360" w:lineRule="auto"/>
        <w:rPr>
          <w:bCs/>
          <w:sz w:val="24"/>
          <w:szCs w:val="24"/>
        </w:rPr>
      </w:pPr>
      <w:r w:rsidRPr="002F21A2">
        <w:rPr>
          <w:bCs/>
          <w:sz w:val="24"/>
          <w:szCs w:val="24"/>
        </w:rPr>
        <w:t>Realizacja planowanego przedsięwzięcia nie będzie wiązała się z wykorzystaniem zasobów naturalnych, ponadto nie wystąpi możliwość kumulowania się oddziaływań, a wystąpienie poważnej awarii lub katastrofy naturalnej i budowlanej będzie zerowe. Ze względu na oddalenie od granic państw sąsiednich nie będzie wymagane przeprowadzenie postępowania w sprawie transgranicznego oddziaływania na środowisko.</w:t>
      </w:r>
      <w:bookmarkEnd w:id="1"/>
    </w:p>
    <w:p w14:paraId="6134B811" w14:textId="77777777" w:rsidR="007D755D" w:rsidRPr="00B11B26" w:rsidRDefault="007D755D" w:rsidP="00B11B26">
      <w:pPr>
        <w:spacing w:after="0" w:line="360" w:lineRule="auto"/>
      </w:pPr>
      <w:r w:rsidRPr="00B11B26">
        <w:t>Regionalny Dyrektor</w:t>
      </w:r>
    </w:p>
    <w:p w14:paraId="3E863EC4" w14:textId="77777777" w:rsidR="00B52E15" w:rsidRPr="00B11B26" w:rsidRDefault="007D755D" w:rsidP="00B11B26">
      <w:pPr>
        <w:spacing w:after="0" w:line="360" w:lineRule="auto"/>
      </w:pPr>
      <w:r w:rsidRPr="00B11B26">
        <w:t xml:space="preserve">Ochrony Środowiska </w:t>
      </w:r>
    </w:p>
    <w:p w14:paraId="3F22AFD5" w14:textId="77777777" w:rsidR="007D755D" w:rsidRPr="00B11B26" w:rsidRDefault="007D755D" w:rsidP="00B11B26">
      <w:pPr>
        <w:spacing w:after="0" w:line="360" w:lineRule="auto"/>
      </w:pPr>
      <w:r w:rsidRPr="00B11B26">
        <w:t>w Olsztynie</w:t>
      </w:r>
    </w:p>
    <w:p w14:paraId="30C054EC" w14:textId="77777777" w:rsidR="002E129B" w:rsidRPr="00B11B26" w:rsidRDefault="007D755D" w:rsidP="00B11B26">
      <w:pPr>
        <w:spacing w:after="0" w:line="360" w:lineRule="auto"/>
      </w:pPr>
      <w:r w:rsidRPr="00B11B26">
        <w:t>Agata Moździerz</w:t>
      </w:r>
    </w:p>
    <w:p w14:paraId="020542E3" w14:textId="5F816D56" w:rsidR="00B11B26" w:rsidRPr="00B11B26" w:rsidRDefault="00B11B26" w:rsidP="00B11B26">
      <w:pPr>
        <w:spacing w:after="0" w:line="360" w:lineRule="auto"/>
      </w:pPr>
    </w:p>
    <w:sectPr w:rsidR="00B11B26" w:rsidRPr="00B11B26" w:rsidSect="00544A2B">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1CE69E3"/>
    <w:multiLevelType w:val="hybridMultilevel"/>
    <w:tmpl w:val="EA1E048C"/>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205611B"/>
    <w:multiLevelType w:val="hybridMultilevel"/>
    <w:tmpl w:val="0FDCE74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7DF44217"/>
    <w:multiLevelType w:val="hybridMultilevel"/>
    <w:tmpl w:val="F4004E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60714263">
    <w:abstractNumId w:val="1"/>
  </w:num>
  <w:num w:numId="2" w16cid:durableId="96407533">
    <w:abstractNumId w:val="0"/>
  </w:num>
  <w:num w:numId="3" w16cid:durableId="2142772320">
    <w:abstractNumId w:val="4"/>
  </w:num>
  <w:num w:numId="4" w16cid:durableId="848956055">
    <w:abstractNumId w:val="2"/>
  </w:num>
  <w:num w:numId="5" w16cid:durableId="2048527953">
    <w:abstractNumId w:val="3"/>
  </w:num>
  <w:num w:numId="6" w16cid:durableId="729694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3D"/>
    <w:rsid w:val="000B373D"/>
    <w:rsid w:val="000B503D"/>
    <w:rsid w:val="000C4F16"/>
    <w:rsid w:val="000E4460"/>
    <w:rsid w:val="001947A7"/>
    <w:rsid w:val="001B44C4"/>
    <w:rsid w:val="0026188F"/>
    <w:rsid w:val="002E129B"/>
    <w:rsid w:val="002F21A2"/>
    <w:rsid w:val="003A51F9"/>
    <w:rsid w:val="003D0F6B"/>
    <w:rsid w:val="00412867"/>
    <w:rsid w:val="00414A88"/>
    <w:rsid w:val="00420B20"/>
    <w:rsid w:val="00457D17"/>
    <w:rsid w:val="00565A42"/>
    <w:rsid w:val="006021BE"/>
    <w:rsid w:val="00615D35"/>
    <w:rsid w:val="00665B79"/>
    <w:rsid w:val="00682693"/>
    <w:rsid w:val="00712417"/>
    <w:rsid w:val="00753934"/>
    <w:rsid w:val="007D755D"/>
    <w:rsid w:val="0081118A"/>
    <w:rsid w:val="008C033D"/>
    <w:rsid w:val="008E3B98"/>
    <w:rsid w:val="00921D97"/>
    <w:rsid w:val="00924F44"/>
    <w:rsid w:val="00926297"/>
    <w:rsid w:val="00974E6E"/>
    <w:rsid w:val="009B0B24"/>
    <w:rsid w:val="009F0EDF"/>
    <w:rsid w:val="00A151A3"/>
    <w:rsid w:val="00A55D8E"/>
    <w:rsid w:val="00A77D11"/>
    <w:rsid w:val="00A94971"/>
    <w:rsid w:val="00AD624D"/>
    <w:rsid w:val="00B11B26"/>
    <w:rsid w:val="00B52E15"/>
    <w:rsid w:val="00C503ED"/>
    <w:rsid w:val="00C576CD"/>
    <w:rsid w:val="00C806FA"/>
    <w:rsid w:val="00CA5A82"/>
    <w:rsid w:val="00CF4F1C"/>
    <w:rsid w:val="00D233B4"/>
    <w:rsid w:val="00D84FB0"/>
    <w:rsid w:val="00E74C48"/>
    <w:rsid w:val="00F20082"/>
    <w:rsid w:val="00F40174"/>
    <w:rsid w:val="00F432E6"/>
    <w:rsid w:val="00F56E82"/>
    <w:rsid w:val="00F73708"/>
    <w:rsid w:val="00FC21B9"/>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5D82F"/>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B3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B37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373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B373D"/>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1160</Words>
  <Characters>6963</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Charakterystyka planowanego przedsięwzięcia</dc:title>
  <dc:subject/>
  <dc:creator>Iwona Bobek</dc:creator>
  <cp:keywords/>
  <dc:description/>
  <cp:lastModifiedBy>Kamila Kutryb</cp:lastModifiedBy>
  <cp:revision>49</cp:revision>
  <dcterms:created xsi:type="dcterms:W3CDTF">2020-09-07T10:53:00Z</dcterms:created>
  <dcterms:modified xsi:type="dcterms:W3CDTF">2024-12-18T11:50:00Z</dcterms:modified>
</cp:coreProperties>
</file>