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841" w:rsidRPr="00DC5841" w:rsidRDefault="00DC5841" w:rsidP="00DC5841">
      <w:pPr>
        <w:spacing w:before="100" w:beforeAutospacing="1" w:after="100" w:afterAutospacing="1" w:line="300" w:lineRule="atLeast"/>
        <w:rPr>
          <w:rFonts w:ascii="Verdana" w:eastAsia="Times New Roman" w:hAnsi="Verdana" w:cs="Times New Roman"/>
          <w:sz w:val="18"/>
          <w:szCs w:val="18"/>
          <w:lang w:eastAsia="pl-PL"/>
        </w:rPr>
      </w:pPr>
      <w:bookmarkStart w:id="0" w:name="_GoBack"/>
      <w:bookmarkEnd w:id="0"/>
      <w:r w:rsidRPr="00DC5841">
        <w:rPr>
          <w:rFonts w:ascii="Verdana" w:eastAsia="Times New Roman" w:hAnsi="Verdana" w:cs="Times New Roman"/>
          <w:sz w:val="18"/>
          <w:szCs w:val="18"/>
          <w:lang w:eastAsia="pl-PL"/>
        </w:rPr>
        <w:br/>
      </w:r>
      <w:r w:rsidRPr="00DC5841">
        <w:rPr>
          <w:rFonts w:ascii="Verdana" w:eastAsia="Times New Roman" w:hAnsi="Verdana" w:cs="Times New Roman"/>
          <w:sz w:val="18"/>
          <w:szCs w:val="18"/>
          <w:lang w:eastAsia="pl-PL"/>
        </w:rPr>
        <w:br/>
      </w:r>
      <w:r w:rsidRPr="00DC5841">
        <w:rPr>
          <w:rFonts w:ascii="Verdana" w:eastAsia="Times New Roman" w:hAnsi="Verdana" w:cs="Times New Roman"/>
          <w:sz w:val="18"/>
          <w:szCs w:val="18"/>
          <w:lang w:eastAsia="pl-PL"/>
        </w:rPr>
        <w:br/>
      </w:r>
    </w:p>
    <w:p w:rsidR="00DC5841" w:rsidRPr="00DC5841" w:rsidRDefault="00DC5841" w:rsidP="00DC5841">
      <w:pPr>
        <w:spacing w:before="100" w:beforeAutospacing="1" w:after="100" w:afterAutospacing="1" w:line="300" w:lineRule="atLeast"/>
        <w:jc w:val="both"/>
        <w:outlineLvl w:val="1"/>
        <w:rPr>
          <w:rFonts w:ascii="Verdana" w:eastAsia="Times New Roman" w:hAnsi="Verdana" w:cs="Times New Roman"/>
          <w:b/>
          <w:bCs/>
          <w:sz w:val="36"/>
          <w:szCs w:val="36"/>
          <w:lang w:eastAsia="pl-PL"/>
        </w:rPr>
      </w:pPr>
      <w:r w:rsidRPr="00DC5841">
        <w:rPr>
          <w:rFonts w:ascii="Verdana" w:eastAsia="Times New Roman" w:hAnsi="Verdana" w:cs="Times New Roman"/>
          <w:b/>
          <w:bCs/>
          <w:sz w:val="36"/>
          <w:szCs w:val="36"/>
          <w:lang w:eastAsia="pl-PL"/>
        </w:rPr>
        <w:t>Miejsce i data sporządzenia dokumentu</w:t>
      </w:r>
    </w:p>
    <w:p w:rsidR="00DC5841" w:rsidRPr="00DC5841" w:rsidRDefault="00DC5841" w:rsidP="00DC5841">
      <w:pPr>
        <w:spacing w:before="100" w:beforeAutospacing="1" w:after="100" w:afterAutospacing="1" w:line="300" w:lineRule="atLeast"/>
        <w:jc w:val="right"/>
        <w:rPr>
          <w:rFonts w:ascii="Verdana" w:eastAsia="Times New Roman" w:hAnsi="Verdana" w:cs="Times New Roman"/>
          <w:sz w:val="18"/>
          <w:szCs w:val="18"/>
          <w:lang w:eastAsia="pl-PL"/>
        </w:rPr>
      </w:pPr>
      <w:r w:rsidRPr="00DC5841">
        <w:rPr>
          <w:rFonts w:ascii="Verdana" w:eastAsia="Times New Roman" w:hAnsi="Verdana" w:cs="Times New Roman"/>
          <w:sz w:val="18"/>
          <w:szCs w:val="18"/>
          <w:lang w:eastAsia="pl-PL"/>
        </w:rPr>
        <w:t>, 2024-12-22</w:t>
      </w:r>
    </w:p>
    <w:p w:rsidR="00DC5841" w:rsidRPr="00DC5841" w:rsidRDefault="00DC5841" w:rsidP="00DC5841">
      <w:pPr>
        <w:spacing w:before="100" w:beforeAutospacing="1" w:after="100" w:afterAutospacing="1" w:line="300" w:lineRule="atLeast"/>
        <w:jc w:val="both"/>
        <w:outlineLvl w:val="1"/>
        <w:rPr>
          <w:rFonts w:ascii="Verdana" w:eastAsia="Times New Roman" w:hAnsi="Verdana" w:cs="Times New Roman"/>
          <w:b/>
          <w:bCs/>
          <w:sz w:val="36"/>
          <w:szCs w:val="36"/>
          <w:lang w:eastAsia="pl-PL"/>
        </w:rPr>
      </w:pPr>
      <w:r w:rsidRPr="00DC5841">
        <w:rPr>
          <w:rFonts w:ascii="Verdana" w:eastAsia="Times New Roman" w:hAnsi="Verdana" w:cs="Times New Roman"/>
          <w:b/>
          <w:bCs/>
          <w:sz w:val="36"/>
          <w:szCs w:val="36"/>
          <w:lang w:eastAsia="pl-PL"/>
        </w:rPr>
        <w:t>Dane adresatów</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446"/>
      </w:tblGrid>
      <w:tr w:rsidR="00DC5841" w:rsidRPr="00DC5841" w:rsidTr="00DC5841">
        <w:trPr>
          <w:tblCellSpacing w:w="15" w:type="dxa"/>
          <w:jc w:val="right"/>
        </w:trPr>
        <w:tc>
          <w:tcPr>
            <w:tcW w:w="6" w:type="dxa"/>
            <w:vAlign w:val="center"/>
            <w:hideMark/>
          </w:tcPr>
          <w:p w:rsidR="00DC5841" w:rsidRPr="00DC5841" w:rsidRDefault="00DC5841" w:rsidP="00DC5841">
            <w:pPr>
              <w:spacing w:before="100" w:beforeAutospacing="1" w:after="100" w:afterAutospacing="1" w:line="300" w:lineRule="atLeast"/>
              <w:rPr>
                <w:rFonts w:ascii="Verdana" w:eastAsia="Times New Roman" w:hAnsi="Verdana" w:cs="Times New Roman"/>
                <w:sz w:val="18"/>
                <w:szCs w:val="18"/>
                <w:lang w:eastAsia="pl-PL"/>
              </w:rPr>
            </w:pPr>
            <w:r w:rsidRPr="00DC5841">
              <w:rPr>
                <w:rFonts w:ascii="Verdana" w:eastAsia="Times New Roman" w:hAnsi="Verdana" w:cs="Times New Roman"/>
                <w:sz w:val="18"/>
                <w:szCs w:val="18"/>
                <w:lang w:eastAsia="pl-PL"/>
              </w:rPr>
              <w:t>KANCELARIA PREZESA RADY MINISTRÓW</w:t>
            </w:r>
            <w:r w:rsidRPr="00DC5841">
              <w:rPr>
                <w:rFonts w:ascii="Verdana" w:eastAsia="Times New Roman" w:hAnsi="Verdana" w:cs="Times New Roman"/>
                <w:sz w:val="18"/>
                <w:szCs w:val="18"/>
                <w:lang w:eastAsia="pl-PL"/>
              </w:rPr>
              <w:br/>
              <w:t>00-583 WARSZAWA</w:t>
            </w:r>
            <w:r w:rsidRPr="00DC5841">
              <w:rPr>
                <w:rFonts w:ascii="Verdana" w:eastAsia="Times New Roman" w:hAnsi="Verdana" w:cs="Times New Roman"/>
                <w:sz w:val="18"/>
                <w:szCs w:val="18"/>
                <w:lang w:eastAsia="pl-PL"/>
              </w:rPr>
              <w:br/>
            </w:r>
            <w:proofErr w:type="spellStart"/>
            <w:r w:rsidRPr="00DC5841">
              <w:rPr>
                <w:rFonts w:ascii="Verdana" w:eastAsia="Times New Roman" w:hAnsi="Verdana" w:cs="Times New Roman"/>
                <w:sz w:val="18"/>
                <w:szCs w:val="18"/>
                <w:lang w:eastAsia="pl-PL"/>
              </w:rPr>
              <w:t>WARSZAWA</w:t>
            </w:r>
            <w:proofErr w:type="spellEnd"/>
            <w:r w:rsidRPr="00DC5841">
              <w:rPr>
                <w:rFonts w:ascii="Verdana" w:eastAsia="Times New Roman" w:hAnsi="Verdana" w:cs="Times New Roman"/>
                <w:sz w:val="18"/>
                <w:szCs w:val="18"/>
                <w:lang w:eastAsia="pl-PL"/>
              </w:rPr>
              <w:br/>
              <w:t>UL. ALEJE UJAZDOWSKIE 1/3</w:t>
            </w:r>
          </w:p>
        </w:tc>
      </w:tr>
    </w:tbl>
    <w:p w:rsidR="00DC5841" w:rsidRPr="00DC5841" w:rsidRDefault="00DC5841" w:rsidP="00DC5841">
      <w:pPr>
        <w:spacing w:after="0" w:line="300" w:lineRule="atLeast"/>
        <w:jc w:val="both"/>
        <w:rPr>
          <w:rFonts w:ascii="Verdana" w:eastAsia="Times New Roman" w:hAnsi="Verdana" w:cs="Times New Roman"/>
          <w:sz w:val="17"/>
          <w:szCs w:val="17"/>
          <w:lang w:eastAsia="pl-PL"/>
        </w:rPr>
      </w:pPr>
    </w:p>
    <w:p w:rsidR="00DC5841" w:rsidRPr="00DC5841" w:rsidRDefault="00DC5841" w:rsidP="00DC5841">
      <w:pPr>
        <w:spacing w:before="100" w:beforeAutospacing="1" w:after="100" w:afterAutospacing="1" w:line="300" w:lineRule="atLeast"/>
        <w:jc w:val="center"/>
        <w:outlineLvl w:val="1"/>
        <w:rPr>
          <w:rFonts w:ascii="Verdana" w:eastAsia="Times New Roman" w:hAnsi="Verdana" w:cs="Times New Roman"/>
          <w:caps/>
          <w:sz w:val="18"/>
          <w:szCs w:val="18"/>
          <w:lang w:eastAsia="pl-PL"/>
        </w:rPr>
      </w:pPr>
      <w:r w:rsidRPr="00DC5841">
        <w:rPr>
          <w:rFonts w:ascii="Verdana" w:eastAsia="Times New Roman" w:hAnsi="Verdana" w:cs="Times New Roman"/>
          <w:caps/>
          <w:sz w:val="18"/>
          <w:szCs w:val="18"/>
          <w:lang w:eastAsia="pl-PL"/>
        </w:rPr>
        <w:t>wniosek</w:t>
      </w:r>
    </w:p>
    <w:p w:rsidR="00DC5841" w:rsidRPr="00DC5841" w:rsidRDefault="00DC5841" w:rsidP="00DC5841">
      <w:pPr>
        <w:spacing w:before="100" w:beforeAutospacing="1" w:after="100" w:afterAutospacing="1" w:line="300" w:lineRule="atLeast"/>
        <w:jc w:val="center"/>
        <w:outlineLvl w:val="2"/>
        <w:rPr>
          <w:rFonts w:ascii="Verdana" w:eastAsia="Times New Roman" w:hAnsi="Verdana" w:cs="Times New Roman"/>
          <w:sz w:val="18"/>
          <w:szCs w:val="18"/>
          <w:lang w:eastAsia="pl-PL"/>
        </w:rPr>
      </w:pPr>
      <w:r w:rsidRPr="00DC5841">
        <w:rPr>
          <w:rFonts w:ascii="Verdana" w:eastAsia="Times New Roman" w:hAnsi="Verdana" w:cs="Times New Roman"/>
          <w:sz w:val="18"/>
          <w:szCs w:val="18"/>
          <w:lang w:eastAsia="pl-PL"/>
        </w:rPr>
        <w:t xml:space="preserve">Petycja </w:t>
      </w:r>
      <w:proofErr w:type="spellStart"/>
      <w:r w:rsidRPr="00DC5841">
        <w:rPr>
          <w:rFonts w:ascii="Verdana" w:eastAsia="Times New Roman" w:hAnsi="Verdana" w:cs="Times New Roman"/>
          <w:sz w:val="18"/>
          <w:szCs w:val="18"/>
          <w:lang w:eastAsia="pl-PL"/>
        </w:rPr>
        <w:t>ws</w:t>
      </w:r>
      <w:proofErr w:type="spellEnd"/>
      <w:r w:rsidRPr="00DC5841">
        <w:rPr>
          <w:rFonts w:ascii="Verdana" w:eastAsia="Times New Roman" w:hAnsi="Verdana" w:cs="Times New Roman"/>
          <w:sz w:val="18"/>
          <w:szCs w:val="18"/>
          <w:lang w:eastAsia="pl-PL"/>
        </w:rPr>
        <w:t>. stworzenia nowego programu rozwoju infrastruktury granicznej na polsko-ukraińskiej granicy państwowej</w:t>
      </w:r>
    </w:p>
    <w:p w:rsidR="00DC5841" w:rsidRPr="00DC5841" w:rsidRDefault="00DC5841" w:rsidP="00DC5841">
      <w:pPr>
        <w:spacing w:before="100" w:beforeAutospacing="1" w:after="100" w:afterAutospacing="1" w:line="300" w:lineRule="atLeast"/>
        <w:jc w:val="both"/>
        <w:outlineLvl w:val="3"/>
        <w:rPr>
          <w:rFonts w:ascii="Verdana" w:eastAsia="Times New Roman" w:hAnsi="Verdana" w:cs="Times New Roman"/>
          <w:b/>
          <w:bCs/>
          <w:sz w:val="24"/>
          <w:szCs w:val="24"/>
          <w:lang w:eastAsia="pl-PL"/>
        </w:rPr>
      </w:pPr>
      <w:r w:rsidRPr="00DC5841">
        <w:rPr>
          <w:rFonts w:ascii="Verdana" w:eastAsia="Times New Roman" w:hAnsi="Verdana" w:cs="Times New Roman"/>
          <w:b/>
          <w:bCs/>
          <w:sz w:val="24"/>
          <w:szCs w:val="24"/>
          <w:lang w:eastAsia="pl-PL"/>
        </w:rPr>
        <w:t>Treść dokumentu</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Szanowny Panie Premierze,</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W interesie Rzeczypospolitej leży przetrwanie ukraińskiej państwowości i wzmacnianie strategicznego partnerstwa Polski i Ukrainy. Jednym z kluczowych – lecz zarazem często bagatelizowanych – pól współpracy obu państw powinno stać się zagadnienie infrastruktury przejść granicznych.</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Pomimo prowadzonych prac modernizacyjnych, obecną infrastrukturę drogowych przejść granicznych z Ukrainą należy uznać za dalece niewystarczającą, co negatywnie wpływa na wymianę handlową, branżę turystyczną, przepływ pracowników, ogólną mobilność pomiędzy państwami oraz oznacza dalsze zmarginalizowanie terenów przygranicznych. Zbyt niska przepustowość przejść granicznych prowadzi do długotrwałych kolejek i opóźnień, które zniechęcają do wymiany handlowej i podróży, hamując rozwój współpracy gospodarczej oraz społecznej po obu stronach granicy. </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lastRenderedPageBreak/>
        <w:t xml:space="preserve">Granica polsko-ukraińska jest szczególnie „nieprzyjazna” dla turystów poruszających się pieszo lub rowerem – istnieje bowiem tylko jedno przejście graniczne dostosowane do odpraw tej grupy podróżnych. Ponadto na podstawie informacji zawartych w piśmie MSWiA nr DBI-WODO-06770.5.37.2024.BCh z dnia 2 października 2024 r. należy stwierdzić, że resort nie planuje budowy nowych pieszo-rowerowych przejść granicznych z Ukrainą (za wyjątkiem mglistej perspektywy dostosowania przejścia granicznego </w:t>
      </w:r>
      <w:proofErr w:type="spellStart"/>
      <w:r w:rsidRPr="00DC5841">
        <w:rPr>
          <w:rFonts w:ascii="Verdana" w:eastAsia="Times New Roman" w:hAnsi="Verdana" w:cs="Courier New"/>
          <w:sz w:val="18"/>
          <w:szCs w:val="18"/>
          <w:lang w:eastAsia="pl-PL"/>
        </w:rPr>
        <w:t>Hrebenne-Rawa</w:t>
      </w:r>
      <w:proofErr w:type="spellEnd"/>
      <w:r w:rsidRPr="00DC5841">
        <w:rPr>
          <w:rFonts w:ascii="Verdana" w:eastAsia="Times New Roman" w:hAnsi="Verdana" w:cs="Courier New"/>
          <w:sz w:val="18"/>
          <w:szCs w:val="18"/>
          <w:lang w:eastAsia="pl-PL"/>
        </w:rPr>
        <w:t xml:space="preserve"> Ruska do odpraw pieszych i rowerzystów).</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Skalę deficytu przejść granicznych ukazało otwarcie nowego drogowego przejścia w Malhowicach - w kilka godzin po ukazaniu się informacji o uruchomieniu przejścia, wytworzyły się przed nim duże kolejki. Zasadność konieczności budowy turystycznych, pieszych przejść granicznych potwierdza zaś duże zainteresowanie czasową możliwością odprawy (w miejscach gdzie nie istnieją stałe przejścia graniczne) w ramach Europejskich Dni Dobrosąsiedztwa.</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Porównując stan infrastruktury na granicy polsko-ukraińskiej do pozostałych odcinków granicy RP (w</w:t>
      </w:r>
      <w:r w:rsidR="00393586">
        <w:rPr>
          <w:rFonts w:ascii="Verdana" w:eastAsia="Times New Roman" w:hAnsi="Verdana" w:cs="Courier New"/>
          <w:sz w:val="18"/>
          <w:szCs w:val="18"/>
          <w:lang w:eastAsia="pl-PL"/>
        </w:rPr>
        <w:t> </w:t>
      </w:r>
      <w:r w:rsidRPr="00DC5841">
        <w:rPr>
          <w:rFonts w:ascii="Verdana" w:eastAsia="Times New Roman" w:hAnsi="Verdana" w:cs="Courier New"/>
          <w:sz w:val="18"/>
          <w:szCs w:val="18"/>
          <w:lang w:eastAsia="pl-PL"/>
        </w:rPr>
        <w:t xml:space="preserve">przypadku granic wewnętrznych UE – sprzed dołączenia Polski do Strefy </w:t>
      </w:r>
      <w:proofErr w:type="spellStart"/>
      <w:r w:rsidRPr="00DC5841">
        <w:rPr>
          <w:rFonts w:ascii="Verdana" w:eastAsia="Times New Roman" w:hAnsi="Verdana" w:cs="Courier New"/>
          <w:sz w:val="18"/>
          <w:szCs w:val="18"/>
          <w:lang w:eastAsia="pl-PL"/>
        </w:rPr>
        <w:t>Schengen</w:t>
      </w:r>
      <w:proofErr w:type="spellEnd"/>
      <w:r w:rsidRPr="00DC5841">
        <w:rPr>
          <w:rFonts w:ascii="Verdana" w:eastAsia="Times New Roman" w:hAnsi="Verdana" w:cs="Courier New"/>
          <w:sz w:val="18"/>
          <w:szCs w:val="18"/>
          <w:lang w:eastAsia="pl-PL"/>
        </w:rPr>
        <w:t>) należy przytoczyć następujące fakty:</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    1. Na granicy z Białorusią (rządzoną od ponad trzech dekad przez nieprzyjazny Polsce reżim autorytarny) istnieją dwa turystyczne przejścia graniczne (w Puszczy Białowieskiej i na Kanale Augustowskim) – na granicy polsko-ukraińskiej nie istnieje żaden tego typu obiekt. </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    2. Na granicy polsko-białoruskiej od dawna funkcjonuje przejście graniczne dedykowane wyłącznie odprawom samochodów ciężarowych – na granicy z Ukrainą wszystkie drogowe przejścia graniczne kumulują ruch pasażerski i cargo. Takie rozwiązanie poniekąd zostało utworzone w Dorohusku (począwszy od 2022 r.), gdzie zawieszono odprawę samochodów osobowych – trudno jednak uznać te środki za optymalne. </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    3. Przed wejściem Polski do Strefy </w:t>
      </w:r>
      <w:proofErr w:type="spellStart"/>
      <w:r w:rsidRPr="00DC5841">
        <w:rPr>
          <w:rFonts w:ascii="Verdana" w:eastAsia="Times New Roman" w:hAnsi="Verdana" w:cs="Courier New"/>
          <w:sz w:val="18"/>
          <w:szCs w:val="18"/>
          <w:lang w:eastAsia="pl-PL"/>
        </w:rPr>
        <w:t>Schengen</w:t>
      </w:r>
      <w:proofErr w:type="spellEnd"/>
      <w:r w:rsidRPr="00DC5841">
        <w:rPr>
          <w:rFonts w:ascii="Verdana" w:eastAsia="Times New Roman" w:hAnsi="Verdana" w:cs="Courier New"/>
          <w:sz w:val="18"/>
          <w:szCs w:val="18"/>
          <w:lang w:eastAsia="pl-PL"/>
        </w:rPr>
        <w:t xml:space="preserve"> na granicy z Republiką Czeską (której populacja jest 3-4 krotnie mniejsza od populacji Ukrainy) istniało 114 drogowych przejść granicznych – na granicy polsko-ukraińskiej znajduje się ich zaledwie 9 (w tym żadne nie ma charakteru turystycznego).</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W związku z powyższym, apeluję o realizację następujących postulatów:</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1. Przyśpieszenie realizacji budowy terminali odpraw ciężarówek w Dorohusku i </w:t>
      </w:r>
      <w:proofErr w:type="spellStart"/>
      <w:r w:rsidRPr="00DC5841">
        <w:rPr>
          <w:rFonts w:ascii="Verdana" w:eastAsia="Times New Roman" w:hAnsi="Verdana" w:cs="Courier New"/>
          <w:sz w:val="18"/>
          <w:szCs w:val="18"/>
          <w:lang w:eastAsia="pl-PL"/>
        </w:rPr>
        <w:t>Hrebennem</w:t>
      </w:r>
      <w:proofErr w:type="spellEnd"/>
      <w:r w:rsidRPr="00DC5841">
        <w:rPr>
          <w:rFonts w:ascii="Verdana" w:eastAsia="Times New Roman" w:hAnsi="Verdana" w:cs="Courier New"/>
          <w:sz w:val="18"/>
          <w:szCs w:val="18"/>
          <w:lang w:eastAsia="pl-PL"/>
        </w:rPr>
        <w:t xml:space="preserve"> (celem ukończenia realizacji tych inwestycji przed oddaniem granicznych odcinków dróg ekspresowych S12 oraz S17) oraz w Korczowej.</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2. Budowa pieszo-rowerowego, turystycznego przejścia granicznego w woj. lubelskim (w</w:t>
      </w:r>
      <w:r w:rsidR="00393586">
        <w:rPr>
          <w:rFonts w:ascii="Verdana" w:eastAsia="Times New Roman" w:hAnsi="Verdana" w:cs="Courier New"/>
          <w:sz w:val="18"/>
          <w:szCs w:val="18"/>
          <w:lang w:eastAsia="pl-PL"/>
        </w:rPr>
        <w:t> </w:t>
      </w:r>
      <w:r w:rsidRPr="00DC5841">
        <w:rPr>
          <w:rFonts w:ascii="Verdana" w:eastAsia="Times New Roman" w:hAnsi="Verdana" w:cs="Courier New"/>
          <w:sz w:val="18"/>
          <w:szCs w:val="18"/>
          <w:lang w:eastAsia="pl-PL"/>
        </w:rPr>
        <w:t xml:space="preserve">miejscowości </w:t>
      </w:r>
      <w:proofErr w:type="spellStart"/>
      <w:r w:rsidRPr="00DC5841">
        <w:rPr>
          <w:rFonts w:ascii="Verdana" w:eastAsia="Times New Roman" w:hAnsi="Verdana" w:cs="Courier New"/>
          <w:sz w:val="18"/>
          <w:szCs w:val="18"/>
          <w:lang w:eastAsia="pl-PL"/>
        </w:rPr>
        <w:t>Waręż</w:t>
      </w:r>
      <w:proofErr w:type="spellEnd"/>
      <w:r w:rsidRPr="00DC5841">
        <w:rPr>
          <w:rFonts w:ascii="Verdana" w:eastAsia="Times New Roman" w:hAnsi="Verdana" w:cs="Courier New"/>
          <w:sz w:val="18"/>
          <w:szCs w:val="18"/>
          <w:lang w:eastAsia="pl-PL"/>
        </w:rPr>
        <w:t xml:space="preserve"> lub Korczmin) lub dostosowanie przejścia granicznego Dołhobyczów-</w:t>
      </w:r>
      <w:proofErr w:type="spellStart"/>
      <w:r w:rsidRPr="00DC5841">
        <w:rPr>
          <w:rFonts w:ascii="Verdana" w:eastAsia="Times New Roman" w:hAnsi="Verdana" w:cs="Courier New"/>
          <w:sz w:val="18"/>
          <w:szCs w:val="18"/>
          <w:lang w:eastAsia="pl-PL"/>
        </w:rPr>
        <w:t>Uhrynów</w:t>
      </w:r>
      <w:proofErr w:type="spellEnd"/>
      <w:r w:rsidRPr="00DC5841">
        <w:rPr>
          <w:rFonts w:ascii="Verdana" w:eastAsia="Times New Roman" w:hAnsi="Verdana" w:cs="Courier New"/>
          <w:sz w:val="18"/>
          <w:szCs w:val="18"/>
          <w:lang w:eastAsia="pl-PL"/>
        </w:rPr>
        <w:t xml:space="preserve"> do odpraw pieszych i rowerzystów.</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3. Budowa pieszo-rowerowego, turystycznego przejścia granicznego Wołosate-</w:t>
      </w:r>
      <w:proofErr w:type="spellStart"/>
      <w:r w:rsidRPr="00DC5841">
        <w:rPr>
          <w:rFonts w:ascii="Verdana" w:eastAsia="Times New Roman" w:hAnsi="Verdana" w:cs="Courier New"/>
          <w:sz w:val="18"/>
          <w:szCs w:val="18"/>
          <w:lang w:eastAsia="pl-PL"/>
        </w:rPr>
        <w:t>Łubnia</w:t>
      </w:r>
      <w:proofErr w:type="spellEnd"/>
      <w:r w:rsidRPr="00DC5841">
        <w:rPr>
          <w:rFonts w:ascii="Verdana" w:eastAsia="Times New Roman" w:hAnsi="Verdana" w:cs="Courier New"/>
          <w:sz w:val="18"/>
          <w:szCs w:val="18"/>
          <w:lang w:eastAsia="pl-PL"/>
        </w:rPr>
        <w:t xml:space="preserve"> w woj. podkarpackim do końca II kw. 2026 r. Byłoby to pierwsze przejście łączące Polskę z obwodem zakarpackim oraz pierwsze turystyczne przejście graniczne w Bieszczadach. Bryła budynku polskiej </w:t>
      </w:r>
      <w:r w:rsidRPr="00DC5841">
        <w:rPr>
          <w:rFonts w:ascii="Verdana" w:eastAsia="Times New Roman" w:hAnsi="Verdana" w:cs="Courier New"/>
          <w:sz w:val="18"/>
          <w:szCs w:val="18"/>
          <w:lang w:eastAsia="pl-PL"/>
        </w:rPr>
        <w:lastRenderedPageBreak/>
        <w:t xml:space="preserve">i ukraińskiej kontroli celno-paszportowej mogłaby nawiązywać do drewnianej architektury Bieszczad – wówczas inwestycja nie zaburzałaby krajobrazu Bieszczadzkiego PN oraz Użockiego PN. </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4. Przyśpieszenie realizacji przystosowania przejścia granicznego </w:t>
      </w:r>
      <w:proofErr w:type="spellStart"/>
      <w:r w:rsidRPr="00DC5841">
        <w:rPr>
          <w:rFonts w:ascii="Verdana" w:eastAsia="Times New Roman" w:hAnsi="Verdana" w:cs="Courier New"/>
          <w:sz w:val="18"/>
          <w:szCs w:val="18"/>
          <w:lang w:eastAsia="pl-PL"/>
        </w:rPr>
        <w:t>Hrebenne-Rawa</w:t>
      </w:r>
      <w:proofErr w:type="spellEnd"/>
      <w:r w:rsidRPr="00DC5841">
        <w:rPr>
          <w:rFonts w:ascii="Verdana" w:eastAsia="Times New Roman" w:hAnsi="Verdana" w:cs="Courier New"/>
          <w:sz w:val="18"/>
          <w:szCs w:val="18"/>
          <w:lang w:eastAsia="pl-PL"/>
        </w:rPr>
        <w:t xml:space="preserve"> Ruska do odpraw pieszych i rowerzystów (do II kw. 2026 r.).</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Pokój na Ukrainie wydaje się dziś „myśleniem życzeniowym”. Jednakże, jak pokazują realia, wojny często kończą się szybciej niż planowanie, projektowanie i budowa autostrad, linii kolejowych czy infrastruktury przejść granicznych. Kluczowe inwestycje z punktu widzenia zwiększenia przepustowości drogowych i kolejowych przejść granicznych (poprzez budowę terminali odpraw dla ciężarówek, budowę nowych i modernizację obecnych przejść granicznych oraz rozpoczęcie procesu integracji ukraińskiego i europejskiego systemu kolejowego) i rozbudowy prowadzących do nich szlaków transportowych, nie mogą czekać na zakończenie działań zbrojnych i faktyczne rozpoczęcie odbudowy Ukrainy – skala zysków dla Polski z tego procesu będzie w dużym stopniu zależała właśnie od przepustowości granicy polsko-ukraińskiej oraz stanu infrastruktury prowadzącej z UE przez Polskę do Ukrainy.</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 xml:space="preserve">Ukraina obecnie nie zajmuje kluczowego miejsca dla polskiej gospodarki – należy jednak wskazać, że od początku </w:t>
      </w:r>
      <w:proofErr w:type="spellStart"/>
      <w:r w:rsidRPr="00DC5841">
        <w:rPr>
          <w:rFonts w:ascii="Verdana" w:eastAsia="Times New Roman" w:hAnsi="Verdana" w:cs="Courier New"/>
          <w:sz w:val="18"/>
          <w:szCs w:val="18"/>
          <w:lang w:eastAsia="pl-PL"/>
        </w:rPr>
        <w:t>pełnoskalowej</w:t>
      </w:r>
      <w:proofErr w:type="spellEnd"/>
      <w:r w:rsidRPr="00DC5841">
        <w:rPr>
          <w:rFonts w:ascii="Verdana" w:eastAsia="Times New Roman" w:hAnsi="Verdana" w:cs="Courier New"/>
          <w:sz w:val="18"/>
          <w:szCs w:val="18"/>
          <w:lang w:eastAsia="pl-PL"/>
        </w:rPr>
        <w:t xml:space="preserve"> inwazji Rosji na Ukrainę mamy do czynienia ze znaczącym wzrostem dwustronnej wymiany handlowej. Należy również założyć, że wraz z umacnianiem się zwrotu ukraińskiej gospodarki na zachód (w związku z integracją europejską oraz zerwaniem więzów ekonomicznych z Białorusią i Rosją) w kolejnych latach, rola i znaczenie tej gospodarki dla Polski będzie się konsekwentnie zwiększać – jednakże, bez znaczącej rozbudowy infrastruktury przejść granicznych w ciągu najbliższych 3-4 lat, zwielokrotnienie obecnego poziomu dwustronnej wymiany handlowej (i tranzytu przez polskie terytorium) będzie niemożliwe, zaś konkurencyjne państwa dla lądowego tranzytu towarów z UE do Ukrainy (Słowacja, Węgry i w mniejszym stopniu Rumunia) mogą w porę wykorzystać swoją szansę kosztem polskich interesów. </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Ukraina jest i w coraz większym stopniu będzie wymagającym konkurentem dla Polski w wielu gałęziach gospodarki (w szczególności w tych obszarach, w których ukraiński biznes może omijać unijne regulacje takie jak opłaty za emisję CO₂ czy niektóre standardy jakości produktów oraz w tych dziedzinach, w których ukraińskie firmy oferują znacznie bardziej konkurencyjne ceny) jednakże budowa wydolnej, nowoczesnej infrastruktury przejść granicznych umożliwi Polsce stworzenie silnej przewagi konkurencyjnej (względem Słowacji, Węgier i Rumunii) oraz negocjacyjnej (względem Ukrainy), co pozwoli zwiększyć gospodarcze znaczenie państwa w Europie i przyniesie mu wymierne korzyści ekonomiczne. Polska posiada pod tym kątem przewagę geograficzną nad pozostałymi sąsiadami Ukrainy, będącymi państwami członkowskimi UE – trasa przez Polskę jest w większości przypadków najkrótsza i najszybsza, zaś linie kolejowe i główne drogi (po obu stronach granicy polsko-ukraińskiej) nie są przecięte pasmem Karpat. To jednak nie przynosi Polsce gwarancji, że nie może ona stracić dominującej pozycji w handlu pomiędzy UE a Ukrainą.</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Z wyrazami szacunku</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sidRPr="00DC5841">
        <w:rPr>
          <w:rFonts w:ascii="Verdana" w:eastAsia="Times New Roman" w:hAnsi="Verdana" w:cs="Courier New"/>
          <w:sz w:val="18"/>
          <w:szCs w:val="18"/>
          <w:lang w:eastAsia="pl-PL"/>
        </w:rPr>
        <w:t>Oświadczam, iż wyrażam zgodę na publikację na stronie internetowej KPRM - wyłącznie - mojego imienia i nazwiska (tj. bez danych adresowych).</w:t>
      </w:r>
    </w:p>
    <w:p w:rsidR="00DC5841" w:rsidRPr="00DC5841" w:rsidRDefault="00DC5841"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p>
    <w:p w:rsidR="00DC5841" w:rsidRPr="00DC5841" w:rsidRDefault="00393586" w:rsidP="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tLeast"/>
        <w:jc w:val="both"/>
        <w:rPr>
          <w:rFonts w:ascii="Verdana" w:eastAsia="Times New Roman" w:hAnsi="Verdana" w:cs="Courier New"/>
          <w:sz w:val="18"/>
          <w:szCs w:val="18"/>
          <w:lang w:eastAsia="pl-PL"/>
        </w:rPr>
      </w:pPr>
      <w:r>
        <w:rPr>
          <w:rFonts w:ascii="Verdana" w:eastAsia="Times New Roman" w:hAnsi="Verdana" w:cs="Courier New"/>
          <w:sz w:val="18"/>
          <w:szCs w:val="18"/>
          <w:lang w:eastAsia="pl-PL"/>
        </w:rPr>
        <w:t xml:space="preserve">         </w:t>
      </w:r>
      <w:r w:rsidR="00DC5841" w:rsidRPr="00DC5841">
        <w:rPr>
          <w:rFonts w:ascii="Verdana" w:eastAsia="Times New Roman" w:hAnsi="Verdana" w:cs="Courier New"/>
          <w:sz w:val="18"/>
          <w:szCs w:val="18"/>
          <w:lang w:eastAsia="pl-PL"/>
        </w:rPr>
        <w:t>, dnia 22 grudnia 2024 r.</w:t>
      </w:r>
    </w:p>
    <w:p w:rsidR="00DC5841" w:rsidRPr="00DC5841" w:rsidRDefault="00DC5841" w:rsidP="00DC5841">
      <w:pPr>
        <w:spacing w:before="100" w:beforeAutospacing="1" w:after="100" w:afterAutospacing="1" w:line="300" w:lineRule="atLeast"/>
        <w:outlineLvl w:val="1"/>
        <w:rPr>
          <w:rFonts w:ascii="Verdana" w:eastAsia="Times New Roman" w:hAnsi="Verdana" w:cs="Times New Roman"/>
          <w:b/>
          <w:bCs/>
          <w:sz w:val="36"/>
          <w:szCs w:val="36"/>
          <w:lang w:eastAsia="pl-PL"/>
        </w:rPr>
      </w:pPr>
      <w:r w:rsidRPr="00DC5841">
        <w:rPr>
          <w:rFonts w:ascii="Verdana" w:eastAsia="Times New Roman" w:hAnsi="Verdana" w:cs="Times New Roman"/>
          <w:b/>
          <w:bCs/>
          <w:sz w:val="36"/>
          <w:szCs w:val="36"/>
          <w:lang w:eastAsia="pl-PL"/>
        </w:rPr>
        <w:t>Oświadczenia:</w:t>
      </w:r>
    </w:p>
    <w:p w:rsidR="00DC5841" w:rsidRPr="00DC5841" w:rsidRDefault="00DC5841" w:rsidP="00DC5841">
      <w:pPr>
        <w:spacing w:before="100" w:beforeAutospacing="1" w:after="100" w:afterAutospacing="1" w:line="300" w:lineRule="atLeast"/>
        <w:rPr>
          <w:rFonts w:ascii="Verdana" w:eastAsia="Times New Roman" w:hAnsi="Verdana" w:cs="Times New Roman"/>
          <w:sz w:val="17"/>
          <w:szCs w:val="17"/>
          <w:lang w:eastAsia="pl-PL"/>
        </w:rPr>
      </w:pPr>
      <w:r w:rsidRPr="00DC5841">
        <w:rPr>
          <w:rFonts w:ascii="Verdana" w:eastAsia="Times New Roman" w:hAnsi="Verdana" w:cs="Times New Roman"/>
          <w:sz w:val="17"/>
          <w:szCs w:val="17"/>
          <w:lang w:eastAsia="pl-PL"/>
        </w:rPr>
        <w:t xml:space="preserve">Korespondencję w tej sprawie proszę kierować do mnie za pomocą środków komunikacji elektronicznej zgodnie z art. 39' ustawy z dnia 14 czerwca 1960 r. Kodeks postępowania administracyjnego (Dz. U. z 2000 r. Nr 98, poz. 1071, z </w:t>
      </w:r>
      <w:proofErr w:type="spellStart"/>
      <w:r w:rsidRPr="00DC5841">
        <w:rPr>
          <w:rFonts w:ascii="Verdana" w:eastAsia="Times New Roman" w:hAnsi="Verdana" w:cs="Times New Roman"/>
          <w:sz w:val="17"/>
          <w:szCs w:val="17"/>
          <w:lang w:eastAsia="pl-PL"/>
        </w:rPr>
        <w:t>późn</w:t>
      </w:r>
      <w:proofErr w:type="spellEnd"/>
      <w:r w:rsidRPr="00DC5841">
        <w:rPr>
          <w:rFonts w:ascii="Verdana" w:eastAsia="Times New Roman" w:hAnsi="Verdana" w:cs="Times New Roman"/>
          <w:sz w:val="17"/>
          <w:szCs w:val="17"/>
          <w:lang w:eastAsia="pl-PL"/>
        </w:rPr>
        <w:t xml:space="preserve">. zm.). </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160"/>
      </w:tblGrid>
      <w:tr w:rsidR="00DC5841" w:rsidRPr="00DC5841" w:rsidTr="00DC5841">
        <w:trPr>
          <w:tblCellSpacing w:w="15" w:type="dxa"/>
          <w:jc w:val="right"/>
        </w:trPr>
        <w:tc>
          <w:tcPr>
            <w:tcW w:w="5100" w:type="dxa"/>
            <w:vAlign w:val="center"/>
            <w:hideMark/>
          </w:tcPr>
          <w:p w:rsidR="00DC5841" w:rsidRPr="00DC5841" w:rsidRDefault="00DC5841" w:rsidP="00DC5841">
            <w:pPr>
              <w:spacing w:after="0" w:line="240" w:lineRule="auto"/>
              <w:rPr>
                <w:rFonts w:ascii="Verdana" w:eastAsia="Times New Roman" w:hAnsi="Verdana" w:cs="Times New Roman"/>
                <w:sz w:val="17"/>
                <w:szCs w:val="17"/>
                <w:lang w:eastAsia="pl-PL"/>
              </w:rPr>
            </w:pPr>
          </w:p>
        </w:tc>
      </w:tr>
    </w:tbl>
    <w:p w:rsidR="00DC5841" w:rsidRPr="00DC5841" w:rsidRDefault="00DC5841" w:rsidP="00DC5841">
      <w:pPr>
        <w:spacing w:after="0" w:line="300" w:lineRule="atLeast"/>
        <w:jc w:val="right"/>
        <w:rPr>
          <w:rFonts w:ascii="Verdana" w:eastAsia="Times New Roman" w:hAnsi="Verdana" w:cs="Times New Roman"/>
          <w:vanish/>
          <w:sz w:val="15"/>
          <w:szCs w:val="15"/>
          <w:lang w:eastAsia="pl-PL"/>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5160"/>
      </w:tblGrid>
      <w:tr w:rsidR="00DC5841" w:rsidRPr="00DC5841" w:rsidTr="00DC5841">
        <w:trPr>
          <w:tblCellSpacing w:w="15" w:type="dxa"/>
          <w:jc w:val="right"/>
        </w:trPr>
        <w:tc>
          <w:tcPr>
            <w:tcW w:w="5100" w:type="dxa"/>
            <w:vAlign w:val="center"/>
            <w:hideMark/>
          </w:tcPr>
          <w:p w:rsidR="00DC5841" w:rsidRPr="00DC5841" w:rsidRDefault="00DC5841" w:rsidP="00DC5841">
            <w:pPr>
              <w:spacing w:before="100" w:beforeAutospacing="1" w:after="100" w:afterAutospacing="1" w:line="240" w:lineRule="auto"/>
              <w:outlineLvl w:val="1"/>
              <w:rPr>
                <w:rFonts w:ascii="Times New Roman" w:eastAsia="Times New Roman" w:hAnsi="Times New Roman" w:cs="Times New Roman"/>
                <w:b/>
                <w:bCs/>
                <w:sz w:val="36"/>
                <w:szCs w:val="36"/>
                <w:lang w:eastAsia="pl-PL"/>
              </w:rPr>
            </w:pPr>
            <w:r w:rsidRPr="00DC5841">
              <w:rPr>
                <w:rFonts w:ascii="Times New Roman" w:eastAsia="Times New Roman" w:hAnsi="Times New Roman" w:cs="Times New Roman"/>
                <w:b/>
                <w:bCs/>
                <w:sz w:val="36"/>
                <w:szCs w:val="36"/>
                <w:lang w:eastAsia="pl-PL"/>
              </w:rPr>
              <w:t>Podpisy elektroniczne</w:t>
            </w:r>
          </w:p>
          <w:p w:rsidR="00DC5841" w:rsidRPr="00DC5841" w:rsidRDefault="00DC5841" w:rsidP="00DC5841">
            <w:pPr>
              <w:spacing w:before="100" w:beforeAutospacing="1" w:after="100" w:afterAutospacing="1" w:line="300" w:lineRule="atLeast"/>
              <w:jc w:val="center"/>
              <w:rPr>
                <w:rFonts w:ascii="Verdana" w:eastAsia="Times New Roman" w:hAnsi="Verdana" w:cs="Times New Roman"/>
                <w:sz w:val="15"/>
                <w:szCs w:val="15"/>
                <w:lang w:eastAsia="pl-PL"/>
              </w:rPr>
            </w:pPr>
            <w:r w:rsidRPr="00DC5841">
              <w:rPr>
                <w:rFonts w:ascii="Verdana" w:eastAsia="Times New Roman" w:hAnsi="Verdana" w:cs="Times New Roman"/>
                <w:sz w:val="15"/>
                <w:szCs w:val="15"/>
                <w:lang w:eastAsia="pl-PL"/>
              </w:rPr>
              <w:t>Dokument został podpisany, aby go zweryfikować należy użyć oprogramowania do weryfikacji podpisu</w:t>
            </w:r>
            <w:r w:rsidRPr="00DC5841">
              <w:rPr>
                <w:rFonts w:ascii="Verdana" w:eastAsia="Times New Roman" w:hAnsi="Verdana" w:cs="Times New Roman"/>
                <w:sz w:val="15"/>
                <w:szCs w:val="15"/>
                <w:lang w:eastAsia="pl-PL"/>
              </w:rPr>
              <w:br/>
              <w:t>Data złożenia podpisu: 2024-12-22T18:38:48.609+01:00</w:t>
            </w:r>
            <w:r w:rsidRPr="00DC5841">
              <w:rPr>
                <w:rFonts w:ascii="Verdana" w:eastAsia="Times New Roman" w:hAnsi="Verdana" w:cs="Times New Roman"/>
                <w:sz w:val="15"/>
                <w:szCs w:val="15"/>
                <w:lang w:eastAsia="pl-PL"/>
              </w:rPr>
              <w:br/>
            </w:r>
            <w:r w:rsidRPr="00DC5841">
              <w:rPr>
                <w:rFonts w:ascii="Verdana" w:eastAsia="Times New Roman" w:hAnsi="Verdana" w:cs="Times New Roman"/>
                <w:b/>
                <w:bCs/>
                <w:sz w:val="14"/>
                <w:szCs w:val="14"/>
                <w:lang w:eastAsia="pl-PL"/>
              </w:rPr>
              <w:t xml:space="preserve">Podpis elektroniczny </w:t>
            </w:r>
          </w:p>
        </w:tc>
      </w:tr>
    </w:tbl>
    <w:p w:rsidR="000636CC" w:rsidRDefault="00986F67"/>
    <w:sectPr w:rsidR="00063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841"/>
    <w:rsid w:val="00103B34"/>
    <w:rsid w:val="00393586"/>
    <w:rsid w:val="00986F67"/>
    <w:rsid w:val="00DC5841"/>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E85903-77C3-495D-ADD7-760C2E44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Normalny"/>
    <w:link w:val="Nagwek2Znak"/>
    <w:uiPriority w:val="9"/>
    <w:qFormat/>
    <w:rsid w:val="00DC5841"/>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DC5841"/>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4">
    <w:name w:val="heading 4"/>
    <w:basedOn w:val="Normalny"/>
    <w:link w:val="Nagwek4Znak"/>
    <w:uiPriority w:val="9"/>
    <w:qFormat/>
    <w:rsid w:val="00DC5841"/>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DC5841"/>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DC5841"/>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uiPriority w:val="9"/>
    <w:rsid w:val="00DC5841"/>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DC584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wstpniesformatowany">
    <w:name w:val="HTML Preformatted"/>
    <w:basedOn w:val="Normalny"/>
    <w:link w:val="HTML-wstpniesformatowanyZnak"/>
    <w:uiPriority w:val="99"/>
    <w:semiHidden/>
    <w:unhideWhenUsed/>
    <w:rsid w:val="00DC5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DC5841"/>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90178">
      <w:bodyDiv w:val="1"/>
      <w:marLeft w:val="0"/>
      <w:marRight w:val="0"/>
      <w:marTop w:val="0"/>
      <w:marBottom w:val="0"/>
      <w:divBdr>
        <w:top w:val="none" w:sz="0" w:space="0" w:color="auto"/>
        <w:left w:val="none" w:sz="0" w:space="0" w:color="auto"/>
        <w:bottom w:val="none" w:sz="0" w:space="0" w:color="auto"/>
        <w:right w:val="none" w:sz="0" w:space="0" w:color="auto"/>
      </w:divBdr>
      <w:divsChild>
        <w:div w:id="1188759271">
          <w:marLeft w:val="0"/>
          <w:marRight w:val="0"/>
          <w:marTop w:val="0"/>
          <w:marBottom w:val="0"/>
          <w:divBdr>
            <w:top w:val="none" w:sz="0" w:space="0" w:color="auto"/>
            <w:left w:val="none" w:sz="0" w:space="0" w:color="auto"/>
            <w:bottom w:val="none" w:sz="0" w:space="0" w:color="auto"/>
            <w:right w:val="none" w:sz="0" w:space="0" w:color="auto"/>
          </w:divBdr>
          <w:divsChild>
            <w:div w:id="1644695044">
              <w:marLeft w:val="0"/>
              <w:marRight w:val="0"/>
              <w:marTop w:val="0"/>
              <w:marBottom w:val="0"/>
              <w:divBdr>
                <w:top w:val="none" w:sz="0" w:space="0" w:color="auto"/>
                <w:left w:val="none" w:sz="0" w:space="0" w:color="auto"/>
                <w:bottom w:val="none" w:sz="0" w:space="0" w:color="auto"/>
                <w:right w:val="none" w:sz="0" w:space="0" w:color="auto"/>
              </w:divBdr>
              <w:divsChild>
                <w:div w:id="1518889443">
                  <w:marLeft w:val="0"/>
                  <w:marRight w:val="0"/>
                  <w:marTop w:val="0"/>
                  <w:marBottom w:val="0"/>
                  <w:divBdr>
                    <w:top w:val="none" w:sz="0" w:space="0" w:color="auto"/>
                    <w:left w:val="none" w:sz="0" w:space="0" w:color="auto"/>
                    <w:bottom w:val="none" w:sz="0" w:space="0" w:color="auto"/>
                    <w:right w:val="none" w:sz="0" w:space="0" w:color="auto"/>
                  </w:divBdr>
                  <w:divsChild>
                    <w:div w:id="17149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6864</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2025-02-28T15:55:00Z</dcterms:created>
  <dcterms:modified xsi:type="dcterms:W3CDTF">2025-02-28T15:55:00Z</dcterms:modified>
</cp:coreProperties>
</file>