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2E434D60" w14:textId="2CB18F4D" w:rsidR="00202697" w:rsidRDefault="00202697" w:rsidP="00202697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>
        <w:rPr>
          <w:rFonts w:ascii="Lato" w:hAnsi="Lato"/>
          <w:b/>
          <w:bCs/>
          <w:color w:val="00B0F0"/>
          <w:sz w:val="36"/>
          <w:szCs w:val="36"/>
          <w:u w:val="single"/>
        </w:rPr>
        <w:t>PROJEKT OBWIESZCZENIA REFUNDACYJNEGO NR 7</w:t>
      </w:r>
      <w:r w:rsidR="00C4376C"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C4376C"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2024 r.)</w:t>
      </w:r>
    </w:p>
    <w:p w14:paraId="66FC1558" w14:textId="4C584537" w:rsidR="00202697" w:rsidRDefault="00202697" w:rsidP="00202697">
      <w:pPr>
        <w:spacing w:before="24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Prezentowane podsumowanie projektu obwieszczenia refundacyjnego nr 7</w:t>
      </w:r>
      <w:r w:rsidR="00C4376C">
        <w:rPr>
          <w:rFonts w:ascii="Lato" w:hAnsi="Lato"/>
        </w:rPr>
        <w:t>5</w:t>
      </w:r>
      <w:r>
        <w:rPr>
          <w:rFonts w:ascii="Lato" w:hAnsi="Lato"/>
        </w:rPr>
        <w:t xml:space="preserve"> </w:t>
      </w:r>
      <w:r>
        <w:rPr>
          <w:rFonts w:ascii="Lato" w:hAnsi="Lato"/>
          <w:b/>
          <w:bCs/>
        </w:rPr>
        <w:t>nie stanowi jego ostatecznej wersji</w:t>
      </w:r>
      <w:r>
        <w:rPr>
          <w:rFonts w:ascii="Lato" w:hAnsi="Lato"/>
        </w:rPr>
        <w:t xml:space="preserve">, bowiem nadal trwają prace administracyjne nad finalnym wykazem refundowanych leków, środków spożywczych specjalnego przeznaczenia żywieniowego oraz wyrobów medycznych obowiązującym od 1 </w:t>
      </w:r>
      <w:r w:rsidR="00C4376C">
        <w:rPr>
          <w:rFonts w:ascii="Lato" w:hAnsi="Lato"/>
        </w:rPr>
        <w:t>lipca</w:t>
      </w:r>
      <w:r>
        <w:rPr>
          <w:rFonts w:ascii="Lato" w:hAnsi="Lato"/>
        </w:rPr>
        <w:t xml:space="preserve"> 2024 r. </w:t>
      </w:r>
    </w:p>
    <w:p w14:paraId="6FCBB705" w14:textId="326559BE" w:rsidR="00202697" w:rsidRPr="005451A6" w:rsidRDefault="00202697" w:rsidP="00202697">
      <w:pPr>
        <w:spacing w:after="120" w:line="360" w:lineRule="auto"/>
        <w:jc w:val="both"/>
        <w:rPr>
          <w:rFonts w:ascii="Lato" w:hAnsi="Lato"/>
        </w:rPr>
      </w:pPr>
      <w:r w:rsidRPr="00A053B9">
        <w:rPr>
          <w:rFonts w:ascii="Lato" w:hAnsi="Lato"/>
        </w:rPr>
        <w:t xml:space="preserve">Uwzględniając niniejszy projekt, w </w:t>
      </w:r>
      <w:r w:rsidR="003905D7">
        <w:rPr>
          <w:rFonts w:ascii="Lato" w:hAnsi="Lato"/>
        </w:rPr>
        <w:t>trzecim</w:t>
      </w:r>
      <w:r w:rsidRPr="00A053B9">
        <w:rPr>
          <w:rFonts w:ascii="Lato" w:hAnsi="Lato"/>
        </w:rPr>
        <w:t xml:space="preserve"> wykazie w roku 2024, finansowaniem ze środków publicznych zostan</w:t>
      </w:r>
      <w:r w:rsidR="005451A6">
        <w:rPr>
          <w:rFonts w:ascii="Lato" w:hAnsi="Lato"/>
        </w:rPr>
        <w:t>ie</w:t>
      </w:r>
      <w:r w:rsidRPr="00A053B9">
        <w:rPr>
          <w:rFonts w:ascii="Lato" w:hAnsi="Lato"/>
        </w:rPr>
        <w:t xml:space="preserve"> </w:t>
      </w:r>
      <w:r w:rsidRPr="005451A6">
        <w:rPr>
          <w:rFonts w:ascii="Lato" w:hAnsi="Lato"/>
        </w:rPr>
        <w:t>objęt</w:t>
      </w:r>
      <w:r w:rsidR="005451A6" w:rsidRPr="005451A6">
        <w:rPr>
          <w:rFonts w:ascii="Lato" w:hAnsi="Lato"/>
        </w:rPr>
        <w:t xml:space="preserve">ych </w:t>
      </w:r>
      <w:r w:rsidR="00516499" w:rsidRPr="005451A6">
        <w:rPr>
          <w:rFonts w:ascii="Lato" w:hAnsi="Lato"/>
          <w:b/>
          <w:bCs/>
        </w:rPr>
        <w:t>3</w:t>
      </w:r>
      <w:r w:rsidR="005451A6" w:rsidRPr="005451A6">
        <w:rPr>
          <w:rFonts w:ascii="Lato" w:hAnsi="Lato"/>
          <w:b/>
          <w:bCs/>
        </w:rPr>
        <w:t>1</w:t>
      </w:r>
      <w:r w:rsidRPr="005451A6">
        <w:rPr>
          <w:rFonts w:ascii="Lato" w:hAnsi="Lato"/>
          <w:b/>
          <w:bCs/>
        </w:rPr>
        <w:t xml:space="preserve"> nowych cząsteczko – wskazań</w:t>
      </w:r>
      <w:r w:rsidRPr="005451A6">
        <w:rPr>
          <w:rFonts w:ascii="Lato" w:hAnsi="Lato"/>
        </w:rPr>
        <w:t>, w tym:</w:t>
      </w:r>
    </w:p>
    <w:p w14:paraId="753923CA" w14:textId="655CE9B3" w:rsidR="00202697" w:rsidRPr="005451A6" w:rsidRDefault="005451A6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8</w:t>
      </w:r>
      <w:r w:rsidR="00202697" w:rsidRPr="005451A6">
        <w:rPr>
          <w:rFonts w:ascii="Lato" w:hAnsi="Lato"/>
        </w:rPr>
        <w:t xml:space="preserve"> cząsteczko – wskazań onkologicznych,</w:t>
      </w:r>
    </w:p>
    <w:p w14:paraId="2C1EE8A8" w14:textId="627073CD" w:rsidR="00202697" w:rsidRPr="005451A6" w:rsidRDefault="00516499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2</w:t>
      </w:r>
      <w:r w:rsidR="005451A6" w:rsidRPr="005451A6">
        <w:rPr>
          <w:rFonts w:ascii="Lato" w:hAnsi="Lato"/>
        </w:rPr>
        <w:t>3</w:t>
      </w:r>
      <w:r w:rsidR="00202697" w:rsidRPr="005451A6">
        <w:rPr>
          <w:rFonts w:ascii="Lato" w:hAnsi="Lato"/>
        </w:rPr>
        <w:t xml:space="preserve"> cząsteczko - wskaza</w:t>
      </w:r>
      <w:r w:rsidRPr="005451A6">
        <w:rPr>
          <w:rFonts w:ascii="Lato" w:hAnsi="Lato"/>
        </w:rPr>
        <w:t>nia</w:t>
      </w:r>
      <w:r w:rsidR="00202697" w:rsidRPr="005451A6">
        <w:rPr>
          <w:rFonts w:ascii="Lato" w:hAnsi="Lato"/>
        </w:rPr>
        <w:t xml:space="preserve"> nieonkologiczn</w:t>
      </w:r>
      <w:r w:rsidRPr="005451A6">
        <w:rPr>
          <w:rFonts w:ascii="Lato" w:hAnsi="Lato"/>
        </w:rPr>
        <w:t>e</w:t>
      </w:r>
      <w:r w:rsidR="00202697" w:rsidRPr="005451A6">
        <w:rPr>
          <w:rFonts w:ascii="Lato" w:hAnsi="Lato"/>
        </w:rPr>
        <w:t>,</w:t>
      </w:r>
    </w:p>
    <w:p w14:paraId="38D03AA4" w14:textId="0E59DD45" w:rsidR="00202697" w:rsidRPr="005451A6" w:rsidRDefault="005451A6" w:rsidP="00202697">
      <w:pPr>
        <w:pStyle w:val="Akapitzlist"/>
        <w:numPr>
          <w:ilvl w:val="0"/>
          <w:numId w:val="27"/>
        </w:numPr>
        <w:spacing w:after="120" w:line="360" w:lineRule="auto"/>
        <w:jc w:val="both"/>
        <w:textAlignment w:val="auto"/>
        <w:rPr>
          <w:rFonts w:ascii="Lato" w:hAnsi="Lato"/>
        </w:rPr>
      </w:pPr>
      <w:r w:rsidRPr="005451A6">
        <w:rPr>
          <w:rFonts w:ascii="Lato" w:hAnsi="Lato"/>
        </w:rPr>
        <w:t>6</w:t>
      </w:r>
      <w:r w:rsidR="00202697" w:rsidRPr="005451A6">
        <w:rPr>
          <w:rFonts w:ascii="Lato" w:hAnsi="Lato"/>
        </w:rPr>
        <w:t xml:space="preserve"> cząsteczko - wskazań dedykowanych chorobom rzadkim.</w:t>
      </w:r>
    </w:p>
    <w:p w14:paraId="2766759A" w14:textId="05488239" w:rsidR="00202697" w:rsidRPr="005451A6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5451A6">
        <w:rPr>
          <w:rFonts w:ascii="Lato" w:hAnsi="Lato" w:cs="Arial"/>
        </w:rPr>
        <w:t xml:space="preserve">Najwięcej nowych cząsteczko - wskazań onkologicznych w 2024 r. obserwujemy w </w:t>
      </w:r>
      <w:proofErr w:type="spellStart"/>
      <w:r w:rsidRPr="005451A6">
        <w:rPr>
          <w:rFonts w:ascii="Lato" w:hAnsi="Lato" w:cs="Arial"/>
        </w:rPr>
        <w:t>hematoonkologii</w:t>
      </w:r>
      <w:proofErr w:type="spellEnd"/>
      <w:r w:rsidRPr="005451A6">
        <w:rPr>
          <w:rFonts w:ascii="Lato" w:hAnsi="Lato" w:cs="Arial"/>
        </w:rPr>
        <w:t xml:space="preserve"> (</w:t>
      </w:r>
      <w:r w:rsidR="005451A6" w:rsidRPr="005451A6">
        <w:rPr>
          <w:rFonts w:ascii="Lato" w:hAnsi="Lato" w:cs="Arial"/>
        </w:rPr>
        <w:t>9</w:t>
      </w:r>
      <w:r w:rsidRPr="005451A6">
        <w:rPr>
          <w:rFonts w:ascii="Lato" w:hAnsi="Lato" w:cs="Arial"/>
        </w:rPr>
        <w:t xml:space="preserve">), w nowotworach </w:t>
      </w:r>
      <w:r w:rsidR="005451A6" w:rsidRPr="005451A6">
        <w:rPr>
          <w:rFonts w:ascii="Lato" w:hAnsi="Lato" w:cs="Arial"/>
        </w:rPr>
        <w:t>układu urologicznego</w:t>
      </w:r>
      <w:r w:rsidRPr="005451A6">
        <w:rPr>
          <w:rFonts w:ascii="Lato" w:hAnsi="Lato" w:cs="Arial"/>
        </w:rPr>
        <w:t xml:space="preserve"> (</w:t>
      </w:r>
      <w:r w:rsidR="00364278">
        <w:rPr>
          <w:rFonts w:ascii="Lato" w:hAnsi="Lato" w:cs="Arial"/>
        </w:rPr>
        <w:t>5</w:t>
      </w:r>
      <w:r w:rsidRPr="005451A6">
        <w:rPr>
          <w:rFonts w:ascii="Lato" w:hAnsi="Lato" w:cs="Arial"/>
        </w:rPr>
        <w:t xml:space="preserve">) oraz nowotworach układu </w:t>
      </w:r>
      <w:r w:rsidR="00516499" w:rsidRPr="005451A6">
        <w:rPr>
          <w:rFonts w:ascii="Lato" w:hAnsi="Lato" w:cs="Arial"/>
        </w:rPr>
        <w:t>pokarmowego</w:t>
      </w:r>
      <w:r w:rsidRPr="005451A6">
        <w:rPr>
          <w:rFonts w:ascii="Lato" w:hAnsi="Lato" w:cs="Arial"/>
        </w:rPr>
        <w:t xml:space="preserve"> (</w:t>
      </w:r>
      <w:r w:rsidR="00516499" w:rsidRPr="005451A6">
        <w:rPr>
          <w:rFonts w:ascii="Lato" w:hAnsi="Lato" w:cs="Arial"/>
        </w:rPr>
        <w:t>2</w:t>
      </w:r>
      <w:r w:rsidRPr="005451A6">
        <w:rPr>
          <w:rFonts w:ascii="Lato" w:hAnsi="Lato" w:cs="Arial"/>
        </w:rPr>
        <w:t>)</w:t>
      </w:r>
      <w:r w:rsidR="005451A6" w:rsidRPr="005451A6">
        <w:rPr>
          <w:rFonts w:ascii="Lato" w:hAnsi="Lato" w:cs="Arial"/>
        </w:rPr>
        <w:t>, nowotworach skóry (2) i nowotworach ginekologicznych (2)</w:t>
      </w:r>
      <w:r w:rsidRPr="005451A6">
        <w:rPr>
          <w:rFonts w:ascii="Lato" w:hAnsi="Lato" w:cs="Arial"/>
        </w:rPr>
        <w:t xml:space="preserve">. </w:t>
      </w:r>
    </w:p>
    <w:p w14:paraId="20BA6E7D" w14:textId="1701BCA0" w:rsidR="00202697" w:rsidRDefault="00202697" w:rsidP="00202697">
      <w:pPr>
        <w:autoSpaceDE w:val="0"/>
        <w:spacing w:after="0" w:line="360" w:lineRule="auto"/>
        <w:jc w:val="both"/>
        <w:rPr>
          <w:rFonts w:ascii="Lato" w:hAnsi="Lato" w:cs="Arial"/>
        </w:rPr>
      </w:pPr>
      <w:r w:rsidRPr="005451A6">
        <w:rPr>
          <w:rFonts w:ascii="Lato" w:hAnsi="Lato" w:cs="Arial"/>
        </w:rPr>
        <w:t xml:space="preserve">Najwięcej nowych cząsteczko - wskazań nieonkologicznych w 2024 r. obserwujemy w </w:t>
      </w:r>
      <w:r w:rsidR="005451A6" w:rsidRPr="005451A6">
        <w:rPr>
          <w:rFonts w:ascii="Lato" w:hAnsi="Lato" w:cs="Arial"/>
        </w:rPr>
        <w:t>ginekologii</w:t>
      </w:r>
      <w:r w:rsidRPr="005451A6">
        <w:rPr>
          <w:rFonts w:ascii="Lato" w:hAnsi="Lato" w:cs="Arial"/>
        </w:rPr>
        <w:t xml:space="preserve"> (</w:t>
      </w:r>
      <w:r w:rsidR="005451A6" w:rsidRPr="005451A6">
        <w:rPr>
          <w:rFonts w:ascii="Lato" w:hAnsi="Lato" w:cs="Arial"/>
        </w:rPr>
        <w:t>11</w:t>
      </w:r>
      <w:r w:rsidRPr="005451A6">
        <w:rPr>
          <w:rFonts w:ascii="Lato" w:hAnsi="Lato" w:cs="Arial"/>
        </w:rPr>
        <w:t xml:space="preserve">), </w:t>
      </w:r>
      <w:r w:rsidR="005451A6" w:rsidRPr="005451A6">
        <w:rPr>
          <w:rFonts w:ascii="Lato" w:hAnsi="Lato" w:cs="Arial"/>
        </w:rPr>
        <w:t>neurologii</w:t>
      </w:r>
      <w:r w:rsidR="00516499" w:rsidRPr="005451A6">
        <w:rPr>
          <w:rFonts w:ascii="Lato" w:hAnsi="Lato" w:cs="Arial"/>
        </w:rPr>
        <w:t xml:space="preserve"> (</w:t>
      </w:r>
      <w:r w:rsidR="005451A6" w:rsidRPr="005451A6">
        <w:rPr>
          <w:rFonts w:ascii="Lato" w:hAnsi="Lato" w:cs="Arial"/>
        </w:rPr>
        <w:t>9</w:t>
      </w:r>
      <w:r w:rsidR="00516499" w:rsidRPr="005451A6">
        <w:rPr>
          <w:rFonts w:ascii="Lato" w:hAnsi="Lato" w:cs="Arial"/>
        </w:rPr>
        <w:t xml:space="preserve">) oraz </w:t>
      </w:r>
      <w:r w:rsidR="005451A6" w:rsidRPr="005451A6">
        <w:rPr>
          <w:rFonts w:ascii="Lato" w:hAnsi="Lato" w:cs="Arial"/>
        </w:rPr>
        <w:t xml:space="preserve">diabetologii </w:t>
      </w:r>
      <w:r w:rsidRPr="005451A6">
        <w:rPr>
          <w:rFonts w:ascii="Lato" w:hAnsi="Lato" w:cs="Arial"/>
        </w:rPr>
        <w:t>(</w:t>
      </w:r>
      <w:r w:rsidR="005451A6" w:rsidRPr="005451A6">
        <w:rPr>
          <w:rFonts w:ascii="Lato" w:hAnsi="Lato" w:cs="Arial"/>
        </w:rPr>
        <w:t>8</w:t>
      </w:r>
      <w:r w:rsidRPr="005451A6">
        <w:rPr>
          <w:rFonts w:ascii="Lato" w:hAnsi="Lato" w:cs="Arial"/>
        </w:rPr>
        <w:t>)</w:t>
      </w:r>
      <w:r w:rsidR="00516499" w:rsidRPr="005451A6">
        <w:rPr>
          <w:rFonts w:ascii="Lato" w:hAnsi="Lato" w:cs="Arial"/>
        </w:rPr>
        <w:t>.</w:t>
      </w:r>
    </w:p>
    <w:p w14:paraId="6B466A0C" w14:textId="77777777" w:rsidR="004D093B" w:rsidRDefault="004D093B">
      <w:pPr>
        <w:suppressAutoHyphens w:val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38E7C447" w14:textId="15DB94E0" w:rsidR="00127452" w:rsidRDefault="005451A6">
      <w:pPr>
        <w:suppressAutoHyphens w:val="0"/>
        <w:rPr>
          <w:noProof/>
        </w:rPr>
      </w:pPr>
      <w:r>
        <w:rPr>
          <w:noProof/>
        </w:rPr>
        <w:lastRenderedPageBreak/>
        <w:drawing>
          <wp:inline distT="0" distB="0" distL="0" distR="0" wp14:anchorId="0E1AC332" wp14:editId="3054D4C7">
            <wp:extent cx="4352925" cy="2910205"/>
            <wp:effectExtent l="0" t="0" r="9525" b="4445"/>
            <wp:docPr id="23194867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C6074ED-C953-414E-8657-6D9838D8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27834D4" wp14:editId="40C98B86">
            <wp:extent cx="4362450" cy="2905125"/>
            <wp:effectExtent l="0" t="0" r="0" b="9525"/>
            <wp:docPr id="102308424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EEC769-7086-49DE-8BAD-8CC35BDC18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0285F"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F55F3CE" wp14:editId="31430D8C">
            <wp:extent cx="4343400" cy="2752725"/>
            <wp:effectExtent l="0" t="0" r="0" b="9525"/>
            <wp:docPr id="53465668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A79078D-806F-4958-9948-92A3449EF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37B6C">
        <w:rPr>
          <w:noProof/>
        </w:rPr>
        <w:t xml:space="preserve"> </w:t>
      </w:r>
      <w:r w:rsidR="00F37B6C">
        <w:rPr>
          <w:noProof/>
        </w:rPr>
        <w:drawing>
          <wp:inline distT="0" distB="0" distL="0" distR="0" wp14:anchorId="0C0D7332" wp14:editId="273A7ED0">
            <wp:extent cx="4368800" cy="2759075"/>
            <wp:effectExtent l="0" t="0" r="12700" b="3175"/>
            <wp:docPr id="86358945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E0023C9-8891-4322-B9CF-5D2C6FA255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06678" w14:textId="6B7EEC54" w:rsidR="00AD08C5" w:rsidRPr="004D093B" w:rsidRDefault="00127452" w:rsidP="00127452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noProof/>
        </w:rPr>
        <w:br w:type="page"/>
      </w:r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="006A7DCE"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496"/>
        <w:gridCol w:w="2062"/>
        <w:gridCol w:w="1867"/>
        <w:gridCol w:w="3198"/>
        <w:gridCol w:w="4871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504D78" w:rsidRPr="004D093B" w14:paraId="41B567AC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68FD1566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1961207F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3E286521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2EBC7749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0F38EC43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15CC776C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niwolumab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opartą o związki platyny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chorych w leczeniu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neoadjuwantowym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operacyjnego,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niedrobnokomórkowego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raka płuca (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NDRP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kwalifikujących się do radykalnej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resekcji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chirurgicznej z wysokim ryzykiem nawrotu, u których ekspresja PD-L1 ≥ 1%.</w:t>
            </w:r>
          </w:p>
        </w:tc>
      </w:tr>
      <w:tr w:rsidR="00504D78" w:rsidRPr="004D093B" w14:paraId="7B60364B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FB9" w14:textId="15170971" w:rsidR="00504D78" w:rsidRPr="004D09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820A" w14:textId="3BF77C06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Lunsumio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E90" w14:textId="205DCAAC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mosunetuzumab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C791" w14:textId="4934EFD1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C392" w14:textId="0EE0FBC5" w:rsidR="00504D78" w:rsidRPr="00DA4459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975E7">
              <w:rPr>
                <w:rFonts w:ascii="Lato" w:hAnsi="Lato" w:cstheme="majorHAnsi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7C0C" w14:textId="4DCCF464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od </w:t>
            </w:r>
            <w:r w:rsidR="00D46DBA">
              <w:rPr>
                <w:rFonts w:ascii="Lato" w:hAnsi="Lato" w:cstheme="majorHAnsi"/>
                <w:color w:val="000000"/>
                <w:sz w:val="18"/>
                <w:szCs w:val="18"/>
              </w:rPr>
              <w:t>III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dorosłych chorych na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chłoniaka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grudkowego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mosunetuzumabem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u których uprzednio zastosowano co najmniej dwie linie leczenia, w tym przeciwciało anty-CD20 i lek alkilujący</w:t>
            </w:r>
            <w:r w:rsidR="00D46DBA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9DF6CDD" w14:textId="4DCEBD23" w:rsidR="00504D78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D46DBA" w:rsidRPr="004D093B" w14:paraId="4193F70D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4A8C0D3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47A0DB2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Nubeqa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0105690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darolutamid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479BDC6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164577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4A48E672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darolutamidem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skojarzeniu z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deprywacją androgenową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hormonowra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żliwego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 z przerzutami (ang.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34137848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3230AD21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1390209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778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Xofigo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1B4041FD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377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dichlorek</w:t>
            </w:r>
            <w:proofErr w:type="spellEnd"/>
            <w:r w:rsidRPr="00A377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radu-223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0B3052AB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57E00FBC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49C8802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dichlor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kiem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radu-223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oporn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ego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kastrację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przerzutami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(ang.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castration-resistant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), z objawowymi przerzutami do kości bez stwierdzonych przerzutów trzewnych,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progresj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uprzednim zastosowaniu, z powodu przerzutowego raka gruczołu krokowego,  hormonoterapii lekiem nowej generacji (nowe antyandrogeny lub octan </w:t>
            </w:r>
            <w:proofErr w:type="spellStart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abirateronu</w:t>
            </w:r>
            <w:proofErr w:type="spellEnd"/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) i chemioterapii albo brak możliwości lub  medycznego uzasadnienia do ich zastosowania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79F6918C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C2F934B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5.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426BB2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Xtandi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5CE63CE7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enzalutamid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07BB482E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36CCD38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3778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69BD8079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enzalutamidem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skojarzeniu z deprywacją androgenową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chorych na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hormonowra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żliwego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raka</w:t>
            </w:r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gruczołu krokowego z przerzutami (ang.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D46DBA" w:rsidRPr="004D093B" w14:paraId="2EAEEA58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583DB425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68223FEA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Poteligeo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04FAE202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mogamulizumab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27BD0CB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B.66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1A9DA5D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5975E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T-KOMÓRKOWE (ICD-10: C84)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0F62" w14:textId="2F10E4B5" w:rsidR="00D46DBA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od II linii</w:t>
            </w:r>
            <w:r w:rsidRPr="001667F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chorych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ziarniniaka grzybiastego lub zespół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Sezary’ego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mogamulizumabem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u których zastosowano wcześniej co najmniej jedną linię leczenia systemowego.</w:t>
            </w:r>
          </w:p>
          <w:p w14:paraId="7CDFBEFD" w14:textId="2890DEA3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667F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46DBA" w:rsidRPr="004D093B" w14:paraId="189EA4B0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51C6968A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33C7F947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Kimmtrak</w:t>
            </w:r>
            <w:proofErr w:type="spellEnd"/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19B2EA64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tebentafusp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7FD6D0BF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B.163.FM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F132818" w:rsidR="00D46DBA" w:rsidRPr="004D093B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CZERNIAKA BŁONY NACZYNIOWEJ OKA (ICD-10: C69, C69.3, C69.4)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2F3" w14:textId="23BD349E" w:rsidR="00D46DBA" w:rsidRDefault="00D46DBA" w:rsidP="00D46DB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tebentafuspem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chorych na przerzutowego lub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nieresekcyjnego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czerniaka błony naczyniowej oka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>potwierdzon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obecnoś</w:t>
            </w:r>
            <w:r w:rsidR="009323CD">
              <w:rPr>
                <w:rFonts w:ascii="Lato" w:hAnsi="Lato" w:cstheme="majorHAnsi"/>
                <w:color w:val="000000"/>
                <w:sz w:val="18"/>
                <w:szCs w:val="18"/>
              </w:rPr>
              <w:t>cią</w:t>
            </w:r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antygenu </w:t>
            </w:r>
            <w:proofErr w:type="spellStart"/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>leukocytarnego</w:t>
            </w:r>
            <w:proofErr w:type="spellEnd"/>
            <w:r w:rsidR="001566B9" w:rsidRP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(HLA)-A*02:01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02090BA" w14:textId="77777777" w:rsidR="001566B9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 - Technologia lekowa o wysokim stopniu innowacyjności)</w:t>
            </w:r>
          </w:p>
          <w:p w14:paraId="0B1AA7A9" w14:textId="57D8170C" w:rsidR="001566B9" w:rsidRPr="00B5170E" w:rsidRDefault="003905D7" w:rsidP="00B517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3905D7" w:rsidRPr="004D093B" w14:paraId="1E009573" w14:textId="77777777" w:rsidTr="00504D78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8B68" w14:textId="0D3FA6CA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070C" w14:textId="38EF38C6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3146" w14:textId="7FF3F95D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octan </w:t>
            </w: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abirateronu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2311" w14:textId="2B103AC9" w:rsidR="003905D7" w:rsidRP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05D7">
              <w:rPr>
                <w:rFonts w:ascii="Lato" w:hAnsi="Lato" w:cstheme="majorHAnsi"/>
                <w:color w:val="000000"/>
                <w:sz w:val="18"/>
                <w:szCs w:val="18"/>
              </w:rPr>
              <w:t>C.87.b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3ECF" w14:textId="28AC077D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OCTAN ABIRATERONU</w:t>
            </w:r>
          </w:p>
        </w:tc>
        <w:tc>
          <w:tcPr>
            <w:tcW w:w="1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11BA" w14:textId="77777777" w:rsid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wskazań refundacyjnych o leczenie chorych </w:t>
            </w:r>
            <w:r w:rsidRPr="00973615">
              <w:rPr>
                <w:rFonts w:ascii="Lato" w:hAnsi="Lato" w:cstheme="majorHAnsi"/>
                <w:color w:val="000000"/>
                <w:sz w:val="18"/>
                <w:szCs w:val="18"/>
              </w:rPr>
              <w:t>w ramach uzupełniającej hormonoterapii w skojarzeniu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73615">
              <w:rPr>
                <w:rFonts w:ascii="Lato" w:hAnsi="Lato" w:cstheme="majorHAnsi"/>
                <w:color w:val="000000"/>
                <w:sz w:val="18"/>
                <w:szCs w:val="18"/>
              </w:rPr>
              <w:t>terapią supresji androgenowej, z grupy wysokiego ryzyka po radioterapii radykalnej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61CD59F2" w14:textId="02FCFE50" w:rsidR="003905D7" w:rsidRPr="003905D7" w:rsidRDefault="003905D7" w:rsidP="003905D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3905D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1474"/>
        <w:gridCol w:w="2364"/>
        <w:gridCol w:w="1867"/>
        <w:gridCol w:w="3119"/>
        <w:gridCol w:w="4669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4D093B" w14:paraId="1394CD71" w14:textId="77777777" w:rsidTr="009509F5">
        <w:trPr>
          <w:cantSplit/>
          <w:trHeight w:val="628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509F5" w:rsidRPr="004D093B" w14:paraId="641E2DE2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D1C" w14:textId="0B662CAD" w:rsidR="009509F5" w:rsidRPr="004D093B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B6C4" w14:textId="4D903E1D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Hemlibra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771D" w14:textId="31ABAB0A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emicizumab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5B64" w14:textId="21CD6392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EC95" w14:textId="5F718FB6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BA367D">
              <w:rPr>
                <w:rFonts w:ascii="Lato" w:hAnsi="Lato" w:cstheme="majorHAnsi"/>
                <w:color w:val="000000"/>
                <w:sz w:val="18"/>
                <w:szCs w:val="18"/>
              </w:rPr>
              <w:t>ZAPOBIEGANIE KRWAWIENIOM U DZIECI Z HEMOFILIĄ A I B (ICD-10: D66, D67)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1163" w14:textId="0804F863" w:rsidR="009509F5" w:rsidRDefault="00EE73A4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Pierwszy, nieczynnikowy lek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podania podskórnego, stosownego w ramach profilaktyki krwawień 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dzieci i młodzieży 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>chor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ujących na</w:t>
            </w:r>
            <w:r w:rsidR="009509F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ciężką hemofilią A.</w:t>
            </w:r>
          </w:p>
          <w:p w14:paraId="449A077D" w14:textId="64DEB564" w:rsidR="009509F5" w:rsidRPr="00496AA9" w:rsidRDefault="009509F5" w:rsidP="009509F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40C4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1566B9" w:rsidRPr="004D093B" w14:paraId="7522F87A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6898F934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41497CF6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Produodopa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C650078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foslewodopa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foskarbidopa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619B7BCF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B.90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24E99323" w:rsidR="001566B9" w:rsidRPr="004D093B" w:rsidRDefault="001566B9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86DC5">
              <w:rPr>
                <w:rFonts w:ascii="Lato" w:hAnsi="Lato" w:cstheme="majorHAnsi"/>
                <w:color w:val="000000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15616421" w:rsidR="001566B9" w:rsidRPr="004D093B" w:rsidRDefault="00330083" w:rsidP="001566B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Kolejna opcja terapeutyczna w leczeniu pacjentów z zaawansowaną chorobą Parkinsona. 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Lek w postaci roztworu do ciągłej infuzji podskórnej do podawania przez 24h na dobę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–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alternatyw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 technologia 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dla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finansowanej obecnie</w:t>
            </w:r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lewodopy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>karbidopy</w:t>
            </w:r>
            <w:proofErr w:type="spellEnd"/>
            <w:r w:rsidR="001566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postaci żelu dojelitowego podawanego przez przezskórną endoskopową gastrostomię.</w:t>
            </w:r>
          </w:p>
        </w:tc>
      </w:tr>
      <w:tr w:rsidR="00EE73A4" w:rsidRPr="004D093B" w14:paraId="5C1FF5AC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9FC7" w14:textId="5B7A8F60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6492" w14:textId="6B08B805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Evenity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EF43" w14:textId="48887FAB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romosozumab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95FD" w14:textId="379693AB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B.160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CAAD" w14:textId="26ABEB14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PACJENTEK Z CIĘŻKĄ POSTACIĄ OSTEOPOROZY POMENOPAUZALNEJ </w:t>
            </w:r>
            <w:r w:rsidRPr="00900B7B">
              <w:rPr>
                <w:rFonts w:ascii="Lato" w:hAnsi="Lato" w:cstheme="majorHAnsi"/>
                <w:color w:val="000000"/>
                <w:sz w:val="18"/>
                <w:szCs w:val="18"/>
              </w:rPr>
              <w:t>(ICD-10: M80.0)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1D95" w14:textId="77777777" w:rsidR="00EE73A4" w:rsidRPr="00AB70FA" w:rsidRDefault="00EE73A4" w:rsidP="00EE73A4">
            <w:pPr>
              <w:widowControl w:val="0"/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romosozumabem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pacjentek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wieku </w:t>
            </w:r>
            <w:r>
              <w:rPr>
                <w:rStyle w:val="cf01"/>
                <w:lang w:val="en"/>
              </w:rPr>
              <w:t>≥</w:t>
            </w:r>
            <w:r>
              <w:rPr>
                <w:rStyle w:val="cf11"/>
                <w:lang w:val="en"/>
              </w:rPr>
              <w:t xml:space="preserve">60 </w:t>
            </w:r>
            <w:proofErr w:type="spellStart"/>
            <w:r>
              <w:rPr>
                <w:rStyle w:val="cf11"/>
                <w:lang w:val="en"/>
              </w:rPr>
              <w:t>lat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ze zdiagnozowaną osteoporozą 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pomenopauzalną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oraz:</w:t>
            </w:r>
          </w:p>
          <w:p w14:paraId="15E26F8D" w14:textId="77777777" w:rsidR="00A20F7F" w:rsidRDefault="00EE73A4" w:rsidP="00A20F7F">
            <w:pPr>
              <w:pStyle w:val="Akapitzlist"/>
              <w:widowControl w:val="0"/>
              <w:numPr>
                <w:ilvl w:val="0"/>
                <w:numId w:val="32"/>
              </w:numPr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T-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≤ -3,0 (pomiar bliższego końca kości udowej lub części lędźwiowej kręgosłupa) oraz udokumentowane przynajmniej jedno wcześniejsze złamanie niskoenergetyczne w wywiadzie w lokalizacji głównej; </w:t>
            </w:r>
          </w:p>
          <w:p w14:paraId="0F491BC8" w14:textId="6D209434" w:rsidR="00EE73A4" w:rsidRPr="00A20F7F" w:rsidRDefault="00EE73A4" w:rsidP="00A20F7F">
            <w:pPr>
              <w:pStyle w:val="Akapitzlist"/>
              <w:widowControl w:val="0"/>
              <w:suppressAutoHyphens w:val="0"/>
              <w:autoSpaceDE w:val="0"/>
              <w:adjustRightInd w:val="0"/>
              <w:spacing w:after="60" w:line="276" w:lineRule="auto"/>
              <w:ind w:left="567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20F7F">
              <w:rPr>
                <w:rFonts w:ascii="Lato" w:hAnsi="Lato" w:cstheme="majorHAnsi"/>
                <w:color w:val="000000"/>
                <w:sz w:val="18"/>
                <w:szCs w:val="18"/>
              </w:rPr>
              <w:t>lub</w:t>
            </w:r>
          </w:p>
          <w:p w14:paraId="4872186D" w14:textId="02BB845A" w:rsidR="00EE73A4" w:rsidRPr="00496AA9" w:rsidRDefault="00EE73A4" w:rsidP="00A20F7F">
            <w:pPr>
              <w:pStyle w:val="Akapitzlist"/>
              <w:widowControl w:val="0"/>
              <w:numPr>
                <w:ilvl w:val="0"/>
                <w:numId w:val="32"/>
              </w:numPr>
              <w:suppressAutoHyphens w:val="0"/>
              <w:autoSpaceDE w:val="0"/>
              <w:adjustRightInd w:val="0"/>
              <w:spacing w:after="60" w:line="276" w:lineRule="auto"/>
              <w:jc w:val="both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T-</w:t>
            </w:r>
            <w:proofErr w:type="spellStart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>score</w:t>
            </w:r>
            <w:proofErr w:type="spellEnd"/>
            <w:r w:rsidRPr="00AB70F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≤ -2,5 (pomiar bliższego końca kości udowej lub części lędźwiowej kręgosłupa) oraz udokumentowane złamanie, które nastąpiło w ciągu ostatnich 12 miesięcy w bliższym końcu kości udowej lub kręgów oraz udokumentowane przynajmniej jedno wcześniejsze złamanie niskoenergetyczne w wywiadzie w lokalizacji głównej.</w:t>
            </w:r>
          </w:p>
        </w:tc>
      </w:tr>
      <w:tr w:rsidR="00EE73A4" w:rsidRPr="004D093B" w14:paraId="5ED86F3E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02D8A21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43E6ABC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11066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Cosentyx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35887ED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1066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1066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ukinumab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76633D07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B.161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8291CA5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ROPNYM ZAPALENIEM APOKRYNOWYCH GRUCZOŁÓW POTOWYCH (HS) (ICD-10: L 73.2)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1912D39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dorosłych z ropnym zapaleniem </w:t>
            </w:r>
            <w:proofErr w:type="spellStart"/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apokrynowych</w:t>
            </w:r>
            <w:proofErr w:type="spellEnd"/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gruczołów potowych (HS) -</w:t>
            </w:r>
            <w:r w:rsidR="00BC433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10663">
              <w:rPr>
                <w:rFonts w:ascii="Lato" w:hAnsi="Lato" w:cstheme="majorHAnsi"/>
                <w:color w:val="000000"/>
                <w:sz w:val="18"/>
                <w:szCs w:val="18"/>
              </w:rPr>
              <w:t>postać umiarkowana i ciężka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E73A4" w:rsidRPr="004D093B" w14:paraId="5CE97390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53132BFC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257558F6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Vyndaqel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1E2A5D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tafamidis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0F01061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35538A2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E85, I42.1)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E64A" w14:textId="07EE7167" w:rsidR="00EE73A4" w:rsidRDefault="00330083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>kardiomiopatii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przebiegu </w:t>
            </w:r>
            <w:proofErr w:type="spellStart"/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amyloidozy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transtyretynowej</w:t>
            </w:r>
            <w:proofErr w:type="spellEnd"/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(ATTR-CM)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EE73A4"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u dorosłych pacjentów</w:t>
            </w:r>
            <w:r w:rsidR="00EE73A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Tafamidis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selektywny stabilizator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transtyretyny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0AFE6806" w14:textId="3B7A82D8" w:rsidR="00EE73A4" w:rsidRPr="004D093B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Pr="0025581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E73A4" w:rsidRPr="004D093B" w14:paraId="26F17574" w14:textId="77777777" w:rsidTr="009509F5">
        <w:trPr>
          <w:cantSplit/>
          <w:trHeight w:val="20"/>
        </w:trPr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81F" w14:textId="7CA5CE03" w:rsidR="00EE73A4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8903" w14:textId="65FA69C4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>Camzyos</w:t>
            </w:r>
            <w:proofErr w:type="spellEnd"/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F35C" w14:textId="6F999895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ma</w:t>
            </w:r>
            <w:r w:rsidR="00330083">
              <w:rPr>
                <w:rFonts w:ascii="Lato" w:hAnsi="Lato" w:cstheme="majorHAnsi"/>
                <w:i/>
                <w:iCs/>
                <w:sz w:val="18"/>
                <w:szCs w:val="18"/>
              </w:rPr>
              <w:t>w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</w:t>
            </w:r>
            <w:r w:rsidR="00330083">
              <w:rPr>
                <w:rFonts w:ascii="Lato" w:hAnsi="Lato" w:cstheme="majorHAnsi"/>
                <w:i/>
                <w:iCs/>
                <w:sz w:val="18"/>
                <w:szCs w:val="18"/>
              </w:rPr>
              <w:t>k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amten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ADDE6" w14:textId="0672785F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935A" w14:textId="70807806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-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10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: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E85, I42.1)</w:t>
            </w:r>
          </w:p>
        </w:tc>
        <w:tc>
          <w:tcPr>
            <w:tcW w:w="1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B285" w14:textId="6187B16D" w:rsidR="00EE73A4" w:rsidRPr="00496AA9" w:rsidRDefault="00EE73A4" w:rsidP="00EE73A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</w:t>
            </w:r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objawowej (klasa II–III NYHA) </w:t>
            </w:r>
            <w:proofErr w:type="spellStart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kardiomiopatii</w:t>
            </w:r>
            <w:proofErr w:type="spellEnd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przerostowej zawężającej (</w:t>
            </w:r>
            <w:proofErr w:type="spellStart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oHCM</w:t>
            </w:r>
            <w:proofErr w:type="spellEnd"/>
            <w:r w:rsidRPr="0025581B">
              <w:rPr>
                <w:rFonts w:ascii="Lato" w:hAnsi="Lato" w:cstheme="majorHAnsi"/>
                <w:color w:val="000000"/>
                <w:sz w:val="18"/>
                <w:szCs w:val="18"/>
              </w:rPr>
              <w:t>) u dorosłych pacjentów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Ma</w:t>
            </w:r>
            <w:r w:rsidR="004B0695"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="004B0695">
              <w:rPr>
                <w:rFonts w:ascii="Lato" w:hAnsi="Lato" w:cstheme="majorHAnsi"/>
                <w:color w:val="000000"/>
                <w:sz w:val="18"/>
                <w:szCs w:val="18"/>
              </w:rPr>
              <w:t>k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amten</w:t>
            </w:r>
            <w:proofErr w:type="spellEnd"/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to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selektywny inhibitor miozyny sercowej, zmniejszający kurczliwość mięśnia sercowego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04D78" w:rsidRPr="004D093B" w14:paraId="4D9E9A2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9A41" w14:textId="6A95A564" w:rsidR="00504D78" w:rsidRDefault="00BF013B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18D" w14:textId="613E9EFD" w:rsidR="00504D78" w:rsidRPr="00BF013B" w:rsidRDefault="00504D78" w:rsidP="00504D7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sz w:val="18"/>
                <w:szCs w:val="18"/>
              </w:rPr>
              <w:t>B.56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0211" w14:textId="3A662734" w:rsidR="00504D78" w:rsidRPr="00A1146C" w:rsidRDefault="00504D78" w:rsidP="00504D78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857C69">
              <w:rPr>
                <w:rFonts w:ascii="Lato" w:hAnsi="Lato"/>
                <w:bCs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9D4" w14:textId="58A48063" w:rsidR="00504D78" w:rsidRPr="00A1146C" w:rsidRDefault="00504D78" w:rsidP="00504D78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Rozszerzenie wskazania refundacyjnego dla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apalutamidu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 pacjentów z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dużym obciążeni</w:t>
            </w:r>
            <w:r>
              <w:rPr>
                <w:rFonts w:ascii="Lato" w:hAnsi="Lato" w:cstheme="majorHAnsi"/>
                <w:sz w:val="18"/>
                <w:szCs w:val="18"/>
              </w:rPr>
              <w:t>em chorobą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przerzutową  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(z ang. high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v</w:t>
            </w:r>
            <w:r>
              <w:rPr>
                <w:rFonts w:ascii="Lato" w:hAnsi="Lato" w:cstheme="majorHAnsi"/>
                <w:sz w:val="18"/>
                <w:szCs w:val="18"/>
              </w:rPr>
              <w:t>ol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>ume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disease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chorych </w:t>
            </w:r>
            <w:r w:rsidRPr="00857C69">
              <w:rPr>
                <w:rFonts w:ascii="Lato" w:hAnsi="Lato" w:cstheme="majorHAnsi"/>
                <w:sz w:val="18"/>
                <w:szCs w:val="18"/>
              </w:rPr>
              <w:t xml:space="preserve">na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hormonowrażliwego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raka gruczołu krokowego z przerzutami (ang.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metastatic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hormone-sensitive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prostate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cancer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proofErr w:type="spellStart"/>
            <w:r w:rsidRPr="00857C69">
              <w:rPr>
                <w:rFonts w:ascii="Lato" w:hAnsi="Lato" w:cstheme="majorHAnsi"/>
                <w:sz w:val="18"/>
                <w:szCs w:val="18"/>
              </w:rPr>
              <w:t>mHSPC</w:t>
            </w:r>
            <w:proofErr w:type="spellEnd"/>
            <w:r w:rsidRPr="00857C69">
              <w:rPr>
                <w:rFonts w:ascii="Lato" w:hAnsi="Lato" w:cstheme="majorHAnsi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oraz 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wprowadzenie w kryteriach kwalifikacji zapisu  </w:t>
            </w:r>
            <w:r>
              <w:rPr>
                <w:rFonts w:ascii="Lato" w:hAnsi="Lato" w:cstheme="majorHAnsi"/>
                <w:sz w:val="18"/>
                <w:szCs w:val="18"/>
              </w:rPr>
              <w:t>„z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akończone leczenie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albo decyzja lekarza o odstąpieniu od stosowania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docetakselu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wraz z jej uzasadnieniem</w:t>
            </w:r>
            <w:r w:rsidR="004B0695">
              <w:rPr>
                <w:rFonts w:ascii="Lato" w:hAnsi="Lato" w:cstheme="majorHAnsi"/>
                <w:sz w:val="18"/>
                <w:szCs w:val="18"/>
              </w:rPr>
              <w:t>”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(w przypadku leczenia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apalutamidem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albo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enzalutamidem</w:t>
            </w:r>
            <w:proofErr w:type="spellEnd"/>
            <w:r w:rsidRPr="00224104">
              <w:rPr>
                <w:rFonts w:ascii="Lato" w:hAnsi="Lato" w:cstheme="majorHAnsi"/>
                <w:sz w:val="18"/>
                <w:szCs w:val="18"/>
              </w:rPr>
              <w:t>)</w:t>
            </w:r>
            <w:r w:rsidR="00330083">
              <w:rPr>
                <w:rFonts w:ascii="Lato" w:hAnsi="Lato" w:cstheme="majorHAnsi"/>
                <w:sz w:val="18"/>
                <w:szCs w:val="18"/>
              </w:rPr>
              <w:t xml:space="preserve">,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zamiast </w:t>
            </w:r>
            <w:r w:rsidR="00330083">
              <w:rPr>
                <w:rFonts w:ascii="Lato" w:hAnsi="Lato" w:cstheme="majorHAnsi"/>
                <w:sz w:val="18"/>
                <w:szCs w:val="18"/>
              </w:rPr>
              <w:t xml:space="preserve">dotychczasowego </w:t>
            </w:r>
            <w:r>
              <w:rPr>
                <w:rFonts w:ascii="Lato" w:hAnsi="Lato" w:cstheme="majorHAnsi"/>
                <w:sz w:val="18"/>
                <w:szCs w:val="18"/>
              </w:rPr>
              <w:t>„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>udokumentowan</w:t>
            </w:r>
            <w:r>
              <w:rPr>
                <w:rFonts w:ascii="Lato" w:hAnsi="Lato" w:cstheme="majorHAnsi"/>
                <w:sz w:val="18"/>
                <w:szCs w:val="18"/>
              </w:rPr>
              <w:t>e</w:t>
            </w:r>
            <w:r w:rsidRPr="00224104">
              <w:rPr>
                <w:rFonts w:ascii="Lato" w:hAnsi="Lato" w:cstheme="majorHAnsi"/>
                <w:sz w:val="18"/>
                <w:szCs w:val="18"/>
              </w:rPr>
              <w:t xml:space="preserve"> przeciwskazania do zastosowania </w:t>
            </w:r>
            <w:proofErr w:type="spellStart"/>
            <w:r w:rsidRPr="00224104">
              <w:rPr>
                <w:rFonts w:ascii="Lato" w:hAnsi="Lato" w:cstheme="majorHAnsi"/>
                <w:sz w:val="18"/>
                <w:szCs w:val="18"/>
              </w:rPr>
              <w:t>docetakselu</w:t>
            </w:r>
            <w:proofErr w:type="spellEnd"/>
            <w:r w:rsidR="00330083">
              <w:rPr>
                <w:rFonts w:ascii="Lato" w:hAnsi="Lato" w:cstheme="majorHAnsi"/>
                <w:sz w:val="18"/>
                <w:szCs w:val="18"/>
              </w:rPr>
              <w:t>”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. Dodatkowo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wprowadzono zmiany porządkujące i ujednolicające zapisy</w:t>
            </w:r>
            <w:r w:rsidR="0033008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programu lekowego.</w:t>
            </w:r>
          </w:p>
        </w:tc>
      </w:tr>
      <w:tr w:rsidR="00BF013B" w:rsidRPr="004D093B" w14:paraId="3AC3527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F855" w14:textId="2644B97C" w:rsid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36E" w14:textId="29E2CC6A" w:rsidR="00BF013B" w:rsidRP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1B38" w14:textId="7CC8D53C" w:rsidR="00BF013B" w:rsidRPr="00A1146C" w:rsidRDefault="00BF013B" w:rsidP="00BF013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21A4" w14:textId="3FA9555F" w:rsidR="00BF013B" w:rsidRPr="00A1146C" w:rsidRDefault="00BF013B" w:rsidP="00BF013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Korekta zapisów programu uniemożliwiających włączenie do terapii </w:t>
            </w:r>
            <w:proofErr w:type="spellStart"/>
            <w:r w:rsidRPr="003300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33008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, pacjentów po niepowodzeniu terapii anty-BRAF/anty-MEK.</w:t>
            </w:r>
          </w:p>
        </w:tc>
      </w:tr>
      <w:tr w:rsidR="00BF013B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688BD48E" w:rsidR="00BF013B" w:rsidRPr="004D09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5E3CF567" w:rsidR="00BF013B" w:rsidRPr="00BF013B" w:rsidRDefault="00BF013B" w:rsidP="00BF01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BF01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639F4CBA" w:rsidR="00BF013B" w:rsidRPr="00A1146C" w:rsidRDefault="00BF013B" w:rsidP="00BF013B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NAPADAMI PADACZKOWYMI W PRZEBIEGU ZESPOŁU STWARDNIENIA GUZOWATEGO (ICD-10: G40)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16FEFA86" w:rsidR="00BF013B" w:rsidRPr="00A1146C" w:rsidRDefault="00BF013B" w:rsidP="00BF013B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Aktualizacja kodu ICD-10 w tytule programu lekowego z dotychczas uwzględnionego </w:t>
            </w:r>
            <w:r w:rsidR="006E4E37">
              <w:rPr>
                <w:rFonts w:ascii="Lato" w:hAnsi="Lato" w:cstheme="majorHAnsi"/>
                <w:sz w:val="18"/>
                <w:szCs w:val="18"/>
              </w:rPr>
              <w:t xml:space="preserve">kodu </w:t>
            </w:r>
            <w:r>
              <w:rPr>
                <w:rFonts w:ascii="Lato" w:hAnsi="Lato" w:cstheme="majorHAnsi"/>
                <w:sz w:val="18"/>
                <w:szCs w:val="18"/>
              </w:rPr>
              <w:t>G.40.4 na G.40. Zmiana programu w tym zakresie została poparta stanowiskiem Konsultanta Krajowego oraz AOTMiT.</w:t>
            </w:r>
          </w:p>
        </w:tc>
      </w:tr>
    </w:tbl>
    <w:p w14:paraId="052EAE3A" w14:textId="77777777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287"/>
        <w:gridCol w:w="1983"/>
        <w:gridCol w:w="6664"/>
        <w:gridCol w:w="3363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61127618"/>
            <w:bookmarkEnd w:id="1"/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2B67067F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Nazwa leku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330083" w:rsidRPr="004D093B" w14:paraId="3E62A70D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715584E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21BCD848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Wakix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64C20D9B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pitolisant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390F02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chorujących 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narkolepsję lub narkolepsję z katapleksją potwierdzoną badaniem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>polisomograficznym</w:t>
            </w:r>
            <w:proofErr w:type="spellEnd"/>
            <w:r w:rsidRPr="000536D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wielokrotnym testem latencji snu w ośrodku medycyny snu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6014" w14:textId="7777777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Pierwszy lek w refundacji dedykowany chorym na narkolepsję.</w:t>
            </w:r>
          </w:p>
          <w:p w14:paraId="01C7D8A7" w14:textId="7777777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>itolisant</w:t>
            </w:r>
            <w:proofErr w:type="spellEnd"/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poprawia jakość i wydłuża stan czuwania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D14606">
              <w:rPr>
                <w:rFonts w:ascii="Lato" w:hAnsi="Lato" w:cstheme="majorHAnsi"/>
                <w:color w:val="000000"/>
                <w:sz w:val="18"/>
                <w:szCs w:val="18"/>
              </w:rPr>
              <w:t>oraz zwiększa czujność w ciągu dnia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CC0182" w14:textId="0328027E" w:rsidR="00330083" w:rsidRPr="004D093B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</w:t>
            </w:r>
            <w:r w:rsidR="00330083" w:rsidRPr="000536D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Choroba rzadka</w:t>
            </w: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30083" w:rsidRPr="004D093B" w14:paraId="6E8A1919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53E5AAFB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4BBCCE8A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Abasaglar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254C6ADD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7FAC54E2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9BC4" w14:textId="4E9AF6CB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 wskazań refundacyjnych produktów leczniczych z grupy limitowej 14.3 – Hormony trzustki - długodziałające analogi insulin, p</w:t>
            </w:r>
            <w:r w:rsidR="0067351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olegające 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usunięci</w:t>
            </w:r>
            <w:r w:rsidR="0067351A">
              <w:rPr>
                <w:rFonts w:ascii="Lato" w:hAnsi="Lato" w:cstheme="majorHAnsi"/>
                <w:color w:val="000000"/>
                <w:sz w:val="18"/>
                <w:szCs w:val="18"/>
              </w:rPr>
              <w:t>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zapisów dotyczących konieczności stosowania insulin NPH, występowania hipoglikemii oraz typu cukrzycy.</w:t>
            </w:r>
          </w:p>
          <w:p w14:paraId="10823724" w14:textId="49D865F3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Dopasowanie kryterium wiekowego dla stosowania insuliny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Levemir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zgodnego z Charakterystyką Produktu Leczniczego, tj. od 1 roku życia.</w:t>
            </w:r>
          </w:p>
        </w:tc>
      </w:tr>
      <w:tr w:rsidR="00330083" w:rsidRPr="004D093B" w14:paraId="60EFD408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4E3C" w14:textId="3F121F2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414E" w14:textId="11414F93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Ryzodeg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25E8" w14:textId="11967C6B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aspartum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D37" w14:textId="552FC952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8011" w14:textId="204EB4E1" w:rsidR="00330083" w:rsidRPr="003B6D6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330083" w:rsidRPr="004D093B" w14:paraId="0C276518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30973E36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254B2E53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Toujeo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503CF05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4CDCBFF9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7197DB52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</w:p>
        </w:tc>
      </w:tr>
      <w:tr w:rsidR="00330083" w:rsidRPr="004D093B" w14:paraId="51CD7DCD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BF5C" w14:textId="1E75DBA5" w:rsidR="00330083" w:rsidRPr="004D093B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189F" w14:textId="4BBD9E28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Lantus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4A54" w14:textId="4469312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glarginum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245B1" w14:textId="1290AAF3" w:rsidR="00330083" w:rsidRPr="00752F28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2 lat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7496" w14:textId="15A7E10E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330083" w:rsidRPr="004D093B" w14:paraId="6B947B67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718D" w14:textId="5A2C4EB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F51B" w14:textId="52FADBB5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Levemir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E034" w14:textId="7CCB87C4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detemirum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19" w14:textId="27246251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1 r.ż.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9C" w14:textId="599EBF02" w:rsidR="00330083" w:rsidRPr="0028384A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0083" w:rsidRPr="004D093B" w14:paraId="4DE1700A" w14:textId="77777777" w:rsidTr="00B5170E">
        <w:trPr>
          <w:cantSplit/>
          <w:trHeight w:val="552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AA37" w14:textId="56C366F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D34D" w14:textId="39DC777F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Tresiba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A36" w14:textId="59E11435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insulinum</w:t>
            </w:r>
            <w:proofErr w:type="spellEnd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3743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degludecum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A046" w14:textId="2AD123A0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cukrzycy u dorosłych, młodzieży i dzieci w wieku powyżej 1 r.ż.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4B11" w14:textId="020010A7" w:rsidR="00330083" w:rsidRDefault="00330083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2588211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16AB" w14:textId="5BC6F10F" w:rsidR="0067351A" w:rsidRPr="004D093B" w:rsidRDefault="0067351A" w:rsidP="0067351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7F62" w14:textId="38177F3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7D3C" w14:textId="78789C00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alfa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4E34" w14:textId="4605943A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cykli; Stymulacja wzrostu pęcherzyków jajnikowych u pacjentek w wieku poniżej 40 roku życia ze znacznym niedoborem LH, FSH w skojarzeniu z hormonem luteinizującym LH – refundacja do 3 cykli</w:t>
            </w:r>
          </w:p>
        </w:tc>
        <w:tc>
          <w:tcPr>
            <w:tcW w:w="12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CFD3" w14:textId="27A3C746" w:rsidR="0067351A" w:rsidRPr="008E3572" w:rsidRDefault="0067351A" w:rsidP="006E4E3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Rozszerzenie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wskazania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refundacyjnego o populację pacjentów leczonych w ramach programu wsparcia in vitro. Modyfikacja </w:t>
            </w:r>
            <w:r w:rsidR="006E4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aktualnego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wskazania obejmuje dodanie zapisu „P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acjenci zakwalifikowani do programu polityki zdrowotnej: leczenie niepłodności obejmujące procedury medycznie wspomaganej prokreacji, w tym zapłodnienie pozaustrojowe prowadzone w ośrodku medycznie wspomaganej prokreacji, na lata 2024-2028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”</w:t>
            </w:r>
            <w:r w:rsidR="00DF207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A93C77B" w14:textId="3D834F73" w:rsidR="0067351A" w:rsidRDefault="0067351A" w:rsidP="006E4E3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1F325ABC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7303" w14:textId="6EF0CDF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20AB" w14:textId="5F14420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Elonva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0D26" w14:textId="2735A890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orifollitropin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alfa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3A28" w14:textId="5090619F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w skojarzeniu z antagonistą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GnRH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D1B8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0E132FA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C7F" w14:textId="0888E0D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FEAF" w14:textId="4DFDEB46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Rekovelle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64A7" w14:textId="2137C67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delta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35DB" w14:textId="73C52ACD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EE91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257AC4C3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E573" w14:textId="2E4B98B3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48DE" w14:textId="6E07F26E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Puregon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2930" w14:textId="41EC5ED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beta</w:t>
            </w:r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0DA7" w14:textId="23FE77A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72C4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8BF4A25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11E1" w14:textId="3F64960A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AFC8" w14:textId="74421C6F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Mensinorm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4EFB" w14:textId="2749C071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enotropin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C1AC" w14:textId="53687B1A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standardu)), u których nie stwierdza się wcześniejszych, niedostatecznych odpowiedzi na stymulację owulacji oraz bez nawracających poronień z tym samym partnerem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B472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1626CFD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27E4" w14:textId="3496272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44B9" w14:textId="6A477C4B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Menopur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4074" w14:textId="5378400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enotropin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746A" w14:textId="473C62B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 cykli; Stymulacja wzrostu pęcherzyków jajnikowych u pacjentek w wieku poniżej 40 roku życia ze znacznym niedoborem LH i FSH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CAEB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31A0CB4C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B312" w14:textId="753F349D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27D20" w14:textId="72A500F1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Fostimon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0851" w14:textId="3F22094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</w:t>
            </w:r>
            <w:r w:rsidRPr="008E357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rofollitropin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0783" w14:textId="17CB8A3E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Kontrolowana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hiperstymulacja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u pacjentek w wieku poniżej 40 roku życia w celu uzyskania rozwoju mnogich pęcherzyków,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(wg II standardu)), u których nie stwierdza się wcześniejszych, niedostatecznych odpowiedzi na stymulację owulacji oraz bez nawracających poronień z tym samym partnerem - refundacja do 3 cykli; Brak owulacji u pacjentek w wieku poniżej 40 roku życia, u których nie uzyskano odpowiedzi po zastosowaniu cytrynianu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klomifenu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rokujących uzyskanie prawidłowej odpowiedzi na stymulację jajeczkowania (hormon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folikulotropowy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FSH poniżej 15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mlU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/ml w 2-3 dniu cyklu lub hormon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antymüllerowski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AMH powyżej 0,7 </w:t>
            </w:r>
            <w:proofErr w:type="spellStart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ng</w:t>
            </w:r>
            <w:proofErr w:type="spellEnd"/>
            <w:r w:rsidRPr="008E3572">
              <w:rPr>
                <w:rFonts w:ascii="Lato" w:hAnsi="Lato" w:cstheme="majorHAnsi"/>
                <w:color w:val="000000"/>
                <w:sz w:val="18"/>
                <w:szCs w:val="18"/>
              </w:rPr>
              <w:t>/ml (wg II standardu)) – refundacja do 3 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D846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7B35F188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9C13" w14:textId="0F273F4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8E52" w14:textId="768339FF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Gonapeptyl</w:t>
            </w:r>
            <w:proofErr w:type="spellEnd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Daily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BEB9" w14:textId="2354E4CC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0903C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riptorelin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9E5E" w14:textId="0ADA3503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Desensybilizacja przysadki mózgowej i zapobieganie przedwczesnej owulacji u pacjentek w wieku poniżej 40 roku życia, poddawanych kontrolowanej </w:t>
            </w:r>
            <w:proofErr w:type="spellStart"/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0903C1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-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49DA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5D26032F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97DB" w14:textId="1BA23B1E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9215" w14:textId="703071D4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348C" w14:textId="0D8BC5A2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</w:t>
            </w:r>
            <w:r w:rsidRPr="000903C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anireli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E80D" w14:textId="462995D1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przedwczesnej owulacji u pacjentek w wieku poniżej 40 roku życia, poddawanych kontrolowanej </w:t>
            </w:r>
            <w:proofErr w:type="spellStart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2B0A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67351A" w:rsidRPr="004D093B" w14:paraId="41C75435" w14:textId="77777777" w:rsidTr="0067351A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F226" w14:textId="52D5350B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7E56" w14:textId="44655515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255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Cetrotide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7D9D" w14:textId="7E7DDE84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</w:t>
            </w:r>
            <w:r w:rsidRPr="0081255E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etroreli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ks</w:t>
            </w:r>
            <w:proofErr w:type="spellEnd"/>
          </w:p>
        </w:tc>
        <w:tc>
          <w:tcPr>
            <w:tcW w:w="2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B7BE" w14:textId="3DCE70A1" w:rsidR="0067351A" w:rsidRPr="00C9587D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Zapobieganie przedwczesnej owulacji u pacjentek w wieku poniżej 40 roku życia, poddawanych kontrolowanej </w:t>
            </w:r>
            <w:proofErr w:type="spellStart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>hiperstymulacji</w:t>
            </w:r>
            <w:proofErr w:type="spellEnd"/>
            <w:r w:rsidRPr="0081255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jajników – refundacja do 3 cykli</w:t>
            </w:r>
          </w:p>
        </w:tc>
        <w:tc>
          <w:tcPr>
            <w:tcW w:w="12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7C759" w14:textId="77777777" w:rsidR="0067351A" w:rsidRDefault="0067351A" w:rsidP="003300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bookmarkEnd w:id="2"/>
    </w:tbl>
    <w:p w14:paraId="5FEAC7C3" w14:textId="1E597D96" w:rsidR="0011263C" w:rsidRDefault="0011263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1872841A" w14:textId="2D4D31F9" w:rsidR="009509F5" w:rsidRPr="008E151C" w:rsidRDefault="0011263C" w:rsidP="009509F5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</w:rPr>
        <w:br w:type="page"/>
      </w:r>
      <w:r w:rsidR="009509F5" w:rsidRPr="008E151C">
        <w:rPr>
          <w:rFonts w:ascii="Lato" w:hAnsi="Lato"/>
          <w:b/>
          <w:bCs/>
          <w:color w:val="00B0F0"/>
          <w:sz w:val="28"/>
          <w:szCs w:val="28"/>
        </w:rPr>
        <w:lastRenderedPageBreak/>
        <w:t>POLSKIE LEKI</w:t>
      </w:r>
      <w:r w:rsidR="00090759">
        <w:rPr>
          <w:rFonts w:ascii="Lato" w:hAnsi="Lato"/>
          <w:b/>
          <w:bCs/>
          <w:color w:val="00B0F0"/>
          <w:sz w:val="28"/>
          <w:szCs w:val="28"/>
        </w:rPr>
        <w:t xml:space="preserve"> – KONTYNUACJA</w:t>
      </w:r>
    </w:p>
    <w:p w14:paraId="399D6F0E" w14:textId="77777777" w:rsidR="00207DEE" w:rsidRDefault="00207DEE" w:rsidP="00207DEE">
      <w:pPr>
        <w:spacing w:line="360" w:lineRule="auto"/>
        <w:rPr>
          <w:rFonts w:ascii="Lato" w:hAnsi="Lato"/>
        </w:rPr>
      </w:pPr>
      <w:r>
        <w:rPr>
          <w:rFonts w:ascii="Lato" w:hAnsi="Lato"/>
        </w:rPr>
        <w:t xml:space="preserve">Kontynuując działania w zakresie poszerzania wykazów G1 i G2 dotyczących leków wytwarzanych na terytorium Rzeczypospolitej Polskiej lub wytwarzanych z wykorzystaniem substancji czynnej wytwarzanej na terytorium Rzeczypospolitej Polskiej, status „polskiego leku” nadano dla kolejnych </w:t>
      </w:r>
      <w:r>
        <w:rPr>
          <w:rFonts w:ascii="Lato" w:hAnsi="Lato"/>
          <w:b/>
          <w:bCs/>
        </w:rPr>
        <w:t>143 leków</w:t>
      </w:r>
      <w:r>
        <w:rPr>
          <w:rFonts w:ascii="Lato" w:hAnsi="Lato"/>
        </w:rPr>
        <w:t xml:space="preserve"> rozumianych jako indywidualne kody GTIN. </w:t>
      </w:r>
    </w:p>
    <w:p w14:paraId="67BA2ED8" w14:textId="77777777" w:rsidR="00207DEE" w:rsidRPr="00207DEE" w:rsidRDefault="00207DEE" w:rsidP="00207DEE">
      <w:pPr>
        <w:pStyle w:val="Akapitzlist"/>
        <w:numPr>
          <w:ilvl w:val="0"/>
          <w:numId w:val="36"/>
        </w:numPr>
        <w:spacing w:line="360" w:lineRule="auto"/>
        <w:rPr>
          <w:rFonts w:ascii="Lato" w:hAnsi="Lato"/>
          <w14:ligatures w14:val="standardContextual"/>
        </w:rPr>
      </w:pPr>
      <w:r w:rsidRPr="00207DEE">
        <w:rPr>
          <w:rFonts w:ascii="Lato" w:hAnsi="Lato"/>
        </w:rPr>
        <w:t xml:space="preserve">Wykaz G1 zawierający leki wytwarzane na terytorium Rzeczypospolitej Polskiej albo takie, do których wytworzenia wykorzystano substancję czynną wytworzoną na terytorium Rzeczypospolitej Polskiej, rozszerzono o </w:t>
      </w:r>
      <w:r w:rsidRPr="00207DEE">
        <w:rPr>
          <w:rFonts w:ascii="Lato" w:hAnsi="Lato"/>
          <w:b/>
          <w:bCs/>
        </w:rPr>
        <w:t>133 leki</w:t>
      </w:r>
      <w:r w:rsidRPr="00207DEE">
        <w:rPr>
          <w:rFonts w:ascii="Lato" w:hAnsi="Lato"/>
        </w:rPr>
        <w:t xml:space="preserve"> zawierających </w:t>
      </w:r>
      <w:r w:rsidRPr="00207DEE">
        <w:rPr>
          <w:rFonts w:ascii="Lato" w:hAnsi="Lato"/>
          <w:b/>
          <w:bCs/>
        </w:rPr>
        <w:t>46 substancji czynnych</w:t>
      </w:r>
      <w:r w:rsidRPr="00207DEE">
        <w:rPr>
          <w:rFonts w:ascii="Lato" w:hAnsi="Lato"/>
        </w:rPr>
        <w:t xml:space="preserve"> </w:t>
      </w:r>
      <w:r w:rsidRPr="00207DEE">
        <w:rPr>
          <w:rFonts w:ascii="Lato" w:hAnsi="Lato"/>
          <w:b/>
          <w:bCs/>
        </w:rPr>
        <w:t>lub ich połączeń</w:t>
      </w:r>
      <w:r w:rsidRPr="00207DEE">
        <w:rPr>
          <w:rFonts w:ascii="Lato" w:hAnsi="Lato"/>
        </w:rPr>
        <w:t xml:space="preserve"> umieszczonych w </w:t>
      </w:r>
      <w:r w:rsidRPr="00207DEE">
        <w:rPr>
          <w:rFonts w:ascii="Lato" w:hAnsi="Lato"/>
          <w:b/>
          <w:bCs/>
        </w:rPr>
        <w:t>38 grupach limitowych</w:t>
      </w:r>
      <w:r w:rsidRPr="00207DEE">
        <w:rPr>
          <w:rFonts w:ascii="Lato" w:hAnsi="Lato"/>
        </w:rPr>
        <w:t>.</w:t>
      </w:r>
    </w:p>
    <w:p w14:paraId="6CD106A1" w14:textId="09B1E206" w:rsidR="00207DEE" w:rsidRPr="00207DEE" w:rsidRDefault="00207DEE" w:rsidP="00207DEE">
      <w:pPr>
        <w:pStyle w:val="Akapitzlist"/>
        <w:numPr>
          <w:ilvl w:val="0"/>
          <w:numId w:val="36"/>
        </w:numPr>
        <w:spacing w:line="360" w:lineRule="auto"/>
        <w:rPr>
          <w:rFonts w:ascii="Lato" w:hAnsi="Lato"/>
          <w:b/>
          <w:bCs/>
        </w:rPr>
      </w:pPr>
      <w:r w:rsidRPr="00207DEE">
        <w:rPr>
          <w:rFonts w:ascii="Lato" w:hAnsi="Lato"/>
        </w:rPr>
        <w:t xml:space="preserve">Wykaz G2 zawierający leki wytwarzane na terytorium Rzeczypospolitej Polskiej z wykorzystaniem substancji czynnej wytwarzanej na terytorium Rzeczypospolitej Polskiej, rozszerzono o </w:t>
      </w:r>
      <w:r w:rsidRPr="00207DEE">
        <w:rPr>
          <w:rFonts w:ascii="Lato" w:hAnsi="Lato"/>
          <w:b/>
          <w:bCs/>
        </w:rPr>
        <w:t xml:space="preserve">10 prezentacji leku </w:t>
      </w:r>
      <w:proofErr w:type="spellStart"/>
      <w:r w:rsidRPr="00207DEE">
        <w:rPr>
          <w:rFonts w:ascii="Lato" w:hAnsi="Lato"/>
          <w:b/>
          <w:bCs/>
        </w:rPr>
        <w:t>Gensulin</w:t>
      </w:r>
      <w:proofErr w:type="spellEnd"/>
      <w:r w:rsidRPr="00207DEE">
        <w:rPr>
          <w:rFonts w:ascii="Lato" w:hAnsi="Lato"/>
          <w:b/>
          <w:bCs/>
        </w:rPr>
        <w:t>.</w:t>
      </w:r>
    </w:p>
    <w:p w14:paraId="29F842DB" w14:textId="77777777" w:rsidR="00207DEE" w:rsidRDefault="00207DEE" w:rsidP="00207DEE">
      <w:pPr>
        <w:spacing w:line="360" w:lineRule="auto"/>
        <w:jc w:val="both"/>
        <w:rPr>
          <w:rFonts w:ascii="Lato" w:hAnsi="Lato"/>
          <w:color w:val="000000"/>
          <w:lang w:eastAsia="pl-PL"/>
        </w:rPr>
      </w:pPr>
      <w:r>
        <w:rPr>
          <w:rFonts w:ascii="Lato" w:hAnsi="Lato"/>
        </w:rPr>
        <w:t xml:space="preserve">Podsumowując, wykaz G1 zawiera </w:t>
      </w:r>
      <w:r>
        <w:rPr>
          <w:rFonts w:ascii="Lato" w:hAnsi="Lato"/>
          <w:b/>
          <w:bCs/>
        </w:rPr>
        <w:t>464 leków</w:t>
      </w:r>
      <w:r>
        <w:rPr>
          <w:rFonts w:ascii="Lato" w:hAnsi="Lato"/>
        </w:rPr>
        <w:t xml:space="preserve"> rozumianych jako indywidualne kody GTIN. Lista leków wytwarzanych w Polsce albo z substancji czynnej wytwarzanej w Polsce obejmuje </w:t>
      </w:r>
      <w:r>
        <w:rPr>
          <w:rFonts w:ascii="Lato" w:hAnsi="Lato"/>
          <w:b/>
          <w:bCs/>
        </w:rPr>
        <w:t xml:space="preserve">prawie 116 substancji czynnych lub ich połączeń </w:t>
      </w:r>
      <w:r>
        <w:rPr>
          <w:rFonts w:ascii="Lato" w:hAnsi="Lato"/>
        </w:rPr>
        <w:t xml:space="preserve"> umieszczonych w </w:t>
      </w:r>
      <w:r>
        <w:rPr>
          <w:rFonts w:ascii="Lato" w:hAnsi="Lato"/>
          <w:b/>
          <w:bCs/>
        </w:rPr>
        <w:t>84 grupach limitowych</w:t>
      </w:r>
      <w:r>
        <w:rPr>
          <w:rFonts w:ascii="Lato" w:hAnsi="Lato"/>
        </w:rPr>
        <w:t xml:space="preserve">. Leki umieszczone na wykazie G1 należą do portfolio </w:t>
      </w:r>
      <w:r>
        <w:rPr>
          <w:rFonts w:ascii="Lato" w:hAnsi="Lato"/>
          <w:b/>
          <w:bCs/>
        </w:rPr>
        <w:t>16 podmiotów odpowiedzialnych</w:t>
      </w:r>
      <w:r>
        <w:rPr>
          <w:rFonts w:ascii="Lato" w:hAnsi="Lato"/>
        </w:rPr>
        <w:t xml:space="preserve"> (</w:t>
      </w:r>
      <w:proofErr w:type="spellStart"/>
      <w:r>
        <w:rPr>
          <w:rFonts w:ascii="Lato" w:hAnsi="Lato"/>
          <w:color w:val="000000"/>
          <w:lang w:eastAsia="pl-PL"/>
        </w:rPr>
        <w:t>Adamed</w:t>
      </w:r>
      <w:proofErr w:type="spellEnd"/>
      <w:r>
        <w:rPr>
          <w:rFonts w:ascii="Lato" w:hAnsi="Lato"/>
          <w:color w:val="000000"/>
          <w:lang w:eastAsia="pl-PL"/>
        </w:rPr>
        <w:t xml:space="preserve"> Pharma S.A., ANPHARM Przedsiębiorstwo Farmaceutyczne S.A.,  </w:t>
      </w:r>
      <w:proofErr w:type="spellStart"/>
      <w:r>
        <w:rPr>
          <w:rFonts w:ascii="Lato" w:hAnsi="Lato"/>
          <w:color w:val="000000"/>
          <w:lang w:eastAsia="pl-PL"/>
        </w:rPr>
        <w:t>Bausch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Health</w:t>
      </w:r>
      <w:proofErr w:type="spellEnd"/>
      <w:r>
        <w:rPr>
          <w:rFonts w:ascii="Lato" w:hAnsi="Lato"/>
          <w:color w:val="000000"/>
          <w:lang w:eastAsia="pl-PL"/>
        </w:rPr>
        <w:t xml:space="preserve"> Poland Sp. z o.o., </w:t>
      </w:r>
      <w:proofErr w:type="spellStart"/>
      <w:r>
        <w:rPr>
          <w:rFonts w:ascii="Lato" w:hAnsi="Lato"/>
          <w:color w:val="000000"/>
          <w:lang w:eastAsia="pl-PL"/>
        </w:rPr>
        <w:t>Biofarm</w:t>
      </w:r>
      <w:proofErr w:type="spellEnd"/>
      <w:r>
        <w:rPr>
          <w:rFonts w:ascii="Lato" w:hAnsi="Lato"/>
          <w:color w:val="000000"/>
          <w:lang w:eastAsia="pl-PL"/>
        </w:rPr>
        <w:t xml:space="preserve"> Sp. z o.o., Celon Pharma S.A., Gedeon Richter Polska Sp. z o.o., </w:t>
      </w:r>
      <w:proofErr w:type="spellStart"/>
      <w:r>
        <w:rPr>
          <w:rFonts w:ascii="Lato" w:hAnsi="Lato"/>
          <w:color w:val="000000"/>
          <w:lang w:eastAsia="pl-PL"/>
        </w:rPr>
        <w:t>Glenmark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Pharmaceuticals</w:t>
      </w:r>
      <w:proofErr w:type="spellEnd"/>
      <w:r>
        <w:rPr>
          <w:rFonts w:ascii="Lato" w:hAnsi="Lato"/>
          <w:color w:val="000000"/>
          <w:lang w:eastAsia="pl-PL"/>
        </w:rPr>
        <w:t xml:space="preserve"> Sp. z o.o., KRKA Polska Sp. z o.o., </w:t>
      </w:r>
      <w:proofErr w:type="spellStart"/>
      <w:r>
        <w:rPr>
          <w:rFonts w:ascii="Lato" w:hAnsi="Lato"/>
          <w:color w:val="000000"/>
          <w:lang w:eastAsia="pl-PL"/>
        </w:rPr>
        <w:t>PharmaSwiss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cs="Calibri"/>
          <w:color w:val="000000"/>
          <w:lang w:eastAsia="pl-PL"/>
        </w:rPr>
        <w:t>Č</w:t>
      </w:r>
      <w:r>
        <w:rPr>
          <w:rFonts w:ascii="Lato" w:hAnsi="Lato"/>
          <w:color w:val="000000"/>
          <w:lang w:eastAsia="pl-PL"/>
        </w:rPr>
        <w:t>eská</w:t>
      </w:r>
      <w:proofErr w:type="spellEnd"/>
      <w:r>
        <w:rPr>
          <w:rFonts w:ascii="Lato" w:hAnsi="Lato"/>
          <w:color w:val="000000"/>
          <w:lang w:eastAsia="pl-PL"/>
        </w:rPr>
        <w:t xml:space="preserve"> Republika </w:t>
      </w:r>
      <w:proofErr w:type="spellStart"/>
      <w:r>
        <w:rPr>
          <w:rFonts w:ascii="Lato" w:hAnsi="Lato"/>
          <w:color w:val="000000"/>
          <w:lang w:eastAsia="pl-PL"/>
        </w:rPr>
        <w:t>s.r.o</w:t>
      </w:r>
      <w:proofErr w:type="spellEnd"/>
      <w:r>
        <w:rPr>
          <w:rFonts w:ascii="Lato" w:hAnsi="Lato"/>
          <w:color w:val="000000"/>
          <w:lang w:eastAsia="pl-PL"/>
        </w:rPr>
        <w:t xml:space="preserve">., </w:t>
      </w:r>
      <w:proofErr w:type="spellStart"/>
      <w:r>
        <w:rPr>
          <w:rFonts w:ascii="Lato" w:hAnsi="Lato"/>
          <w:color w:val="000000"/>
          <w:lang w:eastAsia="pl-PL"/>
        </w:rPr>
        <w:t>Polfarmex</w:t>
      </w:r>
      <w:proofErr w:type="spellEnd"/>
      <w:r>
        <w:rPr>
          <w:rFonts w:ascii="Lato" w:hAnsi="Lato"/>
          <w:color w:val="000000"/>
          <w:lang w:eastAsia="pl-PL"/>
        </w:rPr>
        <w:t xml:space="preserve"> S.A.,  Przedsiębiorstwo Produkcji Farmaceutycznej HASCO-LEK S.A., Tarchomińskie Zakłady Farmaceutyczne "Polfa" S.A., </w:t>
      </w:r>
      <w:proofErr w:type="spellStart"/>
      <w:r>
        <w:rPr>
          <w:rFonts w:ascii="Lato" w:hAnsi="Lato"/>
          <w:color w:val="000000"/>
          <w:lang w:eastAsia="pl-PL"/>
        </w:rPr>
        <w:t>Teva</w:t>
      </w:r>
      <w:proofErr w:type="spellEnd"/>
      <w:r>
        <w:rPr>
          <w:rFonts w:ascii="Lato" w:hAnsi="Lato"/>
          <w:color w:val="000000"/>
          <w:lang w:eastAsia="pl-PL"/>
        </w:rPr>
        <w:t xml:space="preserve"> </w:t>
      </w:r>
      <w:proofErr w:type="spellStart"/>
      <w:r>
        <w:rPr>
          <w:rFonts w:ascii="Lato" w:hAnsi="Lato"/>
          <w:color w:val="000000"/>
          <w:lang w:eastAsia="pl-PL"/>
        </w:rPr>
        <w:t>Pharmaceuticals</w:t>
      </w:r>
      <w:proofErr w:type="spellEnd"/>
      <w:r>
        <w:rPr>
          <w:rFonts w:ascii="Lato" w:hAnsi="Lato"/>
          <w:color w:val="000000"/>
          <w:lang w:eastAsia="pl-PL"/>
        </w:rPr>
        <w:t xml:space="preserve"> Polska Sp. z o.o.,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Vipharm</w:t>
      </w:r>
      <w:proofErr w:type="spellEnd"/>
      <w:r>
        <w:rPr>
          <w:rFonts w:ascii="Lato" w:hAnsi="Lato"/>
          <w:color w:val="000000"/>
        </w:rPr>
        <w:t xml:space="preserve"> S.A., </w:t>
      </w:r>
      <w:r>
        <w:rPr>
          <w:rFonts w:ascii="Lato" w:hAnsi="Lato"/>
          <w:color w:val="000000"/>
          <w:lang w:eastAsia="pl-PL"/>
        </w:rPr>
        <w:t xml:space="preserve">Warszawskie Zakłady Farmaceutyczne Polfa S.A., Zakłady Farmaceutyczne POLPHARMA S.A.) </w:t>
      </w:r>
      <w:r>
        <w:rPr>
          <w:rFonts w:ascii="Lato" w:hAnsi="Lato"/>
        </w:rPr>
        <w:t xml:space="preserve">i objęte są 10% redukcją kwoty stanowiącej dopłatę pacjenta. Wśród tej grupy produktów leczniczych znalazły się m.in. leki: antyhistaminowe, cytostatyczne, hipoglikemizujące, </w:t>
      </w:r>
      <w:proofErr w:type="spellStart"/>
      <w:r>
        <w:rPr>
          <w:rFonts w:ascii="Lato" w:hAnsi="Lato"/>
        </w:rPr>
        <w:t>hipolipemizujące</w:t>
      </w:r>
      <w:proofErr w:type="spellEnd"/>
      <w:r>
        <w:rPr>
          <w:rFonts w:ascii="Lato" w:hAnsi="Lato"/>
        </w:rPr>
        <w:t xml:space="preserve">, hipotensyjne, </w:t>
      </w:r>
      <w:proofErr w:type="spellStart"/>
      <w:r>
        <w:rPr>
          <w:rFonts w:ascii="Lato" w:hAnsi="Lato"/>
        </w:rPr>
        <w:t>przeciwarytmiczne</w:t>
      </w:r>
      <w:proofErr w:type="spellEnd"/>
      <w:r>
        <w:rPr>
          <w:rFonts w:ascii="Lato" w:hAnsi="Lato"/>
        </w:rPr>
        <w:t xml:space="preserve">, przeciwbakteryjne, przeciwgrzybicze, przeciwwirusowe, przeciwbólowe,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przeciwreumatyczne, przeciwparkinsonowskie, przeciwzakrzepowe, stosowane w chorobach dróg oddechowych, stosowane w chorobach urologicznych, stosowane w chorobach układu pokarmowego.</w:t>
      </w:r>
    </w:p>
    <w:p w14:paraId="3429827B" w14:textId="77777777" w:rsidR="00207DEE" w:rsidRDefault="00207DEE" w:rsidP="00207DEE">
      <w:pPr>
        <w:spacing w:line="360" w:lineRule="auto"/>
        <w:jc w:val="both"/>
        <w:rPr>
          <w:rFonts w:ascii="Lato" w:hAnsi="Lato"/>
          <w14:ligatures w14:val="standardContextual"/>
        </w:rPr>
      </w:pPr>
      <w:r>
        <w:rPr>
          <w:rFonts w:ascii="Lato" w:hAnsi="Lato"/>
        </w:rPr>
        <w:lastRenderedPageBreak/>
        <w:t xml:space="preserve">Wykaz G2 zawiera </w:t>
      </w:r>
      <w:r>
        <w:rPr>
          <w:rFonts w:ascii="Lato" w:hAnsi="Lato"/>
          <w:b/>
          <w:bCs/>
        </w:rPr>
        <w:t>34 leki</w:t>
      </w:r>
      <w:r>
        <w:rPr>
          <w:rFonts w:ascii="Lato" w:hAnsi="Lato"/>
        </w:rPr>
        <w:t xml:space="preserve"> rozumiane jako indywidualne kody GTIN. Lista leków wytwarzanych w Polsce z wykorzystaniem substancji czynnej wytwarzanej w Polsce obejmuje </w:t>
      </w:r>
      <w:r>
        <w:rPr>
          <w:rFonts w:ascii="Lato" w:hAnsi="Lato"/>
          <w:b/>
          <w:bCs/>
        </w:rPr>
        <w:t xml:space="preserve">12 substancji czynnych lub ich połączeń </w:t>
      </w:r>
      <w:r>
        <w:rPr>
          <w:rFonts w:ascii="Lato" w:hAnsi="Lato"/>
        </w:rPr>
        <w:t xml:space="preserve"> umieszczonych w </w:t>
      </w:r>
      <w:r>
        <w:rPr>
          <w:rFonts w:ascii="Lato" w:hAnsi="Lato"/>
          <w:b/>
          <w:bCs/>
        </w:rPr>
        <w:t>10 grupach limitowych</w:t>
      </w:r>
      <w:r>
        <w:rPr>
          <w:rFonts w:ascii="Lato" w:hAnsi="Lato"/>
        </w:rPr>
        <w:t xml:space="preserve">. Leki umieszczone na wykazie G2 należą do portfolio </w:t>
      </w:r>
      <w:r>
        <w:rPr>
          <w:rFonts w:ascii="Lato" w:hAnsi="Lato"/>
          <w:b/>
          <w:bCs/>
        </w:rPr>
        <w:t>4 podmiotów odpowiedzialnych</w:t>
      </w:r>
      <w:r>
        <w:rPr>
          <w:rFonts w:ascii="Lato" w:hAnsi="Lato"/>
        </w:rPr>
        <w:t xml:space="preserve"> (BIOTON S.A., </w:t>
      </w:r>
      <w:r>
        <w:rPr>
          <w:rFonts w:ascii="Lato" w:hAnsi="Lato"/>
          <w:color w:val="000000"/>
          <w:lang w:eastAsia="pl-PL"/>
        </w:rPr>
        <w:t>Tarchomińskie Zakłady Farmaceutyczne "Polfa" S.A., Warszawskie Zakłady Farmaceutyczne Polfa S.A., Zakłady Farmaceutyczne POLPHARMA S.A.)</w:t>
      </w:r>
      <w:r>
        <w:rPr>
          <w:rFonts w:ascii="Lato" w:hAnsi="Lato"/>
        </w:rPr>
        <w:t xml:space="preserve"> i objęte są 15% redukcją kwoty stanowiącej dopłatę pacjenta. Wśród tej grupy produktów leczniczych znalazły się m.in. leki: hipoglikemizujące, hipotensyjne, przeciwdrgawkowe, </w:t>
      </w:r>
      <w:proofErr w:type="spellStart"/>
      <w:r>
        <w:rPr>
          <w:rFonts w:ascii="Lato" w:hAnsi="Lato"/>
        </w:rPr>
        <w:t>przeciwpsychotyczne</w:t>
      </w:r>
      <w:proofErr w:type="spellEnd"/>
      <w:r>
        <w:rPr>
          <w:rFonts w:ascii="Lato" w:hAnsi="Lato"/>
        </w:rPr>
        <w:t>, przeciwzakrzepowe, stosowane w chorobach dróg oddechowych.</w:t>
      </w:r>
    </w:p>
    <w:p w14:paraId="22B33C6F" w14:textId="2E66A463" w:rsidR="00744FFB" w:rsidRDefault="00744FFB" w:rsidP="00744FFB">
      <w:pPr>
        <w:suppressAutoHyphens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color w:val="00B0F0"/>
          <w:sz w:val="28"/>
          <w:szCs w:val="28"/>
        </w:rPr>
        <w:t>BRAK REFUNDACJI LEKU PIXUVRI</w:t>
      </w:r>
      <w:r w:rsidR="00265039">
        <w:rPr>
          <w:rFonts w:ascii="Lato" w:hAnsi="Lato"/>
          <w:b/>
          <w:bCs/>
          <w:color w:val="00B0F0"/>
          <w:sz w:val="28"/>
          <w:szCs w:val="28"/>
        </w:rPr>
        <w:t>, ZAVEDOS</w:t>
      </w:r>
      <w:r>
        <w:rPr>
          <w:rFonts w:ascii="Lato" w:hAnsi="Lato"/>
          <w:b/>
          <w:bCs/>
          <w:color w:val="00B0F0"/>
          <w:sz w:val="28"/>
          <w:szCs w:val="28"/>
        </w:rPr>
        <w:t xml:space="preserve"> I VALCYTE</w:t>
      </w:r>
    </w:p>
    <w:p w14:paraId="0FE863DA" w14:textId="62CC4DC0" w:rsidR="00744FFB" w:rsidRDefault="00744FFB" w:rsidP="00744FFB">
      <w:pPr>
        <w:spacing w:after="120" w:line="360" w:lineRule="auto"/>
        <w:jc w:val="both"/>
        <w:rPr>
          <w:rFonts w:ascii="Lato" w:hAnsi="Lato"/>
        </w:rPr>
      </w:pPr>
      <w:r w:rsidRPr="00744FFB">
        <w:rPr>
          <w:rFonts w:ascii="Lato" w:hAnsi="Lato"/>
        </w:rPr>
        <w:t xml:space="preserve">30 czerwca 2024 r. upływa termin obowiązywania decyzji o objęciu refundacją leku </w:t>
      </w:r>
      <w:proofErr w:type="spellStart"/>
      <w:r w:rsidRPr="00744FFB">
        <w:rPr>
          <w:rFonts w:ascii="Lato" w:hAnsi="Lato"/>
          <w:b/>
          <w:bCs/>
        </w:rPr>
        <w:t>Pixuvri</w:t>
      </w:r>
      <w:proofErr w:type="spellEnd"/>
      <w:r w:rsidRPr="00744FFB">
        <w:rPr>
          <w:rFonts w:ascii="Lato" w:hAnsi="Lato"/>
        </w:rPr>
        <w:t xml:space="preserve">, </w:t>
      </w:r>
      <w:proofErr w:type="spellStart"/>
      <w:r w:rsidRPr="00744FFB">
        <w:rPr>
          <w:rFonts w:ascii="Lato" w:hAnsi="Lato"/>
        </w:rPr>
        <w:t>pixantroni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dimaleas</w:t>
      </w:r>
      <w:proofErr w:type="spellEnd"/>
      <w:r w:rsidRPr="00744FFB">
        <w:rPr>
          <w:rFonts w:ascii="Lato" w:hAnsi="Lato"/>
        </w:rPr>
        <w:t xml:space="preserve">, 29 mg, proszek do sporządzania koncentratu roztworu do infuzji, 1 fiol., GTIN: 05909991206475, w ramach programu lekowego B.12.FM Leczenie chorych na </w:t>
      </w:r>
      <w:proofErr w:type="spellStart"/>
      <w:r w:rsidRPr="00744FFB">
        <w:rPr>
          <w:rFonts w:ascii="Lato" w:hAnsi="Lato"/>
        </w:rPr>
        <w:t>chłoniaki</w:t>
      </w:r>
      <w:proofErr w:type="spellEnd"/>
      <w:r w:rsidRPr="00744FFB">
        <w:rPr>
          <w:rFonts w:ascii="Lato" w:hAnsi="Lato"/>
        </w:rPr>
        <w:t xml:space="preserve"> B-komórkowe (ICD-10: C82, C83, C85). Wnioskodawca </w:t>
      </w:r>
      <w:proofErr w:type="spellStart"/>
      <w:r w:rsidRPr="00744FFB">
        <w:rPr>
          <w:rFonts w:ascii="Lato" w:hAnsi="Lato"/>
          <w:b/>
          <w:bCs/>
        </w:rPr>
        <w:t>Servier</w:t>
      </w:r>
      <w:proofErr w:type="spellEnd"/>
      <w:r w:rsidRPr="00744FFB">
        <w:rPr>
          <w:rFonts w:ascii="Lato" w:hAnsi="Lato"/>
          <w:b/>
          <w:bCs/>
        </w:rPr>
        <w:t xml:space="preserve"> Polska Sp. z o.o. </w:t>
      </w:r>
      <w:r w:rsidRPr="00744FFB">
        <w:rPr>
          <w:rFonts w:ascii="Lato" w:hAnsi="Lato"/>
        </w:rPr>
        <w:t xml:space="preserve">nie przedłożył  wniosku o kontynuację refundacji na kolejny okres obowiązywania, jako że podmiot odpowiedzialny dla leku </w:t>
      </w:r>
      <w:proofErr w:type="spellStart"/>
      <w:r w:rsidRPr="00744FFB">
        <w:rPr>
          <w:rFonts w:ascii="Lato" w:hAnsi="Lato"/>
        </w:rPr>
        <w:t>Pixuvri</w:t>
      </w:r>
      <w:proofErr w:type="spellEnd"/>
      <w:r w:rsidRPr="00744FFB">
        <w:rPr>
          <w:rFonts w:ascii="Lato" w:hAnsi="Lato"/>
        </w:rPr>
        <w:t xml:space="preserve"> (</w:t>
      </w:r>
      <w:proofErr w:type="spellStart"/>
      <w:r w:rsidRPr="00744FFB">
        <w:rPr>
          <w:rFonts w:ascii="Lato" w:hAnsi="Lato"/>
        </w:rPr>
        <w:t>Les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Laboratoires</w:t>
      </w:r>
      <w:proofErr w:type="spellEnd"/>
      <w:r w:rsidRPr="00744FFB">
        <w:rPr>
          <w:rFonts w:ascii="Lato" w:hAnsi="Lato"/>
        </w:rPr>
        <w:t xml:space="preserve"> </w:t>
      </w:r>
      <w:proofErr w:type="spellStart"/>
      <w:r w:rsidRPr="00744FFB">
        <w:rPr>
          <w:rFonts w:ascii="Lato" w:hAnsi="Lato"/>
        </w:rPr>
        <w:t>Servier</w:t>
      </w:r>
      <w:proofErr w:type="spellEnd"/>
      <w:r w:rsidRPr="00744FFB">
        <w:rPr>
          <w:rFonts w:ascii="Lato" w:hAnsi="Lato"/>
        </w:rPr>
        <w:t xml:space="preserve">) podjął decyzję o nieskładaniu wniosku o przedłużenie ważności pozwolenia na dopuszczenie do obrotu dla tego leku. </w:t>
      </w:r>
    </w:p>
    <w:p w14:paraId="2B1EFD24" w14:textId="2C1FEC99" w:rsidR="0070316B" w:rsidRPr="00744FFB" w:rsidRDefault="0070316B" w:rsidP="00744FFB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1 lipca 2024 r. nie będą refundowane leki </w:t>
      </w:r>
      <w:proofErr w:type="spellStart"/>
      <w:r w:rsidRPr="0070316B">
        <w:rPr>
          <w:rFonts w:ascii="Lato" w:hAnsi="Lato"/>
          <w:b/>
          <w:bCs/>
        </w:rPr>
        <w:t>Zavedos</w:t>
      </w:r>
      <w:proofErr w:type="spellEnd"/>
      <w:r w:rsidRPr="0070316B">
        <w:rPr>
          <w:rFonts w:ascii="Lato" w:hAnsi="Lato"/>
        </w:rPr>
        <w:t xml:space="preserve">, </w:t>
      </w:r>
      <w:proofErr w:type="spellStart"/>
      <w:r w:rsidRPr="0070316B">
        <w:rPr>
          <w:rFonts w:ascii="Lato" w:hAnsi="Lato"/>
        </w:rPr>
        <w:t>idarubicini</w:t>
      </w:r>
      <w:proofErr w:type="spellEnd"/>
      <w:r w:rsidRPr="0070316B">
        <w:rPr>
          <w:rFonts w:ascii="Lato" w:hAnsi="Lato"/>
        </w:rPr>
        <w:t xml:space="preserve"> </w:t>
      </w:r>
      <w:proofErr w:type="spellStart"/>
      <w:r w:rsidRPr="0070316B">
        <w:rPr>
          <w:rFonts w:ascii="Lato" w:hAnsi="Lato"/>
        </w:rPr>
        <w:t>hydrochloridum</w:t>
      </w:r>
      <w:proofErr w:type="spellEnd"/>
      <w:r w:rsidRPr="0070316B">
        <w:rPr>
          <w:rFonts w:ascii="Lato" w:hAnsi="Lato"/>
        </w:rPr>
        <w:t xml:space="preserve">, roztwór do </w:t>
      </w:r>
      <w:proofErr w:type="spellStart"/>
      <w:r w:rsidRPr="0070316B">
        <w:rPr>
          <w:rFonts w:ascii="Lato" w:hAnsi="Lato"/>
        </w:rPr>
        <w:t>wstrzykiwań</w:t>
      </w:r>
      <w:proofErr w:type="spellEnd"/>
      <w:r w:rsidRPr="0070316B">
        <w:rPr>
          <w:rFonts w:ascii="Lato" w:hAnsi="Lato"/>
        </w:rPr>
        <w:t>, 1 mg/ml, 1 fiol. 10 ml, kod GTIN: 05415062342206</w:t>
      </w:r>
      <w:r>
        <w:rPr>
          <w:rFonts w:ascii="Lato" w:hAnsi="Lato"/>
        </w:rPr>
        <w:t xml:space="preserve"> i </w:t>
      </w:r>
      <w:proofErr w:type="spellStart"/>
      <w:r w:rsidRPr="0070316B">
        <w:rPr>
          <w:rFonts w:ascii="Lato" w:hAnsi="Lato"/>
          <w:b/>
          <w:bCs/>
        </w:rPr>
        <w:t>Zavedos</w:t>
      </w:r>
      <w:proofErr w:type="spellEnd"/>
      <w:r w:rsidRPr="0070316B">
        <w:rPr>
          <w:rFonts w:ascii="Lato" w:hAnsi="Lato"/>
        </w:rPr>
        <w:t xml:space="preserve">, </w:t>
      </w:r>
      <w:proofErr w:type="spellStart"/>
      <w:r>
        <w:rPr>
          <w:rFonts w:ascii="Lato" w:hAnsi="Lato"/>
        </w:rPr>
        <w:t>i</w:t>
      </w:r>
      <w:r w:rsidRPr="0070316B">
        <w:rPr>
          <w:rFonts w:ascii="Lato" w:hAnsi="Lato"/>
        </w:rPr>
        <w:t>darubicini</w:t>
      </w:r>
      <w:proofErr w:type="spellEnd"/>
      <w:r w:rsidRPr="0070316B">
        <w:rPr>
          <w:rFonts w:ascii="Lato" w:hAnsi="Lato"/>
        </w:rPr>
        <w:t xml:space="preserve"> </w:t>
      </w:r>
      <w:proofErr w:type="spellStart"/>
      <w:r w:rsidRPr="0070316B">
        <w:rPr>
          <w:rFonts w:ascii="Lato" w:hAnsi="Lato"/>
        </w:rPr>
        <w:t>hydrochloridum</w:t>
      </w:r>
      <w:proofErr w:type="spellEnd"/>
      <w:r w:rsidRPr="0070316B">
        <w:rPr>
          <w:rFonts w:ascii="Lato" w:hAnsi="Lato"/>
        </w:rPr>
        <w:t xml:space="preserve">, roztwór do </w:t>
      </w:r>
      <w:proofErr w:type="spellStart"/>
      <w:r w:rsidRPr="0070316B">
        <w:rPr>
          <w:rFonts w:ascii="Lato" w:hAnsi="Lato"/>
        </w:rPr>
        <w:t>wstrzykiwań</w:t>
      </w:r>
      <w:proofErr w:type="spellEnd"/>
      <w:r w:rsidRPr="0070316B">
        <w:rPr>
          <w:rFonts w:ascii="Lato" w:hAnsi="Lato"/>
        </w:rPr>
        <w:t>, 1 mg/ml, 1 fiol. 5 ml</w:t>
      </w:r>
      <w:r>
        <w:rPr>
          <w:rFonts w:ascii="Lato" w:hAnsi="Lato"/>
        </w:rPr>
        <w:t xml:space="preserve">, </w:t>
      </w:r>
      <w:r w:rsidRPr="0070316B">
        <w:rPr>
          <w:rFonts w:ascii="Lato" w:hAnsi="Lato"/>
        </w:rPr>
        <w:t xml:space="preserve">kod </w:t>
      </w:r>
      <w:r>
        <w:rPr>
          <w:rFonts w:ascii="Lato" w:hAnsi="Lato"/>
        </w:rPr>
        <w:t>GTIN</w:t>
      </w:r>
      <w:r w:rsidRPr="0070316B">
        <w:rPr>
          <w:rFonts w:ascii="Lato" w:hAnsi="Lato"/>
        </w:rPr>
        <w:t>: 05415062342190</w:t>
      </w:r>
      <w:r>
        <w:rPr>
          <w:rFonts w:ascii="Lato" w:hAnsi="Lato"/>
        </w:rPr>
        <w:t xml:space="preserve"> dotychczas finansowane </w:t>
      </w:r>
      <w:r w:rsidRPr="0070316B">
        <w:rPr>
          <w:rFonts w:ascii="Lato" w:hAnsi="Lato"/>
        </w:rPr>
        <w:t>we wskazaniu: Lek stosowany w ramach chemioterapii we wskazaniu określonym stanem klinicznym (</w:t>
      </w:r>
      <w:r>
        <w:rPr>
          <w:rFonts w:ascii="Lato" w:hAnsi="Lato"/>
        </w:rPr>
        <w:t xml:space="preserve">załącznik </w:t>
      </w:r>
      <w:r w:rsidRPr="0070316B">
        <w:rPr>
          <w:rFonts w:ascii="Lato" w:hAnsi="Lato"/>
        </w:rPr>
        <w:t>C.30 IDARUBICIN).</w:t>
      </w:r>
      <w:r>
        <w:rPr>
          <w:rFonts w:ascii="Lato" w:hAnsi="Lato"/>
        </w:rPr>
        <w:t xml:space="preserve"> Wnioskodawca </w:t>
      </w:r>
      <w:r w:rsidRPr="0070316B">
        <w:rPr>
          <w:rFonts w:ascii="Lato" w:hAnsi="Lato"/>
          <w:b/>
          <w:bCs/>
        </w:rPr>
        <w:t>Pfizer Polska Sp. z o.o.</w:t>
      </w:r>
      <w:r>
        <w:rPr>
          <w:rFonts w:ascii="Lato" w:hAnsi="Lato"/>
          <w:b/>
          <w:bCs/>
        </w:rPr>
        <w:t xml:space="preserve"> </w:t>
      </w:r>
      <w:r w:rsidRPr="0070316B">
        <w:rPr>
          <w:rFonts w:ascii="Lato" w:hAnsi="Lato"/>
        </w:rPr>
        <w:t>po uprzednim przedłożeniu wniosków o kontynuację refundacji na kolejny okres obowiązywania</w:t>
      </w:r>
      <w:r>
        <w:rPr>
          <w:rFonts w:ascii="Lato" w:hAnsi="Lato"/>
        </w:rPr>
        <w:t xml:space="preserve">, w toku postępowania zdecydował się wycofać wnioski o objęcie refundacją i ustalenie ceny zbytu netto na kolejny okres dla leku </w:t>
      </w:r>
      <w:proofErr w:type="spellStart"/>
      <w:r>
        <w:rPr>
          <w:rFonts w:ascii="Lato" w:hAnsi="Lato"/>
        </w:rPr>
        <w:t>Zavedos</w:t>
      </w:r>
      <w:proofErr w:type="spellEnd"/>
      <w:r>
        <w:rPr>
          <w:rFonts w:ascii="Lato" w:hAnsi="Lato"/>
        </w:rPr>
        <w:t>.</w:t>
      </w:r>
      <w:r w:rsidRPr="0070316B">
        <w:rPr>
          <w:rFonts w:ascii="Lato" w:hAnsi="Lato"/>
        </w:rPr>
        <w:t xml:space="preserve"> </w:t>
      </w:r>
    </w:p>
    <w:p w14:paraId="4A7EC8A0" w14:textId="78BC2878" w:rsidR="006159D3" w:rsidRDefault="00744FFB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Ponadto, Minister Zdrowia informuje o zaprzestaniu finansowania </w:t>
      </w:r>
      <w:r w:rsidR="006159D3">
        <w:rPr>
          <w:rFonts w:ascii="Lato" w:hAnsi="Lato"/>
        </w:rPr>
        <w:t>produktu</w:t>
      </w:r>
      <w:r>
        <w:rPr>
          <w:rFonts w:ascii="Lato" w:hAnsi="Lato"/>
        </w:rPr>
        <w:t xml:space="preserve"> </w:t>
      </w:r>
      <w:proofErr w:type="spellStart"/>
      <w:r w:rsidRPr="006159D3">
        <w:rPr>
          <w:rFonts w:ascii="Lato" w:hAnsi="Lato"/>
          <w:b/>
          <w:bCs/>
        </w:rPr>
        <w:t>Valcyte</w:t>
      </w:r>
      <w:proofErr w:type="spellEnd"/>
      <w:r>
        <w:rPr>
          <w:rFonts w:ascii="Lato" w:hAnsi="Lato"/>
        </w:rPr>
        <w:t xml:space="preserve">, </w:t>
      </w:r>
      <w:proofErr w:type="spellStart"/>
      <w:r w:rsidR="006159D3">
        <w:rPr>
          <w:rFonts w:ascii="Lato" w:hAnsi="Lato"/>
        </w:rPr>
        <w:t>v</w:t>
      </w:r>
      <w:r>
        <w:rPr>
          <w:rFonts w:ascii="Lato" w:hAnsi="Lato"/>
        </w:rPr>
        <w:t>alganciclovirum</w:t>
      </w:r>
      <w:proofErr w:type="spellEnd"/>
      <w:r>
        <w:rPr>
          <w:rFonts w:ascii="Lato" w:hAnsi="Lato"/>
        </w:rPr>
        <w:t>, proszek do sporządzania roztworu doustnego, 50 mg/ml, 1 but. po 12 g, kod GTIN: 05902768001082 do</w:t>
      </w:r>
      <w:r w:rsidR="006159D3">
        <w:rPr>
          <w:rFonts w:ascii="Lato" w:hAnsi="Lato"/>
        </w:rPr>
        <w:t xml:space="preserve">stępnego w aptece na receptę w określonych stanach klinicznych: </w:t>
      </w:r>
    </w:p>
    <w:p w14:paraId="29FC4F23" w14:textId="4F74AF88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 w:rsidRPr="006159D3">
        <w:rPr>
          <w:rFonts w:ascii="Lato" w:hAnsi="Lato"/>
          <w:i/>
          <w:iCs/>
        </w:rPr>
        <w:lastRenderedPageBreak/>
        <w:t xml:space="preserve">Zakażenie wirusem cytomegalii u pacjentów poddawanych przeszczepom narządów miąższowych - profilaktyka po zakończeniu hospitalizacji związanej z transplantacją do 110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Zakażenie wirusem cytomegalii u pacjentów poddawanych przeszczepom nerek - profilaktyka po zakończeniu hospitalizacji związanej z transplantacją do 200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</w:t>
      </w:r>
      <w:r w:rsidR="00744FFB">
        <w:rPr>
          <w:rFonts w:ascii="Lato" w:hAnsi="Lato"/>
        </w:rPr>
        <w:t xml:space="preserve">, </w:t>
      </w:r>
    </w:p>
    <w:p w14:paraId="3F08F98A" w14:textId="77777777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oraz we wskazaniach </w:t>
      </w:r>
      <w:proofErr w:type="spellStart"/>
      <w:r>
        <w:rPr>
          <w:rFonts w:ascii="Lato" w:hAnsi="Lato"/>
        </w:rPr>
        <w:t>pozarejestracyjnych</w:t>
      </w:r>
      <w:proofErr w:type="spellEnd"/>
      <w:r>
        <w:rPr>
          <w:rFonts w:ascii="Lato" w:hAnsi="Lato"/>
        </w:rPr>
        <w:t xml:space="preserve"> (off-</w:t>
      </w:r>
      <w:proofErr w:type="spellStart"/>
      <w:r>
        <w:rPr>
          <w:rFonts w:ascii="Lato" w:hAnsi="Lato"/>
        </w:rPr>
        <w:t>label</w:t>
      </w:r>
      <w:proofErr w:type="spellEnd"/>
      <w:r>
        <w:rPr>
          <w:rFonts w:ascii="Lato" w:hAnsi="Lato"/>
        </w:rPr>
        <w:t xml:space="preserve">) obejmujących: </w:t>
      </w:r>
    </w:p>
    <w:p w14:paraId="4C07B138" w14:textId="77777777" w:rsidR="006159D3" w:rsidRDefault="006159D3" w:rsidP="00215880">
      <w:pPr>
        <w:suppressAutoHyphens w:val="0"/>
        <w:spacing w:line="360" w:lineRule="auto"/>
        <w:jc w:val="both"/>
        <w:rPr>
          <w:rFonts w:ascii="Lato" w:hAnsi="Lato"/>
          <w:i/>
          <w:iCs/>
        </w:rPr>
      </w:pPr>
      <w:r w:rsidRPr="006159D3">
        <w:rPr>
          <w:rFonts w:ascii="Lato" w:hAnsi="Lato"/>
          <w:i/>
          <w:iCs/>
        </w:rPr>
        <w:t xml:space="preserve">zakażenie wirusem cytomegalii u pacjentów poddawanych przeszczepom kończyny, rogówki, szpiku, tkanek lub komórek - profilaktyka po zakończeniu hospitalizacji związanej z transplantacją do 110 dni po przeszczepie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zakażenia wirusem cytomegalii po transplantacji narządów lub szpiku - leczenie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farmaceutycznej; zakażenia wirusem </w:t>
      </w:r>
      <w:proofErr w:type="spellStart"/>
      <w:r w:rsidRPr="006159D3">
        <w:rPr>
          <w:rFonts w:ascii="Lato" w:hAnsi="Lato"/>
          <w:i/>
          <w:iCs/>
        </w:rPr>
        <w:t>Ebsteina</w:t>
      </w:r>
      <w:proofErr w:type="spellEnd"/>
      <w:r w:rsidRPr="006159D3">
        <w:rPr>
          <w:rFonts w:ascii="Lato" w:hAnsi="Lato"/>
          <w:i/>
          <w:iCs/>
        </w:rPr>
        <w:t xml:space="preserve">-Barr po transplantacji narządów lub szpiku - leczenie - w przypadku udokumentowanych przeciwwskazań do stosowania </w:t>
      </w:r>
      <w:proofErr w:type="spellStart"/>
      <w:r w:rsidRPr="006159D3">
        <w:rPr>
          <w:rFonts w:ascii="Lato" w:hAnsi="Lato"/>
          <w:i/>
          <w:iCs/>
        </w:rPr>
        <w:t>walgancyklowiru</w:t>
      </w:r>
      <w:proofErr w:type="spellEnd"/>
      <w:r w:rsidRPr="006159D3">
        <w:rPr>
          <w:rFonts w:ascii="Lato" w:hAnsi="Lato"/>
          <w:i/>
          <w:iCs/>
        </w:rPr>
        <w:t xml:space="preserve"> w stałej doustnej postaci farmaceutycznej</w:t>
      </w:r>
      <w:r>
        <w:rPr>
          <w:rFonts w:ascii="Lato" w:hAnsi="Lato"/>
          <w:i/>
          <w:iCs/>
        </w:rPr>
        <w:t>.</w:t>
      </w:r>
    </w:p>
    <w:p w14:paraId="0488F18A" w14:textId="57AD1FA4" w:rsidR="00744FFB" w:rsidRPr="006159D3" w:rsidRDefault="006159D3" w:rsidP="00215880">
      <w:pPr>
        <w:suppressAutoHyphens w:val="0"/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Niedostępność refundacyjna leku </w:t>
      </w:r>
      <w:proofErr w:type="spellStart"/>
      <w:r>
        <w:rPr>
          <w:rFonts w:ascii="Lato" w:hAnsi="Lato"/>
        </w:rPr>
        <w:t>Valcyte</w:t>
      </w:r>
      <w:proofErr w:type="spellEnd"/>
      <w:r>
        <w:rPr>
          <w:rFonts w:ascii="Lato" w:hAnsi="Lato"/>
        </w:rPr>
        <w:t xml:space="preserve"> mająca miejsce od 1 lipca 2024 r. wynika z</w:t>
      </w:r>
      <w:r w:rsidR="00744FFB">
        <w:rPr>
          <w:rFonts w:ascii="Lato" w:hAnsi="Lato"/>
        </w:rPr>
        <w:t xml:space="preserve"> braku porozumienia </w:t>
      </w:r>
      <w:r>
        <w:rPr>
          <w:rFonts w:ascii="Lato" w:hAnsi="Lato"/>
        </w:rPr>
        <w:t>w zakresie</w:t>
      </w:r>
      <w:r w:rsidR="00744FFB">
        <w:rPr>
          <w:rFonts w:ascii="Lato" w:hAnsi="Lato"/>
        </w:rPr>
        <w:t xml:space="preserve"> </w:t>
      </w:r>
      <w:r>
        <w:rPr>
          <w:rFonts w:ascii="Lato" w:hAnsi="Lato"/>
        </w:rPr>
        <w:t xml:space="preserve">minimalnych </w:t>
      </w:r>
      <w:r w:rsidR="00744FFB">
        <w:rPr>
          <w:rFonts w:ascii="Lato" w:hAnsi="Lato"/>
        </w:rPr>
        <w:t>warunków finansowych</w:t>
      </w:r>
      <w:r>
        <w:rPr>
          <w:rFonts w:ascii="Lato" w:hAnsi="Lato"/>
        </w:rPr>
        <w:t xml:space="preserve">, o których mowa w </w:t>
      </w:r>
      <w:r w:rsidR="00744FFB">
        <w:rPr>
          <w:rFonts w:ascii="Lato" w:hAnsi="Lato"/>
        </w:rPr>
        <w:t xml:space="preserve">art. 13 ust. 2 </w:t>
      </w:r>
      <w:r w:rsidR="00DF2079" w:rsidRPr="00B36EE4">
        <w:rPr>
          <w:rFonts w:ascii="Lato" w:eastAsia="Times New Roman" w:hAnsi="Lato" w:cs="Arial"/>
          <w:lang w:eastAsia="pl-PL"/>
        </w:rPr>
        <w:t>ustawy z dnia 12 maja 2011 r. o refundacji leków, środków spożywczych specjalnego przeznaczenia żywieniowego oraz wyrobów medycznych (</w:t>
      </w:r>
      <w:r w:rsidR="00DF2079" w:rsidRPr="00B36EE4">
        <w:rPr>
          <w:rFonts w:ascii="Lato" w:hAnsi="Lato" w:cs="Arial"/>
        </w:rPr>
        <w:t xml:space="preserve">Dz. U. z 2023 r. poz. 826, z </w:t>
      </w:r>
      <w:proofErr w:type="spellStart"/>
      <w:r w:rsidR="00DF2079" w:rsidRPr="00B36EE4">
        <w:rPr>
          <w:rFonts w:ascii="Lato" w:hAnsi="Lato" w:cs="Arial"/>
        </w:rPr>
        <w:t>późn</w:t>
      </w:r>
      <w:proofErr w:type="spellEnd"/>
      <w:r w:rsidR="00DF2079" w:rsidRPr="00B36EE4">
        <w:rPr>
          <w:rFonts w:ascii="Lato" w:hAnsi="Lato" w:cs="Arial"/>
        </w:rPr>
        <w:t>. zm</w:t>
      </w:r>
      <w:r w:rsidR="00DF2079">
        <w:rPr>
          <w:rFonts w:ascii="Lato" w:hAnsi="Lato" w:cs="Arial"/>
        </w:rPr>
        <w:t>.).</w:t>
      </w:r>
    </w:p>
    <w:p w14:paraId="68B7779B" w14:textId="52EAF642" w:rsidR="00B36EE4" w:rsidRDefault="00D46DBA" w:rsidP="00D46DBA">
      <w:pPr>
        <w:suppressAutoHyphens w:val="0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  <w:color w:val="00B0F0"/>
          <w:sz w:val="28"/>
          <w:szCs w:val="28"/>
        </w:rPr>
        <w:t>ROZSZERZENIE WSKAZAŃ LEKÓW STOSOWANYCH W PROCEDURZE IN VITRO</w:t>
      </w:r>
    </w:p>
    <w:p w14:paraId="3F3DD754" w14:textId="2C986219" w:rsidR="00984226" w:rsidRDefault="00B36EE4" w:rsidP="00215880">
      <w:pPr>
        <w:spacing w:line="360" w:lineRule="auto"/>
        <w:jc w:val="both"/>
        <w:rPr>
          <w:rFonts w:ascii="Lato" w:hAnsi="Lato"/>
        </w:rPr>
      </w:pPr>
      <w:bookmarkStart w:id="3" w:name="_Hlk169001877"/>
      <w:r w:rsidRPr="006E1708">
        <w:rPr>
          <w:rFonts w:ascii="Lato" w:hAnsi="Lato"/>
        </w:rPr>
        <w:t xml:space="preserve">W związku </w:t>
      </w:r>
      <w:r>
        <w:rPr>
          <w:rFonts w:ascii="Lato" w:hAnsi="Lato"/>
        </w:rPr>
        <w:t xml:space="preserve">z uruchomieniem od 1.06.2024 r. rządowego Programu Polityki Zdrowotnej </w:t>
      </w:r>
      <w:r w:rsidRPr="00B36EE4">
        <w:rPr>
          <w:rFonts w:ascii="Lato" w:hAnsi="Lato"/>
          <w:i/>
          <w:iCs/>
        </w:rPr>
        <w:t>„Leczenie niepłodności obejmujące procedury medycznie wspomaganej prokreacji, w tym zapłodnienie pozaustrojowe prowadzone w ośrodku medycznie wspomaganej prokreacji, na lata 2024-2028”</w:t>
      </w:r>
      <w:r>
        <w:rPr>
          <w:rFonts w:ascii="Lato" w:hAnsi="Lato"/>
        </w:rPr>
        <w:t xml:space="preserve">, mając na uwadze, iż </w:t>
      </w:r>
      <w:r w:rsidR="00A43354">
        <w:rPr>
          <w:rFonts w:ascii="Lato" w:hAnsi="Lato"/>
        </w:rPr>
        <w:t xml:space="preserve">zapisy programu pozostają w istotnej rozbieżności z kryteriami refundacyjnymi terapii </w:t>
      </w:r>
      <w:r w:rsidRPr="001C662E">
        <w:rPr>
          <w:rFonts w:ascii="Lato" w:hAnsi="Lato"/>
        </w:rPr>
        <w:t>refundowanych w leczeniu niepłodności</w:t>
      </w:r>
      <w:r w:rsidR="00A43354">
        <w:rPr>
          <w:rFonts w:ascii="Lato" w:hAnsi="Lato"/>
        </w:rPr>
        <w:t xml:space="preserve"> uwzględnionych</w:t>
      </w:r>
      <w:r w:rsidRPr="001C662E">
        <w:rPr>
          <w:rFonts w:ascii="Lato" w:hAnsi="Lato"/>
        </w:rPr>
        <w:t xml:space="preserve"> na </w:t>
      </w:r>
      <w:r w:rsidRPr="00920231">
        <w:rPr>
          <w:rFonts w:ascii="Lato" w:hAnsi="Lato"/>
          <w:i/>
          <w:iCs/>
        </w:rPr>
        <w:t>Obwieszczeni</w:t>
      </w:r>
      <w:r>
        <w:rPr>
          <w:rFonts w:ascii="Lato" w:hAnsi="Lato"/>
          <w:i/>
          <w:iCs/>
        </w:rPr>
        <w:t>u</w:t>
      </w:r>
      <w:r w:rsidRPr="00920231">
        <w:rPr>
          <w:rFonts w:ascii="Lato" w:hAnsi="Lato"/>
          <w:i/>
          <w:iCs/>
        </w:rPr>
        <w:t xml:space="preserve"> Ministra Zdrowia z dnia 18 marca 2024 r. w sprawie wykazu refundowanych leków, środków spożywczych specjalnego przeznaczenia żywieniowego oraz wyrobów medycznych na 1 kwietnia 2024 r.</w:t>
      </w:r>
      <w:r>
        <w:rPr>
          <w:rFonts w:ascii="Lato" w:hAnsi="Lato"/>
        </w:rPr>
        <w:t xml:space="preserve"> (m.in. </w:t>
      </w:r>
      <w:r w:rsidRPr="001C662E">
        <w:rPr>
          <w:rFonts w:ascii="Lato" w:hAnsi="Lato"/>
        </w:rPr>
        <w:t xml:space="preserve">wiekiem pacjentów, </w:t>
      </w:r>
      <w:r>
        <w:rPr>
          <w:rFonts w:ascii="Lato" w:hAnsi="Lato"/>
        </w:rPr>
        <w:t xml:space="preserve">konieczność spełnienia </w:t>
      </w:r>
      <w:r>
        <w:rPr>
          <w:rFonts w:ascii="Lato" w:hAnsi="Lato"/>
        </w:rPr>
        <w:lastRenderedPageBreak/>
        <w:t>określonych</w:t>
      </w:r>
      <w:r w:rsidRPr="001C662E">
        <w:rPr>
          <w:rFonts w:ascii="Lato" w:hAnsi="Lato"/>
        </w:rPr>
        <w:t xml:space="preserve"> parametrów biochemicznych, liczbą </w:t>
      </w:r>
      <w:r>
        <w:rPr>
          <w:rFonts w:ascii="Lato" w:hAnsi="Lato"/>
        </w:rPr>
        <w:t xml:space="preserve">finansowanych </w:t>
      </w:r>
      <w:r w:rsidRPr="001C662E">
        <w:rPr>
          <w:rFonts w:ascii="Lato" w:hAnsi="Lato"/>
        </w:rPr>
        <w:t>cykli</w:t>
      </w:r>
      <w:r>
        <w:rPr>
          <w:rFonts w:ascii="Lato" w:hAnsi="Lato"/>
        </w:rPr>
        <w:t>), Minister Zdrowia na podstawie o</w:t>
      </w:r>
      <w:r w:rsidRPr="001C662E">
        <w:rPr>
          <w:rFonts w:ascii="Lato" w:hAnsi="Lato"/>
        </w:rPr>
        <w:t>pini</w:t>
      </w:r>
      <w:r>
        <w:rPr>
          <w:rFonts w:ascii="Lato" w:hAnsi="Lato"/>
        </w:rPr>
        <w:t>i</w:t>
      </w:r>
      <w:r w:rsidRPr="001C662E">
        <w:rPr>
          <w:rFonts w:ascii="Lato" w:hAnsi="Lato"/>
        </w:rPr>
        <w:t xml:space="preserve"> </w:t>
      </w:r>
      <w:r>
        <w:rPr>
          <w:rFonts w:ascii="Lato" w:hAnsi="Lato"/>
        </w:rPr>
        <w:t xml:space="preserve">Konsultantów, opinii </w:t>
      </w:r>
      <w:r w:rsidRPr="001C662E">
        <w:rPr>
          <w:rFonts w:ascii="Lato" w:hAnsi="Lato"/>
        </w:rPr>
        <w:t xml:space="preserve">Rady Przejrzystości </w:t>
      </w:r>
      <w:r>
        <w:rPr>
          <w:rFonts w:ascii="Lato" w:hAnsi="Lato"/>
        </w:rPr>
        <w:t xml:space="preserve">oraz stanowiska </w:t>
      </w:r>
      <w:r w:rsidRPr="001C662E">
        <w:rPr>
          <w:rFonts w:ascii="Lato" w:hAnsi="Lato"/>
        </w:rPr>
        <w:t>Prezesa Agencji</w:t>
      </w:r>
      <w:r>
        <w:rPr>
          <w:rFonts w:ascii="Lato" w:hAnsi="Lato"/>
        </w:rPr>
        <w:t xml:space="preserve"> z 20 maja 2024 r., rozszerzył dostęp do leków refundowanych </w:t>
      </w:r>
      <w:r w:rsidRPr="001C662E">
        <w:rPr>
          <w:rFonts w:ascii="Lato" w:hAnsi="Lato"/>
        </w:rPr>
        <w:t xml:space="preserve">poprzez dodanie nowego wskazania </w:t>
      </w:r>
      <w:r>
        <w:rPr>
          <w:rFonts w:ascii="Lato" w:hAnsi="Lato"/>
        </w:rPr>
        <w:t xml:space="preserve">refundacyjnego </w:t>
      </w:r>
      <w:r w:rsidRPr="001C662E">
        <w:rPr>
          <w:rFonts w:ascii="Lato" w:hAnsi="Lato"/>
        </w:rPr>
        <w:t xml:space="preserve">obejmującego pacjentów leczonych w ramach </w:t>
      </w:r>
      <w:r>
        <w:rPr>
          <w:rFonts w:ascii="Lato" w:hAnsi="Lato"/>
        </w:rPr>
        <w:t>Programu Polityki Zdrowotnej</w:t>
      </w:r>
      <w:r w:rsidRPr="001C662E">
        <w:rPr>
          <w:rFonts w:ascii="Lato" w:hAnsi="Lato"/>
        </w:rPr>
        <w:t xml:space="preserve"> dla leków </w:t>
      </w:r>
      <w:r>
        <w:rPr>
          <w:rFonts w:ascii="Lato" w:hAnsi="Lato"/>
        </w:rPr>
        <w:t xml:space="preserve">stosowanych </w:t>
      </w:r>
      <w:r w:rsidRPr="001C662E">
        <w:rPr>
          <w:rFonts w:ascii="Lato" w:hAnsi="Lato"/>
        </w:rPr>
        <w:t>w leczeniu niepłodności</w:t>
      </w:r>
      <w:r>
        <w:rPr>
          <w:rFonts w:ascii="Lato" w:hAnsi="Lato"/>
        </w:rPr>
        <w:t xml:space="preserve">, które obecnie są finansowane ze środków publicznych na podstawie wykazu, o którym mowa w art. </w:t>
      </w:r>
      <w:r w:rsidRPr="00B36EE4">
        <w:rPr>
          <w:rFonts w:ascii="Lato" w:hAnsi="Lato"/>
        </w:rPr>
        <w:t xml:space="preserve">37 </w:t>
      </w:r>
      <w:r w:rsidRPr="00B36EE4">
        <w:rPr>
          <w:rFonts w:ascii="Lato" w:eastAsia="Times New Roman" w:hAnsi="Lato" w:cs="Arial"/>
          <w:lang w:eastAsia="pl-PL"/>
        </w:rPr>
        <w:t>ustawy z dnia 12 maja 2011 r. o refundacji leków, środków spożywczych specjalnego przeznaczenia żywieniowego oraz wyrobów medycznych (</w:t>
      </w:r>
      <w:r w:rsidRPr="00B36EE4">
        <w:rPr>
          <w:rFonts w:ascii="Lato" w:hAnsi="Lato" w:cs="Arial"/>
        </w:rPr>
        <w:t xml:space="preserve">Dz. U. z 2023 r. poz. 826, z </w:t>
      </w:r>
      <w:proofErr w:type="spellStart"/>
      <w:r w:rsidRPr="00B36EE4">
        <w:rPr>
          <w:rFonts w:ascii="Lato" w:hAnsi="Lato" w:cs="Arial"/>
        </w:rPr>
        <w:t>późn</w:t>
      </w:r>
      <w:proofErr w:type="spellEnd"/>
      <w:r w:rsidRPr="00B36EE4">
        <w:rPr>
          <w:rFonts w:ascii="Lato" w:hAnsi="Lato" w:cs="Arial"/>
        </w:rPr>
        <w:t>. zm.</w:t>
      </w:r>
      <w:r w:rsidR="00984226">
        <w:rPr>
          <w:rFonts w:ascii="Lato" w:hAnsi="Lato" w:cs="Arial"/>
        </w:rPr>
        <w:t>, dalej jako „ustawa o refundacji”</w:t>
      </w:r>
      <w:r w:rsidRPr="00B36EE4">
        <w:rPr>
          <w:rFonts w:ascii="Lato" w:hAnsi="Lato" w:cs="Arial"/>
          <w:highlight w:val="yellow"/>
        </w:rPr>
        <w:fldChar w:fldCharType="begin"/>
      </w:r>
      <w:r w:rsidRPr="00B36EE4">
        <w:rPr>
          <w:rFonts w:ascii="Lato" w:hAnsi="Lato" w:cs="Arial"/>
          <w:highlight w:val="yellow"/>
        </w:rPr>
        <w:fldChar w:fldCharType="separate"/>
      </w:r>
      <w:r w:rsidRPr="00B36EE4">
        <w:rPr>
          <w:rFonts w:ascii="Lato" w:hAnsi="Lato" w:cs="Arial"/>
          <w:highlight w:val="yellow"/>
        </w:rPr>
        <w:t>«numer_dziennika_ustawy_ref»</w:t>
      </w:r>
      <w:r w:rsidRPr="00B36EE4">
        <w:rPr>
          <w:rFonts w:ascii="Lato" w:hAnsi="Lato" w:cs="Arial"/>
          <w:highlight w:val="yellow"/>
        </w:rPr>
        <w:fldChar w:fldCharType="end"/>
      </w:r>
      <w:r w:rsidRPr="00B36EE4">
        <w:rPr>
          <w:rFonts w:ascii="Lato" w:eastAsia="Times New Roman" w:hAnsi="Lato" w:cs="Arial"/>
          <w:lang w:eastAsia="pl-PL"/>
        </w:rPr>
        <w:t>).</w:t>
      </w:r>
      <w:r>
        <w:rPr>
          <w:rFonts w:ascii="Lato" w:hAnsi="Lato"/>
        </w:rPr>
        <w:t xml:space="preserve"> </w:t>
      </w:r>
      <w:r w:rsidR="00984226">
        <w:rPr>
          <w:rFonts w:ascii="Lato" w:hAnsi="Lato"/>
        </w:rPr>
        <w:t>Niniejsze produkty lecznicze są aktualnie sklasyfikowane w</w:t>
      </w:r>
      <w:r>
        <w:rPr>
          <w:rFonts w:ascii="Lato" w:hAnsi="Lato"/>
        </w:rPr>
        <w:t xml:space="preserve"> trzech grupach limitowych</w:t>
      </w:r>
      <w:r w:rsidR="00984226">
        <w:rPr>
          <w:rFonts w:ascii="Lato" w:hAnsi="Lato"/>
        </w:rPr>
        <w:t>:</w:t>
      </w:r>
    </w:p>
    <w:p w14:paraId="6F07F8D8" w14:textId="6280F5E3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69.1.</w:t>
      </w:r>
      <w:r w:rsidRPr="00FF7961">
        <w:t xml:space="preserve"> </w:t>
      </w:r>
      <w:r w:rsidRPr="00984226">
        <w:rPr>
          <w:rFonts w:ascii="Lato" w:hAnsi="Lato"/>
        </w:rPr>
        <w:t xml:space="preserve">Hormony płciowe </w:t>
      </w:r>
      <w:r w:rsidR="00984226" w:rsidRPr="00984226">
        <w:rPr>
          <w:rFonts w:ascii="Lato" w:hAnsi="Lato"/>
        </w:rPr>
        <w:t>–</w:t>
      </w:r>
      <w:r w:rsidRPr="00984226">
        <w:rPr>
          <w:rFonts w:ascii="Lato" w:hAnsi="Lato"/>
        </w:rPr>
        <w:t xml:space="preserve"> gonadotropiny</w:t>
      </w:r>
      <w:r w:rsidR="00984226" w:rsidRPr="00984226">
        <w:rPr>
          <w:rFonts w:ascii="Lato" w:hAnsi="Lato"/>
        </w:rPr>
        <w:t>;</w:t>
      </w:r>
    </w:p>
    <w:p w14:paraId="3A8E481C" w14:textId="78EC8C6C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69.2.</w:t>
      </w:r>
      <w:r w:rsidRPr="00FF7961">
        <w:t xml:space="preserve"> </w:t>
      </w:r>
      <w:r w:rsidRPr="00984226">
        <w:rPr>
          <w:rFonts w:ascii="Lato" w:hAnsi="Lato"/>
        </w:rPr>
        <w:t>Leki stosowane w terapii hormonalnej – analogi hormonu uwalniającego gonadotropinę</w:t>
      </w:r>
      <w:r w:rsidR="00984226" w:rsidRPr="00984226">
        <w:rPr>
          <w:rFonts w:ascii="Lato" w:hAnsi="Lato"/>
        </w:rPr>
        <w:t>;</w:t>
      </w:r>
    </w:p>
    <w:p w14:paraId="52463F54" w14:textId="77777777" w:rsidR="00984226" w:rsidRPr="00984226" w:rsidRDefault="00B36EE4" w:rsidP="00215880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Lato" w:hAnsi="Lato"/>
        </w:rPr>
      </w:pPr>
      <w:r w:rsidRPr="00984226">
        <w:rPr>
          <w:rFonts w:ascii="Lato" w:hAnsi="Lato"/>
        </w:rPr>
        <w:t>78.1.</w:t>
      </w:r>
      <w:r w:rsidRPr="00FF7961">
        <w:t xml:space="preserve"> </w:t>
      </w:r>
      <w:r w:rsidRPr="00984226">
        <w:rPr>
          <w:rFonts w:ascii="Lato" w:hAnsi="Lato"/>
        </w:rPr>
        <w:t xml:space="preserve">Hormony przysadki i podwzgórza – </w:t>
      </w:r>
      <w:proofErr w:type="spellStart"/>
      <w:r w:rsidRPr="00984226">
        <w:rPr>
          <w:rFonts w:ascii="Lato" w:hAnsi="Lato"/>
        </w:rPr>
        <w:t>antygonadotropiny</w:t>
      </w:r>
      <w:proofErr w:type="spellEnd"/>
      <w:r w:rsidRPr="00984226">
        <w:rPr>
          <w:rFonts w:ascii="Lato" w:hAnsi="Lato"/>
        </w:rPr>
        <w:t xml:space="preserve"> uwalniające hormony). </w:t>
      </w:r>
    </w:p>
    <w:p w14:paraId="74AA0B9F" w14:textId="283E0BD6" w:rsidR="00D240D1" w:rsidRPr="00744FFB" w:rsidRDefault="00B966A6" w:rsidP="00215880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Rozszerzeniem wskazania refundacyjnego uwzględniające populację pacjentów kwalifikujących się do programu polityki zdrowotnej leczenia niepłodności nastąpiło w przypadku leków: </w:t>
      </w:r>
      <w:proofErr w:type="spellStart"/>
      <w:r w:rsidRPr="00B966A6">
        <w:rPr>
          <w:rFonts w:ascii="Lato" w:hAnsi="Lato"/>
        </w:rPr>
        <w:t>Elonva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Fostimon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Bemfola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Puregon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Ovaleap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Mensinorm</w:t>
      </w:r>
      <w:proofErr w:type="spellEnd"/>
      <w:r w:rsidRPr="00B966A6">
        <w:rPr>
          <w:rFonts w:ascii="Lato" w:hAnsi="Lato"/>
        </w:rPr>
        <w:t xml:space="preserve">,  </w:t>
      </w:r>
      <w:proofErr w:type="spellStart"/>
      <w:r w:rsidRPr="00B966A6">
        <w:rPr>
          <w:rFonts w:ascii="Lato" w:hAnsi="Lato"/>
        </w:rPr>
        <w:t>Menopur</w:t>
      </w:r>
      <w:proofErr w:type="spellEnd"/>
      <w:r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Gonal</w:t>
      </w:r>
      <w:proofErr w:type="spellEnd"/>
      <w:r w:rsidRPr="00B966A6">
        <w:rPr>
          <w:rFonts w:ascii="Lato" w:hAnsi="Lato"/>
        </w:rPr>
        <w:t xml:space="preserve">-f, </w:t>
      </w:r>
      <w:proofErr w:type="spellStart"/>
      <w:r w:rsidRPr="00B966A6">
        <w:rPr>
          <w:rFonts w:ascii="Lato" w:hAnsi="Lato"/>
        </w:rPr>
        <w:t>Rekovelle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Gonapeptyl</w:t>
      </w:r>
      <w:proofErr w:type="spellEnd"/>
      <w:r w:rsidRPr="00B966A6">
        <w:rPr>
          <w:rFonts w:ascii="Lato" w:hAnsi="Lato"/>
        </w:rPr>
        <w:t xml:space="preserve"> </w:t>
      </w:r>
      <w:proofErr w:type="spellStart"/>
      <w:r w:rsidRPr="00B966A6">
        <w:rPr>
          <w:rFonts w:ascii="Lato" w:hAnsi="Lato"/>
        </w:rPr>
        <w:t>Daily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Ganirelix</w:t>
      </w:r>
      <w:proofErr w:type="spellEnd"/>
      <w:r w:rsidRPr="00B966A6">
        <w:rPr>
          <w:rFonts w:ascii="Lato" w:hAnsi="Lato"/>
        </w:rPr>
        <w:t xml:space="preserve"> Gedeon Richter, </w:t>
      </w:r>
      <w:proofErr w:type="spellStart"/>
      <w:r w:rsidRPr="00B966A6">
        <w:rPr>
          <w:rFonts w:ascii="Lato" w:hAnsi="Lato"/>
        </w:rPr>
        <w:t>Cetrotide</w:t>
      </w:r>
      <w:proofErr w:type="spellEnd"/>
      <w:r w:rsidRPr="00B966A6">
        <w:rPr>
          <w:rFonts w:ascii="Lato" w:hAnsi="Lato"/>
        </w:rPr>
        <w:t xml:space="preserve">, </w:t>
      </w:r>
      <w:proofErr w:type="spellStart"/>
      <w:r w:rsidRPr="00B966A6">
        <w:rPr>
          <w:rFonts w:ascii="Lato" w:hAnsi="Lato"/>
        </w:rPr>
        <w:t>Orgalutran</w:t>
      </w:r>
      <w:proofErr w:type="spellEnd"/>
      <w:r>
        <w:rPr>
          <w:rFonts w:ascii="Lato" w:hAnsi="Lato"/>
        </w:rPr>
        <w:t xml:space="preserve">. </w:t>
      </w:r>
      <w:r w:rsidR="00984226">
        <w:rPr>
          <w:rFonts w:ascii="Lato" w:hAnsi="Lato"/>
        </w:rPr>
        <w:t>Niezależnie od powyższego, r</w:t>
      </w:r>
      <w:r w:rsidR="00B36EE4" w:rsidRPr="006E1708">
        <w:rPr>
          <w:rFonts w:ascii="Lato" w:hAnsi="Lato"/>
        </w:rPr>
        <w:t xml:space="preserve">efundacja </w:t>
      </w:r>
      <w:r w:rsidR="006159D3">
        <w:rPr>
          <w:rFonts w:ascii="Lato" w:hAnsi="Lato"/>
        </w:rPr>
        <w:t>ww. leków</w:t>
      </w:r>
      <w:r w:rsidR="00984226">
        <w:rPr>
          <w:rFonts w:ascii="Lato" w:hAnsi="Lato"/>
        </w:rPr>
        <w:t xml:space="preserve"> </w:t>
      </w:r>
      <w:r w:rsidR="00B36EE4" w:rsidRPr="006E1708">
        <w:rPr>
          <w:rFonts w:ascii="Lato" w:hAnsi="Lato"/>
        </w:rPr>
        <w:t>odbywa się zgodnie z przepisami ustawy o refundacji</w:t>
      </w:r>
      <w:bookmarkEnd w:id="3"/>
      <w:r w:rsidR="00984226">
        <w:rPr>
          <w:rFonts w:ascii="Lato" w:hAnsi="Lato"/>
        </w:rPr>
        <w:t>.</w:t>
      </w:r>
    </w:p>
    <w:p w14:paraId="65C25884" w14:textId="1CE3D7F6" w:rsidR="00090759" w:rsidRDefault="00090759" w:rsidP="00090759">
      <w:pPr>
        <w:suppressAutoHyphens w:val="0"/>
        <w:jc w:val="center"/>
        <w:rPr>
          <w:rFonts w:ascii="Lato" w:hAnsi="Lato"/>
          <w:b/>
          <w:bCs/>
          <w:i/>
          <w:i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t xml:space="preserve">ZMIANY W GRUPIE LIMITOWEJ </w:t>
      </w:r>
      <w:r w:rsidRPr="00090759">
        <w:rPr>
          <w:rFonts w:ascii="Lato" w:hAnsi="Lato"/>
          <w:b/>
          <w:bCs/>
          <w:i/>
          <w:iCs/>
          <w:color w:val="00B0F0"/>
          <w:sz w:val="28"/>
          <w:szCs w:val="28"/>
        </w:rPr>
        <w:t xml:space="preserve">22.0 - Heparyny drobnocząsteczkowe i leki o działaniu heparyn </w:t>
      </w:r>
    </w:p>
    <w:p w14:paraId="15A233DA" w14:textId="560A5742" w:rsidR="00BE0486" w:rsidRDefault="00090759" w:rsidP="00090759">
      <w:pPr>
        <w:suppressAutoHyphens w:val="0"/>
        <w:jc w:val="center"/>
        <w:rPr>
          <w:rFonts w:ascii="Lato" w:hAnsi="Lato"/>
          <w:b/>
          <w:bCs/>
          <w:color w:val="00B0F0"/>
        </w:rPr>
      </w:pPr>
      <w:r w:rsidRPr="00090759">
        <w:rPr>
          <w:rFonts w:ascii="Lato" w:hAnsi="Lato"/>
          <w:b/>
          <w:bCs/>
          <w:i/>
          <w:iCs/>
          <w:color w:val="00B0F0"/>
          <w:sz w:val="28"/>
          <w:szCs w:val="28"/>
        </w:rPr>
        <w:t>drobnocząsteczkowych</w:t>
      </w:r>
    </w:p>
    <w:p w14:paraId="5147D75B" w14:textId="77777777" w:rsidR="00DB68D3" w:rsidRDefault="00DB68D3" w:rsidP="00DB68D3">
      <w:pPr>
        <w:suppressAutoHyphens w:val="0"/>
        <w:autoSpaceDN/>
        <w:spacing w:line="360" w:lineRule="auto"/>
        <w:textAlignment w:val="auto"/>
        <w:rPr>
          <w:rFonts w:ascii="Lato" w:hAnsi="Lato"/>
        </w:rPr>
      </w:pPr>
      <w:r>
        <w:rPr>
          <w:rFonts w:ascii="Lato" w:hAnsi="Lato"/>
        </w:rPr>
        <w:t>D</w:t>
      </w:r>
      <w:r w:rsidRPr="00DB68D3">
        <w:rPr>
          <w:rFonts w:ascii="Lato" w:hAnsi="Lato"/>
        </w:rPr>
        <w:t>ecyzją Ministra Zdrowia podjętą</w:t>
      </w:r>
      <w:r>
        <w:rPr>
          <w:rFonts w:ascii="Lato" w:hAnsi="Lato"/>
        </w:rPr>
        <w:t xml:space="preserve"> </w:t>
      </w:r>
      <w:r w:rsidRPr="00DB68D3">
        <w:rPr>
          <w:rFonts w:ascii="Lato" w:hAnsi="Lato"/>
        </w:rPr>
        <w:t xml:space="preserve">na mocy art. 15 ust. 3 ustawy z dnia 12 maja 2011 roku o refundacji leków, środków spożywczych specjalnego przeznaczenia żywieniowego oraz wyrobów medycznych (Dz. U. z 2023 r. poz. 826, z </w:t>
      </w:r>
      <w:proofErr w:type="spellStart"/>
      <w:r w:rsidRPr="00DB68D3">
        <w:rPr>
          <w:rFonts w:ascii="Lato" w:hAnsi="Lato"/>
        </w:rPr>
        <w:t>późn</w:t>
      </w:r>
      <w:proofErr w:type="spellEnd"/>
      <w:r w:rsidRPr="00DB68D3">
        <w:rPr>
          <w:rFonts w:ascii="Lato" w:hAnsi="Lato"/>
        </w:rPr>
        <w:t>. zm.)</w:t>
      </w:r>
      <w:r>
        <w:rPr>
          <w:rFonts w:ascii="Lato" w:hAnsi="Lato"/>
        </w:rPr>
        <w:t xml:space="preserve"> od 1 lipca 2024 r. następuje r</w:t>
      </w:r>
      <w:r w:rsidR="00BE0486">
        <w:rPr>
          <w:rFonts w:ascii="Lato" w:hAnsi="Lato"/>
        </w:rPr>
        <w:t>ozdzielenie</w:t>
      </w:r>
      <w:r w:rsidR="00BE0486" w:rsidRPr="006257C4">
        <w:rPr>
          <w:rFonts w:ascii="Lato" w:hAnsi="Lato"/>
        </w:rPr>
        <w:t xml:space="preserve"> grupy limitowe</w:t>
      </w:r>
      <w:r w:rsidR="00BE0486">
        <w:rPr>
          <w:rFonts w:ascii="Lato" w:hAnsi="Lato"/>
        </w:rPr>
        <w:t>j</w:t>
      </w:r>
      <w:r w:rsidR="00BE0486" w:rsidRPr="006257C4">
        <w:rPr>
          <w:rFonts w:ascii="Lato" w:hAnsi="Lato"/>
        </w:rPr>
        <w:t xml:space="preserve"> 22.0 </w:t>
      </w:r>
      <w:r w:rsidR="00BE0486" w:rsidRPr="00DB68D3">
        <w:rPr>
          <w:rFonts w:ascii="Lato" w:hAnsi="Lato"/>
          <w:i/>
          <w:iCs/>
        </w:rPr>
        <w:t>Heparyny drobnocząsteczkowe i leki o działaniu heparyn drobnocząsteczkowych</w:t>
      </w:r>
      <w:r w:rsidR="00BE0486" w:rsidRPr="006257C4">
        <w:rPr>
          <w:rFonts w:ascii="Lato" w:hAnsi="Lato"/>
        </w:rPr>
        <w:t xml:space="preserve"> na </w:t>
      </w:r>
      <w:r>
        <w:rPr>
          <w:rFonts w:ascii="Lato" w:hAnsi="Lato"/>
        </w:rPr>
        <w:t>dwie</w:t>
      </w:r>
      <w:r w:rsidR="00BE0486" w:rsidRPr="006257C4">
        <w:rPr>
          <w:rFonts w:ascii="Lato" w:hAnsi="Lato"/>
        </w:rPr>
        <w:t xml:space="preserve"> odrębne grupy tj.:</w:t>
      </w:r>
    </w:p>
    <w:p w14:paraId="3FC48EC3" w14:textId="3946195D" w:rsidR="00BE0486" w:rsidRPr="00DB68D3" w:rsidRDefault="00BE0486" w:rsidP="00DB68D3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textAlignment w:val="auto"/>
        <w:rPr>
          <w:rStyle w:val="pismamzZnak"/>
          <w:rFonts w:ascii="Lato" w:hAnsi="Lato"/>
        </w:rPr>
      </w:pPr>
      <w:r w:rsidRPr="00DB68D3">
        <w:rPr>
          <w:rStyle w:val="pismamzZnak"/>
          <w:rFonts w:ascii="Lato" w:hAnsi="Lato" w:cs="Arial"/>
        </w:rPr>
        <w:t xml:space="preserve">22.0 </w:t>
      </w:r>
      <w:r w:rsidRPr="00DB68D3">
        <w:rPr>
          <w:rStyle w:val="pismamzZnak"/>
          <w:rFonts w:ascii="Lato" w:hAnsi="Lato" w:cs="Arial"/>
          <w:i/>
          <w:iCs/>
        </w:rPr>
        <w:t>Heparyny drobnocząsteczkowe</w:t>
      </w:r>
      <w:r w:rsidRPr="00DB68D3">
        <w:rPr>
          <w:rStyle w:val="pismamzZnak"/>
          <w:rFonts w:ascii="Lato" w:hAnsi="Lato" w:cs="Arial"/>
        </w:rPr>
        <w:t>,</w:t>
      </w:r>
    </w:p>
    <w:p w14:paraId="72A593D9" w14:textId="77777777" w:rsidR="00BE0486" w:rsidRPr="00DB68D3" w:rsidRDefault="00BE0486" w:rsidP="00DB68D3">
      <w:pPr>
        <w:pStyle w:val="Akapitzlist"/>
        <w:numPr>
          <w:ilvl w:val="0"/>
          <w:numId w:val="33"/>
        </w:numPr>
        <w:suppressAutoHyphens w:val="0"/>
        <w:autoSpaceDN/>
        <w:spacing w:line="360" w:lineRule="auto"/>
        <w:textAlignment w:val="auto"/>
        <w:rPr>
          <w:rStyle w:val="pismamzZnak"/>
          <w:rFonts w:ascii="Lato" w:hAnsi="Lato"/>
          <w:kern w:val="2"/>
          <w14:ligatures w14:val="standardContextual"/>
        </w:rPr>
      </w:pPr>
      <w:r w:rsidRPr="00DB68D3">
        <w:rPr>
          <w:rStyle w:val="pismamzZnak"/>
          <w:rFonts w:ascii="Lato" w:hAnsi="Lato" w:cs="Arial"/>
        </w:rPr>
        <w:t xml:space="preserve">22.1 </w:t>
      </w:r>
      <w:r w:rsidRPr="00DB68D3">
        <w:rPr>
          <w:rStyle w:val="pismamzZnak"/>
          <w:rFonts w:ascii="Lato" w:hAnsi="Lato" w:cs="Arial"/>
          <w:i/>
          <w:iCs/>
        </w:rPr>
        <w:t xml:space="preserve">Leki przeciwzakrzepowe – bezpośrednie inhibitory trombiny i czynnika </w:t>
      </w:r>
      <w:proofErr w:type="spellStart"/>
      <w:r w:rsidRPr="00DB68D3">
        <w:rPr>
          <w:rStyle w:val="pismamzZnak"/>
          <w:rFonts w:ascii="Lato" w:hAnsi="Lato" w:cs="Arial"/>
          <w:i/>
          <w:iCs/>
        </w:rPr>
        <w:t>Xa</w:t>
      </w:r>
      <w:proofErr w:type="spellEnd"/>
      <w:r w:rsidRPr="00DB68D3">
        <w:rPr>
          <w:rStyle w:val="pismamzZnak"/>
          <w:rFonts w:ascii="Lato" w:hAnsi="Lato" w:cs="Arial"/>
        </w:rPr>
        <w:t>.</w:t>
      </w:r>
    </w:p>
    <w:p w14:paraId="43DFE995" w14:textId="410ED2DE" w:rsidR="00D240D1" w:rsidRPr="00744FFB" w:rsidRDefault="00DB68D3" w:rsidP="00744FFB">
      <w:pPr>
        <w:spacing w:line="360" w:lineRule="auto"/>
        <w:rPr>
          <w:rFonts w:ascii="Lato" w:hAnsi="Lato"/>
        </w:rPr>
      </w:pPr>
      <w:r>
        <w:rPr>
          <w:rFonts w:ascii="Lato" w:hAnsi="Lato"/>
        </w:rPr>
        <w:lastRenderedPageBreak/>
        <w:t>Niniejsza zmiana podyktowana jest</w:t>
      </w:r>
      <w:r w:rsidR="00BE0486" w:rsidRPr="006257C4">
        <w:rPr>
          <w:rFonts w:ascii="Lato" w:hAnsi="Lato"/>
        </w:rPr>
        <w:t xml:space="preserve"> </w:t>
      </w:r>
      <w:r>
        <w:rPr>
          <w:rFonts w:ascii="Lato" w:hAnsi="Lato"/>
        </w:rPr>
        <w:t>wzrostem wysokości</w:t>
      </w:r>
      <w:r w:rsidR="00BE0486" w:rsidRPr="006257C4">
        <w:rPr>
          <w:rFonts w:ascii="Lato" w:hAnsi="Lato"/>
        </w:rPr>
        <w:t xml:space="preserve"> dopłat pacjentów do heparyn drobnocząsteczkowych w momencie objęcia refundacją pierwszych odpowiedników </w:t>
      </w:r>
      <w:proofErr w:type="spellStart"/>
      <w:r w:rsidR="00BE0486" w:rsidRPr="00DB68D3">
        <w:rPr>
          <w:rFonts w:ascii="Lato" w:hAnsi="Lato"/>
          <w:i/>
          <w:iCs/>
        </w:rPr>
        <w:t>dabigatranu</w:t>
      </w:r>
      <w:proofErr w:type="spellEnd"/>
      <w:r w:rsidR="00BE0486">
        <w:rPr>
          <w:rFonts w:ascii="Lato" w:hAnsi="Lato"/>
        </w:rPr>
        <w:t xml:space="preserve"> (</w:t>
      </w:r>
      <w:r>
        <w:rPr>
          <w:rFonts w:ascii="Lato" w:hAnsi="Lato"/>
        </w:rPr>
        <w:t xml:space="preserve">leku referencyjnego </w:t>
      </w:r>
      <w:r w:rsidR="00744FFB">
        <w:rPr>
          <w:rFonts w:ascii="Lato" w:hAnsi="Lato"/>
        </w:rPr>
        <w:t xml:space="preserve">- </w:t>
      </w:r>
      <w:proofErr w:type="spellStart"/>
      <w:r w:rsidR="00BE0486">
        <w:rPr>
          <w:rFonts w:ascii="Lato" w:hAnsi="Lato"/>
        </w:rPr>
        <w:t>Pradaxa</w:t>
      </w:r>
      <w:proofErr w:type="spellEnd"/>
      <w:r w:rsidR="00BE0486">
        <w:rPr>
          <w:rFonts w:ascii="Lato" w:hAnsi="Lato"/>
        </w:rPr>
        <w:t>)</w:t>
      </w:r>
      <w:r w:rsidR="00BE0486" w:rsidRPr="006257C4">
        <w:rPr>
          <w:rFonts w:ascii="Lato" w:hAnsi="Lato"/>
        </w:rPr>
        <w:t xml:space="preserve"> i </w:t>
      </w:r>
      <w:r>
        <w:rPr>
          <w:rFonts w:ascii="Lato" w:hAnsi="Lato"/>
        </w:rPr>
        <w:t xml:space="preserve">wynikającą z tego </w:t>
      </w:r>
      <w:r w:rsidR="00BE0486" w:rsidRPr="006257C4">
        <w:rPr>
          <w:rFonts w:ascii="Lato" w:hAnsi="Lato"/>
        </w:rPr>
        <w:t>zmian</w:t>
      </w:r>
      <w:r>
        <w:rPr>
          <w:rFonts w:ascii="Lato" w:hAnsi="Lato"/>
        </w:rPr>
        <w:t>ą</w:t>
      </w:r>
      <w:r w:rsidR="00BE0486" w:rsidRPr="006257C4">
        <w:rPr>
          <w:rFonts w:ascii="Lato" w:hAnsi="Lato"/>
        </w:rPr>
        <w:t xml:space="preserve"> podstawy limitu, </w:t>
      </w:r>
      <w:r>
        <w:rPr>
          <w:rFonts w:ascii="Lato" w:hAnsi="Lato"/>
        </w:rPr>
        <w:t>czego konsekwencją była zmiana</w:t>
      </w:r>
      <w:r w:rsidR="00BE0486" w:rsidRPr="006257C4">
        <w:rPr>
          <w:rFonts w:ascii="Lato" w:hAnsi="Lato"/>
        </w:rPr>
        <w:t xml:space="preserve"> limitu finansowania leków refundowanych w </w:t>
      </w:r>
      <w:r>
        <w:rPr>
          <w:rFonts w:ascii="Lato" w:hAnsi="Lato"/>
        </w:rPr>
        <w:t>dotychczasowej</w:t>
      </w:r>
      <w:r w:rsidR="00BE0486" w:rsidRPr="006257C4">
        <w:rPr>
          <w:rFonts w:ascii="Lato" w:hAnsi="Lato"/>
        </w:rPr>
        <w:t xml:space="preserve"> grupie limitowej</w:t>
      </w:r>
      <w:r>
        <w:rPr>
          <w:rFonts w:ascii="Lato" w:hAnsi="Lato"/>
        </w:rPr>
        <w:t xml:space="preserve"> 22.0</w:t>
      </w:r>
      <w:r w:rsidR="00BE0486" w:rsidRPr="006257C4">
        <w:rPr>
          <w:rFonts w:ascii="Lato" w:hAnsi="Lato"/>
        </w:rPr>
        <w:t xml:space="preserve">. </w:t>
      </w:r>
      <w:r>
        <w:rPr>
          <w:rFonts w:ascii="Lato" w:hAnsi="Lato"/>
        </w:rPr>
        <w:t>Celem</w:t>
      </w:r>
      <w:r w:rsidR="00BE0486" w:rsidRPr="006257C4">
        <w:rPr>
          <w:rFonts w:ascii="Lato" w:hAnsi="Lato"/>
        </w:rPr>
        <w:t xml:space="preserve"> wyeliminowania negatywnych </w:t>
      </w:r>
      <w:r>
        <w:rPr>
          <w:rFonts w:ascii="Lato" w:hAnsi="Lato"/>
        </w:rPr>
        <w:t>następstw wyżej wymienionej zmiany</w:t>
      </w:r>
      <w:r w:rsidR="00BE0486" w:rsidRPr="006257C4">
        <w:rPr>
          <w:rFonts w:ascii="Lato" w:hAnsi="Lato"/>
        </w:rPr>
        <w:t xml:space="preserve"> – wzrostu dopłat pacjentów – Minister Zdrowia </w:t>
      </w:r>
      <w:r>
        <w:rPr>
          <w:rFonts w:ascii="Lato" w:hAnsi="Lato"/>
        </w:rPr>
        <w:t xml:space="preserve">mając na względzie dobro pacjentów będących głównym beneficjentem systemu refundacyjnego, </w:t>
      </w:r>
      <w:r w:rsidR="00BE0486" w:rsidRPr="006257C4">
        <w:rPr>
          <w:rFonts w:ascii="Lato" w:hAnsi="Lato"/>
        </w:rPr>
        <w:t>podją</w:t>
      </w:r>
      <w:r>
        <w:rPr>
          <w:rFonts w:ascii="Lato" w:hAnsi="Lato"/>
        </w:rPr>
        <w:t xml:space="preserve">ł działania w kierunku wydzielenia dwóch odrębnych grup limitowych dla heparyn drobnocząsteczkowych oraz doustnych leków przeciwzakrzepowych nowej generacji (ang. </w:t>
      </w:r>
      <w:proofErr w:type="spellStart"/>
      <w:r w:rsidRPr="00744FFB">
        <w:rPr>
          <w:rFonts w:ascii="Lato" w:hAnsi="Lato"/>
          <w:i/>
          <w:iCs/>
        </w:rPr>
        <w:t>novel</w:t>
      </w:r>
      <w:proofErr w:type="spellEnd"/>
      <w:r w:rsidRPr="00744FFB">
        <w:rPr>
          <w:rFonts w:ascii="Lato" w:hAnsi="Lato"/>
          <w:i/>
          <w:iCs/>
        </w:rPr>
        <w:t xml:space="preserve"> </w:t>
      </w:r>
      <w:proofErr w:type="spellStart"/>
      <w:r w:rsidRPr="00744FFB">
        <w:rPr>
          <w:rFonts w:ascii="Lato" w:hAnsi="Lato"/>
          <w:i/>
          <w:iCs/>
        </w:rPr>
        <w:t>oral</w:t>
      </w:r>
      <w:proofErr w:type="spellEnd"/>
      <w:r w:rsidRPr="00744FFB">
        <w:rPr>
          <w:rFonts w:ascii="Lato" w:hAnsi="Lato"/>
          <w:i/>
          <w:iCs/>
        </w:rPr>
        <w:t xml:space="preserve"> </w:t>
      </w:r>
      <w:proofErr w:type="spellStart"/>
      <w:r w:rsidRPr="00744FFB">
        <w:rPr>
          <w:rFonts w:ascii="Lato" w:hAnsi="Lato"/>
          <w:i/>
          <w:iCs/>
        </w:rPr>
        <w:t>anticoagulants</w:t>
      </w:r>
      <w:proofErr w:type="spellEnd"/>
      <w:r w:rsidRPr="00DB68D3">
        <w:rPr>
          <w:rFonts w:ascii="Lato" w:hAnsi="Lato"/>
        </w:rPr>
        <w:t>, NOAC)</w:t>
      </w:r>
      <w:r>
        <w:rPr>
          <w:rFonts w:ascii="Lato" w:hAnsi="Lato"/>
        </w:rPr>
        <w:t xml:space="preserve">, tym samym uniezależniając limit finansowania produktów heparynowych od następującego procesu </w:t>
      </w:r>
      <w:proofErr w:type="spellStart"/>
      <w:r>
        <w:rPr>
          <w:rFonts w:ascii="Lato" w:hAnsi="Lato"/>
        </w:rPr>
        <w:t>generyzacji</w:t>
      </w:r>
      <w:proofErr w:type="spellEnd"/>
      <w:r>
        <w:rPr>
          <w:rFonts w:ascii="Lato" w:hAnsi="Lato"/>
        </w:rPr>
        <w:t xml:space="preserve"> leków z grupy NOAC. </w:t>
      </w:r>
    </w:p>
    <w:p w14:paraId="35C8480D" w14:textId="3A8CBA9D" w:rsidR="00090759" w:rsidRPr="00090759" w:rsidRDefault="00090759" w:rsidP="00090759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090759">
        <w:rPr>
          <w:rFonts w:ascii="Lato" w:hAnsi="Lato"/>
          <w:b/>
          <w:bCs/>
          <w:color w:val="00B0F0"/>
          <w:sz w:val="28"/>
          <w:szCs w:val="28"/>
        </w:rPr>
        <w:t>ZMIANA WSKAZAŃ REFUNDACYJNYCH INSULIN DŁUGODZIAŁAJĄCYCH</w:t>
      </w:r>
    </w:p>
    <w:p w14:paraId="1E8E53B6" w14:textId="77777777" w:rsidR="00D240D1" w:rsidRDefault="00D46DBA" w:rsidP="00DB68D3">
      <w:pPr>
        <w:suppressAutoHyphens w:val="0"/>
        <w:spacing w:line="360" w:lineRule="auto"/>
        <w:rPr>
          <w:rFonts w:ascii="Lato" w:hAnsi="Lato"/>
        </w:rPr>
      </w:pPr>
      <w:r w:rsidRPr="00B1367C">
        <w:rPr>
          <w:rFonts w:ascii="Lato" w:hAnsi="Lato"/>
        </w:rPr>
        <w:t xml:space="preserve">W odpowiedzi na postulaty i oczekiwania środowiska </w:t>
      </w:r>
      <w:r w:rsidR="00DB68D3">
        <w:rPr>
          <w:rFonts w:ascii="Lato" w:hAnsi="Lato"/>
        </w:rPr>
        <w:t>medycznego</w:t>
      </w:r>
      <w:r w:rsidRPr="00B1367C">
        <w:rPr>
          <w:rFonts w:ascii="Lato" w:hAnsi="Lato"/>
        </w:rPr>
        <w:t xml:space="preserve"> oraz pacjentów</w:t>
      </w:r>
      <w:r w:rsidR="00DB68D3">
        <w:rPr>
          <w:rFonts w:ascii="Lato" w:hAnsi="Lato"/>
        </w:rPr>
        <w:t xml:space="preserve"> Minister Zdrowia podjął działania mające na celu ujednolicenie i uproszczenie dotychczasowych wskazań </w:t>
      </w:r>
      <w:r w:rsidR="00D240D1">
        <w:rPr>
          <w:rFonts w:ascii="Lato" w:hAnsi="Lato"/>
        </w:rPr>
        <w:t xml:space="preserve">refundacyjnych insulin charakteryzujących się długim okresem działania. </w:t>
      </w:r>
      <w:r w:rsidRPr="00B1367C">
        <w:rPr>
          <w:rFonts w:ascii="Lato" w:hAnsi="Lato"/>
        </w:rPr>
        <w:t xml:space="preserve"> </w:t>
      </w:r>
      <w:r w:rsidR="00D240D1">
        <w:rPr>
          <w:rFonts w:ascii="Lato" w:hAnsi="Lato"/>
        </w:rPr>
        <w:t>Po zasięgnięciu opinii Rady Przejrzystości, Konsultanta Krajowego Minister Zdrowia podjął decyzję o modyfikacji dotychczasowych</w:t>
      </w:r>
      <w:r w:rsidRPr="00B1367C">
        <w:rPr>
          <w:rFonts w:ascii="Lato" w:hAnsi="Lato"/>
        </w:rPr>
        <w:t xml:space="preserve"> </w:t>
      </w:r>
      <w:r w:rsidR="00D240D1">
        <w:rPr>
          <w:rFonts w:ascii="Lato" w:hAnsi="Lato"/>
        </w:rPr>
        <w:t>wskazań refundacyjnych</w:t>
      </w:r>
      <w:r w:rsidRPr="00B1367C">
        <w:rPr>
          <w:rFonts w:ascii="Lato" w:hAnsi="Lato"/>
        </w:rPr>
        <w:t xml:space="preserve"> produktów leczniczych </w:t>
      </w:r>
      <w:r>
        <w:rPr>
          <w:rFonts w:ascii="Lato" w:hAnsi="Lato"/>
        </w:rPr>
        <w:t>z</w:t>
      </w:r>
      <w:r w:rsidRPr="00B1367C">
        <w:rPr>
          <w:rFonts w:ascii="Lato" w:hAnsi="Lato"/>
        </w:rPr>
        <w:t xml:space="preserve"> grup</w:t>
      </w:r>
      <w:r>
        <w:rPr>
          <w:rFonts w:ascii="Lato" w:hAnsi="Lato"/>
        </w:rPr>
        <w:t>y</w:t>
      </w:r>
      <w:r w:rsidRPr="00B1367C">
        <w:rPr>
          <w:rFonts w:ascii="Lato" w:hAnsi="Lato"/>
        </w:rPr>
        <w:t xml:space="preserve"> limitowej 14.3 Hormony trzustki – długodziałające analogi insulin. </w:t>
      </w:r>
    </w:p>
    <w:p w14:paraId="4267307C" w14:textId="38CD05C8" w:rsidR="00BE0486" w:rsidRPr="00DB68D3" w:rsidRDefault="00D240D1" w:rsidP="00DB68D3">
      <w:pPr>
        <w:suppressAutoHyphens w:val="0"/>
        <w:spacing w:line="360" w:lineRule="auto"/>
        <w:rPr>
          <w:rFonts w:ascii="Lato" w:hAnsi="Lato"/>
        </w:rPr>
      </w:pPr>
      <w:r>
        <w:rPr>
          <w:rFonts w:ascii="Lato" w:hAnsi="Lato"/>
        </w:rPr>
        <w:t>Z dniem 1 lipca 2024 r. obowiązywać będą nowe treści wskazań refundacyjnych ww. produktów leczniczych, które w stosunku do obecnie obowiązujących są mniej restrykcyjne</w:t>
      </w:r>
      <w:r w:rsidR="00567252">
        <w:rPr>
          <w:rFonts w:ascii="Lato" w:hAnsi="Lato"/>
        </w:rPr>
        <w:t xml:space="preserve"> na skutek </w:t>
      </w:r>
      <w:r w:rsidR="00D46DBA" w:rsidRPr="00B1367C">
        <w:rPr>
          <w:rFonts w:ascii="Lato" w:hAnsi="Lato"/>
        </w:rPr>
        <w:t>usunięci</w:t>
      </w:r>
      <w:r w:rsidR="00567252">
        <w:rPr>
          <w:rFonts w:ascii="Lato" w:hAnsi="Lato"/>
        </w:rPr>
        <w:t>a</w:t>
      </w:r>
      <w:r w:rsidR="00D46DBA" w:rsidRPr="00B1367C">
        <w:rPr>
          <w:rFonts w:ascii="Lato" w:hAnsi="Lato"/>
        </w:rPr>
        <w:t xml:space="preserve"> zapisów dotyczących konieczności stosowania insuliny NPH, występowania hipoglikemii oraz </w:t>
      </w:r>
      <w:r w:rsidR="00567252">
        <w:rPr>
          <w:rFonts w:ascii="Lato" w:hAnsi="Lato"/>
        </w:rPr>
        <w:t>dokładnego doprecyzowania</w:t>
      </w:r>
      <w:r w:rsidR="00D46DBA" w:rsidRPr="00B1367C">
        <w:rPr>
          <w:rFonts w:ascii="Lato" w:hAnsi="Lato"/>
        </w:rPr>
        <w:t xml:space="preserve"> typu cukrzycy. </w:t>
      </w:r>
      <w:r w:rsidR="00567252">
        <w:rPr>
          <w:rFonts w:ascii="Lato" w:hAnsi="Lato"/>
        </w:rPr>
        <w:t>Ponadto</w:t>
      </w:r>
      <w:r w:rsidR="00D46DBA" w:rsidRPr="00B1367C">
        <w:rPr>
          <w:rFonts w:ascii="Lato" w:hAnsi="Lato"/>
        </w:rPr>
        <w:t>,</w:t>
      </w:r>
      <w:r w:rsidR="00567252">
        <w:rPr>
          <w:rFonts w:ascii="Lato" w:hAnsi="Lato"/>
        </w:rPr>
        <w:t xml:space="preserve"> w przypadku</w:t>
      </w:r>
      <w:r w:rsidR="00D46DBA" w:rsidRPr="00B1367C">
        <w:rPr>
          <w:rFonts w:ascii="Lato" w:hAnsi="Lato"/>
        </w:rPr>
        <w:t xml:space="preserve"> insulin</w:t>
      </w:r>
      <w:r w:rsidR="00567252">
        <w:rPr>
          <w:rFonts w:ascii="Lato" w:hAnsi="Lato"/>
        </w:rPr>
        <w:t>y</w:t>
      </w:r>
      <w:r w:rsidR="00D46DBA" w:rsidRPr="00B1367C">
        <w:rPr>
          <w:rFonts w:ascii="Lato" w:hAnsi="Lato"/>
        </w:rPr>
        <w:t xml:space="preserve"> </w:t>
      </w:r>
      <w:proofErr w:type="spellStart"/>
      <w:r w:rsidR="00D46DBA" w:rsidRPr="00B1367C">
        <w:rPr>
          <w:rFonts w:ascii="Lato" w:hAnsi="Lato"/>
        </w:rPr>
        <w:t>Levemir</w:t>
      </w:r>
      <w:proofErr w:type="spellEnd"/>
      <w:r w:rsidR="00D46DBA" w:rsidRPr="00B1367C">
        <w:rPr>
          <w:rFonts w:ascii="Lato" w:hAnsi="Lato"/>
        </w:rPr>
        <w:t xml:space="preserve"> </w:t>
      </w:r>
      <w:r w:rsidR="00567252">
        <w:rPr>
          <w:rFonts w:ascii="Lato" w:hAnsi="Lato"/>
        </w:rPr>
        <w:t xml:space="preserve">zmianie uległa dolna granica wiekowa uprawniająca do finansowania leczenia </w:t>
      </w:r>
      <w:r w:rsidR="00D46DBA" w:rsidRPr="00B1367C">
        <w:rPr>
          <w:rFonts w:ascii="Lato" w:hAnsi="Lato"/>
        </w:rPr>
        <w:t>u dzieci od 1 r.ż. (poprzednio od 2 r.ż.).</w:t>
      </w:r>
    </w:p>
    <w:tbl>
      <w:tblPr>
        <w:tblW w:w="14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6520"/>
        <w:gridCol w:w="3672"/>
      </w:tblGrid>
      <w:tr w:rsidR="00D75B0A" w:rsidRPr="00090759" w14:paraId="6A3D7DBF" w14:textId="77777777" w:rsidTr="000D65DF">
        <w:trPr>
          <w:trHeight w:val="142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8A01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Lek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hideMark/>
          </w:tcPr>
          <w:p w14:paraId="5A771F6E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Obecne wskazanie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9B59" w14:textId="77777777" w:rsidR="00D46DBA" w:rsidRPr="00D75B0A" w:rsidRDefault="00D46DBA" w:rsidP="0009075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</w:rPr>
            </w:pPr>
            <w:r w:rsidRPr="00D75B0A">
              <w:rPr>
                <w:rFonts w:ascii="Lato" w:hAnsi="Lato" w:cstheme="majorHAnsi"/>
                <w:b/>
                <w:bCs/>
                <w:color w:val="FFFFFF" w:themeColor="background1"/>
              </w:rPr>
              <w:t>Docelowe wskazanie</w:t>
            </w:r>
          </w:p>
        </w:tc>
      </w:tr>
      <w:tr w:rsidR="000D65DF" w:rsidRPr="00090759" w14:paraId="1E000985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DEF1D" w14:textId="04B5E12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Tresiba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100 j./ml,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 xml:space="preserve">, GTIN: </w:t>
            </w:r>
            <w:r w:rsidRPr="00090759">
              <w:rPr>
                <w:rFonts w:ascii="Lato" w:hAnsi="Lato"/>
                <w:sz w:val="19"/>
                <w:szCs w:val="19"/>
              </w:rPr>
              <w:t>05712249124441</w:t>
            </w:r>
          </w:p>
          <w:p w14:paraId="359B0680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CFE60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</w:t>
            </w:r>
          </w:p>
          <w:p w14:paraId="3C21F583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Cukrzyca typu I u dzieci powyżej 1. roku życia i młodzieży; </w:t>
            </w:r>
          </w:p>
          <w:p w14:paraId="1755239C" w14:textId="598771B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D99C" w14:textId="013BF81F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>Leczenie cukrzycy u dorosłych, młodzieży i dzieci w wieku powyżej 1 roku życia</w:t>
            </w:r>
          </w:p>
        </w:tc>
      </w:tr>
      <w:tr w:rsidR="000D65DF" w:rsidRPr="00090759" w14:paraId="60561510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F09D" w14:textId="548333A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Levemir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we wkładzie,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 (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Penfil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)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05909990005741</w:t>
            </w:r>
          </w:p>
          <w:p w14:paraId="1B105A7B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BA325" w14:textId="772E88CC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w wieku od 2 lat i powyżej; </w:t>
            </w:r>
          </w:p>
          <w:p w14:paraId="5D6BD0F0" w14:textId="5F8F76DA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7722" w14:textId="4BA23E1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1 roku życia</w:t>
            </w:r>
          </w:p>
        </w:tc>
      </w:tr>
      <w:tr w:rsidR="000D65DF" w:rsidRPr="00090759" w14:paraId="6E019F91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EC1D" w14:textId="25D45C0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Lantus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wstrzykiwaczy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SoloStar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05909990617555</w:t>
            </w:r>
          </w:p>
          <w:p w14:paraId="10D9048E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5E888" w14:textId="73C22E0B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od 6 roku życia; </w:t>
            </w:r>
          </w:p>
          <w:p w14:paraId="70908444" w14:textId="080E052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05E2" w14:textId="465CA64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  <w:tr w:rsidR="000D65DF" w:rsidRPr="00090759" w14:paraId="0CB6CD70" w14:textId="77777777" w:rsidTr="000D65DF">
        <w:trPr>
          <w:trHeight w:val="13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3703E" w14:textId="6B880F10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Lantus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100 j/ml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05909990895717</w:t>
            </w:r>
          </w:p>
          <w:p w14:paraId="4F05CA06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5A14" w14:textId="3F34E95A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od 6 roku życia; </w:t>
            </w:r>
          </w:p>
          <w:p w14:paraId="2C24174E" w14:textId="3461512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EDDFA" w14:textId="4804531C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  <w:tr w:rsidR="000D65DF" w:rsidRPr="00090759" w14:paraId="0E66998E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00DA" w14:textId="68D529F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Abasaglar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we wkładzie, 100 j.m./ml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>. po 3 ml</w:t>
            </w:r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05909991201982</w:t>
            </w:r>
          </w:p>
          <w:p w14:paraId="3AD189C1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Eli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Lilly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C305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 xml:space="preserve">Cukrzyca typu I u dorosłych, młodzieży i dzieci od 6 roku życia; </w:t>
            </w:r>
          </w:p>
          <w:p w14:paraId="139E93CC" w14:textId="196E74C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2 u pacjentów leczonych insuliną NPH od co najmniej 6 miesięcy i z HbA1c ≥8% oraz cukrzyca typu 2 u pacjentów leczonych insuliną NPH od co najmniej 6 miesięcy i z udokumentowanymi nawracającymi </w:t>
            </w:r>
            <w:r w:rsidRPr="00090759">
              <w:rPr>
                <w:rFonts w:ascii="Lato" w:hAnsi="Lato"/>
                <w:sz w:val="19"/>
                <w:szCs w:val="19"/>
              </w:rPr>
              <w:lastRenderedPageBreak/>
              <w:t>epizodami ciężkiej lub nocnej hipoglikemii oraz cukrzyca typu 1 u dzieci w wieku od 2 do 6 lat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B50D" w14:textId="24422E4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lastRenderedPageBreak/>
              <w:t>Leczenie cukrzycy u dorosłych, młodzieży i dzieci w wieku powyżej 2 lat</w:t>
            </w:r>
          </w:p>
        </w:tc>
      </w:tr>
      <w:tr w:rsidR="000D65DF" w:rsidRPr="00090759" w14:paraId="0A0C945A" w14:textId="77777777" w:rsidTr="000D65DF">
        <w:trPr>
          <w:trHeight w:val="14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8A4C" w14:textId="7BEF1A8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Toujeo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we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wstrzykiwaczu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300 j/ml 10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wstrzykiwaczy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SoloStar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 po 1,5 ml</w:t>
            </w:r>
            <w:r w:rsidR="00D75B0A">
              <w:rPr>
                <w:rFonts w:ascii="Lato" w:hAnsi="Lato"/>
                <w:sz w:val="19"/>
                <w:szCs w:val="19"/>
              </w:rPr>
              <w:t xml:space="preserve">, GTIN: </w:t>
            </w:r>
            <w:r w:rsidRPr="00090759">
              <w:rPr>
                <w:rFonts w:ascii="Lato" w:hAnsi="Lato"/>
                <w:sz w:val="19"/>
                <w:szCs w:val="19"/>
              </w:rPr>
              <w:t>05909991231538</w:t>
            </w:r>
          </w:p>
          <w:p w14:paraId="354F3172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Sanofi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EAEB4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dorosłych; </w:t>
            </w:r>
          </w:p>
          <w:p w14:paraId="3A289FDB" w14:textId="5C8070A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dorosłych pacjentów leczonych insuliną NPH od co najmniej 6 miesięcy i z HbA1c ≥8% oraz cukrzyca typu 2 u dorosłych pacjentów leczonych insuliną NPH od co najmniej 6 miesięcy i z udokumentowanymi nawracającymi epizodami ciężkiej lub nocnej hipoglikemii oraz cukrzyca u dorosłych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6C4D" w14:textId="124200E5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</w:t>
            </w:r>
          </w:p>
        </w:tc>
      </w:tr>
      <w:tr w:rsidR="000D65DF" w:rsidRPr="00090759" w14:paraId="1AAD8BC1" w14:textId="77777777" w:rsidTr="000D65DF">
        <w:trPr>
          <w:trHeight w:val="24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F406" w14:textId="2D5DDAE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proofErr w:type="spellStart"/>
            <w:r w:rsidRPr="00D75B0A">
              <w:rPr>
                <w:rFonts w:ascii="Lato" w:hAnsi="Lato"/>
                <w:b/>
                <w:bCs/>
                <w:sz w:val="19"/>
                <w:szCs w:val="19"/>
              </w:rPr>
              <w:t>Ryzodeg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roztwór do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wstrzykiwań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, 100 j.m./ml 5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wkł</w:t>
            </w:r>
            <w:proofErr w:type="spellEnd"/>
            <w:r w:rsidRPr="00090759">
              <w:rPr>
                <w:rFonts w:ascii="Lato" w:hAnsi="Lato"/>
                <w:sz w:val="19"/>
                <w:szCs w:val="19"/>
              </w:rPr>
              <w:t xml:space="preserve">. po 3 ml </w:t>
            </w:r>
            <w:proofErr w:type="spellStart"/>
            <w:r w:rsidRPr="00090759">
              <w:rPr>
                <w:rFonts w:ascii="Lato" w:hAnsi="Lato"/>
                <w:sz w:val="19"/>
                <w:szCs w:val="19"/>
              </w:rPr>
              <w:t>Penfill</w:t>
            </w:r>
            <w:proofErr w:type="spellEnd"/>
            <w:r w:rsidR="00D75B0A">
              <w:rPr>
                <w:rFonts w:ascii="Lato" w:hAnsi="Lato"/>
                <w:sz w:val="19"/>
                <w:szCs w:val="19"/>
              </w:rPr>
              <w:t>, GTIN:</w:t>
            </w:r>
            <w:r w:rsidRPr="00090759">
              <w:rPr>
                <w:rFonts w:ascii="Lato" w:hAnsi="Lato"/>
                <w:sz w:val="19"/>
                <w:szCs w:val="19"/>
              </w:rPr>
              <w:t xml:space="preserve"> 05909991371562</w:t>
            </w:r>
          </w:p>
          <w:p w14:paraId="6FD54DEA" w14:textId="77777777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Novo Nordisk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AAEE2" w14:textId="77777777" w:rsid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 xml:space="preserve">Cukrzyca typu I u dorosłych, młodzieży i dzieci w wieku od 2 lat i powyżej; </w:t>
            </w:r>
          </w:p>
          <w:p w14:paraId="651AEBA3" w14:textId="1F3108C8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Cukrzyca typu 2 u pacjentów leczonych insuliną NPH od co najmniej 6 miesięcy i z HbA1c ≥8% oraz cukrzyca typu 2 u pacjentów leczonych insuliną NPH od co najmniej 6 miesięcy i z udokumentowanymi nawracającymi epizodami ciężkiej lub nocnej hipoglikemii oraz cukrzyca o znanej przyczynie (zgodnie z definicją wg WHO)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C021" w14:textId="03EFF974" w:rsidR="00D46DBA" w:rsidRPr="00090759" w:rsidRDefault="00D46DBA" w:rsidP="00D75B0A">
            <w:pPr>
              <w:spacing w:line="252" w:lineRule="auto"/>
              <w:rPr>
                <w:rFonts w:ascii="Lato" w:hAnsi="Lato"/>
                <w:sz w:val="19"/>
                <w:szCs w:val="19"/>
              </w:rPr>
            </w:pPr>
            <w:r w:rsidRPr="00090759">
              <w:rPr>
                <w:rFonts w:ascii="Lato" w:hAnsi="Lato"/>
                <w:sz w:val="19"/>
                <w:szCs w:val="19"/>
              </w:rPr>
              <w:t>Leczenie cukrzycy u dorosłych, młodzieży i dzieci w wieku powyżej 2 lat</w:t>
            </w:r>
          </w:p>
        </w:tc>
      </w:tr>
    </w:tbl>
    <w:p w14:paraId="0CBA89E0" w14:textId="2C844E3B" w:rsidR="0057280A" w:rsidRPr="00AB3591" w:rsidRDefault="0057280A" w:rsidP="000D65DF">
      <w:pPr>
        <w:spacing w:line="360" w:lineRule="auto"/>
        <w:jc w:val="both"/>
        <w:rPr>
          <w:rFonts w:ascii="Lato" w:hAnsi="Lato"/>
        </w:rPr>
      </w:pPr>
    </w:p>
    <w:sectPr w:rsidR="0057280A" w:rsidRPr="00AB3591" w:rsidSect="001E27D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725D" w14:textId="77777777" w:rsidR="00BB03C4" w:rsidRDefault="00BB03C4">
      <w:pPr>
        <w:spacing w:after="0" w:line="240" w:lineRule="auto"/>
      </w:pPr>
      <w:r>
        <w:separator/>
      </w:r>
    </w:p>
  </w:endnote>
  <w:endnote w:type="continuationSeparator" w:id="0">
    <w:p w14:paraId="47DD04FA" w14:textId="77777777" w:rsidR="00BB03C4" w:rsidRDefault="00BB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4B31" w14:textId="77777777" w:rsidR="00BB03C4" w:rsidRDefault="00BB03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D06601" w14:textId="77777777" w:rsidR="00BB03C4" w:rsidRDefault="00BB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4" w:name="_Hlk74147372"/>
    <w:bookmarkEnd w:id="4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5514ACD"/>
    <w:multiLevelType w:val="hybridMultilevel"/>
    <w:tmpl w:val="E0D4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5666"/>
    <w:multiLevelType w:val="hybridMultilevel"/>
    <w:tmpl w:val="A4F85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624C"/>
    <w:multiLevelType w:val="hybridMultilevel"/>
    <w:tmpl w:val="AD1E0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2DB4"/>
    <w:multiLevelType w:val="hybridMultilevel"/>
    <w:tmpl w:val="0F0EE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07CA0"/>
    <w:multiLevelType w:val="hybridMultilevel"/>
    <w:tmpl w:val="A0F424B8"/>
    <w:lvl w:ilvl="0" w:tplc="8A88F7A0">
      <w:start w:val="1"/>
      <w:numFmt w:val="bullet"/>
      <w:lvlText w:val="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1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02E3E"/>
    <w:multiLevelType w:val="hybridMultilevel"/>
    <w:tmpl w:val="824E7FF2"/>
    <w:lvl w:ilvl="0" w:tplc="42B46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03EA2"/>
    <w:multiLevelType w:val="hybridMultilevel"/>
    <w:tmpl w:val="A63E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70DA6"/>
    <w:multiLevelType w:val="hybridMultilevel"/>
    <w:tmpl w:val="77F4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97E73"/>
    <w:multiLevelType w:val="hybridMultilevel"/>
    <w:tmpl w:val="242ABB08"/>
    <w:lvl w:ilvl="0" w:tplc="3ED024B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4478E"/>
    <w:multiLevelType w:val="hybridMultilevel"/>
    <w:tmpl w:val="AF20E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D6190"/>
    <w:multiLevelType w:val="hybridMultilevel"/>
    <w:tmpl w:val="2884C96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5"/>
  </w:num>
  <w:num w:numId="2" w16cid:durableId="983047750">
    <w:abstractNumId w:val="3"/>
  </w:num>
  <w:num w:numId="3" w16cid:durableId="912206815">
    <w:abstractNumId w:val="6"/>
  </w:num>
  <w:num w:numId="4" w16cid:durableId="1919241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7"/>
  </w:num>
  <w:num w:numId="6" w16cid:durableId="1164782895">
    <w:abstractNumId w:val="4"/>
  </w:num>
  <w:num w:numId="7" w16cid:durableId="1764568987">
    <w:abstractNumId w:val="9"/>
  </w:num>
  <w:num w:numId="8" w16cid:durableId="1605840971">
    <w:abstractNumId w:val="12"/>
  </w:num>
  <w:num w:numId="9" w16cid:durableId="969629549">
    <w:abstractNumId w:val="24"/>
  </w:num>
  <w:num w:numId="10" w16cid:durableId="1576276737">
    <w:abstractNumId w:val="1"/>
  </w:num>
  <w:num w:numId="11" w16cid:durableId="409036424">
    <w:abstractNumId w:val="33"/>
  </w:num>
  <w:num w:numId="12" w16cid:durableId="1526747669">
    <w:abstractNumId w:val="2"/>
  </w:num>
  <w:num w:numId="13" w16cid:durableId="1746950255">
    <w:abstractNumId w:val="13"/>
  </w:num>
  <w:num w:numId="14" w16cid:durableId="329715522">
    <w:abstractNumId w:val="15"/>
  </w:num>
  <w:num w:numId="15" w16cid:durableId="1837842867">
    <w:abstractNumId w:val="14"/>
  </w:num>
  <w:num w:numId="16" w16cid:durableId="1970238000">
    <w:abstractNumId w:val="26"/>
  </w:num>
  <w:num w:numId="17" w16cid:durableId="485172914">
    <w:abstractNumId w:val="20"/>
  </w:num>
  <w:num w:numId="18" w16cid:durableId="338780148">
    <w:abstractNumId w:val="7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22"/>
  </w:num>
  <w:num w:numId="22" w16cid:durableId="1157845039">
    <w:abstractNumId w:val="21"/>
  </w:num>
  <w:num w:numId="23" w16cid:durableId="1318220489">
    <w:abstractNumId w:val="17"/>
  </w:num>
  <w:num w:numId="24" w16cid:durableId="791442922">
    <w:abstractNumId w:val="23"/>
  </w:num>
  <w:num w:numId="25" w16cid:durableId="2017875421">
    <w:abstractNumId w:val="16"/>
  </w:num>
  <w:num w:numId="26" w16cid:durableId="980844193">
    <w:abstractNumId w:val="10"/>
  </w:num>
  <w:num w:numId="27" w16cid:durableId="1580867898">
    <w:abstractNumId w:val="19"/>
  </w:num>
  <w:num w:numId="28" w16cid:durableId="108477893">
    <w:abstractNumId w:val="25"/>
  </w:num>
  <w:num w:numId="29" w16cid:durableId="1809199527">
    <w:abstractNumId w:val="32"/>
  </w:num>
  <w:num w:numId="30" w16cid:durableId="210698488">
    <w:abstractNumId w:val="28"/>
  </w:num>
  <w:num w:numId="31" w16cid:durableId="1342464460">
    <w:abstractNumId w:val="8"/>
  </w:num>
  <w:num w:numId="32" w16cid:durableId="2066639270">
    <w:abstractNumId w:val="18"/>
  </w:num>
  <w:num w:numId="33" w16cid:durableId="603922596">
    <w:abstractNumId w:val="29"/>
  </w:num>
  <w:num w:numId="34" w16cid:durableId="302273013">
    <w:abstractNumId w:val="31"/>
  </w:num>
  <w:num w:numId="35" w16cid:durableId="1906723298">
    <w:abstractNumId w:val="30"/>
  </w:num>
  <w:num w:numId="36" w16cid:durableId="81683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71A55"/>
    <w:rsid w:val="0008118E"/>
    <w:rsid w:val="00086074"/>
    <w:rsid w:val="00090759"/>
    <w:rsid w:val="0009112E"/>
    <w:rsid w:val="00097B17"/>
    <w:rsid w:val="000A4576"/>
    <w:rsid w:val="000A688D"/>
    <w:rsid w:val="000A6B96"/>
    <w:rsid w:val="000B07C1"/>
    <w:rsid w:val="000B21F0"/>
    <w:rsid w:val="000B32C4"/>
    <w:rsid w:val="000B4286"/>
    <w:rsid w:val="000B7075"/>
    <w:rsid w:val="000D02C0"/>
    <w:rsid w:val="000D2FED"/>
    <w:rsid w:val="000D65DF"/>
    <w:rsid w:val="000E3BBE"/>
    <w:rsid w:val="000E649C"/>
    <w:rsid w:val="000F077F"/>
    <w:rsid w:val="000F3ED2"/>
    <w:rsid w:val="000F5E24"/>
    <w:rsid w:val="000F61F5"/>
    <w:rsid w:val="001030B2"/>
    <w:rsid w:val="0011263C"/>
    <w:rsid w:val="001204EA"/>
    <w:rsid w:val="00127452"/>
    <w:rsid w:val="0014005D"/>
    <w:rsid w:val="0014120D"/>
    <w:rsid w:val="00143D0B"/>
    <w:rsid w:val="00144B55"/>
    <w:rsid w:val="00155C8E"/>
    <w:rsid w:val="001566B9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354B"/>
    <w:rsid w:val="001D6485"/>
    <w:rsid w:val="001E2320"/>
    <w:rsid w:val="001E27D2"/>
    <w:rsid w:val="001E610A"/>
    <w:rsid w:val="001E721F"/>
    <w:rsid w:val="00202697"/>
    <w:rsid w:val="00205C55"/>
    <w:rsid w:val="00206C0B"/>
    <w:rsid w:val="00207DEE"/>
    <w:rsid w:val="00215382"/>
    <w:rsid w:val="00215880"/>
    <w:rsid w:val="00221A2A"/>
    <w:rsid w:val="002270E2"/>
    <w:rsid w:val="00230BB7"/>
    <w:rsid w:val="0024697E"/>
    <w:rsid w:val="00255E53"/>
    <w:rsid w:val="00265039"/>
    <w:rsid w:val="00275115"/>
    <w:rsid w:val="00280311"/>
    <w:rsid w:val="00281BE7"/>
    <w:rsid w:val="0028384A"/>
    <w:rsid w:val="00286651"/>
    <w:rsid w:val="00287196"/>
    <w:rsid w:val="0029287B"/>
    <w:rsid w:val="0029403F"/>
    <w:rsid w:val="002C0340"/>
    <w:rsid w:val="002C19DE"/>
    <w:rsid w:val="002D5020"/>
    <w:rsid w:val="002D55B8"/>
    <w:rsid w:val="002D6ED9"/>
    <w:rsid w:val="002E46AC"/>
    <w:rsid w:val="002F0FB2"/>
    <w:rsid w:val="002F61E3"/>
    <w:rsid w:val="003051DF"/>
    <w:rsid w:val="00305610"/>
    <w:rsid w:val="0031104C"/>
    <w:rsid w:val="003130CA"/>
    <w:rsid w:val="00326537"/>
    <w:rsid w:val="00330083"/>
    <w:rsid w:val="003357D9"/>
    <w:rsid w:val="00337B00"/>
    <w:rsid w:val="00355899"/>
    <w:rsid w:val="00356E75"/>
    <w:rsid w:val="0035733E"/>
    <w:rsid w:val="00364278"/>
    <w:rsid w:val="00374DBE"/>
    <w:rsid w:val="0037704D"/>
    <w:rsid w:val="0037714E"/>
    <w:rsid w:val="003841AB"/>
    <w:rsid w:val="003905D7"/>
    <w:rsid w:val="003935E8"/>
    <w:rsid w:val="003975D4"/>
    <w:rsid w:val="003A0F16"/>
    <w:rsid w:val="003A5B7D"/>
    <w:rsid w:val="003A6433"/>
    <w:rsid w:val="003B46BF"/>
    <w:rsid w:val="003D2AE2"/>
    <w:rsid w:val="003D71C6"/>
    <w:rsid w:val="003F072E"/>
    <w:rsid w:val="003F3FAA"/>
    <w:rsid w:val="00404F9B"/>
    <w:rsid w:val="00411C64"/>
    <w:rsid w:val="004156E6"/>
    <w:rsid w:val="00415707"/>
    <w:rsid w:val="00416F70"/>
    <w:rsid w:val="0041703B"/>
    <w:rsid w:val="004226E8"/>
    <w:rsid w:val="00424198"/>
    <w:rsid w:val="004403B4"/>
    <w:rsid w:val="00446466"/>
    <w:rsid w:val="00447CE9"/>
    <w:rsid w:val="00453B55"/>
    <w:rsid w:val="0045613D"/>
    <w:rsid w:val="00457779"/>
    <w:rsid w:val="00466FE8"/>
    <w:rsid w:val="0047197E"/>
    <w:rsid w:val="004744CD"/>
    <w:rsid w:val="0047483C"/>
    <w:rsid w:val="0048011A"/>
    <w:rsid w:val="004850DC"/>
    <w:rsid w:val="00490715"/>
    <w:rsid w:val="00491267"/>
    <w:rsid w:val="00491300"/>
    <w:rsid w:val="00492285"/>
    <w:rsid w:val="004A2F20"/>
    <w:rsid w:val="004A2F45"/>
    <w:rsid w:val="004A5135"/>
    <w:rsid w:val="004B0695"/>
    <w:rsid w:val="004B2F38"/>
    <w:rsid w:val="004C35E7"/>
    <w:rsid w:val="004D093B"/>
    <w:rsid w:val="004D2191"/>
    <w:rsid w:val="004D7DDC"/>
    <w:rsid w:val="004E2587"/>
    <w:rsid w:val="004E4723"/>
    <w:rsid w:val="004F3FEF"/>
    <w:rsid w:val="004F7A4E"/>
    <w:rsid w:val="0050014B"/>
    <w:rsid w:val="00501687"/>
    <w:rsid w:val="00504D78"/>
    <w:rsid w:val="005058F2"/>
    <w:rsid w:val="00512C38"/>
    <w:rsid w:val="00512C7C"/>
    <w:rsid w:val="005130EF"/>
    <w:rsid w:val="005143E4"/>
    <w:rsid w:val="00516499"/>
    <w:rsid w:val="005224DB"/>
    <w:rsid w:val="005451A6"/>
    <w:rsid w:val="0055182D"/>
    <w:rsid w:val="00553AE5"/>
    <w:rsid w:val="00567252"/>
    <w:rsid w:val="0056748F"/>
    <w:rsid w:val="0057280A"/>
    <w:rsid w:val="00574D83"/>
    <w:rsid w:val="00584C82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550D"/>
    <w:rsid w:val="005F70FE"/>
    <w:rsid w:val="006008CD"/>
    <w:rsid w:val="006159D3"/>
    <w:rsid w:val="00633806"/>
    <w:rsid w:val="00633883"/>
    <w:rsid w:val="00634434"/>
    <w:rsid w:val="0064109C"/>
    <w:rsid w:val="0064487F"/>
    <w:rsid w:val="00644E28"/>
    <w:rsid w:val="00645CA2"/>
    <w:rsid w:val="006648F3"/>
    <w:rsid w:val="00670C14"/>
    <w:rsid w:val="0067351A"/>
    <w:rsid w:val="0068046C"/>
    <w:rsid w:val="00680B0E"/>
    <w:rsid w:val="006858B7"/>
    <w:rsid w:val="00686511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79B"/>
    <w:rsid w:val="006D183E"/>
    <w:rsid w:val="006D336E"/>
    <w:rsid w:val="006D6B78"/>
    <w:rsid w:val="006D7964"/>
    <w:rsid w:val="006E4E37"/>
    <w:rsid w:val="006F498A"/>
    <w:rsid w:val="006F5BEB"/>
    <w:rsid w:val="0070316B"/>
    <w:rsid w:val="0070349C"/>
    <w:rsid w:val="007135A8"/>
    <w:rsid w:val="007156F6"/>
    <w:rsid w:val="00715B91"/>
    <w:rsid w:val="007321D8"/>
    <w:rsid w:val="00733AF9"/>
    <w:rsid w:val="00734732"/>
    <w:rsid w:val="00740ABA"/>
    <w:rsid w:val="00741E62"/>
    <w:rsid w:val="0074295D"/>
    <w:rsid w:val="00744FFB"/>
    <w:rsid w:val="00755E27"/>
    <w:rsid w:val="0078723A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DAB"/>
    <w:rsid w:val="007F016E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7118E"/>
    <w:rsid w:val="008771C8"/>
    <w:rsid w:val="00882DCA"/>
    <w:rsid w:val="0088727A"/>
    <w:rsid w:val="00891D0D"/>
    <w:rsid w:val="00896D35"/>
    <w:rsid w:val="008B00C4"/>
    <w:rsid w:val="008B089D"/>
    <w:rsid w:val="008B43B0"/>
    <w:rsid w:val="008C0493"/>
    <w:rsid w:val="008C0E92"/>
    <w:rsid w:val="008D45C3"/>
    <w:rsid w:val="008E18D7"/>
    <w:rsid w:val="008E33C7"/>
    <w:rsid w:val="008F1D35"/>
    <w:rsid w:val="008F7384"/>
    <w:rsid w:val="009066C7"/>
    <w:rsid w:val="0092216D"/>
    <w:rsid w:val="009323CD"/>
    <w:rsid w:val="00933339"/>
    <w:rsid w:val="009509F5"/>
    <w:rsid w:val="00953B84"/>
    <w:rsid w:val="00961330"/>
    <w:rsid w:val="00982754"/>
    <w:rsid w:val="00984226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1AF3"/>
    <w:rsid w:val="009F413F"/>
    <w:rsid w:val="009F550A"/>
    <w:rsid w:val="009F7497"/>
    <w:rsid w:val="00A01F60"/>
    <w:rsid w:val="00A04BCC"/>
    <w:rsid w:val="00A053B9"/>
    <w:rsid w:val="00A1146C"/>
    <w:rsid w:val="00A118F0"/>
    <w:rsid w:val="00A159DA"/>
    <w:rsid w:val="00A20F7F"/>
    <w:rsid w:val="00A22494"/>
    <w:rsid w:val="00A22A7B"/>
    <w:rsid w:val="00A22EE5"/>
    <w:rsid w:val="00A242D8"/>
    <w:rsid w:val="00A43354"/>
    <w:rsid w:val="00A434EB"/>
    <w:rsid w:val="00A510E6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A2A36"/>
    <w:rsid w:val="00AA2E63"/>
    <w:rsid w:val="00AA4608"/>
    <w:rsid w:val="00AA6179"/>
    <w:rsid w:val="00AB1235"/>
    <w:rsid w:val="00AB2D5E"/>
    <w:rsid w:val="00AB3591"/>
    <w:rsid w:val="00AC0511"/>
    <w:rsid w:val="00AD08C5"/>
    <w:rsid w:val="00AE069A"/>
    <w:rsid w:val="00AE497D"/>
    <w:rsid w:val="00AE6352"/>
    <w:rsid w:val="00AF1EBC"/>
    <w:rsid w:val="00B03985"/>
    <w:rsid w:val="00B1467F"/>
    <w:rsid w:val="00B265ED"/>
    <w:rsid w:val="00B31928"/>
    <w:rsid w:val="00B326A9"/>
    <w:rsid w:val="00B36EE4"/>
    <w:rsid w:val="00B45ED3"/>
    <w:rsid w:val="00B5170E"/>
    <w:rsid w:val="00B543E9"/>
    <w:rsid w:val="00B57127"/>
    <w:rsid w:val="00B76B2B"/>
    <w:rsid w:val="00B8251D"/>
    <w:rsid w:val="00B94288"/>
    <w:rsid w:val="00B9538B"/>
    <w:rsid w:val="00B966A6"/>
    <w:rsid w:val="00BA15A9"/>
    <w:rsid w:val="00BB03C4"/>
    <w:rsid w:val="00BB30C0"/>
    <w:rsid w:val="00BC376D"/>
    <w:rsid w:val="00BC433B"/>
    <w:rsid w:val="00BD18E8"/>
    <w:rsid w:val="00BD20BC"/>
    <w:rsid w:val="00BE0486"/>
    <w:rsid w:val="00BF013B"/>
    <w:rsid w:val="00C0285F"/>
    <w:rsid w:val="00C15673"/>
    <w:rsid w:val="00C15E6F"/>
    <w:rsid w:val="00C210A9"/>
    <w:rsid w:val="00C22821"/>
    <w:rsid w:val="00C243BF"/>
    <w:rsid w:val="00C25F63"/>
    <w:rsid w:val="00C273C0"/>
    <w:rsid w:val="00C276AE"/>
    <w:rsid w:val="00C34F0F"/>
    <w:rsid w:val="00C36F4C"/>
    <w:rsid w:val="00C4237C"/>
    <w:rsid w:val="00C4376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1DE1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D156FA"/>
    <w:rsid w:val="00D17D3E"/>
    <w:rsid w:val="00D240D1"/>
    <w:rsid w:val="00D3459A"/>
    <w:rsid w:val="00D4388C"/>
    <w:rsid w:val="00D44A5D"/>
    <w:rsid w:val="00D46DBA"/>
    <w:rsid w:val="00D510E8"/>
    <w:rsid w:val="00D554A2"/>
    <w:rsid w:val="00D5628B"/>
    <w:rsid w:val="00D63F4F"/>
    <w:rsid w:val="00D6426A"/>
    <w:rsid w:val="00D66456"/>
    <w:rsid w:val="00D75B0A"/>
    <w:rsid w:val="00D77CD0"/>
    <w:rsid w:val="00D9306F"/>
    <w:rsid w:val="00DB0B88"/>
    <w:rsid w:val="00DB68D3"/>
    <w:rsid w:val="00DC6168"/>
    <w:rsid w:val="00DD18C6"/>
    <w:rsid w:val="00DD6D00"/>
    <w:rsid w:val="00DE00F0"/>
    <w:rsid w:val="00DE1894"/>
    <w:rsid w:val="00DE5079"/>
    <w:rsid w:val="00DF2079"/>
    <w:rsid w:val="00DF6B3A"/>
    <w:rsid w:val="00E10271"/>
    <w:rsid w:val="00E34DF7"/>
    <w:rsid w:val="00E351BA"/>
    <w:rsid w:val="00E35DF6"/>
    <w:rsid w:val="00E50D44"/>
    <w:rsid w:val="00E52765"/>
    <w:rsid w:val="00E64133"/>
    <w:rsid w:val="00E6583C"/>
    <w:rsid w:val="00E66456"/>
    <w:rsid w:val="00E738D5"/>
    <w:rsid w:val="00E8288D"/>
    <w:rsid w:val="00E8348C"/>
    <w:rsid w:val="00E900DE"/>
    <w:rsid w:val="00E91E64"/>
    <w:rsid w:val="00EA2DBB"/>
    <w:rsid w:val="00EA326D"/>
    <w:rsid w:val="00EB1B3E"/>
    <w:rsid w:val="00EB5A68"/>
    <w:rsid w:val="00EB77EA"/>
    <w:rsid w:val="00EC0C4F"/>
    <w:rsid w:val="00EC2941"/>
    <w:rsid w:val="00EC2B8F"/>
    <w:rsid w:val="00EC74BA"/>
    <w:rsid w:val="00ED15F0"/>
    <w:rsid w:val="00EE4384"/>
    <w:rsid w:val="00EE4BD7"/>
    <w:rsid w:val="00EE73A4"/>
    <w:rsid w:val="00EF3551"/>
    <w:rsid w:val="00F017D6"/>
    <w:rsid w:val="00F12CF6"/>
    <w:rsid w:val="00F147FC"/>
    <w:rsid w:val="00F15BD4"/>
    <w:rsid w:val="00F25384"/>
    <w:rsid w:val="00F31A79"/>
    <w:rsid w:val="00F37B6C"/>
    <w:rsid w:val="00F42214"/>
    <w:rsid w:val="00F5061B"/>
    <w:rsid w:val="00F61A7D"/>
    <w:rsid w:val="00F63AA8"/>
    <w:rsid w:val="00F67CA2"/>
    <w:rsid w:val="00F7172F"/>
    <w:rsid w:val="00F72521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34E5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customStyle="1" w:styleId="pismamz">
    <w:name w:val="pisma_mz"/>
    <w:basedOn w:val="Normalny"/>
    <w:link w:val="pismamzZnak"/>
    <w:qFormat/>
    <w:rsid w:val="00E351BA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E351BA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AB3591"/>
    <w:rPr>
      <w:b/>
      <w:bCs/>
    </w:rPr>
  </w:style>
  <w:style w:type="character" w:customStyle="1" w:styleId="cf01">
    <w:name w:val="cf01"/>
    <w:basedOn w:val="Domylnaczcionkaakapitu"/>
    <w:rsid w:val="00D46D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46D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4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4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2024'!$B$3:$E$3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6B-40F5-B344-900C4C3B8E60}"/>
            </c:ext>
          </c:extLst>
        </c:ser>
        <c:ser>
          <c:idx val="1"/>
          <c:order val="1"/>
          <c:tx>
            <c:strRef>
              <c:f>'miesiące 2024'!$A$4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2024'!$B$4:$E$4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6B-40F5-B344-900C4C3B8E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2024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2024'!$A$18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2024'!$B$18:$E$18</c:f>
              <c:numCache>
                <c:formatCode>General</c:formatCode>
                <c:ptCount val="4"/>
                <c:pt idx="0">
                  <c:v>10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B-440D-AB05-ABF2F25B532B}"/>
            </c:ext>
          </c:extLst>
        </c:ser>
        <c:ser>
          <c:idx val="1"/>
          <c:order val="1"/>
          <c:tx>
            <c:strRef>
              <c:f>'miesiące 2024'!$A$19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2024'!$B$16:$E$17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2024'!$B$19:$E$19</c:f>
              <c:numCache>
                <c:formatCode>General</c:formatCode>
                <c:ptCount val="4"/>
                <c:pt idx="0">
                  <c:v>9</c:v>
                </c:pt>
                <c:pt idx="1">
                  <c:v>25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DB-440D-AB05-ABF2F25B53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2024 r. (stan na lipiec) </a:t>
            </a:r>
          </a:p>
        </c:rich>
      </c:tx>
      <c:layout>
        <c:manualLayout>
          <c:xMode val="edge"/>
          <c:yMode val="edge"/>
          <c:x val="0.12051756688308699"/>
          <c:y val="8.470515580016164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233873392944526"/>
          <c:w val="0.84009663854336591"/>
          <c:h val="0.79423995729347407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2024'!$B$2</c:f>
              <c:strCache>
                <c:ptCount val="1"/>
                <c:pt idx="0">
                  <c:v>2024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2024'!$A$3:$A$12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
ginekologiczne</c:v>
                </c:pt>
                <c:pt idx="6">
                  <c:v>Nowotwory układu 
endokrynnego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'miesiące 2024'!$B$3:$B$12</c:f>
              <c:numCache>
                <c:formatCode>General</c:formatCode>
                <c:ptCount val="8"/>
                <c:pt idx="0">
                  <c:v>1</c:v>
                </c:pt>
                <c:pt idx="1">
                  <c:v>5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211-4CED-886F-C09334E3E4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900" b="1">
                <a:latin typeface="Lato" panose="020F0502020204030203" pitchFamily="34" charset="-18"/>
              </a:rPr>
              <a:t>Cząsteczko-wskazania nieonkologiczne w 2024 r. (stan na lipiec) </a:t>
            </a:r>
          </a:p>
        </c:rich>
      </c:tx>
      <c:layout>
        <c:manualLayout>
          <c:xMode val="edge"/>
          <c:yMode val="edge"/>
          <c:x val="0.15375"/>
          <c:y val="9.2059838895281933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4031587621314779"/>
          <c:y val="9.2834373839058376E-2"/>
          <c:w val="0.76644349190079053"/>
          <c:h val="0.821572447287587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2024'!$B$19</c:f>
              <c:strCache>
                <c:ptCount val="1"/>
                <c:pt idx="0">
                  <c:v>2024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2024'!$A$20:$A$38</c:f>
              <c:strCache>
                <c:ptCount val="18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Hepatologia</c:v>
                </c:pt>
                <c:pt idx="10">
                  <c:v>Hematologia</c:v>
                </c:pt>
                <c:pt idx="11">
                  <c:v>Ginekologia</c:v>
                </c:pt>
                <c:pt idx="12">
                  <c:v>Gastroenterologia</c:v>
                </c:pt>
                <c:pt idx="13">
                  <c:v>Diabetologia</c:v>
                </c:pt>
                <c:pt idx="14">
                  <c:v>Dermatologia</c:v>
                </c:pt>
                <c:pt idx="15">
                  <c:v>Choroby metaboliczne</c:v>
                </c:pt>
                <c:pt idx="16">
                  <c:v>Angiologia</c:v>
                </c:pt>
                <c:pt idx="17">
                  <c:v>Alergologia</c:v>
                </c:pt>
              </c:strCache>
              <c:extLst/>
            </c:strRef>
          </c:cat>
          <c:val>
            <c:numRef>
              <c:f>'miesiące 2024'!$B$20:$B$38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9</c:v>
                </c:pt>
                <c:pt idx="6">
                  <c:v>5</c:v>
                </c:pt>
                <c:pt idx="7">
                  <c:v>7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11</c:v>
                </c:pt>
                <c:pt idx="12">
                  <c:v>2</c:v>
                </c:pt>
                <c:pt idx="13">
                  <c:v>8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8D0-48A9-8B5D-2D5709729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 2013–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 2013–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 2013–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4559</Words>
  <Characters>27359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Wilk Justyna</cp:lastModifiedBy>
  <cp:revision>9</cp:revision>
  <dcterms:created xsi:type="dcterms:W3CDTF">2024-06-12T09:31:00Z</dcterms:created>
  <dcterms:modified xsi:type="dcterms:W3CDTF">2024-06-13T06:31:00Z</dcterms:modified>
</cp:coreProperties>
</file>