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360" w:lineRule="exact"/>
      </w:pPr>
      <w:r>
        <w:drawing>
          <wp:anchor distT="0" distB="0" distL="0" distR="0" simplePos="0" relativeHeight="62914690" behindDoc="1" locked="0" layoutInCell="1" allowOverlap="1">
            <wp:simplePos x="0" y="0"/>
            <wp:positionH relativeFrom="page">
              <wp:posOffset>325755</wp:posOffset>
            </wp:positionH>
            <wp:positionV relativeFrom="margin">
              <wp:posOffset>0</wp:posOffset>
            </wp:positionV>
            <wp:extent cx="3151505" cy="1060450"/>
            <wp:wrapNone/>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3151505" cy="1060450"/>
                    </a:xfrm>
                    <a:prstGeom prst="rect"/>
                  </pic:spPr>
                </pic:pic>
              </a:graphicData>
            </a:graphic>
          </wp:anchor>
        </w:drawing>
      </w:r>
    </w:p>
    <w:p>
      <w:pPr>
        <w:widowControl w:val="0"/>
        <w:spacing w:line="360" w:lineRule="exact"/>
      </w:pPr>
    </w:p>
    <w:p>
      <w:pPr>
        <w:widowControl w:val="0"/>
        <w:spacing w:line="360" w:lineRule="exact"/>
      </w:pPr>
    </w:p>
    <w:p>
      <w:pPr>
        <w:widowControl w:val="0"/>
        <w:spacing w:after="589" w:line="1" w:lineRule="exact"/>
      </w:pPr>
    </w:p>
    <w:p>
      <w:pPr>
        <w:widowControl w:val="0"/>
        <w:spacing w:line="1" w:lineRule="exact"/>
        <w:sectPr>
          <w:footnotePr>
            <w:pos w:val="pageBottom"/>
            <w:numFmt w:val="decimal"/>
            <w:numRestart w:val="continuous"/>
          </w:footnotePr>
          <w:pgSz w:w="11900" w:h="16840"/>
          <w:pgMar w:top="591" w:right="1999" w:bottom="482" w:left="513" w:header="163" w:footer="54" w:gutter="0"/>
          <w:pgNumType w:start="1"/>
          <w:cols w:space="720"/>
          <w:noEndnote/>
          <w:rtlGutter w:val="0"/>
          <w:docGrid w:linePitch="360"/>
        </w:sectPr>
      </w:pPr>
    </w:p>
    <w:p>
      <w:pPr>
        <w:pStyle w:val="Style6"/>
        <w:keepNext w:val="0"/>
        <w:keepLines w:val="0"/>
        <w:widowControl w:val="0"/>
        <w:shd w:val="clear" w:color="auto" w:fill="auto"/>
        <w:bidi w:val="0"/>
        <w:spacing w:before="0" w:after="0" w:line="240" w:lineRule="auto"/>
        <w:ind w:left="0" w:right="0" w:firstLine="0"/>
        <w:jc w:val="left"/>
      </w:pPr>
      <w:r>
        <w:rPr>
          <w:rStyle w:val="CharStyle7"/>
        </w:rPr>
        <w:t>DGL-WOP.053.4.2025.MJ</w:t>
      </w:r>
    </w:p>
    <w:p>
      <w:pPr>
        <w:pStyle w:val="Style6"/>
        <w:keepNext w:val="0"/>
        <w:keepLines w:val="0"/>
        <w:widowControl w:val="0"/>
        <w:shd w:val="clear" w:color="auto" w:fill="auto"/>
        <w:bidi w:val="0"/>
        <w:spacing w:before="0" w:after="0" w:line="240" w:lineRule="auto"/>
        <w:ind w:left="0" w:right="0" w:firstLine="0"/>
        <w:jc w:val="left"/>
        <w:rPr>
          <w:sz w:val="18"/>
          <w:szCs w:val="18"/>
        </w:rPr>
      </w:pPr>
      <w:r>
        <w:rPr>
          <w:rStyle w:val="CharStyle7"/>
          <w:sz w:val="18"/>
          <w:szCs w:val="18"/>
        </w:rPr>
        <w:t>3879431.16025574.12895444</w:t>
      </w:r>
    </w:p>
    <w:p>
      <w:pPr>
        <w:pStyle w:val="Style6"/>
        <w:keepNext w:val="0"/>
        <w:keepLines w:val="0"/>
        <w:widowControl w:val="0"/>
        <w:shd w:val="clear" w:color="auto" w:fill="auto"/>
        <w:bidi w:val="0"/>
        <w:spacing w:before="0" w:after="1060" w:line="240" w:lineRule="auto"/>
        <w:ind w:left="0" w:right="0" w:firstLine="0"/>
        <w:jc w:val="left"/>
      </w:pPr>
      <w:r>
        <w:rPr>
          <w:rStyle w:val="CharStyle7"/>
        </w:rPr>
        <w:t>Warszawa, 19-09-2025</w:t>
      </w:r>
    </w:p>
    <w:p>
      <w:pPr>
        <w:pStyle w:val="Style6"/>
        <w:keepNext w:val="0"/>
        <w:keepLines w:val="0"/>
        <w:widowControl w:val="0"/>
        <w:shd w:val="clear" w:color="auto" w:fill="auto"/>
        <w:bidi w:val="0"/>
        <w:spacing w:before="0" w:after="2720"/>
        <w:ind w:left="0" w:right="0" w:firstLine="0"/>
        <w:jc w:val="left"/>
      </w:pPr>
      <w:r>
        <w:rPr>
          <w:rStyle w:val="CharStyle7"/>
        </w:rPr>
        <w:t>Dotyczy - petycji w sprawie ochrony prawnej mieszkańców terenów górniczych przed skutkami wstrząsów.</w:t>
      </w:r>
    </w:p>
    <w:p>
      <w:pPr>
        <w:pStyle w:val="Style6"/>
        <w:keepNext w:val="0"/>
        <w:keepLines w:val="0"/>
        <w:widowControl w:val="0"/>
        <w:shd w:val="clear" w:color="auto" w:fill="auto"/>
        <w:bidi w:val="0"/>
        <w:spacing w:before="0"/>
        <w:ind w:left="0" w:right="0" w:firstLine="0"/>
        <w:jc w:val="left"/>
      </w:pPr>
      <w:r>
        <w:rPr>
          <w:rStyle w:val="CharStyle7"/>
        </w:rPr>
        <w:t>Szanowny Panie,</w:t>
      </w:r>
    </w:p>
    <w:p>
      <w:pPr>
        <w:pStyle w:val="Style6"/>
        <w:keepNext w:val="0"/>
        <w:keepLines w:val="0"/>
        <w:widowControl w:val="0"/>
        <w:shd w:val="clear" w:color="auto" w:fill="auto"/>
        <w:bidi w:val="0"/>
        <w:spacing w:before="0"/>
        <w:ind w:left="0" w:right="0" w:firstLine="0"/>
        <w:jc w:val="left"/>
      </w:pPr>
      <w:r>
        <w:rPr>
          <w:rStyle w:val="CharStyle7"/>
        </w:rPr>
        <w:t>w odpowiedzi na wystąpienie w sprawie ochrony prawnej mieszkańców terenów górniczych przed skutkami wstrząsów, odnosząc się do podniesionych postulatów zmiany Prawa geologicznego i górniczego, przedstawiam następujące stanowisko.</w:t>
      </w:r>
    </w:p>
    <w:p>
      <w:pPr>
        <w:pStyle w:val="Style6"/>
        <w:keepNext w:val="0"/>
        <w:keepLines w:val="0"/>
        <w:widowControl w:val="0"/>
        <w:shd w:val="clear" w:color="auto" w:fill="auto"/>
        <w:bidi w:val="0"/>
        <w:spacing w:before="0"/>
        <w:ind w:left="0" w:right="0" w:firstLine="0"/>
        <w:jc w:val="left"/>
      </w:pPr>
      <w:r>
        <w:rPr>
          <w:rStyle w:val="CharStyle7"/>
          <w:b/>
          <w:bCs/>
        </w:rPr>
        <w:t>Ad. 1. Wprowadzenie do polskiego Prawa geologicznego i górniczego domniemania, że każda szkoda materialna typu pęknięcia ścian budynków, walenie się kominów, osiadanie gruntu itp. na terenach, na których prowadzona jest podziemna działalność górnicza jest spowodowana tą działalnością. To na kopalni ma spoczywać ciężar dowodu, że skarżone straty materialne zostały spowodowane innym czynnikami niż działalność wydobywcza</w:t>
      </w:r>
    </w:p>
    <w:p>
      <w:pPr>
        <w:pStyle w:val="Style6"/>
        <w:keepNext w:val="0"/>
        <w:keepLines w:val="0"/>
        <w:widowControl w:val="0"/>
        <w:shd w:val="clear" w:color="auto" w:fill="auto"/>
        <w:bidi w:val="0"/>
        <w:spacing w:before="0" w:after="880"/>
        <w:ind w:left="0" w:right="0" w:firstLine="0"/>
        <w:jc w:val="left"/>
      </w:pPr>
      <w:r>
        <w:rPr>
          <w:rStyle w:val="CharStyle7"/>
        </w:rPr>
        <w:t>Zgodnie art. 146 ust. 1 ustawy z dnia 9 czerwca 2011 r. ‒ Prawo geologiczne i górnicze</w:t>
      </w:r>
      <w:r>
        <w:rPr>
          <w:rStyle w:val="CharStyle7"/>
          <w:vertAlign w:val="superscript"/>
        </w:rPr>
        <w:t xml:space="preserve">1 </w:t>
      </w:r>
      <w:r>
        <w:rPr>
          <w:rStyle w:val="CharStyle7"/>
        </w:rPr>
        <w:t xml:space="preserve">(„P.g.g.”), odpowiedzialność za szkodę spowodowaną ruchem zakładu górniczego ponosi przedsiębiorca prowadzący ruch zakładu górniczego, wskutek którego wystąpiła szkoda. Przy czym ustawodawca wymaga, by ruch ten był prowadzony zgodnie z ustawą (art. 144 ust. 1 zd. 1 P.g.g.), w tym na podstawie planu ruchu zakładu górniczego, a także zgodnie z zasadami techniki górniczej (art. 105 ust. 1 P.g.g.). W sytuacji gdy nie można ustalić, kto wyrządził szkodę, odpowiada za nią przedsiębiorca, który w dniu ujawnienia się szkody ma prawo prowadzić w obszarze górniczym, w granicach którego wystąpiła szkoda, działalność regulowaną ustawą (art. 146 ust. 3 P.g.g.). Przepisy te można </w:t>
      </w:r>
      <w:r>
        <w:rPr>
          <w:rStyle w:val="CharStyle7"/>
          <w:i/>
          <w:iCs/>
        </w:rPr>
        <w:t xml:space="preserve">prima facie </w:t>
      </w:r>
      <w:r>
        <w:rPr>
          <w:rStyle w:val="CharStyle7"/>
        </w:rPr>
        <w:t>literalnie odczytywać jako domniemanie odpowiedzialności przedsiębiorcy prowadzącego działalność górniczą za szkody, które powstały w granicach obszaru górniczego. Czyli już obowiązujące przepisy P.g.g. wskazują, że za ww. szkody odpowiedzialność ponosi przedsiębiorca, który posiada koncesję na prowadzenie działalności górniczej w granicach obszaru górniczego wskazanego w tej koncesji. Zgodnie z już obowiązującymi przepisami</w:t>
      </w:r>
    </w:p>
    <w:p>
      <w:pPr>
        <w:pStyle w:val="Style2"/>
        <w:keepNext w:val="0"/>
        <w:keepLines w:val="0"/>
        <w:widowControl w:val="0"/>
        <w:numPr>
          <w:ilvl w:val="0"/>
          <w:numId w:val="1"/>
        </w:numPr>
        <w:shd w:val="clear" w:color="auto" w:fill="auto"/>
        <w:tabs>
          <w:tab w:pos="188" w:val="left"/>
        </w:tabs>
        <w:bidi w:val="0"/>
        <w:spacing w:before="0" w:after="500" w:line="240" w:lineRule="auto"/>
        <w:ind w:left="0" w:right="0" w:firstLine="0"/>
        <w:jc w:val="left"/>
      </w:pPr>
      <w:r>
        <w:rPr>
          <w:rStyle w:val="CharStyle3"/>
        </w:rPr>
        <w:t>(Dz. U. z 2024 r. poz. 1290, z późn. zm.)</w:t>
      </w:r>
    </w:p>
    <w:p>
      <w:pPr>
        <w:pStyle w:val="Style2"/>
        <w:keepNext w:val="0"/>
        <w:keepLines w:val="0"/>
        <w:widowControl w:val="0"/>
        <w:shd w:val="clear" w:color="auto" w:fill="auto"/>
        <w:bidi w:val="0"/>
        <w:spacing w:before="0" w:after="0" w:line="240" w:lineRule="auto"/>
        <w:ind w:left="0" w:right="0" w:firstLine="0"/>
        <w:jc w:val="left"/>
      </w:pPr>
      <w:r>
        <mc:AlternateContent>
          <mc:Choice Requires="wps">
            <w:drawing>
              <wp:anchor distT="0" distB="0" distL="114300" distR="114300" simplePos="0" relativeHeight="125829378" behindDoc="0" locked="0" layoutInCell="1" allowOverlap="1">
                <wp:simplePos x="0" y="0"/>
                <wp:positionH relativeFrom="page">
                  <wp:posOffset>4486275</wp:posOffset>
                </wp:positionH>
                <wp:positionV relativeFrom="paragraph">
                  <wp:posOffset>12700</wp:posOffset>
                </wp:positionV>
                <wp:extent cx="1795145" cy="271145"/>
                <wp:wrapSquare wrapText="left"/>
                <wp:docPr id="3" name="Shape 3"/>
                <a:graphic xmlns:a="http://schemas.openxmlformats.org/drawingml/2006/main">
                  <a:graphicData uri="http://schemas.microsoft.com/office/word/2010/wordprocessingShape">
                    <wps:wsp>
                      <wps:cNvSpPr txBox="1"/>
                      <wps:spPr>
                        <a:xfrm>
                          <a:ext cx="1795145" cy="271145"/>
                        </a:xfrm>
                        <a:prstGeom prst="rect"/>
                        <a:noFill/>
                      </wps:spPr>
                      <wps:txbx>
                        <w:txbxContent>
                          <w:p>
                            <w:pPr>
                              <w:pStyle w:val="Style2"/>
                              <w:keepNext w:val="0"/>
                              <w:keepLines w:val="0"/>
                              <w:widowControl w:val="0"/>
                              <w:shd w:val="clear" w:color="auto" w:fill="auto"/>
                              <w:bidi w:val="0"/>
                              <w:spacing w:before="0" w:after="0" w:line="240" w:lineRule="auto"/>
                              <w:ind w:left="300" w:right="0" w:hanging="300"/>
                              <w:jc w:val="left"/>
                            </w:pPr>
                            <w:r>
                              <w:rPr>
                                <w:rStyle w:val="CharStyle3"/>
                              </w:rPr>
                              <w:t>ul. Wawelska 52/54, 00-922 Warszawa Ministerstwo Klimatu i Środowiska</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353.25pt;margin-top:1.pt;width:141.34999999999999pt;height:21.350000000000001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300" w:right="0" w:hanging="300"/>
                        <w:jc w:val="left"/>
                      </w:pPr>
                      <w:r>
                        <w:rPr>
                          <w:rStyle w:val="CharStyle3"/>
                        </w:rPr>
                        <w:t>ul. Wawelska 52/54, 00-922 Warszawa Ministerstwo Klimatu i Środowiska</w:t>
                      </w:r>
                    </w:p>
                  </w:txbxContent>
                </v:textbox>
                <w10:wrap type="square" side="left" anchorx="page"/>
              </v:shape>
            </w:pict>
          </mc:Fallback>
        </mc:AlternateContent>
      </w:r>
      <w:r>
        <w:rPr>
          <w:rStyle w:val="CharStyle3"/>
        </w:rPr>
        <w:t>Telefon: (+48) 22 369 29 00</w:t>
      </w:r>
    </w:p>
    <w:p>
      <w:pPr>
        <w:pStyle w:val="Style2"/>
        <w:keepNext w:val="0"/>
        <w:keepLines w:val="0"/>
        <w:widowControl w:val="0"/>
        <w:shd w:val="clear" w:color="auto" w:fill="auto"/>
        <w:bidi w:val="0"/>
        <w:spacing w:before="0" w:after="0" w:line="240" w:lineRule="auto"/>
        <w:ind w:left="0" w:right="0" w:firstLine="0"/>
        <w:jc w:val="left"/>
      </w:pPr>
      <w:r>
        <w:fldChar w:fldCharType="begin"/>
      </w:r>
      <w:r>
        <w:rPr/>
        <w:instrText> HYPERLINK "mailto:info@klimat.gov.pl" </w:instrText>
      </w:r>
      <w:r>
        <w:fldChar w:fldCharType="separate"/>
      </w:r>
      <w:r>
        <w:rPr>
          <w:rStyle w:val="CharStyle3"/>
        </w:rPr>
        <w:t>info@klimat.gov.pl</w:t>
      </w:r>
      <w:r>
        <w:fldChar w:fldCharType="end"/>
      </w:r>
    </w:p>
    <w:p>
      <w:pPr>
        <w:pStyle w:val="Style2"/>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0" w:h="16840"/>
          <w:pgMar w:top="591" w:right="1999" w:bottom="482" w:left="1953" w:header="0" w:footer="3" w:gutter="0"/>
          <w:cols w:space="720"/>
          <w:noEndnote/>
          <w:rtlGutter w:val="0"/>
          <w:docGrid w:linePitch="360"/>
        </w:sectPr>
      </w:pPr>
      <w:r>
        <mc:AlternateContent>
          <mc:Choice Requires="wps">
            <w:drawing>
              <wp:anchor distT="0" distB="0" distL="114300" distR="114300" simplePos="0" relativeHeight="125829380" behindDoc="0" locked="0" layoutInCell="1" allowOverlap="1">
                <wp:simplePos x="0" y="0"/>
                <wp:positionH relativeFrom="page">
                  <wp:posOffset>2376805</wp:posOffset>
                </wp:positionH>
                <wp:positionV relativeFrom="paragraph">
                  <wp:posOffset>114300</wp:posOffset>
                </wp:positionV>
                <wp:extent cx="2810510" cy="130810"/>
                <wp:wrapSquare wrapText="left"/>
                <wp:docPr id="5" name="Shape 5"/>
                <a:graphic xmlns:a="http://schemas.openxmlformats.org/drawingml/2006/main">
                  <a:graphicData uri="http://schemas.microsoft.com/office/word/2010/wordprocessingShape">
                    <wps:wsp>
                      <wps:cNvSpPr txBox="1"/>
                      <wps:spPr>
                        <a:xfrm>
                          <a:ext cx="2810510" cy="13081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center"/>
                            </w:pPr>
                            <w:r>
                              <w:rPr>
                                <w:rStyle w:val="CharStyle5"/>
                              </w:rPr>
                              <w:t>Działamy zgodnie z EMAS - zarządzając instytucją, dbamy o środowisko</w:t>
                            </w:r>
                          </w:p>
                        </w:txbxContent>
                      </wps:txbx>
                      <wps:bodyPr wrap="none" lIns="0" tIns="0" rIns="0" bIns="0">
                        <a:noAutoFit/>
                      </wps:bodyPr>
                    </wps:wsp>
                  </a:graphicData>
                </a:graphic>
              </wp:anchor>
            </w:drawing>
          </mc:Choice>
          <mc:Fallback>
            <w:pict>
              <v:shape id="_x0000_s1031" type="#_x0000_t202" style="position:absolute;margin-left:187.15000000000001pt;margin-top:9.pt;width:221.30000000000001pt;height:10.300000000000001pt;z-index:-125829373;mso-wrap-distance-left:9.pt;mso-wrap-distance-right:9.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center"/>
                      </w:pPr>
                      <w:r>
                        <w:rPr>
                          <w:rStyle w:val="CharStyle5"/>
                        </w:rPr>
                        <w:t>Działamy zgodnie z EMAS - zarządzając instytucją, dbamy o środowisko</w:t>
                      </w:r>
                    </w:p>
                  </w:txbxContent>
                </v:textbox>
                <w10:wrap type="square" side="left" anchorx="page"/>
              </v:shape>
            </w:pict>
          </mc:Fallback>
        </mc:AlternateContent>
      </w:r>
      <w:r>
        <w:fldChar w:fldCharType="begin"/>
      </w:r>
      <w:r>
        <w:rPr/>
        <w:instrText> HYPERLINK "http://www.gov.pl/klimat" </w:instrText>
      </w:r>
      <w:r>
        <w:fldChar w:fldCharType="separate"/>
      </w:r>
      <w:r>
        <w:rPr>
          <w:rStyle w:val="CharStyle3"/>
        </w:rPr>
        <w:t>www.gov.pl/klimat</w:t>
      </w:r>
      <w:r>
        <w:fldChar w:fldCharType="end"/>
      </w:r>
    </w:p>
    <w:p>
      <w:pPr>
        <w:pStyle w:val="Style6"/>
        <w:keepNext w:val="0"/>
        <w:keepLines w:val="0"/>
        <w:widowControl w:val="0"/>
        <w:shd w:val="clear" w:color="auto" w:fill="auto"/>
        <w:bidi w:val="0"/>
        <w:spacing w:before="0" w:after="60" w:line="307" w:lineRule="auto"/>
        <w:ind w:left="0" w:right="0" w:firstLine="0"/>
        <w:jc w:val="left"/>
      </w:pPr>
      <w:r>
        <w:rPr>
          <w:rStyle w:val="CharStyle7"/>
        </w:rPr>
        <w:t>zasadą jest, że ciężar udowodnienia faktu spoczywa na osobie, która z faktu tego wywodzi skutki prawne (art. 6 ustawy z dnia 23 kwietnia 1964 r. ‒ Kodeks cywilny</w:t>
      </w:r>
      <w:r>
        <w:rPr>
          <w:rStyle w:val="CharStyle7"/>
          <w:vertAlign w:val="superscript"/>
        </w:rPr>
        <w:t>2</w:t>
      </w:r>
      <w:r>
        <w:rPr>
          <w:rStyle w:val="CharStyle7"/>
        </w:rPr>
        <w:t xml:space="preserve"> („K.c.”), tym samym „ciężar dowodu, że skarżone straty materialne zostały spowodowane innym czynnikami niż działalność wydobywcza” obciąża przedsiębiorcę.</w:t>
      </w:r>
    </w:p>
    <w:p>
      <w:pPr>
        <w:pStyle w:val="Style6"/>
        <w:keepNext w:val="0"/>
        <w:keepLines w:val="0"/>
        <w:widowControl w:val="0"/>
        <w:shd w:val="clear" w:color="auto" w:fill="auto"/>
        <w:bidi w:val="0"/>
        <w:spacing w:before="0" w:after="60"/>
        <w:ind w:left="0" w:right="0" w:firstLine="0"/>
        <w:jc w:val="left"/>
      </w:pPr>
      <w:r>
        <w:rPr>
          <w:rStyle w:val="CharStyle7"/>
        </w:rPr>
        <w:t>W sprawach o naprawienie szkody wywołanej ruchem zakładu górniczego dowodzenie okoliczności, na których poszkodowany opiera swoje roszczenie (związek przyczynowy pomiędzy szkodą a ruchem zakładu górniczego) nie jest dla niego szczególnie uciążliwe i w praktyce sprowadza się do wniosku dowodowego o powołanie biegłego z zakresu szkód górniczych.</w:t>
      </w:r>
    </w:p>
    <w:p>
      <w:pPr>
        <w:pStyle w:val="Style6"/>
        <w:keepNext w:val="0"/>
        <w:keepLines w:val="0"/>
        <w:widowControl w:val="0"/>
        <w:shd w:val="clear" w:color="auto" w:fill="auto"/>
        <w:bidi w:val="0"/>
        <w:spacing w:before="0" w:after="60"/>
        <w:ind w:left="0" w:right="0" w:firstLine="0"/>
        <w:jc w:val="left"/>
      </w:pPr>
      <w:r>
        <w:rPr>
          <w:rStyle w:val="CharStyle7"/>
          <w:b/>
          <w:bCs/>
        </w:rPr>
        <w:t>Ad. 2. Wprowadzenia do prawa odpowiedzialności kopalni także za straty niematerialne, w tym zakłócenie nocnego spokoju wstrząsami o takim natężeniu, że powodują wybudzenie się śpiącej osoby. Obywatel powinien mieć prawo skarżyć kopalnię o zakłócenie spokoju także wtedy, gdy wstrząsy wywołują u niego subiektywne poczucie zagrożenia o swoje zdrowie lub życie wskutek możliwego zawalenia się budynku, w którym się znajduje.</w:t>
      </w:r>
    </w:p>
    <w:p>
      <w:pPr>
        <w:pStyle w:val="Style6"/>
        <w:keepNext w:val="0"/>
        <w:keepLines w:val="0"/>
        <w:widowControl w:val="0"/>
        <w:shd w:val="clear" w:color="auto" w:fill="auto"/>
        <w:bidi w:val="0"/>
        <w:spacing w:before="0" w:after="60"/>
        <w:ind w:left="0" w:right="0" w:firstLine="0"/>
        <w:jc w:val="left"/>
      </w:pPr>
      <w:r>
        <w:rPr>
          <w:rStyle w:val="CharStyle7"/>
        </w:rPr>
        <w:t>Zgodnie z art. 145 P.g.g., jeżeli ustawa nie stanowi inaczej, do naprawiania szkód, o których mowa w art. 144 ust. 1 i 2 P.g.g., stosuje się przepisy K.c. W art. 435 K.c. prowadzący na własny rachunek przedsiębiorstwo lub zakład wprawiany w ruch za pomocą sił przyrody (pary, gazu, elektryczności, paliw płynnych itp.) ponosi odpowiedzialność za szkodę na osobie lub mieniu wyrządzoną komukolwiek przez ruch przedsiębiorstwa lub zakładu, chyba że szkoda nastąpiła wskutek siły wyższej albo wyłącznie z winy poszkodowanego lub osoby trzeciej, za którą nie ponosi odpowiedzialności. Roszczenia z tytułu szkód niematerialnych zostały uregulowane w art. 444-446 K.c. W obowiązującym porządku prawnym istnieją więc przepisy umożliwiające dochodzenie odszkodowania i zadośćuczynienia z tytułu tego rodzaju szkód związanych z działalnością przedsiębiorcy górniczego.</w:t>
      </w:r>
    </w:p>
    <w:p>
      <w:pPr>
        <w:pStyle w:val="Style6"/>
        <w:keepNext w:val="0"/>
        <w:keepLines w:val="0"/>
        <w:widowControl w:val="0"/>
        <w:shd w:val="clear" w:color="auto" w:fill="auto"/>
        <w:bidi w:val="0"/>
        <w:spacing w:before="0" w:after="60"/>
        <w:ind w:left="0" w:right="0" w:firstLine="0"/>
        <w:jc w:val="left"/>
      </w:pPr>
      <w:r>
        <w:rPr>
          <w:rStyle w:val="CharStyle7"/>
          <w:b/>
          <w:bCs/>
        </w:rPr>
        <w:t>Ad. 3. Uproszczenia postępowania skargowego obywateli i odciążenie sądów powszechnych na terenach objętych działalnością wydobywczą powinna istnieć ogólnie dostępna, darmowa dla poszkodowanego obywatelska instytucja (niezależna od kopalni) przyjmująca skargi, rozpatrująca je szybko i skutecznie, egzekwująca od kopalni odszkodowania za szkody w mieniu i zdrowiu, także psychicznym.</w:t>
      </w:r>
    </w:p>
    <w:p>
      <w:pPr>
        <w:pStyle w:val="Style6"/>
        <w:keepNext w:val="0"/>
        <w:keepLines w:val="0"/>
        <w:widowControl w:val="0"/>
        <w:shd w:val="clear" w:color="auto" w:fill="auto"/>
        <w:bidi w:val="0"/>
        <w:spacing w:before="0" w:after="60"/>
        <w:ind w:left="0" w:right="0" w:firstLine="0"/>
        <w:jc w:val="left"/>
      </w:pPr>
      <w:r>
        <w:rPr>
          <w:rStyle w:val="CharStyle7"/>
        </w:rPr>
        <w:t>Postępowania sądowe w sprawach szkód spowodowanych działalnością górniczą, prowadzone są przez sądy powszechne po wyczerpaniu postępowania ugodowego (art. 151 ust. 1 P.g.g.). Ugoda stanowi najszybszy sposób zaspokojenia roszczenia (naprawienia szkody). Zgodnie z art. 151 ust. 2 P.g.g. powinna być zawarta w ciągu 30 dni od skierowania przez poszkodowanego roszczenia wobec przedsiębiorcy. Postępowania sądowe, na podstawie art. 96 ust. 1 pkt 12 ustawy z dnia 28 lipca 2005 r. o kosztach sądowych w sprawach cywilnych</w:t>
      </w:r>
      <w:r>
        <w:rPr>
          <w:rStyle w:val="CharStyle7"/>
          <w:vertAlign w:val="superscript"/>
        </w:rPr>
        <w:t>3</w:t>
      </w:r>
      <w:r>
        <w:rPr>
          <w:rStyle w:val="CharStyle7"/>
        </w:rPr>
        <w:t xml:space="preserve"> - zwolnione są od konieczności uiszczania kosztów sądowych przez stronę dochodzącą naprawienia szkód spowodowanych ruchem zakładu górniczego, o których mowa w dziale VIII P.g.g. Zwolnienie to obejmuje opłaty m.in.:</w:t>
      </w:r>
    </w:p>
    <w:p>
      <w:pPr>
        <w:pStyle w:val="Style6"/>
        <w:keepNext w:val="0"/>
        <w:keepLines w:val="0"/>
        <w:widowControl w:val="0"/>
        <w:shd w:val="clear" w:color="auto" w:fill="auto"/>
        <w:bidi w:val="0"/>
        <w:spacing w:before="0" w:after="60" w:line="269" w:lineRule="auto"/>
        <w:ind w:left="380" w:right="0" w:firstLine="0"/>
        <w:jc w:val="left"/>
      </w:pPr>
      <w:r>
        <w:rPr>
          <w:rStyle w:val="CharStyle7"/>
          <w:sz w:val="19"/>
          <w:szCs w:val="19"/>
        </w:rPr>
        <w:t xml:space="preserve">- </w:t>
      </w:r>
      <w:r>
        <w:rPr>
          <w:rStyle w:val="CharStyle7"/>
        </w:rPr>
        <w:t xml:space="preserve">opłatę od pozwu, która w przeciwnym razie mogłaby być bardzo wysoka i </w:t>
      </w:r>
      <w:r>
        <w:rPr>
          <w:rStyle w:val="CharStyle7"/>
          <w:sz w:val="19"/>
          <w:szCs w:val="19"/>
        </w:rPr>
        <w:t xml:space="preserve">- </w:t>
      </w:r>
      <w:r>
        <w:rPr>
          <w:rStyle w:val="CharStyle7"/>
        </w:rPr>
        <w:t>wydatki, np. zaliczki na przeprowadzenie opinii biegłego.</w:t>
      </w:r>
    </w:p>
    <w:p>
      <w:pPr>
        <w:pStyle w:val="Style6"/>
        <w:keepNext w:val="0"/>
        <w:keepLines w:val="0"/>
        <w:widowControl w:val="0"/>
        <w:shd w:val="clear" w:color="auto" w:fill="auto"/>
        <w:bidi w:val="0"/>
        <w:spacing w:before="0" w:after="60"/>
        <w:ind w:left="0" w:right="0" w:firstLine="0"/>
        <w:jc w:val="left"/>
      </w:pPr>
      <w:r>
        <w:rPr>
          <w:rStyle w:val="CharStyle7"/>
        </w:rPr>
        <w:t>Należy wskazać, że zaproponowane powołanie „ogólnie dostępnej, darmowej dla poszkodowanych obywatelska instytucja (…) przyjmująca skargi, rozpatrująca je szybko i skutecznie”, czyli wyłączenie spod kognicji sądów powszechnych rozstrzygania sporów w sprawach, o których mowa dziale VIII P.g.g. i oddanie tych spraw pod właściwość</w:t>
      </w:r>
    </w:p>
    <w:p>
      <w:pPr>
        <w:pStyle w:val="Style6"/>
        <w:keepNext w:val="0"/>
        <w:keepLines w:val="0"/>
        <w:widowControl w:val="0"/>
        <w:shd w:val="clear" w:color="auto" w:fill="auto"/>
        <w:bidi w:val="0"/>
        <w:spacing w:before="0"/>
        <w:ind w:left="0" w:right="0" w:firstLine="0"/>
        <w:jc w:val="left"/>
      </w:pPr>
      <w:r>
        <w:rPr>
          <w:rStyle w:val="CharStyle7"/>
        </w:rPr>
        <w:t>„obywatelskiej instytucji”, może stanowić naruszenie art. 45 ust. 1 Konstytucji</w:t>
      </w:r>
      <w:r>
        <w:rPr>
          <w:rStyle w:val="CharStyle7"/>
          <w:vertAlign w:val="superscript"/>
        </w:rPr>
        <w:t>4</w:t>
      </w:r>
      <w:r>
        <w:rPr>
          <w:rStyle w:val="CharStyle7"/>
        </w:rPr>
        <w:t xml:space="preserve"> RP z dnia 2 kwietnia 1997 r. zgodnie, z którym każdy ma prawo do sprawiedliwego i jawnego rozpatrzenia sprawy bez nieuzasadnionej zwłoki przez właściwy, niezależny, bezstronny i niezawisły sąd, a także art. 177 Konstytucji, który stanowi, że sądy powszechne sprawują wymiar sprawiedliwości we wszystkich sprawach, z wyjątkiem spraw ustawowo zastrzeżonych dla właściwości innych sądów.</w:t>
      </w:r>
    </w:p>
    <w:p>
      <w:pPr>
        <w:pStyle w:val="Style6"/>
        <w:keepNext w:val="0"/>
        <w:keepLines w:val="0"/>
        <w:widowControl w:val="0"/>
        <w:shd w:val="clear" w:color="auto" w:fill="auto"/>
        <w:bidi w:val="0"/>
        <w:spacing w:before="0"/>
        <w:ind w:left="0" w:right="0" w:firstLine="0"/>
        <w:jc w:val="left"/>
      </w:pPr>
      <w:r>
        <w:rPr>
          <w:rStyle w:val="CharStyle7"/>
          <w:b/>
          <w:bCs/>
        </w:rPr>
        <w:t>Ad. 4. Możliwości wnoszenia przez grupy obywateli skarg zbiorowych, które w uzasadnionych przypadkach powinny doprowadzać do natychmiastowego wstrzymania pracy kopalni przynajmniej do czasu wyjaśnienia sprawy. Wyjaśnienie to musi być przeprowadzono koniecznie przez instytucje niezależne od kopalni (czyli np. nie przez zatrudnionych przez kopalnię geologów).</w:t>
      </w:r>
    </w:p>
    <w:p>
      <w:pPr>
        <w:pStyle w:val="Style6"/>
        <w:keepNext w:val="0"/>
        <w:keepLines w:val="0"/>
        <w:widowControl w:val="0"/>
        <w:shd w:val="clear" w:color="auto" w:fill="auto"/>
        <w:bidi w:val="0"/>
        <w:spacing w:before="0"/>
        <w:ind w:left="0" w:right="0" w:firstLine="0"/>
        <w:jc w:val="left"/>
      </w:pPr>
      <w:r>
        <w:rPr>
          <w:rStyle w:val="CharStyle7"/>
        </w:rPr>
        <w:t>Warunki odstąpienia od zatwierdzonego planu ruchu, wskazane w rozumieniu autora propozycji jako: „wstrzymania pracy kopalni” zostały uregulowane w art. 111 P.g.g. Ponadto w przypadku bezpośredniego zagrożenia dla zakładu górniczego, jego pracowników, bezpieczeństwa powszechnego lub środowiska Dyrektor Okręgowego Urzędu Górniczego może w całości lub w części wstrzymać ruch tego zakładu lub jego urządzeń, określając warunki wznowienia ruchu tego zakładu lub urządzeń (art. 171 ust. 1 pkt 2 P.g.g.).</w:t>
      </w:r>
    </w:p>
    <w:p>
      <w:pPr>
        <w:pStyle w:val="Style6"/>
        <w:keepNext w:val="0"/>
        <w:keepLines w:val="0"/>
        <w:widowControl w:val="0"/>
        <w:shd w:val="clear" w:color="auto" w:fill="auto"/>
        <w:bidi w:val="0"/>
        <w:spacing w:before="0" w:after="420"/>
        <w:ind w:left="0" w:right="0" w:firstLine="0"/>
        <w:jc w:val="left"/>
      </w:pPr>
      <w:r>
        <w:rPr>
          <w:rStyle w:val="CharStyle7"/>
        </w:rPr>
        <w:t>Ponadto należy podkreślić, że w polskim porządku prawnym przewidziano możliwość zbiorowego dochodzenia roszczeń jednego rodzaju, opartych na tej samej lub takiej samej podstawie faktycznej (postępowanie grupowe). Aktem prawnym regulującym tę kwestię jest ustawa z dnia 17 grudnia 2009 r. o dochodzeniu roszczeń w postępowaniu grupowym</w:t>
      </w:r>
      <w:r>
        <w:rPr>
          <w:rStyle w:val="CharStyle7"/>
          <w:vertAlign w:val="superscript"/>
        </w:rPr>
        <w:t>5</w:t>
      </w:r>
      <w:r>
        <w:rPr>
          <w:rStyle w:val="CharStyle7"/>
        </w:rPr>
        <w:t>, jednakże akt ten swoim zakresem nie obejmuje szkód spowodowanych ruchem zakładu górniczego, o których mowa w dziale VIII P.g.g. (art. 1 ust. 2 cyt. ustawy). Tym samym zostanie przeanalizowana zasadność opisanej propozycji umożliwienia składania „skarg zbiorowych”, rozumianych jako pozwy grupowe, o których mowa w art. 1 ust. 1 ww. ustawy. Ubocznie należy podkreślić, że gospodarzem wspomnianej ustawy jest Minister Sprawiedliwości.</w:t>
      </w:r>
    </w:p>
    <w:p>
      <w:pPr>
        <w:pStyle w:val="Style6"/>
        <w:keepNext w:val="0"/>
        <w:keepLines w:val="0"/>
        <w:widowControl w:val="0"/>
        <w:shd w:val="clear" w:color="auto" w:fill="auto"/>
        <w:bidi w:val="0"/>
        <w:spacing w:before="0" w:after="420"/>
        <w:ind w:left="0" w:right="0" w:firstLine="0"/>
        <w:jc w:val="left"/>
      </w:pPr>
      <w:r>
        <w:rPr>
          <w:rStyle w:val="CharStyle7"/>
        </w:rPr>
        <w:t>Z up. Ministra</w:t>
      </w:r>
    </w:p>
    <w:p>
      <w:pPr>
        <w:pStyle w:val="Style6"/>
        <w:keepNext w:val="0"/>
        <w:keepLines w:val="0"/>
        <w:widowControl w:val="0"/>
        <w:shd w:val="clear" w:color="auto" w:fill="auto"/>
        <w:bidi w:val="0"/>
        <w:spacing w:before="0" w:after="0"/>
        <w:ind w:left="0" w:right="0" w:firstLine="0"/>
        <w:jc w:val="left"/>
      </w:pPr>
      <w:r>
        <w:rPr>
          <w:rStyle w:val="CharStyle7"/>
        </w:rPr>
        <w:t>Zastępca Dyrektora</w:t>
      </w:r>
    </w:p>
    <w:p>
      <w:pPr>
        <w:pStyle w:val="Style6"/>
        <w:keepNext w:val="0"/>
        <w:keepLines w:val="0"/>
        <w:widowControl w:val="0"/>
        <w:shd w:val="clear" w:color="auto" w:fill="auto"/>
        <w:bidi w:val="0"/>
        <w:spacing w:before="0" w:after="0"/>
        <w:ind w:left="0" w:right="0" w:firstLine="0"/>
        <w:jc w:val="left"/>
      </w:pPr>
      <w:r>
        <w:rPr>
          <w:rStyle w:val="CharStyle7"/>
        </w:rPr>
        <w:t>Departament Geologii</w:t>
      </w:r>
    </w:p>
    <w:p>
      <w:pPr>
        <w:pStyle w:val="Style6"/>
        <w:keepNext w:val="0"/>
        <w:keepLines w:val="0"/>
        <w:widowControl w:val="0"/>
        <w:shd w:val="clear" w:color="auto" w:fill="auto"/>
        <w:bidi w:val="0"/>
        <w:spacing w:before="0" w:after="0"/>
        <w:ind w:left="0" w:right="0" w:firstLine="0"/>
        <w:jc w:val="left"/>
      </w:pPr>
      <w:r>
        <w:rPr>
          <w:rStyle w:val="CharStyle7"/>
        </w:rPr>
        <w:t>Ministerstwo Klimatu i Środowiska</w:t>
      </w:r>
    </w:p>
    <w:p>
      <w:pPr>
        <w:pStyle w:val="Style6"/>
        <w:keepNext w:val="0"/>
        <w:keepLines w:val="0"/>
        <w:widowControl w:val="0"/>
        <w:shd w:val="clear" w:color="auto" w:fill="auto"/>
        <w:bidi w:val="0"/>
        <w:spacing w:before="0" w:after="680"/>
        <w:ind w:left="0" w:right="0" w:firstLine="0"/>
        <w:jc w:val="left"/>
      </w:pPr>
      <w:r>
        <w:rPr>
          <w:rStyle w:val="CharStyle7"/>
        </w:rPr>
        <w:t>/ – podpisany cyfrowo/</w:t>
      </w:r>
    </w:p>
    <w:p>
      <w:pPr>
        <w:pStyle w:val="Style6"/>
        <w:keepNext w:val="0"/>
        <w:keepLines w:val="0"/>
        <w:widowControl w:val="0"/>
        <w:shd w:val="clear" w:color="auto" w:fill="auto"/>
        <w:bidi w:val="0"/>
        <w:spacing w:before="0" w:line="240" w:lineRule="auto"/>
        <w:ind w:left="0" w:right="0" w:firstLine="0"/>
        <w:jc w:val="left"/>
      </w:pPr>
      <w:r>
        <w:rPr>
          <w:rStyle w:val="CharStyle7"/>
        </w:rPr>
        <w:t>Do wiadomości:</w:t>
      </w:r>
    </w:p>
    <w:p>
      <w:pPr>
        <w:pStyle w:val="Style6"/>
        <w:keepNext w:val="0"/>
        <w:keepLines w:val="0"/>
        <w:widowControl w:val="0"/>
        <w:shd w:val="clear" w:color="auto" w:fill="auto"/>
        <w:bidi w:val="0"/>
        <w:spacing w:before="0" w:after="240" w:line="240" w:lineRule="auto"/>
        <w:ind w:left="0" w:right="0" w:firstLine="0"/>
        <w:jc w:val="left"/>
      </w:pPr>
      <w:r>
        <w:rPr>
          <w:rStyle w:val="CharStyle7"/>
        </w:rPr>
        <w:t>Biuro Kontroli i Audytu MKIŚ – w miejscu.</w:t>
      </w:r>
    </w:p>
    <w:sectPr>
      <w:footerReference w:type="default" r:id="rId7"/>
      <w:footerReference w:type="even" r:id="rId8"/>
      <w:footnotePr>
        <w:pos w:val="pageBottom"/>
        <w:numFmt w:val="decimal"/>
        <w:numRestart w:val="continuous"/>
      </w:footnotePr>
      <w:pgSz w:w="11900" w:h="16840"/>
      <w:pgMar w:top="2094" w:right="1997" w:bottom="2480" w:left="1944"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1" behindDoc="1" locked="0" layoutInCell="1" allowOverlap="1">
              <wp:simplePos x="0" y="0"/>
              <wp:positionH relativeFrom="page">
                <wp:posOffset>1259205</wp:posOffset>
              </wp:positionH>
              <wp:positionV relativeFrom="page">
                <wp:posOffset>9211310</wp:posOffset>
              </wp:positionV>
              <wp:extent cx="1591310" cy="216535"/>
              <wp:wrapNone/>
              <wp:docPr id="7" name="Shape 7"/>
              <a:graphic xmlns:a="http://schemas.openxmlformats.org/drawingml/2006/main">
                <a:graphicData uri="http://schemas.microsoft.com/office/word/2010/wordprocessingShape">
                  <wps:wsp>
                    <wps:cNvSpPr txBox="1"/>
                    <wps:spPr>
                      <a:xfrm>
                        <a:ext cx="1591310" cy="21653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16"/>
                              <w:szCs w:val="16"/>
                            </w:rPr>
                          </w:pPr>
                          <w:r>
                            <w:rPr>
                              <w:rStyle w:val="CharStyle12"/>
                              <w:rFonts w:ascii="Arial" w:eastAsia="Arial" w:hAnsi="Arial" w:cs="Arial"/>
                              <w:sz w:val="16"/>
                              <w:szCs w:val="16"/>
                              <w:vertAlign w:val="superscript"/>
                            </w:rPr>
                            <w:t>4</w:t>
                          </w:r>
                          <w:r>
                            <w:rPr>
                              <w:rStyle w:val="CharStyle12"/>
                              <w:rFonts w:ascii="Arial" w:eastAsia="Arial" w:hAnsi="Arial" w:cs="Arial"/>
                              <w:sz w:val="16"/>
                              <w:szCs w:val="16"/>
                            </w:rPr>
                            <w:t xml:space="preserve"> Dz. U. Nr 78, poz. 483, z późn. zm.</w:t>
                          </w:r>
                        </w:p>
                        <w:p>
                          <w:pPr>
                            <w:pStyle w:val="Style11"/>
                            <w:keepNext w:val="0"/>
                            <w:keepLines w:val="0"/>
                            <w:widowControl w:val="0"/>
                            <w:shd w:val="clear" w:color="auto" w:fill="auto"/>
                            <w:bidi w:val="0"/>
                            <w:spacing w:before="0" w:after="0" w:line="240" w:lineRule="auto"/>
                            <w:ind w:left="0" w:right="0" w:firstLine="0"/>
                            <w:jc w:val="left"/>
                            <w:rPr>
                              <w:sz w:val="16"/>
                              <w:szCs w:val="16"/>
                            </w:rPr>
                          </w:pPr>
                          <w:r>
                            <w:rPr>
                              <w:rStyle w:val="CharStyle12"/>
                              <w:rFonts w:ascii="Arial" w:eastAsia="Arial" w:hAnsi="Arial" w:cs="Arial"/>
                              <w:sz w:val="16"/>
                              <w:szCs w:val="16"/>
                              <w:vertAlign w:val="superscript"/>
                            </w:rPr>
                            <w:t>5</w:t>
                          </w:r>
                          <w:r>
                            <w:rPr>
                              <w:rStyle w:val="CharStyle12"/>
                              <w:rFonts w:ascii="Arial" w:eastAsia="Arial" w:hAnsi="Arial" w:cs="Arial"/>
                              <w:sz w:val="16"/>
                              <w:szCs w:val="16"/>
                            </w:rPr>
                            <w:t xml:space="preserve"> Dz. U. z 2024 r. poz. 1485</w:t>
                          </w:r>
                        </w:p>
                      </w:txbxContent>
                    </wps:txbx>
                    <wps:bodyPr wrap="none" lIns="0" tIns="0" rIns="0" bIns="0">
                      <a:spAutoFit/>
                    </wps:bodyPr>
                  </wps:wsp>
                </a:graphicData>
              </a:graphic>
            </wp:anchor>
          </w:drawing>
        </mc:Choice>
        <mc:Fallback>
          <w:pict>
            <v:shape id="_x0000_s1033" type="#_x0000_t202" style="position:absolute;margin-left:99.150000000000006pt;margin-top:725.30000000000007pt;width:125.3pt;height:17.050000000000001pt;z-index:-188744062;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6"/>
                        <w:szCs w:val="16"/>
                      </w:rPr>
                    </w:pPr>
                    <w:r>
                      <w:rPr>
                        <w:rStyle w:val="CharStyle12"/>
                        <w:rFonts w:ascii="Arial" w:eastAsia="Arial" w:hAnsi="Arial" w:cs="Arial"/>
                        <w:sz w:val="16"/>
                        <w:szCs w:val="16"/>
                        <w:vertAlign w:val="superscript"/>
                      </w:rPr>
                      <w:t>4</w:t>
                    </w:r>
                    <w:r>
                      <w:rPr>
                        <w:rStyle w:val="CharStyle12"/>
                        <w:rFonts w:ascii="Arial" w:eastAsia="Arial" w:hAnsi="Arial" w:cs="Arial"/>
                        <w:sz w:val="16"/>
                        <w:szCs w:val="16"/>
                      </w:rPr>
                      <w:t xml:space="preserve"> Dz. U. Nr 78, poz. 483, z późn. zm.</w:t>
                    </w:r>
                  </w:p>
                  <w:p>
                    <w:pPr>
                      <w:pStyle w:val="Style11"/>
                      <w:keepNext w:val="0"/>
                      <w:keepLines w:val="0"/>
                      <w:widowControl w:val="0"/>
                      <w:shd w:val="clear" w:color="auto" w:fill="auto"/>
                      <w:bidi w:val="0"/>
                      <w:spacing w:before="0" w:after="0" w:line="240" w:lineRule="auto"/>
                      <w:ind w:left="0" w:right="0" w:firstLine="0"/>
                      <w:jc w:val="left"/>
                      <w:rPr>
                        <w:sz w:val="16"/>
                        <w:szCs w:val="16"/>
                      </w:rPr>
                    </w:pPr>
                    <w:r>
                      <w:rPr>
                        <w:rStyle w:val="CharStyle12"/>
                        <w:rFonts w:ascii="Arial" w:eastAsia="Arial" w:hAnsi="Arial" w:cs="Arial"/>
                        <w:sz w:val="16"/>
                        <w:szCs w:val="16"/>
                        <w:vertAlign w:val="superscript"/>
                      </w:rPr>
                      <w:t>5</w:t>
                    </w:r>
                    <w:r>
                      <w:rPr>
                        <w:rStyle w:val="CharStyle12"/>
                        <w:rFonts w:ascii="Arial" w:eastAsia="Arial" w:hAnsi="Arial" w:cs="Arial"/>
                        <w:sz w:val="16"/>
                        <w:szCs w:val="16"/>
                      </w:rPr>
                      <w:t xml:space="preserve"> Dz. U. z 2024 r. poz. 1485</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3" behindDoc="1" locked="0" layoutInCell="1" allowOverlap="1">
              <wp:simplePos x="0" y="0"/>
              <wp:positionH relativeFrom="page">
                <wp:posOffset>1262380</wp:posOffset>
              </wp:positionH>
              <wp:positionV relativeFrom="page">
                <wp:posOffset>9208770</wp:posOffset>
              </wp:positionV>
              <wp:extent cx="1703705" cy="219710"/>
              <wp:wrapNone/>
              <wp:docPr id="9" name="Shape 9"/>
              <a:graphic xmlns:a="http://schemas.openxmlformats.org/drawingml/2006/main">
                <a:graphicData uri="http://schemas.microsoft.com/office/word/2010/wordprocessingShape">
                  <wps:wsp>
                    <wps:cNvSpPr txBox="1"/>
                    <wps:spPr>
                      <a:xfrm>
                        <a:ext cx="1703705" cy="21971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16"/>
                              <w:szCs w:val="16"/>
                            </w:rPr>
                          </w:pPr>
                          <w:r>
                            <w:rPr>
                              <w:rStyle w:val="CharStyle12"/>
                              <w:rFonts w:ascii="Arial" w:eastAsia="Arial" w:hAnsi="Arial" w:cs="Arial"/>
                              <w:sz w:val="16"/>
                              <w:szCs w:val="16"/>
                              <w:vertAlign w:val="superscript"/>
                            </w:rPr>
                            <w:t>2</w:t>
                          </w:r>
                          <w:r>
                            <w:rPr>
                              <w:rStyle w:val="CharStyle12"/>
                              <w:rFonts w:ascii="Arial" w:eastAsia="Arial" w:hAnsi="Arial" w:cs="Arial"/>
                              <w:sz w:val="16"/>
                              <w:szCs w:val="16"/>
                            </w:rPr>
                            <w:t xml:space="preserve"> (Dz. U. z 2025 r. poz. 1071)</w:t>
                          </w:r>
                        </w:p>
                        <w:p>
                          <w:pPr>
                            <w:pStyle w:val="Style11"/>
                            <w:keepNext w:val="0"/>
                            <w:keepLines w:val="0"/>
                            <w:widowControl w:val="0"/>
                            <w:shd w:val="clear" w:color="auto" w:fill="auto"/>
                            <w:bidi w:val="0"/>
                            <w:spacing w:before="0" w:after="0" w:line="240" w:lineRule="auto"/>
                            <w:ind w:left="0" w:right="0" w:firstLine="0"/>
                            <w:jc w:val="left"/>
                            <w:rPr>
                              <w:sz w:val="16"/>
                              <w:szCs w:val="16"/>
                            </w:rPr>
                          </w:pPr>
                          <w:r>
                            <w:rPr>
                              <w:rStyle w:val="CharStyle12"/>
                              <w:rFonts w:ascii="Arial" w:eastAsia="Arial" w:hAnsi="Arial" w:cs="Arial"/>
                              <w:sz w:val="16"/>
                              <w:szCs w:val="16"/>
                              <w:vertAlign w:val="superscript"/>
                            </w:rPr>
                            <w:t>3</w:t>
                          </w:r>
                          <w:r>
                            <w:rPr>
                              <w:rStyle w:val="CharStyle12"/>
                              <w:rFonts w:ascii="Arial" w:eastAsia="Arial" w:hAnsi="Arial" w:cs="Arial"/>
                              <w:sz w:val="16"/>
                              <w:szCs w:val="16"/>
                            </w:rPr>
                            <w:t xml:space="preserve"> Dz. U. z 2024 r. poz. 959, z późn. zm.</w:t>
                          </w:r>
                        </w:p>
                      </w:txbxContent>
                    </wps:txbx>
                    <wps:bodyPr wrap="none" lIns="0" tIns="0" rIns="0" bIns="0">
                      <a:spAutoFit/>
                    </wps:bodyPr>
                  </wps:wsp>
                </a:graphicData>
              </a:graphic>
            </wp:anchor>
          </w:drawing>
        </mc:Choice>
        <mc:Fallback>
          <w:pict>
            <v:shape id="_x0000_s1035" type="#_x0000_t202" style="position:absolute;margin-left:99.400000000000006pt;margin-top:725.10000000000002pt;width:134.15000000000001pt;height:17.300000000000001pt;z-index:-188744060;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6"/>
                        <w:szCs w:val="16"/>
                      </w:rPr>
                    </w:pPr>
                    <w:r>
                      <w:rPr>
                        <w:rStyle w:val="CharStyle12"/>
                        <w:rFonts w:ascii="Arial" w:eastAsia="Arial" w:hAnsi="Arial" w:cs="Arial"/>
                        <w:sz w:val="16"/>
                        <w:szCs w:val="16"/>
                        <w:vertAlign w:val="superscript"/>
                      </w:rPr>
                      <w:t>2</w:t>
                    </w:r>
                    <w:r>
                      <w:rPr>
                        <w:rStyle w:val="CharStyle12"/>
                        <w:rFonts w:ascii="Arial" w:eastAsia="Arial" w:hAnsi="Arial" w:cs="Arial"/>
                        <w:sz w:val="16"/>
                        <w:szCs w:val="16"/>
                      </w:rPr>
                      <w:t xml:space="preserve"> (Dz. U. z 2025 r. poz. 1071)</w:t>
                    </w:r>
                  </w:p>
                  <w:p>
                    <w:pPr>
                      <w:pStyle w:val="Style11"/>
                      <w:keepNext w:val="0"/>
                      <w:keepLines w:val="0"/>
                      <w:widowControl w:val="0"/>
                      <w:shd w:val="clear" w:color="auto" w:fill="auto"/>
                      <w:bidi w:val="0"/>
                      <w:spacing w:before="0" w:after="0" w:line="240" w:lineRule="auto"/>
                      <w:ind w:left="0" w:right="0" w:firstLine="0"/>
                      <w:jc w:val="left"/>
                      <w:rPr>
                        <w:sz w:val="16"/>
                        <w:szCs w:val="16"/>
                      </w:rPr>
                    </w:pPr>
                    <w:r>
                      <w:rPr>
                        <w:rStyle w:val="CharStyle12"/>
                        <w:rFonts w:ascii="Arial" w:eastAsia="Arial" w:hAnsi="Arial" w:cs="Arial"/>
                        <w:sz w:val="16"/>
                        <w:szCs w:val="16"/>
                        <w:vertAlign w:val="superscript"/>
                      </w:rPr>
                      <w:t>3</w:t>
                    </w:r>
                    <w:r>
                      <w:rPr>
                        <w:rStyle w:val="CharStyle12"/>
                        <w:rFonts w:ascii="Arial" w:eastAsia="Arial" w:hAnsi="Arial" w:cs="Arial"/>
                        <w:sz w:val="16"/>
                        <w:szCs w:val="16"/>
                      </w:rPr>
                      <w:t xml:space="preserve"> Dz. U. z 2024 r. poz. 959, z późn. zm.</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6"/>
        <w:szCs w:val="16"/>
        <w:u w:val="none"/>
        <w:shd w:val="clear" w:color="auto" w:fill="auto"/>
        <w:vertAlign w:val="superscript"/>
        <w:lang w:val="pl-PL" w:eastAsia="pl-PL"/>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pl-PL" w:eastAsia="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pl-PL" w:eastAsia="pl-PL"/>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pl-PL" w:eastAsia="pl-PL"/>
    </w:rPr>
  </w:style>
  <w:style w:type="character" w:customStyle="1" w:styleId="CharStyle3">
    <w:name w:val="Body text (2)_"/>
    <w:basedOn w:val="DefaultParagraphFont"/>
    <w:link w:val="Style2"/>
    <w:rPr>
      <w:rFonts w:ascii="Arial" w:eastAsia="Arial" w:hAnsi="Arial" w:cs="Arial"/>
      <w:b w:val="0"/>
      <w:bCs w:val="0"/>
      <w:i w:val="0"/>
      <w:iCs w:val="0"/>
      <w:smallCaps w:val="0"/>
      <w:strike w:val="0"/>
      <w:sz w:val="16"/>
      <w:szCs w:val="16"/>
      <w:u w:val="none"/>
    </w:rPr>
  </w:style>
  <w:style w:type="character" w:customStyle="1" w:styleId="CharStyle5">
    <w:name w:val="Body text (3)_"/>
    <w:basedOn w:val="DefaultParagraphFont"/>
    <w:link w:val="Style4"/>
    <w:rPr>
      <w:rFonts w:ascii="Arial" w:eastAsia="Arial" w:hAnsi="Arial" w:cs="Arial"/>
      <w:b w:val="0"/>
      <w:bCs w:val="0"/>
      <w:i w:val="0"/>
      <w:iCs w:val="0"/>
      <w:smallCaps w:val="0"/>
      <w:strike w:val="0"/>
      <w:sz w:val="13"/>
      <w:szCs w:val="13"/>
      <w:u w:val="none"/>
    </w:rPr>
  </w:style>
  <w:style w:type="character" w:customStyle="1" w:styleId="CharStyle7">
    <w:name w:val="Body text_"/>
    <w:basedOn w:val="DefaultParagraphFont"/>
    <w:link w:val="Style6"/>
    <w:rPr>
      <w:rFonts w:ascii="Arial" w:eastAsia="Arial" w:hAnsi="Arial" w:cs="Arial"/>
      <w:b w:val="0"/>
      <w:bCs w:val="0"/>
      <w:i w:val="0"/>
      <w:iCs w:val="0"/>
      <w:smallCaps w:val="0"/>
      <w:strike w:val="0"/>
      <w:sz w:val="19"/>
      <w:szCs w:val="19"/>
      <w:u w:val="none"/>
    </w:rPr>
  </w:style>
  <w:style w:type="character" w:customStyle="1" w:styleId="CharStyle12">
    <w:name w:val="Header or footer (2)_"/>
    <w:basedOn w:val="DefaultParagraphFont"/>
    <w:link w:val="Style11"/>
    <w:rPr>
      <w:rFonts w:ascii="Times New Roman" w:eastAsia="Times New Roman" w:hAnsi="Times New Roman" w:cs="Times New Roman"/>
      <w:b w:val="0"/>
      <w:bCs w:val="0"/>
      <w:i w:val="0"/>
      <w:iCs w:val="0"/>
      <w:smallCaps w:val="0"/>
      <w:strike w:val="0"/>
      <w:sz w:val="20"/>
      <w:szCs w:val="20"/>
      <w:u w:val="none"/>
    </w:rPr>
  </w:style>
  <w:style w:type="paragraph" w:customStyle="1" w:styleId="Style2">
    <w:name w:val="Body text (2)"/>
    <w:basedOn w:val="Normal"/>
    <w:link w:val="CharStyle3"/>
    <w:pPr>
      <w:widowControl w:val="0"/>
      <w:shd w:val="clear" w:color="auto" w:fill="auto"/>
    </w:pPr>
    <w:rPr>
      <w:rFonts w:ascii="Arial" w:eastAsia="Arial" w:hAnsi="Arial" w:cs="Arial"/>
      <w:b w:val="0"/>
      <w:bCs w:val="0"/>
      <w:i w:val="0"/>
      <w:iCs w:val="0"/>
      <w:smallCaps w:val="0"/>
      <w:strike w:val="0"/>
      <w:sz w:val="16"/>
      <w:szCs w:val="16"/>
      <w:u w:val="none"/>
    </w:rPr>
  </w:style>
  <w:style w:type="paragraph" w:customStyle="1" w:styleId="Style4">
    <w:name w:val="Body text (3)"/>
    <w:basedOn w:val="Normal"/>
    <w:link w:val="CharStyle5"/>
    <w:pPr>
      <w:widowControl w:val="0"/>
      <w:shd w:val="clear" w:color="auto" w:fill="auto"/>
      <w:jc w:val="center"/>
    </w:pPr>
    <w:rPr>
      <w:rFonts w:ascii="Arial" w:eastAsia="Arial" w:hAnsi="Arial" w:cs="Arial"/>
      <w:b w:val="0"/>
      <w:bCs w:val="0"/>
      <w:i w:val="0"/>
      <w:iCs w:val="0"/>
      <w:smallCaps w:val="0"/>
      <w:strike w:val="0"/>
      <w:sz w:val="13"/>
      <w:szCs w:val="13"/>
      <w:u w:val="none"/>
    </w:rPr>
  </w:style>
  <w:style w:type="paragraph" w:styleId="Style6">
    <w:name w:val="Body text"/>
    <w:basedOn w:val="Normal"/>
    <w:link w:val="CharStyle7"/>
    <w:qFormat/>
    <w:pPr>
      <w:widowControl w:val="0"/>
      <w:shd w:val="clear" w:color="auto" w:fill="auto"/>
      <w:spacing w:after="80" w:line="264" w:lineRule="auto"/>
    </w:pPr>
    <w:rPr>
      <w:rFonts w:ascii="Arial" w:eastAsia="Arial" w:hAnsi="Arial" w:cs="Arial"/>
      <w:b w:val="0"/>
      <w:bCs w:val="0"/>
      <w:i w:val="0"/>
      <w:iCs w:val="0"/>
      <w:smallCaps w:val="0"/>
      <w:strike w:val="0"/>
      <w:sz w:val="19"/>
      <w:szCs w:val="19"/>
      <w:u w:val="none"/>
    </w:rPr>
  </w:style>
  <w:style w:type="paragraph" w:customStyle="1" w:styleId="Style11">
    <w:name w:val="Header or footer (2)"/>
    <w:basedOn w:val="Normal"/>
    <w:link w:val="CharStyle12"/>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footer" Target="footer1.xml"/><Relationship Id="rId8" Type="http://schemas.openxmlformats.org/officeDocument/2006/relationships/footer" Target="footer2.xml"/></Relationships>
</file>

<file path=docProps/core.xml><?xml version="1.0" encoding="utf-8"?>
<cp:coreProperties xmlns:cp="http://schemas.openxmlformats.org/package/2006/metadata/core-properties" xmlns:dc="http://purl.org/dc/elements/1.1/">
  <dc:title>Z upoważnienia Ministra Klimatu i Środowiska departament_kolor</dc:title>
  <dc:subject/>
  <dc:creator/>
  <cp:keywords>PL, KOLOR</cp:keywords>
</cp:coreProperties>
</file>