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RAPORT PAŃSTWOWEJ INSPEKCJI SANITARNEJ WOJEWÓDZTWA WARMIŃSKO-MAZURSKIEGO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Z akcji oceny obciążenia uczniów tornistrami i plecakami w wybranych szkołach podstawowych województwa warmińsko-mazurskiego w roku 2025</w:t>
      </w:r>
    </w:p>
    <w:p w:rsid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1. Wstęp i założenia akcji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Podobnie jak w roku 2024, w wytycznych do planowania i działalności Państwowej Inspekcji Sanitarnej na rok 2025 opracowanych przez Główny Inspektorat Sanitarny, pionowi higieny dzieci i młodzieży – obok kontroli warunków sanitarno-higienicznych – zlecono prowadzenie działań edukacyjno-informacyjnych. Odbiorcami działań są uczniowie, rodzice, opiekunowie prawni oraz dyrektorzy i kadra pedagogiczna.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Priorytetowo potraktowano:</w:t>
      </w:r>
    </w:p>
    <w:p w:rsidR="00177E02" w:rsidRPr="00177E02" w:rsidRDefault="0006689C" w:rsidP="00177E02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rofilaktykę czyst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ości głowy (pod kątem wszawicy);</w:t>
      </w:r>
    </w:p>
    <w:p w:rsidR="00177E02" w:rsidRPr="00177E02" w:rsidRDefault="0006689C" w:rsidP="00177E02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rofilaktykę wad wzroku (aspekt oświetlenia w salach lekcyjnych)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e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liminację ryzyka rozwoju wad postawy u uczniów (priorytet edukacyjny).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 zakresie profilaktyki wad postawy Główny Inspektor Sanitarny polecił:</w:t>
      </w:r>
    </w:p>
    <w:p w:rsidR="00177E02" w:rsidRPr="00177E02" w:rsidRDefault="0006689C" w:rsidP="00177E02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d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ostosowanie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umeblowania do zasad ergonomii;</w:t>
      </w:r>
    </w:p>
    <w:p w:rsidR="00177E02" w:rsidRPr="00177E02" w:rsidRDefault="0006689C" w:rsidP="00177E02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a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nalizę wagi tornistrów szkolnych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s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prawdzenie dostępności miejsc na pozostawienie podręczników i przyborów w szkole.</w:t>
      </w: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Normy i zalecenia dotyczące wagi</w:t>
      </w:r>
    </w:p>
    <w:p w:rsid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Polskie ustawodawstwo nie określa sztywnej wagi plecaka w kilogramach. Zgodnie z wytycznymi Głównego Inspektora Sanitarnego, przyjmuje się, że stosunek wagi plecaka do masy ciała ucznia nie powinien przekraczać </w:t>
      </w: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15%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 badaniu z 2025 roku przyjęto następującą skalę oceny:</w:t>
      </w:r>
    </w:p>
    <w:p w:rsidR="00177E02" w:rsidRPr="00177E02" w:rsidRDefault="0006689C" w:rsidP="00177E02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d</w:t>
      </w:r>
      <w:r w:rsidR="00177E02"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o 10% wagi ciała: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wynik bardzo dobry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177E02" w:rsidP="00177E02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10–15% wagi ciała: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wynik dopuszczalny</w:t>
      </w:r>
      <w:r w:rsidR="0006689C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Default="0006689C" w:rsidP="00177E02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p</w:t>
      </w:r>
      <w:r w:rsidR="00177E02"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owyżej 15% wagi ciała: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wynik nieprawidłowy.</w:t>
      </w:r>
    </w:p>
    <w:p w:rsidR="00177E02" w:rsidRPr="00177E02" w:rsidRDefault="00177E02" w:rsidP="00177E0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240655" w:rsidRDefault="00240655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</w:p>
    <w:p w:rsid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lastRenderedPageBreak/>
        <w:t>2. Wytyczne Głównego Inspektora Sanitarnego dotyczące tornistrów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 celu zachowania zdrowia i prawidłowej postawy ciała zaleca się, aby:</w:t>
      </w:r>
    </w:p>
    <w:p w:rsidR="00177E02" w:rsidRPr="00177E02" w:rsidRDefault="0006689C" w:rsidP="00177E02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ybierać tornistry noszone na obu ramionach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u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żywać plecaków z ergonomiczną, usztywnioną ścianką przylegającą do pleców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ykorzystywać przegródki w celu symetrycznego rozłożenia ciężaru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u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mieszczać cięższe rzeczy na dnie, a lżejsze wyżej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s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tosować szerokie, regulowane szelki oraz zapięcie piersiowe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r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odzice regularnie kontrolowali zawartość plecaka pod kątem zbędnych rzeczy.</w:t>
      </w:r>
    </w:p>
    <w:p w:rsid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Dyrektorzy szkół mają obowiązek zapewnienia miejsca na pozostawienie przyborów, co wynika z § 4a rozporządzenia Ministra Edukacji Narodowej i Sportu z dnia 31 grudnia 2002 r. w sprawie bezpieczeństwa i higieny w publicznych i niepublicznych szkołach i placówkach (Dz. U. z 2020 r., poz. 1604 z późn. zm.).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3. Skutki noszenia przeciążonego tornistra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Przeciążony lub źle noszony tornister wymusza nienaturalną pozycję ciała (pochylenie do przodu lub na boki). Skutkuje to:</w:t>
      </w:r>
    </w:p>
    <w:p w:rsidR="00177E02" w:rsidRPr="00177E02" w:rsidRDefault="0006689C" w:rsidP="00177E02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u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ciskiem na narządy wewnętrzne i zaburzeniami ich pracy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z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astojami w krążeniu krwi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graniczeniem ruchomości klatki piersiowej i utrudnionym oddychaniem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zrostem nacisku na krążki międzykręgowe (dyski)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b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ólami pleców oraz trwałymi wadami postawy.</w:t>
      </w: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4. Narzędzie badawcze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Badania przeprowadzono z wykorzystaniem arkuszy kalkulacyjnych zbierających dane o:</w:t>
      </w:r>
    </w:p>
    <w:p w:rsidR="00177E02" w:rsidRPr="00177E02" w:rsidRDefault="0006689C" w:rsidP="00177E02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lasie i płci dziecka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c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iężarze ciała ucznia oraz wadze plecaka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rocentowym stosunku ciężaru plecaka do masy ciała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Default="0006689C" w:rsidP="00177E02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i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nformacjach od uczniów na temat zawartości plecaków.</w:t>
      </w:r>
    </w:p>
    <w:p w:rsidR="00177E02" w:rsidRPr="00177E02" w:rsidRDefault="00177E02" w:rsidP="00177E0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lastRenderedPageBreak/>
        <w:t>5. Dane liczbowe i wyniki oceny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Badanie objęło </w:t>
      </w: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45 szkół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(22 miejskie i 23 wiejskie) oraz grupę </w:t>
      </w: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11 463 uczniów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(5630 dziewcząt i 5833 chłopców) z 675 oddziałów.</w:t>
      </w: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Struktura badanych grup (liczba uczniów):</w:t>
      </w:r>
    </w:p>
    <w:p w:rsidR="00177E02" w:rsidRPr="00177E02" w:rsidRDefault="00177E02" w:rsidP="00177E02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Klasy 1: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1492 uczniów</w:t>
      </w:r>
    </w:p>
    <w:p w:rsidR="00177E02" w:rsidRPr="00177E02" w:rsidRDefault="00177E02" w:rsidP="00177E02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Klasy 2: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1483 uczniów</w:t>
      </w:r>
    </w:p>
    <w:p w:rsidR="00177E02" w:rsidRPr="00177E02" w:rsidRDefault="00177E02" w:rsidP="00177E02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Klasy 3: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1438 uczniów</w:t>
      </w:r>
    </w:p>
    <w:p w:rsidR="00177E02" w:rsidRPr="00177E02" w:rsidRDefault="00177E02" w:rsidP="00177E02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Klasy 4: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1513 uczniów</w:t>
      </w:r>
    </w:p>
    <w:p w:rsidR="00177E02" w:rsidRPr="00177E02" w:rsidRDefault="00177E02" w:rsidP="00177E02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Klasy 5: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1393 uczniów</w:t>
      </w:r>
    </w:p>
    <w:p w:rsidR="00177E02" w:rsidRPr="00177E02" w:rsidRDefault="00177E02" w:rsidP="00177E02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Klasy 6: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1454 uczniów</w:t>
      </w:r>
    </w:p>
    <w:p w:rsidR="00177E02" w:rsidRPr="00177E02" w:rsidRDefault="00177E02" w:rsidP="00177E02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Klasy 7: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1333 uczniów</w:t>
      </w:r>
    </w:p>
    <w:p w:rsidR="00177E02" w:rsidRDefault="00177E02" w:rsidP="00177E02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Klasy 8: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1357 uczniów</w:t>
      </w:r>
    </w:p>
    <w:p w:rsidR="00177E02" w:rsidRDefault="00177E02" w:rsidP="00177E0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5.1. Lokalizacja szkół i liczebność oddziałów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Wśród wszystkich uczniów biorących udział w badaniu:</w:t>
      </w:r>
    </w:p>
    <w:p w:rsidR="00177E02" w:rsidRPr="00177E02" w:rsidRDefault="00177E02" w:rsidP="00177E02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8659 uczniów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uczęszczało do szkół miejskich (467 oddziałów).</w:t>
      </w:r>
    </w:p>
    <w:p w:rsidR="00177E02" w:rsidRPr="00177E02" w:rsidRDefault="00177E02" w:rsidP="00177E02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2804 uczniów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pobierało naukę na wsi (208 oddziałów).</w:t>
      </w:r>
    </w:p>
    <w:p w:rsid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Dysproporcja ta wynika z mniejszej liczebności uczniów w szkołach wiejskich, 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br/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 których najczęściej funkcjonuje tylko jeden oddział w ramach danego rocznika.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5.2. Ogólne wyniki obciążenia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Analiza danych wykazała, że w województwie warmińsko-mazurskim:</w:t>
      </w:r>
    </w:p>
    <w:p w:rsidR="00177E02" w:rsidRPr="00177E02" w:rsidRDefault="00177E02" w:rsidP="00177E02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10,6% uczniów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(1219 osób) miało przeciążone plecaki (powyżej 15% masy ciała).</w:t>
      </w:r>
    </w:p>
    <w:p w:rsidR="00177E02" w:rsidRPr="00177E02" w:rsidRDefault="00177E02" w:rsidP="00177E02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89,4% uczniów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(10 244 osoby) nosiło plecaki o prawidłowej wadze.</w:t>
      </w: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5.3. Obciążenie w podziale na klasy i płeć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Największą grupą z przeładowanymi plecakami pozostają </w:t>
      </w: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czwartoklasiści (19,8%)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, choć odnotowano tu spadek o blisko 6 punktów procentowych względem roku 2024. Najlepsze wyniki uzyskali </w:t>
      </w: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uczniowie klas ósmych (1,5% przeciążeń)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</w:t>
      </w:r>
    </w:p>
    <w:p w:rsidR="00240655" w:rsidRDefault="00240655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</w:p>
    <w:p w:rsidR="00240655" w:rsidRDefault="00240655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</w:p>
    <w:p w:rsidR="00240655" w:rsidRDefault="00240655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lastRenderedPageBreak/>
        <w:t>Statystyka w podziale na płeć:</w:t>
      </w:r>
    </w:p>
    <w:p w:rsidR="00177E02" w:rsidRPr="00177E02" w:rsidRDefault="00177E02" w:rsidP="00177E02">
      <w:pPr>
        <w:numPr>
          <w:ilvl w:val="0"/>
          <w:numId w:val="1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Dziewczęta: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11,6% (652 osoby) z niewłaściwą wagą plecaka.</w:t>
      </w:r>
    </w:p>
    <w:p w:rsidR="00177E02" w:rsidRPr="00177E02" w:rsidRDefault="00177E02" w:rsidP="00177E02">
      <w:pPr>
        <w:numPr>
          <w:ilvl w:val="0"/>
          <w:numId w:val="1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Chłopcy: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9,7% (567 osób) z niewłaściwą wagą plecaka.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br/>
        <w:t>Tendencja wyższego obciążenia u dziewcząt utrzymuje się od wielu lat.</w:t>
      </w: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5.4. Wartości ekstremalne (rekordowe obciążenia)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 trakcie badania odnotowano następujące skrajne przypadki:</w:t>
      </w:r>
    </w:p>
    <w:p w:rsidR="00177E02" w:rsidRPr="00177E02" w:rsidRDefault="00177E02" w:rsidP="00177E02">
      <w:pPr>
        <w:numPr>
          <w:ilvl w:val="0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Najcięższy plecak: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11,2 kg (uczeń klasy ósmej, masa ciała 54,8 kg, stosunek 20,4%).</w:t>
      </w:r>
    </w:p>
    <w:p w:rsidR="00177E02" w:rsidRPr="00177E02" w:rsidRDefault="00177E02" w:rsidP="00177E02">
      <w:pPr>
        <w:numPr>
          <w:ilvl w:val="0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Najwyższy procentowy stosunek wagi: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31,8% (uczeń klasy pierwszej, waga plecaka 5,5 kg przy masie ciała 17,3 kg).</w:t>
      </w:r>
    </w:p>
    <w:p w:rsidR="00177E02" w:rsidRPr="00177E02" w:rsidRDefault="00177E02" w:rsidP="00177E02">
      <w:pPr>
        <w:numPr>
          <w:ilvl w:val="0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Najniższy procentowy stosunek wagi: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0,9% (uczeń klasy trzeciej i ósmej).</w:t>
      </w:r>
    </w:p>
    <w:p w:rsidR="00177E02" w:rsidRPr="00177E02" w:rsidRDefault="00177E02" w:rsidP="00177E02">
      <w:pPr>
        <w:numPr>
          <w:ilvl w:val="0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Zakres wagi plecaków: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od 0,5 kg do 11,2 kg.</w:t>
      </w: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5.5. Porównanie danych z latami poprzednimi (2024 vs 2025)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Ogólny odsetek uczniów z przekroczoną normą zmniejszył się z </w:t>
      </w: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12% 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br/>
      </w: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(2024 r.)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do </w:t>
      </w: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10,6% (2025 r.)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 Jest to najlepszy wynik od 2022 roku.</w:t>
      </w:r>
    </w:p>
    <w:p w:rsid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Zmiany w poszczególnych grupach klasowych:</w:t>
      </w:r>
    </w:p>
    <w:p w:rsidR="00177E02" w:rsidRPr="00177E02" w:rsidRDefault="00177E02" w:rsidP="00177E0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Klasy młodsze (wzrost obciążenia):</w:t>
      </w:r>
    </w:p>
    <w:p w:rsidR="00177E02" w:rsidRPr="00177E02" w:rsidRDefault="00177E02" w:rsidP="00177E02">
      <w:pPr>
        <w:numPr>
          <w:ilvl w:val="1"/>
          <w:numId w:val="20"/>
        </w:numPr>
        <w:shd w:val="clear" w:color="auto" w:fill="FFFFFF"/>
        <w:spacing w:after="180" w:line="360" w:lineRule="atLeast"/>
        <w:ind w:hanging="36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Klasy 1: wzrost o 3,6% (z 13,2% do 16,8%).</w:t>
      </w:r>
    </w:p>
    <w:p w:rsidR="00177E02" w:rsidRPr="00177E02" w:rsidRDefault="00177E02" w:rsidP="00177E02">
      <w:pPr>
        <w:numPr>
          <w:ilvl w:val="1"/>
          <w:numId w:val="20"/>
        </w:numPr>
        <w:shd w:val="clear" w:color="auto" w:fill="FFFFFF"/>
        <w:spacing w:after="180" w:line="360" w:lineRule="atLeast"/>
        <w:ind w:hanging="36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Klasy 2: wzrost o 2,5% (z 10,8% do 13,3%).</w:t>
      </w:r>
    </w:p>
    <w:p w:rsidR="00177E02" w:rsidRPr="00177E02" w:rsidRDefault="00177E02" w:rsidP="00177E02">
      <w:pPr>
        <w:numPr>
          <w:ilvl w:val="1"/>
          <w:numId w:val="20"/>
        </w:numPr>
        <w:shd w:val="clear" w:color="auto" w:fill="FFFFFF"/>
        <w:spacing w:after="180" w:line="360" w:lineRule="atLeast"/>
        <w:ind w:hanging="36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Klasy 3: wzrost o 1,4% (z 9,3% do 10,7%).</w:t>
      </w:r>
    </w:p>
    <w:p w:rsidR="00177E02" w:rsidRPr="00177E02" w:rsidRDefault="00177E02" w:rsidP="00177E0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Klasy starsze (poprawa sytuacji):</w:t>
      </w:r>
    </w:p>
    <w:p w:rsidR="00177E02" w:rsidRPr="00177E02" w:rsidRDefault="00177E02" w:rsidP="00177E02">
      <w:pPr>
        <w:numPr>
          <w:ilvl w:val="1"/>
          <w:numId w:val="2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Klasy 5: poprawa o 5,4% (spadek do 11,1%).</w:t>
      </w:r>
    </w:p>
    <w:p w:rsidR="00177E02" w:rsidRPr="00177E02" w:rsidRDefault="00177E02" w:rsidP="00177E02">
      <w:pPr>
        <w:numPr>
          <w:ilvl w:val="1"/>
          <w:numId w:val="2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Klasy 6: poprawa o 3,3% (spadek do 5,4%).</w:t>
      </w:r>
    </w:p>
    <w:p w:rsidR="00177E02" w:rsidRPr="00177E02" w:rsidRDefault="00177E02" w:rsidP="00177E02">
      <w:pPr>
        <w:numPr>
          <w:ilvl w:val="1"/>
          <w:numId w:val="2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Klasy 7: poprawa o 0,9% (spadek do 4,6%).</w:t>
      </w:r>
    </w:p>
    <w:p w:rsidR="00177E02" w:rsidRDefault="00177E02" w:rsidP="00177E02">
      <w:pPr>
        <w:numPr>
          <w:ilvl w:val="1"/>
          <w:numId w:val="2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Klasy 8: poprawa o 0,9% (spadek do 1,5%).</w:t>
      </w:r>
    </w:p>
    <w:p w:rsidR="00177E02" w:rsidRDefault="00177E02" w:rsidP="00177E0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240655" w:rsidRDefault="00240655" w:rsidP="00177E0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240655" w:rsidRPr="00177E02" w:rsidRDefault="00240655" w:rsidP="00177E0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lastRenderedPageBreak/>
        <w:t>5.6. Zawartość plecaków i przyczyny przeciążeń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Oprócz niezbędnych przyborów szkolnych, w plecakach uczniów znajdowały się:</w:t>
      </w:r>
    </w:p>
    <w:p w:rsidR="00177E02" w:rsidRPr="00177E02" w:rsidRDefault="0006689C" w:rsidP="00177E02">
      <w:pPr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d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odatkowe piórniki, gry, zabawki i albumy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n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iepotrzebne w danym dniu podręczniki i zeszyty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ełne bidony, butelki z wodą i termosy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Default="0006689C" w:rsidP="00177E02">
      <w:pPr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b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uty na zmianę oraz wypożyczone książki z biblioteki</w:t>
      </w: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;</w:t>
      </w:r>
    </w:p>
    <w:p w:rsidR="00177E02" w:rsidRPr="00177E02" w:rsidRDefault="0006689C" w:rsidP="00177E02">
      <w:pPr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l-PL"/>
        </w:rPr>
        <w:t>u</w:t>
      </w:r>
      <w:r w:rsidR="00177E02"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czniowie zwracali również uwagę na samą konstrukcję plecaków – niektóre modele są ciężkie nawet wtedy, gdy są puste, ze względu na dodatkowe usztywnienia i stelaże.</w:t>
      </w:r>
    </w:p>
    <w:p w:rsidR="00177E02" w:rsidRDefault="00177E02" w:rsidP="00177E02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E02" w:rsidRPr="00177E02" w:rsidRDefault="00177E02" w:rsidP="00177E0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6. Podsumowanie</w:t>
      </w:r>
    </w:p>
    <w:p w:rsid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Wyniki oceny obciążenia uczniów tornistrami w 2025 roku są </w:t>
      </w: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najlepsze od 2018 roku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(biorąc pod uwagę stosowaną metodykę). Mimo tej poprawy, działania na rzecz ochrony postawy ciała uczniów muszą być kontynuowane jako proces ciągły.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6.1. Kierunki działań Państwowej Inspekcji Sanitarnej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Państwowa Inspekcja Sanitarna planuje dalsze kroki w obszarze profilaktyki:</w:t>
      </w:r>
    </w:p>
    <w:p w:rsidR="00177E02" w:rsidRPr="00177E02" w:rsidRDefault="00177E02" w:rsidP="00177E02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Działania informacyjno-edukacyjne: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Kontynuacja i uatrakcyjnianie przekazu dla uczniów, rodziców oraz kadry pedagogicznej.</w:t>
      </w:r>
    </w:p>
    <w:p w:rsidR="00177E02" w:rsidRPr="00177E02" w:rsidRDefault="00177E02" w:rsidP="00177E02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Kształtowanie nawyków: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Edukacja w zakresie właściwego doboru plecaka oraz metod redukcji jego ciężaru.</w:t>
      </w:r>
    </w:p>
    <w:p w:rsidR="00177E02" w:rsidRPr="00177E02" w:rsidRDefault="00177E02" w:rsidP="00177E02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Dystrybucja wiedzy: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Prowadzenie stoisk informacyjnych podczas imprez prozdrowotnych oraz udostępnianie materiałów edukacyjnych.</w:t>
      </w:r>
    </w:p>
    <w:p w:rsidR="00177E02" w:rsidRPr="00177E02" w:rsidRDefault="00177E02" w:rsidP="00177E02">
      <w:pPr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Kontrole sanitarne: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W 2025 roku działania edukacyjne przeprowadzono podczas </w:t>
      </w: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354 kontroli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w szkołach wszystkich typów.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6.2. Czynniki wpływające na prawidłową postawę</w:t>
      </w:r>
    </w:p>
    <w:p w:rsidR="00177E02" w:rsidRPr="00177E02" w:rsidRDefault="00177E02" w:rsidP="00177E0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Należy pamiętać, że optymalna waga plecaka to tylko jeden z elementów profilaktyki. Równie istotne są:</w:t>
      </w:r>
    </w:p>
    <w:p w:rsidR="00177E02" w:rsidRPr="00177E02" w:rsidRDefault="00177E02" w:rsidP="00177E02">
      <w:pPr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Ergonomia: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Dostosowanie mebli szkolnych do warunków antropometrycznych uczniów.</w:t>
      </w:r>
    </w:p>
    <w:p w:rsidR="00177E02" w:rsidRPr="00177E02" w:rsidRDefault="00177E02" w:rsidP="00177E02">
      <w:pPr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Odżywianie: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Właściwa dieta wspierająca rozwój układu kostno-mięśniowego.</w:t>
      </w:r>
    </w:p>
    <w:p w:rsidR="00177E02" w:rsidRPr="00240655" w:rsidRDefault="00177E02" w:rsidP="00177E02">
      <w:pPr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77E0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Aktywność fizyczna:</w:t>
      </w:r>
      <w:r w:rsidRPr="00177E0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Odpowiednia dawka ruchu, najlepiej na świeżym powietrzu.</w:t>
      </w:r>
      <w:bookmarkStart w:id="0" w:name="_GoBack"/>
      <w:bookmarkEnd w:id="0"/>
    </w:p>
    <w:sectPr w:rsidR="00177E02" w:rsidRPr="00240655" w:rsidSect="00177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79" w:rsidRDefault="00AE4079" w:rsidP="00865AF1">
      <w:pPr>
        <w:spacing w:after="0" w:line="240" w:lineRule="auto"/>
      </w:pPr>
      <w:r>
        <w:separator/>
      </w:r>
    </w:p>
  </w:endnote>
  <w:endnote w:type="continuationSeparator" w:id="0">
    <w:p w:rsidR="00AE4079" w:rsidRDefault="00AE4079" w:rsidP="0086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79" w:rsidRDefault="00AE4079" w:rsidP="00865AF1">
      <w:pPr>
        <w:spacing w:after="0" w:line="240" w:lineRule="auto"/>
      </w:pPr>
      <w:r>
        <w:separator/>
      </w:r>
    </w:p>
  </w:footnote>
  <w:footnote w:type="continuationSeparator" w:id="0">
    <w:p w:rsidR="00AE4079" w:rsidRDefault="00AE4079" w:rsidP="00865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D84"/>
    <w:multiLevelType w:val="multilevel"/>
    <w:tmpl w:val="B7B2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C18E8"/>
    <w:multiLevelType w:val="hybridMultilevel"/>
    <w:tmpl w:val="AE48A2DE"/>
    <w:lvl w:ilvl="0" w:tplc="58FE9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66D8D"/>
    <w:multiLevelType w:val="multilevel"/>
    <w:tmpl w:val="1624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36959"/>
    <w:multiLevelType w:val="multilevel"/>
    <w:tmpl w:val="AEE8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33251"/>
    <w:multiLevelType w:val="multilevel"/>
    <w:tmpl w:val="3414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F81D61"/>
    <w:multiLevelType w:val="multilevel"/>
    <w:tmpl w:val="8EEA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700FC"/>
    <w:multiLevelType w:val="multilevel"/>
    <w:tmpl w:val="F26A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54C0F"/>
    <w:multiLevelType w:val="multilevel"/>
    <w:tmpl w:val="33CA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154F3"/>
    <w:multiLevelType w:val="multilevel"/>
    <w:tmpl w:val="8CD4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71B5E"/>
    <w:multiLevelType w:val="multilevel"/>
    <w:tmpl w:val="2B6A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60BFE"/>
    <w:multiLevelType w:val="multilevel"/>
    <w:tmpl w:val="91F6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10A23"/>
    <w:multiLevelType w:val="multilevel"/>
    <w:tmpl w:val="0CDA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F365A"/>
    <w:multiLevelType w:val="multilevel"/>
    <w:tmpl w:val="9E74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8D2C5C"/>
    <w:multiLevelType w:val="multilevel"/>
    <w:tmpl w:val="16C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33BDE"/>
    <w:multiLevelType w:val="multilevel"/>
    <w:tmpl w:val="DEF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D5725"/>
    <w:multiLevelType w:val="multilevel"/>
    <w:tmpl w:val="EAAA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7832D9"/>
    <w:multiLevelType w:val="multilevel"/>
    <w:tmpl w:val="FCE4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F39A8"/>
    <w:multiLevelType w:val="multilevel"/>
    <w:tmpl w:val="4B7E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097A73"/>
    <w:multiLevelType w:val="multilevel"/>
    <w:tmpl w:val="BA40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4B1BF2"/>
    <w:multiLevelType w:val="multilevel"/>
    <w:tmpl w:val="98C0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8E0CD5"/>
    <w:multiLevelType w:val="multilevel"/>
    <w:tmpl w:val="01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B7E32"/>
    <w:multiLevelType w:val="hybridMultilevel"/>
    <w:tmpl w:val="85103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1"/>
  </w:num>
  <w:num w:numId="5">
    <w:abstractNumId w:val="20"/>
  </w:num>
  <w:num w:numId="6">
    <w:abstractNumId w:val="21"/>
  </w:num>
  <w:num w:numId="7">
    <w:abstractNumId w:val="1"/>
  </w:num>
  <w:num w:numId="8">
    <w:abstractNumId w:val="7"/>
  </w:num>
  <w:num w:numId="9">
    <w:abstractNumId w:val="19"/>
  </w:num>
  <w:num w:numId="10">
    <w:abstractNumId w:val="2"/>
  </w:num>
  <w:num w:numId="11">
    <w:abstractNumId w:val="5"/>
  </w:num>
  <w:num w:numId="12">
    <w:abstractNumId w:val="9"/>
  </w:num>
  <w:num w:numId="13">
    <w:abstractNumId w:val="17"/>
  </w:num>
  <w:num w:numId="14">
    <w:abstractNumId w:val="16"/>
  </w:num>
  <w:num w:numId="15">
    <w:abstractNumId w:val="10"/>
  </w:num>
  <w:num w:numId="16">
    <w:abstractNumId w:val="14"/>
  </w:num>
  <w:num w:numId="17">
    <w:abstractNumId w:val="13"/>
  </w:num>
  <w:num w:numId="18">
    <w:abstractNumId w:val="3"/>
  </w:num>
  <w:num w:numId="19">
    <w:abstractNumId w:val="18"/>
  </w:num>
  <w:num w:numId="20">
    <w:abstractNumId w:val="18"/>
    <w:lvlOverride w:ilvl="1">
      <w:lvl w:ilvl="1">
        <w:numFmt w:val="decimal"/>
        <w:lvlText w:val="%2."/>
        <w:lvlJc w:val="left"/>
      </w:lvl>
    </w:lvlOverride>
  </w:num>
  <w:num w:numId="21">
    <w:abstractNumId w:val="18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2">
    <w:abstractNumId w:val="0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7F"/>
    <w:rsid w:val="00022CF6"/>
    <w:rsid w:val="0006689C"/>
    <w:rsid w:val="000818FB"/>
    <w:rsid w:val="00082039"/>
    <w:rsid w:val="00094F2C"/>
    <w:rsid w:val="00097A60"/>
    <w:rsid w:val="000B38C3"/>
    <w:rsid w:val="000C564E"/>
    <w:rsid w:val="000D10DD"/>
    <w:rsid w:val="000D262B"/>
    <w:rsid w:val="000E6A2F"/>
    <w:rsid w:val="00177E02"/>
    <w:rsid w:val="001D0DB4"/>
    <w:rsid w:val="001F1476"/>
    <w:rsid w:val="00205569"/>
    <w:rsid w:val="00225A8F"/>
    <w:rsid w:val="00225D23"/>
    <w:rsid w:val="00240655"/>
    <w:rsid w:val="002622C7"/>
    <w:rsid w:val="002B4C80"/>
    <w:rsid w:val="002D0FE3"/>
    <w:rsid w:val="002E5573"/>
    <w:rsid w:val="00315DC0"/>
    <w:rsid w:val="00392FB1"/>
    <w:rsid w:val="003C4513"/>
    <w:rsid w:val="003D6636"/>
    <w:rsid w:val="003E3E7F"/>
    <w:rsid w:val="003E50AB"/>
    <w:rsid w:val="004040AF"/>
    <w:rsid w:val="004320B9"/>
    <w:rsid w:val="00443E14"/>
    <w:rsid w:val="004677F3"/>
    <w:rsid w:val="00480F68"/>
    <w:rsid w:val="004913C5"/>
    <w:rsid w:val="004E3BB9"/>
    <w:rsid w:val="004F383B"/>
    <w:rsid w:val="00513F6A"/>
    <w:rsid w:val="00522C41"/>
    <w:rsid w:val="00525B0E"/>
    <w:rsid w:val="00546B38"/>
    <w:rsid w:val="005500F6"/>
    <w:rsid w:val="005B3340"/>
    <w:rsid w:val="005C1B72"/>
    <w:rsid w:val="005F20DA"/>
    <w:rsid w:val="005F7464"/>
    <w:rsid w:val="00603A7D"/>
    <w:rsid w:val="00636D04"/>
    <w:rsid w:val="00665667"/>
    <w:rsid w:val="006953EB"/>
    <w:rsid w:val="00697555"/>
    <w:rsid w:val="006A4AF4"/>
    <w:rsid w:val="006D03D1"/>
    <w:rsid w:val="006D2F27"/>
    <w:rsid w:val="006F025E"/>
    <w:rsid w:val="00724583"/>
    <w:rsid w:val="00724E4D"/>
    <w:rsid w:val="00742D01"/>
    <w:rsid w:val="007566E4"/>
    <w:rsid w:val="0077066A"/>
    <w:rsid w:val="0077241D"/>
    <w:rsid w:val="00785405"/>
    <w:rsid w:val="00790AB8"/>
    <w:rsid w:val="007D0868"/>
    <w:rsid w:val="007E00B1"/>
    <w:rsid w:val="007E4538"/>
    <w:rsid w:val="007F486A"/>
    <w:rsid w:val="008064CC"/>
    <w:rsid w:val="00820BD5"/>
    <w:rsid w:val="00842639"/>
    <w:rsid w:val="00865AF1"/>
    <w:rsid w:val="008C4FC5"/>
    <w:rsid w:val="008D0D38"/>
    <w:rsid w:val="008D4765"/>
    <w:rsid w:val="00900651"/>
    <w:rsid w:val="00967A98"/>
    <w:rsid w:val="009B03D3"/>
    <w:rsid w:val="009D328D"/>
    <w:rsid w:val="009D7223"/>
    <w:rsid w:val="00A42EC2"/>
    <w:rsid w:val="00A73270"/>
    <w:rsid w:val="00AE4079"/>
    <w:rsid w:val="00B407FF"/>
    <w:rsid w:val="00B6455A"/>
    <w:rsid w:val="00B64AAF"/>
    <w:rsid w:val="00BA54D6"/>
    <w:rsid w:val="00BB3A12"/>
    <w:rsid w:val="00C167B1"/>
    <w:rsid w:val="00C17EE9"/>
    <w:rsid w:val="00C54684"/>
    <w:rsid w:val="00C60CE7"/>
    <w:rsid w:val="00C92A23"/>
    <w:rsid w:val="00C92AF8"/>
    <w:rsid w:val="00C94A0C"/>
    <w:rsid w:val="00C971F8"/>
    <w:rsid w:val="00CA333E"/>
    <w:rsid w:val="00CC631C"/>
    <w:rsid w:val="00CD5C2F"/>
    <w:rsid w:val="00CF5BB5"/>
    <w:rsid w:val="00D7206C"/>
    <w:rsid w:val="00E04DCD"/>
    <w:rsid w:val="00E35872"/>
    <w:rsid w:val="00E475BB"/>
    <w:rsid w:val="00EA0EED"/>
    <w:rsid w:val="00EB4E9E"/>
    <w:rsid w:val="00EF25BF"/>
    <w:rsid w:val="00F04204"/>
    <w:rsid w:val="00F10C24"/>
    <w:rsid w:val="00F72FF2"/>
    <w:rsid w:val="00FD2652"/>
    <w:rsid w:val="00F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F7F58-D519-47DE-BCDA-6A3A9C83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A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D0D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65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A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A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5AF1"/>
    <w:rPr>
      <w:vertAlign w:val="superscript"/>
    </w:rPr>
  </w:style>
  <w:style w:type="paragraph" w:styleId="Bezodstpw">
    <w:name w:val="No Spacing"/>
    <w:uiPriority w:val="1"/>
    <w:qFormat/>
    <w:rsid w:val="004913C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2FF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818FB"/>
    <w:rPr>
      <w:b/>
      <w:bCs/>
    </w:rPr>
  </w:style>
  <w:style w:type="paragraph" w:styleId="NormalnyWeb">
    <w:name w:val="Normal (Web)"/>
    <w:basedOn w:val="Normalny"/>
    <w:uiPriority w:val="99"/>
    <w:unhideWhenUsed/>
    <w:rsid w:val="00E0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D0D3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xmsonormal">
    <w:name w:val="x_msonormal"/>
    <w:basedOn w:val="Normalny"/>
    <w:rsid w:val="007E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07F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A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1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omylnaczcionkaakapitu"/>
    <w:rsid w:val="0017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Poluchowicz</dc:creator>
  <cp:keywords/>
  <dc:description/>
  <cp:lastModifiedBy>Katarzyna Poluchowicz</cp:lastModifiedBy>
  <cp:revision>6</cp:revision>
  <cp:lastPrinted>2025-09-22T06:45:00Z</cp:lastPrinted>
  <dcterms:created xsi:type="dcterms:W3CDTF">2026-03-19T07:53:00Z</dcterms:created>
  <dcterms:modified xsi:type="dcterms:W3CDTF">2026-03-26T09:14:00Z</dcterms:modified>
</cp:coreProperties>
</file>