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163FDA6D"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A35066">
        <w:rPr>
          <w:rFonts w:ascii="Arial" w:hAnsi="Arial" w:cs="Arial"/>
          <w:iCs/>
          <w:sz w:val="16"/>
          <w:szCs w:val="28"/>
          <w:lang w:eastAsia="x-none"/>
        </w:rPr>
        <w:t>07</w:t>
      </w:r>
      <w:r w:rsidRPr="006C730D">
        <w:rPr>
          <w:rFonts w:ascii="Arial" w:hAnsi="Arial" w:cs="Arial"/>
          <w:iCs/>
          <w:sz w:val="16"/>
          <w:szCs w:val="28"/>
          <w:lang w:eastAsia="x-none"/>
        </w:rPr>
        <w:t>.</w:t>
      </w:r>
      <w:r w:rsidR="00817AC6">
        <w:rPr>
          <w:rFonts w:ascii="Arial" w:hAnsi="Arial" w:cs="Arial"/>
          <w:iCs/>
          <w:sz w:val="16"/>
          <w:szCs w:val="28"/>
          <w:lang w:eastAsia="x-none"/>
        </w:rPr>
        <w:t>0</w:t>
      </w:r>
      <w:r w:rsidR="00176DBF">
        <w:rPr>
          <w:rFonts w:ascii="Arial" w:hAnsi="Arial" w:cs="Arial"/>
          <w:iCs/>
          <w:sz w:val="16"/>
          <w:szCs w:val="28"/>
          <w:lang w:eastAsia="x-none"/>
        </w:rPr>
        <w:t>3</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316C8719" w:rsidR="00D95E2F" w:rsidRPr="00C570DA" w:rsidRDefault="00AC3B8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0B0204EE" w:rsidR="00D95E2F" w:rsidRPr="00C570DA" w:rsidRDefault="00AC3B8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podmiotdw</w:t>
            </w:r>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490DDF5B"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5E725891"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D55214">
              <w:rPr>
                <w:rFonts w:ascii="Arial" w:hAnsi="Arial" w:cs="Arial"/>
                <w:color w:val="000000" w:themeColor="text1"/>
                <w:sz w:val="19"/>
                <w:szCs w:val="19"/>
              </w:rPr>
              <w:t>projekt na etapie kierowania na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i format przekazywania danych pochodzących z urządzeń specjalistycznych funkcjonujących w IhiT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00794E8C" w:rsidR="00D95E2F" w:rsidRPr="00C570DA" w:rsidRDefault="00773E38" w:rsidP="0020067E">
            <w:pPr>
              <w:autoSpaceDE w:val="0"/>
              <w:autoSpaceDN w:val="0"/>
              <w:adjustRightInd w:val="0"/>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573309E9" w:rsidR="00D95E2F" w:rsidRPr="00C570DA" w:rsidRDefault="00AC3B8A"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7230FEB6" w:rsidR="00D95E2F" w:rsidRPr="00C570DA" w:rsidRDefault="00AC3B8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B356BFA" w14:textId="36175D25" w:rsidR="00C05F19" w:rsidRPr="00C570DA" w:rsidRDefault="00C05F19" w:rsidP="00C05F19">
            <w:pPr>
              <w:pStyle w:val="Tekstkomentarza"/>
              <w:spacing w:before="80" w:after="80"/>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w:t>
            </w:r>
            <w:r w:rsidRPr="00C05F19">
              <w:rPr>
                <w:rFonts w:ascii="Arial" w:hAnsi="Arial" w:cs="Arial"/>
                <w:color w:val="000000" w:themeColor="text1"/>
                <w:sz w:val="19"/>
                <w:szCs w:val="19"/>
              </w:rPr>
              <w:t>planowane zmiany w projekcie</w:t>
            </w:r>
            <w:r>
              <w:rPr>
                <w:rFonts w:ascii="Arial" w:hAnsi="Arial" w:cs="Arial"/>
                <w:color w:val="000000" w:themeColor="text1"/>
                <w:sz w:val="19"/>
                <w:szCs w:val="19"/>
              </w:rPr>
              <w:t xml:space="preserve"> </w:t>
            </w:r>
            <w:r w:rsidRPr="00C05F19">
              <w:rPr>
                <w:rFonts w:ascii="Arial" w:hAnsi="Arial" w:cs="Arial"/>
                <w:color w:val="000000" w:themeColor="text1"/>
                <w:sz w:val="19"/>
                <w:szCs w:val="19"/>
              </w:rPr>
              <w:t xml:space="preserve">rozporządzenia, </w:t>
            </w:r>
            <w:r>
              <w:rPr>
                <w:rFonts w:ascii="Arial" w:hAnsi="Arial" w:cs="Arial"/>
                <w:color w:val="000000" w:themeColor="text1"/>
                <w:sz w:val="19"/>
                <w:szCs w:val="19"/>
              </w:rPr>
              <w:t xml:space="preserve">które powodują konieczność </w:t>
            </w:r>
            <w:r w:rsidRPr="00C05F19">
              <w:rPr>
                <w:rFonts w:ascii="Arial" w:hAnsi="Arial" w:cs="Arial"/>
                <w:color w:val="000000" w:themeColor="text1"/>
                <w:sz w:val="19"/>
                <w:szCs w:val="19"/>
              </w:rPr>
              <w:t>rozpoczęci</w:t>
            </w:r>
            <w:r>
              <w:rPr>
                <w:rFonts w:ascii="Arial" w:hAnsi="Arial" w:cs="Arial"/>
                <w:color w:val="000000" w:themeColor="text1"/>
                <w:sz w:val="19"/>
                <w:szCs w:val="19"/>
              </w:rPr>
              <w:t>a</w:t>
            </w:r>
            <w:r w:rsidRPr="00C05F19">
              <w:rPr>
                <w:rFonts w:ascii="Arial" w:hAnsi="Arial" w:cs="Arial"/>
                <w:color w:val="000000" w:themeColor="text1"/>
                <w:sz w:val="19"/>
                <w:szCs w:val="19"/>
              </w:rPr>
              <w:t xml:space="preserve"> prac legislacyjnych od początku tj. opracowanie nowego</w:t>
            </w:r>
            <w:r>
              <w:rPr>
                <w:rFonts w:ascii="Arial" w:hAnsi="Arial" w:cs="Arial"/>
                <w:color w:val="000000" w:themeColor="text1"/>
                <w:sz w:val="19"/>
                <w:szCs w:val="19"/>
              </w:rPr>
              <w:t xml:space="preserve"> </w:t>
            </w:r>
            <w:r w:rsidRPr="00C05F19">
              <w:rPr>
                <w:rFonts w:ascii="Arial" w:hAnsi="Arial" w:cs="Arial"/>
                <w:color w:val="000000" w:themeColor="text1"/>
                <w:sz w:val="19"/>
                <w:szCs w:val="19"/>
              </w:rPr>
              <w:t>projektu rozporządzenia</w:t>
            </w:r>
            <w:r>
              <w:rPr>
                <w:rFonts w:ascii="Arial" w:hAnsi="Arial" w:cs="Arial"/>
                <w:color w:val="000000" w:themeColor="text1"/>
                <w:sz w:val="19"/>
                <w:szCs w:val="19"/>
              </w:rPr>
              <w:t xml:space="preserve">. </w:t>
            </w:r>
          </w:p>
          <w:p w14:paraId="3509BD5D" w14:textId="347BA02B" w:rsidR="00D95E2F" w:rsidRPr="00C570DA" w:rsidRDefault="00D95E2F" w:rsidP="00C05F19">
            <w:pPr>
              <w:pStyle w:val="Tekstkomentarza"/>
              <w:spacing w:before="80" w:after="80"/>
              <w:jc w:val="both"/>
              <w:rPr>
                <w:rFonts w:ascii="Arial" w:hAnsi="Arial" w:cs="Arial"/>
                <w:color w:val="000000" w:themeColor="text1"/>
                <w:sz w:val="19"/>
                <w:szCs w:val="19"/>
              </w:rPr>
            </w:pP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46D751A9" w:rsidR="00D95E2F" w:rsidRPr="00C570DA" w:rsidRDefault="00AC3B8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26BD2A23" w:rsidR="00D95E2F" w:rsidRPr="00C570DA" w:rsidRDefault="00AC3B8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zmianę koncepcji zmian w Systemie Monitorowania Zgrożeń</w:t>
            </w:r>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wzory i terminy przekazywania raportów o zakażeniach i zachorowaniach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041E2131" w:rsidR="00D95E2F" w:rsidRPr="00C570DA" w:rsidRDefault="00AC3B8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02C74BD3"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 rozporządzenie regulujące kwestie elektroniczje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53AF167B"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7E51386A"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2918B7D5"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lastRenderedPageBreak/>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Ministra Zdrowia w sprawie rejestru przezcewnikowych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zakresu i skali wskazań i przeciwwskazań do przezcewnikowej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analizowania dostępności chorych do przezcewnikowej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przezcewnikowych operacji zastawek serca, został opracowany i wydany w drodze rozporządzenia Ministra Zdrowia z dnia 28 września 2021 r. w sprawie ogólnopolskiego kardiologiczno-kardiochirurgicznego rejestru przezcewnikowego </w:t>
            </w:r>
            <w:r w:rsidR="00BF4B85" w:rsidRPr="00C570DA">
              <w:rPr>
                <w:rFonts w:ascii="Arial" w:hAnsi="Arial" w:cs="Arial"/>
                <w:color w:val="000000" w:themeColor="text1"/>
                <w:sz w:val="19"/>
                <w:szCs w:val="19"/>
              </w:rPr>
              <w:lastRenderedPageBreak/>
              <w:t>leczenia zastawek serca "POL-TaVALVE"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specjalstycznej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2AC92526" w:rsidR="00D95E2F" w:rsidRPr="00C570DA" w:rsidRDefault="00AC3B8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zapotrzebowań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Rp.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lastRenderedPageBreak/>
              <w:t>Wojciech Konieczny, Sekretarz Stanu</w:t>
            </w:r>
          </w:p>
        </w:tc>
        <w:tc>
          <w:tcPr>
            <w:tcW w:w="2362" w:type="dxa"/>
            <w:shd w:val="clear" w:color="auto" w:fill="FFFFFF"/>
          </w:tcPr>
          <w:p w14:paraId="2B370A5F" w14:textId="623694F8"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3F110042"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6556FB44"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6F0033DA"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180D3109" w:rsidR="00D95E2F" w:rsidRPr="00C570DA" w:rsidRDefault="00AC3B8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33100C02" w:rsidR="000027BF" w:rsidRPr="00C570DA" w:rsidRDefault="00AC3B8A"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lastRenderedPageBreak/>
              <w:t>Marek Kos, Podsekretarz Stanu</w:t>
            </w:r>
          </w:p>
        </w:tc>
        <w:tc>
          <w:tcPr>
            <w:tcW w:w="2362" w:type="dxa"/>
            <w:shd w:val="clear" w:color="auto" w:fill="FFFFFF"/>
          </w:tcPr>
          <w:p w14:paraId="4A52D60D" w14:textId="469B4B01" w:rsidR="001A071D" w:rsidRPr="00C570DA" w:rsidRDefault="00AC3B8A"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(Cover test, test Hirschberga);</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3FBCC3BB" w:rsidR="00486646" w:rsidRPr="00C570DA" w:rsidRDefault="004E1108" w:rsidP="001A071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lastRenderedPageBreak/>
              <w:t>Izabela Leszczyna, Minister Zdrowia</w:t>
            </w:r>
          </w:p>
        </w:tc>
        <w:tc>
          <w:tcPr>
            <w:tcW w:w="2362" w:type="dxa"/>
            <w:shd w:val="clear" w:color="auto" w:fill="FFFFFF"/>
          </w:tcPr>
          <w:p w14:paraId="14867E80" w14:textId="6745C921" w:rsidR="00486646" w:rsidRPr="00C570DA" w:rsidRDefault="00AC3B8A"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lastRenderedPageBreak/>
              <w:t xml:space="preserve">Maciej Miłkowski Podsekretarz Stanu w </w:t>
            </w:r>
            <w:r>
              <w:rPr>
                <w:rFonts w:ascii="Arial" w:eastAsia="Calibri" w:hAnsi="Arial" w:cs="Arial"/>
                <w:color w:val="000000" w:themeColor="text1"/>
                <w:sz w:val="19"/>
                <w:szCs w:val="19"/>
                <w:lang w:eastAsia="en-US"/>
              </w:rPr>
              <w:lastRenderedPageBreak/>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Rezygancja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lastRenderedPageBreak/>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759DBEF5" w:rsidR="004438C8" w:rsidRPr="00C570DA" w:rsidRDefault="004E1108" w:rsidP="002312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27C47ED9" w14:textId="2C58E89D" w:rsidR="004438C8" w:rsidRPr="00C570DA" w:rsidRDefault="00AC3B8A"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Konieczność określenia diagnostycznych poziomów referencyjnych w prawie krajowym wynika bezpośrednio z art. 56 ust. 2 wdrażanej dyrektywy 2013/59/Euratom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Saitarny </w:t>
            </w:r>
          </w:p>
        </w:tc>
        <w:tc>
          <w:tcPr>
            <w:tcW w:w="2362" w:type="dxa"/>
            <w:shd w:val="clear" w:color="auto" w:fill="FFFFFF"/>
          </w:tcPr>
          <w:p w14:paraId="0D1F95D1" w14:textId="677410CF" w:rsidR="009B5DD5" w:rsidRPr="00C570DA" w:rsidRDefault="00AC3B8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rozporzadzenia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graniacznymi Państowj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zasadności przeprowadzania badania w postaci rtg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9693D14" w:rsidR="009B3F3C" w:rsidRPr="00C570DA" w:rsidRDefault="00C05F19"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brak uzasadnienia dla projektowanych zmian. </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lastRenderedPageBreak/>
              <w:t>Wojciech Konieczny, Sekretarz Stanu</w:t>
            </w:r>
          </w:p>
        </w:tc>
        <w:tc>
          <w:tcPr>
            <w:tcW w:w="2362" w:type="dxa"/>
            <w:shd w:val="clear" w:color="auto" w:fill="FFFFFF"/>
          </w:tcPr>
          <w:p w14:paraId="455A5BD9" w14:textId="59140CC4" w:rsidR="009D7DF4" w:rsidRPr="00C570DA" w:rsidRDefault="00AC3B8A"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podstawu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celu nieprzerwanego zabezpieczenia dostępności do testów antygenowych w kierunku koronowirusa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kategorie ekspozycji niezamierzonych i narażeń przypadkowych oraz kryteria kwalifikowania tych ekspozycji i narażeń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rozporządzenia jest dostosowanie przepisów rozporządzenia Minsire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został opracowany w związku z koniecznością wydłużenia okresu trwania programu pilotażowego dotyczącego leczenia ostrej fazy udaru niedokrwiennego za pomocą przezcewnikowej trombektomii mechanicznej naczyń domózgowych lub wewnątrzczaszkowych w celu wypracowania  celów zawartych w programie pilotażowym. Jednocześnie poszerzono listę realizatorów przedmiotowego programu pilotażowego w celu zabezpieczenia pacjentów w zabieg trombektomii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bieżącą analizę gromadzonych danych o zachorowaniach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wprowadzanego programu pilotażowego leczenia gruźlicy wielolekoopornej (MDR-TB) jest poprawa leczenia gruźlicy wielolekoopornej w Polsce - harmonizacja ponadnarodowa i wdrożenie standardów WHO w okresie </w:t>
            </w:r>
            <w:r w:rsidRPr="00C570DA">
              <w:rPr>
                <w:rFonts w:ascii="Arial" w:hAnsi="Arial" w:cs="Arial"/>
                <w:color w:val="000000" w:themeColor="text1"/>
                <w:sz w:val="19"/>
                <w:szCs w:val="19"/>
              </w:rPr>
              <w:lastRenderedPageBreak/>
              <w:t>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i aparaturę medyczną, mając na uwadze konieczność zapewnienia </w:t>
            </w:r>
            <w:r w:rsidRPr="00C570DA">
              <w:rPr>
                <w:rFonts w:ascii="Arial" w:eastAsia="Calibri" w:hAnsi="Arial" w:cs="Arial"/>
                <w:color w:val="000000" w:themeColor="text1"/>
                <w:sz w:val="19"/>
                <w:szCs w:val="19"/>
                <w:lang w:eastAsia="en-US"/>
              </w:rPr>
              <w:lastRenderedPageBreak/>
              <w:t>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w:t>
            </w:r>
            <w:r w:rsidRPr="00C570DA">
              <w:rPr>
                <w:rFonts w:ascii="Arial" w:hAnsi="Arial" w:cs="Arial"/>
                <w:color w:val="000000" w:themeColor="text1"/>
                <w:sz w:val="19"/>
                <w:szCs w:val="19"/>
              </w:rPr>
              <w:lastRenderedPageBreak/>
              <w:t xml:space="preserve">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w:t>
            </w:r>
            <w:r w:rsidRPr="00C570DA">
              <w:rPr>
                <w:rFonts w:ascii="Arial" w:eastAsia="Calibri" w:hAnsi="Arial" w:cs="Arial"/>
                <w:color w:val="000000" w:themeColor="text1"/>
                <w:sz w:val="19"/>
                <w:szCs w:val="19"/>
                <w:lang w:eastAsia="en-US"/>
              </w:rPr>
              <w:lastRenderedPageBreak/>
              <w:t xml:space="preserve">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poz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71F87BB2" w:rsidR="00840162" w:rsidRPr="00C570DA" w:rsidRDefault="00AC3B8A"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w:t>
            </w:r>
            <w:r w:rsidRPr="00C570DA">
              <w:rPr>
                <w:rFonts w:ascii="Arial" w:eastAsia="Calibri" w:hAnsi="Arial" w:cs="Arial"/>
                <w:color w:val="000000" w:themeColor="text1"/>
                <w:sz w:val="19"/>
                <w:szCs w:val="19"/>
                <w:lang w:eastAsia="en-US"/>
              </w:rPr>
              <w:lastRenderedPageBreak/>
              <w:t>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w:t>
            </w:r>
            <w:r w:rsidRPr="00C570DA">
              <w:rPr>
                <w:rFonts w:ascii="Arial" w:hAnsi="Arial" w:cs="Arial"/>
                <w:color w:val="000000" w:themeColor="text1"/>
                <w:sz w:val="19"/>
                <w:szCs w:val="19"/>
              </w:rPr>
              <w:lastRenderedPageBreak/>
              <w:t>nowotworów dziedzicznych (rak piersi, rak jajnika, rak jelita grubego, rak błony śluzowej trzonu macicy, siatkówczak, choroba von Hippel–Lindau).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rozporzadzenia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zmieniający rozporządzenie w sprawie programu pilotażowego w zakresie koordynowanej opieki medycznej nad chorymi z neurofibromatozami oraz pokrewnymi im rasopatiami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rozporzadzenia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w:t>
            </w:r>
            <w:r w:rsidRPr="00C570DA">
              <w:rPr>
                <w:rFonts w:ascii="Arial" w:eastAsia="Calibri" w:hAnsi="Arial" w:cs="Arial"/>
                <w:color w:val="000000" w:themeColor="text1"/>
                <w:sz w:val="19"/>
                <w:szCs w:val="19"/>
                <w:lang w:eastAsia="en-US"/>
              </w:rPr>
              <w:lastRenderedPageBreak/>
              <w:t>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17) tryb uznawania dorobku zawodowego i naukowego lekarzy posiadających stopień naukowy doktora habilitowanego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oddalaniu się nieletnich z zakładu leczniczego oraz przeciwdziałania zachowaniom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zakłada praktyczne sprawdzenie efektywności wykrywania wad postawy u dzieci w wieku od 7. do 16. roku życia poprzez manualne badanie biomechaniki stóp oraz badanie podoskopowe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Zmiana  wynika z konieczności zmin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rozporządzenia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0F9FAA0E" w:rsidR="009E507D" w:rsidRPr="00C570DA"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PESoz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pompa baklofenowa;</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8) endowaskularne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1CDF9988" w:rsidR="00B871DE" w:rsidRPr="00C570DA"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45645823" w:rsidR="000177CA" w:rsidRPr="00C570DA"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rozporzadzenia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Laboratory Practice),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57C3F7BE" w:rsidR="0094501C"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1F05E7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7B57D380" w14:textId="7AB167A9" w:rsidR="0094501C"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5704F5C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43A46E3B" w14:textId="4F384B05" w:rsidR="0094501C"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4B2E2673" w14:textId="00F71E6D" w:rsidR="00E920CF" w:rsidRPr="00E920CF" w:rsidRDefault="00F424F7" w:rsidP="00E920CF">
            <w:pPr>
              <w:rPr>
                <w:rFonts w:ascii="Arial" w:hAnsi="Arial" w:cs="Arial"/>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2AC63490" w:rsidR="0094501C"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eZWM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Methoxyflurane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Tranexamic acid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W projekcie uwzględniono podawanie leków przez ratownika medycznego drogą donosową i dopoliczkową.</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A53841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365954F" w14:textId="45BB1891" w:rsidR="004F7F41"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superwizji psychoterapii superwizją zespołową, uwzględnienia w świadczeniach gwarantowanych terapii rTMS.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642054C6" w:rsidR="004F7F41"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48DBEC0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9BBB600" w14:textId="74CB6DAE" w:rsidR="004F7F41"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piloteżowym</w:t>
            </w:r>
            <w:r w:rsidR="00AC6F12" w:rsidRPr="00AC6F12">
              <w:rPr>
                <w:rFonts w:ascii="Arial" w:hAnsi="Arial" w:cs="Arial"/>
                <w:color w:val="000000" w:themeColor="text1"/>
                <w:sz w:val="19"/>
                <w:szCs w:val="19"/>
              </w:rPr>
              <w:t xml:space="preserve"> leczenia gruźlicy wielolekoopornej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lastRenderedPageBreak/>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specjalistycznej (Dz. U. z 2016 r. poz. </w:t>
            </w:r>
            <w:r w:rsidRPr="00D55214">
              <w:rPr>
                <w:rFonts w:ascii="Arial" w:hAnsi="Arial" w:cs="Arial"/>
                <w:color w:val="000000" w:themeColor="text1"/>
                <w:sz w:val="19"/>
                <w:szCs w:val="19"/>
              </w:rPr>
              <w:lastRenderedPageBreak/>
              <w:t>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świadczeń gwarantowanych z zakresu ambulatoryjnej opieki specjalistycznej, nowego świadczenia opieki zdrowotnej „Iniekcja doszklistkowa”.</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zasadności zakwalifikowania świadczenia opieki zdrowotnej „Iniekcja doszklistkowa”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Rezygnacja z dalszych prac po etapie konsutlacji publicznych z uwagi, że cel zakładany przez projektowane zmiany (dodanie świadczenia</w:t>
            </w:r>
            <w:r w:rsidRPr="00D55214">
              <w:rPr>
                <w:rFonts w:ascii="Arial" w:hAnsi="Arial" w:cs="Arial"/>
                <w:color w:val="000000" w:themeColor="text1"/>
                <w:sz w:val="19"/>
                <w:szCs w:val="19"/>
              </w:rPr>
              <w:t xml:space="preserve"> </w:t>
            </w:r>
            <w:r w:rsidRPr="00D55214">
              <w:rPr>
                <w:rFonts w:ascii="Arial" w:hAnsi="Arial" w:cs="Arial"/>
                <w:color w:val="000000" w:themeColor="text1"/>
                <w:sz w:val="19"/>
                <w:szCs w:val="19"/>
              </w:rPr>
              <w:lastRenderedPageBreak/>
              <w:t>iniekcji</w:t>
            </w:r>
            <w:r>
              <w:rPr>
                <w:rFonts w:ascii="Arial" w:hAnsi="Arial" w:cs="Arial"/>
                <w:color w:val="000000" w:themeColor="text1"/>
                <w:sz w:val="19"/>
                <w:szCs w:val="19"/>
              </w:rPr>
              <w:t xml:space="preserve"> </w:t>
            </w:r>
            <w:r w:rsidRPr="00D55214">
              <w:rPr>
                <w:rFonts w:ascii="Arial" w:hAnsi="Arial" w:cs="Arial"/>
                <w:color w:val="000000" w:themeColor="text1"/>
                <w:sz w:val="19"/>
                <w:szCs w:val="19"/>
              </w:rPr>
              <w:t>doszklistkowej</w:t>
            </w:r>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Umożliwienie drożenia procedur podjętych w razie wystąpienia niebezpieczeństwa szerzenia się zakażenia lub choroby zakaźnej innej niż wymienione w wykazie stanowiącym załącznik do ustawy, tj. zakażeń wirusem syncytialnym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elektrochemioterapii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2) embolizacji tętniaków wewnątrzczaszkowych za pomocą wewnątrzworkowego urządzenia do embolizacji tętniaków wewnątrzczaszkowych (flow disruptor)</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wynagordzenia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278A406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0976FB87" w14:textId="77641D84" w:rsidR="001F352B"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B9B3D7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Marek Kos, Podsekretarz Stanu</w:t>
            </w:r>
          </w:p>
        </w:tc>
        <w:tc>
          <w:tcPr>
            <w:tcW w:w="2362" w:type="dxa"/>
            <w:shd w:val="clear" w:color="auto" w:fill="FFFFFF"/>
          </w:tcPr>
          <w:p w14:paraId="3339FABC" w14:textId="1C592C98" w:rsidR="001F352B"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9B621B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5107B81D" w14:textId="2B15C941" w:rsidR="001F352B" w:rsidRDefault="00AC3B8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 xml:space="preserve">projekt </w:t>
            </w:r>
            <w:r w:rsidR="00A35066">
              <w:rPr>
                <w:rFonts w:ascii="Arial" w:hAnsi="Arial" w:cs="Arial"/>
                <w:color w:val="000000" w:themeColor="text1"/>
                <w:sz w:val="19"/>
                <w:szCs w:val="19"/>
              </w:rPr>
              <w:t>po KP</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został opracowany w związku z koniecznością zapewnienia zabezpieczenia pacjentów z województwa lubuskiego w dostęp do specjalistycznej procedury trombektomii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programu pilotażowego dotyczącego leczenia ostrej fazy udaru niedokrwiennego za pomocą przezcewnikowej trombektomii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Celem projektu jest r</w:t>
            </w:r>
            <w:r w:rsidRPr="00D27B52">
              <w:rPr>
                <w:rFonts w:ascii="Arial" w:hAnsi="Arial" w:cs="Arial"/>
                <w:sz w:val="19"/>
                <w:szCs w:val="19"/>
              </w:rPr>
              <w:t>ozwiązywan</w:t>
            </w:r>
            <w:r>
              <w:rPr>
                <w:rFonts w:ascii="Arial" w:hAnsi="Arial" w:cs="Arial"/>
                <w:sz w:val="19"/>
                <w:szCs w:val="19"/>
              </w:rPr>
              <w:t>nie</w:t>
            </w:r>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2AB05D2C" w:rsidR="00D27B52"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1B1162">
              <w:rPr>
                <w:rFonts w:ascii="Arial" w:hAnsi="Arial" w:cs="Arial"/>
                <w:color w:val="000000" w:themeColor="text1"/>
                <w:sz w:val="19"/>
                <w:szCs w:val="19"/>
              </w:rPr>
              <w:t xml:space="preserve">ponownego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w:t>
            </w:r>
            <w:r w:rsidR="001B1162">
              <w:rPr>
                <w:rFonts w:ascii="Arial" w:hAnsi="Arial" w:cs="Arial"/>
                <w:color w:val="000000" w:themeColor="text1"/>
                <w:sz w:val="19"/>
                <w:szCs w:val="19"/>
              </w:rPr>
              <w:t>UZ i KS</w:t>
            </w:r>
            <w:r w:rsidR="001F7A0F">
              <w:rPr>
                <w:rFonts w:ascii="Arial" w:hAnsi="Arial" w:cs="Arial"/>
                <w:color w:val="000000" w:themeColor="text1"/>
                <w:sz w:val="19"/>
                <w:szCs w:val="19"/>
              </w:rPr>
              <w:t xml:space="preserve">.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CB44159" w14:textId="6C8CABB5" w:rsidR="00287CBB"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Celem programu pilotażowego jest ocena efektywności badania dermatoskopowego w dermatobusie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fotochemioterapii),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1366F8EA" w:rsidR="00287CBB"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r>
              <w:rPr>
                <w:rFonts w:ascii="Arial" w:hAnsi="Arial" w:cs="Arial"/>
                <w:sz w:val="19"/>
                <w:szCs w:val="19"/>
              </w:rPr>
              <w:t>Porcedowanie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5C9C060B" w:rsidR="00E0619D"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53569E45"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EE6BC70" w14:textId="79E01DE4" w:rsidR="00E0619D"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29583D74"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B79057D" w14:textId="42DBC0B5" w:rsidR="00E0619D" w:rsidRDefault="00AC3B8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Projekt rozporzadzenia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C35F16B" w:rsidR="00301116" w:rsidRPr="00496B7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1C124C0" w14:textId="63C623EE" w:rsidR="00301116"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r w:rsidRPr="00301116">
              <w:rPr>
                <w:rFonts w:ascii="Arial" w:hAnsi="Arial" w:cs="Arial"/>
                <w:sz w:val="19"/>
                <w:szCs w:val="19"/>
              </w:rPr>
              <w:t xml:space="preserve">nałożenieono na świadczeniodawców obowiązku świadczeniodawcy będą przekazywać do Funduszu przekazania do Funduszu kopiię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kolonoskopii.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BDF7E79" w:rsidR="00301116" w:rsidRPr="00496B7C"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BBF79BE" w14:textId="6ED7BB2E" w:rsidR="00301116"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tego rozporzadzenia</w:t>
            </w:r>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położnej”, „Ograniczone prawo wykonywania zawodu pielęgniarki” oraz „Ograniczone prawo wykonywania zawodu położnej”, również w formie dokumentu elektronicznego obsługiwanego przy użyciu oprogramowania aplikacji mObywatel.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zmany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Rezygnacja z dalszych prac z uwagi na </w:t>
            </w:r>
            <w:r>
              <w:rPr>
                <w:rFonts w:ascii="Arial" w:hAnsi="Arial" w:cs="Arial"/>
                <w:color w:val="000000" w:themeColor="text1"/>
                <w:sz w:val="19"/>
                <w:szCs w:val="19"/>
              </w:rPr>
              <w:lastRenderedPageBreak/>
              <w:t xml:space="preserve">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34318685" w:rsidR="0024510E"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"Poltransplant"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582851F4" w:rsidR="0024510E"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 xml:space="preserve">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"dyrekotywa 2004/33/WE", oraz procedowanymi zaleceniami „Guide to the preparation, use and quality assurance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Minister Zdrowia</w:t>
            </w:r>
          </w:p>
        </w:tc>
        <w:tc>
          <w:tcPr>
            <w:tcW w:w="2362" w:type="dxa"/>
            <w:shd w:val="clear" w:color="auto" w:fill="FFFFFF"/>
          </w:tcPr>
          <w:p w14:paraId="76907854" w14:textId="3CDE945F" w:rsidR="0024510E"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w:t>
            </w:r>
            <w:r w:rsidR="003F48B6">
              <w:rPr>
                <w:rFonts w:ascii="Arial" w:hAnsi="Arial" w:cs="Arial"/>
                <w:color w:val="000000" w:themeColor="text1"/>
                <w:sz w:val="19"/>
                <w:szCs w:val="19"/>
              </w:rPr>
              <w:t xml:space="preserve"> </w:t>
            </w:r>
            <w:r w:rsidR="001B1162">
              <w:rPr>
                <w:rFonts w:ascii="Arial" w:hAnsi="Arial" w:cs="Arial"/>
                <w:color w:val="000000" w:themeColor="text1"/>
                <w:sz w:val="19"/>
                <w:szCs w:val="19"/>
              </w:rPr>
              <w:t>KP</w:t>
            </w:r>
            <w:r w:rsidR="00C2309F">
              <w:rPr>
                <w:rFonts w:ascii="Arial" w:hAnsi="Arial" w:cs="Arial"/>
                <w:color w:val="000000" w:themeColor="text1"/>
                <w:sz w:val="19"/>
                <w:szCs w:val="19"/>
              </w:rPr>
              <w:t xml:space="preserve">.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r>
              <w:rPr>
                <w:rFonts w:ascii="Arial" w:hAnsi="Arial" w:cs="Arial"/>
                <w:sz w:val="19"/>
                <w:szCs w:val="19"/>
              </w:rPr>
              <w:t xml:space="preserve">Rozporzadzenie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Cele projektu rozporzadzenia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044F73F5" w:rsidR="0024510E"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rezydenckich.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W projektowanym rozporządzeniu wprowadza się § 3a, który umożliwi odpowiednie zwiększenie ryczałtu PSZ w bieżącym okresie rozliczeniowym tym świadczeniodawcom, którzy - w związku ze zwiększonym zapotrzebowaniem na świadczenia opieki zdrowotnej w okresie popandemicznym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sunięcie z programu biopsji cienkoigłowej, w celu wykonywania wyłącznie biopsji gruboigłowej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(seminogram)”.</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2739E2D3" w:rsidR="0079276D"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395B4958" w:rsidR="0079276D"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34D07526" w:rsidR="0079276D"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konienoczści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Zmiany mają na celu zapewnienie dostępu do zabiegu leczenia nowotworów: błony śluzowej macicy oraz jelita grubego z wykorzystaniem systemu robotowego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lastRenderedPageBreak/>
              <w:t>Wojciech Konieczny, Sekretarz Stanu</w:t>
            </w:r>
          </w:p>
        </w:tc>
        <w:tc>
          <w:tcPr>
            <w:tcW w:w="2362" w:type="dxa"/>
            <w:shd w:val="clear" w:color="auto" w:fill="FFFFFF"/>
          </w:tcPr>
          <w:p w14:paraId="7F9BDB6C" w14:textId="59CD7068" w:rsidR="0079276D"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2D59F76" w14:textId="6C9F1508" w:rsidR="00DB242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 xml:space="preserve">KP.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1355C21" w14:textId="3EA03F83" w:rsidR="00E21733" w:rsidRDefault="00E21733" w:rsidP="00E21733">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w:t>
            </w:r>
            <w:r w:rsidRPr="00C570DA">
              <w:rPr>
                <w:rFonts w:ascii="Arial" w:hAnsi="Arial" w:cs="Arial"/>
                <w:color w:val="000000" w:themeColor="text1"/>
                <w:sz w:val="19"/>
                <w:szCs w:val="19"/>
              </w:rPr>
              <w:t>.</w:t>
            </w:r>
          </w:p>
          <w:p w14:paraId="7C812588" w14:textId="07520924" w:rsidR="00DB242A" w:rsidRDefault="00DB242A" w:rsidP="00301116">
            <w:pPr>
              <w:rPr>
                <w:rFonts w:ascii="Arial" w:hAnsi="Arial" w:cs="Arial"/>
                <w:color w:val="000000" w:themeColor="text1"/>
                <w:sz w:val="19"/>
                <w:szCs w:val="19"/>
              </w:rPr>
            </w:pP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707C1031" w:rsidR="00DB242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6EC58381" w:rsidR="00DB242A" w:rsidRPr="00A47BE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02F18FE4" w14:textId="4FFB9D36" w:rsidR="00DB242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298BB7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36D76E8" w14:textId="3F47D411" w:rsidR="00DB242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3C9F5F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80DA007" w14:textId="190F8286" w:rsidR="00DB242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 xml:space="preserve">kierowania na 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mieloidalnymi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4A677E0" w:rsidR="00A13F81" w:rsidRPr="005A73EE"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Minister Zdrowia</w:t>
            </w:r>
          </w:p>
        </w:tc>
        <w:tc>
          <w:tcPr>
            <w:tcW w:w="2362" w:type="dxa"/>
            <w:shd w:val="clear" w:color="auto" w:fill="FFFFFF"/>
          </w:tcPr>
          <w:p w14:paraId="7FFE060F" w14:textId="71CCCA76" w:rsidR="00A13F81"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ogólnoakademickim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w zakresie koordynowanej opieki medycznej nad chorymi z neurofibromatozami oraz pokrewnymi im rasopatiami  do dnia 31 grudnia 2024 r.</w:t>
            </w:r>
            <w:r>
              <w:rPr>
                <w:rFonts w:ascii="Arial" w:hAnsi="Arial" w:cs="Arial"/>
                <w:sz w:val="19"/>
                <w:szCs w:val="19"/>
              </w:rPr>
              <w:t xml:space="preserve"> Dodakotwo,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TriClip,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3F86FCFB" w:rsidR="00A74355"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1B1162">
              <w:rPr>
                <w:rFonts w:ascii="Arial" w:hAnsi="Arial" w:cs="Arial"/>
                <w:color w:val="000000" w:themeColor="text1"/>
                <w:sz w:val="19"/>
                <w:szCs w:val="19"/>
              </w:rPr>
              <w:t>kierowania na KP</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00A2C1C7" w:rsidR="00A74355" w:rsidRPr="00933B0A"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EDE4BCF" w14:textId="04AACAA9" w:rsidR="00A74355"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Projekt rozporzadzenia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NiŚOZ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przyspieszenie udzielenia świadczeń świadczeniobiorcom kierowanym ze szpitalnego oddziału ratunkowego do NiŚOZ, których stan zdrowia określono, jako nie zagrażający życiu oraz którym przydzielono w triage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objecie kompleksowymi świadczeniami opieki koordynowanej lekarza POZ z zakresu diabetologii świadczeniobiorców, u których zdiagnozowano stan przedcukrzycowy,</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(IgE);  Immunoglobuliny E swoiste (IgE)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pantomograficzne,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14989F20" w:rsidR="0072674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lastRenderedPageBreak/>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skal medycznych oraz narzędzi pomiarowych. Włączenie do projektu rozporządzenia wybranych skal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059CF8AE" w:rsidR="0072674A"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 xml:space="preserve">art. 19 ust. 10 ustawy z dnia 5 grudnia 2008 r. o zapobieganiu oraz zwalczaniu zakażeń i </w:t>
            </w:r>
            <w:r w:rsidRPr="0072674A">
              <w:rPr>
                <w:rFonts w:ascii="Arial" w:hAnsi="Arial" w:cs="Arial"/>
                <w:sz w:val="19"/>
                <w:szCs w:val="19"/>
              </w:rPr>
              <w:lastRenderedPageBreak/>
              <w:t>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lastRenderedPageBreak/>
              <w:t xml:space="preserve">Konieczność wydania nowego rozporządzenia wynika z art. 5 pkt 3 lit. f ustawy z dnia 17 sierpnia 2023 r. o zmianie ustawy o refundacji leków, </w:t>
            </w:r>
            <w:r w:rsidRPr="002A5FD4">
              <w:rPr>
                <w:rFonts w:ascii="Arial" w:hAnsi="Arial" w:cs="Arial"/>
                <w:sz w:val="19"/>
                <w:szCs w:val="19"/>
              </w:rPr>
              <w:lastRenderedPageBreak/>
              <w:t>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syncytialnym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 xml:space="preserve">W załączniku nr 2 do projektowanego rozporządzenia określono wzór Międzynarodowej Książeczki Szczepień. Podstawą międzynarodowej </w:t>
            </w:r>
            <w:r w:rsidRPr="002A5FD4">
              <w:rPr>
                <w:rFonts w:ascii="Arial" w:hAnsi="Arial" w:cs="Arial"/>
                <w:sz w:val="19"/>
                <w:szCs w:val="19"/>
              </w:rPr>
              <w:lastRenderedPageBreak/>
              <w:t>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 xml:space="preserve">przez osoby zobowiązane do ich złożenia. Przeprowadzana analiza deklaracji o powiązaniach branżowych lub oświadczeń o powiązaniach branżowych ma na celu ocenę bezstronności osób, które zamierzają wziąć udział w postępowaniach prowadzonych przez Radę </w:t>
            </w:r>
            <w:r w:rsidRPr="001B34EC">
              <w:rPr>
                <w:rFonts w:ascii="Arial" w:hAnsi="Arial" w:cs="Arial"/>
                <w:sz w:val="19"/>
                <w:szCs w:val="19"/>
              </w:rPr>
              <w:lastRenderedPageBreak/>
              <w:t>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 xml:space="preserve">Minister właściwy do spraw zdrowia określi, w drodze rozporządzenia, wzór oświadczenia o powiązaniach branżowych, mając na uwadze zapewnienie przejrzystości i komunikatywności tych oświadczeń </w:t>
            </w:r>
            <w:r w:rsidRPr="003A0921">
              <w:rPr>
                <w:rFonts w:ascii="Arial" w:eastAsia="Calibri" w:hAnsi="Arial" w:cs="Arial"/>
                <w:color w:val="000000" w:themeColor="text1"/>
                <w:sz w:val="19"/>
                <w:szCs w:val="19"/>
                <w:lang w:eastAsia="en-US"/>
              </w:rPr>
              <w:lastRenderedPageBreak/>
              <w:t>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lastRenderedPageBreak/>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poz, jak również ze strony organizatora tych kursów. Zakres tematyczny kursu w dziedzinie medycyny rodzinnej realizowany na </w:t>
            </w:r>
            <w:r w:rsidRPr="008A4E27">
              <w:rPr>
                <w:rFonts w:ascii="Arial" w:hAnsi="Arial" w:cs="Arial"/>
                <w:sz w:val="19"/>
                <w:szCs w:val="19"/>
              </w:rPr>
              <w:lastRenderedPageBreak/>
              <w:t>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poz od momentu uzyskania tytułu specjalisty w dziedzinie medycyny rodzinnej, którzy mogliby poprowadzić zajęcia teoretyczne i praktyczne.</w:t>
            </w:r>
          </w:p>
        </w:tc>
        <w:tc>
          <w:tcPr>
            <w:tcW w:w="1842" w:type="dxa"/>
            <w:shd w:val="clear" w:color="auto" w:fill="FFFFFF"/>
          </w:tcPr>
          <w:p w14:paraId="67D3ECCB" w14:textId="485FAF22" w:rsidR="007B3B54"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48300807" w14:textId="0B290C6F" w:rsidR="007B3B54"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określi, w drodze rozporządzenia, zakres i tryb współpracy z Centrum podmiotów leczniczych prowadzących leczenie lub rehabilitację osób używających środków odurzających, substancji </w:t>
            </w:r>
            <w:r w:rsidRPr="007B3B54">
              <w:rPr>
                <w:rFonts w:ascii="Arial" w:eastAsia="Calibri" w:hAnsi="Arial" w:cs="Arial"/>
                <w:color w:val="000000" w:themeColor="text1"/>
                <w:sz w:val="19"/>
                <w:szCs w:val="19"/>
                <w:lang w:eastAsia="en-US"/>
              </w:rPr>
              <w:lastRenderedPageBreak/>
              <w:t>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lastRenderedPageBreak/>
              <w:t xml:space="preserve">Projekt rozporządzenia określa zakres i tryb współpracy podmiotów leczniczych prowadzących leczenie lub rehabilitację osób używających środków odurzających, substancji psychotropowych, nowych substancji psychoaktywnych lub środków </w:t>
            </w:r>
            <w:r w:rsidRPr="008A4E27">
              <w:rPr>
                <w:rFonts w:ascii="Arial" w:hAnsi="Arial" w:cs="Arial"/>
                <w:sz w:val="19"/>
                <w:szCs w:val="19"/>
              </w:rPr>
              <w:lastRenderedPageBreak/>
              <w:t>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lastRenderedPageBreak/>
              <w:t>Wojciech Konieczny, Sekretarz Stanu</w:t>
            </w:r>
          </w:p>
        </w:tc>
        <w:tc>
          <w:tcPr>
            <w:tcW w:w="2362" w:type="dxa"/>
            <w:shd w:val="clear" w:color="auto" w:fill="FFFFFF"/>
          </w:tcPr>
          <w:p w14:paraId="63836523" w14:textId="562B8443" w:rsidR="007B3B54" w:rsidRDefault="00AC3B8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w:t>
            </w:r>
            <w:r w:rsidR="007E5EA6">
              <w:rPr>
                <w:rFonts w:ascii="Arial" w:hAnsi="Arial" w:cs="Arial"/>
                <w:color w:val="000000" w:themeColor="text1"/>
                <w:sz w:val="19"/>
                <w:szCs w:val="19"/>
              </w:rPr>
              <w:t xml:space="preserve"> UZ i KS</w:t>
            </w:r>
            <w:r w:rsidR="001F2C36">
              <w:rPr>
                <w:rFonts w:ascii="Arial" w:hAnsi="Arial" w:cs="Arial"/>
                <w:color w:val="000000" w:themeColor="text1"/>
                <w:sz w:val="19"/>
                <w:szCs w:val="19"/>
              </w:rPr>
              <w:t>.</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poprawa jakości i efektywności leczenia świadczeniobiorców w wieku do 18. roku życia z rozpoznaniem ICD-10: E66.0 „Otyłość spowodowana nadmierną podażą energii”, u których wskaźnik masy ciała wynosi ≥ 95 centyla,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1E9B9A36"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lastRenderedPageBreak/>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lastRenderedPageBreak/>
              <w:t xml:space="preserve">Proponuje się, aby komisja bioetyczna państwowego instytutu badawczego uczestniczącego w systemie ochrony zdrowia i nadzorowanego przez Ministra Obrony Narodowej była </w:t>
            </w:r>
            <w:r w:rsidRPr="008A4E27">
              <w:rPr>
                <w:rFonts w:ascii="Arial" w:hAnsi="Arial" w:cs="Arial"/>
                <w:sz w:val="19"/>
                <w:szCs w:val="19"/>
              </w:rPr>
              <w:lastRenderedPageBreak/>
              <w:t>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C24CAA5" w14:textId="57F14421"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E4767E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7BD4599" w14:textId="7E33A4FE"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akredatycyjnego. </w:t>
            </w:r>
          </w:p>
        </w:tc>
        <w:tc>
          <w:tcPr>
            <w:tcW w:w="1842" w:type="dxa"/>
            <w:shd w:val="clear" w:color="auto" w:fill="FFFFFF"/>
          </w:tcPr>
          <w:p w14:paraId="3FC6A040" w14:textId="121525A3"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1FE82B4" w14:textId="22867B43"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201270">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lastRenderedPageBreak/>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49121FF"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Minister Zdrowia</w:t>
            </w:r>
          </w:p>
        </w:tc>
        <w:tc>
          <w:tcPr>
            <w:tcW w:w="2362" w:type="dxa"/>
            <w:shd w:val="clear" w:color="auto" w:fill="FFFFFF"/>
          </w:tcPr>
          <w:p w14:paraId="1D15F771" w14:textId="7C9D3730"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działa przy Rzeczniku Praw Pacjenta. Do jej zadań należy rozpatrywanie odwołań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0135E131" w14:textId="62D50103"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185BD4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F547154" w14:textId="0272FF32"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0C7F4929"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90AB23" w14:textId="0679304C"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7D8DEF0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78EC0DC" w14:textId="62FC723B"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po zasięgnięciu opinii Rzecznika, określi, w drodze rozporządzenia, sposób ustalania wysokości świadczenia kompensacyjnego z </w:t>
            </w:r>
            <w:r w:rsidRPr="007B3B54">
              <w:rPr>
                <w:rFonts w:ascii="Arial" w:eastAsia="Calibri" w:hAnsi="Arial" w:cs="Arial"/>
                <w:color w:val="000000" w:themeColor="text1"/>
                <w:sz w:val="19"/>
                <w:szCs w:val="19"/>
                <w:lang w:eastAsia="en-US"/>
              </w:rPr>
              <w:lastRenderedPageBreak/>
              <w:t>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lastRenderedPageBreak/>
              <w:t xml:space="preserve">Cele projektu rozporzadzenia jest określenie </w:t>
            </w:r>
            <w:r w:rsidRPr="00CB4A62">
              <w:rPr>
                <w:rFonts w:ascii="Arial" w:hAnsi="Arial" w:cs="Arial"/>
                <w:sz w:val="19"/>
                <w:szCs w:val="19"/>
              </w:rPr>
              <w:t xml:space="preserve">wysokości świadczenia z tytułu zakażenia biologicznym czynnikiem chorobotwórczym, uszkodzenia ciała lub rozstroju zdrowia </w:t>
            </w:r>
            <w:r w:rsidRPr="00CB4A62">
              <w:rPr>
                <w:rFonts w:ascii="Arial" w:hAnsi="Arial" w:cs="Arial"/>
                <w:sz w:val="19"/>
                <w:szCs w:val="19"/>
              </w:rPr>
              <w:lastRenderedPageBreak/>
              <w:t xml:space="preserve">albo śmierci pacjenta.W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Minister Zdrowia</w:t>
            </w:r>
          </w:p>
        </w:tc>
        <w:tc>
          <w:tcPr>
            <w:tcW w:w="2362" w:type="dxa"/>
            <w:shd w:val="clear" w:color="auto" w:fill="FFFFFF"/>
          </w:tcPr>
          <w:p w14:paraId="4BEC593C" w14:textId="5601E006" w:rsidR="007B3B5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uspójniającym. Wejście w życie ustawy z dnia 16 listopada 2022 r. o zmianie ustawy o zawodach lekarza i lekarza </w:t>
            </w:r>
            <w:r w:rsidRPr="00CB4A62">
              <w:rPr>
                <w:rFonts w:ascii="Arial" w:hAnsi="Arial" w:cs="Arial"/>
                <w:sz w:val="19"/>
                <w:szCs w:val="19"/>
              </w:rPr>
              <w:lastRenderedPageBreak/>
              <w:t>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 xml:space="preserve">rt. 48e ust. 5 ustawy z dnia 27 sierpnia 2004 r. o świadczeniach opieki </w:t>
            </w:r>
            <w:r w:rsidRPr="007A6C03">
              <w:rPr>
                <w:rFonts w:ascii="Arial" w:hAnsi="Arial" w:cs="Arial"/>
                <w:sz w:val="19"/>
                <w:szCs w:val="19"/>
              </w:rPr>
              <w:lastRenderedPageBreak/>
              <w:t>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w:t>
            </w:r>
            <w:r w:rsidRPr="007A6C03">
              <w:rPr>
                <w:rFonts w:ascii="Arial" w:eastAsia="Calibri" w:hAnsi="Arial" w:cs="Arial"/>
                <w:color w:val="000000" w:themeColor="text1"/>
                <w:sz w:val="19"/>
                <w:szCs w:val="19"/>
                <w:lang w:eastAsia="en-US"/>
              </w:rPr>
              <w:lastRenderedPageBreak/>
              <w:t>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lastRenderedPageBreak/>
              <w:t xml:space="preserve">Celem projektu jest wprowadzenie do </w:t>
            </w:r>
            <w:r w:rsidRPr="007A6C03">
              <w:rPr>
                <w:rFonts w:ascii="Arial" w:hAnsi="Arial" w:cs="Arial"/>
                <w:sz w:val="19"/>
                <w:szCs w:val="19"/>
              </w:rPr>
              <w:t xml:space="preserve">programu pilotażowego w zakresie koordynowanej opieki medycznej nad </w:t>
            </w:r>
            <w:r w:rsidRPr="007A6C03">
              <w:rPr>
                <w:rFonts w:ascii="Arial" w:hAnsi="Arial" w:cs="Arial"/>
                <w:sz w:val="19"/>
                <w:szCs w:val="19"/>
              </w:rPr>
              <w:lastRenderedPageBreak/>
              <w:t>chorymi z neurofibromatozami oraz pokrewnymi im rasopatiami</w:t>
            </w:r>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r>
              <w:rPr>
                <w:rFonts w:ascii="Arial" w:hAnsi="Arial" w:cs="Arial"/>
                <w:sz w:val="19"/>
                <w:szCs w:val="19"/>
              </w:rPr>
              <w:t>pilotazowym</w:t>
            </w:r>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05D7D54D" w:rsidR="002E7CB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 xml:space="preserve">uwadze konieczność zapewnienia </w:t>
            </w:r>
            <w:r w:rsidRPr="002E7CB4">
              <w:rPr>
                <w:rFonts w:ascii="Arial" w:eastAsia="Calibri" w:hAnsi="Arial" w:cs="Arial"/>
                <w:color w:val="000000" w:themeColor="text1"/>
                <w:sz w:val="19"/>
                <w:szCs w:val="19"/>
                <w:lang w:eastAsia="en-US"/>
              </w:rPr>
              <w:lastRenderedPageBreak/>
              <w:t>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lastRenderedPageBreak/>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Projekt dotyczy potrzeby dokonania zmina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modyfikacjęi przepisów dotyczących </w:t>
            </w:r>
            <w:r w:rsidRPr="002E7CB4">
              <w:rPr>
                <w:rFonts w:ascii="Arial" w:hAnsi="Arial" w:cs="Arial"/>
                <w:sz w:val="19"/>
                <w:szCs w:val="19"/>
              </w:rPr>
              <w:lastRenderedPageBreak/>
              <w:t>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Wojciech Konieczny, Sekretarz Stanu</w:t>
            </w:r>
          </w:p>
        </w:tc>
        <w:tc>
          <w:tcPr>
            <w:tcW w:w="2362" w:type="dxa"/>
            <w:shd w:val="clear" w:color="auto" w:fill="FFFFFF"/>
          </w:tcPr>
          <w:p w14:paraId="7C3F202A" w14:textId="63390FE6" w:rsidR="002E7CB4" w:rsidRDefault="00AC3B8A"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lastRenderedPageBreak/>
              <w:t xml:space="preserve">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„Rpw” oraz na inne możliwe do wydawania z apteki produkty lecznicze zawierające w swoim składzie środek odurzający lub substancję psychotropową określoną w ustawie z dnia 29 lipca 2005 r. o </w:t>
            </w:r>
            <w:r w:rsidRPr="002E7CB4">
              <w:rPr>
                <w:rFonts w:ascii="Arial" w:hAnsi="Arial" w:cs="Arial"/>
                <w:sz w:val="19"/>
                <w:szCs w:val="19"/>
              </w:rPr>
              <w:lastRenderedPageBreak/>
              <w:t>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termoablacja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krioablacja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lastRenderedPageBreak/>
              <w:t xml:space="preserve">2)      Przezskórna termoablacja przy użyciu prądu o częstotliwości radiowej (RFA) lub mikrofal  (MWA) pod kontrolą tomografii komputerowej lub rezonansu magnetycznego z zabiegiem cementoplastyki we wskazaniu wtórne guzy złośliwe kości, kostniak kostninowy, pierwotne guzy złośliwe kości albo przezskórna krioablacja pod kontrolą tomografii komputerowej lub rezonansu magnetycznego z zabiegiem cementoplastyki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termoablacja przy użyciu prądu o częstotliwości radiowej (RFA) lub mikrofal (MWA) pod kontrolą tomografii komputerowej we wskazaniu guzy nowotworowe nadnerczy. </w:t>
            </w:r>
          </w:p>
        </w:tc>
        <w:tc>
          <w:tcPr>
            <w:tcW w:w="1842" w:type="dxa"/>
            <w:shd w:val="clear" w:color="auto" w:fill="FFFFFF"/>
          </w:tcPr>
          <w:p w14:paraId="56871304" w14:textId="4B3BC10D" w:rsidR="002E7CB4" w:rsidRPr="007A6C03"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Minister Zdrowia</w:t>
            </w:r>
          </w:p>
        </w:tc>
        <w:tc>
          <w:tcPr>
            <w:tcW w:w="2362" w:type="dxa"/>
            <w:shd w:val="clear" w:color="auto" w:fill="FFFFFF"/>
          </w:tcPr>
          <w:p w14:paraId="16F17053" w14:textId="3DC43F3D" w:rsidR="002E7CB4"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(krio i termoablacja)</w:t>
            </w:r>
          </w:p>
        </w:tc>
        <w:tc>
          <w:tcPr>
            <w:tcW w:w="1842" w:type="dxa"/>
            <w:shd w:val="clear" w:color="auto" w:fill="FFFFFF"/>
          </w:tcPr>
          <w:p w14:paraId="3BD74CF1" w14:textId="79953D9A"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AF9A35" w14:textId="17599A0E" w:rsidR="00C746D4"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 xml:space="preserve">art. 48e ust. 5 ustawy z dnia 27 sierpnia 2004 r. o świadczeniach opieki zdrowotnej </w:t>
            </w:r>
            <w:r w:rsidRPr="00C746D4">
              <w:rPr>
                <w:rFonts w:ascii="Arial" w:hAnsi="Arial" w:cs="Arial"/>
                <w:sz w:val="19"/>
                <w:szCs w:val="19"/>
              </w:rPr>
              <w:lastRenderedPageBreak/>
              <w:t>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systemu ochrony zdrowia oraz </w:t>
            </w:r>
            <w:r w:rsidRPr="00C746D4">
              <w:rPr>
                <w:rFonts w:ascii="Arial" w:eastAsia="Calibri" w:hAnsi="Arial" w:cs="Arial"/>
                <w:color w:val="000000" w:themeColor="text1"/>
                <w:sz w:val="19"/>
                <w:szCs w:val="19"/>
                <w:lang w:eastAsia="en-US"/>
              </w:rPr>
              <w:lastRenderedPageBreak/>
              <w:t>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lastRenderedPageBreak/>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r>
              <w:rPr>
                <w:rFonts w:ascii="Arial" w:hAnsi="Arial" w:cs="Arial"/>
                <w:sz w:val="19"/>
                <w:szCs w:val="19"/>
              </w:rPr>
              <w:t xml:space="preserve">Porjekt rozporzadzenia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1FD06718" w14:textId="329BEAF8" w:rsidR="008A7877" w:rsidRDefault="008A7877" w:rsidP="008A787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224</w:t>
            </w:r>
            <w:r w:rsidRPr="00C570DA">
              <w:rPr>
                <w:rFonts w:ascii="Arial" w:hAnsi="Arial" w:cs="Arial"/>
                <w:color w:val="000000" w:themeColor="text1"/>
                <w:sz w:val="19"/>
                <w:szCs w:val="19"/>
              </w:rPr>
              <w:t>.</w:t>
            </w:r>
          </w:p>
          <w:p w14:paraId="0E464A8B" w14:textId="23416BC7" w:rsidR="00C746D4" w:rsidRDefault="00C746D4" w:rsidP="002E7CB4">
            <w:pPr>
              <w:rPr>
                <w:rFonts w:ascii="Arial" w:hAnsi="Arial" w:cs="Arial"/>
                <w:color w:val="000000" w:themeColor="text1"/>
                <w:sz w:val="19"/>
                <w:szCs w:val="19"/>
              </w:rPr>
            </w:pP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r>
              <w:rPr>
                <w:rFonts w:ascii="Arial" w:hAnsi="Arial" w:cs="Arial"/>
                <w:sz w:val="19"/>
                <w:szCs w:val="19"/>
              </w:rPr>
              <w:t>rozwizań</w:t>
            </w:r>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lastRenderedPageBreak/>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Badanie genetyczne metodą porównawczej hybrydyzacji genomowej do mikromacierzy (aCGH – Array Comparative Genomic Hybridization);</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2)</w:t>
            </w:r>
            <w:r w:rsidRPr="004D1E33">
              <w:rPr>
                <w:rFonts w:ascii="Arial" w:hAnsi="Arial" w:cs="Arial"/>
                <w:sz w:val="19"/>
                <w:szCs w:val="19"/>
              </w:rPr>
              <w:tab/>
              <w:t>Badanie całoeksomowe (WES – Whole Exome Sequencing) z zastosowaniem sekwencjonowania następnej generacji (NGS – Next Generation Sequencing);</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(qRT-PCR – Real-Time Quantitative Polymerase Chain Reaction).</w:t>
            </w:r>
          </w:p>
        </w:tc>
        <w:tc>
          <w:tcPr>
            <w:tcW w:w="1842" w:type="dxa"/>
            <w:shd w:val="clear" w:color="auto" w:fill="FFFFFF"/>
          </w:tcPr>
          <w:p w14:paraId="3661463B" w14:textId="35B65A78"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lastRenderedPageBreak/>
              <w:t>Izabela Leszczyna – Minister Zdrowia</w:t>
            </w:r>
          </w:p>
        </w:tc>
        <w:tc>
          <w:tcPr>
            <w:tcW w:w="2362" w:type="dxa"/>
            <w:shd w:val="clear" w:color="auto" w:fill="FFFFFF"/>
          </w:tcPr>
          <w:p w14:paraId="4CD00400" w14:textId="06600EC3" w:rsidR="00C746D4"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szpitlane]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w:t>
            </w:r>
            <w:r w:rsidRPr="004D1E33">
              <w:rPr>
                <w:rFonts w:ascii="Arial" w:hAnsi="Arial" w:cs="Arial"/>
                <w:sz w:val="19"/>
                <w:szCs w:val="19"/>
              </w:rPr>
              <w:lastRenderedPageBreak/>
              <w:t xml:space="preserve">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Celem programu pilotażowego leczenia gruźlicy wielolekoopornej w warunkach ambulatoryjnych, zwanego dalej „programem pilotażowym”, jest poprawa leczenia gruźlicy wielolekoopornej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w:t>
            </w:r>
            <w:r w:rsidRPr="0073432D">
              <w:rPr>
                <w:rFonts w:ascii="Arial" w:hAnsi="Arial" w:cs="Arial"/>
                <w:sz w:val="19"/>
                <w:szCs w:val="19"/>
              </w:rPr>
              <w:lastRenderedPageBreak/>
              <w:t>gruźlicę i koniecznością zebrania niezbędnych informacji dotyczących optymalnego i docelowego systemu leczenia gruźlicy wielolekoopornej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lastRenderedPageBreak/>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 xml:space="preserve">ośrodków wczesnego zapalenia stawów, zwanych dalej „ośrodkami WZS”. Podpisanie </w:t>
            </w:r>
            <w:r w:rsidRPr="0073432D">
              <w:rPr>
                <w:rFonts w:ascii="Arial" w:hAnsi="Arial" w:cs="Arial"/>
                <w:sz w:val="19"/>
                <w:szCs w:val="19"/>
              </w:rPr>
              <w:lastRenderedPageBreak/>
              <w:t>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2F6B4B57" w14:textId="0E73423E"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C514D5">
              <w:rPr>
                <w:rFonts w:ascii="Arial" w:hAnsi="Arial" w:cs="Arial"/>
                <w:color w:val="000000" w:themeColor="text1"/>
                <w:sz w:val="19"/>
                <w:szCs w:val="19"/>
              </w:rPr>
              <w:t xml:space="preserve"> </w:t>
            </w:r>
            <w:r w:rsidR="001B1162">
              <w:rPr>
                <w:rFonts w:ascii="Arial" w:hAnsi="Arial" w:cs="Arial"/>
                <w:color w:val="000000" w:themeColor="text1"/>
                <w:sz w:val="19"/>
                <w:szCs w:val="19"/>
              </w:rPr>
              <w:t xml:space="preserve">projekt na etapie ponownego UZ i KS. </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6350312C"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1B1162">
              <w:rPr>
                <w:rFonts w:ascii="Arial" w:hAnsi="Arial" w:cs="Arial"/>
                <w:color w:val="000000" w:themeColor="text1"/>
                <w:sz w:val="19"/>
                <w:szCs w:val="19"/>
              </w:rPr>
              <w:t>KP</w:t>
            </w:r>
            <w:r w:rsidR="00B26031">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15D2302B" w:rsidR="005E24BA" w:rsidRPr="00C570DA" w:rsidRDefault="00E21733"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239</w:t>
            </w:r>
            <w:r w:rsidRPr="00C570DA">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Minister właściwy do spraw zdrowia określi, w drodze rozporządzenia, ogólne warunki umów o udzielanie świadczeń opieki zdrowotnej, kierując się interesem świadczeniobiorców oraz </w:t>
            </w:r>
            <w:r w:rsidRPr="00FA261A">
              <w:rPr>
                <w:rFonts w:ascii="Arial" w:eastAsia="Calibri" w:hAnsi="Arial" w:cs="Arial"/>
                <w:color w:val="000000" w:themeColor="text1"/>
                <w:sz w:val="19"/>
                <w:szCs w:val="19"/>
                <w:lang w:eastAsia="en-US"/>
              </w:rPr>
              <w:lastRenderedPageBreak/>
              <w:t>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lastRenderedPageBreak/>
              <w:t xml:space="preserve">Zgodnie z obowiązującymi regulacjami – w okresie od dnia 19 października do dnia 31 grudnia 2023 r. nie nakłada się kar umownych na specjalistyczne Zespoły Ratownictwa Medycznego, dalej „ZRM S”, w przypadku nie </w:t>
            </w:r>
            <w:r w:rsidRPr="00ED6FB9">
              <w:rPr>
                <w:rFonts w:ascii="Arial" w:hAnsi="Arial" w:cs="Arial"/>
                <w:sz w:val="19"/>
                <w:szCs w:val="19"/>
              </w:rPr>
              <w:lastRenderedPageBreak/>
              <w:t>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 xml:space="preserve">finansowania omawianej </w:t>
            </w:r>
            <w:r w:rsidRPr="00ED6FB9">
              <w:rPr>
                <w:rFonts w:ascii="Arial" w:hAnsi="Arial" w:cs="Arial"/>
                <w:sz w:val="19"/>
                <w:szCs w:val="19"/>
              </w:rPr>
              <w:lastRenderedPageBreak/>
              <w:t>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 xml:space="preserve">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w:t>
            </w:r>
            <w:r w:rsidRPr="00B26031">
              <w:rPr>
                <w:rFonts w:ascii="Arial" w:hAnsi="Arial" w:cs="Arial"/>
                <w:sz w:val="19"/>
                <w:szCs w:val="19"/>
              </w:rPr>
              <w:lastRenderedPageBreak/>
              <w:t>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Noradrenalinum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Prasugrel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Tranexamic acid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1267E7D8"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w:t>
            </w:r>
            <w:r w:rsidR="001B1162">
              <w:rPr>
                <w:rFonts w:ascii="Arial" w:hAnsi="Arial" w:cs="Arial"/>
                <w:color w:val="000000" w:themeColor="text1"/>
                <w:sz w:val="19"/>
                <w:szCs w:val="19"/>
              </w:rPr>
              <w:t>rozporządzenie oczekuje na ogłoszenie w Dz. U</w:t>
            </w:r>
            <w:r w:rsidR="00B26031">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ogólnodostepnej,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w:t>
            </w:r>
            <w:r w:rsidRPr="00B26031">
              <w:rPr>
                <w:rFonts w:ascii="Arial" w:hAnsi="Arial" w:cs="Arial"/>
                <w:sz w:val="19"/>
                <w:szCs w:val="19"/>
              </w:rPr>
              <w:lastRenderedPageBreak/>
              <w:t>(obecnie,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50556055" w14:textId="2CF6646F"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który generalnie stanowi podstawę do wykonywania w aptece ogólnodostepnej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22BF57DE"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kierując się zakresem wiedzy i umiejętności nabytych przez ratownika medycznego w ramach </w:t>
            </w:r>
            <w:r w:rsidRPr="00B26031">
              <w:rPr>
                <w:rFonts w:ascii="Arial" w:eastAsia="Calibri" w:hAnsi="Arial" w:cs="Arial"/>
                <w:color w:val="000000" w:themeColor="text1"/>
                <w:sz w:val="19"/>
                <w:szCs w:val="19"/>
                <w:lang w:eastAsia="en-US"/>
              </w:rPr>
              <w:lastRenderedPageBreak/>
              <w:t>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lastRenderedPageBreak/>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warunki i tryb udzielania pomocy publicznej i pomocy de minimis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warunki dotyczące dopuszczalnej pomocy publicznej określone w przepisach prawa Unii Europejskiej oraz konieczność zapewnienia efektywnego i skutecznego wykorzystania pomocy publicznej i pomocy de minimis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pomoc de minimis,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45CB191A"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zakres wiedzy i umiejętności niezbędnych do wykonywania określonych świadczeń zdrowotnych lub usług farmaceutycznych, a także mając na celu uwzględnienie obiektywnych kryteriów weryfikacji wiedzy i </w:t>
            </w:r>
            <w:r w:rsidRPr="00B26031">
              <w:rPr>
                <w:rFonts w:ascii="Arial" w:eastAsia="Calibri" w:hAnsi="Arial" w:cs="Arial"/>
                <w:color w:val="000000" w:themeColor="text1"/>
                <w:sz w:val="19"/>
                <w:szCs w:val="19"/>
                <w:lang w:eastAsia="en-US"/>
              </w:rPr>
              <w:lastRenderedPageBreak/>
              <w:t>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lastRenderedPageBreak/>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219F2892" w:rsidR="005E24BA" w:rsidRPr="00C746D4" w:rsidRDefault="0006007D"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33D9F45F" w14:textId="5213BEF3" w:rsidR="005E24BA" w:rsidRPr="00C570DA" w:rsidRDefault="00AC3B8A" w:rsidP="002E7CB4">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606D9A">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ma na celu ustawnienie</w:t>
            </w:r>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 xml:space="preserve">miesięcy. Dodatkowo </w:t>
            </w:r>
            <w:r w:rsidRPr="008E43AC">
              <w:rPr>
                <w:rFonts w:ascii="Arial" w:hAnsi="Arial" w:cs="Arial"/>
                <w:sz w:val="19"/>
                <w:szCs w:val="19"/>
              </w:rPr>
              <w:lastRenderedPageBreak/>
              <w:t>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lastRenderedPageBreak/>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D85779" w14:textId="12ACF462" w:rsidR="00360327" w:rsidRDefault="00AC3B8A"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618B1B65" w14:textId="3B7EDF54"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 którym mowa w art. 18, art. 33 i art. 41, mając na uwadze treść rekomendacji</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uwzględniając kryteria określone w art. 31a ust. 1;</w:t>
            </w:r>
          </w:p>
          <w:p w14:paraId="13A8B62C" w14:textId="4CAB3710"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personelu medycznego i wyposażenia w sprzęt i aparaturę medyczną, mając na</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 xml:space="preserve">uwadze konieczność zapewnienia wysokiej jakości świadczeń opieki </w:t>
            </w:r>
            <w:r w:rsidRPr="00360327">
              <w:rPr>
                <w:rFonts w:ascii="Arial" w:eastAsia="Calibri" w:hAnsi="Arial" w:cs="Arial"/>
                <w:color w:val="000000" w:themeColor="text1"/>
                <w:sz w:val="19"/>
                <w:szCs w:val="19"/>
                <w:lang w:eastAsia="en-US"/>
              </w:rPr>
              <w:lastRenderedPageBreak/>
              <w:t>zdrowotnej</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lastRenderedPageBreak/>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3950721A"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708910" w14:textId="6D78BB58" w:rsidR="00360327" w:rsidRDefault="00AC3B8A"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8A7877" w:rsidRPr="00C570DA">
              <w:rPr>
                <w:rFonts w:ascii="Arial" w:hAnsi="Arial" w:cs="Arial"/>
                <w:color w:val="000000" w:themeColor="text1"/>
                <w:sz w:val="19"/>
                <w:szCs w:val="19"/>
              </w:rPr>
              <w:t>–</w:t>
            </w:r>
            <w:r w:rsidR="008A7877">
              <w:rPr>
                <w:rFonts w:ascii="Arial" w:hAnsi="Arial" w:cs="Arial"/>
                <w:color w:val="000000" w:themeColor="text1"/>
                <w:sz w:val="19"/>
                <w:szCs w:val="19"/>
              </w:rPr>
              <w:t xml:space="preserve"> projekt na etapie </w:t>
            </w:r>
            <w:r w:rsidR="008A7877">
              <w:rPr>
                <w:rFonts w:ascii="Arial" w:hAnsi="Arial" w:cs="Arial"/>
                <w:color w:val="000000" w:themeColor="text1"/>
                <w:sz w:val="19"/>
                <w:szCs w:val="19"/>
              </w:rPr>
              <w:t>UZ i KS</w:t>
            </w:r>
            <w:r w:rsidR="008A7877">
              <w:rPr>
                <w:rFonts w:ascii="Arial" w:hAnsi="Arial" w:cs="Arial"/>
                <w:color w:val="000000" w:themeColor="text1"/>
                <w:sz w:val="19"/>
                <w:szCs w:val="19"/>
              </w:rPr>
              <w:t>.</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programu pilotażowego dotyczącego leczenia ostrej fazy udaru niedokrwiennego za pomocą przezcewnikowej trombektomii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 xml:space="preserve">art. 48e ust. 5 ustawy z dnia 27 sierpnia 2004 r. o świadczeniach opieki </w:t>
            </w:r>
            <w:r w:rsidRPr="007E5EA6">
              <w:rPr>
                <w:rFonts w:ascii="Arial" w:hAnsi="Arial" w:cs="Arial"/>
                <w:sz w:val="19"/>
                <w:szCs w:val="19"/>
              </w:rPr>
              <w:lastRenderedPageBreak/>
              <w:t>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w:t>
            </w:r>
            <w:r w:rsidRPr="00360327">
              <w:rPr>
                <w:rFonts w:ascii="Arial" w:eastAsia="Calibri" w:hAnsi="Arial" w:cs="Arial"/>
                <w:color w:val="000000" w:themeColor="text1"/>
                <w:sz w:val="19"/>
                <w:szCs w:val="19"/>
                <w:lang w:eastAsia="en-US"/>
              </w:rPr>
              <w:lastRenderedPageBreak/>
              <w:t>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lastRenderedPageBreak/>
              <w:t xml:space="preserve">Projektowane rozporządzenie przedłuża do dnia 31 marca 2024 r. fakultatywną możliwość przydzielenia </w:t>
            </w:r>
            <w:r w:rsidRPr="007E5EA6">
              <w:rPr>
                <w:rFonts w:ascii="Arial" w:hAnsi="Arial" w:cs="Arial"/>
                <w:sz w:val="19"/>
                <w:szCs w:val="19"/>
              </w:rPr>
              <w:lastRenderedPageBreak/>
              <w:t>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ustalania stawki taksy laborum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wynagrodzenia za pracę. „Cykl życia” leku recepturowego w aptece ogólnodostepnej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stawki taksy laborum,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 xml:space="preserve">projektodawcy będzie zmianą odczuwalną w sposób znaczący przez </w:t>
            </w:r>
            <w:r w:rsidRPr="00BC50B2">
              <w:rPr>
                <w:rFonts w:ascii="Arial" w:hAnsi="Arial" w:cs="Arial"/>
                <w:sz w:val="19"/>
                <w:szCs w:val="19"/>
              </w:rPr>
              <w:lastRenderedPageBreak/>
              <w:t>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50470AE" w14:textId="4F83EB5C" w:rsidR="007E5EA6" w:rsidRDefault="000F47FF"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203</w:t>
            </w:r>
            <w:r>
              <w:rPr>
                <w:rFonts w:ascii="Arial" w:hAnsi="Arial" w:cs="Arial"/>
                <w:color w:val="000000" w:themeColor="text1"/>
                <w:sz w:val="19"/>
                <w:szCs w:val="19"/>
              </w:rPr>
              <w:t>.</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r w:rsidRPr="00BC50B2">
              <w:rPr>
                <w:rFonts w:ascii="Arial" w:hAnsi="Arial" w:cs="Arial"/>
                <w:sz w:val="19"/>
                <w:szCs w:val="19"/>
              </w:rPr>
              <w:t>przezcewnikową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„Przezcewnikowa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sposób, aby obejmował on wskazaną nową procedurę przezcewnikowej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2E09EBE8" w:rsidR="007E5EA6" w:rsidRDefault="00A00533"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282.</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 xml:space="preserve">art. 48e ustawy z dnia 27 sierpnia 2004 r. o świadczeniach opieki zdrowotnej </w:t>
            </w:r>
            <w:r w:rsidRPr="00967F60">
              <w:rPr>
                <w:rFonts w:ascii="Arial" w:hAnsi="Arial" w:cs="Arial"/>
                <w:sz w:val="19"/>
                <w:szCs w:val="19"/>
              </w:rPr>
              <w:lastRenderedPageBreak/>
              <w:t>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AD7701">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lastRenderedPageBreak/>
              <w:t xml:space="preserve">Rekomendowanym rozwiązaniem jest wydłużenie czasu trwania etapu organizacyjnego programu </w:t>
            </w:r>
            <w:r w:rsidRPr="00A14BA7">
              <w:rPr>
                <w:rFonts w:ascii="Arial" w:hAnsi="Arial" w:cs="Arial"/>
                <w:sz w:val="19"/>
                <w:szCs w:val="19"/>
              </w:rPr>
              <w:lastRenderedPageBreak/>
              <w:t>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7117F229" w:rsidR="00967F60" w:rsidRDefault="00AC3B8A"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 xml:space="preserve">dany zawód medyczny obowiązku ustawicznego rozwoju </w:t>
            </w:r>
            <w:r w:rsidRPr="00AD7701">
              <w:rPr>
                <w:rFonts w:ascii="Arial" w:hAnsi="Arial" w:cs="Arial"/>
                <w:sz w:val="19"/>
                <w:szCs w:val="19"/>
              </w:rPr>
              <w:lastRenderedPageBreak/>
              <w:t>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5B28F774" w:rsidR="00967F60" w:rsidRPr="007E5EA6" w:rsidRDefault="0006007D"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5E5EA7A1" w14:textId="4E2578D5" w:rsidR="00967F60" w:rsidRDefault="00AC3B8A" w:rsidP="00360327">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2F76FE0A" w:rsidR="00967F60"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 xml:space="preserve">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w:t>
            </w:r>
            <w:r w:rsidRPr="00967F60">
              <w:rPr>
                <w:rFonts w:ascii="Arial" w:eastAsia="Calibri" w:hAnsi="Arial" w:cs="Arial"/>
                <w:color w:val="000000" w:themeColor="text1"/>
                <w:sz w:val="19"/>
                <w:szCs w:val="19"/>
                <w:lang w:eastAsia="en-US"/>
              </w:rPr>
              <w:lastRenderedPageBreak/>
              <w:t>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lastRenderedPageBreak/>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mObywatel (Dz. U. poz. 1234). </w:t>
            </w:r>
            <w:r w:rsidRPr="00AD7701">
              <w:rPr>
                <w:rFonts w:ascii="Arial" w:hAnsi="Arial" w:cs="Arial"/>
                <w:sz w:val="19"/>
                <w:szCs w:val="19"/>
              </w:rPr>
              <w:lastRenderedPageBreak/>
              <w:t>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1023A271" w:rsidR="00967F60" w:rsidRPr="007E5EA6"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4A5FD288" w14:textId="2E2BB167" w:rsidR="00967F60"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poprzez wypracowanie nadwykonań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zdołali osiągnąć w 2023 r. odpowiednio wysokich nadwykonań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przypadku wypracowania odpowiednich nadwykonań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33B91DFF" w:rsidR="00967F60"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w:t>
            </w:r>
            <w:r w:rsidR="001B1162">
              <w:rPr>
                <w:rFonts w:ascii="Arial" w:hAnsi="Arial" w:cs="Arial"/>
                <w:color w:val="000000" w:themeColor="text1"/>
                <w:sz w:val="19"/>
                <w:szCs w:val="19"/>
              </w:rPr>
              <w:t>rozporządzenie oczekuje na ogłoszenie w Dz. U</w:t>
            </w:r>
            <w:r w:rsidR="00AD7701">
              <w:rPr>
                <w:rFonts w:ascii="Arial" w:hAnsi="Arial" w:cs="Arial"/>
                <w:color w:val="000000" w:themeColor="text1"/>
                <w:sz w:val="19"/>
                <w:szCs w:val="19"/>
              </w:rPr>
              <w:t>.</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xml:space="preserve">Minister właściwy do spraw zdrowia określi, w drodze rozporządzenia, szczegółowy wykaz czynności zawodowych, o których mowa w ust. 1, biorąc pod uwagę niezbędne kwalifikacje, wymagany zakres umiejętności oraz konieczność </w:t>
            </w:r>
            <w:r w:rsidRPr="00AD7701">
              <w:rPr>
                <w:rFonts w:ascii="Arial" w:eastAsia="Calibri" w:hAnsi="Arial" w:cs="Arial"/>
                <w:color w:val="000000" w:themeColor="text1"/>
                <w:sz w:val="19"/>
                <w:szCs w:val="19"/>
                <w:lang w:eastAsia="en-US"/>
              </w:rPr>
              <w:lastRenderedPageBreak/>
              <w:t>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lastRenderedPageBreak/>
              <w:t xml:space="preserve">Określenie w projektowanym rozporządzeniu czynności zawodowych dla poszczególnych zawodów medycznych ma istotne znaczeniu w kontekście powierzenia zakresu obowiązków przez pracodawców osobom wykonującym zawody </w:t>
            </w:r>
            <w:r w:rsidRPr="00493721">
              <w:rPr>
                <w:rFonts w:ascii="Arial" w:hAnsi="Arial" w:cs="Arial"/>
                <w:sz w:val="19"/>
                <w:szCs w:val="19"/>
              </w:rPr>
              <w:lastRenderedPageBreak/>
              <w:t>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321AE903" w:rsid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60BE92B2" w14:textId="775756D2" w:rsidR="002F1737"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176DBF" w:rsidRPr="00F873E4" w14:paraId="3914E55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C636B"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0EB7D7" w14:textId="4759C9EF"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1645</w:t>
            </w:r>
          </w:p>
        </w:tc>
        <w:tc>
          <w:tcPr>
            <w:tcW w:w="2268" w:type="dxa"/>
            <w:shd w:val="clear" w:color="auto" w:fill="FFFFFF"/>
          </w:tcPr>
          <w:p w14:paraId="17AFA73F" w14:textId="174E57F9" w:rsidR="00176DBF" w:rsidRPr="002F1737" w:rsidRDefault="00176DBF" w:rsidP="00967F60">
            <w:pPr>
              <w:rPr>
                <w:rFonts w:ascii="Arial" w:hAnsi="Arial" w:cs="Arial"/>
                <w:sz w:val="19"/>
                <w:szCs w:val="19"/>
              </w:rPr>
            </w:pPr>
            <w:r w:rsidRPr="00176DBF">
              <w:rPr>
                <w:rFonts w:ascii="Arial" w:hAnsi="Arial" w:cs="Arial"/>
                <w:sz w:val="19"/>
                <w:szCs w:val="19"/>
              </w:rPr>
              <w:t>art. 83 ust. 1 ustawy z dnia 17 sierpnia 2023 r. o niektórych zawodach medycznych</w:t>
            </w:r>
          </w:p>
        </w:tc>
        <w:tc>
          <w:tcPr>
            <w:tcW w:w="3260" w:type="dxa"/>
            <w:shd w:val="clear" w:color="auto" w:fill="FFFFFF"/>
          </w:tcPr>
          <w:p w14:paraId="48AFE431" w14:textId="4C2CBB2B"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wysokość wynagrodzenia członków Komisji oraz rzeczników dyscyplinarnych, uwzględniając nakład pracy wynikający z prowadzenia postępowań w przedmiocie odpowiedzialności zawodowej osób wykonujących zawód medyczny.</w:t>
            </w:r>
          </w:p>
        </w:tc>
        <w:tc>
          <w:tcPr>
            <w:tcW w:w="3545" w:type="dxa"/>
            <w:shd w:val="clear" w:color="auto" w:fill="FFFFFF"/>
          </w:tcPr>
          <w:p w14:paraId="1ED21082" w14:textId="47ACF4A5" w:rsidR="00176DBF" w:rsidRPr="00493721" w:rsidRDefault="00964524" w:rsidP="00967F60">
            <w:pPr>
              <w:jc w:val="both"/>
              <w:rPr>
                <w:rFonts w:ascii="Arial" w:hAnsi="Arial" w:cs="Arial"/>
                <w:sz w:val="19"/>
                <w:szCs w:val="19"/>
              </w:rPr>
            </w:pPr>
            <w:r w:rsidRPr="00964524">
              <w:rPr>
                <w:rFonts w:ascii="Arial" w:hAnsi="Arial" w:cs="Arial"/>
                <w:sz w:val="19"/>
                <w:szCs w:val="19"/>
              </w:rPr>
              <w:t xml:space="preserve">W projekcie rozporządzenia zaproponowano ustalenie odpowiednio zróżnicowaneych kwoty wynagrodzenia dla członków Komisji oraz rzeczników dyscyplinarnych stosownie do pełnionej funkcji i nakładu pracy wynikającego z prowadzenia postępowań w przedmiocie odpowiedzialności zawodowej osób wykonujących zawód medyczny. Kwoty proponowanego wynagrodzenia wynikają ze znaczącego skomplikowania materii, którą będzie zajmować się Komisja oraz rzecznicy dyscyplinarni. Sprawy będące we właściwości Komisji, ze względu na swą specyfikę mogą być powierzone wyłącznie osobom wykonującym zawód medyczny oraz specjalistom legitymującym się niezbędną wiedzą i kwalifikacjami zawodowymi oraz odpowiednim doświadczeniem, a ponadto dającym gwarancję skutecznego i rzeczowego wykonywania powierzonych zadań.   Rzecznikiem dyscyplinarnym może natomiast zostać wyłącznie osoba posiadająca wykształcenie prawnicze i co najmniej 5-letnie doświadczenie w obszarze prawa administracyjnego i procesowego, niekarana za przestępstwo umyślne lub z tytułu odpowiedzialności dyscyplinarnej lub </w:t>
            </w:r>
            <w:r w:rsidRPr="00964524">
              <w:rPr>
                <w:rFonts w:ascii="Arial" w:hAnsi="Arial" w:cs="Arial"/>
                <w:sz w:val="19"/>
                <w:szCs w:val="19"/>
              </w:rPr>
              <w:lastRenderedPageBreak/>
              <w:t>zawodowej, dająca rękojmię należytego wykonywania tej funkcji oraz posiadająca wiedzę w zakresie zasad wykonywania zawodów medycznych.</w:t>
            </w:r>
          </w:p>
        </w:tc>
        <w:tc>
          <w:tcPr>
            <w:tcW w:w="1842" w:type="dxa"/>
            <w:shd w:val="clear" w:color="auto" w:fill="FFFFFF"/>
          </w:tcPr>
          <w:p w14:paraId="7BD0037F" w14:textId="71B5A8B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lastRenderedPageBreak/>
              <w:t>Marek Kos, Podsekretarz Stanu</w:t>
            </w:r>
          </w:p>
        </w:tc>
        <w:tc>
          <w:tcPr>
            <w:tcW w:w="2362" w:type="dxa"/>
            <w:shd w:val="clear" w:color="auto" w:fill="FFFFFF"/>
          </w:tcPr>
          <w:p w14:paraId="762308C8" w14:textId="6C950C9A"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UZ i KS.</w:t>
            </w:r>
          </w:p>
        </w:tc>
      </w:tr>
      <w:tr w:rsidR="00176DBF" w:rsidRPr="00F873E4" w14:paraId="789A93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2D2A5"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7BB3D" w14:textId="2FF00F05"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1646</w:t>
            </w:r>
          </w:p>
        </w:tc>
        <w:tc>
          <w:tcPr>
            <w:tcW w:w="2268" w:type="dxa"/>
            <w:shd w:val="clear" w:color="auto" w:fill="FFFFFF"/>
          </w:tcPr>
          <w:p w14:paraId="3CA6EEF3" w14:textId="66D87078" w:rsidR="00176DBF" w:rsidRPr="002F1737" w:rsidRDefault="00176DBF" w:rsidP="00967F60">
            <w:pPr>
              <w:rPr>
                <w:rFonts w:ascii="Arial" w:hAnsi="Arial" w:cs="Arial"/>
                <w:sz w:val="19"/>
                <w:szCs w:val="19"/>
              </w:rPr>
            </w:pPr>
            <w:r>
              <w:rPr>
                <w:rFonts w:ascii="Arial" w:hAnsi="Arial" w:cs="Arial"/>
                <w:sz w:val="19"/>
                <w:szCs w:val="19"/>
              </w:rPr>
              <w:t>a</w:t>
            </w:r>
            <w:r w:rsidRPr="00176DBF">
              <w:rPr>
                <w:rFonts w:ascii="Arial" w:hAnsi="Arial" w:cs="Arial"/>
                <w:sz w:val="19"/>
                <w:szCs w:val="19"/>
              </w:rPr>
              <w:t>rt. 88 ust. 9 ustawy z dnia 15 kwietnia 2011 r. o działalności leczniczej</w:t>
            </w:r>
          </w:p>
        </w:tc>
        <w:tc>
          <w:tcPr>
            <w:tcW w:w="3260" w:type="dxa"/>
            <w:shd w:val="clear" w:color="auto" w:fill="FFFFFF"/>
          </w:tcPr>
          <w:p w14:paraId="6B29A74F" w14:textId="0DAD96A6" w:rsidR="00176DBF" w:rsidRPr="00AD7701" w:rsidRDefault="00964524" w:rsidP="00967F60">
            <w:pPr>
              <w:jc w:val="both"/>
              <w:rPr>
                <w:rFonts w:ascii="Arial" w:eastAsia="Calibri" w:hAnsi="Arial" w:cs="Arial"/>
                <w:color w:val="000000" w:themeColor="text1"/>
                <w:sz w:val="19"/>
                <w:szCs w:val="19"/>
                <w:lang w:eastAsia="en-US"/>
              </w:rPr>
            </w:pPr>
            <w:r w:rsidRPr="00964524">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38046308" w14:textId="1DEB3382" w:rsidR="00176DBF" w:rsidRPr="00493721" w:rsidRDefault="00176DBF" w:rsidP="00967F60">
            <w:pPr>
              <w:jc w:val="both"/>
              <w:rPr>
                <w:rFonts w:ascii="Arial" w:hAnsi="Arial" w:cs="Arial"/>
                <w:sz w:val="19"/>
                <w:szCs w:val="19"/>
              </w:rPr>
            </w:pPr>
            <w:r w:rsidRPr="00176DBF">
              <w:rPr>
                <w:rFonts w:ascii="Arial" w:hAnsi="Arial" w:cs="Arial"/>
                <w:sz w:val="19"/>
                <w:szCs w:val="19"/>
              </w:rPr>
              <w:t>Podwyższenie minimalnych oraz maksymalnych miesięcznych stawek wynagrodzenia zasadniczego przypisanych do poszczególnych kategorii zaszeregowania w załączniku nr 1 do rozporządzenia w celu dostosowania miesięcznych stawek wynagrodzenia zasadniczego pracowników podmiotów leczniczych działających w formie jednostki budżetowej do przepisów rozporządzenia Rady Ministrów z dnia 14 września 2023 r. w sprawie wysokości minimalnego wynagrodzenia za pracę oraz wysokości minimalnej stawki godzinowej w 2024 r. oraz przewidzianego w ustawie budżetowej na rok 2024 średniorocznego wskaźnikiem wzrostu wynagrodzeń w państwowej sferze budżetowej.</w:t>
            </w:r>
          </w:p>
        </w:tc>
        <w:tc>
          <w:tcPr>
            <w:tcW w:w="1842" w:type="dxa"/>
            <w:shd w:val="clear" w:color="auto" w:fill="FFFFFF"/>
          </w:tcPr>
          <w:p w14:paraId="1B5801F3" w14:textId="062C5C01"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1A4F8B2A" w14:textId="118C6D9B"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176DBF" w:rsidRPr="00F873E4" w14:paraId="1F0151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B14B8D"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C21A3" w14:textId="04BC415E"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1647</w:t>
            </w:r>
          </w:p>
        </w:tc>
        <w:tc>
          <w:tcPr>
            <w:tcW w:w="2268" w:type="dxa"/>
            <w:shd w:val="clear" w:color="auto" w:fill="FFFFFF"/>
          </w:tcPr>
          <w:p w14:paraId="709333A4" w14:textId="55BB2F80" w:rsidR="00176DBF" w:rsidRPr="002F1737" w:rsidRDefault="00176DBF" w:rsidP="00967F60">
            <w:pPr>
              <w:rPr>
                <w:rFonts w:ascii="Arial" w:hAnsi="Arial" w:cs="Arial"/>
                <w:sz w:val="19"/>
                <w:szCs w:val="19"/>
              </w:rPr>
            </w:pPr>
            <w:r w:rsidRPr="00176DBF">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A311B14" w14:textId="065754ED"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8E8BBE3" w14:textId="08D96759" w:rsidR="00176DBF" w:rsidRPr="00493721" w:rsidRDefault="00964524" w:rsidP="00964524">
            <w:pPr>
              <w:jc w:val="both"/>
              <w:rPr>
                <w:rFonts w:ascii="Arial" w:hAnsi="Arial" w:cs="Arial"/>
                <w:sz w:val="19"/>
                <w:szCs w:val="19"/>
              </w:rPr>
            </w:pPr>
            <w:r w:rsidRPr="00964524">
              <w:rPr>
                <w:rFonts w:ascii="Arial" w:hAnsi="Arial" w:cs="Arial"/>
                <w:sz w:val="19"/>
                <w:szCs w:val="19"/>
              </w:rPr>
              <w:t>Projektowane rozporządzenie przedłuża do dnia 30 czerwca 2024 r. fakultatywną</w:t>
            </w:r>
            <w:r>
              <w:rPr>
                <w:rFonts w:ascii="Arial" w:hAnsi="Arial" w:cs="Arial"/>
                <w:sz w:val="19"/>
                <w:szCs w:val="19"/>
              </w:rPr>
              <w:t xml:space="preserve"> </w:t>
            </w:r>
            <w:r w:rsidRPr="00964524">
              <w:rPr>
                <w:rFonts w:ascii="Arial" w:hAnsi="Arial" w:cs="Arial"/>
                <w:sz w:val="19"/>
                <w:szCs w:val="19"/>
              </w:rPr>
              <w:t>możliwość przydzielenia świadczeniobiorcy terminu udzielenia świadczenia opieki zdrowotnej</w:t>
            </w:r>
            <w:r>
              <w:rPr>
                <w:rFonts w:ascii="Arial" w:hAnsi="Arial" w:cs="Arial"/>
                <w:sz w:val="19"/>
                <w:szCs w:val="19"/>
              </w:rPr>
              <w:t xml:space="preserve"> </w:t>
            </w:r>
            <w:r w:rsidRPr="00964524">
              <w:rPr>
                <w:rFonts w:ascii="Arial" w:hAnsi="Arial" w:cs="Arial"/>
                <w:sz w:val="19"/>
                <w:szCs w:val="19"/>
              </w:rPr>
              <w:t>w ramach programu pilotażowego „Profilaktyka 40 PLUS” poza centralną elektroniczną</w:t>
            </w:r>
            <w:r>
              <w:rPr>
                <w:rFonts w:ascii="Arial" w:hAnsi="Arial" w:cs="Arial"/>
                <w:sz w:val="19"/>
                <w:szCs w:val="19"/>
              </w:rPr>
              <w:t xml:space="preserve"> </w:t>
            </w:r>
            <w:r w:rsidRPr="00964524">
              <w:rPr>
                <w:rFonts w:ascii="Arial" w:hAnsi="Arial" w:cs="Arial"/>
                <w:sz w:val="19"/>
                <w:szCs w:val="19"/>
              </w:rPr>
              <w:t xml:space="preserve">rejestracją </w:t>
            </w:r>
            <w:r>
              <w:rPr>
                <w:rFonts w:ascii="Arial" w:hAnsi="Arial" w:cs="Arial"/>
                <w:sz w:val="19"/>
                <w:szCs w:val="19"/>
              </w:rPr>
              <w:t>–</w:t>
            </w:r>
            <w:r w:rsidRPr="00964524">
              <w:rPr>
                <w:rFonts w:ascii="Arial" w:hAnsi="Arial" w:cs="Arial"/>
                <w:sz w:val="19"/>
                <w:szCs w:val="19"/>
              </w:rPr>
              <w:t xml:space="preserve"> czyli na zasadach określonych obecnie do dnia 31 marca 2024 r. Zmiana ta jest</w:t>
            </w:r>
            <w:r>
              <w:rPr>
                <w:rFonts w:ascii="Arial" w:hAnsi="Arial" w:cs="Arial"/>
                <w:sz w:val="19"/>
                <w:szCs w:val="19"/>
              </w:rPr>
              <w:t xml:space="preserve"> </w:t>
            </w:r>
            <w:r w:rsidRPr="00964524">
              <w:rPr>
                <w:rFonts w:ascii="Arial" w:hAnsi="Arial" w:cs="Arial"/>
                <w:sz w:val="19"/>
                <w:szCs w:val="19"/>
              </w:rPr>
              <w:t>konsekwencją przedłużających się prac niezbędnych do dostosowania systemów</w:t>
            </w:r>
            <w:r>
              <w:rPr>
                <w:rFonts w:ascii="Arial" w:hAnsi="Arial" w:cs="Arial"/>
                <w:sz w:val="19"/>
                <w:szCs w:val="19"/>
              </w:rPr>
              <w:t xml:space="preserve"> </w:t>
            </w:r>
            <w:r w:rsidRPr="00964524">
              <w:rPr>
                <w:rFonts w:ascii="Arial" w:hAnsi="Arial" w:cs="Arial"/>
                <w:sz w:val="19"/>
                <w:szCs w:val="19"/>
              </w:rPr>
              <w:t>teleinformatycznych realizatorów programu pilotażowego do rozwiązań i wymogów</w:t>
            </w:r>
            <w:r>
              <w:rPr>
                <w:rFonts w:ascii="Arial" w:hAnsi="Arial" w:cs="Arial"/>
                <w:sz w:val="19"/>
                <w:szCs w:val="19"/>
              </w:rPr>
              <w:t xml:space="preserve"> </w:t>
            </w:r>
            <w:r w:rsidRPr="00964524">
              <w:rPr>
                <w:rFonts w:ascii="Arial" w:hAnsi="Arial" w:cs="Arial"/>
                <w:sz w:val="19"/>
                <w:szCs w:val="19"/>
              </w:rPr>
              <w:t xml:space="preserve">wynikających z wdrożenia w ramach programu </w:t>
            </w:r>
            <w:r w:rsidRPr="00964524">
              <w:rPr>
                <w:rFonts w:ascii="Arial" w:hAnsi="Arial" w:cs="Arial"/>
                <w:sz w:val="19"/>
                <w:szCs w:val="19"/>
              </w:rPr>
              <w:lastRenderedPageBreak/>
              <w:t>pilotażowego centralnej elektronicznej</w:t>
            </w:r>
            <w:r>
              <w:rPr>
                <w:rFonts w:ascii="Arial" w:hAnsi="Arial" w:cs="Arial"/>
                <w:sz w:val="19"/>
                <w:szCs w:val="19"/>
              </w:rPr>
              <w:t xml:space="preserve"> </w:t>
            </w:r>
            <w:r w:rsidRPr="00964524">
              <w:rPr>
                <w:rFonts w:ascii="Arial" w:hAnsi="Arial" w:cs="Arial"/>
                <w:sz w:val="19"/>
                <w:szCs w:val="19"/>
              </w:rPr>
              <w:t>rejestracji.</w:t>
            </w:r>
          </w:p>
        </w:tc>
        <w:tc>
          <w:tcPr>
            <w:tcW w:w="1842" w:type="dxa"/>
            <w:shd w:val="clear" w:color="auto" w:fill="FFFFFF"/>
          </w:tcPr>
          <w:p w14:paraId="037CC358" w14:textId="5A56F615"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lastRenderedPageBreak/>
              <w:t>Wojciech Konieczny, Sekretarz Stanu</w:t>
            </w:r>
          </w:p>
        </w:tc>
        <w:tc>
          <w:tcPr>
            <w:tcW w:w="2362" w:type="dxa"/>
            <w:shd w:val="clear" w:color="auto" w:fill="FFFFFF"/>
          </w:tcPr>
          <w:p w14:paraId="645EAC35" w14:textId="1470EF90"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UZ i KS.</w:t>
            </w:r>
          </w:p>
        </w:tc>
      </w:tr>
      <w:tr w:rsidR="00176DBF" w:rsidRPr="00F873E4" w14:paraId="4F832A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574C04"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EA6E" w14:textId="3EA4DE88"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1648</w:t>
            </w:r>
          </w:p>
        </w:tc>
        <w:tc>
          <w:tcPr>
            <w:tcW w:w="2268" w:type="dxa"/>
            <w:shd w:val="clear" w:color="auto" w:fill="FFFFFF"/>
          </w:tcPr>
          <w:p w14:paraId="402D418C" w14:textId="3A19F9BC" w:rsidR="00176DBF" w:rsidRPr="002F1737" w:rsidRDefault="00176DBF" w:rsidP="00967F60">
            <w:pPr>
              <w:rPr>
                <w:rFonts w:ascii="Arial" w:hAnsi="Arial" w:cs="Arial"/>
                <w:sz w:val="19"/>
                <w:szCs w:val="19"/>
              </w:rPr>
            </w:pPr>
            <w:r w:rsidRPr="00176DBF">
              <w:rPr>
                <w:rFonts w:ascii="Arial" w:hAnsi="Arial" w:cs="Arial"/>
                <w:sz w:val="19"/>
                <w:szCs w:val="19"/>
              </w:rPr>
              <w:t>art. 55a ust. 2 ustawy z dnia 15 lipca 2011 r o zawodach pielęgniarki i położnej</w:t>
            </w:r>
          </w:p>
        </w:tc>
        <w:tc>
          <w:tcPr>
            <w:tcW w:w="3260" w:type="dxa"/>
            <w:shd w:val="clear" w:color="auto" w:fill="FFFFFF"/>
          </w:tcPr>
          <w:p w14:paraId="23386B8E" w14:textId="733E6FC2"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szczegółowe warunki prowadzenia studiów dla pielęgniarki lub położnej posiadającej zgodę, o której mowa w art. 35a, która uzyskała kwalifikacje zawodowe poza terytorium państw członkowskich Unii Europejskiej, mając na uwadze konieczność zapewnienia wyrównania poziomów kwalifikacyjnych do wymogów unijnych.</w:t>
            </w:r>
          </w:p>
        </w:tc>
        <w:tc>
          <w:tcPr>
            <w:tcW w:w="3545" w:type="dxa"/>
            <w:shd w:val="clear" w:color="auto" w:fill="FFFFFF"/>
          </w:tcPr>
          <w:p w14:paraId="0DFE18B9" w14:textId="77777777" w:rsidR="00964524" w:rsidRDefault="00964524" w:rsidP="00967F60">
            <w:pPr>
              <w:jc w:val="both"/>
              <w:rPr>
                <w:rFonts w:ascii="Arial" w:hAnsi="Arial" w:cs="Arial"/>
                <w:sz w:val="19"/>
                <w:szCs w:val="19"/>
              </w:rPr>
            </w:pPr>
            <w:r w:rsidRPr="00964524">
              <w:rPr>
                <w:rFonts w:ascii="Arial" w:hAnsi="Arial" w:cs="Arial"/>
                <w:sz w:val="19"/>
                <w:szCs w:val="19"/>
              </w:rPr>
              <w:t>Przedmiotem projektu rozporządzenia jest określenie szczegółowych warunków prowadzenia studiów dla pielęgniarek lub położnych, które uzyskały kwalifikacje zawodowe poza terytorium państw członkowskich Unii Europejskiej i posiadają zgodę ministra właściwego do spraw zdrowia, o której mowa w art. 35a ust. 1 ustawy, na wykonywanie zawodu na terytorium Rzeczypospolitej Polskie</w:t>
            </w:r>
            <w:r>
              <w:rPr>
                <w:rFonts w:ascii="Arial" w:hAnsi="Arial" w:cs="Arial"/>
                <w:sz w:val="19"/>
                <w:szCs w:val="19"/>
              </w:rPr>
              <w:t xml:space="preserve">j. </w:t>
            </w:r>
          </w:p>
          <w:p w14:paraId="4682FC4E" w14:textId="7DB7C499" w:rsidR="00176DBF" w:rsidRPr="00493721" w:rsidRDefault="00964524" w:rsidP="00967F60">
            <w:pPr>
              <w:jc w:val="both"/>
              <w:rPr>
                <w:rFonts w:ascii="Arial" w:hAnsi="Arial" w:cs="Arial"/>
                <w:sz w:val="19"/>
                <w:szCs w:val="19"/>
              </w:rPr>
            </w:pPr>
            <w:r w:rsidRPr="00964524">
              <w:rPr>
                <w:rFonts w:ascii="Arial" w:hAnsi="Arial" w:cs="Arial"/>
                <w:sz w:val="19"/>
                <w:szCs w:val="19"/>
              </w:rPr>
              <w:t>Przedmiotowa regulacja przyczyni się do utrzymania w polskim systemie ochrony zdrowia pielęgniarek i położnych, wykonujących zawód na podstawie decyzji Ministra Zdrowia, uzyskanych w tzw. uproszczonej procedurze, które w ramach dotychczasowego zatrudnienia w podmiotach leczniczych zaadoptowały się do polskiego systemu ochrony zdrowia i udzielają świadczeń zdrowotnych, zgodnie z obowiązującymi standardami.</w:t>
            </w:r>
          </w:p>
        </w:tc>
        <w:tc>
          <w:tcPr>
            <w:tcW w:w="1842" w:type="dxa"/>
            <w:shd w:val="clear" w:color="auto" w:fill="FFFFFF"/>
          </w:tcPr>
          <w:p w14:paraId="2A160E62" w14:textId="08AE73DA"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2B329B79" w14:textId="4DB18D40"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176DBF" w:rsidRPr="00F873E4" w14:paraId="5A82F8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013490"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A4603" w14:textId="7FF7C2CD"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1649</w:t>
            </w:r>
          </w:p>
        </w:tc>
        <w:tc>
          <w:tcPr>
            <w:tcW w:w="2268" w:type="dxa"/>
            <w:shd w:val="clear" w:color="auto" w:fill="FFFFFF"/>
          </w:tcPr>
          <w:p w14:paraId="496CC8CA" w14:textId="06DFE97B" w:rsidR="00176DBF" w:rsidRPr="002F1737" w:rsidRDefault="00176DBF" w:rsidP="00967F60">
            <w:pPr>
              <w:rPr>
                <w:rFonts w:ascii="Arial" w:hAnsi="Arial" w:cs="Arial"/>
                <w:sz w:val="19"/>
                <w:szCs w:val="19"/>
              </w:rPr>
            </w:pPr>
            <w:r w:rsidRPr="00176DBF">
              <w:rPr>
                <w:rFonts w:ascii="Arial" w:hAnsi="Arial" w:cs="Arial"/>
                <w:sz w:val="19"/>
                <w:szCs w:val="19"/>
              </w:rPr>
              <w:t>art. 6 ustawy z dnia 15 lipca 2011 r o zawodach pielęgniarki i położnej</w:t>
            </w:r>
          </w:p>
        </w:tc>
        <w:tc>
          <w:tcPr>
            <w:tcW w:w="3260" w:type="dxa"/>
            <w:shd w:val="clear" w:color="auto" w:fill="FFFFFF"/>
          </w:tcPr>
          <w:p w14:paraId="3A00F502"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51C40E3D"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1)  rodzaj i zakres świadczeń zapobiegawczych, diagnostycznych, leczniczych i rehabilitacyjnych, które mogą być udzielane samodzielnie bez zlecenia lekarskiego przez pielęgniarkę i położną,</w:t>
            </w:r>
          </w:p>
          <w:p w14:paraId="6963230F"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xml:space="preserve">2) wykaz produktów leczniczych oraz środków pomocniczych, do stosowania których są uprawnione </w:t>
            </w:r>
            <w:r w:rsidRPr="00176DBF">
              <w:rPr>
                <w:rFonts w:ascii="Arial" w:eastAsia="Calibri" w:hAnsi="Arial" w:cs="Arial"/>
                <w:color w:val="000000" w:themeColor="text1"/>
                <w:sz w:val="19"/>
                <w:szCs w:val="19"/>
                <w:lang w:eastAsia="en-US"/>
              </w:rPr>
              <w:lastRenderedPageBreak/>
              <w:t>pielęgniarki i położne samodzielnie bez zlecenia lekarskiego,</w:t>
            </w:r>
          </w:p>
          <w:p w14:paraId="1B44DBAE"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3) rodzaje materiałów, które mogą być pobierane przez pielęgniarkę i położną do celów diagnostycznych samodzielnie bez zlecenia lekarskiego,</w:t>
            </w:r>
          </w:p>
          <w:p w14:paraId="3BAC64E6"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4)  rodzaj i zakres medycznych czynności ratunkowych wykonywanych przez pielęgniarkę,</w:t>
            </w:r>
          </w:p>
          <w:p w14:paraId="5FA7985B"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5)  wykaz badań diagnostycznych do samodzielnego przeprowadzania przez pielęgniarkę i położną</w:t>
            </w:r>
          </w:p>
          <w:p w14:paraId="6D5FD634" w14:textId="3B8CBBDE" w:rsidR="00176DBF" w:rsidRPr="00AD7701"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biorąc pod uwagę niezbędne kwalifikacje oraz wymagany zakres umiejętności i obowiązków.</w:t>
            </w:r>
          </w:p>
        </w:tc>
        <w:tc>
          <w:tcPr>
            <w:tcW w:w="3545" w:type="dxa"/>
            <w:shd w:val="clear" w:color="auto" w:fill="FFFFFF"/>
          </w:tcPr>
          <w:p w14:paraId="10A98D84" w14:textId="106C82CD" w:rsidR="00176DBF" w:rsidRPr="00493721" w:rsidRDefault="00176DBF" w:rsidP="00967F60">
            <w:pPr>
              <w:jc w:val="both"/>
              <w:rPr>
                <w:rFonts w:ascii="Arial" w:hAnsi="Arial" w:cs="Arial"/>
                <w:sz w:val="19"/>
                <w:szCs w:val="19"/>
              </w:rPr>
            </w:pPr>
            <w:r w:rsidRPr="00176DBF">
              <w:rPr>
                <w:rFonts w:ascii="Arial" w:hAnsi="Arial" w:cs="Arial"/>
                <w:sz w:val="19"/>
                <w:szCs w:val="19"/>
              </w:rPr>
              <w:lastRenderedPageBreak/>
              <w:t>Rozszerzenie uprawnień pielęgniarki systemu w zakresie medycznych czynności ratunkowych przewidzianych do samodzielnego wykonywania oraz ujednolicenie przepisów dotyczących realizacji medycznych czynności ratunkowych wykonywanych samodzielnie przez pielęgniarkę systemu z przepisami dotyczącymi wykonywania tożsamych świadczeń zdrowotnych przez ratownika medycznego.</w:t>
            </w:r>
          </w:p>
        </w:tc>
        <w:tc>
          <w:tcPr>
            <w:tcW w:w="1842" w:type="dxa"/>
            <w:shd w:val="clear" w:color="auto" w:fill="FFFFFF"/>
          </w:tcPr>
          <w:p w14:paraId="53A6C7E9" w14:textId="20AE5B1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0501002" w14:textId="0EDFED25"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176DBF" w:rsidRPr="00F873E4" w14:paraId="47AA50F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3E9F22"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BB890" w14:textId="6AD882C1"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1650</w:t>
            </w:r>
          </w:p>
        </w:tc>
        <w:tc>
          <w:tcPr>
            <w:tcW w:w="2268" w:type="dxa"/>
            <w:shd w:val="clear" w:color="auto" w:fill="FFFFFF"/>
          </w:tcPr>
          <w:p w14:paraId="509444A7" w14:textId="3498F4D9" w:rsidR="00176DBF" w:rsidRPr="00176DBF" w:rsidRDefault="00176DBF" w:rsidP="00967F60">
            <w:pPr>
              <w:rPr>
                <w:rFonts w:ascii="Arial" w:hAnsi="Arial" w:cs="Arial"/>
                <w:sz w:val="19"/>
                <w:szCs w:val="19"/>
              </w:rPr>
            </w:pPr>
            <w:r w:rsidRPr="00176DBF">
              <w:rPr>
                <w:rFonts w:ascii="Arial" w:hAnsi="Arial" w:cs="Arial"/>
                <w:sz w:val="19"/>
                <w:szCs w:val="19"/>
              </w:rPr>
              <w:t>art. 19 ust. 7 ustawy z dnia 15 września 2023 r. o medycynie laboratoryjnej</w:t>
            </w:r>
          </w:p>
        </w:tc>
        <w:tc>
          <w:tcPr>
            <w:tcW w:w="3260" w:type="dxa"/>
            <w:shd w:val="clear" w:color="auto" w:fill="FFFFFF"/>
          </w:tcPr>
          <w:p w14:paraId="631A9A6D" w14:textId="1AE50FA4"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Krajowej Rady, określi, w drodze rozporządzenia, skład komisji, o której mowa w ust. 1, oraz tryb jej działania, a także tryb orzekania o stanie zdrowia diagnosty laboratoryjnego, mając na uwadze konieczność prawidłowego wykonywania zawodu przez diagnostę laboratoryjnego, zapewnienie sprawnego działania komisji oraz prawidłowego wydawania przez komisję orzeczeń.</w:t>
            </w:r>
          </w:p>
        </w:tc>
        <w:tc>
          <w:tcPr>
            <w:tcW w:w="3545" w:type="dxa"/>
            <w:shd w:val="clear" w:color="auto" w:fill="FFFFFF"/>
          </w:tcPr>
          <w:p w14:paraId="0EA326AF" w14:textId="23E711B3" w:rsidR="00176DBF" w:rsidRPr="00176DBF" w:rsidRDefault="00964524" w:rsidP="00967F60">
            <w:pPr>
              <w:jc w:val="both"/>
              <w:rPr>
                <w:rFonts w:ascii="Arial" w:hAnsi="Arial" w:cs="Arial"/>
                <w:sz w:val="19"/>
                <w:szCs w:val="19"/>
              </w:rPr>
            </w:pPr>
            <w:r w:rsidRPr="00964524">
              <w:rPr>
                <w:rFonts w:ascii="Arial" w:hAnsi="Arial" w:cs="Arial"/>
                <w:sz w:val="19"/>
                <w:szCs w:val="19"/>
              </w:rPr>
              <w:t>Regulacje zawarte w projekcie określają zasady powoływania składu komisji, sposób jej działania, tryb kierowania diagnostów laboratoryjnych na badania, sposób postępowania przed komisją oraz tryb wydawania orzeczeń o stanie zdrowia</w:t>
            </w:r>
            <w:r>
              <w:rPr>
                <w:rFonts w:ascii="Arial" w:hAnsi="Arial" w:cs="Arial"/>
                <w:sz w:val="19"/>
                <w:szCs w:val="19"/>
              </w:rPr>
              <w:t xml:space="preserve">. </w:t>
            </w:r>
          </w:p>
        </w:tc>
        <w:tc>
          <w:tcPr>
            <w:tcW w:w="1842" w:type="dxa"/>
            <w:shd w:val="clear" w:color="auto" w:fill="FFFFFF"/>
          </w:tcPr>
          <w:p w14:paraId="240FCE4F" w14:textId="15C46D62" w:rsidR="00176DBF" w:rsidRPr="00176DBF" w:rsidRDefault="00964524"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0D6A7229" w14:textId="78364AE5"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176DBF" w:rsidRPr="00F873E4" w14:paraId="15D7B37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1553A"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F7460" w14:textId="2CB9EB99"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1651</w:t>
            </w:r>
          </w:p>
        </w:tc>
        <w:tc>
          <w:tcPr>
            <w:tcW w:w="2268" w:type="dxa"/>
            <w:shd w:val="clear" w:color="auto" w:fill="FFFFFF"/>
          </w:tcPr>
          <w:p w14:paraId="0B106CB5" w14:textId="64412B42" w:rsidR="00176DBF" w:rsidRPr="00176DBF" w:rsidRDefault="00176DBF" w:rsidP="00967F60">
            <w:pPr>
              <w:rPr>
                <w:rFonts w:ascii="Arial" w:hAnsi="Arial" w:cs="Arial"/>
                <w:sz w:val="19"/>
                <w:szCs w:val="19"/>
              </w:rPr>
            </w:pPr>
            <w:r w:rsidRPr="00176DBF">
              <w:rPr>
                <w:rFonts w:ascii="Arial" w:hAnsi="Arial" w:cs="Arial"/>
                <w:sz w:val="19"/>
                <w:szCs w:val="19"/>
              </w:rPr>
              <w:t>art. 72 ust. 8 ustawy z dnia 17 sierpnia 2023 r. o niektórych zawodach medycznych</w:t>
            </w:r>
          </w:p>
        </w:tc>
        <w:tc>
          <w:tcPr>
            <w:tcW w:w="3260" w:type="dxa"/>
            <w:shd w:val="clear" w:color="auto" w:fill="FFFFFF"/>
          </w:tcPr>
          <w:p w14:paraId="10270977" w14:textId="02B4CBD0"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zryczałtowane koszty postępowania w przedmiocie odpowiedzialności zawodowej, uwzględniając koszty poniesione na wynagrodzenie członków Komisji orzekających w sprawie oraz koszty obsługi organizacyjnej działalności Komisji.</w:t>
            </w:r>
          </w:p>
        </w:tc>
        <w:tc>
          <w:tcPr>
            <w:tcW w:w="3545" w:type="dxa"/>
            <w:shd w:val="clear" w:color="auto" w:fill="FFFFFF"/>
          </w:tcPr>
          <w:p w14:paraId="44A2C610" w14:textId="1C46CD0E" w:rsidR="00176DBF" w:rsidRPr="00176DBF" w:rsidRDefault="00964524" w:rsidP="00967F60">
            <w:pPr>
              <w:jc w:val="both"/>
              <w:rPr>
                <w:rFonts w:ascii="Arial" w:hAnsi="Arial" w:cs="Arial"/>
                <w:sz w:val="19"/>
                <w:szCs w:val="19"/>
              </w:rPr>
            </w:pPr>
            <w:r w:rsidRPr="00964524">
              <w:rPr>
                <w:rFonts w:ascii="Arial" w:hAnsi="Arial" w:cs="Arial"/>
                <w:sz w:val="19"/>
                <w:szCs w:val="19"/>
              </w:rPr>
              <w:t>Wprowadzone rozwiązania mają na celu zrekompensowanie osobom wezwanym do uczestniczenia w postępowaniu przed Komisją utraty dochodów i kosztów z tego tytułu, jak również odpowiednie wynagrodzenie za sporządzenie opinii w przypadku konieczności zasięgnięcia wiedzy eksperckiej niezbędnej do rozstrzygnięcia sprawy.</w:t>
            </w:r>
          </w:p>
        </w:tc>
        <w:tc>
          <w:tcPr>
            <w:tcW w:w="1842" w:type="dxa"/>
            <w:shd w:val="clear" w:color="auto" w:fill="FFFFFF"/>
          </w:tcPr>
          <w:p w14:paraId="3395379E" w14:textId="17D61262" w:rsidR="00176DBF" w:rsidRPr="00176DBF" w:rsidRDefault="00964524" w:rsidP="00967F60">
            <w:pPr>
              <w:spacing w:before="80" w:after="80"/>
              <w:rPr>
                <w:rFonts w:ascii="Arial" w:hAnsi="Arial" w:cs="Arial"/>
                <w:color w:val="000000" w:themeColor="text1"/>
                <w:sz w:val="19"/>
                <w:szCs w:val="19"/>
              </w:rPr>
            </w:pPr>
            <w:r w:rsidRPr="00964524">
              <w:rPr>
                <w:rFonts w:ascii="Arial" w:hAnsi="Arial" w:cs="Arial"/>
                <w:color w:val="000000" w:themeColor="text1"/>
                <w:sz w:val="19"/>
                <w:szCs w:val="19"/>
              </w:rPr>
              <w:t>Marek Kos, Podsekretarz Stanu w Ministerstwie Zdrowia</w:t>
            </w:r>
          </w:p>
        </w:tc>
        <w:tc>
          <w:tcPr>
            <w:tcW w:w="2362" w:type="dxa"/>
            <w:shd w:val="clear" w:color="auto" w:fill="FFFFFF"/>
          </w:tcPr>
          <w:p w14:paraId="7E838023" w14:textId="2CBFF072" w:rsidR="00176DBF"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A35066" w:rsidRPr="00F873E4" w14:paraId="779071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82F6AA"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3D9307" w14:textId="4F4D771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w:t>
            </w:r>
            <w:r>
              <w:rPr>
                <w:rFonts w:ascii="Arial" w:hAnsi="Arial" w:cs="Arial"/>
                <w:b/>
                <w:bCs/>
                <w:color w:val="FF0000"/>
                <w:sz w:val="19"/>
                <w:szCs w:val="19"/>
              </w:rPr>
              <w:t>2</w:t>
            </w:r>
          </w:p>
        </w:tc>
        <w:tc>
          <w:tcPr>
            <w:tcW w:w="2268" w:type="dxa"/>
            <w:shd w:val="clear" w:color="auto" w:fill="FFFFFF"/>
          </w:tcPr>
          <w:p w14:paraId="2B3E4105" w14:textId="429349A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0E512F9E" w14:textId="5F388101"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B9C68DC" w14:textId="64C3881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Dodanie w § 3 załącznika do rozporządzenia </w:t>
            </w:r>
            <w:r w:rsidR="00AC3B8A" w:rsidRPr="00AC3B8A">
              <w:rPr>
                <w:rFonts w:ascii="Arial" w:hAnsi="Arial" w:cs="Arial"/>
                <w:sz w:val="19"/>
                <w:szCs w:val="19"/>
              </w:rPr>
              <w:t xml:space="preserve">Ministra Zdrowia z dnia 8 września 2015 r. w sprawie ogólnych warunków umów o udzielanie świadczeń opieki zdrowotnej </w:t>
            </w:r>
            <w:r w:rsidRPr="00A35066">
              <w:rPr>
                <w:rFonts w:ascii="Arial" w:hAnsi="Arial" w:cs="Arial"/>
                <w:sz w:val="19"/>
                <w:szCs w:val="19"/>
              </w:rPr>
              <w:t>ust. 6, zgodnie z którym świadczeniodawca realizujący umowę z Narodowym Funduszem Zdrowia na udzielanie świadczeń w rodzaju hospitalizacja w zakresie ginekologia i położnictwo, w przypadkach, gdy zakończenie ciąży jest dopuszczalne przepisami prawa powszechnie obowiązującego, jest zobowiązany do wykonywania świadczeń zakończenia ciąży, o których mowa w części I załącznika nr 1 do rozporządzenia Ministra Zdrowia z dnia 22 listopada 2013 r. w sprawie świadczeń gwarantowanych z zakresu leczenia szpitalnego (Dz. U. z 2023 r. poz. 870, z późn. zm,), w miejscu udzielania świadczeń, niezależnie od powstrzymania się przez lekarza wykonującego zawód u tego świadczeniodawcy od wykonania świadczenia, z powołaniem się na klauzulę sumienia oraz uzupełnienie przepisu § 30 ust. 1 pkt 1 załącznika, poprzez wprowadzenie kary umownej w wysokości 2% kwoty zobowiązania wynikającego z umowy, w przypadku naruszenia obowiązku wynikającego z dodawanego § 3 ust. 6.</w:t>
            </w:r>
          </w:p>
        </w:tc>
        <w:tc>
          <w:tcPr>
            <w:tcW w:w="1842" w:type="dxa"/>
            <w:shd w:val="clear" w:color="auto" w:fill="FFFFFF"/>
          </w:tcPr>
          <w:p w14:paraId="1A6F9D0F" w14:textId="7378F52B"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6E919D2" w14:textId="4A711386" w:rsidR="00A35066"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 xml:space="preserve">kierowania na </w:t>
            </w:r>
            <w:r w:rsidR="00A35066">
              <w:rPr>
                <w:rFonts w:ascii="Arial" w:hAnsi="Arial" w:cs="Arial"/>
                <w:color w:val="000000" w:themeColor="text1"/>
                <w:sz w:val="19"/>
                <w:szCs w:val="19"/>
              </w:rPr>
              <w:t>UZ i KS.</w:t>
            </w:r>
          </w:p>
        </w:tc>
      </w:tr>
      <w:tr w:rsidR="00A35066" w:rsidRPr="00F873E4" w14:paraId="2695FE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F0411"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BEF85" w14:textId="3C4CD5DE"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w:t>
            </w:r>
            <w:r>
              <w:rPr>
                <w:rFonts w:ascii="Arial" w:hAnsi="Arial" w:cs="Arial"/>
                <w:b/>
                <w:bCs/>
                <w:color w:val="FF0000"/>
                <w:sz w:val="19"/>
                <w:szCs w:val="19"/>
              </w:rPr>
              <w:t>3</w:t>
            </w:r>
          </w:p>
        </w:tc>
        <w:tc>
          <w:tcPr>
            <w:tcW w:w="2268" w:type="dxa"/>
            <w:shd w:val="clear" w:color="auto" w:fill="FFFFFF"/>
          </w:tcPr>
          <w:p w14:paraId="09909803" w14:textId="37AB69A1"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B2464A3" w14:textId="1096DECE"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w:t>
            </w:r>
            <w:r w:rsidRPr="00AC3B8A">
              <w:rPr>
                <w:rFonts w:ascii="Arial" w:eastAsia="Calibri" w:hAnsi="Arial" w:cs="Arial"/>
                <w:color w:val="000000" w:themeColor="text1"/>
                <w:sz w:val="19"/>
                <w:szCs w:val="19"/>
                <w:lang w:eastAsia="en-US"/>
              </w:rPr>
              <w:lastRenderedPageBreak/>
              <w:t>porównania ofert w toku postępowania w sprawie zawarcia umowy o udzielanie świadczeń opieki zdrowotnej.</w:t>
            </w:r>
          </w:p>
        </w:tc>
        <w:tc>
          <w:tcPr>
            <w:tcW w:w="3545" w:type="dxa"/>
            <w:shd w:val="clear" w:color="auto" w:fill="FFFFFF"/>
          </w:tcPr>
          <w:p w14:paraId="0E3587E0" w14:textId="7BF93058" w:rsidR="00A35066" w:rsidRPr="00964524" w:rsidRDefault="00AC3B8A" w:rsidP="00967F60">
            <w:pPr>
              <w:jc w:val="both"/>
              <w:rPr>
                <w:rFonts w:ascii="Arial" w:hAnsi="Arial" w:cs="Arial"/>
                <w:sz w:val="19"/>
                <w:szCs w:val="19"/>
              </w:rPr>
            </w:pPr>
            <w:r w:rsidRPr="00AC3B8A">
              <w:rPr>
                <w:rFonts w:ascii="Arial" w:hAnsi="Arial" w:cs="Arial"/>
                <w:sz w:val="19"/>
                <w:szCs w:val="19"/>
              </w:rPr>
              <w:lastRenderedPageBreak/>
              <w:t xml:space="preserve">W związku z przygotowywaniem projektu obwieszczenia Ministra Zdrowia w sprawie ogłoszenia jednolitego tekstu rozporządzenia Ministra Zdrowia z dnia 5 sierpnia 2016 r. w sprawie szczegółowych kryteriów wyboru ofert w postępowaniu w sprawie zawarcia umów o udzielanie świadczeń opieki zdrowotnej (Dz. U. poz. 1372, z </w:t>
            </w:r>
            <w:r w:rsidRPr="00AC3B8A">
              <w:rPr>
                <w:rFonts w:ascii="Arial" w:hAnsi="Arial" w:cs="Arial"/>
                <w:sz w:val="19"/>
                <w:szCs w:val="19"/>
              </w:rPr>
              <w:lastRenderedPageBreak/>
              <w:t>późn. zm.), zwanego dalej „rozporządzeniem kryterialnym” zidentyfikowano konieczność wprowadzenia aktualizacji przepisów w części ogólnej rozporządzenia, jak i w poszczególnych załącznikach do rozporządzenia (rodzajach świadczeń: leczenie szpitalne, opieka psychiatryczna i leczenie uzależnień, lecznictwo uzdrowiskowe, świadczenia kontraktowane odrębnie, chemioterapia).</w:t>
            </w:r>
          </w:p>
        </w:tc>
        <w:tc>
          <w:tcPr>
            <w:tcW w:w="1842" w:type="dxa"/>
            <w:shd w:val="clear" w:color="auto" w:fill="FFFFFF"/>
          </w:tcPr>
          <w:p w14:paraId="36AA5ADE" w14:textId="490081A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lastRenderedPageBreak/>
              <w:t>Pani Izabela Leszczyna Minister Zdrowia</w:t>
            </w:r>
          </w:p>
        </w:tc>
        <w:tc>
          <w:tcPr>
            <w:tcW w:w="2362" w:type="dxa"/>
            <w:shd w:val="clear" w:color="auto" w:fill="FFFFFF"/>
          </w:tcPr>
          <w:p w14:paraId="406CBCDB" w14:textId="71E71BC2" w:rsidR="00A35066"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w:t>
            </w:r>
            <w:r w:rsidR="00A35066">
              <w:rPr>
                <w:rFonts w:ascii="Arial" w:hAnsi="Arial" w:cs="Arial"/>
                <w:color w:val="000000" w:themeColor="text1"/>
                <w:sz w:val="19"/>
                <w:szCs w:val="19"/>
              </w:rPr>
              <w:t>PW</w:t>
            </w:r>
            <w:r w:rsidR="00A35066">
              <w:rPr>
                <w:rFonts w:ascii="Arial" w:hAnsi="Arial" w:cs="Arial"/>
                <w:color w:val="000000" w:themeColor="text1"/>
                <w:sz w:val="19"/>
                <w:szCs w:val="19"/>
              </w:rPr>
              <w:t>.</w:t>
            </w:r>
          </w:p>
        </w:tc>
      </w:tr>
      <w:tr w:rsidR="00A35066" w:rsidRPr="00F873E4" w14:paraId="34882A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6EC86"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CA07A" w14:textId="4D3777B4"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w:t>
            </w:r>
            <w:r>
              <w:rPr>
                <w:rFonts w:ascii="Arial" w:hAnsi="Arial" w:cs="Arial"/>
                <w:b/>
                <w:bCs/>
                <w:color w:val="FF0000"/>
                <w:sz w:val="19"/>
                <w:szCs w:val="19"/>
              </w:rPr>
              <w:t>4</w:t>
            </w:r>
          </w:p>
        </w:tc>
        <w:tc>
          <w:tcPr>
            <w:tcW w:w="2268" w:type="dxa"/>
            <w:shd w:val="clear" w:color="auto" w:fill="FFFFFF"/>
          </w:tcPr>
          <w:p w14:paraId="4AE55351" w14:textId="1C33CD5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41 ust. 8 ustawy z dnia 12 maja 2011 r. o refundacji leków, środków spożywczych specjalnego przeznaczenia żywieniowego oraz wyrobów medycznych</w:t>
            </w:r>
          </w:p>
        </w:tc>
        <w:tc>
          <w:tcPr>
            <w:tcW w:w="3260" w:type="dxa"/>
            <w:shd w:val="clear" w:color="auto" w:fill="FFFFFF"/>
          </w:tcPr>
          <w:p w14:paraId="5ABA32F3" w14:textId="42AF9B6F"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34417D07" w14:textId="4A84DA8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Rekomenduje się modyfikację § 7 i 8 rozporządzenia </w:t>
            </w:r>
            <w:r w:rsidR="00AC3B8A">
              <w:rPr>
                <w:rFonts w:ascii="Arial" w:hAnsi="Arial" w:cs="Arial"/>
                <w:sz w:val="19"/>
                <w:szCs w:val="19"/>
              </w:rPr>
              <w:t xml:space="preserve">Ministra Zdrowia </w:t>
            </w:r>
            <w:r w:rsidR="00AC3B8A" w:rsidRPr="00AC3B8A">
              <w:rPr>
                <w:rFonts w:ascii="Arial" w:hAnsi="Arial" w:cs="Arial"/>
                <w:sz w:val="19"/>
                <w:szCs w:val="19"/>
              </w:rPr>
              <w:t>w sprawie ogólnych warunków umów na realizację recept oraz ramowego wzoru umowy na realizację recept</w:t>
            </w:r>
            <w:r w:rsidR="00AC3B8A" w:rsidRPr="00AC3B8A">
              <w:rPr>
                <w:rFonts w:ascii="Arial" w:hAnsi="Arial" w:cs="Arial"/>
                <w:sz w:val="19"/>
                <w:szCs w:val="19"/>
              </w:rPr>
              <w:t xml:space="preserve"> </w:t>
            </w:r>
            <w:r w:rsidRPr="00A35066">
              <w:rPr>
                <w:rFonts w:ascii="Arial" w:hAnsi="Arial" w:cs="Arial"/>
                <w:sz w:val="19"/>
                <w:szCs w:val="19"/>
              </w:rPr>
              <w:t>w taki sposób, a by zapisać w dodawanych do nich ustępach, że w związku z ew. naruszeniem art. 96a ust. 7aa u.p.f. nie dokonuje się zwrotu nienależnej refundacji, jak również że nie stwierdza się w związku z takim naruszeniem odpowiedzialności podmiotu prowadzącego aptekę albo punkt apteczny, w konsekwencji czego nie można również w tych okolicznościach nałożyć na ten podmiot umownej kary finansowej.</w:t>
            </w:r>
          </w:p>
        </w:tc>
        <w:tc>
          <w:tcPr>
            <w:tcW w:w="1842" w:type="dxa"/>
            <w:shd w:val="clear" w:color="auto" w:fill="FFFFFF"/>
          </w:tcPr>
          <w:p w14:paraId="4F664CD5" w14:textId="763F5349"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Maciej Miłkowski – Podsekretarz Stanu</w:t>
            </w:r>
          </w:p>
        </w:tc>
        <w:tc>
          <w:tcPr>
            <w:tcW w:w="2362" w:type="dxa"/>
            <w:shd w:val="clear" w:color="auto" w:fill="FFFFFF"/>
          </w:tcPr>
          <w:p w14:paraId="229E78AC" w14:textId="660C552B" w:rsidR="00A35066"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r w:rsidR="00A35066" w:rsidRPr="00F873E4" w14:paraId="518B654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520DD4"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925BB" w14:textId="4399D38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w:t>
            </w:r>
            <w:r>
              <w:rPr>
                <w:rFonts w:ascii="Arial" w:hAnsi="Arial" w:cs="Arial"/>
                <w:b/>
                <w:bCs/>
                <w:color w:val="FF0000"/>
                <w:sz w:val="19"/>
                <w:szCs w:val="19"/>
              </w:rPr>
              <w:t>5</w:t>
            </w:r>
          </w:p>
        </w:tc>
        <w:tc>
          <w:tcPr>
            <w:tcW w:w="2268" w:type="dxa"/>
            <w:shd w:val="clear" w:color="auto" w:fill="FFFFFF"/>
          </w:tcPr>
          <w:p w14:paraId="4F5934C0" w14:textId="5A2CB23F"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9AB353B"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6826024E"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AC3B8A">
              <w:rPr>
                <w:rFonts w:ascii="Arial" w:eastAsia="Calibri" w:hAnsi="Arial" w:cs="Arial"/>
                <w:color w:val="000000" w:themeColor="text1"/>
                <w:sz w:val="19"/>
                <w:szCs w:val="19"/>
                <w:lang w:eastAsia="en-US"/>
              </w:rPr>
              <w:lastRenderedPageBreak/>
              <w:t>uwzględniając kryteria określone w art. 31a ust. 1;</w:t>
            </w:r>
          </w:p>
          <w:p w14:paraId="2C497DF9" w14:textId="15335D6E" w:rsidR="00A35066" w:rsidRPr="00176DBF"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06BFD6" w14:textId="77777777" w:rsidR="00A35066" w:rsidRPr="00A35066" w:rsidRDefault="00A35066" w:rsidP="00A35066">
            <w:pPr>
              <w:jc w:val="both"/>
              <w:rPr>
                <w:rFonts w:ascii="Arial" w:hAnsi="Arial" w:cs="Arial"/>
                <w:sz w:val="19"/>
                <w:szCs w:val="19"/>
              </w:rPr>
            </w:pPr>
            <w:r w:rsidRPr="00A35066">
              <w:rPr>
                <w:rFonts w:ascii="Arial" w:hAnsi="Arial" w:cs="Arial"/>
                <w:sz w:val="19"/>
                <w:szCs w:val="19"/>
              </w:rPr>
              <w:lastRenderedPageBreak/>
              <w:t xml:space="preserve">Celem projektu jest zapewnienie dostępności do leczenia ostrej fazy udaru niedokrwiennego za pomocą przezcewnikowej trombektomii mechanicznej naczyń domózgowych lub wewnątrzczaszkowych od 1 lipca 2024 r., a więc po zakończeniu realizacji programu pilotażowego w ramach którego leczenie to jest finansowane.  </w:t>
            </w:r>
          </w:p>
          <w:p w14:paraId="1A72733B" w14:textId="14FA57F3" w:rsidR="00A35066" w:rsidRPr="00964524" w:rsidRDefault="00A35066" w:rsidP="00A35066">
            <w:pPr>
              <w:jc w:val="both"/>
              <w:rPr>
                <w:rFonts w:ascii="Arial" w:hAnsi="Arial" w:cs="Arial"/>
                <w:sz w:val="19"/>
                <w:szCs w:val="19"/>
              </w:rPr>
            </w:pPr>
            <w:r w:rsidRPr="00A35066">
              <w:rPr>
                <w:rFonts w:ascii="Arial" w:hAnsi="Arial" w:cs="Arial"/>
                <w:sz w:val="19"/>
                <w:szCs w:val="19"/>
              </w:rPr>
              <w:t xml:space="preserve">Ponadto projekt przywraca dostępność do technologii medycznej związanej z alternatywną i bezpieczną terapią o </w:t>
            </w:r>
            <w:r w:rsidRPr="00A35066">
              <w:rPr>
                <w:rFonts w:ascii="Arial" w:hAnsi="Arial" w:cs="Arial"/>
                <w:sz w:val="19"/>
                <w:szCs w:val="19"/>
              </w:rPr>
              <w:lastRenderedPageBreak/>
              <w:t>potwierdzonej skuteczności klinicznej, związaną z podaniem autogenicznego osocza bogatopłytkowego lub fibryny bogatopłytkowej w chorobach mięśni i stawów, w tym kości szczęki i żuchwy oraz leczeniu wspomagającym przy przeszczepach skóry jak i  ran przewlekłych w oparzeniach, stopie cukrzycowej, a także owrzodzeniu żylnym.</w:t>
            </w:r>
          </w:p>
        </w:tc>
        <w:tc>
          <w:tcPr>
            <w:tcW w:w="1842" w:type="dxa"/>
            <w:shd w:val="clear" w:color="auto" w:fill="FFFFFF"/>
          </w:tcPr>
          <w:p w14:paraId="33BB53A2" w14:textId="1372CA0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lastRenderedPageBreak/>
              <w:t>Izabela Leszczyna – Minister Zdrowia</w:t>
            </w:r>
          </w:p>
        </w:tc>
        <w:tc>
          <w:tcPr>
            <w:tcW w:w="2362" w:type="dxa"/>
            <w:shd w:val="clear" w:color="auto" w:fill="FFFFFF"/>
          </w:tcPr>
          <w:p w14:paraId="34844658" w14:textId="77C5ED97" w:rsidR="00A35066" w:rsidRDefault="00AC3B8A" w:rsidP="00967F60">
            <w:pPr>
              <w:rPr>
                <w:rFonts w:ascii="Arial" w:hAnsi="Arial" w:cs="Arial"/>
                <w:color w:val="000000" w:themeColor="text1"/>
                <w:sz w:val="19"/>
                <w:szCs w:val="19"/>
              </w:rPr>
            </w:pPr>
            <w:r>
              <w:rPr>
                <w:rFonts w:ascii="Arial" w:hAnsi="Arial" w:cs="Arial"/>
                <w:color w:val="000000" w:themeColor="text1"/>
                <w:sz w:val="19"/>
                <w:szCs w:val="19"/>
              </w:rPr>
              <w:t xml:space="preserve">Stan prac na dzień 7 marca 2024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UW</w:t>
            </w:r>
            <w:r w:rsidR="00A35066">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43654B">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B97B" w14:textId="77777777" w:rsidR="0043654B" w:rsidRDefault="0043654B">
      <w:r>
        <w:separator/>
      </w:r>
    </w:p>
  </w:endnote>
  <w:endnote w:type="continuationSeparator" w:id="0">
    <w:p w14:paraId="362F4C4E" w14:textId="77777777" w:rsidR="0043654B" w:rsidRDefault="0043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2F69" w14:textId="77777777" w:rsidR="0043654B" w:rsidRDefault="0043654B">
      <w:r>
        <w:separator/>
      </w:r>
    </w:p>
  </w:footnote>
  <w:footnote w:type="continuationSeparator" w:id="0">
    <w:p w14:paraId="02D4BB3A" w14:textId="77777777" w:rsidR="0043654B" w:rsidRDefault="0043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7D"/>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711"/>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7FF"/>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6DBF"/>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62"/>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70"/>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961"/>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4B"/>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731"/>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877"/>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24"/>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533"/>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066"/>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B8A"/>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19"/>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733"/>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408921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76">
          <w:marLeft w:val="0"/>
          <w:marRight w:val="0"/>
          <w:marTop w:val="150"/>
          <w:marBottom w:val="168"/>
          <w:divBdr>
            <w:top w:val="none" w:sz="0" w:space="0" w:color="auto"/>
            <w:left w:val="none" w:sz="0" w:space="0" w:color="auto"/>
            <w:bottom w:val="none" w:sz="0" w:space="0" w:color="auto"/>
            <w:right w:val="none" w:sz="0" w:space="0" w:color="auto"/>
          </w:divBdr>
        </w:div>
        <w:div w:id="392240399">
          <w:marLeft w:val="0"/>
          <w:marRight w:val="0"/>
          <w:marTop w:val="0"/>
          <w:marBottom w:val="0"/>
          <w:divBdr>
            <w:top w:val="none" w:sz="0" w:space="0" w:color="auto"/>
            <w:left w:val="none" w:sz="0" w:space="0" w:color="auto"/>
            <w:bottom w:val="none" w:sz="0" w:space="0" w:color="auto"/>
            <w:right w:val="none" w:sz="0" w:space="0" w:color="auto"/>
          </w:divBdr>
          <w:divsChild>
            <w:div w:id="754131010">
              <w:marLeft w:val="255"/>
              <w:marRight w:val="0"/>
              <w:marTop w:val="0"/>
              <w:marBottom w:val="0"/>
              <w:divBdr>
                <w:top w:val="none" w:sz="0" w:space="0" w:color="auto"/>
                <w:left w:val="none" w:sz="0" w:space="0" w:color="auto"/>
                <w:bottom w:val="none" w:sz="0" w:space="0" w:color="auto"/>
                <w:right w:val="none" w:sz="0" w:space="0" w:color="auto"/>
              </w:divBdr>
            </w:div>
          </w:divsChild>
        </w:div>
        <w:div w:id="1137146359">
          <w:marLeft w:val="0"/>
          <w:marRight w:val="0"/>
          <w:marTop w:val="0"/>
          <w:marBottom w:val="0"/>
          <w:divBdr>
            <w:top w:val="none" w:sz="0" w:space="0" w:color="auto"/>
            <w:left w:val="none" w:sz="0" w:space="0" w:color="auto"/>
            <w:bottom w:val="none" w:sz="0" w:space="0" w:color="auto"/>
            <w:right w:val="none" w:sz="0" w:space="0" w:color="auto"/>
          </w:divBdr>
          <w:divsChild>
            <w:div w:id="14423399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277</Pages>
  <Words>79498</Words>
  <Characters>512769</Characters>
  <Application>Microsoft Office Word</Application>
  <DocSecurity>0</DocSecurity>
  <Lines>23307</Lines>
  <Paragraphs>5483</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586784</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163</cp:revision>
  <cp:lastPrinted>2018-12-07T08:31:00Z</cp:lastPrinted>
  <dcterms:created xsi:type="dcterms:W3CDTF">2022-09-06T11:28:00Z</dcterms:created>
  <dcterms:modified xsi:type="dcterms:W3CDTF">2024-03-08T09:43:00Z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