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170" w:type="dxa"/>
        <w:jc w:val="right"/>
        <w:tblLayout w:type="fixed"/>
        <w:tblCellMar>
          <w:left w:w="0" w:type="dxa"/>
          <w:right w:w="0" w:type="dxa"/>
        </w:tblCellMar>
        <w:tblLook w:val="00A0" w:firstRow="1" w:lastRow="0" w:firstColumn="1" w:lastColumn="0" w:noHBand="0" w:noVBand="0"/>
      </w:tblPr>
      <w:tblGrid>
        <w:gridCol w:w="6170"/>
      </w:tblGrid>
      <w:tr w:rsidR="00107FCF" w:rsidRPr="00507221" w14:paraId="43553DBD" w14:textId="77777777" w:rsidTr="000017D3">
        <w:trPr>
          <w:cantSplit/>
          <w:trHeight w:hRule="exact" w:val="851"/>
          <w:jc w:val="right"/>
        </w:trPr>
        <w:tc>
          <w:tcPr>
            <w:tcW w:w="6170" w:type="dxa"/>
          </w:tcPr>
          <w:p w14:paraId="6021E579" w14:textId="77777777" w:rsidR="00107FCF" w:rsidRPr="00507221" w:rsidRDefault="00107FCF" w:rsidP="00B25682">
            <w:bookmarkStart w:id="0" w:name="_Hlk76637418"/>
            <w:bookmarkStart w:id="1" w:name="_GoBack"/>
            <w:bookmarkEnd w:id="0"/>
            <w:bookmarkEnd w:id="1"/>
          </w:p>
          <w:p w14:paraId="0F6D374A" w14:textId="77777777" w:rsidR="00107FCF" w:rsidRPr="00507221" w:rsidRDefault="00107FCF" w:rsidP="000017D3">
            <w:pPr>
              <w:spacing w:line="20" w:lineRule="exact"/>
              <w:jc w:val="right"/>
              <w:rPr>
                <w:spacing w:val="-200"/>
                <w:w w:val="50"/>
                <w:sz w:val="2"/>
                <w:szCs w:val="2"/>
              </w:rPr>
            </w:pPr>
          </w:p>
          <w:p w14:paraId="6BEECDAC" w14:textId="77777777" w:rsidR="00107FCF" w:rsidRPr="00507221" w:rsidRDefault="00107FCF" w:rsidP="000017D3">
            <w:pPr>
              <w:spacing w:line="20" w:lineRule="exact"/>
              <w:jc w:val="right"/>
              <w:rPr>
                <w:spacing w:val="-200"/>
                <w:w w:val="50"/>
                <w:sz w:val="2"/>
                <w:szCs w:val="2"/>
              </w:rPr>
            </w:pPr>
          </w:p>
        </w:tc>
      </w:tr>
      <w:tr w:rsidR="00107FCF" w:rsidRPr="00507221" w14:paraId="5FE16587" w14:textId="77777777" w:rsidTr="000017D3">
        <w:trPr>
          <w:cantSplit/>
          <w:trHeight w:hRule="exact" w:val="4539"/>
          <w:jc w:val="right"/>
        </w:trPr>
        <w:tc>
          <w:tcPr>
            <w:tcW w:w="6170" w:type="dxa"/>
          </w:tcPr>
          <w:tbl>
            <w:tblPr>
              <w:tblW w:w="4808" w:type="dxa"/>
              <w:tblInd w:w="669" w:type="dxa"/>
              <w:tblBorders>
                <w:top w:val="single" w:sz="4" w:space="0" w:color="auto"/>
              </w:tblBorders>
              <w:tblLayout w:type="fixed"/>
              <w:tblCellMar>
                <w:left w:w="0" w:type="dxa"/>
                <w:right w:w="0" w:type="dxa"/>
              </w:tblCellMar>
              <w:tblLook w:val="0000" w:firstRow="0" w:lastRow="0" w:firstColumn="0" w:lastColumn="0" w:noHBand="0" w:noVBand="0"/>
            </w:tblPr>
            <w:tblGrid>
              <w:gridCol w:w="4808"/>
            </w:tblGrid>
            <w:tr w:rsidR="00107FCF" w:rsidRPr="00507221" w14:paraId="64F49CC6" w14:textId="77777777" w:rsidTr="000017D3">
              <w:tc>
                <w:tcPr>
                  <w:tcW w:w="4810" w:type="dxa"/>
                  <w:tcBorders>
                    <w:top w:val="single" w:sz="4" w:space="0" w:color="auto"/>
                    <w:bottom w:val="nil"/>
                  </w:tcBorders>
                  <w:vAlign w:val="center"/>
                </w:tcPr>
                <w:p w14:paraId="382E580C" w14:textId="77777777" w:rsidR="00107FCF" w:rsidRPr="00507221" w:rsidRDefault="00107FCF" w:rsidP="00AC4CE3">
                  <w:pPr>
                    <w:pStyle w:val="Cover-TitleBlock"/>
                    <w:rPr>
                      <w:sz w:val="28"/>
                      <w:szCs w:val="28"/>
                    </w:rPr>
                  </w:pPr>
                  <w:r w:rsidRPr="00507221">
                    <w:rPr>
                      <w:sz w:val="28"/>
                      <w:szCs w:val="28"/>
                    </w:rPr>
                    <w:t>Ministerstwo Infrastruktury</w:t>
                  </w:r>
                </w:p>
              </w:tc>
            </w:tr>
            <w:tr w:rsidR="00107FCF" w:rsidRPr="00507221" w14:paraId="0A838DFF" w14:textId="77777777" w:rsidTr="000017D3">
              <w:tc>
                <w:tcPr>
                  <w:tcW w:w="4810" w:type="dxa"/>
                  <w:tcBorders>
                    <w:top w:val="nil"/>
                    <w:bottom w:val="nil"/>
                  </w:tcBorders>
                  <w:vAlign w:val="center"/>
                </w:tcPr>
                <w:p w14:paraId="172F3EA9" w14:textId="77777777" w:rsidR="00107FCF" w:rsidRPr="00507221" w:rsidRDefault="00107FCF" w:rsidP="005C6539">
                  <w:pPr>
                    <w:pStyle w:val="Cover-JobTitle"/>
                    <w:rPr>
                      <w:sz w:val="28"/>
                      <w:szCs w:val="28"/>
                    </w:rPr>
                  </w:pPr>
                  <w:r w:rsidRPr="00507221">
                    <w:rPr>
                      <w:sz w:val="28"/>
                      <w:szCs w:val="28"/>
                    </w:rPr>
                    <w:t>Przegląd i aktualizacja planów zarządzania ryzykiem powodziowym od strony morza, w tym morskich wód wewnętrznych</w:t>
                  </w:r>
                  <w:r w:rsidRPr="00507221">
                    <w:rPr>
                      <w:sz w:val="28"/>
                      <w:szCs w:val="28"/>
                    </w:rPr>
                    <w:br/>
                    <w:t>Nr projektu: POIS.02.01.00-00-0023/18</w:t>
                  </w:r>
                </w:p>
              </w:tc>
            </w:tr>
            <w:tr w:rsidR="00107FCF" w:rsidRPr="00507221" w14:paraId="219FFF53" w14:textId="77777777" w:rsidTr="000017D3">
              <w:tc>
                <w:tcPr>
                  <w:tcW w:w="4810" w:type="dxa"/>
                  <w:tcBorders>
                    <w:top w:val="nil"/>
                    <w:bottom w:val="nil"/>
                  </w:tcBorders>
                  <w:vAlign w:val="center"/>
                </w:tcPr>
                <w:p w14:paraId="73EB36BE" w14:textId="455B7F14" w:rsidR="00107FCF" w:rsidRPr="00507221" w:rsidRDefault="003C649E" w:rsidP="00AC4CE3">
                  <w:pPr>
                    <w:pStyle w:val="Cover-TitleBlock"/>
                  </w:pPr>
                  <w:r>
                    <w:rPr>
                      <w:sz w:val="24"/>
                      <w:szCs w:val="24"/>
                    </w:rPr>
                    <w:t xml:space="preserve">Projekt aktualizacji planu </w:t>
                  </w:r>
                  <w:r w:rsidRPr="003C649E">
                    <w:rPr>
                      <w:sz w:val="24"/>
                      <w:szCs w:val="24"/>
                    </w:rPr>
                    <w:t>zarządzania ryzykiem powodziowym od strony morza, w tym morskich wód wewnętrznych</w:t>
                  </w:r>
                  <w:r w:rsidRPr="00507221">
                    <w:rPr>
                      <w:sz w:val="24"/>
                      <w:szCs w:val="24"/>
                    </w:rPr>
                    <w:t xml:space="preserve"> </w:t>
                  </w:r>
                  <w:r w:rsidR="00107FCF" w:rsidRPr="00507221">
                    <w:rPr>
                      <w:sz w:val="24"/>
                      <w:szCs w:val="24"/>
                    </w:rPr>
                    <w:t xml:space="preserve">dla obszaru </w:t>
                  </w:r>
                  <w:r w:rsidR="00243F98">
                    <w:rPr>
                      <w:sz w:val="24"/>
                      <w:szCs w:val="24"/>
                    </w:rPr>
                    <w:t>dorzecza</w:t>
                  </w:r>
                  <w:r w:rsidR="00107FCF" w:rsidRPr="00507221">
                    <w:rPr>
                      <w:sz w:val="24"/>
                      <w:szCs w:val="24"/>
                    </w:rPr>
                    <w:t xml:space="preserve"> Dolnej Odry</w:t>
                  </w:r>
                </w:p>
              </w:tc>
            </w:tr>
            <w:tr w:rsidR="00107FCF" w:rsidRPr="00507221" w14:paraId="7A34A84A" w14:textId="77777777" w:rsidTr="000017D3">
              <w:trPr>
                <w:trHeight w:val="394"/>
              </w:trPr>
              <w:tc>
                <w:tcPr>
                  <w:tcW w:w="4810" w:type="dxa"/>
                  <w:tcBorders>
                    <w:top w:val="nil"/>
                    <w:bottom w:val="nil"/>
                  </w:tcBorders>
                  <w:tcMar>
                    <w:top w:w="0" w:type="dxa"/>
                  </w:tcMar>
                  <w:vAlign w:val="center"/>
                </w:tcPr>
                <w:p w14:paraId="1212E700" w14:textId="0A1E1220" w:rsidR="00107FCF" w:rsidRPr="00507221" w:rsidRDefault="00107FCF" w:rsidP="00AC4CE3">
                  <w:pPr>
                    <w:pStyle w:val="Cover-Ref"/>
                    <w:spacing w:after="0"/>
                  </w:pPr>
                </w:p>
              </w:tc>
            </w:tr>
            <w:tr w:rsidR="00107FCF" w:rsidRPr="00507221" w14:paraId="2F333C6B" w14:textId="77777777" w:rsidTr="000017D3">
              <w:trPr>
                <w:trHeight w:val="394"/>
              </w:trPr>
              <w:tc>
                <w:tcPr>
                  <w:tcW w:w="4810" w:type="dxa"/>
                  <w:tcBorders>
                    <w:top w:val="nil"/>
                  </w:tcBorders>
                  <w:tcMar>
                    <w:top w:w="0" w:type="dxa"/>
                  </w:tcMar>
                  <w:vAlign w:val="center"/>
                </w:tcPr>
                <w:p w14:paraId="51290F0D" w14:textId="3EAA0C8C" w:rsidR="00107FCF" w:rsidRPr="00507221" w:rsidRDefault="00107FCF" w:rsidP="00AC4CE3">
                  <w:pPr>
                    <w:pStyle w:val="Cover-Ref"/>
                    <w:spacing w:after="0"/>
                  </w:pPr>
                </w:p>
              </w:tc>
            </w:tr>
          </w:tbl>
          <w:p w14:paraId="5BA18E6A" w14:textId="77777777" w:rsidR="00107FCF" w:rsidRPr="00507221" w:rsidRDefault="00107FCF" w:rsidP="000017D3">
            <w:pPr>
              <w:ind w:left="-28"/>
            </w:pPr>
          </w:p>
        </w:tc>
      </w:tr>
    </w:tbl>
    <w:p w14:paraId="6500D0E5" w14:textId="77777777" w:rsidR="00107FCF" w:rsidRPr="006A7CE0" w:rsidRDefault="00107FCF" w:rsidP="006A7CE0">
      <w:pPr>
        <w:sectPr w:rsidR="00107FCF" w:rsidRPr="006A7CE0" w:rsidSect="000017D3">
          <w:pgSz w:w="11907" w:h="16840" w:code="9"/>
          <w:pgMar w:top="1701" w:right="907" w:bottom="851" w:left="1134" w:header="284" w:footer="0" w:gutter="0"/>
          <w:pgNumType w:start="1"/>
          <w:cols w:space="708"/>
          <w:formProt w:val="0"/>
          <w:titlePg/>
          <w:docGrid w:linePitch="326"/>
        </w:sectPr>
      </w:pPr>
    </w:p>
    <w:p w14:paraId="6B5ACDC3" w14:textId="77777777" w:rsidR="00107FCF" w:rsidRPr="006A7CE0" w:rsidRDefault="00107FCF" w:rsidP="002D76EE">
      <w:pPr>
        <w:framePr w:hSpace="181" w:wrap="around" w:hAnchor="text" w:xAlign="right" w:yAlign="bottom"/>
        <w:suppressOverlap/>
      </w:pPr>
    </w:p>
    <w:tbl>
      <w:tblPr>
        <w:tblpPr w:leftFromText="181" w:rightFromText="181" w:tblpXSpec="right" w:tblpYSpec="bottom"/>
        <w:tblOverlap w:val="never"/>
        <w:tblW w:w="9923" w:type="dxa"/>
        <w:tblLayout w:type="fixed"/>
        <w:tblCellMar>
          <w:left w:w="0" w:type="dxa"/>
          <w:right w:w="0" w:type="dxa"/>
        </w:tblCellMar>
        <w:tblLook w:val="01E0" w:firstRow="1" w:lastRow="1" w:firstColumn="1" w:lastColumn="1" w:noHBand="0" w:noVBand="0"/>
      </w:tblPr>
      <w:tblGrid>
        <w:gridCol w:w="4047"/>
        <w:gridCol w:w="3429"/>
        <w:gridCol w:w="2447"/>
      </w:tblGrid>
      <w:tr w:rsidR="00107FCF" w:rsidRPr="00507221" w14:paraId="3D0811C3" w14:textId="77777777" w:rsidTr="5C7FCD88">
        <w:trPr>
          <w:cantSplit/>
          <w:trHeight w:val="679"/>
        </w:trPr>
        <w:tc>
          <w:tcPr>
            <w:tcW w:w="2039" w:type="pct"/>
            <w:tcBorders>
              <w:bottom w:val="nil"/>
            </w:tcBorders>
          </w:tcPr>
          <w:p w14:paraId="7FE1B6D1" w14:textId="020F92E5" w:rsidR="00107FCF" w:rsidRPr="00507221" w:rsidRDefault="00107FCF" w:rsidP="00DA3EC1">
            <w:pPr>
              <w:rPr>
                <w:sz w:val="18"/>
                <w:szCs w:val="18"/>
              </w:rPr>
            </w:pPr>
          </w:p>
        </w:tc>
        <w:tc>
          <w:tcPr>
            <w:tcW w:w="1728" w:type="pct"/>
            <w:vMerge w:val="restart"/>
            <w:vAlign w:val="bottom"/>
          </w:tcPr>
          <w:p w14:paraId="112F7574" w14:textId="77777777" w:rsidR="00107FCF" w:rsidRPr="00507221" w:rsidRDefault="00107FCF" w:rsidP="000017D3">
            <w:pPr>
              <w:spacing w:before="80"/>
              <w:jc w:val="right"/>
              <w:rPr>
                <w:sz w:val="18"/>
                <w:szCs w:val="18"/>
              </w:rPr>
            </w:pPr>
          </w:p>
        </w:tc>
        <w:tc>
          <w:tcPr>
            <w:tcW w:w="1233" w:type="pct"/>
            <w:vMerge w:val="restart"/>
            <w:vAlign w:val="bottom"/>
          </w:tcPr>
          <w:p w14:paraId="64B98AA0" w14:textId="1CB0362C" w:rsidR="00107FCF" w:rsidRPr="00507221" w:rsidRDefault="00107FCF" w:rsidP="000017D3">
            <w:pPr>
              <w:jc w:val="right"/>
            </w:pPr>
          </w:p>
        </w:tc>
      </w:tr>
      <w:tr w:rsidR="00107FCF" w:rsidRPr="00507221" w14:paraId="25429C40" w14:textId="77777777" w:rsidTr="5C7FCD88">
        <w:trPr>
          <w:cantSplit/>
          <w:trHeight w:val="679"/>
        </w:trPr>
        <w:tc>
          <w:tcPr>
            <w:tcW w:w="2039" w:type="pct"/>
            <w:tcBorders>
              <w:bottom w:val="nil"/>
            </w:tcBorders>
          </w:tcPr>
          <w:p w14:paraId="799E466B" w14:textId="77777777" w:rsidR="00107FCF" w:rsidRPr="00507221" w:rsidRDefault="00107FCF" w:rsidP="000017D3">
            <w:bookmarkStart w:id="2" w:name="RegInfo"/>
            <w:bookmarkEnd w:id="2"/>
          </w:p>
        </w:tc>
        <w:tc>
          <w:tcPr>
            <w:tcW w:w="1728" w:type="pct"/>
            <w:vMerge/>
            <w:vAlign w:val="bottom"/>
          </w:tcPr>
          <w:p w14:paraId="48007C3E" w14:textId="77777777" w:rsidR="00107FCF" w:rsidRPr="00507221" w:rsidRDefault="00107FCF" w:rsidP="000017D3">
            <w:pPr>
              <w:spacing w:before="80"/>
              <w:jc w:val="right"/>
              <w:rPr>
                <w:sz w:val="18"/>
                <w:szCs w:val="18"/>
              </w:rPr>
            </w:pPr>
          </w:p>
        </w:tc>
        <w:tc>
          <w:tcPr>
            <w:tcW w:w="1233" w:type="pct"/>
            <w:vMerge/>
            <w:vAlign w:val="bottom"/>
          </w:tcPr>
          <w:p w14:paraId="55AB3CA6" w14:textId="77777777" w:rsidR="00107FCF" w:rsidRPr="00507221" w:rsidRDefault="00107FCF" w:rsidP="000017D3">
            <w:pPr>
              <w:jc w:val="right"/>
              <w:rPr>
                <w:noProof/>
                <w:lang w:eastAsia="en-GB"/>
              </w:rPr>
            </w:pPr>
          </w:p>
        </w:tc>
      </w:tr>
      <w:tr w:rsidR="00107FCF" w:rsidRPr="00A75C47" w14:paraId="2EFA280E" w14:textId="77777777" w:rsidTr="5C7FCD88">
        <w:trPr>
          <w:cantSplit/>
          <w:trHeight w:val="907"/>
        </w:trPr>
        <w:tc>
          <w:tcPr>
            <w:tcW w:w="2039" w:type="pct"/>
            <w:tcBorders>
              <w:bottom w:val="nil"/>
            </w:tcBorders>
            <w:vAlign w:val="bottom"/>
          </w:tcPr>
          <w:p w14:paraId="36726AA9" w14:textId="2A830501" w:rsidR="00107FCF" w:rsidRPr="00FE1488" w:rsidRDefault="00107FCF" w:rsidP="000017D3">
            <w:pPr>
              <w:pStyle w:val="Cover-AddressBlock"/>
              <w:framePr w:wrap="auto" w:xAlign="left" w:yAlign="inline"/>
              <w:suppressOverlap w:val="0"/>
              <w:rPr>
                <w:lang w:val="it-IT"/>
              </w:rPr>
            </w:pPr>
            <w:bookmarkStart w:id="3" w:name="Website"/>
            <w:bookmarkEnd w:id="3"/>
          </w:p>
        </w:tc>
        <w:tc>
          <w:tcPr>
            <w:tcW w:w="1728" w:type="pct"/>
            <w:vMerge/>
            <w:vAlign w:val="bottom"/>
          </w:tcPr>
          <w:p w14:paraId="5E729F6C" w14:textId="77777777" w:rsidR="00107FCF" w:rsidRPr="00FE1488" w:rsidRDefault="00107FCF" w:rsidP="000017D3">
            <w:pPr>
              <w:rPr>
                <w:rStyle w:val="HR-8"/>
                <w:sz w:val="14"/>
                <w:szCs w:val="14"/>
                <w:lang w:val="it-IT"/>
              </w:rPr>
            </w:pPr>
          </w:p>
        </w:tc>
        <w:tc>
          <w:tcPr>
            <w:tcW w:w="1233" w:type="pct"/>
            <w:vMerge/>
          </w:tcPr>
          <w:p w14:paraId="6E5ADDC1" w14:textId="77777777" w:rsidR="00107FCF" w:rsidRPr="00FE1488" w:rsidRDefault="00107FCF" w:rsidP="000017D3">
            <w:pPr>
              <w:spacing w:line="200" w:lineRule="atLeast"/>
              <w:rPr>
                <w:rStyle w:val="HR-8"/>
                <w:sz w:val="14"/>
                <w:szCs w:val="14"/>
                <w:lang w:val="it-IT"/>
              </w:rPr>
            </w:pPr>
          </w:p>
        </w:tc>
      </w:tr>
    </w:tbl>
    <w:p w14:paraId="4DDF6D23" w14:textId="77777777" w:rsidR="00107FCF" w:rsidRPr="00FE1488" w:rsidRDefault="00107FCF" w:rsidP="002D76EE">
      <w:pPr>
        <w:rPr>
          <w:szCs w:val="22"/>
          <w:lang w:val="it-IT"/>
        </w:rPr>
        <w:sectPr w:rsidR="00107FCF" w:rsidRPr="00FE1488" w:rsidSect="000017D3">
          <w:headerReference w:type="default" r:id="rId8"/>
          <w:type w:val="continuous"/>
          <w:pgSz w:w="11907" w:h="16840" w:code="9"/>
          <w:pgMar w:top="1701" w:right="851" w:bottom="851" w:left="1134" w:header="284" w:footer="0" w:gutter="0"/>
          <w:cols w:space="708"/>
          <w:formProt w:val="0"/>
          <w:docGrid w:linePitch="326"/>
        </w:sectPr>
      </w:pPr>
    </w:p>
    <w:p w14:paraId="0F6ABF92" w14:textId="77777777" w:rsidR="00107FCF" w:rsidRPr="002C15EE" w:rsidRDefault="00107FCF" w:rsidP="002D76EE">
      <w:pPr>
        <w:spacing w:line="20" w:lineRule="exact"/>
        <w:rPr>
          <w:vanish/>
          <w:color w:val="FFFFFF"/>
          <w:sz w:val="2"/>
          <w:szCs w:val="2"/>
          <w:lang w:val="en-US"/>
        </w:rPr>
      </w:pPr>
    </w:p>
    <w:p w14:paraId="0D43EE14" w14:textId="77777777" w:rsidR="00107FCF" w:rsidRPr="006A7CE0" w:rsidRDefault="00107FCF" w:rsidP="002D76EE">
      <w:pPr>
        <w:pStyle w:val="ReportContentsMain"/>
      </w:pPr>
      <w:bookmarkStart w:id="4" w:name="Contents"/>
      <w:r>
        <w:t>Spis Treści</w:t>
      </w:r>
      <w:bookmarkEnd w:id="4"/>
    </w:p>
    <w:p w14:paraId="021124ED" w14:textId="77777777" w:rsidR="00107FCF" w:rsidRPr="006A7CE0" w:rsidRDefault="00107FCF" w:rsidP="002D76EE"/>
    <w:p w14:paraId="66C2394A" w14:textId="77777777" w:rsidR="00107FCF" w:rsidRPr="006A7CE0" w:rsidRDefault="00107FCF" w:rsidP="002D76EE">
      <w:pPr>
        <w:tabs>
          <w:tab w:val="right" w:pos="7937"/>
        </w:tabs>
        <w:rPr>
          <w:rStyle w:val="Style10pt"/>
        </w:rPr>
      </w:pPr>
      <w:r w:rsidRPr="006A7CE0">
        <w:rPr>
          <w:rStyle w:val="Style10pt"/>
        </w:rPr>
        <w:tab/>
      </w:r>
      <w:bookmarkStart w:id="5" w:name="P42"/>
      <w:r>
        <w:rPr>
          <w:rStyle w:val="Style10pt"/>
        </w:rPr>
        <w:t>Strona</w:t>
      </w:r>
      <w:bookmarkEnd w:id="5"/>
    </w:p>
    <w:p w14:paraId="56CAB6F0" w14:textId="3D1294EA" w:rsidR="00426706" w:rsidRDefault="00107FCF">
      <w:pPr>
        <w:pStyle w:val="Spistreci1"/>
        <w:rPr>
          <w:rFonts w:asciiTheme="minorHAnsi" w:eastAsiaTheme="minorEastAsia" w:hAnsiTheme="minorHAnsi" w:cstheme="minorBidi"/>
          <w:b w:val="0"/>
          <w:sz w:val="22"/>
          <w:szCs w:val="22"/>
          <w:lang w:eastAsia="pl-PL"/>
        </w:rPr>
      </w:pPr>
      <w:r w:rsidRPr="00093732">
        <w:fldChar w:fldCharType="begin"/>
      </w:r>
      <w:r w:rsidRPr="00093732">
        <w:instrText xml:space="preserve"> TOC \h \z \t "Report Level 1;1;Report Level 2;2;Report Exec Summary;9" </w:instrText>
      </w:r>
      <w:r w:rsidRPr="00093732">
        <w:fldChar w:fldCharType="separate"/>
      </w:r>
      <w:hyperlink w:anchor="_Toc80608713" w:history="1">
        <w:r w:rsidR="00426706" w:rsidRPr="00604454">
          <w:rPr>
            <w:rStyle w:val="Hipercze"/>
            <w:rFonts w:eastAsia="MS Gothic"/>
          </w:rPr>
          <w:t>1</w:t>
        </w:r>
        <w:r w:rsidR="00426706">
          <w:rPr>
            <w:rFonts w:asciiTheme="minorHAnsi" w:eastAsiaTheme="minorEastAsia" w:hAnsiTheme="minorHAnsi" w:cstheme="minorBidi"/>
            <w:b w:val="0"/>
            <w:sz w:val="22"/>
            <w:szCs w:val="22"/>
            <w:lang w:eastAsia="pl-PL"/>
          </w:rPr>
          <w:tab/>
        </w:r>
        <w:r w:rsidR="00426706" w:rsidRPr="00604454">
          <w:rPr>
            <w:rStyle w:val="Hipercze"/>
          </w:rPr>
          <w:t>Wstęp</w:t>
        </w:r>
        <w:r w:rsidR="00426706">
          <w:rPr>
            <w:webHidden/>
          </w:rPr>
          <w:tab/>
        </w:r>
        <w:r w:rsidR="00426706">
          <w:rPr>
            <w:webHidden/>
          </w:rPr>
          <w:fldChar w:fldCharType="begin"/>
        </w:r>
        <w:r w:rsidR="00426706">
          <w:rPr>
            <w:webHidden/>
          </w:rPr>
          <w:instrText xml:space="preserve"> PAGEREF _Toc80608713 \h </w:instrText>
        </w:r>
        <w:r w:rsidR="00426706">
          <w:rPr>
            <w:webHidden/>
          </w:rPr>
        </w:r>
        <w:r w:rsidR="00426706">
          <w:rPr>
            <w:webHidden/>
          </w:rPr>
          <w:fldChar w:fldCharType="separate"/>
        </w:r>
        <w:r w:rsidR="00426706">
          <w:rPr>
            <w:webHidden/>
          </w:rPr>
          <w:t>3</w:t>
        </w:r>
        <w:r w:rsidR="00426706">
          <w:rPr>
            <w:webHidden/>
          </w:rPr>
          <w:fldChar w:fldCharType="end"/>
        </w:r>
      </w:hyperlink>
    </w:p>
    <w:p w14:paraId="39D90043" w14:textId="0842A191"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14" w:history="1">
        <w:r w:rsidR="00426706" w:rsidRPr="00604454">
          <w:rPr>
            <w:rStyle w:val="Hipercze"/>
          </w:rPr>
          <w:t>1.1</w:t>
        </w:r>
        <w:r w:rsidR="00426706">
          <w:rPr>
            <w:rFonts w:asciiTheme="minorHAnsi" w:eastAsiaTheme="minorEastAsia" w:hAnsiTheme="minorHAnsi" w:cstheme="minorBidi"/>
            <w:sz w:val="22"/>
            <w:szCs w:val="22"/>
            <w:lang w:eastAsia="pl-PL"/>
          </w:rPr>
          <w:tab/>
        </w:r>
        <w:r w:rsidR="00426706" w:rsidRPr="00604454">
          <w:rPr>
            <w:rStyle w:val="Hipercze"/>
          </w:rPr>
          <w:t>Zidentyfikowane obszary problemowe</w:t>
        </w:r>
        <w:r w:rsidR="00426706">
          <w:rPr>
            <w:webHidden/>
          </w:rPr>
          <w:tab/>
        </w:r>
        <w:r w:rsidR="00426706">
          <w:rPr>
            <w:webHidden/>
          </w:rPr>
          <w:fldChar w:fldCharType="begin"/>
        </w:r>
        <w:r w:rsidR="00426706">
          <w:rPr>
            <w:webHidden/>
          </w:rPr>
          <w:instrText xml:space="preserve"> PAGEREF _Toc80608714 \h </w:instrText>
        </w:r>
        <w:r w:rsidR="00426706">
          <w:rPr>
            <w:webHidden/>
          </w:rPr>
        </w:r>
        <w:r w:rsidR="00426706">
          <w:rPr>
            <w:webHidden/>
          </w:rPr>
          <w:fldChar w:fldCharType="separate"/>
        </w:r>
        <w:r w:rsidR="00426706">
          <w:rPr>
            <w:webHidden/>
          </w:rPr>
          <w:t>5</w:t>
        </w:r>
        <w:r w:rsidR="00426706">
          <w:rPr>
            <w:webHidden/>
          </w:rPr>
          <w:fldChar w:fldCharType="end"/>
        </w:r>
      </w:hyperlink>
    </w:p>
    <w:p w14:paraId="54EBD378" w14:textId="3C2874A2" w:rsidR="00426706" w:rsidRDefault="00CC00DD">
      <w:pPr>
        <w:pStyle w:val="Spistreci1"/>
        <w:rPr>
          <w:rFonts w:asciiTheme="minorHAnsi" w:eastAsiaTheme="minorEastAsia" w:hAnsiTheme="minorHAnsi" w:cstheme="minorBidi"/>
          <w:b w:val="0"/>
          <w:sz w:val="22"/>
          <w:szCs w:val="22"/>
          <w:lang w:eastAsia="pl-PL"/>
        </w:rPr>
      </w:pPr>
      <w:hyperlink w:anchor="_Toc80608715" w:history="1">
        <w:r w:rsidR="00426706" w:rsidRPr="00604454">
          <w:rPr>
            <w:rStyle w:val="Hipercze"/>
            <w:rFonts w:eastAsia="MS Gothic"/>
          </w:rPr>
          <w:t>2</w:t>
        </w:r>
        <w:r w:rsidR="00426706">
          <w:rPr>
            <w:rFonts w:asciiTheme="minorHAnsi" w:eastAsiaTheme="minorEastAsia" w:hAnsiTheme="minorHAnsi" w:cstheme="minorBidi"/>
            <w:b w:val="0"/>
            <w:sz w:val="22"/>
            <w:szCs w:val="22"/>
            <w:lang w:eastAsia="pl-PL"/>
          </w:rPr>
          <w:tab/>
        </w:r>
        <w:r w:rsidR="00426706" w:rsidRPr="00604454">
          <w:rPr>
            <w:rStyle w:val="Hipercze"/>
          </w:rPr>
          <w:t>Opracowanie wstępnej listy działań</w:t>
        </w:r>
        <w:r w:rsidR="00426706">
          <w:rPr>
            <w:webHidden/>
          </w:rPr>
          <w:tab/>
        </w:r>
        <w:r w:rsidR="00426706">
          <w:rPr>
            <w:webHidden/>
          </w:rPr>
          <w:fldChar w:fldCharType="begin"/>
        </w:r>
        <w:r w:rsidR="00426706">
          <w:rPr>
            <w:webHidden/>
          </w:rPr>
          <w:instrText xml:space="preserve"> PAGEREF _Toc80608715 \h </w:instrText>
        </w:r>
        <w:r w:rsidR="00426706">
          <w:rPr>
            <w:webHidden/>
          </w:rPr>
        </w:r>
        <w:r w:rsidR="00426706">
          <w:rPr>
            <w:webHidden/>
          </w:rPr>
          <w:fldChar w:fldCharType="separate"/>
        </w:r>
        <w:r w:rsidR="00426706">
          <w:rPr>
            <w:webHidden/>
          </w:rPr>
          <w:t>9</w:t>
        </w:r>
        <w:r w:rsidR="00426706">
          <w:rPr>
            <w:webHidden/>
          </w:rPr>
          <w:fldChar w:fldCharType="end"/>
        </w:r>
      </w:hyperlink>
    </w:p>
    <w:p w14:paraId="761C8738" w14:textId="0896035B" w:rsidR="00426706" w:rsidRDefault="00CC00DD">
      <w:pPr>
        <w:pStyle w:val="Spistreci1"/>
        <w:rPr>
          <w:rFonts w:asciiTheme="minorHAnsi" w:eastAsiaTheme="minorEastAsia" w:hAnsiTheme="minorHAnsi" w:cstheme="minorBidi"/>
          <w:b w:val="0"/>
          <w:sz w:val="22"/>
          <w:szCs w:val="22"/>
          <w:lang w:eastAsia="pl-PL"/>
        </w:rPr>
      </w:pPr>
      <w:hyperlink w:anchor="_Toc80608716" w:history="1">
        <w:r w:rsidR="00426706" w:rsidRPr="00604454">
          <w:rPr>
            <w:rStyle w:val="Hipercze"/>
            <w:rFonts w:eastAsia="MS Gothic"/>
          </w:rPr>
          <w:t>3</w:t>
        </w:r>
        <w:r w:rsidR="00426706">
          <w:rPr>
            <w:rFonts w:asciiTheme="minorHAnsi" w:eastAsiaTheme="minorEastAsia" w:hAnsiTheme="minorHAnsi" w:cstheme="minorBidi"/>
            <w:b w:val="0"/>
            <w:sz w:val="22"/>
            <w:szCs w:val="22"/>
            <w:lang w:eastAsia="pl-PL"/>
          </w:rPr>
          <w:tab/>
        </w:r>
        <w:r w:rsidR="00426706" w:rsidRPr="00604454">
          <w:rPr>
            <w:rStyle w:val="Hipercze"/>
          </w:rPr>
          <w:t>Weryfikacja wstępnej listy działań i utworzenie listy bazowej</w:t>
        </w:r>
        <w:r w:rsidR="00426706">
          <w:rPr>
            <w:webHidden/>
          </w:rPr>
          <w:tab/>
        </w:r>
        <w:r w:rsidR="00426706">
          <w:rPr>
            <w:webHidden/>
          </w:rPr>
          <w:fldChar w:fldCharType="begin"/>
        </w:r>
        <w:r w:rsidR="00426706">
          <w:rPr>
            <w:webHidden/>
          </w:rPr>
          <w:instrText xml:space="preserve"> PAGEREF _Toc80608716 \h </w:instrText>
        </w:r>
        <w:r w:rsidR="00426706">
          <w:rPr>
            <w:webHidden/>
          </w:rPr>
        </w:r>
        <w:r w:rsidR="00426706">
          <w:rPr>
            <w:webHidden/>
          </w:rPr>
          <w:fldChar w:fldCharType="separate"/>
        </w:r>
        <w:r w:rsidR="00426706">
          <w:rPr>
            <w:webHidden/>
          </w:rPr>
          <w:t>11</w:t>
        </w:r>
        <w:r w:rsidR="00426706">
          <w:rPr>
            <w:webHidden/>
          </w:rPr>
          <w:fldChar w:fldCharType="end"/>
        </w:r>
      </w:hyperlink>
    </w:p>
    <w:p w14:paraId="3F7C6D60" w14:textId="02C71811" w:rsidR="00426706" w:rsidRDefault="00CC00DD">
      <w:pPr>
        <w:pStyle w:val="Spistreci1"/>
        <w:rPr>
          <w:rFonts w:asciiTheme="minorHAnsi" w:eastAsiaTheme="minorEastAsia" w:hAnsiTheme="minorHAnsi" w:cstheme="minorBidi"/>
          <w:b w:val="0"/>
          <w:sz w:val="22"/>
          <w:szCs w:val="22"/>
          <w:lang w:eastAsia="pl-PL"/>
        </w:rPr>
      </w:pPr>
      <w:hyperlink w:anchor="_Toc80608717" w:history="1">
        <w:r w:rsidR="00426706" w:rsidRPr="00604454">
          <w:rPr>
            <w:rStyle w:val="Hipercze"/>
            <w:rFonts w:eastAsia="MS Gothic"/>
          </w:rPr>
          <w:t>4</w:t>
        </w:r>
        <w:r w:rsidR="00426706">
          <w:rPr>
            <w:rFonts w:asciiTheme="minorHAnsi" w:eastAsiaTheme="minorEastAsia" w:hAnsiTheme="minorHAnsi" w:cstheme="minorBidi"/>
            <w:b w:val="0"/>
            <w:sz w:val="22"/>
            <w:szCs w:val="22"/>
            <w:lang w:eastAsia="pl-PL"/>
          </w:rPr>
          <w:tab/>
        </w:r>
        <w:r w:rsidR="00426706" w:rsidRPr="00604454">
          <w:rPr>
            <w:rStyle w:val="Hipercze"/>
          </w:rPr>
          <w:t>Sformułowanie wariantów planistycznych</w:t>
        </w:r>
        <w:r w:rsidR="00426706">
          <w:rPr>
            <w:webHidden/>
          </w:rPr>
          <w:tab/>
        </w:r>
        <w:r w:rsidR="00426706">
          <w:rPr>
            <w:webHidden/>
          </w:rPr>
          <w:fldChar w:fldCharType="begin"/>
        </w:r>
        <w:r w:rsidR="00426706">
          <w:rPr>
            <w:webHidden/>
          </w:rPr>
          <w:instrText xml:space="preserve"> PAGEREF _Toc80608717 \h </w:instrText>
        </w:r>
        <w:r w:rsidR="00426706">
          <w:rPr>
            <w:webHidden/>
          </w:rPr>
        </w:r>
        <w:r w:rsidR="00426706">
          <w:rPr>
            <w:webHidden/>
          </w:rPr>
          <w:fldChar w:fldCharType="separate"/>
        </w:r>
        <w:r w:rsidR="00426706">
          <w:rPr>
            <w:webHidden/>
          </w:rPr>
          <w:t>14</w:t>
        </w:r>
        <w:r w:rsidR="00426706">
          <w:rPr>
            <w:webHidden/>
          </w:rPr>
          <w:fldChar w:fldCharType="end"/>
        </w:r>
      </w:hyperlink>
    </w:p>
    <w:p w14:paraId="237CC36F" w14:textId="0FC3F4D5"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18" w:history="1">
        <w:r w:rsidR="00426706" w:rsidRPr="00604454">
          <w:rPr>
            <w:rStyle w:val="Hipercze"/>
            <w:rFonts w:eastAsia="MS Gothic"/>
          </w:rPr>
          <w:t>4.1</w:t>
        </w:r>
        <w:r w:rsidR="00426706">
          <w:rPr>
            <w:rFonts w:asciiTheme="minorHAnsi" w:eastAsiaTheme="minorEastAsia" w:hAnsiTheme="minorHAnsi" w:cstheme="minorBidi"/>
            <w:sz w:val="22"/>
            <w:szCs w:val="22"/>
            <w:lang w:eastAsia="pl-PL"/>
          </w:rPr>
          <w:tab/>
        </w:r>
        <w:r w:rsidR="00426706" w:rsidRPr="00604454">
          <w:rPr>
            <w:rStyle w:val="Hipercze"/>
          </w:rPr>
          <w:t>IOP_3 Świnoujście - Cieśnina Świna</w:t>
        </w:r>
        <w:r w:rsidR="00426706">
          <w:rPr>
            <w:webHidden/>
          </w:rPr>
          <w:tab/>
        </w:r>
        <w:r w:rsidR="00426706">
          <w:rPr>
            <w:webHidden/>
          </w:rPr>
          <w:fldChar w:fldCharType="begin"/>
        </w:r>
        <w:r w:rsidR="00426706">
          <w:rPr>
            <w:webHidden/>
          </w:rPr>
          <w:instrText xml:space="preserve"> PAGEREF _Toc80608718 \h </w:instrText>
        </w:r>
        <w:r w:rsidR="00426706">
          <w:rPr>
            <w:webHidden/>
          </w:rPr>
        </w:r>
        <w:r w:rsidR="00426706">
          <w:rPr>
            <w:webHidden/>
          </w:rPr>
          <w:fldChar w:fldCharType="separate"/>
        </w:r>
        <w:r w:rsidR="00426706">
          <w:rPr>
            <w:webHidden/>
          </w:rPr>
          <w:t>15</w:t>
        </w:r>
        <w:r w:rsidR="00426706">
          <w:rPr>
            <w:webHidden/>
          </w:rPr>
          <w:fldChar w:fldCharType="end"/>
        </w:r>
      </w:hyperlink>
    </w:p>
    <w:p w14:paraId="04623EB6" w14:textId="348277C9"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19" w:history="1">
        <w:r w:rsidR="00426706" w:rsidRPr="00604454">
          <w:rPr>
            <w:rStyle w:val="Hipercze"/>
            <w:rFonts w:eastAsia="MS Gothic"/>
          </w:rPr>
          <w:t>4.2</w:t>
        </w:r>
        <w:r w:rsidR="00426706">
          <w:rPr>
            <w:rFonts w:asciiTheme="minorHAnsi" w:eastAsiaTheme="minorEastAsia" w:hAnsiTheme="minorHAnsi" w:cstheme="minorBidi"/>
            <w:sz w:val="22"/>
            <w:szCs w:val="22"/>
            <w:lang w:eastAsia="pl-PL"/>
          </w:rPr>
          <w:tab/>
        </w:r>
        <w:r w:rsidR="00426706" w:rsidRPr="00604454">
          <w:rPr>
            <w:rStyle w:val="Hipercze"/>
          </w:rPr>
          <w:t>IOP_4   Kołobrzeg - ujście Parsęty</w:t>
        </w:r>
        <w:r w:rsidR="00426706">
          <w:rPr>
            <w:webHidden/>
          </w:rPr>
          <w:tab/>
        </w:r>
        <w:r w:rsidR="00426706">
          <w:rPr>
            <w:webHidden/>
          </w:rPr>
          <w:fldChar w:fldCharType="begin"/>
        </w:r>
        <w:r w:rsidR="00426706">
          <w:rPr>
            <w:webHidden/>
          </w:rPr>
          <w:instrText xml:space="preserve"> PAGEREF _Toc80608719 \h </w:instrText>
        </w:r>
        <w:r w:rsidR="00426706">
          <w:rPr>
            <w:webHidden/>
          </w:rPr>
        </w:r>
        <w:r w:rsidR="00426706">
          <w:rPr>
            <w:webHidden/>
          </w:rPr>
          <w:fldChar w:fldCharType="separate"/>
        </w:r>
        <w:r w:rsidR="00426706">
          <w:rPr>
            <w:webHidden/>
          </w:rPr>
          <w:t>17</w:t>
        </w:r>
        <w:r w:rsidR="00426706">
          <w:rPr>
            <w:webHidden/>
          </w:rPr>
          <w:fldChar w:fldCharType="end"/>
        </w:r>
      </w:hyperlink>
    </w:p>
    <w:p w14:paraId="480C873C" w14:textId="56EB715B"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0" w:history="1">
        <w:r w:rsidR="00426706" w:rsidRPr="00604454">
          <w:rPr>
            <w:rStyle w:val="Hipercze"/>
            <w:rFonts w:eastAsia="MS Gothic"/>
          </w:rPr>
          <w:t>4.3</w:t>
        </w:r>
        <w:r w:rsidR="00426706">
          <w:rPr>
            <w:rFonts w:asciiTheme="minorHAnsi" w:eastAsiaTheme="minorEastAsia" w:hAnsiTheme="minorHAnsi" w:cstheme="minorBidi"/>
            <w:sz w:val="22"/>
            <w:szCs w:val="22"/>
            <w:lang w:eastAsia="pl-PL"/>
          </w:rPr>
          <w:tab/>
        </w:r>
        <w:r w:rsidR="00426706" w:rsidRPr="00604454">
          <w:rPr>
            <w:rStyle w:val="Hipercze"/>
          </w:rPr>
          <w:t>IOP_6   Darłowo - ujście Wieprzy</w:t>
        </w:r>
        <w:r w:rsidR="00426706">
          <w:rPr>
            <w:webHidden/>
          </w:rPr>
          <w:tab/>
        </w:r>
        <w:r w:rsidR="00426706">
          <w:rPr>
            <w:webHidden/>
          </w:rPr>
          <w:fldChar w:fldCharType="begin"/>
        </w:r>
        <w:r w:rsidR="00426706">
          <w:rPr>
            <w:webHidden/>
          </w:rPr>
          <w:instrText xml:space="preserve"> PAGEREF _Toc80608720 \h </w:instrText>
        </w:r>
        <w:r w:rsidR="00426706">
          <w:rPr>
            <w:webHidden/>
          </w:rPr>
        </w:r>
        <w:r w:rsidR="00426706">
          <w:rPr>
            <w:webHidden/>
          </w:rPr>
          <w:fldChar w:fldCharType="separate"/>
        </w:r>
        <w:r w:rsidR="00426706">
          <w:rPr>
            <w:webHidden/>
          </w:rPr>
          <w:t>19</w:t>
        </w:r>
        <w:r w:rsidR="00426706">
          <w:rPr>
            <w:webHidden/>
          </w:rPr>
          <w:fldChar w:fldCharType="end"/>
        </w:r>
      </w:hyperlink>
    </w:p>
    <w:p w14:paraId="23ACEEB4" w14:textId="30C09CB5"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1" w:history="1">
        <w:r w:rsidR="00426706" w:rsidRPr="00604454">
          <w:rPr>
            <w:rStyle w:val="Hipercze"/>
            <w:rFonts w:eastAsia="MS Gothic"/>
          </w:rPr>
          <w:t>4.4</w:t>
        </w:r>
        <w:r w:rsidR="00426706">
          <w:rPr>
            <w:rFonts w:asciiTheme="minorHAnsi" w:eastAsiaTheme="minorEastAsia" w:hAnsiTheme="minorHAnsi" w:cstheme="minorBidi"/>
            <w:sz w:val="22"/>
            <w:szCs w:val="22"/>
            <w:lang w:eastAsia="pl-PL"/>
          </w:rPr>
          <w:tab/>
        </w:r>
        <w:r w:rsidR="00426706" w:rsidRPr="00604454">
          <w:rPr>
            <w:rStyle w:val="Hipercze"/>
          </w:rPr>
          <w:t>IOP_9   Trzebież - polder Trzebież II</w:t>
        </w:r>
        <w:r w:rsidR="00426706">
          <w:rPr>
            <w:webHidden/>
          </w:rPr>
          <w:tab/>
        </w:r>
        <w:r w:rsidR="00426706">
          <w:rPr>
            <w:webHidden/>
          </w:rPr>
          <w:fldChar w:fldCharType="begin"/>
        </w:r>
        <w:r w:rsidR="00426706">
          <w:rPr>
            <w:webHidden/>
          </w:rPr>
          <w:instrText xml:space="preserve"> PAGEREF _Toc80608721 \h </w:instrText>
        </w:r>
        <w:r w:rsidR="00426706">
          <w:rPr>
            <w:webHidden/>
          </w:rPr>
        </w:r>
        <w:r w:rsidR="00426706">
          <w:rPr>
            <w:webHidden/>
          </w:rPr>
          <w:fldChar w:fldCharType="separate"/>
        </w:r>
        <w:r w:rsidR="00426706">
          <w:rPr>
            <w:webHidden/>
          </w:rPr>
          <w:t>22</w:t>
        </w:r>
        <w:r w:rsidR="00426706">
          <w:rPr>
            <w:webHidden/>
          </w:rPr>
          <w:fldChar w:fldCharType="end"/>
        </w:r>
      </w:hyperlink>
    </w:p>
    <w:p w14:paraId="3C4E2411" w14:textId="233115B8"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2" w:history="1">
        <w:r w:rsidR="00426706" w:rsidRPr="00604454">
          <w:rPr>
            <w:rStyle w:val="Hipercze"/>
            <w:rFonts w:eastAsia="MS Gothic"/>
          </w:rPr>
          <w:t>4.5</w:t>
        </w:r>
        <w:r w:rsidR="00426706">
          <w:rPr>
            <w:rFonts w:asciiTheme="minorHAnsi" w:eastAsiaTheme="minorEastAsia" w:hAnsiTheme="minorHAnsi" w:cstheme="minorBidi"/>
            <w:sz w:val="22"/>
            <w:szCs w:val="22"/>
            <w:lang w:eastAsia="pl-PL"/>
          </w:rPr>
          <w:tab/>
        </w:r>
        <w:r w:rsidR="00426706" w:rsidRPr="00604454">
          <w:rPr>
            <w:rStyle w:val="Hipercze"/>
          </w:rPr>
          <w:t>IOP_10 Stepnica północ - Kanał Kłosowicza</w:t>
        </w:r>
        <w:r w:rsidR="00426706">
          <w:rPr>
            <w:webHidden/>
          </w:rPr>
          <w:tab/>
        </w:r>
        <w:r w:rsidR="00426706">
          <w:rPr>
            <w:webHidden/>
          </w:rPr>
          <w:fldChar w:fldCharType="begin"/>
        </w:r>
        <w:r w:rsidR="00426706">
          <w:rPr>
            <w:webHidden/>
          </w:rPr>
          <w:instrText xml:space="preserve"> PAGEREF _Toc80608722 \h </w:instrText>
        </w:r>
        <w:r w:rsidR="00426706">
          <w:rPr>
            <w:webHidden/>
          </w:rPr>
        </w:r>
        <w:r w:rsidR="00426706">
          <w:rPr>
            <w:webHidden/>
          </w:rPr>
          <w:fldChar w:fldCharType="separate"/>
        </w:r>
        <w:r w:rsidR="00426706">
          <w:rPr>
            <w:webHidden/>
          </w:rPr>
          <w:t>24</w:t>
        </w:r>
        <w:r w:rsidR="00426706">
          <w:rPr>
            <w:webHidden/>
          </w:rPr>
          <w:fldChar w:fldCharType="end"/>
        </w:r>
      </w:hyperlink>
    </w:p>
    <w:p w14:paraId="1CCA6E41" w14:textId="7A7248CE"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3" w:history="1">
        <w:r w:rsidR="00426706" w:rsidRPr="00604454">
          <w:rPr>
            <w:rStyle w:val="Hipercze"/>
            <w:rFonts w:eastAsia="MS Gothic"/>
          </w:rPr>
          <w:t>4.6</w:t>
        </w:r>
        <w:r w:rsidR="00426706">
          <w:rPr>
            <w:rFonts w:asciiTheme="minorHAnsi" w:eastAsiaTheme="minorEastAsia" w:hAnsiTheme="minorHAnsi" w:cstheme="minorBidi"/>
            <w:sz w:val="22"/>
            <w:szCs w:val="22"/>
            <w:lang w:eastAsia="pl-PL"/>
          </w:rPr>
          <w:tab/>
        </w:r>
        <w:r w:rsidR="00426706" w:rsidRPr="00604454">
          <w:rPr>
            <w:rStyle w:val="Hipercze"/>
          </w:rPr>
          <w:t>IOP_11 Nowe Warpno - okolice Jeziora Nowowarpieńskiego</w:t>
        </w:r>
        <w:r w:rsidR="00426706">
          <w:rPr>
            <w:webHidden/>
          </w:rPr>
          <w:tab/>
        </w:r>
        <w:r w:rsidR="00426706">
          <w:rPr>
            <w:webHidden/>
          </w:rPr>
          <w:fldChar w:fldCharType="begin"/>
        </w:r>
        <w:r w:rsidR="00426706">
          <w:rPr>
            <w:webHidden/>
          </w:rPr>
          <w:instrText xml:space="preserve"> PAGEREF _Toc80608723 \h </w:instrText>
        </w:r>
        <w:r w:rsidR="00426706">
          <w:rPr>
            <w:webHidden/>
          </w:rPr>
        </w:r>
        <w:r w:rsidR="00426706">
          <w:rPr>
            <w:webHidden/>
          </w:rPr>
          <w:fldChar w:fldCharType="separate"/>
        </w:r>
        <w:r w:rsidR="00426706">
          <w:rPr>
            <w:webHidden/>
          </w:rPr>
          <w:t>27</w:t>
        </w:r>
        <w:r w:rsidR="00426706">
          <w:rPr>
            <w:webHidden/>
          </w:rPr>
          <w:fldChar w:fldCharType="end"/>
        </w:r>
      </w:hyperlink>
    </w:p>
    <w:p w14:paraId="1CF4716E" w14:textId="132919CC" w:rsidR="00426706" w:rsidRDefault="00CC00DD">
      <w:pPr>
        <w:pStyle w:val="Spistreci1"/>
        <w:rPr>
          <w:rFonts w:asciiTheme="minorHAnsi" w:eastAsiaTheme="minorEastAsia" w:hAnsiTheme="minorHAnsi" w:cstheme="minorBidi"/>
          <w:b w:val="0"/>
          <w:sz w:val="22"/>
          <w:szCs w:val="22"/>
          <w:lang w:eastAsia="pl-PL"/>
        </w:rPr>
      </w:pPr>
      <w:hyperlink w:anchor="_Toc80608724" w:history="1">
        <w:r w:rsidR="00426706" w:rsidRPr="00604454">
          <w:rPr>
            <w:rStyle w:val="Hipercze"/>
            <w:rFonts w:eastAsia="MS Gothic"/>
          </w:rPr>
          <w:t>5</w:t>
        </w:r>
        <w:r w:rsidR="00426706">
          <w:rPr>
            <w:rFonts w:asciiTheme="minorHAnsi" w:eastAsiaTheme="minorEastAsia" w:hAnsiTheme="minorHAnsi" w:cstheme="minorBidi"/>
            <w:b w:val="0"/>
            <w:sz w:val="22"/>
            <w:szCs w:val="22"/>
            <w:lang w:eastAsia="pl-PL"/>
          </w:rPr>
          <w:tab/>
        </w:r>
        <w:r w:rsidR="00426706" w:rsidRPr="00604454">
          <w:rPr>
            <w:rStyle w:val="Hipercze"/>
          </w:rPr>
          <w:t>Aktualizacja i utworzenie ostatecznej listy działań – analizy</w:t>
        </w:r>
        <w:r w:rsidR="00426706">
          <w:rPr>
            <w:webHidden/>
          </w:rPr>
          <w:tab/>
        </w:r>
        <w:r w:rsidR="00426706">
          <w:rPr>
            <w:webHidden/>
          </w:rPr>
          <w:fldChar w:fldCharType="begin"/>
        </w:r>
        <w:r w:rsidR="00426706">
          <w:rPr>
            <w:webHidden/>
          </w:rPr>
          <w:instrText xml:space="preserve"> PAGEREF _Toc80608724 \h </w:instrText>
        </w:r>
        <w:r w:rsidR="00426706">
          <w:rPr>
            <w:webHidden/>
          </w:rPr>
        </w:r>
        <w:r w:rsidR="00426706">
          <w:rPr>
            <w:webHidden/>
          </w:rPr>
          <w:fldChar w:fldCharType="separate"/>
        </w:r>
        <w:r w:rsidR="00426706">
          <w:rPr>
            <w:webHidden/>
          </w:rPr>
          <w:t>29</w:t>
        </w:r>
        <w:r w:rsidR="00426706">
          <w:rPr>
            <w:webHidden/>
          </w:rPr>
          <w:fldChar w:fldCharType="end"/>
        </w:r>
      </w:hyperlink>
    </w:p>
    <w:p w14:paraId="68B05D2E" w14:textId="4A37714F"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5" w:history="1">
        <w:r w:rsidR="00426706" w:rsidRPr="00604454">
          <w:rPr>
            <w:rStyle w:val="Hipercze"/>
            <w:rFonts w:eastAsia="MS Gothic"/>
          </w:rPr>
          <w:t>5.1</w:t>
        </w:r>
        <w:r w:rsidR="00426706">
          <w:rPr>
            <w:rFonts w:asciiTheme="minorHAnsi" w:eastAsiaTheme="minorEastAsia" w:hAnsiTheme="minorHAnsi" w:cstheme="minorBidi"/>
            <w:sz w:val="22"/>
            <w:szCs w:val="22"/>
            <w:lang w:eastAsia="pl-PL"/>
          </w:rPr>
          <w:tab/>
        </w:r>
        <w:r w:rsidR="00426706" w:rsidRPr="00604454">
          <w:rPr>
            <w:rStyle w:val="Hipercze"/>
          </w:rPr>
          <w:t>Analizy hydrauliczne</w:t>
        </w:r>
        <w:r w:rsidR="00426706">
          <w:rPr>
            <w:webHidden/>
          </w:rPr>
          <w:tab/>
        </w:r>
        <w:r w:rsidR="00426706">
          <w:rPr>
            <w:webHidden/>
          </w:rPr>
          <w:fldChar w:fldCharType="begin"/>
        </w:r>
        <w:r w:rsidR="00426706">
          <w:rPr>
            <w:webHidden/>
          </w:rPr>
          <w:instrText xml:space="preserve"> PAGEREF _Toc80608725 \h </w:instrText>
        </w:r>
        <w:r w:rsidR="00426706">
          <w:rPr>
            <w:webHidden/>
          </w:rPr>
        </w:r>
        <w:r w:rsidR="00426706">
          <w:rPr>
            <w:webHidden/>
          </w:rPr>
          <w:fldChar w:fldCharType="separate"/>
        </w:r>
        <w:r w:rsidR="00426706">
          <w:rPr>
            <w:webHidden/>
          </w:rPr>
          <w:t>30</w:t>
        </w:r>
        <w:r w:rsidR="00426706">
          <w:rPr>
            <w:webHidden/>
          </w:rPr>
          <w:fldChar w:fldCharType="end"/>
        </w:r>
      </w:hyperlink>
    </w:p>
    <w:p w14:paraId="50F38DD8" w14:textId="3835391F"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6" w:history="1">
        <w:r w:rsidR="00426706" w:rsidRPr="00604454">
          <w:rPr>
            <w:rStyle w:val="Hipercze"/>
            <w:rFonts w:eastAsia="MS Gothic"/>
          </w:rPr>
          <w:t>5.2</w:t>
        </w:r>
        <w:r w:rsidR="00426706">
          <w:rPr>
            <w:rFonts w:asciiTheme="minorHAnsi" w:eastAsiaTheme="minorEastAsia" w:hAnsiTheme="minorHAnsi" w:cstheme="minorBidi"/>
            <w:sz w:val="22"/>
            <w:szCs w:val="22"/>
            <w:lang w:eastAsia="pl-PL"/>
          </w:rPr>
          <w:tab/>
        </w:r>
        <w:r w:rsidR="00426706" w:rsidRPr="00604454">
          <w:rPr>
            <w:rStyle w:val="Hipercze"/>
          </w:rPr>
          <w:t>Analizy kosztów i korzyści</w:t>
        </w:r>
        <w:r w:rsidR="00426706">
          <w:rPr>
            <w:webHidden/>
          </w:rPr>
          <w:tab/>
        </w:r>
        <w:r w:rsidR="00426706">
          <w:rPr>
            <w:webHidden/>
          </w:rPr>
          <w:fldChar w:fldCharType="begin"/>
        </w:r>
        <w:r w:rsidR="00426706">
          <w:rPr>
            <w:webHidden/>
          </w:rPr>
          <w:instrText xml:space="preserve"> PAGEREF _Toc80608726 \h </w:instrText>
        </w:r>
        <w:r w:rsidR="00426706">
          <w:rPr>
            <w:webHidden/>
          </w:rPr>
        </w:r>
        <w:r w:rsidR="00426706">
          <w:rPr>
            <w:webHidden/>
          </w:rPr>
          <w:fldChar w:fldCharType="separate"/>
        </w:r>
        <w:r w:rsidR="00426706">
          <w:rPr>
            <w:webHidden/>
          </w:rPr>
          <w:t>31</w:t>
        </w:r>
        <w:r w:rsidR="00426706">
          <w:rPr>
            <w:webHidden/>
          </w:rPr>
          <w:fldChar w:fldCharType="end"/>
        </w:r>
      </w:hyperlink>
    </w:p>
    <w:p w14:paraId="2A957308" w14:textId="7B0E0DD5"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7" w:history="1">
        <w:r w:rsidR="00426706" w:rsidRPr="00604454">
          <w:rPr>
            <w:rStyle w:val="Hipercze"/>
            <w:rFonts w:eastAsia="MS Gothic"/>
          </w:rPr>
          <w:t>5.3</w:t>
        </w:r>
        <w:r w:rsidR="00426706">
          <w:rPr>
            <w:rFonts w:asciiTheme="minorHAnsi" w:eastAsiaTheme="minorEastAsia" w:hAnsiTheme="minorHAnsi" w:cstheme="minorBidi"/>
            <w:sz w:val="22"/>
            <w:szCs w:val="22"/>
            <w:lang w:eastAsia="pl-PL"/>
          </w:rPr>
          <w:tab/>
        </w:r>
        <w:r w:rsidR="00426706" w:rsidRPr="00604454">
          <w:rPr>
            <w:rStyle w:val="Hipercze"/>
          </w:rPr>
          <w:t>Analiza wielokryterialna</w:t>
        </w:r>
        <w:r w:rsidR="00426706">
          <w:rPr>
            <w:webHidden/>
          </w:rPr>
          <w:tab/>
        </w:r>
        <w:r w:rsidR="00426706">
          <w:rPr>
            <w:webHidden/>
          </w:rPr>
          <w:fldChar w:fldCharType="begin"/>
        </w:r>
        <w:r w:rsidR="00426706">
          <w:rPr>
            <w:webHidden/>
          </w:rPr>
          <w:instrText xml:space="preserve"> PAGEREF _Toc80608727 \h </w:instrText>
        </w:r>
        <w:r w:rsidR="00426706">
          <w:rPr>
            <w:webHidden/>
          </w:rPr>
        </w:r>
        <w:r w:rsidR="00426706">
          <w:rPr>
            <w:webHidden/>
          </w:rPr>
          <w:fldChar w:fldCharType="separate"/>
        </w:r>
        <w:r w:rsidR="00426706">
          <w:rPr>
            <w:webHidden/>
          </w:rPr>
          <w:t>45</w:t>
        </w:r>
        <w:r w:rsidR="00426706">
          <w:rPr>
            <w:webHidden/>
          </w:rPr>
          <w:fldChar w:fldCharType="end"/>
        </w:r>
      </w:hyperlink>
    </w:p>
    <w:p w14:paraId="426AD266" w14:textId="21F30C36" w:rsidR="00426706" w:rsidRDefault="00CC00DD">
      <w:pPr>
        <w:pStyle w:val="Spistreci1"/>
        <w:rPr>
          <w:rFonts w:asciiTheme="minorHAnsi" w:eastAsiaTheme="minorEastAsia" w:hAnsiTheme="minorHAnsi" w:cstheme="minorBidi"/>
          <w:b w:val="0"/>
          <w:sz w:val="22"/>
          <w:szCs w:val="22"/>
          <w:lang w:eastAsia="pl-PL"/>
        </w:rPr>
      </w:pPr>
      <w:hyperlink w:anchor="_Toc80608728" w:history="1">
        <w:r w:rsidR="00426706" w:rsidRPr="00604454">
          <w:rPr>
            <w:rStyle w:val="Hipercze"/>
            <w:rFonts w:eastAsia="MS Gothic"/>
          </w:rPr>
          <w:t>6</w:t>
        </w:r>
        <w:r w:rsidR="00426706">
          <w:rPr>
            <w:rFonts w:asciiTheme="minorHAnsi" w:eastAsiaTheme="minorEastAsia" w:hAnsiTheme="minorHAnsi" w:cstheme="minorBidi"/>
            <w:b w:val="0"/>
            <w:sz w:val="22"/>
            <w:szCs w:val="22"/>
            <w:lang w:eastAsia="pl-PL"/>
          </w:rPr>
          <w:tab/>
        </w:r>
        <w:r w:rsidR="00426706" w:rsidRPr="00604454">
          <w:rPr>
            <w:rStyle w:val="Hipercze"/>
          </w:rPr>
          <w:t>Aktualizacja i utworzenie ostatecznej listy działań</w:t>
        </w:r>
        <w:r w:rsidR="00426706">
          <w:rPr>
            <w:webHidden/>
          </w:rPr>
          <w:tab/>
        </w:r>
        <w:r w:rsidR="00426706">
          <w:rPr>
            <w:webHidden/>
          </w:rPr>
          <w:fldChar w:fldCharType="begin"/>
        </w:r>
        <w:r w:rsidR="00426706">
          <w:rPr>
            <w:webHidden/>
          </w:rPr>
          <w:instrText xml:space="preserve"> PAGEREF _Toc80608728 \h </w:instrText>
        </w:r>
        <w:r w:rsidR="00426706">
          <w:rPr>
            <w:webHidden/>
          </w:rPr>
        </w:r>
        <w:r w:rsidR="00426706">
          <w:rPr>
            <w:webHidden/>
          </w:rPr>
          <w:fldChar w:fldCharType="separate"/>
        </w:r>
        <w:r w:rsidR="00426706">
          <w:rPr>
            <w:webHidden/>
          </w:rPr>
          <w:t>52</w:t>
        </w:r>
        <w:r w:rsidR="00426706">
          <w:rPr>
            <w:webHidden/>
          </w:rPr>
          <w:fldChar w:fldCharType="end"/>
        </w:r>
      </w:hyperlink>
    </w:p>
    <w:p w14:paraId="17165A64" w14:textId="0724F81B"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29" w:history="1">
        <w:r w:rsidR="00426706" w:rsidRPr="00604454">
          <w:rPr>
            <w:rStyle w:val="Hipercze"/>
            <w:rFonts w:eastAsia="MS Gothic"/>
          </w:rPr>
          <w:t>6.1</w:t>
        </w:r>
        <w:r w:rsidR="00426706">
          <w:rPr>
            <w:rFonts w:asciiTheme="minorHAnsi" w:eastAsiaTheme="minorEastAsia" w:hAnsiTheme="minorHAnsi" w:cstheme="minorBidi"/>
            <w:sz w:val="22"/>
            <w:szCs w:val="22"/>
            <w:lang w:eastAsia="pl-PL"/>
          </w:rPr>
          <w:tab/>
        </w:r>
        <w:r w:rsidR="00426706" w:rsidRPr="00604454">
          <w:rPr>
            <w:rStyle w:val="Hipercze"/>
          </w:rPr>
          <w:t>Źródła finansowania planowanych działań</w:t>
        </w:r>
        <w:r w:rsidR="00426706">
          <w:rPr>
            <w:webHidden/>
          </w:rPr>
          <w:tab/>
        </w:r>
        <w:r w:rsidR="00426706">
          <w:rPr>
            <w:webHidden/>
          </w:rPr>
          <w:fldChar w:fldCharType="begin"/>
        </w:r>
        <w:r w:rsidR="00426706">
          <w:rPr>
            <w:webHidden/>
          </w:rPr>
          <w:instrText xml:space="preserve"> PAGEREF _Toc80608729 \h </w:instrText>
        </w:r>
        <w:r w:rsidR="00426706">
          <w:rPr>
            <w:webHidden/>
          </w:rPr>
        </w:r>
        <w:r w:rsidR="00426706">
          <w:rPr>
            <w:webHidden/>
          </w:rPr>
          <w:fldChar w:fldCharType="separate"/>
        </w:r>
        <w:r w:rsidR="00426706">
          <w:rPr>
            <w:webHidden/>
          </w:rPr>
          <w:t>54</w:t>
        </w:r>
        <w:r w:rsidR="00426706">
          <w:rPr>
            <w:webHidden/>
          </w:rPr>
          <w:fldChar w:fldCharType="end"/>
        </w:r>
      </w:hyperlink>
    </w:p>
    <w:p w14:paraId="4F965ECE" w14:textId="47B0A02A"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30" w:history="1">
        <w:r w:rsidR="00426706" w:rsidRPr="00604454">
          <w:rPr>
            <w:rStyle w:val="Hipercze"/>
            <w:rFonts w:eastAsia="MS Gothic"/>
          </w:rPr>
          <w:t>6.2</w:t>
        </w:r>
        <w:r w:rsidR="00426706">
          <w:rPr>
            <w:rFonts w:asciiTheme="minorHAnsi" w:eastAsiaTheme="minorEastAsia" w:hAnsiTheme="minorHAnsi" w:cstheme="minorBidi"/>
            <w:sz w:val="22"/>
            <w:szCs w:val="22"/>
            <w:lang w:eastAsia="pl-PL"/>
          </w:rPr>
          <w:tab/>
        </w:r>
        <w:r w:rsidR="00426706" w:rsidRPr="00604454">
          <w:rPr>
            <w:rStyle w:val="Hipercze"/>
          </w:rPr>
          <w:t>Analiza i ocena zgodności przyjętych ostatecznych wariantów działań z wymogami prawnymi i środowiskowymi</w:t>
        </w:r>
        <w:r w:rsidR="00426706">
          <w:rPr>
            <w:webHidden/>
          </w:rPr>
          <w:tab/>
        </w:r>
        <w:r w:rsidR="00426706">
          <w:rPr>
            <w:webHidden/>
          </w:rPr>
          <w:fldChar w:fldCharType="begin"/>
        </w:r>
        <w:r w:rsidR="00426706">
          <w:rPr>
            <w:webHidden/>
          </w:rPr>
          <w:instrText xml:space="preserve"> PAGEREF _Toc80608730 \h </w:instrText>
        </w:r>
        <w:r w:rsidR="00426706">
          <w:rPr>
            <w:webHidden/>
          </w:rPr>
        </w:r>
        <w:r w:rsidR="00426706">
          <w:rPr>
            <w:webHidden/>
          </w:rPr>
          <w:fldChar w:fldCharType="separate"/>
        </w:r>
        <w:r w:rsidR="00426706">
          <w:rPr>
            <w:webHidden/>
          </w:rPr>
          <w:t>57</w:t>
        </w:r>
        <w:r w:rsidR="00426706">
          <w:rPr>
            <w:webHidden/>
          </w:rPr>
          <w:fldChar w:fldCharType="end"/>
        </w:r>
      </w:hyperlink>
    </w:p>
    <w:p w14:paraId="56BFF2AE" w14:textId="1C91AEEE"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31" w:history="1">
        <w:r w:rsidR="00426706" w:rsidRPr="00604454">
          <w:rPr>
            <w:rStyle w:val="Hipercze"/>
            <w:rFonts w:eastAsia="MS Gothic"/>
          </w:rPr>
          <w:t>6.3</w:t>
        </w:r>
        <w:r w:rsidR="00426706">
          <w:rPr>
            <w:rFonts w:asciiTheme="minorHAnsi" w:eastAsiaTheme="minorEastAsia" w:hAnsiTheme="minorHAnsi" w:cstheme="minorBidi"/>
            <w:sz w:val="22"/>
            <w:szCs w:val="22"/>
            <w:lang w:eastAsia="pl-PL"/>
          </w:rPr>
          <w:tab/>
        </w:r>
        <w:r w:rsidR="00426706" w:rsidRPr="00604454">
          <w:rPr>
            <w:rStyle w:val="Hipercze"/>
          </w:rPr>
          <w:t>Możliwe konflikty społeczne związane z realizacją działań</w:t>
        </w:r>
        <w:r w:rsidR="00426706">
          <w:rPr>
            <w:webHidden/>
          </w:rPr>
          <w:tab/>
        </w:r>
        <w:r w:rsidR="00426706">
          <w:rPr>
            <w:webHidden/>
          </w:rPr>
          <w:fldChar w:fldCharType="begin"/>
        </w:r>
        <w:r w:rsidR="00426706">
          <w:rPr>
            <w:webHidden/>
          </w:rPr>
          <w:instrText xml:space="preserve"> PAGEREF _Toc80608731 \h </w:instrText>
        </w:r>
        <w:r w:rsidR="00426706">
          <w:rPr>
            <w:webHidden/>
          </w:rPr>
        </w:r>
        <w:r w:rsidR="00426706">
          <w:rPr>
            <w:webHidden/>
          </w:rPr>
          <w:fldChar w:fldCharType="separate"/>
        </w:r>
        <w:r w:rsidR="00426706">
          <w:rPr>
            <w:webHidden/>
          </w:rPr>
          <w:t>79</w:t>
        </w:r>
        <w:r w:rsidR="00426706">
          <w:rPr>
            <w:webHidden/>
          </w:rPr>
          <w:fldChar w:fldCharType="end"/>
        </w:r>
      </w:hyperlink>
    </w:p>
    <w:p w14:paraId="1CCDE1FE" w14:textId="746F85FF" w:rsidR="00426706" w:rsidRDefault="00CC00DD">
      <w:pPr>
        <w:pStyle w:val="Spistreci1"/>
        <w:rPr>
          <w:rFonts w:asciiTheme="minorHAnsi" w:eastAsiaTheme="minorEastAsia" w:hAnsiTheme="minorHAnsi" w:cstheme="minorBidi"/>
          <w:b w:val="0"/>
          <w:sz w:val="22"/>
          <w:szCs w:val="22"/>
          <w:lang w:eastAsia="pl-PL"/>
        </w:rPr>
      </w:pPr>
      <w:hyperlink w:anchor="_Toc80608732" w:history="1">
        <w:r w:rsidR="00426706" w:rsidRPr="00604454">
          <w:rPr>
            <w:rStyle w:val="Hipercze"/>
            <w:rFonts w:eastAsia="MS Gothic"/>
          </w:rPr>
          <w:t>7</w:t>
        </w:r>
        <w:r w:rsidR="00426706">
          <w:rPr>
            <w:rFonts w:asciiTheme="minorHAnsi" w:eastAsiaTheme="minorEastAsia" w:hAnsiTheme="minorHAnsi" w:cstheme="minorBidi"/>
            <w:b w:val="0"/>
            <w:sz w:val="22"/>
            <w:szCs w:val="22"/>
            <w:lang w:eastAsia="pl-PL"/>
          </w:rPr>
          <w:tab/>
        </w:r>
        <w:r w:rsidR="00426706" w:rsidRPr="00604454">
          <w:rPr>
            <w:rStyle w:val="Hipercze"/>
          </w:rPr>
          <w:t>Aktualizacja katalogu działań przypisanych celom szczegółowym</w:t>
        </w:r>
        <w:r w:rsidR="00426706">
          <w:rPr>
            <w:webHidden/>
          </w:rPr>
          <w:tab/>
        </w:r>
        <w:r w:rsidR="00426706">
          <w:rPr>
            <w:webHidden/>
          </w:rPr>
          <w:fldChar w:fldCharType="begin"/>
        </w:r>
        <w:r w:rsidR="00426706">
          <w:rPr>
            <w:webHidden/>
          </w:rPr>
          <w:instrText xml:space="preserve"> PAGEREF _Toc80608732 \h </w:instrText>
        </w:r>
        <w:r w:rsidR="00426706">
          <w:rPr>
            <w:webHidden/>
          </w:rPr>
        </w:r>
        <w:r w:rsidR="00426706">
          <w:rPr>
            <w:webHidden/>
          </w:rPr>
          <w:fldChar w:fldCharType="separate"/>
        </w:r>
        <w:r w:rsidR="00426706">
          <w:rPr>
            <w:webHidden/>
          </w:rPr>
          <w:t>83</w:t>
        </w:r>
        <w:r w:rsidR="00426706">
          <w:rPr>
            <w:webHidden/>
          </w:rPr>
          <w:fldChar w:fldCharType="end"/>
        </w:r>
      </w:hyperlink>
    </w:p>
    <w:p w14:paraId="21638C84" w14:textId="7C932F02" w:rsidR="00426706" w:rsidRDefault="00CC00DD">
      <w:pPr>
        <w:pStyle w:val="Spistreci1"/>
        <w:rPr>
          <w:rFonts w:asciiTheme="minorHAnsi" w:eastAsiaTheme="minorEastAsia" w:hAnsiTheme="minorHAnsi" w:cstheme="minorBidi"/>
          <w:b w:val="0"/>
          <w:sz w:val="22"/>
          <w:szCs w:val="22"/>
          <w:lang w:eastAsia="pl-PL"/>
        </w:rPr>
      </w:pPr>
      <w:hyperlink w:anchor="_Toc80608733" w:history="1">
        <w:r w:rsidR="00426706" w:rsidRPr="00604454">
          <w:rPr>
            <w:rStyle w:val="Hipercze"/>
            <w:rFonts w:eastAsia="MS Gothic"/>
          </w:rPr>
          <w:t>8</w:t>
        </w:r>
        <w:r w:rsidR="00426706">
          <w:rPr>
            <w:rFonts w:asciiTheme="minorHAnsi" w:eastAsiaTheme="minorEastAsia" w:hAnsiTheme="minorHAnsi" w:cstheme="minorBidi"/>
            <w:b w:val="0"/>
            <w:sz w:val="22"/>
            <w:szCs w:val="22"/>
            <w:lang w:eastAsia="pl-PL"/>
          </w:rPr>
          <w:tab/>
        </w:r>
        <w:r w:rsidR="00426706" w:rsidRPr="00604454">
          <w:rPr>
            <w:rStyle w:val="Hipercze"/>
          </w:rPr>
          <w:t>Opis sposobu przypisania priorytetów działaniom służącym osiągnięciu celów zarządzania ryzykiem powodziowym</w:t>
        </w:r>
        <w:r w:rsidR="00426706">
          <w:rPr>
            <w:webHidden/>
          </w:rPr>
          <w:tab/>
        </w:r>
        <w:r w:rsidR="00426706">
          <w:rPr>
            <w:webHidden/>
          </w:rPr>
          <w:fldChar w:fldCharType="begin"/>
        </w:r>
        <w:r w:rsidR="00426706">
          <w:rPr>
            <w:webHidden/>
          </w:rPr>
          <w:instrText xml:space="preserve"> PAGEREF _Toc80608733 \h </w:instrText>
        </w:r>
        <w:r w:rsidR="00426706">
          <w:rPr>
            <w:webHidden/>
          </w:rPr>
        </w:r>
        <w:r w:rsidR="00426706">
          <w:rPr>
            <w:webHidden/>
          </w:rPr>
          <w:fldChar w:fldCharType="separate"/>
        </w:r>
        <w:r w:rsidR="00426706">
          <w:rPr>
            <w:webHidden/>
          </w:rPr>
          <w:t>84</w:t>
        </w:r>
        <w:r w:rsidR="00426706">
          <w:rPr>
            <w:webHidden/>
          </w:rPr>
          <w:fldChar w:fldCharType="end"/>
        </w:r>
      </w:hyperlink>
    </w:p>
    <w:p w14:paraId="0312631F" w14:textId="5BAB2858" w:rsidR="00426706" w:rsidRDefault="00CC00DD">
      <w:pPr>
        <w:pStyle w:val="Spistreci1"/>
        <w:rPr>
          <w:rFonts w:asciiTheme="minorHAnsi" w:eastAsiaTheme="minorEastAsia" w:hAnsiTheme="minorHAnsi" w:cstheme="minorBidi"/>
          <w:b w:val="0"/>
          <w:sz w:val="22"/>
          <w:szCs w:val="22"/>
          <w:lang w:eastAsia="pl-PL"/>
        </w:rPr>
      </w:pPr>
      <w:hyperlink w:anchor="_Toc80608734" w:history="1">
        <w:r w:rsidR="00426706" w:rsidRPr="00604454">
          <w:rPr>
            <w:rStyle w:val="Hipercze"/>
            <w:rFonts w:eastAsia="MS Gothic"/>
          </w:rPr>
          <w:t>9</w:t>
        </w:r>
        <w:r w:rsidR="00426706">
          <w:rPr>
            <w:rFonts w:asciiTheme="minorHAnsi" w:eastAsiaTheme="minorEastAsia" w:hAnsiTheme="minorHAnsi" w:cstheme="minorBidi"/>
            <w:b w:val="0"/>
            <w:sz w:val="22"/>
            <w:szCs w:val="22"/>
            <w:lang w:eastAsia="pl-PL"/>
          </w:rPr>
          <w:tab/>
        </w:r>
        <w:r w:rsidR="00426706" w:rsidRPr="00604454">
          <w:rPr>
            <w:rStyle w:val="Hipercze"/>
          </w:rPr>
          <w:t>Podsumowanie działań prowadzonych podczas prac nad aPZRPM</w:t>
        </w:r>
        <w:r w:rsidR="00426706">
          <w:rPr>
            <w:webHidden/>
          </w:rPr>
          <w:tab/>
        </w:r>
        <w:r w:rsidR="00426706">
          <w:rPr>
            <w:webHidden/>
          </w:rPr>
          <w:fldChar w:fldCharType="begin"/>
        </w:r>
        <w:r w:rsidR="00426706">
          <w:rPr>
            <w:webHidden/>
          </w:rPr>
          <w:instrText xml:space="preserve"> PAGEREF _Toc80608734 \h </w:instrText>
        </w:r>
        <w:r w:rsidR="00426706">
          <w:rPr>
            <w:webHidden/>
          </w:rPr>
        </w:r>
        <w:r w:rsidR="00426706">
          <w:rPr>
            <w:webHidden/>
          </w:rPr>
          <w:fldChar w:fldCharType="separate"/>
        </w:r>
        <w:r w:rsidR="00426706">
          <w:rPr>
            <w:webHidden/>
          </w:rPr>
          <w:t>86</w:t>
        </w:r>
        <w:r w:rsidR="00426706">
          <w:rPr>
            <w:webHidden/>
          </w:rPr>
          <w:fldChar w:fldCharType="end"/>
        </w:r>
      </w:hyperlink>
    </w:p>
    <w:p w14:paraId="73715475" w14:textId="683C2429"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35" w:history="1">
        <w:r w:rsidR="00426706" w:rsidRPr="00604454">
          <w:rPr>
            <w:rStyle w:val="Hipercze"/>
            <w:rFonts w:eastAsia="MS Gothic"/>
          </w:rPr>
          <w:t>9.1</w:t>
        </w:r>
        <w:r w:rsidR="00426706">
          <w:rPr>
            <w:rFonts w:asciiTheme="minorHAnsi" w:eastAsiaTheme="minorEastAsia" w:hAnsiTheme="minorHAnsi" w:cstheme="minorBidi"/>
            <w:sz w:val="22"/>
            <w:szCs w:val="22"/>
            <w:lang w:eastAsia="pl-PL"/>
          </w:rPr>
          <w:tab/>
        </w:r>
        <w:r w:rsidR="00426706" w:rsidRPr="00604454">
          <w:rPr>
            <w:rStyle w:val="Hipercze"/>
          </w:rPr>
          <w:t>Podsumowanie przeglądu i aktualizacji MZP i MRP</w:t>
        </w:r>
        <w:r w:rsidR="00426706">
          <w:rPr>
            <w:webHidden/>
          </w:rPr>
          <w:tab/>
        </w:r>
        <w:r w:rsidR="00426706">
          <w:rPr>
            <w:webHidden/>
          </w:rPr>
          <w:fldChar w:fldCharType="begin"/>
        </w:r>
        <w:r w:rsidR="00426706">
          <w:rPr>
            <w:webHidden/>
          </w:rPr>
          <w:instrText xml:space="preserve"> PAGEREF _Toc80608735 \h </w:instrText>
        </w:r>
        <w:r w:rsidR="00426706">
          <w:rPr>
            <w:webHidden/>
          </w:rPr>
        </w:r>
        <w:r w:rsidR="00426706">
          <w:rPr>
            <w:webHidden/>
          </w:rPr>
          <w:fldChar w:fldCharType="separate"/>
        </w:r>
        <w:r w:rsidR="00426706">
          <w:rPr>
            <w:webHidden/>
          </w:rPr>
          <w:t>86</w:t>
        </w:r>
        <w:r w:rsidR="00426706">
          <w:rPr>
            <w:webHidden/>
          </w:rPr>
          <w:fldChar w:fldCharType="end"/>
        </w:r>
      </w:hyperlink>
    </w:p>
    <w:p w14:paraId="5DC1EF2F" w14:textId="42043FE9" w:rsidR="00426706" w:rsidRDefault="00CC00DD">
      <w:pPr>
        <w:pStyle w:val="Spistreci1"/>
        <w:rPr>
          <w:rFonts w:asciiTheme="minorHAnsi" w:eastAsiaTheme="minorEastAsia" w:hAnsiTheme="minorHAnsi" w:cstheme="minorBidi"/>
          <w:b w:val="0"/>
          <w:sz w:val="22"/>
          <w:szCs w:val="22"/>
          <w:lang w:eastAsia="pl-PL"/>
        </w:rPr>
      </w:pPr>
      <w:hyperlink w:anchor="_Toc80608736" w:history="1">
        <w:r w:rsidR="00426706" w:rsidRPr="00604454">
          <w:rPr>
            <w:rStyle w:val="Hipercze"/>
            <w:rFonts w:eastAsia="MS Gothic"/>
          </w:rPr>
          <w:t>10</w:t>
        </w:r>
        <w:r w:rsidR="00426706">
          <w:rPr>
            <w:rFonts w:asciiTheme="minorHAnsi" w:eastAsiaTheme="minorEastAsia" w:hAnsiTheme="minorHAnsi" w:cstheme="minorBidi"/>
            <w:b w:val="0"/>
            <w:sz w:val="22"/>
            <w:szCs w:val="22"/>
            <w:lang w:eastAsia="pl-PL"/>
          </w:rPr>
          <w:tab/>
        </w:r>
        <w:r w:rsidR="00426706" w:rsidRPr="00604454">
          <w:rPr>
            <w:rStyle w:val="Hipercze"/>
          </w:rPr>
          <w:t>Podsumowanie działań służących ustaleniu celów i działań w aPZRPM</w:t>
        </w:r>
        <w:r w:rsidR="00426706">
          <w:rPr>
            <w:webHidden/>
          </w:rPr>
          <w:tab/>
        </w:r>
        <w:r w:rsidR="00426706">
          <w:rPr>
            <w:webHidden/>
          </w:rPr>
          <w:fldChar w:fldCharType="begin"/>
        </w:r>
        <w:r w:rsidR="00426706">
          <w:rPr>
            <w:webHidden/>
          </w:rPr>
          <w:instrText xml:space="preserve"> PAGEREF _Toc80608736 \h </w:instrText>
        </w:r>
        <w:r w:rsidR="00426706">
          <w:rPr>
            <w:webHidden/>
          </w:rPr>
        </w:r>
        <w:r w:rsidR="00426706">
          <w:rPr>
            <w:webHidden/>
          </w:rPr>
          <w:fldChar w:fldCharType="separate"/>
        </w:r>
        <w:r w:rsidR="00426706">
          <w:rPr>
            <w:webHidden/>
          </w:rPr>
          <w:t>89</w:t>
        </w:r>
        <w:r w:rsidR="00426706">
          <w:rPr>
            <w:webHidden/>
          </w:rPr>
          <w:fldChar w:fldCharType="end"/>
        </w:r>
      </w:hyperlink>
    </w:p>
    <w:p w14:paraId="7401D761" w14:textId="01F3E6F5"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37" w:history="1">
        <w:r w:rsidR="00426706" w:rsidRPr="00604454">
          <w:rPr>
            <w:rStyle w:val="Hipercze"/>
            <w:rFonts w:eastAsia="MS Gothic"/>
            <w:bCs/>
          </w:rPr>
          <w:t>10.1</w:t>
        </w:r>
        <w:r w:rsidR="00426706">
          <w:rPr>
            <w:rFonts w:asciiTheme="minorHAnsi" w:eastAsiaTheme="minorEastAsia" w:hAnsiTheme="minorHAnsi" w:cstheme="minorBidi"/>
            <w:sz w:val="22"/>
            <w:szCs w:val="22"/>
            <w:lang w:eastAsia="pl-PL"/>
          </w:rPr>
          <w:tab/>
        </w:r>
        <w:r w:rsidR="00426706" w:rsidRPr="00604454">
          <w:rPr>
            <w:rStyle w:val="Hipercze"/>
            <w:bCs/>
          </w:rPr>
          <w:t>Ankietyzacja</w:t>
        </w:r>
        <w:r w:rsidR="00426706">
          <w:rPr>
            <w:webHidden/>
          </w:rPr>
          <w:tab/>
        </w:r>
        <w:r w:rsidR="00426706">
          <w:rPr>
            <w:webHidden/>
          </w:rPr>
          <w:fldChar w:fldCharType="begin"/>
        </w:r>
        <w:r w:rsidR="00426706">
          <w:rPr>
            <w:webHidden/>
          </w:rPr>
          <w:instrText xml:space="preserve"> PAGEREF _Toc80608737 \h </w:instrText>
        </w:r>
        <w:r w:rsidR="00426706">
          <w:rPr>
            <w:webHidden/>
          </w:rPr>
        </w:r>
        <w:r w:rsidR="00426706">
          <w:rPr>
            <w:webHidden/>
          </w:rPr>
          <w:fldChar w:fldCharType="separate"/>
        </w:r>
        <w:r w:rsidR="00426706">
          <w:rPr>
            <w:webHidden/>
          </w:rPr>
          <w:t>89</w:t>
        </w:r>
        <w:r w:rsidR="00426706">
          <w:rPr>
            <w:webHidden/>
          </w:rPr>
          <w:fldChar w:fldCharType="end"/>
        </w:r>
      </w:hyperlink>
    </w:p>
    <w:p w14:paraId="05B0A75E" w14:textId="4242457F"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38" w:history="1">
        <w:r w:rsidR="00426706" w:rsidRPr="00604454">
          <w:rPr>
            <w:rStyle w:val="Hipercze"/>
            <w:rFonts w:eastAsia="MS Gothic"/>
            <w:bCs/>
          </w:rPr>
          <w:t>10.2</w:t>
        </w:r>
        <w:r w:rsidR="00426706">
          <w:rPr>
            <w:rFonts w:asciiTheme="minorHAnsi" w:eastAsiaTheme="minorEastAsia" w:hAnsiTheme="minorHAnsi" w:cstheme="minorBidi"/>
            <w:sz w:val="22"/>
            <w:szCs w:val="22"/>
            <w:lang w:eastAsia="pl-PL"/>
          </w:rPr>
          <w:tab/>
        </w:r>
        <w:r w:rsidR="00426706" w:rsidRPr="00604454">
          <w:rPr>
            <w:rStyle w:val="Hipercze"/>
            <w:bCs/>
          </w:rPr>
          <w:t>Spotkania warsztatowe</w:t>
        </w:r>
        <w:r w:rsidR="00426706">
          <w:rPr>
            <w:webHidden/>
          </w:rPr>
          <w:tab/>
        </w:r>
        <w:r w:rsidR="00426706">
          <w:rPr>
            <w:webHidden/>
          </w:rPr>
          <w:fldChar w:fldCharType="begin"/>
        </w:r>
        <w:r w:rsidR="00426706">
          <w:rPr>
            <w:webHidden/>
          </w:rPr>
          <w:instrText xml:space="preserve"> PAGEREF _Toc80608738 \h </w:instrText>
        </w:r>
        <w:r w:rsidR="00426706">
          <w:rPr>
            <w:webHidden/>
          </w:rPr>
        </w:r>
        <w:r w:rsidR="00426706">
          <w:rPr>
            <w:webHidden/>
          </w:rPr>
          <w:fldChar w:fldCharType="separate"/>
        </w:r>
        <w:r w:rsidR="00426706">
          <w:rPr>
            <w:webHidden/>
          </w:rPr>
          <w:t>91</w:t>
        </w:r>
        <w:r w:rsidR="00426706">
          <w:rPr>
            <w:webHidden/>
          </w:rPr>
          <w:fldChar w:fldCharType="end"/>
        </w:r>
      </w:hyperlink>
    </w:p>
    <w:p w14:paraId="65116FD4" w14:textId="238A053D"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39" w:history="1">
        <w:r w:rsidR="00426706" w:rsidRPr="00604454">
          <w:rPr>
            <w:rStyle w:val="Hipercze"/>
            <w:rFonts w:eastAsia="MS Gothic"/>
          </w:rPr>
          <w:t>10.3</w:t>
        </w:r>
        <w:r w:rsidR="00426706">
          <w:rPr>
            <w:rFonts w:asciiTheme="minorHAnsi" w:eastAsiaTheme="minorEastAsia" w:hAnsiTheme="minorHAnsi" w:cstheme="minorBidi"/>
            <w:sz w:val="22"/>
            <w:szCs w:val="22"/>
            <w:lang w:eastAsia="pl-PL"/>
          </w:rPr>
          <w:tab/>
        </w:r>
        <w:r w:rsidR="00426706" w:rsidRPr="00604454">
          <w:rPr>
            <w:rStyle w:val="Hipercze"/>
          </w:rPr>
          <w:t>Ocena postępów w realizacji celów zarządzania ryzykiem powodziowym</w:t>
        </w:r>
        <w:r w:rsidR="00426706">
          <w:rPr>
            <w:webHidden/>
          </w:rPr>
          <w:tab/>
        </w:r>
        <w:r w:rsidR="00426706">
          <w:rPr>
            <w:webHidden/>
          </w:rPr>
          <w:fldChar w:fldCharType="begin"/>
        </w:r>
        <w:r w:rsidR="00426706">
          <w:rPr>
            <w:webHidden/>
          </w:rPr>
          <w:instrText xml:space="preserve"> PAGEREF _Toc80608739 \h </w:instrText>
        </w:r>
        <w:r w:rsidR="00426706">
          <w:rPr>
            <w:webHidden/>
          </w:rPr>
        </w:r>
        <w:r w:rsidR="00426706">
          <w:rPr>
            <w:webHidden/>
          </w:rPr>
          <w:fldChar w:fldCharType="separate"/>
        </w:r>
        <w:r w:rsidR="00426706">
          <w:rPr>
            <w:webHidden/>
          </w:rPr>
          <w:t>91</w:t>
        </w:r>
        <w:r w:rsidR="00426706">
          <w:rPr>
            <w:webHidden/>
          </w:rPr>
          <w:fldChar w:fldCharType="end"/>
        </w:r>
      </w:hyperlink>
    </w:p>
    <w:p w14:paraId="68FBF812" w14:textId="6A8E9ACB" w:rsidR="00426706" w:rsidRDefault="00CC00DD">
      <w:pPr>
        <w:pStyle w:val="Spistreci1"/>
        <w:rPr>
          <w:rFonts w:asciiTheme="minorHAnsi" w:eastAsiaTheme="minorEastAsia" w:hAnsiTheme="minorHAnsi" w:cstheme="minorBidi"/>
          <w:b w:val="0"/>
          <w:sz w:val="22"/>
          <w:szCs w:val="22"/>
          <w:lang w:eastAsia="pl-PL"/>
        </w:rPr>
      </w:pPr>
      <w:hyperlink w:anchor="_Toc80608740" w:history="1">
        <w:r w:rsidR="00426706" w:rsidRPr="00604454">
          <w:rPr>
            <w:rStyle w:val="Hipercze"/>
            <w:rFonts w:eastAsia="MS Gothic"/>
          </w:rPr>
          <w:t>11</w:t>
        </w:r>
        <w:r w:rsidR="00426706">
          <w:rPr>
            <w:rFonts w:asciiTheme="minorHAnsi" w:eastAsiaTheme="minorEastAsia" w:hAnsiTheme="minorHAnsi" w:cstheme="minorBidi"/>
            <w:b w:val="0"/>
            <w:sz w:val="22"/>
            <w:szCs w:val="22"/>
            <w:lang w:eastAsia="pl-PL"/>
          </w:rPr>
          <w:tab/>
        </w:r>
        <w:r w:rsidR="00426706" w:rsidRPr="00604454">
          <w:rPr>
            <w:rStyle w:val="Hipercze"/>
          </w:rPr>
          <w:t>Podsumowanie działań służących informowaniu społeczeństwa i prowadzeniu konsultacji społecznych</w:t>
        </w:r>
        <w:r w:rsidR="00426706">
          <w:rPr>
            <w:webHidden/>
          </w:rPr>
          <w:tab/>
        </w:r>
        <w:r w:rsidR="00426706">
          <w:rPr>
            <w:webHidden/>
          </w:rPr>
          <w:fldChar w:fldCharType="begin"/>
        </w:r>
        <w:r w:rsidR="00426706">
          <w:rPr>
            <w:webHidden/>
          </w:rPr>
          <w:instrText xml:space="preserve"> PAGEREF _Toc80608740 \h </w:instrText>
        </w:r>
        <w:r w:rsidR="00426706">
          <w:rPr>
            <w:webHidden/>
          </w:rPr>
        </w:r>
        <w:r w:rsidR="00426706">
          <w:rPr>
            <w:webHidden/>
          </w:rPr>
          <w:fldChar w:fldCharType="separate"/>
        </w:r>
        <w:r w:rsidR="00426706">
          <w:rPr>
            <w:webHidden/>
          </w:rPr>
          <w:t>95</w:t>
        </w:r>
        <w:r w:rsidR="00426706">
          <w:rPr>
            <w:webHidden/>
          </w:rPr>
          <w:fldChar w:fldCharType="end"/>
        </w:r>
      </w:hyperlink>
    </w:p>
    <w:p w14:paraId="2568C580" w14:textId="6222A1E7"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41" w:history="1">
        <w:r w:rsidR="00426706" w:rsidRPr="00604454">
          <w:rPr>
            <w:rStyle w:val="Hipercze"/>
            <w:rFonts w:eastAsia="MS Gothic"/>
            <w:bCs/>
          </w:rPr>
          <w:t>11.1</w:t>
        </w:r>
        <w:r w:rsidR="00426706">
          <w:rPr>
            <w:rFonts w:asciiTheme="minorHAnsi" w:eastAsiaTheme="minorEastAsia" w:hAnsiTheme="minorHAnsi" w:cstheme="minorBidi"/>
            <w:sz w:val="22"/>
            <w:szCs w:val="22"/>
            <w:lang w:eastAsia="pl-PL"/>
          </w:rPr>
          <w:tab/>
        </w:r>
        <w:r w:rsidR="00426706" w:rsidRPr="00604454">
          <w:rPr>
            <w:rStyle w:val="Hipercze"/>
            <w:bCs/>
          </w:rPr>
          <w:t>Udział społeczeństwa w opracowaniu planów zarządzania ryzykiem powodziowym</w:t>
        </w:r>
        <w:r w:rsidR="00426706">
          <w:rPr>
            <w:webHidden/>
          </w:rPr>
          <w:tab/>
        </w:r>
        <w:r w:rsidR="00426706">
          <w:rPr>
            <w:webHidden/>
          </w:rPr>
          <w:fldChar w:fldCharType="begin"/>
        </w:r>
        <w:r w:rsidR="00426706">
          <w:rPr>
            <w:webHidden/>
          </w:rPr>
          <w:instrText xml:space="preserve"> PAGEREF _Toc80608741 \h </w:instrText>
        </w:r>
        <w:r w:rsidR="00426706">
          <w:rPr>
            <w:webHidden/>
          </w:rPr>
        </w:r>
        <w:r w:rsidR="00426706">
          <w:rPr>
            <w:webHidden/>
          </w:rPr>
          <w:fldChar w:fldCharType="separate"/>
        </w:r>
        <w:r w:rsidR="00426706">
          <w:rPr>
            <w:webHidden/>
          </w:rPr>
          <w:t>95</w:t>
        </w:r>
        <w:r w:rsidR="00426706">
          <w:rPr>
            <w:webHidden/>
          </w:rPr>
          <w:fldChar w:fldCharType="end"/>
        </w:r>
      </w:hyperlink>
    </w:p>
    <w:p w14:paraId="3F6D75C0" w14:textId="5C26AD74"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42" w:history="1">
        <w:r w:rsidR="00426706" w:rsidRPr="00604454">
          <w:rPr>
            <w:rStyle w:val="Hipercze"/>
            <w:rFonts w:eastAsia="MS Gothic"/>
            <w:bCs/>
          </w:rPr>
          <w:t>11.2</w:t>
        </w:r>
        <w:r w:rsidR="00426706">
          <w:rPr>
            <w:rFonts w:asciiTheme="minorHAnsi" w:eastAsiaTheme="minorEastAsia" w:hAnsiTheme="minorHAnsi" w:cstheme="minorBidi"/>
            <w:sz w:val="22"/>
            <w:szCs w:val="22"/>
            <w:lang w:eastAsia="pl-PL"/>
          </w:rPr>
          <w:tab/>
        </w:r>
        <w:r w:rsidR="00426706" w:rsidRPr="00604454">
          <w:rPr>
            <w:rStyle w:val="Hipercze"/>
            <w:bCs/>
          </w:rPr>
          <w:t>Cele strategiczne konsultacji społecznych i działań informacyjno – promocyjnych</w:t>
        </w:r>
        <w:r w:rsidR="00426706">
          <w:rPr>
            <w:webHidden/>
          </w:rPr>
          <w:tab/>
        </w:r>
        <w:r w:rsidR="00426706">
          <w:rPr>
            <w:webHidden/>
          </w:rPr>
          <w:fldChar w:fldCharType="begin"/>
        </w:r>
        <w:r w:rsidR="00426706">
          <w:rPr>
            <w:webHidden/>
          </w:rPr>
          <w:instrText xml:space="preserve"> PAGEREF _Toc80608742 \h </w:instrText>
        </w:r>
        <w:r w:rsidR="00426706">
          <w:rPr>
            <w:webHidden/>
          </w:rPr>
        </w:r>
        <w:r w:rsidR="00426706">
          <w:rPr>
            <w:webHidden/>
          </w:rPr>
          <w:fldChar w:fldCharType="separate"/>
        </w:r>
        <w:r w:rsidR="00426706">
          <w:rPr>
            <w:webHidden/>
          </w:rPr>
          <w:t>95</w:t>
        </w:r>
        <w:r w:rsidR="00426706">
          <w:rPr>
            <w:webHidden/>
          </w:rPr>
          <w:fldChar w:fldCharType="end"/>
        </w:r>
      </w:hyperlink>
    </w:p>
    <w:p w14:paraId="654B0DB5" w14:textId="148F18D9"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43" w:history="1">
        <w:r w:rsidR="00426706" w:rsidRPr="00604454">
          <w:rPr>
            <w:rStyle w:val="Hipercze"/>
            <w:rFonts w:eastAsia="MS Gothic"/>
            <w:bCs/>
          </w:rPr>
          <w:t>11.3</w:t>
        </w:r>
        <w:r w:rsidR="00426706">
          <w:rPr>
            <w:rFonts w:asciiTheme="minorHAnsi" w:eastAsiaTheme="minorEastAsia" w:hAnsiTheme="minorHAnsi" w:cstheme="minorBidi"/>
            <w:sz w:val="22"/>
            <w:szCs w:val="22"/>
            <w:lang w:eastAsia="pl-PL"/>
          </w:rPr>
          <w:tab/>
        </w:r>
        <w:r w:rsidR="00426706" w:rsidRPr="00604454">
          <w:rPr>
            <w:rStyle w:val="Hipercze"/>
            <w:bCs/>
          </w:rPr>
          <w:t>Grupy docelowe</w:t>
        </w:r>
        <w:r w:rsidR="00426706">
          <w:rPr>
            <w:webHidden/>
          </w:rPr>
          <w:tab/>
        </w:r>
        <w:r w:rsidR="00426706">
          <w:rPr>
            <w:webHidden/>
          </w:rPr>
          <w:fldChar w:fldCharType="begin"/>
        </w:r>
        <w:r w:rsidR="00426706">
          <w:rPr>
            <w:webHidden/>
          </w:rPr>
          <w:instrText xml:space="preserve"> PAGEREF _Toc80608743 \h </w:instrText>
        </w:r>
        <w:r w:rsidR="00426706">
          <w:rPr>
            <w:webHidden/>
          </w:rPr>
        </w:r>
        <w:r w:rsidR="00426706">
          <w:rPr>
            <w:webHidden/>
          </w:rPr>
          <w:fldChar w:fldCharType="separate"/>
        </w:r>
        <w:r w:rsidR="00426706">
          <w:rPr>
            <w:webHidden/>
          </w:rPr>
          <w:t>96</w:t>
        </w:r>
        <w:r w:rsidR="00426706">
          <w:rPr>
            <w:webHidden/>
          </w:rPr>
          <w:fldChar w:fldCharType="end"/>
        </w:r>
      </w:hyperlink>
    </w:p>
    <w:p w14:paraId="0B59B31F" w14:textId="702F4CEC" w:rsidR="00426706" w:rsidRDefault="00CC00DD">
      <w:pPr>
        <w:pStyle w:val="Spistreci1"/>
        <w:rPr>
          <w:rFonts w:asciiTheme="minorHAnsi" w:eastAsiaTheme="minorEastAsia" w:hAnsiTheme="minorHAnsi" w:cstheme="minorBidi"/>
          <w:b w:val="0"/>
          <w:sz w:val="22"/>
          <w:szCs w:val="22"/>
          <w:lang w:eastAsia="pl-PL"/>
        </w:rPr>
      </w:pPr>
      <w:hyperlink w:anchor="_Toc80608744" w:history="1">
        <w:r w:rsidR="00426706" w:rsidRPr="00604454">
          <w:rPr>
            <w:rStyle w:val="Hipercze"/>
            <w:rFonts w:eastAsia="MS Gothic"/>
          </w:rPr>
          <w:t>12</w:t>
        </w:r>
        <w:r w:rsidR="00426706">
          <w:rPr>
            <w:rFonts w:asciiTheme="minorHAnsi" w:eastAsiaTheme="minorEastAsia" w:hAnsiTheme="minorHAnsi" w:cstheme="minorBidi"/>
            <w:b w:val="0"/>
            <w:sz w:val="22"/>
            <w:szCs w:val="22"/>
            <w:lang w:eastAsia="pl-PL"/>
          </w:rPr>
          <w:tab/>
        </w:r>
        <w:r w:rsidR="00426706" w:rsidRPr="00604454">
          <w:rPr>
            <w:rStyle w:val="Hipercze"/>
          </w:rPr>
          <w:t>Wykaz organów właściwych w sprawach zarządzania ryzykiem powodziowym</w:t>
        </w:r>
        <w:r w:rsidR="00426706">
          <w:rPr>
            <w:webHidden/>
          </w:rPr>
          <w:tab/>
        </w:r>
        <w:r w:rsidR="00426706">
          <w:rPr>
            <w:webHidden/>
          </w:rPr>
          <w:fldChar w:fldCharType="begin"/>
        </w:r>
        <w:r w:rsidR="00426706">
          <w:rPr>
            <w:webHidden/>
          </w:rPr>
          <w:instrText xml:space="preserve"> PAGEREF _Toc80608744 \h </w:instrText>
        </w:r>
        <w:r w:rsidR="00426706">
          <w:rPr>
            <w:webHidden/>
          </w:rPr>
        </w:r>
        <w:r w:rsidR="00426706">
          <w:rPr>
            <w:webHidden/>
          </w:rPr>
          <w:fldChar w:fldCharType="separate"/>
        </w:r>
        <w:r w:rsidR="00426706">
          <w:rPr>
            <w:webHidden/>
          </w:rPr>
          <w:t>97</w:t>
        </w:r>
        <w:r w:rsidR="00426706">
          <w:rPr>
            <w:webHidden/>
          </w:rPr>
          <w:fldChar w:fldCharType="end"/>
        </w:r>
      </w:hyperlink>
    </w:p>
    <w:p w14:paraId="0B3961FD" w14:textId="5CB55C12" w:rsidR="00426706" w:rsidRDefault="00CC00DD">
      <w:pPr>
        <w:pStyle w:val="Spistreci1"/>
        <w:rPr>
          <w:rFonts w:asciiTheme="minorHAnsi" w:eastAsiaTheme="minorEastAsia" w:hAnsiTheme="minorHAnsi" w:cstheme="minorBidi"/>
          <w:b w:val="0"/>
          <w:sz w:val="22"/>
          <w:szCs w:val="22"/>
          <w:lang w:eastAsia="pl-PL"/>
        </w:rPr>
      </w:pPr>
      <w:hyperlink w:anchor="_Toc80608745" w:history="1">
        <w:r w:rsidR="00426706" w:rsidRPr="00604454">
          <w:rPr>
            <w:rStyle w:val="Hipercze"/>
            <w:rFonts w:eastAsia="MS Gothic"/>
          </w:rPr>
          <w:t>13</w:t>
        </w:r>
        <w:r w:rsidR="00426706">
          <w:rPr>
            <w:rFonts w:asciiTheme="minorHAnsi" w:eastAsiaTheme="minorEastAsia" w:hAnsiTheme="minorHAnsi" w:cstheme="minorBidi"/>
            <w:b w:val="0"/>
            <w:sz w:val="22"/>
            <w:szCs w:val="22"/>
            <w:lang w:eastAsia="pl-PL"/>
          </w:rPr>
          <w:tab/>
        </w:r>
        <w:r w:rsidR="00426706" w:rsidRPr="00604454">
          <w:rPr>
            <w:rStyle w:val="Hipercze"/>
          </w:rPr>
          <w:t>Koordynacja prac nad aPZRPM z innymi dokumentami planistycznymi</w:t>
        </w:r>
        <w:r w:rsidR="00426706">
          <w:rPr>
            <w:webHidden/>
          </w:rPr>
          <w:tab/>
        </w:r>
        <w:r w:rsidR="00426706">
          <w:rPr>
            <w:webHidden/>
          </w:rPr>
          <w:fldChar w:fldCharType="begin"/>
        </w:r>
        <w:r w:rsidR="00426706">
          <w:rPr>
            <w:webHidden/>
          </w:rPr>
          <w:instrText xml:space="preserve"> PAGEREF _Toc80608745 \h </w:instrText>
        </w:r>
        <w:r w:rsidR="00426706">
          <w:rPr>
            <w:webHidden/>
          </w:rPr>
        </w:r>
        <w:r w:rsidR="00426706">
          <w:rPr>
            <w:webHidden/>
          </w:rPr>
          <w:fldChar w:fldCharType="separate"/>
        </w:r>
        <w:r w:rsidR="00426706">
          <w:rPr>
            <w:webHidden/>
          </w:rPr>
          <w:t>101</w:t>
        </w:r>
        <w:r w:rsidR="00426706">
          <w:rPr>
            <w:webHidden/>
          </w:rPr>
          <w:fldChar w:fldCharType="end"/>
        </w:r>
      </w:hyperlink>
    </w:p>
    <w:p w14:paraId="3370E374" w14:textId="16DDE7CD"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46" w:history="1">
        <w:r w:rsidR="00426706" w:rsidRPr="00604454">
          <w:rPr>
            <w:rStyle w:val="Hipercze"/>
          </w:rPr>
          <w:t>13.1</w:t>
        </w:r>
        <w:r w:rsidR="00426706">
          <w:rPr>
            <w:rFonts w:asciiTheme="minorHAnsi" w:eastAsiaTheme="minorEastAsia" w:hAnsiTheme="minorHAnsi" w:cstheme="minorBidi"/>
            <w:sz w:val="22"/>
            <w:szCs w:val="22"/>
            <w:lang w:eastAsia="pl-PL"/>
          </w:rPr>
          <w:tab/>
        </w:r>
        <w:r w:rsidR="00426706" w:rsidRPr="00604454">
          <w:rPr>
            <w:rStyle w:val="Hipercze"/>
          </w:rPr>
          <w:t>Koordynacja z II aPGW</w:t>
        </w:r>
        <w:r w:rsidR="00426706">
          <w:rPr>
            <w:webHidden/>
          </w:rPr>
          <w:tab/>
        </w:r>
        <w:r w:rsidR="00426706">
          <w:rPr>
            <w:webHidden/>
          </w:rPr>
          <w:fldChar w:fldCharType="begin"/>
        </w:r>
        <w:r w:rsidR="00426706">
          <w:rPr>
            <w:webHidden/>
          </w:rPr>
          <w:instrText xml:space="preserve"> PAGEREF _Toc80608746 \h </w:instrText>
        </w:r>
        <w:r w:rsidR="00426706">
          <w:rPr>
            <w:webHidden/>
          </w:rPr>
        </w:r>
        <w:r w:rsidR="00426706">
          <w:rPr>
            <w:webHidden/>
          </w:rPr>
          <w:fldChar w:fldCharType="separate"/>
        </w:r>
        <w:r w:rsidR="00426706">
          <w:rPr>
            <w:webHidden/>
          </w:rPr>
          <w:t>101</w:t>
        </w:r>
        <w:r w:rsidR="00426706">
          <w:rPr>
            <w:webHidden/>
          </w:rPr>
          <w:fldChar w:fldCharType="end"/>
        </w:r>
      </w:hyperlink>
    </w:p>
    <w:p w14:paraId="0CD2A9FE" w14:textId="504EE3C9"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47" w:history="1">
        <w:r w:rsidR="00426706" w:rsidRPr="00604454">
          <w:rPr>
            <w:rStyle w:val="Hipercze"/>
          </w:rPr>
          <w:t>13.2</w:t>
        </w:r>
        <w:r w:rsidR="00426706">
          <w:rPr>
            <w:rFonts w:asciiTheme="minorHAnsi" w:eastAsiaTheme="minorEastAsia" w:hAnsiTheme="minorHAnsi" w:cstheme="minorBidi"/>
            <w:sz w:val="22"/>
            <w:szCs w:val="22"/>
            <w:lang w:eastAsia="pl-PL"/>
          </w:rPr>
          <w:tab/>
        </w:r>
        <w:r w:rsidR="00426706" w:rsidRPr="00604454">
          <w:rPr>
            <w:rStyle w:val="Hipercze"/>
          </w:rPr>
          <w:t>Koordynacja z PPSS</w:t>
        </w:r>
        <w:r w:rsidR="00426706">
          <w:rPr>
            <w:webHidden/>
          </w:rPr>
          <w:tab/>
        </w:r>
        <w:r w:rsidR="00426706">
          <w:rPr>
            <w:webHidden/>
          </w:rPr>
          <w:fldChar w:fldCharType="begin"/>
        </w:r>
        <w:r w:rsidR="00426706">
          <w:rPr>
            <w:webHidden/>
          </w:rPr>
          <w:instrText xml:space="preserve"> PAGEREF _Toc80608747 \h </w:instrText>
        </w:r>
        <w:r w:rsidR="00426706">
          <w:rPr>
            <w:webHidden/>
          </w:rPr>
        </w:r>
        <w:r w:rsidR="00426706">
          <w:rPr>
            <w:webHidden/>
          </w:rPr>
          <w:fldChar w:fldCharType="separate"/>
        </w:r>
        <w:r w:rsidR="00426706">
          <w:rPr>
            <w:webHidden/>
          </w:rPr>
          <w:t>105</w:t>
        </w:r>
        <w:r w:rsidR="00426706">
          <w:rPr>
            <w:webHidden/>
          </w:rPr>
          <w:fldChar w:fldCharType="end"/>
        </w:r>
      </w:hyperlink>
    </w:p>
    <w:p w14:paraId="08D02861" w14:textId="71540995" w:rsidR="00426706" w:rsidRDefault="00CC00DD">
      <w:pPr>
        <w:pStyle w:val="Spistreci2"/>
        <w:tabs>
          <w:tab w:val="left" w:pos="1815"/>
        </w:tabs>
        <w:rPr>
          <w:rFonts w:asciiTheme="minorHAnsi" w:eastAsiaTheme="minorEastAsia" w:hAnsiTheme="minorHAnsi" w:cstheme="minorBidi"/>
          <w:sz w:val="22"/>
          <w:szCs w:val="22"/>
          <w:lang w:eastAsia="pl-PL"/>
        </w:rPr>
      </w:pPr>
      <w:hyperlink w:anchor="_Toc80608748" w:history="1">
        <w:r w:rsidR="00426706" w:rsidRPr="00604454">
          <w:rPr>
            <w:rStyle w:val="Hipercze"/>
          </w:rPr>
          <w:t>13.3</w:t>
        </w:r>
        <w:r w:rsidR="00426706">
          <w:rPr>
            <w:rFonts w:asciiTheme="minorHAnsi" w:eastAsiaTheme="minorEastAsia" w:hAnsiTheme="minorHAnsi" w:cstheme="minorBidi"/>
            <w:sz w:val="22"/>
            <w:szCs w:val="22"/>
            <w:lang w:eastAsia="pl-PL"/>
          </w:rPr>
          <w:tab/>
        </w:r>
        <w:r w:rsidR="00426706" w:rsidRPr="00604454">
          <w:rPr>
            <w:rStyle w:val="Hipercze"/>
          </w:rPr>
          <w:t>Koordynacja PZRP z innymi dokumentami planistycznymi</w:t>
        </w:r>
        <w:r w:rsidR="00426706">
          <w:rPr>
            <w:webHidden/>
          </w:rPr>
          <w:tab/>
        </w:r>
        <w:r w:rsidR="00426706">
          <w:rPr>
            <w:webHidden/>
          </w:rPr>
          <w:fldChar w:fldCharType="begin"/>
        </w:r>
        <w:r w:rsidR="00426706">
          <w:rPr>
            <w:webHidden/>
          </w:rPr>
          <w:instrText xml:space="preserve"> PAGEREF _Toc80608748 \h </w:instrText>
        </w:r>
        <w:r w:rsidR="00426706">
          <w:rPr>
            <w:webHidden/>
          </w:rPr>
        </w:r>
        <w:r w:rsidR="00426706">
          <w:rPr>
            <w:webHidden/>
          </w:rPr>
          <w:fldChar w:fldCharType="separate"/>
        </w:r>
        <w:r w:rsidR="00426706">
          <w:rPr>
            <w:webHidden/>
          </w:rPr>
          <w:t>106</w:t>
        </w:r>
        <w:r w:rsidR="00426706">
          <w:rPr>
            <w:webHidden/>
          </w:rPr>
          <w:fldChar w:fldCharType="end"/>
        </w:r>
      </w:hyperlink>
    </w:p>
    <w:p w14:paraId="34A9C012" w14:textId="6E6DDEA4" w:rsidR="00426706" w:rsidRDefault="00CC00DD">
      <w:pPr>
        <w:pStyle w:val="Spistreci1"/>
        <w:rPr>
          <w:rFonts w:asciiTheme="minorHAnsi" w:eastAsiaTheme="minorEastAsia" w:hAnsiTheme="minorHAnsi" w:cstheme="minorBidi"/>
          <w:b w:val="0"/>
          <w:sz w:val="22"/>
          <w:szCs w:val="22"/>
          <w:lang w:eastAsia="pl-PL"/>
        </w:rPr>
      </w:pPr>
      <w:hyperlink w:anchor="_Toc80608749" w:history="1">
        <w:r w:rsidR="00426706" w:rsidRPr="00604454">
          <w:rPr>
            <w:rStyle w:val="Hipercze"/>
            <w:rFonts w:eastAsia="MS Gothic"/>
          </w:rPr>
          <w:t>14</w:t>
        </w:r>
        <w:r w:rsidR="00426706">
          <w:rPr>
            <w:rFonts w:asciiTheme="minorHAnsi" w:eastAsiaTheme="minorEastAsia" w:hAnsiTheme="minorHAnsi" w:cstheme="minorBidi"/>
            <w:b w:val="0"/>
            <w:sz w:val="22"/>
            <w:szCs w:val="22"/>
            <w:lang w:eastAsia="pl-PL"/>
          </w:rPr>
          <w:tab/>
        </w:r>
        <w:r w:rsidR="00426706" w:rsidRPr="00604454">
          <w:rPr>
            <w:rStyle w:val="Hipercze"/>
          </w:rPr>
          <w:t>Opis uwzględnienia zmian klimatu w opracowaniu aPZRP</w:t>
        </w:r>
        <w:r w:rsidR="00426706">
          <w:rPr>
            <w:webHidden/>
          </w:rPr>
          <w:tab/>
        </w:r>
        <w:r w:rsidR="00426706">
          <w:rPr>
            <w:webHidden/>
          </w:rPr>
          <w:fldChar w:fldCharType="begin"/>
        </w:r>
        <w:r w:rsidR="00426706">
          <w:rPr>
            <w:webHidden/>
          </w:rPr>
          <w:instrText xml:space="preserve"> PAGEREF _Toc80608749 \h </w:instrText>
        </w:r>
        <w:r w:rsidR="00426706">
          <w:rPr>
            <w:webHidden/>
          </w:rPr>
        </w:r>
        <w:r w:rsidR="00426706">
          <w:rPr>
            <w:webHidden/>
          </w:rPr>
          <w:fldChar w:fldCharType="separate"/>
        </w:r>
        <w:r w:rsidR="00426706">
          <w:rPr>
            <w:webHidden/>
          </w:rPr>
          <w:t>109</w:t>
        </w:r>
        <w:r w:rsidR="00426706">
          <w:rPr>
            <w:webHidden/>
          </w:rPr>
          <w:fldChar w:fldCharType="end"/>
        </w:r>
      </w:hyperlink>
    </w:p>
    <w:p w14:paraId="6F3A3A2B" w14:textId="21292607" w:rsidR="00426706" w:rsidRDefault="00CC00DD">
      <w:pPr>
        <w:pStyle w:val="Spistreci1"/>
        <w:rPr>
          <w:rFonts w:asciiTheme="minorHAnsi" w:eastAsiaTheme="minorEastAsia" w:hAnsiTheme="minorHAnsi" w:cstheme="minorBidi"/>
          <w:b w:val="0"/>
          <w:sz w:val="22"/>
          <w:szCs w:val="22"/>
          <w:lang w:eastAsia="pl-PL"/>
        </w:rPr>
      </w:pPr>
      <w:hyperlink w:anchor="_Toc80608750" w:history="1">
        <w:r w:rsidR="00426706" w:rsidRPr="00604454">
          <w:rPr>
            <w:rStyle w:val="Hipercze"/>
            <w:rFonts w:eastAsia="MS Gothic"/>
          </w:rPr>
          <w:t>15</w:t>
        </w:r>
        <w:r w:rsidR="00426706">
          <w:rPr>
            <w:rFonts w:asciiTheme="minorHAnsi" w:eastAsiaTheme="minorEastAsia" w:hAnsiTheme="minorHAnsi" w:cstheme="minorBidi"/>
            <w:b w:val="0"/>
            <w:sz w:val="22"/>
            <w:szCs w:val="22"/>
            <w:lang w:eastAsia="pl-PL"/>
          </w:rPr>
          <w:tab/>
        </w:r>
        <w:r w:rsidR="00426706" w:rsidRPr="00604454">
          <w:rPr>
            <w:rStyle w:val="Hipercze"/>
          </w:rPr>
          <w:t>Wykaz skrótów</w:t>
        </w:r>
        <w:r w:rsidR="00426706">
          <w:rPr>
            <w:webHidden/>
          </w:rPr>
          <w:tab/>
        </w:r>
        <w:r w:rsidR="00426706">
          <w:rPr>
            <w:webHidden/>
          </w:rPr>
          <w:fldChar w:fldCharType="begin"/>
        </w:r>
        <w:r w:rsidR="00426706">
          <w:rPr>
            <w:webHidden/>
          </w:rPr>
          <w:instrText xml:space="preserve"> PAGEREF _Toc80608750 \h </w:instrText>
        </w:r>
        <w:r w:rsidR="00426706">
          <w:rPr>
            <w:webHidden/>
          </w:rPr>
        </w:r>
        <w:r w:rsidR="00426706">
          <w:rPr>
            <w:webHidden/>
          </w:rPr>
          <w:fldChar w:fldCharType="separate"/>
        </w:r>
        <w:r w:rsidR="00426706">
          <w:rPr>
            <w:webHidden/>
          </w:rPr>
          <w:t>111</w:t>
        </w:r>
        <w:r w:rsidR="00426706">
          <w:rPr>
            <w:webHidden/>
          </w:rPr>
          <w:fldChar w:fldCharType="end"/>
        </w:r>
      </w:hyperlink>
    </w:p>
    <w:p w14:paraId="27D67657" w14:textId="75B1D29A" w:rsidR="00426706" w:rsidRDefault="00CC00DD">
      <w:pPr>
        <w:pStyle w:val="Spistreci9"/>
        <w:rPr>
          <w:rFonts w:asciiTheme="minorHAnsi" w:eastAsiaTheme="minorEastAsia" w:hAnsiTheme="minorHAnsi" w:cstheme="minorBidi"/>
          <w:b w:val="0"/>
          <w:sz w:val="22"/>
          <w:szCs w:val="22"/>
          <w:lang w:eastAsia="pl-PL"/>
        </w:rPr>
      </w:pPr>
      <w:hyperlink w:anchor="_Toc80608751" w:history="1">
        <w:r w:rsidR="00426706" w:rsidRPr="00604454">
          <w:rPr>
            <w:rStyle w:val="Hipercze"/>
          </w:rPr>
          <w:t>Spis Tabel</w:t>
        </w:r>
        <w:r w:rsidR="00426706">
          <w:rPr>
            <w:webHidden/>
          </w:rPr>
          <w:tab/>
        </w:r>
        <w:r w:rsidR="00426706">
          <w:rPr>
            <w:webHidden/>
          </w:rPr>
          <w:fldChar w:fldCharType="begin"/>
        </w:r>
        <w:r w:rsidR="00426706">
          <w:rPr>
            <w:webHidden/>
          </w:rPr>
          <w:instrText xml:space="preserve"> PAGEREF _Toc80608751 \h </w:instrText>
        </w:r>
        <w:r w:rsidR="00426706">
          <w:rPr>
            <w:webHidden/>
          </w:rPr>
        </w:r>
        <w:r w:rsidR="00426706">
          <w:rPr>
            <w:webHidden/>
          </w:rPr>
          <w:fldChar w:fldCharType="separate"/>
        </w:r>
        <w:r w:rsidR="00426706">
          <w:rPr>
            <w:webHidden/>
          </w:rPr>
          <w:t>112</w:t>
        </w:r>
        <w:r w:rsidR="00426706">
          <w:rPr>
            <w:webHidden/>
          </w:rPr>
          <w:fldChar w:fldCharType="end"/>
        </w:r>
      </w:hyperlink>
    </w:p>
    <w:p w14:paraId="69869EAD" w14:textId="43E7CDFA" w:rsidR="00426706" w:rsidRDefault="00CC00DD">
      <w:pPr>
        <w:pStyle w:val="Spistreci9"/>
        <w:rPr>
          <w:rFonts w:asciiTheme="minorHAnsi" w:eastAsiaTheme="minorEastAsia" w:hAnsiTheme="minorHAnsi" w:cstheme="minorBidi"/>
          <w:b w:val="0"/>
          <w:sz w:val="22"/>
          <w:szCs w:val="22"/>
          <w:lang w:eastAsia="pl-PL"/>
        </w:rPr>
      </w:pPr>
      <w:hyperlink w:anchor="_Toc80608752" w:history="1">
        <w:r w:rsidR="00426706" w:rsidRPr="00604454">
          <w:rPr>
            <w:rStyle w:val="Hipercze"/>
          </w:rPr>
          <w:t>Spis Rysunków</w:t>
        </w:r>
        <w:r w:rsidR="00426706">
          <w:rPr>
            <w:webHidden/>
          </w:rPr>
          <w:tab/>
        </w:r>
        <w:r w:rsidR="00426706">
          <w:rPr>
            <w:webHidden/>
          </w:rPr>
          <w:fldChar w:fldCharType="begin"/>
        </w:r>
        <w:r w:rsidR="00426706">
          <w:rPr>
            <w:webHidden/>
          </w:rPr>
          <w:instrText xml:space="preserve"> PAGEREF _Toc80608752 \h </w:instrText>
        </w:r>
        <w:r w:rsidR="00426706">
          <w:rPr>
            <w:webHidden/>
          </w:rPr>
        </w:r>
        <w:r w:rsidR="00426706">
          <w:rPr>
            <w:webHidden/>
          </w:rPr>
          <w:fldChar w:fldCharType="separate"/>
        </w:r>
        <w:r w:rsidR="00426706">
          <w:rPr>
            <w:webHidden/>
          </w:rPr>
          <w:t>114</w:t>
        </w:r>
        <w:r w:rsidR="00426706">
          <w:rPr>
            <w:webHidden/>
          </w:rPr>
          <w:fldChar w:fldCharType="end"/>
        </w:r>
      </w:hyperlink>
    </w:p>
    <w:p w14:paraId="78338892" w14:textId="6C824017" w:rsidR="00107FCF" w:rsidRDefault="00107FCF" w:rsidP="002D76EE">
      <w:r w:rsidRPr="00093732">
        <w:fldChar w:fldCharType="end"/>
      </w:r>
    </w:p>
    <w:p w14:paraId="6C0B3DC6" w14:textId="3A0468AB" w:rsidR="00107FCF" w:rsidRDefault="00107FCF"/>
    <w:p w14:paraId="064DD523" w14:textId="77777777" w:rsidR="00107FCF" w:rsidRDefault="00107FCF" w:rsidP="00117ABD">
      <w:pPr>
        <w:spacing w:after="120"/>
        <w:jc w:val="both"/>
        <w:rPr>
          <w:b/>
          <w:bCs/>
          <w:i/>
          <w:iCs/>
          <w:u w:val="single"/>
        </w:rPr>
      </w:pPr>
      <w:bookmarkStart w:id="6" w:name="_Toc50223157"/>
      <w:bookmarkStart w:id="7" w:name="_Toc50223339"/>
      <w:bookmarkStart w:id="8" w:name="_Toc60778966"/>
      <w:bookmarkStart w:id="9" w:name="References"/>
      <w:r>
        <w:rPr>
          <w:b/>
          <w:bCs/>
          <w:i/>
          <w:iCs/>
          <w:u w:val="single"/>
        </w:rPr>
        <w:t xml:space="preserve">Załączniki: </w:t>
      </w:r>
    </w:p>
    <w:p w14:paraId="3E3BC894" w14:textId="23561F88" w:rsidR="00107FCF" w:rsidRPr="00D178B9" w:rsidRDefault="00231D6F" w:rsidP="006D41A7">
      <w:pPr>
        <w:pStyle w:val="Akapitzlist"/>
        <w:numPr>
          <w:ilvl w:val="0"/>
          <w:numId w:val="26"/>
        </w:numPr>
        <w:ind w:left="284"/>
        <w:jc w:val="both"/>
        <w:rPr>
          <w:sz w:val="24"/>
          <w:szCs w:val="24"/>
        </w:rPr>
      </w:pPr>
      <w:r w:rsidRPr="00D178B9">
        <w:rPr>
          <w:sz w:val="24"/>
          <w:szCs w:val="24"/>
        </w:rPr>
        <w:t>Załącznik 1</w:t>
      </w:r>
      <w:r w:rsidR="00107FCF" w:rsidRPr="00D178B9">
        <w:rPr>
          <w:sz w:val="24"/>
          <w:szCs w:val="24"/>
        </w:rPr>
        <w:t>– Ostateczna lista działań ograniczających ryzyko powodziowe od strony morza w tym morskich wód wewnętrznych dla zlewni planistycznej Dolnej Odry</w:t>
      </w:r>
      <w:r w:rsidR="00D178B9">
        <w:rPr>
          <w:sz w:val="24"/>
          <w:szCs w:val="24"/>
        </w:rPr>
        <w:t xml:space="preserve"> wraz z harmonogramem rzeczowo-finansowym</w:t>
      </w:r>
    </w:p>
    <w:p w14:paraId="6004300D" w14:textId="77777777" w:rsidR="00107FCF" w:rsidRDefault="00107FCF" w:rsidP="00A21647">
      <w:pPr>
        <w:pStyle w:val="Akapitzlist"/>
        <w:ind w:left="426"/>
        <w:jc w:val="both"/>
      </w:pPr>
    </w:p>
    <w:bookmarkEnd w:id="6"/>
    <w:bookmarkEnd w:id="7"/>
    <w:bookmarkEnd w:id="8"/>
    <w:bookmarkEnd w:id="9"/>
    <w:p w14:paraId="1BB44302" w14:textId="77777777" w:rsidR="00107FCF" w:rsidRDefault="00107FCF" w:rsidP="002D76EE"/>
    <w:p w14:paraId="6D7B66DC" w14:textId="77777777" w:rsidR="00107FCF" w:rsidRPr="006A7CE0" w:rsidRDefault="00107FCF" w:rsidP="00A21647">
      <w:pPr>
        <w:ind w:left="360"/>
        <w:sectPr w:rsidR="00107FCF" w:rsidRPr="006A7CE0" w:rsidSect="009E3EBE">
          <w:headerReference w:type="default" r:id="rId9"/>
          <w:footerReference w:type="default" r:id="rId10"/>
          <w:pgSz w:w="11907" w:h="16840" w:code="9"/>
          <w:pgMar w:top="1701" w:right="1985" w:bottom="1701" w:left="1985" w:header="567" w:footer="567" w:gutter="0"/>
          <w:pgNumType w:start="1"/>
          <w:cols w:space="708"/>
          <w:formProt w:val="0"/>
          <w:docGrid w:linePitch="326"/>
        </w:sectPr>
      </w:pPr>
    </w:p>
    <w:p w14:paraId="3225FC89" w14:textId="77777777" w:rsidR="00107FCF" w:rsidRDefault="00107FCF" w:rsidP="006D41A7">
      <w:pPr>
        <w:pStyle w:val="ReportLevel1"/>
        <w:numPr>
          <w:ilvl w:val="0"/>
          <w:numId w:val="4"/>
        </w:numPr>
      </w:pPr>
      <w:bookmarkStart w:id="11" w:name="_Toc342563262"/>
      <w:bookmarkStart w:id="12" w:name="Text"/>
      <w:bookmarkStart w:id="13" w:name="_Toc80608713"/>
      <w:bookmarkEnd w:id="11"/>
      <w:bookmarkEnd w:id="12"/>
      <w:r>
        <w:lastRenderedPageBreak/>
        <w:t>Wstęp</w:t>
      </w:r>
      <w:bookmarkEnd w:id="13"/>
    </w:p>
    <w:p w14:paraId="262E74F3" w14:textId="7975B7D6" w:rsidR="00E556AA" w:rsidRDefault="00E556AA" w:rsidP="00E556AA">
      <w:pPr>
        <w:pStyle w:val="ReportText"/>
        <w:jc w:val="both"/>
      </w:pPr>
      <w:r>
        <w:t xml:space="preserve">Niniejszy dokument stanowi przegląd i aktualizację planu zarządzania ryzykiem powodziowym </w:t>
      </w:r>
      <w:r w:rsidRPr="002212CA">
        <w:t xml:space="preserve">od strony morza, w tym morskich wód wewnętrznych </w:t>
      </w:r>
      <w:r>
        <w:t xml:space="preserve">dla obszaru dorzecza </w:t>
      </w:r>
      <w:r w:rsidR="00203A6E">
        <w:t>Odry</w:t>
      </w:r>
      <w:r>
        <w:t xml:space="preserve"> będącego częścią </w:t>
      </w:r>
      <w:r w:rsidRPr="002212CA">
        <w:t>plan</w:t>
      </w:r>
      <w:r>
        <w:t>ów</w:t>
      </w:r>
      <w:r w:rsidRPr="002212CA">
        <w:t xml:space="preserve"> zarządzania ryzykiem powodziowym przyjętych </w:t>
      </w:r>
      <w:r>
        <w:t xml:space="preserve">do realizacji w 2016 roku, w formie rozporządzenia Rady Ministrów z dnia 18 października 2016 r. w sprawie przyjęcia planów zarządzania ryzykiem powodziowym dla obszarów dorzeczy </w:t>
      </w:r>
      <w:r w:rsidR="00203A6E">
        <w:t>Odry</w:t>
      </w:r>
      <w:r>
        <w:t>. Celem Planu Zarządzania Ryzykiem Powodziowym jest stworzenie skutecznego zarządzania ryzykiem powodziowym w przyszłości, stwarzając jednocześnie szanse na proaktywne podejście w inicjowaniu i wdrażaniu działań inwestycyjnych oraz instrumentów wspomagających.</w:t>
      </w:r>
    </w:p>
    <w:p w14:paraId="1C5D5C8C" w14:textId="77777777" w:rsidR="00E556AA" w:rsidRPr="00FA756D" w:rsidRDefault="00E556AA" w:rsidP="00E556AA">
      <w:pPr>
        <w:pStyle w:val="ReportText"/>
        <w:jc w:val="both"/>
      </w:pPr>
      <w:r w:rsidRPr="00FA756D">
        <w:t xml:space="preserve">Podstawy prawne dla </w:t>
      </w:r>
      <w:r>
        <w:t xml:space="preserve">opracowania </w:t>
      </w:r>
      <w:r w:rsidRPr="00FA756D">
        <w:t>planów zarządzania ryzykiem powodziowym, w tym ich przeglądu i aktualizacji, tworzą:</w:t>
      </w:r>
    </w:p>
    <w:p w14:paraId="44B41BC2" w14:textId="77777777" w:rsidR="00E556AA" w:rsidRPr="00FA756D" w:rsidRDefault="00E556AA" w:rsidP="006D41A7">
      <w:pPr>
        <w:pStyle w:val="ReportText"/>
        <w:numPr>
          <w:ilvl w:val="0"/>
          <w:numId w:val="17"/>
        </w:numPr>
        <w:spacing w:before="120" w:after="120"/>
        <w:jc w:val="both"/>
      </w:pPr>
      <w:r w:rsidRPr="00FA756D">
        <w:t>Ustawa z dnia 20 lipca 2017 r. Prawo wodne (</w:t>
      </w:r>
      <w:r w:rsidRPr="004D32D9">
        <w:t>Dz. U. z 2021 r. poz. 624</w:t>
      </w:r>
      <w:r w:rsidRPr="001A7FC6">
        <w:t xml:space="preserve"> ze zm.</w:t>
      </w:r>
      <w:r w:rsidRPr="00FA756D">
        <w:t>)</w:t>
      </w:r>
      <w:r>
        <w:t>;</w:t>
      </w:r>
    </w:p>
    <w:p w14:paraId="4C99C475" w14:textId="77777777" w:rsidR="00E556AA" w:rsidRPr="00FA756D" w:rsidRDefault="00E556AA" w:rsidP="006D41A7">
      <w:pPr>
        <w:pStyle w:val="ReportText"/>
        <w:numPr>
          <w:ilvl w:val="0"/>
          <w:numId w:val="17"/>
        </w:numPr>
        <w:spacing w:before="120" w:after="120"/>
        <w:jc w:val="both"/>
      </w:pPr>
      <w:r w:rsidRPr="00FA756D">
        <w:t>Dyrektywa 2007/60/WE Parlamentu Europejskiego i Rady z dnia 23 października 2007 r. w sprawie oceny ryzyka powodziowego i zarządzania nim (</w:t>
      </w:r>
      <w:r>
        <w:t>DP</w:t>
      </w:r>
      <w:r w:rsidRPr="00FA756D">
        <w:t>)</w:t>
      </w:r>
      <w:r>
        <w:t>;</w:t>
      </w:r>
    </w:p>
    <w:p w14:paraId="42129452" w14:textId="77777777" w:rsidR="00E556AA" w:rsidRPr="00FA756D" w:rsidRDefault="00E556AA" w:rsidP="006D41A7">
      <w:pPr>
        <w:pStyle w:val="ReportText"/>
        <w:numPr>
          <w:ilvl w:val="0"/>
          <w:numId w:val="17"/>
        </w:numPr>
        <w:spacing w:before="120" w:after="120"/>
        <w:jc w:val="both"/>
      </w:pPr>
      <w:r w:rsidRPr="00FA756D">
        <w:t>Rozporządzenie Ministra Gospodarki Morskiej i Żeglugi Śródlądowej z dnia 4 października 2018 roku w sprawie opracowywania map zagrożenia powodziowego oraz map ryzyka powodziowego (Dz.U. z 2018 r. poz. 2031).</w:t>
      </w:r>
    </w:p>
    <w:p w14:paraId="5DD0E322" w14:textId="77777777" w:rsidR="00E556AA" w:rsidRPr="00FA756D" w:rsidRDefault="00E556AA" w:rsidP="00E556AA">
      <w:pPr>
        <w:pStyle w:val="ReportText"/>
        <w:jc w:val="both"/>
      </w:pPr>
      <w:r w:rsidRPr="00FA756D">
        <w:t xml:space="preserve">Innymi istotnymi aktami prawnymi dla procesu przygotowania, przeglądu i aktualizacji PZRP są: </w:t>
      </w:r>
    </w:p>
    <w:p w14:paraId="31A664EC" w14:textId="77777777" w:rsidR="00E556AA" w:rsidRPr="00FA756D" w:rsidRDefault="00E556AA" w:rsidP="006D41A7">
      <w:pPr>
        <w:pStyle w:val="ReportText"/>
        <w:numPr>
          <w:ilvl w:val="0"/>
          <w:numId w:val="17"/>
        </w:numPr>
        <w:spacing w:before="120" w:after="120"/>
        <w:jc w:val="both"/>
      </w:pPr>
      <w:r w:rsidRPr="00FA756D">
        <w:t>Dyrektywa 2000/60/WE Parlamentu Europejskiego i Rady z dnia 23 października 2000 r. ustanawiająca ramy wspólnotowego działania w dziedzinie polityki wodnej (Ramowa Dyrektywa Wodna)</w:t>
      </w:r>
      <w:r>
        <w:t>;</w:t>
      </w:r>
    </w:p>
    <w:p w14:paraId="577A75D8" w14:textId="77777777" w:rsidR="00E556AA" w:rsidRPr="00FA756D" w:rsidRDefault="00E556AA" w:rsidP="006D41A7">
      <w:pPr>
        <w:pStyle w:val="ReportText"/>
        <w:numPr>
          <w:ilvl w:val="0"/>
          <w:numId w:val="17"/>
        </w:numPr>
        <w:spacing w:before="120" w:after="120"/>
        <w:jc w:val="both"/>
      </w:pPr>
      <w:r w:rsidRPr="00FA756D">
        <w:t>Ustawa z dnia 3 października 2008 r. o udostępnianiu informacji o środowisku i jego ochronie, udziale społeczeństwa w ochronie środowiska oraz o ocenach oddziaływania na środowisko (</w:t>
      </w:r>
      <w:r w:rsidRPr="001A7FC6">
        <w:t xml:space="preserve">Dz.U. 2021 poz. 247 </w:t>
      </w:r>
      <w:r w:rsidRPr="00FA756D">
        <w:t>ze zm.)</w:t>
      </w:r>
      <w:r>
        <w:t>;</w:t>
      </w:r>
    </w:p>
    <w:p w14:paraId="1007BD95" w14:textId="77777777" w:rsidR="00E556AA" w:rsidRPr="00FA756D" w:rsidRDefault="00E556AA" w:rsidP="006D41A7">
      <w:pPr>
        <w:pStyle w:val="ReportText"/>
        <w:numPr>
          <w:ilvl w:val="0"/>
          <w:numId w:val="17"/>
        </w:numPr>
        <w:spacing w:before="120" w:after="120"/>
        <w:jc w:val="both"/>
      </w:pPr>
      <w:r w:rsidRPr="00FA756D">
        <w:t>Dyrektywa 2009/147/WE z 30 listopada 2009 r. w sprawie ochrony dzikiego ptactwa</w:t>
      </w:r>
      <w:r>
        <w:t>;</w:t>
      </w:r>
    </w:p>
    <w:p w14:paraId="1400B601" w14:textId="77777777" w:rsidR="00E556AA" w:rsidRPr="00FA756D" w:rsidRDefault="00E556AA" w:rsidP="006D41A7">
      <w:pPr>
        <w:pStyle w:val="ReportText"/>
        <w:numPr>
          <w:ilvl w:val="0"/>
          <w:numId w:val="17"/>
        </w:numPr>
        <w:spacing w:before="120" w:after="120"/>
        <w:jc w:val="both"/>
      </w:pPr>
      <w:r w:rsidRPr="00FA756D">
        <w:t>Dyrektywa 92/43/EWG w sprawie ochrony siedlisk przyrodniczych oraz dzikiej fauny i flory</w:t>
      </w:r>
      <w:r>
        <w:t>;</w:t>
      </w:r>
    </w:p>
    <w:p w14:paraId="7A52F2AA" w14:textId="77777777" w:rsidR="00E556AA" w:rsidRPr="00FA756D" w:rsidRDefault="00E556AA" w:rsidP="006D41A7">
      <w:pPr>
        <w:pStyle w:val="ReportText"/>
        <w:numPr>
          <w:ilvl w:val="0"/>
          <w:numId w:val="17"/>
        </w:numPr>
        <w:spacing w:before="120" w:after="120"/>
        <w:jc w:val="both"/>
      </w:pPr>
      <w:r w:rsidRPr="00FA756D">
        <w:t>Ustawa o infrastrukturze informacji przestrzennej z dnia 4 marca 2010 r. (Dz.U. 2020 poz. 177 ze zm.)</w:t>
      </w:r>
      <w:r>
        <w:t>;</w:t>
      </w:r>
    </w:p>
    <w:p w14:paraId="5B346DB3" w14:textId="77777777" w:rsidR="00E556AA" w:rsidRPr="00FA756D" w:rsidRDefault="00E556AA" w:rsidP="006D41A7">
      <w:pPr>
        <w:pStyle w:val="ReportText"/>
        <w:numPr>
          <w:ilvl w:val="0"/>
          <w:numId w:val="17"/>
        </w:numPr>
        <w:spacing w:before="120" w:after="120"/>
        <w:jc w:val="both"/>
      </w:pPr>
      <w:r w:rsidRPr="00FA756D">
        <w:t>Dyrektywa 2007/2/WE Parlamentu Europejskiego i Rady z dnia 14 marca 2007 r. ustanawiająca infrastrukturę informacji przestrzennej we Wspólnocie Europejskiej (Dyrektywa INSPIRE).</w:t>
      </w:r>
    </w:p>
    <w:p w14:paraId="34E0CE20" w14:textId="77777777" w:rsidR="00E556AA" w:rsidRPr="00FA756D" w:rsidRDefault="00E556AA" w:rsidP="00E556AA">
      <w:pPr>
        <w:pStyle w:val="ReportText"/>
        <w:jc w:val="both"/>
      </w:pPr>
      <w:r>
        <w:t>Realizacja p</w:t>
      </w:r>
      <w:r w:rsidRPr="00FA756D">
        <w:t>lan</w:t>
      </w:r>
      <w:r>
        <w:t>ów</w:t>
      </w:r>
      <w:r w:rsidRPr="00FA756D">
        <w:t xml:space="preserve"> zarządzania ryzykiem powodziowym </w:t>
      </w:r>
      <w:r>
        <w:t>od strony morza, w tym od morskich wód wewnętrznych wymaga przeprowadzenia kilkuetapowych prac przygotowawczych</w:t>
      </w:r>
      <w:r w:rsidRPr="00FA756D">
        <w:t xml:space="preserve">. Zgodnie z Dyrektywą Powodziową oraz ustawą Prawo wodne, plany zarządzania ryzykiem powodziowym </w:t>
      </w:r>
      <w:r>
        <w:t xml:space="preserve">od strony morza </w:t>
      </w:r>
      <w:r w:rsidRPr="00FA756D">
        <w:t>muszą być poprzedzone opracowaniem</w:t>
      </w:r>
      <w:r>
        <w:t xml:space="preserve"> (art. 315 </w:t>
      </w:r>
      <w:r w:rsidRPr="007E36FE">
        <w:t>Prawo wodne (Dz. U. z 2021 r. poz. 624 ze zm.)</w:t>
      </w:r>
      <w:r>
        <w:t>)</w:t>
      </w:r>
      <w:r w:rsidRPr="00FA756D">
        <w:t>:</w:t>
      </w:r>
    </w:p>
    <w:p w14:paraId="2F50637D" w14:textId="77777777" w:rsidR="00E556AA" w:rsidRPr="00FA756D" w:rsidRDefault="00E556AA" w:rsidP="006D41A7">
      <w:pPr>
        <w:pStyle w:val="ReportText"/>
        <w:numPr>
          <w:ilvl w:val="0"/>
          <w:numId w:val="17"/>
        </w:numPr>
        <w:spacing w:before="120" w:after="120"/>
        <w:jc w:val="both"/>
      </w:pPr>
      <w:r w:rsidRPr="00FA756D">
        <w:lastRenderedPageBreak/>
        <w:t>Wstępnej oceny ryzyka powodziowego od strony morza, w tym morskich wód wewnętrznych (WORP), której zadaniem jest określenie obszarów narażonych na niebezpieczeństwo powodzi, dla których w pierwszej kolejności opracowane zostaną mapy zagrożenia powodziowego i mapy ryzyka powodziowego</w:t>
      </w:r>
      <w:r>
        <w:t xml:space="preserve"> art. 168 pkt. </w:t>
      </w:r>
    </w:p>
    <w:p w14:paraId="3A057F4A" w14:textId="77777777" w:rsidR="00E556AA" w:rsidRPr="00FA756D" w:rsidRDefault="00E556AA" w:rsidP="006D41A7">
      <w:pPr>
        <w:pStyle w:val="ReportText"/>
        <w:numPr>
          <w:ilvl w:val="0"/>
          <w:numId w:val="17"/>
        </w:numPr>
        <w:spacing w:before="120" w:after="120"/>
        <w:jc w:val="both"/>
      </w:pPr>
      <w:r w:rsidRPr="00FA756D">
        <w:t>Map zagrożenia powodziowego od strony morza, w tym morskich wód wewnętrznych</w:t>
      </w:r>
      <w:r w:rsidRPr="001A7FC6">
        <w:t xml:space="preserve"> </w:t>
      </w:r>
      <w:r w:rsidRPr="00FA756D">
        <w:t>(MZ</w:t>
      </w:r>
      <w:r>
        <w:t>P</w:t>
      </w:r>
      <w:r w:rsidRPr="00FA756D">
        <w:t>), przedstawiających zasięgi obszarów, na których prawdopodobieństwo wystąpienia powodzi jest niskie i wynosi p = 0,2% lub na których istnieje prawdopodobieństwo wystąpienia zdarzenia ekstremalnego, obszary szczególnego zagrożenia powodzią oraz obszary obejmujące tereny narażone na zalanie w przypadku uszkodzenia lub zniszczenia wału przeciwpowodziowego, wału przeciwsztormowego lub budowli piętrzącej</w:t>
      </w:r>
      <w:r>
        <w:t>.</w:t>
      </w:r>
    </w:p>
    <w:p w14:paraId="7FF0FB4B" w14:textId="77777777" w:rsidR="00E556AA" w:rsidRPr="00FA756D" w:rsidRDefault="00E556AA" w:rsidP="006D41A7">
      <w:pPr>
        <w:pStyle w:val="ReportText"/>
        <w:numPr>
          <w:ilvl w:val="0"/>
          <w:numId w:val="17"/>
        </w:numPr>
        <w:spacing w:before="120" w:after="120"/>
        <w:jc w:val="both"/>
      </w:pPr>
      <w:r w:rsidRPr="00FA756D">
        <w:t>Map ryzyka powodziowego</w:t>
      </w:r>
      <w:r>
        <w:t xml:space="preserve"> </w:t>
      </w:r>
      <w:r w:rsidRPr="00FA756D">
        <w:t>od strony morza, w tym morskich wód wewnętrznych</w:t>
      </w:r>
      <w:r>
        <w:t xml:space="preserve"> </w:t>
      </w:r>
      <w:r w:rsidRPr="00FA756D">
        <w:t>(MRP), przedstawiających potencjalne negatywne skutki związane z powodzią na obszarach przedstawionych na mapach zagrożenia powodziowego.</w:t>
      </w:r>
    </w:p>
    <w:p w14:paraId="5AE55C0A" w14:textId="77777777" w:rsidR="00E556AA" w:rsidRPr="00FA756D" w:rsidRDefault="00E556AA" w:rsidP="00E556AA">
      <w:pPr>
        <w:pStyle w:val="ReportText"/>
        <w:jc w:val="both"/>
      </w:pPr>
      <w:r>
        <w:t xml:space="preserve">Ustawa </w:t>
      </w:r>
      <w:r w:rsidRPr="00725707">
        <w:t>Praw</w:t>
      </w:r>
      <w:r>
        <w:t>o</w:t>
      </w:r>
      <w:r w:rsidRPr="00725707">
        <w:t xml:space="preserve"> wodne (Dz. U. z 2021 r. poz. 624 ze zm.)</w:t>
      </w:r>
      <w:r>
        <w:t xml:space="preserve"> w art. 168 pkt. 10 oraz art. 171 pkt. 8 wskazuje na potrzebę aktualizacji w/w dokumentów co 6 lat. W art. 168 pkt. 12 oraz art. 171 pkt. 10 PW wskazano, że p</w:t>
      </w:r>
      <w:r w:rsidRPr="00FA756D">
        <w:t>odobny tryb postępowania ma miejsce</w:t>
      </w:r>
      <w:r>
        <w:br/>
      </w:r>
      <w:r w:rsidRPr="00FA756D">
        <w:t>w przypadku przeglądu i aktualizacji wymienionych powyżej dokumentów.</w:t>
      </w:r>
    </w:p>
    <w:p w14:paraId="7D60637E" w14:textId="77777777" w:rsidR="00E556AA" w:rsidRDefault="00E556AA" w:rsidP="008420A5">
      <w:pPr>
        <w:pStyle w:val="ReportText"/>
        <w:jc w:val="both"/>
      </w:pPr>
    </w:p>
    <w:p w14:paraId="58CFD8AE" w14:textId="77777777" w:rsidR="00E556AA" w:rsidRDefault="00E556AA">
      <w:pPr>
        <w:rPr>
          <w:b/>
          <w:color w:val="28AAE1"/>
          <w:sz w:val="32"/>
          <w:szCs w:val="20"/>
          <w:lang w:eastAsia="en-US"/>
        </w:rPr>
      </w:pPr>
      <w:r>
        <w:br w:type="page"/>
      </w:r>
    </w:p>
    <w:p w14:paraId="56E2E9DD" w14:textId="293C0701" w:rsidR="00107FCF" w:rsidRDefault="00AF7C5E" w:rsidP="00AF7C5E">
      <w:pPr>
        <w:pStyle w:val="ReportLevel2"/>
      </w:pPr>
      <w:bookmarkStart w:id="14" w:name="_Toc80608714"/>
      <w:r>
        <w:lastRenderedPageBreak/>
        <w:t>1.1</w:t>
      </w:r>
      <w:r>
        <w:tab/>
      </w:r>
      <w:r w:rsidR="00107FCF">
        <w:t>Zidentyfikowane obszary problemowe</w:t>
      </w:r>
      <w:bookmarkEnd w:id="14"/>
    </w:p>
    <w:p w14:paraId="50A50FCE" w14:textId="77777777" w:rsidR="00BF52F6" w:rsidRDefault="00BF52F6" w:rsidP="008420A5">
      <w:pPr>
        <w:pStyle w:val="ReportText"/>
        <w:jc w:val="both"/>
      </w:pPr>
      <w:r>
        <w:t>Podczas prac nad projektem</w:t>
      </w:r>
      <w:r w:rsidR="00107FCF">
        <w:t xml:space="preserve"> zdefiniowane zostały obszary problemowe dla zlewni planistycznej Dolnej Odry</w:t>
      </w:r>
      <w:r>
        <w:t>, dla których, w następnych krokach definiowano warianty planistyczne ochrony przeciwpowodziowej.</w:t>
      </w:r>
    </w:p>
    <w:p w14:paraId="1594C362" w14:textId="3E68E9B4" w:rsidR="001224FB" w:rsidRDefault="00BF52F6" w:rsidP="008420A5">
      <w:pPr>
        <w:pStyle w:val="ReportText"/>
        <w:jc w:val="both"/>
      </w:pPr>
      <w:r>
        <w:t>Z</w:t>
      </w:r>
      <w:r w:rsidR="00107FCF">
        <w:t xml:space="preserve">identyfikowano sześć obszarów problemowych, dla których prowadzono analizy mające na celu opracowanie listy zadań ograniczających zagrożenie powodziowe od strony morza, w tym morskich wód wewnętrznych. Zestawienie przedmiotowych obszarów przedstawia </w:t>
      </w:r>
      <w:r w:rsidR="001224FB">
        <w:t>Tabela 1. Lokalizację obszarów problemowych pokazują rysunki przedstawione poniżej (Rysunek 1, Rysunek 2, Rysunek 3, Rysunek 4, Rysunek 5, Rysunek 6).</w:t>
      </w:r>
    </w:p>
    <w:p w14:paraId="4ACB3EA7" w14:textId="60A8F353" w:rsidR="00A13D96" w:rsidRPr="001531C4" w:rsidRDefault="00A13D96" w:rsidP="00A13D96">
      <w:pPr>
        <w:pStyle w:val="Legenda"/>
        <w:tabs>
          <w:tab w:val="clear" w:pos="1080"/>
        </w:tabs>
        <w:ind w:left="1134" w:hanging="1134"/>
        <w:jc w:val="both"/>
        <w:rPr>
          <w:sz w:val="24"/>
        </w:rPr>
      </w:pPr>
      <w:bookmarkStart w:id="15" w:name="_Toc80608754"/>
      <w:r w:rsidRPr="001531C4">
        <w:rPr>
          <w:sz w:val="24"/>
        </w:rPr>
        <w:t xml:space="preserve">Tabela </w:t>
      </w:r>
      <w:r w:rsidR="00290AD4">
        <w:rPr>
          <w:sz w:val="24"/>
        </w:rPr>
        <w:fldChar w:fldCharType="begin"/>
      </w:r>
      <w:r w:rsidR="00290AD4">
        <w:rPr>
          <w:sz w:val="24"/>
        </w:rPr>
        <w:instrText xml:space="preserve"> SEQ Tabela \* ARABIC </w:instrText>
      </w:r>
      <w:r w:rsidR="00290AD4">
        <w:rPr>
          <w:sz w:val="24"/>
        </w:rPr>
        <w:fldChar w:fldCharType="separate"/>
      </w:r>
      <w:r w:rsidR="00AC4DF9">
        <w:rPr>
          <w:noProof/>
          <w:sz w:val="24"/>
        </w:rPr>
        <w:t>1</w:t>
      </w:r>
      <w:r w:rsidR="00290AD4">
        <w:rPr>
          <w:sz w:val="24"/>
        </w:rPr>
        <w:fldChar w:fldCharType="end"/>
      </w:r>
      <w:r w:rsidRPr="001531C4">
        <w:rPr>
          <w:sz w:val="24"/>
        </w:rPr>
        <w:t xml:space="preserve"> </w:t>
      </w:r>
      <w:r>
        <w:rPr>
          <w:sz w:val="24"/>
        </w:rPr>
        <w:tab/>
      </w:r>
      <w:r w:rsidRPr="001531C4">
        <w:rPr>
          <w:sz w:val="24"/>
        </w:rPr>
        <w:t>Zidentyfikowane obszary problemowe w obszarze zlewni planistycznej Dolnej Odry (II cykl planistyczny)</w:t>
      </w:r>
      <w:bookmarkEnd w:id="15"/>
    </w:p>
    <w:tbl>
      <w:tblPr>
        <w:tblW w:w="5000" w:type="pct"/>
        <w:tblBorders>
          <w:top w:val="single" w:sz="4" w:space="0" w:color="7ECBED"/>
          <w:left w:val="single" w:sz="4" w:space="0" w:color="7ECBED"/>
          <w:bottom w:val="single" w:sz="4" w:space="0" w:color="7ECBED"/>
          <w:right w:val="single" w:sz="4" w:space="0" w:color="7ECBED"/>
          <w:insideH w:val="single" w:sz="4" w:space="0" w:color="7ECBED"/>
          <w:insideV w:val="single" w:sz="4" w:space="0" w:color="7ECBED"/>
        </w:tblBorders>
        <w:tblLook w:val="0000" w:firstRow="0" w:lastRow="0" w:firstColumn="0" w:lastColumn="0" w:noHBand="0" w:noVBand="0"/>
      </w:tblPr>
      <w:tblGrid>
        <w:gridCol w:w="866"/>
        <w:gridCol w:w="7629"/>
      </w:tblGrid>
      <w:tr w:rsidR="00BF52F6" w:rsidRPr="00507221" w14:paraId="237E2AE7" w14:textId="77777777" w:rsidTr="00BF52F6">
        <w:trPr>
          <w:trHeight w:val="236"/>
        </w:trPr>
        <w:tc>
          <w:tcPr>
            <w:tcW w:w="510" w:type="pct"/>
            <w:shd w:val="clear" w:color="auto" w:fill="D4EDF9"/>
          </w:tcPr>
          <w:p w14:paraId="7859B32D" w14:textId="77777777" w:rsidR="00BF52F6" w:rsidRPr="00507221" w:rsidRDefault="00BF52F6" w:rsidP="00BF52F6">
            <w:pPr>
              <w:pStyle w:val="NormalnyWeb"/>
              <w:spacing w:before="60" w:beforeAutospacing="0" w:after="60"/>
              <w:jc w:val="center"/>
              <w:textAlignment w:val="center"/>
              <w:rPr>
                <w:rFonts w:ascii="Arial" w:hAnsi="Arial" w:cs="Arial"/>
                <w:color w:val="1881AE"/>
                <w:lang w:eastAsia="pl-PL"/>
              </w:rPr>
            </w:pPr>
            <w:bookmarkStart w:id="16" w:name="_Ref70537230"/>
            <w:r w:rsidRPr="00507221">
              <w:rPr>
                <w:color w:val="000000"/>
                <w:kern w:val="24"/>
              </w:rPr>
              <w:t>Lp.</w:t>
            </w:r>
          </w:p>
        </w:tc>
        <w:tc>
          <w:tcPr>
            <w:tcW w:w="4490" w:type="pct"/>
            <w:shd w:val="clear" w:color="auto" w:fill="D4EDF9"/>
          </w:tcPr>
          <w:p w14:paraId="243BC195" w14:textId="77777777" w:rsidR="00BF52F6" w:rsidRPr="00507221" w:rsidRDefault="00BF52F6" w:rsidP="00BF52F6">
            <w:pPr>
              <w:pStyle w:val="NormalnyWeb"/>
              <w:spacing w:before="60" w:beforeAutospacing="0" w:after="60"/>
              <w:textAlignment w:val="bottom"/>
              <w:rPr>
                <w:rFonts w:ascii="Arial" w:hAnsi="Arial" w:cs="Arial"/>
                <w:color w:val="1881AE"/>
              </w:rPr>
            </w:pPr>
            <w:r w:rsidRPr="00507221">
              <w:rPr>
                <w:color w:val="000000"/>
                <w:kern w:val="24"/>
              </w:rPr>
              <w:t xml:space="preserve">  Nazwa obszaru problemowego</w:t>
            </w:r>
          </w:p>
        </w:tc>
      </w:tr>
      <w:tr w:rsidR="00BF52F6" w:rsidRPr="00507221" w14:paraId="19085BAA" w14:textId="77777777" w:rsidTr="00BF52F6">
        <w:trPr>
          <w:trHeight w:val="287"/>
        </w:trPr>
        <w:tc>
          <w:tcPr>
            <w:tcW w:w="510" w:type="pct"/>
          </w:tcPr>
          <w:p w14:paraId="3A40951E" w14:textId="77777777" w:rsidR="00BF52F6" w:rsidRPr="00507221" w:rsidRDefault="00BF52F6" w:rsidP="00BF52F6">
            <w:pPr>
              <w:pStyle w:val="NormalnyWeb"/>
              <w:spacing w:before="60" w:beforeAutospacing="0" w:after="60"/>
              <w:jc w:val="center"/>
              <w:textAlignment w:val="center"/>
              <w:rPr>
                <w:rFonts w:ascii="Arial" w:hAnsi="Arial" w:cs="Arial"/>
                <w:color w:val="1881AE"/>
              </w:rPr>
            </w:pPr>
            <w:r w:rsidRPr="00507221">
              <w:rPr>
                <w:color w:val="000000"/>
                <w:kern w:val="24"/>
              </w:rPr>
              <w:t>1</w:t>
            </w:r>
          </w:p>
        </w:tc>
        <w:tc>
          <w:tcPr>
            <w:tcW w:w="4490" w:type="pct"/>
          </w:tcPr>
          <w:p w14:paraId="5AA57863" w14:textId="77777777" w:rsidR="00BF52F6" w:rsidRPr="00507221" w:rsidRDefault="00BF52F6" w:rsidP="00BF52F6">
            <w:pPr>
              <w:pStyle w:val="NormalnyWeb"/>
              <w:tabs>
                <w:tab w:val="left" w:pos="1553"/>
              </w:tabs>
              <w:spacing w:before="60" w:beforeAutospacing="0" w:after="60"/>
              <w:ind w:firstLine="144"/>
              <w:textAlignment w:val="center"/>
              <w:rPr>
                <w:rFonts w:ascii="Arial" w:hAnsi="Arial" w:cs="Arial"/>
                <w:color w:val="1881AE"/>
              </w:rPr>
            </w:pPr>
            <w:r w:rsidRPr="00507221">
              <w:rPr>
                <w:color w:val="000000"/>
                <w:kern w:val="24"/>
              </w:rPr>
              <w:t>IOP_3 Świnoujście - Cieśnina Świna</w:t>
            </w:r>
          </w:p>
        </w:tc>
      </w:tr>
      <w:tr w:rsidR="00BF52F6" w:rsidRPr="00507221" w14:paraId="0C389883" w14:textId="77777777" w:rsidTr="00BF52F6">
        <w:trPr>
          <w:trHeight w:val="222"/>
        </w:trPr>
        <w:tc>
          <w:tcPr>
            <w:tcW w:w="510" w:type="pct"/>
          </w:tcPr>
          <w:p w14:paraId="70B1393C" w14:textId="77777777" w:rsidR="00BF52F6" w:rsidRPr="00507221" w:rsidRDefault="00BF52F6" w:rsidP="00BF52F6">
            <w:pPr>
              <w:pStyle w:val="NormalnyWeb"/>
              <w:spacing w:before="60" w:beforeAutospacing="0" w:after="60"/>
              <w:jc w:val="center"/>
              <w:textAlignment w:val="center"/>
              <w:rPr>
                <w:rFonts w:ascii="Arial" w:hAnsi="Arial" w:cs="Arial"/>
                <w:color w:val="1881AE"/>
              </w:rPr>
            </w:pPr>
            <w:r w:rsidRPr="00507221">
              <w:rPr>
                <w:color w:val="000000"/>
                <w:kern w:val="24"/>
              </w:rPr>
              <w:t>2</w:t>
            </w:r>
          </w:p>
        </w:tc>
        <w:tc>
          <w:tcPr>
            <w:tcW w:w="4490" w:type="pct"/>
          </w:tcPr>
          <w:p w14:paraId="59EDA0A4" w14:textId="77777777" w:rsidR="00BF52F6" w:rsidRPr="00507221" w:rsidRDefault="00BF52F6" w:rsidP="00BF52F6">
            <w:pPr>
              <w:pStyle w:val="NormalnyWeb"/>
              <w:tabs>
                <w:tab w:val="left" w:pos="1553"/>
              </w:tabs>
              <w:spacing w:before="60" w:beforeAutospacing="0" w:after="60"/>
              <w:ind w:firstLine="144"/>
              <w:textAlignment w:val="center"/>
              <w:rPr>
                <w:rFonts w:ascii="Arial" w:hAnsi="Arial" w:cs="Arial"/>
                <w:color w:val="1881AE"/>
              </w:rPr>
            </w:pPr>
            <w:r w:rsidRPr="00507221">
              <w:rPr>
                <w:color w:val="000000"/>
                <w:kern w:val="24"/>
              </w:rPr>
              <w:t>IOP_4   Kołobrzeg - ujście Parsęty</w:t>
            </w:r>
          </w:p>
        </w:tc>
      </w:tr>
      <w:tr w:rsidR="00BF52F6" w:rsidRPr="00507221" w14:paraId="3D12F4C6" w14:textId="77777777" w:rsidTr="00BF52F6">
        <w:trPr>
          <w:trHeight w:val="292"/>
        </w:trPr>
        <w:tc>
          <w:tcPr>
            <w:tcW w:w="510" w:type="pct"/>
          </w:tcPr>
          <w:p w14:paraId="723F8066" w14:textId="77777777" w:rsidR="00BF52F6" w:rsidRPr="00507221" w:rsidRDefault="00BF52F6" w:rsidP="00BF52F6">
            <w:pPr>
              <w:pStyle w:val="NormalnyWeb"/>
              <w:spacing w:before="60" w:beforeAutospacing="0" w:after="60"/>
              <w:jc w:val="center"/>
              <w:textAlignment w:val="center"/>
              <w:rPr>
                <w:rFonts w:ascii="Arial" w:hAnsi="Arial" w:cs="Arial"/>
                <w:color w:val="1881AE"/>
              </w:rPr>
            </w:pPr>
            <w:r w:rsidRPr="00507221">
              <w:rPr>
                <w:color w:val="000000"/>
                <w:kern w:val="24"/>
              </w:rPr>
              <w:t>3</w:t>
            </w:r>
          </w:p>
        </w:tc>
        <w:tc>
          <w:tcPr>
            <w:tcW w:w="4490" w:type="pct"/>
          </w:tcPr>
          <w:p w14:paraId="092DCCB5" w14:textId="77777777" w:rsidR="00BF52F6" w:rsidRPr="00507221" w:rsidRDefault="00BF52F6" w:rsidP="00BF52F6">
            <w:pPr>
              <w:pStyle w:val="NormalnyWeb"/>
              <w:tabs>
                <w:tab w:val="left" w:pos="1553"/>
              </w:tabs>
              <w:spacing w:before="60" w:beforeAutospacing="0" w:after="60"/>
              <w:ind w:firstLine="144"/>
              <w:textAlignment w:val="center"/>
              <w:rPr>
                <w:rFonts w:ascii="Arial" w:hAnsi="Arial" w:cs="Arial"/>
                <w:color w:val="1881AE"/>
              </w:rPr>
            </w:pPr>
            <w:r w:rsidRPr="00507221">
              <w:rPr>
                <w:color w:val="000000"/>
                <w:kern w:val="24"/>
              </w:rPr>
              <w:t>IOP_6   Darłowo - ujście Wieprzy</w:t>
            </w:r>
          </w:p>
        </w:tc>
      </w:tr>
      <w:tr w:rsidR="00BF52F6" w:rsidRPr="00507221" w14:paraId="38222EC2" w14:textId="77777777" w:rsidTr="00BF52F6">
        <w:trPr>
          <w:trHeight w:val="272"/>
        </w:trPr>
        <w:tc>
          <w:tcPr>
            <w:tcW w:w="510" w:type="pct"/>
          </w:tcPr>
          <w:p w14:paraId="1B45328A" w14:textId="77777777" w:rsidR="00BF52F6" w:rsidRPr="00507221" w:rsidRDefault="00BF52F6" w:rsidP="00BF52F6">
            <w:pPr>
              <w:pStyle w:val="NormalnyWeb"/>
              <w:spacing w:before="60" w:beforeAutospacing="0" w:after="60"/>
              <w:jc w:val="center"/>
              <w:textAlignment w:val="center"/>
              <w:rPr>
                <w:rFonts w:ascii="Arial" w:hAnsi="Arial" w:cs="Arial"/>
                <w:color w:val="1881AE"/>
              </w:rPr>
            </w:pPr>
            <w:r w:rsidRPr="00507221">
              <w:rPr>
                <w:color w:val="000000"/>
                <w:kern w:val="24"/>
              </w:rPr>
              <w:t>4</w:t>
            </w:r>
          </w:p>
        </w:tc>
        <w:tc>
          <w:tcPr>
            <w:tcW w:w="4490" w:type="pct"/>
          </w:tcPr>
          <w:p w14:paraId="48B08D1B" w14:textId="77777777" w:rsidR="00BF52F6" w:rsidRPr="00507221" w:rsidRDefault="00BF52F6" w:rsidP="00BF52F6">
            <w:pPr>
              <w:pStyle w:val="NormalnyWeb"/>
              <w:tabs>
                <w:tab w:val="left" w:pos="1553"/>
              </w:tabs>
              <w:spacing w:before="60" w:beforeAutospacing="0" w:after="60"/>
              <w:ind w:firstLine="144"/>
              <w:textAlignment w:val="center"/>
              <w:rPr>
                <w:rFonts w:ascii="Arial" w:hAnsi="Arial" w:cs="Arial"/>
                <w:color w:val="1881AE"/>
              </w:rPr>
            </w:pPr>
            <w:r w:rsidRPr="00507221">
              <w:rPr>
                <w:color w:val="000000"/>
                <w:kern w:val="24"/>
              </w:rPr>
              <w:t>IOP_9   Trzebież - polder Trzebież II</w:t>
            </w:r>
          </w:p>
        </w:tc>
      </w:tr>
      <w:tr w:rsidR="00BF52F6" w:rsidRPr="00507221" w14:paraId="66B2E06F" w14:textId="77777777" w:rsidTr="00BF52F6">
        <w:trPr>
          <w:trHeight w:val="222"/>
        </w:trPr>
        <w:tc>
          <w:tcPr>
            <w:tcW w:w="510" w:type="pct"/>
          </w:tcPr>
          <w:p w14:paraId="12689C2D" w14:textId="77777777" w:rsidR="00BF52F6" w:rsidRPr="00507221" w:rsidRDefault="00BF52F6" w:rsidP="00BF52F6">
            <w:pPr>
              <w:pStyle w:val="NormalnyWeb"/>
              <w:spacing w:before="60" w:beforeAutospacing="0" w:after="60"/>
              <w:jc w:val="center"/>
              <w:textAlignment w:val="center"/>
              <w:rPr>
                <w:rFonts w:ascii="Arial" w:hAnsi="Arial" w:cs="Arial"/>
                <w:color w:val="1881AE"/>
              </w:rPr>
            </w:pPr>
            <w:r w:rsidRPr="00507221">
              <w:rPr>
                <w:color w:val="000000"/>
                <w:kern w:val="24"/>
              </w:rPr>
              <w:t>5</w:t>
            </w:r>
          </w:p>
        </w:tc>
        <w:tc>
          <w:tcPr>
            <w:tcW w:w="4490" w:type="pct"/>
          </w:tcPr>
          <w:p w14:paraId="523C19B4" w14:textId="77777777" w:rsidR="00BF52F6" w:rsidRPr="00507221" w:rsidRDefault="00BF52F6" w:rsidP="00BF52F6">
            <w:pPr>
              <w:pStyle w:val="NormalnyWeb"/>
              <w:tabs>
                <w:tab w:val="left" w:pos="1553"/>
              </w:tabs>
              <w:spacing w:before="60" w:beforeAutospacing="0" w:after="60"/>
              <w:ind w:left="144"/>
              <w:textAlignment w:val="center"/>
              <w:rPr>
                <w:rFonts w:ascii="Arial" w:hAnsi="Arial" w:cs="Arial"/>
                <w:color w:val="1881AE"/>
              </w:rPr>
            </w:pPr>
            <w:r w:rsidRPr="00507221">
              <w:rPr>
                <w:color w:val="000000"/>
                <w:kern w:val="24"/>
              </w:rPr>
              <w:t>IOP_10 Stepnica północ - Kanał Kłosowicza</w:t>
            </w:r>
          </w:p>
        </w:tc>
      </w:tr>
      <w:tr w:rsidR="00BF52F6" w:rsidRPr="00507221" w14:paraId="72BA47BD" w14:textId="77777777" w:rsidTr="00BF52F6">
        <w:trPr>
          <w:trHeight w:val="222"/>
        </w:trPr>
        <w:tc>
          <w:tcPr>
            <w:tcW w:w="510" w:type="pct"/>
          </w:tcPr>
          <w:p w14:paraId="7758FE8D" w14:textId="77777777" w:rsidR="00BF52F6" w:rsidRPr="00507221" w:rsidRDefault="00BF52F6" w:rsidP="00BF52F6">
            <w:pPr>
              <w:pStyle w:val="NormalnyWeb"/>
              <w:spacing w:before="60" w:beforeAutospacing="0" w:after="60"/>
              <w:jc w:val="center"/>
              <w:textAlignment w:val="center"/>
              <w:rPr>
                <w:rFonts w:ascii="Arial" w:hAnsi="Arial" w:cs="Arial"/>
                <w:color w:val="1881AE"/>
              </w:rPr>
            </w:pPr>
            <w:r w:rsidRPr="00507221">
              <w:rPr>
                <w:color w:val="000000"/>
                <w:kern w:val="24"/>
              </w:rPr>
              <w:t>6</w:t>
            </w:r>
          </w:p>
        </w:tc>
        <w:tc>
          <w:tcPr>
            <w:tcW w:w="4490" w:type="pct"/>
          </w:tcPr>
          <w:p w14:paraId="2C2A6D92" w14:textId="77777777" w:rsidR="00BF52F6" w:rsidRPr="00507221" w:rsidRDefault="00BF52F6" w:rsidP="00BF52F6">
            <w:pPr>
              <w:pStyle w:val="NormalnyWeb"/>
              <w:tabs>
                <w:tab w:val="left" w:pos="1553"/>
              </w:tabs>
              <w:spacing w:before="60" w:beforeAutospacing="0" w:after="60"/>
              <w:ind w:left="144"/>
              <w:textAlignment w:val="center"/>
              <w:rPr>
                <w:rFonts w:ascii="Arial" w:hAnsi="Arial" w:cs="Arial"/>
                <w:color w:val="1881AE"/>
              </w:rPr>
            </w:pPr>
            <w:r w:rsidRPr="00507221">
              <w:rPr>
                <w:color w:val="000000"/>
                <w:kern w:val="24"/>
              </w:rPr>
              <w:t>IOP_11 Nowe Warpno - okolice Jeziora Nowowarpieńskiego</w:t>
            </w:r>
          </w:p>
        </w:tc>
      </w:tr>
    </w:tbl>
    <w:p w14:paraId="09239AC3" w14:textId="3B4F3CAD" w:rsidR="00BF52F6" w:rsidRDefault="00BF52F6" w:rsidP="00BF52F6">
      <w:pPr>
        <w:pStyle w:val="ReportText"/>
        <w:spacing w:before="0" w:after="0"/>
        <w:ind w:left="1418" w:hanging="1418"/>
        <w:jc w:val="center"/>
      </w:pPr>
      <w:bookmarkStart w:id="17" w:name="_Ref76549980"/>
      <w:bookmarkStart w:id="18" w:name="_Hlk68805291"/>
      <w:bookmarkEnd w:id="16"/>
      <w:r>
        <w:rPr>
          <w:noProof/>
          <w:lang w:eastAsia="pl-PL"/>
        </w:rPr>
        <w:drawing>
          <wp:inline distT="0" distB="0" distL="0" distR="0" wp14:anchorId="69D79F0C" wp14:editId="0FFD8646">
            <wp:extent cx="3960000" cy="3960000"/>
            <wp:effectExtent l="0" t="0" r="2540" b="2540"/>
            <wp:docPr id="29" name="Picture 2" descr="A picture containing 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map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pic:spPr>
                </pic:pic>
              </a:graphicData>
            </a:graphic>
          </wp:inline>
        </w:drawing>
      </w:r>
    </w:p>
    <w:p w14:paraId="1A562D5B" w14:textId="4DEBDAF1" w:rsidR="00107FCF" w:rsidRPr="00D005EE" w:rsidRDefault="00107FCF" w:rsidP="000B5B5D">
      <w:pPr>
        <w:pStyle w:val="ReportText"/>
        <w:spacing w:before="120"/>
        <w:ind w:left="1418" w:hanging="1418"/>
        <w:jc w:val="center"/>
      </w:pPr>
      <w:bookmarkStart w:id="19" w:name="_Toc80608781"/>
      <w:r w:rsidRPr="00D005EE">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1</w:t>
      </w:r>
      <w:r w:rsidR="002622F2">
        <w:rPr>
          <w:noProof/>
        </w:rPr>
        <w:fldChar w:fldCharType="end"/>
      </w:r>
      <w:bookmarkEnd w:id="17"/>
      <w:r w:rsidR="00695B41">
        <w:tab/>
      </w:r>
      <w:r>
        <w:t xml:space="preserve">Lokalizacja obszaru problemowego IOP_3 </w:t>
      </w:r>
      <w:r w:rsidRPr="00F717D6">
        <w:rPr>
          <w:color w:val="000000"/>
          <w:kern w:val="24"/>
          <w:szCs w:val="24"/>
        </w:rPr>
        <w:t>Świnoujście - Cieśnina Świna</w:t>
      </w:r>
      <w:bookmarkEnd w:id="19"/>
    </w:p>
    <w:p w14:paraId="6CE6E7C1" w14:textId="77777777" w:rsidR="00BF52F6" w:rsidRDefault="00107FCF" w:rsidP="000B5B5D">
      <w:pPr>
        <w:pStyle w:val="ReportText"/>
        <w:spacing w:before="120"/>
        <w:ind w:left="1418" w:hanging="1418"/>
        <w:jc w:val="both"/>
      </w:pPr>
      <w:r>
        <w:t xml:space="preserve"> </w:t>
      </w:r>
    </w:p>
    <w:p w14:paraId="7275451E" w14:textId="2CDF64C7" w:rsidR="00BF52F6" w:rsidRDefault="00BF52F6" w:rsidP="00BF52F6">
      <w:pPr>
        <w:pStyle w:val="ReportText"/>
        <w:spacing w:before="120"/>
        <w:ind w:left="1418" w:hanging="1418"/>
        <w:jc w:val="center"/>
      </w:pPr>
      <w:r>
        <w:rPr>
          <w:noProof/>
          <w:lang w:eastAsia="pl-PL"/>
        </w:rPr>
        <w:lastRenderedPageBreak/>
        <w:drawing>
          <wp:inline distT="0" distB="0" distL="0" distR="0" wp14:anchorId="274CB5BD" wp14:editId="7B349FB2">
            <wp:extent cx="3963035" cy="3963035"/>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3035" cy="3963035"/>
                    </a:xfrm>
                    <a:prstGeom prst="rect">
                      <a:avLst/>
                    </a:prstGeom>
                    <a:noFill/>
                  </pic:spPr>
                </pic:pic>
              </a:graphicData>
            </a:graphic>
          </wp:inline>
        </w:drawing>
      </w:r>
    </w:p>
    <w:p w14:paraId="7716CD5A" w14:textId="18D79C82" w:rsidR="00107FCF" w:rsidRDefault="00107FCF" w:rsidP="000B5B5D">
      <w:pPr>
        <w:pStyle w:val="ReportText"/>
        <w:spacing w:before="120"/>
        <w:ind w:left="1418" w:hanging="1418"/>
        <w:jc w:val="both"/>
        <w:rPr>
          <w:color w:val="000000"/>
          <w:kern w:val="24"/>
          <w:szCs w:val="24"/>
        </w:rPr>
      </w:pPr>
      <w:bookmarkStart w:id="20" w:name="_Toc80608782"/>
      <w:r w:rsidRPr="00D005EE">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2</w:t>
      </w:r>
      <w:r w:rsidR="002622F2">
        <w:rPr>
          <w:noProof/>
        </w:rPr>
        <w:fldChar w:fldCharType="end"/>
      </w:r>
      <w:r w:rsidRPr="00D005EE">
        <w:tab/>
      </w:r>
      <w:r>
        <w:t xml:space="preserve">Lokalizacja obszaru problemowego </w:t>
      </w:r>
      <w:r w:rsidRPr="00F717D6">
        <w:rPr>
          <w:color w:val="000000"/>
          <w:kern w:val="24"/>
          <w:szCs w:val="24"/>
        </w:rPr>
        <w:t>IOP_4   Kołobrzeg - ujście Parsęty</w:t>
      </w:r>
      <w:bookmarkEnd w:id="20"/>
    </w:p>
    <w:p w14:paraId="44E5BD97" w14:textId="3CA73082" w:rsidR="00BF52F6" w:rsidRDefault="00BF52F6" w:rsidP="00BF52F6">
      <w:pPr>
        <w:pStyle w:val="ReportText"/>
        <w:spacing w:before="120"/>
        <w:ind w:left="1418" w:hanging="1418"/>
        <w:jc w:val="center"/>
      </w:pPr>
      <w:r>
        <w:rPr>
          <w:noProof/>
          <w:lang w:eastAsia="pl-PL"/>
        </w:rPr>
        <w:drawing>
          <wp:inline distT="0" distB="0" distL="0" distR="0" wp14:anchorId="74FCBF38" wp14:editId="1F40B8F0">
            <wp:extent cx="3960000" cy="3960000"/>
            <wp:effectExtent l="0" t="0" r="2540" b="2540"/>
            <wp:docPr id="26" name="Picture 5"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pic:spPr>
                </pic:pic>
              </a:graphicData>
            </a:graphic>
          </wp:inline>
        </w:drawing>
      </w:r>
    </w:p>
    <w:p w14:paraId="40D0F8F8" w14:textId="533305A6" w:rsidR="00107FCF" w:rsidRPr="00D005EE" w:rsidRDefault="00107FCF" w:rsidP="000B5B5D">
      <w:pPr>
        <w:pStyle w:val="ReportText"/>
        <w:spacing w:before="120"/>
        <w:ind w:left="1418" w:hanging="1418"/>
        <w:jc w:val="center"/>
      </w:pPr>
      <w:bookmarkStart w:id="21" w:name="_Toc80608783"/>
      <w:r w:rsidRPr="00D005EE">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3</w:t>
      </w:r>
      <w:r w:rsidR="002622F2">
        <w:rPr>
          <w:noProof/>
        </w:rPr>
        <w:fldChar w:fldCharType="end"/>
      </w:r>
      <w:r w:rsidRPr="00D005EE">
        <w:tab/>
      </w:r>
      <w:r>
        <w:t xml:space="preserve">Lokalizacja obszaru problemowego </w:t>
      </w:r>
      <w:r w:rsidRPr="00F717D6">
        <w:rPr>
          <w:color w:val="000000"/>
          <w:kern w:val="24"/>
          <w:szCs w:val="24"/>
        </w:rPr>
        <w:t xml:space="preserve">IOP_6   </w:t>
      </w:r>
      <w:r w:rsidRPr="0087285A">
        <w:rPr>
          <w:color w:val="000000"/>
          <w:kern w:val="24"/>
          <w:szCs w:val="24"/>
        </w:rPr>
        <w:t xml:space="preserve">Darłowo - </w:t>
      </w:r>
      <w:r w:rsidRPr="00B95662">
        <w:rPr>
          <w:color w:val="000000"/>
          <w:kern w:val="24"/>
        </w:rPr>
        <w:t>ujście Wieprz</w:t>
      </w:r>
      <w:r w:rsidRPr="0087285A">
        <w:rPr>
          <w:color w:val="000000"/>
          <w:kern w:val="24"/>
        </w:rPr>
        <w:t>y</w:t>
      </w:r>
      <w:bookmarkEnd w:id="21"/>
    </w:p>
    <w:p w14:paraId="7C4315CA" w14:textId="57E6AFCD" w:rsidR="00BF52F6" w:rsidRDefault="00DE4373" w:rsidP="00BF52F6">
      <w:pPr>
        <w:pStyle w:val="ReportText"/>
        <w:spacing w:before="120"/>
        <w:ind w:left="1418" w:hanging="1418"/>
        <w:jc w:val="center"/>
      </w:pPr>
      <w:r>
        <w:rPr>
          <w:noProof/>
          <w:lang w:eastAsia="pl-PL"/>
        </w:rPr>
        <w:lastRenderedPageBreak/>
        <w:drawing>
          <wp:inline distT="0" distB="0" distL="0" distR="0" wp14:anchorId="188EBE02" wp14:editId="4A6447E6">
            <wp:extent cx="3960000" cy="3960000"/>
            <wp:effectExtent l="0" t="0" r="2540" b="2540"/>
            <wp:docPr id="27" name="Picture 4"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pic:spPr>
                </pic:pic>
              </a:graphicData>
            </a:graphic>
          </wp:inline>
        </w:drawing>
      </w:r>
    </w:p>
    <w:p w14:paraId="2845DA3E" w14:textId="11E8FA2F" w:rsidR="00BF52F6" w:rsidRDefault="00107FCF" w:rsidP="00BF52F6">
      <w:pPr>
        <w:pStyle w:val="ReportText"/>
        <w:spacing w:before="120"/>
        <w:ind w:left="1418" w:hanging="1418"/>
        <w:jc w:val="both"/>
      </w:pPr>
      <w:bookmarkStart w:id="22" w:name="_Toc80608784"/>
      <w:r w:rsidRPr="00D005EE">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4</w:t>
      </w:r>
      <w:r w:rsidR="002622F2">
        <w:rPr>
          <w:noProof/>
        </w:rPr>
        <w:fldChar w:fldCharType="end"/>
      </w:r>
      <w:r w:rsidRPr="00D005EE">
        <w:tab/>
      </w:r>
      <w:r>
        <w:t xml:space="preserve">Lokalizacja obszaru problemowego </w:t>
      </w:r>
      <w:r w:rsidRPr="00F717D6">
        <w:rPr>
          <w:color w:val="000000"/>
          <w:kern w:val="24"/>
          <w:szCs w:val="24"/>
        </w:rPr>
        <w:t>IOP_9   Trzebież - polder Trzebież II</w:t>
      </w:r>
      <w:bookmarkEnd w:id="22"/>
    </w:p>
    <w:p w14:paraId="3A28311C" w14:textId="32F0C23C" w:rsidR="00BF52F6" w:rsidRDefault="00BF52F6" w:rsidP="00BF52F6">
      <w:pPr>
        <w:pStyle w:val="ReportText"/>
        <w:spacing w:before="0" w:after="120"/>
        <w:ind w:left="1418" w:hanging="1418"/>
        <w:jc w:val="center"/>
      </w:pPr>
      <w:r>
        <w:rPr>
          <w:noProof/>
          <w:lang w:eastAsia="pl-PL"/>
        </w:rPr>
        <w:drawing>
          <wp:inline distT="0" distB="0" distL="0" distR="0" wp14:anchorId="59584113" wp14:editId="29C56878">
            <wp:extent cx="3960000" cy="3960000"/>
            <wp:effectExtent l="0" t="0" r="2540" b="2540"/>
            <wp:docPr id="24" name="Picture 7"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0000" cy="3960000"/>
                    </a:xfrm>
                    <a:prstGeom prst="rect">
                      <a:avLst/>
                    </a:prstGeom>
                    <a:noFill/>
                  </pic:spPr>
                </pic:pic>
              </a:graphicData>
            </a:graphic>
          </wp:inline>
        </w:drawing>
      </w:r>
    </w:p>
    <w:p w14:paraId="1D5161FB" w14:textId="394368AE" w:rsidR="00107FCF" w:rsidRDefault="00107FCF" w:rsidP="000B5B5D">
      <w:pPr>
        <w:pStyle w:val="ReportText"/>
        <w:spacing w:before="0" w:after="120"/>
        <w:ind w:left="1418" w:hanging="1418"/>
        <w:jc w:val="both"/>
        <w:rPr>
          <w:color w:val="000000"/>
          <w:kern w:val="24"/>
          <w:szCs w:val="24"/>
        </w:rPr>
      </w:pPr>
      <w:bookmarkStart w:id="23" w:name="_Toc80608785"/>
      <w:r w:rsidRPr="00D005EE">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5</w:t>
      </w:r>
      <w:r w:rsidR="002622F2">
        <w:rPr>
          <w:noProof/>
        </w:rPr>
        <w:fldChar w:fldCharType="end"/>
      </w:r>
      <w:r w:rsidRPr="00D005EE">
        <w:tab/>
      </w:r>
      <w:r>
        <w:t xml:space="preserve">Lokalizacja obszaru problemowego </w:t>
      </w:r>
      <w:r w:rsidRPr="00F717D6">
        <w:rPr>
          <w:color w:val="000000"/>
          <w:kern w:val="24"/>
          <w:szCs w:val="24"/>
        </w:rPr>
        <w:t>IOP_10 Stepnica północ - Kanał Kłosowicza</w:t>
      </w:r>
      <w:bookmarkEnd w:id="23"/>
    </w:p>
    <w:p w14:paraId="0ECEA428" w14:textId="0F57E4C6" w:rsidR="00BF52F6" w:rsidRPr="00D005EE" w:rsidRDefault="00BF52F6" w:rsidP="00BF52F6">
      <w:pPr>
        <w:pStyle w:val="ReportText"/>
        <w:spacing w:before="0" w:after="120"/>
        <w:ind w:left="1418" w:hanging="1418"/>
        <w:jc w:val="center"/>
      </w:pPr>
      <w:r>
        <w:rPr>
          <w:noProof/>
          <w:lang w:eastAsia="pl-PL"/>
        </w:rPr>
        <w:lastRenderedPageBreak/>
        <w:drawing>
          <wp:inline distT="0" distB="0" distL="0" distR="0" wp14:anchorId="39F0429E" wp14:editId="51387433">
            <wp:extent cx="3711600" cy="3747600"/>
            <wp:effectExtent l="0" t="0" r="3175" b="5715"/>
            <wp:docPr id="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11600" cy="3747600"/>
                    </a:xfrm>
                    <a:prstGeom prst="rect">
                      <a:avLst/>
                    </a:prstGeom>
                    <a:noFill/>
                  </pic:spPr>
                </pic:pic>
              </a:graphicData>
            </a:graphic>
          </wp:inline>
        </w:drawing>
      </w:r>
    </w:p>
    <w:p w14:paraId="6D5F1799" w14:textId="30752E6C" w:rsidR="00107FCF" w:rsidRPr="007B0FB9" w:rsidRDefault="00107FCF" w:rsidP="000B5B5D">
      <w:pPr>
        <w:pStyle w:val="ReportText"/>
        <w:spacing w:before="120"/>
        <w:ind w:left="1418" w:hanging="1418"/>
        <w:jc w:val="both"/>
        <w:rPr>
          <w:color w:val="000000"/>
          <w:kern w:val="24"/>
          <w:szCs w:val="24"/>
        </w:rPr>
      </w:pPr>
      <w:bookmarkStart w:id="24" w:name="_Ref76549988"/>
      <w:bookmarkStart w:id="25" w:name="_Toc80608786"/>
      <w:r w:rsidRPr="00D005EE">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6</w:t>
      </w:r>
      <w:r w:rsidR="002622F2">
        <w:rPr>
          <w:noProof/>
        </w:rPr>
        <w:fldChar w:fldCharType="end"/>
      </w:r>
      <w:bookmarkEnd w:id="24"/>
      <w:r w:rsidRPr="00D005EE">
        <w:tab/>
      </w:r>
      <w:r>
        <w:t xml:space="preserve">Lokalizacja obszaru problemowego </w:t>
      </w:r>
      <w:r w:rsidRPr="00F717D6">
        <w:rPr>
          <w:color w:val="000000"/>
          <w:kern w:val="24"/>
          <w:szCs w:val="24"/>
        </w:rPr>
        <w:t xml:space="preserve">IOP_11 Nowe Warpno - okolice </w:t>
      </w:r>
      <w:r>
        <w:rPr>
          <w:color w:val="000000"/>
          <w:kern w:val="24"/>
          <w:szCs w:val="24"/>
        </w:rPr>
        <w:t>J</w:t>
      </w:r>
      <w:r w:rsidRPr="00F717D6">
        <w:rPr>
          <w:color w:val="000000"/>
          <w:kern w:val="24"/>
          <w:szCs w:val="24"/>
        </w:rPr>
        <w:t>eziora Nowowarpieńskiego</w:t>
      </w:r>
      <w:bookmarkEnd w:id="25"/>
    </w:p>
    <w:p w14:paraId="74193A18" w14:textId="7A8E2DA6" w:rsidR="00107FCF" w:rsidRDefault="008427BB" w:rsidP="006D41A7">
      <w:pPr>
        <w:pStyle w:val="ReportLevel1"/>
        <w:numPr>
          <w:ilvl w:val="0"/>
          <w:numId w:val="4"/>
        </w:numPr>
      </w:pPr>
      <w:r>
        <w:br w:type="page"/>
      </w:r>
      <w:bookmarkStart w:id="26" w:name="_Toc80608715"/>
      <w:r w:rsidR="00107FCF">
        <w:lastRenderedPageBreak/>
        <w:t>Opracowanie wstępnej listy działań</w:t>
      </w:r>
      <w:bookmarkEnd w:id="26"/>
    </w:p>
    <w:p w14:paraId="06D6B21E" w14:textId="0154D5BF" w:rsidR="00107FCF" w:rsidRPr="006F2787" w:rsidRDefault="00023730" w:rsidP="006F2787">
      <w:pPr>
        <w:pStyle w:val="ReportText"/>
        <w:jc w:val="both"/>
      </w:pPr>
      <w:r>
        <w:t>Po zidentyfikowaniu obszarów problemowych kolejnym krokiem było opracowanie wstępnej listy działań. M</w:t>
      </w:r>
      <w:r w:rsidR="00107FCF">
        <w:t xml:space="preserve">iało </w:t>
      </w:r>
      <w:r>
        <w:t xml:space="preserve">ono </w:t>
      </w:r>
      <w:r w:rsidR="00107FCF">
        <w:t>na celu zidentyfikowanie działań zawartych</w:t>
      </w:r>
      <w:r w:rsidR="00231D6F">
        <w:t xml:space="preserve"> </w:t>
      </w:r>
      <w:r w:rsidR="00107FCF">
        <w:t>m.in. w dokumentach planistycznych i programach strategicznych, którym można przypisać realizację celów zarządzania ryzykiem powodziowym od strony morza, w</w:t>
      </w:r>
      <w:r w:rsidR="001531C4">
        <w:t> </w:t>
      </w:r>
      <w:r w:rsidR="00107FCF">
        <w:t xml:space="preserve">tym morskich wód wewnętrznych. Na wstępie dokonano </w:t>
      </w:r>
      <w:r w:rsidR="00107FCF" w:rsidRPr="006F2787">
        <w:t>przeglądu i weryfikacji listy zadań zamieszczonych w PZRP z I cyklu, wykorzystując</w:t>
      </w:r>
      <w:r w:rsidR="00107FCF">
        <w:t xml:space="preserve"> </w:t>
      </w:r>
      <w:r w:rsidR="00107FCF" w:rsidRPr="006F2787">
        <w:t>do tego m.in. przeprowadzoną</w:t>
      </w:r>
      <w:r w:rsidR="00231D6F">
        <w:t xml:space="preserve"> </w:t>
      </w:r>
      <w:r w:rsidR="00107FCF" w:rsidRPr="006F2787">
        <w:t>w ramach zadania 1.4 ocenę postępów realizacji działań ujętych na</w:t>
      </w:r>
      <w:r w:rsidR="00107FCF">
        <w:t xml:space="preserve"> </w:t>
      </w:r>
      <w:r w:rsidR="00107FCF" w:rsidRPr="006F2787">
        <w:t>listach z PZRP</w:t>
      </w:r>
      <w:r w:rsidR="00231D6F">
        <w:t xml:space="preserve"> </w:t>
      </w:r>
      <w:r w:rsidR="00107FCF" w:rsidRPr="006F2787">
        <w:t>z</w:t>
      </w:r>
      <w:r w:rsidR="00231D6F">
        <w:t> </w:t>
      </w:r>
      <w:r w:rsidR="00107FCF" w:rsidRPr="006F2787">
        <w:t>I</w:t>
      </w:r>
      <w:r w:rsidR="00231D6F">
        <w:t> </w:t>
      </w:r>
      <w:r w:rsidR="00107FCF" w:rsidRPr="006F2787">
        <w:t xml:space="preserve">cyklu planistycznego. </w:t>
      </w:r>
      <w:r w:rsidR="00107FCF">
        <w:t xml:space="preserve">Powyższa lista powstała z uwzględnieniem </w:t>
      </w:r>
      <w:r w:rsidR="00107FCF" w:rsidRPr="006F2787">
        <w:t>możliwości</w:t>
      </w:r>
      <w:r w:rsidR="00107FCF">
        <w:t xml:space="preserve"> </w:t>
      </w:r>
      <w:r w:rsidR="00107FCF" w:rsidRPr="006F2787">
        <w:t xml:space="preserve">inwestycyjnych. </w:t>
      </w:r>
      <w:r w:rsidR="00107FCF">
        <w:t xml:space="preserve">Na listę wstępną zostały zakwalifikowane </w:t>
      </w:r>
      <w:r w:rsidR="00107FCF" w:rsidRPr="006F2787">
        <w:t>inwestycje, których</w:t>
      </w:r>
      <w:r w:rsidR="00107FCF">
        <w:t xml:space="preserve"> </w:t>
      </w:r>
      <w:r w:rsidR="00107FCF" w:rsidRPr="006F2787">
        <w:t>realizacja może rozpocząć się w najbliższej perspektywie finansowej (202</w:t>
      </w:r>
      <w:r w:rsidR="00107FCF">
        <w:t>2</w:t>
      </w:r>
      <w:r w:rsidR="00107FCF" w:rsidRPr="006F2787">
        <w:t>-202</w:t>
      </w:r>
      <w:r w:rsidR="00107FCF">
        <w:t>7</w:t>
      </w:r>
      <w:r w:rsidR="00107FCF" w:rsidRPr="006F2787">
        <w:t>). Listę tych zadań</w:t>
      </w:r>
      <w:r w:rsidR="00107FCF">
        <w:t xml:space="preserve"> </w:t>
      </w:r>
      <w:r w:rsidR="00107FCF" w:rsidRPr="006F2787">
        <w:t>nazwa</w:t>
      </w:r>
      <w:r w:rsidR="00107FCF">
        <w:t>no</w:t>
      </w:r>
      <w:r w:rsidR="00107FCF" w:rsidRPr="006F2787">
        <w:t xml:space="preserve"> listą „</w:t>
      </w:r>
      <w:r w:rsidR="00107FCF">
        <w:t>I</w:t>
      </w:r>
      <w:r w:rsidR="00107FCF" w:rsidRPr="006F2787">
        <w:t>”.</w:t>
      </w:r>
    </w:p>
    <w:p w14:paraId="757BE510" w14:textId="488D2C2B" w:rsidR="00107FCF" w:rsidRDefault="00107FCF" w:rsidP="00107BFB">
      <w:pPr>
        <w:pStyle w:val="ReportText"/>
        <w:jc w:val="both"/>
      </w:pPr>
      <w:r>
        <w:t xml:space="preserve">W kolejnym kroku </w:t>
      </w:r>
      <w:r w:rsidRPr="006F2787">
        <w:t>dokona</w:t>
      </w:r>
      <w:r>
        <w:t>no</w:t>
      </w:r>
      <w:r w:rsidRPr="006F2787">
        <w:t xml:space="preserve"> przeglądu planowanych działań w zakresie ochrony brzegów morskich oraz</w:t>
      </w:r>
      <w:r>
        <w:t xml:space="preserve"> ochrony </w:t>
      </w:r>
      <w:r w:rsidRPr="006F2787">
        <w:t>przeciwpowodziow</w:t>
      </w:r>
      <w:r>
        <w:t xml:space="preserve">ej. Były to następujące dokumenty: </w:t>
      </w:r>
      <w:r w:rsidRPr="006F2787">
        <w:t>„Program ochrony brzegów morskich”</w:t>
      </w:r>
      <w:r>
        <w:t xml:space="preserve"> (POBM)</w:t>
      </w:r>
      <w:r w:rsidRPr="006F2787">
        <w:t xml:space="preserve"> oraz Program Planowanych</w:t>
      </w:r>
      <w:r>
        <w:t xml:space="preserve"> </w:t>
      </w:r>
      <w:r w:rsidRPr="006F2787">
        <w:t>Inwestycji</w:t>
      </w:r>
      <w:r w:rsidR="00231D6F">
        <w:t xml:space="preserve"> </w:t>
      </w:r>
      <w:r w:rsidRPr="006F2787">
        <w:t>w</w:t>
      </w:r>
      <w:r w:rsidR="00231D6F">
        <w:t xml:space="preserve"> </w:t>
      </w:r>
      <w:r w:rsidRPr="006F2787">
        <w:t>Gospodarce Wodnej PGW WP,</w:t>
      </w:r>
      <w:r>
        <w:t xml:space="preserve"> </w:t>
      </w:r>
      <w:r w:rsidRPr="006F2787">
        <w:t>w zakresie powodzi od strony morza, w tym morskich</w:t>
      </w:r>
      <w:r>
        <w:t xml:space="preserve"> </w:t>
      </w:r>
      <w:r w:rsidRPr="006F2787">
        <w:t xml:space="preserve">wód wewnętrznych. </w:t>
      </w:r>
      <w:r>
        <w:t>Stworzono</w:t>
      </w:r>
      <w:r w:rsidRPr="006F2787">
        <w:t xml:space="preserve"> jedną listę działań w zakresie powodzi od strony morza,</w:t>
      </w:r>
      <w:r>
        <w:t xml:space="preserve"> </w:t>
      </w:r>
      <w:r w:rsidRPr="006F2787">
        <w:t>w tym morskich wód wewnętrznych</w:t>
      </w:r>
      <w:r>
        <w:t xml:space="preserve"> (Lista działań morskich – LDM)</w:t>
      </w:r>
      <w:r w:rsidRPr="006F2787">
        <w:t xml:space="preserve">. </w:t>
      </w:r>
      <w:r>
        <w:t>Z</w:t>
      </w:r>
      <w:r w:rsidRPr="006F2787">
        <w:t>adania figurujące</w:t>
      </w:r>
      <w:r>
        <w:t xml:space="preserve"> </w:t>
      </w:r>
      <w:r w:rsidRPr="006F2787">
        <w:t xml:space="preserve">w LDM </w:t>
      </w:r>
      <w:r>
        <w:t>zostały przeanalizowane pod względem uzasadnienia i</w:t>
      </w:r>
      <w:r w:rsidR="001531C4">
        <w:t> </w:t>
      </w:r>
      <w:r>
        <w:t>realności wykonania działań</w:t>
      </w:r>
      <w:r w:rsidRPr="006F2787">
        <w:t xml:space="preserve">. </w:t>
      </w:r>
      <w:r>
        <w:t>Na etapie formowania przedmiotowej listy nastąpiły spotkania konsultacyjne</w:t>
      </w:r>
      <w:r w:rsidR="001531C4">
        <w:t xml:space="preserve"> </w:t>
      </w:r>
      <w:r>
        <w:t>z przedstawicielami Urzędu Morskiego w Gdyni i Urzędu Morskiego w Szczecinie</w:t>
      </w:r>
      <w:r w:rsidR="001531C4">
        <w:t xml:space="preserve"> </w:t>
      </w:r>
      <w:r>
        <w:t xml:space="preserve">w celu omówienia zakresów działań proponowanych POBM oraz możliwości ich kwalifikacji do przedmiotowej listy. Powstałą </w:t>
      </w:r>
      <w:r w:rsidRPr="00107BFB">
        <w:t>list</w:t>
      </w:r>
      <w:r>
        <w:t>ę</w:t>
      </w:r>
      <w:r w:rsidRPr="00107BFB">
        <w:t xml:space="preserve"> planowanych zadań </w:t>
      </w:r>
      <w:r>
        <w:t xml:space="preserve">nazwano </w:t>
      </w:r>
      <w:r w:rsidRPr="00107BFB">
        <w:t>list</w:t>
      </w:r>
      <w:r>
        <w:t>ą</w:t>
      </w:r>
      <w:r w:rsidRPr="00107BFB">
        <w:t xml:space="preserve"> „</w:t>
      </w:r>
      <w:r>
        <w:t>II</w:t>
      </w:r>
      <w:r w:rsidRPr="00107BFB">
        <w:t>”.</w:t>
      </w:r>
    </w:p>
    <w:p w14:paraId="2D0F918C" w14:textId="78EE3651" w:rsidR="00107FCF" w:rsidRDefault="00107FCF" w:rsidP="00107BFB">
      <w:pPr>
        <w:pStyle w:val="ReportText"/>
        <w:jc w:val="both"/>
      </w:pPr>
      <w:r>
        <w:t xml:space="preserve">Następnym krokiem były </w:t>
      </w:r>
      <w:r w:rsidRPr="00107BFB">
        <w:t>analizy i przegląd pozostałych inwestycji planowanych</w:t>
      </w:r>
      <w:r w:rsidR="00231D6F">
        <w:t xml:space="preserve"> </w:t>
      </w:r>
      <w:r w:rsidRPr="00107BFB">
        <w:t>w</w:t>
      </w:r>
      <w:r w:rsidR="00231D6F">
        <w:t> </w:t>
      </w:r>
      <w:r w:rsidRPr="00107BFB">
        <w:t>gospodarce morskiej</w:t>
      </w:r>
      <w:r>
        <w:t xml:space="preserve"> </w:t>
      </w:r>
      <w:r w:rsidRPr="00107BFB">
        <w:t>oraz wodnej (w zakresie przeciwdziałania powodziom od strony morza, w tym morskich wód</w:t>
      </w:r>
      <w:r>
        <w:t xml:space="preserve"> </w:t>
      </w:r>
      <w:r w:rsidRPr="00107BFB">
        <w:t>wewnętrznych), a niekoniecznie związanych stricte z</w:t>
      </w:r>
      <w:r w:rsidR="001531C4">
        <w:t> </w:t>
      </w:r>
      <w:r w:rsidRPr="00107BFB">
        <w:t>celem przeciwpowodziowym</w:t>
      </w:r>
      <w:r>
        <w:t xml:space="preserve"> </w:t>
      </w:r>
      <w:r w:rsidRPr="00107BFB">
        <w:t>(inwestycje portowe, inwestycje dostępowe do</w:t>
      </w:r>
      <w:r>
        <w:t xml:space="preserve"> </w:t>
      </w:r>
      <w:r w:rsidRPr="00107BFB">
        <w:t>portów), inwestycji planowanych</w:t>
      </w:r>
      <w:r>
        <w:t xml:space="preserve"> </w:t>
      </w:r>
      <w:r w:rsidRPr="00107BFB">
        <w:t xml:space="preserve">w ramach </w:t>
      </w:r>
      <w:r>
        <w:t>Programu przeciwdziałania niedoborom wody, Projektu planu przeciwdziałania skutkom suszy</w:t>
      </w:r>
      <w:r w:rsidRPr="00107BFB">
        <w:t>, a także innych</w:t>
      </w:r>
      <w:r>
        <w:t xml:space="preserve"> </w:t>
      </w:r>
      <w:r w:rsidRPr="00107BFB">
        <w:t>strategiach i</w:t>
      </w:r>
      <w:r w:rsidR="001531C4">
        <w:t> </w:t>
      </w:r>
      <w:r w:rsidRPr="00107BFB">
        <w:t xml:space="preserve">programach (żegluga, energetyka, środowisko). </w:t>
      </w:r>
      <w:r>
        <w:t>Analizowano także Miejskie Plany</w:t>
      </w:r>
      <w:r w:rsidRPr="005F5E63">
        <w:t xml:space="preserve"> Adaptacji do Zmian Klimatu</w:t>
      </w:r>
      <w:r>
        <w:t xml:space="preserve"> dla miast: Elbląg, Gdańsk, Gdynia, Sopot i Szczecin. </w:t>
      </w:r>
      <w:r w:rsidRPr="00107BFB">
        <w:t>Listę tych zadań nazwa</w:t>
      </w:r>
      <w:r>
        <w:t xml:space="preserve">no </w:t>
      </w:r>
      <w:r w:rsidRPr="00107BFB">
        <w:t>listą „</w:t>
      </w:r>
      <w:r>
        <w:t>III</w:t>
      </w:r>
      <w:r w:rsidRPr="00107BFB">
        <w:t>”.</w:t>
      </w:r>
    </w:p>
    <w:p w14:paraId="494F6FB7" w14:textId="4B02291D" w:rsidR="00107FCF" w:rsidRPr="00107BFB" w:rsidRDefault="00107FCF" w:rsidP="00107BFB">
      <w:pPr>
        <w:pStyle w:val="ReportText"/>
        <w:jc w:val="both"/>
      </w:pPr>
      <w:r w:rsidRPr="00107BFB">
        <w:t>Na podstawie wyników ankietyzacji dotyczącej zrealizowanych, realizowanych</w:t>
      </w:r>
      <w:r w:rsidR="001531C4">
        <w:t xml:space="preserve"> </w:t>
      </w:r>
      <w:r w:rsidRPr="00107BFB">
        <w:t>i</w:t>
      </w:r>
      <w:r w:rsidR="001531C4">
        <w:t> </w:t>
      </w:r>
      <w:r w:rsidRPr="00107BFB">
        <w:t>planowanych</w:t>
      </w:r>
      <w:r>
        <w:t xml:space="preserve"> </w:t>
      </w:r>
      <w:r w:rsidRPr="00107BFB">
        <w:t>działań podejmowanych przez podmioty odpowiedzialne za poszczególne elementy zarządzania</w:t>
      </w:r>
      <w:r>
        <w:t xml:space="preserve"> </w:t>
      </w:r>
      <w:r w:rsidRPr="00107BFB">
        <w:t>ryzykiem powodziowym od strony morza w tym morskich wód wewnętrznych (podzadanie 1.4.2)</w:t>
      </w:r>
      <w:r>
        <w:t xml:space="preserve"> oraz serii spotkań konsultacyjnych z</w:t>
      </w:r>
      <w:r w:rsidR="001531C4">
        <w:t> </w:t>
      </w:r>
      <w:r>
        <w:t xml:space="preserve">Urzędami Morskimi (UM Gdynia, UM Szczecin) i Regionalnymi Zarządami Gospodarki Wodnej (RZGW Gdańsk i RZGW Szczecin) </w:t>
      </w:r>
      <w:r w:rsidRPr="00107BFB">
        <w:t>utworz</w:t>
      </w:r>
      <w:r>
        <w:t>ono</w:t>
      </w:r>
      <w:r w:rsidRPr="00107BFB">
        <w:t xml:space="preserve"> listę „</w:t>
      </w:r>
      <w:r>
        <w:t>IV</w:t>
      </w:r>
      <w:r w:rsidRPr="00107BFB">
        <w:t>”.</w:t>
      </w:r>
    </w:p>
    <w:p w14:paraId="077DA0BE" w14:textId="6B7F3246" w:rsidR="00107FCF" w:rsidRDefault="003C649E" w:rsidP="00DB3C6C">
      <w:pPr>
        <w:pStyle w:val="ReportText"/>
        <w:jc w:val="both"/>
      </w:pPr>
      <w:r>
        <w:rPr>
          <w:noProof/>
          <w:lang w:eastAsia="pl-PL"/>
        </w:rPr>
        <w:lastRenderedPageBreak/>
        <w:drawing>
          <wp:anchor distT="0" distB="0" distL="114300" distR="114300" simplePos="0" relativeHeight="251653632" behindDoc="0" locked="0" layoutInCell="1" allowOverlap="1" wp14:anchorId="7A5D3C41" wp14:editId="257080F6">
            <wp:simplePos x="0" y="0"/>
            <wp:positionH relativeFrom="margin">
              <wp:posOffset>739140</wp:posOffset>
            </wp:positionH>
            <wp:positionV relativeFrom="margin">
              <wp:posOffset>638810</wp:posOffset>
            </wp:positionV>
            <wp:extent cx="3329305" cy="3462655"/>
            <wp:effectExtent l="0" t="0" r="0" b="0"/>
            <wp:wrapTopAndBottom/>
            <wp:docPr id="23"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29305" cy="3462655"/>
                    </a:xfrm>
                    <a:prstGeom prst="rect">
                      <a:avLst/>
                    </a:prstGeom>
                    <a:noFill/>
                  </pic:spPr>
                </pic:pic>
              </a:graphicData>
            </a:graphic>
            <wp14:sizeRelH relativeFrom="page">
              <wp14:pctWidth>0</wp14:pctWidth>
            </wp14:sizeRelH>
            <wp14:sizeRelV relativeFrom="page">
              <wp14:pctHeight>0</wp14:pctHeight>
            </wp14:sizeRelV>
          </wp:anchor>
        </w:drawing>
      </w:r>
      <w:r w:rsidR="00107FCF" w:rsidRPr="00107BFB">
        <w:t xml:space="preserve">Z tak </w:t>
      </w:r>
      <w:r w:rsidR="00107FCF">
        <w:t>opisanych powyżej</w:t>
      </w:r>
      <w:r w:rsidR="00107FCF" w:rsidRPr="00107BFB">
        <w:t xml:space="preserve"> list stworz</w:t>
      </w:r>
      <w:r w:rsidR="00107FCF">
        <w:t>ono</w:t>
      </w:r>
      <w:r w:rsidR="00107FCF" w:rsidRPr="00107BFB">
        <w:t xml:space="preserve"> wstępną listę działań stanowiącą sumę zadań</w:t>
      </w:r>
      <w:r w:rsidR="00231D6F">
        <w:t xml:space="preserve"> </w:t>
      </w:r>
      <w:r w:rsidR="00107FCF" w:rsidRPr="00107BFB">
        <w:t>z</w:t>
      </w:r>
      <w:r w:rsidR="00231D6F">
        <w:t> </w:t>
      </w:r>
      <w:r w:rsidR="00107FCF" w:rsidRPr="00107BFB">
        <w:t xml:space="preserve">list </w:t>
      </w:r>
      <w:r w:rsidR="00107FCF">
        <w:t>I, II, III i IV</w:t>
      </w:r>
      <w:r w:rsidR="00107FCF" w:rsidRPr="00107BFB">
        <w:t>.</w:t>
      </w:r>
      <w:r w:rsidR="00107FCF">
        <w:t xml:space="preserve"> </w:t>
      </w:r>
    </w:p>
    <w:p w14:paraId="6E8C4BC5" w14:textId="77777777" w:rsidR="00695B41" w:rsidRDefault="00695B41" w:rsidP="00695B41">
      <w:pPr>
        <w:pStyle w:val="Legenda"/>
        <w:rPr>
          <w:sz w:val="24"/>
          <w:szCs w:val="28"/>
        </w:rPr>
      </w:pPr>
    </w:p>
    <w:p w14:paraId="4685298C" w14:textId="18E75B16" w:rsidR="00695B41" w:rsidRPr="0047478A" w:rsidRDefault="00695B41" w:rsidP="00416849">
      <w:pPr>
        <w:pStyle w:val="Legenda"/>
        <w:ind w:left="1418" w:hanging="1418"/>
        <w:rPr>
          <w:sz w:val="28"/>
          <w:szCs w:val="22"/>
          <w:lang w:eastAsia="en-US"/>
        </w:rPr>
      </w:pPr>
      <w:bookmarkStart w:id="27" w:name="_Toc80608787"/>
      <w:r w:rsidRPr="0047478A">
        <w:rPr>
          <w:sz w:val="24"/>
          <w:szCs w:val="28"/>
        </w:rPr>
        <w:t xml:space="preserve">Rysunek </w:t>
      </w:r>
      <w:r w:rsidRPr="0047478A">
        <w:rPr>
          <w:sz w:val="24"/>
          <w:szCs w:val="28"/>
        </w:rPr>
        <w:fldChar w:fldCharType="begin"/>
      </w:r>
      <w:r w:rsidRPr="0047478A">
        <w:rPr>
          <w:sz w:val="24"/>
          <w:szCs w:val="28"/>
        </w:rPr>
        <w:instrText xml:space="preserve"> SEQ Rysunek \* ARABIC </w:instrText>
      </w:r>
      <w:r w:rsidRPr="0047478A">
        <w:rPr>
          <w:sz w:val="24"/>
          <w:szCs w:val="28"/>
        </w:rPr>
        <w:fldChar w:fldCharType="separate"/>
      </w:r>
      <w:r w:rsidR="00AC4DF9">
        <w:rPr>
          <w:noProof/>
          <w:sz w:val="24"/>
          <w:szCs w:val="28"/>
        </w:rPr>
        <w:t>7</w:t>
      </w:r>
      <w:r w:rsidRPr="0047478A">
        <w:rPr>
          <w:sz w:val="24"/>
          <w:szCs w:val="28"/>
        </w:rPr>
        <w:fldChar w:fldCharType="end"/>
      </w:r>
      <w:r w:rsidRPr="0047478A">
        <w:rPr>
          <w:sz w:val="24"/>
          <w:szCs w:val="28"/>
        </w:rPr>
        <w:t xml:space="preserve"> </w:t>
      </w:r>
      <w:r>
        <w:rPr>
          <w:sz w:val="24"/>
          <w:szCs w:val="28"/>
        </w:rPr>
        <w:tab/>
      </w:r>
      <w:r w:rsidRPr="0047478A">
        <w:rPr>
          <w:sz w:val="24"/>
          <w:szCs w:val="28"/>
        </w:rPr>
        <w:t>Schemat opracowania wstępnej listy działań</w:t>
      </w:r>
      <w:bookmarkEnd w:id="27"/>
    </w:p>
    <w:p w14:paraId="798C43A8" w14:textId="4C351509" w:rsidR="00107FCF" w:rsidRPr="0047478A" w:rsidRDefault="003C649E" w:rsidP="0047478A">
      <w:pPr>
        <w:pStyle w:val="ReportText"/>
        <w:spacing w:before="120"/>
      </w:pPr>
      <w:r>
        <w:rPr>
          <w:noProof/>
          <w:lang w:eastAsia="pl-PL"/>
        </w:rPr>
        <mc:AlternateContent>
          <mc:Choice Requires="wps">
            <w:drawing>
              <wp:anchor distT="0" distB="0" distL="114300" distR="114300" simplePos="0" relativeHeight="251667968" behindDoc="0" locked="0" layoutInCell="1" allowOverlap="1" wp14:anchorId="65DD7C40" wp14:editId="09102A58">
                <wp:simplePos x="0" y="0"/>
                <wp:positionH relativeFrom="margin">
                  <wp:align>center</wp:align>
                </wp:positionH>
                <wp:positionV relativeFrom="paragraph">
                  <wp:posOffset>3683635</wp:posOffset>
                </wp:positionV>
                <wp:extent cx="4246880" cy="420370"/>
                <wp:effectExtent l="0" t="0" r="0" b="0"/>
                <wp:wrapTopAndBottom/>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46880" cy="420370"/>
                        </a:xfrm>
                        <a:prstGeom prst="rect">
                          <a:avLst/>
                        </a:prstGeom>
                        <a:solidFill>
                          <a:prstClr val="white"/>
                        </a:solidFill>
                        <a:ln>
                          <a:noFill/>
                        </a:ln>
                      </wps:spPr>
                      <wps:txbx>
                        <w:txbxContent>
                          <w:p w14:paraId="574CBA77" w14:textId="63F198F0" w:rsidR="005A0B07" w:rsidRPr="0047478A" w:rsidRDefault="005A0B07" w:rsidP="0047478A">
                            <w:pPr>
                              <w:pStyle w:val="Legenda"/>
                              <w:jc w:val="center"/>
                              <w:rPr>
                                <w:sz w:val="28"/>
                                <w:szCs w:val="22"/>
                                <w:lang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DD7C40" id="_x0000_t202" coordsize="21600,21600" o:spt="202" path="m,l,21600r21600,l21600,xe">
                <v:stroke joinstyle="miter"/>
                <v:path gradientshapeok="t" o:connecttype="rect"/>
              </v:shapetype>
              <v:shape id="Text Box 13" o:spid="_x0000_s1026" type="#_x0000_t202" style="position:absolute;margin-left:0;margin-top:290.05pt;width:334.4pt;height:33.1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" stroked="f">
                <v:textbox style="mso-fit-shape-to-text:t" inset="0,0,0,0">
                  <w:txbxContent>
                    <w:p w14:paraId="574CBA77" w14:textId="63F198F0" w:rsidR="005A0B07" w:rsidRPr="0047478A" w:rsidRDefault="005A0B07" w:rsidP="0047478A">
                      <w:pPr>
                        <w:pStyle w:val="Legenda"/>
                        <w:jc w:val="center"/>
                        <w:rPr>
                          <w:sz w:val="28"/>
                          <w:szCs w:val="22"/>
                          <w:lang w:eastAsia="en-US"/>
                        </w:rPr>
                      </w:pPr>
                    </w:p>
                  </w:txbxContent>
                </v:textbox>
                <w10:wrap type="topAndBottom" anchorx="margin"/>
              </v:shape>
            </w:pict>
          </mc:Fallback>
        </mc:AlternateContent>
      </w:r>
    </w:p>
    <w:p w14:paraId="150C6B6F" w14:textId="105CEB5A" w:rsidR="00107FCF" w:rsidRPr="00623C1D" w:rsidRDefault="00107FCF" w:rsidP="00623C1D">
      <w:pPr>
        <w:pStyle w:val="ReportText"/>
        <w:jc w:val="both"/>
      </w:pPr>
      <w:r w:rsidRPr="00623C1D">
        <w:t xml:space="preserve">Wstępna lista działań ograniczających ryzyko powodziowe od strony morza, w tym morskich wód wewnętrznych zawiera </w:t>
      </w:r>
      <w:r>
        <w:t>57</w:t>
      </w:r>
      <w:r w:rsidRPr="00623C1D">
        <w:t xml:space="preserve"> zadań. Źródłem </w:t>
      </w:r>
      <w:r>
        <w:t>19</w:t>
      </w:r>
      <w:r w:rsidRPr="00623C1D">
        <w:t xml:space="preserve"> działań jest lista „I”, kolejnych </w:t>
      </w:r>
      <w:r>
        <w:t>6</w:t>
      </w:r>
      <w:r w:rsidRPr="00623C1D">
        <w:t xml:space="preserve"> dopisano z listy „II”, </w:t>
      </w:r>
      <w:r>
        <w:t>29</w:t>
      </w:r>
      <w:r w:rsidRPr="00623C1D">
        <w:t xml:space="preserve"> z listy „III” oraz </w:t>
      </w:r>
      <w:r>
        <w:t>3</w:t>
      </w:r>
      <w:r w:rsidRPr="00623C1D">
        <w:t xml:space="preserve"> z listy „IV”.</w:t>
      </w:r>
    </w:p>
    <w:p w14:paraId="18824E47" w14:textId="57BD9A42" w:rsidR="00107FCF" w:rsidRPr="00624B46" w:rsidRDefault="00B046B6" w:rsidP="006D41A7">
      <w:pPr>
        <w:pStyle w:val="ReportLevel1"/>
        <w:numPr>
          <w:ilvl w:val="0"/>
          <w:numId w:val="4"/>
        </w:numPr>
      </w:pPr>
      <w:r>
        <w:br w:type="column"/>
      </w:r>
      <w:bookmarkStart w:id="28" w:name="_Toc80608716"/>
      <w:r w:rsidR="00107FCF">
        <w:lastRenderedPageBreak/>
        <w:t>Weryfikacja wstępnej listy działań i utworzenie listy bazowej</w:t>
      </w:r>
      <w:bookmarkEnd w:id="28"/>
    </w:p>
    <w:p w14:paraId="5A01C22C" w14:textId="63C6E197" w:rsidR="00107FCF" w:rsidRPr="0038325A" w:rsidRDefault="00107FCF" w:rsidP="00C22319">
      <w:pPr>
        <w:pStyle w:val="ReportText"/>
        <w:spacing w:before="120"/>
        <w:jc w:val="both"/>
      </w:pPr>
      <w:r w:rsidRPr="0038325A">
        <w:t xml:space="preserve">Tworzenie ostatecznej listy zadań </w:t>
      </w:r>
      <w:r>
        <w:t>a</w:t>
      </w:r>
      <w:r w:rsidRPr="0038325A">
        <w:t>PZRP</w:t>
      </w:r>
      <w:r>
        <w:t>M</w:t>
      </w:r>
      <w:r w:rsidRPr="0038325A">
        <w:t xml:space="preserve"> </w:t>
      </w:r>
      <w:r>
        <w:t>zostało przeprowadzone</w:t>
      </w:r>
      <w:r w:rsidRPr="0038325A">
        <w:t xml:space="preserve"> zgodnie</w:t>
      </w:r>
      <w:r>
        <w:t xml:space="preserve"> z</w:t>
      </w:r>
      <w:r w:rsidRPr="0038325A">
        <w:t> założeniami reguły S.M.A.R.T. W tym celu określ</w:t>
      </w:r>
      <w:r>
        <w:t>ono</w:t>
      </w:r>
      <w:r w:rsidRPr="0038325A">
        <w:t xml:space="preserve"> wartości wszystkich kryteriów oceny dla każdego zadania. </w:t>
      </w:r>
      <w:r>
        <w:t>Za p</w:t>
      </w:r>
      <w:r w:rsidRPr="0038325A">
        <w:t>ozytywny wynik weryfikacji wskazane</w:t>
      </w:r>
      <w:r>
        <w:t>go</w:t>
      </w:r>
      <w:r w:rsidRPr="0038325A">
        <w:t xml:space="preserve"> działani</w:t>
      </w:r>
      <w:r>
        <w:t>a</w:t>
      </w:r>
      <w:r w:rsidRPr="0038325A">
        <w:t xml:space="preserve"> </w:t>
      </w:r>
      <w:r>
        <w:t xml:space="preserve">uznawano jedynie w przypadku, gdy </w:t>
      </w:r>
      <w:r w:rsidRPr="0038325A">
        <w:t>otrzyma</w:t>
      </w:r>
      <w:r>
        <w:t>ło ono</w:t>
      </w:r>
      <w:r w:rsidRPr="0038325A">
        <w:t xml:space="preserve"> pozytywne oceny </w:t>
      </w:r>
      <w:r>
        <w:t>dla każdego</w:t>
      </w:r>
      <w:r w:rsidR="00055762">
        <w:t xml:space="preserve"> </w:t>
      </w:r>
      <w:r>
        <w:t>z</w:t>
      </w:r>
      <w:r w:rsidR="00055762">
        <w:t> </w:t>
      </w:r>
      <w:r>
        <w:t xml:space="preserve">badanych </w:t>
      </w:r>
      <w:r w:rsidRPr="0038325A">
        <w:t>kryteri</w:t>
      </w:r>
      <w:r>
        <w:t>ów</w:t>
      </w:r>
      <w:r w:rsidRPr="0038325A">
        <w:t xml:space="preserve">. </w:t>
      </w:r>
      <w:r>
        <w:t>W</w:t>
      </w:r>
      <w:r w:rsidRPr="0038325A">
        <w:t xml:space="preserve"> przebiegu analizy S.M.A.R.T. uwzględni</w:t>
      </w:r>
      <w:r>
        <w:t>a</w:t>
      </w:r>
      <w:r w:rsidRPr="0038325A">
        <w:t>n</w:t>
      </w:r>
      <w:r>
        <w:t>o</w:t>
      </w:r>
      <w:r w:rsidR="00055762">
        <w:t xml:space="preserve"> </w:t>
      </w:r>
      <w:r w:rsidRPr="0038325A">
        <w:t>następując</w:t>
      </w:r>
      <w:r>
        <w:t>e</w:t>
      </w:r>
      <w:r w:rsidRPr="0038325A">
        <w:t xml:space="preserve"> czynnik</w:t>
      </w:r>
      <w:r>
        <w:t>i</w:t>
      </w:r>
      <w:r w:rsidRPr="0038325A">
        <w:t>:</w:t>
      </w:r>
    </w:p>
    <w:p w14:paraId="1082FDA9" w14:textId="21908903" w:rsidR="00107FCF" w:rsidRPr="0038325A" w:rsidRDefault="00107FCF" w:rsidP="00C22319">
      <w:pPr>
        <w:pStyle w:val="ReportText"/>
        <w:spacing w:before="120"/>
        <w:jc w:val="both"/>
      </w:pPr>
      <w:r w:rsidRPr="0038325A">
        <w:t>W zakresie kryterium „Skonkretyzowany (Specific)” zadanie zawier</w:t>
      </w:r>
      <w:r>
        <w:t>ało</w:t>
      </w:r>
      <w:r w:rsidRPr="0038325A">
        <w:t xml:space="preserve"> odpowiedź na</w:t>
      </w:r>
      <w:r w:rsidR="00055762">
        <w:t xml:space="preserve"> </w:t>
      </w:r>
      <w:r w:rsidRPr="0038325A">
        <w:t xml:space="preserve">pytania: co się chce osiągnąć i gdzie, jaki jest powód realizacji działania, kto to zrobi oraz jakie mogą być ograniczenia i problemy. </w:t>
      </w:r>
      <w:r>
        <w:t xml:space="preserve">W ramach opisywanych analiz </w:t>
      </w:r>
      <w:r w:rsidRPr="0038325A">
        <w:t>rozpozna</w:t>
      </w:r>
      <w:r>
        <w:t>no</w:t>
      </w:r>
      <w:r w:rsidRPr="0038325A">
        <w:t xml:space="preserve"> i</w:t>
      </w:r>
      <w:r w:rsidR="00055762">
        <w:t xml:space="preserve"> </w:t>
      </w:r>
      <w:r>
        <w:t>ustalono</w:t>
      </w:r>
      <w:r w:rsidRPr="0038325A">
        <w:t xml:space="preserve">: </w:t>
      </w:r>
    </w:p>
    <w:p w14:paraId="0C49F08C" w14:textId="77777777" w:rsidR="00107FCF" w:rsidRPr="0038325A" w:rsidRDefault="00107FCF" w:rsidP="006D41A7">
      <w:pPr>
        <w:pStyle w:val="ReportText"/>
        <w:numPr>
          <w:ilvl w:val="0"/>
          <w:numId w:val="20"/>
        </w:numPr>
        <w:spacing w:before="120" w:after="120"/>
        <w:ind w:left="567" w:hanging="425"/>
        <w:jc w:val="both"/>
      </w:pPr>
      <w:r w:rsidRPr="0038325A">
        <w:t>Podmioty odpowiedzialne za wykonanie działań</w:t>
      </w:r>
      <w:r>
        <w:t>;</w:t>
      </w:r>
    </w:p>
    <w:p w14:paraId="0B9DEE86" w14:textId="77777777" w:rsidR="00107FCF" w:rsidRPr="0038325A" w:rsidRDefault="00107FCF" w:rsidP="006D41A7">
      <w:pPr>
        <w:pStyle w:val="ReportText"/>
        <w:numPr>
          <w:ilvl w:val="0"/>
          <w:numId w:val="20"/>
        </w:numPr>
        <w:spacing w:before="120" w:after="120"/>
        <w:ind w:left="567" w:hanging="425"/>
        <w:jc w:val="both"/>
      </w:pPr>
      <w:r w:rsidRPr="0038325A">
        <w:t>Sposób koordynacji realizacji działania w przypadku, gdy obowiązek jego realizacji dotyczy więcej niż jednego podmiotu</w:t>
      </w:r>
      <w:r>
        <w:t>;</w:t>
      </w:r>
    </w:p>
    <w:p w14:paraId="44D43EFB" w14:textId="77777777" w:rsidR="00107FCF" w:rsidRDefault="00107FCF" w:rsidP="006D41A7">
      <w:pPr>
        <w:pStyle w:val="ReportText"/>
        <w:numPr>
          <w:ilvl w:val="0"/>
          <w:numId w:val="20"/>
        </w:numPr>
        <w:spacing w:before="120" w:after="120"/>
        <w:ind w:left="567" w:hanging="425"/>
        <w:jc w:val="both"/>
      </w:pPr>
      <w:r w:rsidRPr="0038325A">
        <w:t>Potwierdzenie zamiaru ich realizacji</w:t>
      </w:r>
      <w:r w:rsidRPr="0038325A" w:rsidDel="00D9783C">
        <w:t xml:space="preserve"> </w:t>
      </w:r>
      <w:r w:rsidRPr="0038325A">
        <w:t>przez podmioty wskazane do realizacji działań</w:t>
      </w:r>
      <w:r>
        <w:t>;</w:t>
      </w:r>
    </w:p>
    <w:p w14:paraId="1D80F4C8" w14:textId="77777777" w:rsidR="00107FCF" w:rsidRPr="0038325A" w:rsidRDefault="00107FCF" w:rsidP="006D41A7">
      <w:pPr>
        <w:pStyle w:val="ReportText"/>
        <w:numPr>
          <w:ilvl w:val="0"/>
          <w:numId w:val="20"/>
        </w:numPr>
        <w:spacing w:before="120" w:after="120"/>
        <w:ind w:left="567" w:hanging="425"/>
        <w:jc w:val="both"/>
      </w:pPr>
      <w:r w:rsidRPr="0038325A">
        <w:t>Lokalizację, w której realizowane będzie działanie</w:t>
      </w:r>
      <w:r>
        <w:t>.</w:t>
      </w:r>
      <w:r w:rsidRPr="0038325A">
        <w:t xml:space="preserve"> </w:t>
      </w:r>
    </w:p>
    <w:p w14:paraId="773B6F13" w14:textId="77777777" w:rsidR="00107FCF" w:rsidRPr="0038325A" w:rsidRDefault="00107FCF" w:rsidP="00C22319">
      <w:pPr>
        <w:pStyle w:val="ReportText"/>
        <w:spacing w:before="120"/>
        <w:jc w:val="both"/>
      </w:pPr>
      <w:r w:rsidRPr="0038325A">
        <w:t>W zakresie kryterium „Mierzalny (Measurable)” do zada</w:t>
      </w:r>
      <w:r>
        <w:t>ń</w:t>
      </w:r>
      <w:r w:rsidRPr="0038325A">
        <w:t xml:space="preserve"> przypisan</w:t>
      </w:r>
      <w:r>
        <w:t>o</w:t>
      </w:r>
      <w:r w:rsidRPr="0038325A">
        <w:t xml:space="preserve"> efekty, jakie jego wdrożenie przyniesie oraz miary kontroli osiągania tych efektów, czyli: </w:t>
      </w:r>
    </w:p>
    <w:p w14:paraId="3E21249D" w14:textId="77777777" w:rsidR="00107FCF" w:rsidRPr="0038325A" w:rsidRDefault="00107FCF" w:rsidP="006D41A7">
      <w:pPr>
        <w:pStyle w:val="ReportText"/>
        <w:numPr>
          <w:ilvl w:val="0"/>
          <w:numId w:val="20"/>
        </w:numPr>
        <w:spacing w:before="120" w:after="120"/>
        <w:ind w:left="567" w:hanging="425"/>
        <w:jc w:val="both"/>
      </w:pPr>
      <w:r w:rsidRPr="0038325A">
        <w:t>Konieczność zapewnienia możliwości monitorowania efektów działania za pomocą miernika powiązanego z celem zarządzania ryzykiem powodziowym</w:t>
      </w:r>
      <w:r>
        <w:t>.</w:t>
      </w:r>
    </w:p>
    <w:p w14:paraId="1886667E" w14:textId="77777777" w:rsidR="00107FCF" w:rsidRPr="0038325A" w:rsidRDefault="00107FCF" w:rsidP="00C22319">
      <w:pPr>
        <w:pStyle w:val="ReportText"/>
        <w:spacing w:before="120"/>
        <w:jc w:val="both"/>
      </w:pPr>
      <w:r w:rsidRPr="0038325A">
        <w:t>W zakresie kryterium „Osiągalny (Achievable)” zadani</w:t>
      </w:r>
      <w:r>
        <w:t>a</w:t>
      </w:r>
      <w:r w:rsidRPr="0038325A">
        <w:t xml:space="preserve"> ocenion</w:t>
      </w:r>
      <w:r>
        <w:t>o</w:t>
      </w:r>
      <w:r w:rsidRPr="0038325A">
        <w:t xml:space="preserve"> pod kątem sprawdzenia, czy są odpowiednie środki i siły, które pozwalają na ich osiągnięcie, a otoczenie społeczne pozwala na ich wdrożenie</w:t>
      </w:r>
      <w:r>
        <w:t>. W ramach opisywanych analiz</w:t>
      </w:r>
      <w:r w:rsidRPr="0038325A">
        <w:t xml:space="preserve"> potwierdz</w:t>
      </w:r>
      <w:r>
        <w:t>ono</w:t>
      </w:r>
      <w:r w:rsidRPr="0038325A">
        <w:t xml:space="preserve">, że: </w:t>
      </w:r>
    </w:p>
    <w:p w14:paraId="77169FE0" w14:textId="77777777" w:rsidR="00107FCF" w:rsidRPr="0038325A" w:rsidRDefault="00107FCF" w:rsidP="006D41A7">
      <w:pPr>
        <w:pStyle w:val="ReportText"/>
        <w:numPr>
          <w:ilvl w:val="0"/>
          <w:numId w:val="20"/>
        </w:numPr>
        <w:spacing w:before="120" w:after="120"/>
        <w:ind w:left="567" w:hanging="425"/>
        <w:jc w:val="both"/>
      </w:pPr>
      <w:r w:rsidRPr="0038325A">
        <w:t>Realizacja działań jest możliwa w aktualnie obowiązującym systemie prawnym</w:t>
      </w:r>
      <w:r>
        <w:t>;</w:t>
      </w:r>
    </w:p>
    <w:p w14:paraId="3A0045BE" w14:textId="4C8A1517" w:rsidR="00107FCF" w:rsidRPr="0038325A" w:rsidRDefault="00107FCF" w:rsidP="006D41A7">
      <w:pPr>
        <w:pStyle w:val="ReportText"/>
        <w:numPr>
          <w:ilvl w:val="0"/>
          <w:numId w:val="20"/>
        </w:numPr>
        <w:spacing w:before="120" w:after="120"/>
        <w:ind w:left="567" w:hanging="425"/>
        <w:jc w:val="both"/>
      </w:pPr>
      <w:r w:rsidRPr="0038325A">
        <w:t>Podmioty wskazane do realizacji działań są do nich prawnie zobowiązane lub upoważnione</w:t>
      </w:r>
      <w:r>
        <w:t>;</w:t>
      </w:r>
    </w:p>
    <w:p w14:paraId="37805D1F" w14:textId="77777777" w:rsidR="00107FCF" w:rsidRPr="0038325A" w:rsidRDefault="00107FCF" w:rsidP="006D41A7">
      <w:pPr>
        <w:pStyle w:val="ReportText"/>
        <w:numPr>
          <w:ilvl w:val="0"/>
          <w:numId w:val="20"/>
        </w:numPr>
        <w:spacing w:before="120" w:after="120"/>
        <w:ind w:left="567" w:hanging="425"/>
        <w:jc w:val="both"/>
      </w:pPr>
      <w:r w:rsidRPr="0038325A">
        <w:t>Działania mają ustalone źródła finansowania lub zaplanowany sposób pozyskania źródła finansowania</w:t>
      </w:r>
      <w:r>
        <w:t>.</w:t>
      </w:r>
    </w:p>
    <w:p w14:paraId="52813298" w14:textId="77777777" w:rsidR="00107FCF" w:rsidRPr="0038325A" w:rsidRDefault="00107FCF" w:rsidP="00C22319">
      <w:pPr>
        <w:pStyle w:val="ReportText"/>
        <w:spacing w:before="120"/>
        <w:jc w:val="both"/>
      </w:pPr>
      <w:r w:rsidRPr="0038325A">
        <w:t>W zakresie kryterium „Istotny (Relevant)” potwierdzone zosta</w:t>
      </w:r>
      <w:r>
        <w:t>ło</w:t>
      </w:r>
      <w:r w:rsidRPr="0038325A">
        <w:t xml:space="preserve"> to, czy działanie jest adekwatne i ważne dla realizacji celu jaki założono osiągnąć, a w szczególności: </w:t>
      </w:r>
    </w:p>
    <w:p w14:paraId="417EE43C" w14:textId="77777777" w:rsidR="00107FCF" w:rsidRPr="0038325A" w:rsidRDefault="00107FCF" w:rsidP="006D41A7">
      <w:pPr>
        <w:pStyle w:val="ReportText"/>
        <w:numPr>
          <w:ilvl w:val="0"/>
          <w:numId w:val="20"/>
        </w:numPr>
        <w:spacing w:before="120" w:after="120"/>
        <w:ind w:left="567" w:hanging="283"/>
        <w:jc w:val="both"/>
      </w:pPr>
      <w:r w:rsidRPr="0038325A">
        <w:t>Spełnia co do istoty funkcję związaną z ograniczeniem ryzyka powodziowego</w:t>
      </w:r>
      <w:r>
        <w:t>;</w:t>
      </w:r>
    </w:p>
    <w:p w14:paraId="3C06A4AB" w14:textId="77777777" w:rsidR="00107FCF" w:rsidRPr="0038325A" w:rsidRDefault="00107FCF" w:rsidP="006D41A7">
      <w:pPr>
        <w:pStyle w:val="ReportText"/>
        <w:numPr>
          <w:ilvl w:val="0"/>
          <w:numId w:val="20"/>
        </w:numPr>
        <w:spacing w:before="120" w:after="120"/>
        <w:ind w:left="567" w:hanging="283"/>
        <w:jc w:val="both"/>
      </w:pPr>
      <w:r w:rsidRPr="0038325A">
        <w:t>Istotność działań pod względem ochrony przed powodzią wynika</w:t>
      </w:r>
      <w:r>
        <w:t xml:space="preserve"> </w:t>
      </w:r>
      <w:r w:rsidRPr="0038325A">
        <w:t>z przeglądu diagnozy problemów zarządzania ryzykiem powodziowym oraz wyników przeglądu oraz aktualizacji WORP, MZP i MRP</w:t>
      </w:r>
      <w:r>
        <w:t>.</w:t>
      </w:r>
    </w:p>
    <w:p w14:paraId="65E809E9" w14:textId="77777777" w:rsidR="00107FCF" w:rsidRDefault="00107FCF">
      <w:pPr>
        <w:rPr>
          <w:szCs w:val="20"/>
          <w:lang w:eastAsia="en-US"/>
        </w:rPr>
      </w:pPr>
      <w:r>
        <w:br w:type="page"/>
      </w:r>
    </w:p>
    <w:p w14:paraId="11D12F07" w14:textId="77777777" w:rsidR="00107FCF" w:rsidRPr="0038325A" w:rsidRDefault="00107FCF" w:rsidP="00C22319">
      <w:pPr>
        <w:pStyle w:val="ReportText"/>
        <w:spacing w:before="120"/>
        <w:jc w:val="both"/>
      </w:pPr>
      <w:r w:rsidRPr="0038325A">
        <w:lastRenderedPageBreak/>
        <w:t>W zakresie kryterium „Określony w czasie (Time-bound)” weryfikowane b</w:t>
      </w:r>
      <w:r>
        <w:t>yły</w:t>
      </w:r>
      <w:r w:rsidRPr="0038325A">
        <w:t xml:space="preserve"> ramy czasowe realizacji zadania, gdyż działanie musi mieć pewien harmonogram wdrożenia i w konsekwencji osiągnięcia celu, dla którego został opracowany. Przyj</w:t>
      </w:r>
      <w:r>
        <w:t>ęto</w:t>
      </w:r>
      <w:r w:rsidRPr="0038325A">
        <w:t xml:space="preserve"> następujący warunek czasowy: </w:t>
      </w:r>
    </w:p>
    <w:p w14:paraId="2105CAEE" w14:textId="7A8F7DB9" w:rsidR="00107FCF" w:rsidRPr="0038325A" w:rsidRDefault="00107FCF" w:rsidP="006D41A7">
      <w:pPr>
        <w:pStyle w:val="ReportText"/>
        <w:numPr>
          <w:ilvl w:val="0"/>
          <w:numId w:val="20"/>
        </w:numPr>
        <w:spacing w:before="120" w:after="120"/>
        <w:ind w:left="567" w:hanging="425"/>
        <w:jc w:val="both"/>
      </w:pPr>
      <w:r w:rsidRPr="0038325A">
        <w:t>Realizacja zadań (a przynajmniej opracowanie dokumentacji technicznej) powinna być realna w horyzoncie czasowym najbliższej perspektywy finansowej (lata 202</w:t>
      </w:r>
      <w:r w:rsidR="00203A6E">
        <w:t>2</w:t>
      </w:r>
      <w:r w:rsidRPr="0038325A">
        <w:t xml:space="preserve">-2027). </w:t>
      </w:r>
    </w:p>
    <w:p w14:paraId="7646C674" w14:textId="77777777" w:rsidR="00107FCF" w:rsidRPr="0038325A" w:rsidRDefault="00107FCF" w:rsidP="00C22319">
      <w:pPr>
        <w:pStyle w:val="ReportText"/>
        <w:spacing w:before="120"/>
        <w:jc w:val="both"/>
      </w:pPr>
      <w:r w:rsidRPr="0038325A">
        <w:t xml:space="preserve">Zastosowanie reguły S.M.A.R.T. </w:t>
      </w:r>
      <w:r>
        <w:t xml:space="preserve">ma na celu dokonanie selekcji, dzięki której wybrane działania </w:t>
      </w:r>
      <w:r w:rsidRPr="0038325A">
        <w:t xml:space="preserve">będą przemyślane, przygotowane, adekwatne do celów i możliwe do wdrożenia. </w:t>
      </w:r>
      <w:r>
        <w:t>K</w:t>
      </w:r>
      <w:r w:rsidRPr="0038325A">
        <w:t xml:space="preserve">luczowymi wymaganiami stawianymi potencjalnym działaniom </w:t>
      </w:r>
      <w:r>
        <w:t>było</w:t>
      </w:r>
      <w:r w:rsidRPr="0038325A">
        <w:t>, aby były one dobrze zdefiniowane</w:t>
      </w:r>
      <w:r>
        <w:t xml:space="preserve"> </w:t>
      </w:r>
      <w:r w:rsidRPr="0038325A">
        <w:t xml:space="preserve">i realistyczne, co jest rozumiane następująco: </w:t>
      </w:r>
    </w:p>
    <w:p w14:paraId="1438409C" w14:textId="77777777" w:rsidR="00107FCF" w:rsidRPr="0038325A" w:rsidRDefault="00107FCF" w:rsidP="006D41A7">
      <w:pPr>
        <w:pStyle w:val="ReportText"/>
        <w:numPr>
          <w:ilvl w:val="0"/>
          <w:numId w:val="18"/>
        </w:numPr>
        <w:ind w:left="567" w:hanging="425"/>
        <w:jc w:val="both"/>
      </w:pPr>
      <w:r w:rsidRPr="0038325A">
        <w:t xml:space="preserve">Działanie jest „dobrze zdefiniowane”, jeżeli wiadomo: </w:t>
      </w:r>
    </w:p>
    <w:p w14:paraId="4D136CE0" w14:textId="77777777" w:rsidR="00107FCF" w:rsidRPr="0038325A" w:rsidRDefault="00107FCF" w:rsidP="006D41A7">
      <w:pPr>
        <w:pStyle w:val="ReportText"/>
        <w:numPr>
          <w:ilvl w:val="1"/>
          <w:numId w:val="18"/>
        </w:numPr>
        <w:jc w:val="both"/>
      </w:pPr>
      <w:r>
        <w:t xml:space="preserve">jaki jest zakres działania </w:t>
      </w:r>
      <w:r w:rsidRPr="0038325A">
        <w:t>(działanie ma konkretną lokalizację i parametry)</w:t>
      </w:r>
      <w:r>
        <w:t>;</w:t>
      </w:r>
    </w:p>
    <w:p w14:paraId="7D449CCC" w14:textId="0E542131" w:rsidR="00107FCF" w:rsidRPr="0038325A" w:rsidRDefault="00107FCF" w:rsidP="006D41A7">
      <w:pPr>
        <w:pStyle w:val="ReportText"/>
        <w:numPr>
          <w:ilvl w:val="1"/>
          <w:numId w:val="18"/>
        </w:numPr>
        <w:jc w:val="both"/>
      </w:pPr>
      <w:r>
        <w:t>kto jest odpowiedzialny za wykonanie zadania</w:t>
      </w:r>
      <w:r w:rsidRPr="0038325A">
        <w:t xml:space="preserve"> (znana jest jednostka lub jednostki potencjalnie odpowiedzialne za wdrożenie)</w:t>
      </w:r>
      <w:r>
        <w:t>;</w:t>
      </w:r>
    </w:p>
    <w:p w14:paraId="4C402CA1" w14:textId="77777777" w:rsidR="00107FCF" w:rsidRPr="0038325A" w:rsidRDefault="00107FCF" w:rsidP="006D41A7">
      <w:pPr>
        <w:pStyle w:val="ReportText"/>
        <w:numPr>
          <w:ilvl w:val="1"/>
          <w:numId w:val="18"/>
        </w:numPr>
        <w:jc w:val="both"/>
      </w:pPr>
      <w:r w:rsidRPr="0038325A">
        <w:t>jaki problem rozwiązuje działanie (do jakiego celu się odnosi)</w:t>
      </w:r>
      <w:r>
        <w:t>;</w:t>
      </w:r>
    </w:p>
    <w:p w14:paraId="54FCF354" w14:textId="61E7A28F" w:rsidR="00107FCF" w:rsidRPr="0038325A" w:rsidRDefault="00107FCF" w:rsidP="006D41A7">
      <w:pPr>
        <w:pStyle w:val="ReportText"/>
        <w:numPr>
          <w:ilvl w:val="1"/>
          <w:numId w:val="18"/>
        </w:numPr>
        <w:jc w:val="both"/>
      </w:pPr>
      <w:r w:rsidRPr="0038325A">
        <w:t xml:space="preserve">jakie efekty da realizacja działania tj. jaki będzie wpływ działania na ograniczenie ryzyka powodziowego określony w miarę możliwości ilościowo tak, aby zapewnić możliwość oceny działania. </w:t>
      </w:r>
    </w:p>
    <w:p w14:paraId="070FCB5D" w14:textId="77777777" w:rsidR="00107FCF" w:rsidRPr="0038325A" w:rsidRDefault="00107FCF" w:rsidP="006D41A7">
      <w:pPr>
        <w:pStyle w:val="ReportText"/>
        <w:numPr>
          <w:ilvl w:val="0"/>
          <w:numId w:val="18"/>
        </w:numPr>
        <w:ind w:left="567" w:hanging="425"/>
        <w:jc w:val="both"/>
      </w:pPr>
      <w:r w:rsidRPr="0038325A">
        <w:t>Działanie jest „realistyczne”, jeżeli:</w:t>
      </w:r>
    </w:p>
    <w:p w14:paraId="03F96D34" w14:textId="7CC30D71" w:rsidR="00107FCF" w:rsidRPr="0038325A" w:rsidRDefault="00107FCF" w:rsidP="006D41A7">
      <w:pPr>
        <w:pStyle w:val="ReportText"/>
        <w:numPr>
          <w:ilvl w:val="1"/>
          <w:numId w:val="18"/>
        </w:numPr>
        <w:jc w:val="both"/>
      </w:pPr>
      <w:r w:rsidRPr="0038325A">
        <w:t>są zapewnione odpowiednie siły i środki na jego realizację</w:t>
      </w:r>
      <w:r w:rsidR="00055762">
        <w:t xml:space="preserve"> </w:t>
      </w:r>
      <w:r w:rsidRPr="0038325A">
        <w:t>(lub</w:t>
      </w:r>
      <w:r w:rsidR="00055762">
        <w:t> </w:t>
      </w:r>
      <w:r w:rsidRPr="0038325A">
        <w:t>prawdopodobieństwo ich uzyskania jest duże)</w:t>
      </w:r>
      <w:r>
        <w:t>;</w:t>
      </w:r>
    </w:p>
    <w:p w14:paraId="12DF2322" w14:textId="77777777" w:rsidR="00107FCF" w:rsidRPr="0038325A" w:rsidRDefault="00107FCF" w:rsidP="006D41A7">
      <w:pPr>
        <w:pStyle w:val="ReportText"/>
        <w:numPr>
          <w:ilvl w:val="1"/>
          <w:numId w:val="18"/>
        </w:numPr>
        <w:jc w:val="both"/>
      </w:pPr>
      <w:r w:rsidRPr="0038325A">
        <w:t>jest zgoda społeczna na jego wdrożenie (potencjalnie konfliktowe działania były konsultowane z interesariuszami)</w:t>
      </w:r>
      <w:r>
        <w:t>.</w:t>
      </w:r>
    </w:p>
    <w:p w14:paraId="15538E85" w14:textId="69812657" w:rsidR="00107FCF" w:rsidRPr="0038325A" w:rsidRDefault="00107FCF" w:rsidP="00C22319">
      <w:pPr>
        <w:pStyle w:val="ReportText"/>
        <w:spacing w:before="120"/>
        <w:jc w:val="both"/>
      </w:pPr>
      <w:r w:rsidRPr="0038325A">
        <w:t>Ponadto propozycje działań uwzględnia</w:t>
      </w:r>
      <w:r>
        <w:t>ły</w:t>
      </w:r>
      <w:r w:rsidRPr="0038325A">
        <w:t xml:space="preserve"> obowiązujące wymagania prawne,</w:t>
      </w:r>
      <w:r w:rsidR="00055762">
        <w:t xml:space="preserve"> </w:t>
      </w:r>
      <w:r w:rsidRPr="0038325A">
        <w:t>a więc wymaga</w:t>
      </w:r>
      <w:r>
        <w:t>ły</w:t>
      </w:r>
      <w:r w:rsidRPr="0038325A">
        <w:t>, w szczególności:</w:t>
      </w:r>
    </w:p>
    <w:p w14:paraId="418F3C83" w14:textId="77777777" w:rsidR="00107FCF" w:rsidRPr="0038325A" w:rsidRDefault="00107FCF" w:rsidP="006D41A7">
      <w:pPr>
        <w:pStyle w:val="ReportText"/>
        <w:numPr>
          <w:ilvl w:val="0"/>
          <w:numId w:val="19"/>
        </w:numPr>
        <w:ind w:left="567" w:hanging="425"/>
        <w:jc w:val="both"/>
      </w:pPr>
      <w:r w:rsidRPr="0038325A">
        <w:t>wykonani</w:t>
      </w:r>
      <w:r>
        <w:t>a</w:t>
      </w:r>
      <w:r w:rsidRPr="0038325A">
        <w:t xml:space="preserve"> analiz czy działanie może spowodować nieosiągnięcie dobrego stanu wód lub pogorszenie dobrego stanu wód,</w:t>
      </w:r>
    </w:p>
    <w:p w14:paraId="2F115046" w14:textId="4B433F9A" w:rsidR="00107FCF" w:rsidRPr="008C7805" w:rsidRDefault="00107FCF" w:rsidP="006D41A7">
      <w:pPr>
        <w:pStyle w:val="ReportText"/>
        <w:numPr>
          <w:ilvl w:val="0"/>
          <w:numId w:val="19"/>
        </w:numPr>
        <w:ind w:left="567" w:hanging="425"/>
        <w:jc w:val="both"/>
      </w:pPr>
      <w:r w:rsidRPr="008C7805">
        <w:t>sprawdzenia czy działania będące w konflikcie z celami środowiskowymi ustalonymi dla wód, których dotyczy działanie mają odpowiednie uzasadnienie, zgodnie</w:t>
      </w:r>
      <w:r w:rsidR="00B046B6">
        <w:t xml:space="preserve"> </w:t>
      </w:r>
      <w:r w:rsidRPr="008C7805">
        <w:t>z wymogami Ramowej Dyrektywy Wodnej, uwzględniające Zasady weryfikacji przesłanek z art. 4 ust. 7 RDW w odniesieniu do przedsięwzięć przeciwpowodziowych,</w:t>
      </w:r>
    </w:p>
    <w:p w14:paraId="4641495F" w14:textId="54863DCC" w:rsidR="00107FCF" w:rsidRPr="0038325A" w:rsidRDefault="00107FCF" w:rsidP="006D41A7">
      <w:pPr>
        <w:pStyle w:val="ReportText"/>
        <w:numPr>
          <w:ilvl w:val="0"/>
          <w:numId w:val="19"/>
        </w:numPr>
        <w:ind w:left="567" w:hanging="425"/>
        <w:jc w:val="both"/>
      </w:pPr>
      <w:r>
        <w:t>s</w:t>
      </w:r>
      <w:r w:rsidRPr="0038325A">
        <w:t>prawdzenia czy działania wpływające na obszary siedliskowe lub inne formy ochrony przyrody mają zaproponowane działania kompensujące (m.in. zgodnie</w:t>
      </w:r>
      <w:r w:rsidR="00055762">
        <w:t xml:space="preserve"> </w:t>
      </w:r>
      <w:r w:rsidRPr="0038325A">
        <w:t>z</w:t>
      </w:r>
      <w:r w:rsidR="00055762">
        <w:t> </w:t>
      </w:r>
      <w:r w:rsidRPr="0038325A">
        <w:t>Dyrektywą Siedliskową, Dyrektywą Ptasią).</w:t>
      </w:r>
    </w:p>
    <w:p w14:paraId="51A8A757" w14:textId="28511C62" w:rsidR="00107FCF" w:rsidRPr="006E292E" w:rsidRDefault="003C649E" w:rsidP="0043169F">
      <w:pPr>
        <w:pStyle w:val="ReportText"/>
        <w:spacing w:before="120"/>
        <w:jc w:val="both"/>
        <w:rPr>
          <w:b/>
          <w:bCs/>
        </w:rPr>
      </w:pPr>
      <w:r>
        <w:rPr>
          <w:noProof/>
          <w:lang w:eastAsia="pl-PL"/>
        </w:rPr>
        <w:lastRenderedPageBreak/>
        <w:drawing>
          <wp:anchor distT="0" distB="0" distL="114300" distR="114300" simplePos="0" relativeHeight="251654656" behindDoc="0" locked="0" layoutInCell="1" allowOverlap="1" wp14:anchorId="7CF4A027" wp14:editId="04D3BEE3">
            <wp:simplePos x="0" y="0"/>
            <wp:positionH relativeFrom="margin">
              <wp:posOffset>119380</wp:posOffset>
            </wp:positionH>
            <wp:positionV relativeFrom="margin">
              <wp:posOffset>834390</wp:posOffset>
            </wp:positionV>
            <wp:extent cx="5153025" cy="2390775"/>
            <wp:effectExtent l="0" t="0" r="0" b="0"/>
            <wp:wrapTopAndBottom/>
            <wp:docPr id="10" name="Obraz 18" descr="Obraz zawierający tekst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Obraz zawierający tekstOpis wygenerowany automatyczni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53025" cy="2390775"/>
                    </a:xfrm>
                    <a:prstGeom prst="rect">
                      <a:avLst/>
                    </a:prstGeom>
                    <a:noFill/>
                  </pic:spPr>
                </pic:pic>
              </a:graphicData>
            </a:graphic>
            <wp14:sizeRelH relativeFrom="page">
              <wp14:pctWidth>0</wp14:pctWidth>
            </wp14:sizeRelH>
            <wp14:sizeRelV relativeFrom="page">
              <wp14:pctHeight>0</wp14:pctHeight>
            </wp14:sizeRelV>
          </wp:anchor>
        </w:drawing>
      </w:r>
      <w:r w:rsidR="00107FCF" w:rsidRPr="0038325A">
        <w:t>Bazowa lista działań stanowi zbiór działań, które spełniają wymagania reguły</w:t>
      </w:r>
      <w:r w:rsidR="00B046B6">
        <w:t xml:space="preserve"> </w:t>
      </w:r>
      <w:r w:rsidR="00107FCF" w:rsidRPr="0038325A">
        <w:t>S.M.A.R.T.</w:t>
      </w:r>
      <w:r w:rsidR="00107FCF">
        <w:t xml:space="preserve"> </w:t>
      </w:r>
      <w:r w:rsidR="00107FCF" w:rsidRPr="0038325A">
        <w:t>Schemat procesu opracowania bazowej listy działań przedstawi</w:t>
      </w:r>
      <w:r w:rsidR="00107FCF">
        <w:t xml:space="preserve">a </w:t>
      </w:r>
      <w:r w:rsidR="00107FCF">
        <w:fldChar w:fldCharType="begin"/>
      </w:r>
      <w:r w:rsidR="00107FCF">
        <w:instrText xml:space="preserve"> REF _Ref76483655 \h </w:instrText>
      </w:r>
      <w:r w:rsidR="00107FCF">
        <w:fldChar w:fldCharType="separate"/>
      </w:r>
      <w:r w:rsidR="00AC4DF9" w:rsidRPr="00E44609">
        <w:t xml:space="preserve">Rysunek </w:t>
      </w:r>
      <w:r w:rsidR="00AC4DF9">
        <w:rPr>
          <w:noProof/>
        </w:rPr>
        <w:t>8</w:t>
      </w:r>
      <w:r w:rsidR="00107FCF">
        <w:fldChar w:fldCharType="end"/>
      </w:r>
      <w:r w:rsidR="00107FCF">
        <w:t>.</w:t>
      </w:r>
    </w:p>
    <w:p w14:paraId="4E2888AD" w14:textId="3C095DAC" w:rsidR="00107FCF" w:rsidRDefault="00107FCF" w:rsidP="00C22319">
      <w:pPr>
        <w:pStyle w:val="ReportText"/>
      </w:pPr>
      <w:bookmarkStart w:id="29" w:name="_Ref70082045"/>
    </w:p>
    <w:p w14:paraId="0410270C" w14:textId="0E4D0773" w:rsidR="00107FCF" w:rsidRDefault="00107FCF" w:rsidP="00695B41">
      <w:pPr>
        <w:pStyle w:val="ReportText"/>
      </w:pPr>
      <w:bookmarkStart w:id="30" w:name="_Ref76483655"/>
      <w:bookmarkStart w:id="31" w:name="_Toc80608788"/>
      <w:r w:rsidRPr="00E44609">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8</w:t>
      </w:r>
      <w:r w:rsidR="002622F2">
        <w:rPr>
          <w:noProof/>
        </w:rPr>
        <w:fldChar w:fldCharType="end"/>
      </w:r>
      <w:bookmarkEnd w:id="29"/>
      <w:bookmarkEnd w:id="30"/>
      <w:r w:rsidR="00695B41">
        <w:t xml:space="preserve"> </w:t>
      </w:r>
      <w:r w:rsidR="00695B41">
        <w:tab/>
      </w:r>
      <w:r w:rsidRPr="00E44609">
        <w:t xml:space="preserve">Schemat opracowania wstępnej </w:t>
      </w:r>
      <w:r>
        <w:t xml:space="preserve">i bazowej </w:t>
      </w:r>
      <w:r w:rsidRPr="00E44609">
        <w:t>listy działań</w:t>
      </w:r>
      <w:bookmarkEnd w:id="31"/>
    </w:p>
    <w:p w14:paraId="1A32A3BE" w14:textId="77777777" w:rsidR="00AC2D9C" w:rsidRDefault="00107FCF" w:rsidP="00AC2D9C">
      <w:pPr>
        <w:pStyle w:val="ReportText"/>
        <w:spacing w:before="120"/>
        <w:jc w:val="both"/>
      </w:pPr>
      <w:r w:rsidRPr="00243D41">
        <w:t>Po weryfikacji zadań znajdujących się na w</w:t>
      </w:r>
      <w:r w:rsidRPr="00623C1D">
        <w:t>stępn</w:t>
      </w:r>
      <w:r>
        <w:t>ej</w:t>
      </w:r>
      <w:r w:rsidRPr="00623C1D">
        <w:t xml:space="preserve"> li</w:t>
      </w:r>
      <w:r>
        <w:t>ście</w:t>
      </w:r>
      <w:r w:rsidRPr="00623C1D">
        <w:t xml:space="preserve"> działań ograniczających ryzyko powodziowe od strony morza, w tym morskich wód wewnętrznych </w:t>
      </w:r>
      <w:r w:rsidRPr="007F4671">
        <w:t>pozostało 5 zadań</w:t>
      </w:r>
      <w:r>
        <w:t>, które zostały wpisane bezpośrednio na Ostateczną Listę Działań II cyklu aPZRPM.</w:t>
      </w:r>
      <w:r w:rsidRPr="00623C1D">
        <w:t xml:space="preserve"> </w:t>
      </w:r>
      <w:r>
        <w:t>Schemat kwalifikacji działań na Ostateczną Listę Działań II cyklu aPZRPM przedstawiono w rozdziale 5.</w:t>
      </w:r>
    </w:p>
    <w:p w14:paraId="799FB06D" w14:textId="18E7B313" w:rsidR="00107FCF" w:rsidRDefault="00107FCF" w:rsidP="006D41A7">
      <w:pPr>
        <w:pStyle w:val="ReportLevel1"/>
        <w:numPr>
          <w:ilvl w:val="0"/>
          <w:numId w:val="4"/>
        </w:numPr>
      </w:pPr>
      <w:r>
        <w:br w:type="page"/>
      </w:r>
      <w:bookmarkStart w:id="32" w:name="_Toc80608717"/>
      <w:r>
        <w:lastRenderedPageBreak/>
        <w:t>Sformułowanie wariantów planistycznych</w:t>
      </w:r>
      <w:bookmarkEnd w:id="32"/>
    </w:p>
    <w:p w14:paraId="7E404C9D" w14:textId="1E029D3E" w:rsidR="00107FCF" w:rsidRDefault="00107FCF" w:rsidP="007F7335">
      <w:pPr>
        <w:pStyle w:val="ReportText"/>
        <w:spacing w:before="120"/>
        <w:jc w:val="both"/>
      </w:pPr>
      <w:r>
        <w:t>Następnym etapem po sformułowaniu bazowej listy działań były analizy prowadzące do zdefiniowania wariantów planistycznych zawierających działania obniżające istniejące ryzyko powodziowe. Według poczynionych założeń w</w:t>
      </w:r>
      <w:r w:rsidRPr="00C61517">
        <w:t>ariant planistyczny, to zestaw niezależnych lub powiązanych z sobą działań, prowadzących do</w:t>
      </w:r>
      <w:r>
        <w:t xml:space="preserve"> </w:t>
      </w:r>
      <w:r w:rsidRPr="00C61517">
        <w:t>osiągnięcia wskazanych celów</w:t>
      </w:r>
      <w:r>
        <w:t xml:space="preserve"> ochrony powodziowej w obrębie obszaru problemowego</w:t>
      </w:r>
      <w:r w:rsidRPr="00C61517">
        <w:t xml:space="preserve">. </w:t>
      </w:r>
      <w:r>
        <w:t>W</w:t>
      </w:r>
      <w:r w:rsidR="00B046B6">
        <w:t> </w:t>
      </w:r>
      <w:r>
        <w:t>procesie formułowania wariantów oraz prowadzenia analiz mających na celu dobór działań intencją było, aby zdefiniowany</w:t>
      </w:r>
      <w:r w:rsidRPr="00C61517">
        <w:t xml:space="preserve"> wariant planu w</w:t>
      </w:r>
      <w:r>
        <w:t> </w:t>
      </w:r>
      <w:r w:rsidRPr="00C61517">
        <w:t>ograniczonym, możliwie jak</w:t>
      </w:r>
      <w:r>
        <w:t xml:space="preserve"> </w:t>
      </w:r>
      <w:r w:rsidRPr="00C61517">
        <w:t>najmniejszym stopniu oddziaływa</w:t>
      </w:r>
      <w:r>
        <w:t>ł</w:t>
      </w:r>
      <w:r w:rsidRPr="00C61517">
        <w:t xml:space="preserve"> niekorzystnie na</w:t>
      </w:r>
      <w:r>
        <w:t> </w:t>
      </w:r>
      <w:r w:rsidRPr="00C61517">
        <w:t>środowisko, społeczeństwo</w:t>
      </w:r>
      <w:r>
        <w:t xml:space="preserve"> </w:t>
      </w:r>
      <w:r w:rsidRPr="00C61517">
        <w:t>i</w:t>
      </w:r>
      <w:r>
        <w:t> </w:t>
      </w:r>
      <w:r w:rsidRPr="00C61517">
        <w:t>gospodarkę, przy jak</w:t>
      </w:r>
      <w:r>
        <w:t xml:space="preserve"> </w:t>
      </w:r>
      <w:r w:rsidRPr="00C61517">
        <w:t>największym o</w:t>
      </w:r>
      <w:r>
        <w:t>bniżeniu</w:t>
      </w:r>
      <w:r w:rsidRPr="00C61517">
        <w:t xml:space="preserve"> ryzyka powodziowego.</w:t>
      </w:r>
      <w:bookmarkStart w:id="33" w:name="_Ref76548478"/>
      <w:r>
        <w:t xml:space="preserve"> </w:t>
      </w:r>
      <w:r w:rsidRPr="00B65E65">
        <w:t>W związku</w:t>
      </w:r>
      <w:r>
        <w:t xml:space="preserve"> z powyższym</w:t>
      </w:r>
      <w:r w:rsidRPr="00B65E65">
        <w:t xml:space="preserve"> przyłoż</w:t>
      </w:r>
      <w:r>
        <w:t>ono</w:t>
      </w:r>
      <w:r w:rsidRPr="00B65E65">
        <w:t xml:space="preserve"> szczególną wagę do procesu identyfikacji problemów i</w:t>
      </w:r>
      <w:r w:rsidR="00B046B6">
        <w:t> </w:t>
      </w:r>
      <w:r w:rsidRPr="00B65E65">
        <w:t xml:space="preserve">wyboru działań na poziomie lokalnym. </w:t>
      </w:r>
    </w:p>
    <w:p w14:paraId="03C82F88" w14:textId="77777777" w:rsidR="00107FCF" w:rsidRDefault="00107FCF" w:rsidP="007F7335">
      <w:pPr>
        <w:pStyle w:val="ReportText"/>
        <w:spacing w:before="120"/>
        <w:jc w:val="both"/>
      </w:pPr>
      <w:r>
        <w:t>W przedmiotowym przypadku</w:t>
      </w:r>
      <w:r w:rsidRPr="00B65E65">
        <w:t xml:space="preserve"> </w:t>
      </w:r>
      <w:r>
        <w:t xml:space="preserve">bazowa lista </w:t>
      </w:r>
      <w:r w:rsidRPr="00B65E65">
        <w:t>działań b</w:t>
      </w:r>
      <w:r>
        <w:t>yła</w:t>
      </w:r>
      <w:r w:rsidRPr="00B65E65">
        <w:t xml:space="preserve"> niewystarczająca do zdefiniowania wariantu planistycznego, którego realizacja gwarantowałaby osiągnięcie zakładanych celów zarządzania ryzykiem powodziowym.</w:t>
      </w:r>
      <w:r>
        <w:t xml:space="preserve"> Wobec powyższego</w:t>
      </w:r>
      <w:r w:rsidRPr="00B65E65">
        <w:t xml:space="preserve"> wskaza</w:t>
      </w:r>
      <w:r>
        <w:t>no</w:t>
      </w:r>
      <w:r w:rsidRPr="00B65E65">
        <w:t xml:space="preserve"> dodatkowe działania, które nie były wskazywane we wcześniejszych listach działań (list</w:t>
      </w:r>
      <w:r>
        <w:t>a</w:t>
      </w:r>
      <w:r w:rsidRPr="00B65E65">
        <w:t xml:space="preserve"> </w:t>
      </w:r>
      <w:r>
        <w:t>„V</w:t>
      </w:r>
      <w:r w:rsidRPr="00B65E65">
        <w:t xml:space="preserve">”). </w:t>
      </w:r>
      <w:r>
        <w:t>Przedmiotowe działania zostały przedstawione</w:t>
      </w:r>
      <w:r w:rsidRPr="00B65E65">
        <w:t xml:space="preserve"> Zamawiającemu do weryfikacji</w:t>
      </w:r>
      <w:r>
        <w:br/>
      </w:r>
      <w:r w:rsidRPr="00B65E65">
        <w:t xml:space="preserve">i akceptacji. </w:t>
      </w:r>
    </w:p>
    <w:p w14:paraId="31D417B3" w14:textId="77777777" w:rsidR="00107FCF" w:rsidRPr="00B65E65" w:rsidRDefault="00107FCF" w:rsidP="00D6162E">
      <w:pPr>
        <w:pStyle w:val="ReportText"/>
        <w:spacing w:before="120" w:after="120"/>
        <w:jc w:val="both"/>
      </w:pPr>
      <w:r>
        <w:t>Podczas formułowania wariantów planistycznych zwracano uwagę na następujące kwestie</w:t>
      </w:r>
      <w:r w:rsidRPr="00B65E65">
        <w:t>:</w:t>
      </w:r>
    </w:p>
    <w:p w14:paraId="309DF6B6" w14:textId="48770E3D" w:rsidR="00107FCF" w:rsidRPr="00B65E65" w:rsidRDefault="00107FCF" w:rsidP="006D41A7">
      <w:pPr>
        <w:pStyle w:val="ReportText"/>
        <w:numPr>
          <w:ilvl w:val="0"/>
          <w:numId w:val="17"/>
        </w:numPr>
        <w:spacing w:before="120" w:after="120"/>
        <w:ind w:left="567" w:hanging="425"/>
        <w:jc w:val="both"/>
      </w:pPr>
      <w:r>
        <w:t xml:space="preserve">Proponowane warianty </w:t>
      </w:r>
      <w:r w:rsidRPr="00B65E65">
        <w:t>w miarę możliwości</w:t>
      </w:r>
      <w:r>
        <w:t xml:space="preserve"> powinny</w:t>
      </w:r>
      <w:r w:rsidRPr="00B65E65">
        <w:t xml:space="preserve"> różn</w:t>
      </w:r>
      <w:r>
        <w:t>ić się</w:t>
      </w:r>
      <w:r w:rsidRPr="00B65E65">
        <w:t xml:space="preserve"> od siebie </w:t>
      </w:r>
      <w:r>
        <w:t xml:space="preserve">– </w:t>
      </w:r>
      <w:r w:rsidRPr="00B65E65">
        <w:t xml:space="preserve">warianty </w:t>
      </w:r>
      <w:r>
        <w:t xml:space="preserve">powinny być </w:t>
      </w:r>
      <w:r w:rsidRPr="00B65E65">
        <w:t>przeciwstawne lub rozbudowywane o kolejne działania w</w:t>
      </w:r>
      <w:r w:rsidR="00B046B6">
        <w:t> </w:t>
      </w:r>
      <w:r w:rsidRPr="00B65E65">
        <w:t>stosunku do wariantu wcześniejszego</w:t>
      </w:r>
      <w:r>
        <w:t>;</w:t>
      </w:r>
    </w:p>
    <w:p w14:paraId="370E5EF0" w14:textId="77777777" w:rsidR="00107FCF" w:rsidRPr="00B65E65" w:rsidRDefault="00107FCF" w:rsidP="006D41A7">
      <w:pPr>
        <w:pStyle w:val="ReportText"/>
        <w:numPr>
          <w:ilvl w:val="0"/>
          <w:numId w:val="17"/>
        </w:numPr>
        <w:spacing w:before="120" w:after="120"/>
        <w:ind w:left="567" w:hanging="425"/>
        <w:jc w:val="both"/>
      </w:pPr>
      <w:r>
        <w:t xml:space="preserve">Działania proponowane w wariantach powinny być </w:t>
      </w:r>
      <w:r w:rsidRPr="00B65E65">
        <w:t>zgodne z obowiązującym prawem</w:t>
      </w:r>
      <w:r>
        <w:t>;</w:t>
      </w:r>
    </w:p>
    <w:p w14:paraId="3D5CE738" w14:textId="04C2A806" w:rsidR="00107FCF" w:rsidRPr="00B65E65" w:rsidRDefault="00107FCF" w:rsidP="006D41A7">
      <w:pPr>
        <w:pStyle w:val="ReportText"/>
        <w:numPr>
          <w:ilvl w:val="0"/>
          <w:numId w:val="17"/>
        </w:numPr>
        <w:spacing w:before="120" w:after="120"/>
        <w:ind w:left="567" w:hanging="425"/>
        <w:jc w:val="both"/>
      </w:pPr>
      <w:r>
        <w:t xml:space="preserve">Działania proponowane w wariantach powinny mieć </w:t>
      </w:r>
      <w:r w:rsidRPr="00B65E65">
        <w:t>zapewni</w:t>
      </w:r>
      <w:r>
        <w:t>oną</w:t>
      </w:r>
      <w:r w:rsidRPr="00B65E65">
        <w:t xml:space="preserve"> funkcjonalność</w:t>
      </w:r>
      <w:r w:rsidR="00055762">
        <w:t xml:space="preserve"> </w:t>
      </w:r>
      <w:r>
        <w:t>w sytuacji</w:t>
      </w:r>
      <w:r w:rsidRPr="00B65E65">
        <w:t xml:space="preserve"> zmieniających się warunków klimatycznych i zmian wrażliwości na powódź obszarów chronionych. </w:t>
      </w:r>
    </w:p>
    <w:p w14:paraId="301F1481" w14:textId="77777777" w:rsidR="00107FCF" w:rsidRPr="002F6671" w:rsidRDefault="00107FCF" w:rsidP="00A854E6">
      <w:pPr>
        <w:pStyle w:val="ReportText"/>
        <w:spacing w:before="120" w:after="120"/>
        <w:jc w:val="both"/>
      </w:pPr>
      <w:r w:rsidRPr="00B65E65">
        <w:t>W procesie formułowania wariantów planistycznych opracowa</w:t>
      </w:r>
      <w:r>
        <w:t>no</w:t>
      </w:r>
      <w:r w:rsidRPr="00B65E65">
        <w:t xml:space="preserve"> warianty reprezentujące różne strategie podejścia do redukcji ryzyka powodziowego. </w:t>
      </w:r>
      <w:r>
        <w:t>Z</w:t>
      </w:r>
      <w:r w:rsidRPr="002F6671">
        <w:t>osta</w:t>
      </w:r>
      <w:r>
        <w:t>ły</w:t>
      </w:r>
      <w:r w:rsidRPr="002F6671">
        <w:t xml:space="preserve"> </w:t>
      </w:r>
      <w:r>
        <w:t xml:space="preserve">one </w:t>
      </w:r>
      <w:r w:rsidRPr="002F6671">
        <w:t xml:space="preserve">sformułowane niezależnie dla każdej zlewni planistycznej </w:t>
      </w:r>
      <w:r>
        <w:t xml:space="preserve">i dla każdego obszaru problemowego </w:t>
      </w:r>
      <w:r w:rsidRPr="002F6671">
        <w:t xml:space="preserve">i zawierały działania z listy </w:t>
      </w:r>
      <w:r>
        <w:t>wstępnej i z listy „V”</w:t>
      </w:r>
      <w:r w:rsidRPr="002F6671">
        <w:t xml:space="preserve">. </w:t>
      </w:r>
      <w:r>
        <w:t>Z</w:t>
      </w:r>
      <w:r w:rsidRPr="002F6671">
        <w:t>akres wariantów planistycznych obejm</w:t>
      </w:r>
      <w:r>
        <w:t>ował</w:t>
      </w:r>
      <w:r w:rsidRPr="002F6671">
        <w:t>:</w:t>
      </w:r>
    </w:p>
    <w:p w14:paraId="33626571" w14:textId="77777777" w:rsidR="00107FCF" w:rsidRPr="00475541" w:rsidRDefault="00107FCF" w:rsidP="006D41A7">
      <w:pPr>
        <w:pStyle w:val="ReportText"/>
        <w:numPr>
          <w:ilvl w:val="0"/>
          <w:numId w:val="23"/>
        </w:numPr>
        <w:spacing w:before="120" w:after="120"/>
        <w:ind w:left="567" w:hanging="425"/>
        <w:jc w:val="both"/>
      </w:pPr>
      <w:r w:rsidRPr="00475541">
        <w:t>Wariant „</w:t>
      </w:r>
      <w:r>
        <w:t>0</w:t>
      </w:r>
      <w:r w:rsidRPr="00475541">
        <w:t>” obejmujący istniejący na koniec roku 2019 stan zabudowy hydrotechnicznej</w:t>
      </w:r>
      <w:r>
        <w:t xml:space="preserve"> </w:t>
      </w:r>
      <w:r w:rsidRPr="00475541">
        <w:t>(zgodnie z wynikami przeglądu i aktualizacji map zagrożenia powodziowego i map ryzyka</w:t>
      </w:r>
      <w:r>
        <w:t xml:space="preserve"> </w:t>
      </w:r>
      <w:r w:rsidRPr="00475541">
        <w:t>powodziowego, od strony morza w tym morskich wód wewnętrznych)</w:t>
      </w:r>
      <w:r>
        <w:t>;</w:t>
      </w:r>
    </w:p>
    <w:p w14:paraId="60DA6BF4" w14:textId="00E500B4" w:rsidR="00107FCF" w:rsidRDefault="00107FCF" w:rsidP="006D41A7">
      <w:pPr>
        <w:pStyle w:val="ReportText"/>
        <w:numPr>
          <w:ilvl w:val="0"/>
          <w:numId w:val="23"/>
        </w:numPr>
        <w:spacing w:before="120" w:after="120"/>
        <w:ind w:left="567" w:hanging="425"/>
        <w:jc w:val="both"/>
      </w:pPr>
      <w:r w:rsidRPr="00475541">
        <w:t xml:space="preserve">Wariant </w:t>
      </w:r>
      <w:r>
        <w:t xml:space="preserve">„1” – </w:t>
      </w:r>
      <w:r w:rsidRPr="00475541">
        <w:t xml:space="preserve">mieszany (działania nietechniczne i techniczne) „miękki” </w:t>
      </w:r>
      <w:r w:rsidRPr="005167EC">
        <w:t>z</w:t>
      </w:r>
      <w:r w:rsidR="00B046B6">
        <w:t> </w:t>
      </w:r>
      <w:r w:rsidRPr="005167EC">
        <w:t>przewagą działań wymagających mniejszego zakresu prac budowlanych</w:t>
      </w:r>
      <w:r>
        <w:t>;</w:t>
      </w:r>
    </w:p>
    <w:p w14:paraId="366C498E" w14:textId="22CEAF6F" w:rsidR="00107FCF" w:rsidRPr="00475541" w:rsidRDefault="00107FCF" w:rsidP="006D41A7">
      <w:pPr>
        <w:pStyle w:val="ReportText"/>
        <w:numPr>
          <w:ilvl w:val="0"/>
          <w:numId w:val="23"/>
        </w:numPr>
        <w:spacing w:before="120" w:after="120"/>
        <w:ind w:left="567" w:hanging="425"/>
        <w:jc w:val="both"/>
      </w:pPr>
      <w:r w:rsidRPr="00475541">
        <w:t xml:space="preserve">Wariant </w:t>
      </w:r>
      <w:r>
        <w:t xml:space="preserve">„2” – </w:t>
      </w:r>
      <w:r w:rsidRPr="00475541">
        <w:t xml:space="preserve">mieszany (działania nietechniczne i techniczne) „twardy” </w:t>
      </w:r>
      <w:r w:rsidRPr="005167EC">
        <w:t>z</w:t>
      </w:r>
      <w:r w:rsidR="00B046B6">
        <w:t> </w:t>
      </w:r>
      <w:r w:rsidRPr="005167EC">
        <w:t xml:space="preserve">przewagą działań wymagających </w:t>
      </w:r>
      <w:r>
        <w:t xml:space="preserve">poważniejszych </w:t>
      </w:r>
      <w:r w:rsidRPr="005167EC">
        <w:t>prac budowlanych</w:t>
      </w:r>
      <w:r>
        <w:t xml:space="preserve"> niż w</w:t>
      </w:r>
      <w:r w:rsidR="00B046B6">
        <w:t> </w:t>
      </w:r>
      <w:r>
        <w:t>Wariancie 1</w:t>
      </w:r>
      <w:r w:rsidRPr="00475541">
        <w:t>.</w:t>
      </w:r>
    </w:p>
    <w:p w14:paraId="5760135B" w14:textId="77777777" w:rsidR="00107FCF" w:rsidRDefault="00107FCF" w:rsidP="006D41A7">
      <w:pPr>
        <w:pStyle w:val="ReportLevel2"/>
        <w:numPr>
          <w:ilvl w:val="1"/>
          <w:numId w:val="4"/>
        </w:numPr>
      </w:pPr>
      <w:bookmarkStart w:id="34" w:name="_Toc80608718"/>
      <w:r w:rsidRPr="00A854E6">
        <w:lastRenderedPageBreak/>
        <w:t>IOP_3 Świnoujście - Cieśnina Świna</w:t>
      </w:r>
      <w:bookmarkEnd w:id="34"/>
    </w:p>
    <w:p w14:paraId="1BD3603B" w14:textId="77777777" w:rsidR="00107FCF" w:rsidRDefault="00107FCF" w:rsidP="00854F29">
      <w:pPr>
        <w:pStyle w:val="ReportText"/>
        <w:spacing w:before="120" w:after="120"/>
        <w:jc w:val="both"/>
      </w:pPr>
      <w:r>
        <w:t xml:space="preserve">Dla obszaru problemowego </w:t>
      </w:r>
      <w:r w:rsidRPr="00854F29">
        <w:t>IOP_3 – Świnoujście - Cieśnina Świna</w:t>
      </w:r>
      <w:r>
        <w:t xml:space="preserve"> zdefiniowano zagrożenie powodziowe dla obszaru dzielnicy Śródmieście i Osiedla Flotylla. Dla przedmiotowego rejonu zaproponowano trzy warianty obniżenia istniejącego ryzyka powodziowego: </w:t>
      </w:r>
    </w:p>
    <w:p w14:paraId="171F6691" w14:textId="732C2E8E" w:rsidR="00107FCF" w:rsidRDefault="00107FCF" w:rsidP="006D41A7">
      <w:pPr>
        <w:pStyle w:val="ReportText"/>
        <w:numPr>
          <w:ilvl w:val="0"/>
          <w:numId w:val="23"/>
        </w:numPr>
        <w:spacing w:before="120" w:after="120"/>
        <w:ind w:left="567" w:hanging="425"/>
        <w:jc w:val="both"/>
      </w:pPr>
      <w:r>
        <w:t xml:space="preserve">Wariant „0” </w:t>
      </w:r>
      <w:r w:rsidRPr="00475541">
        <w:t>obejm</w:t>
      </w:r>
      <w:r>
        <w:t>ował</w:t>
      </w:r>
      <w:r w:rsidRPr="00475541">
        <w:t xml:space="preserve"> istniejący stan zabudowy hydrotechnicznej</w:t>
      </w:r>
      <w:r>
        <w:t xml:space="preserve"> </w:t>
      </w:r>
      <w:r w:rsidRPr="00475541">
        <w:t>(zgodnie z</w:t>
      </w:r>
      <w:r w:rsidR="00B046B6">
        <w:t> </w:t>
      </w:r>
      <w:r w:rsidRPr="00475541">
        <w:t>wynikami przeglądu i aktualizacji map zagrożenia powodziowego i map ryzyka</w:t>
      </w:r>
      <w:r>
        <w:t xml:space="preserve"> </w:t>
      </w:r>
      <w:r w:rsidRPr="00475541">
        <w:t>powodziowego</w:t>
      </w:r>
      <w:r>
        <w:t xml:space="preserve"> </w:t>
      </w:r>
      <w:r w:rsidRPr="00475541">
        <w:t>od strony morza w tym morskich wód wewnętrznych</w:t>
      </w:r>
      <w:r>
        <w:t xml:space="preserve"> </w:t>
      </w:r>
      <w:r w:rsidRPr="00475541">
        <w:t>na koniec roku 2019</w:t>
      </w:r>
      <w:r>
        <w:t xml:space="preserve"> z</w:t>
      </w:r>
      <w:r w:rsidRPr="00791A72">
        <w:t>aktualiz</w:t>
      </w:r>
      <w:r>
        <w:t xml:space="preserve">owany </w:t>
      </w:r>
      <w:r w:rsidRPr="00791A72">
        <w:t xml:space="preserve">o działania będące w realizacji lub planowane do rozpoczęcia </w:t>
      </w:r>
      <w:r>
        <w:t>do</w:t>
      </w:r>
      <w:r w:rsidRPr="00791A72">
        <w:t xml:space="preserve"> 2022 r., lub zakończone po 2019 r</w:t>
      </w:r>
      <w:r>
        <w:t>.</w:t>
      </w:r>
      <w:r w:rsidRPr="00475541">
        <w:t>)</w:t>
      </w:r>
      <w:r>
        <w:t xml:space="preserve"> czyli istniejące nabrzeże wzdłuż Wybrzeża Władysława IV. </w:t>
      </w:r>
    </w:p>
    <w:p w14:paraId="2AAE85D2" w14:textId="453B35D3" w:rsidR="00107FCF" w:rsidRDefault="00107FCF" w:rsidP="006D41A7">
      <w:pPr>
        <w:pStyle w:val="ReportText"/>
        <w:numPr>
          <w:ilvl w:val="0"/>
          <w:numId w:val="23"/>
        </w:numPr>
        <w:spacing w:before="120" w:after="120"/>
        <w:ind w:left="567" w:hanging="425"/>
        <w:jc w:val="both"/>
      </w:pPr>
      <w:r>
        <w:t>Wariant „1” obejmował o</w:t>
      </w:r>
      <w:r w:rsidRPr="002F2514">
        <w:t>chron</w:t>
      </w:r>
      <w:r>
        <w:t>ę</w:t>
      </w:r>
      <w:r w:rsidRPr="002F2514">
        <w:t xml:space="preserve"> przeciwpowodziow</w:t>
      </w:r>
      <w:r>
        <w:t>ą</w:t>
      </w:r>
      <w:r w:rsidRPr="002F2514">
        <w:t xml:space="preserve"> Świnoujścia dla obszaru dzielnic Śródmieście i Osiedl</w:t>
      </w:r>
      <w:r>
        <w:t>a</w:t>
      </w:r>
      <w:r w:rsidRPr="002F2514">
        <w:t xml:space="preserve"> Flotylla</w:t>
      </w:r>
      <w:r>
        <w:t xml:space="preserve"> - </w:t>
      </w:r>
      <w:r w:rsidRPr="002F2514">
        <w:t>Ograniczeni</w:t>
      </w:r>
      <w:r>
        <w:t>e</w:t>
      </w:r>
      <w:r w:rsidRPr="002F2514">
        <w:t xml:space="preserve"> ryzyka powodziowego</w:t>
      </w:r>
      <w:r w:rsidR="00055762">
        <w:t xml:space="preserve"> </w:t>
      </w:r>
      <w:r w:rsidRPr="002F2514">
        <w:t>w</w:t>
      </w:r>
      <w:r w:rsidR="00055762">
        <w:t> </w:t>
      </w:r>
      <w:r w:rsidRPr="002F2514">
        <w:t>północno-wschodniej części wyspy Uznam - mobilne przegrody wzdłuż ulicy Władysława IV o długości ok. 1,</w:t>
      </w:r>
      <w:r>
        <w:t>75</w:t>
      </w:r>
      <w:r w:rsidRPr="002F2514">
        <w:t xml:space="preserve"> km wraz z rozwojem lokalnego systemu ostrzegania przed powodziami i prognozowania zagrożeń na terenie miasta Świnoujście</w:t>
      </w:r>
      <w:r>
        <w:t xml:space="preserve"> (Zadanie O_AR_04). Lokalizację działania zaproponowanego</w:t>
      </w:r>
      <w:r w:rsidR="00055762">
        <w:t xml:space="preserve"> </w:t>
      </w:r>
      <w:r>
        <w:t>w</w:t>
      </w:r>
      <w:r w:rsidR="00055762">
        <w:t> </w:t>
      </w:r>
      <w:r>
        <w:t xml:space="preserve">wariancie „1” </w:t>
      </w:r>
      <w:r w:rsidRPr="00FC32F3">
        <w:rPr>
          <w:szCs w:val="24"/>
        </w:rPr>
        <w:t xml:space="preserve">przedstawia </w:t>
      </w:r>
      <w:r w:rsidR="002C15EE">
        <w:fldChar w:fldCharType="begin"/>
      </w:r>
      <w:r w:rsidR="002C15EE">
        <w:instrText xml:space="preserve"> REF _Ref76564774 \h  \* MERGEFORMAT </w:instrText>
      </w:r>
      <w:r w:rsidR="002C15EE">
        <w:fldChar w:fldCharType="separate"/>
      </w:r>
      <w:r w:rsidR="00AC4DF9" w:rsidRPr="00B046B6">
        <w:rPr>
          <w:szCs w:val="24"/>
        </w:rPr>
        <w:t xml:space="preserve">Rysunek </w:t>
      </w:r>
      <w:r w:rsidR="00AC4DF9">
        <w:rPr>
          <w:szCs w:val="24"/>
        </w:rPr>
        <w:t>9</w:t>
      </w:r>
      <w:r w:rsidR="002C15EE">
        <w:fldChar w:fldCharType="end"/>
      </w:r>
      <w:r>
        <w:t xml:space="preserve">. Parametry </w:t>
      </w:r>
    </w:p>
    <w:p w14:paraId="04508529" w14:textId="4B149178" w:rsidR="00107FCF" w:rsidRDefault="00107FCF" w:rsidP="006D41A7">
      <w:pPr>
        <w:pStyle w:val="ReportText"/>
        <w:numPr>
          <w:ilvl w:val="2"/>
          <w:numId w:val="58"/>
        </w:numPr>
        <w:spacing w:before="120" w:after="120"/>
        <w:ind w:left="1134" w:hanging="283"/>
        <w:jc w:val="both"/>
      </w:pPr>
      <w:r>
        <w:t xml:space="preserve">Typ ochrony: mobilne przegrody przeciwpowodziowe (belki zaporowe </w:t>
      </w:r>
      <w:r w:rsidR="00B046B6">
        <w:t>–</w:t>
      </w:r>
      <w:r>
        <w:t xml:space="preserve"> szandory);</w:t>
      </w:r>
    </w:p>
    <w:p w14:paraId="20112E65" w14:textId="0F9A37E7" w:rsidR="00107FCF" w:rsidRDefault="00107FCF" w:rsidP="006D41A7">
      <w:pPr>
        <w:pStyle w:val="ReportText"/>
        <w:numPr>
          <w:ilvl w:val="2"/>
          <w:numId w:val="58"/>
        </w:numPr>
        <w:spacing w:before="120" w:after="120"/>
        <w:ind w:left="1134" w:hanging="283"/>
        <w:jc w:val="both"/>
      </w:pPr>
      <w:r>
        <w:t>Długość: 1,75 km (odcinek A – 830m, odcinek B – 920m);</w:t>
      </w:r>
    </w:p>
    <w:p w14:paraId="4E2D8A85" w14:textId="2A5F5A2F" w:rsidR="00107FCF" w:rsidRDefault="00107FCF" w:rsidP="006D41A7">
      <w:pPr>
        <w:pStyle w:val="ReportText"/>
        <w:numPr>
          <w:ilvl w:val="2"/>
          <w:numId w:val="58"/>
        </w:numPr>
        <w:spacing w:before="120" w:after="120"/>
        <w:ind w:left="1134" w:hanging="283"/>
        <w:jc w:val="both"/>
      </w:pPr>
      <w:r>
        <w:t>Średnia wysokość: 1 m;</w:t>
      </w:r>
    </w:p>
    <w:p w14:paraId="4427E223" w14:textId="0A185B07" w:rsidR="00107FCF" w:rsidRDefault="003C649E" w:rsidP="006D41A7">
      <w:pPr>
        <w:pStyle w:val="ReportText"/>
        <w:numPr>
          <w:ilvl w:val="2"/>
          <w:numId w:val="58"/>
        </w:numPr>
        <w:spacing w:before="120" w:after="0"/>
        <w:ind w:left="1134" w:hanging="283"/>
        <w:jc w:val="both"/>
      </w:pPr>
      <w:r>
        <w:rPr>
          <w:noProof/>
          <w:lang w:eastAsia="pl-PL"/>
        </w:rPr>
        <w:drawing>
          <wp:anchor distT="0" distB="0" distL="114300" distR="114300" simplePos="0" relativeHeight="251655680" behindDoc="0" locked="0" layoutInCell="1" allowOverlap="1" wp14:anchorId="4FB0F081" wp14:editId="3DEB61EB">
            <wp:simplePos x="0" y="0"/>
            <wp:positionH relativeFrom="margin">
              <wp:posOffset>776605</wp:posOffset>
            </wp:positionH>
            <wp:positionV relativeFrom="margin">
              <wp:posOffset>4879975</wp:posOffset>
            </wp:positionV>
            <wp:extent cx="3420110" cy="3420110"/>
            <wp:effectExtent l="0" t="0" r="0" b="0"/>
            <wp:wrapTopAndBottom/>
            <wp:docPr id="11"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0110" cy="3420110"/>
                    </a:xfrm>
                    <a:prstGeom prst="rect">
                      <a:avLst/>
                    </a:prstGeom>
                    <a:noFill/>
                  </pic:spPr>
                </pic:pic>
              </a:graphicData>
            </a:graphic>
            <wp14:sizeRelH relativeFrom="page">
              <wp14:pctWidth>0</wp14:pctWidth>
            </wp14:sizeRelH>
            <wp14:sizeRelV relativeFrom="page">
              <wp14:pctHeight>0</wp14:pctHeight>
            </wp14:sizeRelV>
          </wp:anchor>
        </w:drawing>
      </w:r>
      <w:r w:rsidR="00107FCF">
        <w:t>Wymagana minimalna rzędna górnej krawędzi: 2,41 m n.p.m. (0,50 m nad poz. lustra wody 1%).</w:t>
      </w:r>
    </w:p>
    <w:p w14:paraId="491B400A" w14:textId="2653F25E" w:rsidR="00107FCF" w:rsidRPr="00B046B6" w:rsidRDefault="00107FCF" w:rsidP="00695B41">
      <w:pPr>
        <w:pStyle w:val="ReportText"/>
        <w:spacing w:before="0"/>
        <w:ind w:left="1418" w:hanging="1418"/>
        <w:jc w:val="both"/>
        <w:rPr>
          <w:szCs w:val="24"/>
        </w:rPr>
      </w:pPr>
      <w:bookmarkStart w:id="35" w:name="_Ref76564774"/>
      <w:bookmarkStart w:id="36" w:name="_Toc80608789"/>
      <w:r w:rsidRPr="00B046B6">
        <w:rPr>
          <w:szCs w:val="24"/>
        </w:rPr>
        <w:t xml:space="preserve">Rysunek </w:t>
      </w:r>
      <w:r w:rsidRPr="00B046B6">
        <w:rPr>
          <w:szCs w:val="24"/>
        </w:rPr>
        <w:fldChar w:fldCharType="begin"/>
      </w:r>
      <w:r w:rsidRPr="00B046B6">
        <w:rPr>
          <w:szCs w:val="24"/>
        </w:rPr>
        <w:instrText xml:space="preserve"> SEQ Rysunek \* ARABIC </w:instrText>
      </w:r>
      <w:r w:rsidRPr="00B046B6">
        <w:rPr>
          <w:szCs w:val="24"/>
        </w:rPr>
        <w:fldChar w:fldCharType="separate"/>
      </w:r>
      <w:r w:rsidR="00AC4DF9">
        <w:rPr>
          <w:noProof/>
          <w:szCs w:val="24"/>
        </w:rPr>
        <w:t>9</w:t>
      </w:r>
      <w:r w:rsidRPr="00B046B6">
        <w:rPr>
          <w:szCs w:val="24"/>
        </w:rPr>
        <w:fldChar w:fldCharType="end"/>
      </w:r>
      <w:bookmarkEnd w:id="35"/>
      <w:r w:rsidRPr="00B046B6">
        <w:rPr>
          <w:szCs w:val="24"/>
        </w:rPr>
        <w:tab/>
        <w:t>Lokalizacja działań zaproponowanych w wariancie „1” dla obszaru problemowego IOP_3 – Świnoujście - Cieśnina Świna</w:t>
      </w:r>
      <w:bookmarkEnd w:id="36"/>
    </w:p>
    <w:p w14:paraId="3574ABFB" w14:textId="0C735E37" w:rsidR="00107FCF" w:rsidRPr="005666A8" w:rsidRDefault="00107FCF" w:rsidP="006D41A7">
      <w:pPr>
        <w:pStyle w:val="ReportText"/>
        <w:numPr>
          <w:ilvl w:val="0"/>
          <w:numId w:val="23"/>
        </w:numPr>
        <w:spacing w:before="120" w:after="120"/>
        <w:ind w:left="567" w:hanging="425"/>
        <w:jc w:val="both"/>
      </w:pPr>
      <w:r>
        <w:lastRenderedPageBreak/>
        <w:t>Wariant „2” obejmował o</w:t>
      </w:r>
      <w:r w:rsidRPr="002F2514">
        <w:t>chron</w:t>
      </w:r>
      <w:r>
        <w:t>ę</w:t>
      </w:r>
      <w:r w:rsidRPr="002F2514">
        <w:t xml:space="preserve"> przeciwpowodziow</w:t>
      </w:r>
      <w:r>
        <w:t>ą</w:t>
      </w:r>
      <w:r w:rsidRPr="002F2514">
        <w:t xml:space="preserve"> Świnoujścia dla obszaru dzielnic Śródmieście i Osiedl</w:t>
      </w:r>
      <w:r>
        <w:t>a</w:t>
      </w:r>
      <w:r w:rsidRPr="002F2514">
        <w:t xml:space="preserve"> Flotylla</w:t>
      </w:r>
      <w:r>
        <w:t xml:space="preserve"> - </w:t>
      </w:r>
      <w:r w:rsidRPr="002F2514">
        <w:t>Ograniczenia ryzyka powodziowego</w:t>
      </w:r>
      <w:r w:rsidR="00055762">
        <w:t xml:space="preserve"> </w:t>
      </w:r>
      <w:r w:rsidRPr="002F2514">
        <w:t>w</w:t>
      </w:r>
      <w:r w:rsidR="00055762">
        <w:t> </w:t>
      </w:r>
      <w:r w:rsidRPr="002F2514">
        <w:t>północno-wschodniej części wyspy Uznam - podniesienie istniejących nabrzeży portowych wzdłuż ulicy Władysława IV o długości ok. 1,</w:t>
      </w:r>
      <w:r>
        <w:t>8</w:t>
      </w:r>
      <w:r w:rsidRPr="002F2514">
        <w:t xml:space="preserve"> km wraz z mobilnymi przegrodami (ok. 200 m i ok. 70m) oraz rozwojem lokalnego systemu ostrzegania przed powodziami i prognozowania zagrożeń na terenie miasta Świnoujście</w:t>
      </w:r>
      <w:r>
        <w:t xml:space="preserve"> (Zadanie O_AR</w:t>
      </w:r>
      <w:r w:rsidRPr="00FC32F3">
        <w:rPr>
          <w:szCs w:val="24"/>
        </w:rPr>
        <w:t xml:space="preserve">_15). Lokalizację działania zaproponowanego w wariancie „2” przedstawia </w:t>
      </w:r>
      <w:r w:rsidR="002C15EE">
        <w:fldChar w:fldCharType="begin"/>
      </w:r>
      <w:r w:rsidR="002C15EE">
        <w:instrText xml:space="preserve"> REF _Ref76565686 \h  \* MERGEFORMAT </w:instrText>
      </w:r>
      <w:r w:rsidR="002C15EE">
        <w:fldChar w:fldCharType="separate"/>
      </w:r>
      <w:r w:rsidR="00AC4DF9" w:rsidRPr="00B046B6">
        <w:rPr>
          <w:szCs w:val="24"/>
        </w:rPr>
        <w:t xml:space="preserve">Rysunek </w:t>
      </w:r>
      <w:r w:rsidR="00AC4DF9">
        <w:rPr>
          <w:noProof/>
          <w:szCs w:val="24"/>
        </w:rPr>
        <w:t>10</w:t>
      </w:r>
      <w:r w:rsidR="002C15EE">
        <w:fldChar w:fldCharType="end"/>
      </w:r>
      <w:r w:rsidRPr="00FC32F3">
        <w:rPr>
          <w:szCs w:val="24"/>
        </w:rPr>
        <w:t>.</w:t>
      </w:r>
    </w:p>
    <w:p w14:paraId="57F688AF" w14:textId="15E6570E" w:rsidR="00107FCF" w:rsidRPr="009161D3" w:rsidRDefault="00107FCF" w:rsidP="006D41A7">
      <w:pPr>
        <w:pStyle w:val="ReportText"/>
        <w:numPr>
          <w:ilvl w:val="2"/>
          <w:numId w:val="57"/>
        </w:numPr>
        <w:spacing w:before="120" w:after="120"/>
        <w:ind w:left="1134" w:hanging="283"/>
        <w:jc w:val="both"/>
      </w:pPr>
      <w:r w:rsidRPr="009161D3">
        <w:t xml:space="preserve">Typ ochrony: mobilne przegrody przeciwpowodziowe (belki zaporowe </w:t>
      </w:r>
      <w:r w:rsidR="00B046B6">
        <w:t>–</w:t>
      </w:r>
      <w:r w:rsidRPr="009161D3">
        <w:t xml:space="preserve"> szandory), podniesienie nabrzeża;</w:t>
      </w:r>
    </w:p>
    <w:p w14:paraId="27E68CE0" w14:textId="77777777" w:rsidR="00107FCF" w:rsidRPr="009161D3" w:rsidRDefault="00107FCF" w:rsidP="006D41A7">
      <w:pPr>
        <w:pStyle w:val="ReportText"/>
        <w:numPr>
          <w:ilvl w:val="2"/>
          <w:numId w:val="57"/>
        </w:numPr>
        <w:spacing w:before="120" w:after="120"/>
        <w:ind w:left="1134" w:hanging="283"/>
        <w:jc w:val="both"/>
      </w:pPr>
      <w:r w:rsidRPr="009161D3">
        <w:t xml:space="preserve"> Długość: 1,77 km (zapory mobilne – 270 m, podniesienie nabrzeża – 1500 m);</w:t>
      </w:r>
    </w:p>
    <w:p w14:paraId="52B7250C" w14:textId="77777777" w:rsidR="00107FCF" w:rsidRPr="009161D3" w:rsidRDefault="00107FCF" w:rsidP="006D41A7">
      <w:pPr>
        <w:pStyle w:val="ReportText"/>
        <w:numPr>
          <w:ilvl w:val="2"/>
          <w:numId w:val="57"/>
        </w:numPr>
        <w:spacing w:before="120" w:after="120"/>
        <w:ind w:left="1134" w:hanging="283"/>
        <w:jc w:val="both"/>
      </w:pPr>
      <w:r w:rsidRPr="009161D3">
        <w:t xml:space="preserve"> Średnia wysokość: 1</w:t>
      </w:r>
      <w:r>
        <w:t>,0</w:t>
      </w:r>
      <w:r w:rsidRPr="009161D3">
        <w:t xml:space="preserve"> m</w:t>
      </w:r>
      <w:r>
        <w:t>;</w:t>
      </w:r>
    </w:p>
    <w:p w14:paraId="00CB2614" w14:textId="4B5BB42C" w:rsidR="00B046B6" w:rsidRDefault="003C649E" w:rsidP="006D41A7">
      <w:pPr>
        <w:pStyle w:val="ReportText"/>
        <w:numPr>
          <w:ilvl w:val="2"/>
          <w:numId w:val="57"/>
        </w:numPr>
        <w:spacing w:before="120" w:after="0"/>
        <w:ind w:left="1134" w:hanging="283"/>
        <w:jc w:val="both"/>
      </w:pPr>
      <w:r>
        <w:rPr>
          <w:noProof/>
          <w:lang w:eastAsia="pl-PL"/>
        </w:rPr>
        <w:drawing>
          <wp:anchor distT="0" distB="0" distL="114300" distR="114300" simplePos="0" relativeHeight="251656704" behindDoc="0" locked="0" layoutInCell="1" allowOverlap="1" wp14:anchorId="520753E9" wp14:editId="338D35F5">
            <wp:simplePos x="0" y="0"/>
            <wp:positionH relativeFrom="margin">
              <wp:posOffset>630555</wp:posOffset>
            </wp:positionH>
            <wp:positionV relativeFrom="margin">
              <wp:posOffset>3062605</wp:posOffset>
            </wp:positionV>
            <wp:extent cx="3995420" cy="3995420"/>
            <wp:effectExtent l="0" t="0" r="0" b="0"/>
            <wp:wrapTopAndBottom/>
            <wp:docPr id="12" name="Obraz 28" descr="Obraz zawierający mapa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descr="Obraz zawierający mapa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95420" cy="3995420"/>
                    </a:xfrm>
                    <a:prstGeom prst="rect">
                      <a:avLst/>
                    </a:prstGeom>
                    <a:noFill/>
                  </pic:spPr>
                </pic:pic>
              </a:graphicData>
            </a:graphic>
            <wp14:sizeRelH relativeFrom="page">
              <wp14:pctWidth>0</wp14:pctWidth>
            </wp14:sizeRelH>
            <wp14:sizeRelV relativeFrom="page">
              <wp14:pctHeight>0</wp14:pctHeight>
            </wp14:sizeRelV>
          </wp:anchor>
        </w:drawing>
      </w:r>
      <w:r w:rsidR="00107FCF" w:rsidRPr="009161D3">
        <w:t xml:space="preserve"> Wymagana minimalna rzędna górnej krawędzi: 2,41 m n.p.m. (0,50 m nad poz. lustra wody 1%)</w:t>
      </w:r>
      <w:r w:rsidR="00107FCF">
        <w:t>.</w:t>
      </w:r>
    </w:p>
    <w:p w14:paraId="5EEB73EA" w14:textId="7098F532" w:rsidR="00107FCF" w:rsidRPr="00B046B6" w:rsidRDefault="00107FCF" w:rsidP="00695B41">
      <w:pPr>
        <w:pStyle w:val="ReportText"/>
        <w:spacing w:before="0"/>
        <w:ind w:left="1418" w:hanging="1418"/>
        <w:jc w:val="both"/>
        <w:rPr>
          <w:szCs w:val="24"/>
        </w:rPr>
      </w:pPr>
      <w:bookmarkStart w:id="37" w:name="_Ref76565686"/>
      <w:bookmarkStart w:id="38" w:name="_Toc80608790"/>
      <w:r w:rsidRPr="00B046B6">
        <w:rPr>
          <w:szCs w:val="24"/>
        </w:rPr>
        <w:t xml:space="preserve">Rysunek </w:t>
      </w:r>
      <w:r w:rsidRPr="00B046B6">
        <w:rPr>
          <w:szCs w:val="24"/>
        </w:rPr>
        <w:fldChar w:fldCharType="begin"/>
      </w:r>
      <w:r w:rsidRPr="00B046B6">
        <w:rPr>
          <w:szCs w:val="24"/>
        </w:rPr>
        <w:instrText xml:space="preserve"> SEQ Rysunek \* ARABIC </w:instrText>
      </w:r>
      <w:r w:rsidRPr="00B046B6">
        <w:rPr>
          <w:szCs w:val="24"/>
        </w:rPr>
        <w:fldChar w:fldCharType="separate"/>
      </w:r>
      <w:r w:rsidR="00AC4DF9">
        <w:rPr>
          <w:noProof/>
          <w:szCs w:val="24"/>
        </w:rPr>
        <w:t>10</w:t>
      </w:r>
      <w:r w:rsidRPr="00B046B6">
        <w:rPr>
          <w:szCs w:val="24"/>
        </w:rPr>
        <w:fldChar w:fldCharType="end"/>
      </w:r>
      <w:bookmarkEnd w:id="37"/>
      <w:r w:rsidRPr="00B046B6">
        <w:rPr>
          <w:szCs w:val="24"/>
        </w:rPr>
        <w:tab/>
        <w:t>Lokalizacja działań zaproponowanych w wariancie „2” dla obszaru problemowego IOP_3 – Świnoujście - Cieśnina Świna</w:t>
      </w:r>
      <w:bookmarkEnd w:id="38"/>
    </w:p>
    <w:p w14:paraId="09CABB37" w14:textId="77777777" w:rsidR="00107FCF" w:rsidRDefault="00107FCF">
      <w:pPr>
        <w:rPr>
          <w:b/>
          <w:color w:val="28AAE1"/>
          <w:sz w:val="32"/>
          <w:szCs w:val="20"/>
          <w:lang w:eastAsia="en-US"/>
        </w:rPr>
      </w:pPr>
    </w:p>
    <w:p w14:paraId="71901995" w14:textId="39E27955" w:rsidR="00107FCF" w:rsidRDefault="00107FCF" w:rsidP="006D41A7">
      <w:pPr>
        <w:pStyle w:val="ReportLevel2"/>
        <w:numPr>
          <w:ilvl w:val="1"/>
          <w:numId w:val="4"/>
        </w:numPr>
        <w:spacing w:before="120"/>
      </w:pPr>
      <w:r>
        <w:br w:type="page"/>
      </w:r>
      <w:bookmarkStart w:id="39" w:name="_Toc80608719"/>
      <w:r w:rsidRPr="00A854E6">
        <w:lastRenderedPageBreak/>
        <w:t>IOP_4   Kołobrzeg - ujście Parsęty</w:t>
      </w:r>
      <w:bookmarkEnd w:id="39"/>
    </w:p>
    <w:p w14:paraId="4032662F" w14:textId="77777777" w:rsidR="00107FCF" w:rsidRDefault="00107FCF" w:rsidP="00E15D56">
      <w:pPr>
        <w:pStyle w:val="ReportText"/>
        <w:spacing w:before="120" w:after="120"/>
        <w:jc w:val="both"/>
      </w:pPr>
      <w:r>
        <w:t xml:space="preserve">Dla obszaru problemowego </w:t>
      </w:r>
      <w:r w:rsidRPr="00854F29">
        <w:t>IOP_</w:t>
      </w:r>
      <w:r>
        <w:t>4</w:t>
      </w:r>
      <w:r w:rsidRPr="00854F29">
        <w:t xml:space="preserve"> – </w:t>
      </w:r>
      <w:r w:rsidRPr="00E15D56">
        <w:t>Kołobrzeg - ujście Parsęty</w:t>
      </w:r>
      <w:r w:rsidRPr="00854F29">
        <w:t xml:space="preserve"> </w:t>
      </w:r>
      <w:r>
        <w:t xml:space="preserve">zdefiniowano zagrożenie powodziowe w odcinku ujściowym rzeki Parsęty do Morza Bałtyckiego. Powyższe dotyczy prawego brzegu rzeki, rejon ul. Towarowej. Dla przedmiotowego rejonu zaproponowano trzy warianty obniżenia istniejącego ryzyka powodziowego: </w:t>
      </w:r>
    </w:p>
    <w:p w14:paraId="6886F90E" w14:textId="77777777" w:rsidR="00107FCF" w:rsidRDefault="00107FCF" w:rsidP="006D41A7">
      <w:pPr>
        <w:pStyle w:val="ReportText"/>
        <w:numPr>
          <w:ilvl w:val="0"/>
          <w:numId w:val="23"/>
        </w:numPr>
        <w:spacing w:before="120" w:after="120"/>
        <w:ind w:left="567" w:hanging="425"/>
        <w:jc w:val="both"/>
      </w:pPr>
      <w:r>
        <w:t xml:space="preserve">Wariant „0” </w:t>
      </w:r>
      <w:r w:rsidRPr="00475541">
        <w:t>obejm</w:t>
      </w:r>
      <w:r>
        <w:t>ował</w:t>
      </w:r>
      <w:r w:rsidRPr="00475541">
        <w:t xml:space="preserve"> istniejący stan zabudowy hydrotechnicznej</w:t>
      </w:r>
      <w:r>
        <w:t xml:space="preserve"> </w:t>
      </w:r>
      <w:r w:rsidRPr="00475541">
        <w:t>(zgodnie z</w:t>
      </w:r>
      <w:r>
        <w:t> </w:t>
      </w:r>
      <w:r w:rsidRPr="00475541">
        <w:t>wynikami przeglądu i aktualizacji map zagrożenia powodziowego i map ryzyka</w:t>
      </w:r>
      <w:r>
        <w:t xml:space="preserve"> </w:t>
      </w:r>
      <w:r w:rsidRPr="00475541">
        <w:t>powodziowego</w:t>
      </w:r>
      <w:r>
        <w:t xml:space="preserve"> </w:t>
      </w:r>
      <w:r w:rsidRPr="00475541">
        <w:t>od strony morza w tym morskich wód wewnętrznych</w:t>
      </w:r>
      <w:r>
        <w:t xml:space="preserve"> </w:t>
      </w:r>
      <w:r w:rsidRPr="00475541">
        <w:t>na koniec roku 2019</w:t>
      </w:r>
      <w:r>
        <w:t xml:space="preserve"> z</w:t>
      </w:r>
      <w:r w:rsidRPr="00791A72">
        <w:t>aktualiz</w:t>
      </w:r>
      <w:r>
        <w:t xml:space="preserve">owany </w:t>
      </w:r>
      <w:r w:rsidRPr="00791A72">
        <w:t xml:space="preserve">o działania będące w realizacji lub planowane do rozpoczęcia </w:t>
      </w:r>
      <w:r>
        <w:t>do</w:t>
      </w:r>
      <w:r w:rsidRPr="00791A72">
        <w:t xml:space="preserve"> 2022 r., lub zakończone po 2019 r</w:t>
      </w:r>
      <w:r>
        <w:t>.</w:t>
      </w:r>
      <w:r w:rsidRPr="00475541">
        <w:t>)</w:t>
      </w:r>
      <w:r>
        <w:t xml:space="preserve"> czyli istniejące nabrzeże. </w:t>
      </w:r>
    </w:p>
    <w:p w14:paraId="1D0D8214" w14:textId="43061D84" w:rsidR="00107FCF" w:rsidRDefault="00107FCF" w:rsidP="006D41A7">
      <w:pPr>
        <w:pStyle w:val="ReportText"/>
        <w:numPr>
          <w:ilvl w:val="0"/>
          <w:numId w:val="23"/>
        </w:numPr>
        <w:spacing w:before="120" w:after="120"/>
        <w:ind w:left="567" w:hanging="425"/>
        <w:jc w:val="both"/>
      </w:pPr>
      <w:r>
        <w:t>Wariant „1” obejmował o</w:t>
      </w:r>
      <w:r w:rsidRPr="004D7D37">
        <w:t>chron</w:t>
      </w:r>
      <w:r>
        <w:t>ę</w:t>
      </w:r>
      <w:r w:rsidRPr="004D7D37">
        <w:t xml:space="preserve"> przeciwpowodziow</w:t>
      </w:r>
      <w:r>
        <w:t>ą</w:t>
      </w:r>
      <w:r w:rsidRPr="004D7D37">
        <w:t xml:space="preserve"> miejscowości Kołobrzeg przy pomocy systemu mobilnych przegród przeciwpowodziowych</w:t>
      </w:r>
      <w:r>
        <w:t xml:space="preserve"> </w:t>
      </w:r>
      <w:r w:rsidRPr="004D7D37">
        <w:t>o długości ok. 620m wraz z rozwojem lokalnego systemu ostrzegania przed powodziami</w:t>
      </w:r>
      <w:r>
        <w:t xml:space="preserve"> </w:t>
      </w:r>
      <w:r w:rsidRPr="004D7D37">
        <w:t>i</w:t>
      </w:r>
      <w:r w:rsidR="00B046B6">
        <w:t> </w:t>
      </w:r>
      <w:r w:rsidRPr="004D7D37">
        <w:t>prognozowania zagrożeń na terenie gminy Kołobrzeg, pow. kołobrzeski</w:t>
      </w:r>
      <w:r>
        <w:t xml:space="preserve"> (Zadanie O_AR_01). Lokalizację działania zaproponowanego w wariancie „1” </w:t>
      </w:r>
      <w:r w:rsidRPr="00220620">
        <w:rPr>
          <w:szCs w:val="24"/>
        </w:rPr>
        <w:t xml:space="preserve">przedstawia </w:t>
      </w:r>
      <w:r w:rsidR="002C15EE">
        <w:fldChar w:fldCharType="begin"/>
      </w:r>
      <w:r w:rsidR="002C15EE">
        <w:instrText xml:space="preserve"> REF _Ref76567641 \h  \* MERGEFORMAT </w:instrText>
      </w:r>
      <w:r w:rsidR="002C15EE">
        <w:fldChar w:fldCharType="separate"/>
      </w:r>
      <w:r w:rsidR="00AC4DF9" w:rsidRPr="00B046B6">
        <w:rPr>
          <w:szCs w:val="24"/>
        </w:rPr>
        <w:t xml:space="preserve">Rysunek </w:t>
      </w:r>
      <w:r w:rsidR="00AC4DF9">
        <w:rPr>
          <w:noProof/>
          <w:szCs w:val="24"/>
        </w:rPr>
        <w:t>11</w:t>
      </w:r>
      <w:r w:rsidR="002C15EE">
        <w:fldChar w:fldCharType="end"/>
      </w:r>
      <w:r>
        <w:t>.</w:t>
      </w:r>
    </w:p>
    <w:p w14:paraId="2A43F3A3" w14:textId="604EACA1" w:rsidR="00107FCF" w:rsidRPr="00AA39D0" w:rsidRDefault="00107FCF" w:rsidP="006D41A7">
      <w:pPr>
        <w:pStyle w:val="ReportText"/>
        <w:numPr>
          <w:ilvl w:val="2"/>
          <w:numId w:val="56"/>
        </w:numPr>
        <w:spacing w:before="120" w:after="120"/>
        <w:ind w:left="1134" w:hanging="283"/>
        <w:jc w:val="both"/>
      </w:pPr>
      <w:r w:rsidRPr="00AA39D0">
        <w:t xml:space="preserve">Typ ochrony: mobilne przegrody przeciwpowodziowe (belki zaporowe </w:t>
      </w:r>
      <w:r>
        <w:t xml:space="preserve">– </w:t>
      </w:r>
      <w:r w:rsidRPr="00AA39D0">
        <w:t>szandory);</w:t>
      </w:r>
    </w:p>
    <w:p w14:paraId="0BE67ACD" w14:textId="77777777" w:rsidR="00107FCF" w:rsidRPr="00AA39D0" w:rsidRDefault="00107FCF" w:rsidP="006D41A7">
      <w:pPr>
        <w:pStyle w:val="ReportText"/>
        <w:numPr>
          <w:ilvl w:val="2"/>
          <w:numId w:val="56"/>
        </w:numPr>
        <w:spacing w:before="120" w:after="120"/>
        <w:ind w:left="1134" w:hanging="283"/>
        <w:jc w:val="both"/>
      </w:pPr>
      <w:r w:rsidRPr="00AA39D0">
        <w:t xml:space="preserve"> Długość: 0,62 km;</w:t>
      </w:r>
    </w:p>
    <w:p w14:paraId="3291838D" w14:textId="0AE4AEB2" w:rsidR="00AC2D9C" w:rsidRDefault="00107FCF" w:rsidP="006D41A7">
      <w:pPr>
        <w:pStyle w:val="ReportText"/>
        <w:numPr>
          <w:ilvl w:val="2"/>
          <w:numId w:val="56"/>
        </w:numPr>
        <w:spacing w:before="120" w:after="0"/>
        <w:ind w:left="1134" w:hanging="283"/>
        <w:jc w:val="both"/>
      </w:pPr>
      <w:r w:rsidRPr="00AA39D0">
        <w:t xml:space="preserve"> Średnia wysokość: 1,1 m</w:t>
      </w:r>
      <w:r>
        <w:t>;</w:t>
      </w:r>
    </w:p>
    <w:p w14:paraId="5AC2B865" w14:textId="0D9F5917" w:rsidR="00B046B6" w:rsidRDefault="003C649E" w:rsidP="006D41A7">
      <w:pPr>
        <w:pStyle w:val="ReportText"/>
        <w:numPr>
          <w:ilvl w:val="2"/>
          <w:numId w:val="56"/>
        </w:numPr>
        <w:spacing w:before="120" w:after="0"/>
        <w:ind w:left="1134" w:hanging="283"/>
        <w:jc w:val="both"/>
      </w:pPr>
      <w:r>
        <w:rPr>
          <w:noProof/>
          <w:lang w:eastAsia="pl-PL"/>
        </w:rPr>
        <w:drawing>
          <wp:anchor distT="0" distB="0" distL="114300" distR="114300" simplePos="0" relativeHeight="251657728" behindDoc="0" locked="0" layoutInCell="1" allowOverlap="1" wp14:anchorId="7E2B03AF" wp14:editId="033B1B9F">
            <wp:simplePos x="0" y="0"/>
            <wp:positionH relativeFrom="margin">
              <wp:posOffset>747395</wp:posOffset>
            </wp:positionH>
            <wp:positionV relativeFrom="margin">
              <wp:posOffset>4624070</wp:posOffset>
            </wp:positionV>
            <wp:extent cx="3648710" cy="3648710"/>
            <wp:effectExtent l="0" t="0" r="0" b="0"/>
            <wp:wrapTopAndBottom/>
            <wp:docPr id="13" name="Picture 13"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p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48710" cy="3648710"/>
                    </a:xfrm>
                    <a:prstGeom prst="rect">
                      <a:avLst/>
                    </a:prstGeom>
                    <a:noFill/>
                  </pic:spPr>
                </pic:pic>
              </a:graphicData>
            </a:graphic>
            <wp14:sizeRelH relativeFrom="page">
              <wp14:pctWidth>0</wp14:pctWidth>
            </wp14:sizeRelH>
            <wp14:sizeRelV relativeFrom="page">
              <wp14:pctHeight>0</wp14:pctHeight>
            </wp14:sizeRelV>
          </wp:anchor>
        </w:drawing>
      </w:r>
      <w:r w:rsidR="00107FCF" w:rsidRPr="00AA39D0">
        <w:t xml:space="preserve"> Wymagana minimalna rzędna górnej krawędzi: 1.77 m n.p.m. (0,50 m nad poz. lustra wody 1%)</w:t>
      </w:r>
      <w:r w:rsidR="00107FCF">
        <w:t>.</w:t>
      </w:r>
    </w:p>
    <w:p w14:paraId="1E966DC4" w14:textId="083CB126" w:rsidR="00107FCF" w:rsidRPr="00B046B6" w:rsidRDefault="00107FCF" w:rsidP="00695B41">
      <w:pPr>
        <w:pStyle w:val="ReportText"/>
        <w:spacing w:before="0"/>
        <w:ind w:left="1418" w:hanging="1418"/>
        <w:jc w:val="both"/>
        <w:rPr>
          <w:szCs w:val="24"/>
        </w:rPr>
      </w:pPr>
      <w:bookmarkStart w:id="40" w:name="_Ref76567641"/>
      <w:bookmarkStart w:id="41" w:name="_Toc80608791"/>
      <w:r w:rsidRPr="00B046B6">
        <w:rPr>
          <w:szCs w:val="24"/>
        </w:rPr>
        <w:t xml:space="preserve">Rysunek </w:t>
      </w:r>
      <w:r w:rsidRPr="00B046B6">
        <w:rPr>
          <w:szCs w:val="24"/>
        </w:rPr>
        <w:fldChar w:fldCharType="begin"/>
      </w:r>
      <w:r w:rsidRPr="00B046B6">
        <w:rPr>
          <w:szCs w:val="24"/>
        </w:rPr>
        <w:instrText xml:space="preserve"> SEQ Rysunek \* ARABIC </w:instrText>
      </w:r>
      <w:r w:rsidRPr="00B046B6">
        <w:rPr>
          <w:szCs w:val="24"/>
        </w:rPr>
        <w:fldChar w:fldCharType="separate"/>
      </w:r>
      <w:r w:rsidR="00AC4DF9">
        <w:rPr>
          <w:noProof/>
          <w:szCs w:val="24"/>
        </w:rPr>
        <w:t>11</w:t>
      </w:r>
      <w:r w:rsidRPr="00B046B6">
        <w:rPr>
          <w:szCs w:val="24"/>
        </w:rPr>
        <w:fldChar w:fldCharType="end"/>
      </w:r>
      <w:bookmarkEnd w:id="40"/>
      <w:r w:rsidRPr="00B046B6">
        <w:rPr>
          <w:szCs w:val="24"/>
        </w:rPr>
        <w:tab/>
        <w:t>Lokalizacja działań zaproponowanych w wariancie „1” dla obszaru problemowego IOP_4 – Kołobrzeg - ujście Parsęty</w:t>
      </w:r>
      <w:bookmarkEnd w:id="41"/>
    </w:p>
    <w:p w14:paraId="0BFDB460" w14:textId="4738708B" w:rsidR="00107FCF" w:rsidRPr="00220620" w:rsidRDefault="00107FCF" w:rsidP="006D41A7">
      <w:pPr>
        <w:pStyle w:val="ReportText"/>
        <w:numPr>
          <w:ilvl w:val="0"/>
          <w:numId w:val="23"/>
        </w:numPr>
        <w:spacing w:before="120" w:after="120"/>
        <w:ind w:left="567" w:hanging="425"/>
        <w:jc w:val="both"/>
        <w:rPr>
          <w:szCs w:val="24"/>
        </w:rPr>
      </w:pPr>
      <w:r>
        <w:lastRenderedPageBreak/>
        <w:t>Wariant „2” obejmował o</w:t>
      </w:r>
      <w:r w:rsidRPr="002F2514">
        <w:t>chron</w:t>
      </w:r>
      <w:r>
        <w:t>ę</w:t>
      </w:r>
      <w:r w:rsidRPr="002F2514">
        <w:t xml:space="preserve"> przeciwpowodziow</w:t>
      </w:r>
      <w:r>
        <w:t>ą</w:t>
      </w:r>
      <w:r w:rsidRPr="002F2514">
        <w:t xml:space="preserve"> </w:t>
      </w:r>
      <w:r>
        <w:t>Kołobrzegu</w:t>
      </w:r>
      <w:r w:rsidRPr="002F2514">
        <w:t xml:space="preserve"> dla obszaru </w:t>
      </w:r>
      <w:r>
        <w:t xml:space="preserve">ujściowego rzeki Parsęty do Morza Bałtyckiego - </w:t>
      </w:r>
      <w:r w:rsidRPr="00F24F73">
        <w:t xml:space="preserve">Podwyższenie nabrzeża na prawym brzegu w </w:t>
      </w:r>
      <w:r w:rsidRPr="00220620">
        <w:rPr>
          <w:szCs w:val="24"/>
        </w:rPr>
        <w:t xml:space="preserve">rejonie ujściowym rzeki Parsęty w miejscowości Kołobrzeg (Zadanie O_AR_99). Lokalizację działania zaproponowanego w wariancie „2” przedstawia </w:t>
      </w:r>
      <w:r w:rsidR="00416849">
        <w:t xml:space="preserve">Rysunek </w:t>
      </w:r>
      <w:r w:rsidRPr="00220620">
        <w:rPr>
          <w:szCs w:val="24"/>
        </w:rPr>
        <w:t>12.</w:t>
      </w:r>
    </w:p>
    <w:p w14:paraId="1EFD74E2" w14:textId="77777777" w:rsidR="00107FCF" w:rsidRPr="00AA39D0" w:rsidRDefault="00107FCF" w:rsidP="006D41A7">
      <w:pPr>
        <w:pStyle w:val="ReportText"/>
        <w:numPr>
          <w:ilvl w:val="2"/>
          <w:numId w:val="55"/>
        </w:numPr>
        <w:spacing w:before="120" w:after="120"/>
        <w:ind w:left="1134" w:hanging="283"/>
        <w:jc w:val="both"/>
      </w:pPr>
      <w:r w:rsidRPr="00AA39D0">
        <w:t xml:space="preserve">Typ ochrony: </w:t>
      </w:r>
      <w:r>
        <w:t>podwyższenie nabrzeża na prawym brzegu Parsęty</w:t>
      </w:r>
      <w:r w:rsidRPr="00AA39D0">
        <w:t>;</w:t>
      </w:r>
    </w:p>
    <w:p w14:paraId="7C79C9CE" w14:textId="77777777" w:rsidR="00107FCF" w:rsidRPr="00AA39D0" w:rsidRDefault="00107FCF" w:rsidP="006D41A7">
      <w:pPr>
        <w:pStyle w:val="ReportText"/>
        <w:numPr>
          <w:ilvl w:val="2"/>
          <w:numId w:val="55"/>
        </w:numPr>
        <w:spacing w:before="120" w:after="120"/>
        <w:ind w:left="1134" w:hanging="283"/>
        <w:jc w:val="both"/>
      </w:pPr>
      <w:r w:rsidRPr="00AA39D0">
        <w:t xml:space="preserve"> Długość: 0,</w:t>
      </w:r>
      <w:r>
        <w:t>8</w:t>
      </w:r>
      <w:r w:rsidRPr="00AA39D0">
        <w:t>2 km;</w:t>
      </w:r>
    </w:p>
    <w:p w14:paraId="673FDD84" w14:textId="77777777" w:rsidR="00107FCF" w:rsidRPr="00AA39D0" w:rsidRDefault="00107FCF" w:rsidP="006D41A7">
      <w:pPr>
        <w:pStyle w:val="ReportText"/>
        <w:numPr>
          <w:ilvl w:val="2"/>
          <w:numId w:val="55"/>
        </w:numPr>
        <w:spacing w:before="120" w:after="120"/>
        <w:ind w:left="1134" w:hanging="283"/>
        <w:jc w:val="both"/>
      </w:pPr>
      <w:r w:rsidRPr="00AA39D0">
        <w:t xml:space="preserve"> Średnia wysokość: </w:t>
      </w:r>
      <w:r>
        <w:t>1,1</w:t>
      </w:r>
      <w:r w:rsidRPr="00AA39D0">
        <w:t xml:space="preserve"> m</w:t>
      </w:r>
      <w:r>
        <w:t>;</w:t>
      </w:r>
    </w:p>
    <w:p w14:paraId="536D6E56" w14:textId="4AB585D8" w:rsidR="00695B41" w:rsidRPr="00695B41" w:rsidRDefault="003C649E" w:rsidP="006D41A7">
      <w:pPr>
        <w:pStyle w:val="ReportText"/>
        <w:numPr>
          <w:ilvl w:val="2"/>
          <w:numId w:val="55"/>
        </w:numPr>
        <w:spacing w:before="120" w:after="0"/>
        <w:ind w:left="1134" w:hanging="283"/>
        <w:jc w:val="both"/>
        <w:rPr>
          <w:sz w:val="28"/>
          <w:szCs w:val="22"/>
        </w:rPr>
      </w:pPr>
      <w:r>
        <w:rPr>
          <w:noProof/>
          <w:lang w:eastAsia="pl-PL"/>
        </w:rPr>
        <w:drawing>
          <wp:anchor distT="0" distB="0" distL="114300" distR="114300" simplePos="0" relativeHeight="251658752" behindDoc="0" locked="0" layoutInCell="1" allowOverlap="1" wp14:anchorId="53393BF2" wp14:editId="755B4D68">
            <wp:simplePos x="0" y="0"/>
            <wp:positionH relativeFrom="margin">
              <wp:align>center</wp:align>
            </wp:positionH>
            <wp:positionV relativeFrom="page">
              <wp:posOffset>3117215</wp:posOffset>
            </wp:positionV>
            <wp:extent cx="3959860" cy="3959860"/>
            <wp:effectExtent l="0" t="0" r="0" b="0"/>
            <wp:wrapTopAndBottom/>
            <wp:docPr id="14" name="Picture 14"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p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59860" cy="3959860"/>
                    </a:xfrm>
                    <a:prstGeom prst="rect">
                      <a:avLst/>
                    </a:prstGeom>
                    <a:noFill/>
                  </pic:spPr>
                </pic:pic>
              </a:graphicData>
            </a:graphic>
            <wp14:sizeRelH relativeFrom="page">
              <wp14:pctWidth>0</wp14:pctWidth>
            </wp14:sizeRelH>
            <wp14:sizeRelV relativeFrom="page">
              <wp14:pctHeight>0</wp14:pctHeight>
            </wp14:sizeRelV>
          </wp:anchor>
        </w:drawing>
      </w:r>
      <w:r w:rsidR="00107FCF" w:rsidRPr="00AA39D0">
        <w:t xml:space="preserve"> Wymagana minimalna rzędna górnej krawędzi: 1.77 m n.p.m. (0,50 m </w:t>
      </w:r>
      <w:r w:rsidR="00107FCF" w:rsidRPr="00695B41">
        <w:rPr>
          <w:szCs w:val="24"/>
        </w:rPr>
        <w:t>nad poz. lustra wody 1%).</w:t>
      </w:r>
    </w:p>
    <w:p w14:paraId="184B2A57" w14:textId="557786B5" w:rsidR="00695B41" w:rsidRPr="00695B41" w:rsidRDefault="00695B41" w:rsidP="00695B41">
      <w:pPr>
        <w:pStyle w:val="ReportText"/>
        <w:spacing w:before="120" w:after="0"/>
        <w:ind w:left="1418" w:hanging="1418"/>
        <w:jc w:val="both"/>
        <w:rPr>
          <w:sz w:val="28"/>
          <w:szCs w:val="22"/>
        </w:rPr>
      </w:pPr>
      <w:bookmarkStart w:id="42" w:name="_Toc80608792"/>
      <w:r>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12</w:t>
      </w:r>
      <w:r w:rsidR="002622F2">
        <w:rPr>
          <w:noProof/>
        </w:rPr>
        <w:fldChar w:fldCharType="end"/>
      </w:r>
      <w:r>
        <w:t xml:space="preserve"> </w:t>
      </w:r>
      <w:r w:rsidRPr="00695B41">
        <w:t>Lokalizacja działań zaproponowanych w wariancie „2” dla obszaru problemowego IOP_4 – Kołobrzeg - ujście Parsęty</w:t>
      </w:r>
      <w:bookmarkEnd w:id="42"/>
    </w:p>
    <w:p w14:paraId="11E33E28" w14:textId="32154FCF" w:rsidR="00107FCF" w:rsidRDefault="00107FCF">
      <w:pPr>
        <w:rPr>
          <w:b/>
          <w:color w:val="28AAE1"/>
          <w:sz w:val="32"/>
          <w:szCs w:val="20"/>
          <w:lang w:eastAsia="en-US"/>
        </w:rPr>
      </w:pPr>
    </w:p>
    <w:p w14:paraId="55D44FD5" w14:textId="76A39269" w:rsidR="00107FCF" w:rsidRDefault="00695B41" w:rsidP="006D41A7">
      <w:pPr>
        <w:pStyle w:val="ReportLevel2"/>
        <w:numPr>
          <w:ilvl w:val="1"/>
          <w:numId w:val="4"/>
        </w:numPr>
      </w:pPr>
      <w:r>
        <w:br w:type="column"/>
      </w:r>
      <w:bookmarkStart w:id="43" w:name="_Toc80608720"/>
      <w:r w:rsidR="00107FCF" w:rsidRPr="00A854E6">
        <w:lastRenderedPageBreak/>
        <w:t>IOP_6   Darłowo - ujście Wieprz</w:t>
      </w:r>
      <w:r w:rsidR="00107FCF">
        <w:t>y</w:t>
      </w:r>
      <w:bookmarkEnd w:id="43"/>
    </w:p>
    <w:p w14:paraId="4D078D46" w14:textId="77777777" w:rsidR="00107FCF" w:rsidRDefault="00107FCF" w:rsidP="00004952">
      <w:pPr>
        <w:pStyle w:val="ReportText"/>
        <w:spacing w:before="120" w:after="120"/>
        <w:jc w:val="both"/>
      </w:pPr>
      <w:r>
        <w:t xml:space="preserve">Dla obszaru problemowego </w:t>
      </w:r>
      <w:r w:rsidRPr="00004952">
        <w:t>IOP_6   Darłowo - ujście Wieprz</w:t>
      </w:r>
      <w:r>
        <w:t>y</w:t>
      </w:r>
      <w:r w:rsidRPr="00854F29">
        <w:t xml:space="preserve"> </w:t>
      </w:r>
      <w:r>
        <w:t xml:space="preserve">zdefiniowano zagrożenie powodziowe w odcinku ujściowym rzeki Wieprzy do Morza Bałtyckiego. Zagrożenie dotyczy obu brzegów rzeki. Dla przedmiotowego rejonu zaproponowano trzy warianty obniżenia istniejącego ryzyka powodziowego: </w:t>
      </w:r>
    </w:p>
    <w:p w14:paraId="35C389AD" w14:textId="77777777" w:rsidR="00107FCF" w:rsidRDefault="00107FCF" w:rsidP="006D41A7">
      <w:pPr>
        <w:pStyle w:val="ReportText"/>
        <w:numPr>
          <w:ilvl w:val="0"/>
          <w:numId w:val="23"/>
        </w:numPr>
        <w:spacing w:before="120" w:after="120"/>
        <w:ind w:left="567" w:hanging="425"/>
        <w:jc w:val="both"/>
      </w:pPr>
      <w:r>
        <w:t xml:space="preserve">Wariant „0” </w:t>
      </w:r>
      <w:r w:rsidRPr="00475541">
        <w:t>obejm</w:t>
      </w:r>
      <w:r>
        <w:t>ował</w:t>
      </w:r>
      <w:r w:rsidRPr="00475541">
        <w:t xml:space="preserve"> istniejący stan zabudowy hydrotechnicznej</w:t>
      </w:r>
      <w:r>
        <w:t xml:space="preserve"> </w:t>
      </w:r>
      <w:r w:rsidRPr="00475541">
        <w:t>(zgodnie z</w:t>
      </w:r>
      <w:r>
        <w:t> </w:t>
      </w:r>
      <w:r w:rsidRPr="00475541">
        <w:t>wynikami przeglądu i aktualizacji map zagrożenia powodziowego i map ryzyka</w:t>
      </w:r>
      <w:r>
        <w:t xml:space="preserve"> </w:t>
      </w:r>
      <w:r w:rsidRPr="00475541">
        <w:t>powodziowego</w:t>
      </w:r>
      <w:r>
        <w:t xml:space="preserve"> </w:t>
      </w:r>
      <w:r w:rsidRPr="00475541">
        <w:t>od strony morza w tym morskich wód wewnętrznych</w:t>
      </w:r>
      <w:r>
        <w:t xml:space="preserve"> </w:t>
      </w:r>
      <w:r w:rsidRPr="00475541">
        <w:t>na koniec roku 2019</w:t>
      </w:r>
      <w:r>
        <w:t xml:space="preserve"> z</w:t>
      </w:r>
      <w:r w:rsidRPr="00791A72">
        <w:t>aktualiz</w:t>
      </w:r>
      <w:r>
        <w:t xml:space="preserve">owany </w:t>
      </w:r>
      <w:r w:rsidRPr="00791A72">
        <w:t xml:space="preserve">o działania będące w realizacji lub planowane do rozpoczęcia </w:t>
      </w:r>
      <w:r>
        <w:t>do</w:t>
      </w:r>
      <w:r w:rsidRPr="00791A72">
        <w:t xml:space="preserve"> 2022 r., lub zakończone po 2019 r</w:t>
      </w:r>
      <w:r>
        <w:t>.</w:t>
      </w:r>
      <w:r w:rsidRPr="00475541">
        <w:t>)</w:t>
      </w:r>
      <w:r>
        <w:t xml:space="preserve"> czyli istniejące nabrzeże rzeki </w:t>
      </w:r>
      <w:r w:rsidRPr="00581D93">
        <w:t>Wieprzy</w:t>
      </w:r>
      <w:r>
        <w:t xml:space="preserve">. </w:t>
      </w:r>
    </w:p>
    <w:p w14:paraId="2985841F" w14:textId="1B12E4C2" w:rsidR="00107FCF" w:rsidRPr="00581D93" w:rsidRDefault="00107FCF" w:rsidP="006D41A7">
      <w:pPr>
        <w:pStyle w:val="ReportText"/>
        <w:numPr>
          <w:ilvl w:val="0"/>
          <w:numId w:val="23"/>
        </w:numPr>
        <w:spacing w:before="120" w:after="120"/>
        <w:ind w:left="567" w:hanging="425"/>
        <w:jc w:val="both"/>
        <w:rPr>
          <w:szCs w:val="24"/>
        </w:rPr>
      </w:pPr>
      <w:r>
        <w:t>Wariant „1” obejmował o</w:t>
      </w:r>
      <w:r w:rsidRPr="00004952">
        <w:t>chron</w:t>
      </w:r>
      <w:r>
        <w:t>ę</w:t>
      </w:r>
      <w:r w:rsidRPr="00004952">
        <w:t xml:space="preserve"> przeciwpowodziow</w:t>
      </w:r>
      <w:r>
        <w:t>ą</w:t>
      </w:r>
      <w:r w:rsidRPr="00004952">
        <w:t xml:space="preserve"> miejscowości Darłowo (Darłówko) przy pomocy </w:t>
      </w:r>
      <w:r>
        <w:t xml:space="preserve">muru oporowego z systemem mobilnych przegród przeciwpowodziowych na górnej krawędzi muru oporowego oraz z </w:t>
      </w:r>
      <w:r w:rsidRPr="00004952">
        <w:t>systemu mobilnych przegród przeciwpowodziowych</w:t>
      </w:r>
      <w:r>
        <w:t xml:space="preserve"> </w:t>
      </w:r>
      <w:r w:rsidRPr="00004952">
        <w:t>o długości 2200 m oraz 2500 m wraz z</w:t>
      </w:r>
      <w:r>
        <w:t> </w:t>
      </w:r>
      <w:r w:rsidRPr="00004952">
        <w:t>rozwojem lokalnego systemu ostrzegania przed powodziami</w:t>
      </w:r>
      <w:r>
        <w:t xml:space="preserve"> </w:t>
      </w:r>
      <w:r w:rsidRPr="00004952">
        <w:t>i prognozowania zagrożeń na terenie gminy Darłowo, pow. sławieński</w:t>
      </w:r>
      <w:r>
        <w:t xml:space="preserve"> (Zadanie O_AR_03). Lokalizację działania zaproponowanego w wariancie „1” </w:t>
      </w:r>
      <w:r w:rsidRPr="00581D93">
        <w:rPr>
          <w:szCs w:val="24"/>
        </w:rPr>
        <w:t xml:space="preserve">przedstawia </w:t>
      </w:r>
      <w:r w:rsidR="00416849">
        <w:t>Rysunek </w:t>
      </w:r>
      <w:r w:rsidRPr="00581D93">
        <w:rPr>
          <w:szCs w:val="24"/>
        </w:rPr>
        <w:t>13.</w:t>
      </w:r>
    </w:p>
    <w:p w14:paraId="022A5DAD" w14:textId="77777777" w:rsidR="00107FCF" w:rsidRPr="0069030A" w:rsidRDefault="00107FCF" w:rsidP="006D41A7">
      <w:pPr>
        <w:pStyle w:val="ReportText"/>
        <w:numPr>
          <w:ilvl w:val="2"/>
          <w:numId w:val="59"/>
        </w:numPr>
        <w:spacing w:before="120" w:after="120"/>
        <w:ind w:left="1134" w:hanging="283"/>
        <w:jc w:val="both"/>
      </w:pPr>
      <w:r w:rsidRPr="0069030A">
        <w:t xml:space="preserve">Typ ochrony: mobilne przegrody przeciwpowodziowe (belki zaporowe </w:t>
      </w:r>
      <w:r>
        <w:t>–</w:t>
      </w:r>
      <w:r w:rsidRPr="0069030A">
        <w:t xml:space="preserve"> szandory);</w:t>
      </w:r>
    </w:p>
    <w:p w14:paraId="2E58631B" w14:textId="77777777" w:rsidR="00107FCF" w:rsidRPr="0069030A" w:rsidRDefault="00107FCF" w:rsidP="006D41A7">
      <w:pPr>
        <w:pStyle w:val="ReportText"/>
        <w:numPr>
          <w:ilvl w:val="2"/>
          <w:numId w:val="59"/>
        </w:numPr>
        <w:spacing w:before="120" w:after="120"/>
        <w:ind w:left="1134" w:hanging="283"/>
        <w:jc w:val="both"/>
      </w:pPr>
      <w:r w:rsidRPr="0069030A">
        <w:t xml:space="preserve"> Długość: 3,5 km (odcinek A – 2,2 km, odcinek B – 1,3 km);</w:t>
      </w:r>
    </w:p>
    <w:p w14:paraId="0FDED190" w14:textId="77777777" w:rsidR="00107FCF" w:rsidRPr="0069030A" w:rsidRDefault="00107FCF" w:rsidP="006D41A7">
      <w:pPr>
        <w:pStyle w:val="ReportText"/>
        <w:numPr>
          <w:ilvl w:val="2"/>
          <w:numId w:val="59"/>
        </w:numPr>
        <w:spacing w:before="120" w:after="120"/>
        <w:ind w:left="1134" w:hanging="283"/>
        <w:jc w:val="both"/>
      </w:pPr>
      <w:r w:rsidRPr="0069030A">
        <w:t>Wysokość: 1,55-2,55 m</w:t>
      </w:r>
      <w:r>
        <w:t>;</w:t>
      </w:r>
    </w:p>
    <w:p w14:paraId="721A481E" w14:textId="77777777" w:rsidR="00107FCF" w:rsidRPr="0069030A" w:rsidRDefault="00107FCF" w:rsidP="006D41A7">
      <w:pPr>
        <w:pStyle w:val="ReportText"/>
        <w:numPr>
          <w:ilvl w:val="2"/>
          <w:numId w:val="59"/>
        </w:numPr>
        <w:spacing w:before="120" w:after="120"/>
        <w:ind w:left="1134" w:hanging="283"/>
        <w:jc w:val="both"/>
      </w:pPr>
      <w:r w:rsidRPr="0069030A">
        <w:t>Typ ochrony: mur oporowy + mobilne przegrody przeciwpowodziowe (belki zaporowe - szandory);</w:t>
      </w:r>
    </w:p>
    <w:p w14:paraId="754D99B0" w14:textId="77777777" w:rsidR="00107FCF" w:rsidRPr="0069030A" w:rsidRDefault="00107FCF" w:rsidP="006D41A7">
      <w:pPr>
        <w:pStyle w:val="ReportText"/>
        <w:numPr>
          <w:ilvl w:val="2"/>
          <w:numId w:val="59"/>
        </w:numPr>
        <w:spacing w:before="120" w:after="120"/>
        <w:ind w:left="1134" w:hanging="283"/>
        <w:jc w:val="both"/>
      </w:pPr>
      <w:r w:rsidRPr="0069030A">
        <w:t xml:space="preserve"> Długość: 1,2 km;</w:t>
      </w:r>
    </w:p>
    <w:p w14:paraId="3D0DD944" w14:textId="77777777" w:rsidR="00107FCF" w:rsidRPr="0069030A" w:rsidRDefault="00107FCF" w:rsidP="006D41A7">
      <w:pPr>
        <w:pStyle w:val="ReportText"/>
        <w:numPr>
          <w:ilvl w:val="2"/>
          <w:numId w:val="59"/>
        </w:numPr>
        <w:spacing w:before="120" w:after="120"/>
        <w:ind w:left="1134" w:hanging="283"/>
        <w:jc w:val="both"/>
      </w:pPr>
      <w:r w:rsidRPr="0069030A">
        <w:t xml:space="preserve"> Średnia wysokość: 1,85 m, (mur oporowy 1,35m, mobilny system przeg</w:t>
      </w:r>
      <w:r>
        <w:t>r</w:t>
      </w:r>
      <w:r w:rsidRPr="0069030A">
        <w:t>ód 0,5 m)</w:t>
      </w:r>
      <w:r>
        <w:t>;</w:t>
      </w:r>
    </w:p>
    <w:p w14:paraId="5754E7EF" w14:textId="77777777" w:rsidR="00107FCF" w:rsidRPr="0069030A" w:rsidRDefault="00107FCF" w:rsidP="006D41A7">
      <w:pPr>
        <w:pStyle w:val="ReportText"/>
        <w:numPr>
          <w:ilvl w:val="2"/>
          <w:numId w:val="59"/>
        </w:numPr>
        <w:spacing w:before="120" w:after="0"/>
        <w:ind w:left="1134" w:hanging="283"/>
        <w:jc w:val="both"/>
      </w:pPr>
      <w:r w:rsidRPr="0069030A">
        <w:t xml:space="preserve"> Wymagana minimalna rzędna górnej krawędzi: 3,04 m n.p.m. (0,50 m nad poz. lustra wody 1%)</w:t>
      </w:r>
      <w:r>
        <w:t>.</w:t>
      </w:r>
    </w:p>
    <w:p w14:paraId="66BE6ECC" w14:textId="2DA98336" w:rsidR="00055762" w:rsidRPr="00055762" w:rsidRDefault="003C649E" w:rsidP="00055762">
      <w:pPr>
        <w:pStyle w:val="Legenda"/>
        <w:tabs>
          <w:tab w:val="clear" w:pos="1080"/>
        </w:tabs>
        <w:ind w:left="1418" w:hanging="1418"/>
        <w:jc w:val="both"/>
        <w:rPr>
          <w:noProof/>
          <w:sz w:val="24"/>
        </w:rPr>
      </w:pPr>
      <w:bookmarkStart w:id="44" w:name="_Toc80608793"/>
      <w:r>
        <w:rPr>
          <w:noProof/>
          <w:sz w:val="24"/>
          <w:lang w:eastAsia="pl-PL"/>
        </w:rPr>
        <w:lastRenderedPageBreak/>
        <w:drawing>
          <wp:anchor distT="0" distB="0" distL="114300" distR="114300" simplePos="0" relativeHeight="251659776" behindDoc="0" locked="0" layoutInCell="1" allowOverlap="1" wp14:anchorId="55BD97FE" wp14:editId="3F7017C5">
            <wp:simplePos x="0" y="0"/>
            <wp:positionH relativeFrom="margin">
              <wp:align>center</wp:align>
            </wp:positionH>
            <wp:positionV relativeFrom="margin">
              <wp:align>top</wp:align>
            </wp:positionV>
            <wp:extent cx="3959860" cy="3959860"/>
            <wp:effectExtent l="0" t="0" r="0" b="0"/>
            <wp:wrapTopAndBottom/>
            <wp:docPr id="15"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9860" cy="3959860"/>
                    </a:xfrm>
                    <a:prstGeom prst="rect">
                      <a:avLst/>
                    </a:prstGeom>
                    <a:noFill/>
                  </pic:spPr>
                </pic:pic>
              </a:graphicData>
            </a:graphic>
            <wp14:sizeRelH relativeFrom="page">
              <wp14:pctWidth>0</wp14:pctWidth>
            </wp14:sizeRelH>
            <wp14:sizeRelV relativeFrom="page">
              <wp14:pctHeight>0</wp14:pctHeight>
            </wp14:sizeRelV>
          </wp:anchor>
        </w:drawing>
      </w:r>
      <w:bookmarkStart w:id="45" w:name="_Ref79495914"/>
      <w:r w:rsidR="00055762" w:rsidRPr="00055762">
        <w:rPr>
          <w:sz w:val="24"/>
        </w:rPr>
        <w:t xml:space="preserve">Rysunek </w:t>
      </w:r>
      <w:r w:rsidR="00055762" w:rsidRPr="00055762">
        <w:rPr>
          <w:sz w:val="24"/>
        </w:rPr>
        <w:fldChar w:fldCharType="begin"/>
      </w:r>
      <w:r w:rsidR="00055762" w:rsidRPr="00055762">
        <w:rPr>
          <w:sz w:val="24"/>
        </w:rPr>
        <w:instrText xml:space="preserve"> SEQ Rysunek \* ARABIC </w:instrText>
      </w:r>
      <w:r w:rsidR="00055762" w:rsidRPr="00055762">
        <w:rPr>
          <w:sz w:val="24"/>
        </w:rPr>
        <w:fldChar w:fldCharType="separate"/>
      </w:r>
      <w:r w:rsidR="00AC4DF9">
        <w:rPr>
          <w:noProof/>
          <w:sz w:val="24"/>
        </w:rPr>
        <w:t>13</w:t>
      </w:r>
      <w:r w:rsidR="00055762" w:rsidRPr="00055762">
        <w:rPr>
          <w:sz w:val="24"/>
        </w:rPr>
        <w:fldChar w:fldCharType="end"/>
      </w:r>
      <w:r w:rsidR="00055762" w:rsidRPr="00055762">
        <w:rPr>
          <w:sz w:val="24"/>
        </w:rPr>
        <w:t xml:space="preserve"> </w:t>
      </w:r>
      <w:r w:rsidR="00055762">
        <w:rPr>
          <w:sz w:val="24"/>
        </w:rPr>
        <w:tab/>
      </w:r>
      <w:r w:rsidR="00055762" w:rsidRPr="00055762">
        <w:rPr>
          <w:sz w:val="24"/>
        </w:rPr>
        <w:t xml:space="preserve">Lokalizacja działań zaproponowanych w wariancie „1” dla obszaru problemowego IOP_6   Darłowo </w:t>
      </w:r>
      <w:r w:rsidR="00055762">
        <w:rPr>
          <w:sz w:val="24"/>
        </w:rPr>
        <w:t>–</w:t>
      </w:r>
      <w:r w:rsidR="00055762" w:rsidRPr="00055762">
        <w:rPr>
          <w:sz w:val="24"/>
        </w:rPr>
        <w:t xml:space="preserve"> ujście Wieprzy</w:t>
      </w:r>
      <w:bookmarkEnd w:id="44"/>
    </w:p>
    <w:p w14:paraId="6F529AAE" w14:textId="32AD840B" w:rsidR="00107FCF" w:rsidRPr="00471D18" w:rsidRDefault="00107FCF" w:rsidP="00863661">
      <w:pPr>
        <w:pStyle w:val="ReportText"/>
        <w:spacing w:before="0"/>
        <w:jc w:val="center"/>
        <w:rPr>
          <w:sz w:val="20"/>
        </w:rPr>
      </w:pPr>
      <w:r w:rsidRPr="00471D18">
        <w:rPr>
          <w:sz w:val="20"/>
        </w:rPr>
        <w:tab/>
      </w:r>
      <w:bookmarkEnd w:id="45"/>
    </w:p>
    <w:p w14:paraId="0E6E481A" w14:textId="5D7A7C86" w:rsidR="00107FCF" w:rsidRPr="005B7F07" w:rsidRDefault="00107FCF" w:rsidP="006D41A7">
      <w:pPr>
        <w:pStyle w:val="ReportText"/>
        <w:numPr>
          <w:ilvl w:val="0"/>
          <w:numId w:val="23"/>
        </w:numPr>
        <w:spacing w:before="120" w:after="120"/>
        <w:ind w:left="567" w:hanging="425"/>
        <w:jc w:val="both"/>
      </w:pPr>
      <w:r>
        <w:t>Wariant „2” obejmował b</w:t>
      </w:r>
      <w:r w:rsidRPr="00004952">
        <w:t>udow</w:t>
      </w:r>
      <w:r>
        <w:t>ę</w:t>
      </w:r>
      <w:r w:rsidRPr="00004952">
        <w:t xml:space="preserve"> wału przeciwpowodziowego o długości 1680 m na lewym brzegu rz. Wieprzy w m. Darłowo (Darłówko) oraz ochron</w:t>
      </w:r>
      <w:r>
        <w:t>ę</w:t>
      </w:r>
      <w:r w:rsidRPr="00004952">
        <w:t xml:space="preserve"> przy pomocy systemu mobilnych przegród przeciwpowodziowych o długości </w:t>
      </w:r>
      <w:r>
        <w:t>640</w:t>
      </w:r>
      <w:r w:rsidR="00416849">
        <w:t xml:space="preserve"> </w:t>
      </w:r>
      <w:r w:rsidRPr="00004952">
        <w:t>m i</w:t>
      </w:r>
      <w:r w:rsidR="00416849">
        <w:t> </w:t>
      </w:r>
      <w:r>
        <w:t>1270</w:t>
      </w:r>
      <w:r w:rsidR="00416849">
        <w:t xml:space="preserve"> </w:t>
      </w:r>
      <w:r w:rsidRPr="00004952">
        <w:t xml:space="preserve">m </w:t>
      </w:r>
      <w:r>
        <w:t>oraz</w:t>
      </w:r>
      <w:r w:rsidRPr="00004952">
        <w:t xml:space="preserve"> </w:t>
      </w:r>
      <w:r>
        <w:t>muru oporowego połączonego z systemem mobilnych zabezpieczeń na górnej krawędzi muru oporowego</w:t>
      </w:r>
      <w:r w:rsidRPr="00004952">
        <w:t xml:space="preserve"> </w:t>
      </w:r>
      <w:r>
        <w:t>o długości 1160m</w:t>
      </w:r>
      <w:r w:rsidRPr="00004952">
        <w:t xml:space="preserve"> wraz z rozwojem lokalnego systemu ostrzegania przed powodziami i prognozowania zagrożeń na terenie gminy Darłowo, pow. sławieński</w:t>
      </w:r>
      <w:r>
        <w:t xml:space="preserve"> (Zadanie O_AR_97). Lokalizację działania zaproponowanego w</w:t>
      </w:r>
      <w:r w:rsidR="00416849">
        <w:t xml:space="preserve"> </w:t>
      </w:r>
      <w:r>
        <w:t xml:space="preserve">wariancie „2” przedstawia </w:t>
      </w:r>
      <w:r w:rsidR="00416849">
        <w:t>Rysunek 14.</w:t>
      </w:r>
    </w:p>
    <w:p w14:paraId="11E00894" w14:textId="230238D5" w:rsidR="00416849" w:rsidRDefault="00732B99" w:rsidP="006D41A7">
      <w:pPr>
        <w:pStyle w:val="ReportText"/>
        <w:numPr>
          <w:ilvl w:val="2"/>
          <w:numId w:val="24"/>
        </w:numPr>
        <w:spacing w:before="120" w:after="120"/>
        <w:ind w:left="1134" w:hanging="283"/>
        <w:jc w:val="both"/>
      </w:pPr>
      <w:r>
        <w:br w:type="column"/>
      </w:r>
      <w:r w:rsidR="00416849">
        <w:lastRenderedPageBreak/>
        <w:t xml:space="preserve">Typ ochrony: </w:t>
      </w:r>
      <w:r w:rsidR="00416849" w:rsidRPr="005B7F07">
        <w:t>wał przeciwpowodziowy;</w:t>
      </w:r>
    </w:p>
    <w:p w14:paraId="37D0D561" w14:textId="5618D63F" w:rsidR="00107FCF" w:rsidRPr="005B7F07" w:rsidRDefault="00107FCF" w:rsidP="006D41A7">
      <w:pPr>
        <w:pStyle w:val="ReportText"/>
        <w:numPr>
          <w:ilvl w:val="2"/>
          <w:numId w:val="24"/>
        </w:numPr>
        <w:spacing w:before="120" w:after="120"/>
        <w:ind w:left="1134" w:hanging="283"/>
        <w:jc w:val="both"/>
      </w:pPr>
      <w:r w:rsidRPr="005B7F07">
        <w:t>Długość: 1,68 km;</w:t>
      </w:r>
    </w:p>
    <w:p w14:paraId="6196AC19" w14:textId="77777777" w:rsidR="00107FCF" w:rsidRPr="005B7F07" w:rsidRDefault="00107FCF" w:rsidP="006D41A7">
      <w:pPr>
        <w:pStyle w:val="ReportText"/>
        <w:numPr>
          <w:ilvl w:val="2"/>
          <w:numId w:val="24"/>
        </w:numPr>
        <w:spacing w:before="120" w:after="120"/>
        <w:ind w:left="1134" w:hanging="283"/>
        <w:jc w:val="both"/>
      </w:pPr>
      <w:r w:rsidRPr="005B7F07">
        <w:t>Średnia wysokość: 2,6 m;</w:t>
      </w:r>
    </w:p>
    <w:p w14:paraId="6C552E52" w14:textId="39608A0B" w:rsidR="00107FCF" w:rsidRPr="005B7F07" w:rsidRDefault="00107FCF" w:rsidP="006D41A7">
      <w:pPr>
        <w:pStyle w:val="ReportText"/>
        <w:numPr>
          <w:ilvl w:val="2"/>
          <w:numId w:val="24"/>
        </w:numPr>
        <w:spacing w:before="120" w:after="120"/>
        <w:ind w:left="1134" w:hanging="283"/>
        <w:jc w:val="both"/>
      </w:pPr>
      <w:r w:rsidRPr="005B7F07">
        <w:t xml:space="preserve">Typ ochrony: mobilne przegrody przeciwpowodziowe (belki zaporowe </w:t>
      </w:r>
      <w:r w:rsidR="00732B99">
        <w:t>–</w:t>
      </w:r>
      <w:r w:rsidRPr="005B7F07">
        <w:t xml:space="preserve"> szandory);</w:t>
      </w:r>
    </w:p>
    <w:p w14:paraId="1ADEE791" w14:textId="77777777" w:rsidR="00107FCF" w:rsidRPr="005B7F07" w:rsidRDefault="00107FCF" w:rsidP="006D41A7">
      <w:pPr>
        <w:pStyle w:val="ReportText"/>
        <w:numPr>
          <w:ilvl w:val="2"/>
          <w:numId w:val="24"/>
        </w:numPr>
        <w:spacing w:before="120" w:after="120"/>
        <w:ind w:left="1134" w:hanging="283"/>
        <w:jc w:val="both"/>
      </w:pPr>
      <w:r w:rsidRPr="005B7F07">
        <w:t xml:space="preserve"> Długość: 0,64 km;</w:t>
      </w:r>
    </w:p>
    <w:p w14:paraId="74666F2D" w14:textId="77777777" w:rsidR="00107FCF" w:rsidRPr="005B7F07" w:rsidRDefault="00107FCF" w:rsidP="006D41A7">
      <w:pPr>
        <w:pStyle w:val="ReportText"/>
        <w:numPr>
          <w:ilvl w:val="2"/>
          <w:numId w:val="24"/>
        </w:numPr>
        <w:spacing w:before="120" w:after="120"/>
        <w:ind w:left="1134" w:hanging="283"/>
        <w:jc w:val="both"/>
      </w:pPr>
      <w:r w:rsidRPr="005B7F07">
        <w:t>Wysokość: 1,6 m;</w:t>
      </w:r>
    </w:p>
    <w:p w14:paraId="18C418D2" w14:textId="223C2E09" w:rsidR="00107FCF" w:rsidRPr="005B7F07" w:rsidRDefault="00107FCF" w:rsidP="006D41A7">
      <w:pPr>
        <w:pStyle w:val="ReportText"/>
        <w:numPr>
          <w:ilvl w:val="2"/>
          <w:numId w:val="24"/>
        </w:numPr>
        <w:spacing w:before="120" w:after="120"/>
        <w:ind w:left="1134" w:hanging="283"/>
        <w:jc w:val="both"/>
      </w:pPr>
      <w:r w:rsidRPr="005B7F07">
        <w:t xml:space="preserve">Typ ochrony: mobilne przegrody przeciwpowodziowe (belki zaporowe </w:t>
      </w:r>
      <w:r w:rsidR="00732B99">
        <w:t>–</w:t>
      </w:r>
      <w:r w:rsidRPr="005B7F07">
        <w:t xml:space="preserve"> szandory);</w:t>
      </w:r>
    </w:p>
    <w:p w14:paraId="35F8F35A" w14:textId="77777777" w:rsidR="00107FCF" w:rsidRPr="005B7F07" w:rsidRDefault="00107FCF" w:rsidP="006D41A7">
      <w:pPr>
        <w:pStyle w:val="ReportText"/>
        <w:numPr>
          <w:ilvl w:val="2"/>
          <w:numId w:val="24"/>
        </w:numPr>
        <w:spacing w:before="120" w:after="120"/>
        <w:ind w:left="1134" w:hanging="283"/>
        <w:jc w:val="both"/>
      </w:pPr>
      <w:r w:rsidRPr="005B7F07">
        <w:t xml:space="preserve"> Długość: 1,27 km;</w:t>
      </w:r>
    </w:p>
    <w:p w14:paraId="2A9C8CFA" w14:textId="77777777" w:rsidR="00107FCF" w:rsidRPr="005B7F07" w:rsidRDefault="00107FCF" w:rsidP="006D41A7">
      <w:pPr>
        <w:pStyle w:val="ReportText"/>
        <w:numPr>
          <w:ilvl w:val="2"/>
          <w:numId w:val="24"/>
        </w:numPr>
        <w:spacing w:before="120" w:after="120"/>
        <w:ind w:left="1134" w:hanging="283"/>
        <w:jc w:val="both"/>
      </w:pPr>
      <w:r w:rsidRPr="005B7F07">
        <w:t>Wysokość: 1,9 m;</w:t>
      </w:r>
    </w:p>
    <w:p w14:paraId="52D91F06" w14:textId="5963AC07" w:rsidR="00107FCF" w:rsidRPr="005B7F07" w:rsidRDefault="00107FCF" w:rsidP="006D41A7">
      <w:pPr>
        <w:pStyle w:val="ReportText"/>
        <w:numPr>
          <w:ilvl w:val="2"/>
          <w:numId w:val="24"/>
        </w:numPr>
        <w:spacing w:before="120" w:after="120"/>
        <w:ind w:left="1134" w:hanging="283"/>
        <w:jc w:val="both"/>
      </w:pPr>
      <w:r w:rsidRPr="005B7F07">
        <w:t xml:space="preserve">Typ ochrony: mur oporowy + mobilne przegrody przeciwpowodziowe (belki zaporowe </w:t>
      </w:r>
      <w:r w:rsidR="00055762">
        <w:t>–</w:t>
      </w:r>
      <w:r w:rsidRPr="005B7F07">
        <w:t xml:space="preserve"> szandory);</w:t>
      </w:r>
    </w:p>
    <w:p w14:paraId="6E87F89A" w14:textId="77777777" w:rsidR="00107FCF" w:rsidRPr="005B7F07" w:rsidRDefault="00107FCF" w:rsidP="006D41A7">
      <w:pPr>
        <w:pStyle w:val="ReportText"/>
        <w:numPr>
          <w:ilvl w:val="2"/>
          <w:numId w:val="24"/>
        </w:numPr>
        <w:spacing w:before="120" w:after="120"/>
        <w:ind w:left="1134" w:hanging="283"/>
        <w:jc w:val="both"/>
      </w:pPr>
      <w:r w:rsidRPr="005B7F07">
        <w:t xml:space="preserve"> Długość: 1,2 km;</w:t>
      </w:r>
    </w:p>
    <w:p w14:paraId="71591A76" w14:textId="77777777" w:rsidR="00107FCF" w:rsidRPr="005B7F07" w:rsidRDefault="00107FCF" w:rsidP="006D41A7">
      <w:pPr>
        <w:pStyle w:val="ReportText"/>
        <w:numPr>
          <w:ilvl w:val="2"/>
          <w:numId w:val="24"/>
        </w:numPr>
        <w:spacing w:before="120" w:after="120"/>
        <w:ind w:left="1134" w:hanging="283"/>
        <w:jc w:val="both"/>
      </w:pPr>
      <w:r w:rsidRPr="005B7F07">
        <w:t xml:space="preserve"> Średnia wysokość: 1,85 m (mur oporowy 1,35m, mobilny system przegród 0,5 m);</w:t>
      </w:r>
    </w:p>
    <w:p w14:paraId="2D8B2C4F" w14:textId="13030948" w:rsidR="00732B99" w:rsidRDefault="003C649E" w:rsidP="006D41A7">
      <w:pPr>
        <w:pStyle w:val="ReportText"/>
        <w:numPr>
          <w:ilvl w:val="2"/>
          <w:numId w:val="24"/>
        </w:numPr>
        <w:spacing w:before="120" w:after="0"/>
        <w:ind w:left="1134" w:hanging="283"/>
        <w:jc w:val="both"/>
      </w:pPr>
      <w:r>
        <w:rPr>
          <w:noProof/>
          <w:lang w:eastAsia="pl-PL"/>
        </w:rPr>
        <w:drawing>
          <wp:anchor distT="0" distB="0" distL="114300" distR="114300" simplePos="0" relativeHeight="251660800" behindDoc="0" locked="1" layoutInCell="1" allowOverlap="1" wp14:anchorId="657CC662" wp14:editId="2AF84F32">
            <wp:simplePos x="0" y="0"/>
            <wp:positionH relativeFrom="margin">
              <wp:posOffset>718820</wp:posOffset>
            </wp:positionH>
            <wp:positionV relativeFrom="paragraph">
              <wp:posOffset>357505</wp:posOffset>
            </wp:positionV>
            <wp:extent cx="3959860" cy="3959860"/>
            <wp:effectExtent l="0" t="0" r="0" b="0"/>
            <wp:wrapTopAndBottom/>
            <wp:docPr id="16"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59860" cy="3959860"/>
                    </a:xfrm>
                    <a:prstGeom prst="rect">
                      <a:avLst/>
                    </a:prstGeom>
                    <a:noFill/>
                  </pic:spPr>
                </pic:pic>
              </a:graphicData>
            </a:graphic>
            <wp14:sizeRelH relativeFrom="page">
              <wp14:pctWidth>0</wp14:pctWidth>
            </wp14:sizeRelH>
            <wp14:sizeRelV relativeFrom="page">
              <wp14:pctHeight>0</wp14:pctHeight>
            </wp14:sizeRelV>
          </wp:anchor>
        </w:drawing>
      </w:r>
      <w:r w:rsidR="00107FCF" w:rsidRPr="005B7F07">
        <w:t xml:space="preserve"> Wymagana minimalna rzędna górnej krawędzi: 3,04 m n.p.m. (0,50 m nad poz. lustra wody 1%).</w:t>
      </w:r>
      <w:bookmarkStart w:id="46" w:name="_Ref76568105"/>
    </w:p>
    <w:p w14:paraId="49D2B179" w14:textId="3FCC992F" w:rsidR="00055762" w:rsidRPr="00732B99" w:rsidRDefault="00055762" w:rsidP="00732B99">
      <w:pPr>
        <w:pStyle w:val="ReportText"/>
        <w:spacing w:before="120" w:after="0"/>
        <w:ind w:left="1418" w:hanging="1418"/>
        <w:jc w:val="both"/>
      </w:pPr>
      <w:bookmarkStart w:id="47" w:name="_Toc80608794"/>
      <w:r w:rsidRPr="00732B99">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14</w:t>
      </w:r>
      <w:r w:rsidR="002622F2">
        <w:rPr>
          <w:noProof/>
        </w:rPr>
        <w:fldChar w:fldCharType="end"/>
      </w:r>
      <w:r w:rsidRPr="00732B99">
        <w:t xml:space="preserve"> </w:t>
      </w:r>
      <w:r w:rsidRPr="00732B99">
        <w:tab/>
        <w:t>Lokalizacja działań zaproponowanych w wariancie „2” dla obszaru problemowego IOP_6 Darłowo – ujście Wieprzy</w:t>
      </w:r>
      <w:bookmarkEnd w:id="47"/>
    </w:p>
    <w:bookmarkEnd w:id="46"/>
    <w:p w14:paraId="46AA2241" w14:textId="28D03D3B" w:rsidR="00107FCF" w:rsidRDefault="00107FCF">
      <w:pPr>
        <w:rPr>
          <w:b/>
          <w:color w:val="28AAE1"/>
          <w:sz w:val="32"/>
          <w:szCs w:val="20"/>
          <w:lang w:eastAsia="en-US"/>
        </w:rPr>
      </w:pPr>
    </w:p>
    <w:p w14:paraId="07F0E9BD" w14:textId="57C9BF99" w:rsidR="00107FCF" w:rsidRDefault="00055762" w:rsidP="006D41A7">
      <w:pPr>
        <w:pStyle w:val="ReportLevel2"/>
        <w:numPr>
          <w:ilvl w:val="1"/>
          <w:numId w:val="4"/>
        </w:numPr>
      </w:pPr>
      <w:r>
        <w:br w:type="column"/>
      </w:r>
      <w:bookmarkStart w:id="48" w:name="_Toc80608721"/>
      <w:r w:rsidR="00107FCF" w:rsidRPr="00A854E6">
        <w:lastRenderedPageBreak/>
        <w:t>IOP_9   Trzebież - polder Trzebież II</w:t>
      </w:r>
      <w:bookmarkEnd w:id="48"/>
    </w:p>
    <w:p w14:paraId="4043AE22" w14:textId="77777777" w:rsidR="00107FCF" w:rsidRDefault="00107FCF" w:rsidP="00E135D8">
      <w:pPr>
        <w:pStyle w:val="ReportText"/>
        <w:spacing w:before="120" w:after="120"/>
        <w:jc w:val="both"/>
      </w:pPr>
      <w:r>
        <w:t xml:space="preserve">Dla obszaru </w:t>
      </w:r>
      <w:r w:rsidRPr="00E135D8">
        <w:t>problemowego IOP_9 Trzebież - polder Trzebież II</w:t>
      </w:r>
      <w:r>
        <w:t xml:space="preserve"> zdefiniowano zagrożenie powodziowe pochodzące od Zalewu Szczecińskiego. Dla przedmiotowego rejonu zaproponowano trzy warianty obniżenia istniejącego ryzyka powodziowego: </w:t>
      </w:r>
    </w:p>
    <w:p w14:paraId="7F7C2A36" w14:textId="77777777" w:rsidR="00107FCF" w:rsidRDefault="00107FCF" w:rsidP="006D41A7">
      <w:pPr>
        <w:pStyle w:val="ReportText"/>
        <w:numPr>
          <w:ilvl w:val="0"/>
          <w:numId w:val="23"/>
        </w:numPr>
        <w:spacing w:before="120" w:after="120"/>
        <w:ind w:left="567" w:hanging="425"/>
        <w:jc w:val="both"/>
      </w:pPr>
      <w:r>
        <w:t xml:space="preserve">Wariant „0” </w:t>
      </w:r>
      <w:r w:rsidRPr="00475541">
        <w:t>obejm</w:t>
      </w:r>
      <w:r>
        <w:t>ował</w:t>
      </w:r>
      <w:r w:rsidRPr="00475541">
        <w:t xml:space="preserve"> istniejący stan zabudowy hydrotechnicznej</w:t>
      </w:r>
      <w:r>
        <w:t xml:space="preserve"> </w:t>
      </w:r>
      <w:r w:rsidRPr="00475541">
        <w:t>(zgodnie z</w:t>
      </w:r>
      <w:r>
        <w:t> </w:t>
      </w:r>
      <w:r w:rsidRPr="00475541">
        <w:t>wynikami przeglądu i aktualizacji map zagrożenia powodziowego i map ryzyka</w:t>
      </w:r>
      <w:r>
        <w:t xml:space="preserve"> </w:t>
      </w:r>
      <w:r w:rsidRPr="00475541">
        <w:t>powodziowego</w:t>
      </w:r>
      <w:r>
        <w:t xml:space="preserve"> </w:t>
      </w:r>
      <w:r w:rsidRPr="00475541">
        <w:t>od strony morza w tym morskich wód wewnętrznych</w:t>
      </w:r>
      <w:r>
        <w:t xml:space="preserve"> </w:t>
      </w:r>
      <w:r w:rsidRPr="00475541">
        <w:t>na koniec roku 2019</w:t>
      </w:r>
      <w:r>
        <w:t xml:space="preserve"> z</w:t>
      </w:r>
      <w:r w:rsidRPr="00791A72">
        <w:t>aktualiz</w:t>
      </w:r>
      <w:r>
        <w:t xml:space="preserve">owany </w:t>
      </w:r>
      <w:r w:rsidRPr="00791A72">
        <w:t xml:space="preserve">o działania będące w realizacji lub planowane do rozpoczęcia </w:t>
      </w:r>
      <w:r>
        <w:t>do</w:t>
      </w:r>
      <w:r w:rsidRPr="00791A72">
        <w:t xml:space="preserve"> 2022 r., lub zakończone po 2019 r</w:t>
      </w:r>
      <w:r>
        <w:t>.</w:t>
      </w:r>
      <w:r w:rsidRPr="00475541">
        <w:t>)</w:t>
      </w:r>
      <w:r>
        <w:t xml:space="preserve"> czyli istniejący fragment nabrzeża oraz istniejące obwałowanie. </w:t>
      </w:r>
    </w:p>
    <w:p w14:paraId="596C4DFB" w14:textId="4E481DAE" w:rsidR="00107FCF" w:rsidRPr="00220620" w:rsidRDefault="00107FCF" w:rsidP="006D41A7">
      <w:pPr>
        <w:pStyle w:val="ReportText"/>
        <w:numPr>
          <w:ilvl w:val="0"/>
          <w:numId w:val="23"/>
        </w:numPr>
        <w:spacing w:before="120" w:after="120"/>
        <w:ind w:left="567" w:hanging="425"/>
        <w:jc w:val="both"/>
        <w:rPr>
          <w:szCs w:val="24"/>
        </w:rPr>
      </w:pPr>
      <w:r>
        <w:t>Wariant „1” obejmował m</w:t>
      </w:r>
      <w:r w:rsidRPr="00E135D8">
        <w:t>ontaż mobilnych przegród przeciwpowodziowych wzdłuż granicy pasa technicznego brzegu morskiego oraz wzdłuż ulicy Rybackiej wraz</w:t>
      </w:r>
      <w:r w:rsidR="00055762">
        <w:t xml:space="preserve"> </w:t>
      </w:r>
      <w:r w:rsidRPr="00E135D8">
        <w:t>z rozwojem lokalnego systemu ostrzegania przed powodziami i</w:t>
      </w:r>
      <w:r w:rsidR="00055762">
        <w:t> </w:t>
      </w:r>
      <w:r w:rsidRPr="00E135D8">
        <w:t xml:space="preserve">prognozowania zagrożeń na </w:t>
      </w:r>
      <w:r w:rsidRPr="00220620">
        <w:rPr>
          <w:szCs w:val="24"/>
        </w:rPr>
        <w:t>terenie gminy Police pow. policki - miejscowość Trzebież. (Zadanie O_AR_96). Lokalizację działania zaproponowanego w</w:t>
      </w:r>
      <w:r w:rsidR="00055762">
        <w:rPr>
          <w:szCs w:val="24"/>
        </w:rPr>
        <w:t> </w:t>
      </w:r>
      <w:r w:rsidRPr="00220620">
        <w:rPr>
          <w:szCs w:val="24"/>
        </w:rPr>
        <w:t xml:space="preserve">wariancie „1” przedstawia </w:t>
      </w:r>
      <w:r w:rsidR="00732B99">
        <w:t xml:space="preserve">Rysunek </w:t>
      </w:r>
      <w:r w:rsidRPr="00220620">
        <w:rPr>
          <w:szCs w:val="24"/>
        </w:rPr>
        <w:t>15.</w:t>
      </w:r>
    </w:p>
    <w:p w14:paraId="2AF87379" w14:textId="77777777" w:rsidR="00107FCF" w:rsidRPr="00BC6356" w:rsidRDefault="00107FCF" w:rsidP="006D41A7">
      <w:pPr>
        <w:pStyle w:val="ReportText"/>
        <w:numPr>
          <w:ilvl w:val="2"/>
          <w:numId w:val="60"/>
        </w:numPr>
        <w:spacing w:before="120" w:after="120"/>
        <w:ind w:left="1134" w:hanging="283"/>
        <w:jc w:val="both"/>
      </w:pPr>
      <w:r w:rsidRPr="00BC6356">
        <w:t xml:space="preserve">Typ ochrony: mobilne przegrody przeciwpowodziowe (belki zaporowe </w:t>
      </w:r>
      <w:r>
        <w:t>–</w:t>
      </w:r>
      <w:r w:rsidRPr="00BC6356">
        <w:t xml:space="preserve"> szandory);</w:t>
      </w:r>
    </w:p>
    <w:p w14:paraId="1872A1E8" w14:textId="77777777" w:rsidR="00107FCF" w:rsidRPr="00BC6356" w:rsidRDefault="00107FCF" w:rsidP="006D41A7">
      <w:pPr>
        <w:pStyle w:val="ReportText"/>
        <w:numPr>
          <w:ilvl w:val="2"/>
          <w:numId w:val="60"/>
        </w:numPr>
        <w:spacing w:before="120" w:after="120"/>
        <w:ind w:left="1134" w:hanging="283"/>
        <w:jc w:val="both"/>
      </w:pPr>
      <w:r w:rsidRPr="00BC6356">
        <w:t xml:space="preserve"> Długość: 1,05 km;</w:t>
      </w:r>
    </w:p>
    <w:p w14:paraId="00B9F68F" w14:textId="77777777" w:rsidR="00107FCF" w:rsidRPr="00BC6356" w:rsidRDefault="00107FCF" w:rsidP="006D41A7">
      <w:pPr>
        <w:pStyle w:val="ReportText"/>
        <w:numPr>
          <w:ilvl w:val="2"/>
          <w:numId w:val="60"/>
        </w:numPr>
        <w:spacing w:before="120" w:after="120"/>
        <w:ind w:left="1134" w:hanging="283"/>
        <w:jc w:val="both"/>
      </w:pPr>
      <w:r w:rsidRPr="00BC6356">
        <w:t xml:space="preserve"> Średnia wysokość: 1,2 m;</w:t>
      </w:r>
    </w:p>
    <w:p w14:paraId="4811EA1D" w14:textId="60DC495A" w:rsidR="00231D6F" w:rsidRDefault="003C649E" w:rsidP="006D41A7">
      <w:pPr>
        <w:pStyle w:val="ReportText"/>
        <w:numPr>
          <w:ilvl w:val="2"/>
          <w:numId w:val="60"/>
        </w:numPr>
        <w:spacing w:before="120" w:after="0"/>
        <w:ind w:left="1134" w:hanging="283"/>
        <w:jc w:val="both"/>
      </w:pPr>
      <w:r>
        <w:rPr>
          <w:noProof/>
          <w:lang w:eastAsia="pl-PL"/>
        </w:rPr>
        <w:drawing>
          <wp:anchor distT="0" distB="0" distL="114300" distR="114300" simplePos="0" relativeHeight="251661824" behindDoc="0" locked="0" layoutInCell="1" allowOverlap="1" wp14:anchorId="7ED39901" wp14:editId="105D2836">
            <wp:simplePos x="0" y="0"/>
            <wp:positionH relativeFrom="margin">
              <wp:align>center</wp:align>
            </wp:positionH>
            <wp:positionV relativeFrom="paragraph">
              <wp:posOffset>369570</wp:posOffset>
            </wp:positionV>
            <wp:extent cx="3599815" cy="3599815"/>
            <wp:effectExtent l="0" t="0" r="0" b="0"/>
            <wp:wrapTopAndBottom/>
            <wp:docPr id="17" name="Picture 17"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p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99815" cy="3599815"/>
                    </a:xfrm>
                    <a:prstGeom prst="rect">
                      <a:avLst/>
                    </a:prstGeom>
                    <a:noFill/>
                  </pic:spPr>
                </pic:pic>
              </a:graphicData>
            </a:graphic>
            <wp14:sizeRelH relativeFrom="page">
              <wp14:pctWidth>0</wp14:pctWidth>
            </wp14:sizeRelH>
            <wp14:sizeRelV relativeFrom="page">
              <wp14:pctHeight>0</wp14:pctHeight>
            </wp14:sizeRelV>
          </wp:anchor>
        </w:drawing>
      </w:r>
      <w:r w:rsidR="00107FCF" w:rsidRPr="00BC6356">
        <w:t xml:space="preserve"> Wymagana minimalna rzędna górnej krawędzi: 1,77 m n.p.m. (0,50 m nad poz. lustra wody 1%).</w:t>
      </w:r>
    </w:p>
    <w:p w14:paraId="441423DF" w14:textId="37B936EC" w:rsidR="00107FCF" w:rsidRPr="00BC6356" w:rsidRDefault="00231D6F" w:rsidP="000B5B5D">
      <w:pPr>
        <w:pStyle w:val="ReportText"/>
        <w:spacing w:before="120" w:after="0"/>
        <w:ind w:left="1418" w:hanging="1418"/>
        <w:jc w:val="both"/>
      </w:pPr>
      <w:bookmarkStart w:id="49" w:name="_Toc80608795"/>
      <w:r w:rsidRPr="00231D6F">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15</w:t>
      </w:r>
      <w:r w:rsidR="002622F2">
        <w:rPr>
          <w:noProof/>
        </w:rPr>
        <w:fldChar w:fldCharType="end"/>
      </w:r>
      <w:r w:rsidRPr="00231D6F">
        <w:t xml:space="preserve"> </w:t>
      </w:r>
      <w:r w:rsidR="00107FCF" w:rsidRPr="00231D6F">
        <w:t xml:space="preserve">Lokalizacja działań zaproponowanych w wariancie „1” dla obszaru problemowego IOP_9 Trzebież </w:t>
      </w:r>
      <w:r w:rsidR="00732B99">
        <w:t>–</w:t>
      </w:r>
      <w:r w:rsidR="00107FCF" w:rsidRPr="00231D6F">
        <w:t xml:space="preserve"> polder Trzebież II</w:t>
      </w:r>
      <w:bookmarkEnd w:id="49"/>
    </w:p>
    <w:p w14:paraId="53B0EBF7" w14:textId="643B7CD3" w:rsidR="00107FCF" w:rsidRPr="00B94DC6" w:rsidRDefault="00107FCF" w:rsidP="006D41A7">
      <w:pPr>
        <w:pStyle w:val="ReportText"/>
        <w:numPr>
          <w:ilvl w:val="0"/>
          <w:numId w:val="23"/>
        </w:numPr>
        <w:spacing w:before="120" w:after="120"/>
        <w:ind w:left="567" w:hanging="425"/>
        <w:jc w:val="both"/>
      </w:pPr>
      <w:r>
        <w:lastRenderedPageBreak/>
        <w:t>Wariant „2” obejmował budowę nowego</w:t>
      </w:r>
      <w:r w:rsidRPr="00E135D8">
        <w:t xml:space="preserve"> wału przeciwpowodziowego </w:t>
      </w:r>
      <w:r>
        <w:t>na południowy wschód od miejscowości Trzebież</w:t>
      </w:r>
      <w:r w:rsidRPr="00E135D8">
        <w:t xml:space="preserve"> </w:t>
      </w:r>
      <w:r>
        <w:t>oraz</w:t>
      </w:r>
      <w:r w:rsidRPr="00E135D8">
        <w:t xml:space="preserve"> </w:t>
      </w:r>
      <w:r>
        <w:t>m</w:t>
      </w:r>
      <w:r w:rsidRPr="00E135D8">
        <w:t>ontaż mobilnych przegród przeciwpowodziowych wzdłuż granicy pasa technicznego brzegu morskiego oraz wzdłuż ul. Rybackiej i w rejonie ul. Kwiatkowskiego wraz z rozwojem lokalnego systemu ostrzegania przed powodziami i prognozowania zagrożeń na terenie gminy Police pow. policki - miejscowość Trzebież</w:t>
      </w:r>
      <w:r>
        <w:t xml:space="preserve"> (</w:t>
      </w:r>
      <w:r w:rsidRPr="00220620">
        <w:rPr>
          <w:szCs w:val="24"/>
        </w:rPr>
        <w:t xml:space="preserve">Zadanie O_AR_06). Lokalizację działania zaproponowanego w wariancie „2” przedstawia </w:t>
      </w:r>
      <w:r w:rsidR="00732B99">
        <w:t>Rysunek </w:t>
      </w:r>
      <w:r w:rsidRPr="00220620">
        <w:rPr>
          <w:szCs w:val="24"/>
        </w:rPr>
        <w:t>16.</w:t>
      </w:r>
    </w:p>
    <w:p w14:paraId="45594749" w14:textId="77777777" w:rsidR="00107FCF" w:rsidRPr="00973DD8" w:rsidRDefault="00107FCF" w:rsidP="006D41A7">
      <w:pPr>
        <w:pStyle w:val="ReportText"/>
        <w:numPr>
          <w:ilvl w:val="1"/>
          <w:numId w:val="61"/>
        </w:numPr>
        <w:spacing w:before="120" w:after="120"/>
        <w:ind w:left="1134" w:hanging="283"/>
        <w:jc w:val="both"/>
      </w:pPr>
      <w:r w:rsidRPr="00973DD8">
        <w:t>Typ ochrony: wał przeciwpowodziowy;</w:t>
      </w:r>
    </w:p>
    <w:p w14:paraId="0D108C39" w14:textId="77777777" w:rsidR="00107FCF" w:rsidRPr="00973DD8" w:rsidRDefault="00107FCF" w:rsidP="006D41A7">
      <w:pPr>
        <w:pStyle w:val="ReportText"/>
        <w:numPr>
          <w:ilvl w:val="1"/>
          <w:numId w:val="61"/>
        </w:numPr>
        <w:spacing w:before="120" w:after="120"/>
        <w:ind w:left="1134" w:hanging="283"/>
        <w:jc w:val="both"/>
      </w:pPr>
      <w:r w:rsidRPr="00973DD8">
        <w:t>Długość: 0,73 km;</w:t>
      </w:r>
    </w:p>
    <w:p w14:paraId="4EE00BDF" w14:textId="77777777" w:rsidR="00107FCF" w:rsidRPr="00973DD8" w:rsidRDefault="00107FCF" w:rsidP="006D41A7">
      <w:pPr>
        <w:pStyle w:val="ReportText"/>
        <w:numPr>
          <w:ilvl w:val="1"/>
          <w:numId w:val="61"/>
        </w:numPr>
        <w:spacing w:before="120" w:after="120"/>
        <w:ind w:left="1134" w:hanging="283"/>
        <w:jc w:val="both"/>
      </w:pPr>
      <w:r w:rsidRPr="00973DD8">
        <w:t>Średnia wysokość: 1,8 m;</w:t>
      </w:r>
    </w:p>
    <w:p w14:paraId="04344774" w14:textId="77777777" w:rsidR="00107FCF" w:rsidRPr="00973DD8" w:rsidRDefault="00107FCF" w:rsidP="006D41A7">
      <w:pPr>
        <w:pStyle w:val="ReportText"/>
        <w:numPr>
          <w:ilvl w:val="1"/>
          <w:numId w:val="61"/>
        </w:numPr>
        <w:spacing w:before="120" w:after="120"/>
        <w:ind w:left="1134" w:hanging="283"/>
        <w:jc w:val="both"/>
      </w:pPr>
      <w:r w:rsidRPr="00973DD8">
        <w:t xml:space="preserve">Typ ochrony: mobilne przegrody przeciwpowodziowe (belki zaporowe </w:t>
      </w:r>
      <w:r>
        <w:t>–</w:t>
      </w:r>
      <w:r w:rsidRPr="00973DD8">
        <w:t xml:space="preserve"> szandory);</w:t>
      </w:r>
    </w:p>
    <w:p w14:paraId="64A5CDA8" w14:textId="77777777" w:rsidR="00107FCF" w:rsidRPr="00973DD8" w:rsidRDefault="00107FCF" w:rsidP="006D41A7">
      <w:pPr>
        <w:pStyle w:val="ReportText"/>
        <w:numPr>
          <w:ilvl w:val="1"/>
          <w:numId w:val="61"/>
        </w:numPr>
        <w:spacing w:before="120" w:after="120"/>
        <w:ind w:left="1134" w:hanging="283"/>
        <w:jc w:val="both"/>
      </w:pPr>
      <w:r w:rsidRPr="00973DD8">
        <w:t>Długość: 0,35 i 1,05 km;</w:t>
      </w:r>
    </w:p>
    <w:p w14:paraId="47CF9FCA" w14:textId="77777777" w:rsidR="00107FCF" w:rsidRPr="00973DD8" w:rsidRDefault="00107FCF" w:rsidP="006D41A7">
      <w:pPr>
        <w:pStyle w:val="ReportText"/>
        <w:numPr>
          <w:ilvl w:val="1"/>
          <w:numId w:val="61"/>
        </w:numPr>
        <w:spacing w:before="120" w:after="120"/>
        <w:ind w:left="1134" w:hanging="283"/>
        <w:jc w:val="both"/>
      </w:pPr>
      <w:r w:rsidRPr="00973DD8">
        <w:t>Wysokość: 1,0 m i 1,2m;</w:t>
      </w:r>
    </w:p>
    <w:p w14:paraId="1F0CD0CD" w14:textId="1CA59F1B" w:rsidR="000B5B5D" w:rsidRDefault="003C649E" w:rsidP="006D41A7">
      <w:pPr>
        <w:pStyle w:val="ReportText"/>
        <w:numPr>
          <w:ilvl w:val="1"/>
          <w:numId w:val="61"/>
        </w:numPr>
        <w:spacing w:before="120" w:after="0"/>
        <w:ind w:left="1134" w:hanging="283"/>
        <w:jc w:val="both"/>
      </w:pPr>
      <w:r>
        <w:rPr>
          <w:noProof/>
          <w:lang w:eastAsia="pl-PL"/>
        </w:rPr>
        <w:drawing>
          <wp:anchor distT="0" distB="0" distL="114300" distR="114300" simplePos="0" relativeHeight="251662848" behindDoc="0" locked="0" layoutInCell="1" allowOverlap="1" wp14:anchorId="16A1C1CA" wp14:editId="37719D20">
            <wp:simplePos x="0" y="0"/>
            <wp:positionH relativeFrom="margin">
              <wp:align>center</wp:align>
            </wp:positionH>
            <wp:positionV relativeFrom="paragraph">
              <wp:posOffset>478155</wp:posOffset>
            </wp:positionV>
            <wp:extent cx="3959860" cy="3959860"/>
            <wp:effectExtent l="0" t="0" r="0" b="0"/>
            <wp:wrapTopAndBottom/>
            <wp:docPr id="18"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59860" cy="3959860"/>
                    </a:xfrm>
                    <a:prstGeom prst="rect">
                      <a:avLst/>
                    </a:prstGeom>
                    <a:noFill/>
                  </pic:spPr>
                </pic:pic>
              </a:graphicData>
            </a:graphic>
            <wp14:sizeRelH relativeFrom="page">
              <wp14:pctWidth>0</wp14:pctWidth>
            </wp14:sizeRelH>
            <wp14:sizeRelV relativeFrom="page">
              <wp14:pctHeight>0</wp14:pctHeight>
            </wp14:sizeRelV>
          </wp:anchor>
        </w:drawing>
      </w:r>
      <w:r w:rsidR="00107FCF" w:rsidRPr="00973DD8">
        <w:t>Wymagana minimalna rzędna górnej krawędzi: 1,77 m n.p.m. (0,50 m nad poz. lustra wody 1%).</w:t>
      </w:r>
    </w:p>
    <w:p w14:paraId="2CB4CB63" w14:textId="53C12CD6" w:rsidR="00107FCF" w:rsidRPr="000B5B5D" w:rsidRDefault="000B5B5D" w:rsidP="000B5B5D">
      <w:pPr>
        <w:pStyle w:val="ReportText"/>
        <w:spacing w:before="120" w:after="0"/>
        <w:ind w:left="1418" w:hanging="1418"/>
        <w:jc w:val="both"/>
      </w:pPr>
      <w:bookmarkStart w:id="50" w:name="_Toc80608796"/>
      <w:r w:rsidRPr="000B5B5D">
        <w:t xml:space="preserve">Rysunek </w:t>
      </w:r>
      <w:r w:rsidR="002622F2">
        <w:rPr>
          <w:noProof/>
        </w:rPr>
        <w:fldChar w:fldCharType="begin"/>
      </w:r>
      <w:r w:rsidR="002622F2">
        <w:rPr>
          <w:noProof/>
        </w:rPr>
        <w:instrText xml:space="preserve"> SEQ Rysunek \* ARABIC </w:instrText>
      </w:r>
      <w:r w:rsidR="002622F2">
        <w:rPr>
          <w:noProof/>
        </w:rPr>
        <w:fldChar w:fldCharType="separate"/>
      </w:r>
      <w:r w:rsidR="00AC4DF9">
        <w:rPr>
          <w:noProof/>
        </w:rPr>
        <w:t>16</w:t>
      </w:r>
      <w:r w:rsidR="002622F2">
        <w:rPr>
          <w:noProof/>
        </w:rPr>
        <w:fldChar w:fldCharType="end"/>
      </w:r>
      <w:r w:rsidRPr="000B5B5D">
        <w:t xml:space="preserve"> </w:t>
      </w:r>
      <w:r w:rsidR="00107FCF" w:rsidRPr="000B5B5D">
        <w:t xml:space="preserve">Lokalizacja działań zaproponowanych w wariancie „2” dla obszaru problemowego IOP_9 Trzebież </w:t>
      </w:r>
      <w:r w:rsidR="00732B99">
        <w:t>–</w:t>
      </w:r>
      <w:r w:rsidR="00107FCF" w:rsidRPr="000B5B5D">
        <w:t xml:space="preserve"> polder Trzebież II</w:t>
      </w:r>
      <w:bookmarkEnd w:id="50"/>
    </w:p>
    <w:p w14:paraId="2EEB6956" w14:textId="77777777" w:rsidR="00107FCF" w:rsidRDefault="00107FCF" w:rsidP="006D41A7">
      <w:pPr>
        <w:pStyle w:val="ReportLevel2"/>
        <w:numPr>
          <w:ilvl w:val="1"/>
          <w:numId w:val="4"/>
        </w:numPr>
      </w:pPr>
      <w:bookmarkStart w:id="51" w:name="_Toc80608722"/>
      <w:r w:rsidRPr="00A854E6">
        <w:lastRenderedPageBreak/>
        <w:t>IOP_10 Stepnica północ - Kanał Kłosowicza</w:t>
      </w:r>
      <w:bookmarkEnd w:id="51"/>
    </w:p>
    <w:p w14:paraId="1834E6F4" w14:textId="77777777" w:rsidR="00107FCF" w:rsidRDefault="00107FCF" w:rsidP="00E135D8">
      <w:pPr>
        <w:pStyle w:val="ReportText"/>
        <w:spacing w:before="120" w:after="120"/>
        <w:jc w:val="both"/>
      </w:pPr>
      <w:r>
        <w:t xml:space="preserve">Dla obszaru </w:t>
      </w:r>
      <w:r w:rsidRPr="004758B4">
        <w:t>problemowego IOP_10 Stepnica północ - Kanał Kłosowicza</w:t>
      </w:r>
      <w:r>
        <w:t xml:space="preserve"> zdefiniowano zagrożenie powodziowe pochodzące od Zalewu Szczecińskiego. Dla przedmiotowego rejonu zaproponowano trzy warianty obniżenia istniejącego ryzyka powodziowego: </w:t>
      </w:r>
    </w:p>
    <w:p w14:paraId="408CE8E5" w14:textId="77777777" w:rsidR="00107FCF" w:rsidRDefault="00107FCF" w:rsidP="006D41A7">
      <w:pPr>
        <w:pStyle w:val="ReportText"/>
        <w:numPr>
          <w:ilvl w:val="0"/>
          <w:numId w:val="23"/>
        </w:numPr>
        <w:spacing w:before="120" w:after="120"/>
        <w:ind w:left="567" w:hanging="425"/>
        <w:jc w:val="both"/>
      </w:pPr>
      <w:r>
        <w:t xml:space="preserve">Wariant „0” </w:t>
      </w:r>
      <w:r w:rsidRPr="00475541">
        <w:t>obejm</w:t>
      </w:r>
      <w:r>
        <w:t>ował</w:t>
      </w:r>
      <w:r w:rsidRPr="00475541">
        <w:t xml:space="preserve"> istniejący stan zabudowy hydrotechnicznej</w:t>
      </w:r>
      <w:r>
        <w:t xml:space="preserve"> </w:t>
      </w:r>
      <w:r w:rsidRPr="00475541">
        <w:t>(zgodnie z</w:t>
      </w:r>
      <w:r>
        <w:t> </w:t>
      </w:r>
      <w:r w:rsidRPr="00475541">
        <w:t>wynikami przeglądu i aktualizacji map zagrożenia powodziowego i map ryzyka</w:t>
      </w:r>
      <w:r>
        <w:t xml:space="preserve"> </w:t>
      </w:r>
      <w:r w:rsidRPr="00475541">
        <w:t>powodziowego</w:t>
      </w:r>
      <w:r>
        <w:t xml:space="preserve"> </w:t>
      </w:r>
      <w:r w:rsidRPr="00475541">
        <w:t>od strony morza w tym morskich wód wewnętrznych</w:t>
      </w:r>
      <w:r>
        <w:t xml:space="preserve"> </w:t>
      </w:r>
      <w:r w:rsidRPr="00475541">
        <w:t>na koniec roku 2019</w:t>
      </w:r>
      <w:r>
        <w:t xml:space="preserve"> z</w:t>
      </w:r>
      <w:r w:rsidRPr="00791A72">
        <w:t>aktualiz</w:t>
      </w:r>
      <w:r>
        <w:t xml:space="preserve">owany </w:t>
      </w:r>
      <w:r w:rsidRPr="00791A72">
        <w:t xml:space="preserve">o działania będące w realizacji lub planowane do rozpoczęcia </w:t>
      </w:r>
      <w:r>
        <w:t>do</w:t>
      </w:r>
      <w:r w:rsidRPr="00791A72">
        <w:t xml:space="preserve"> 2022 r., lub zakończone po 2019 r</w:t>
      </w:r>
      <w:r>
        <w:t>.</w:t>
      </w:r>
      <w:r w:rsidRPr="00475541">
        <w:t>)</w:t>
      </w:r>
      <w:r>
        <w:t xml:space="preserve"> czyli istniejący fragment nabrzeża oraz istniejące obwałowanie od strony cieku Gowienica. </w:t>
      </w:r>
    </w:p>
    <w:p w14:paraId="78CF7341" w14:textId="6E55C77A" w:rsidR="00107FCF" w:rsidRPr="00220620" w:rsidRDefault="00107FCF" w:rsidP="006D41A7">
      <w:pPr>
        <w:pStyle w:val="ReportText"/>
        <w:numPr>
          <w:ilvl w:val="0"/>
          <w:numId w:val="23"/>
        </w:numPr>
        <w:spacing w:before="120" w:after="120"/>
        <w:ind w:left="567" w:hanging="425"/>
        <w:jc w:val="both"/>
        <w:rPr>
          <w:szCs w:val="24"/>
        </w:rPr>
      </w:pPr>
      <w:r>
        <w:t>Wariant „1” obejmował o</w:t>
      </w:r>
      <w:r w:rsidRPr="00692432">
        <w:t>chron</w:t>
      </w:r>
      <w:r>
        <w:t>ę</w:t>
      </w:r>
      <w:r w:rsidRPr="00692432">
        <w:t xml:space="preserve"> przeciwpowodziow</w:t>
      </w:r>
      <w:r>
        <w:t>ą</w:t>
      </w:r>
      <w:r w:rsidRPr="00692432">
        <w:t xml:space="preserve"> miejscowości Stepnica przy pomocy systemu mobilnych przegród przeciwpowodziowych </w:t>
      </w:r>
      <w:r>
        <w:t>opartych na belkach szandorowych</w:t>
      </w:r>
      <w:r w:rsidRPr="00692432">
        <w:t xml:space="preserve"> o długości</w:t>
      </w:r>
      <w:r>
        <w:t xml:space="preserve"> </w:t>
      </w:r>
      <w:r w:rsidRPr="00692432">
        <w:t>ok. 300</w:t>
      </w:r>
      <w:r>
        <w:t xml:space="preserve"> </w:t>
      </w:r>
      <w:r w:rsidRPr="00692432">
        <w:t xml:space="preserve">m i </w:t>
      </w:r>
      <w:r>
        <w:t>mobilnych systemach</w:t>
      </w:r>
      <w:r w:rsidRPr="00692432">
        <w:t xml:space="preserve"> </w:t>
      </w:r>
      <w:r>
        <w:t xml:space="preserve">z wykorzystaniem elastycznych barier o długości ok. </w:t>
      </w:r>
      <w:r w:rsidRPr="00692432">
        <w:t>370</w:t>
      </w:r>
      <w:r>
        <w:t xml:space="preserve"> </w:t>
      </w:r>
      <w:r w:rsidRPr="00692432">
        <w:t>m, wraz z rozwojem lokalnego systemu ostrzegania przed powodziami i prognozowania zagrożeń na terenie gminy Stepnica, pow. goleniowski</w:t>
      </w:r>
      <w:r>
        <w:t xml:space="preserve"> (Zadanie O_AR_12). Lokalizację działania zaproponowanego w wariancie „1” </w:t>
      </w:r>
      <w:r w:rsidRPr="00220620">
        <w:rPr>
          <w:szCs w:val="24"/>
        </w:rPr>
        <w:t xml:space="preserve">przedstawia </w:t>
      </w:r>
      <w:r w:rsidR="008A15D1">
        <w:t>Rysunek 17.</w:t>
      </w:r>
    </w:p>
    <w:p w14:paraId="49856B31" w14:textId="77777777" w:rsidR="00107FCF" w:rsidRPr="00F11642" w:rsidRDefault="00107FCF" w:rsidP="006D41A7">
      <w:pPr>
        <w:pStyle w:val="ReportText"/>
        <w:numPr>
          <w:ilvl w:val="2"/>
          <w:numId w:val="62"/>
        </w:numPr>
        <w:spacing w:before="120" w:after="120"/>
        <w:ind w:left="1134" w:hanging="283"/>
        <w:jc w:val="both"/>
      </w:pPr>
      <w:r w:rsidRPr="00F11642">
        <w:t xml:space="preserve">Typ ochrony: mobilne przegrody przeciwpowodziowe (belki zaporowe </w:t>
      </w:r>
      <w:r>
        <w:t>–</w:t>
      </w:r>
      <w:r w:rsidRPr="00F11642">
        <w:t xml:space="preserve"> szandory);</w:t>
      </w:r>
    </w:p>
    <w:p w14:paraId="1E6E03E8" w14:textId="77777777" w:rsidR="00107FCF" w:rsidRPr="00F11642" w:rsidRDefault="00107FCF" w:rsidP="006D41A7">
      <w:pPr>
        <w:pStyle w:val="ReportText"/>
        <w:numPr>
          <w:ilvl w:val="2"/>
          <w:numId w:val="62"/>
        </w:numPr>
        <w:spacing w:before="120" w:after="120"/>
        <w:ind w:left="1134" w:hanging="283"/>
        <w:jc w:val="both"/>
      </w:pPr>
      <w:r w:rsidRPr="00F11642">
        <w:t>Długość: 0,3 km;</w:t>
      </w:r>
    </w:p>
    <w:p w14:paraId="7D988B3B" w14:textId="77777777" w:rsidR="00107FCF" w:rsidRPr="00F11642" w:rsidRDefault="00107FCF" w:rsidP="006D41A7">
      <w:pPr>
        <w:pStyle w:val="ReportText"/>
        <w:numPr>
          <w:ilvl w:val="2"/>
          <w:numId w:val="62"/>
        </w:numPr>
        <w:spacing w:before="120" w:after="120"/>
        <w:ind w:left="1134" w:hanging="283"/>
        <w:jc w:val="both"/>
      </w:pPr>
      <w:r w:rsidRPr="00F11642">
        <w:t>Średnia wysokość: 1 m;</w:t>
      </w:r>
    </w:p>
    <w:p w14:paraId="6022603A" w14:textId="77777777" w:rsidR="00107FCF" w:rsidRPr="00F11642" w:rsidRDefault="00107FCF" w:rsidP="006D41A7">
      <w:pPr>
        <w:pStyle w:val="ReportText"/>
        <w:numPr>
          <w:ilvl w:val="2"/>
          <w:numId w:val="62"/>
        </w:numPr>
        <w:spacing w:before="120" w:after="120"/>
        <w:ind w:left="1134" w:hanging="283"/>
        <w:jc w:val="both"/>
      </w:pPr>
      <w:r w:rsidRPr="00F11642">
        <w:t>Typ ochrony: mobilne przegrody przeciwpowodziowe (przegrody elastyczne);</w:t>
      </w:r>
    </w:p>
    <w:p w14:paraId="21D26C69" w14:textId="77777777" w:rsidR="00107FCF" w:rsidRPr="00F11642" w:rsidRDefault="00107FCF" w:rsidP="006D41A7">
      <w:pPr>
        <w:pStyle w:val="ReportText"/>
        <w:numPr>
          <w:ilvl w:val="2"/>
          <w:numId w:val="62"/>
        </w:numPr>
        <w:spacing w:before="120" w:after="120"/>
        <w:ind w:left="1134" w:hanging="283"/>
        <w:jc w:val="both"/>
      </w:pPr>
      <w:r w:rsidRPr="00F11642">
        <w:t xml:space="preserve"> Długość: 0,37 km;</w:t>
      </w:r>
    </w:p>
    <w:p w14:paraId="2095BBBB" w14:textId="77777777" w:rsidR="00107FCF" w:rsidRPr="00F11642" w:rsidRDefault="00107FCF" w:rsidP="006D41A7">
      <w:pPr>
        <w:pStyle w:val="ReportText"/>
        <w:numPr>
          <w:ilvl w:val="2"/>
          <w:numId w:val="62"/>
        </w:numPr>
        <w:spacing w:before="120" w:after="120"/>
        <w:ind w:left="1134" w:hanging="283"/>
        <w:jc w:val="both"/>
      </w:pPr>
      <w:r w:rsidRPr="00F11642">
        <w:t>Wysokość: 1,6 m;</w:t>
      </w:r>
    </w:p>
    <w:p w14:paraId="2B4FC8A1" w14:textId="5A15382B" w:rsidR="00107FCF" w:rsidRDefault="00107FCF" w:rsidP="006D41A7">
      <w:pPr>
        <w:pStyle w:val="ReportText"/>
        <w:numPr>
          <w:ilvl w:val="2"/>
          <w:numId w:val="62"/>
        </w:numPr>
        <w:spacing w:before="120" w:after="0"/>
        <w:ind w:left="1134" w:hanging="283"/>
        <w:jc w:val="both"/>
      </w:pPr>
      <w:r w:rsidRPr="00F11642">
        <w:t>Wymagana minimalna rzędna górnej krawędzi: 1,77 m n.p.m. (0,50 m nad poz. lustra wody 1%).</w:t>
      </w:r>
    </w:p>
    <w:p w14:paraId="2ED09E35" w14:textId="11CA4778" w:rsidR="00107FCF" w:rsidRDefault="003C649E" w:rsidP="00732B99">
      <w:pPr>
        <w:pStyle w:val="Legenda"/>
        <w:ind w:left="1418" w:hanging="1418"/>
        <w:jc w:val="both"/>
        <w:rPr>
          <w:sz w:val="24"/>
        </w:rPr>
      </w:pPr>
      <w:bookmarkStart w:id="52" w:name="_Toc80608797"/>
      <w:r>
        <w:rPr>
          <w:noProof/>
          <w:sz w:val="24"/>
          <w:lang w:eastAsia="pl-PL"/>
        </w:rPr>
        <w:lastRenderedPageBreak/>
        <w:drawing>
          <wp:anchor distT="0" distB="0" distL="114300" distR="114300" simplePos="0" relativeHeight="251663872" behindDoc="0" locked="0" layoutInCell="1" allowOverlap="1" wp14:anchorId="569410C3" wp14:editId="11E73240">
            <wp:simplePos x="0" y="0"/>
            <wp:positionH relativeFrom="margin">
              <wp:posOffset>803275</wp:posOffset>
            </wp:positionH>
            <wp:positionV relativeFrom="paragraph">
              <wp:posOffset>74295</wp:posOffset>
            </wp:positionV>
            <wp:extent cx="3959860" cy="3959860"/>
            <wp:effectExtent l="0" t="0" r="0" b="0"/>
            <wp:wrapTopAndBottom/>
            <wp:docPr id="19"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59860" cy="3959860"/>
                    </a:xfrm>
                    <a:prstGeom prst="rect">
                      <a:avLst/>
                    </a:prstGeom>
                    <a:noFill/>
                  </pic:spPr>
                </pic:pic>
              </a:graphicData>
            </a:graphic>
            <wp14:sizeRelH relativeFrom="page">
              <wp14:pctWidth>0</wp14:pctWidth>
            </wp14:sizeRelH>
            <wp14:sizeRelV relativeFrom="page">
              <wp14:pctHeight>0</wp14:pctHeight>
            </wp14:sizeRelV>
          </wp:anchor>
        </w:drawing>
      </w:r>
      <w:r w:rsidR="00732B99" w:rsidRPr="00732B99">
        <w:rPr>
          <w:sz w:val="24"/>
        </w:rPr>
        <w:t xml:space="preserve">Rysunek </w:t>
      </w:r>
      <w:r w:rsidR="00732B99" w:rsidRPr="00732B99">
        <w:rPr>
          <w:sz w:val="24"/>
        </w:rPr>
        <w:fldChar w:fldCharType="begin"/>
      </w:r>
      <w:r w:rsidR="00732B99" w:rsidRPr="00732B99">
        <w:rPr>
          <w:sz w:val="24"/>
        </w:rPr>
        <w:instrText xml:space="preserve"> SEQ Rysunek \* ARABIC </w:instrText>
      </w:r>
      <w:r w:rsidR="00732B99" w:rsidRPr="00732B99">
        <w:rPr>
          <w:sz w:val="24"/>
        </w:rPr>
        <w:fldChar w:fldCharType="separate"/>
      </w:r>
      <w:r w:rsidR="00AC4DF9">
        <w:rPr>
          <w:noProof/>
          <w:sz w:val="24"/>
        </w:rPr>
        <w:t>17</w:t>
      </w:r>
      <w:r w:rsidR="00732B99" w:rsidRPr="00732B99">
        <w:rPr>
          <w:sz w:val="24"/>
        </w:rPr>
        <w:fldChar w:fldCharType="end"/>
      </w:r>
      <w:r w:rsidR="00107FCF" w:rsidRPr="00732B99">
        <w:rPr>
          <w:sz w:val="24"/>
        </w:rPr>
        <w:tab/>
        <w:t xml:space="preserve">Lokalizacja działań zaproponowanych w wariancie „1” dla obszaru problemowego IOP_10 Stepnica północ </w:t>
      </w:r>
      <w:r w:rsidR="00732B99">
        <w:rPr>
          <w:sz w:val="24"/>
        </w:rPr>
        <w:t>–</w:t>
      </w:r>
      <w:r w:rsidR="00107FCF" w:rsidRPr="00732B99">
        <w:rPr>
          <w:sz w:val="24"/>
        </w:rPr>
        <w:t xml:space="preserve"> Kanał Kłosowicza</w:t>
      </w:r>
      <w:bookmarkEnd w:id="52"/>
    </w:p>
    <w:p w14:paraId="371695A1" w14:textId="7877018D" w:rsidR="00732B99" w:rsidRDefault="00732B99" w:rsidP="00732B99">
      <w:pPr>
        <w:pStyle w:val="ReportText"/>
        <w:rPr>
          <w:lang w:eastAsia="zh-CN"/>
        </w:rPr>
      </w:pPr>
    </w:p>
    <w:p w14:paraId="1452294E" w14:textId="4991F612" w:rsidR="00107FCF" w:rsidRDefault="00107FCF" w:rsidP="006D41A7">
      <w:pPr>
        <w:pStyle w:val="ReportText"/>
        <w:numPr>
          <w:ilvl w:val="0"/>
          <w:numId w:val="23"/>
        </w:numPr>
        <w:spacing w:before="120" w:after="120"/>
        <w:ind w:left="567" w:hanging="425"/>
        <w:jc w:val="both"/>
      </w:pPr>
      <w:r>
        <w:t>Wariant „2” obejmował o</w:t>
      </w:r>
      <w:r w:rsidRPr="004758B4">
        <w:t>chron</w:t>
      </w:r>
      <w:r>
        <w:t>ę</w:t>
      </w:r>
      <w:r w:rsidRPr="004758B4">
        <w:t xml:space="preserve"> przeciwpowodziow</w:t>
      </w:r>
      <w:r>
        <w:t>ą</w:t>
      </w:r>
      <w:r w:rsidRPr="004758B4">
        <w:t xml:space="preserve"> miejscowości Stepnica przy pomocy systemu mobilnych przegród przeciwpowodziowych </w:t>
      </w:r>
      <w:r>
        <w:t>opartych na belkach szandorowych</w:t>
      </w:r>
      <w:r w:rsidRPr="00692432">
        <w:t xml:space="preserve"> </w:t>
      </w:r>
      <w:r w:rsidRPr="004758B4">
        <w:t>o długości</w:t>
      </w:r>
      <w:r>
        <w:t xml:space="preserve"> </w:t>
      </w:r>
      <w:r w:rsidRPr="004758B4">
        <w:t>ok. 310</w:t>
      </w:r>
      <w:r>
        <w:t xml:space="preserve"> </w:t>
      </w:r>
      <w:r w:rsidRPr="004758B4">
        <w:t xml:space="preserve">m i </w:t>
      </w:r>
      <w:r>
        <w:t xml:space="preserve">mobilnych systemach z wykorzystaniem elastycznych barier o długości ok. </w:t>
      </w:r>
      <w:r w:rsidRPr="004758B4">
        <w:t>670</w:t>
      </w:r>
      <w:r>
        <w:t xml:space="preserve"> </w:t>
      </w:r>
      <w:r w:rsidRPr="004758B4">
        <w:t>m oraz budow</w:t>
      </w:r>
      <w:r>
        <w:t>ę</w:t>
      </w:r>
      <w:r w:rsidRPr="004758B4">
        <w:t xml:space="preserve"> muru oporowego wraz z</w:t>
      </w:r>
      <w:r>
        <w:t> </w:t>
      </w:r>
      <w:r w:rsidRPr="004758B4">
        <w:t>rozwojem lokalnego systemu ostrzegania przed powodziami i prognozowania zagrożeń na terenie gminy Stepnica, pow. goleniowski</w:t>
      </w:r>
      <w:r>
        <w:t xml:space="preserve"> (Zadanie O_AR_07). Lokalizację działania zaproponowanego w wariancie „2” </w:t>
      </w:r>
      <w:r w:rsidRPr="00FC32F3">
        <w:rPr>
          <w:szCs w:val="24"/>
        </w:rPr>
        <w:t xml:space="preserve">przedstawia </w:t>
      </w:r>
      <w:r w:rsidR="008A15D1">
        <w:t>Rysunek 18.</w:t>
      </w:r>
    </w:p>
    <w:p w14:paraId="2F0744D8" w14:textId="6D27A3E3" w:rsidR="00107FCF" w:rsidRPr="003C011A" w:rsidRDefault="00732B99" w:rsidP="006D41A7">
      <w:pPr>
        <w:pStyle w:val="ReportText"/>
        <w:numPr>
          <w:ilvl w:val="2"/>
          <w:numId w:val="63"/>
        </w:numPr>
        <w:spacing w:before="120" w:after="120"/>
        <w:ind w:left="1134" w:hanging="283"/>
        <w:jc w:val="both"/>
      </w:pPr>
      <w:r>
        <w:br w:type="column"/>
      </w:r>
      <w:r w:rsidR="00107FCF" w:rsidRPr="003C011A">
        <w:lastRenderedPageBreak/>
        <w:t xml:space="preserve">Typ ochrony: mobilne przegrody przeciwpowodziowe (belki zaporowe </w:t>
      </w:r>
      <w:r>
        <w:t>–</w:t>
      </w:r>
      <w:r w:rsidR="00107FCF" w:rsidRPr="003C011A">
        <w:t xml:space="preserve"> szandory);</w:t>
      </w:r>
    </w:p>
    <w:p w14:paraId="44E8CC17" w14:textId="77777777" w:rsidR="00107FCF" w:rsidRPr="003C011A" w:rsidRDefault="00107FCF" w:rsidP="006D41A7">
      <w:pPr>
        <w:pStyle w:val="ReportText"/>
        <w:numPr>
          <w:ilvl w:val="2"/>
          <w:numId w:val="63"/>
        </w:numPr>
        <w:spacing w:before="120" w:after="120"/>
        <w:ind w:left="1134" w:hanging="283"/>
        <w:jc w:val="both"/>
      </w:pPr>
      <w:r w:rsidRPr="003C011A">
        <w:t>Długość: 0,31 km;</w:t>
      </w:r>
    </w:p>
    <w:p w14:paraId="31EA5BFB" w14:textId="77777777" w:rsidR="00107FCF" w:rsidRPr="003C011A" w:rsidRDefault="00107FCF" w:rsidP="006D41A7">
      <w:pPr>
        <w:pStyle w:val="ReportText"/>
        <w:numPr>
          <w:ilvl w:val="2"/>
          <w:numId w:val="63"/>
        </w:numPr>
        <w:spacing w:before="120" w:after="120"/>
        <w:ind w:left="1134" w:hanging="283"/>
        <w:jc w:val="both"/>
      </w:pPr>
      <w:r w:rsidRPr="003C011A">
        <w:t>Średnia wysokość: 1 m;</w:t>
      </w:r>
    </w:p>
    <w:p w14:paraId="06D78CEB" w14:textId="77777777" w:rsidR="00107FCF" w:rsidRPr="003C011A" w:rsidRDefault="00107FCF" w:rsidP="006D41A7">
      <w:pPr>
        <w:pStyle w:val="ReportText"/>
        <w:numPr>
          <w:ilvl w:val="2"/>
          <w:numId w:val="63"/>
        </w:numPr>
        <w:spacing w:before="120" w:after="120"/>
        <w:ind w:left="1134" w:hanging="283"/>
        <w:jc w:val="both"/>
      </w:pPr>
      <w:r w:rsidRPr="003C011A">
        <w:t>Typ ochrony: mobilne przegrody przeciwpowodziowe (przegrody elastyczne);</w:t>
      </w:r>
    </w:p>
    <w:p w14:paraId="1645D9F5" w14:textId="77777777" w:rsidR="00107FCF" w:rsidRPr="003C011A" w:rsidRDefault="00107FCF" w:rsidP="006D41A7">
      <w:pPr>
        <w:pStyle w:val="ReportText"/>
        <w:numPr>
          <w:ilvl w:val="2"/>
          <w:numId w:val="63"/>
        </w:numPr>
        <w:spacing w:before="120" w:after="120"/>
        <w:ind w:left="1134" w:hanging="283"/>
        <w:jc w:val="both"/>
      </w:pPr>
      <w:r w:rsidRPr="003C011A">
        <w:t>Długość: 0,67 km;</w:t>
      </w:r>
    </w:p>
    <w:p w14:paraId="10C74387" w14:textId="77777777" w:rsidR="00107FCF" w:rsidRPr="003C011A" w:rsidRDefault="00107FCF" w:rsidP="006D41A7">
      <w:pPr>
        <w:pStyle w:val="ReportText"/>
        <w:numPr>
          <w:ilvl w:val="2"/>
          <w:numId w:val="63"/>
        </w:numPr>
        <w:spacing w:before="120" w:after="120"/>
        <w:ind w:left="1134" w:hanging="283"/>
        <w:jc w:val="both"/>
      </w:pPr>
      <w:r w:rsidRPr="003C011A">
        <w:t>Wysokość: 1,6 m;</w:t>
      </w:r>
    </w:p>
    <w:p w14:paraId="47765C5F" w14:textId="77777777" w:rsidR="00107FCF" w:rsidRPr="003C011A" w:rsidRDefault="00107FCF" w:rsidP="006D41A7">
      <w:pPr>
        <w:pStyle w:val="ReportText"/>
        <w:numPr>
          <w:ilvl w:val="2"/>
          <w:numId w:val="63"/>
        </w:numPr>
        <w:spacing w:before="120" w:after="120"/>
        <w:ind w:left="1134" w:hanging="283"/>
        <w:jc w:val="both"/>
      </w:pPr>
      <w:r w:rsidRPr="003C011A">
        <w:t>Typ ochrony: mur oporowy;</w:t>
      </w:r>
    </w:p>
    <w:p w14:paraId="22C2898C" w14:textId="77777777" w:rsidR="00107FCF" w:rsidRPr="003C011A" w:rsidRDefault="00107FCF" w:rsidP="006D41A7">
      <w:pPr>
        <w:pStyle w:val="ReportText"/>
        <w:numPr>
          <w:ilvl w:val="2"/>
          <w:numId w:val="63"/>
        </w:numPr>
        <w:spacing w:before="120" w:after="120"/>
        <w:ind w:left="1134" w:hanging="283"/>
        <w:jc w:val="both"/>
      </w:pPr>
      <w:r w:rsidRPr="003C011A">
        <w:t>Długość: 100 m;</w:t>
      </w:r>
    </w:p>
    <w:p w14:paraId="1C237BF4" w14:textId="77777777" w:rsidR="00107FCF" w:rsidRPr="003C011A" w:rsidRDefault="00107FCF" w:rsidP="006D41A7">
      <w:pPr>
        <w:pStyle w:val="ReportText"/>
        <w:numPr>
          <w:ilvl w:val="2"/>
          <w:numId w:val="63"/>
        </w:numPr>
        <w:spacing w:before="120" w:after="120"/>
        <w:ind w:left="1134" w:hanging="283"/>
        <w:jc w:val="both"/>
      </w:pPr>
      <w:r w:rsidRPr="003C011A">
        <w:t>Średnia wysokość: 1,3 m;</w:t>
      </w:r>
    </w:p>
    <w:p w14:paraId="18570D0B" w14:textId="77777777" w:rsidR="00107FCF" w:rsidRPr="003C011A" w:rsidRDefault="00107FCF" w:rsidP="006D41A7">
      <w:pPr>
        <w:pStyle w:val="ReportText"/>
        <w:numPr>
          <w:ilvl w:val="2"/>
          <w:numId w:val="63"/>
        </w:numPr>
        <w:spacing w:before="120" w:after="0"/>
        <w:ind w:left="1134" w:hanging="283"/>
        <w:jc w:val="both"/>
      </w:pPr>
      <w:r w:rsidRPr="003C011A">
        <w:t>Wymagana minimalna rzędna górnej krawędzi: 1,77 m n.p.m. (0,50 m nad poz. lustra wody 1%).</w:t>
      </w:r>
    </w:p>
    <w:p w14:paraId="07DE5D42" w14:textId="794859AC" w:rsidR="00732B99" w:rsidRPr="00290AD4" w:rsidRDefault="003C649E" w:rsidP="00290AD4">
      <w:pPr>
        <w:pStyle w:val="Legenda"/>
        <w:ind w:left="1418" w:hanging="1418"/>
        <w:jc w:val="both"/>
        <w:rPr>
          <w:noProof/>
          <w:sz w:val="24"/>
        </w:rPr>
      </w:pPr>
      <w:bookmarkStart w:id="53" w:name="_Toc80608798"/>
      <w:r>
        <w:rPr>
          <w:noProof/>
          <w:sz w:val="24"/>
          <w:lang w:eastAsia="pl-PL"/>
        </w:rPr>
        <w:drawing>
          <wp:anchor distT="0" distB="0" distL="114300" distR="114300" simplePos="0" relativeHeight="251664896" behindDoc="0" locked="0" layoutInCell="1" allowOverlap="1" wp14:anchorId="0953F364" wp14:editId="01D417D9">
            <wp:simplePos x="0" y="0"/>
            <wp:positionH relativeFrom="margin">
              <wp:align>center</wp:align>
            </wp:positionH>
            <wp:positionV relativeFrom="paragraph">
              <wp:posOffset>1270</wp:posOffset>
            </wp:positionV>
            <wp:extent cx="3817620" cy="3817620"/>
            <wp:effectExtent l="0" t="0" r="0" b="0"/>
            <wp:wrapTopAndBottom/>
            <wp:docPr id="20"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17620" cy="3817620"/>
                    </a:xfrm>
                    <a:prstGeom prst="rect">
                      <a:avLst/>
                    </a:prstGeom>
                    <a:noFill/>
                  </pic:spPr>
                </pic:pic>
              </a:graphicData>
            </a:graphic>
            <wp14:sizeRelH relativeFrom="page">
              <wp14:pctWidth>0</wp14:pctWidth>
            </wp14:sizeRelH>
            <wp14:sizeRelV relativeFrom="page">
              <wp14:pctHeight>0</wp14:pctHeight>
            </wp14:sizeRelV>
          </wp:anchor>
        </w:drawing>
      </w:r>
      <w:r w:rsidR="00732B99" w:rsidRPr="00732B99">
        <w:rPr>
          <w:sz w:val="24"/>
        </w:rPr>
        <w:t xml:space="preserve">Rysunek </w:t>
      </w:r>
      <w:r w:rsidR="00732B99" w:rsidRPr="00732B99">
        <w:rPr>
          <w:sz w:val="24"/>
        </w:rPr>
        <w:fldChar w:fldCharType="begin"/>
      </w:r>
      <w:r w:rsidR="00732B99" w:rsidRPr="00732B99">
        <w:rPr>
          <w:sz w:val="24"/>
        </w:rPr>
        <w:instrText xml:space="preserve"> SEQ Rysunek \* ARABIC </w:instrText>
      </w:r>
      <w:r w:rsidR="00732B99" w:rsidRPr="00732B99">
        <w:rPr>
          <w:sz w:val="24"/>
        </w:rPr>
        <w:fldChar w:fldCharType="separate"/>
      </w:r>
      <w:r w:rsidR="00AC4DF9">
        <w:rPr>
          <w:noProof/>
          <w:sz w:val="24"/>
        </w:rPr>
        <w:t>18</w:t>
      </w:r>
      <w:r w:rsidR="00732B99" w:rsidRPr="00732B99">
        <w:rPr>
          <w:sz w:val="24"/>
        </w:rPr>
        <w:fldChar w:fldCharType="end"/>
      </w:r>
      <w:r w:rsidR="00732B99" w:rsidRPr="00732B99">
        <w:rPr>
          <w:sz w:val="24"/>
        </w:rPr>
        <w:t xml:space="preserve"> </w:t>
      </w:r>
      <w:r w:rsidR="00732B99">
        <w:rPr>
          <w:sz w:val="24"/>
        </w:rPr>
        <w:tab/>
      </w:r>
      <w:r w:rsidR="00107FCF" w:rsidRPr="00732B99">
        <w:rPr>
          <w:sz w:val="24"/>
        </w:rPr>
        <w:t>Lokalizacja działań zaproponowanych w wariancie „2” dla obszaru problemowego IOP_10 Stepnica północ - Kanał Kłosowicza</w:t>
      </w:r>
      <w:bookmarkStart w:id="54" w:name="_Toc80284987"/>
      <w:r>
        <w:rPr>
          <w:noProof/>
          <w:lang w:eastAsia="pl-PL"/>
        </w:rPr>
        <mc:AlternateContent>
          <mc:Choice Requires="wps">
            <w:drawing>
              <wp:anchor distT="0" distB="0" distL="114300" distR="114300" simplePos="0" relativeHeight="251670016" behindDoc="0" locked="0" layoutInCell="1" allowOverlap="1" wp14:anchorId="58B0F7A8" wp14:editId="4F95EBA6">
                <wp:simplePos x="0" y="0"/>
                <wp:positionH relativeFrom="column">
                  <wp:posOffset>977265</wp:posOffset>
                </wp:positionH>
                <wp:positionV relativeFrom="paragraph">
                  <wp:posOffset>1210310</wp:posOffset>
                </wp:positionV>
                <wp:extent cx="3817620" cy="391160"/>
                <wp:effectExtent l="0" t="1905" r="1905" b="0"/>
                <wp:wrapTopAndBottom/>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62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9BD61" w14:textId="1814A46A" w:rsidR="005A0B07" w:rsidRPr="00C17690" w:rsidRDefault="005A0B07" w:rsidP="00732B99">
                            <w:pPr>
                              <w:pStyle w:val="Legenda"/>
                              <w:rPr>
                                <w:noProof/>
                                <w:sz w:val="24"/>
                                <w:szCs w:val="2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0F7A8" id="Text Box 42" o:spid="_x0000_s1027" type="#_x0000_t202" style="position:absolute;left:0;text-align:left;margin-left:76.95pt;margin-top:95.3pt;width:300.6pt;height:30.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" stroked="f">
                <v:textbox style="mso-fit-shape-to-text:t" inset="0,0,0,0">
                  <w:txbxContent>
                    <w:p w14:paraId="1819BD61" w14:textId="1814A46A" w:rsidR="005A0B07" w:rsidRPr="00C17690" w:rsidRDefault="005A0B07" w:rsidP="00732B99">
                      <w:pPr>
                        <w:pStyle w:val="Legenda"/>
                        <w:rPr>
                          <w:noProof/>
                          <w:sz w:val="24"/>
                          <w:szCs w:val="20"/>
                        </w:rPr>
                      </w:pPr>
                    </w:p>
                  </w:txbxContent>
                </v:textbox>
                <w10:wrap type="topAndBottom"/>
              </v:shape>
            </w:pict>
          </mc:Fallback>
        </mc:AlternateContent>
      </w:r>
      <w:bookmarkEnd w:id="53"/>
      <w:bookmarkEnd w:id="54"/>
    </w:p>
    <w:p w14:paraId="2823B39A" w14:textId="78AC6F23" w:rsidR="00107FCF" w:rsidRPr="00A854E6" w:rsidRDefault="00732B99" w:rsidP="006D41A7">
      <w:pPr>
        <w:pStyle w:val="ReportLevel2"/>
        <w:numPr>
          <w:ilvl w:val="1"/>
          <w:numId w:val="4"/>
        </w:numPr>
      </w:pPr>
      <w:r>
        <w:br w:type="column"/>
      </w:r>
      <w:bookmarkStart w:id="55" w:name="_Toc80608723"/>
      <w:r w:rsidR="00107FCF" w:rsidRPr="00A854E6">
        <w:lastRenderedPageBreak/>
        <w:t xml:space="preserve">IOP_11 Nowe Warpno - okolice </w:t>
      </w:r>
      <w:r w:rsidR="00107FCF">
        <w:t>J</w:t>
      </w:r>
      <w:r w:rsidR="00107FCF" w:rsidRPr="00A854E6">
        <w:t>eziora Nowowarpieńskiego</w:t>
      </w:r>
      <w:bookmarkEnd w:id="55"/>
    </w:p>
    <w:p w14:paraId="7CADD157" w14:textId="77777777" w:rsidR="00107FCF" w:rsidRDefault="00107FCF" w:rsidP="0062118B">
      <w:pPr>
        <w:pStyle w:val="ReportText"/>
        <w:spacing w:before="120" w:after="120"/>
        <w:jc w:val="both"/>
      </w:pPr>
      <w:r w:rsidRPr="0062118B">
        <w:t>Dla obszaru problemowego IOP_11 Nowe Warpno - okolice jeziora Nowowarpieńskiego</w:t>
      </w:r>
      <w:r>
        <w:t xml:space="preserve"> zdefiniowano zagrożenie powodziowe pochodzące od Zalewu Szczecińskiego i Jeziora Nowowarpieńskiego. Dla przedmiotowego rejonu zaproponowano trzy warianty obniżenia istniejącego ryzyka powodziowego: </w:t>
      </w:r>
    </w:p>
    <w:p w14:paraId="3344F1DD" w14:textId="77777777" w:rsidR="00107FCF" w:rsidRDefault="00107FCF" w:rsidP="006D41A7">
      <w:pPr>
        <w:pStyle w:val="ReportText"/>
        <w:numPr>
          <w:ilvl w:val="0"/>
          <w:numId w:val="23"/>
        </w:numPr>
        <w:spacing w:before="120" w:after="120"/>
        <w:ind w:left="567" w:hanging="425"/>
        <w:jc w:val="both"/>
      </w:pPr>
      <w:r>
        <w:t xml:space="preserve">Wariant „0” </w:t>
      </w:r>
      <w:r w:rsidRPr="00475541">
        <w:t>obejm</w:t>
      </w:r>
      <w:r>
        <w:t>ował</w:t>
      </w:r>
      <w:r w:rsidRPr="00475541">
        <w:t xml:space="preserve"> istniejący stan zabudowy hydrotechnicznej</w:t>
      </w:r>
      <w:r>
        <w:t xml:space="preserve"> </w:t>
      </w:r>
      <w:r w:rsidRPr="00475541">
        <w:t>(zgodnie z</w:t>
      </w:r>
      <w:r>
        <w:t> </w:t>
      </w:r>
      <w:r w:rsidRPr="00475541">
        <w:t>wynikami przeglądu i aktualizacji map zagrożenia powodziowego i map ryzyka</w:t>
      </w:r>
      <w:r>
        <w:t xml:space="preserve"> </w:t>
      </w:r>
      <w:r w:rsidRPr="00475541">
        <w:t>powodziowego</w:t>
      </w:r>
      <w:r>
        <w:t xml:space="preserve"> </w:t>
      </w:r>
      <w:r w:rsidRPr="00475541">
        <w:t>od strony morza w tym morskich wód wewnętrznych</w:t>
      </w:r>
      <w:r>
        <w:t xml:space="preserve"> </w:t>
      </w:r>
      <w:r w:rsidRPr="00475541">
        <w:t>na koniec roku 2019</w:t>
      </w:r>
      <w:r>
        <w:t xml:space="preserve"> z</w:t>
      </w:r>
      <w:r w:rsidRPr="00791A72">
        <w:t>aktualiz</w:t>
      </w:r>
      <w:r>
        <w:t xml:space="preserve">owany </w:t>
      </w:r>
      <w:r w:rsidRPr="00791A72">
        <w:t xml:space="preserve">o działania będące w realizacji lub planowane do rozpoczęcia </w:t>
      </w:r>
      <w:r>
        <w:t>do</w:t>
      </w:r>
      <w:r w:rsidRPr="00791A72">
        <w:t xml:space="preserve"> 2022 r., lub zakończone po 2019 r</w:t>
      </w:r>
      <w:r>
        <w:t>.</w:t>
      </w:r>
      <w:r w:rsidRPr="00475541">
        <w:t>)</w:t>
      </w:r>
      <w:r>
        <w:t xml:space="preserve"> czyli istniejące obwałowanie. </w:t>
      </w:r>
    </w:p>
    <w:p w14:paraId="76FF7D7A" w14:textId="4808ABBA" w:rsidR="00107FCF" w:rsidRPr="00FC32F3" w:rsidRDefault="00107FCF" w:rsidP="006D41A7">
      <w:pPr>
        <w:pStyle w:val="ReportText"/>
        <w:numPr>
          <w:ilvl w:val="0"/>
          <w:numId w:val="23"/>
        </w:numPr>
        <w:spacing w:before="120" w:after="120"/>
        <w:ind w:left="567" w:hanging="425"/>
        <w:jc w:val="both"/>
        <w:rPr>
          <w:szCs w:val="24"/>
        </w:rPr>
      </w:pPr>
      <w:r>
        <w:t>Wariant „1” obejmował b</w:t>
      </w:r>
      <w:r w:rsidRPr="0062118B">
        <w:t>udow</w:t>
      </w:r>
      <w:r>
        <w:t>ę</w:t>
      </w:r>
      <w:r w:rsidRPr="0062118B">
        <w:t xml:space="preserve"> wałów przeciwpowodziowych o długości ok. 50</w:t>
      </w:r>
      <w:r>
        <w:t xml:space="preserve"> m</w:t>
      </w:r>
      <w:r w:rsidR="00732B99">
        <w:t xml:space="preserve"> </w:t>
      </w:r>
      <w:r w:rsidRPr="0062118B">
        <w:t>i 40</w:t>
      </w:r>
      <w:r>
        <w:t xml:space="preserve"> </w:t>
      </w:r>
      <w:r w:rsidRPr="0062118B">
        <w:t>m, w m</w:t>
      </w:r>
      <w:r>
        <w:t>iejscowości</w:t>
      </w:r>
      <w:r w:rsidRPr="0062118B">
        <w:t xml:space="preserve"> Nowe Warpno, pow</w:t>
      </w:r>
      <w:r>
        <w:t>iat</w:t>
      </w:r>
      <w:r w:rsidRPr="0062118B">
        <w:t xml:space="preserve"> policki wraz z rozwojem lokalnego systemu ostrzegania przed powodziami i prognozowania zagrożeń na terenie gminy Nowe Warpno, pow. policki</w:t>
      </w:r>
      <w:r>
        <w:t xml:space="preserve"> (Zadanie O_AR_09). Lokalizację działania zaproponowanego w wariancie „1” </w:t>
      </w:r>
      <w:r w:rsidRPr="00FC32F3">
        <w:rPr>
          <w:szCs w:val="24"/>
        </w:rPr>
        <w:t xml:space="preserve">przedstawia </w:t>
      </w:r>
      <w:r w:rsidR="008A15D1">
        <w:t>Rysunek 19.</w:t>
      </w:r>
    </w:p>
    <w:p w14:paraId="427DBB7D" w14:textId="77777777" w:rsidR="00107FCF" w:rsidRPr="00F511AC" w:rsidRDefault="00107FCF" w:rsidP="006D41A7">
      <w:pPr>
        <w:pStyle w:val="ReportText"/>
        <w:numPr>
          <w:ilvl w:val="2"/>
          <w:numId w:val="64"/>
        </w:numPr>
        <w:spacing w:before="120" w:after="120"/>
        <w:ind w:left="1134" w:hanging="283"/>
        <w:jc w:val="both"/>
      </w:pPr>
      <w:r w:rsidRPr="00F511AC">
        <w:t>Typ ochrony: wały przeciwpowodziowe;</w:t>
      </w:r>
    </w:p>
    <w:p w14:paraId="6C8E8226" w14:textId="13DBCB10" w:rsidR="00107FCF" w:rsidRPr="00F511AC" w:rsidRDefault="00107FCF" w:rsidP="006D41A7">
      <w:pPr>
        <w:pStyle w:val="ReportText"/>
        <w:numPr>
          <w:ilvl w:val="2"/>
          <w:numId w:val="64"/>
        </w:numPr>
        <w:spacing w:before="120" w:after="120"/>
        <w:ind w:left="1134" w:hanging="283"/>
        <w:jc w:val="both"/>
      </w:pPr>
      <w:r w:rsidRPr="00F511AC">
        <w:t>Długość: 0,70 km;</w:t>
      </w:r>
    </w:p>
    <w:p w14:paraId="3223E08B" w14:textId="391690BC" w:rsidR="00107FCF" w:rsidRPr="00F511AC" w:rsidRDefault="00107FCF" w:rsidP="006D41A7">
      <w:pPr>
        <w:pStyle w:val="ReportText"/>
        <w:numPr>
          <w:ilvl w:val="2"/>
          <w:numId w:val="64"/>
        </w:numPr>
        <w:spacing w:before="120" w:after="120"/>
        <w:ind w:left="1134" w:hanging="283"/>
        <w:jc w:val="both"/>
      </w:pPr>
      <w:r w:rsidRPr="00F511AC">
        <w:t>Średnia wysokość: 1 m;</w:t>
      </w:r>
    </w:p>
    <w:p w14:paraId="60347172" w14:textId="11996617" w:rsidR="00416849" w:rsidRDefault="003C649E" w:rsidP="006D41A7">
      <w:pPr>
        <w:pStyle w:val="ReportText"/>
        <w:numPr>
          <w:ilvl w:val="2"/>
          <w:numId w:val="64"/>
        </w:numPr>
        <w:spacing w:before="120" w:after="0"/>
        <w:ind w:left="1134" w:hanging="283"/>
        <w:jc w:val="both"/>
      </w:pPr>
      <w:r>
        <w:rPr>
          <w:noProof/>
          <w:lang w:eastAsia="pl-PL"/>
        </w:rPr>
        <w:drawing>
          <wp:anchor distT="0" distB="0" distL="114300" distR="114300" simplePos="0" relativeHeight="251665920" behindDoc="0" locked="0" layoutInCell="1" allowOverlap="1" wp14:anchorId="74AD020A" wp14:editId="18AF2133">
            <wp:simplePos x="0" y="0"/>
            <wp:positionH relativeFrom="margin">
              <wp:posOffset>1017905</wp:posOffset>
            </wp:positionH>
            <wp:positionV relativeFrom="paragraph">
              <wp:posOffset>354330</wp:posOffset>
            </wp:positionV>
            <wp:extent cx="3507740" cy="3507740"/>
            <wp:effectExtent l="0" t="0" r="0" b="0"/>
            <wp:wrapTopAndBottom/>
            <wp:docPr id="21" name="Picture 21"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p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07740" cy="3507740"/>
                    </a:xfrm>
                    <a:prstGeom prst="rect">
                      <a:avLst/>
                    </a:prstGeom>
                    <a:noFill/>
                  </pic:spPr>
                </pic:pic>
              </a:graphicData>
            </a:graphic>
            <wp14:sizeRelH relativeFrom="page">
              <wp14:pctWidth>0</wp14:pctWidth>
            </wp14:sizeRelH>
            <wp14:sizeRelV relativeFrom="page">
              <wp14:pctHeight>0</wp14:pctHeight>
            </wp14:sizeRelV>
          </wp:anchor>
        </w:drawing>
      </w:r>
      <w:r w:rsidR="00107FCF" w:rsidRPr="00F511AC">
        <w:t>Wymagana minimalna rzędna górnej krawędzi: 1,77 m n.p.m. (0,50 m nad poz. lustra wody 1%).</w:t>
      </w:r>
    </w:p>
    <w:p w14:paraId="70B4CAE9" w14:textId="1DC09C77" w:rsidR="00107FCF" w:rsidRPr="00732B99" w:rsidRDefault="00732B99" w:rsidP="00732B99">
      <w:pPr>
        <w:pStyle w:val="Legenda"/>
        <w:tabs>
          <w:tab w:val="clear" w:pos="1080"/>
          <w:tab w:val="left" w:pos="1418"/>
        </w:tabs>
        <w:ind w:left="1418" w:hanging="1418"/>
        <w:jc w:val="both"/>
        <w:rPr>
          <w:noProof/>
          <w:sz w:val="24"/>
        </w:rPr>
      </w:pPr>
      <w:bookmarkStart w:id="56" w:name="_Toc80608799"/>
      <w:r w:rsidRPr="00732B99">
        <w:rPr>
          <w:sz w:val="24"/>
        </w:rPr>
        <w:t xml:space="preserve">Rysunek </w:t>
      </w:r>
      <w:r w:rsidRPr="00732B99">
        <w:rPr>
          <w:sz w:val="24"/>
        </w:rPr>
        <w:fldChar w:fldCharType="begin"/>
      </w:r>
      <w:r w:rsidRPr="00732B99">
        <w:rPr>
          <w:sz w:val="24"/>
        </w:rPr>
        <w:instrText xml:space="preserve"> SEQ Rysunek \* ARABIC </w:instrText>
      </w:r>
      <w:r w:rsidRPr="00732B99">
        <w:rPr>
          <w:sz w:val="24"/>
        </w:rPr>
        <w:fldChar w:fldCharType="separate"/>
      </w:r>
      <w:r w:rsidR="00AC4DF9">
        <w:rPr>
          <w:noProof/>
          <w:sz w:val="24"/>
        </w:rPr>
        <w:t>19</w:t>
      </w:r>
      <w:r w:rsidRPr="00732B99">
        <w:rPr>
          <w:sz w:val="24"/>
        </w:rPr>
        <w:fldChar w:fldCharType="end"/>
      </w:r>
      <w:r w:rsidRPr="00732B99">
        <w:rPr>
          <w:sz w:val="24"/>
        </w:rPr>
        <w:tab/>
      </w:r>
      <w:r w:rsidR="00107FCF" w:rsidRPr="00732B99">
        <w:rPr>
          <w:sz w:val="24"/>
        </w:rPr>
        <w:t xml:space="preserve">Lokalizacja działań zaproponowanych w wariancie „1” dla obszaru problemowego IOP_11 Nowe Warpno </w:t>
      </w:r>
      <w:r>
        <w:rPr>
          <w:sz w:val="24"/>
        </w:rPr>
        <w:t>–</w:t>
      </w:r>
      <w:r w:rsidR="00107FCF" w:rsidRPr="00732B99">
        <w:rPr>
          <w:sz w:val="24"/>
        </w:rPr>
        <w:t xml:space="preserve"> okolice jeziora Nowowarpieńskiego</w:t>
      </w:r>
      <w:bookmarkEnd w:id="56"/>
    </w:p>
    <w:p w14:paraId="4554B35B" w14:textId="07B99471" w:rsidR="00107FCF" w:rsidRDefault="00416849" w:rsidP="006D41A7">
      <w:pPr>
        <w:pStyle w:val="ReportText"/>
        <w:numPr>
          <w:ilvl w:val="0"/>
          <w:numId w:val="67"/>
        </w:numPr>
        <w:spacing w:before="0"/>
        <w:ind w:left="567" w:hanging="425"/>
        <w:jc w:val="both"/>
      </w:pPr>
      <w:r>
        <w:br w:type="column"/>
      </w:r>
      <w:r w:rsidR="00107FCF">
        <w:lastRenderedPageBreak/>
        <w:t>Wariant „2” obejmował b</w:t>
      </w:r>
      <w:r w:rsidR="00107FCF" w:rsidRPr="0062118B">
        <w:t>udow</w:t>
      </w:r>
      <w:r w:rsidR="00107FCF">
        <w:t>ę</w:t>
      </w:r>
      <w:r w:rsidR="00107FCF" w:rsidRPr="0062118B">
        <w:t xml:space="preserve"> murów oporowych</w:t>
      </w:r>
      <w:r w:rsidR="00107FCF">
        <w:t xml:space="preserve"> </w:t>
      </w:r>
      <w:r w:rsidR="00107FCF" w:rsidRPr="0062118B">
        <w:t>o długości 220 m i 55 m w</w:t>
      </w:r>
      <w:r w:rsidR="00732B99">
        <w:t> </w:t>
      </w:r>
      <w:r w:rsidR="00107FCF" w:rsidRPr="0062118B">
        <w:t>m</w:t>
      </w:r>
      <w:r w:rsidR="00107FCF">
        <w:t>iejscowości</w:t>
      </w:r>
      <w:r w:rsidR="00107FCF" w:rsidRPr="0062118B">
        <w:t xml:space="preserve"> Nowe Warpno wraz z rozwojem lokalnego systemu ostrzegania przed powodziami i prognozowania zagrożeń na terenie gminy Nowe Warpno, pow. policki</w:t>
      </w:r>
      <w:r w:rsidR="00107FCF">
        <w:t xml:space="preserve"> (Zadanie O_AR_02). Lokalizację działania zaproponowanego w</w:t>
      </w:r>
      <w:r w:rsidR="00732B99">
        <w:t> </w:t>
      </w:r>
      <w:r w:rsidR="00107FCF">
        <w:t>wariancie „2” przedstawia Rysunek 20</w:t>
      </w:r>
    </w:p>
    <w:p w14:paraId="5D717CC7" w14:textId="77777777" w:rsidR="00107FCF" w:rsidRPr="00F511AC" w:rsidRDefault="00107FCF" w:rsidP="006D41A7">
      <w:pPr>
        <w:pStyle w:val="ReportText"/>
        <w:numPr>
          <w:ilvl w:val="2"/>
          <w:numId w:val="65"/>
        </w:numPr>
        <w:spacing w:before="120" w:after="120"/>
        <w:ind w:left="1134" w:hanging="283"/>
        <w:jc w:val="both"/>
      </w:pPr>
      <w:r w:rsidRPr="00F511AC">
        <w:t xml:space="preserve">Typ ochrony: </w:t>
      </w:r>
      <w:r>
        <w:t>mury oporowe</w:t>
      </w:r>
      <w:r w:rsidRPr="00F511AC">
        <w:t>;</w:t>
      </w:r>
    </w:p>
    <w:p w14:paraId="65CCCC83" w14:textId="77777777" w:rsidR="00107FCF" w:rsidRPr="00F511AC" w:rsidRDefault="00107FCF" w:rsidP="006D41A7">
      <w:pPr>
        <w:pStyle w:val="ReportText"/>
        <w:numPr>
          <w:ilvl w:val="2"/>
          <w:numId w:val="65"/>
        </w:numPr>
        <w:spacing w:before="120" w:after="120"/>
        <w:ind w:left="1134" w:hanging="283"/>
        <w:jc w:val="both"/>
      </w:pPr>
      <w:r w:rsidRPr="00F511AC">
        <w:t>Długość: 0,</w:t>
      </w:r>
      <w:r>
        <w:t>28</w:t>
      </w:r>
      <w:r w:rsidRPr="00F511AC">
        <w:t xml:space="preserve"> km;</w:t>
      </w:r>
    </w:p>
    <w:p w14:paraId="7CCE9ED8" w14:textId="77777777" w:rsidR="00107FCF" w:rsidRPr="00F511AC" w:rsidRDefault="00107FCF" w:rsidP="006D41A7">
      <w:pPr>
        <w:pStyle w:val="ReportText"/>
        <w:numPr>
          <w:ilvl w:val="2"/>
          <w:numId w:val="65"/>
        </w:numPr>
        <w:spacing w:before="120" w:after="120"/>
        <w:ind w:left="1134" w:hanging="283"/>
        <w:jc w:val="both"/>
      </w:pPr>
      <w:r w:rsidRPr="00F511AC">
        <w:t>Średnia wysokość: 1 m;</w:t>
      </w:r>
    </w:p>
    <w:p w14:paraId="19FF4E9E" w14:textId="2D62D9FF" w:rsidR="00107FCF" w:rsidRDefault="00107FCF" w:rsidP="006D41A7">
      <w:pPr>
        <w:pStyle w:val="ReportText"/>
        <w:numPr>
          <w:ilvl w:val="2"/>
          <w:numId w:val="65"/>
        </w:numPr>
        <w:spacing w:before="120" w:after="0"/>
        <w:ind w:left="1134" w:hanging="283"/>
        <w:jc w:val="both"/>
      </w:pPr>
      <w:r w:rsidRPr="00F511AC">
        <w:t>Wymagana minimalna rzędna górnej krawędzi: 1,77 m n.p.m. (0,50 m nad poz. lustra wody 1%).</w:t>
      </w:r>
      <w:bookmarkStart w:id="57" w:name="_Ref76575265"/>
    </w:p>
    <w:p w14:paraId="7277BF43" w14:textId="2B3AB5EC" w:rsidR="00107FCF" w:rsidRPr="00732B99" w:rsidRDefault="003C649E" w:rsidP="00732B99">
      <w:pPr>
        <w:pStyle w:val="Legenda"/>
        <w:ind w:left="1418" w:hanging="1418"/>
        <w:jc w:val="both"/>
        <w:rPr>
          <w:noProof/>
          <w:sz w:val="24"/>
        </w:rPr>
      </w:pPr>
      <w:bookmarkStart w:id="58" w:name="_Toc80608800"/>
      <w:r>
        <w:rPr>
          <w:noProof/>
          <w:sz w:val="24"/>
          <w:lang w:eastAsia="pl-PL"/>
        </w:rPr>
        <w:drawing>
          <wp:anchor distT="0" distB="0" distL="114300" distR="114300" simplePos="0" relativeHeight="251666944" behindDoc="0" locked="0" layoutInCell="1" allowOverlap="1" wp14:anchorId="2C343B1C" wp14:editId="69FDC710">
            <wp:simplePos x="0" y="0"/>
            <wp:positionH relativeFrom="margin">
              <wp:posOffset>711835</wp:posOffset>
            </wp:positionH>
            <wp:positionV relativeFrom="paragraph">
              <wp:posOffset>0</wp:posOffset>
            </wp:positionV>
            <wp:extent cx="3959860" cy="3959860"/>
            <wp:effectExtent l="0" t="0" r="0" b="0"/>
            <wp:wrapTopAndBottom/>
            <wp:docPr id="22" name="Picture 22" descr="Map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p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59860" cy="3959860"/>
                    </a:xfrm>
                    <a:prstGeom prst="rect">
                      <a:avLst/>
                    </a:prstGeom>
                    <a:noFill/>
                  </pic:spPr>
                </pic:pic>
              </a:graphicData>
            </a:graphic>
            <wp14:sizeRelH relativeFrom="page">
              <wp14:pctWidth>0</wp14:pctWidth>
            </wp14:sizeRelH>
            <wp14:sizeRelV relativeFrom="page">
              <wp14:pctHeight>0</wp14:pctHeight>
            </wp14:sizeRelV>
          </wp:anchor>
        </w:drawing>
      </w:r>
      <w:bookmarkEnd w:id="57"/>
      <w:r w:rsidR="00732B99" w:rsidRPr="00732B99">
        <w:rPr>
          <w:sz w:val="24"/>
        </w:rPr>
        <w:t xml:space="preserve"> Rysunek </w:t>
      </w:r>
      <w:r w:rsidR="00732B99" w:rsidRPr="00732B99">
        <w:rPr>
          <w:sz w:val="24"/>
        </w:rPr>
        <w:fldChar w:fldCharType="begin"/>
      </w:r>
      <w:r w:rsidR="00732B99" w:rsidRPr="00732B99">
        <w:rPr>
          <w:sz w:val="24"/>
        </w:rPr>
        <w:instrText xml:space="preserve"> SEQ Rysunek \* ARABIC </w:instrText>
      </w:r>
      <w:r w:rsidR="00732B99" w:rsidRPr="00732B99">
        <w:rPr>
          <w:sz w:val="24"/>
        </w:rPr>
        <w:fldChar w:fldCharType="separate"/>
      </w:r>
      <w:r w:rsidR="00AC4DF9">
        <w:rPr>
          <w:noProof/>
          <w:sz w:val="24"/>
        </w:rPr>
        <w:t>20</w:t>
      </w:r>
      <w:r w:rsidR="00732B99" w:rsidRPr="00732B99">
        <w:rPr>
          <w:sz w:val="24"/>
        </w:rPr>
        <w:fldChar w:fldCharType="end"/>
      </w:r>
      <w:r w:rsidR="00732B99" w:rsidRPr="00732B99">
        <w:rPr>
          <w:sz w:val="24"/>
        </w:rPr>
        <w:tab/>
      </w:r>
      <w:r w:rsidR="00107FCF" w:rsidRPr="00732B99">
        <w:rPr>
          <w:sz w:val="24"/>
        </w:rPr>
        <w:t xml:space="preserve">Lokalizacja działań zaproponowanych w wariancie „2” dla obszaru problemowego IOP_11 Nowe Warpno </w:t>
      </w:r>
      <w:r w:rsidR="00732B99">
        <w:rPr>
          <w:sz w:val="24"/>
        </w:rPr>
        <w:t>–</w:t>
      </w:r>
      <w:r w:rsidR="00107FCF" w:rsidRPr="00732B99">
        <w:rPr>
          <w:sz w:val="24"/>
        </w:rPr>
        <w:t xml:space="preserve"> okolice jeziora Nowowarpieńskiego</w:t>
      </w:r>
      <w:bookmarkEnd w:id="58"/>
    </w:p>
    <w:p w14:paraId="76F1728F" w14:textId="4614E338" w:rsidR="00107FCF" w:rsidRDefault="00107FCF">
      <w:pPr>
        <w:rPr>
          <w:b/>
          <w:color w:val="28AAE1"/>
          <w:sz w:val="36"/>
          <w:szCs w:val="20"/>
          <w:lang w:eastAsia="en-US"/>
        </w:rPr>
      </w:pPr>
    </w:p>
    <w:p w14:paraId="27C4D6A8" w14:textId="2A5DBDCD" w:rsidR="00107FCF" w:rsidRDefault="00732B99" w:rsidP="006D41A7">
      <w:pPr>
        <w:pStyle w:val="ReportLevel1"/>
        <w:numPr>
          <w:ilvl w:val="0"/>
          <w:numId w:val="4"/>
        </w:numPr>
      </w:pPr>
      <w:r>
        <w:br w:type="column"/>
      </w:r>
      <w:bookmarkStart w:id="59" w:name="_Toc80608724"/>
      <w:r w:rsidR="00107FCF">
        <w:lastRenderedPageBreak/>
        <w:t>Aktualizacja i utworzenie ostatecznej listy działań</w:t>
      </w:r>
      <w:bookmarkEnd w:id="33"/>
      <w:r w:rsidR="00107FCF">
        <w:t xml:space="preserve"> – analizy</w:t>
      </w:r>
      <w:bookmarkEnd w:id="59"/>
    </w:p>
    <w:p w14:paraId="456BA480" w14:textId="45CC90D9" w:rsidR="00107FCF" w:rsidRPr="00220620" w:rsidRDefault="00107FCF" w:rsidP="00D7220F">
      <w:pPr>
        <w:pStyle w:val="ReportText"/>
        <w:spacing w:before="120"/>
        <w:jc w:val="both"/>
        <w:rPr>
          <w:szCs w:val="24"/>
        </w:rPr>
      </w:pPr>
      <w:r>
        <w:t xml:space="preserve">Proces utworzenia Ostatecznej Listy Działań II cyklu aPZRPM dla zlewni planistycznej Dolnej Odry był poprzedzony szeregiem działań, które zostały opisane we wcześniejszych rozdziałach. W pierwszym kroku utworzono wstępną listę działań, spośród których, po przeprowadzonych analizach, część została zakwalifikowana bezpośrednio do wpisania na Ostateczną Listę Działań. Pozostałe działania, po weryfikacji za pomocą przeprowadzonej analizy S.M.A.R.T., zostały wykorzystane do stworzenia wariantów planistycznych. Dodatkowo do utworzenia wariantów wykorzystano także działania z listy „V”, na której znalazły się propozycje obniżające istniejące ryzyko powodziowe wskazane przez Wykonawcę prac. Zaproponowane warianty planistyczne zostały poddane modelowaniu hydraulicznemu i szeregowi analiz opisanych w niniejszym rozdziale, które wyłoniły wariant optymalny dla każdego obszaru problemowego. Działania zawarte w wariantach optymalnych trafiły na Ostateczną </w:t>
      </w:r>
      <w:r w:rsidRPr="00220620">
        <w:rPr>
          <w:szCs w:val="24"/>
        </w:rPr>
        <w:t xml:space="preserve">Listę Działań. Schemat obrazujący przedmiotowy proces przedstawia </w:t>
      </w:r>
      <w:r w:rsidR="008A15D1">
        <w:t>Rysunek 21</w:t>
      </w:r>
      <w:r w:rsidRPr="00220620">
        <w:rPr>
          <w:szCs w:val="24"/>
        </w:rPr>
        <w:t>.</w:t>
      </w:r>
    </w:p>
    <w:p w14:paraId="4D92A88D" w14:textId="77777777" w:rsidR="00107FCF" w:rsidRDefault="00107FCF" w:rsidP="00D7220F">
      <w:pPr>
        <w:pStyle w:val="ReportText"/>
        <w:spacing w:before="120"/>
        <w:jc w:val="both"/>
      </w:pPr>
    </w:p>
    <w:p w14:paraId="5CE805F7" w14:textId="10DFE6BC" w:rsidR="00732B99" w:rsidRDefault="003C649E" w:rsidP="00732B99">
      <w:pPr>
        <w:pStyle w:val="ReportText"/>
        <w:keepNext/>
        <w:spacing w:before="120"/>
        <w:ind w:left="-709"/>
      </w:pPr>
      <w:r>
        <w:rPr>
          <w:noProof/>
          <w:lang w:eastAsia="pl-PL"/>
        </w:rPr>
        <w:drawing>
          <wp:inline distT="0" distB="0" distL="0" distR="0" wp14:anchorId="6ACC7637" wp14:editId="21B3FC39">
            <wp:extent cx="6269990" cy="23075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69990" cy="2307590"/>
                    </a:xfrm>
                    <a:prstGeom prst="rect">
                      <a:avLst/>
                    </a:prstGeom>
                    <a:noFill/>
                    <a:ln>
                      <a:noFill/>
                    </a:ln>
                  </pic:spPr>
                </pic:pic>
              </a:graphicData>
            </a:graphic>
          </wp:inline>
        </w:drawing>
      </w:r>
    </w:p>
    <w:p w14:paraId="6D7A5259" w14:textId="1AE94D2A" w:rsidR="00107FCF" w:rsidRPr="008A15D1" w:rsidRDefault="00732B99" w:rsidP="008A15D1">
      <w:pPr>
        <w:pStyle w:val="ReportText"/>
        <w:ind w:left="1418" w:hanging="1418"/>
        <w:jc w:val="both"/>
        <w:rPr>
          <w:szCs w:val="24"/>
        </w:rPr>
      </w:pPr>
      <w:bookmarkStart w:id="60" w:name="_Toc80608801"/>
      <w:r w:rsidRPr="008A15D1">
        <w:rPr>
          <w:szCs w:val="24"/>
        </w:rPr>
        <w:t xml:space="preserve">Rysunek </w:t>
      </w:r>
      <w:r w:rsidRPr="008A15D1">
        <w:rPr>
          <w:szCs w:val="24"/>
        </w:rPr>
        <w:fldChar w:fldCharType="begin"/>
      </w:r>
      <w:r w:rsidRPr="008A15D1">
        <w:rPr>
          <w:szCs w:val="24"/>
        </w:rPr>
        <w:instrText xml:space="preserve"> SEQ Rysunek \* ARABIC </w:instrText>
      </w:r>
      <w:r w:rsidRPr="008A15D1">
        <w:rPr>
          <w:szCs w:val="24"/>
        </w:rPr>
        <w:fldChar w:fldCharType="separate"/>
      </w:r>
      <w:r w:rsidR="00AC4DF9">
        <w:rPr>
          <w:noProof/>
          <w:szCs w:val="24"/>
        </w:rPr>
        <w:t>21</w:t>
      </w:r>
      <w:r w:rsidRPr="008A15D1">
        <w:rPr>
          <w:szCs w:val="24"/>
        </w:rPr>
        <w:fldChar w:fldCharType="end"/>
      </w:r>
      <w:r w:rsidRPr="008A15D1">
        <w:rPr>
          <w:szCs w:val="24"/>
        </w:rPr>
        <w:t xml:space="preserve"> Schemat opracowania Ostatecznej Listy Działań II cyklu aPZRPM</w:t>
      </w:r>
      <w:bookmarkEnd w:id="60"/>
    </w:p>
    <w:p w14:paraId="08B613E0" w14:textId="6ADE1333" w:rsidR="00107FCF" w:rsidRDefault="00732B99" w:rsidP="006D41A7">
      <w:pPr>
        <w:pStyle w:val="ReportLevel2"/>
        <w:numPr>
          <w:ilvl w:val="1"/>
          <w:numId w:val="4"/>
        </w:numPr>
      </w:pPr>
      <w:r>
        <w:br w:type="column"/>
      </w:r>
      <w:bookmarkStart w:id="61" w:name="_Toc80608725"/>
      <w:r w:rsidR="00107FCF">
        <w:lastRenderedPageBreak/>
        <w:t>Analizy hydrauliczne</w:t>
      </w:r>
      <w:bookmarkEnd w:id="61"/>
    </w:p>
    <w:p w14:paraId="4C252F72" w14:textId="154632FA" w:rsidR="00107FCF" w:rsidRPr="00DF05D0" w:rsidRDefault="00107FCF" w:rsidP="00DF05D0">
      <w:pPr>
        <w:pStyle w:val="ReportText"/>
        <w:spacing w:before="120" w:after="120"/>
        <w:jc w:val="both"/>
      </w:pPr>
      <w:r w:rsidRPr="00377A30">
        <w:t>Sformułowane w ramach aPZRP</w:t>
      </w:r>
      <w:r>
        <w:t>M</w:t>
      </w:r>
      <w:r w:rsidRPr="00377A30">
        <w:t xml:space="preserve"> warianty planistyczne zosta</w:t>
      </w:r>
      <w:r>
        <w:t>ły</w:t>
      </w:r>
      <w:r w:rsidRPr="00377A30">
        <w:t xml:space="preserve"> poddane ocenie skuteczności i</w:t>
      </w:r>
      <w:r>
        <w:t xml:space="preserve"> </w:t>
      </w:r>
      <w:r w:rsidRPr="00377A30">
        <w:t>efektywności z wykorzystaniem modeli hydraulicznych. Do modelowania hydraulicznego wykorzystane zosta</w:t>
      </w:r>
      <w:r>
        <w:t>ły</w:t>
      </w:r>
      <w:r w:rsidRPr="00377A30">
        <w:t xml:space="preserve"> istniejące, najbardziej aktualne modele będące produktami projektu przeglądu i aktualizacji map zagrożenia powodziowego i map ryzyka powodziowego.</w:t>
      </w:r>
      <w:r>
        <w:t xml:space="preserve"> </w:t>
      </w:r>
      <w:r w:rsidRPr="00377A30">
        <w:t xml:space="preserve">W </w:t>
      </w:r>
      <w:r>
        <w:t xml:space="preserve">trakcie prac nie </w:t>
      </w:r>
      <w:r w:rsidRPr="00377A30">
        <w:t>aktualiz</w:t>
      </w:r>
      <w:r>
        <w:t>owano</w:t>
      </w:r>
      <w:r w:rsidRPr="00377A30">
        <w:t xml:space="preserve"> istniejących modeli w zakresie danych topograficznych (pomiary geodezyjne, numeryczny model terenu), hydraulicznych oraz hydrologicznych.</w:t>
      </w:r>
      <w:r>
        <w:t xml:space="preserve"> </w:t>
      </w:r>
      <w:r w:rsidRPr="00377A30">
        <w:t>Dla każdego z</w:t>
      </w:r>
      <w:r w:rsidR="008A15D1">
        <w:t> </w:t>
      </w:r>
      <w:r w:rsidRPr="00377A30">
        <w:t>wariantów planistycznych</w:t>
      </w:r>
      <w:r>
        <w:t>,</w:t>
      </w:r>
      <w:r w:rsidR="008A15D1">
        <w:t xml:space="preserve"> </w:t>
      </w:r>
      <w:r w:rsidRPr="00377A30">
        <w:t>w wyniku modelowania</w:t>
      </w:r>
      <w:r>
        <w:t>,</w:t>
      </w:r>
      <w:r w:rsidRPr="00377A30">
        <w:t xml:space="preserve"> wyznaczone zosta</w:t>
      </w:r>
      <w:r>
        <w:t>ły</w:t>
      </w:r>
      <w:r w:rsidRPr="00377A30">
        <w:t xml:space="preserve"> obszary zagrożone powodzią</w:t>
      </w:r>
      <w:r w:rsidR="008A15D1">
        <w:t xml:space="preserve"> </w:t>
      </w:r>
      <w:r>
        <w:t>dla dwóch scenariuszy, analizowanych w procesie modelowania podczas opracowywania map zagrożenia i map ryzyka powodziowego od strony morza</w:t>
      </w:r>
      <w:r w:rsidRPr="00377A30">
        <w:t xml:space="preserve">: </w:t>
      </w:r>
    </w:p>
    <w:p w14:paraId="499A15A9" w14:textId="77777777" w:rsidR="00107FCF" w:rsidRPr="00DF05D0" w:rsidRDefault="00107FCF" w:rsidP="006D41A7">
      <w:pPr>
        <w:pStyle w:val="ReportText"/>
        <w:numPr>
          <w:ilvl w:val="0"/>
          <w:numId w:val="17"/>
        </w:numPr>
        <w:spacing w:before="120" w:after="120"/>
        <w:ind w:left="567" w:hanging="425"/>
        <w:jc w:val="both"/>
      </w:pPr>
      <w:r w:rsidRPr="00DF05D0">
        <w:t xml:space="preserve">Scenariusz hydrologiczny z prawdopodobieństwem wystąpienia powodzi 0,2% (czyli raz na 500 lat), </w:t>
      </w:r>
    </w:p>
    <w:p w14:paraId="373DC7CA" w14:textId="77777777" w:rsidR="00107FCF" w:rsidRPr="00DF05D0" w:rsidRDefault="00107FCF" w:rsidP="006D41A7">
      <w:pPr>
        <w:pStyle w:val="ReportText"/>
        <w:numPr>
          <w:ilvl w:val="0"/>
          <w:numId w:val="17"/>
        </w:numPr>
        <w:spacing w:before="120" w:after="120"/>
        <w:ind w:left="567" w:hanging="425"/>
        <w:jc w:val="both"/>
      </w:pPr>
      <w:r w:rsidRPr="00DF05D0">
        <w:t>Scenariusz hydrologiczny z prawdopodobieństwem wystąpienia powodzi 1% (czyli raz na 100 lat)</w:t>
      </w:r>
      <w:r>
        <w:t>.</w:t>
      </w:r>
    </w:p>
    <w:p w14:paraId="58267097" w14:textId="3E86904A" w:rsidR="00107FCF" w:rsidRDefault="00107FCF" w:rsidP="00811C79">
      <w:pPr>
        <w:pStyle w:val="ReportText"/>
        <w:spacing w:before="120" w:after="120"/>
        <w:jc w:val="both"/>
      </w:pPr>
      <w:r w:rsidRPr="00377A30">
        <w:t>Do obliczeń hydraulicznych wykorzystan</w:t>
      </w:r>
      <w:r>
        <w:t>o</w:t>
      </w:r>
      <w:r w:rsidRPr="00377A30">
        <w:t xml:space="preserve"> modele dwuwymiarowe (2D)</w:t>
      </w:r>
      <w:r>
        <w:t xml:space="preserve"> wykonane w </w:t>
      </w:r>
      <w:r w:rsidRPr="00377A30">
        <w:t>oprogramowani</w:t>
      </w:r>
      <w:r>
        <w:t>u</w:t>
      </w:r>
      <w:r w:rsidRPr="00377A30">
        <w:t xml:space="preserve"> MIKE 2</w:t>
      </w:r>
      <w:r>
        <w:t>1</w:t>
      </w:r>
      <w:r w:rsidRPr="004F2A50">
        <w:t xml:space="preserve">. </w:t>
      </w:r>
      <w:r w:rsidRPr="00377A30">
        <w:t xml:space="preserve">Wyniki modelowania hydraulicznego </w:t>
      </w:r>
      <w:r>
        <w:t>stanowiły</w:t>
      </w:r>
      <w:r w:rsidRPr="00377A30">
        <w:t xml:space="preserve"> podstawowy element decydujący o</w:t>
      </w:r>
      <w:r w:rsidR="008A15D1">
        <w:t xml:space="preserve"> </w:t>
      </w:r>
      <w:r w:rsidRPr="00377A30">
        <w:t>włączeniu konkretnych zadań do wariantu planistycznego i w konsekwencji decydować o wyborze rekomendowanego wariantu dla każdej zlewni planistycznej.</w:t>
      </w:r>
      <w:r>
        <w:t xml:space="preserve"> </w:t>
      </w:r>
    </w:p>
    <w:p w14:paraId="55BA3363" w14:textId="61188360" w:rsidR="00107FCF" w:rsidRPr="00902428" w:rsidRDefault="00107FCF" w:rsidP="00902428">
      <w:pPr>
        <w:pStyle w:val="ReportText"/>
        <w:spacing w:before="120" w:after="120"/>
        <w:jc w:val="both"/>
      </w:pPr>
      <w:r>
        <w:t>M</w:t>
      </w:r>
      <w:r w:rsidRPr="00377A30">
        <w:t xml:space="preserve">odelowanie </w:t>
      </w:r>
      <w:r>
        <w:t xml:space="preserve">wariantów planistycznych </w:t>
      </w:r>
      <w:r w:rsidRPr="00377A30">
        <w:t>obejmowało wprowadzenie zmian w modelach</w:t>
      </w:r>
      <w:r>
        <w:t xml:space="preserve"> </w:t>
      </w:r>
      <w:r w:rsidRPr="00377A30">
        <w:t>hydraulicznych</w:t>
      </w:r>
      <w:r>
        <w:t xml:space="preserve"> polegających na implementacji proponowanych działań</w:t>
      </w:r>
      <w:r w:rsidRPr="00377A30">
        <w:t>.</w:t>
      </w:r>
      <w:r>
        <w:t xml:space="preserve"> Wprowadzenie zmian w modelach 2D obejmowało dodanie nowych obiektów – wałów, falochronów, wrót sztormowych jako obiektów w</w:t>
      </w:r>
      <w:r w:rsidR="008A15D1">
        <w:t xml:space="preserve"> </w:t>
      </w:r>
      <w:r>
        <w:t xml:space="preserve">grupie „structures” odwzorowujących w modelu lokalizację, przebieg i rzędne obiektów ochronnych. Wynikiem modelowania hydraulicznego były nowe zasięgi zalewu wód powodziowych. Wygenerowane zasięgi zalewu dla przypadku </w:t>
      </w:r>
      <w:r w:rsidRPr="00DF05D0">
        <w:t>powodzi 1% (czyli raz na 100 lat)</w:t>
      </w:r>
      <w:r>
        <w:t xml:space="preserve"> stanowiły materiał wyjściowy do analiz przestrzennych wykonywanych na potrzeby analizy kosztów i korzyści oraz analizy wielokryterialnej.</w:t>
      </w:r>
    </w:p>
    <w:p w14:paraId="63523155" w14:textId="4EECC5B0" w:rsidR="00107FCF" w:rsidRDefault="00732B99" w:rsidP="006D41A7">
      <w:pPr>
        <w:pStyle w:val="ReportLevel2"/>
        <w:numPr>
          <w:ilvl w:val="1"/>
          <w:numId w:val="4"/>
        </w:numPr>
      </w:pPr>
      <w:r>
        <w:br w:type="column"/>
      </w:r>
      <w:bookmarkStart w:id="62" w:name="_Toc80608726"/>
      <w:r w:rsidR="00107FCF">
        <w:lastRenderedPageBreak/>
        <w:t>Analizy kosztów i korzyści</w:t>
      </w:r>
      <w:bookmarkEnd w:id="62"/>
    </w:p>
    <w:p w14:paraId="633B77F2" w14:textId="455AE4D9" w:rsidR="00107FCF" w:rsidRDefault="00107FCF" w:rsidP="000B79D0">
      <w:pPr>
        <w:pStyle w:val="ReportText"/>
        <w:spacing w:before="120" w:after="120"/>
        <w:jc w:val="both"/>
      </w:pPr>
      <w:r>
        <w:t>Zgodnie z zakresem prac określonym w SOPZ dla sformułowanych wariantów planistycznych przeprowadzona została analiza kosztów i korzyści, w wyniku której wyznaczone zostały wartości wskaźników efektywności ekonomicznej (ENPV, EIRR, B/C) wraz ze wskazaniem wariantów rekomendowanych do dalszych analiz oraz wariantów rekomendowanych do odrzucenia, co do których stosunek korzyści do kosztów okazał się niezadowalający.</w:t>
      </w:r>
    </w:p>
    <w:p w14:paraId="7B757898" w14:textId="77777777" w:rsidR="00107FCF" w:rsidRDefault="00107FCF" w:rsidP="000B79D0">
      <w:pPr>
        <w:pStyle w:val="ReportText"/>
        <w:spacing w:before="120" w:after="120"/>
        <w:jc w:val="both"/>
      </w:pPr>
      <w:r>
        <w:t xml:space="preserve">Etapy przeprowadzonej analizy kosztów i korzyści obejmowały: </w:t>
      </w:r>
    </w:p>
    <w:p w14:paraId="64A05ED2" w14:textId="77777777" w:rsidR="00107FCF" w:rsidRPr="008A15D1" w:rsidRDefault="00107FCF" w:rsidP="006D41A7">
      <w:pPr>
        <w:pStyle w:val="Akapitzlist"/>
        <w:numPr>
          <w:ilvl w:val="0"/>
          <w:numId w:val="25"/>
        </w:numPr>
        <w:spacing w:after="160" w:line="259" w:lineRule="auto"/>
        <w:ind w:left="567" w:hanging="425"/>
        <w:jc w:val="both"/>
        <w:rPr>
          <w:sz w:val="24"/>
          <w:szCs w:val="24"/>
        </w:rPr>
      </w:pPr>
      <w:r w:rsidRPr="008A15D1">
        <w:rPr>
          <w:sz w:val="24"/>
          <w:szCs w:val="24"/>
        </w:rPr>
        <w:t xml:space="preserve">identyfikację korzyści wynikających z realizacji projektu, </w:t>
      </w:r>
    </w:p>
    <w:p w14:paraId="77628503" w14:textId="77777777" w:rsidR="00107FCF" w:rsidRPr="008A15D1" w:rsidRDefault="00107FCF" w:rsidP="006D41A7">
      <w:pPr>
        <w:pStyle w:val="Akapitzlist"/>
        <w:numPr>
          <w:ilvl w:val="0"/>
          <w:numId w:val="25"/>
        </w:numPr>
        <w:spacing w:after="160" w:line="259" w:lineRule="auto"/>
        <w:ind w:left="567" w:hanging="425"/>
        <w:jc w:val="both"/>
        <w:rPr>
          <w:sz w:val="24"/>
          <w:szCs w:val="24"/>
        </w:rPr>
      </w:pPr>
      <w:r w:rsidRPr="008A15D1">
        <w:rPr>
          <w:sz w:val="24"/>
          <w:szCs w:val="24"/>
        </w:rPr>
        <w:t xml:space="preserve">wycenę pieniężną nakładów inwestycyjnych i korzyści, </w:t>
      </w:r>
    </w:p>
    <w:p w14:paraId="1995C56B" w14:textId="77777777" w:rsidR="00107FCF" w:rsidRPr="008A15D1" w:rsidRDefault="00107FCF" w:rsidP="006D41A7">
      <w:pPr>
        <w:pStyle w:val="Akapitzlist"/>
        <w:numPr>
          <w:ilvl w:val="0"/>
          <w:numId w:val="25"/>
        </w:numPr>
        <w:spacing w:after="160" w:line="259" w:lineRule="auto"/>
        <w:ind w:left="567" w:hanging="425"/>
        <w:jc w:val="both"/>
        <w:rPr>
          <w:sz w:val="24"/>
          <w:szCs w:val="24"/>
        </w:rPr>
      </w:pPr>
      <w:r w:rsidRPr="008A15D1">
        <w:rPr>
          <w:sz w:val="24"/>
          <w:szCs w:val="24"/>
        </w:rPr>
        <w:t>zdyskontowanie przyszłych korzyści netto, co pozwala na ujęcie przyszłych kosztów i korzyści w cenach bieżących i porównanie ich z nakładami inwestycyjnymi (w analizie przyjęto stopę dyskontową równą 5%).</w:t>
      </w:r>
    </w:p>
    <w:p w14:paraId="21C36121" w14:textId="77777777" w:rsidR="00107FCF" w:rsidRDefault="00107FCF" w:rsidP="000B79D0">
      <w:pPr>
        <w:pStyle w:val="ReportText"/>
        <w:spacing w:before="120" w:after="120"/>
        <w:jc w:val="both"/>
      </w:pPr>
      <w:r>
        <w:t>Do obliczeń modelowych wykorzystano długoterminową projekcję m.in. wartości stopy inflacji w Polsce opublikowaną w Wytycznych dotyczących stosowania jednolitych wskaźników makroekonomicznych będących podstawą oszacowania skutków finansowych projektowanych ustaw (aktualizacja – lipiec 2020 r).</w:t>
      </w:r>
    </w:p>
    <w:p w14:paraId="5F71FEDC" w14:textId="77777777" w:rsidR="00107FCF" w:rsidRDefault="00107FCF" w:rsidP="000B79D0">
      <w:pPr>
        <w:jc w:val="both"/>
      </w:pPr>
    </w:p>
    <w:p w14:paraId="6678FBDE" w14:textId="76C10B42" w:rsidR="00107FCF" w:rsidRDefault="00107FCF" w:rsidP="000B79D0">
      <w:pPr>
        <w:jc w:val="both"/>
      </w:pPr>
      <w:r>
        <w:t>Okres odniesienia wynoszący 50 lat został zastosowany zgodnie z powszechnie przyjętą międzynarodową praktyką dla inwestycji związanych z ochroną przeciwpowodziową. Analizę przeprowadzono wykorzystując społeczną stopę dyskontową w wysokości 5%.</w:t>
      </w:r>
      <w:r w:rsidR="008A15D1">
        <w:t xml:space="preserve"> </w:t>
      </w:r>
      <w:r>
        <w:t>Dla nakładów inwestycyjnych przyjęto ceny netto z 2019 r. poddane współczynnikowi wzrostu cen (prognoza inflacji zgodnie z Wytycznymi dotyczącymi stosowania jednolitych wskaźników makroekonomicznych). Realizacja procesu inwestycyjnego przewidziana została w latach 2025-2027. W nakładach inwestycyjnych uwzględniono:</w:t>
      </w:r>
    </w:p>
    <w:p w14:paraId="21ECFECE" w14:textId="67487BB3" w:rsidR="008A15D1" w:rsidRDefault="00107FCF" w:rsidP="006D41A7">
      <w:pPr>
        <w:numPr>
          <w:ilvl w:val="0"/>
          <w:numId w:val="75"/>
        </w:numPr>
        <w:ind w:left="567" w:hanging="425"/>
        <w:jc w:val="both"/>
      </w:pPr>
      <w:r>
        <w:t>10% wartości nakładów stanowiących koszty usunięcia kolizji z istniejąc</w:t>
      </w:r>
      <w:r w:rsidR="005A0B07">
        <w:t>ą</w:t>
      </w:r>
      <w:r>
        <w:t xml:space="preserve"> infrastrukturą,</w:t>
      </w:r>
    </w:p>
    <w:p w14:paraId="3DC4E74E" w14:textId="77777777" w:rsidR="008A15D1" w:rsidRDefault="00107FCF" w:rsidP="006D41A7">
      <w:pPr>
        <w:numPr>
          <w:ilvl w:val="0"/>
          <w:numId w:val="75"/>
        </w:numPr>
        <w:ind w:left="567" w:hanging="425"/>
        <w:jc w:val="both"/>
      </w:pPr>
      <w:r>
        <w:t>2,5% wartości nakładów przewidzianych na projekt i nadzory autorskie oraz 1,5% wartości nakładów na zarządzanie i nadzór inwestorski,</w:t>
      </w:r>
    </w:p>
    <w:p w14:paraId="2F610EB7" w14:textId="47A2708F" w:rsidR="00107FCF" w:rsidRDefault="00107FCF" w:rsidP="006D41A7">
      <w:pPr>
        <w:numPr>
          <w:ilvl w:val="0"/>
          <w:numId w:val="75"/>
        </w:numPr>
        <w:ind w:left="567" w:hanging="425"/>
        <w:jc w:val="both"/>
      </w:pPr>
      <w:r>
        <w:t>10% wartości całkowitych nakładów stanowi rezerwa inwestycyjna.</w:t>
      </w:r>
    </w:p>
    <w:p w14:paraId="397E5068" w14:textId="77777777" w:rsidR="00107FCF" w:rsidRDefault="00107FCF" w:rsidP="000B79D0">
      <w:pPr>
        <w:jc w:val="both"/>
      </w:pPr>
    </w:p>
    <w:p w14:paraId="3DDF7C06" w14:textId="77777777" w:rsidR="00107FCF" w:rsidRDefault="00107FCF" w:rsidP="000B79D0">
      <w:pPr>
        <w:jc w:val="both"/>
      </w:pPr>
      <w:r>
        <w:t>Okresy amortyzacji i odtwarzania majątku trwałego oparto na okresach oczekiwanej użyteczności ekonomicznej:</w:t>
      </w:r>
    </w:p>
    <w:p w14:paraId="2FE6906C" w14:textId="77777777" w:rsidR="008A15D1" w:rsidRDefault="00107FCF" w:rsidP="006D41A7">
      <w:pPr>
        <w:numPr>
          <w:ilvl w:val="0"/>
          <w:numId w:val="76"/>
        </w:numPr>
        <w:ind w:left="567" w:hanging="425"/>
        <w:jc w:val="both"/>
      </w:pPr>
      <w:r>
        <w:t>Mury oporowe, wały przeciwpowodziowe, nabrzeża portowe - 40 lat</w:t>
      </w:r>
    </w:p>
    <w:p w14:paraId="51E20305" w14:textId="77777777" w:rsidR="008A15D1" w:rsidRDefault="00107FCF" w:rsidP="006D41A7">
      <w:pPr>
        <w:numPr>
          <w:ilvl w:val="0"/>
          <w:numId w:val="76"/>
        </w:numPr>
        <w:ind w:left="567" w:hanging="425"/>
        <w:jc w:val="both"/>
      </w:pPr>
      <w:r>
        <w:t>Mobilne systemy przeciwpowodziowe – 25 lat</w:t>
      </w:r>
    </w:p>
    <w:p w14:paraId="2CFCE7F9" w14:textId="6A296A5B" w:rsidR="00107FCF" w:rsidRDefault="00107FCF" w:rsidP="006D41A7">
      <w:pPr>
        <w:numPr>
          <w:ilvl w:val="0"/>
          <w:numId w:val="76"/>
        </w:numPr>
        <w:ind w:left="567" w:hanging="425"/>
        <w:jc w:val="both"/>
      </w:pPr>
      <w:r>
        <w:t>Systemy ostrzegania – 15 lat</w:t>
      </w:r>
    </w:p>
    <w:p w14:paraId="7D5C16CB" w14:textId="77777777" w:rsidR="00107FCF" w:rsidRDefault="00107FCF" w:rsidP="000B79D0">
      <w:pPr>
        <w:jc w:val="both"/>
      </w:pPr>
    </w:p>
    <w:p w14:paraId="50E353B2" w14:textId="1E757635" w:rsidR="00107FCF" w:rsidRDefault="00AF7C5E" w:rsidP="000B79D0">
      <w:pPr>
        <w:jc w:val="both"/>
      </w:pPr>
      <w:r>
        <w:br w:type="column"/>
      </w:r>
      <w:r w:rsidR="00107FCF">
        <w:lastRenderedPageBreak/>
        <w:t>Poziom nakładów na odtworzenia i wymiany składników majątku trwałego po zakończeniu powyżej wskazanych okresów określono w stosunku do nakładów początkowych, przy czym poziom nakładów odtworzeniowych zakłada naturalne zużycie infrastruktury w całym cyklu życia przedsięwzięcia i został oszacowany na podstawie realizacji projektów referencyjnych o podobnej skali i przeznaczeniu:</w:t>
      </w:r>
    </w:p>
    <w:p w14:paraId="5BCC6247" w14:textId="77777777" w:rsidR="008A15D1" w:rsidRDefault="00107FCF" w:rsidP="006D41A7">
      <w:pPr>
        <w:numPr>
          <w:ilvl w:val="0"/>
          <w:numId w:val="77"/>
        </w:numPr>
        <w:ind w:left="567" w:hanging="425"/>
        <w:jc w:val="both"/>
      </w:pPr>
      <w:r>
        <w:t>Mury oporowe, wały przeciwpowodziowe, nabrzeża portowe - 25%</w:t>
      </w:r>
    </w:p>
    <w:p w14:paraId="697C82E9" w14:textId="77777777" w:rsidR="008A15D1" w:rsidRDefault="00107FCF" w:rsidP="006D41A7">
      <w:pPr>
        <w:numPr>
          <w:ilvl w:val="0"/>
          <w:numId w:val="77"/>
        </w:numPr>
        <w:ind w:left="567" w:hanging="425"/>
        <w:jc w:val="both"/>
      </w:pPr>
      <w:r>
        <w:t>Mobilne systemy przeciwpowodziowe – 25%</w:t>
      </w:r>
    </w:p>
    <w:p w14:paraId="55B0ECE8" w14:textId="4D9508B9" w:rsidR="00107FCF" w:rsidRDefault="00107FCF" w:rsidP="006D41A7">
      <w:pPr>
        <w:numPr>
          <w:ilvl w:val="0"/>
          <w:numId w:val="77"/>
        </w:numPr>
        <w:ind w:left="567" w:hanging="425"/>
        <w:jc w:val="both"/>
      </w:pPr>
      <w:r>
        <w:t>Systemy ostrzegania – 50%.</w:t>
      </w:r>
    </w:p>
    <w:p w14:paraId="7F7D56E5" w14:textId="7868395D" w:rsidR="00107FCF" w:rsidRDefault="00107FCF" w:rsidP="000B79D0">
      <w:pPr>
        <w:jc w:val="both"/>
      </w:pPr>
      <w:r>
        <w:t>Koszty operacyjne ustalono w oparciu o porównanie kosztów inwestycji o zbliżonym zakresie i charakterze, w podobnym lub tym samym regionie oraz w oparciu o</w:t>
      </w:r>
      <w:r w:rsidR="008A15D1">
        <w:t> </w:t>
      </w:r>
      <w:r>
        <w:t>dotychczas ponoszone koszty w podobnych inwestycjach. Koszty operacyjne oszacowane dla każdego roku eksploatacji z uwzględnieniem analizy kosztów inwestycyjnych (szacowanie średnich kosztów remontowych istniejącej podobnej infrastruktury). Przy czym dla poszczególnych składników majątkowych przyjęto następujący % udział kosztów eksploatacyjnych w całkowitych nakładach:</w:t>
      </w:r>
    </w:p>
    <w:p w14:paraId="5D843980" w14:textId="77777777" w:rsidR="008A15D1" w:rsidRDefault="00107FCF" w:rsidP="006D41A7">
      <w:pPr>
        <w:numPr>
          <w:ilvl w:val="0"/>
          <w:numId w:val="78"/>
        </w:numPr>
        <w:ind w:left="567" w:hanging="425"/>
        <w:jc w:val="both"/>
      </w:pPr>
      <w:r>
        <w:t>Mury oporowe 0,5%</w:t>
      </w:r>
    </w:p>
    <w:p w14:paraId="3F884EB5" w14:textId="77777777" w:rsidR="008A15D1" w:rsidRDefault="00107FCF" w:rsidP="006D41A7">
      <w:pPr>
        <w:numPr>
          <w:ilvl w:val="0"/>
          <w:numId w:val="78"/>
        </w:numPr>
        <w:ind w:left="567" w:hanging="425"/>
        <w:jc w:val="both"/>
      </w:pPr>
      <w:r>
        <w:t>Wały przeciwpowodziowe 0,75%</w:t>
      </w:r>
    </w:p>
    <w:p w14:paraId="60F1C870" w14:textId="77777777" w:rsidR="008A15D1" w:rsidRDefault="00107FCF" w:rsidP="006D41A7">
      <w:pPr>
        <w:numPr>
          <w:ilvl w:val="0"/>
          <w:numId w:val="78"/>
        </w:numPr>
        <w:ind w:left="567" w:hanging="425"/>
        <w:jc w:val="both"/>
      </w:pPr>
      <w:r>
        <w:t>Nabrzeża portowe 0,5%</w:t>
      </w:r>
    </w:p>
    <w:p w14:paraId="6A2CDC04" w14:textId="77777777" w:rsidR="008A15D1" w:rsidRDefault="00107FCF" w:rsidP="006D41A7">
      <w:pPr>
        <w:numPr>
          <w:ilvl w:val="0"/>
          <w:numId w:val="78"/>
        </w:numPr>
        <w:ind w:left="567" w:hanging="425"/>
        <w:jc w:val="both"/>
      </w:pPr>
      <w:r>
        <w:t>Mobilne systemy przeciwpowodziowe 0,75%</w:t>
      </w:r>
    </w:p>
    <w:p w14:paraId="6CC83B01" w14:textId="2D0D16B5" w:rsidR="00107FCF" w:rsidRDefault="00107FCF" w:rsidP="006D41A7">
      <w:pPr>
        <w:numPr>
          <w:ilvl w:val="0"/>
          <w:numId w:val="78"/>
        </w:numPr>
        <w:ind w:left="567" w:hanging="425"/>
        <w:jc w:val="both"/>
      </w:pPr>
      <w:r>
        <w:t>Systemy ostrzegania 0,5%</w:t>
      </w:r>
    </w:p>
    <w:p w14:paraId="588C75DF" w14:textId="77777777" w:rsidR="00107FCF" w:rsidRDefault="00107FCF" w:rsidP="000B79D0">
      <w:pPr>
        <w:jc w:val="both"/>
      </w:pPr>
    </w:p>
    <w:p w14:paraId="1F92C40E" w14:textId="4D272D53" w:rsidR="00107FCF" w:rsidRDefault="00107FCF" w:rsidP="000B79D0">
      <w:pPr>
        <w:jc w:val="both"/>
      </w:pPr>
      <w:r>
        <w:t>Wartość rezydualna obliczona na podstawie wartości netto aktywów (tj. wartość księgowa brutto pomniejszona o amortyzację z całego okresu referencyjnego) z</w:t>
      </w:r>
      <w:r w:rsidR="008A15D1">
        <w:t> </w:t>
      </w:r>
      <w:r>
        <w:t>uwzględnieniem wartości netto związanych z nimi inwestycji odtworzeniowych.</w:t>
      </w:r>
    </w:p>
    <w:p w14:paraId="5C7810F8" w14:textId="77777777" w:rsidR="00107FCF" w:rsidRDefault="00107FCF" w:rsidP="000B79D0">
      <w:pPr>
        <w:jc w:val="both"/>
      </w:pPr>
    </w:p>
    <w:p w14:paraId="052FE9AA" w14:textId="77777777" w:rsidR="00107FCF" w:rsidRPr="000B79D0" w:rsidRDefault="00107FCF" w:rsidP="000B79D0">
      <w:pPr>
        <w:jc w:val="both"/>
        <w:rPr>
          <w:u w:val="single"/>
        </w:rPr>
      </w:pPr>
      <w:r w:rsidRPr="000B79D0">
        <w:rPr>
          <w:u w:val="single"/>
        </w:rPr>
        <w:t>Korzyści wynikające z oszczędności z tytułu uniknięcie spadku przychodów z tytułu podatku dochodowego PIT przez samorządy gminne</w:t>
      </w:r>
    </w:p>
    <w:p w14:paraId="1A23E3FF" w14:textId="77777777" w:rsidR="00107FCF" w:rsidRDefault="00107FCF" w:rsidP="000B79D0">
      <w:pPr>
        <w:jc w:val="both"/>
      </w:pPr>
    </w:p>
    <w:p w14:paraId="6DEE5AD1" w14:textId="3810B1B3" w:rsidR="00107FCF" w:rsidRDefault="00107FCF" w:rsidP="000B79D0">
      <w:pPr>
        <w:jc w:val="both"/>
      </w:pPr>
      <w:r>
        <w:t xml:space="preserve">Dane dotyczące wysokości wpływów z podatku PIT do budżetu gminy opracowano na podstawie wskaźników Banku Danych Lokalnych GUS oraz danych Ministerstwa Finansów </w:t>
      </w:r>
      <w:r w:rsidR="008A15D1">
        <w:t>–</w:t>
      </w:r>
      <w:r>
        <w:t xml:space="preserve"> Udziały</w:t>
      </w:r>
      <w:r w:rsidRPr="00902428">
        <w:t xml:space="preserve"> </w:t>
      </w:r>
      <w:r w:rsidR="008A15D1">
        <w:t xml:space="preserve">jst </w:t>
      </w:r>
      <w:r>
        <w:t xml:space="preserve">we wpływach z podatku dochodowego od osób fizycznych (PIT). Wysokość oszczędności oszacowano analizując dane ze wskazanego źródła za lata 2015-2020. </w:t>
      </w:r>
    </w:p>
    <w:p w14:paraId="6C1EF211" w14:textId="77777777" w:rsidR="00107FCF" w:rsidRPr="008A15D1" w:rsidRDefault="00107FCF" w:rsidP="000B79D0">
      <w:pPr>
        <w:jc w:val="both"/>
        <w:rPr>
          <w:sz w:val="32"/>
          <w:szCs w:val="32"/>
        </w:rPr>
      </w:pPr>
      <w:r>
        <w:t>Przyjęto formułę wariantową:</w:t>
      </w:r>
    </w:p>
    <w:p w14:paraId="7A3976F9" w14:textId="77777777" w:rsidR="00107FCF" w:rsidRPr="008A15D1" w:rsidRDefault="00107FCF" w:rsidP="006D41A7">
      <w:pPr>
        <w:pStyle w:val="Akapitzlist"/>
        <w:numPr>
          <w:ilvl w:val="0"/>
          <w:numId w:val="31"/>
        </w:numPr>
        <w:ind w:left="567" w:hanging="425"/>
        <w:jc w:val="both"/>
        <w:rPr>
          <w:sz w:val="24"/>
          <w:szCs w:val="24"/>
        </w:rPr>
      </w:pPr>
      <w:r w:rsidRPr="008A15D1">
        <w:rPr>
          <w:sz w:val="24"/>
          <w:szCs w:val="24"/>
        </w:rPr>
        <w:t>woda 100-letnia oznacza 2% niższy PIT (konsekwencje 30 dniowe),</w:t>
      </w:r>
    </w:p>
    <w:p w14:paraId="099637F4" w14:textId="77777777" w:rsidR="00107FCF" w:rsidRPr="008A15D1" w:rsidRDefault="00107FCF" w:rsidP="006D41A7">
      <w:pPr>
        <w:pStyle w:val="Akapitzlist"/>
        <w:numPr>
          <w:ilvl w:val="0"/>
          <w:numId w:val="31"/>
        </w:numPr>
        <w:ind w:left="567" w:hanging="425"/>
        <w:jc w:val="both"/>
        <w:rPr>
          <w:sz w:val="24"/>
          <w:szCs w:val="24"/>
        </w:rPr>
      </w:pPr>
      <w:r w:rsidRPr="008A15D1">
        <w:rPr>
          <w:sz w:val="24"/>
          <w:szCs w:val="24"/>
        </w:rPr>
        <w:t>woda 500-letnia oznacza 4% niższy PIT (konsekwencje 60 dniowe).</w:t>
      </w:r>
    </w:p>
    <w:p w14:paraId="62ED4B1A" w14:textId="77777777" w:rsidR="00107FCF" w:rsidRDefault="00107FCF" w:rsidP="000B79D0">
      <w:pPr>
        <w:jc w:val="both"/>
      </w:pPr>
    </w:p>
    <w:p w14:paraId="44671EE1" w14:textId="1B448342" w:rsidR="00107FCF" w:rsidRPr="000B79D0" w:rsidRDefault="00AF7C5E" w:rsidP="000B79D0">
      <w:pPr>
        <w:jc w:val="both"/>
        <w:rPr>
          <w:u w:val="single"/>
        </w:rPr>
      </w:pPr>
      <w:r>
        <w:rPr>
          <w:u w:val="single"/>
        </w:rPr>
        <w:br w:type="column"/>
      </w:r>
      <w:r w:rsidR="00107FCF" w:rsidRPr="000B79D0">
        <w:rPr>
          <w:u w:val="single"/>
        </w:rPr>
        <w:lastRenderedPageBreak/>
        <w:t>Korzyści wynikające z oszczędności za uniknięcie spadku przychodów z tytułu podatku dochodowego CIT przez samorządy gminne</w:t>
      </w:r>
    </w:p>
    <w:p w14:paraId="43186FEF" w14:textId="77777777" w:rsidR="00107FCF" w:rsidRDefault="00107FCF" w:rsidP="000B79D0">
      <w:pPr>
        <w:jc w:val="both"/>
      </w:pPr>
    </w:p>
    <w:p w14:paraId="1B8B07A2" w14:textId="77777777" w:rsidR="00107FCF" w:rsidRDefault="00107FCF" w:rsidP="000B79D0">
      <w:pPr>
        <w:jc w:val="both"/>
      </w:pPr>
      <w:r>
        <w:t>Dane dotyczące wysokości wpływów z podatku CIT do budżetu gminy opracowuje się na podstawie wskaźników Banku Danych Lokalnych GUS oraz danych Ministerstwa Finansów - Udziały jst we wpływach z podatku dochodowego od osób prawnych. Wysokość oszczędności oszacowano analizując dane ze wskazanego źródła za lata 2015-2020.</w:t>
      </w:r>
    </w:p>
    <w:p w14:paraId="3FB0833B" w14:textId="77777777" w:rsidR="00107FCF" w:rsidRDefault="00107FCF" w:rsidP="000B79D0">
      <w:pPr>
        <w:jc w:val="both"/>
      </w:pPr>
      <w:r>
        <w:t>Przyjęto formułę wariantową:</w:t>
      </w:r>
    </w:p>
    <w:p w14:paraId="71A73CCE" w14:textId="77777777" w:rsidR="00107FCF" w:rsidRPr="008A15D1" w:rsidRDefault="00107FCF" w:rsidP="006D41A7">
      <w:pPr>
        <w:pStyle w:val="Akapitzlist"/>
        <w:numPr>
          <w:ilvl w:val="0"/>
          <w:numId w:val="32"/>
        </w:numPr>
        <w:ind w:left="567" w:hanging="425"/>
        <w:jc w:val="both"/>
        <w:rPr>
          <w:sz w:val="24"/>
          <w:szCs w:val="24"/>
        </w:rPr>
      </w:pPr>
      <w:r w:rsidRPr="008A15D1">
        <w:rPr>
          <w:sz w:val="24"/>
          <w:szCs w:val="24"/>
        </w:rPr>
        <w:t>woda 100 letnia oznacza 4% niższy CIT (konsekwencje 30 dniowe).</w:t>
      </w:r>
    </w:p>
    <w:p w14:paraId="37D4AAE4" w14:textId="77777777" w:rsidR="00107FCF" w:rsidRPr="008A15D1" w:rsidRDefault="00107FCF" w:rsidP="006D41A7">
      <w:pPr>
        <w:pStyle w:val="Akapitzlist"/>
        <w:numPr>
          <w:ilvl w:val="0"/>
          <w:numId w:val="32"/>
        </w:numPr>
        <w:ind w:left="567" w:hanging="425"/>
        <w:jc w:val="both"/>
        <w:rPr>
          <w:sz w:val="24"/>
          <w:szCs w:val="24"/>
        </w:rPr>
      </w:pPr>
      <w:r w:rsidRPr="008A15D1">
        <w:rPr>
          <w:sz w:val="24"/>
          <w:szCs w:val="24"/>
        </w:rPr>
        <w:t>woda 100 letnia oznacza 8% niższy CIT (konsekwencje 60 dniowe).</w:t>
      </w:r>
    </w:p>
    <w:p w14:paraId="74ACB0A3" w14:textId="77777777" w:rsidR="00107FCF" w:rsidRDefault="00107FCF" w:rsidP="000B79D0">
      <w:pPr>
        <w:jc w:val="both"/>
      </w:pPr>
    </w:p>
    <w:p w14:paraId="200145D1" w14:textId="2E6C30B4" w:rsidR="00107FCF" w:rsidRDefault="00107FCF" w:rsidP="000B79D0">
      <w:pPr>
        <w:jc w:val="both"/>
      </w:pPr>
      <w:r>
        <w:t>Monetyzacja korzyści została przeprowadzona na podstawie wartości potencjalnych strat powodziowych w poszczególnych klasach użytkowania terenu, które w przypadku zaniechania realizacji inwestycji mogłyby wystąpić. Korzyści płynące ze strat, których prawdopodobnie uda się uniknąć, obliczono przyjmując wartości średniorocznych strat AAD.</w:t>
      </w:r>
    </w:p>
    <w:p w14:paraId="079525F0" w14:textId="7FDD12AB" w:rsidR="00AF7C5E" w:rsidRDefault="00AF7C5E" w:rsidP="000B79D0">
      <w:pPr>
        <w:jc w:val="both"/>
      </w:pPr>
    </w:p>
    <w:p w14:paraId="120F9954" w14:textId="3CB0249F" w:rsidR="00107FCF" w:rsidRDefault="00107FCF" w:rsidP="000B79D0">
      <w:pPr>
        <w:jc w:val="both"/>
      </w:pPr>
      <w:r>
        <w:t xml:space="preserve">W </w:t>
      </w:r>
      <w:r w:rsidRPr="001F3541">
        <w:t xml:space="preserve">celu wyliczenia korzyści wykorzystano </w:t>
      </w:r>
      <w:r w:rsidRPr="001F3541">
        <w:rPr>
          <w:szCs w:val="20"/>
          <w:lang w:eastAsia="en-US"/>
        </w:rPr>
        <w:t xml:space="preserve">wartości potencjalnych strat jednostkowych dla poszczególnych klas użytkowania terenu bazując na danych Narodowego Banku Polskiego (NBP) oraz Głównego Urzędu Statystycznego (GUS) z 2016 r. Wyliczenia dokonano wykorzystując metodę wyznaczenia wskaźników wartości mienia zaproponowaną przez I. Godyń [2016]. </w:t>
      </w:r>
      <w:r w:rsidRPr="001F3541">
        <w:t xml:space="preserve">Wartości te </w:t>
      </w:r>
      <w:r w:rsidRPr="001F3541">
        <w:rPr>
          <w:szCs w:val="20"/>
          <w:lang w:eastAsia="en-US"/>
        </w:rPr>
        <w:t>zostały poddane indeksacji o wzrost wskaźników w latach 2016-2019 oraz powiększone o</w:t>
      </w:r>
      <w:r w:rsidRPr="001F3541">
        <w:t xml:space="preserve"> narzuty (szczegółowy opis zamieszono w ppkt. 5.2.1-5.2.7).</w:t>
      </w:r>
    </w:p>
    <w:p w14:paraId="7950F20A" w14:textId="77777777" w:rsidR="00EA50FC" w:rsidRDefault="00EA50FC" w:rsidP="000B79D0">
      <w:pPr>
        <w:jc w:val="both"/>
      </w:pPr>
    </w:p>
    <w:p w14:paraId="7B79F6F7" w14:textId="77777777" w:rsidR="00107FCF" w:rsidRPr="00CE3917" w:rsidRDefault="00107FCF" w:rsidP="00EA50FC">
      <w:pPr>
        <w:rPr>
          <w:lang w:eastAsia="en-US"/>
        </w:rPr>
      </w:pPr>
      <w:r w:rsidRPr="00CE3917">
        <w:rPr>
          <w:lang w:eastAsia="en-US"/>
        </w:rPr>
        <w:t>Obliczenia wartości potencjalnych strat powodziowych wykonuje się dla siedmiu klas użytkowania</w:t>
      </w:r>
      <w:r>
        <w:rPr>
          <w:lang w:eastAsia="en-US"/>
        </w:rPr>
        <w:t xml:space="preserve"> </w:t>
      </w:r>
      <w:r w:rsidRPr="00CE3917">
        <w:rPr>
          <w:lang w:eastAsia="en-US"/>
        </w:rPr>
        <w:t>terenu:</w:t>
      </w:r>
    </w:p>
    <w:p w14:paraId="11045E90" w14:textId="77777777" w:rsidR="00107FCF" w:rsidRPr="00C624AE" w:rsidRDefault="00107FCF" w:rsidP="006D41A7">
      <w:pPr>
        <w:numPr>
          <w:ilvl w:val="0"/>
          <w:numId w:val="79"/>
        </w:numPr>
        <w:ind w:left="567" w:hanging="425"/>
        <w:jc w:val="both"/>
      </w:pPr>
      <w:r w:rsidRPr="00C624AE">
        <w:t>Klasa 1 – tereny zabudowy mieszkaniowej;</w:t>
      </w:r>
    </w:p>
    <w:p w14:paraId="6FAC8577" w14:textId="77777777" w:rsidR="00107FCF" w:rsidRPr="00C624AE" w:rsidRDefault="00107FCF" w:rsidP="006D41A7">
      <w:pPr>
        <w:numPr>
          <w:ilvl w:val="0"/>
          <w:numId w:val="79"/>
        </w:numPr>
        <w:ind w:left="567" w:hanging="425"/>
        <w:jc w:val="both"/>
      </w:pPr>
      <w:r w:rsidRPr="00C624AE">
        <w:t>Klasa 2 – tereny przemysłowe;</w:t>
      </w:r>
    </w:p>
    <w:p w14:paraId="48890730" w14:textId="77777777" w:rsidR="00107FCF" w:rsidRPr="00C624AE" w:rsidRDefault="00107FCF" w:rsidP="006D41A7">
      <w:pPr>
        <w:numPr>
          <w:ilvl w:val="0"/>
          <w:numId w:val="79"/>
        </w:numPr>
        <w:ind w:left="567" w:hanging="425"/>
        <w:jc w:val="both"/>
      </w:pPr>
      <w:r w:rsidRPr="00C624AE">
        <w:t>Klasa 3 – tereny komunikacyjne;</w:t>
      </w:r>
    </w:p>
    <w:p w14:paraId="4BE59813" w14:textId="77777777" w:rsidR="00107FCF" w:rsidRPr="00C624AE" w:rsidRDefault="00107FCF" w:rsidP="006D41A7">
      <w:pPr>
        <w:numPr>
          <w:ilvl w:val="0"/>
          <w:numId w:val="79"/>
        </w:numPr>
        <w:ind w:left="567" w:hanging="425"/>
        <w:jc w:val="both"/>
      </w:pPr>
      <w:r w:rsidRPr="00C624AE">
        <w:t>Klasa 4 – lasy;</w:t>
      </w:r>
    </w:p>
    <w:p w14:paraId="4207F05C" w14:textId="77777777" w:rsidR="00107FCF" w:rsidRPr="00C624AE" w:rsidRDefault="00107FCF" w:rsidP="006D41A7">
      <w:pPr>
        <w:numPr>
          <w:ilvl w:val="0"/>
          <w:numId w:val="79"/>
        </w:numPr>
        <w:ind w:left="567" w:hanging="425"/>
        <w:jc w:val="both"/>
      </w:pPr>
      <w:r w:rsidRPr="00C624AE">
        <w:t>Klasa 5 – tereny rekreacyjno-wypoczynkowe;</w:t>
      </w:r>
    </w:p>
    <w:p w14:paraId="459CE2FF" w14:textId="77777777" w:rsidR="00107FCF" w:rsidRPr="00C624AE" w:rsidRDefault="00107FCF" w:rsidP="006D41A7">
      <w:pPr>
        <w:numPr>
          <w:ilvl w:val="0"/>
          <w:numId w:val="79"/>
        </w:numPr>
        <w:ind w:left="567" w:hanging="425"/>
        <w:jc w:val="both"/>
      </w:pPr>
      <w:r w:rsidRPr="00C624AE">
        <w:t>Klasa 6 – grunty orne i uprawy trwałe;</w:t>
      </w:r>
    </w:p>
    <w:p w14:paraId="2EBD27DB" w14:textId="77777777" w:rsidR="00107FCF" w:rsidRPr="00C624AE" w:rsidRDefault="00107FCF" w:rsidP="006D41A7">
      <w:pPr>
        <w:numPr>
          <w:ilvl w:val="0"/>
          <w:numId w:val="79"/>
        </w:numPr>
        <w:ind w:left="567" w:hanging="425"/>
        <w:jc w:val="both"/>
      </w:pPr>
      <w:r w:rsidRPr="00C624AE">
        <w:t>Klasa 7 – użytki zielone.</w:t>
      </w:r>
    </w:p>
    <w:p w14:paraId="29AEC085" w14:textId="77777777" w:rsidR="00107FCF" w:rsidRPr="00CE3917" w:rsidRDefault="00107FCF" w:rsidP="00CA0F4A">
      <w:pPr>
        <w:autoSpaceDE w:val="0"/>
        <w:autoSpaceDN w:val="0"/>
        <w:adjustRightInd w:val="0"/>
        <w:spacing w:beforeLines="120" w:before="288" w:afterLines="120" w:after="288" w:line="260" w:lineRule="atLeast"/>
        <w:jc w:val="both"/>
        <w:rPr>
          <w:szCs w:val="20"/>
          <w:lang w:eastAsia="en-US"/>
        </w:rPr>
      </w:pPr>
      <w:r w:rsidRPr="00CE3917">
        <w:rPr>
          <w:szCs w:val="20"/>
          <w:lang w:eastAsia="en-US"/>
        </w:rPr>
        <w:t>Dla klasy 8 – tereny pozostałe i dla wód powierzchniowych potencjalne straty</w:t>
      </w:r>
      <w:r>
        <w:rPr>
          <w:szCs w:val="20"/>
          <w:lang w:eastAsia="en-US"/>
        </w:rPr>
        <w:t xml:space="preserve"> </w:t>
      </w:r>
      <w:r w:rsidRPr="00CE3917">
        <w:rPr>
          <w:szCs w:val="20"/>
          <w:lang w:eastAsia="en-US"/>
        </w:rPr>
        <w:t>powodziowe nie s</w:t>
      </w:r>
      <w:r>
        <w:rPr>
          <w:szCs w:val="20"/>
          <w:lang w:eastAsia="en-US"/>
        </w:rPr>
        <w:t xml:space="preserve">ą </w:t>
      </w:r>
      <w:r w:rsidRPr="00CE3917">
        <w:rPr>
          <w:szCs w:val="20"/>
          <w:lang w:eastAsia="en-US"/>
        </w:rPr>
        <w:t>obliczane ze względu na brak użytkowania bądź nieznaczne zagospodarowanie tych terenów.</w:t>
      </w:r>
    </w:p>
    <w:p w14:paraId="301C7E7E" w14:textId="77777777" w:rsidR="00107FCF" w:rsidRPr="00CE3917" w:rsidRDefault="00107FCF" w:rsidP="00CA0F4A">
      <w:pPr>
        <w:autoSpaceDE w:val="0"/>
        <w:autoSpaceDN w:val="0"/>
        <w:adjustRightInd w:val="0"/>
        <w:spacing w:beforeLines="120" w:before="288" w:afterLines="120" w:after="288" w:line="260" w:lineRule="atLeast"/>
        <w:jc w:val="both"/>
        <w:rPr>
          <w:szCs w:val="20"/>
          <w:lang w:eastAsia="en-US"/>
        </w:rPr>
      </w:pPr>
      <w:r w:rsidRPr="00CE3917">
        <w:rPr>
          <w:szCs w:val="20"/>
          <w:lang w:eastAsia="en-US"/>
        </w:rPr>
        <w:t>Dane wektorowe BDOT10k są podstawą do wydzielenia i obliczenia powierzchni poszczególnych</w:t>
      </w:r>
      <w:r>
        <w:rPr>
          <w:szCs w:val="20"/>
          <w:lang w:eastAsia="en-US"/>
        </w:rPr>
        <w:t xml:space="preserve"> </w:t>
      </w:r>
      <w:r w:rsidRPr="00CE3917">
        <w:rPr>
          <w:szCs w:val="20"/>
          <w:lang w:eastAsia="en-US"/>
        </w:rPr>
        <w:t>klas na obszarze zagrożenia powodziowego.</w:t>
      </w:r>
    </w:p>
    <w:p w14:paraId="502D68E3" w14:textId="77777777" w:rsidR="00107FCF" w:rsidRDefault="00107FCF" w:rsidP="00CA0F4A">
      <w:pPr>
        <w:autoSpaceDE w:val="0"/>
        <w:autoSpaceDN w:val="0"/>
        <w:adjustRightInd w:val="0"/>
        <w:spacing w:beforeLines="120" w:before="288" w:afterLines="120" w:after="288" w:line="260" w:lineRule="atLeast"/>
        <w:jc w:val="both"/>
        <w:rPr>
          <w:szCs w:val="20"/>
          <w:lang w:eastAsia="en-US"/>
        </w:rPr>
      </w:pPr>
      <w:r w:rsidRPr="00CE3917">
        <w:rPr>
          <w:szCs w:val="20"/>
          <w:lang w:eastAsia="en-US"/>
        </w:rPr>
        <w:t>Poniżej przedstawiono metody obliczania wartości potencjalnych strat jednostkowych oraz spos</w:t>
      </w:r>
      <w:r>
        <w:rPr>
          <w:szCs w:val="20"/>
          <w:lang w:eastAsia="en-US"/>
        </w:rPr>
        <w:t xml:space="preserve">ób </w:t>
      </w:r>
      <w:r w:rsidRPr="00CE3917">
        <w:rPr>
          <w:szCs w:val="20"/>
          <w:lang w:eastAsia="en-US"/>
        </w:rPr>
        <w:t>szacowania potencjalnych strat dla poszczególnych klas użytkowania</w:t>
      </w:r>
      <w:r>
        <w:rPr>
          <w:szCs w:val="20"/>
          <w:lang w:eastAsia="en-US"/>
        </w:rPr>
        <w:t xml:space="preserve"> </w:t>
      </w:r>
      <w:r w:rsidRPr="00CE3917">
        <w:rPr>
          <w:szCs w:val="20"/>
          <w:lang w:eastAsia="en-US"/>
        </w:rPr>
        <w:t>terenu na obszarze zagrożenia</w:t>
      </w:r>
      <w:r>
        <w:rPr>
          <w:szCs w:val="20"/>
          <w:lang w:eastAsia="en-US"/>
        </w:rPr>
        <w:t xml:space="preserve"> </w:t>
      </w:r>
      <w:r w:rsidRPr="00CE3917">
        <w:rPr>
          <w:szCs w:val="20"/>
          <w:lang w:eastAsia="en-US"/>
        </w:rPr>
        <w:t>powodziowego.</w:t>
      </w:r>
    </w:p>
    <w:p w14:paraId="791DA062" w14:textId="47C75584" w:rsidR="00107FCF" w:rsidRDefault="00EA50FC" w:rsidP="006D41A7">
      <w:pPr>
        <w:pStyle w:val="ReportLevel3"/>
        <w:numPr>
          <w:ilvl w:val="2"/>
          <w:numId w:val="4"/>
        </w:numPr>
      </w:pPr>
      <w:r>
        <w:br w:type="column"/>
      </w:r>
      <w:r w:rsidR="00107FCF" w:rsidRPr="00230759">
        <w:lastRenderedPageBreak/>
        <w:t>Klasa 1 – tereny zabudowy mieszkaniowej</w:t>
      </w:r>
    </w:p>
    <w:p w14:paraId="009EBA3B" w14:textId="48E7D2FD" w:rsidR="00107FCF" w:rsidRPr="00F77F24" w:rsidRDefault="00107FCF" w:rsidP="00EA50FC">
      <w:pPr>
        <w:autoSpaceDE w:val="0"/>
        <w:autoSpaceDN w:val="0"/>
        <w:adjustRightInd w:val="0"/>
        <w:spacing w:beforeLines="120" w:before="288" w:afterLines="120" w:after="288" w:line="260" w:lineRule="atLeast"/>
        <w:jc w:val="both"/>
        <w:rPr>
          <w:szCs w:val="20"/>
          <w:lang w:eastAsia="en-US"/>
        </w:rPr>
      </w:pPr>
      <w:r w:rsidRPr="00F77F24">
        <w:rPr>
          <w:szCs w:val="20"/>
          <w:lang w:eastAsia="en-US"/>
        </w:rPr>
        <w:t>W zależności od sposobu oddziaływania powodzi, potencjalne straty powodziowe w</w:t>
      </w:r>
      <w:r w:rsidR="00EA50FC">
        <w:rPr>
          <w:szCs w:val="20"/>
          <w:lang w:eastAsia="en-US"/>
        </w:rPr>
        <w:t> </w:t>
      </w:r>
      <w:r w:rsidRPr="00F77F24">
        <w:rPr>
          <w:szCs w:val="20"/>
          <w:lang w:eastAsia="en-US"/>
        </w:rPr>
        <w:t>klasie 1 można</w:t>
      </w:r>
      <w:r>
        <w:rPr>
          <w:szCs w:val="20"/>
          <w:lang w:eastAsia="en-US"/>
        </w:rPr>
        <w:t xml:space="preserve"> </w:t>
      </w:r>
      <w:r w:rsidRPr="00F77F24">
        <w:rPr>
          <w:szCs w:val="20"/>
          <w:lang w:eastAsia="en-US"/>
        </w:rPr>
        <w:t>podzielić na dwa rodzaje:</w:t>
      </w:r>
    </w:p>
    <w:p w14:paraId="645B08D4" w14:textId="77777777" w:rsidR="00107FCF" w:rsidRPr="00EA50FC" w:rsidRDefault="00107FCF" w:rsidP="006D41A7">
      <w:pPr>
        <w:numPr>
          <w:ilvl w:val="0"/>
          <w:numId w:val="80"/>
        </w:numPr>
        <w:ind w:left="567" w:hanging="425"/>
        <w:jc w:val="both"/>
        <w:rPr>
          <w:lang w:eastAsia="en-US"/>
        </w:rPr>
      </w:pPr>
      <w:r w:rsidRPr="00EA50FC">
        <w:rPr>
          <w:lang w:eastAsia="en-US"/>
        </w:rPr>
        <w:t>Straty bezpośrednie – najważniejsze z nich to: uszkodzenia nieruchomości, straty lub uszkodzenie mienia, zniszczenie lub uszkodzenie infrastruktury technicznej wokół budynków (podwórza, place zabaw, chodniki, skwery, budynki inwentarskie);</w:t>
      </w:r>
    </w:p>
    <w:p w14:paraId="136E8AFB" w14:textId="77777777" w:rsidR="00107FCF" w:rsidRPr="00EA50FC" w:rsidRDefault="00107FCF" w:rsidP="006D41A7">
      <w:pPr>
        <w:numPr>
          <w:ilvl w:val="0"/>
          <w:numId w:val="80"/>
        </w:numPr>
        <w:ind w:left="567" w:hanging="425"/>
        <w:jc w:val="both"/>
        <w:rPr>
          <w:lang w:eastAsia="en-US"/>
        </w:rPr>
      </w:pPr>
      <w:r w:rsidRPr="00EA50FC">
        <w:rPr>
          <w:lang w:eastAsia="en-US"/>
        </w:rPr>
        <w:t>Straty pośrednie – najważniejsze z nich to wydatki na uporządkowanie zniszczeń.</w:t>
      </w:r>
    </w:p>
    <w:p w14:paraId="12D67596" w14:textId="77777777" w:rsidR="00107FCF" w:rsidRPr="00F77F24" w:rsidRDefault="00107FCF" w:rsidP="00CA0F4A">
      <w:pPr>
        <w:autoSpaceDE w:val="0"/>
        <w:autoSpaceDN w:val="0"/>
        <w:adjustRightInd w:val="0"/>
        <w:spacing w:beforeLines="120" w:before="288" w:afterLines="120" w:after="288" w:line="260" w:lineRule="atLeast"/>
        <w:jc w:val="both"/>
        <w:rPr>
          <w:szCs w:val="20"/>
          <w:lang w:eastAsia="en-US"/>
        </w:rPr>
      </w:pPr>
      <w:r w:rsidRPr="00F77F24">
        <w:rPr>
          <w:szCs w:val="20"/>
          <w:lang w:eastAsia="en-US"/>
        </w:rPr>
        <w:t>Potencjalne straty powodziowe w klasie 1 to suma strat bezpośrednich i pośrednich.</w:t>
      </w:r>
    </w:p>
    <w:p w14:paraId="4869AA06" w14:textId="0096104D" w:rsidR="00107FCF" w:rsidRPr="00F77F24" w:rsidRDefault="00107FCF" w:rsidP="00CA0F4A">
      <w:pPr>
        <w:autoSpaceDE w:val="0"/>
        <w:autoSpaceDN w:val="0"/>
        <w:adjustRightInd w:val="0"/>
        <w:spacing w:beforeLines="120" w:before="288" w:afterLines="120" w:after="288" w:line="260" w:lineRule="atLeast"/>
        <w:jc w:val="both"/>
        <w:rPr>
          <w:szCs w:val="20"/>
          <w:lang w:eastAsia="en-US"/>
        </w:rPr>
      </w:pPr>
      <w:r w:rsidRPr="00F77F24">
        <w:rPr>
          <w:szCs w:val="20"/>
          <w:lang w:eastAsia="en-US"/>
        </w:rPr>
        <w:t>Wartość potencjalnej straty jednostkowej bezpośredniej w PLN/m</w:t>
      </w:r>
      <w:r w:rsidRPr="00C52305">
        <w:rPr>
          <w:szCs w:val="20"/>
          <w:vertAlign w:val="superscript"/>
          <w:lang w:eastAsia="en-US"/>
        </w:rPr>
        <w:t>2</w:t>
      </w:r>
      <w:r w:rsidRPr="00F77F24">
        <w:rPr>
          <w:szCs w:val="20"/>
          <w:lang w:eastAsia="en-US"/>
        </w:rPr>
        <w:t xml:space="preserve"> oblicza się na podstawie</w:t>
      </w:r>
      <w:r>
        <w:rPr>
          <w:szCs w:val="20"/>
          <w:lang w:eastAsia="en-US"/>
        </w:rPr>
        <w:t xml:space="preserve"> </w:t>
      </w:r>
      <w:r w:rsidRPr="00F77F24">
        <w:rPr>
          <w:szCs w:val="20"/>
          <w:lang w:eastAsia="en-US"/>
        </w:rPr>
        <w:t>wartości majątku na osiedlach mieszkaniowych oraz wartości funkcji strat, wiążącej głębokość wody</w:t>
      </w:r>
      <w:r>
        <w:rPr>
          <w:szCs w:val="20"/>
          <w:lang w:eastAsia="en-US"/>
        </w:rPr>
        <w:t xml:space="preserve"> </w:t>
      </w:r>
      <w:r w:rsidRPr="00F77F24">
        <w:rPr>
          <w:szCs w:val="20"/>
          <w:lang w:eastAsia="en-US"/>
        </w:rPr>
        <w:t>z utratą wartości dla klasy 1. Na obszarze zabudowy mieszkaniowej wydziela się: majątek prywatny,</w:t>
      </w:r>
      <w:r>
        <w:rPr>
          <w:szCs w:val="20"/>
          <w:lang w:eastAsia="en-US"/>
        </w:rPr>
        <w:t xml:space="preserve"> </w:t>
      </w:r>
      <w:r w:rsidRPr="00F77F24">
        <w:rPr>
          <w:szCs w:val="20"/>
          <w:lang w:eastAsia="en-US"/>
        </w:rPr>
        <w:t>komunalny oraz infrastrukturę osiedlową lub funkcjonalnie związaną z budynkami, m.in. place</w:t>
      </w:r>
      <w:r>
        <w:rPr>
          <w:szCs w:val="20"/>
          <w:lang w:eastAsia="en-US"/>
        </w:rPr>
        <w:t xml:space="preserve"> </w:t>
      </w:r>
      <w:r w:rsidRPr="00F77F24">
        <w:rPr>
          <w:szCs w:val="20"/>
          <w:lang w:eastAsia="en-US"/>
        </w:rPr>
        <w:t>zabaw, podwórza, parkingi, niewielkie tereny zielone, dziedzińce, wiaty, budynki inwentarskie.</w:t>
      </w:r>
    </w:p>
    <w:p w14:paraId="18AC7A4E" w14:textId="77777777" w:rsidR="00107FCF" w:rsidRPr="00F77F24" w:rsidRDefault="00107FCF" w:rsidP="00CA0F4A">
      <w:pPr>
        <w:autoSpaceDE w:val="0"/>
        <w:autoSpaceDN w:val="0"/>
        <w:adjustRightInd w:val="0"/>
        <w:spacing w:beforeLines="120" w:before="288" w:afterLines="120" w:after="288" w:line="260" w:lineRule="atLeast"/>
        <w:jc w:val="both"/>
        <w:rPr>
          <w:szCs w:val="20"/>
          <w:lang w:eastAsia="en-US"/>
        </w:rPr>
      </w:pPr>
      <w:r w:rsidRPr="00F77F24">
        <w:rPr>
          <w:szCs w:val="20"/>
          <w:lang w:eastAsia="en-US"/>
        </w:rPr>
        <w:t>Ze względu na brak danych oraz brak możliwości przestrzennego wydzielenia powierzchni</w:t>
      </w:r>
      <w:r>
        <w:rPr>
          <w:szCs w:val="20"/>
          <w:lang w:eastAsia="en-US"/>
        </w:rPr>
        <w:t xml:space="preserve"> </w:t>
      </w:r>
      <w:r w:rsidRPr="00F77F24">
        <w:rPr>
          <w:szCs w:val="20"/>
          <w:lang w:eastAsia="en-US"/>
        </w:rPr>
        <w:t>obejmujących majątek komunalny oraz infrastrukturę osiedlową przyjęto</w:t>
      </w:r>
      <w:r>
        <w:rPr>
          <w:szCs w:val="20"/>
          <w:lang w:eastAsia="en-US"/>
        </w:rPr>
        <w:t xml:space="preserve"> </w:t>
      </w:r>
      <w:r w:rsidRPr="00F77F24">
        <w:rPr>
          <w:szCs w:val="20"/>
          <w:lang w:eastAsia="en-US"/>
        </w:rPr>
        <w:t>umownie wskaźnik</w:t>
      </w:r>
      <w:r>
        <w:rPr>
          <w:szCs w:val="20"/>
          <w:lang w:eastAsia="en-US"/>
        </w:rPr>
        <w:t xml:space="preserve"> </w:t>
      </w:r>
      <w:r w:rsidRPr="00F77F24">
        <w:rPr>
          <w:szCs w:val="20"/>
          <w:lang w:eastAsia="en-US"/>
        </w:rPr>
        <w:t>wartości mienia prywatnego określony dla poszczególnych</w:t>
      </w:r>
      <w:r>
        <w:rPr>
          <w:szCs w:val="20"/>
          <w:lang w:eastAsia="en-US"/>
        </w:rPr>
        <w:t xml:space="preserve"> </w:t>
      </w:r>
      <w:r w:rsidRPr="00F77F24">
        <w:rPr>
          <w:szCs w:val="20"/>
          <w:lang w:eastAsia="en-US"/>
        </w:rPr>
        <w:t>województw jako miernik dla klasy 1.</w:t>
      </w:r>
    </w:p>
    <w:p w14:paraId="2BDCB8CF" w14:textId="3B6628E8" w:rsidR="00107FCF" w:rsidRPr="00CB665F" w:rsidRDefault="00107FCF" w:rsidP="00EA50FC">
      <w:pPr>
        <w:jc w:val="both"/>
        <w:rPr>
          <w:rFonts w:ascii="Segoe UI" w:hAnsi="Segoe UI" w:cs="Segoe UI"/>
          <w:sz w:val="21"/>
          <w:szCs w:val="21"/>
          <w:lang w:eastAsia="pl-PL"/>
        </w:rPr>
      </w:pPr>
      <w:r w:rsidRPr="00F77F24">
        <w:rPr>
          <w:szCs w:val="20"/>
          <w:lang w:eastAsia="en-US"/>
        </w:rPr>
        <w:t>Do określenia wartości potencjalnej straty jednostkowej bezpośredniej dla klasy 1 wykorzystano</w:t>
      </w:r>
      <w:r>
        <w:rPr>
          <w:szCs w:val="20"/>
          <w:lang w:eastAsia="en-US"/>
        </w:rPr>
        <w:t xml:space="preserve"> </w:t>
      </w:r>
      <w:r w:rsidRPr="00F77F24">
        <w:rPr>
          <w:szCs w:val="20"/>
          <w:lang w:eastAsia="en-US"/>
        </w:rPr>
        <w:t>dane Narodowego Banku Polskiego (NBP) z 2016 r. oraz Głównego Urzędu Statystycznego (GUS).</w:t>
      </w:r>
      <w:r>
        <w:rPr>
          <w:szCs w:val="20"/>
          <w:lang w:eastAsia="en-US"/>
        </w:rPr>
        <w:t xml:space="preserve"> </w:t>
      </w:r>
      <w:r w:rsidRPr="00F77F24">
        <w:rPr>
          <w:szCs w:val="20"/>
          <w:lang w:eastAsia="en-US"/>
        </w:rPr>
        <w:t>Wyliczenia dokonano wykorzystując metodę wyznaczenia wskaźników wartości mienia na terenach</w:t>
      </w:r>
      <w:r>
        <w:rPr>
          <w:szCs w:val="20"/>
          <w:lang w:eastAsia="en-US"/>
        </w:rPr>
        <w:t xml:space="preserve"> </w:t>
      </w:r>
      <w:r w:rsidRPr="00F77F24">
        <w:rPr>
          <w:szCs w:val="20"/>
          <w:lang w:eastAsia="en-US"/>
        </w:rPr>
        <w:t>zabudowy mieszkaniowej dla województw zaproponowaną przez I. Godyń [2016].</w:t>
      </w:r>
      <w:r>
        <w:rPr>
          <w:szCs w:val="20"/>
          <w:lang w:eastAsia="en-US"/>
        </w:rPr>
        <w:t xml:space="preserve"> </w:t>
      </w:r>
      <w:r>
        <w:t>W</w:t>
      </w:r>
      <w:r w:rsidRPr="001D701D">
        <w:t xml:space="preserve">artości </w:t>
      </w:r>
      <w:r>
        <w:t>te</w:t>
      </w:r>
      <w:r w:rsidRPr="001D701D">
        <w:t xml:space="preserve"> </w:t>
      </w:r>
      <w:r w:rsidRPr="00CB665F">
        <w:rPr>
          <w:szCs w:val="20"/>
          <w:lang w:eastAsia="en-US"/>
        </w:rPr>
        <w:t>zostały poddane indeksacji o wzrost wskaźników w latach 2016-2019 oraz powiększone o</w:t>
      </w:r>
      <w:r w:rsidRPr="001D701D">
        <w:t xml:space="preserve"> niżej opisane narzuty</w:t>
      </w:r>
      <w:r>
        <w:t>:</w:t>
      </w:r>
    </w:p>
    <w:p w14:paraId="4DAAB910" w14:textId="77777777" w:rsidR="00107FCF" w:rsidRPr="00EA50FC" w:rsidRDefault="00107FCF" w:rsidP="006D41A7">
      <w:pPr>
        <w:pStyle w:val="Akapitzlist"/>
        <w:numPr>
          <w:ilvl w:val="0"/>
          <w:numId w:val="27"/>
        </w:numPr>
        <w:autoSpaceDE w:val="0"/>
        <w:autoSpaceDN w:val="0"/>
        <w:adjustRightInd w:val="0"/>
        <w:spacing w:beforeLines="50" w:before="120" w:afterLines="120" w:after="288" w:line="260" w:lineRule="atLeast"/>
        <w:ind w:left="567" w:hanging="425"/>
        <w:jc w:val="both"/>
        <w:rPr>
          <w:sz w:val="24"/>
          <w:szCs w:val="24"/>
        </w:rPr>
      </w:pPr>
      <w:r w:rsidRPr="00EA50FC">
        <w:rPr>
          <w:sz w:val="24"/>
          <w:szCs w:val="24"/>
        </w:rPr>
        <w:t>Korekta wskaźnika poprzez odjęcie uwzględnionego mienia do prowadzenia działalności gospodarczej (źródło danych: NBP, Zasobność gospodarstw domowych w 2016 r.);</w:t>
      </w:r>
    </w:p>
    <w:p w14:paraId="298A68D1" w14:textId="77777777" w:rsidR="00107FCF" w:rsidRPr="00EA50FC" w:rsidRDefault="00107FCF" w:rsidP="006D41A7">
      <w:pPr>
        <w:pStyle w:val="Akapitzlist"/>
        <w:numPr>
          <w:ilvl w:val="0"/>
          <w:numId w:val="27"/>
        </w:numPr>
        <w:autoSpaceDE w:val="0"/>
        <w:autoSpaceDN w:val="0"/>
        <w:adjustRightInd w:val="0"/>
        <w:spacing w:beforeLines="120" w:before="288" w:afterLines="120" w:after="288" w:line="260" w:lineRule="atLeast"/>
        <w:ind w:left="567" w:hanging="425"/>
        <w:jc w:val="both"/>
        <w:rPr>
          <w:sz w:val="24"/>
          <w:szCs w:val="24"/>
        </w:rPr>
      </w:pPr>
      <w:r w:rsidRPr="00EA50FC">
        <w:rPr>
          <w:sz w:val="24"/>
          <w:szCs w:val="24"/>
        </w:rPr>
        <w:t>Indeksacja o wskaźnik przyrostu wartości powierzchni użytkowej budynku mieszkalnego oddanego do użytkowania publikowany przez GUS;</w:t>
      </w:r>
    </w:p>
    <w:p w14:paraId="3DE3D0C6" w14:textId="77777777" w:rsidR="00107FCF" w:rsidRPr="00EA50FC" w:rsidRDefault="00107FCF" w:rsidP="006D41A7">
      <w:pPr>
        <w:pStyle w:val="Akapitzlist"/>
        <w:numPr>
          <w:ilvl w:val="0"/>
          <w:numId w:val="27"/>
        </w:numPr>
        <w:autoSpaceDE w:val="0"/>
        <w:autoSpaceDN w:val="0"/>
        <w:adjustRightInd w:val="0"/>
        <w:spacing w:beforeLines="120" w:before="288" w:afterLines="120" w:after="288" w:line="260" w:lineRule="atLeast"/>
        <w:ind w:left="567" w:hanging="425"/>
        <w:jc w:val="both"/>
        <w:rPr>
          <w:sz w:val="24"/>
          <w:szCs w:val="24"/>
          <w:lang w:val="en-US"/>
        </w:rPr>
      </w:pPr>
      <w:r w:rsidRPr="008427BB">
        <w:rPr>
          <w:sz w:val="24"/>
          <w:szCs w:val="24"/>
          <w:lang w:val="en-US"/>
        </w:rPr>
        <w:t>Uwzględnienie w stratach bezpośrednich utraty wartości wyposażenia - strata szacowana jako 50% wartości strat w majątku trwałym (źródła danych: obliczenia własne oraz</w:t>
      </w:r>
      <w:r w:rsidRPr="00EA50FC">
        <w:rPr>
          <w:sz w:val="24"/>
          <w:szCs w:val="24"/>
          <w:lang w:val="en-US"/>
        </w:rPr>
        <w:t xml:space="preserve"> USACE, Depth-Damage Relationships for Structures, Contents, And Vehicles And Content-To-Structure Value Ratios (Csvr) in support Of The Donaldsonville To The Gulf, Louisiana, Feasibility Study Prepared for U.S. Army Corps of Engineers New Orleans District New Orleans, Louisiana March 2006)</w:t>
      </w:r>
    </w:p>
    <w:p w14:paraId="67CD1445" w14:textId="28EE8451" w:rsidR="00107FCF" w:rsidRDefault="00107FCF" w:rsidP="006D41A7">
      <w:pPr>
        <w:pStyle w:val="Akapitzlist"/>
        <w:numPr>
          <w:ilvl w:val="0"/>
          <w:numId w:val="27"/>
        </w:numPr>
        <w:autoSpaceDE w:val="0"/>
        <w:autoSpaceDN w:val="0"/>
        <w:adjustRightInd w:val="0"/>
        <w:spacing w:beforeLines="120" w:before="288" w:afterLines="120" w:after="288" w:line="260" w:lineRule="atLeast"/>
        <w:ind w:left="567" w:hanging="425"/>
        <w:jc w:val="both"/>
        <w:rPr>
          <w:sz w:val="24"/>
          <w:szCs w:val="24"/>
        </w:rPr>
      </w:pPr>
      <w:r w:rsidRPr="00EA50FC">
        <w:rPr>
          <w:sz w:val="24"/>
          <w:szCs w:val="24"/>
        </w:rPr>
        <w:t>Uwzględnienie w stratach bezpośrednich strat w majątku trwałym i obrotowym podmiotów gospodarczych działających na terenach mieszkalnych - wszystkie branże poza przemysłem (BCDE);</w:t>
      </w:r>
    </w:p>
    <w:p w14:paraId="418F7AD3" w14:textId="77777777" w:rsidR="00107FCF" w:rsidRPr="00EA50FC" w:rsidRDefault="00107FCF" w:rsidP="006D41A7">
      <w:pPr>
        <w:pStyle w:val="Akapitzlist"/>
        <w:numPr>
          <w:ilvl w:val="0"/>
          <w:numId w:val="27"/>
        </w:numPr>
        <w:autoSpaceDE w:val="0"/>
        <w:autoSpaceDN w:val="0"/>
        <w:adjustRightInd w:val="0"/>
        <w:spacing w:beforeLines="120" w:before="288" w:afterLines="120" w:after="288" w:line="260" w:lineRule="atLeast"/>
        <w:ind w:left="567" w:hanging="425"/>
        <w:jc w:val="both"/>
        <w:rPr>
          <w:sz w:val="24"/>
          <w:szCs w:val="24"/>
        </w:rPr>
      </w:pPr>
      <w:r w:rsidRPr="00EA50FC">
        <w:rPr>
          <w:sz w:val="24"/>
          <w:szCs w:val="24"/>
        </w:rPr>
        <w:t>Uwzględnienie wskaźnika strat pośrednich (zgodne z podejściem z PZRP dla obszarów dorzeczy i Regionów Wodnych, jako 60% wartości strat bezpośrednich).</w:t>
      </w:r>
    </w:p>
    <w:p w14:paraId="3867CFBD" w14:textId="2448AAE3" w:rsidR="00107FCF" w:rsidRPr="003B4618" w:rsidRDefault="00107FCF" w:rsidP="00230759">
      <w:pPr>
        <w:pStyle w:val="Legenda"/>
        <w:tabs>
          <w:tab w:val="clear" w:pos="1080"/>
          <w:tab w:val="left" w:pos="0"/>
        </w:tabs>
        <w:rPr>
          <w:sz w:val="24"/>
          <w:szCs w:val="20"/>
          <w:lang w:eastAsia="en-US"/>
        </w:rPr>
      </w:pPr>
      <w:r w:rsidRPr="00133617">
        <w:rPr>
          <w:sz w:val="24"/>
          <w:szCs w:val="20"/>
          <w:lang w:eastAsia="en-US"/>
        </w:rPr>
        <w:lastRenderedPageBreak/>
        <w:t xml:space="preserve">Wartość </w:t>
      </w:r>
      <w:r w:rsidRPr="003B4618">
        <w:rPr>
          <w:sz w:val="24"/>
          <w:szCs w:val="20"/>
          <w:lang w:eastAsia="en-US"/>
        </w:rPr>
        <w:t>mienia prywatnego na terenach zabudowy mieszkaniowej z uwzględnieniem</w:t>
      </w:r>
      <w:r>
        <w:rPr>
          <w:sz w:val="24"/>
          <w:szCs w:val="20"/>
          <w:lang w:eastAsia="en-US"/>
        </w:rPr>
        <w:t xml:space="preserve"> </w:t>
      </w:r>
      <w:r w:rsidRPr="003B4618">
        <w:rPr>
          <w:sz w:val="24"/>
          <w:szCs w:val="20"/>
          <w:lang w:eastAsia="en-US"/>
        </w:rPr>
        <w:t xml:space="preserve">powyższych wskaźników </w:t>
      </w:r>
      <w:r w:rsidRPr="003E107C">
        <w:rPr>
          <w:sz w:val="24"/>
          <w:szCs w:val="20"/>
          <w:lang w:eastAsia="en-US"/>
        </w:rPr>
        <w:t xml:space="preserve">przedstawia </w:t>
      </w:r>
      <w:r w:rsidR="002C15EE">
        <w:fldChar w:fldCharType="begin"/>
      </w:r>
      <w:r w:rsidR="002C15EE">
        <w:instrText xml:space="preserve"> REF _Ref79498702 \h  \* MERGEFORMAT </w:instrText>
      </w:r>
      <w:r w:rsidR="002C15EE">
        <w:fldChar w:fldCharType="separate"/>
      </w:r>
      <w:r w:rsidR="00AC4DF9" w:rsidRPr="003E107C">
        <w:rPr>
          <w:sz w:val="24"/>
          <w:szCs w:val="28"/>
        </w:rPr>
        <w:t xml:space="preserve">Tabela </w:t>
      </w:r>
      <w:r w:rsidR="00AC4DF9">
        <w:rPr>
          <w:sz w:val="24"/>
          <w:szCs w:val="28"/>
        </w:rPr>
        <w:t>2</w:t>
      </w:r>
      <w:r w:rsidR="002C15EE">
        <w:fldChar w:fldCharType="end"/>
      </w:r>
    </w:p>
    <w:p w14:paraId="01994C66" w14:textId="5CA1274D" w:rsidR="00107FCF" w:rsidRPr="003E107C" w:rsidRDefault="00107FCF" w:rsidP="00567ACB">
      <w:pPr>
        <w:pStyle w:val="Legenda"/>
        <w:tabs>
          <w:tab w:val="clear" w:pos="1080"/>
          <w:tab w:val="left" w:pos="1276"/>
        </w:tabs>
        <w:ind w:left="1134" w:hanging="1134"/>
        <w:jc w:val="both"/>
        <w:rPr>
          <w:sz w:val="24"/>
          <w:szCs w:val="28"/>
        </w:rPr>
      </w:pPr>
      <w:bookmarkStart w:id="63" w:name="_Ref79498702"/>
      <w:bookmarkStart w:id="64" w:name="_Toc80608755"/>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2</w:t>
      </w:r>
      <w:r w:rsidR="00290AD4">
        <w:rPr>
          <w:sz w:val="24"/>
          <w:szCs w:val="28"/>
        </w:rPr>
        <w:fldChar w:fldCharType="end"/>
      </w:r>
      <w:bookmarkEnd w:id="63"/>
      <w:r w:rsidR="00567ACB">
        <w:rPr>
          <w:sz w:val="24"/>
          <w:szCs w:val="28"/>
        </w:rPr>
        <w:tab/>
      </w:r>
      <w:r w:rsidRPr="003E107C">
        <w:rPr>
          <w:sz w:val="24"/>
          <w:szCs w:val="28"/>
        </w:rPr>
        <w:t>Wartość mienia prywatnego na terenach zabudowy mieszkaniowej</w:t>
      </w:r>
      <w:r w:rsidR="00EA50FC">
        <w:rPr>
          <w:sz w:val="24"/>
          <w:szCs w:val="28"/>
        </w:rPr>
        <w:t xml:space="preserve"> </w:t>
      </w:r>
      <w:r w:rsidRPr="003E107C">
        <w:rPr>
          <w:sz w:val="24"/>
          <w:szCs w:val="28"/>
        </w:rPr>
        <w:t>uwzględniające wskaźnik straty pośredniej</w:t>
      </w:r>
      <w:bookmarkEnd w:id="64"/>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4247"/>
        <w:gridCol w:w="4248"/>
      </w:tblGrid>
      <w:tr w:rsidR="00107FCF" w:rsidRPr="00507221" w14:paraId="3B7BEB30" w14:textId="77777777" w:rsidTr="006A3BC1">
        <w:trPr>
          <w:trHeight w:val="325"/>
        </w:trPr>
        <w:tc>
          <w:tcPr>
            <w:tcW w:w="2500" w:type="pct"/>
            <w:tcBorders>
              <w:bottom w:val="single" w:sz="12" w:space="0" w:color="7ECBED"/>
            </w:tcBorders>
            <w:shd w:val="clear" w:color="auto" w:fill="D4EDF9"/>
          </w:tcPr>
          <w:p w14:paraId="71148426" w14:textId="77777777" w:rsidR="00107FCF" w:rsidRPr="00507221" w:rsidRDefault="00107FCF" w:rsidP="00507221">
            <w:pPr>
              <w:spacing w:before="60" w:after="60"/>
              <w:jc w:val="center"/>
              <w:rPr>
                <w:b/>
                <w:bCs/>
                <w:highlight w:val="green"/>
              </w:rPr>
            </w:pPr>
            <w:r w:rsidRPr="00507221">
              <w:t>Województwo</w:t>
            </w:r>
          </w:p>
        </w:tc>
        <w:tc>
          <w:tcPr>
            <w:tcW w:w="2500" w:type="pct"/>
            <w:tcBorders>
              <w:bottom w:val="single" w:sz="12" w:space="0" w:color="7ECBED"/>
            </w:tcBorders>
            <w:shd w:val="clear" w:color="auto" w:fill="D4EDF9"/>
          </w:tcPr>
          <w:p w14:paraId="3B1E8E42" w14:textId="77777777" w:rsidR="00107FCF" w:rsidRPr="00507221" w:rsidRDefault="00107FCF" w:rsidP="00507221">
            <w:pPr>
              <w:autoSpaceDE w:val="0"/>
              <w:autoSpaceDN w:val="0"/>
              <w:adjustRightInd w:val="0"/>
              <w:jc w:val="center"/>
              <w:rPr>
                <w:b/>
                <w:bCs/>
              </w:rPr>
            </w:pPr>
            <w:r w:rsidRPr="00507221">
              <w:t>Wartość mienia prywatnego na terenach zabudowy mieszkaniowej w 2019 r.</w:t>
            </w:r>
          </w:p>
          <w:p w14:paraId="1E4440F0" w14:textId="77777777" w:rsidR="00107FCF" w:rsidRPr="00507221" w:rsidRDefault="00107FCF" w:rsidP="00507221">
            <w:pPr>
              <w:autoSpaceDE w:val="0"/>
              <w:autoSpaceDN w:val="0"/>
              <w:adjustRightInd w:val="0"/>
              <w:jc w:val="center"/>
              <w:rPr>
                <w:b/>
                <w:bCs/>
              </w:rPr>
            </w:pPr>
            <w:r w:rsidRPr="00507221">
              <w:t>[PLN/m</w:t>
            </w:r>
            <w:r w:rsidRPr="00507221">
              <w:rPr>
                <w:vertAlign w:val="superscript"/>
              </w:rPr>
              <w:t>2</w:t>
            </w:r>
            <w:r w:rsidRPr="00507221">
              <w:t>]</w:t>
            </w:r>
          </w:p>
        </w:tc>
      </w:tr>
      <w:tr w:rsidR="00107FCF" w:rsidRPr="00507221" w14:paraId="4821D257" w14:textId="77777777" w:rsidTr="006A3BC1">
        <w:tc>
          <w:tcPr>
            <w:tcW w:w="2500" w:type="pct"/>
          </w:tcPr>
          <w:p w14:paraId="1BFA6C87" w14:textId="77777777" w:rsidR="00107FCF" w:rsidRPr="00507221" w:rsidRDefault="00107FCF" w:rsidP="00507221">
            <w:pPr>
              <w:spacing w:before="60" w:after="60"/>
              <w:jc w:val="center"/>
              <w:rPr>
                <w:b/>
                <w:bCs/>
              </w:rPr>
            </w:pPr>
            <w:r w:rsidRPr="00507221">
              <w:t>zachodniopomorskie</w:t>
            </w:r>
          </w:p>
        </w:tc>
        <w:tc>
          <w:tcPr>
            <w:tcW w:w="2500" w:type="pct"/>
          </w:tcPr>
          <w:p w14:paraId="71223395" w14:textId="77777777" w:rsidR="00107FCF" w:rsidRPr="00507221" w:rsidRDefault="00107FCF" w:rsidP="00507221">
            <w:pPr>
              <w:spacing w:before="60" w:after="60"/>
              <w:jc w:val="center"/>
            </w:pPr>
            <w:r w:rsidRPr="00507221">
              <w:t>2280,00</w:t>
            </w:r>
          </w:p>
        </w:tc>
      </w:tr>
    </w:tbl>
    <w:p w14:paraId="548F2D25" w14:textId="77777777" w:rsidR="00107FCF" w:rsidRDefault="00107FCF" w:rsidP="00230759">
      <w:pPr>
        <w:autoSpaceDE w:val="0"/>
        <w:autoSpaceDN w:val="0"/>
        <w:adjustRightInd w:val="0"/>
        <w:rPr>
          <w:rFonts w:ascii="Calibri" w:hAnsi="Calibri" w:cs="Calibri"/>
          <w:sz w:val="22"/>
          <w:szCs w:val="22"/>
          <w:lang w:eastAsia="en-US"/>
        </w:rPr>
      </w:pPr>
    </w:p>
    <w:p w14:paraId="13C3C09B" w14:textId="622E45FC" w:rsidR="00107FCF" w:rsidRPr="003E107C" w:rsidRDefault="00107FCF" w:rsidP="00230759">
      <w:pPr>
        <w:autoSpaceDE w:val="0"/>
        <w:autoSpaceDN w:val="0"/>
        <w:adjustRightInd w:val="0"/>
        <w:jc w:val="both"/>
        <w:rPr>
          <w:sz w:val="28"/>
          <w:szCs w:val="22"/>
          <w:lang w:eastAsia="en-US"/>
        </w:rPr>
      </w:pPr>
      <w:r>
        <w:rPr>
          <w:szCs w:val="20"/>
          <w:lang w:eastAsia="en-US"/>
        </w:rPr>
        <w:t>Wysokość wartości u</w:t>
      </w:r>
      <w:r w:rsidRPr="00286B1D">
        <w:rPr>
          <w:szCs w:val="20"/>
          <w:lang w:eastAsia="en-US"/>
        </w:rPr>
        <w:t>trat</w:t>
      </w:r>
      <w:r>
        <w:rPr>
          <w:szCs w:val="20"/>
          <w:lang w:eastAsia="en-US"/>
        </w:rPr>
        <w:t xml:space="preserve">y </w:t>
      </w:r>
      <w:r w:rsidRPr="00286B1D">
        <w:rPr>
          <w:szCs w:val="20"/>
          <w:lang w:eastAsia="en-US"/>
        </w:rPr>
        <w:t xml:space="preserve">majątku na obszarach osiedli mieszkaniowych </w:t>
      </w:r>
      <w:r>
        <w:rPr>
          <w:szCs w:val="20"/>
          <w:lang w:eastAsia="en-US"/>
        </w:rPr>
        <w:t>jest u</w:t>
      </w:r>
      <w:r w:rsidRPr="00286B1D">
        <w:rPr>
          <w:szCs w:val="20"/>
          <w:lang w:eastAsia="en-US"/>
        </w:rPr>
        <w:t>zależn</w:t>
      </w:r>
      <w:r>
        <w:rPr>
          <w:szCs w:val="20"/>
          <w:lang w:eastAsia="en-US"/>
        </w:rPr>
        <w:t>iona</w:t>
      </w:r>
      <w:r w:rsidRPr="00286B1D">
        <w:rPr>
          <w:szCs w:val="20"/>
          <w:lang w:eastAsia="en-US"/>
        </w:rPr>
        <w:t xml:space="preserve"> od głębokości wody</w:t>
      </w:r>
      <w:r>
        <w:rPr>
          <w:szCs w:val="20"/>
          <w:lang w:eastAsia="en-US"/>
        </w:rPr>
        <w:t xml:space="preserve">. </w:t>
      </w:r>
      <w:r w:rsidRPr="009070C9">
        <w:rPr>
          <w:szCs w:val="20"/>
          <w:lang w:eastAsia="en-US"/>
        </w:rPr>
        <w:t xml:space="preserve">Stopień utraty wartości majątku, </w:t>
      </w:r>
      <w:r>
        <w:rPr>
          <w:szCs w:val="20"/>
          <w:lang w:eastAsia="en-US"/>
        </w:rPr>
        <w:t xml:space="preserve">czyli </w:t>
      </w:r>
      <w:r w:rsidRPr="009070C9">
        <w:rPr>
          <w:szCs w:val="20"/>
          <w:lang w:eastAsia="en-US"/>
        </w:rPr>
        <w:t>funkcję strat przedstawia</w:t>
      </w:r>
      <w:r w:rsidRPr="00286B1D">
        <w:rPr>
          <w:szCs w:val="20"/>
          <w:lang w:eastAsia="en-US"/>
        </w:rPr>
        <w:t xml:space="preserve"> </w:t>
      </w:r>
      <w:r w:rsidR="002C15EE">
        <w:fldChar w:fldCharType="begin"/>
      </w:r>
      <w:r w:rsidR="002C15EE">
        <w:instrText xml:space="preserve"> REF _Ref79498755 \h  \* MERGEFORMAT </w:instrText>
      </w:r>
      <w:r w:rsidR="002C15EE">
        <w:fldChar w:fldCharType="separate"/>
      </w:r>
      <w:r w:rsidR="00AC4DF9" w:rsidRPr="003E107C">
        <w:rPr>
          <w:szCs w:val="28"/>
        </w:rPr>
        <w:t xml:space="preserve">Tabela </w:t>
      </w:r>
      <w:r w:rsidR="00AC4DF9">
        <w:rPr>
          <w:szCs w:val="28"/>
        </w:rPr>
        <w:t>3</w:t>
      </w:r>
      <w:r w:rsidR="002C15EE">
        <w:fldChar w:fldCharType="end"/>
      </w:r>
      <w:r>
        <w:rPr>
          <w:sz w:val="28"/>
          <w:szCs w:val="22"/>
          <w:lang w:eastAsia="en-US"/>
        </w:rPr>
        <w:t>.</w:t>
      </w:r>
    </w:p>
    <w:p w14:paraId="57C0BDD1" w14:textId="45288A36" w:rsidR="00107FCF" w:rsidRDefault="00107FCF" w:rsidP="00230759">
      <w:pPr>
        <w:autoSpaceDE w:val="0"/>
        <w:autoSpaceDN w:val="0"/>
        <w:adjustRightInd w:val="0"/>
        <w:jc w:val="both"/>
        <w:rPr>
          <w:szCs w:val="20"/>
          <w:lang w:eastAsia="en-US"/>
        </w:rPr>
      </w:pPr>
    </w:p>
    <w:p w14:paraId="3F4B0A9D" w14:textId="3CE31070" w:rsidR="00EA50FC" w:rsidRDefault="00EA50FC" w:rsidP="00230759">
      <w:pPr>
        <w:autoSpaceDE w:val="0"/>
        <w:autoSpaceDN w:val="0"/>
        <w:adjustRightInd w:val="0"/>
        <w:jc w:val="both"/>
        <w:rPr>
          <w:szCs w:val="20"/>
          <w:lang w:eastAsia="en-US"/>
        </w:rPr>
      </w:pPr>
    </w:p>
    <w:p w14:paraId="183EEE05" w14:textId="3A1A0CF6" w:rsidR="00107FCF" w:rsidRDefault="00107FCF">
      <w:pPr>
        <w:rPr>
          <w:sz w:val="22"/>
        </w:rPr>
      </w:pPr>
    </w:p>
    <w:p w14:paraId="4F060503" w14:textId="11D427C8" w:rsidR="00567ACB" w:rsidRDefault="00107FCF" w:rsidP="00567ACB">
      <w:pPr>
        <w:autoSpaceDE w:val="0"/>
        <w:autoSpaceDN w:val="0"/>
        <w:adjustRightInd w:val="0"/>
        <w:ind w:left="1134" w:hanging="1134"/>
        <w:jc w:val="both"/>
      </w:pPr>
      <w:bookmarkStart w:id="65" w:name="_Ref79498755"/>
      <w:bookmarkStart w:id="66" w:name="_Toc80608756"/>
      <w:r w:rsidRPr="003E107C">
        <w:rPr>
          <w:szCs w:val="28"/>
        </w:rPr>
        <w:t xml:space="preserve">Tabela </w:t>
      </w:r>
      <w:r w:rsidR="00290AD4">
        <w:rPr>
          <w:szCs w:val="28"/>
        </w:rPr>
        <w:fldChar w:fldCharType="begin"/>
      </w:r>
      <w:r w:rsidR="00290AD4">
        <w:rPr>
          <w:szCs w:val="28"/>
        </w:rPr>
        <w:instrText xml:space="preserve"> SEQ Tabela \* ARABIC </w:instrText>
      </w:r>
      <w:r w:rsidR="00290AD4">
        <w:rPr>
          <w:szCs w:val="28"/>
        </w:rPr>
        <w:fldChar w:fldCharType="separate"/>
      </w:r>
      <w:r w:rsidR="00AC4DF9">
        <w:rPr>
          <w:noProof/>
          <w:szCs w:val="28"/>
        </w:rPr>
        <w:t>3</w:t>
      </w:r>
      <w:r w:rsidR="00290AD4">
        <w:rPr>
          <w:szCs w:val="28"/>
        </w:rPr>
        <w:fldChar w:fldCharType="end"/>
      </w:r>
      <w:bookmarkEnd w:id="65"/>
      <w:r>
        <w:rPr>
          <w:szCs w:val="28"/>
        </w:rPr>
        <w:t xml:space="preserve"> </w:t>
      </w:r>
      <w:r w:rsidR="00567ACB">
        <w:rPr>
          <w:szCs w:val="28"/>
        </w:rPr>
        <w:tab/>
      </w:r>
      <w:r w:rsidRPr="003E107C">
        <w:rPr>
          <w:szCs w:val="28"/>
        </w:rPr>
        <w:t xml:space="preserve">Utrata wartości majątku dla osiedli mieszkaniowych z uwzględnieniem przedziałów </w:t>
      </w:r>
      <w:r w:rsidRPr="00567ACB">
        <w:t>głębokości.</w:t>
      </w:r>
      <w:bookmarkEnd w:id="66"/>
      <w:r w:rsidR="00567ACB" w:rsidRPr="00567ACB">
        <w:t xml:space="preserve"> </w:t>
      </w:r>
    </w:p>
    <w:p w14:paraId="7F2BB3EA" w14:textId="68CB0184" w:rsidR="00107FCF" w:rsidRPr="00567ACB" w:rsidRDefault="00107FCF" w:rsidP="00567ACB">
      <w:pPr>
        <w:autoSpaceDE w:val="0"/>
        <w:autoSpaceDN w:val="0"/>
        <w:adjustRightInd w:val="0"/>
        <w:ind w:left="1134"/>
        <w:jc w:val="both"/>
        <w:rPr>
          <w:szCs w:val="28"/>
        </w:rPr>
      </w:pPr>
      <w:r w:rsidRPr="00567ACB">
        <w:t>[źródło: Metodyka opracowania map zagrożenia powodziowego i map ryzyka powodziowego w</w:t>
      </w:r>
      <w:r w:rsidR="00567ACB" w:rsidRPr="00567ACB">
        <w:t> </w:t>
      </w:r>
      <w:r w:rsidRPr="00567ACB">
        <w:t>II cyklu planistycznym 2020]</w:t>
      </w:r>
    </w:p>
    <w:p w14:paraId="1BA6944C" w14:textId="77777777" w:rsidR="00567ACB" w:rsidRPr="003E107C" w:rsidRDefault="00567ACB" w:rsidP="00567ACB">
      <w:pPr>
        <w:autoSpaceDE w:val="0"/>
        <w:autoSpaceDN w:val="0"/>
        <w:adjustRightInd w:val="0"/>
        <w:jc w:val="both"/>
        <w:rPr>
          <w:sz w:val="22"/>
        </w:rPr>
      </w:pPr>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2122"/>
        <w:gridCol w:w="3401"/>
        <w:gridCol w:w="2972"/>
      </w:tblGrid>
      <w:tr w:rsidR="00107FCF" w:rsidRPr="00507221" w14:paraId="7E234CEC" w14:textId="77777777" w:rsidTr="006A3BC1">
        <w:trPr>
          <w:trHeight w:val="325"/>
        </w:trPr>
        <w:tc>
          <w:tcPr>
            <w:tcW w:w="1249" w:type="pct"/>
            <w:tcBorders>
              <w:bottom w:val="single" w:sz="12" w:space="0" w:color="7ECBED"/>
            </w:tcBorders>
            <w:shd w:val="clear" w:color="auto" w:fill="D4EDF9"/>
          </w:tcPr>
          <w:p w14:paraId="4AA217C3" w14:textId="77777777" w:rsidR="00107FCF" w:rsidRPr="00507221" w:rsidRDefault="00107FCF" w:rsidP="00507221">
            <w:pPr>
              <w:spacing w:before="60" w:after="60"/>
              <w:jc w:val="center"/>
              <w:rPr>
                <w:b/>
                <w:bCs/>
              </w:rPr>
            </w:pPr>
            <w:r w:rsidRPr="00507221">
              <w:t>Przedział</w:t>
            </w:r>
          </w:p>
        </w:tc>
        <w:tc>
          <w:tcPr>
            <w:tcW w:w="2002" w:type="pct"/>
            <w:tcBorders>
              <w:bottom w:val="single" w:sz="12" w:space="0" w:color="7ECBED"/>
            </w:tcBorders>
            <w:shd w:val="clear" w:color="auto" w:fill="D4EDF9"/>
          </w:tcPr>
          <w:p w14:paraId="47766224" w14:textId="77777777" w:rsidR="00107FCF" w:rsidRPr="00507221" w:rsidRDefault="00107FCF" w:rsidP="00507221">
            <w:pPr>
              <w:autoSpaceDE w:val="0"/>
              <w:autoSpaceDN w:val="0"/>
              <w:adjustRightInd w:val="0"/>
              <w:jc w:val="center"/>
              <w:rPr>
                <w:b/>
                <w:bCs/>
              </w:rPr>
            </w:pPr>
            <w:r w:rsidRPr="00507221">
              <w:t>Głębokość wody (h)</w:t>
            </w:r>
          </w:p>
          <w:p w14:paraId="239FD1CD" w14:textId="77777777" w:rsidR="00107FCF" w:rsidRPr="00507221" w:rsidRDefault="00107FCF" w:rsidP="00507221">
            <w:pPr>
              <w:autoSpaceDE w:val="0"/>
              <w:autoSpaceDN w:val="0"/>
              <w:adjustRightInd w:val="0"/>
              <w:jc w:val="center"/>
              <w:rPr>
                <w:b/>
                <w:bCs/>
              </w:rPr>
            </w:pPr>
            <w:r w:rsidRPr="00507221">
              <w:t>[m]</w:t>
            </w:r>
          </w:p>
        </w:tc>
        <w:tc>
          <w:tcPr>
            <w:tcW w:w="1749" w:type="pct"/>
            <w:tcBorders>
              <w:bottom w:val="single" w:sz="12" w:space="0" w:color="7ECBED"/>
            </w:tcBorders>
            <w:shd w:val="clear" w:color="auto" w:fill="D4EDF9"/>
          </w:tcPr>
          <w:p w14:paraId="45406D54" w14:textId="77777777" w:rsidR="00107FCF" w:rsidRPr="00507221" w:rsidRDefault="00107FCF" w:rsidP="00507221">
            <w:pPr>
              <w:autoSpaceDE w:val="0"/>
              <w:autoSpaceDN w:val="0"/>
              <w:adjustRightInd w:val="0"/>
              <w:jc w:val="center"/>
              <w:rPr>
                <w:b/>
                <w:bCs/>
              </w:rPr>
            </w:pPr>
            <w:r w:rsidRPr="00507221">
              <w:t>Utrata wartości majątku f(h)</w:t>
            </w:r>
          </w:p>
          <w:p w14:paraId="53AF10C6" w14:textId="77777777" w:rsidR="00107FCF" w:rsidRPr="00507221" w:rsidRDefault="00107FCF" w:rsidP="00507221">
            <w:pPr>
              <w:autoSpaceDE w:val="0"/>
              <w:autoSpaceDN w:val="0"/>
              <w:adjustRightInd w:val="0"/>
              <w:jc w:val="center"/>
              <w:rPr>
                <w:b/>
                <w:bCs/>
              </w:rPr>
            </w:pPr>
            <w:r w:rsidRPr="00507221">
              <w:t>[%]</w:t>
            </w:r>
          </w:p>
        </w:tc>
      </w:tr>
      <w:tr w:rsidR="00107FCF" w:rsidRPr="00507221" w14:paraId="57AC5223" w14:textId="77777777" w:rsidTr="006A3BC1">
        <w:tc>
          <w:tcPr>
            <w:tcW w:w="1249" w:type="pct"/>
          </w:tcPr>
          <w:p w14:paraId="2B4B0780" w14:textId="77777777" w:rsidR="00107FCF" w:rsidRPr="00507221" w:rsidRDefault="00107FCF" w:rsidP="00507221">
            <w:pPr>
              <w:spacing w:before="60" w:after="60"/>
              <w:jc w:val="center"/>
              <w:rPr>
                <w:b/>
                <w:bCs/>
              </w:rPr>
            </w:pPr>
            <w:r w:rsidRPr="00507221">
              <w:t>1</w:t>
            </w:r>
          </w:p>
        </w:tc>
        <w:tc>
          <w:tcPr>
            <w:tcW w:w="2002" w:type="pct"/>
          </w:tcPr>
          <w:p w14:paraId="786B8673" w14:textId="77777777" w:rsidR="00107FCF" w:rsidRPr="00507221" w:rsidRDefault="00107FCF" w:rsidP="00507221">
            <w:pPr>
              <w:spacing w:before="60" w:after="60"/>
              <w:jc w:val="center"/>
            </w:pPr>
            <w:r w:rsidRPr="00507221">
              <w:t>h &lt; 0,5</w:t>
            </w:r>
          </w:p>
        </w:tc>
        <w:tc>
          <w:tcPr>
            <w:tcW w:w="1749" w:type="pct"/>
          </w:tcPr>
          <w:p w14:paraId="5011D885" w14:textId="77777777" w:rsidR="00107FCF" w:rsidRPr="00507221" w:rsidRDefault="00107FCF" w:rsidP="00507221">
            <w:pPr>
              <w:spacing w:before="60" w:after="60"/>
              <w:jc w:val="center"/>
            </w:pPr>
            <w:r w:rsidRPr="00507221">
              <w:t>20</w:t>
            </w:r>
          </w:p>
        </w:tc>
      </w:tr>
      <w:tr w:rsidR="00107FCF" w:rsidRPr="00507221" w14:paraId="118EAFEB" w14:textId="77777777" w:rsidTr="006A3BC1">
        <w:tc>
          <w:tcPr>
            <w:tcW w:w="1249" w:type="pct"/>
          </w:tcPr>
          <w:p w14:paraId="08D7F12B" w14:textId="77777777" w:rsidR="00107FCF" w:rsidRPr="00507221" w:rsidRDefault="00107FCF" w:rsidP="00507221">
            <w:pPr>
              <w:spacing w:before="60" w:after="60"/>
              <w:jc w:val="center"/>
              <w:rPr>
                <w:b/>
                <w:bCs/>
              </w:rPr>
            </w:pPr>
            <w:r w:rsidRPr="00507221">
              <w:t>2</w:t>
            </w:r>
          </w:p>
        </w:tc>
        <w:tc>
          <w:tcPr>
            <w:tcW w:w="2002" w:type="pct"/>
          </w:tcPr>
          <w:p w14:paraId="5F4BBA0A" w14:textId="77777777" w:rsidR="00107FCF" w:rsidRPr="00507221" w:rsidRDefault="00107FCF" w:rsidP="00507221">
            <w:pPr>
              <w:spacing w:before="60" w:after="60"/>
              <w:jc w:val="center"/>
            </w:pPr>
            <w:r w:rsidRPr="00507221">
              <w:t>0,5 &lt; h &lt;= 2</w:t>
            </w:r>
          </w:p>
        </w:tc>
        <w:tc>
          <w:tcPr>
            <w:tcW w:w="1749" w:type="pct"/>
          </w:tcPr>
          <w:p w14:paraId="772CED0B" w14:textId="77777777" w:rsidR="00107FCF" w:rsidRPr="00507221" w:rsidRDefault="00107FCF" w:rsidP="00507221">
            <w:pPr>
              <w:spacing w:before="60" w:after="60"/>
              <w:jc w:val="center"/>
            </w:pPr>
            <w:r w:rsidRPr="00507221">
              <w:t>35</w:t>
            </w:r>
          </w:p>
        </w:tc>
      </w:tr>
      <w:tr w:rsidR="00107FCF" w:rsidRPr="00507221" w14:paraId="67CC9D43" w14:textId="77777777" w:rsidTr="006A3BC1">
        <w:tc>
          <w:tcPr>
            <w:tcW w:w="1249" w:type="pct"/>
          </w:tcPr>
          <w:p w14:paraId="29FF73A9" w14:textId="77777777" w:rsidR="00107FCF" w:rsidRPr="00507221" w:rsidRDefault="00107FCF" w:rsidP="00507221">
            <w:pPr>
              <w:spacing w:before="60" w:after="60"/>
              <w:jc w:val="center"/>
              <w:rPr>
                <w:b/>
                <w:bCs/>
              </w:rPr>
            </w:pPr>
            <w:r w:rsidRPr="00507221">
              <w:t>3</w:t>
            </w:r>
          </w:p>
        </w:tc>
        <w:tc>
          <w:tcPr>
            <w:tcW w:w="2002" w:type="pct"/>
          </w:tcPr>
          <w:p w14:paraId="4804D118" w14:textId="77777777" w:rsidR="00107FCF" w:rsidRPr="00507221" w:rsidRDefault="00107FCF" w:rsidP="00507221">
            <w:pPr>
              <w:spacing w:before="60" w:after="60"/>
              <w:jc w:val="center"/>
            </w:pPr>
            <w:r w:rsidRPr="00507221">
              <w:t>2 &lt; h &lt;= 4</w:t>
            </w:r>
          </w:p>
        </w:tc>
        <w:tc>
          <w:tcPr>
            <w:tcW w:w="1749" w:type="pct"/>
          </w:tcPr>
          <w:p w14:paraId="7BD6501F" w14:textId="77777777" w:rsidR="00107FCF" w:rsidRPr="00507221" w:rsidRDefault="00107FCF" w:rsidP="00507221">
            <w:pPr>
              <w:spacing w:before="60" w:after="60"/>
              <w:jc w:val="center"/>
            </w:pPr>
            <w:r w:rsidRPr="00507221">
              <w:t>60</w:t>
            </w:r>
          </w:p>
        </w:tc>
      </w:tr>
      <w:tr w:rsidR="00107FCF" w:rsidRPr="00507221" w14:paraId="70E799A9" w14:textId="77777777" w:rsidTr="006A3BC1">
        <w:tc>
          <w:tcPr>
            <w:tcW w:w="1249" w:type="pct"/>
          </w:tcPr>
          <w:p w14:paraId="2FB9F1AD" w14:textId="77777777" w:rsidR="00107FCF" w:rsidRPr="00507221" w:rsidRDefault="00107FCF" w:rsidP="00507221">
            <w:pPr>
              <w:spacing w:before="60" w:after="60"/>
              <w:jc w:val="center"/>
              <w:rPr>
                <w:b/>
                <w:bCs/>
              </w:rPr>
            </w:pPr>
            <w:r w:rsidRPr="00507221">
              <w:t>4</w:t>
            </w:r>
          </w:p>
        </w:tc>
        <w:tc>
          <w:tcPr>
            <w:tcW w:w="2002" w:type="pct"/>
          </w:tcPr>
          <w:p w14:paraId="0B7947A0" w14:textId="77777777" w:rsidR="00107FCF" w:rsidRPr="00507221" w:rsidRDefault="00107FCF" w:rsidP="00507221">
            <w:pPr>
              <w:spacing w:before="60" w:after="60"/>
              <w:jc w:val="center"/>
            </w:pPr>
            <w:r w:rsidRPr="00507221">
              <w:t>h &gt; 4</w:t>
            </w:r>
          </w:p>
        </w:tc>
        <w:tc>
          <w:tcPr>
            <w:tcW w:w="1749" w:type="pct"/>
          </w:tcPr>
          <w:p w14:paraId="46BD8D6E" w14:textId="77777777" w:rsidR="00107FCF" w:rsidRPr="00507221" w:rsidRDefault="00107FCF" w:rsidP="00507221">
            <w:pPr>
              <w:spacing w:before="60" w:after="60"/>
              <w:jc w:val="center"/>
            </w:pPr>
            <w:r w:rsidRPr="00507221">
              <w:t>95</w:t>
            </w:r>
          </w:p>
        </w:tc>
      </w:tr>
    </w:tbl>
    <w:p w14:paraId="7FFEED64" w14:textId="52BC403A" w:rsidR="00107FCF" w:rsidRDefault="00EA50FC" w:rsidP="006D41A7">
      <w:pPr>
        <w:pStyle w:val="ReportLevel3"/>
        <w:numPr>
          <w:ilvl w:val="2"/>
          <w:numId w:val="4"/>
        </w:numPr>
      </w:pPr>
      <w:r>
        <w:br w:type="column"/>
      </w:r>
      <w:r w:rsidR="00107FCF" w:rsidRPr="00230759">
        <w:lastRenderedPageBreak/>
        <w:t xml:space="preserve">Klasa </w:t>
      </w:r>
      <w:r w:rsidR="00107FCF">
        <w:t>2</w:t>
      </w:r>
      <w:r w:rsidR="00107FCF" w:rsidRPr="00230759">
        <w:t xml:space="preserve"> – </w:t>
      </w:r>
      <w:r w:rsidR="00107FCF" w:rsidRPr="00F77F24">
        <w:t xml:space="preserve">tereny </w:t>
      </w:r>
      <w:r w:rsidR="00107FCF">
        <w:t>przemysłowe</w:t>
      </w:r>
    </w:p>
    <w:p w14:paraId="71E5FF0D" w14:textId="0E4DED95" w:rsidR="00107FCF" w:rsidRPr="00567ACB" w:rsidRDefault="00107FCF" w:rsidP="00230759">
      <w:pPr>
        <w:autoSpaceDE w:val="0"/>
        <w:autoSpaceDN w:val="0"/>
        <w:adjustRightInd w:val="0"/>
        <w:jc w:val="both"/>
        <w:rPr>
          <w:lang w:eastAsia="en-US"/>
        </w:rPr>
      </w:pPr>
      <w:r w:rsidRPr="00133617">
        <w:rPr>
          <w:szCs w:val="20"/>
          <w:lang w:eastAsia="en-US"/>
        </w:rPr>
        <w:t>W zależności od sposobu oddziaływania powodzi, potencjalne straty powodziowe w</w:t>
      </w:r>
      <w:r w:rsidR="00567ACB">
        <w:rPr>
          <w:szCs w:val="20"/>
          <w:lang w:eastAsia="en-US"/>
        </w:rPr>
        <w:t> </w:t>
      </w:r>
      <w:r w:rsidRPr="00133617">
        <w:rPr>
          <w:szCs w:val="20"/>
          <w:lang w:eastAsia="en-US"/>
        </w:rPr>
        <w:t>klasie 2 można</w:t>
      </w:r>
      <w:r>
        <w:rPr>
          <w:szCs w:val="20"/>
          <w:lang w:eastAsia="en-US"/>
        </w:rPr>
        <w:t xml:space="preserve"> </w:t>
      </w:r>
      <w:r w:rsidRPr="00567ACB">
        <w:rPr>
          <w:lang w:eastAsia="en-US"/>
        </w:rPr>
        <w:t>podzielić na dwa rodzaje:</w:t>
      </w:r>
    </w:p>
    <w:p w14:paraId="1F767AF4" w14:textId="77777777" w:rsidR="00107FCF" w:rsidRPr="00567ACB" w:rsidRDefault="00107FCF" w:rsidP="00230759">
      <w:pPr>
        <w:autoSpaceDE w:val="0"/>
        <w:autoSpaceDN w:val="0"/>
        <w:adjustRightInd w:val="0"/>
        <w:jc w:val="both"/>
        <w:rPr>
          <w:lang w:eastAsia="en-US"/>
        </w:rPr>
      </w:pPr>
    </w:p>
    <w:p w14:paraId="1F57A567" w14:textId="77777777" w:rsidR="00107FCF" w:rsidRPr="00567ACB" w:rsidRDefault="00107FCF" w:rsidP="006D41A7">
      <w:pPr>
        <w:pStyle w:val="Akapitzlist"/>
        <w:numPr>
          <w:ilvl w:val="0"/>
          <w:numId w:val="28"/>
        </w:numPr>
        <w:autoSpaceDE w:val="0"/>
        <w:autoSpaceDN w:val="0"/>
        <w:adjustRightInd w:val="0"/>
        <w:ind w:left="567" w:hanging="425"/>
        <w:jc w:val="both"/>
        <w:rPr>
          <w:sz w:val="24"/>
          <w:szCs w:val="24"/>
          <w:lang w:eastAsia="en-US"/>
        </w:rPr>
      </w:pPr>
      <w:r w:rsidRPr="00567ACB">
        <w:rPr>
          <w:sz w:val="24"/>
          <w:szCs w:val="24"/>
          <w:lang w:eastAsia="en-US"/>
        </w:rPr>
        <w:t>Straty bezpośrednie – najważniejsze z nich to: uszkodzenia i/lub utrata majątku trwałego oraz majątku obrotowego, strata dokumentacji, archiwów;</w:t>
      </w:r>
    </w:p>
    <w:p w14:paraId="00713431" w14:textId="77777777" w:rsidR="00107FCF" w:rsidRPr="00567ACB" w:rsidRDefault="00107FCF" w:rsidP="006D41A7">
      <w:pPr>
        <w:pStyle w:val="Akapitzlist"/>
        <w:numPr>
          <w:ilvl w:val="0"/>
          <w:numId w:val="28"/>
        </w:numPr>
        <w:autoSpaceDE w:val="0"/>
        <w:autoSpaceDN w:val="0"/>
        <w:adjustRightInd w:val="0"/>
        <w:ind w:left="567" w:hanging="425"/>
        <w:jc w:val="both"/>
        <w:rPr>
          <w:sz w:val="24"/>
          <w:szCs w:val="24"/>
          <w:lang w:eastAsia="en-US"/>
        </w:rPr>
      </w:pPr>
      <w:r w:rsidRPr="00567ACB">
        <w:rPr>
          <w:sz w:val="24"/>
          <w:szCs w:val="24"/>
          <w:lang w:eastAsia="en-US"/>
        </w:rPr>
        <w:t>Straty pośrednie – najważniejsze z nich to: wydatki na sprzątanie, wydatki związane z przeniesieniem majątku ruchomego, straty w produkcji/przerwanie procesu produkcji.</w:t>
      </w:r>
    </w:p>
    <w:p w14:paraId="11EBF220" w14:textId="77777777" w:rsidR="00107FCF" w:rsidRPr="00567ACB" w:rsidRDefault="00107FCF" w:rsidP="00230759">
      <w:pPr>
        <w:autoSpaceDE w:val="0"/>
        <w:autoSpaceDN w:val="0"/>
        <w:adjustRightInd w:val="0"/>
        <w:jc w:val="both"/>
        <w:rPr>
          <w:lang w:eastAsia="en-US"/>
        </w:rPr>
      </w:pPr>
    </w:p>
    <w:p w14:paraId="23B4838E" w14:textId="77777777" w:rsidR="00107FCF" w:rsidRPr="00567ACB" w:rsidRDefault="00107FCF" w:rsidP="00230759">
      <w:pPr>
        <w:autoSpaceDE w:val="0"/>
        <w:autoSpaceDN w:val="0"/>
        <w:adjustRightInd w:val="0"/>
        <w:jc w:val="both"/>
        <w:rPr>
          <w:lang w:eastAsia="en-US"/>
        </w:rPr>
      </w:pPr>
      <w:r w:rsidRPr="00567ACB">
        <w:rPr>
          <w:lang w:eastAsia="en-US"/>
        </w:rPr>
        <w:t>Potencjalne straty powodziowe w klasie 2 to suma strat bezpośrednich i pośrednich.</w:t>
      </w:r>
    </w:p>
    <w:p w14:paraId="5F2799F7" w14:textId="77777777" w:rsidR="00107FCF" w:rsidRPr="00567ACB" w:rsidRDefault="00107FCF" w:rsidP="00230759">
      <w:pPr>
        <w:autoSpaceDE w:val="0"/>
        <w:autoSpaceDN w:val="0"/>
        <w:adjustRightInd w:val="0"/>
        <w:jc w:val="both"/>
        <w:rPr>
          <w:lang w:eastAsia="en-US"/>
        </w:rPr>
      </w:pPr>
    </w:p>
    <w:p w14:paraId="0D4A83D8" w14:textId="77777777" w:rsidR="00107FCF" w:rsidRPr="00567ACB" w:rsidRDefault="00107FCF" w:rsidP="00230759">
      <w:pPr>
        <w:autoSpaceDE w:val="0"/>
        <w:autoSpaceDN w:val="0"/>
        <w:adjustRightInd w:val="0"/>
        <w:jc w:val="both"/>
        <w:rPr>
          <w:lang w:eastAsia="en-US"/>
        </w:rPr>
      </w:pPr>
      <w:r w:rsidRPr="00567ACB">
        <w:rPr>
          <w:lang w:eastAsia="en-US"/>
        </w:rPr>
        <w:t>Jednostkowe straty bezpośrednie wylicza się na podstawie wartości majątku dla terenów</w:t>
      </w:r>
    </w:p>
    <w:p w14:paraId="7EB0AEDC" w14:textId="34B28013" w:rsidR="00107FCF" w:rsidRPr="00567ACB" w:rsidRDefault="00107FCF" w:rsidP="00230759">
      <w:pPr>
        <w:autoSpaceDE w:val="0"/>
        <w:autoSpaceDN w:val="0"/>
        <w:adjustRightInd w:val="0"/>
        <w:jc w:val="both"/>
      </w:pPr>
      <w:r w:rsidRPr="00567ACB">
        <w:rPr>
          <w:lang w:eastAsia="en-US"/>
        </w:rPr>
        <w:t>przemysłowych oraz wartości funkcji strat wiążącej głębokość wody z utratą wartości dla klasy 2. Wartość majątku dla terenów przemysłowych obliczono dzieląc wartość brutto środków trwałych dla przemysłu przez powierzchnię terenów przemysłowych. Obliczeń dokonano w podziale na województwa, wykorzystując dane GUS z 2016 r. o</w:t>
      </w:r>
      <w:r w:rsidR="00567ACB">
        <w:rPr>
          <w:lang w:eastAsia="en-US"/>
        </w:rPr>
        <w:t> </w:t>
      </w:r>
      <w:r w:rsidRPr="00567ACB">
        <w:rPr>
          <w:lang w:eastAsia="en-US"/>
        </w:rPr>
        <w:t xml:space="preserve">powierzchni terenów przemysłowych oraz wartości brutto środków trwałych. Ze względu na brak jednolitych danych przestrzennych o rodzaju przemysłu oraz brak możliwości określenia wartości majątku obrotowego jako miernik strat bezpośrednich przyjęto wartość brutto środków trwałych w poszczególnych województwach odniesioną do powierzchni terenów przemysłowych. </w:t>
      </w:r>
      <w:r w:rsidRPr="00567ACB">
        <w:t xml:space="preserve">Wartości te </w:t>
      </w:r>
      <w:r w:rsidRPr="00567ACB">
        <w:rPr>
          <w:lang w:eastAsia="en-US"/>
        </w:rPr>
        <w:t xml:space="preserve">zostały poddane indeksacji </w:t>
      </w:r>
      <w:r w:rsidRPr="00567ACB">
        <w:t>o wzrost wskaźników w latach 2016-2019 oraz powiększone o niżej opisane narzuty:</w:t>
      </w:r>
    </w:p>
    <w:p w14:paraId="5B31335E" w14:textId="77777777" w:rsidR="00107FCF" w:rsidRPr="00567ACB" w:rsidRDefault="00107FCF" w:rsidP="00230759">
      <w:pPr>
        <w:autoSpaceDE w:val="0"/>
        <w:autoSpaceDN w:val="0"/>
        <w:adjustRightInd w:val="0"/>
        <w:jc w:val="both"/>
      </w:pPr>
    </w:p>
    <w:p w14:paraId="098C8A53" w14:textId="2047C415" w:rsidR="00107FCF" w:rsidRPr="00567ACB" w:rsidRDefault="00107FCF" w:rsidP="006D41A7">
      <w:pPr>
        <w:pStyle w:val="Akapitzlist"/>
        <w:numPr>
          <w:ilvl w:val="0"/>
          <w:numId w:val="29"/>
        </w:numPr>
        <w:autoSpaceDE w:val="0"/>
        <w:autoSpaceDN w:val="0"/>
        <w:adjustRightInd w:val="0"/>
        <w:ind w:left="567" w:hanging="425"/>
        <w:jc w:val="both"/>
        <w:rPr>
          <w:sz w:val="24"/>
          <w:szCs w:val="24"/>
          <w:lang w:eastAsia="en-US"/>
        </w:rPr>
      </w:pPr>
      <w:r w:rsidRPr="00567ACB">
        <w:rPr>
          <w:sz w:val="24"/>
          <w:szCs w:val="24"/>
          <w:lang w:eastAsia="en-US"/>
        </w:rPr>
        <w:t xml:space="preserve">Uwzględnienie wartości zapasów w stratach bezpośrednich </w:t>
      </w:r>
      <w:r w:rsidRPr="00567ACB">
        <w:rPr>
          <w:sz w:val="24"/>
          <w:szCs w:val="24"/>
        </w:rPr>
        <w:t>pośrednich (zgodne z</w:t>
      </w:r>
      <w:r w:rsidR="00567ACB">
        <w:rPr>
          <w:sz w:val="24"/>
          <w:szCs w:val="24"/>
        </w:rPr>
        <w:t> </w:t>
      </w:r>
      <w:r w:rsidRPr="00567ACB">
        <w:rPr>
          <w:sz w:val="24"/>
          <w:szCs w:val="24"/>
        </w:rPr>
        <w:t>obliczeniami na podstawie PZRP dla obszarów dorzeczy i Regionów Wodnych);</w:t>
      </w:r>
    </w:p>
    <w:p w14:paraId="6FA33837" w14:textId="77777777" w:rsidR="00107FCF" w:rsidRPr="00567ACB" w:rsidRDefault="00107FCF" w:rsidP="006D41A7">
      <w:pPr>
        <w:pStyle w:val="Akapitzlist"/>
        <w:numPr>
          <w:ilvl w:val="0"/>
          <w:numId w:val="27"/>
        </w:numPr>
        <w:autoSpaceDE w:val="0"/>
        <w:autoSpaceDN w:val="0"/>
        <w:adjustRightInd w:val="0"/>
        <w:spacing w:beforeLines="120" w:before="288" w:afterLines="120" w:after="288" w:line="260" w:lineRule="atLeast"/>
        <w:ind w:left="567" w:hanging="425"/>
        <w:jc w:val="both"/>
        <w:rPr>
          <w:sz w:val="24"/>
          <w:szCs w:val="24"/>
        </w:rPr>
      </w:pPr>
      <w:r w:rsidRPr="00567ACB">
        <w:rPr>
          <w:sz w:val="24"/>
          <w:szCs w:val="24"/>
        </w:rPr>
        <w:t>Uwzględnienie wskaźnika strat pośrednich (zgodne z podejściem z PZRP dla obszarów dorzeczy i Regionów Wodnych, jako 80% wartości strat bezpośrednich).</w:t>
      </w:r>
    </w:p>
    <w:p w14:paraId="63B07A4F" w14:textId="4D2652C7" w:rsidR="00107FCF" w:rsidRDefault="00107FCF" w:rsidP="00230759">
      <w:pPr>
        <w:autoSpaceDE w:val="0"/>
        <w:autoSpaceDN w:val="0"/>
        <w:adjustRightInd w:val="0"/>
        <w:jc w:val="both"/>
        <w:rPr>
          <w:szCs w:val="20"/>
          <w:lang w:eastAsia="en-US"/>
        </w:rPr>
      </w:pPr>
      <w:r w:rsidRPr="00567ACB">
        <w:rPr>
          <w:lang w:eastAsia="en-US"/>
        </w:rPr>
        <w:t xml:space="preserve">Wartość majątku dla terenów przemysłowych przedstawia </w:t>
      </w:r>
      <w:r>
        <w:rPr>
          <w:szCs w:val="20"/>
          <w:lang w:eastAsia="en-US"/>
        </w:rPr>
        <w:fldChar w:fldCharType="begin"/>
      </w:r>
      <w:r>
        <w:rPr>
          <w:szCs w:val="20"/>
          <w:lang w:eastAsia="en-US"/>
        </w:rPr>
        <w:instrText xml:space="preserve"> REF _Ref79498800 \h </w:instrText>
      </w:r>
      <w:r>
        <w:rPr>
          <w:szCs w:val="20"/>
          <w:lang w:eastAsia="en-US"/>
        </w:rPr>
      </w:r>
      <w:r>
        <w:rPr>
          <w:szCs w:val="20"/>
          <w:lang w:eastAsia="en-US"/>
        </w:rPr>
        <w:fldChar w:fldCharType="separate"/>
      </w:r>
      <w:r w:rsidR="00AC4DF9" w:rsidRPr="003E107C">
        <w:rPr>
          <w:szCs w:val="28"/>
        </w:rPr>
        <w:t xml:space="preserve">Tabela </w:t>
      </w:r>
      <w:r w:rsidR="00AC4DF9">
        <w:rPr>
          <w:noProof/>
          <w:szCs w:val="28"/>
        </w:rPr>
        <w:t>4</w:t>
      </w:r>
      <w:r>
        <w:rPr>
          <w:szCs w:val="20"/>
          <w:lang w:eastAsia="en-US"/>
        </w:rPr>
        <w:fldChar w:fldCharType="end"/>
      </w:r>
      <w:r w:rsidRPr="00133617">
        <w:rPr>
          <w:szCs w:val="20"/>
          <w:lang w:eastAsia="en-US"/>
        </w:rPr>
        <w:t>.</w:t>
      </w:r>
    </w:p>
    <w:p w14:paraId="55C97B99" w14:textId="2D979285" w:rsidR="00EA50FC" w:rsidRDefault="00EA50FC" w:rsidP="00230759">
      <w:pPr>
        <w:autoSpaceDE w:val="0"/>
        <w:autoSpaceDN w:val="0"/>
        <w:adjustRightInd w:val="0"/>
        <w:jc w:val="both"/>
        <w:rPr>
          <w:szCs w:val="20"/>
          <w:lang w:eastAsia="en-US"/>
        </w:rPr>
      </w:pPr>
    </w:p>
    <w:p w14:paraId="04510AEF" w14:textId="73E760AB" w:rsidR="00107FCF" w:rsidRDefault="00107FCF">
      <w:pPr>
        <w:rPr>
          <w:sz w:val="22"/>
        </w:rPr>
      </w:pPr>
    </w:p>
    <w:p w14:paraId="341D2B52" w14:textId="689A6F85" w:rsidR="00107FCF" w:rsidRPr="003E107C" w:rsidRDefault="00107FCF" w:rsidP="00567ACB">
      <w:pPr>
        <w:pStyle w:val="Legenda"/>
        <w:tabs>
          <w:tab w:val="clear" w:pos="1080"/>
          <w:tab w:val="left" w:pos="1418"/>
        </w:tabs>
        <w:ind w:left="1134" w:hanging="1134"/>
        <w:jc w:val="both"/>
        <w:rPr>
          <w:sz w:val="24"/>
          <w:szCs w:val="28"/>
        </w:rPr>
      </w:pPr>
      <w:bookmarkStart w:id="67" w:name="_Ref79498800"/>
      <w:bookmarkStart w:id="68" w:name="_Toc80608757"/>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4</w:t>
      </w:r>
      <w:r w:rsidR="00290AD4">
        <w:rPr>
          <w:sz w:val="24"/>
          <w:szCs w:val="28"/>
        </w:rPr>
        <w:fldChar w:fldCharType="end"/>
      </w:r>
      <w:bookmarkEnd w:id="67"/>
      <w:r w:rsidR="00567ACB">
        <w:rPr>
          <w:sz w:val="24"/>
          <w:szCs w:val="28"/>
        </w:rPr>
        <w:tab/>
      </w:r>
      <w:r w:rsidRPr="003E107C">
        <w:rPr>
          <w:sz w:val="24"/>
          <w:szCs w:val="28"/>
        </w:rPr>
        <w:t xml:space="preserve">Wartość mienia prywatnego na terenach zabudowy </w:t>
      </w:r>
      <w:r w:rsidR="005A0B07">
        <w:rPr>
          <w:sz w:val="24"/>
          <w:szCs w:val="28"/>
        </w:rPr>
        <w:t>przemysło</w:t>
      </w:r>
      <w:r w:rsidRPr="003E107C">
        <w:rPr>
          <w:sz w:val="24"/>
          <w:szCs w:val="28"/>
        </w:rPr>
        <w:t>wej uwzględniające wskaźnik straty pośredniej</w:t>
      </w:r>
      <w:bookmarkEnd w:id="68"/>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4247"/>
        <w:gridCol w:w="4248"/>
      </w:tblGrid>
      <w:tr w:rsidR="00107FCF" w:rsidRPr="00507221" w14:paraId="4AC1EC49" w14:textId="77777777" w:rsidTr="006A3BC1">
        <w:trPr>
          <w:trHeight w:val="325"/>
        </w:trPr>
        <w:tc>
          <w:tcPr>
            <w:tcW w:w="2500" w:type="pct"/>
            <w:tcBorders>
              <w:bottom w:val="single" w:sz="12" w:space="0" w:color="7ECBED"/>
            </w:tcBorders>
            <w:shd w:val="clear" w:color="auto" w:fill="D4EDF9"/>
          </w:tcPr>
          <w:p w14:paraId="5E13C0FA" w14:textId="77777777" w:rsidR="00107FCF" w:rsidRPr="00507221" w:rsidRDefault="00107FCF" w:rsidP="00507221">
            <w:pPr>
              <w:spacing w:before="60" w:after="60"/>
              <w:jc w:val="center"/>
              <w:rPr>
                <w:b/>
                <w:bCs/>
                <w:highlight w:val="green"/>
              </w:rPr>
            </w:pPr>
            <w:r w:rsidRPr="00507221">
              <w:t>Województwo</w:t>
            </w:r>
          </w:p>
        </w:tc>
        <w:tc>
          <w:tcPr>
            <w:tcW w:w="2500" w:type="pct"/>
            <w:tcBorders>
              <w:bottom w:val="single" w:sz="12" w:space="0" w:color="7ECBED"/>
            </w:tcBorders>
            <w:shd w:val="clear" w:color="auto" w:fill="D4EDF9"/>
          </w:tcPr>
          <w:p w14:paraId="36DF2F02" w14:textId="77777777" w:rsidR="00107FCF" w:rsidRPr="00507221" w:rsidRDefault="00107FCF" w:rsidP="00507221">
            <w:pPr>
              <w:autoSpaceDE w:val="0"/>
              <w:autoSpaceDN w:val="0"/>
              <w:adjustRightInd w:val="0"/>
              <w:jc w:val="center"/>
              <w:rPr>
                <w:b/>
                <w:bCs/>
              </w:rPr>
            </w:pPr>
            <w:r w:rsidRPr="00507221">
              <w:t>Wartość majątku na terenach zabudowy przemysłowej w 2019 r.</w:t>
            </w:r>
          </w:p>
          <w:p w14:paraId="2B1B20B1" w14:textId="77777777" w:rsidR="00107FCF" w:rsidRPr="00507221" w:rsidRDefault="00107FCF" w:rsidP="00507221">
            <w:pPr>
              <w:autoSpaceDE w:val="0"/>
              <w:autoSpaceDN w:val="0"/>
              <w:adjustRightInd w:val="0"/>
              <w:jc w:val="center"/>
              <w:rPr>
                <w:b/>
                <w:bCs/>
              </w:rPr>
            </w:pPr>
            <w:r w:rsidRPr="00507221">
              <w:t>[PLN/m</w:t>
            </w:r>
            <w:r w:rsidRPr="00507221">
              <w:rPr>
                <w:vertAlign w:val="superscript"/>
              </w:rPr>
              <w:t>2</w:t>
            </w:r>
            <w:r w:rsidRPr="00507221">
              <w:t>]</w:t>
            </w:r>
          </w:p>
        </w:tc>
      </w:tr>
      <w:tr w:rsidR="00107FCF" w:rsidRPr="00507221" w14:paraId="3FC05692" w14:textId="77777777" w:rsidTr="006A3BC1">
        <w:tc>
          <w:tcPr>
            <w:tcW w:w="2500" w:type="pct"/>
          </w:tcPr>
          <w:p w14:paraId="0C927906" w14:textId="77777777" w:rsidR="00107FCF" w:rsidRPr="00507221" w:rsidRDefault="00107FCF" w:rsidP="00507221">
            <w:pPr>
              <w:spacing w:before="60" w:after="60"/>
              <w:jc w:val="center"/>
              <w:rPr>
                <w:b/>
                <w:bCs/>
              </w:rPr>
            </w:pPr>
            <w:r w:rsidRPr="00507221">
              <w:t>zachodniopomorskie</w:t>
            </w:r>
          </w:p>
        </w:tc>
        <w:tc>
          <w:tcPr>
            <w:tcW w:w="2500" w:type="pct"/>
          </w:tcPr>
          <w:p w14:paraId="6A39A01D" w14:textId="77777777" w:rsidR="00107FCF" w:rsidRPr="00507221" w:rsidRDefault="00107FCF" w:rsidP="00507221">
            <w:pPr>
              <w:spacing w:before="60" w:after="60"/>
              <w:jc w:val="center"/>
            </w:pPr>
            <w:r w:rsidRPr="00507221">
              <w:t>2077,77</w:t>
            </w:r>
          </w:p>
        </w:tc>
      </w:tr>
    </w:tbl>
    <w:p w14:paraId="50C5F74E" w14:textId="77777777" w:rsidR="00107FCF" w:rsidRDefault="00107FCF" w:rsidP="00230759">
      <w:pPr>
        <w:autoSpaceDE w:val="0"/>
        <w:autoSpaceDN w:val="0"/>
        <w:adjustRightInd w:val="0"/>
        <w:jc w:val="both"/>
        <w:rPr>
          <w:szCs w:val="20"/>
          <w:lang w:eastAsia="en-US"/>
        </w:rPr>
      </w:pPr>
    </w:p>
    <w:p w14:paraId="55AD4420" w14:textId="71DC9DD1" w:rsidR="00107FCF" w:rsidRDefault="00107FCF" w:rsidP="00230759">
      <w:pPr>
        <w:autoSpaceDE w:val="0"/>
        <w:autoSpaceDN w:val="0"/>
        <w:adjustRightInd w:val="0"/>
        <w:jc w:val="both"/>
        <w:rPr>
          <w:szCs w:val="20"/>
          <w:lang w:eastAsia="en-US"/>
        </w:rPr>
      </w:pPr>
      <w:r>
        <w:rPr>
          <w:szCs w:val="20"/>
          <w:lang w:eastAsia="en-US"/>
        </w:rPr>
        <w:t>Wysokość wartości u</w:t>
      </w:r>
      <w:r w:rsidRPr="00286B1D">
        <w:rPr>
          <w:szCs w:val="20"/>
          <w:lang w:eastAsia="en-US"/>
        </w:rPr>
        <w:t>trat</w:t>
      </w:r>
      <w:r>
        <w:rPr>
          <w:szCs w:val="20"/>
          <w:lang w:eastAsia="en-US"/>
        </w:rPr>
        <w:t xml:space="preserve">y </w:t>
      </w:r>
      <w:r w:rsidRPr="00286B1D">
        <w:rPr>
          <w:szCs w:val="20"/>
          <w:lang w:eastAsia="en-US"/>
        </w:rPr>
        <w:t xml:space="preserve">majątku </w:t>
      </w:r>
      <w:r w:rsidRPr="00B053EB">
        <w:t>na terenach zabudowy przemysłowej</w:t>
      </w:r>
      <w:r>
        <w:rPr>
          <w:szCs w:val="20"/>
          <w:lang w:eastAsia="en-US"/>
        </w:rPr>
        <w:t xml:space="preserve"> jest u</w:t>
      </w:r>
      <w:r w:rsidRPr="00286B1D">
        <w:rPr>
          <w:szCs w:val="20"/>
          <w:lang w:eastAsia="en-US"/>
        </w:rPr>
        <w:t>zależn</w:t>
      </w:r>
      <w:r>
        <w:rPr>
          <w:szCs w:val="20"/>
          <w:lang w:eastAsia="en-US"/>
        </w:rPr>
        <w:t>iona</w:t>
      </w:r>
      <w:r w:rsidRPr="00286B1D">
        <w:rPr>
          <w:szCs w:val="20"/>
          <w:lang w:eastAsia="en-US"/>
        </w:rPr>
        <w:t xml:space="preserve"> od głębokości wody</w:t>
      </w:r>
      <w:r>
        <w:rPr>
          <w:szCs w:val="20"/>
          <w:lang w:eastAsia="en-US"/>
        </w:rPr>
        <w:t xml:space="preserve">. </w:t>
      </w:r>
      <w:r w:rsidRPr="009070C9">
        <w:rPr>
          <w:szCs w:val="20"/>
          <w:lang w:eastAsia="en-US"/>
        </w:rPr>
        <w:t xml:space="preserve">Stopień utraty wartości majątku, </w:t>
      </w:r>
      <w:r>
        <w:rPr>
          <w:szCs w:val="20"/>
          <w:lang w:eastAsia="en-US"/>
        </w:rPr>
        <w:t xml:space="preserve">czyli </w:t>
      </w:r>
      <w:r w:rsidRPr="009070C9">
        <w:rPr>
          <w:szCs w:val="20"/>
          <w:lang w:eastAsia="en-US"/>
        </w:rPr>
        <w:t>funkcję strat przedstawia</w:t>
      </w:r>
      <w:r w:rsidR="006A3BC1">
        <w:rPr>
          <w:szCs w:val="20"/>
          <w:lang w:eastAsia="en-US"/>
        </w:rPr>
        <w:t xml:space="preserve"> Tabela 5</w:t>
      </w:r>
      <w:r>
        <w:rPr>
          <w:szCs w:val="20"/>
          <w:lang w:eastAsia="en-US"/>
        </w:rPr>
        <w:t>.</w:t>
      </w:r>
    </w:p>
    <w:p w14:paraId="731B62D4" w14:textId="77777777" w:rsidR="00107FCF" w:rsidRDefault="00107FCF" w:rsidP="00230759">
      <w:pPr>
        <w:autoSpaceDE w:val="0"/>
        <w:autoSpaceDN w:val="0"/>
        <w:adjustRightInd w:val="0"/>
        <w:jc w:val="both"/>
        <w:rPr>
          <w:szCs w:val="20"/>
          <w:lang w:eastAsia="en-US"/>
        </w:rPr>
      </w:pPr>
    </w:p>
    <w:p w14:paraId="7CAB4BBC" w14:textId="0D1BDD88" w:rsidR="00107FCF" w:rsidRPr="003E107C" w:rsidRDefault="00EA50FC" w:rsidP="00567ACB">
      <w:pPr>
        <w:autoSpaceDE w:val="0"/>
        <w:autoSpaceDN w:val="0"/>
        <w:adjustRightInd w:val="0"/>
        <w:ind w:left="1134" w:hanging="1134"/>
        <w:jc w:val="both"/>
        <w:rPr>
          <w:szCs w:val="28"/>
        </w:rPr>
      </w:pPr>
      <w:bookmarkStart w:id="69" w:name="_Ref79498834"/>
      <w:r>
        <w:rPr>
          <w:szCs w:val="28"/>
        </w:rPr>
        <w:br w:type="column"/>
      </w:r>
      <w:bookmarkStart w:id="70" w:name="_Toc80608758"/>
      <w:r w:rsidR="00107FCF" w:rsidRPr="003E107C">
        <w:rPr>
          <w:szCs w:val="28"/>
        </w:rPr>
        <w:lastRenderedPageBreak/>
        <w:t xml:space="preserve">Tabela </w:t>
      </w:r>
      <w:r w:rsidR="00290AD4">
        <w:rPr>
          <w:szCs w:val="28"/>
        </w:rPr>
        <w:fldChar w:fldCharType="begin"/>
      </w:r>
      <w:r w:rsidR="00290AD4">
        <w:rPr>
          <w:szCs w:val="28"/>
        </w:rPr>
        <w:instrText xml:space="preserve"> SEQ Tabela \* ARABIC </w:instrText>
      </w:r>
      <w:r w:rsidR="00290AD4">
        <w:rPr>
          <w:szCs w:val="28"/>
        </w:rPr>
        <w:fldChar w:fldCharType="separate"/>
      </w:r>
      <w:r w:rsidR="00AC4DF9">
        <w:rPr>
          <w:noProof/>
          <w:szCs w:val="28"/>
        </w:rPr>
        <w:t>5</w:t>
      </w:r>
      <w:r w:rsidR="00290AD4">
        <w:rPr>
          <w:szCs w:val="28"/>
        </w:rPr>
        <w:fldChar w:fldCharType="end"/>
      </w:r>
      <w:bookmarkEnd w:id="69"/>
      <w:r w:rsidR="00567ACB">
        <w:rPr>
          <w:szCs w:val="28"/>
        </w:rPr>
        <w:tab/>
      </w:r>
      <w:r w:rsidR="00107FCF" w:rsidRPr="003E107C">
        <w:rPr>
          <w:szCs w:val="28"/>
        </w:rPr>
        <w:t>Utrata wartości majątku dla terenów przemysłowych z uwzględnieniem przedziałów głębokości.</w:t>
      </w:r>
      <w:bookmarkEnd w:id="70"/>
    </w:p>
    <w:p w14:paraId="52855AB7" w14:textId="77777777" w:rsidR="00107FCF" w:rsidRPr="00567ACB" w:rsidRDefault="00107FCF" w:rsidP="006A3BC1">
      <w:pPr>
        <w:autoSpaceDE w:val="0"/>
        <w:autoSpaceDN w:val="0"/>
        <w:adjustRightInd w:val="0"/>
        <w:spacing w:after="240"/>
        <w:ind w:left="1134"/>
        <w:jc w:val="both"/>
      </w:pPr>
      <w:r w:rsidRPr="00567ACB">
        <w:t>[źródło: Metodyka opracowania map zagrożenia powodziowego i map ryzyka powodziowego w II cyklu planistycznym 2020]</w:t>
      </w:r>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2122"/>
        <w:gridCol w:w="3401"/>
        <w:gridCol w:w="2972"/>
      </w:tblGrid>
      <w:tr w:rsidR="00107FCF" w:rsidRPr="00507221" w14:paraId="11F0A80F" w14:textId="77777777" w:rsidTr="006A3BC1">
        <w:trPr>
          <w:trHeight w:val="325"/>
        </w:trPr>
        <w:tc>
          <w:tcPr>
            <w:tcW w:w="1249" w:type="pct"/>
            <w:tcBorders>
              <w:bottom w:val="single" w:sz="12" w:space="0" w:color="7ECBED"/>
            </w:tcBorders>
            <w:shd w:val="clear" w:color="auto" w:fill="D4EDF9"/>
          </w:tcPr>
          <w:p w14:paraId="60F5FC37" w14:textId="77777777" w:rsidR="00107FCF" w:rsidRPr="00507221" w:rsidRDefault="00107FCF" w:rsidP="00507221">
            <w:pPr>
              <w:spacing w:before="60" w:after="60"/>
              <w:jc w:val="center"/>
              <w:rPr>
                <w:b/>
                <w:bCs/>
              </w:rPr>
            </w:pPr>
            <w:r w:rsidRPr="00507221">
              <w:t>Przedział</w:t>
            </w:r>
          </w:p>
        </w:tc>
        <w:tc>
          <w:tcPr>
            <w:tcW w:w="2002" w:type="pct"/>
            <w:tcBorders>
              <w:bottom w:val="single" w:sz="12" w:space="0" w:color="7ECBED"/>
            </w:tcBorders>
            <w:shd w:val="clear" w:color="auto" w:fill="D4EDF9"/>
          </w:tcPr>
          <w:p w14:paraId="57D9ACBC" w14:textId="77777777" w:rsidR="00107FCF" w:rsidRPr="00507221" w:rsidRDefault="00107FCF" w:rsidP="00507221">
            <w:pPr>
              <w:autoSpaceDE w:val="0"/>
              <w:autoSpaceDN w:val="0"/>
              <w:adjustRightInd w:val="0"/>
              <w:jc w:val="center"/>
              <w:rPr>
                <w:b/>
                <w:bCs/>
              </w:rPr>
            </w:pPr>
            <w:r w:rsidRPr="00507221">
              <w:t>Głębokość wody (h)</w:t>
            </w:r>
          </w:p>
          <w:p w14:paraId="54C49192" w14:textId="77777777" w:rsidR="00107FCF" w:rsidRPr="00507221" w:rsidRDefault="00107FCF" w:rsidP="00507221">
            <w:pPr>
              <w:autoSpaceDE w:val="0"/>
              <w:autoSpaceDN w:val="0"/>
              <w:adjustRightInd w:val="0"/>
              <w:jc w:val="center"/>
              <w:rPr>
                <w:b/>
                <w:bCs/>
              </w:rPr>
            </w:pPr>
            <w:r w:rsidRPr="00507221">
              <w:t>[m]</w:t>
            </w:r>
          </w:p>
        </w:tc>
        <w:tc>
          <w:tcPr>
            <w:tcW w:w="1749" w:type="pct"/>
            <w:tcBorders>
              <w:bottom w:val="single" w:sz="12" w:space="0" w:color="7ECBED"/>
            </w:tcBorders>
            <w:shd w:val="clear" w:color="auto" w:fill="D4EDF9"/>
          </w:tcPr>
          <w:p w14:paraId="14116FC0" w14:textId="77777777" w:rsidR="00107FCF" w:rsidRPr="00507221" w:rsidRDefault="00107FCF" w:rsidP="00507221">
            <w:pPr>
              <w:autoSpaceDE w:val="0"/>
              <w:autoSpaceDN w:val="0"/>
              <w:adjustRightInd w:val="0"/>
              <w:jc w:val="center"/>
              <w:rPr>
                <w:b/>
                <w:bCs/>
              </w:rPr>
            </w:pPr>
            <w:r w:rsidRPr="00507221">
              <w:t>Utrata wartości majątku f(h)</w:t>
            </w:r>
          </w:p>
          <w:p w14:paraId="7BF8C6D4" w14:textId="77777777" w:rsidR="00107FCF" w:rsidRPr="00507221" w:rsidRDefault="00107FCF" w:rsidP="00507221">
            <w:pPr>
              <w:autoSpaceDE w:val="0"/>
              <w:autoSpaceDN w:val="0"/>
              <w:adjustRightInd w:val="0"/>
              <w:jc w:val="center"/>
              <w:rPr>
                <w:b/>
                <w:bCs/>
              </w:rPr>
            </w:pPr>
            <w:r w:rsidRPr="00507221">
              <w:t>[%]</w:t>
            </w:r>
          </w:p>
        </w:tc>
      </w:tr>
      <w:tr w:rsidR="00107FCF" w:rsidRPr="00507221" w14:paraId="0BED6DD8" w14:textId="77777777" w:rsidTr="006A3BC1">
        <w:tc>
          <w:tcPr>
            <w:tcW w:w="1249" w:type="pct"/>
          </w:tcPr>
          <w:p w14:paraId="586BF06F" w14:textId="77777777" w:rsidR="00107FCF" w:rsidRPr="00507221" w:rsidRDefault="00107FCF" w:rsidP="00507221">
            <w:pPr>
              <w:spacing w:before="60" w:after="60"/>
              <w:jc w:val="center"/>
              <w:rPr>
                <w:b/>
                <w:bCs/>
              </w:rPr>
            </w:pPr>
            <w:r w:rsidRPr="00507221">
              <w:t>1</w:t>
            </w:r>
          </w:p>
        </w:tc>
        <w:tc>
          <w:tcPr>
            <w:tcW w:w="2002" w:type="pct"/>
          </w:tcPr>
          <w:p w14:paraId="3FF3B9E0" w14:textId="77777777" w:rsidR="00107FCF" w:rsidRPr="00507221" w:rsidRDefault="00107FCF" w:rsidP="00507221">
            <w:pPr>
              <w:spacing w:before="60" w:after="60"/>
              <w:jc w:val="center"/>
            </w:pPr>
            <w:r w:rsidRPr="00507221">
              <w:t>h &lt; 0,5</w:t>
            </w:r>
          </w:p>
        </w:tc>
        <w:tc>
          <w:tcPr>
            <w:tcW w:w="1749" w:type="pct"/>
          </w:tcPr>
          <w:p w14:paraId="042EA144" w14:textId="77777777" w:rsidR="00107FCF" w:rsidRPr="00507221" w:rsidRDefault="00107FCF" w:rsidP="00507221">
            <w:pPr>
              <w:spacing w:before="60" w:after="60"/>
              <w:jc w:val="center"/>
            </w:pPr>
            <w:r w:rsidRPr="00507221">
              <w:t>20</w:t>
            </w:r>
          </w:p>
        </w:tc>
      </w:tr>
      <w:tr w:rsidR="00107FCF" w:rsidRPr="00507221" w14:paraId="4C28549D" w14:textId="77777777" w:rsidTr="006A3BC1">
        <w:tc>
          <w:tcPr>
            <w:tcW w:w="1249" w:type="pct"/>
          </w:tcPr>
          <w:p w14:paraId="2E9BBD87" w14:textId="77777777" w:rsidR="00107FCF" w:rsidRPr="00507221" w:rsidRDefault="00107FCF" w:rsidP="00507221">
            <w:pPr>
              <w:spacing w:before="60" w:after="60"/>
              <w:jc w:val="center"/>
              <w:rPr>
                <w:b/>
                <w:bCs/>
              </w:rPr>
            </w:pPr>
            <w:r w:rsidRPr="00507221">
              <w:t>2</w:t>
            </w:r>
          </w:p>
        </w:tc>
        <w:tc>
          <w:tcPr>
            <w:tcW w:w="2002" w:type="pct"/>
          </w:tcPr>
          <w:p w14:paraId="27C2B784" w14:textId="77777777" w:rsidR="00107FCF" w:rsidRPr="00507221" w:rsidRDefault="00107FCF" w:rsidP="00507221">
            <w:pPr>
              <w:spacing w:before="60" w:after="60"/>
              <w:jc w:val="center"/>
            </w:pPr>
            <w:r w:rsidRPr="00507221">
              <w:t>0,5 &lt; h &lt;= 2</w:t>
            </w:r>
          </w:p>
        </w:tc>
        <w:tc>
          <w:tcPr>
            <w:tcW w:w="1749" w:type="pct"/>
          </w:tcPr>
          <w:p w14:paraId="740703C3" w14:textId="77777777" w:rsidR="00107FCF" w:rsidRPr="00507221" w:rsidRDefault="00107FCF" w:rsidP="00507221">
            <w:pPr>
              <w:spacing w:before="60" w:after="60"/>
              <w:jc w:val="center"/>
            </w:pPr>
            <w:r w:rsidRPr="00507221">
              <w:t>40</w:t>
            </w:r>
          </w:p>
        </w:tc>
      </w:tr>
      <w:tr w:rsidR="00107FCF" w:rsidRPr="00507221" w14:paraId="28A56630" w14:textId="77777777" w:rsidTr="006A3BC1">
        <w:tc>
          <w:tcPr>
            <w:tcW w:w="1249" w:type="pct"/>
          </w:tcPr>
          <w:p w14:paraId="4242DFC7" w14:textId="77777777" w:rsidR="00107FCF" w:rsidRPr="00507221" w:rsidRDefault="00107FCF" w:rsidP="00507221">
            <w:pPr>
              <w:spacing w:before="60" w:after="60"/>
              <w:jc w:val="center"/>
              <w:rPr>
                <w:b/>
                <w:bCs/>
              </w:rPr>
            </w:pPr>
            <w:r w:rsidRPr="00507221">
              <w:t>3</w:t>
            </w:r>
          </w:p>
        </w:tc>
        <w:tc>
          <w:tcPr>
            <w:tcW w:w="2002" w:type="pct"/>
          </w:tcPr>
          <w:p w14:paraId="1A8FBFD8" w14:textId="77777777" w:rsidR="00107FCF" w:rsidRPr="00507221" w:rsidRDefault="00107FCF" w:rsidP="00507221">
            <w:pPr>
              <w:spacing w:before="60" w:after="60"/>
              <w:jc w:val="center"/>
            </w:pPr>
            <w:r w:rsidRPr="00507221">
              <w:t>2 &lt; h &lt;= 4</w:t>
            </w:r>
          </w:p>
        </w:tc>
        <w:tc>
          <w:tcPr>
            <w:tcW w:w="1749" w:type="pct"/>
          </w:tcPr>
          <w:p w14:paraId="17BF8030" w14:textId="77777777" w:rsidR="00107FCF" w:rsidRPr="00507221" w:rsidRDefault="00107FCF" w:rsidP="00507221">
            <w:pPr>
              <w:spacing w:before="60" w:after="60"/>
              <w:jc w:val="center"/>
            </w:pPr>
            <w:r w:rsidRPr="00507221">
              <w:t>60</w:t>
            </w:r>
          </w:p>
        </w:tc>
      </w:tr>
      <w:tr w:rsidR="00107FCF" w:rsidRPr="00507221" w14:paraId="4DE9E4C0" w14:textId="77777777" w:rsidTr="006A3BC1">
        <w:tc>
          <w:tcPr>
            <w:tcW w:w="1249" w:type="pct"/>
          </w:tcPr>
          <w:p w14:paraId="6C4E147B" w14:textId="77777777" w:rsidR="00107FCF" w:rsidRPr="00507221" w:rsidRDefault="00107FCF" w:rsidP="00507221">
            <w:pPr>
              <w:spacing w:before="60" w:after="60"/>
              <w:jc w:val="center"/>
              <w:rPr>
                <w:b/>
                <w:bCs/>
              </w:rPr>
            </w:pPr>
            <w:r w:rsidRPr="00507221">
              <w:t>4</w:t>
            </w:r>
          </w:p>
        </w:tc>
        <w:tc>
          <w:tcPr>
            <w:tcW w:w="2002" w:type="pct"/>
          </w:tcPr>
          <w:p w14:paraId="0A7492BF" w14:textId="77777777" w:rsidR="00107FCF" w:rsidRPr="00507221" w:rsidRDefault="00107FCF" w:rsidP="00507221">
            <w:pPr>
              <w:spacing w:before="60" w:after="60"/>
              <w:jc w:val="center"/>
            </w:pPr>
            <w:r w:rsidRPr="00507221">
              <w:t>h &gt; 4</w:t>
            </w:r>
          </w:p>
        </w:tc>
        <w:tc>
          <w:tcPr>
            <w:tcW w:w="1749" w:type="pct"/>
          </w:tcPr>
          <w:p w14:paraId="352E57C5" w14:textId="77777777" w:rsidR="00107FCF" w:rsidRPr="00507221" w:rsidRDefault="00107FCF" w:rsidP="00507221">
            <w:pPr>
              <w:spacing w:before="60" w:after="60"/>
              <w:jc w:val="center"/>
            </w:pPr>
            <w:r w:rsidRPr="00507221">
              <w:t>80</w:t>
            </w:r>
          </w:p>
        </w:tc>
      </w:tr>
    </w:tbl>
    <w:p w14:paraId="20F97ED5" w14:textId="77777777" w:rsidR="00107FCF" w:rsidRDefault="00107FCF" w:rsidP="006D41A7">
      <w:pPr>
        <w:pStyle w:val="ReportLevel3"/>
        <w:numPr>
          <w:ilvl w:val="2"/>
          <w:numId w:val="4"/>
        </w:numPr>
      </w:pPr>
      <w:r w:rsidRPr="00230759">
        <w:t xml:space="preserve">Klasa </w:t>
      </w:r>
      <w:r>
        <w:t>3</w:t>
      </w:r>
      <w:r w:rsidRPr="00230759">
        <w:t xml:space="preserve"> – tereny komunikacyjne</w:t>
      </w:r>
    </w:p>
    <w:p w14:paraId="1E836621" w14:textId="4F896017" w:rsidR="00107FCF" w:rsidRPr="00FF2E22" w:rsidRDefault="00107FCF" w:rsidP="00230759">
      <w:pPr>
        <w:autoSpaceDE w:val="0"/>
        <w:autoSpaceDN w:val="0"/>
        <w:adjustRightInd w:val="0"/>
        <w:jc w:val="both"/>
        <w:rPr>
          <w:szCs w:val="20"/>
          <w:lang w:eastAsia="en-US"/>
        </w:rPr>
      </w:pPr>
      <w:r w:rsidRPr="00AF5BA8">
        <w:rPr>
          <w:szCs w:val="20"/>
          <w:lang w:eastAsia="en-US"/>
        </w:rPr>
        <w:t>Wartość terenów komunikacyjnych oblicza się na podstawie indeksacji wartości majątku na</w:t>
      </w:r>
      <w:r>
        <w:rPr>
          <w:szCs w:val="20"/>
          <w:lang w:eastAsia="en-US"/>
        </w:rPr>
        <w:t xml:space="preserve"> </w:t>
      </w:r>
      <w:r w:rsidRPr="00AF5BA8">
        <w:rPr>
          <w:szCs w:val="20"/>
          <w:lang w:eastAsia="en-US"/>
        </w:rPr>
        <w:t>terenach komunikacyjnych, obowiązujących w I cyklu planistycznym, określonych w rozporządzeniu</w:t>
      </w:r>
      <w:r>
        <w:rPr>
          <w:szCs w:val="20"/>
          <w:lang w:eastAsia="en-US"/>
        </w:rPr>
        <w:t xml:space="preserve"> </w:t>
      </w:r>
      <w:r w:rsidRPr="00AF5BA8">
        <w:rPr>
          <w:szCs w:val="20"/>
          <w:lang w:eastAsia="en-US"/>
        </w:rPr>
        <w:t>z dnia 21 grudnia 2012 r. Ministra Środowiska, Ministra Transportu, Budownictwa i Gospodarki</w:t>
      </w:r>
      <w:r>
        <w:rPr>
          <w:szCs w:val="20"/>
          <w:lang w:eastAsia="en-US"/>
        </w:rPr>
        <w:t xml:space="preserve"> </w:t>
      </w:r>
      <w:r w:rsidRPr="00AF5BA8">
        <w:rPr>
          <w:szCs w:val="20"/>
          <w:lang w:eastAsia="en-US"/>
        </w:rPr>
        <w:t>Morskiej, Ministra Administracji i Cyfryzacji oraz Ministra Spraw Wewnętrznych w sprawie</w:t>
      </w:r>
      <w:r>
        <w:rPr>
          <w:szCs w:val="20"/>
          <w:lang w:eastAsia="en-US"/>
        </w:rPr>
        <w:t xml:space="preserve"> </w:t>
      </w:r>
      <w:r w:rsidRPr="00FF2E22">
        <w:rPr>
          <w:szCs w:val="20"/>
          <w:lang w:eastAsia="en-US"/>
        </w:rPr>
        <w:t>opracowania map zagrożenia powodziowego oraz map ryzyka powodziowego (Dz.U. 2013, poz.104).</w:t>
      </w:r>
    </w:p>
    <w:p w14:paraId="31F1D508" w14:textId="2E60B841" w:rsidR="00107FCF" w:rsidRDefault="00107FCF" w:rsidP="003E107C">
      <w:pPr>
        <w:autoSpaceDE w:val="0"/>
        <w:autoSpaceDN w:val="0"/>
        <w:adjustRightInd w:val="0"/>
        <w:jc w:val="both"/>
        <w:rPr>
          <w:szCs w:val="20"/>
          <w:lang w:eastAsia="en-US"/>
        </w:rPr>
      </w:pPr>
      <w:r w:rsidRPr="00FF2E22">
        <w:rPr>
          <w:szCs w:val="20"/>
          <w:lang w:eastAsia="en-US"/>
        </w:rPr>
        <w:t>Indeksacji dokonuje się wskaźnikiem wzrostu wartości środków trwałych w Polsce w</w:t>
      </w:r>
      <w:r w:rsidR="00567ACB">
        <w:rPr>
          <w:szCs w:val="20"/>
          <w:lang w:eastAsia="en-US"/>
        </w:rPr>
        <w:t> </w:t>
      </w:r>
      <w:r w:rsidRPr="00FF2E22">
        <w:rPr>
          <w:szCs w:val="20"/>
          <w:lang w:eastAsia="en-US"/>
        </w:rPr>
        <w:t>bieżących</w:t>
      </w:r>
      <w:r>
        <w:rPr>
          <w:szCs w:val="20"/>
          <w:lang w:eastAsia="en-US"/>
        </w:rPr>
        <w:t xml:space="preserve"> </w:t>
      </w:r>
      <w:r w:rsidRPr="00FF2E22">
        <w:rPr>
          <w:szCs w:val="20"/>
          <w:lang w:eastAsia="en-US"/>
        </w:rPr>
        <w:t>cenach ewidencyjnych (GUS). Został on wyliczony w procentach w</w:t>
      </w:r>
      <w:r w:rsidR="00567ACB">
        <w:rPr>
          <w:szCs w:val="20"/>
          <w:lang w:eastAsia="en-US"/>
        </w:rPr>
        <w:t> </w:t>
      </w:r>
      <w:r w:rsidRPr="00FF2E22">
        <w:rPr>
          <w:szCs w:val="20"/>
          <w:lang w:eastAsia="en-US"/>
        </w:rPr>
        <w:t>stosunku do roku 2008 (do</w:t>
      </w:r>
      <w:r>
        <w:rPr>
          <w:szCs w:val="20"/>
          <w:lang w:eastAsia="en-US"/>
        </w:rPr>
        <w:t xml:space="preserve"> </w:t>
      </w:r>
      <w:r w:rsidRPr="00FF2E22">
        <w:rPr>
          <w:szCs w:val="20"/>
          <w:lang w:eastAsia="en-US"/>
        </w:rPr>
        <w:t>którego odnosiły się wartości majątku w rozporządzeniu z</w:t>
      </w:r>
      <w:r w:rsidR="00567ACB">
        <w:rPr>
          <w:szCs w:val="20"/>
          <w:lang w:eastAsia="en-US"/>
        </w:rPr>
        <w:t> </w:t>
      </w:r>
      <w:r w:rsidRPr="00FF2E22">
        <w:rPr>
          <w:szCs w:val="20"/>
          <w:lang w:eastAsia="en-US"/>
        </w:rPr>
        <w:t xml:space="preserve">2012 r.) </w:t>
      </w:r>
    </w:p>
    <w:p w14:paraId="258673F7" w14:textId="77777777" w:rsidR="00107FCF" w:rsidRDefault="00107FCF" w:rsidP="003E107C">
      <w:pPr>
        <w:autoSpaceDE w:val="0"/>
        <w:autoSpaceDN w:val="0"/>
        <w:adjustRightInd w:val="0"/>
        <w:jc w:val="both"/>
        <w:rPr>
          <w:szCs w:val="20"/>
          <w:lang w:eastAsia="en-US"/>
        </w:rPr>
      </w:pPr>
    </w:p>
    <w:p w14:paraId="321B9F53" w14:textId="77777777" w:rsidR="00107FCF" w:rsidRDefault="00107FCF" w:rsidP="003E107C">
      <w:pPr>
        <w:autoSpaceDE w:val="0"/>
        <w:autoSpaceDN w:val="0"/>
        <w:adjustRightInd w:val="0"/>
        <w:jc w:val="both"/>
        <w:rPr>
          <w:szCs w:val="20"/>
          <w:lang w:eastAsia="en-US"/>
        </w:rPr>
      </w:pPr>
      <w:r w:rsidRPr="00FF2E22">
        <w:rPr>
          <w:szCs w:val="20"/>
          <w:lang w:eastAsia="en-US"/>
        </w:rPr>
        <w:t>Wartość terenów</w:t>
      </w:r>
      <w:r>
        <w:rPr>
          <w:szCs w:val="20"/>
          <w:lang w:eastAsia="en-US"/>
        </w:rPr>
        <w:t xml:space="preserve"> </w:t>
      </w:r>
      <w:r w:rsidRPr="00FF2E22">
        <w:rPr>
          <w:szCs w:val="20"/>
          <w:lang w:eastAsia="en-US"/>
        </w:rPr>
        <w:t xml:space="preserve">komunikacyjnych z roku 2008 </w:t>
      </w:r>
      <w:r w:rsidRPr="00CB665F">
        <w:rPr>
          <w:szCs w:val="20"/>
          <w:lang w:eastAsia="en-US"/>
        </w:rPr>
        <w:t>został</w:t>
      </w:r>
      <w:r>
        <w:rPr>
          <w:szCs w:val="20"/>
          <w:lang w:eastAsia="en-US"/>
        </w:rPr>
        <w:t>a</w:t>
      </w:r>
      <w:r w:rsidRPr="00CB665F">
        <w:rPr>
          <w:szCs w:val="20"/>
          <w:lang w:eastAsia="en-US"/>
        </w:rPr>
        <w:t xml:space="preserve"> poddan</w:t>
      </w:r>
      <w:r>
        <w:rPr>
          <w:szCs w:val="20"/>
          <w:lang w:eastAsia="en-US"/>
        </w:rPr>
        <w:t>a</w:t>
      </w:r>
      <w:r w:rsidRPr="00CB665F">
        <w:rPr>
          <w:szCs w:val="20"/>
          <w:lang w:eastAsia="en-US"/>
        </w:rPr>
        <w:t xml:space="preserve"> indeksacji </w:t>
      </w:r>
      <w:r w:rsidRPr="00FF2E22">
        <w:rPr>
          <w:szCs w:val="20"/>
          <w:lang w:eastAsia="en-US"/>
        </w:rPr>
        <w:t xml:space="preserve">o </w:t>
      </w:r>
      <w:r w:rsidRPr="009745D2">
        <w:rPr>
          <w:szCs w:val="20"/>
          <w:lang w:eastAsia="en-US"/>
        </w:rPr>
        <w:t xml:space="preserve">wskaźnik przyrostu wartości środków trwałych publikowany przez </w:t>
      </w:r>
      <w:r w:rsidRPr="005F06E7">
        <w:rPr>
          <w:szCs w:val="20"/>
          <w:lang w:eastAsia="en-US"/>
        </w:rPr>
        <w:t>GUS i wynosi dla</w:t>
      </w:r>
      <w:r w:rsidRPr="00FF2E22">
        <w:rPr>
          <w:szCs w:val="20"/>
          <w:lang w:eastAsia="en-US"/>
        </w:rPr>
        <w:t xml:space="preserve"> 201</w:t>
      </w:r>
      <w:r>
        <w:rPr>
          <w:szCs w:val="20"/>
          <w:lang w:eastAsia="en-US"/>
        </w:rPr>
        <w:t>9</w:t>
      </w:r>
      <w:r w:rsidRPr="00FF2E22">
        <w:rPr>
          <w:szCs w:val="20"/>
          <w:lang w:eastAsia="en-US"/>
        </w:rPr>
        <w:t xml:space="preserve"> roku</w:t>
      </w:r>
      <w:r>
        <w:rPr>
          <w:szCs w:val="20"/>
          <w:lang w:eastAsia="en-US"/>
        </w:rPr>
        <w:t xml:space="preserve"> </w:t>
      </w:r>
      <w:r w:rsidRPr="003A5F53">
        <w:rPr>
          <w:b/>
          <w:bCs/>
          <w:szCs w:val="20"/>
          <w:lang w:eastAsia="en-US"/>
        </w:rPr>
        <w:t>789,23</w:t>
      </w:r>
      <w:r w:rsidRPr="00FF2E22">
        <w:rPr>
          <w:szCs w:val="20"/>
          <w:lang w:eastAsia="en-US"/>
        </w:rPr>
        <w:t xml:space="preserve"> PLN/m</w:t>
      </w:r>
      <w:r w:rsidRPr="008641C1">
        <w:rPr>
          <w:szCs w:val="20"/>
          <w:vertAlign w:val="superscript"/>
          <w:lang w:eastAsia="en-US"/>
        </w:rPr>
        <w:t>2</w:t>
      </w:r>
      <w:r w:rsidRPr="00FF2E22">
        <w:rPr>
          <w:szCs w:val="20"/>
          <w:lang w:eastAsia="en-US"/>
        </w:rPr>
        <w:t>.</w:t>
      </w:r>
    </w:p>
    <w:p w14:paraId="68BC0FC3" w14:textId="77777777" w:rsidR="00107FCF" w:rsidRDefault="00107FCF" w:rsidP="00230759">
      <w:pPr>
        <w:autoSpaceDE w:val="0"/>
        <w:autoSpaceDN w:val="0"/>
        <w:adjustRightInd w:val="0"/>
        <w:jc w:val="both"/>
        <w:rPr>
          <w:szCs w:val="20"/>
          <w:lang w:eastAsia="en-US"/>
        </w:rPr>
      </w:pPr>
    </w:p>
    <w:p w14:paraId="7EC19441" w14:textId="206C2CA1" w:rsidR="00107FCF" w:rsidRDefault="00107FCF" w:rsidP="003E107C">
      <w:pPr>
        <w:autoSpaceDE w:val="0"/>
        <w:autoSpaceDN w:val="0"/>
        <w:adjustRightInd w:val="0"/>
        <w:jc w:val="both"/>
        <w:rPr>
          <w:szCs w:val="20"/>
          <w:lang w:eastAsia="en-US"/>
        </w:rPr>
      </w:pPr>
      <w:r w:rsidRPr="004E2A4A">
        <w:rPr>
          <w:szCs w:val="20"/>
          <w:lang w:eastAsia="en-US"/>
        </w:rPr>
        <w:t xml:space="preserve">Dla klasy </w:t>
      </w:r>
      <w:r>
        <w:rPr>
          <w:szCs w:val="20"/>
          <w:lang w:eastAsia="en-US"/>
        </w:rPr>
        <w:t xml:space="preserve">3 </w:t>
      </w:r>
      <w:r w:rsidRPr="004E2A4A">
        <w:rPr>
          <w:szCs w:val="20"/>
          <w:lang w:eastAsia="en-US"/>
        </w:rPr>
        <w:t>przyjmuje się stałe wartości strat dla obszaru całego kraju</w:t>
      </w:r>
      <w:r>
        <w:rPr>
          <w:szCs w:val="20"/>
          <w:lang w:eastAsia="en-US"/>
        </w:rPr>
        <w:t>. Wysokość wartości u</w:t>
      </w:r>
      <w:r w:rsidRPr="00286B1D">
        <w:rPr>
          <w:szCs w:val="20"/>
          <w:lang w:eastAsia="en-US"/>
        </w:rPr>
        <w:t>trat</w:t>
      </w:r>
      <w:r>
        <w:rPr>
          <w:szCs w:val="20"/>
          <w:lang w:eastAsia="en-US"/>
        </w:rPr>
        <w:t xml:space="preserve">y </w:t>
      </w:r>
      <w:r w:rsidRPr="00286B1D">
        <w:rPr>
          <w:szCs w:val="20"/>
          <w:lang w:eastAsia="en-US"/>
        </w:rPr>
        <w:t xml:space="preserve">majątku </w:t>
      </w:r>
      <w:r w:rsidRPr="00A253A6">
        <w:rPr>
          <w:szCs w:val="20"/>
          <w:lang w:eastAsia="en-US"/>
        </w:rPr>
        <w:t xml:space="preserve">dla terenów komunikacyjnych </w:t>
      </w:r>
      <w:r>
        <w:rPr>
          <w:szCs w:val="20"/>
          <w:lang w:eastAsia="en-US"/>
        </w:rPr>
        <w:t>jest u</w:t>
      </w:r>
      <w:r w:rsidRPr="00286B1D">
        <w:rPr>
          <w:szCs w:val="20"/>
          <w:lang w:eastAsia="en-US"/>
        </w:rPr>
        <w:t>zależn</w:t>
      </w:r>
      <w:r>
        <w:rPr>
          <w:szCs w:val="20"/>
          <w:lang w:eastAsia="en-US"/>
        </w:rPr>
        <w:t>iona</w:t>
      </w:r>
      <w:r w:rsidRPr="00286B1D">
        <w:rPr>
          <w:szCs w:val="20"/>
          <w:lang w:eastAsia="en-US"/>
        </w:rPr>
        <w:t xml:space="preserve"> od głębokości wody</w:t>
      </w:r>
      <w:r>
        <w:rPr>
          <w:szCs w:val="20"/>
          <w:lang w:eastAsia="en-US"/>
        </w:rPr>
        <w:t xml:space="preserve">. </w:t>
      </w:r>
      <w:r w:rsidRPr="009070C9">
        <w:rPr>
          <w:szCs w:val="20"/>
          <w:lang w:eastAsia="en-US"/>
        </w:rPr>
        <w:t xml:space="preserve">Stopień utraty wartości majątku, </w:t>
      </w:r>
      <w:r>
        <w:rPr>
          <w:szCs w:val="20"/>
          <w:lang w:eastAsia="en-US"/>
        </w:rPr>
        <w:t xml:space="preserve">czyli </w:t>
      </w:r>
      <w:r w:rsidRPr="009070C9">
        <w:rPr>
          <w:szCs w:val="20"/>
          <w:lang w:eastAsia="en-US"/>
        </w:rPr>
        <w:t>funkcję strat przedstawia</w:t>
      </w:r>
      <w:r w:rsidRPr="00286B1D">
        <w:rPr>
          <w:szCs w:val="20"/>
          <w:lang w:eastAsia="en-US"/>
        </w:rPr>
        <w:t xml:space="preserve"> </w:t>
      </w:r>
      <w:r>
        <w:rPr>
          <w:szCs w:val="20"/>
          <w:lang w:eastAsia="en-US"/>
        </w:rPr>
        <w:fldChar w:fldCharType="begin"/>
      </w:r>
      <w:r>
        <w:rPr>
          <w:szCs w:val="20"/>
          <w:lang w:eastAsia="en-US"/>
        </w:rPr>
        <w:instrText xml:space="preserve"> REF _Ref79498874 \h </w:instrText>
      </w:r>
      <w:r>
        <w:rPr>
          <w:szCs w:val="20"/>
          <w:lang w:eastAsia="en-US"/>
        </w:rPr>
      </w:r>
      <w:r>
        <w:rPr>
          <w:szCs w:val="20"/>
          <w:lang w:eastAsia="en-US"/>
        </w:rPr>
        <w:fldChar w:fldCharType="separate"/>
      </w:r>
      <w:r w:rsidR="00AC4DF9" w:rsidRPr="00567ACB">
        <w:t xml:space="preserve">Tabela </w:t>
      </w:r>
      <w:r w:rsidR="00AC4DF9">
        <w:rPr>
          <w:noProof/>
        </w:rPr>
        <w:t>6</w:t>
      </w:r>
      <w:r>
        <w:rPr>
          <w:szCs w:val="20"/>
          <w:lang w:eastAsia="en-US"/>
        </w:rPr>
        <w:fldChar w:fldCharType="end"/>
      </w:r>
      <w:r>
        <w:rPr>
          <w:szCs w:val="20"/>
          <w:lang w:eastAsia="en-US"/>
        </w:rPr>
        <w:t>.</w:t>
      </w:r>
    </w:p>
    <w:p w14:paraId="44C2C8C6" w14:textId="7F9D3C9A" w:rsidR="00EA50FC" w:rsidRDefault="00EA50FC" w:rsidP="003E107C">
      <w:pPr>
        <w:autoSpaceDE w:val="0"/>
        <w:autoSpaceDN w:val="0"/>
        <w:adjustRightInd w:val="0"/>
        <w:jc w:val="both"/>
        <w:rPr>
          <w:szCs w:val="20"/>
          <w:lang w:eastAsia="en-US"/>
        </w:rPr>
      </w:pPr>
    </w:p>
    <w:p w14:paraId="2F143CCB" w14:textId="5C78D3E6" w:rsidR="00107FCF" w:rsidRDefault="00107FCF">
      <w:pPr>
        <w:rPr>
          <w:sz w:val="22"/>
        </w:rPr>
      </w:pPr>
    </w:p>
    <w:p w14:paraId="366D0F90" w14:textId="79A99363" w:rsidR="00107FCF" w:rsidRPr="00567ACB" w:rsidRDefault="00107FCF" w:rsidP="00567ACB">
      <w:pPr>
        <w:autoSpaceDE w:val="0"/>
        <w:autoSpaceDN w:val="0"/>
        <w:adjustRightInd w:val="0"/>
        <w:ind w:left="1134" w:hanging="1134"/>
        <w:jc w:val="both"/>
      </w:pPr>
      <w:bookmarkStart w:id="71" w:name="_Ref79498874"/>
      <w:bookmarkStart w:id="72" w:name="_Toc80608759"/>
      <w:r w:rsidRPr="00567ACB">
        <w:t xml:space="preserve">Tabela </w:t>
      </w:r>
      <w:r w:rsidR="002622F2">
        <w:rPr>
          <w:noProof/>
        </w:rPr>
        <w:fldChar w:fldCharType="begin"/>
      </w:r>
      <w:r w:rsidR="002622F2">
        <w:rPr>
          <w:noProof/>
        </w:rPr>
        <w:instrText xml:space="preserve"> SEQ Tabela \* ARABIC </w:instrText>
      </w:r>
      <w:r w:rsidR="002622F2">
        <w:rPr>
          <w:noProof/>
        </w:rPr>
        <w:fldChar w:fldCharType="separate"/>
      </w:r>
      <w:r w:rsidR="00AC4DF9">
        <w:rPr>
          <w:noProof/>
        </w:rPr>
        <w:t>6</w:t>
      </w:r>
      <w:r w:rsidR="002622F2">
        <w:rPr>
          <w:noProof/>
        </w:rPr>
        <w:fldChar w:fldCharType="end"/>
      </w:r>
      <w:bookmarkEnd w:id="71"/>
      <w:r w:rsidR="00567ACB">
        <w:tab/>
      </w:r>
      <w:r w:rsidRPr="00567ACB">
        <w:t>Utrata wartości majątku dla terenów komunikacyjnych z uwzględnieniem przedziałów głębokości.</w:t>
      </w:r>
      <w:bookmarkEnd w:id="72"/>
    </w:p>
    <w:p w14:paraId="10FADCA9" w14:textId="77777777" w:rsidR="00107FCF" w:rsidRPr="00567ACB" w:rsidRDefault="00107FCF" w:rsidP="006A3BC1">
      <w:pPr>
        <w:autoSpaceDE w:val="0"/>
        <w:autoSpaceDN w:val="0"/>
        <w:adjustRightInd w:val="0"/>
        <w:spacing w:after="240"/>
        <w:ind w:left="1134"/>
        <w:jc w:val="both"/>
      </w:pPr>
      <w:r w:rsidRPr="00567ACB">
        <w:t>[źródło: Metodyka opracowania map zagrożenia powodziowego i map ryzyka powodziowego w II cyklu planistycznym 2020]</w:t>
      </w:r>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2122"/>
        <w:gridCol w:w="3401"/>
        <w:gridCol w:w="2972"/>
      </w:tblGrid>
      <w:tr w:rsidR="00107FCF" w:rsidRPr="00507221" w14:paraId="1E19A839" w14:textId="77777777" w:rsidTr="006A3BC1">
        <w:trPr>
          <w:trHeight w:val="325"/>
        </w:trPr>
        <w:tc>
          <w:tcPr>
            <w:tcW w:w="1249" w:type="pct"/>
            <w:tcBorders>
              <w:bottom w:val="single" w:sz="12" w:space="0" w:color="7ECBED"/>
            </w:tcBorders>
            <w:shd w:val="clear" w:color="auto" w:fill="D4EDF9"/>
          </w:tcPr>
          <w:p w14:paraId="02EFEE9A" w14:textId="77777777" w:rsidR="00107FCF" w:rsidRPr="00507221" w:rsidRDefault="00107FCF" w:rsidP="00507221">
            <w:pPr>
              <w:spacing w:before="60" w:after="60"/>
              <w:jc w:val="center"/>
              <w:rPr>
                <w:b/>
                <w:bCs/>
              </w:rPr>
            </w:pPr>
            <w:r w:rsidRPr="00507221">
              <w:t>Przedział</w:t>
            </w:r>
          </w:p>
        </w:tc>
        <w:tc>
          <w:tcPr>
            <w:tcW w:w="2002" w:type="pct"/>
            <w:tcBorders>
              <w:bottom w:val="single" w:sz="12" w:space="0" w:color="7ECBED"/>
            </w:tcBorders>
            <w:shd w:val="clear" w:color="auto" w:fill="D4EDF9"/>
          </w:tcPr>
          <w:p w14:paraId="49A14E0E" w14:textId="77777777" w:rsidR="00107FCF" w:rsidRPr="00507221" w:rsidRDefault="00107FCF" w:rsidP="00507221">
            <w:pPr>
              <w:autoSpaceDE w:val="0"/>
              <w:autoSpaceDN w:val="0"/>
              <w:adjustRightInd w:val="0"/>
              <w:jc w:val="center"/>
              <w:rPr>
                <w:b/>
                <w:bCs/>
              </w:rPr>
            </w:pPr>
            <w:r w:rsidRPr="00507221">
              <w:t>Głębokość wody (h)</w:t>
            </w:r>
          </w:p>
          <w:p w14:paraId="4C3C4D33" w14:textId="77777777" w:rsidR="00107FCF" w:rsidRPr="00507221" w:rsidRDefault="00107FCF" w:rsidP="00507221">
            <w:pPr>
              <w:autoSpaceDE w:val="0"/>
              <w:autoSpaceDN w:val="0"/>
              <w:adjustRightInd w:val="0"/>
              <w:jc w:val="center"/>
              <w:rPr>
                <w:b/>
                <w:bCs/>
              </w:rPr>
            </w:pPr>
            <w:r w:rsidRPr="00507221">
              <w:t>[m]</w:t>
            </w:r>
          </w:p>
        </w:tc>
        <w:tc>
          <w:tcPr>
            <w:tcW w:w="1749" w:type="pct"/>
            <w:tcBorders>
              <w:bottom w:val="single" w:sz="12" w:space="0" w:color="7ECBED"/>
            </w:tcBorders>
            <w:shd w:val="clear" w:color="auto" w:fill="D4EDF9"/>
          </w:tcPr>
          <w:p w14:paraId="406A6D67" w14:textId="77777777" w:rsidR="00107FCF" w:rsidRPr="00507221" w:rsidRDefault="00107FCF" w:rsidP="00507221">
            <w:pPr>
              <w:autoSpaceDE w:val="0"/>
              <w:autoSpaceDN w:val="0"/>
              <w:adjustRightInd w:val="0"/>
              <w:jc w:val="center"/>
              <w:rPr>
                <w:b/>
                <w:bCs/>
              </w:rPr>
            </w:pPr>
            <w:r w:rsidRPr="00507221">
              <w:t>Utrata wartości majątku f(h)</w:t>
            </w:r>
          </w:p>
          <w:p w14:paraId="4DF3D405" w14:textId="77777777" w:rsidR="00107FCF" w:rsidRPr="00507221" w:rsidRDefault="00107FCF" w:rsidP="00507221">
            <w:pPr>
              <w:autoSpaceDE w:val="0"/>
              <w:autoSpaceDN w:val="0"/>
              <w:adjustRightInd w:val="0"/>
              <w:jc w:val="center"/>
              <w:rPr>
                <w:b/>
                <w:bCs/>
              </w:rPr>
            </w:pPr>
            <w:r w:rsidRPr="00507221">
              <w:t>[%]</w:t>
            </w:r>
          </w:p>
        </w:tc>
      </w:tr>
      <w:tr w:rsidR="00107FCF" w:rsidRPr="00507221" w14:paraId="71433BE1" w14:textId="77777777" w:rsidTr="006A3BC1">
        <w:tc>
          <w:tcPr>
            <w:tcW w:w="1249" w:type="pct"/>
          </w:tcPr>
          <w:p w14:paraId="59575578" w14:textId="77777777" w:rsidR="00107FCF" w:rsidRPr="00507221" w:rsidRDefault="00107FCF" w:rsidP="00507221">
            <w:pPr>
              <w:spacing w:before="60" w:after="60"/>
              <w:jc w:val="center"/>
              <w:rPr>
                <w:b/>
                <w:bCs/>
              </w:rPr>
            </w:pPr>
            <w:r w:rsidRPr="00507221">
              <w:t>1</w:t>
            </w:r>
          </w:p>
        </w:tc>
        <w:tc>
          <w:tcPr>
            <w:tcW w:w="2002" w:type="pct"/>
          </w:tcPr>
          <w:p w14:paraId="0676B05E" w14:textId="77777777" w:rsidR="00107FCF" w:rsidRPr="00507221" w:rsidRDefault="00107FCF" w:rsidP="00507221">
            <w:pPr>
              <w:spacing w:before="60" w:after="60"/>
              <w:jc w:val="center"/>
            </w:pPr>
            <w:r w:rsidRPr="00507221">
              <w:t>h &lt; 0,5</w:t>
            </w:r>
          </w:p>
        </w:tc>
        <w:tc>
          <w:tcPr>
            <w:tcW w:w="1749" w:type="pct"/>
          </w:tcPr>
          <w:p w14:paraId="1258BC79" w14:textId="77777777" w:rsidR="00107FCF" w:rsidRPr="00507221" w:rsidRDefault="00107FCF" w:rsidP="00507221">
            <w:pPr>
              <w:spacing w:before="60" w:after="60"/>
              <w:jc w:val="center"/>
            </w:pPr>
            <w:r w:rsidRPr="00507221">
              <w:t>5</w:t>
            </w:r>
          </w:p>
        </w:tc>
      </w:tr>
      <w:tr w:rsidR="00107FCF" w:rsidRPr="00507221" w14:paraId="7A05A69D" w14:textId="77777777" w:rsidTr="006A3BC1">
        <w:tc>
          <w:tcPr>
            <w:tcW w:w="1249" w:type="pct"/>
          </w:tcPr>
          <w:p w14:paraId="3B5D2358" w14:textId="77777777" w:rsidR="00107FCF" w:rsidRPr="00507221" w:rsidRDefault="00107FCF" w:rsidP="00507221">
            <w:pPr>
              <w:spacing w:before="60" w:after="60"/>
              <w:jc w:val="center"/>
              <w:rPr>
                <w:b/>
                <w:bCs/>
              </w:rPr>
            </w:pPr>
            <w:r w:rsidRPr="00507221">
              <w:t>2</w:t>
            </w:r>
          </w:p>
        </w:tc>
        <w:tc>
          <w:tcPr>
            <w:tcW w:w="2002" w:type="pct"/>
          </w:tcPr>
          <w:p w14:paraId="7F21C380" w14:textId="77777777" w:rsidR="00107FCF" w:rsidRPr="00507221" w:rsidRDefault="00107FCF" w:rsidP="00507221">
            <w:pPr>
              <w:spacing w:before="60" w:after="60"/>
              <w:jc w:val="center"/>
            </w:pPr>
            <w:r w:rsidRPr="00507221">
              <w:t>0,5 &lt; h</w:t>
            </w:r>
          </w:p>
        </w:tc>
        <w:tc>
          <w:tcPr>
            <w:tcW w:w="1749" w:type="pct"/>
          </w:tcPr>
          <w:p w14:paraId="4D561237" w14:textId="77777777" w:rsidR="00107FCF" w:rsidRPr="00507221" w:rsidRDefault="00107FCF" w:rsidP="00507221">
            <w:pPr>
              <w:spacing w:before="60" w:after="60"/>
              <w:jc w:val="center"/>
            </w:pPr>
            <w:r w:rsidRPr="00507221">
              <w:t>10</w:t>
            </w:r>
          </w:p>
        </w:tc>
      </w:tr>
    </w:tbl>
    <w:p w14:paraId="45D5BEAF" w14:textId="3162EE14" w:rsidR="00107FCF" w:rsidRDefault="00567ACB" w:rsidP="006D41A7">
      <w:pPr>
        <w:pStyle w:val="ReportLevel3"/>
        <w:numPr>
          <w:ilvl w:val="2"/>
          <w:numId w:val="4"/>
        </w:numPr>
      </w:pPr>
      <w:r>
        <w:br w:type="column"/>
      </w:r>
      <w:r w:rsidR="00107FCF" w:rsidRPr="00230759">
        <w:lastRenderedPageBreak/>
        <w:t xml:space="preserve">Klasa </w:t>
      </w:r>
      <w:r w:rsidR="00107FCF">
        <w:t>4</w:t>
      </w:r>
      <w:r w:rsidR="00107FCF" w:rsidRPr="00230759">
        <w:t xml:space="preserve"> – </w:t>
      </w:r>
      <w:r w:rsidR="00107FCF">
        <w:t>lasy</w:t>
      </w:r>
    </w:p>
    <w:p w14:paraId="34011DE9" w14:textId="77777777" w:rsidR="00107FCF" w:rsidRPr="004E2A4A" w:rsidRDefault="00107FCF" w:rsidP="00230759">
      <w:pPr>
        <w:autoSpaceDE w:val="0"/>
        <w:autoSpaceDN w:val="0"/>
        <w:adjustRightInd w:val="0"/>
        <w:jc w:val="both"/>
        <w:rPr>
          <w:szCs w:val="20"/>
          <w:lang w:eastAsia="en-US"/>
        </w:rPr>
      </w:pPr>
      <w:r w:rsidRPr="004E2A4A">
        <w:rPr>
          <w:szCs w:val="20"/>
          <w:lang w:eastAsia="en-US"/>
        </w:rPr>
        <w:t>Wartość potencjalnej straty jednostkowej dla tej klasy jest trudna do określenia. Straty powodziowe</w:t>
      </w:r>
      <w:r>
        <w:rPr>
          <w:szCs w:val="20"/>
          <w:lang w:eastAsia="en-US"/>
        </w:rPr>
        <w:t xml:space="preserve"> </w:t>
      </w:r>
      <w:r w:rsidRPr="004E2A4A">
        <w:rPr>
          <w:szCs w:val="20"/>
          <w:lang w:eastAsia="en-US"/>
        </w:rPr>
        <w:t>są zależne przede wszystkim od długości trwania powodzi, wieku drzewostanu, rodzaju siedliska</w:t>
      </w:r>
      <w:r>
        <w:rPr>
          <w:szCs w:val="20"/>
          <w:lang w:eastAsia="en-US"/>
        </w:rPr>
        <w:t xml:space="preserve"> </w:t>
      </w:r>
      <w:r w:rsidRPr="004E2A4A">
        <w:rPr>
          <w:szCs w:val="20"/>
          <w:lang w:eastAsia="en-US"/>
        </w:rPr>
        <w:t>naturalnego, kondycji drzewostanów przed wystąpieniem zjawiska powodzi oraz bardzo wielu</w:t>
      </w:r>
      <w:r>
        <w:rPr>
          <w:szCs w:val="20"/>
          <w:lang w:eastAsia="en-US"/>
        </w:rPr>
        <w:t xml:space="preserve"> </w:t>
      </w:r>
      <w:r w:rsidRPr="004E2A4A">
        <w:rPr>
          <w:szCs w:val="20"/>
          <w:lang w:eastAsia="en-US"/>
        </w:rPr>
        <w:t>innych czynników. Dodatkowo zniszczeniu może ulec także runo leśne oraz infrastruktura leśna.</w:t>
      </w:r>
    </w:p>
    <w:p w14:paraId="29E5416C" w14:textId="265B7790" w:rsidR="00107FCF" w:rsidRDefault="00107FCF" w:rsidP="00230759">
      <w:pPr>
        <w:autoSpaceDE w:val="0"/>
        <w:autoSpaceDN w:val="0"/>
        <w:adjustRightInd w:val="0"/>
        <w:jc w:val="both"/>
        <w:rPr>
          <w:szCs w:val="20"/>
          <w:lang w:eastAsia="en-US"/>
        </w:rPr>
      </w:pPr>
      <w:r w:rsidRPr="004E2A4A">
        <w:rPr>
          <w:szCs w:val="20"/>
          <w:lang w:eastAsia="en-US"/>
        </w:rPr>
        <w:t>Powódź wpływa również negatywnie na faunę zamieszkującą obszary leśne. Niezwykle trudne jest określenie strat niematerialnych – wartości pozaprodukcyjnych, np. strat w</w:t>
      </w:r>
      <w:r w:rsidR="00567ACB">
        <w:rPr>
          <w:szCs w:val="20"/>
          <w:lang w:eastAsia="en-US"/>
        </w:rPr>
        <w:t> </w:t>
      </w:r>
      <w:r w:rsidRPr="004E2A4A">
        <w:rPr>
          <w:szCs w:val="20"/>
          <w:lang w:eastAsia="en-US"/>
        </w:rPr>
        <w:t>publicznych funkcjach</w:t>
      </w:r>
      <w:r>
        <w:rPr>
          <w:szCs w:val="20"/>
          <w:lang w:eastAsia="en-US"/>
        </w:rPr>
        <w:t xml:space="preserve"> </w:t>
      </w:r>
      <w:r w:rsidRPr="004E2A4A">
        <w:rPr>
          <w:szCs w:val="20"/>
          <w:lang w:eastAsia="en-US"/>
        </w:rPr>
        <w:t>lasu, np. ochronnej roli lasów.</w:t>
      </w:r>
    </w:p>
    <w:p w14:paraId="5B0B948A" w14:textId="77777777" w:rsidR="00107FCF" w:rsidRDefault="00107FCF" w:rsidP="00230759">
      <w:pPr>
        <w:autoSpaceDE w:val="0"/>
        <w:autoSpaceDN w:val="0"/>
        <w:adjustRightInd w:val="0"/>
        <w:jc w:val="both"/>
        <w:rPr>
          <w:szCs w:val="20"/>
          <w:lang w:eastAsia="en-US"/>
        </w:rPr>
      </w:pPr>
    </w:p>
    <w:p w14:paraId="664E56D6" w14:textId="77777777" w:rsidR="00107FCF" w:rsidRDefault="00107FCF" w:rsidP="00230759">
      <w:pPr>
        <w:autoSpaceDE w:val="0"/>
        <w:autoSpaceDN w:val="0"/>
        <w:adjustRightInd w:val="0"/>
        <w:jc w:val="both"/>
        <w:rPr>
          <w:szCs w:val="20"/>
          <w:lang w:eastAsia="en-US"/>
        </w:rPr>
      </w:pPr>
      <w:r>
        <w:t>Z</w:t>
      </w:r>
      <w:r w:rsidRPr="00E321CD">
        <w:t xml:space="preserve">godne z </w:t>
      </w:r>
      <w:r>
        <w:t>obliczeniami</w:t>
      </w:r>
      <w:r w:rsidRPr="00E321CD">
        <w:t xml:space="preserve"> </w:t>
      </w:r>
      <w:r>
        <w:t xml:space="preserve">zastosowanymi w </w:t>
      </w:r>
      <w:r w:rsidRPr="00E321CD">
        <w:t xml:space="preserve">PZRP dla obszarów dorzeczy i Regionów Wodnych, </w:t>
      </w:r>
      <w:r>
        <w:t xml:space="preserve">przyjęto </w:t>
      </w:r>
      <w:r w:rsidRPr="004E2A4A">
        <w:rPr>
          <w:szCs w:val="20"/>
          <w:lang w:eastAsia="en-US"/>
        </w:rPr>
        <w:t>potencjalną</w:t>
      </w:r>
      <w:r>
        <w:rPr>
          <w:szCs w:val="20"/>
          <w:lang w:eastAsia="en-US"/>
        </w:rPr>
        <w:t xml:space="preserve"> </w:t>
      </w:r>
      <w:r w:rsidRPr="004E2A4A">
        <w:rPr>
          <w:szCs w:val="20"/>
          <w:lang w:eastAsia="en-US"/>
        </w:rPr>
        <w:t xml:space="preserve">stratę jednostkową w wysokości </w:t>
      </w:r>
      <w:r w:rsidRPr="004A0992">
        <w:rPr>
          <w:b/>
          <w:bCs/>
          <w:szCs w:val="20"/>
          <w:lang w:eastAsia="en-US"/>
        </w:rPr>
        <w:t>0,04</w:t>
      </w:r>
      <w:r w:rsidRPr="004E2A4A">
        <w:rPr>
          <w:szCs w:val="20"/>
          <w:lang w:eastAsia="en-US"/>
        </w:rPr>
        <w:t xml:space="preserve"> PLN/m</w:t>
      </w:r>
      <w:r w:rsidRPr="003A63B7">
        <w:rPr>
          <w:szCs w:val="20"/>
          <w:vertAlign w:val="superscript"/>
          <w:lang w:eastAsia="en-US"/>
        </w:rPr>
        <w:t>2</w:t>
      </w:r>
      <w:r w:rsidRPr="004E2A4A">
        <w:rPr>
          <w:szCs w:val="20"/>
          <w:lang w:eastAsia="en-US"/>
        </w:rPr>
        <w:t xml:space="preserve">. </w:t>
      </w:r>
    </w:p>
    <w:p w14:paraId="66662E60" w14:textId="77777777" w:rsidR="00107FCF" w:rsidRPr="004E2A4A" w:rsidRDefault="00107FCF" w:rsidP="00230759">
      <w:pPr>
        <w:autoSpaceDE w:val="0"/>
        <w:autoSpaceDN w:val="0"/>
        <w:adjustRightInd w:val="0"/>
        <w:jc w:val="both"/>
        <w:rPr>
          <w:szCs w:val="20"/>
          <w:lang w:eastAsia="en-US"/>
        </w:rPr>
      </w:pPr>
    </w:p>
    <w:p w14:paraId="790E0285" w14:textId="1E06A4BC" w:rsidR="00107FCF" w:rsidRDefault="00107FCF" w:rsidP="00230759">
      <w:pPr>
        <w:autoSpaceDE w:val="0"/>
        <w:autoSpaceDN w:val="0"/>
        <w:adjustRightInd w:val="0"/>
        <w:jc w:val="both"/>
        <w:rPr>
          <w:szCs w:val="20"/>
          <w:lang w:eastAsia="en-US"/>
        </w:rPr>
      </w:pPr>
      <w:r w:rsidRPr="004E2A4A">
        <w:rPr>
          <w:szCs w:val="20"/>
          <w:lang w:eastAsia="en-US"/>
        </w:rPr>
        <w:t>Dla klasy 4 przyjmuje się stałe wartości strat dla obszaru całego kraju, niezależne od głębokości</w:t>
      </w:r>
      <w:r>
        <w:rPr>
          <w:szCs w:val="20"/>
          <w:lang w:eastAsia="en-US"/>
        </w:rPr>
        <w:t xml:space="preserve"> </w:t>
      </w:r>
      <w:r w:rsidRPr="004E2A4A">
        <w:rPr>
          <w:szCs w:val="20"/>
          <w:lang w:eastAsia="en-US"/>
        </w:rPr>
        <w:t>wody.</w:t>
      </w:r>
    </w:p>
    <w:p w14:paraId="0F79BFDD" w14:textId="77777777" w:rsidR="00EA50FC" w:rsidRDefault="00EA50FC" w:rsidP="00230759">
      <w:pPr>
        <w:autoSpaceDE w:val="0"/>
        <w:autoSpaceDN w:val="0"/>
        <w:adjustRightInd w:val="0"/>
        <w:jc w:val="both"/>
        <w:rPr>
          <w:szCs w:val="20"/>
          <w:lang w:eastAsia="en-US"/>
        </w:rPr>
      </w:pPr>
    </w:p>
    <w:p w14:paraId="2983ACDE" w14:textId="77777777" w:rsidR="00107FCF" w:rsidRDefault="00107FCF" w:rsidP="006D41A7">
      <w:pPr>
        <w:pStyle w:val="ReportLevel3"/>
        <w:numPr>
          <w:ilvl w:val="2"/>
          <w:numId w:val="4"/>
        </w:numPr>
      </w:pPr>
      <w:r w:rsidRPr="00230759">
        <w:t xml:space="preserve">Klasa </w:t>
      </w:r>
      <w:r>
        <w:t>5</w:t>
      </w:r>
      <w:r w:rsidRPr="00230759">
        <w:t xml:space="preserve"> – </w:t>
      </w:r>
      <w:r w:rsidRPr="004F3B3D">
        <w:t>tereny rekreacyjno-wypoczynkowe</w:t>
      </w:r>
    </w:p>
    <w:p w14:paraId="3B8B8090" w14:textId="77777777" w:rsidR="00107FCF" w:rsidRPr="006016B0" w:rsidRDefault="00107FCF" w:rsidP="004F3B3D">
      <w:pPr>
        <w:autoSpaceDE w:val="0"/>
        <w:autoSpaceDN w:val="0"/>
        <w:adjustRightInd w:val="0"/>
        <w:jc w:val="both"/>
      </w:pPr>
      <w:r w:rsidRPr="006016B0">
        <w:t>Wartość potencjalnej straty jednostkowej dla terenów rekreacyjno-wypoczynkowych oblicza się na</w:t>
      </w:r>
      <w:r>
        <w:t xml:space="preserve"> </w:t>
      </w:r>
      <w:r w:rsidRPr="006016B0">
        <w:t>podstawie indeksacji jednostkowej wartości potencjalnej straty, obowiązującej w I cyklu</w:t>
      </w:r>
      <w:r>
        <w:t xml:space="preserve"> </w:t>
      </w:r>
      <w:r w:rsidRPr="006016B0">
        <w:t>planistycznym, określonej w rozporządzeniu z dnia 21 grudnia 2012 r. Ministra Środowiska, Ministra</w:t>
      </w:r>
      <w:r>
        <w:t xml:space="preserve"> </w:t>
      </w:r>
      <w:r w:rsidRPr="006016B0">
        <w:t>Transportu, Budownictwa i Gospodarki</w:t>
      </w:r>
      <w:r>
        <w:t xml:space="preserve"> </w:t>
      </w:r>
      <w:r w:rsidRPr="006016B0">
        <w:t>Morskiej, Ministra Administracji i Cyfryzacji oraz Ministra</w:t>
      </w:r>
      <w:r>
        <w:t xml:space="preserve"> </w:t>
      </w:r>
      <w:r w:rsidRPr="006016B0">
        <w:t>Spraw Wewnętrznych w sprawie opracowania map zagrożenia powodziowego oraz map ryzyka</w:t>
      </w:r>
      <w:r>
        <w:t xml:space="preserve"> </w:t>
      </w:r>
      <w:r w:rsidRPr="006016B0">
        <w:t xml:space="preserve">powodziowego (Dz.U. 2013, poz. 104). </w:t>
      </w:r>
    </w:p>
    <w:p w14:paraId="71CFEBD3" w14:textId="5D66470E" w:rsidR="00107FCF" w:rsidRDefault="00107FCF" w:rsidP="004F3B3D">
      <w:pPr>
        <w:autoSpaceDE w:val="0"/>
        <w:autoSpaceDN w:val="0"/>
        <w:adjustRightInd w:val="0"/>
        <w:jc w:val="both"/>
      </w:pPr>
      <w:r w:rsidRPr="006016B0">
        <w:t>Indeksacji dokonano wskaźnikiem wzrostu wartości środków trwałych w Polsce w</w:t>
      </w:r>
      <w:r w:rsidR="00567ACB">
        <w:t> </w:t>
      </w:r>
      <w:r w:rsidRPr="006016B0">
        <w:t>bieżących cenach</w:t>
      </w:r>
      <w:r>
        <w:t xml:space="preserve"> </w:t>
      </w:r>
      <w:r w:rsidRPr="006016B0">
        <w:t>ewidencyjnych (GUS). Został on wyliczony w procentach w</w:t>
      </w:r>
      <w:r w:rsidR="00567ACB">
        <w:t> </w:t>
      </w:r>
      <w:r w:rsidRPr="006016B0">
        <w:t>stosunku do 2008 r. (do którego odnosiły</w:t>
      </w:r>
      <w:r>
        <w:t xml:space="preserve"> </w:t>
      </w:r>
      <w:r w:rsidRPr="006016B0">
        <w:t>się wartości majątku w rozporządzeniu z</w:t>
      </w:r>
      <w:r w:rsidR="00567ACB">
        <w:t> </w:t>
      </w:r>
      <w:r w:rsidRPr="006016B0">
        <w:t>2012 r.)</w:t>
      </w:r>
      <w:r>
        <w:t xml:space="preserve">. </w:t>
      </w:r>
    </w:p>
    <w:p w14:paraId="509703D9" w14:textId="77777777" w:rsidR="00107FCF" w:rsidRDefault="00107FCF" w:rsidP="004F3B3D">
      <w:pPr>
        <w:autoSpaceDE w:val="0"/>
        <w:autoSpaceDN w:val="0"/>
        <w:adjustRightInd w:val="0"/>
        <w:jc w:val="both"/>
      </w:pPr>
    </w:p>
    <w:p w14:paraId="4C7B81F5" w14:textId="59FA3C20" w:rsidR="00107FCF" w:rsidRDefault="00107FCF" w:rsidP="004F3B3D">
      <w:pPr>
        <w:autoSpaceDE w:val="0"/>
        <w:autoSpaceDN w:val="0"/>
        <w:adjustRightInd w:val="0"/>
        <w:jc w:val="both"/>
      </w:pPr>
      <w:r w:rsidRPr="006016B0">
        <w:t>Wartość terenów rekreacyjno</w:t>
      </w:r>
      <w:r>
        <w:t>-</w:t>
      </w:r>
      <w:r w:rsidRPr="006016B0">
        <w:t>wypoczynkowych</w:t>
      </w:r>
      <w:r>
        <w:t xml:space="preserve"> </w:t>
      </w:r>
      <w:r w:rsidRPr="006016B0">
        <w:t xml:space="preserve">z 2008 r. </w:t>
      </w:r>
      <w:r w:rsidRPr="00CB665F">
        <w:rPr>
          <w:szCs w:val="20"/>
          <w:lang w:eastAsia="en-US"/>
        </w:rPr>
        <w:t>został</w:t>
      </w:r>
      <w:r>
        <w:rPr>
          <w:szCs w:val="20"/>
          <w:lang w:eastAsia="en-US"/>
        </w:rPr>
        <w:t>a</w:t>
      </w:r>
      <w:r w:rsidRPr="00CB665F">
        <w:rPr>
          <w:szCs w:val="20"/>
          <w:lang w:eastAsia="en-US"/>
        </w:rPr>
        <w:t xml:space="preserve"> poddan</w:t>
      </w:r>
      <w:r>
        <w:rPr>
          <w:szCs w:val="20"/>
          <w:lang w:eastAsia="en-US"/>
        </w:rPr>
        <w:t>a</w:t>
      </w:r>
      <w:r w:rsidRPr="00CB665F">
        <w:rPr>
          <w:szCs w:val="20"/>
          <w:lang w:eastAsia="en-US"/>
        </w:rPr>
        <w:t xml:space="preserve"> indeksacji </w:t>
      </w:r>
      <w:r w:rsidRPr="00D44B75">
        <w:rPr>
          <w:szCs w:val="20"/>
          <w:lang w:eastAsia="en-US"/>
        </w:rPr>
        <w:t>o</w:t>
      </w:r>
      <w:r w:rsidR="00567ACB">
        <w:rPr>
          <w:szCs w:val="20"/>
          <w:lang w:eastAsia="en-US"/>
        </w:rPr>
        <w:t> </w:t>
      </w:r>
      <w:r w:rsidRPr="00D44B75">
        <w:rPr>
          <w:szCs w:val="20"/>
          <w:lang w:eastAsia="en-US"/>
        </w:rPr>
        <w:t xml:space="preserve">wskaźnik przyrostu wartości środków trwałych publikowany przez </w:t>
      </w:r>
      <w:r>
        <w:rPr>
          <w:szCs w:val="20"/>
          <w:lang w:eastAsia="en-US"/>
        </w:rPr>
        <w:t>GUS</w:t>
      </w:r>
      <w:r w:rsidRPr="006016B0">
        <w:t xml:space="preserve"> i wynosi dla 201</w:t>
      </w:r>
      <w:r>
        <w:t>9</w:t>
      </w:r>
      <w:r w:rsidRPr="006016B0">
        <w:t xml:space="preserve"> roku </w:t>
      </w:r>
      <w:r w:rsidRPr="004A0992">
        <w:rPr>
          <w:b/>
          <w:bCs/>
        </w:rPr>
        <w:t>8,81</w:t>
      </w:r>
      <w:r>
        <w:t xml:space="preserve"> </w:t>
      </w:r>
      <w:r w:rsidRPr="006016B0">
        <w:t>PLN/m</w:t>
      </w:r>
      <w:r w:rsidRPr="00A96264">
        <w:rPr>
          <w:vertAlign w:val="superscript"/>
        </w:rPr>
        <w:t>2</w:t>
      </w:r>
      <w:r w:rsidRPr="006016B0">
        <w:t>.</w:t>
      </w:r>
    </w:p>
    <w:p w14:paraId="393583F3" w14:textId="77777777" w:rsidR="00107FCF" w:rsidRPr="006016B0" w:rsidRDefault="00107FCF" w:rsidP="004F3B3D">
      <w:pPr>
        <w:autoSpaceDE w:val="0"/>
        <w:autoSpaceDN w:val="0"/>
        <w:adjustRightInd w:val="0"/>
        <w:jc w:val="both"/>
      </w:pPr>
    </w:p>
    <w:p w14:paraId="5513C2FD" w14:textId="6FE18C70" w:rsidR="00107FCF" w:rsidRPr="006016B0" w:rsidRDefault="00107FCF" w:rsidP="004F3B3D">
      <w:pPr>
        <w:autoSpaceDE w:val="0"/>
        <w:autoSpaceDN w:val="0"/>
        <w:adjustRightInd w:val="0"/>
        <w:jc w:val="both"/>
      </w:pPr>
      <w:r w:rsidRPr="006016B0">
        <w:t>Dla klasy 5 przyjmuje się stałe wartości strat dla obszaru całego kraju, niezależne od głębokości</w:t>
      </w:r>
      <w:r>
        <w:t xml:space="preserve"> </w:t>
      </w:r>
      <w:r w:rsidRPr="006016B0">
        <w:t>wody.</w:t>
      </w:r>
    </w:p>
    <w:p w14:paraId="722C4936" w14:textId="54BE75E0" w:rsidR="00107FCF" w:rsidRDefault="00EA50FC" w:rsidP="00AF7C5E">
      <w:pPr>
        <w:pStyle w:val="ReportLevel3"/>
        <w:numPr>
          <w:ilvl w:val="0"/>
          <w:numId w:val="0"/>
        </w:numPr>
        <w:ind w:left="1134" w:hanging="1134"/>
      </w:pPr>
      <w:r>
        <w:br w:type="column"/>
      </w:r>
      <w:r w:rsidR="00AF7C5E">
        <w:lastRenderedPageBreak/>
        <w:t>5.2.6</w:t>
      </w:r>
      <w:r w:rsidR="00AF7C5E">
        <w:tab/>
      </w:r>
      <w:r w:rsidR="00107FCF" w:rsidRPr="00230759">
        <w:t xml:space="preserve">Klasa </w:t>
      </w:r>
      <w:r w:rsidR="00107FCF">
        <w:t>6</w:t>
      </w:r>
      <w:r w:rsidR="00107FCF" w:rsidRPr="00230759">
        <w:t xml:space="preserve"> – </w:t>
      </w:r>
      <w:r w:rsidR="00107FCF" w:rsidRPr="004F3B3D">
        <w:t>grunty orne i uprawy trwałe</w:t>
      </w:r>
    </w:p>
    <w:p w14:paraId="28018CA3" w14:textId="4F980B5A" w:rsidR="00107FCF" w:rsidRPr="00567ACB" w:rsidRDefault="00107FCF" w:rsidP="004F3B3D">
      <w:pPr>
        <w:autoSpaceDE w:val="0"/>
        <w:autoSpaceDN w:val="0"/>
        <w:adjustRightInd w:val="0"/>
        <w:jc w:val="both"/>
      </w:pPr>
      <w:r w:rsidRPr="000A12CF">
        <w:t>W zależności od sposobu oddziaływania powodzi potencjalne straty powodziowe w</w:t>
      </w:r>
      <w:r w:rsidR="00567ACB">
        <w:t> </w:t>
      </w:r>
      <w:r w:rsidRPr="000A12CF">
        <w:t xml:space="preserve">klasie 6 </w:t>
      </w:r>
      <w:r w:rsidRPr="00567ACB">
        <w:t>można podzielić na dwa rodzaje:</w:t>
      </w:r>
    </w:p>
    <w:p w14:paraId="5E7D11F8" w14:textId="77777777" w:rsidR="00107FCF" w:rsidRPr="00567ACB" w:rsidRDefault="00107FCF" w:rsidP="004F3B3D">
      <w:pPr>
        <w:autoSpaceDE w:val="0"/>
        <w:autoSpaceDN w:val="0"/>
        <w:adjustRightInd w:val="0"/>
        <w:jc w:val="both"/>
      </w:pPr>
    </w:p>
    <w:p w14:paraId="7F273F3E" w14:textId="44ECB0BF" w:rsidR="00107FCF" w:rsidRPr="00567ACB" w:rsidRDefault="00107FCF" w:rsidP="006D41A7">
      <w:pPr>
        <w:pStyle w:val="Akapitzlist"/>
        <w:numPr>
          <w:ilvl w:val="0"/>
          <w:numId w:val="27"/>
        </w:numPr>
        <w:autoSpaceDE w:val="0"/>
        <w:autoSpaceDN w:val="0"/>
        <w:adjustRightInd w:val="0"/>
        <w:ind w:left="567" w:hanging="425"/>
        <w:jc w:val="both"/>
        <w:rPr>
          <w:sz w:val="24"/>
          <w:szCs w:val="24"/>
        </w:rPr>
      </w:pPr>
      <w:r w:rsidRPr="00567ACB">
        <w:rPr>
          <w:sz w:val="24"/>
          <w:szCs w:val="24"/>
        </w:rPr>
        <w:t>straty bezpośrednie – najważniejsze z nich to: straty w uprawach, zniszczenie gleby, np. przez procesy spłukiwania, erozji, zaburzenie stosunków wodnych w</w:t>
      </w:r>
      <w:r w:rsidR="00567ACB">
        <w:rPr>
          <w:sz w:val="24"/>
          <w:szCs w:val="24"/>
        </w:rPr>
        <w:t> </w:t>
      </w:r>
      <w:r w:rsidRPr="00567ACB">
        <w:rPr>
          <w:sz w:val="24"/>
          <w:szCs w:val="24"/>
        </w:rPr>
        <w:t>glebie, zanieczyszczenie gleby;</w:t>
      </w:r>
    </w:p>
    <w:p w14:paraId="1FB219CC" w14:textId="77777777" w:rsidR="00107FCF" w:rsidRPr="00567ACB" w:rsidRDefault="00107FCF" w:rsidP="006D41A7">
      <w:pPr>
        <w:pStyle w:val="Akapitzlist"/>
        <w:numPr>
          <w:ilvl w:val="0"/>
          <w:numId w:val="27"/>
        </w:numPr>
        <w:autoSpaceDE w:val="0"/>
        <w:autoSpaceDN w:val="0"/>
        <w:adjustRightInd w:val="0"/>
        <w:ind w:left="567" w:hanging="425"/>
        <w:jc w:val="both"/>
        <w:rPr>
          <w:sz w:val="24"/>
          <w:szCs w:val="24"/>
        </w:rPr>
      </w:pPr>
      <w:r w:rsidRPr="00567ACB">
        <w:rPr>
          <w:sz w:val="24"/>
          <w:szCs w:val="24"/>
        </w:rPr>
        <w:t>straty pośrednie – najważniejsze z nich to: wydatki na uporządkowanie zniszczeń, straty w produkcji zwierzęcej, np. obniżenie plonów ma wpływ na dodatkowe wydatki lub spadek hodowli.</w:t>
      </w:r>
    </w:p>
    <w:p w14:paraId="0E946CB9" w14:textId="77777777" w:rsidR="00107FCF" w:rsidRPr="000A12CF" w:rsidRDefault="00107FCF" w:rsidP="004F3B3D">
      <w:pPr>
        <w:pStyle w:val="Akapitzlist"/>
        <w:autoSpaceDE w:val="0"/>
        <w:autoSpaceDN w:val="0"/>
        <w:adjustRightInd w:val="0"/>
        <w:jc w:val="both"/>
      </w:pPr>
    </w:p>
    <w:p w14:paraId="6F1B9EDD" w14:textId="77777777" w:rsidR="00107FCF" w:rsidRPr="006016B0" w:rsidRDefault="00107FCF" w:rsidP="004F3B3D">
      <w:pPr>
        <w:autoSpaceDE w:val="0"/>
        <w:autoSpaceDN w:val="0"/>
        <w:adjustRightInd w:val="0"/>
        <w:jc w:val="both"/>
      </w:pPr>
      <w:r w:rsidRPr="000A12CF">
        <w:t>Potencjalne straty powodziowe w klasie 6 to suma strat bezpośrednich i pośrednich.</w:t>
      </w:r>
    </w:p>
    <w:p w14:paraId="11AA8431" w14:textId="77777777" w:rsidR="00107FCF" w:rsidRPr="00704598" w:rsidRDefault="00107FCF" w:rsidP="004F3B3D">
      <w:pPr>
        <w:autoSpaceDE w:val="0"/>
        <w:autoSpaceDN w:val="0"/>
        <w:adjustRightInd w:val="0"/>
        <w:jc w:val="both"/>
      </w:pPr>
    </w:p>
    <w:p w14:paraId="559E01AC" w14:textId="77777777" w:rsidR="00107FCF" w:rsidRDefault="00107FCF" w:rsidP="004F3B3D">
      <w:pPr>
        <w:autoSpaceDE w:val="0"/>
        <w:autoSpaceDN w:val="0"/>
        <w:adjustRightInd w:val="0"/>
        <w:jc w:val="both"/>
      </w:pPr>
      <w:r>
        <w:t>Wielkość jednostkowych</w:t>
      </w:r>
      <w:r w:rsidRPr="0043712A">
        <w:t xml:space="preserve"> strat powodziowych dla gruntów ornych i upraw trwałych</w:t>
      </w:r>
      <w:r>
        <w:t xml:space="preserve"> przyjęto w oparciu o m</w:t>
      </w:r>
      <w:r w:rsidRPr="00704598">
        <w:t>etodyk</w:t>
      </w:r>
      <w:r>
        <w:t>ę</w:t>
      </w:r>
      <w:r w:rsidRPr="00704598">
        <w:t xml:space="preserve"> opracowania map zagrożenia</w:t>
      </w:r>
      <w:r>
        <w:t xml:space="preserve"> </w:t>
      </w:r>
      <w:r w:rsidRPr="00704598">
        <w:t>powodziowego i map ryzyka powodziowego</w:t>
      </w:r>
      <w:r>
        <w:t xml:space="preserve"> </w:t>
      </w:r>
      <w:r w:rsidRPr="00704598">
        <w:t xml:space="preserve">w </w:t>
      </w:r>
      <w:r>
        <w:t>II</w:t>
      </w:r>
      <w:r w:rsidRPr="00704598">
        <w:t xml:space="preserve"> cyklu planistycznym</w:t>
      </w:r>
      <w:r>
        <w:t xml:space="preserve"> oraz zgodnie </w:t>
      </w:r>
      <w:r w:rsidRPr="00E321CD">
        <w:t>z podejściem z PZRP dla obszarów dorzeczy i Regionów Wodnych,</w:t>
      </w:r>
      <w:r>
        <w:t xml:space="preserve"> wartości strat podległy indeksacji</w:t>
      </w:r>
      <w:r w:rsidRPr="007F691D">
        <w:t xml:space="preserve"> o wskaźnik cen globalnej produkcji rolniczej publikowany przez GUS</w:t>
      </w:r>
      <w:r>
        <w:t>.</w:t>
      </w:r>
    </w:p>
    <w:p w14:paraId="29B31454" w14:textId="77777777" w:rsidR="00107FCF" w:rsidRDefault="00107FCF" w:rsidP="004F3B3D">
      <w:pPr>
        <w:autoSpaceDE w:val="0"/>
        <w:autoSpaceDN w:val="0"/>
        <w:adjustRightInd w:val="0"/>
        <w:jc w:val="both"/>
      </w:pPr>
    </w:p>
    <w:p w14:paraId="561FA31F" w14:textId="77777777" w:rsidR="00107FCF" w:rsidRPr="00113734" w:rsidRDefault="00107FCF" w:rsidP="004F3B3D">
      <w:pPr>
        <w:autoSpaceDE w:val="0"/>
        <w:autoSpaceDN w:val="0"/>
        <w:adjustRightInd w:val="0"/>
        <w:jc w:val="both"/>
      </w:pPr>
      <w:r w:rsidRPr="005D387E">
        <w:t>Wartoś</w:t>
      </w:r>
      <w:r>
        <w:t>ć</w:t>
      </w:r>
      <w:r w:rsidRPr="005D387E">
        <w:t xml:space="preserve"> potencjalnych </w:t>
      </w:r>
      <w:r>
        <w:t xml:space="preserve">jednostkowych </w:t>
      </w:r>
      <w:r w:rsidRPr="005D387E">
        <w:t>strat powodziowych dla gruntów ornych i upraw trwałych</w:t>
      </w:r>
      <w:r>
        <w:t xml:space="preserve"> </w:t>
      </w:r>
      <w:r w:rsidRPr="005D387E">
        <w:t>przedstawiono</w:t>
      </w:r>
      <w:r>
        <w:t xml:space="preserve"> </w:t>
      </w:r>
      <w:r w:rsidRPr="005D387E">
        <w:t xml:space="preserve">w </w:t>
      </w:r>
      <w:r>
        <w:t>Tabeli 7</w:t>
      </w:r>
      <w:r w:rsidRPr="005D387E">
        <w:t>.</w:t>
      </w:r>
    </w:p>
    <w:p w14:paraId="16C1B67A" w14:textId="77777777" w:rsidR="00107FCF" w:rsidRDefault="00107FCF" w:rsidP="004F3B3D">
      <w:pPr>
        <w:autoSpaceDE w:val="0"/>
        <w:autoSpaceDN w:val="0"/>
        <w:adjustRightInd w:val="0"/>
        <w:jc w:val="both"/>
        <w:rPr>
          <w:szCs w:val="20"/>
          <w:lang w:eastAsia="en-US"/>
        </w:rPr>
      </w:pPr>
    </w:p>
    <w:p w14:paraId="20823479" w14:textId="7654BADE" w:rsidR="00107FCF" w:rsidRPr="003E107C" w:rsidRDefault="00107FCF" w:rsidP="00567ACB">
      <w:pPr>
        <w:pStyle w:val="Legenda"/>
        <w:tabs>
          <w:tab w:val="clear" w:pos="1080"/>
          <w:tab w:val="left" w:pos="1418"/>
        </w:tabs>
        <w:ind w:left="1134" w:hanging="1134"/>
        <w:jc w:val="both"/>
        <w:rPr>
          <w:sz w:val="24"/>
          <w:szCs w:val="28"/>
        </w:rPr>
      </w:pPr>
      <w:bookmarkStart w:id="73" w:name="_Toc80608760"/>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7</w:t>
      </w:r>
      <w:r w:rsidR="00290AD4">
        <w:rPr>
          <w:sz w:val="24"/>
          <w:szCs w:val="28"/>
        </w:rPr>
        <w:fldChar w:fldCharType="end"/>
      </w:r>
      <w:r w:rsidR="00567ACB">
        <w:rPr>
          <w:sz w:val="24"/>
          <w:szCs w:val="28"/>
        </w:rPr>
        <w:tab/>
      </w:r>
      <w:r w:rsidRPr="003E107C">
        <w:rPr>
          <w:sz w:val="24"/>
          <w:szCs w:val="28"/>
        </w:rPr>
        <w:t>Wartość potencjalnych strat powodziowych dla gruntów ornych i upraw trwałych</w:t>
      </w:r>
      <w:bookmarkEnd w:id="73"/>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4247"/>
        <w:gridCol w:w="4248"/>
      </w:tblGrid>
      <w:tr w:rsidR="00107FCF" w:rsidRPr="00507221" w14:paraId="039CB190" w14:textId="77777777" w:rsidTr="006A3BC1">
        <w:trPr>
          <w:trHeight w:val="325"/>
        </w:trPr>
        <w:tc>
          <w:tcPr>
            <w:tcW w:w="2500" w:type="pct"/>
            <w:tcBorders>
              <w:bottom w:val="single" w:sz="12" w:space="0" w:color="7ECBED"/>
            </w:tcBorders>
            <w:shd w:val="clear" w:color="auto" w:fill="D4EDF9"/>
          </w:tcPr>
          <w:p w14:paraId="3E23CABE" w14:textId="77777777" w:rsidR="00107FCF" w:rsidRPr="00507221" w:rsidRDefault="00107FCF" w:rsidP="00507221">
            <w:pPr>
              <w:spacing w:before="60" w:after="60"/>
              <w:jc w:val="center"/>
              <w:rPr>
                <w:b/>
                <w:bCs/>
                <w:highlight w:val="green"/>
              </w:rPr>
            </w:pPr>
            <w:r w:rsidRPr="00507221">
              <w:t>Województwo</w:t>
            </w:r>
          </w:p>
        </w:tc>
        <w:tc>
          <w:tcPr>
            <w:tcW w:w="2500" w:type="pct"/>
            <w:tcBorders>
              <w:bottom w:val="single" w:sz="12" w:space="0" w:color="7ECBED"/>
            </w:tcBorders>
            <w:shd w:val="clear" w:color="auto" w:fill="D4EDF9"/>
          </w:tcPr>
          <w:p w14:paraId="7E25AB1E" w14:textId="77777777" w:rsidR="00107FCF" w:rsidRPr="00507221" w:rsidRDefault="00107FCF" w:rsidP="00507221">
            <w:pPr>
              <w:autoSpaceDE w:val="0"/>
              <w:autoSpaceDN w:val="0"/>
              <w:adjustRightInd w:val="0"/>
              <w:jc w:val="center"/>
              <w:rPr>
                <w:b/>
                <w:bCs/>
              </w:rPr>
            </w:pPr>
            <w:r w:rsidRPr="00507221">
              <w:t>Potencjalna jednostkowa</w:t>
            </w:r>
          </w:p>
          <w:p w14:paraId="0622A4C6" w14:textId="77777777" w:rsidR="00107FCF" w:rsidRPr="00507221" w:rsidRDefault="00107FCF" w:rsidP="00507221">
            <w:pPr>
              <w:autoSpaceDE w:val="0"/>
              <w:autoSpaceDN w:val="0"/>
              <w:adjustRightInd w:val="0"/>
              <w:jc w:val="center"/>
              <w:rPr>
                <w:b/>
                <w:bCs/>
              </w:rPr>
            </w:pPr>
            <w:r w:rsidRPr="00507221">
              <w:t>strata powodziowa w 2019 r.</w:t>
            </w:r>
          </w:p>
          <w:p w14:paraId="7A17F19B" w14:textId="77777777" w:rsidR="00107FCF" w:rsidRPr="00507221" w:rsidRDefault="00107FCF" w:rsidP="00507221">
            <w:pPr>
              <w:autoSpaceDE w:val="0"/>
              <w:autoSpaceDN w:val="0"/>
              <w:adjustRightInd w:val="0"/>
              <w:jc w:val="center"/>
              <w:rPr>
                <w:b/>
                <w:bCs/>
              </w:rPr>
            </w:pPr>
            <w:r w:rsidRPr="00507221">
              <w:t>[PLN/m</w:t>
            </w:r>
            <w:r w:rsidRPr="00507221">
              <w:rPr>
                <w:vertAlign w:val="superscript"/>
              </w:rPr>
              <w:t>2</w:t>
            </w:r>
            <w:r w:rsidRPr="00507221">
              <w:t>]</w:t>
            </w:r>
          </w:p>
        </w:tc>
      </w:tr>
      <w:tr w:rsidR="00107FCF" w:rsidRPr="00507221" w14:paraId="0F498188" w14:textId="77777777" w:rsidTr="006A3BC1">
        <w:tc>
          <w:tcPr>
            <w:tcW w:w="2500" w:type="pct"/>
          </w:tcPr>
          <w:p w14:paraId="2D54844E" w14:textId="77777777" w:rsidR="00107FCF" w:rsidRPr="00507221" w:rsidRDefault="00107FCF" w:rsidP="00507221">
            <w:pPr>
              <w:spacing w:before="60" w:after="60"/>
              <w:jc w:val="center"/>
              <w:rPr>
                <w:b/>
                <w:bCs/>
              </w:rPr>
            </w:pPr>
            <w:r w:rsidRPr="00507221">
              <w:t>zachodniopomorskie</w:t>
            </w:r>
          </w:p>
        </w:tc>
        <w:tc>
          <w:tcPr>
            <w:tcW w:w="2500" w:type="pct"/>
          </w:tcPr>
          <w:p w14:paraId="1E647782" w14:textId="77777777" w:rsidR="00107FCF" w:rsidRPr="00507221" w:rsidRDefault="00107FCF" w:rsidP="00507221">
            <w:pPr>
              <w:spacing w:before="60" w:after="60"/>
              <w:jc w:val="center"/>
            </w:pPr>
            <w:r w:rsidRPr="00507221">
              <w:t>0,31</w:t>
            </w:r>
          </w:p>
        </w:tc>
      </w:tr>
    </w:tbl>
    <w:p w14:paraId="11FB06F1" w14:textId="7D587D6A" w:rsidR="00107FCF" w:rsidRPr="00AF7C5E" w:rsidRDefault="00EA50FC" w:rsidP="00AF7C5E">
      <w:pPr>
        <w:pStyle w:val="ReportLevel3"/>
      </w:pPr>
      <w:r>
        <w:br w:type="column"/>
      </w:r>
      <w:r w:rsidR="00AF7C5E">
        <w:lastRenderedPageBreak/>
        <w:t>5.2.7</w:t>
      </w:r>
      <w:r w:rsidR="00AF7C5E">
        <w:tab/>
      </w:r>
      <w:r w:rsidR="00107FCF" w:rsidRPr="00AF7C5E">
        <w:t xml:space="preserve">Klasa </w:t>
      </w:r>
      <w:r w:rsidR="00107FCF" w:rsidRPr="00AF7C5E">
        <w:rPr>
          <w:rStyle w:val="Nagwek5Znak"/>
          <w:b/>
        </w:rPr>
        <w:t>7 – użytki</w:t>
      </w:r>
      <w:r w:rsidR="00107FCF" w:rsidRPr="00AF7C5E">
        <w:t xml:space="preserve"> zielone</w:t>
      </w:r>
    </w:p>
    <w:p w14:paraId="6645F86E" w14:textId="6226C66D" w:rsidR="00107FCF" w:rsidRPr="00567ACB" w:rsidRDefault="00107FCF" w:rsidP="003E107C">
      <w:pPr>
        <w:autoSpaceDE w:val="0"/>
        <w:autoSpaceDN w:val="0"/>
        <w:adjustRightInd w:val="0"/>
        <w:jc w:val="both"/>
      </w:pPr>
      <w:r w:rsidRPr="00AC022C">
        <w:t xml:space="preserve">W </w:t>
      </w:r>
      <w:r w:rsidRPr="00567ACB">
        <w:t>zależności od sposobu oddziaływania powodzi potencjalne straty powodziowe w</w:t>
      </w:r>
      <w:r w:rsidR="00567ACB">
        <w:t> </w:t>
      </w:r>
      <w:r w:rsidRPr="00567ACB">
        <w:t>klasie 7 można podzielić na dwa rodzaje:</w:t>
      </w:r>
    </w:p>
    <w:p w14:paraId="25588C99" w14:textId="77777777" w:rsidR="00107FCF" w:rsidRPr="00567ACB" w:rsidRDefault="00107FCF" w:rsidP="004F3B3D">
      <w:pPr>
        <w:autoSpaceDE w:val="0"/>
        <w:autoSpaceDN w:val="0"/>
        <w:adjustRightInd w:val="0"/>
      </w:pPr>
    </w:p>
    <w:p w14:paraId="51168DFE" w14:textId="3930AB3C" w:rsidR="00107FCF" w:rsidRPr="00567ACB" w:rsidRDefault="00107FCF" w:rsidP="006D41A7">
      <w:pPr>
        <w:pStyle w:val="Akapitzlist"/>
        <w:numPr>
          <w:ilvl w:val="0"/>
          <w:numId w:val="30"/>
        </w:numPr>
        <w:autoSpaceDE w:val="0"/>
        <w:autoSpaceDN w:val="0"/>
        <w:adjustRightInd w:val="0"/>
        <w:ind w:left="567" w:hanging="425"/>
        <w:jc w:val="both"/>
        <w:rPr>
          <w:sz w:val="24"/>
          <w:szCs w:val="24"/>
        </w:rPr>
      </w:pPr>
      <w:r w:rsidRPr="00567ACB">
        <w:rPr>
          <w:sz w:val="24"/>
          <w:szCs w:val="24"/>
        </w:rPr>
        <w:t>Straty bezpośrednie – najważniejsze z nich to: straty w biomasie, zniszczenie gleby, np. przez procesy spłukiwania, erozji, zaburzenie stosunków wodnych w</w:t>
      </w:r>
      <w:r w:rsidR="00567ACB">
        <w:rPr>
          <w:sz w:val="24"/>
          <w:szCs w:val="24"/>
        </w:rPr>
        <w:t> </w:t>
      </w:r>
      <w:r w:rsidRPr="00567ACB">
        <w:rPr>
          <w:sz w:val="24"/>
          <w:szCs w:val="24"/>
        </w:rPr>
        <w:t>glebie, zanieczyszczenie gleby;</w:t>
      </w:r>
    </w:p>
    <w:p w14:paraId="69521CE4" w14:textId="16D046CB" w:rsidR="00107FCF" w:rsidRPr="00567ACB" w:rsidRDefault="00107FCF" w:rsidP="006D41A7">
      <w:pPr>
        <w:pStyle w:val="Akapitzlist"/>
        <w:numPr>
          <w:ilvl w:val="0"/>
          <w:numId w:val="30"/>
        </w:numPr>
        <w:autoSpaceDE w:val="0"/>
        <w:autoSpaceDN w:val="0"/>
        <w:adjustRightInd w:val="0"/>
        <w:ind w:left="567" w:hanging="425"/>
        <w:jc w:val="both"/>
        <w:rPr>
          <w:sz w:val="24"/>
          <w:szCs w:val="24"/>
        </w:rPr>
      </w:pPr>
      <w:r w:rsidRPr="00567ACB">
        <w:rPr>
          <w:sz w:val="24"/>
          <w:szCs w:val="24"/>
        </w:rPr>
        <w:t>Straty pośrednie – najważniejsze z nich to: wydatki na uporządkowanie zniszczeń, straty w produkcji zwierzęcej, np. obniżenie plonów ma wpływ</w:t>
      </w:r>
      <w:r w:rsidR="00567ACB">
        <w:rPr>
          <w:sz w:val="24"/>
          <w:szCs w:val="24"/>
        </w:rPr>
        <w:t xml:space="preserve"> </w:t>
      </w:r>
      <w:r w:rsidRPr="00567ACB">
        <w:rPr>
          <w:sz w:val="24"/>
          <w:szCs w:val="24"/>
        </w:rPr>
        <w:t>na dodatkowe wydatki lub spadek hodowli.</w:t>
      </w:r>
    </w:p>
    <w:p w14:paraId="0E2B4BF2" w14:textId="77777777" w:rsidR="00107FCF" w:rsidRPr="00567ACB" w:rsidRDefault="00107FCF" w:rsidP="004F3B3D">
      <w:pPr>
        <w:pStyle w:val="Akapitzlist"/>
        <w:autoSpaceDE w:val="0"/>
        <w:autoSpaceDN w:val="0"/>
        <w:adjustRightInd w:val="0"/>
        <w:rPr>
          <w:sz w:val="24"/>
          <w:szCs w:val="24"/>
        </w:rPr>
      </w:pPr>
    </w:p>
    <w:p w14:paraId="2E0D32B8" w14:textId="77777777" w:rsidR="00107FCF" w:rsidRPr="00567ACB" w:rsidRDefault="00107FCF" w:rsidP="004F3B3D">
      <w:pPr>
        <w:autoSpaceDE w:val="0"/>
        <w:autoSpaceDN w:val="0"/>
        <w:adjustRightInd w:val="0"/>
        <w:jc w:val="both"/>
      </w:pPr>
      <w:r w:rsidRPr="00567ACB">
        <w:t>Potencjalne straty powodziowe w klasie 7 to suma strat bezpośrednich i pośrednich.</w:t>
      </w:r>
    </w:p>
    <w:p w14:paraId="4B5F9256" w14:textId="77777777" w:rsidR="00107FCF" w:rsidRPr="00567ACB" w:rsidRDefault="00107FCF" w:rsidP="004F3B3D">
      <w:pPr>
        <w:autoSpaceDE w:val="0"/>
        <w:autoSpaceDN w:val="0"/>
        <w:adjustRightInd w:val="0"/>
        <w:jc w:val="both"/>
        <w:rPr>
          <w:lang w:eastAsia="en-US"/>
        </w:rPr>
      </w:pPr>
    </w:p>
    <w:p w14:paraId="2C7DD0C0" w14:textId="5E1B3E5A" w:rsidR="00107FCF" w:rsidRPr="00567ACB" w:rsidRDefault="00107FCF" w:rsidP="004F3B3D">
      <w:pPr>
        <w:autoSpaceDE w:val="0"/>
        <w:autoSpaceDN w:val="0"/>
        <w:adjustRightInd w:val="0"/>
        <w:jc w:val="both"/>
      </w:pPr>
      <w:r w:rsidRPr="00567ACB">
        <w:t>Wielkość jednostkowych strat powodziowych dla użytków zielonych przyjęto w</w:t>
      </w:r>
      <w:r w:rsidR="00567ACB">
        <w:t> </w:t>
      </w:r>
      <w:r w:rsidRPr="00567ACB">
        <w:t>oparciu o metodykę opracowania map zagrożenia powodziowego i map ryzyka powodziowego w II cyklu planistycznym oraz zgodnie z podejściem z PZRP dla obszarów dorzeczy i Regionów Wodnych, wartości strat podległy indeksacji o wskaźnik cen globalnej produkcji rolniczej publikowany przez GUS.</w:t>
      </w:r>
    </w:p>
    <w:p w14:paraId="71BE119D" w14:textId="77777777" w:rsidR="00107FCF" w:rsidRPr="00567ACB" w:rsidRDefault="00107FCF" w:rsidP="004F3B3D">
      <w:pPr>
        <w:autoSpaceDE w:val="0"/>
        <w:autoSpaceDN w:val="0"/>
        <w:adjustRightInd w:val="0"/>
        <w:jc w:val="both"/>
      </w:pPr>
    </w:p>
    <w:p w14:paraId="23B6B942" w14:textId="04C25B61" w:rsidR="00107FCF" w:rsidRPr="00113734" w:rsidRDefault="00107FCF" w:rsidP="004F3B3D">
      <w:pPr>
        <w:autoSpaceDE w:val="0"/>
        <w:autoSpaceDN w:val="0"/>
        <w:adjustRightInd w:val="0"/>
        <w:jc w:val="both"/>
      </w:pPr>
      <w:r w:rsidRPr="00567ACB">
        <w:t>Wartość potencjalnych jednostkowych strat</w:t>
      </w:r>
      <w:r w:rsidRPr="005D387E">
        <w:t xml:space="preserve"> powodziowych dla gruntów ornych i upraw trwałych</w:t>
      </w:r>
      <w:r>
        <w:t xml:space="preserve"> </w:t>
      </w:r>
      <w:r w:rsidRPr="005D387E">
        <w:t>przedstawiono</w:t>
      </w:r>
      <w:r>
        <w:t xml:space="preserve"> </w:t>
      </w:r>
      <w:r w:rsidRPr="005D387E">
        <w:t xml:space="preserve">w </w:t>
      </w:r>
      <w:r>
        <w:fldChar w:fldCharType="begin"/>
      </w:r>
      <w:r>
        <w:instrText xml:space="preserve"> REF _Ref79498991 \h </w:instrText>
      </w:r>
      <w:r>
        <w:fldChar w:fldCharType="separate"/>
      </w:r>
      <w:r w:rsidR="00AC4DF9" w:rsidRPr="003E107C">
        <w:rPr>
          <w:szCs w:val="28"/>
        </w:rPr>
        <w:t xml:space="preserve">Tabela </w:t>
      </w:r>
      <w:r w:rsidR="00AC4DF9">
        <w:rPr>
          <w:noProof/>
          <w:szCs w:val="28"/>
        </w:rPr>
        <w:t>8</w:t>
      </w:r>
      <w:r>
        <w:fldChar w:fldCharType="end"/>
      </w:r>
    </w:p>
    <w:p w14:paraId="33EDF151" w14:textId="77777777" w:rsidR="00107FCF" w:rsidRDefault="00107FCF" w:rsidP="004F3B3D">
      <w:pPr>
        <w:autoSpaceDE w:val="0"/>
        <w:autoSpaceDN w:val="0"/>
        <w:adjustRightInd w:val="0"/>
        <w:jc w:val="both"/>
        <w:rPr>
          <w:szCs w:val="20"/>
          <w:lang w:eastAsia="en-US"/>
        </w:rPr>
      </w:pPr>
    </w:p>
    <w:p w14:paraId="4A4F902F" w14:textId="265F55C5" w:rsidR="00107FCF" w:rsidRPr="003E107C" w:rsidRDefault="00107FCF" w:rsidP="00567ACB">
      <w:pPr>
        <w:pStyle w:val="Legenda"/>
        <w:tabs>
          <w:tab w:val="clear" w:pos="1080"/>
        </w:tabs>
        <w:ind w:left="1134" w:hanging="1134"/>
        <w:jc w:val="both"/>
        <w:rPr>
          <w:sz w:val="24"/>
          <w:szCs w:val="28"/>
        </w:rPr>
      </w:pPr>
      <w:bookmarkStart w:id="74" w:name="_Ref79498991"/>
      <w:bookmarkStart w:id="75" w:name="_Toc80608761"/>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8</w:t>
      </w:r>
      <w:r w:rsidR="00290AD4">
        <w:rPr>
          <w:sz w:val="24"/>
          <w:szCs w:val="28"/>
        </w:rPr>
        <w:fldChar w:fldCharType="end"/>
      </w:r>
      <w:bookmarkEnd w:id="74"/>
      <w:r w:rsidR="00567ACB">
        <w:rPr>
          <w:sz w:val="24"/>
          <w:szCs w:val="28"/>
        </w:rPr>
        <w:tab/>
      </w:r>
      <w:r w:rsidRPr="003E107C">
        <w:rPr>
          <w:sz w:val="24"/>
          <w:szCs w:val="28"/>
        </w:rPr>
        <w:t xml:space="preserve">Wartość potencjalnych strat powodziowych dla </w:t>
      </w:r>
      <w:r w:rsidR="005A0B07">
        <w:rPr>
          <w:sz w:val="24"/>
          <w:szCs w:val="28"/>
        </w:rPr>
        <w:t>użytków zielonych</w:t>
      </w:r>
      <w:bookmarkEnd w:id="75"/>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4247"/>
        <w:gridCol w:w="4248"/>
      </w:tblGrid>
      <w:tr w:rsidR="00107FCF" w:rsidRPr="00507221" w14:paraId="28526B70" w14:textId="77777777" w:rsidTr="006A3BC1">
        <w:trPr>
          <w:trHeight w:val="325"/>
        </w:trPr>
        <w:tc>
          <w:tcPr>
            <w:tcW w:w="2500" w:type="pct"/>
            <w:tcBorders>
              <w:bottom w:val="single" w:sz="12" w:space="0" w:color="7ECBED"/>
            </w:tcBorders>
            <w:shd w:val="clear" w:color="auto" w:fill="D4EDF9"/>
          </w:tcPr>
          <w:p w14:paraId="695B3A28" w14:textId="77777777" w:rsidR="00107FCF" w:rsidRPr="00507221" w:rsidRDefault="00107FCF" w:rsidP="00507221">
            <w:pPr>
              <w:spacing w:before="60" w:after="60"/>
              <w:jc w:val="center"/>
              <w:rPr>
                <w:b/>
                <w:bCs/>
                <w:highlight w:val="green"/>
              </w:rPr>
            </w:pPr>
            <w:r w:rsidRPr="00507221">
              <w:t>Województwo</w:t>
            </w:r>
          </w:p>
        </w:tc>
        <w:tc>
          <w:tcPr>
            <w:tcW w:w="2500" w:type="pct"/>
            <w:tcBorders>
              <w:bottom w:val="single" w:sz="12" w:space="0" w:color="7ECBED"/>
            </w:tcBorders>
            <w:shd w:val="clear" w:color="auto" w:fill="D4EDF9"/>
          </w:tcPr>
          <w:p w14:paraId="6BD2FDA0" w14:textId="77777777" w:rsidR="00107FCF" w:rsidRPr="00507221" w:rsidRDefault="00107FCF" w:rsidP="00507221">
            <w:pPr>
              <w:autoSpaceDE w:val="0"/>
              <w:autoSpaceDN w:val="0"/>
              <w:adjustRightInd w:val="0"/>
              <w:jc w:val="center"/>
              <w:rPr>
                <w:b/>
                <w:bCs/>
              </w:rPr>
            </w:pPr>
            <w:r w:rsidRPr="00507221">
              <w:t>Potencjalna jednostkowa</w:t>
            </w:r>
          </w:p>
          <w:p w14:paraId="1858CEF3" w14:textId="77777777" w:rsidR="00107FCF" w:rsidRPr="00507221" w:rsidRDefault="00107FCF" w:rsidP="00507221">
            <w:pPr>
              <w:autoSpaceDE w:val="0"/>
              <w:autoSpaceDN w:val="0"/>
              <w:adjustRightInd w:val="0"/>
              <w:jc w:val="center"/>
              <w:rPr>
                <w:b/>
                <w:bCs/>
              </w:rPr>
            </w:pPr>
            <w:r w:rsidRPr="00507221">
              <w:t>strata powodziowa w 2019 r.</w:t>
            </w:r>
          </w:p>
          <w:p w14:paraId="22080271" w14:textId="77777777" w:rsidR="00107FCF" w:rsidRPr="00507221" w:rsidRDefault="00107FCF" w:rsidP="00507221">
            <w:pPr>
              <w:autoSpaceDE w:val="0"/>
              <w:autoSpaceDN w:val="0"/>
              <w:adjustRightInd w:val="0"/>
              <w:jc w:val="center"/>
              <w:rPr>
                <w:b/>
                <w:bCs/>
              </w:rPr>
            </w:pPr>
            <w:r w:rsidRPr="00507221">
              <w:t>[PLN/m</w:t>
            </w:r>
            <w:r w:rsidRPr="00507221">
              <w:rPr>
                <w:vertAlign w:val="superscript"/>
              </w:rPr>
              <w:t>2</w:t>
            </w:r>
            <w:r w:rsidRPr="00507221">
              <w:t>]</w:t>
            </w:r>
          </w:p>
        </w:tc>
      </w:tr>
      <w:tr w:rsidR="00107FCF" w:rsidRPr="00507221" w14:paraId="1FA9DA97" w14:textId="77777777" w:rsidTr="006A3BC1">
        <w:tc>
          <w:tcPr>
            <w:tcW w:w="2500" w:type="pct"/>
          </w:tcPr>
          <w:p w14:paraId="7CF07EFA" w14:textId="77777777" w:rsidR="00107FCF" w:rsidRPr="00507221" w:rsidRDefault="00107FCF" w:rsidP="00507221">
            <w:pPr>
              <w:spacing w:before="60" w:after="60"/>
              <w:jc w:val="center"/>
              <w:rPr>
                <w:b/>
                <w:bCs/>
              </w:rPr>
            </w:pPr>
            <w:r w:rsidRPr="00507221">
              <w:t>zachodniopomorskie</w:t>
            </w:r>
          </w:p>
        </w:tc>
        <w:tc>
          <w:tcPr>
            <w:tcW w:w="2500" w:type="pct"/>
          </w:tcPr>
          <w:p w14:paraId="31442E1D" w14:textId="77777777" w:rsidR="00107FCF" w:rsidRPr="00507221" w:rsidRDefault="00107FCF" w:rsidP="00507221">
            <w:pPr>
              <w:spacing w:before="60" w:after="60"/>
              <w:jc w:val="center"/>
            </w:pPr>
            <w:r w:rsidRPr="00507221">
              <w:t>0,09</w:t>
            </w:r>
          </w:p>
        </w:tc>
      </w:tr>
    </w:tbl>
    <w:p w14:paraId="0A397F88" w14:textId="77777777" w:rsidR="00290AD4" w:rsidRDefault="00290AD4" w:rsidP="00290AD4"/>
    <w:p w14:paraId="2DF56027" w14:textId="244B7631" w:rsidR="008A23A2" w:rsidRDefault="001224FB" w:rsidP="00AF7C5E">
      <w:pPr>
        <w:pStyle w:val="ReportLevel3"/>
      </w:pPr>
      <w:r>
        <w:br w:type="column"/>
      </w:r>
      <w:r w:rsidR="00AF7C5E">
        <w:lastRenderedPageBreak/>
        <w:t>5.2.8</w:t>
      </w:r>
      <w:r w:rsidR="00AF7C5E">
        <w:tab/>
      </w:r>
      <w:r w:rsidR="008A23A2" w:rsidRPr="00EF2F98">
        <w:t xml:space="preserve">Metoda </w:t>
      </w:r>
      <w:r w:rsidR="008A23A2" w:rsidRPr="00AF7C5E">
        <w:t>wyceny materialnych</w:t>
      </w:r>
      <w:r w:rsidR="008A23A2" w:rsidRPr="00EF2F98">
        <w:t xml:space="preserve"> strat powodziowych</w:t>
      </w:r>
    </w:p>
    <w:p w14:paraId="397695FB" w14:textId="2E4A889E" w:rsidR="008A23A2" w:rsidRPr="00567ACB" w:rsidRDefault="008A23A2" w:rsidP="008A23A2">
      <w:pPr>
        <w:pStyle w:val="11StopPowodzi-Listawypunktowana"/>
        <w:numPr>
          <w:ilvl w:val="0"/>
          <w:numId w:val="0"/>
        </w:numPr>
        <w:spacing w:before="0" w:after="160" w:line="240" w:lineRule="auto"/>
        <w:rPr>
          <w:lang w:val="pl-PL" w:eastAsia="zh-CN"/>
        </w:rPr>
      </w:pPr>
      <w:r w:rsidRPr="008A23A2">
        <w:rPr>
          <w:lang w:val="pl-PL" w:eastAsia="zh-CN"/>
        </w:rPr>
        <w:t>Do określenia poziomu ryzyka dla poszczególnych wskaźników związanych z</w:t>
      </w:r>
      <w:r w:rsidR="00567ACB">
        <w:rPr>
          <w:lang w:val="pl-PL" w:eastAsia="zh-CN"/>
        </w:rPr>
        <w:t> </w:t>
      </w:r>
      <w:r w:rsidRPr="008A23A2">
        <w:rPr>
          <w:lang w:val="pl-PL" w:eastAsia="zh-CN"/>
        </w:rPr>
        <w:t>potencjalnymi negatywnymi konsekwencjami powodzi zastosowano metodę opartą na średniej stracie rocznej (ang. Annual Average Damage – AAD). Jest to jedna z</w:t>
      </w:r>
      <w:r w:rsidR="00567ACB">
        <w:rPr>
          <w:lang w:val="pl-PL" w:eastAsia="zh-CN"/>
        </w:rPr>
        <w:t> </w:t>
      </w:r>
      <w:r w:rsidRPr="008A23A2">
        <w:rPr>
          <w:lang w:val="pl-PL" w:eastAsia="zh-CN"/>
        </w:rPr>
        <w:t>podstawowych metod wykorzystywanych w analizach ryzyka powodziowego</w:t>
      </w:r>
      <w:r w:rsidRPr="00567ACB">
        <w:rPr>
          <w:lang w:val="pl-PL" w:eastAsia="zh-CN"/>
        </w:rPr>
        <w:t xml:space="preserve">. </w:t>
      </w:r>
    </w:p>
    <w:p w14:paraId="1564818C" w14:textId="3A7FC6C3" w:rsidR="008A23A2" w:rsidRPr="008A23A2" w:rsidRDefault="008A23A2" w:rsidP="008A23A2">
      <w:pPr>
        <w:pStyle w:val="11StopPowodzi-Listawypunktowana"/>
        <w:numPr>
          <w:ilvl w:val="0"/>
          <w:numId w:val="0"/>
        </w:numPr>
        <w:spacing w:before="0" w:after="160" w:line="240" w:lineRule="auto"/>
        <w:rPr>
          <w:lang w:val="pl-PL" w:eastAsia="zh-CN"/>
        </w:rPr>
      </w:pPr>
      <w:r w:rsidRPr="00567ACB">
        <w:rPr>
          <w:lang w:val="pl-PL" w:eastAsia="zh-CN"/>
        </w:rPr>
        <w:t>Wyznaczenie ryzyka poprzedza skonstruowanie krzywej prawdopodobieństw</w:t>
      </w:r>
      <w:r w:rsidRPr="008A23A2">
        <w:rPr>
          <w:lang w:val="pl-PL" w:eastAsia="zh-CN"/>
        </w:rPr>
        <w:t>o–straty i</w:t>
      </w:r>
      <w:r w:rsidR="00567ACB">
        <w:rPr>
          <w:lang w:val="pl-PL" w:eastAsia="zh-CN"/>
        </w:rPr>
        <w:t> </w:t>
      </w:r>
      <w:r w:rsidRPr="008A23A2">
        <w:rPr>
          <w:lang w:val="pl-PL" w:eastAsia="zh-CN"/>
        </w:rPr>
        <w:t xml:space="preserve">wymaga dwóch rodzajów danych: </w:t>
      </w:r>
    </w:p>
    <w:p w14:paraId="4BCA96A6" w14:textId="77777777" w:rsidR="008A23A2" w:rsidRDefault="008A23A2" w:rsidP="006D41A7">
      <w:pPr>
        <w:pStyle w:val="11StopPowodzi-Listawypunktowana"/>
        <w:numPr>
          <w:ilvl w:val="0"/>
          <w:numId w:val="74"/>
        </w:numPr>
        <w:spacing w:before="0" w:after="160" w:line="240" w:lineRule="auto"/>
        <w:ind w:left="567" w:hanging="425"/>
        <w:rPr>
          <w:lang w:eastAsia="zh-CN"/>
        </w:rPr>
      </w:pPr>
      <w:r w:rsidRPr="002E661D">
        <w:rPr>
          <w:lang w:eastAsia="zh-CN"/>
        </w:rPr>
        <w:t xml:space="preserve">hydrologicznych; </w:t>
      </w:r>
    </w:p>
    <w:p w14:paraId="36024063" w14:textId="77777777" w:rsidR="008A23A2" w:rsidRPr="002E661D" w:rsidRDefault="008A23A2" w:rsidP="006D41A7">
      <w:pPr>
        <w:pStyle w:val="11StopPowodzi-Listawypunktowana"/>
        <w:numPr>
          <w:ilvl w:val="0"/>
          <w:numId w:val="74"/>
        </w:numPr>
        <w:spacing w:before="0" w:after="160" w:line="240" w:lineRule="auto"/>
        <w:ind w:left="567" w:hanging="425"/>
        <w:rPr>
          <w:lang w:eastAsia="zh-CN"/>
        </w:rPr>
      </w:pPr>
      <w:r w:rsidRPr="002E661D">
        <w:rPr>
          <w:lang w:eastAsia="zh-CN"/>
        </w:rPr>
        <w:t xml:space="preserve">ekonomicznych. </w:t>
      </w:r>
    </w:p>
    <w:p w14:paraId="0F6CE6E4" w14:textId="417C61F9" w:rsidR="008A23A2" w:rsidRPr="008A23A2" w:rsidRDefault="008A23A2" w:rsidP="008A23A2">
      <w:pPr>
        <w:pStyle w:val="11StopPowodzi-Listawypunktowana"/>
        <w:numPr>
          <w:ilvl w:val="0"/>
          <w:numId w:val="0"/>
        </w:numPr>
        <w:spacing w:before="0" w:after="160" w:line="240" w:lineRule="auto"/>
        <w:rPr>
          <w:lang w:val="pl-PL" w:eastAsia="zh-CN"/>
        </w:rPr>
      </w:pPr>
      <w:r w:rsidRPr="008A23A2">
        <w:rPr>
          <w:lang w:val="pl-PL" w:eastAsia="zh-CN"/>
        </w:rPr>
        <w:t xml:space="preserve">W pierwszej grupie zawierają się standardowe krzywe konsumcyjne oraz krzywe prawdopodobieństwa przepływów maksymalnych. Druga grupa jest reprezentowana przez zależności między stratami a rzędną zwierciadła wody (rysunek 1.11C). Wzajemne relacje między tymi trzema charakterystykami pozwalają skonstruować krzywą, którą na potrzeby tego opracowania określono mianem krzywej prawdopodobieństwo–straty, czyli EPD (ang. exceedance probability vs. damage). </w:t>
      </w:r>
    </w:p>
    <w:p w14:paraId="5FE272E5" w14:textId="77777777" w:rsidR="008A23A2" w:rsidRPr="008A23A2" w:rsidRDefault="008A23A2" w:rsidP="008A23A2">
      <w:pPr>
        <w:pStyle w:val="11StopPowodzi-Listawypunktowana"/>
        <w:numPr>
          <w:ilvl w:val="0"/>
          <w:numId w:val="0"/>
        </w:numPr>
        <w:spacing w:before="0" w:after="160" w:line="240" w:lineRule="auto"/>
        <w:rPr>
          <w:lang w:val="pl-PL" w:eastAsia="zh-CN"/>
        </w:rPr>
      </w:pPr>
      <w:r w:rsidRPr="008A23A2">
        <w:rPr>
          <w:lang w:val="pl-PL" w:eastAsia="zh-CN"/>
        </w:rPr>
        <w:t>Po skonstruowaniu krzywej EPD można przejść do wyznaczania średniej straty rocznej (AAD), która jest definiowana jako pole pod tą krzywą. Zazwyczaj krzywa EPD jest wyznaczana na podstawie zbioru kilku wyznaczonych wartości (Pi, D(Pi)). Pi oznacza prawdopodobieństwo przewyższenia dla i-tego scenariusza a D(Pi) - straty wyrażone za pomocą odpowiedniej miary (np. liczba ludzi, liczba budynków objętych zalewem itp.) Pole określające AAD obliczane jest w sposób przybliżony za pomocą następujących wzorów:</w:t>
      </w:r>
    </w:p>
    <w:p w14:paraId="0D5EB2A1" w14:textId="6580B465" w:rsidR="008A23A2" w:rsidRPr="002E661D" w:rsidRDefault="008642E6" w:rsidP="008A23A2">
      <w:pPr>
        <w:pStyle w:val="11StopPowodzi-Listawypunktowana"/>
        <w:numPr>
          <w:ilvl w:val="0"/>
          <w:numId w:val="0"/>
        </w:numPr>
        <w:spacing w:before="0" w:after="160" w:line="240" w:lineRule="auto"/>
        <w:rPr>
          <w:lang w:eastAsia="zh-CN"/>
        </w:rPr>
      </w:pPr>
      <w:r>
        <w:pict w14:anchorId="18E007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48.7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16sdtdh=&quot;http://schemas.microsoft.com/office/word/2020/wordml/sdtdatahash&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5&quot;/&gt;&lt;w:removePersonalInformation/&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6A7CE0&quot;/&gt;&lt;wsp:rsid wsp:val=&quot;000013FA&quot;/&gt;&lt;wsp:rsid wsp:val=&quot;000017D3&quot;/&gt;&lt;wsp:rsid wsp:val=&quot;000020B2&quot;/&gt;&lt;wsp:rsid wsp:val=&quot;00002BEF&quot;/&gt;&lt;wsp:rsid wsp:val=&quot;00002D6C&quot;/&gt;&lt;wsp:rsid wsp:val=&quot;000034C7&quot;/&gt;&lt;wsp:rsid wsp:val=&quot;00003FFB&quot;/&gt;&lt;wsp:rsid wsp:val=&quot;000047B7&quot;/&gt;&lt;wsp:rsid wsp:val=&quot;000047F5&quot;/&gt;&lt;wsp:rsid wsp:val=&quot;00004905&quot;/&gt;&lt;wsp:rsid wsp:val=&quot;00004937&quot;/&gt;&lt;wsp:rsid wsp:val=&quot;00004952&quot;/&gt;&lt;wsp:rsid wsp:val=&quot;00004C38&quot;/&gt;&lt;wsp:rsid wsp:val=&quot;00004EA4&quot;/&gt;&lt;wsp:rsid wsp:val=&quot;00004F8D&quot;/&gt;&lt;wsp:rsid wsp:val=&quot;000058B5&quot;/&gt;&lt;wsp:rsid wsp:val=&quot;00005A0F&quot;/&gt;&lt;wsp:rsid wsp:val=&quot;000074F9&quot;/&gt;&lt;wsp:rsid wsp:val=&quot;00007C33&quot;/&gt;&lt;wsp:rsid wsp:val=&quot;00010B93&quot;/&gt;&lt;wsp:rsid wsp:val=&quot;0001107E&quot;/&gt;&lt;wsp:rsid wsp:val=&quot;000111D6&quot;/&gt;&lt;wsp:rsid wsp:val=&quot;000113CD&quot;/&gt;&lt;wsp:rsid wsp:val=&quot;00012173&quot;/&gt;&lt;wsp:rsid wsp:val=&quot;00012FD8&quot;/&gt;&lt;wsp:rsid wsp:val=&quot;00014A6C&quot;/&gt;&lt;wsp:rsid wsp:val=&quot;0001630D&quot;/&gt;&lt;wsp:rsid wsp:val=&quot;00016799&quot;/&gt;&lt;wsp:rsid wsp:val=&quot;000200A8&quot;/&gt;&lt;wsp:rsid wsp:val=&quot;00021178&quot;/&gt;&lt;wsp:rsid wsp:val=&quot;00021A42&quot;/&gt;&lt;wsp:rsid wsp:val=&quot;00021B7D&quot;/&gt;&lt;wsp:rsid wsp:val=&quot;00022E5A&quot;/&gt;&lt;wsp:rsid wsp:val=&quot;000232F1&quot;/&gt;&lt;wsp:rsid wsp:val=&quot;00023772&quot;/&gt;&lt;wsp:rsid wsp:val=&quot;00023D25&quot;/&gt;&lt;wsp:rsid wsp:val=&quot;000248B5&quot;/&gt;&lt;wsp:rsid wsp:val=&quot;00024CE1&quot;/&gt;&lt;wsp:rsid wsp:val=&quot;00025293&quot;/&gt;&lt;wsp:rsid wsp:val=&quot;00025359&quot;/&gt;&lt;wsp:rsid wsp:val=&quot;000253DF&quot;/&gt;&lt;wsp:rsid wsp:val=&quot;00025CAE&quot;/&gt;&lt;wsp:rsid wsp:val=&quot;000263DC&quot;/&gt;&lt;wsp:rsid wsp:val=&quot;00027324&quot;/&gt;&lt;wsp:rsid wsp:val=&quot;0003068B&quot;/&gt;&lt;wsp:rsid wsp:val=&quot;0003099F&quot;/&gt;&lt;wsp:rsid wsp:val=&quot;0003173A&quot;/&gt;&lt;wsp:rsid wsp:val=&quot;00033CCE&quot;/&gt;&lt;wsp:rsid wsp:val=&quot;000342F8&quot;/&gt;&lt;wsp:rsid wsp:val=&quot;00034594&quot;/&gt;&lt;wsp:rsid wsp:val=&quot;000353F3&quot;/&gt;&lt;wsp:rsid wsp:val=&quot;000357B2&quot;/&gt;&lt;wsp:rsid wsp:val=&quot;000358E4&quot;/&gt;&lt;wsp:rsid wsp:val=&quot;0003616A&quot;/&gt;&lt;wsp:rsid wsp:val=&quot;00036C11&quot;/&gt;&lt;wsp:rsid wsp:val=&quot;00036CBE&quot;/&gt;&lt;wsp:rsid wsp:val=&quot;000374E0&quot;/&gt;&lt;wsp:rsid wsp:val=&quot;000377DE&quot;/&gt;&lt;wsp:rsid wsp:val=&quot;00037C5C&quot;/&gt;&lt;wsp:rsid wsp:val=&quot;0004001B&quot;/&gt;&lt;wsp:rsid wsp:val=&quot;00040083&quot;/&gt;&lt;wsp:rsid wsp:val=&quot;000402D4&quot;/&gt;&lt;wsp:rsid wsp:val=&quot;00041523&quot;/&gt;&lt;wsp:rsid wsp:val=&quot;00041EB3&quot;/&gt;&lt;wsp:rsid wsp:val=&quot;000433E1&quot;/&gt;&lt;wsp:rsid wsp:val=&quot;00043408&quot;/&gt;&lt;wsp:rsid wsp:val=&quot;00043C82&quot;/&gt;&lt;wsp:rsid wsp:val=&quot;00043CBE&quot;/&gt;&lt;wsp:rsid wsp:val=&quot;00044330&quot;/&gt;&lt;wsp:rsid wsp:val=&quot;0004458B&quot;/&gt;&lt;wsp:rsid wsp:val=&quot;000447A7&quot;/&gt;&lt;wsp:rsid wsp:val=&quot;00044A5E&quot;/&gt;&lt;wsp:rsid wsp:val=&quot;00044B8D&quot;/&gt;&lt;wsp:rsid wsp:val=&quot;00044C2E&quot;/&gt;&lt;wsp:rsid wsp:val=&quot;00044F06&quot;/&gt;&lt;wsp:rsid wsp:val=&quot;0004683F&quot;/&gt;&lt;wsp:rsid wsp:val=&quot;00046C5B&quot;/&gt;&lt;wsp:rsid wsp:val=&quot;0004765B&quot;/&gt;&lt;wsp:rsid wsp:val=&quot;00051050&quot;/&gt;&lt;wsp:rsid wsp:val=&quot;00051272&quot;/&gt;&lt;wsp:rsid wsp:val=&quot;00051A75&quot;/&gt;&lt;wsp:rsid wsp:val=&quot;000527EB&quot;/&gt;&lt;wsp:rsid wsp:val=&quot;00052B12&quot;/&gt;&lt;wsp:rsid wsp:val=&quot;000544EF&quot;/&gt;&lt;wsp:rsid wsp:val=&quot;00055450&quot;/&gt;&lt;wsp:rsid wsp:val=&quot;00055ADA&quot;/&gt;&lt;wsp:rsid wsp:val=&quot;00055CA0&quot;/&gt;&lt;wsp:rsid wsp:val=&quot;0005620C&quot;/&gt;&lt;wsp:rsid wsp:val=&quot;0005648D&quot;/&gt;&lt;wsp:rsid wsp:val=&quot;000568EC&quot;/&gt;&lt;wsp:rsid wsp:val=&quot;00056C69&quot;/&gt;&lt;wsp:rsid wsp:val=&quot;00056CC8&quot;/&gt;&lt;wsp:rsid wsp:val=&quot;000575D2&quot;/&gt;&lt;wsp:rsid wsp:val=&quot;00057991&quot;/&gt;&lt;wsp:rsid wsp:val=&quot;00057D85&quot;/&gt;&lt;wsp:rsid wsp:val=&quot;00060F1F&quot;/&gt;&lt;wsp:rsid wsp:val=&quot;00063115&quot;/&gt;&lt;wsp:rsid wsp:val=&quot;000646B7&quot;/&gt;&lt;wsp:rsid wsp:val=&quot;00064E8D&quot;/&gt;&lt;wsp:rsid wsp:val=&quot;00065A14&quot;/&gt;&lt;wsp:rsid wsp:val=&quot;00065E72&quot;/&gt;&lt;wsp:rsid wsp:val=&quot;00067F3E&quot;/&gt;&lt;wsp:rsid wsp:val=&quot;000713CA&quot;/&gt;&lt;wsp:rsid wsp:val=&quot;00071B49&quot;/&gt;&lt;wsp:rsid wsp:val=&quot;00071D6F&quot;/&gt;&lt;wsp:rsid wsp:val=&quot;00072C76&quot;/&gt;&lt;wsp:rsid wsp:val=&quot;0007308C&quot;/&gt;&lt;wsp:rsid wsp:val=&quot;00073BB3&quot;/&gt;&lt;wsp:rsid wsp:val=&quot;0007503E&quot;/&gt;&lt;wsp:rsid wsp:val=&quot;00075FC4&quot;/&gt;&lt;wsp:rsid wsp:val=&quot;00076D9D&quot;/&gt;&lt;wsp:rsid wsp:val=&quot;0007721E&quot;/&gt;&lt;wsp:rsid wsp:val=&quot;00077298&quot;/&gt;&lt;wsp:rsid wsp:val=&quot;0007761B&quot;/&gt;&lt;wsp:rsid wsp:val=&quot;000802AD&quot;/&gt;&lt;wsp:rsid wsp:val=&quot;0008087C&quot;/&gt;&lt;wsp:rsid wsp:val=&quot;000816BF&quot;/&gt;&lt;wsp:rsid wsp:val=&quot;00081F7A&quot;/&gt;&lt;wsp:rsid wsp:val=&quot;00082263&quot;/&gt;&lt;wsp:rsid wsp:val=&quot;0008288A&quot;/&gt;&lt;wsp:rsid wsp:val=&quot;000832AC&quot;/&gt;&lt;wsp:rsid wsp:val=&quot;00083325&quot;/&gt;&lt;wsp:rsid wsp:val=&quot;000834A6&quot;/&gt;&lt;wsp:rsid wsp:val=&quot;00083D6A&quot;/&gt;&lt;wsp:rsid wsp:val=&quot;000856CF&quot;/&gt;&lt;wsp:rsid wsp:val=&quot;00085868&quot;/&gt;&lt;wsp:rsid wsp:val=&quot;00086DF9&quot;/&gt;&lt;wsp:rsid wsp:val=&quot;0008709C&quot;/&gt;&lt;wsp:rsid wsp:val=&quot;000875C7&quot;/&gt;&lt;wsp:rsid wsp:val=&quot;00087CC1&quot;/&gt;&lt;wsp:rsid wsp:val=&quot;00092867&quot;/&gt;&lt;wsp:rsid wsp:val=&quot;00092B43&quot;/&gt;&lt;wsp:rsid wsp:val=&quot;00092D62&quot;/&gt;&lt;wsp:rsid wsp:val=&quot;00092E7A&quot;/&gt;&lt;wsp:rsid wsp:val=&quot;00093732&quot;/&gt;&lt;wsp:rsid wsp:val=&quot;00093FBD&quot;/&gt;&lt;wsp:rsid wsp:val=&quot;00095E96&quot;/&gt;&lt;wsp:rsid wsp:val=&quot;000960AB&quot;/&gt;&lt;wsp:rsid wsp:val=&quot;000963F1&quot;/&gt;&lt;wsp:rsid wsp:val=&quot;000977F0&quot;/&gt;&lt;wsp:rsid wsp:val=&quot;000A12CF&quot;/&gt;&lt;wsp:rsid wsp:val=&quot;000A2C7C&quot;/&gt;&lt;wsp:rsid wsp:val=&quot;000A33D1&quot;/&gt;&lt;wsp:rsid wsp:val=&quot;000A3752&quot;/&gt;&lt;wsp:rsid wsp:val=&quot;000A3C1B&quot;/&gt;&lt;wsp:rsid wsp:val=&quot;000A4B48&quot;/&gt;&lt;wsp:rsid wsp:val=&quot;000A5C19&quot;/&gt;&lt;wsp:rsid wsp:val=&quot;000A6E38&quot;/&gt;&lt;wsp:rsid wsp:val=&quot;000A6EF1&quot;/&gt;&lt;wsp:rsid wsp:val=&quot;000B001F&quot;/&gt;&lt;wsp:rsid wsp:val=&quot;000B0E67&quot;/&gt;&lt;wsp:rsid wsp:val=&quot;000B0FEA&quot;/&gt;&lt;wsp:rsid wsp:val=&quot;000B13F2&quot;/&gt;&lt;wsp:rsid wsp:val=&quot;000B1A88&quot;/&gt;&lt;wsp:rsid wsp:val=&quot;000B1E78&quot;/&gt;&lt;wsp:rsid wsp:val=&quot;000B1FA8&quot;/&gt;&lt;wsp:rsid wsp:val=&quot;000B36E1&quot;/&gt;&lt;wsp:rsid wsp:val=&quot;000B42F3&quot;/&gt;&lt;wsp:rsid wsp:val=&quot;000B4EA5&quot;/&gt;&lt;wsp:rsid wsp:val=&quot;000B539B&quot;/&gt;&lt;wsp:rsid wsp:val=&quot;000B63EC&quot;/&gt;&lt;wsp:rsid wsp:val=&quot;000B79D0&quot;/&gt;&lt;wsp:rsid wsp:val=&quot;000C1BD3&quot;/&gt;&lt;wsp:rsid wsp:val=&quot;000C1D53&quot;/&gt;&lt;wsp:rsid wsp:val=&quot;000C2004&quot;/&gt;&lt;wsp:rsid wsp:val=&quot;000C29A2&quot;/&gt;&lt;wsp:rsid wsp:val=&quot;000C2D21&quot;/&gt;&lt;wsp:rsid wsp:val=&quot;000C40D2&quot;/&gt;&lt;wsp:rsid wsp:val=&quot;000C42D9&quot;/&gt;&lt;wsp:rsid wsp:val=&quot;000C43A1&quot;/&gt;&lt;wsp:rsid wsp:val=&quot;000C4520&quot;/&gt;&lt;wsp:rsid wsp:val=&quot;000C4BE3&quot;/&gt;&lt;wsp:rsid wsp:val=&quot;000C5C4B&quot;/&gt;&lt;wsp:rsid wsp:val=&quot;000C5C88&quot;/&gt;&lt;wsp:rsid wsp:val=&quot;000C7D41&quot;/&gt;&lt;wsp:rsid wsp:val=&quot;000D0AC7&quot;/&gt;&lt;wsp:rsid wsp:val=&quot;000D1132&quot;/&gt;&lt;wsp:rsid wsp:val=&quot;000D113E&quot;/&gt;&lt;wsp:rsid wsp:val=&quot;000D1172&quot;/&gt;&lt;wsp:rsid wsp:val=&quot;000D223E&quot;/&gt;&lt;wsp:rsid wsp:val=&quot;000D246F&quot;/&gt;&lt;wsp:rsid wsp:val=&quot;000D252F&quot;/&gt;&lt;wsp:rsid wsp:val=&quot;000D269C&quot;/&gt;&lt;wsp:rsid wsp:val=&quot;000D2CAE&quot;/&gt;&lt;wsp:rsid wsp:val=&quot;000D3090&quot;/&gt;&lt;wsp:rsid wsp:val=&quot;000D33C9&quot;/&gt;&lt;wsp:rsid wsp:val=&quot;000D4924&quot;/&gt;&lt;wsp:rsid wsp:val=&quot;000D49B8&quot;/&gt;&lt;wsp:rsid wsp:val=&quot;000D4D65&quot;/&gt;&lt;wsp:rsid wsp:val=&quot;000D5652&quot;/&gt;&lt;wsp:rsid wsp:val=&quot;000D5A37&quot;/&gt;&lt;wsp:rsid wsp:val=&quot;000D628C&quot;/&gt;&lt;wsp:rsid wsp:val=&quot;000D6434&quot;/&gt;&lt;wsp:rsid wsp:val=&quot;000D6C8A&quot;/&gt;&lt;wsp:rsid wsp:val=&quot;000D6D88&quot;/&gt;&lt;wsp:rsid wsp:val=&quot;000D7F8A&quot;/&gt;&lt;wsp:rsid wsp:val=&quot;000E15C8&quot;/&gt;&lt;wsp:rsid wsp:val=&quot;000E18ED&quot;/&gt;&lt;wsp:rsid wsp:val=&quot;000E26F4&quot;/&gt;&lt;wsp:rsid wsp:val=&quot;000E2EE4&quot;/&gt;&lt;wsp:rsid wsp:val=&quot;000E3497&quot;/&gt;&lt;wsp:rsid wsp:val=&quot;000E34F2&quot;/&gt;&lt;wsp:rsid wsp:val=&quot;000E3BD5&quot;/&gt;&lt;wsp:rsid wsp:val=&quot;000E4533&quot;/&gt;&lt;wsp:rsid wsp:val=&quot;000E5F2C&quot;/&gt;&lt;wsp:rsid wsp:val=&quot;000E61CE&quot;/&gt;&lt;wsp:rsid wsp:val=&quot;000E702E&quot;/&gt;&lt;wsp:rsid wsp:val=&quot;000E7A61&quot;/&gt;&lt;wsp:rsid wsp:val=&quot;000E7AD8&quot;/&gt;&lt;wsp:rsid wsp:val=&quot;000F028E&quot;/&gt;&lt;wsp:rsid wsp:val=&quot;000F087C&quot;/&gt;&lt;wsp:rsid wsp:val=&quot;000F10AD&quot;/&gt;&lt;wsp:rsid wsp:val=&quot;000F1AEE&quot;/&gt;&lt;wsp:rsid wsp:val=&quot;000F21C5&quot;/&gt;&lt;wsp:rsid wsp:val=&quot;000F2778&quot;/&gt;&lt;wsp:rsid wsp:val=&quot;000F30D7&quot;/&gt;&lt;wsp:rsid wsp:val=&quot;000F3BF1&quot;/&gt;&lt;wsp:rsid wsp:val=&quot;000F3CD7&quot;/&gt;&lt;wsp:rsid wsp:val=&quot;000F3F3F&quot;/&gt;&lt;wsp:rsid wsp:val=&quot;000F43A3&quot;/&gt;&lt;wsp:rsid wsp:val=&quot;000F4722&quot;/&gt;&lt;wsp:rsid wsp:val=&quot;000F639D&quot;/&gt;&lt;wsp:rsid wsp:val=&quot;000F7441&quot;/&gt;&lt;wsp:rsid wsp:val=&quot;00100023&quot;/&gt;&lt;wsp:rsid wsp:val=&quot;0010026B&quot;/&gt;&lt;wsp:rsid wsp:val=&quot;00101113&quot;/&gt;&lt;wsp:rsid wsp:val=&quot;0010113B&quot;/&gt;&lt;wsp:rsid wsp:val=&quot;00101446&quot;/&gt;&lt;wsp:rsid wsp:val=&quot;001019B7&quot;/&gt;&lt;wsp:rsid wsp:val=&quot;00101B49&quot;/&gt;&lt;wsp:rsid wsp:val=&quot;00101BEE&quot;/&gt;&lt;wsp:rsid wsp:val=&quot;00102E3E&quot;/&gt;&lt;wsp:rsid wsp:val=&quot;00102F81&quot;/&gt;&lt;wsp:rsid wsp:val=&quot;0010327B&quot;/&gt;&lt;wsp:rsid wsp:val=&quot;00103BE5&quot;/&gt;&lt;wsp:rsid wsp:val=&quot;0010491F&quot;/&gt;&lt;wsp:rsid wsp:val=&quot;00105A65&quot;/&gt;&lt;wsp:rsid wsp:val=&quot;00106AB3&quot;/&gt;&lt;wsp:rsid wsp:val=&quot;00106DF3&quot;/&gt;&lt;wsp:rsid wsp:val=&quot;00107141&quot;/&gt;&lt;wsp:rsid wsp:val=&quot;00107463&quot;/&gt;&lt;wsp:rsid wsp:val=&quot;001079DD&quot;/&gt;&lt;wsp:rsid wsp:val=&quot;00107BFB&quot;/&gt;&lt;wsp:rsid wsp:val=&quot;00107E57&quot;/&gt;&lt;wsp:rsid wsp:val=&quot;00107FCF&quot;/&gt;&lt;wsp:rsid wsp:val=&quot;001102CA&quot;/&gt;&lt;wsp:rsid wsp:val=&quot;001106AE&quot;/&gt;&lt;wsp:rsid wsp:val=&quot;00111575&quot;/&gt;&lt;wsp:rsid wsp:val=&quot;00111AB5&quot;/&gt;&lt;wsp:rsid wsp:val=&quot;00111E5B&quot;/&gt;&lt;wsp:rsid wsp:val=&quot;00112DA7&quot;/&gt;&lt;wsp:rsid wsp:val=&quot;00113734&quot;/&gt;&lt;wsp:rsid wsp:val=&quot;0011383B&quot;/&gt;&lt;wsp:rsid wsp:val=&quot;0011386B&quot;/&gt;&lt;wsp:rsid wsp:val=&quot;00114C4C&quot;/&gt;&lt;wsp:rsid wsp:val=&quot;00114FD8&quot;/&gt;&lt;wsp:rsid wsp:val=&quot;001155C6&quot;/&gt;&lt;wsp:rsid wsp:val=&quot;001160CE&quot;/&gt;&lt;wsp:rsid wsp:val=&quot;00116570&quot;/&gt;&lt;wsp:rsid wsp:val=&quot;00117395&quot;/&gt;&lt;wsp:rsid wsp:val=&quot;00117ABD&quot;/&gt;&lt;wsp:rsid wsp:val=&quot;00117B01&quot;/&gt;&lt;wsp:rsid wsp:val=&quot;00120634&quot;/&gt;&lt;wsp:rsid wsp:val=&quot;00120A3D&quot;/&gt;&lt;wsp:rsid wsp:val=&quot;00121A61&quot;/&gt;&lt;wsp:rsid wsp:val=&quot;00122945&quot;/&gt;&lt;wsp:rsid wsp:val=&quot;0012344F&quot;/&gt;&lt;wsp:rsid wsp:val=&quot;0012397E&quot;/&gt;&lt;wsp:rsid wsp:val=&quot;001246AB&quot;/&gt;&lt;wsp:rsid wsp:val=&quot;0012687D&quot;/&gt;&lt;wsp:rsid wsp:val=&quot;00127582&quot;/&gt;&lt;wsp:rsid wsp:val=&quot;0012759B&quot;/&gt;&lt;wsp:rsid wsp:val=&quot;00127C1D&quot;/&gt;&lt;wsp:rsid wsp:val=&quot;001301D6&quot;/&gt;&lt;wsp:rsid wsp:val=&quot;0013180B&quot;/&gt;&lt;wsp:rsid wsp:val=&quot;0013253A&quot;/&gt;&lt;wsp:rsid wsp:val=&quot;00133617&quot;/&gt;&lt;wsp:rsid wsp:val=&quot;00133618&quot;/&gt;&lt;wsp:rsid wsp:val=&quot;00134391&quot;/&gt;&lt;wsp:rsid wsp:val=&quot;00134774&quot;/&gt;&lt;wsp:rsid wsp:val=&quot;001347B8&quot;/&gt;&lt;wsp:rsid wsp:val=&quot;00134D92&quot;/&gt;&lt;wsp:rsid wsp:val=&quot;00135A41&quot;/&gt;&lt;wsp:rsid wsp:val=&quot;00135D92&quot;/&gt;&lt;wsp:rsid wsp:val=&quot;00135F78&quot;/&gt;&lt;wsp:rsid wsp:val=&quot;001364E7&quot;/&gt;&lt;wsp:rsid wsp:val=&quot;001371E3&quot;/&gt;&lt;wsp:rsid wsp:val=&quot;00137A3B&quot;/&gt;&lt;wsp:rsid wsp:val=&quot;001409D2&quot;/&gt;&lt;wsp:rsid wsp:val=&quot;00140B7F&quot;/&gt;&lt;wsp:rsid wsp:val=&quot;00140D6B&quot;/&gt;&lt;wsp:rsid wsp:val=&quot;00140EF3&quot;/&gt;&lt;wsp:rsid wsp:val=&quot;0014215F&quot;/&gt;&lt;wsp:rsid wsp:val=&quot;00142215&quot;/&gt;&lt;wsp:rsid wsp:val=&quot;001432B2&quot;/&gt;&lt;wsp:rsid wsp:val=&quot;00143E48&quot;/&gt;&lt;wsp:rsid wsp:val=&quot;001445A7&quot;/&gt;&lt;wsp:rsid wsp:val=&quot;00144A69&quot;/&gt;&lt;wsp:rsid wsp:val=&quot;00144B85&quot;/&gt;&lt;wsp:rsid wsp:val=&quot;00145CFB&quot;/&gt;&lt;wsp:rsid wsp:val=&quot;00146435&quot;/&gt;&lt;wsp:rsid wsp:val=&quot;00146841&quot;/&gt;&lt;wsp:rsid wsp:val=&quot;00147708&quot;/&gt;&lt;wsp:rsid wsp:val=&quot;00147BE0&quot;/&gt;&lt;wsp:rsid wsp:val=&quot;00147E9C&quot;/&gt;&lt;wsp:rsid wsp:val=&quot;00150706&quot;/&gt;&lt;wsp:rsid wsp:val=&quot;00151634&quot;/&gt;&lt;wsp:rsid wsp:val=&quot;00151AD5&quot;/&gt;&lt;wsp:rsid wsp:val=&quot;00151CE2&quot;/&gt;&lt;wsp:rsid wsp:val=&quot;0015220A&quot;/&gt;&lt;wsp:rsid wsp:val=&quot;00152C67&quot;/&gt;&lt;wsp:rsid wsp:val=&quot;00152CAC&quot;/&gt;&lt;wsp:rsid wsp:val=&quot;00152EC3&quot;/&gt;&lt;wsp:rsid wsp:val=&quot;001535E1&quot;/&gt;&lt;wsp:rsid wsp:val=&quot;001537DF&quot;/&gt;&lt;wsp:rsid wsp:val=&quot;001537FA&quot;/&gt;&lt;wsp:rsid wsp:val=&quot;00153DFA&quot;/&gt;&lt;wsp:rsid wsp:val=&quot;00154F33&quot;/&gt;&lt;wsp:rsid wsp:val=&quot;001551E1&quot;/&gt;&lt;wsp:rsid wsp:val=&quot;0015521F&quot;/&gt;&lt;wsp:rsid wsp:val=&quot;0015763B&quot;/&gt;&lt;wsp:rsid wsp:val=&quot;00157893&quot;/&gt;&lt;wsp:rsid wsp:val=&quot;001607D4&quot;/&gt;&lt;wsp:rsid wsp:val=&quot;001608D6&quot;/&gt;&lt;wsp:rsid wsp:val=&quot;00161402&quot;/&gt;&lt;wsp:rsid wsp:val=&quot;001616E0&quot;/&gt;&lt;wsp:rsid wsp:val=&quot;00161B12&quot;/&gt;&lt;wsp:rsid wsp:val=&quot;001620EA&quot;/&gt;&lt;wsp:rsid wsp:val=&quot;00162293&quot;/&gt;&lt;wsp:rsid wsp:val=&quot;0016436D&quot;/&gt;&lt;wsp:rsid wsp:val=&quot;001648FC&quot;/&gt;&lt;wsp:rsid wsp:val=&quot;001657CF&quot;/&gt;&lt;wsp:rsid wsp:val=&quot;00165FEB&quot;/&gt;&lt;wsp:rsid wsp:val=&quot;001663A4&quot;/&gt;&lt;wsp:rsid wsp:val=&quot;001663F6&quot;/&gt;&lt;wsp:rsid wsp:val=&quot;001668F9&quot;/&gt;&lt;wsp:rsid wsp:val=&quot;00166D63&quot;/&gt;&lt;wsp:rsid wsp:val=&quot;00167FA2&quot;/&gt;&lt;wsp:rsid wsp:val=&quot;001701A1&quot;/&gt;&lt;wsp:rsid wsp:val=&quot;00171235&quot;/&gt;&lt;wsp:rsid wsp:val=&quot;0017127D&quot;/&gt;&lt;wsp:rsid wsp:val=&quot;0017138A&quot;/&gt;&lt;wsp:rsid wsp:val=&quot;00172558&quot;/&gt;&lt;wsp:rsid wsp:val=&quot;001728CF&quot;/&gt;&lt;wsp:rsid wsp:val=&quot;00172926&quot;/&gt;&lt;wsp:rsid wsp:val=&quot;00173090&quot;/&gt;&lt;wsp:rsid wsp:val=&quot;00173157&quot;/&gt;&lt;wsp:rsid wsp:val=&quot;001734D2&quot;/&gt;&lt;wsp:rsid wsp:val=&quot;00173B32&quot;/&gt;&lt;wsp:rsid wsp:val=&quot;00175A36&quot;/&gt;&lt;wsp:rsid wsp:val=&quot;0017606D&quot;/&gt;&lt;wsp:rsid wsp:val=&quot;00176566&quot;/&gt;&lt;wsp:rsid wsp:val=&quot;001776AB&quot;/&gt;&lt;wsp:rsid wsp:val=&quot;001802B6&quot;/&gt;&lt;wsp:rsid wsp:val=&quot;00180E73&quot;/&gt;&lt;wsp:rsid wsp:val=&quot;00181328&quot;/&gt;&lt;wsp:rsid wsp:val=&quot;00181D90&quot;/&gt;&lt;wsp:rsid wsp:val=&quot;00182E67&quot;/&gt;&lt;wsp:rsid wsp:val=&quot;00184355&quot;/&gt;&lt;wsp:rsid wsp:val=&quot;00184677&quot;/&gt;&lt;wsp:rsid wsp:val=&quot;001847AC&quot;/&gt;&lt;wsp:rsid wsp:val=&quot;00185290&quot;/&gt;&lt;wsp:rsid wsp:val=&quot;00185DB7&quot;/&gt;&lt;wsp:rsid wsp:val=&quot;00185F51&quot;/&gt;&lt;wsp:rsid wsp:val=&quot;00186E6B&quot;/&gt;&lt;wsp:rsid wsp:val=&quot;0018739C&quot;/&gt;&lt;wsp:rsid wsp:val=&quot;00187BD0&quot;/&gt;&lt;wsp:rsid wsp:val=&quot;00187F35&quot;/&gt;&lt;wsp:rsid wsp:val=&quot;00190049&quot;/&gt;&lt;wsp:rsid wsp:val=&quot;00191034&quot;/&gt;&lt;wsp:rsid wsp:val=&quot;00191964&quot;/&gt;&lt;wsp:rsid wsp:val=&quot;001919A9&quot;/&gt;&lt;wsp:rsid wsp:val=&quot;001924DC&quot;/&gt;&lt;wsp:rsid wsp:val=&quot;00192971&quot;/&gt;&lt;wsp:rsid wsp:val=&quot;00192A9D&quot;/&gt;&lt;wsp:rsid wsp:val=&quot;00193993&quot;/&gt;&lt;wsp:rsid wsp:val=&quot;00194AC0&quot;/&gt;&lt;wsp:rsid wsp:val=&quot;00194D26&quot;/&gt;&lt;wsp:rsid wsp:val=&quot;00194E9D&quot;/&gt;&lt;wsp:rsid wsp:val=&quot;0019560F&quot;/&gt;&lt;wsp:rsid wsp:val=&quot;00196144&quot;/&gt;&lt;wsp:rsid wsp:val=&quot;00196286&quot;/&gt;&lt;wsp:rsid wsp:val=&quot;001973D5&quot;/&gt;&lt;wsp:rsid wsp:val=&quot;001A02A9&quot;/&gt;&lt;wsp:rsid wsp:val=&quot;001A0A46&quot;/&gt;&lt;wsp:rsid wsp:val=&quot;001A2573&quot;/&gt;&lt;wsp:rsid wsp:val=&quot;001A2C41&quot;/&gt;&lt;wsp:rsid wsp:val=&quot;001A343A&quot;/&gt;&lt;wsp:rsid wsp:val=&quot;001A4013&quot;/&gt;&lt;wsp:rsid wsp:val=&quot;001A511A&quot;/&gt;&lt;wsp:rsid wsp:val=&quot;001A5A8C&quot;/&gt;&lt;wsp:rsid wsp:val=&quot;001A5CB5&quot;/&gt;&lt;wsp:rsid wsp:val=&quot;001A5CDA&quot;/&gt;&lt;wsp:rsid wsp:val=&quot;001A620C&quot;/&gt;&lt;wsp:rsid wsp:val=&quot;001A6303&quot;/&gt;&lt;wsp:rsid wsp:val=&quot;001A669D&quot;/&gt;&lt;wsp:rsid wsp:val=&quot;001A6E12&quot;/&gt;&lt;wsp:rsid wsp:val=&quot;001A7FC6&quot;/&gt;&lt;wsp:rsid wsp:val=&quot;001B0FA9&quot;/&gt;&lt;wsp:rsid wsp:val=&quot;001B2979&quot;/&gt;&lt;wsp:rsid wsp:val=&quot;001B335C&quot;/&gt;&lt;wsp:rsid wsp:val=&quot;001B3B5C&quot;/&gt;&lt;wsp:rsid wsp:val=&quot;001B4874&quot;/&gt;&lt;wsp:rsid wsp:val=&quot;001B577D&quot;/&gt;&lt;wsp:rsid wsp:val=&quot;001B6156&quot;/&gt;&lt;wsp:rsid wsp:val=&quot;001B621A&quot;/&gt;&lt;wsp:rsid wsp:val=&quot;001B7C17&quot;/&gt;&lt;wsp:rsid wsp:val=&quot;001C1C09&quot;/&gt;&lt;wsp:rsid wsp:val=&quot;001C1F78&quot;/&gt;&lt;wsp:rsid wsp:val=&quot;001C28DB&quot;/&gt;&lt;wsp:rsid wsp:val=&quot;001C34AB&quot;/&gt;&lt;wsp:rsid wsp:val=&quot;001C3731&quot;/&gt;&lt;wsp:rsid wsp:val=&quot;001C39F8&quot;/&gt;&lt;wsp:rsid wsp:val=&quot;001C3DE4&quot;/&gt;&lt;wsp:rsid wsp:val=&quot;001C3E71&quot;/&gt;&lt;wsp:rsid wsp:val=&quot;001C5D3B&quot;/&gt;&lt;wsp:rsid wsp:val=&quot;001C6452&quot;/&gt;&lt;wsp:rsid wsp:val=&quot;001C6573&quot;/&gt;&lt;wsp:rsid wsp:val=&quot;001C66BA&quot;/&gt;&lt;wsp:rsid wsp:val=&quot;001C6927&quot;/&gt;&lt;wsp:rsid wsp:val=&quot;001C6FBC&quot;/&gt;&lt;wsp:rsid wsp:val=&quot;001C7340&quot;/&gt;&lt;wsp:rsid wsp:val=&quot;001C7BF7&quot;/&gt;&lt;wsp:rsid wsp:val=&quot;001C7BFE&quot;/&gt;&lt;wsp:rsid wsp:val=&quot;001C7F0E&quot;/&gt;&lt;wsp:rsid wsp:val=&quot;001D0BBF&quot;/&gt;&lt;wsp:rsid wsp:val=&quot;001D1897&quot;/&gt;&lt;wsp:rsid wsp:val=&quot;001D1D14&quot;/&gt;&lt;wsp:rsid wsp:val=&quot;001D2152&quot;/&gt;&lt;wsp:rsid wsp:val=&quot;001D228E&quot;/&gt;&lt;wsp:rsid wsp:val=&quot;001D29DA&quot;/&gt;&lt;wsp:rsid wsp:val=&quot;001D34A2&quot;/&gt;&lt;wsp:rsid wsp:val=&quot;001D3680&quot;/&gt;&lt;wsp:rsid wsp:val=&quot;001D36D1&quot;/&gt;&lt;wsp:rsid wsp:val=&quot;001D3835&quot;/&gt;&lt;wsp:rsid wsp:val=&quot;001D4369&quot;/&gt;&lt;wsp:rsid wsp:val=&quot;001D4456&quot;/&gt;&lt;wsp:rsid wsp:val=&quot;001D4A61&quot;/&gt;&lt;wsp:rsid wsp:val=&quot;001D54C4&quot;/&gt;&lt;wsp:rsid wsp:val=&quot;001D5A1E&quot;/&gt;&lt;wsp:rsid wsp:val=&quot;001D5D3A&quot;/&gt;&lt;wsp:rsid wsp:val=&quot;001D701D&quot;/&gt;&lt;wsp:rsid wsp:val=&quot;001E0663&quot;/&gt;&lt;wsp:rsid wsp:val=&quot;001E0A15&quot;/&gt;&lt;wsp:rsid wsp:val=&quot;001E0E41&quot;/&gt;&lt;wsp:rsid wsp:val=&quot;001E146B&quot;/&gt;&lt;wsp:rsid wsp:val=&quot;001E1A36&quot;/&gt;&lt;wsp:rsid wsp:val=&quot;001E25B7&quot;/&gt;&lt;wsp:rsid wsp:val=&quot;001E335E&quot;/&gt;&lt;wsp:rsid wsp:val=&quot;001E37CC&quot;/&gt;&lt;wsp:rsid wsp:val=&quot;001E37DC&quot;/&gt;&lt;wsp:rsid wsp:val=&quot;001E3F09&quot;/&gt;&lt;wsp:rsid wsp:val=&quot;001E424F&quot;/&gt;&lt;wsp:rsid wsp:val=&quot;001E45F3&quot;/&gt;&lt;wsp:rsid wsp:val=&quot;001E4F20&quot;/&gt;&lt;wsp:rsid wsp:val=&quot;001E577D&quot;/&gt;&lt;wsp:rsid wsp:val=&quot;001E5A04&quot;/&gt;&lt;wsp:rsid wsp:val=&quot;001E5A6C&quot;/&gt;&lt;wsp:rsid wsp:val=&quot;001E6F35&quot;/&gt;&lt;wsp:rsid wsp:val=&quot;001E7487&quot;/&gt;&lt;wsp:rsid wsp:val=&quot;001E7C04&quot;/&gt;&lt;wsp:rsid wsp:val=&quot;001E7F5C&quot;/&gt;&lt;wsp:rsid wsp:val=&quot;001F0678&quot;/&gt;&lt;wsp:rsid wsp:val=&quot;001F082C&quot;/&gt;&lt;wsp:rsid wsp:val=&quot;001F0AF2&quot;/&gt;&lt;wsp:rsid wsp:val=&quot;001F19F8&quot;/&gt;&lt;wsp:rsid wsp:val=&quot;001F1D4C&quot;/&gt;&lt;wsp:rsid wsp:val=&quot;001F2356&quot;/&gt;&lt;wsp:rsid wsp:val=&quot;001F2701&quot;/&gt;&lt;wsp:rsid wsp:val=&quot;001F2AC3&quot;/&gt;&lt;wsp:rsid wsp:val=&quot;001F2C1F&quot;/&gt;&lt;wsp:rsid wsp:val=&quot;001F3541&quot;/&gt;&lt;wsp:rsid wsp:val=&quot;001F358B&quot;/&gt;&lt;wsp:rsid wsp:val=&quot;001F4227&quot;/&gt;&lt;wsp:rsid wsp:val=&quot;001F4453&quot;/&gt;&lt;wsp:rsid wsp:val=&quot;001F6167&quot;/&gt;&lt;wsp:rsid wsp:val=&quot;001F64BB&quot;/&gt;&lt;wsp:rsid wsp:val=&quot;001F6B4E&quot;/&gt;&lt;wsp:rsid wsp:val=&quot;001F7E7D&quot;/&gt;&lt;wsp:rsid wsp:val=&quot;00200519&quot;/&gt;&lt;wsp:rsid wsp:val=&quot;00200FAF&quot;/&gt;&lt;wsp:rsid wsp:val=&quot;0020151B&quot;/&gt;&lt;wsp:rsid wsp:val=&quot;00203572&quot;/&gt;&lt;wsp:rsid wsp:val=&quot;00203965&quot;/&gt;&lt;wsp:rsid wsp:val=&quot;002040D0&quot;/&gt;&lt;wsp:rsid wsp:val=&quot;00204AE8&quot;/&gt;&lt;wsp:rsid wsp:val=&quot;00205A74&quot;/&gt;&lt;wsp:rsid wsp:val=&quot;00206360&quot;/&gt;&lt;wsp:rsid wsp:val=&quot;0020664C&quot;/&gt;&lt;wsp:rsid wsp:val=&quot;002066B9&quot;/&gt;&lt;wsp:rsid wsp:val=&quot;002067C6&quot;/&gt;&lt;wsp:rsid wsp:val=&quot;00207393&quot;/&gt;&lt;wsp:rsid wsp:val=&quot;002074AA&quot;/&gt;&lt;wsp:rsid wsp:val=&quot;00207724&quot;/&gt;&lt;wsp:rsid wsp:val=&quot;00207788&quot;/&gt;&lt;wsp:rsid wsp:val=&quot;002077C2&quot;/&gt;&lt;wsp:rsid wsp:val=&quot;00207D41&quot;/&gt;&lt;wsp:rsid wsp:val=&quot;00210088&quot;/&gt;&lt;wsp:rsid wsp:val=&quot;0021019F&quot;/&gt;&lt;wsp:rsid wsp:val=&quot;0021195F&quot;/&gt;&lt;wsp:rsid wsp:val=&quot;00211DD9&quot;/&gt;&lt;wsp:rsid wsp:val=&quot;00212262&quot;/&gt;&lt;wsp:rsid wsp:val=&quot;00213952&quot;/&gt;&lt;wsp:rsid wsp:val=&quot;002142FA&quot;/&gt;&lt;wsp:rsid wsp:val=&quot;00214852&quot;/&gt;&lt;wsp:rsid wsp:val=&quot;0021566C&quot;/&gt;&lt;wsp:rsid wsp:val=&quot;00216432&quot;/&gt;&lt;wsp:rsid wsp:val=&quot;0022002F&quot;/&gt;&lt;wsp:rsid wsp:val=&quot;00220620&quot;/&gt;&lt;wsp:rsid wsp:val=&quot;00222091&quot;/&gt;&lt;wsp:rsid wsp:val=&quot;002226A0&quot;/&gt;&lt;wsp:rsid wsp:val=&quot;00222C24&quot;/&gt;&lt;wsp:rsid wsp:val=&quot;00224908&quot;/&gt;&lt;wsp:rsid wsp:val=&quot;00224F7C&quot;/&gt;&lt;wsp:rsid wsp:val=&quot;002250D4&quot;/&gt;&lt;wsp:rsid wsp:val=&quot;0022526B&quot;/&gt;&lt;wsp:rsid wsp:val=&quot;0022561B&quot;/&gt;&lt;wsp:rsid wsp:val=&quot;002271F6&quot;/&gt;&lt;wsp:rsid wsp:val=&quot;00227462&quot;/&gt;&lt;wsp:rsid wsp:val=&quot;002275E0&quot;/&gt;&lt;wsp:rsid wsp:val=&quot;00227AAE&quot;/&gt;&lt;wsp:rsid wsp:val=&quot;00230759&quot;/&gt;&lt;wsp:rsid wsp:val=&quot;00231880&quot;/&gt;&lt;wsp:rsid wsp:val=&quot;002322CF&quot;/&gt;&lt;wsp:rsid wsp:val=&quot;00232851&quot;/&gt;&lt;wsp:rsid wsp:val=&quot;00232AFF&quot;/&gt;&lt;wsp:rsid wsp:val=&quot;00232D19&quot;/&gt;&lt;wsp:rsid wsp:val=&quot;00233098&quot;/&gt;&lt;wsp:rsid wsp:val=&quot;002349FB&quot;/&gt;&lt;wsp:rsid wsp:val=&quot;00235405&quot;/&gt;&lt;wsp:rsid wsp:val=&quot;002356DE&quot;/&gt;&lt;wsp:rsid wsp:val=&quot;00235A04&quot;/&gt;&lt;wsp:rsid wsp:val=&quot;00236257&quot;/&gt;&lt;wsp:rsid wsp:val=&quot;00236C6F&quot;/&gt;&lt;wsp:rsid wsp:val=&quot;00236C91&quot;/&gt;&lt;wsp:rsid wsp:val=&quot;00236CEB&quot;/&gt;&lt;wsp:rsid wsp:val=&quot;002374B2&quot;/&gt;&lt;wsp:rsid wsp:val=&quot;00237518&quot;/&gt;&lt;wsp:rsid wsp:val=&quot;00240454&quot;/&gt;&lt;wsp:rsid wsp:val=&quot;00240EE5&quot;/&gt;&lt;wsp:rsid wsp:val=&quot;00241CFE&quot;/&gt;&lt;wsp:rsid wsp:val=&quot;00242607&quot;/&gt;&lt;wsp:rsid wsp:val=&quot;002428FD&quot;/&gt;&lt;wsp:rsid wsp:val=&quot;00242ED0&quot;/&gt;&lt;wsp:rsid wsp:val=&quot;0024315B&quot;/&gt;&lt;wsp:rsid wsp:val=&quot;0024386E&quot;/&gt;&lt;wsp:rsid wsp:val=&quot;0024393C&quot;/&gt;&lt;wsp:rsid wsp:val=&quot;00243D41&quot;/&gt;&lt;wsp:rsid wsp:val=&quot;00244E22&quot;/&gt;&lt;wsp:rsid wsp:val=&quot;00245437&quot;/&gt;&lt;wsp:rsid wsp:val=&quot;00245451&quot;/&gt;&lt;wsp:rsid wsp:val=&quot;0024701A&quot;/&gt;&lt;wsp:rsid wsp:val=&quot;002502C8&quot;/&gt;&lt;wsp:rsid wsp:val=&quot;002515F2&quot;/&gt;&lt;wsp:rsid wsp:val=&quot;0025191E&quot;/&gt;&lt;wsp:rsid wsp:val=&quot;002519A5&quot;/&gt;&lt;wsp:rsid wsp:val=&quot;00252357&quot;/&gt;&lt;wsp:rsid wsp:val=&quot;00252925&quot;/&gt;&lt;wsp:rsid wsp:val=&quot;0025338E&quot;/&gt;&lt;wsp:rsid wsp:val=&quot;0025465E&quot;/&gt;&lt;wsp:rsid wsp:val=&quot;00254C4A&quot;/&gt;&lt;wsp:rsid wsp:val=&quot;00254D80&quot;/&gt;&lt;wsp:rsid wsp:val=&quot;00255505&quot;/&gt;&lt;wsp:rsid wsp:val=&quot;00256940&quot;/&gt;&lt;wsp:rsid wsp:val=&quot;00256BB9&quot;/&gt;&lt;wsp:rsid wsp:val=&quot;002572D7&quot;/&gt;&lt;wsp:rsid wsp:val=&quot;00257636&quot;/&gt;&lt;wsp:rsid wsp:val=&quot;00257917&quot;/&gt;&lt;wsp:rsid wsp:val=&quot;00260501&quot;/&gt;&lt;wsp:rsid wsp:val=&quot;0026096E&quot;/&gt;&lt;wsp:rsid wsp:val=&quot;00260BC5&quot;/&gt;&lt;wsp:rsid wsp:val=&quot;00261713&quot;/&gt;&lt;wsp:rsid wsp:val=&quot;00261AF6&quot;/&gt;&lt;wsp:rsid wsp:val=&quot;00261DAE&quot;/&gt;&lt;wsp:rsid wsp:val=&quot;002628EF&quot;/&gt;&lt;wsp:rsid wsp:val=&quot;00264580&quot;/&gt;&lt;wsp:rsid wsp:val=&quot;00264617&quot;/&gt;&lt;wsp:rsid wsp:val=&quot;002650A1&quot;/&gt;&lt;wsp:rsid wsp:val=&quot;002664C1&quot;/&gt;&lt;wsp:rsid wsp:val=&quot;00266E9A&quot;/&gt;&lt;wsp:rsid wsp:val=&quot;002679BB&quot;/&gt;&lt;wsp:rsid wsp:val=&quot;00267E9B&quot;/&gt;&lt;wsp:rsid wsp:val=&quot;00270363&quot;/&gt;&lt;wsp:rsid wsp:val=&quot;00271345&quot;/&gt;&lt;wsp:rsid wsp:val=&quot;002721B6&quot;/&gt;&lt;wsp:rsid wsp:val=&quot;00272C99&quot;/&gt;&lt;wsp:rsid wsp:val=&quot;00272CD5&quot;/&gt;&lt;wsp:rsid wsp:val=&quot;00272F5A&quot;/&gt;&lt;wsp:rsid wsp:val=&quot;00273475&quot;/&gt;&lt;wsp:rsid wsp:val=&quot;00273D3A&quot;/&gt;&lt;wsp:rsid wsp:val=&quot;00274E17&quot;/&gt;&lt;wsp:rsid wsp:val=&quot;0027534C&quot;/&gt;&lt;wsp:rsid wsp:val=&quot;00275DE6&quot;/&gt;&lt;wsp:rsid wsp:val=&quot;00276645&quot;/&gt;&lt;wsp:rsid wsp:val=&quot;002769DA&quot;/&gt;&lt;wsp:rsid wsp:val=&quot;00277219&quot;/&gt;&lt;wsp:rsid wsp:val=&quot;00277BD8&quot;/&gt;&lt;wsp:rsid wsp:val=&quot;00277FEC&quot;/&gt;&lt;wsp:rsid wsp:val=&quot;0028066F&quot;/&gt;&lt;wsp:rsid wsp:val=&quot;00281DBA&quot;/&gt;&lt;wsp:rsid wsp:val=&quot;0028230F&quot;/&gt;&lt;wsp:rsid wsp:val=&quot;0028330C&quot;/&gt;&lt;wsp:rsid wsp:val=&quot;00283D16&quot;/&gt;&lt;wsp:rsid wsp:val=&quot;00283D2C&quot;/&gt;&lt;wsp:rsid wsp:val=&quot;002841DC&quot;/&gt;&lt;wsp:rsid wsp:val=&quot;00284832&quot;/&gt;&lt;wsp:rsid wsp:val=&quot;00285402&quot;/&gt;&lt;wsp:rsid wsp:val=&quot;0028551E&quot;/&gt;&lt;wsp:rsid wsp:val=&quot;00286B1D&quot;/&gt;&lt;wsp:rsid wsp:val=&quot;00286C46&quot;/&gt;&lt;wsp:rsid wsp:val=&quot;00286E1E&quot;/&gt;&lt;wsp:rsid wsp:val=&quot;00286F98&quot;/&gt;&lt;wsp:rsid wsp:val=&quot;0029015F&quot;/&gt;&lt;wsp:rsid wsp:val=&quot;0029058A&quot;/&gt;&lt;wsp:rsid wsp:val=&quot;00290F48&quot;/&gt;&lt;wsp:rsid wsp:val=&quot;00291371&quot;/&gt;&lt;wsp:rsid wsp:val=&quot;00292BEE&quot;/&gt;&lt;wsp:rsid wsp:val=&quot;00292D80&quot;/&gt;&lt;wsp:rsid wsp:val=&quot;00292E22&quot;/&gt;&lt;wsp:rsid wsp:val=&quot;00293C4E&quot;/&gt;&lt;wsp:rsid wsp:val=&quot;00293FDD&quot;/&gt;&lt;wsp:rsid wsp:val=&quot;00295392&quot;/&gt;&lt;wsp:rsid wsp:val=&quot;00295562&quot;/&gt;&lt;wsp:rsid wsp:val=&quot;002958B9&quot;/&gt;&lt;wsp:rsid wsp:val=&quot;00295DF4&quot;/&gt;&lt;wsp:rsid wsp:val=&quot;00295EA3&quot;/&gt;&lt;wsp:rsid wsp:val=&quot;00296404&quot;/&gt;&lt;wsp:rsid wsp:val=&quot;0029643A&quot;/&gt;&lt;wsp:rsid wsp:val=&quot;002964EE&quot;/&gt;&lt;wsp:rsid wsp:val=&quot;002966C6&quot;/&gt;&lt;wsp:rsid wsp:val=&quot;0029775F&quot;/&gt;&lt;wsp:rsid wsp:val=&quot;002A0E01&quot;/&gt;&lt;wsp:rsid wsp:val=&quot;002A1E9B&quot;/&gt;&lt;wsp:rsid wsp:val=&quot;002A23CE&quot;/&gt;&lt;wsp:rsid wsp:val=&quot;002A281F&quot;/&gt;&lt;wsp:rsid wsp:val=&quot;002A2AC8&quot;/&gt;&lt;wsp:rsid wsp:val=&quot;002A3383&quot;/&gt;&lt;wsp:rsid wsp:val=&quot;002A3F13&quot;/&gt;&lt;wsp:rsid wsp:val=&quot;002A3F9C&quot;/&gt;&lt;wsp:rsid wsp:val=&quot;002A474E&quot;/&gt;&lt;wsp:rsid wsp:val=&quot;002A55C8&quot;/&gt;&lt;wsp:rsid wsp:val=&quot;002A6230&quot;/&gt;&lt;wsp:rsid wsp:val=&quot;002A7019&quot;/&gt;&lt;wsp:rsid wsp:val=&quot;002A7076&quot;/&gt;&lt;wsp:rsid wsp:val=&quot;002A7A68&quot;/&gt;&lt;wsp:rsid wsp:val=&quot;002A7BB1&quot;/&gt;&lt;wsp:rsid wsp:val=&quot;002A7EE5&quot;/&gt;&lt;wsp:rsid wsp:val=&quot;002B044C&quot;/&gt;&lt;wsp:rsid wsp:val=&quot;002B0BC9&quot;/&gt;&lt;wsp:rsid wsp:val=&quot;002B0D22&quot;/&gt;&lt;wsp:rsid wsp:val=&quot;002B1500&quot;/&gt;&lt;wsp:rsid wsp:val=&quot;002B1BBB&quot;/&gt;&lt;wsp:rsid wsp:val=&quot;002B1C96&quot;/&gt;&lt;wsp:rsid wsp:val=&quot;002B1D32&quot;/&gt;&lt;wsp:rsid wsp:val=&quot;002B2075&quot;/&gt;&lt;wsp:rsid wsp:val=&quot;002B2B7D&quot;/&gt;&lt;wsp:rsid wsp:val=&quot;002B3878&quot;/&gt;&lt;wsp:rsid wsp:val=&quot;002B3D0C&quot;/&gt;&lt;wsp:rsid wsp:val=&quot;002B4080&quot;/&gt;&lt;wsp:rsid wsp:val=&quot;002B4506&quot;/&gt;&lt;wsp:rsid wsp:val=&quot;002B4C18&quot;/&gt;&lt;wsp:rsid wsp:val=&quot;002B5922&quot;/&gt;&lt;wsp:rsid wsp:val=&quot;002B6ACC&quot;/&gt;&lt;wsp:rsid wsp:val=&quot;002B7C34&quot;/&gt;&lt;wsp:rsid wsp:val=&quot;002C0368&quot;/&gt;&lt;wsp:rsid wsp:val=&quot;002C0A34&quot;/&gt;&lt;wsp:rsid wsp:val=&quot;002C1453&quot;/&gt;&lt;wsp:rsid wsp:val=&quot;002C15EE&quot;/&gt;&lt;wsp:rsid wsp:val=&quot;002C1686&quot;/&gt;&lt;wsp:rsid wsp:val=&quot;002C2890&quot;/&gt;&lt;wsp:rsid wsp:val=&quot;002C3A7D&quot;/&gt;&lt;wsp:rsid wsp:val=&quot;002C4849&quot;/&gt;&lt;wsp:rsid wsp:val=&quot;002C4A01&quot;/&gt;&lt;wsp:rsid wsp:val=&quot;002C4A82&quot;/&gt;&lt;wsp:rsid wsp:val=&quot;002C4C38&quot;/&gt;&lt;wsp:rsid wsp:val=&quot;002C52D4&quot;/&gt;&lt;wsp:rsid wsp:val=&quot;002D0378&quot;/&gt;&lt;wsp:rsid wsp:val=&quot;002D25D7&quot;/&gt;&lt;wsp:rsid wsp:val=&quot;002D26C7&quot;/&gt;&lt;wsp:rsid wsp:val=&quot;002D34A9&quot;/&gt;&lt;wsp:rsid wsp:val=&quot;002D374C&quot;/&gt;&lt;wsp:rsid wsp:val=&quot;002D3A96&quot;/&gt;&lt;wsp:rsid wsp:val=&quot;002D4338&quot;/&gt;&lt;wsp:rsid wsp:val=&quot;002D4593&quot;/&gt;&lt;wsp:rsid wsp:val=&quot;002D4C77&quot;/&gt;&lt;wsp:rsid wsp:val=&quot;002D4EFA&quot;/&gt;&lt;wsp:rsid wsp:val=&quot;002D4F94&quot;/&gt;&lt;wsp:rsid wsp:val=&quot;002D50A4&quot;/&gt;&lt;wsp:rsid wsp:val=&quot;002D5ED7&quot;/&gt;&lt;wsp:rsid wsp:val=&quot;002D68B7&quot;/&gt;&lt;wsp:rsid wsp:val=&quot;002D71D1&quot;/&gt;&lt;wsp:rsid wsp:val=&quot;002D7537&quot;/&gt;&lt;wsp:rsid wsp:val=&quot;002D76EE&quot;/&gt;&lt;wsp:rsid wsp:val=&quot;002D77DA&quot;/&gt;&lt;wsp:rsid wsp:val=&quot;002D7EC1&quot;/&gt;&lt;wsp:rsid wsp:val=&quot;002E0CA6&quot;/&gt;&lt;wsp:rsid wsp:val=&quot;002E111F&quot;/&gt;&lt;wsp:rsid wsp:val=&quot;002E292C&quot;/&gt;&lt;wsp:rsid wsp:val=&quot;002E329B&quot;/&gt;&lt;wsp:rsid wsp:val=&quot;002E3697&quot;/&gt;&lt;wsp:rsid wsp:val=&quot;002E4469&quot;/&gt;&lt;wsp:rsid wsp:val=&quot;002E4B20&quot;/&gt;&lt;wsp:rsid wsp:val=&quot;002E4DBB&quot;/&gt;&lt;wsp:rsid wsp:val=&quot;002E52D2&quot;/&gt;&lt;wsp:rsid wsp:val=&quot;002E578E&quot;/&gt;&lt;wsp:rsid wsp:val=&quot;002E5C73&quot;/&gt;&lt;wsp:rsid wsp:val=&quot;002E6E35&quot;/&gt;&lt;wsp:rsid wsp:val=&quot;002E6E8A&quot;/&gt;&lt;wsp:rsid wsp:val=&quot;002E7208&quot;/&gt;&lt;wsp:rsid wsp:val=&quot;002E7FE9&quot;/&gt;&lt;wsp:rsid wsp:val=&quot;002F0B0D&quot;/&gt;&lt;wsp:rsid wsp:val=&quot;002F0D45&quot;/&gt;&lt;wsp:rsid wsp:val=&quot;002F0F5F&quot;/&gt;&lt;wsp:rsid wsp:val=&quot;002F15AF&quot;/&gt;&lt;wsp:rsid wsp:val=&quot;002F19EE&quot;/&gt;&lt;wsp:rsid wsp:val=&quot;002F20B9&quot;/&gt;&lt;wsp:rsid wsp:val=&quot;002F2116&quot;/&gt;&lt;wsp:rsid wsp:val=&quot;002F2484&quot;/&gt;&lt;wsp:rsid wsp:val=&quot;002F2514&quot;/&gt;&lt;wsp:rsid wsp:val=&quot;002F2631&quot;/&gt;&lt;wsp:rsid wsp:val=&quot;002F2768&quot;/&gt;&lt;wsp:rsid wsp:val=&quot;002F355D&quot;/&gt;&lt;wsp:rsid wsp:val=&quot;002F40CA&quot;/&gt;&lt;wsp:rsid wsp:val=&quot;002F489F&quot;/&gt;&lt;wsp:rsid wsp:val=&quot;002F4BB2&quot;/&gt;&lt;wsp:rsid wsp:val=&quot;002F4FBB&quot;/&gt;&lt;wsp:rsid wsp:val=&quot;002F5357&quot;/&gt;&lt;wsp:rsid wsp:val=&quot;002F5505&quot;/&gt;&lt;wsp:rsid wsp:val=&quot;002F5D60&quot;/&gt;&lt;wsp:rsid wsp:val=&quot;002F6128&quot;/&gt;&lt;wsp:rsid wsp:val=&quot;002F6671&quot;/&gt;&lt;wsp:rsid wsp:val=&quot;002F701E&quot;/&gt;&lt;wsp:rsid wsp:val=&quot;002F7B9D&quot;/&gt;&lt;wsp:rsid wsp:val=&quot;003000B7&quot;/&gt;&lt;wsp:rsid wsp:val=&quot;00300316&quot;/&gt;&lt;wsp:rsid wsp:val=&quot;00300DC8&quot;/&gt;&lt;wsp:rsid wsp:val=&quot;0030129E&quot;/&gt;&lt;wsp:rsid wsp:val=&quot;00301620&quot;/&gt;&lt;wsp:rsid wsp:val=&quot;00301FD5&quot;/&gt;&lt;wsp:rsid wsp:val=&quot;0030237D&quot;/&gt;&lt;wsp:rsid wsp:val=&quot;00302C05&quot;/&gt;&lt;wsp:rsid wsp:val=&quot;00302E06&quot;/&gt;&lt;wsp:rsid wsp:val=&quot;00304169&quot;/&gt;&lt;wsp:rsid wsp:val=&quot;0030434E&quot;/&gt;&lt;wsp:rsid wsp:val=&quot;00304976&quot;/&gt;&lt;wsp:rsid wsp:val=&quot;00304FC6&quot;/&gt;&lt;wsp:rsid wsp:val=&quot;00306E68&quot;/&gt;&lt;wsp:rsid wsp:val=&quot;003077FB&quot;/&gt;&lt;wsp:rsid wsp:val=&quot;003106FC&quot;/&gt;&lt;wsp:rsid wsp:val=&quot;00310A7D&quot;/&gt;&lt;wsp:rsid wsp:val=&quot;00310AEA&quot;/&gt;&lt;wsp:rsid wsp:val=&quot;00312666&quot;/&gt;&lt;wsp:rsid wsp:val=&quot;003131AB&quot;/&gt;&lt;wsp:rsid wsp:val=&quot;00313310&quot;/&gt;&lt;wsp:rsid wsp:val=&quot;003147A1&quot;/&gt;&lt;wsp:rsid wsp:val=&quot;00314CE6&quot;/&gt;&lt;wsp:rsid wsp:val=&quot;00315E33&quot;/&gt;&lt;wsp:rsid wsp:val=&quot;00316F9D&quot;/&gt;&lt;wsp:rsid wsp:val=&quot;003175B2&quot;/&gt;&lt;wsp:rsid wsp:val=&quot;00317ABA&quot;/&gt;&lt;wsp:rsid wsp:val=&quot;00320C44&quot;/&gt;&lt;wsp:rsid wsp:val=&quot;00321100&quot;/&gt;&lt;wsp:rsid wsp:val=&quot;0032207E&quot;/&gt;&lt;wsp:rsid wsp:val=&quot;00323F22&quot;/&gt;&lt;wsp:rsid wsp:val=&quot;00324EAD&quot;/&gt;&lt;wsp:rsid wsp:val=&quot;00325ACE&quot;/&gt;&lt;wsp:rsid wsp:val=&quot;00325C51&quot;/&gt;&lt;wsp:rsid wsp:val=&quot;00325DB6&quot;/&gt;&lt;wsp:rsid wsp:val=&quot;00327547&quot;/&gt;&lt;wsp:rsid wsp:val=&quot;00331CF5&quot;/&gt;&lt;wsp:rsid wsp:val=&quot;00331F66&quot;/&gt;&lt;wsp:rsid wsp:val=&quot;00332029&quot;/&gt;&lt;wsp:rsid wsp:val=&quot;003320E4&quot;/&gt;&lt;wsp:rsid wsp:val=&quot;0033235E&quot;/&gt;&lt;wsp:rsid wsp:val=&quot;00333004&quot;/&gt;&lt;wsp:rsid wsp:val=&quot;00333A22&quot;/&gt;&lt;wsp:rsid wsp:val=&quot;00333F29&quot;/&gt;&lt;wsp:rsid wsp:val=&quot;0033403D&quot;/&gt;&lt;wsp:rsid wsp:val=&quot;00334959&quot;/&gt;&lt;wsp:rsid wsp:val=&quot;00334EB7&quot;/&gt;&lt;wsp:rsid wsp:val=&quot;00334FF5&quot;/&gt;&lt;wsp:rsid wsp:val=&quot;0033577D&quot;/&gt;&lt;wsp:rsid wsp:val=&quot;00335ED3&quot;/&gt;&lt;wsp:rsid wsp:val=&quot;00335F33&quot;/&gt;&lt;wsp:rsid wsp:val=&quot;0033613E&quot;/&gt;&lt;wsp:rsid wsp:val=&quot;0033623A&quot;/&gt;&lt;wsp:rsid wsp:val=&quot;00337289&quot;/&gt;&lt;wsp:rsid wsp:val=&quot;00337D7B&quot;/&gt;&lt;wsp:rsid wsp:val=&quot;00337E7D&quot;/&gt;&lt;wsp:rsid wsp:val=&quot;00340498&quot;/&gt;&lt;wsp:rsid wsp:val=&quot;00340DBF&quot;/&gt;&lt;wsp:rsid wsp:val=&quot;003420E9&quot;/&gt;&lt;wsp:rsid wsp:val=&quot;0034218C&quot;/&gt;&lt;wsp:rsid wsp:val=&quot;00342231&quot;/&gt;&lt;wsp:rsid wsp:val=&quot;0034268E&quot;/&gt;&lt;wsp:rsid wsp:val=&quot;003426EA&quot;/&gt;&lt;wsp:rsid wsp:val=&quot;00342FBC&quot;/&gt;&lt;wsp:rsid wsp:val=&quot;00343589&quot;/&gt;&lt;wsp:rsid wsp:val=&quot;0034527F&quot;/&gt;&lt;wsp:rsid wsp:val=&quot;00345317&quot;/&gt;&lt;wsp:rsid wsp:val=&quot;003479BD&quot;/&gt;&lt;wsp:rsid wsp:val=&quot;00347F70&quot;/&gt;&lt;wsp:rsid wsp:val=&quot;00350947&quot;/&gt;&lt;wsp:rsid wsp:val=&quot;0035108A&quot;/&gt;&lt;wsp:rsid wsp:val=&quot;00351178&quot;/&gt;&lt;wsp:rsid wsp:val=&quot;00351702&quot;/&gt;&lt;wsp:rsid wsp:val=&quot;00351A03&quot;/&gt;&lt;wsp:rsid wsp:val=&quot;003520FE&quot;/&gt;&lt;wsp:rsid wsp:val=&quot;0035267D&quot;/&gt;&lt;wsp:rsid wsp:val=&quot;00352DCC&quot;/&gt;&lt;wsp:rsid wsp:val=&quot;003542BE&quot;/&gt;&lt;wsp:rsid wsp:val=&quot;0035487D&quot;/&gt;&lt;wsp:rsid wsp:val=&quot;003548D6&quot;/&gt;&lt;wsp:rsid wsp:val=&quot;00354E4F&quot;/&gt;&lt;wsp:rsid wsp:val=&quot;00355503&quot;/&gt;&lt;wsp:rsid wsp:val=&quot;00355602&quot;/&gt;&lt;wsp:rsid wsp:val=&quot;00355B8D&quot;/&gt;&lt;wsp:rsid wsp:val=&quot;00356F9F&quot;/&gt;&lt;wsp:rsid wsp:val=&quot;00357E90&quot;/&gt;&lt;wsp:rsid wsp:val=&quot;00360161&quot;/&gt;&lt;wsp:rsid wsp:val=&quot;003603C5&quot;/&gt;&lt;wsp:rsid wsp:val=&quot;0036201C&quot;/&gt;&lt;wsp:rsid wsp:val=&quot;00363B31&quot;/&gt;&lt;wsp:rsid wsp:val=&quot;003646E9&quot;/&gt;&lt;wsp:rsid wsp:val=&quot;00364790&quot;/&gt;&lt;wsp:rsid wsp:val=&quot;00364ED9&quot;/&gt;&lt;wsp:rsid wsp:val=&quot;003659DE&quot;/&gt;&lt;wsp:rsid wsp:val=&quot;00366064&quot;/&gt;&lt;wsp:rsid wsp:val=&quot;0036609D&quot;/&gt;&lt;wsp:rsid wsp:val=&quot;0036614B&quot;/&gt;&lt;wsp:rsid wsp:val=&quot;00366162&quot;/&gt;&lt;wsp:rsid wsp:val=&quot;00366A7B&quot;/&gt;&lt;wsp:rsid wsp:val=&quot;00366DC8&quot;/&gt;&lt;wsp:rsid wsp:val=&quot;00367395&quot;/&gt;&lt;wsp:rsid wsp:val=&quot;00367CC1&quot;/&gt;&lt;wsp:rsid wsp:val=&quot;00367EDD&quot;/&gt;&lt;wsp:rsid wsp:val=&quot;00370382&quot;/&gt;&lt;wsp:rsid wsp:val=&quot;00370EF0&quot;/&gt;&lt;wsp:rsid wsp:val=&quot;00371092&quot;/&gt;&lt;wsp:rsid wsp:val=&quot;003719DB&quot;/&gt;&lt;wsp:rsid wsp:val=&quot;003726AD&quot;/&gt;&lt;wsp:rsid wsp:val=&quot;00372F71&quot;/&gt;&lt;wsp:rsid wsp:val=&quot;00374747&quot;/&gt;&lt;wsp:rsid wsp:val=&quot;003749A2&quot;/&gt;&lt;wsp:rsid wsp:val=&quot;003753DA&quot;/&gt;&lt;wsp:rsid wsp:val=&quot;003760FD&quot;/&gt;&lt;wsp:rsid wsp:val=&quot;0037631E&quot;/&gt;&lt;wsp:rsid wsp:val=&quot;00376707&quot;/&gt;&lt;wsp:rsid wsp:val=&quot;0037774F&quot;/&gt;&lt;wsp:rsid wsp:val=&quot;00377A30&quot;/&gt;&lt;wsp:rsid wsp:val=&quot;00380613&quot;/&gt;&lt;wsp:rsid wsp:val=&quot;0038061C&quot;/&gt;&lt;wsp:rsid wsp:val=&quot;0038082A&quot;/&gt;&lt;wsp:rsid wsp:val=&quot;00380984&quot;/&gt;&lt;wsp:rsid wsp:val=&quot;00380CC0&quot;/&gt;&lt;wsp:rsid wsp:val=&quot;00380D1D&quot;/&gt;&lt;wsp:rsid wsp:val=&quot;003810D2&quot;/&gt;&lt;wsp:rsid wsp:val=&quot;0038118F&quot;/&gt;&lt;wsp:rsid wsp:val=&quot;0038143B&quot;/&gt;&lt;wsp:rsid wsp:val=&quot;00381DDD&quot;/&gt;&lt;wsp:rsid wsp:val=&quot;00383234&quot;/&gt;&lt;wsp:rsid wsp:val=&quot;0038325A&quot;/&gt;&lt;wsp:rsid wsp:val=&quot;00383993&quot;/&gt;&lt;wsp:rsid wsp:val=&quot;00383C91&quot;/&gt;&lt;wsp:rsid wsp:val=&quot;0038425B&quot;/&gt;&lt;wsp:rsid wsp:val=&quot;00384286&quot;/&gt;&lt;wsp:rsid wsp:val=&quot;003852CA&quot;/&gt;&lt;wsp:rsid wsp:val=&quot;00385880&quot;/&gt;&lt;wsp:rsid wsp:val=&quot;00386A3F&quot;/&gt;&lt;wsp:rsid wsp:val=&quot;00386CA0&quot;/&gt;&lt;wsp:rsid wsp:val=&quot;00386CE0&quot;/&gt;&lt;wsp:rsid wsp:val=&quot;00386D5B&quot;/&gt;&lt;wsp:rsid wsp:val=&quot;00390CFB&quot;/&gt;&lt;wsp:rsid wsp:val=&quot;00390FCA&quot;/&gt;&lt;wsp:rsid wsp:val=&quot;00391A33&quot;/&gt;&lt;wsp:rsid wsp:val=&quot;00391E81&quot;/&gt;&lt;wsp:rsid wsp:val=&quot;00394157&quot;/&gt;&lt;wsp:rsid wsp:val=&quot;003949D5&quot;/&gt;&lt;wsp:rsid wsp:val=&quot;00394BDE&quot;/&gt;&lt;wsp:rsid wsp:val=&quot;00395DC8&quot;/&gt;&lt;wsp:rsid wsp:val=&quot;00396464&quot;/&gt;&lt;wsp:rsid wsp:val=&quot;00396B80&quot;/&gt;&lt;wsp:rsid wsp:val=&quot;0039795E&quot;/&gt;&lt;wsp:rsid wsp:val=&quot;0039799A&quot;/&gt;&lt;wsp:rsid wsp:val=&quot;00397B9B&quot;/&gt;&lt;wsp:rsid wsp:val=&quot;003A258A&quot;/&gt;&lt;wsp:rsid wsp:val=&quot;003A431D&quot;/&gt;&lt;wsp:rsid wsp:val=&quot;003A434D&quot;/&gt;&lt;wsp:rsid wsp:val=&quot;003A492F&quot;/&gt;&lt;wsp:rsid wsp:val=&quot;003A4CB4&quot;/&gt;&lt;wsp:rsid wsp:val=&quot;003A5080&quot;/&gt;&lt;wsp:rsid wsp:val=&quot;003A5C74&quot;/&gt;&lt;wsp:rsid wsp:val=&quot;003A5F53&quot;/&gt;&lt;wsp:rsid wsp:val=&quot;003A63B7&quot;/&gt;&lt;wsp:rsid wsp:val=&quot;003A65AF&quot;/&gt;&lt;wsp:rsid wsp:val=&quot;003A6B17&quot;/&gt;&lt;wsp:rsid wsp:val=&quot;003A6E1F&quot;/&gt;&lt;wsp:rsid wsp:val=&quot;003A7741&quot;/&gt;&lt;wsp:rsid wsp:val=&quot;003B017E&quot;/&gt;&lt;wsp:rsid wsp:val=&quot;003B0863&quot;/&gt;&lt;wsp:rsid wsp:val=&quot;003B1483&quot;/&gt;&lt;wsp:rsid wsp:val=&quot;003B24A3&quot;/&gt;&lt;wsp:rsid wsp:val=&quot;003B2E60&quot;/&gt;&lt;wsp:rsid wsp:val=&quot;003B37AE&quot;/&gt;&lt;wsp:rsid wsp:val=&quot;003B385F&quot;/&gt;&lt;wsp:rsid wsp:val=&quot;003B3A68&quot;/&gt;&lt;wsp:rsid wsp:val=&quot;003B3D42&quot;/&gt;&lt;wsp:rsid wsp:val=&quot;003B3E22&quot;/&gt;&lt;wsp:rsid wsp:val=&quot;003B4618&quot;/&gt;&lt;wsp:rsid wsp:val=&quot;003B4DBF&quot;/&gt;&lt;wsp:rsid wsp:val=&quot;003B4EE0&quot;/&gt;&lt;wsp:rsid wsp:val=&quot;003B63B7&quot;/&gt;&lt;wsp:rsid wsp:val=&quot;003B7C9B&quot;/&gt;&lt;wsp:rsid wsp:val=&quot;003C011A&quot;/&gt;&lt;wsp:rsid wsp:val=&quot;003C0292&quot;/&gt;&lt;wsp:rsid wsp:val=&quot;003C0316&quot;/&gt;&lt;wsp:rsid wsp:val=&quot;003C0C05&quot;/&gt;&lt;wsp:rsid wsp:val=&quot;003C0C49&quot;/&gt;&lt;wsp:rsid wsp:val=&quot;003C128E&quot;/&gt;&lt;wsp:rsid wsp:val=&quot;003C2275&quot;/&gt;&lt;wsp:rsid wsp:val=&quot;003C301E&quot;/&gt;&lt;wsp:rsid wsp:val=&quot;003C53CA&quot;/&gt;&lt;wsp:rsid wsp:val=&quot;003C54F6&quot;/&gt;&lt;wsp:rsid wsp:val=&quot;003C587D&quot;/&gt;&lt;wsp:rsid wsp:val=&quot;003C5AAD&quot;/&gt;&lt;wsp:rsid wsp:val=&quot;003C5AF5&quot;/&gt;&lt;wsp:rsid wsp:val=&quot;003C60E1&quot;/&gt;&lt;wsp:rsid wsp:val=&quot;003C65E8&quot;/&gt;&lt;wsp:rsid wsp:val=&quot;003C6739&quot;/&gt;&lt;wsp:rsid wsp:val=&quot;003C7CF3&quot;/&gt;&lt;wsp:rsid wsp:val=&quot;003C7D37&quot;/&gt;&lt;wsp:rsid wsp:val=&quot;003C7ED8&quot;/&gt;&lt;wsp:rsid wsp:val=&quot;003D128F&quot;/&gt;&lt;wsp:rsid wsp:val=&quot;003D1FAD&quot;/&gt;&lt;wsp:rsid wsp:val=&quot;003D2329&quot;/&gt;&lt;wsp:rsid wsp:val=&quot;003D3170&quot;/&gt;&lt;wsp:rsid wsp:val=&quot;003D3241&quot;/&gt;&lt;wsp:rsid wsp:val=&quot;003D3FC2&quot;/&gt;&lt;wsp:rsid wsp:val=&quot;003D45B5&quot;/&gt;&lt;wsp:rsid wsp:val=&quot;003D6B4C&quot;/&gt;&lt;wsp:rsid wsp:val=&quot;003D6E10&quot;/&gt;&lt;wsp:rsid wsp:val=&quot;003E0997&quot;/&gt;&lt;wsp:rsid wsp:val=&quot;003E107C&quot;/&gt;&lt;wsp:rsid wsp:val=&quot;003E11C4&quot;/&gt;&lt;wsp:rsid wsp:val=&quot;003E1259&quot;/&gt;&lt;wsp:rsid wsp:val=&quot;003E167B&quot;/&gt;&lt;wsp:rsid wsp:val=&quot;003E1B5E&quot;/&gt;&lt;wsp:rsid wsp:val=&quot;003E2723&quot;/&gt;&lt;wsp:rsid wsp:val=&quot;003E2E9F&quot;/&gt;&lt;wsp:rsid wsp:val=&quot;003E2EF4&quot;/&gt;&lt;wsp:rsid wsp:val=&quot;003E3601&quot;/&gt;&lt;wsp:rsid wsp:val=&quot;003E3702&quot;/&gt;&lt;wsp:rsid wsp:val=&quot;003E38B4&quot;/&gt;&lt;wsp:rsid wsp:val=&quot;003E3EED&quot;/&gt;&lt;wsp:rsid wsp:val=&quot;003E4495&quot;/&gt;&lt;wsp:rsid wsp:val=&quot;003E515B&quot;/&gt;&lt;wsp:rsid wsp:val=&quot;003E5355&quot;/&gt;&lt;wsp:rsid wsp:val=&quot;003E5DA7&quot;/&gt;&lt;wsp:rsid wsp:val=&quot;003E6D4C&quot;/&gt;&lt;wsp:rsid wsp:val=&quot;003E6D88&quot;/&gt;&lt;wsp:rsid wsp:val=&quot;003E7747&quot;/&gt;&lt;wsp:rsid wsp:val=&quot;003F0047&quot;/&gt;&lt;wsp:rsid wsp:val=&quot;003F0C0F&quot;/&gt;&lt;wsp:rsid wsp:val=&quot;003F1330&quot;/&gt;&lt;wsp:rsid wsp:val=&quot;003F1B60&quot;/&gt;&lt;wsp:rsid wsp:val=&quot;003F1BB3&quot;/&gt;&lt;wsp:rsid wsp:val=&quot;003F1EE7&quot;/&gt;&lt;wsp:rsid wsp:val=&quot;003F3B82&quot;/&gt;&lt;wsp:rsid wsp:val=&quot;003F4404&quot;/&gt;&lt;wsp:rsid wsp:val=&quot;003F4666&quot;/&gt;&lt;wsp:rsid wsp:val=&quot;003F65AD&quot;/&gt;&lt;wsp:rsid wsp:val=&quot;004001A3&quot;/&gt;&lt;wsp:rsid wsp:val=&quot;00400281&quot;/&gt;&lt;wsp:rsid wsp:val=&quot;00400508&quot;/&gt;&lt;wsp:rsid wsp:val=&quot;004006B5&quot;/&gt;&lt;wsp:rsid wsp:val=&quot;00400874&quot;/&gt;&lt;wsp:rsid wsp:val=&quot;00400D75&quot;/&gt;&lt;wsp:rsid wsp:val=&quot;00400FAD&quot;/&gt;&lt;wsp:rsid wsp:val=&quot;004010BC&quot;/&gt;&lt;wsp:rsid wsp:val=&quot;00401BA8&quot;/&gt;&lt;wsp:rsid wsp:val=&quot;00403491&quot;/&gt;&lt;wsp:rsid wsp:val=&quot;00403CED&quot;/&gt;&lt;wsp:rsid wsp:val=&quot;004059C4&quot;/&gt;&lt;wsp:rsid wsp:val=&quot;00407EAE&quot;/&gt;&lt;wsp:rsid wsp:val=&quot;00410007&quot;/&gt;&lt;wsp:rsid wsp:val=&quot;00410969&quot;/&gt;&lt;wsp:rsid wsp:val=&quot;00411786&quot;/&gt;&lt;wsp:rsid wsp:val=&quot;00411A01&quot;/&gt;&lt;wsp:rsid wsp:val=&quot;0041370D&quot;/&gt;&lt;wsp:rsid wsp:val=&quot;00413C76&quot;/&gt;&lt;wsp:rsid wsp:val=&quot;00413D99&quot;/&gt;&lt;wsp:rsid wsp:val=&quot;004146A4&quot;/&gt;&lt;wsp:rsid wsp:val=&quot;004148C9&quot;/&gt;&lt;wsp:rsid wsp:val=&quot;00415148&quot;/&gt;&lt;wsp:rsid wsp:val=&quot;004161B0&quot;/&gt;&lt;wsp:rsid wsp:val=&quot;0041666B&quot;/&gt;&lt;wsp:rsid wsp:val=&quot;0041712F&quot;/&gt;&lt;wsp:rsid wsp:val=&quot;0041776A&quot;/&gt;&lt;wsp:rsid wsp:val=&quot;00420F62&quot;/&gt;&lt;wsp:rsid wsp:val=&quot;00422492&quot;/&gt;&lt;wsp:rsid wsp:val=&quot;004224A7&quot;/&gt;&lt;wsp:rsid wsp:val=&quot;00422DF6&quot;/&gt;&lt;wsp:rsid wsp:val=&quot;004231D0&quot;/&gt;&lt;wsp:rsid wsp:val=&quot;00423BE1&quot;/&gt;&lt;wsp:rsid wsp:val=&quot;00423E6D&quot;/&gt;&lt;wsp:rsid wsp:val=&quot;00424D05&quot;/&gt;&lt;wsp:rsid wsp:val=&quot;00424D2D&quot;/&gt;&lt;wsp:rsid wsp:val=&quot;00425C27&quot;/&gt;&lt;wsp:rsid wsp:val=&quot;00426577&quot;/&gt;&lt;wsp:rsid wsp:val=&quot;00426703&quot;/&gt;&lt;wsp:rsid wsp:val=&quot;00427DD7&quot;/&gt;&lt;wsp:rsid wsp:val=&quot;0043015E&quot;/&gt;&lt;wsp:rsid wsp:val=&quot;00431116&quot;/&gt;&lt;wsp:rsid wsp:val=&quot;0043169F&quot;/&gt;&lt;wsp:rsid wsp:val=&quot;004330F9&quot;/&gt;&lt;wsp:rsid wsp:val=&quot;004341B3&quot;/&gt;&lt;wsp:rsid wsp:val=&quot;0043436B&quot;/&gt;&lt;wsp:rsid wsp:val=&quot;004348C7&quot;/&gt;&lt;wsp:rsid wsp:val=&quot;00434AB5&quot;/&gt;&lt;wsp:rsid wsp:val=&quot;004351C5&quot;/&gt;&lt;wsp:rsid wsp:val=&quot;00435418&quot;/&gt;&lt;wsp:rsid wsp:val=&quot;00435B12&quot;/&gt;&lt;wsp:rsid wsp:val=&quot;00435DEF&quot;/&gt;&lt;wsp:rsid wsp:val=&quot;00435F2C&quot;/&gt;&lt;wsp:rsid wsp:val=&quot;00436445&quot;/&gt;&lt;wsp:rsid wsp:val=&quot;0043712A&quot;/&gt;&lt;wsp:rsid wsp:val=&quot;004407EC&quot;/&gt;&lt;wsp:rsid wsp:val=&quot;004413C3&quot;/&gt;&lt;wsp:rsid wsp:val=&quot;00441690&quot;/&gt;&lt;wsp:rsid wsp:val=&quot;004419DD&quot;/&gt;&lt;wsp:rsid wsp:val=&quot;00441F4B&quot;/&gt;&lt;wsp:rsid wsp:val=&quot;00442310&quot;/&gt;&lt;wsp:rsid wsp:val=&quot;004430BD&quot;/&gt;&lt;wsp:rsid wsp:val=&quot;0044392B&quot;/&gt;&lt;wsp:rsid wsp:val=&quot;00443D51&quot;/&gt;&lt;wsp:rsid wsp:val=&quot;0044436D&quot;/&gt;&lt;wsp:rsid wsp:val=&quot;00445E7F&quot;/&gt;&lt;wsp:rsid wsp:val=&quot;00446DF5&quot;/&gt;&lt;wsp:rsid wsp:val=&quot;00447589&quot;/&gt;&lt;wsp:rsid wsp:val=&quot;00447EDA&quot;/&gt;&lt;wsp:rsid wsp:val=&quot;004504D6&quot;/&gt;&lt;wsp:rsid wsp:val=&quot;0045071A&quot;/&gt;&lt;wsp:rsid wsp:val=&quot;00450BDC&quot;/&gt;&lt;wsp:rsid wsp:val=&quot;0045235D&quot;/&gt;&lt;wsp:rsid wsp:val=&quot;004529E5&quot;/&gt;&lt;wsp:rsid wsp:val=&quot;00452A44&quot;/&gt;&lt;wsp:rsid wsp:val=&quot;00452DB5&quot;/&gt;&lt;wsp:rsid wsp:val=&quot;0045367A&quot;/&gt;&lt;wsp:rsid wsp:val=&quot;004538F9&quot;/&gt;&lt;wsp:rsid wsp:val=&quot;004559A8&quot;/&gt;&lt;wsp:rsid wsp:val=&quot;004562C7&quot;/&gt;&lt;wsp:rsid wsp:val=&quot;00456A09&quot;/&gt;&lt;wsp:rsid wsp:val=&quot;0046142D&quot;/&gt;&lt;wsp:rsid wsp:val=&quot;00461499&quot;/&gt;&lt;wsp:rsid wsp:val=&quot;0046150B&quot;/&gt;&lt;wsp:rsid wsp:val=&quot;004624E9&quot;/&gt;&lt;wsp:rsid wsp:val=&quot;004626BB&quot;/&gt;&lt;wsp:rsid wsp:val=&quot;00462ADA&quot;/&gt;&lt;wsp:rsid wsp:val=&quot;00462D75&quot;/&gt;&lt;wsp:rsid wsp:val=&quot;00463787&quot;/&gt;&lt;wsp:rsid wsp:val=&quot;00463982&quot;/&gt;&lt;wsp:rsid wsp:val=&quot;00463A0B&quot;/&gt;&lt;wsp:rsid wsp:val=&quot;0046486A&quot;/&gt;&lt;wsp:rsid wsp:val=&quot;00464984&quot;/&gt;&lt;wsp:rsid wsp:val=&quot;00464AEA&quot;/&gt;&lt;wsp:rsid wsp:val=&quot;004657E9&quot;/&gt;&lt;wsp:rsid wsp:val=&quot;004660E7&quot;/&gt;&lt;wsp:rsid wsp:val=&quot;00466E79&quot;/&gt;&lt;wsp:rsid wsp:val=&quot;0046713F&quot;/&gt;&lt;wsp:rsid wsp:val=&quot;004671C1&quot;/&gt;&lt;wsp:rsid wsp:val=&quot;004700B1&quot;/&gt;&lt;wsp:rsid wsp:val=&quot;004712E5&quot;/&gt;&lt;wsp:rsid wsp:val=&quot;004712F7&quot;/&gt;&lt;wsp:rsid wsp:val=&quot;00471A0C&quot;/&gt;&lt;wsp:rsid wsp:val=&quot;00471D18&quot;/&gt;&lt;wsp:rsid wsp:val=&quot;0047244E&quot;/&gt;&lt;wsp:rsid wsp:val=&quot;0047327D&quot;/&gt;&lt;wsp:rsid wsp:val=&quot;004733E7&quot;/&gt;&lt;wsp:rsid wsp:val=&quot;00473665&quot;/&gt;&lt;wsp:rsid wsp:val=&quot;004743D3&quot;/&gt;&lt;wsp:rsid wsp:val=&quot;0047478A&quot;/&gt;&lt;wsp:rsid wsp:val=&quot;00474F84&quot;/&gt;&lt;wsp:rsid wsp:val=&quot;00475299&quot;/&gt;&lt;wsp:rsid wsp:val=&quot;00475541&quot;/&gt;&lt;wsp:rsid wsp:val=&quot;004758B4&quot;/&gt;&lt;wsp:rsid wsp:val=&quot;0047704F&quot;/&gt;&lt;wsp:rsid wsp:val=&quot;004772DB&quot;/&gt;&lt;wsp:rsid wsp:val=&quot;00477D70&quot;/&gt;&lt;wsp:rsid wsp:val=&quot;00480185&quot;/&gt;&lt;wsp:rsid wsp:val=&quot;00480BC5&quot;/&gt;&lt;wsp:rsid wsp:val=&quot;004819E4&quot;/&gt;&lt;wsp:rsid wsp:val=&quot;004822AE&quot;/&gt;&lt;wsp:rsid wsp:val=&quot;00482BB7&quot;/&gt;&lt;wsp:rsid wsp:val=&quot;0048423C&quot;/&gt;&lt;wsp:rsid wsp:val=&quot;004843FB&quot;/&gt;&lt;wsp:rsid wsp:val=&quot;00484B1B&quot;/&gt;&lt;wsp:rsid wsp:val=&quot;00485046&quot;/&gt;&lt;wsp:rsid wsp:val=&quot;004857DF&quot;/&gt;&lt;wsp:rsid wsp:val=&quot;00485B8F&quot;/&gt;&lt;wsp:rsid wsp:val=&quot;004863CF&quot;/&gt;&lt;wsp:rsid wsp:val=&quot;00487511&quot;/&gt;&lt;wsp:rsid wsp:val=&quot;00490439&quot;/&gt;&lt;wsp:rsid wsp:val=&quot;0049062C&quot;/&gt;&lt;wsp:rsid wsp:val=&quot;004908CA&quot;/&gt;&lt;wsp:rsid wsp:val=&quot;00490E55&quot;/&gt;&lt;wsp:rsid wsp:val=&quot;00492363&quot;/&gt;&lt;wsp:rsid wsp:val=&quot;004928C7&quot;/&gt;&lt;wsp:rsid wsp:val=&quot;00494A19&quot;/&gt;&lt;wsp:rsid wsp:val=&quot;00494C06&quot;/&gt;&lt;wsp:rsid wsp:val=&quot;00494C70&quot;/&gt;&lt;wsp:rsid wsp:val=&quot;00495B5A&quot;/&gt;&lt;wsp:rsid wsp:val=&quot;00497719&quot;/&gt;&lt;wsp:rsid wsp:val=&quot;00497B5E&quot;/&gt;&lt;wsp:rsid wsp:val=&quot;00497D92&quot;/&gt;&lt;wsp:rsid wsp:val=&quot;004A0992&quot;/&gt;&lt;wsp:rsid wsp:val=&quot;004A1B00&quot;/&gt;&lt;wsp:rsid wsp:val=&quot;004A2153&quot;/&gt;&lt;wsp:rsid wsp:val=&quot;004A28C4&quot;/&gt;&lt;wsp:rsid wsp:val=&quot;004A2FEB&quot;/&gt;&lt;wsp:rsid wsp:val=&quot;004A3AD6&quot;/&gt;&lt;wsp:rsid wsp:val=&quot;004A3CBC&quot;/&gt;&lt;wsp:rsid wsp:val=&quot;004A43FE&quot;/&gt;&lt;wsp:rsid wsp:val=&quot;004A44EF&quot;/&gt;&lt;wsp:rsid wsp:val=&quot;004A47E1&quot;/&gt;&lt;wsp:rsid wsp:val=&quot;004A49CE&quot;/&gt;&lt;wsp:rsid wsp:val=&quot;004A515F&quot;/&gt;&lt;wsp:rsid wsp:val=&quot;004A5706&quot;/&gt;&lt;wsp:rsid wsp:val=&quot;004A5A0F&quot;/&gt;&lt;wsp:rsid wsp:val=&quot;004A60F5&quot;/&gt;&lt;wsp:rsid wsp:val=&quot;004A62EA&quot;/&gt;&lt;wsp:rsid wsp:val=&quot;004A65C2&quot;/&gt;&lt;wsp:rsid wsp:val=&quot;004A6B24&quot;/&gt;&lt;wsp:rsid wsp:val=&quot;004A6BA7&quot;/&gt;&lt;wsp:rsid wsp:val=&quot;004A7E9C&quot;/&gt;&lt;wsp:rsid wsp:val=&quot;004B12F0&quot;/&gt;&lt;wsp:rsid wsp:val=&quot;004B1308&quot;/&gt;&lt;wsp:rsid wsp:val=&quot;004B2A96&quot;/&gt;&lt;wsp:rsid wsp:val=&quot;004B2FE0&quot;/&gt;&lt;wsp:rsid wsp:val=&quot;004B3572&quot;/&gt;&lt;wsp:rsid wsp:val=&quot;004B3799&quot;/&gt;&lt;wsp:rsid wsp:val=&quot;004B3ED9&quot;/&gt;&lt;wsp:rsid wsp:val=&quot;004B47FF&quot;/&gt;&lt;wsp:rsid wsp:val=&quot;004B6A21&quot;/&gt;&lt;wsp:rsid wsp:val=&quot;004B6CF4&quot;/&gt;&lt;wsp:rsid wsp:val=&quot;004B750D&quot;/&gt;&lt;wsp:rsid wsp:val=&quot;004C00AE&quot;/&gt;&lt;wsp:rsid wsp:val=&quot;004C1095&quot;/&gt;&lt;wsp:rsid wsp:val=&quot;004C1371&quot;/&gt;&lt;wsp:rsid wsp:val=&quot;004C13C3&quot;/&gt;&lt;wsp:rsid wsp:val=&quot;004C1F38&quot;/&gt;&lt;wsp:rsid wsp:val=&quot;004C2217&quot;/&gt;&lt;wsp:rsid wsp:val=&quot;004C3502&quot;/&gt;&lt;wsp:rsid wsp:val=&quot;004C4231&quot;/&gt;&lt;wsp:rsid wsp:val=&quot;004C4712&quot;/&gt;&lt;wsp:rsid wsp:val=&quot;004C4C52&quot;/&gt;&lt;wsp:rsid wsp:val=&quot;004C4D60&quot;/&gt;&lt;wsp:rsid wsp:val=&quot;004C4D89&quot;/&gt;&lt;wsp:rsid wsp:val=&quot;004C4F2A&quot;/&gt;&lt;wsp:rsid wsp:val=&quot;004C593D&quot;/&gt;&lt;wsp:rsid wsp:val=&quot;004C66BB&quot;/&gt;&lt;wsp:rsid wsp:val=&quot;004C6701&quot;/&gt;&lt;wsp:rsid wsp:val=&quot;004D0799&quot;/&gt;&lt;wsp:rsid wsp:val=&quot;004D16F7&quot;/&gt;&lt;wsp:rsid wsp:val=&quot;004D1AED&quot;/&gt;&lt;wsp:rsid wsp:val=&quot;004D1BF8&quot;/&gt;&lt;wsp:rsid wsp:val=&quot;004D25F5&quot;/&gt;&lt;wsp:rsid wsp:val=&quot;004D2CF0&quot;/&gt;&lt;wsp:rsid wsp:val=&quot;004D32D9&quot;/&gt;&lt;wsp:rsid wsp:val=&quot;004D38F5&quot;/&gt;&lt;wsp:rsid wsp:val=&quot;004D3D34&quot;/&gt;&lt;wsp:rsid wsp:val=&quot;004D4CD1&quot;/&gt;&lt;wsp:rsid wsp:val=&quot;004D4D25&quot;/&gt;&lt;wsp:rsid wsp:val=&quot;004D4D4B&quot;/&gt;&lt;wsp:rsid wsp:val=&quot;004D572D&quot;/&gt;&lt;wsp:rsid wsp:val=&quot;004D597D&quot;/&gt;&lt;wsp:rsid wsp:val=&quot;004D5A77&quot;/&gt;&lt;wsp:rsid wsp:val=&quot;004D64F8&quot;/&gt;&lt;wsp:rsid wsp:val=&quot;004D688A&quot;/&gt;&lt;wsp:rsid wsp:val=&quot;004D6A07&quot;/&gt;&lt;wsp:rsid wsp:val=&quot;004D6D17&quot;/&gt;&lt;wsp:rsid wsp:val=&quot;004D7014&quot;/&gt;&lt;wsp:rsid wsp:val=&quot;004D70DF&quot;/&gt;&lt;wsp:rsid wsp:val=&quot;004D731B&quot;/&gt;&lt;wsp:rsid wsp:val=&quot;004D734A&quot;/&gt;&lt;wsp:rsid wsp:val=&quot;004D7A5A&quot;/&gt;&lt;wsp:rsid wsp:val=&quot;004D7D37&quot;/&gt;&lt;wsp:rsid wsp:val=&quot;004E117E&quot;/&gt;&lt;wsp:rsid wsp:val=&quot;004E175C&quot;/&gt;&lt;wsp:rsid wsp:val=&quot;004E2358&quot;/&gt;&lt;wsp:rsid wsp:val=&quot;004E2A4A&quot;/&gt;&lt;wsp:rsid wsp:val=&quot;004E2F6A&quot;/&gt;&lt;wsp:rsid wsp:val=&quot;004E3CA9&quot;/&gt;&lt;wsp:rsid wsp:val=&quot;004E4106&quot;/&gt;&lt;wsp:rsid wsp:val=&quot;004E4438&quot;/&gt;&lt;wsp:rsid wsp:val=&quot;004E45B1&quot;/&gt;&lt;wsp:rsid wsp:val=&quot;004E5748&quot;/&gt;&lt;wsp:rsid wsp:val=&quot;004E5994&quot;/&gt;&lt;wsp:rsid wsp:val=&quot;004E69BC&quot;/&gt;&lt;wsp:rsid wsp:val=&quot;004E722D&quot;/&gt;&lt;wsp:rsid wsp:val=&quot;004E770B&quot;/&gt;&lt;wsp:rsid wsp:val=&quot;004E7A69&quot;/&gt;&lt;wsp:rsid wsp:val=&quot;004F046D&quot;/&gt;&lt;wsp:rsid wsp:val=&quot;004F0AD7&quot;/&gt;&lt;wsp:rsid wsp:val=&quot;004F0F89&quot;/&gt;&lt;wsp:rsid wsp:val=&quot;004F1A03&quot;/&gt;&lt;wsp:rsid wsp:val=&quot;004F2053&quot;/&gt;&lt;wsp:rsid wsp:val=&quot;004F2A50&quot;/&gt;&lt;wsp:rsid wsp:val=&quot;004F3779&quot;/&gt;&lt;wsp:rsid wsp:val=&quot;004F3948&quot;/&gt;&lt;wsp:rsid wsp:val=&quot;004F3B3D&quot;/&gt;&lt;wsp:rsid wsp:val=&quot;004F472C&quot;/&gt;&lt;wsp:rsid wsp:val=&quot;004F5390&quot;/&gt;&lt;wsp:rsid wsp:val=&quot;004F6445&quot;/&gt;&lt;wsp:rsid wsp:val=&quot;004F6F62&quot;/&gt;&lt;wsp:rsid wsp:val=&quot;004F7376&quot;/&gt;&lt;wsp:rsid wsp:val=&quot;004F78AA&quot;/&gt;&lt;wsp:rsid wsp:val=&quot;004F7DA5&quot;/&gt;&lt;wsp:rsid wsp:val=&quot;005000F8&quot;/&gt;&lt;wsp:rsid wsp:val=&quot;00500925&quot;/&gt;&lt;wsp:rsid wsp:val=&quot;00501E85&quot;/&gt;&lt;wsp:rsid wsp:val=&quot;005023B7&quot;/&gt;&lt;wsp:rsid wsp:val=&quot;00502893&quot;/&gt;&lt;wsp:rsid wsp:val=&quot;00502B3F&quot;/&gt;&lt;wsp:rsid wsp:val=&quot;00504938&quot;/&gt;&lt;wsp:rsid wsp:val=&quot;00505D8E&quot;/&gt;&lt;wsp:rsid wsp:val=&quot;00506097&quot;/&gt;&lt;wsp:rsid wsp:val=&quot;00507221&quot;/&gt;&lt;wsp:rsid wsp:val=&quot;005072FE&quot;/&gt;&lt;wsp:rsid wsp:val=&quot;0050735E&quot;/&gt;&lt;wsp:rsid wsp:val=&quot;00507AFE&quot;/&gt;&lt;wsp:rsid wsp:val=&quot;00510CDE&quot;/&gt;&lt;wsp:rsid wsp:val=&quot;005113D1&quot;/&gt;&lt;wsp:rsid wsp:val=&quot;00512431&quot;/&gt;&lt;wsp:rsid wsp:val=&quot;005131A6&quot;/&gt;&lt;wsp:rsid wsp:val=&quot;00513728&quot;/&gt;&lt;wsp:rsid wsp:val=&quot;005139F8&quot;/&gt;&lt;wsp:rsid wsp:val=&quot;00513D1F&quot;/&gt;&lt;wsp:rsid wsp:val=&quot;00514E4E&quot;/&gt;&lt;wsp:rsid wsp:val=&quot;00514F0E&quot;/&gt;&lt;wsp:rsid wsp:val=&quot;005152D1&quot;/&gt;&lt;wsp:rsid wsp:val=&quot;005154AD&quot;/&gt;&lt;wsp:rsid wsp:val=&quot;0051554C&quot;/&gt;&lt;wsp:rsid wsp:val=&quot;005162E4&quot;/&gt;&lt;wsp:rsid wsp:val=&quot;0051634C&quot;/&gt;&lt;wsp:rsid wsp:val=&quot;005163E9&quot;/&gt;&lt;wsp:rsid wsp:val=&quot;005167EC&quot;/&gt;&lt;wsp:rsid wsp:val=&quot;00517637&quot;/&gt;&lt;wsp:rsid wsp:val=&quot;005201DF&quot;/&gt;&lt;wsp:rsid wsp:val=&quot;005207BB&quot;/&gt;&lt;wsp:rsid wsp:val=&quot;00520E4C&quot;/&gt;&lt;wsp:rsid wsp:val=&quot;00521D8A&quot;/&gt;&lt;wsp:rsid wsp:val=&quot;00521E2E&quot;/&gt;&lt;wsp:rsid wsp:val=&quot;00522226&quot;/&gt;&lt;wsp:rsid wsp:val=&quot;005225A6&quot;/&gt;&lt;wsp:rsid wsp:val=&quot;005225E2&quot;/&gt;&lt;wsp:rsid wsp:val=&quot;00522839&quot;/&gt;&lt;wsp:rsid wsp:val=&quot;00522978&quot;/&gt;&lt;wsp:rsid wsp:val=&quot;00522E51&quot;/&gt;&lt;wsp:rsid wsp:val=&quot;005244F1&quot;/&gt;&lt;wsp:rsid wsp:val=&quot;005246C2&quot;/&gt;&lt;wsp:rsid wsp:val=&quot;00524C53&quot;/&gt;&lt;wsp:rsid wsp:val=&quot;00524E78&quot;/&gt;&lt;wsp:rsid wsp:val=&quot;00525DB6&quot;/&gt;&lt;wsp:rsid wsp:val=&quot;005264BD&quot;/&gt;&lt;wsp:rsid wsp:val=&quot;00526D7B&quot;/&gt;&lt;wsp:rsid wsp:val=&quot;00526EA9&quot;/&gt;&lt;wsp:rsid wsp:val=&quot;00527D69&quot;/&gt;&lt;wsp:rsid wsp:val=&quot;00531723&quot;/&gt;&lt;wsp:rsid wsp:val=&quot;00531C03&quot;/&gt;&lt;wsp:rsid wsp:val=&quot;00531C44&quot;/&gt;&lt;wsp:rsid wsp:val=&quot;00531FBE&quot;/&gt;&lt;wsp:rsid wsp:val=&quot;00532D40&quot;/&gt;&lt;wsp:rsid wsp:val=&quot;00533130&quot;/&gt;&lt;wsp:rsid wsp:val=&quot;00533F78&quot;/&gt;&lt;wsp:rsid wsp:val=&quot;0053469C&quot;/&gt;&lt;wsp:rsid wsp:val=&quot;005348CD&quot;/&gt;&lt;wsp:rsid wsp:val=&quot;0053497D&quot;/&gt;&lt;wsp:rsid wsp:val=&quot;005354D9&quot;/&gt;&lt;wsp:rsid wsp:val=&quot;00536331&quot;/&gt;&lt;wsp:rsid wsp:val=&quot;00540042&quot;/&gt;&lt;wsp:rsid wsp:val=&quot;0054082E&quot;/&gt;&lt;wsp:rsid wsp:val=&quot;00540A6C&quot;/&gt;&lt;wsp:rsid wsp:val=&quot;00540DC0&quot;/&gt;&lt;wsp:rsid wsp:val=&quot;00541C7D&quot;/&gt;&lt;wsp:rsid wsp:val=&quot;005420A8&quot;/&gt;&lt;wsp:rsid wsp:val=&quot;00542897&quot;/&gt;&lt;wsp:rsid wsp:val=&quot;0054333B&quot;/&gt;&lt;wsp:rsid wsp:val=&quot;00543EF0&quot;/&gt;&lt;wsp:rsid wsp:val=&quot;0054598A&quot;/&gt;&lt;wsp:rsid wsp:val=&quot;00545A40&quot;/&gt;&lt;wsp:rsid wsp:val=&quot;0054635A&quot;/&gt;&lt;wsp:rsid wsp:val=&quot;00547234&quot;/&gt;&lt;wsp:rsid wsp:val=&quot;00550751&quot;/&gt;&lt;wsp:rsid wsp:val=&quot;005511D5&quot;/&gt;&lt;wsp:rsid wsp:val=&quot;005526BC&quot;/&gt;&lt;wsp:rsid wsp:val=&quot;00552780&quot;/&gt;&lt;wsp:rsid wsp:val=&quot;0055310D&quot;/&gt;&lt;wsp:rsid wsp:val=&quot;00554295&quot;/&gt;&lt;wsp:rsid wsp:val=&quot;00554B90&quot;/&gt;&lt;wsp:rsid wsp:val=&quot;0055594B&quot;/&gt;&lt;wsp:rsid wsp:val=&quot;00555B46&quot;/&gt;&lt;wsp:rsid wsp:val=&quot;00555C86&quot;/&gt;&lt;wsp:rsid wsp:val=&quot;005570E4&quot;/&gt;&lt;wsp:rsid wsp:val=&quot;00557F22&quot;/&gt;&lt;wsp:rsid wsp:val=&quot;00560013&quot;/&gt;&lt;wsp:rsid wsp:val=&quot;0056008D&quot;/&gt;&lt;wsp:rsid wsp:val=&quot;0056031B&quot;/&gt;&lt;wsp:rsid wsp:val=&quot;005605D2&quot;/&gt;&lt;wsp:rsid wsp:val=&quot;00560AC5&quot;/&gt;&lt;wsp:rsid wsp:val=&quot;00560E24&quot;/&gt;&lt;wsp:rsid wsp:val=&quot;00561435&quot;/&gt;&lt;wsp:rsid wsp:val=&quot;00563177&quot;/&gt;&lt;wsp:rsid wsp:val=&quot;00563E7E&quot;/&gt;&lt;wsp:rsid wsp:val=&quot;00564A31&quot;/&gt;&lt;wsp:rsid wsp:val=&quot;00565902&quot;/&gt;&lt;wsp:rsid wsp:val=&quot;00565B82&quot;/&gt;&lt;wsp:rsid wsp:val=&quot;00566276&quot;/&gt;&lt;wsp:rsid wsp:val=&quot;005666A8&quot;/&gt;&lt;wsp:rsid wsp:val=&quot;0056712D&quot;/&gt;&lt;wsp:rsid wsp:val=&quot;005676EA&quot;/&gt;&lt;wsp:rsid wsp:val=&quot;00567879&quot;/&gt;&lt;wsp:rsid wsp:val=&quot;00567A3D&quot;/&gt;&lt;wsp:rsid wsp:val=&quot;00570006&quot;/&gt;&lt;wsp:rsid wsp:val=&quot;005707B8&quot;/&gt;&lt;wsp:rsid wsp:val=&quot;005716C3&quot;/&gt;&lt;wsp:rsid wsp:val=&quot;00572025&quot;/&gt;&lt;wsp:rsid wsp:val=&quot;00572B32&quot;/&gt;&lt;wsp:rsid wsp:val=&quot;00572C7B&quot;/&gt;&lt;wsp:rsid wsp:val=&quot;00572EA6&quot;/&gt;&lt;wsp:rsid wsp:val=&quot;0057383B&quot;/&gt;&lt;wsp:rsid wsp:val=&quot;005740F6&quot;/&gt;&lt;wsp:rsid wsp:val=&quot;005741FA&quot;/&gt;&lt;wsp:rsid wsp:val=&quot;0057460E&quot;/&gt;&lt;wsp:rsid wsp:val=&quot;00574CE4&quot;/&gt;&lt;wsp:rsid wsp:val=&quot;005752AA&quot;/&gt;&lt;wsp:rsid wsp:val=&quot;0057564F&quot;/&gt;&lt;wsp:rsid wsp:val=&quot;00575A85&quot;/&gt;&lt;wsp:rsid wsp:val=&quot;00576116&quot;/&gt;&lt;wsp:rsid wsp:val=&quot;00576363&quot;/&gt;&lt;wsp:rsid wsp:val=&quot;00576639&quot;/&gt;&lt;wsp:rsid wsp:val=&quot;005768F3&quot;/&gt;&lt;wsp:rsid wsp:val=&quot;00577AFA&quot;/&gt;&lt;wsp:rsid wsp:val=&quot;00577CEF&quot;/&gt;&lt;wsp:rsid wsp:val=&quot;0058005E&quot;/&gt;&lt;wsp:rsid wsp:val=&quot;00580733&quot;/&gt;&lt;wsp:rsid wsp:val=&quot;00581D93&quot;/&gt;&lt;wsp:rsid wsp:val=&quot;00582C49&quot;/&gt;&lt;wsp:rsid wsp:val=&quot;005836EB&quot;/&gt;&lt;wsp:rsid wsp:val=&quot;00584153&quot;/&gt;&lt;wsp:rsid wsp:val=&quot;00585276&quot;/&gt;&lt;wsp:rsid wsp:val=&quot;00585771&quot;/&gt;&lt;wsp:rsid wsp:val=&quot;00585A3B&quot;/&gt;&lt;wsp:rsid wsp:val=&quot;00586507&quot;/&gt;&lt;wsp:rsid wsp:val=&quot;0058666B&quot;/&gt;&lt;wsp:rsid wsp:val=&quot;00586695&quot;/&gt;&lt;wsp:rsid wsp:val=&quot;00586F7F&quot;/&gt;&lt;wsp:rsid wsp:val=&quot;00587906&quot;/&gt;&lt;wsp:rsid wsp:val=&quot;00587FF8&quot;/&gt;&lt;wsp:rsid wsp:val=&quot;0059163A&quot;/&gt;&lt;wsp:rsid wsp:val=&quot;0059170F&quot;/&gt;&lt;wsp:rsid wsp:val=&quot;005917A2&quot;/&gt;&lt;wsp:rsid wsp:val=&quot;005917D5&quot;/&gt;&lt;wsp:rsid wsp:val=&quot;00591B38&quot;/&gt;&lt;wsp:rsid wsp:val=&quot;00591DE9&quot;/&gt;&lt;wsp:rsid wsp:val=&quot;00591F7A&quot;/&gt;&lt;wsp:rsid wsp:val=&quot;00592063&quot;/&gt;&lt;wsp:rsid wsp:val=&quot;00592296&quot;/&gt;&lt;wsp:rsid wsp:val=&quot;00592693&quot;/&gt;&lt;wsp:rsid wsp:val=&quot;00592B07&quot;/&gt;&lt;wsp:rsid wsp:val=&quot;00594CC9&quot;/&gt;&lt;wsp:rsid wsp:val=&quot;00596544&quot;/&gt;&lt;wsp:rsid wsp:val=&quot;00596772&quot;/&gt;&lt;wsp:rsid wsp:val=&quot;005969F1&quot;/&gt;&lt;wsp:rsid wsp:val=&quot;00596D5F&quot;/&gt;&lt;wsp:rsid wsp:val=&quot;00597175&quot;/&gt;&lt;wsp:rsid wsp:val=&quot;0059745E&quot;/&gt;&lt;wsp:rsid wsp:val=&quot;005976E1&quot;/&gt;&lt;wsp:rsid wsp:val=&quot;00597B7F&quot;/&gt;&lt;wsp:rsid wsp:val=&quot;00597C53&quot;/&gt;&lt;wsp:rsid wsp:val=&quot;005A05A5&quot;/&gt;&lt;wsp:rsid wsp:val=&quot;005A0C2C&quot;/&gt;&lt;wsp:rsid wsp:val=&quot;005A0DFF&quot;/&gt;&lt;wsp:rsid wsp:val=&quot;005A131F&quot;/&gt;&lt;wsp:rsid wsp:val=&quot;005A1838&quot;/&gt;&lt;wsp:rsid wsp:val=&quot;005A18F7&quot;/&gt;&lt;wsp:rsid wsp:val=&quot;005A1BEE&quot;/&gt;&lt;wsp:rsid wsp:val=&quot;005A29B1&quot;/&gt;&lt;wsp:rsid wsp:val=&quot;005A4252&quot;/&gt;&lt;wsp:rsid wsp:val=&quot;005A4705&quot;/&gt;&lt;wsp:rsid wsp:val=&quot;005A6696&quot;/&gt;&lt;wsp:rsid wsp:val=&quot;005A6794&quot;/&gt;&lt;wsp:rsid wsp:val=&quot;005A7649&quot;/&gt;&lt;wsp:rsid wsp:val=&quot;005A795A&quot;/&gt;&lt;wsp:rsid wsp:val=&quot;005A7D9A&quot;/&gt;&lt;wsp:rsid wsp:val=&quot;005B0179&quot;/&gt;&lt;wsp:rsid wsp:val=&quot;005B0CDC&quot;/&gt;&lt;wsp:rsid wsp:val=&quot;005B0DFC&quot;/&gt;&lt;wsp:rsid wsp:val=&quot;005B0EA6&quot;/&gt;&lt;wsp:rsid wsp:val=&quot;005B10A3&quot;/&gt;&lt;wsp:rsid wsp:val=&quot;005B1C02&quot;/&gt;&lt;wsp:rsid wsp:val=&quot;005B1D6F&quot;/&gt;&lt;wsp:rsid wsp:val=&quot;005B1ECB&quot;/&gt;&lt;wsp:rsid wsp:val=&quot;005B21E1&quot;/&gt;&lt;wsp:rsid wsp:val=&quot;005B2B19&quot;/&gt;&lt;wsp:rsid wsp:val=&quot;005B3B60&quot;/&gt;&lt;wsp:rsid wsp:val=&quot;005B4119&quot;/&gt;&lt;wsp:rsid wsp:val=&quot;005B45D1&quot;/&gt;&lt;wsp:rsid wsp:val=&quot;005B65E5&quot;/&gt;&lt;wsp:rsid wsp:val=&quot;005B6FDF&quot;/&gt;&lt;wsp:rsid wsp:val=&quot;005B79C7&quot;/&gt;&lt;wsp:rsid wsp:val=&quot;005B7D34&quot;/&gt;&lt;wsp:rsid wsp:val=&quot;005B7F07&quot;/&gt;&lt;wsp:rsid wsp:val=&quot;005C07FA&quot;/&gt;&lt;wsp:rsid wsp:val=&quot;005C1771&quot;/&gt;&lt;wsp:rsid wsp:val=&quot;005C2495&quot;/&gt;&lt;wsp:rsid wsp:val=&quot;005C2E5D&quot;/&gt;&lt;wsp:rsid wsp:val=&quot;005C388C&quot;/&gt;&lt;wsp:rsid wsp:val=&quot;005C4CA3&quot;/&gt;&lt;wsp:rsid wsp:val=&quot;005C4D91&quot;/&gt;&lt;wsp:rsid wsp:val=&quot;005C5365&quot;/&gt;&lt;wsp:rsid wsp:val=&quot;005C54C1&quot;/&gt;&lt;wsp:rsid wsp:val=&quot;005C5C89&quot;/&gt;&lt;wsp:rsid wsp:val=&quot;005C6539&quot;/&gt;&lt;wsp:rsid wsp:val=&quot;005C675B&quot;/&gt;&lt;wsp:rsid wsp:val=&quot;005C677B&quot;/&gt;&lt;wsp:rsid wsp:val=&quot;005C6AFA&quot;/&gt;&lt;wsp:rsid wsp:val=&quot;005C7790&quot;/&gt;&lt;wsp:rsid wsp:val=&quot;005D0202&quot;/&gt;&lt;wsp:rsid wsp:val=&quot;005D0999&quot;/&gt;&lt;wsp:rsid wsp:val=&quot;005D16BE&quot;/&gt;&lt;wsp:rsid wsp:val=&quot;005D1748&quot;/&gt;&lt;wsp:rsid wsp:val=&quot;005D1A3C&quot;/&gt;&lt;wsp:rsid wsp:val=&quot;005D1F5C&quot;/&gt;&lt;wsp:rsid wsp:val=&quot;005D29FF&quot;/&gt;&lt;wsp:rsid wsp:val=&quot;005D37EE&quot;/&gt;&lt;wsp:rsid wsp:val=&quot;005D387E&quot;/&gt;&lt;wsp:rsid wsp:val=&quot;005D3B6B&quot;/&gt;&lt;wsp:rsid wsp:val=&quot;005D42E6&quot;/&gt;&lt;wsp:rsid wsp:val=&quot;005D4F1C&quot;/&gt;&lt;wsp:rsid wsp:val=&quot;005D4F2D&quot;/&gt;&lt;wsp:rsid wsp:val=&quot;005D5C30&quot;/&gt;&lt;wsp:rsid wsp:val=&quot;005D60F2&quot;/&gt;&lt;wsp:rsid wsp:val=&quot;005D7AAA&quot;/&gt;&lt;wsp:rsid wsp:val=&quot;005E01F6&quot;/&gt;&lt;wsp:rsid wsp:val=&quot;005E063A&quot;/&gt;&lt;wsp:rsid wsp:val=&quot;005E0D9B&quot;/&gt;&lt;wsp:rsid wsp:val=&quot;005E149D&quot;/&gt;&lt;wsp:rsid wsp:val=&quot;005E155D&quot;/&gt;&lt;wsp:rsid wsp:val=&quot;005E16C0&quot;/&gt;&lt;wsp:rsid wsp:val=&quot;005E1D11&quot;/&gt;&lt;wsp:rsid wsp:val=&quot;005E2895&quot;/&gt;&lt;wsp:rsid wsp:val=&quot;005E3D3D&quot;/&gt;&lt;wsp:rsid wsp:val=&quot;005E3E96&quot;/&gt;&lt;wsp:rsid wsp:val=&quot;005E4261&quot;/&gt;&lt;wsp:rsid wsp:val=&quot;005E42D6&quot;/&gt;&lt;wsp:rsid wsp:val=&quot;005E4694&quot;/&gt;&lt;wsp:rsid wsp:val=&quot;005E60C7&quot;/&gt;&lt;wsp:rsid wsp:val=&quot;005E699F&quot;/&gt;&lt;wsp:rsid wsp:val=&quot;005E7021&quot;/&gt;&lt;wsp:rsid wsp:val=&quot;005E7DDF&quot;/&gt;&lt;wsp:rsid wsp:val=&quot;005F0074&quot;/&gt;&lt;wsp:rsid wsp:val=&quot;005F01D9&quot;/&gt;&lt;wsp:rsid wsp:val=&quot;005F06E7&quot;/&gt;&lt;wsp:rsid wsp:val=&quot;005F0AE4&quot;/&gt;&lt;wsp:rsid wsp:val=&quot;005F0C07&quot;/&gt;&lt;wsp:rsid wsp:val=&quot;005F0C2A&quot;/&gt;&lt;wsp:rsid wsp:val=&quot;005F0CAF&quot;/&gt;&lt;wsp:rsid wsp:val=&quot;005F0DD3&quot;/&gt;&lt;wsp:rsid wsp:val=&quot;005F164E&quot;/&gt;&lt;wsp:rsid wsp:val=&quot;005F29B6&quot;/&gt;&lt;wsp:rsid wsp:val=&quot;005F30CE&quot;/&gt;&lt;wsp:rsid wsp:val=&quot;005F3BC2&quot;/&gt;&lt;wsp:rsid wsp:val=&quot;005F3C50&quot;/&gt;&lt;wsp:rsid wsp:val=&quot;005F4131&quot;/&gt;&lt;wsp:rsid wsp:val=&quot;005F4E24&quot;/&gt;&lt;wsp:rsid wsp:val=&quot;005F4E78&quot;/&gt;&lt;wsp:rsid wsp:val=&quot;005F5306&quot;/&gt;&lt;wsp:rsid wsp:val=&quot;005F5BF6&quot;/&gt;&lt;wsp:rsid wsp:val=&quot;005F5E63&quot;/&gt;&lt;wsp:rsid wsp:val=&quot;00600518&quot;/&gt;&lt;wsp:rsid wsp:val=&quot;00600569&quot;/&gt;&lt;wsp:rsid wsp:val=&quot;00600819&quot;/&gt;&lt;wsp:rsid wsp:val=&quot;006008B1&quot;/&gt;&lt;wsp:rsid wsp:val=&quot;00600B71&quot;/&gt;&lt;wsp:rsid wsp:val=&quot;0060115A&quot;/&gt;&lt;wsp:rsid wsp:val=&quot;00601421&quot;/&gt;&lt;wsp:rsid wsp:val=&quot;006016B0&quot;/&gt;&lt;wsp:rsid wsp:val=&quot;00601C6B&quot;/&gt;&lt;wsp:rsid wsp:val=&quot;00601CAA&quot;/&gt;&lt;wsp:rsid wsp:val=&quot;00603727&quot;/&gt;&lt;wsp:rsid wsp:val=&quot;00603810&quot;/&gt;&lt;wsp:rsid wsp:val=&quot;00603DD9&quot;/&gt;&lt;wsp:rsid wsp:val=&quot;00603EC2&quot;/&gt;&lt;wsp:rsid wsp:val=&quot;00604E68&quot;/&gt;&lt;wsp:rsid wsp:val=&quot;00605443&quot;/&gt;&lt;wsp:rsid wsp:val=&quot;00605A29&quot;/&gt;&lt;wsp:rsid wsp:val=&quot;00606A6B&quot;/&gt;&lt;wsp:rsid wsp:val=&quot;00606CD3&quot;/&gt;&lt;wsp:rsid wsp:val=&quot;00606E9E&quot;/&gt;&lt;wsp:rsid wsp:val=&quot;0060742F&quot;/&gt;&lt;wsp:rsid wsp:val=&quot;00607A11&quot;/&gt;&lt;wsp:rsid wsp:val=&quot;00607D90&quot;/&gt;&lt;wsp:rsid wsp:val=&quot;0061013A&quot;/&gt;&lt;wsp:rsid wsp:val=&quot;006105A4&quot;/&gt;&lt;wsp:rsid wsp:val=&quot;006107FA&quot;/&gt;&lt;wsp:rsid wsp:val=&quot;00610FDB&quot;/&gt;&lt;wsp:rsid wsp:val=&quot;00612605&quot;/&gt;&lt;wsp:rsid wsp:val=&quot;00612AAF&quot;/&gt;&lt;wsp:rsid wsp:val=&quot;0061312F&quot;/&gt;&lt;wsp:rsid wsp:val=&quot;00613CA2&quot;/&gt;&lt;wsp:rsid wsp:val=&quot;00613E95&quot;/&gt;&lt;wsp:rsid wsp:val=&quot;00615510&quot;/&gt;&lt;wsp:rsid wsp:val=&quot;006155F1&quot;/&gt;&lt;wsp:rsid wsp:val=&quot;00615813&quot;/&gt;&lt;wsp:rsid wsp:val=&quot;00615BD7&quot;/&gt;&lt;wsp:rsid wsp:val=&quot;00616045&quot;/&gt;&lt;wsp:rsid wsp:val=&quot;00616F0B&quot;/&gt;&lt;wsp:rsid wsp:val=&quot;006175FE&quot;/&gt;&lt;wsp:rsid wsp:val=&quot;0062052E&quot;/&gt;&lt;wsp:rsid wsp:val=&quot;0062118B&quot;/&gt;&lt;wsp:rsid wsp:val=&quot;006222D0&quot;/&gt;&lt;wsp:rsid wsp:val=&quot;00622A3D&quot;/&gt;&lt;wsp:rsid wsp:val=&quot;00622BDB&quot;/&gt;&lt;wsp:rsid wsp:val=&quot;00623A45&quot;/&gt;&lt;wsp:rsid wsp:val=&quot;00623C1D&quot;/&gt;&lt;wsp:rsid wsp:val=&quot;00624B46&quot;/&gt;&lt;wsp:rsid wsp:val=&quot;00624F02&quot;/&gt;&lt;wsp:rsid wsp:val=&quot;00625026&quot;/&gt;&lt;wsp:rsid wsp:val=&quot;00625D73&quot;/&gt;&lt;wsp:rsid wsp:val=&quot;00625FBC&quot;/&gt;&lt;wsp:rsid wsp:val=&quot;00626282&quot;/&gt;&lt;wsp:rsid wsp:val=&quot;006265F7&quot;/&gt;&lt;wsp:rsid wsp:val=&quot;006270AD&quot;/&gt;&lt;wsp:rsid wsp:val=&quot;006274C0&quot;/&gt;&lt;wsp:rsid wsp:val=&quot;00627C6C&quot;/&gt;&lt;wsp:rsid wsp:val=&quot;00627F2B&quot;/&gt;&lt;wsp:rsid wsp:val=&quot;00630A4B&quot;/&gt;&lt;wsp:rsid wsp:val=&quot;006311D6&quot;/&gt;&lt;wsp:rsid wsp:val=&quot;00631593&quot;/&gt;&lt;wsp:rsid wsp:val=&quot;00631EB7&quot;/&gt;&lt;wsp:rsid wsp:val=&quot;00631F3C&quot;/&gt;&lt;wsp:rsid wsp:val=&quot;00632201&quot;/&gt;&lt;wsp:rsid wsp:val=&quot;00632438&quot;/&gt;&lt;wsp:rsid wsp:val=&quot;006328B2&quot;/&gt;&lt;wsp:rsid wsp:val=&quot;00634AED&quot;/&gt;&lt;wsp:rsid wsp:val=&quot;00634E78&quot;/&gt;&lt;wsp:rsid wsp:val=&quot;006359B6&quot;/&gt;&lt;wsp:rsid wsp:val=&quot;00635A88&quot;/&gt;&lt;wsp:rsid wsp:val=&quot;0063660E&quot;/&gt;&lt;wsp:rsid wsp:val=&quot;006369EB&quot;/&gt;&lt;wsp:rsid wsp:val=&quot;00636F8D&quot;/&gt;&lt;wsp:rsid wsp:val=&quot;00637575&quot;/&gt;&lt;wsp:rsid wsp:val=&quot;00637816&quot;/&gt;&lt;wsp:rsid wsp:val=&quot;006403F9&quot;/&gt;&lt;wsp:rsid wsp:val=&quot;00640B43&quot;/&gt;&lt;wsp:rsid wsp:val=&quot;0064107A&quot;/&gt;&lt;wsp:rsid wsp:val=&quot;006414E1&quot;/&gt;&lt;wsp:rsid wsp:val=&quot;00641700&quot;/&gt;&lt;wsp:rsid wsp:val=&quot;006418CB&quot;/&gt;&lt;wsp:rsid wsp:val=&quot;0064236D&quot;/&gt;&lt;wsp:rsid wsp:val=&quot;00642579&quot;/&gt;&lt;wsp:rsid wsp:val=&quot;00643121&quot;/&gt;&lt;wsp:rsid wsp:val=&quot;00643F31&quot;/&gt;&lt;wsp:rsid wsp:val=&quot;006447BD&quot;/&gt;&lt;wsp:rsid wsp:val=&quot;00644B80&quot;/&gt;&lt;wsp:rsid wsp:val=&quot;0064598D&quot;/&gt;&lt;wsp:rsid wsp:val=&quot;006460F9&quot;/&gt;&lt;wsp:rsid wsp:val=&quot;006463C9&quot;/&gt;&lt;wsp:rsid wsp:val=&quot;00647056&quot;/&gt;&lt;wsp:rsid wsp:val=&quot;00650036&quot;/&gt;&lt;wsp:rsid wsp:val=&quot;00650442&quot;/&gt;&lt;wsp:rsid wsp:val=&quot;00651380&quot;/&gt;&lt;wsp:rsid wsp:val=&quot;006513E9&quot;/&gt;&lt;wsp:rsid wsp:val=&quot;006521E2&quot;/&gt;&lt;wsp:rsid wsp:val=&quot;00652830&quot;/&gt;&lt;wsp:rsid wsp:val=&quot;006528D6&quot;/&gt;&lt;wsp:rsid wsp:val=&quot;00652C56&quot;/&gt;&lt;wsp:rsid wsp:val=&quot;00652ED4&quot;/&gt;&lt;wsp:rsid wsp:val=&quot;00652F6E&quot;/&gt;&lt;wsp:rsid wsp:val=&quot;00653382&quot;/&gt;&lt;wsp:rsid wsp:val=&quot;00653C9B&quot;/&gt;&lt;wsp:rsid wsp:val=&quot;006542E5&quot;/&gt;&lt;wsp:rsid wsp:val=&quot;00654BC6&quot;/&gt;&lt;wsp:rsid wsp:val=&quot;00655786&quot;/&gt;&lt;wsp:rsid wsp:val=&quot;00655891&quot;/&gt;&lt;wsp:rsid wsp:val=&quot;00655FE5&quot;/&gt;&lt;wsp:rsid wsp:val=&quot;00657BBF&quot;/&gt;&lt;wsp:rsid wsp:val=&quot;0066091E&quot;/&gt;&lt;wsp:rsid wsp:val=&quot;00661908&quot;/&gt;&lt;wsp:rsid wsp:val=&quot;00662C91&quot;/&gt;&lt;wsp:rsid wsp:val=&quot;00663083&quot;/&gt;&lt;wsp:rsid wsp:val=&quot;006638FE&quot;/&gt;&lt;wsp:rsid wsp:val=&quot;00663A13&quot;/&gt;&lt;wsp:rsid wsp:val=&quot;00663C5D&quot;/&gt;&lt;wsp:rsid wsp:val=&quot;00663DDC&quot;/&gt;&lt;wsp:rsid wsp:val=&quot;00664BEA&quot;/&gt;&lt;wsp:rsid wsp:val=&quot;006650FE&quot;/&gt;&lt;wsp:rsid wsp:val=&quot;006652C1&quot;/&gt;&lt;wsp:rsid wsp:val=&quot;00666806&quot;/&gt;&lt;wsp:rsid wsp:val=&quot;006678A1&quot;/&gt;&lt;wsp:rsid wsp:val=&quot;00667AD5&quot;/&gt;&lt;wsp:rsid wsp:val=&quot;006705D2&quot;/&gt;&lt;wsp:rsid wsp:val=&quot;00670D06&quot;/&gt;&lt;wsp:rsid wsp:val=&quot;006710C1&quot;/&gt;&lt;wsp:rsid wsp:val=&quot;00671F48&quot;/&gt;&lt;wsp:rsid wsp:val=&quot;00674829&quot;/&gt;&lt;wsp:rsid wsp:val=&quot;00675454&quot;/&gt;&lt;wsp:rsid wsp:val=&quot;00675D0C&quot;/&gt;&lt;wsp:rsid wsp:val=&quot;006762A9&quot;/&gt;&lt;wsp:rsid wsp:val=&quot;00676AEF&quot;/&gt;&lt;wsp:rsid wsp:val=&quot;0067759A&quot;/&gt;&lt;wsp:rsid wsp:val=&quot;00680528&quot;/&gt;&lt;wsp:rsid wsp:val=&quot;006808F8&quot;/&gt;&lt;wsp:rsid wsp:val=&quot;00681D10&quot;/&gt;&lt;wsp:rsid wsp:val=&quot;00682639&quot;/&gt;&lt;wsp:rsid wsp:val=&quot;00682947&quot;/&gt;&lt;wsp:rsid wsp:val=&quot;00682FB9&quot;/&gt;&lt;wsp:rsid wsp:val=&quot;006834A7&quot;/&gt;&lt;wsp:rsid wsp:val=&quot;0068373C&quot;/&gt;&lt;wsp:rsid wsp:val=&quot;00683803&quot;/&gt;&lt;wsp:rsid wsp:val=&quot;00684042&quot;/&gt;&lt;wsp:rsid wsp:val=&quot;0068480B&quot;/&gt;&lt;wsp:rsid wsp:val=&quot;00685F97&quot;/&gt;&lt;wsp:rsid wsp:val=&quot;00686D4B&quot;/&gt;&lt;wsp:rsid wsp:val=&quot;006871AA&quot;/&gt;&lt;wsp:rsid wsp:val=&quot;00687358&quot;/&gt;&lt;wsp:rsid wsp:val=&quot;0069030A&quot;/&gt;&lt;wsp:rsid wsp:val=&quot;00690474&quot;/&gt;&lt;wsp:rsid wsp:val=&quot;006906B8&quot;/&gt;&lt;wsp:rsid wsp:val=&quot;00691F1C&quot;/&gt;&lt;wsp:rsid wsp:val=&quot;00692432&quot;/&gt;&lt;wsp:rsid wsp:val=&quot;00692A4D&quot;/&gt;&lt;wsp:rsid wsp:val=&quot;00692AD5&quot;/&gt;&lt;wsp:rsid wsp:val=&quot;00693230&quot;/&gt;&lt;wsp:rsid wsp:val=&quot;0069366C&quot;/&gt;&lt;wsp:rsid wsp:val=&quot;00693FBA&quot;/&gt;&lt;wsp:rsid wsp:val=&quot;006948FA&quot;/&gt;&lt;wsp:rsid wsp:val=&quot;00694D80&quot;/&gt;&lt;wsp:rsid wsp:val=&quot;00695129&quot;/&gt;&lt;wsp:rsid wsp:val=&quot;00695B00&quot;/&gt;&lt;wsp:rsid wsp:val=&quot;00695E6E&quot;/&gt;&lt;wsp:rsid wsp:val=&quot;00696026&quot;/&gt;&lt;wsp:rsid wsp:val=&quot;00696699&quot;/&gt;&lt;wsp:rsid wsp:val=&quot;006A0278&quot;/&gt;&lt;wsp:rsid wsp:val=&quot;006A02E2&quot;/&gt;&lt;wsp:rsid wsp:val=&quot;006A0AC6&quot;/&gt;&lt;wsp:rsid wsp:val=&quot;006A196B&quot;/&gt;&lt;wsp:rsid wsp:val=&quot;006A1A97&quot;/&gt;&lt;wsp:rsid wsp:val=&quot;006A1CD0&quot;/&gt;&lt;wsp:rsid wsp:val=&quot;006A2186&quot;/&gt;&lt;wsp:rsid wsp:val=&quot;006A3188&quot;/&gt;&lt;wsp:rsid wsp:val=&quot;006A37E9&quot;/&gt;&lt;wsp:rsid wsp:val=&quot;006A4B71&quot;/&gt;&lt;wsp:rsid wsp:val=&quot;006A5160&quot;/&gt;&lt;wsp:rsid wsp:val=&quot;006A5266&quot;/&gt;&lt;wsp:rsid wsp:val=&quot;006A5499&quot;/&gt;&lt;wsp:rsid wsp:val=&quot;006A56A3&quot;/&gt;&lt;wsp:rsid wsp:val=&quot;006A57E6&quot;/&gt;&lt;wsp:rsid wsp:val=&quot;006A60BD&quot;/&gt;&lt;wsp:rsid wsp:val=&quot;006A60D9&quot;/&gt;&lt;wsp:rsid wsp:val=&quot;006A60E2&quot;/&gt;&lt;wsp:rsid wsp:val=&quot;006A742A&quot;/&gt;&lt;wsp:rsid wsp:val=&quot;006A7977&quot;/&gt;&lt;wsp:rsid wsp:val=&quot;006A7CA1&quot;/&gt;&lt;wsp:rsid wsp:val=&quot;006A7CE0&quot;/&gt;&lt;wsp:rsid wsp:val=&quot;006A7F73&quot;/&gt;&lt;wsp:rsid wsp:val=&quot;006B01E8&quot;/&gt;&lt;wsp:rsid wsp:val=&quot;006B181F&quot;/&gt;&lt;wsp:rsid wsp:val=&quot;006B18DB&quot;/&gt;&lt;wsp:rsid wsp:val=&quot;006B1FEE&quot;/&gt;&lt;wsp:rsid wsp:val=&quot;006B2400&quot;/&gt;&lt;wsp:rsid wsp:val=&quot;006B2D7A&quot;/&gt;&lt;wsp:rsid wsp:val=&quot;006B46DF&quot;/&gt;&lt;wsp:rsid wsp:val=&quot;006B4C8F&quot;/&gt;&lt;wsp:rsid wsp:val=&quot;006B4CB5&quot;/&gt;&lt;wsp:rsid wsp:val=&quot;006B4F07&quot;/&gt;&lt;wsp:rsid wsp:val=&quot;006B5991&quot;/&gt;&lt;wsp:rsid wsp:val=&quot;006B601B&quot;/&gt;&lt;wsp:rsid wsp:val=&quot;006B6B25&quot;/&gt;&lt;wsp:rsid wsp:val=&quot;006B721A&quot;/&gt;&lt;wsp:rsid wsp:val=&quot;006B7D1E&quot;/&gt;&lt;wsp:rsid wsp:val=&quot;006C0E9E&quot;/&gt;&lt;wsp:rsid wsp:val=&quot;006C1048&quot;/&gt;&lt;wsp:rsid wsp:val=&quot;006C105D&quot;/&gt;&lt;wsp:rsid wsp:val=&quot;006C1DDB&quot;/&gt;&lt;wsp:rsid wsp:val=&quot;006C22C1&quot;/&gt;&lt;wsp:rsid wsp:val=&quot;006C2705&quot;/&gt;&lt;wsp:rsid wsp:val=&quot;006C27BA&quot;/&gt;&lt;wsp:rsid wsp:val=&quot;006C322D&quot;/&gt;&lt;wsp:rsid wsp:val=&quot;006C4A21&quot;/&gt;&lt;wsp:rsid wsp:val=&quot;006C52DD&quot;/&gt;&lt;wsp:rsid wsp:val=&quot;006C5E30&quot;/&gt;&lt;wsp:rsid wsp:val=&quot;006C6A7A&quot;/&gt;&lt;wsp:rsid wsp:val=&quot;006C7BDE&quot;/&gt;&lt;wsp:rsid wsp:val=&quot;006C7DBC&quot;/&gt;&lt;wsp:rsid wsp:val=&quot;006C7FB2&quot;/&gt;&lt;wsp:rsid wsp:val=&quot;006D11CC&quot;/&gt;&lt;wsp:rsid wsp:val=&quot;006D2D8C&quot;/&gt;&lt;wsp:rsid wsp:val=&quot;006D406C&quot;/&gt;&lt;wsp:rsid wsp:val=&quot;006D45A7&quot;/&gt;&lt;wsp:rsid wsp:val=&quot;006D46F1&quot;/&gt;&lt;wsp:rsid wsp:val=&quot;006D5116&quot;/&gt;&lt;wsp:rsid wsp:val=&quot;006D5E8B&quot;/&gt;&lt;wsp:rsid wsp:val=&quot;006D6641&quot;/&gt;&lt;wsp:rsid wsp:val=&quot;006D7DD8&quot;/&gt;&lt;wsp:rsid wsp:val=&quot;006E07C2&quot;/&gt;&lt;wsp:rsid wsp:val=&quot;006E148C&quot;/&gt;&lt;wsp:rsid wsp:val=&quot;006E180D&quot;/&gt;&lt;wsp:rsid wsp:val=&quot;006E1A29&quot;/&gt;&lt;wsp:rsid wsp:val=&quot;006E27CD&quot;/&gt;&lt;wsp:rsid wsp:val=&quot;006E292E&quot;/&gt;&lt;wsp:rsid wsp:val=&quot;006E2ED1&quot;/&gt;&lt;wsp:rsid wsp:val=&quot;006E35C0&quot;/&gt;&lt;wsp:rsid wsp:val=&quot;006E3B68&quot;/&gt;&lt;wsp:rsid wsp:val=&quot;006E3D5F&quot;/&gt;&lt;wsp:rsid wsp:val=&quot;006E4AA0&quot;/&gt;&lt;wsp:rsid wsp:val=&quot;006E591B&quot;/&gt;&lt;wsp:rsid wsp:val=&quot;006E61F2&quot;/&gt;&lt;wsp:rsid wsp:val=&quot;006E6ADA&quot;/&gt;&lt;wsp:rsid wsp:val=&quot;006E73F0&quot;/&gt;&lt;wsp:rsid wsp:val=&quot;006E7924&quot;/&gt;&lt;wsp:rsid wsp:val=&quot;006F076C&quot;/&gt;&lt;wsp:rsid wsp:val=&quot;006F0D71&quot;/&gt;&lt;wsp:rsid wsp:val=&quot;006F1DBA&quot;/&gt;&lt;wsp:rsid wsp:val=&quot;006F2787&quot;/&gt;&lt;wsp:rsid wsp:val=&quot;006F2913&quot;/&gt;&lt;wsp:rsid wsp:val=&quot;006F2AD2&quot;/&gt;&lt;wsp:rsid wsp:val=&quot;006F30CB&quot;/&gt;&lt;wsp:rsid wsp:val=&quot;006F34EE&quot;/&gt;&lt;wsp:rsid wsp:val=&quot;006F3B24&quot;/&gt;&lt;wsp:rsid wsp:val=&quot;006F44DF&quot;/&gt;&lt;wsp:rsid wsp:val=&quot;006F4A06&quot;/&gt;&lt;wsp:rsid wsp:val=&quot;006F4BC6&quot;/&gt;&lt;wsp:rsid wsp:val=&quot;006F5535&quot;/&gt;&lt;wsp:rsid wsp:val=&quot;006F6CD4&quot;/&gt;&lt;wsp:rsid wsp:val=&quot;006F6EE7&quot;/&gt;&lt;wsp:rsid wsp:val=&quot;007000C0&quot;/&gt;&lt;wsp:rsid wsp:val=&quot;007002D6&quot;/&gt;&lt;wsp:rsid wsp:val=&quot;0070133B&quot;/&gt;&lt;wsp:rsid wsp:val=&quot;00701498&quot;/&gt;&lt;wsp:rsid wsp:val=&quot;00701BC4&quot;/&gt;&lt;wsp:rsid wsp:val=&quot;00702A2C&quot;/&gt;&lt;wsp:rsid wsp:val=&quot;00703CD6&quot;/&gt;&lt;wsp:rsid wsp:val=&quot;00703FC0&quot;/&gt;&lt;wsp:rsid wsp:val=&quot;00704302&quot;/&gt;&lt;wsp:rsid wsp:val=&quot;00704598&quot;/&gt;&lt;wsp:rsid wsp:val=&quot;00705375&quot;/&gt;&lt;wsp:rsid wsp:val=&quot;00705B0A&quot;/&gt;&lt;wsp:rsid wsp:val=&quot;00705DD2&quot;/&gt;&lt;wsp:rsid wsp:val=&quot;007061E6&quot;/&gt;&lt;wsp:rsid wsp:val=&quot;00706B13&quot;/&gt;&lt;wsp:rsid wsp:val=&quot;00706B2E&quot;/&gt;&lt;wsp:rsid wsp:val=&quot;0071059C&quot;/&gt;&lt;wsp:rsid wsp:val=&quot;007105FF&quot;/&gt;&lt;wsp:rsid wsp:val=&quot;0071084E&quot;/&gt;&lt;wsp:rsid wsp:val=&quot;00710944&quot;/&gt;&lt;wsp:rsid wsp:val=&quot;00711238&quot;/&gt;&lt;wsp:rsid wsp:val=&quot;007126EF&quot;/&gt;&lt;wsp:rsid wsp:val=&quot;00712F9A&quot;/&gt;&lt;wsp:rsid wsp:val=&quot;00713B85&quot;/&gt;&lt;wsp:rsid wsp:val=&quot;0071429A&quot;/&gt;&lt;wsp:rsid wsp:val=&quot;00714340&quot;/&gt;&lt;wsp:rsid wsp:val=&quot;00715029&quot;/&gt;&lt;wsp:rsid wsp:val=&quot;00715387&quot;/&gt;&lt;wsp:rsid wsp:val=&quot;007153E5&quot;/&gt;&lt;wsp:rsid wsp:val=&quot;00716DDD&quot;/&gt;&lt;wsp:rsid wsp:val=&quot;00720614&quot;/&gt;&lt;wsp:rsid wsp:val=&quot;00720903&quot;/&gt;&lt;wsp:rsid wsp:val=&quot;00720E8A&quot;/&gt;&lt;wsp:rsid wsp:val=&quot;007210A8&quot;/&gt;&lt;wsp:rsid wsp:val=&quot;007216AD&quot;/&gt;&lt;wsp:rsid wsp:val=&quot;00721B53&quot;/&gt;&lt;wsp:rsid wsp:val=&quot;00721C63&quot;/&gt;&lt;wsp:rsid wsp:val=&quot;00721CAA&quot;/&gt;&lt;wsp:rsid wsp:val=&quot;00722C66&quot;/&gt;&lt;wsp:rsid wsp:val=&quot;00725707&quot;/&gt;&lt;wsp:rsid wsp:val=&quot;0072632C&quot;/&gt;&lt;wsp:rsid wsp:val=&quot;00726D75&quot;/&gt;&lt;wsp:rsid wsp:val=&quot;00730343&quot;/&gt;&lt;wsp:rsid wsp:val=&quot;00730CBD&quot;/&gt;&lt;wsp:rsid wsp:val=&quot;00730CD1&quot;/&gt;&lt;wsp:rsid wsp:val=&quot;00731A14&quot;/&gt;&lt;wsp:rsid wsp:val=&quot;0073228F&quot;/&gt;&lt;wsp:rsid wsp:val=&quot;0073391A&quot;/&gt;&lt;wsp:rsid wsp:val=&quot;00733E1F&quot;/&gt;&lt;wsp:rsid wsp:val=&quot;00735683&quot;/&gt;&lt;wsp:rsid wsp:val=&quot;00735A37&quot;/&gt;&lt;wsp:rsid wsp:val=&quot;00736473&quot;/&gt;&lt;wsp:rsid wsp:val=&quot;00736600&quot;/&gt;&lt;wsp:rsid wsp:val=&quot;00736D8B&quot;/&gt;&lt;wsp:rsid wsp:val=&quot;00736F02&quot;/&gt;&lt;wsp:rsid wsp:val=&quot;00737516&quot;/&gt;&lt;wsp:rsid wsp:val=&quot;00740643&quot;/&gt;&lt;wsp:rsid wsp:val=&quot;007425EB&quot;/&gt;&lt;wsp:rsid wsp:val=&quot;00742DA5&quot;/&gt;&lt;wsp:rsid wsp:val=&quot;007440E4&quot;/&gt;&lt;wsp:rsid wsp:val=&quot;00744343&quot;/&gt;&lt;wsp:rsid wsp:val=&quot;007443F5&quot;/&gt;&lt;wsp:rsid wsp:val=&quot;00744E8A&quot;/&gt;&lt;wsp:rsid wsp:val=&quot;00745033&quot;/&gt;&lt;wsp:rsid wsp:val=&quot;00745BC6&quot;/&gt;&lt;wsp:rsid wsp:val=&quot;0074657A&quot;/&gt;&lt;wsp:rsid wsp:val=&quot;00746A81&quot;/&gt;&lt;wsp:rsid wsp:val=&quot;00746D78&quot;/&gt;&lt;wsp:rsid wsp:val=&quot;00746E08&quot;/&gt;&lt;wsp:rsid wsp:val=&quot;00746E57&quot;/&gt;&lt;wsp:rsid wsp:val=&quot;00750190&quot;/&gt;&lt;wsp:rsid wsp:val=&quot;0075158A&quot;/&gt;&lt;wsp:rsid wsp:val=&quot;0075212A&quot;/&gt;&lt;wsp:rsid wsp:val=&quot;007526BC&quot;/&gt;&lt;wsp:rsid wsp:val=&quot;00752BAD&quot;/&gt;&lt;wsp:rsid wsp:val=&quot;00752E71&quot;/&gt;&lt;wsp:rsid wsp:val=&quot;007531BD&quot;/&gt;&lt;wsp:rsid wsp:val=&quot;00753502&quot;/&gt;&lt;wsp:rsid wsp:val=&quot;00755617&quot;/&gt;&lt;wsp:rsid wsp:val=&quot;00756342&quot;/&gt;&lt;wsp:rsid wsp:val=&quot;00756EC2&quot;/&gt;&lt;wsp:rsid wsp:val=&quot;00757118&quot;/&gt;&lt;wsp:rsid wsp:val=&quot;007572BD&quot;/&gt;&lt;wsp:rsid wsp:val=&quot;007575B2&quot;/&gt;&lt;wsp:rsid wsp:val=&quot;00757945&quot;/&gt;&lt;wsp:rsid wsp:val=&quot;00760B5E&quot;/&gt;&lt;wsp:rsid wsp:val=&quot;00761A3F&quot;/&gt;&lt;wsp:rsid wsp:val=&quot;00762229&quot;/&gt;&lt;wsp:rsid wsp:val=&quot;0076247B&quot;/&gt;&lt;wsp:rsid wsp:val=&quot;007624D1&quot;/&gt;&lt;wsp:rsid wsp:val=&quot;007629ED&quot;/&gt;&lt;wsp:rsid wsp:val=&quot;00762CE9&quot;/&gt;&lt;wsp:rsid wsp:val=&quot;007631A6&quot;/&gt;&lt;wsp:rsid wsp:val=&quot;0076339E&quot;/&gt;&lt;wsp:rsid wsp:val=&quot;007638E4&quot;/&gt;&lt;wsp:rsid wsp:val=&quot;00763BD4&quot;/&gt;&lt;wsp:rsid wsp:val=&quot;00763CC8&quot;/&gt;&lt;wsp:rsid wsp:val=&quot;00764002&quot;/&gt;&lt;wsp:rsid wsp:val=&quot;00764540&quot;/&gt;&lt;wsp:rsid wsp:val=&quot;007646F6&quot;/&gt;&lt;wsp:rsid wsp:val=&quot;007647FF&quot;/&gt;&lt;wsp:rsid wsp:val=&quot;00764A8A&quot;/&gt;&lt;wsp:rsid wsp:val=&quot;007654F0&quot;/&gt;&lt;wsp:rsid wsp:val=&quot;00765899&quot;/&gt;&lt;wsp:rsid wsp:val=&quot;00766160&quot;/&gt;&lt;wsp:rsid wsp:val=&quot;007662E1&quot;/&gt;&lt;wsp:rsid wsp:val=&quot;0076634A&quot;/&gt;&lt;wsp:rsid wsp:val=&quot;00766D3C&quot;/&gt;&lt;wsp:rsid wsp:val=&quot;00767B32&quot;/&gt;&lt;wsp:rsid wsp:val=&quot;00767B60&quot;/&gt;&lt;wsp:rsid wsp:val=&quot;00770334&quot;/&gt;&lt;wsp:rsid wsp:val=&quot;00770700&quot;/&gt;&lt;wsp:rsid wsp:val=&quot;00770850&quot;/&gt;&lt;wsp:rsid wsp:val=&quot;00771F67&quot;/&gt;&lt;wsp:rsid wsp:val=&quot;0077201E&quot;/&gt;&lt;wsp:rsid wsp:val=&quot;00774B53&quot;/&gt;&lt;wsp:rsid wsp:val=&quot;0077581D&quot;/&gt;&lt;wsp:rsid wsp:val=&quot;00776098&quot;/&gt;&lt;wsp:rsid wsp:val=&quot;007774EB&quot;/&gt;&lt;wsp:rsid wsp:val=&quot;007810D1&quot;/&gt;&lt;wsp:rsid wsp:val=&quot;0078271D&quot;/&gt;&lt;wsp:rsid wsp:val=&quot;00782735&quot;/&gt;&lt;wsp:rsid wsp:val=&quot;00782A49&quot;/&gt;&lt;wsp:rsid wsp:val=&quot;00783F82&quot;/&gt;&lt;wsp:rsid wsp:val=&quot;00785040&quot;/&gt;&lt;wsp:rsid wsp:val=&quot;00785753&quot;/&gt;&lt;wsp:rsid wsp:val=&quot;007857D1&quot;/&gt;&lt;wsp:rsid wsp:val=&quot;0078638D&quot;/&gt;&lt;wsp:rsid wsp:val=&quot;00787088&quot;/&gt;&lt;wsp:rsid wsp:val=&quot;0078777B&quot;/&gt;&lt;wsp:rsid wsp:val=&quot;00787D77&quot;/&gt;&lt;wsp:rsid wsp:val=&quot;007900F0&quot;/&gt;&lt;wsp:rsid wsp:val=&quot;00790269&quot;/&gt;&lt;wsp:rsid wsp:val=&quot;00791072&quot;/&gt;&lt;wsp:rsid wsp:val=&quot;00791779&quot;/&gt;&lt;wsp:rsid wsp:val=&quot;0079184C&quot;/&gt;&lt;wsp:rsid wsp:val=&quot;00791A72&quot;/&gt;&lt;wsp:rsid wsp:val=&quot;00791D61&quot;/&gt;&lt;wsp:rsid wsp:val=&quot;007930A0&quot;/&gt;&lt;wsp:rsid wsp:val=&quot;007949E5&quot;/&gt;&lt;wsp:rsid wsp:val=&quot;00795002&quot;/&gt;&lt;wsp:rsid wsp:val=&quot;00795E64&quot;/&gt;&lt;wsp:rsid wsp:val=&quot;00795FAD&quot;/&gt;&lt;wsp:rsid wsp:val=&quot;0079648F&quot;/&gt;&lt;wsp:rsid wsp:val=&quot;00796DD1&quot;/&gt;&lt;wsp:rsid wsp:val=&quot;00796E9E&quot;/&gt;&lt;wsp:rsid wsp:val=&quot;0079759A&quot;/&gt;&lt;wsp:rsid wsp:val=&quot;007A2E3D&quot;/&gt;&lt;wsp:rsid wsp:val=&quot;007A5B72&quot;/&gt;&lt;wsp:rsid wsp:val=&quot;007A6186&quot;/&gt;&lt;wsp:rsid wsp:val=&quot;007A61D4&quot;/&gt;&lt;wsp:rsid wsp:val=&quot;007A6200&quot;/&gt;&lt;wsp:rsid wsp:val=&quot;007A67A6&quot;/&gt;&lt;wsp:rsid wsp:val=&quot;007B0FB9&quot;/&gt;&lt;wsp:rsid wsp:val=&quot;007B11E0&quot;/&gt;&lt;wsp:rsid wsp:val=&quot;007B12D3&quot;/&gt;&lt;wsp:rsid wsp:val=&quot;007B166E&quot;/&gt;&lt;wsp:rsid wsp:val=&quot;007B245F&quot;/&gt;&lt;wsp:rsid wsp:val=&quot;007B2C72&quot;/&gt;&lt;wsp:rsid wsp:val=&quot;007B3033&quot;/&gt;&lt;wsp:rsid wsp:val=&quot;007B345C&quot;/&gt;&lt;wsp:rsid wsp:val=&quot;007B3DB5&quot;/&gt;&lt;wsp:rsid wsp:val=&quot;007B451B&quot;/&gt;&lt;wsp:rsid wsp:val=&quot;007B4666&quot;/&gt;&lt;wsp:rsid wsp:val=&quot;007B4CEF&quot;/&gt;&lt;wsp:rsid wsp:val=&quot;007B579A&quot;/&gt;&lt;wsp:rsid wsp:val=&quot;007B67F0&quot;/&gt;&lt;wsp:rsid wsp:val=&quot;007B7869&quot;/&gt;&lt;wsp:rsid wsp:val=&quot;007B789E&quot;/&gt;&lt;wsp:rsid wsp:val=&quot;007C0978&quot;/&gt;&lt;wsp:rsid wsp:val=&quot;007C0D63&quot;/&gt;&lt;wsp:rsid wsp:val=&quot;007C1363&quot;/&gt;&lt;wsp:rsid wsp:val=&quot;007C18B0&quot;/&gt;&lt;wsp:rsid wsp:val=&quot;007C190F&quot;/&gt;&lt;wsp:rsid wsp:val=&quot;007C1BB3&quot;/&gt;&lt;wsp:rsid wsp:val=&quot;007C2566&quot;/&gt;&lt;wsp:rsid wsp:val=&quot;007C26D6&quot;/&gt;&lt;wsp:rsid wsp:val=&quot;007C2BB3&quot;/&gt;&lt;wsp:rsid wsp:val=&quot;007C2D64&quot;/&gt;&lt;wsp:rsid wsp:val=&quot;007C2DC3&quot;/&gt;&lt;wsp:rsid wsp:val=&quot;007C3062&quot;/&gt;&lt;wsp:rsid wsp:val=&quot;007C30B5&quot;/&gt;&lt;wsp:rsid wsp:val=&quot;007C358C&quot;/&gt;&lt;wsp:rsid wsp:val=&quot;007C3DB4&quot;/&gt;&lt;wsp:rsid wsp:val=&quot;007C3FE1&quot;/&gt;&lt;wsp:rsid wsp:val=&quot;007C43D8&quot;/&gt;&lt;wsp:rsid wsp:val=&quot;007C46CF&quot;/&gt;&lt;wsp:rsid wsp:val=&quot;007C4E09&quot;/&gt;&lt;wsp:rsid wsp:val=&quot;007C53AF&quot;/&gt;&lt;wsp:rsid wsp:val=&quot;007C5E18&quot;/&gt;&lt;wsp:rsid wsp:val=&quot;007C78E5&quot;/&gt;&lt;wsp:rsid wsp:val=&quot;007C7E00&quot;/&gt;&lt;wsp:rsid wsp:val=&quot;007D08A5&quot;/&gt;&lt;wsp:rsid wsp:val=&quot;007D0F92&quot;/&gt;&lt;wsp:rsid wsp:val=&quot;007D1022&quot;/&gt;&lt;wsp:rsid wsp:val=&quot;007D15D6&quot;/&gt;&lt;wsp:rsid wsp:val=&quot;007D2164&quot;/&gt;&lt;wsp:rsid wsp:val=&quot;007D23C9&quot;/&gt;&lt;wsp:rsid wsp:val=&quot;007D24F4&quot;/&gt;&lt;wsp:rsid wsp:val=&quot;007D2727&quot;/&gt;&lt;wsp:rsid wsp:val=&quot;007D2F3D&quot;/&gt;&lt;wsp:rsid wsp:val=&quot;007D34F2&quot;/&gt;&lt;wsp:rsid wsp:val=&quot;007D47E5&quot;/&gt;&lt;wsp:rsid wsp:val=&quot;007D5884&quot;/&gt;&lt;wsp:rsid wsp:val=&quot;007D5931&quot;/&gt;&lt;wsp:rsid wsp:val=&quot;007D6665&quot;/&gt;&lt;wsp:rsid wsp:val=&quot;007D77CC&quot;/&gt;&lt;wsp:rsid wsp:val=&quot;007D7F99&quot;/&gt;&lt;wsp:rsid wsp:val=&quot;007E01D6&quot;/&gt;&lt;wsp:rsid wsp:val=&quot;007E02A5&quot;/&gt;&lt;wsp:rsid wsp:val=&quot;007E07C7&quot;/&gt;&lt;wsp:rsid wsp:val=&quot;007E0A97&quot;/&gt;&lt;wsp:rsid wsp:val=&quot;007E0EAB&quot;/&gt;&lt;wsp:rsid wsp:val=&quot;007E0EF9&quot;/&gt;&lt;wsp:rsid wsp:val=&quot;007E2A98&quot;/&gt;&lt;wsp:rsid wsp:val=&quot;007E2B83&quot;/&gt;&lt;wsp:rsid wsp:val=&quot;007E2EB1&quot;/&gt;&lt;wsp:rsid wsp:val=&quot;007E36FE&quot;/&gt;&lt;wsp:rsid wsp:val=&quot;007E49C7&quot;/&gt;&lt;wsp:rsid wsp:val=&quot;007E535E&quot;/&gt;&lt;wsp:rsid wsp:val=&quot;007E5FD1&quot;/&gt;&lt;wsp:rsid wsp:val=&quot;007E7611&quot;/&gt;&lt;wsp:rsid wsp:val=&quot;007E795A&quot;/&gt;&lt;wsp:rsid wsp:val=&quot;007F02EF&quot;/&gt;&lt;wsp:rsid wsp:val=&quot;007F1E97&quot;/&gt;&lt;wsp:rsid wsp:val=&quot;007F2659&quot;/&gt;&lt;wsp:rsid wsp:val=&quot;007F42D2&quot;/&gt;&lt;wsp:rsid wsp:val=&quot;007F4330&quot;/&gt;&lt;wsp:rsid wsp:val=&quot;007F4671&quot;/&gt;&lt;wsp:rsid wsp:val=&quot;007F5B42&quot;/&gt;&lt;wsp:rsid wsp:val=&quot;007F5CD3&quot;/&gt;&lt;wsp:rsid wsp:val=&quot;007F691D&quot;/&gt;&lt;wsp:rsid wsp:val=&quot;007F7335&quot;/&gt;&lt;wsp:rsid wsp:val=&quot;007F7C48&quot;/&gt;&lt;wsp:rsid wsp:val=&quot;0080021F&quot;/&gt;&lt;wsp:rsid wsp:val=&quot;00800241&quot;/&gt;&lt;wsp:rsid wsp:val=&quot;008006C0&quot;/&gt;&lt;wsp:rsid wsp:val=&quot;00800F99&quot;/&gt;&lt;wsp:rsid wsp:val=&quot;00801590&quot;/&gt;&lt;wsp:rsid wsp:val=&quot;00802C9C&quot;/&gt;&lt;wsp:rsid wsp:val=&quot;00803757&quot;/&gt;&lt;wsp:rsid wsp:val=&quot;00803820&quot;/&gt;&lt;wsp:rsid wsp:val=&quot;008053B6&quot;/&gt;&lt;wsp:rsid wsp:val=&quot;00805510&quot;/&gt;&lt;wsp:rsid wsp:val=&quot;00805603&quot;/&gt;&lt;wsp:rsid wsp:val=&quot;00806CCF&quot;/&gt;&lt;wsp:rsid wsp:val=&quot;0080747A&quot;/&gt;&lt;wsp:rsid wsp:val=&quot;00807492&quot;/&gt;&lt;wsp:rsid wsp:val=&quot;00807EFE&quot;/&gt;&lt;wsp:rsid wsp:val=&quot;008103CD&quot;/&gt;&lt;wsp:rsid wsp:val=&quot;0081069F&quot;/&gt;&lt;wsp:rsid wsp:val=&quot;00811105&quot;/&gt;&lt;wsp:rsid wsp:val=&quot;00811C79&quot;/&gt;&lt;wsp:rsid wsp:val=&quot;00811F99&quot;/&gt;&lt;wsp:rsid wsp:val=&quot;00812011&quot;/&gt;&lt;wsp:rsid wsp:val=&quot;00812AA2&quot;/&gt;&lt;wsp:rsid wsp:val=&quot;00813185&quot;/&gt;&lt;wsp:rsid wsp:val=&quot;0081361A&quot;/&gt;&lt;wsp:rsid wsp:val=&quot;00814645&quot;/&gt;&lt;wsp:rsid wsp:val=&quot;008155B6&quot;/&gt;&lt;wsp:rsid wsp:val=&quot;00815C90&quot;/&gt;&lt;wsp:rsid wsp:val=&quot;0081609F&quot;/&gt;&lt;wsp:rsid wsp:val=&quot;0081768C&quot;/&gt;&lt;wsp:rsid wsp:val=&quot;00817E41&quot;/&gt;&lt;wsp:rsid wsp:val=&quot;008209EF&quot;/&gt;&lt;wsp:rsid wsp:val=&quot;00821123&quot;/&gt;&lt;wsp:rsid wsp:val=&quot;008211C1&quot;/&gt;&lt;wsp:rsid wsp:val=&quot;008227EA&quot;/&gt;&lt;wsp:rsid wsp:val=&quot;0082389D&quot;/&gt;&lt;wsp:rsid wsp:val=&quot;008238E5&quot;/&gt;&lt;wsp:rsid wsp:val=&quot;00823D4C&quot;/&gt;&lt;wsp:rsid wsp:val=&quot;00823ED1&quot;/&gt;&lt;wsp:rsid wsp:val=&quot;00823EE3&quot;/&gt;&lt;wsp:rsid wsp:val=&quot;00824146&quot;/&gt;&lt;wsp:rsid wsp:val=&quot;00824581&quot;/&gt;&lt;wsp:rsid wsp:val=&quot;00824D3A&quot;/&gt;&lt;wsp:rsid wsp:val=&quot;00825212&quot;/&gt;&lt;wsp:rsid wsp:val=&quot;00825339&quot;/&gt;&lt;wsp:rsid wsp:val=&quot;00825A8B&quot;/&gt;&lt;wsp:rsid wsp:val=&quot;008276FC&quot;/&gt;&lt;wsp:rsid wsp:val=&quot;00827A7C&quot;/&gt;&lt;wsp:rsid wsp:val=&quot;00830294&quot;/&gt;&lt;wsp:rsid wsp:val=&quot;00830684&quot;/&gt;&lt;wsp:rsid wsp:val=&quot;0083069D&quot;/&gt;&lt;wsp:rsid wsp:val=&quot;00830D37&quot;/&gt;&lt;wsp:rsid wsp:val=&quot;00831070&quot;/&gt;&lt;wsp:rsid wsp:val=&quot;00831F80&quot;/&gt;&lt;wsp:rsid wsp:val=&quot;00831FE7&quot;/&gt;&lt;wsp:rsid wsp:val=&quot;00832E6E&quot;/&gt;&lt;wsp:rsid wsp:val=&quot;0083512D&quot;/&gt;&lt;wsp:rsid wsp:val=&quot;00835833&quot;/&gt;&lt;wsp:rsid wsp:val=&quot;008359D1&quot;/&gt;&lt;wsp:rsid wsp:val=&quot;00836451&quot;/&gt;&lt;wsp:rsid wsp:val=&quot;00837339&quot;/&gt;&lt;wsp:rsid wsp:val=&quot;00837871&quot;/&gt;&lt;wsp:rsid wsp:val=&quot;008404CD&quot;/&gt;&lt;wsp:rsid wsp:val=&quot;00840AB5&quot;/&gt;&lt;wsp:rsid wsp:val=&quot;00840BBA&quot;/&gt;&lt;wsp:rsid wsp:val=&quot;00841E9A&quot;/&gt;&lt;wsp:rsid wsp:val=&quot;008420A5&quot;/&gt;&lt;wsp:rsid wsp:val=&quot;00842F23&quot;/&gt;&lt;wsp:rsid wsp:val=&quot;00843541&quot;/&gt;&lt;wsp:rsid wsp:val=&quot;00843731&quot;/&gt;&lt;wsp:rsid wsp:val=&quot;00843ABD&quot;/&gt;&lt;wsp:rsid wsp:val=&quot;00843BA5&quot;/&gt;&lt;wsp:rsid wsp:val=&quot;00844DD5&quot;/&gt;&lt;wsp:rsid wsp:val=&quot;008450A1&quot;/&gt;&lt;wsp:rsid wsp:val=&quot;008453C0&quot;/&gt;&lt;wsp:rsid wsp:val=&quot;00845478&quot;/&gt;&lt;wsp:rsid wsp:val=&quot;00845AFF&quot;/&gt;&lt;wsp:rsid wsp:val=&quot;008463E6&quot;/&gt;&lt;wsp:rsid wsp:val=&quot;0084651E&quot;/&gt;&lt;wsp:rsid wsp:val=&quot;00846982&quot;/&gt;&lt;wsp:rsid wsp:val=&quot;00847250&quot;/&gt;&lt;wsp:rsid wsp:val=&quot;0085155B&quot;/&gt;&lt;wsp:rsid wsp:val=&quot;00852414&quot;/&gt;&lt;wsp:rsid wsp:val=&quot;008524C7&quot;/&gt;&lt;wsp:rsid wsp:val=&quot;00853DA2&quot;/&gt;&lt;wsp:rsid wsp:val=&quot;00854319&quot;/&gt;&lt;wsp:rsid wsp:val=&quot;00854AF7&quot;/&gt;&lt;wsp:rsid wsp:val=&quot;00854E9F&quot;/&gt;&lt;wsp:rsid wsp:val=&quot;00854F29&quot;/&gt;&lt;wsp:rsid wsp:val=&quot;00856236&quot;/&gt;&lt;wsp:rsid wsp:val=&quot;00857840&quot;/&gt;&lt;wsp:rsid wsp:val=&quot;008579B5&quot;/&gt;&lt;wsp:rsid wsp:val=&quot;00861185&quot;/&gt;&lt;wsp:rsid wsp:val=&quot;008612C0&quot;/&gt;&lt;wsp:rsid wsp:val=&quot;00861727&quot;/&gt;&lt;wsp:rsid wsp:val=&quot;00861900&quot;/&gt;&lt;wsp:rsid wsp:val=&quot;0086198E&quot;/&gt;&lt;wsp:rsid wsp:val=&quot;008620BA&quot;/&gt;&lt;wsp:rsid wsp:val=&quot;00862650&quot;/&gt;&lt;wsp:rsid wsp:val=&quot;00863661&quot;/&gt;&lt;wsp:rsid wsp:val=&quot;008641C1&quot;/&gt;&lt;wsp:rsid wsp:val=&quot;0086461F&quot;/&gt;&lt;wsp:rsid wsp:val=&quot;00864B20&quot;/&gt;&lt;wsp:rsid wsp:val=&quot;00865633&quot;/&gt;&lt;wsp:rsid wsp:val=&quot;00866654&quot;/&gt;&lt;wsp:rsid wsp:val=&quot;00866894&quot;/&gt;&lt;wsp:rsid wsp:val=&quot;00866973&quot;/&gt;&lt;wsp:rsid wsp:val=&quot;00867464&quot;/&gt;&lt;wsp:rsid wsp:val=&quot;008678F4&quot;/&gt;&lt;wsp:rsid wsp:val=&quot;00867C16&quot;/&gt;&lt;wsp:rsid wsp:val=&quot;00870432&quot;/&gt;&lt;wsp:rsid wsp:val=&quot;00870BE1&quot;/&gt;&lt;wsp:rsid wsp:val=&quot;00872296&quot;/&gt;&lt;wsp:rsid wsp:val=&quot;0087285A&quot;/&gt;&lt;wsp:rsid wsp:val=&quot;008728DA&quot;/&gt;&lt;wsp:rsid wsp:val=&quot;00872D14&quot;/&gt;&lt;wsp:rsid wsp:val=&quot;00872E31&quot;/&gt;&lt;wsp:rsid wsp:val=&quot;0087319E&quot;/&gt;&lt;wsp:rsid wsp:val=&quot;00874673&quot;/&gt;&lt;wsp:rsid wsp:val=&quot;00875457&quot;/&gt;&lt;wsp:rsid wsp:val=&quot;00875484&quot;/&gt;&lt;wsp:rsid wsp:val=&quot;00876898&quot;/&gt;&lt;wsp:rsid wsp:val=&quot;00876B21&quot;/&gt;&lt;wsp:rsid wsp:val=&quot;008777E3&quot;/&gt;&lt;wsp:rsid wsp:val=&quot;00877B30&quot;/&gt;&lt;wsp:rsid wsp:val=&quot;00877EBF&quot;/&gt;&lt;wsp:rsid wsp:val=&quot;00880107&quot;/&gt;&lt;wsp:rsid wsp:val=&quot;00880394&quot;/&gt;&lt;wsp:rsid wsp:val=&quot;00880A63&quot;/&gt;&lt;wsp:rsid wsp:val=&quot;00881402&quot;/&gt;&lt;wsp:rsid wsp:val=&quot;008815C6&quot;/&gt;&lt;wsp:rsid wsp:val=&quot;008818C9&quot;/&gt;&lt;wsp:rsid wsp:val=&quot;00881FD0&quot;/&gt;&lt;wsp:rsid wsp:val=&quot;0088223E&quot;/&gt;&lt;wsp:rsid wsp:val=&quot;008831A2&quot;/&gt;&lt;wsp:rsid wsp:val=&quot;00883692&quot;/&gt;&lt;wsp:rsid wsp:val=&quot;008848D3&quot;/&gt;&lt;wsp:rsid wsp:val=&quot;0088492B&quot;/&gt;&lt;wsp:rsid wsp:val=&quot;00884B88&quot;/&gt;&lt;wsp:rsid wsp:val=&quot;00885554&quot;/&gt;&lt;wsp:rsid wsp:val=&quot;00885719&quot;/&gt;&lt;wsp:rsid wsp:val=&quot;0088645A&quot;/&gt;&lt;wsp:rsid wsp:val=&quot;008867B0&quot;/&gt;&lt;wsp:rsid wsp:val=&quot;00886D6D&quot;/&gt;&lt;wsp:rsid wsp:val=&quot;00887582&quot;/&gt;&lt;wsp:rsid wsp:val=&quot;00887979&quot;/&gt;&lt;wsp:rsid wsp:val=&quot;00887E49&quot;/&gt;&lt;wsp:rsid wsp:val=&quot;00887EA0&quot;/&gt;&lt;wsp:rsid wsp:val=&quot;008904D8&quot;/&gt;&lt;wsp:rsid wsp:val=&quot;00890AD9&quot;/&gt;&lt;wsp:rsid wsp:val=&quot;008912ED&quot;/&gt;&lt;wsp:rsid wsp:val=&quot;00894061&quot;/&gt;&lt;wsp:rsid wsp:val=&quot;0089422F&quot;/&gt;&lt;wsp:rsid wsp:val=&quot;008942E1&quot;/&gt;&lt;wsp:rsid wsp:val=&quot;00894343&quot;/&gt;&lt;wsp:rsid wsp:val=&quot;00894722&quot;/&gt;&lt;wsp:rsid wsp:val=&quot;00895051&quot;/&gt;&lt;wsp:rsid wsp:val=&quot;00895067&quot;/&gt;&lt;wsp:rsid wsp:val=&quot;0089602D&quot;/&gt;&lt;wsp:rsid wsp:val=&quot;008963E0&quot;/&gt;&lt;wsp:rsid wsp:val=&quot;008965E8&quot;/&gt;&lt;wsp:rsid wsp:val=&quot;00896A9E&quot;/&gt;&lt;wsp:rsid wsp:val=&quot;00896D64&quot;/&gt;&lt;wsp:rsid wsp:val=&quot;008974D5&quot;/&gt;&lt;wsp:rsid wsp:val=&quot;00897D83&quot;/&gt;&lt;wsp:rsid wsp:val=&quot;008A23A2&quot;/&gt;&lt;wsp:rsid wsp:val=&quot;008A2A61&quot;/&gt;&lt;wsp:rsid wsp:val=&quot;008A322E&quot;/&gt;&lt;wsp:rsid wsp:val=&quot;008A37C2&quot;/&gt;&lt;wsp:rsid wsp:val=&quot;008A3EE7&quot;/&gt;&lt;wsp:rsid wsp:val=&quot;008A5957&quot;/&gt;&lt;wsp:rsid wsp:val=&quot;008A5F44&quot;/&gt;&lt;wsp:rsid wsp:val=&quot;008B0BC2&quot;/&gt;&lt;wsp:rsid wsp:val=&quot;008B24DF&quot;/&gt;&lt;wsp:rsid wsp:val=&quot;008B26A6&quot;/&gt;&lt;wsp:rsid wsp:val=&quot;008B2BEC&quot;/&gt;&lt;wsp:rsid wsp:val=&quot;008B3092&quot;/&gt;&lt;wsp:rsid wsp:val=&quot;008B3290&quot;/&gt;&lt;wsp:rsid wsp:val=&quot;008B3573&quot;/&gt;&lt;wsp:rsid wsp:val=&quot;008B4780&quot;/&gt;&lt;wsp:rsid wsp:val=&quot;008B48F9&quot;/&gt;&lt;wsp:rsid wsp:val=&quot;008B4E4A&quot;/&gt;&lt;wsp:rsid wsp:val=&quot;008B5155&quot;/&gt;&lt;wsp:rsid wsp:val=&quot;008B576B&quot;/&gt;&lt;wsp:rsid wsp:val=&quot;008B5AC7&quot;/&gt;&lt;wsp:rsid wsp:val=&quot;008B7069&quot;/&gt;&lt;wsp:rsid wsp:val=&quot;008B7A08&quot;/&gt;&lt;wsp:rsid wsp:val=&quot;008C1006&quot;/&gt;&lt;wsp:rsid wsp:val=&quot;008C1480&quot;/&gt;&lt;wsp:rsid wsp:val=&quot;008C1A7D&quot;/&gt;&lt;wsp:rsid wsp:val=&quot;008C29F5&quot;/&gt;&lt;wsp:rsid wsp:val=&quot;008C2CB2&quot;/&gt;&lt;wsp:rsid wsp:val=&quot;008C3B9A&quot;/&gt;&lt;wsp:rsid wsp:val=&quot;008C3FBA&quot;/&gt;&lt;wsp:rsid wsp:val=&quot;008C4B9E&quot;/&gt;&lt;wsp:rsid wsp:val=&quot;008C4CC6&quot;/&gt;&lt;wsp:rsid wsp:val=&quot;008C5195&quot;/&gt;&lt;wsp:rsid wsp:val=&quot;008C73BF&quot;/&gt;&lt;wsp:rsid wsp:val=&quot;008C7805&quot;/&gt;&lt;wsp:rsid wsp:val=&quot;008D00BC&quot;/&gt;&lt;wsp:rsid wsp:val=&quot;008D07C3&quot;/&gt;&lt;wsp:rsid wsp:val=&quot;008D2411&quot;/&gt;&lt;wsp:rsid wsp:val=&quot;008D2B7A&quot;/&gt;&lt;wsp:rsid wsp:val=&quot;008D31BD&quot;/&gt;&lt;wsp:rsid wsp:val=&quot;008D378A&quot;/&gt;&lt;wsp:rsid wsp:val=&quot;008D3F54&quot;/&gt;&lt;wsp:rsid wsp:val=&quot;008D4517&quot;/&gt;&lt;wsp:rsid wsp:val=&quot;008D474A&quot;/&gt;&lt;wsp:rsid wsp:val=&quot;008D48EF&quot;/&gt;&lt;wsp:rsid wsp:val=&quot;008D5067&quot;/&gt;&lt;wsp:rsid wsp:val=&quot;008D5624&quot;/&gt;&lt;wsp:rsid wsp:val=&quot;008D5CB0&quot;/&gt;&lt;wsp:rsid wsp:val=&quot;008D62E6&quot;/&gt;&lt;wsp:rsid wsp:val=&quot;008D761D&quot;/&gt;&lt;wsp:rsid wsp:val=&quot;008E07F6&quot;/&gt;&lt;wsp:rsid wsp:val=&quot;008E10F6&quot;/&gt;&lt;wsp:rsid wsp:val=&quot;008E2731&quot;/&gt;&lt;wsp:rsid wsp:val=&quot;008E2B5A&quot;/&gt;&lt;wsp:rsid wsp:val=&quot;008E4074&quot;/&gt;&lt;wsp:rsid wsp:val=&quot;008E4A8F&quot;/&gt;&lt;wsp:rsid wsp:val=&quot;008E4CEB&quot;/&gt;&lt;wsp:rsid wsp:val=&quot;008E5436&quot;/&gt;&lt;wsp:rsid wsp:val=&quot;008E59C4&quot;/&gt;&lt;wsp:rsid wsp:val=&quot;008E5FA0&quot;/&gt;&lt;wsp:rsid wsp:val=&quot;008E6280&quot;/&gt;&lt;wsp:rsid wsp:val=&quot;008E6454&quot;/&gt;&lt;wsp:rsid wsp:val=&quot;008E64E0&quot;/&gt;&lt;wsp:rsid wsp:val=&quot;008E6863&quot;/&gt;&lt;wsp:rsid wsp:val=&quot;008E78C2&quot;/&gt;&lt;wsp:rsid wsp:val=&quot;008F0D79&quot;/&gt;&lt;wsp:rsid wsp:val=&quot;008F0F37&quot;/&gt;&lt;wsp:rsid wsp:val=&quot;008F1133&quot;/&gt;&lt;wsp:rsid wsp:val=&quot;008F11A5&quot;/&gt;&lt;wsp:rsid wsp:val=&quot;008F286D&quot;/&gt;&lt;wsp:rsid wsp:val=&quot;008F35F1&quot;/&gt;&lt;wsp:rsid wsp:val=&quot;008F49A9&quot;/&gt;&lt;wsp:rsid wsp:val=&quot;008F4D07&quot;/&gt;&lt;wsp:rsid wsp:val=&quot;008F5A00&quot;/&gt;&lt;wsp:rsid wsp:val=&quot;008F6AB3&quot;/&gt;&lt;wsp:rsid wsp:val=&quot;008F6DA4&quot;/&gt;&lt;wsp:rsid wsp:val=&quot;008F73AE&quot;/&gt;&lt;wsp:rsid wsp:val=&quot;008F7D5D&quot;/&gt;&lt;wsp:rsid wsp:val=&quot;00902316&quot;/&gt;&lt;wsp:rsid wsp:val=&quot;00902428&quot;/&gt;&lt;wsp:rsid wsp:val=&quot;009033AF&quot;/&gt;&lt;wsp:rsid wsp:val=&quot;009043A5&quot;/&gt;&lt;wsp:rsid wsp:val=&quot;009044FB&quot;/&gt;&lt;wsp:rsid wsp:val=&quot;00904910&quot;/&gt;&lt;wsp:rsid wsp:val=&quot;009061FD&quot;/&gt;&lt;wsp:rsid wsp:val=&quot;009070C9&quot;/&gt;&lt;wsp:rsid wsp:val=&quot;0090743D&quot;/&gt;&lt;wsp:rsid wsp:val=&quot;00907503&quot;/&gt;&lt;wsp:rsid wsp:val=&quot;009078D2&quot;/&gt;&lt;wsp:rsid wsp:val=&quot;00907A17&quot;/&gt;&lt;wsp:rsid wsp:val=&quot;0091062B&quot;/&gt;&lt;wsp:rsid wsp:val=&quot;00911739&quot;/&gt;&lt;wsp:rsid wsp:val=&quot;00911888&quot;/&gt;&lt;wsp:rsid wsp:val=&quot;00911D65&quot;/&gt;&lt;wsp:rsid wsp:val=&quot;00911F93&quot;/&gt;&lt;wsp:rsid wsp:val=&quot;00913219&quot;/&gt;&lt;wsp:rsid wsp:val=&quot;00913341&quot;/&gt;&lt;wsp:rsid wsp:val=&quot;00913402&quot;/&gt;&lt;wsp:rsid wsp:val=&quot;009134B6&quot;/&gt;&lt;wsp:rsid wsp:val=&quot;00913EAF&quot;/&gt;&lt;wsp:rsid wsp:val=&quot;00914227&quot;/&gt;&lt;wsp:rsid wsp:val=&quot;00914457&quot;/&gt;&lt;wsp:rsid wsp:val=&quot;009144A1&quot;/&gt;&lt;wsp:rsid wsp:val=&quot;00915673&quot;/&gt;&lt;wsp:rsid wsp:val=&quot;009157A7&quot;/&gt;&lt;wsp:rsid wsp:val=&quot;009159BC&quot;/&gt;&lt;wsp:rsid wsp:val=&quot;00915ACC&quot;/&gt;&lt;wsp:rsid wsp:val=&quot;00916025&quot;/&gt;&lt;wsp:rsid wsp:val=&quot;0091605B&quot;/&gt;&lt;wsp:rsid wsp:val=&quot;009161D3&quot;/&gt;&lt;wsp:rsid wsp:val=&quot;00916388&quot;/&gt;&lt;wsp:rsid wsp:val=&quot;009166BF&quot;/&gt;&lt;wsp:rsid wsp:val=&quot;00916847&quot;/&gt;&lt;wsp:rsid wsp:val=&quot;00916B68&quot;/&gt;&lt;wsp:rsid wsp:val=&quot;00916C43&quot;/&gt;&lt;wsp:rsid wsp:val=&quot;00917DD3&quot;/&gt;&lt;wsp:rsid wsp:val=&quot;00920158&quot;/&gt;&lt;wsp:rsid wsp:val=&quot;0092087D&quot;/&gt;&lt;wsp:rsid wsp:val=&quot;00920BD4&quot;/&gt;&lt;wsp:rsid wsp:val=&quot;00921183&quot;/&gt;&lt;wsp:rsid wsp:val=&quot;0092167B&quot;/&gt;&lt;wsp:rsid wsp:val=&quot;00921B89&quot;/&gt;&lt;wsp:rsid wsp:val=&quot;00921D7B&quot;/&gt;&lt;wsp:rsid wsp:val=&quot;00922662&quot;/&gt;&lt;wsp:rsid wsp:val=&quot;00922852&quot;/&gt;&lt;wsp:rsid wsp:val=&quot;009243F9&quot;/&gt;&lt;wsp:rsid wsp:val=&quot;0092454B&quot;/&gt;&lt;wsp:rsid wsp:val=&quot;00924DC9&quot;/&gt;&lt;wsp:rsid wsp:val=&quot;009254AD&quot;/&gt;&lt;wsp:rsid wsp:val=&quot;00926275&quot;/&gt;&lt;wsp:rsid wsp:val=&quot;00926615&quot;/&gt;&lt;wsp:rsid wsp:val=&quot;00926659&quot;/&gt;&lt;wsp:rsid wsp:val=&quot;00926828&quot;/&gt;&lt;wsp:rsid wsp:val=&quot;00926F26&quot;/&gt;&lt;wsp:rsid wsp:val=&quot;00927781&quot;/&gt;&lt;wsp:rsid wsp:val=&quot;0093035F&quot;/&gt;&lt;wsp:rsid wsp:val=&quot;009306E2&quot;/&gt;&lt;wsp:rsid wsp:val=&quot;00930D1F&quot;/&gt;&lt;wsp:rsid wsp:val=&quot;009315C5&quot;/&gt;&lt;wsp:rsid wsp:val=&quot;00931C2A&quot;/&gt;&lt;wsp:rsid wsp:val=&quot;00931D55&quot;/&gt;&lt;wsp:rsid wsp:val=&quot;00931E55&quot;/&gt;&lt;wsp:rsid wsp:val=&quot;00932629&quot;/&gt;&lt;wsp:rsid wsp:val=&quot;009330EA&quot;/&gt;&lt;wsp:rsid wsp:val=&quot;00933795&quot;/&gt;&lt;wsp:rsid wsp:val=&quot;009342ED&quot;/&gt;&lt;wsp:rsid wsp:val=&quot;0093441F&quot;/&gt;&lt;wsp:rsid wsp:val=&quot;00935897&quot;/&gt;&lt;wsp:rsid wsp:val=&quot;00935CE7&quot;/&gt;&lt;wsp:rsid wsp:val=&quot;009363AB&quot;/&gt;&lt;wsp:rsid wsp:val=&quot;0093712D&quot;/&gt;&lt;wsp:rsid wsp:val=&quot;00940D42&quot;/&gt;&lt;wsp:rsid wsp:val=&quot;00941233&quot;/&gt;&lt;wsp:rsid wsp:val=&quot;00942122&quot;/&gt;&lt;wsp:rsid wsp:val=&quot;00942945&quot;/&gt;&lt;wsp:rsid wsp:val=&quot;0094359C&quot;/&gt;&lt;wsp:rsid wsp:val=&quot;009436C1&quot;/&gt;&lt;wsp:rsid wsp:val=&quot;009437B4&quot;/&gt;&lt;wsp:rsid wsp:val=&quot;00943AFD&quot;/&gt;&lt;wsp:rsid wsp:val=&quot;009445F4&quot;/&gt;&lt;wsp:rsid wsp:val=&quot;00947388&quot;/&gt;&lt;wsp:rsid wsp:val=&quot;00947707&quot;/&gt;&lt;wsp:rsid wsp:val=&quot;00947795&quot;/&gt;&lt;wsp:rsid wsp:val=&quot;00947973&quot;/&gt;&lt;wsp:rsid wsp:val=&quot;00947E92&quot;/&gt;&lt;wsp:rsid wsp:val=&quot;009510F8&quot;/&gt;&lt;wsp:rsid wsp:val=&quot;00951C26&quot;/&gt;&lt;wsp:rsid wsp:val=&quot;00952159&quot;/&gt;&lt;wsp:rsid wsp:val=&quot;00952423&quot;/&gt;&lt;wsp:rsid wsp:val=&quot;00952BF8&quot;/&gt;&lt;wsp:rsid wsp:val=&quot;00953A75&quot;/&gt;&lt;wsp:rsid wsp:val=&quot;00954639&quot;/&gt;&lt;wsp:rsid wsp:val=&quot;00954817&quot;/&gt;&lt;wsp:rsid wsp:val=&quot;0095500B&quot;/&gt;&lt;wsp:rsid wsp:val=&quot;0095512E&quot;/&gt;&lt;wsp:rsid wsp:val=&quot;00955501&quot;/&gt;&lt;wsp:rsid wsp:val=&quot;0095563D&quot;/&gt;&lt;wsp:rsid wsp:val=&quot;009559BE&quot;/&gt;&lt;wsp:rsid wsp:val=&quot;009559E5&quot;/&gt;&lt;wsp:rsid wsp:val=&quot;00956D79&quot;/&gt;&lt;wsp:rsid wsp:val=&quot;00957FD9&quot;/&gt;&lt;wsp:rsid wsp:val=&quot;00960C76&quot;/&gt;&lt;wsp:rsid wsp:val=&quot;009628DF&quot;/&gt;&lt;wsp:rsid wsp:val=&quot;00963250&quot;/&gt;&lt;wsp:rsid wsp:val=&quot;0096443B&quot;/&gt;&lt;wsp:rsid wsp:val=&quot;00964B9D&quot;/&gt;&lt;wsp:rsid wsp:val=&quot;00965AAE&quot;/&gt;&lt;wsp:rsid wsp:val=&quot;00966083&quot;/&gt;&lt;wsp:rsid wsp:val=&quot;00966DEC&quot;/&gt;&lt;wsp:rsid wsp:val=&quot;00967BCB&quot;/&gt;&lt;wsp:rsid wsp:val=&quot;0097075B&quot;/&gt;&lt;wsp:rsid wsp:val=&quot;00971576&quot;/&gt;&lt;wsp:rsid wsp:val=&quot;00971964&quot;/&gt;&lt;wsp:rsid wsp:val=&quot;00971EB0&quot;/&gt;&lt;wsp:rsid wsp:val=&quot;00972373&quot;/&gt;&lt;wsp:rsid wsp:val=&quot;009728E7&quot;/&gt;&lt;wsp:rsid wsp:val=&quot;0097303D&quot;/&gt;&lt;wsp:rsid wsp:val=&quot;0097321D&quot;/&gt;&lt;wsp:rsid wsp:val=&quot;009734E5&quot;/&gt;&lt;wsp:rsid wsp:val=&quot;00973C49&quot;/&gt;&lt;wsp:rsid wsp:val=&quot;00973D75&quot;/&gt;&lt;wsp:rsid wsp:val=&quot;00973DD8&quot;/&gt;&lt;wsp:rsid wsp:val=&quot;009745D2&quot;/&gt;&lt;wsp:rsid wsp:val=&quot;00974825&quot;/&gt;&lt;wsp:rsid wsp:val=&quot;00975133&quot;/&gt;&lt;wsp:rsid wsp:val=&quot;009766C6&quot;/&gt;&lt;wsp:rsid wsp:val=&quot;00980145&quot;/&gt;&lt;wsp:rsid wsp:val=&quot;00981190&quot;/&gt;&lt;wsp:rsid wsp:val=&quot;00983070&quot;/&gt;&lt;wsp:rsid wsp:val=&quot;00983162&quot;/&gt;&lt;wsp:rsid wsp:val=&quot;00983B07&quot;/&gt;&lt;wsp:rsid wsp:val=&quot;009842E4&quot;/&gt;&lt;wsp:rsid wsp:val=&quot;00986565&quot;/&gt;&lt;wsp:rsid wsp:val=&quot;009876D3&quot;/&gt;&lt;wsp:rsid wsp:val=&quot;00987E16&quot;/&gt;&lt;wsp:rsid wsp:val=&quot;0099000E&quot;/&gt;&lt;wsp:rsid wsp:val=&quot;00990DB9&quot;/&gt;&lt;wsp:rsid wsp:val=&quot;009914C8&quot;/&gt;&lt;wsp:rsid wsp:val=&quot;00991FBA&quot;/&gt;&lt;wsp:rsid wsp:val=&quot;00992212&quot;/&gt;&lt;wsp:rsid wsp:val=&quot;009927EE&quot;/&gt;&lt;wsp:rsid wsp:val=&quot;0099339F&quot;/&gt;&lt;wsp:rsid wsp:val=&quot;00993B1F&quot;/&gt;&lt;wsp:rsid wsp:val=&quot;00993D46&quot;/&gt;&lt;wsp:rsid wsp:val=&quot;00993D6A&quot;/&gt;&lt;wsp:rsid wsp:val=&quot;00993F2A&quot;/&gt;&lt;wsp:rsid wsp:val=&quot;00994287&quot;/&gt;&lt;wsp:rsid wsp:val=&quot;00994CB1&quot;/&gt;&lt;wsp:rsid wsp:val=&quot;00994CE7&quot;/&gt;&lt;wsp:rsid wsp:val=&quot;00994F88&quot;/&gt;&lt;wsp:rsid wsp:val=&quot;00995701&quot;/&gt;&lt;wsp:rsid wsp:val=&quot;0099582B&quot;/&gt;&lt;wsp:rsid wsp:val=&quot;00995A73&quot;/&gt;&lt;wsp:rsid wsp:val=&quot;00996BDF&quot;/&gt;&lt;wsp:rsid wsp:val=&quot;009A0A97&quot;/&gt;&lt;wsp:rsid wsp:val=&quot;009A1122&quot;/&gt;&lt;wsp:rsid wsp:val=&quot;009A1CF2&quot;/&gt;&lt;wsp:rsid wsp:val=&quot;009A208D&quot;/&gt;&lt;wsp:rsid wsp:val=&quot;009A3248&quot;/&gt;&lt;wsp:rsid wsp:val=&quot;009A3641&quot;/&gt;&lt;wsp:rsid wsp:val=&quot;009A397E&quot;/&gt;&lt;wsp:rsid wsp:val=&quot;009A3B17&quot;/&gt;&lt;wsp:rsid wsp:val=&quot;009A5C25&quot;/&gt;&lt;wsp:rsid wsp:val=&quot;009A6332&quot;/&gt;&lt;wsp:rsid wsp:val=&quot;009A6D78&quot;/&gt;&lt;wsp:rsid wsp:val=&quot;009A6E41&quot;/&gt;&lt;wsp:rsid wsp:val=&quot;009B05D2&quot;/&gt;&lt;wsp:rsid wsp:val=&quot;009B1075&quot;/&gt;&lt;wsp:rsid wsp:val=&quot;009B160E&quot;/&gt;&lt;wsp:rsid wsp:val=&quot;009B28AF&quot;/&gt;&lt;wsp:rsid wsp:val=&quot;009B2C13&quot;/&gt;&lt;wsp:rsid wsp:val=&quot;009B2C8E&quot;/&gt;&lt;wsp:rsid wsp:val=&quot;009B31FF&quot;/&gt;&lt;wsp:rsid wsp:val=&quot;009B4331&quot;/&gt;&lt;wsp:rsid wsp:val=&quot;009B46A1&quot;/&gt;&lt;wsp:rsid wsp:val=&quot;009B4DDB&quot;/&gt;&lt;wsp:rsid wsp:val=&quot;009B537B&quot;/&gt;&lt;wsp:rsid wsp:val=&quot;009B572E&quot;/&gt;&lt;wsp:rsid wsp:val=&quot;009B6397&quot;/&gt;&lt;wsp:rsid wsp:val=&quot;009C0C80&quot;/&gt;&lt;wsp:rsid wsp:val=&quot;009C169B&quot;/&gt;&lt;wsp:rsid wsp:val=&quot;009C1924&quot;/&gt;&lt;wsp:rsid wsp:val=&quot;009C1B20&quot;/&gt;&lt;wsp:rsid wsp:val=&quot;009C1D2B&quot;/&gt;&lt;wsp:rsid wsp:val=&quot;009C2316&quot;/&gt;&lt;wsp:rsid wsp:val=&quot;009C23CE&quot;/&gt;&lt;wsp:rsid wsp:val=&quot;009C23F5&quot;/&gt;&lt;wsp:rsid wsp:val=&quot;009C283B&quot;/&gt;&lt;wsp:rsid wsp:val=&quot;009C2BD9&quot;/&gt;&lt;wsp:rsid wsp:val=&quot;009C356B&quot;/&gt;&lt;wsp:rsid wsp:val=&quot;009C3C64&quot;/&gt;&lt;wsp:rsid wsp:val=&quot;009C4284&quot;/&gt;&lt;wsp:rsid wsp:val=&quot;009C53BD&quot;/&gt;&lt;wsp:rsid wsp:val=&quot;009C5A38&quot;/&gt;&lt;wsp:rsid wsp:val=&quot;009C5DAB&quot;/&gt;&lt;wsp:rsid wsp:val=&quot;009C602C&quot;/&gt;&lt;wsp:rsid wsp:val=&quot;009C646D&quot;/&gt;&lt;wsp:rsid wsp:val=&quot;009C7584&quot;/&gt;&lt;wsp:rsid wsp:val=&quot;009C7CF0&quot;/&gt;&lt;wsp:rsid wsp:val=&quot;009D0CF7&quot;/&gt;&lt;wsp:rsid wsp:val=&quot;009D0F2A&quot;/&gt;&lt;wsp:rsid wsp:val=&quot;009D1011&quot;/&gt;&lt;wsp:rsid wsp:val=&quot;009D176A&quot;/&gt;&lt;wsp:rsid wsp:val=&quot;009D29FC&quot;/&gt;&lt;wsp:rsid wsp:val=&quot;009D29FE&quot;/&gt;&lt;wsp:rsid wsp:val=&quot;009D2B59&quot;/&gt;&lt;wsp:rsid wsp:val=&quot;009D3BA4&quot;/&gt;&lt;wsp:rsid wsp:val=&quot;009D3EB0&quot;/&gt;&lt;wsp:rsid wsp:val=&quot;009D459A&quot;/&gt;&lt;wsp:rsid wsp:val=&quot;009D466C&quot;/&gt;&lt;wsp:rsid wsp:val=&quot;009D4820&quot;/&gt;&lt;wsp:rsid wsp:val=&quot;009D5084&quot;/&gt;&lt;wsp:rsid wsp:val=&quot;009D567A&quot;/&gt;&lt;wsp:rsid wsp:val=&quot;009D5B2F&quot;/&gt;&lt;wsp:rsid wsp:val=&quot;009D5BDA&quot;/&gt;&lt;wsp:rsid wsp:val=&quot;009D7CDD&quot;/&gt;&lt;wsp:rsid wsp:val=&quot;009D7D88&quot;/&gt;&lt;wsp:rsid wsp:val=&quot;009D7DAB&quot;/&gt;&lt;wsp:rsid wsp:val=&quot;009D7F57&quot;/&gt;&lt;wsp:rsid wsp:val=&quot;009E0828&quot;/&gt;&lt;wsp:rsid wsp:val=&quot;009E1263&quot;/&gt;&lt;wsp:rsid wsp:val=&quot;009E28FE&quot;/&gt;&lt;wsp:rsid wsp:val=&quot;009E2F86&quot;/&gt;&lt;wsp:rsid wsp:val=&quot;009E3EBE&quot;/&gt;&lt;wsp:rsid wsp:val=&quot;009E4440&quot;/&gt;&lt;wsp:rsid wsp:val=&quot;009E44B7&quot;/&gt;&lt;wsp:rsid wsp:val=&quot;009E6229&quot;/&gt;&lt;wsp:rsid wsp:val=&quot;009E743D&quot;/&gt;&lt;wsp:rsid wsp:val=&quot;009E77A6&quot;/&gt;&lt;wsp:rsid wsp:val=&quot;009F0056&quot;/&gt;&lt;wsp:rsid wsp:val=&quot;009F010D&quot;/&gt;&lt;wsp:rsid wsp:val=&quot;009F08E8&quot;/&gt;&lt;wsp:rsid wsp:val=&quot;009F11C7&quot;/&gt;&lt;wsp:rsid wsp:val=&quot;009F15D6&quot;/&gt;&lt;wsp:rsid wsp:val=&quot;009F1E08&quot;/&gt;&lt;wsp:rsid wsp:val=&quot;009F25C6&quot;/&gt;&lt;wsp:rsid wsp:val=&quot;009F3479&quot;/&gt;&lt;wsp:rsid wsp:val=&quot;009F34F5&quot;/&gt;&lt;wsp:rsid wsp:val=&quot;009F3EBF&quot;/&gt;&lt;wsp:rsid wsp:val=&quot;009F3F5A&quot;/&gt;&lt;wsp:rsid wsp:val=&quot;009F411A&quot;/&gt;&lt;wsp:rsid wsp:val=&quot;009F44F5&quot;/&gt;&lt;wsp:rsid wsp:val=&quot;009F4600&quot;/&gt;&lt;wsp:rsid wsp:val=&quot;009F520C&quot;/&gt;&lt;wsp:rsid wsp:val=&quot;009F5958&quot;/&gt;&lt;wsp:rsid wsp:val=&quot;009F5AF9&quot;/&gt;&lt;wsp:rsid wsp:val=&quot;009F65A0&quot;/&gt;&lt;wsp:rsid wsp:val=&quot;009F6ACF&quot;/&gt;&lt;wsp:rsid wsp:val=&quot;009F796D&quot;/&gt;&lt;wsp:rsid wsp:val=&quot;00A00B97&quot;/&gt;&lt;wsp:rsid wsp:val=&quot;00A010FD&quot;/&gt;&lt;wsp:rsid wsp:val=&quot;00A014DD&quot;/&gt;&lt;wsp:rsid wsp:val=&quot;00A01737&quot;/&gt;&lt;wsp:rsid wsp:val=&quot;00A022D4&quot;/&gt;&lt;wsp:rsid wsp:val=&quot;00A02428&quot;/&gt;&lt;wsp:rsid wsp:val=&quot;00A02E79&quot;/&gt;&lt;wsp:rsid wsp:val=&quot;00A04BD0&quot;/&gt;&lt;wsp:rsid wsp:val=&quot;00A05777&quot;/&gt;&lt;wsp:rsid wsp:val=&quot;00A06BB4&quot;/&gt;&lt;wsp:rsid wsp:val=&quot;00A0719A&quot;/&gt;&lt;wsp:rsid wsp:val=&quot;00A078CF&quot;/&gt;&lt;wsp:rsid wsp:val=&quot;00A1005C&quot;/&gt;&lt;wsp:rsid wsp:val=&quot;00A100C5&quot;/&gt;&lt;wsp:rsid wsp:val=&quot;00A10216&quot;/&gt;&lt;wsp:rsid wsp:val=&quot;00A106AD&quot;/&gt;&lt;wsp:rsid wsp:val=&quot;00A110BE&quot;/&gt;&lt;wsp:rsid wsp:val=&quot;00A1154B&quot;/&gt;&lt;wsp:rsid wsp:val=&quot;00A11A51&quot;/&gt;&lt;wsp:rsid wsp:val=&quot;00A130FF&quot;/&gt;&lt;wsp:rsid wsp:val=&quot;00A1330E&quot;/&gt;&lt;wsp:rsid wsp:val=&quot;00A13EA6&quot;/&gt;&lt;wsp:rsid wsp:val=&quot;00A14061&quot;/&gt;&lt;wsp:rsid wsp:val=&quot;00A149D3&quot;/&gt;&lt;wsp:rsid wsp:val=&quot;00A154B2&quot;/&gt;&lt;wsp:rsid wsp:val=&quot;00A157AB&quot;/&gt;&lt;wsp:rsid wsp:val=&quot;00A16A75&quot;/&gt;&lt;wsp:rsid wsp:val=&quot;00A16D44&quot;/&gt;&lt;wsp:rsid wsp:val=&quot;00A17FAB&quot;/&gt;&lt;wsp:rsid wsp:val=&quot;00A20DAD&quot;/&gt;&lt;wsp:rsid wsp:val=&quot;00A21410&quot;/&gt;&lt;wsp:rsid wsp:val=&quot;00A21641&quot;/&gt;&lt;wsp:rsid wsp:val=&quot;00A21647&quot;/&gt;&lt;wsp:rsid wsp:val=&quot;00A217D0&quot;/&gt;&lt;wsp:rsid wsp:val=&quot;00A21B56&quot;/&gt;&lt;wsp:rsid wsp:val=&quot;00A228D9&quot;/&gt;&lt;wsp:rsid wsp:val=&quot;00A22F96&quot;/&gt;&lt;wsp:rsid wsp:val=&quot;00A2341D&quot;/&gt;&lt;wsp:rsid wsp:val=&quot;00A246BE&quot;/&gt;&lt;wsp:rsid wsp:val=&quot;00A24B11&quot;/&gt;&lt;wsp:rsid wsp:val=&quot;00A253A6&quot;/&gt;&lt;wsp:rsid wsp:val=&quot;00A25BB3&quot;/&gt;&lt;wsp:rsid wsp:val=&quot;00A25F46&quot;/&gt;&lt;wsp:rsid wsp:val=&quot;00A26A63&quot;/&gt;&lt;wsp:rsid wsp:val=&quot;00A27B4D&quot;/&gt;&lt;wsp:rsid wsp:val=&quot;00A27D6C&quot;/&gt;&lt;wsp:rsid wsp:val=&quot;00A304EC&quot;/&gt;&lt;wsp:rsid wsp:val=&quot;00A3073D&quot;/&gt;&lt;wsp:rsid wsp:val=&quot;00A3097D&quot;/&gt;&lt;wsp:rsid wsp:val=&quot;00A33631&quot;/&gt;&lt;wsp:rsid wsp:val=&quot;00A33CB7&quot;/&gt;&lt;wsp:rsid wsp:val=&quot;00A34F60&quot;/&gt;&lt;wsp:rsid wsp:val=&quot;00A3706E&quot;/&gt;&lt;wsp:rsid wsp:val=&quot;00A37848&quot;/&gt;&lt;wsp:rsid wsp:val=&quot;00A40509&quot;/&gt;&lt;wsp:rsid wsp:val=&quot;00A407EF&quot;/&gt;&lt;wsp:rsid wsp:val=&quot;00A40CFC&quot;/&gt;&lt;wsp:rsid wsp:val=&quot;00A41DD8&quot;/&gt;&lt;wsp:rsid wsp:val=&quot;00A42C84&quot;/&gt;&lt;wsp:rsid wsp:val=&quot;00A42E6E&quot;/&gt;&lt;wsp:rsid wsp:val=&quot;00A4357D&quot;/&gt;&lt;wsp:rsid wsp:val=&quot;00A43663&quot;/&gt;&lt;wsp:rsid wsp:val=&quot;00A43947&quot;/&gt;&lt;wsp:rsid wsp:val=&quot;00A43C31&quot;/&gt;&lt;wsp:rsid wsp:val=&quot;00A450B7&quot;/&gt;&lt;wsp:rsid wsp:val=&quot;00A45619&quot;/&gt;&lt;wsp:rsid wsp:val=&quot;00A46721&quot;/&gt;&lt;wsp:rsid wsp:val=&quot;00A4736D&quot;/&gt;&lt;wsp:rsid wsp:val=&quot;00A50030&quot;/&gt;&lt;wsp:rsid wsp:val=&quot;00A505BE&quot;/&gt;&lt;wsp:rsid wsp:val=&quot;00A50753&quot;/&gt;&lt;wsp:rsid wsp:val=&quot;00A50EBE&quot;/&gt;&lt;wsp:rsid wsp:val=&quot;00A50F9D&quot;/&gt;&lt;wsp:rsid wsp:val=&quot;00A516BA&quot;/&gt;&lt;wsp:rsid wsp:val=&quot;00A51938&quot;/&gt;&lt;wsp:rsid wsp:val=&quot;00A520A9&quot;/&gt;&lt;wsp:rsid wsp:val=&quot;00A52199&quot;/&gt;&lt;wsp:rsid wsp:val=&quot;00A53C73&quot;/&gt;&lt;wsp:rsid wsp:val=&quot;00A5406B&quot;/&gt;&lt;wsp:rsid wsp:val=&quot;00A54920&quot;/&gt;&lt;wsp:rsid wsp:val=&quot;00A55391&quot;/&gt;&lt;wsp:rsid wsp:val=&quot;00A55993&quot;/&gt;&lt;wsp:rsid wsp:val=&quot;00A565B2&quot;/&gt;&lt;wsp:rsid wsp:val=&quot;00A56B48&quot;/&gt;&lt;wsp:rsid wsp:val=&quot;00A5794F&quot;/&gt;&lt;wsp:rsid wsp:val=&quot;00A60291&quot;/&gt;&lt;wsp:rsid wsp:val=&quot;00A6134C&quot;/&gt;&lt;wsp:rsid wsp:val=&quot;00A6137D&quot;/&gt;&lt;wsp:rsid wsp:val=&quot;00A613A5&quot;/&gt;&lt;wsp:rsid wsp:val=&quot;00A6195F&quot;/&gt;&lt;wsp:rsid wsp:val=&quot;00A61F2A&quot;/&gt;&lt;wsp:rsid wsp:val=&quot;00A62ADE&quot;/&gt;&lt;wsp:rsid wsp:val=&quot;00A6312E&quot;/&gt;&lt;wsp:rsid wsp:val=&quot;00A6411F&quot;/&gt;&lt;wsp:rsid wsp:val=&quot;00A646EE&quot;/&gt;&lt;wsp:rsid wsp:val=&quot;00A64837&quot;/&gt;&lt;wsp:rsid wsp:val=&quot;00A65C8A&quot;/&gt;&lt;wsp:rsid wsp:val=&quot;00A65DBD&quot;/&gt;&lt;wsp:rsid wsp:val=&quot;00A66038&quot;/&gt;&lt;wsp:rsid wsp:val=&quot;00A663BC&quot;/&gt;&lt;wsp:rsid wsp:val=&quot;00A664A3&quot;/&gt;&lt;wsp:rsid wsp:val=&quot;00A66DDF&quot;/&gt;&lt;wsp:rsid wsp:val=&quot;00A66FF2&quot;/&gt;&lt;wsp:rsid wsp:val=&quot;00A67656&quot;/&gt;&lt;wsp:rsid wsp:val=&quot;00A6782B&quot;/&gt;&lt;wsp:rsid wsp:val=&quot;00A67A57&quot;/&gt;&lt;wsp:rsid wsp:val=&quot;00A70153&quot;/&gt;&lt;wsp:rsid wsp:val=&quot;00A70806&quot;/&gt;&lt;wsp:rsid wsp:val=&quot;00A71322&quot;/&gt;&lt;wsp:rsid wsp:val=&quot;00A71390&quot;/&gt;&lt;wsp:rsid wsp:val=&quot;00A71412&quot;/&gt;&lt;wsp:rsid wsp:val=&quot;00A7142A&quot;/&gt;&lt;wsp:rsid wsp:val=&quot;00A716C2&quot;/&gt;&lt;wsp:rsid wsp:val=&quot;00A7250E&quot;/&gt;&lt;wsp:rsid wsp:val=&quot;00A73299&quot;/&gt;&lt;wsp:rsid wsp:val=&quot;00A73449&quot;/&gt;&lt;wsp:rsid wsp:val=&quot;00A73BA7&quot;/&gt;&lt;wsp:rsid wsp:val=&quot;00A73BEC&quot;/&gt;&lt;wsp:rsid wsp:val=&quot;00A74B5E&quot;/&gt;&lt;wsp:rsid wsp:val=&quot;00A75992&quot;/&gt;&lt;wsp:rsid wsp:val=&quot;00A75A15&quot;/&gt;&lt;wsp:rsid wsp:val=&quot;00A76181&quot;/&gt;&lt;wsp:rsid wsp:val=&quot;00A761EB&quot;/&gt;&lt;wsp:rsid wsp:val=&quot;00A7643E&quot;/&gt;&lt;wsp:rsid wsp:val=&quot;00A76AB5&quot;/&gt;&lt;wsp:rsid wsp:val=&quot;00A76EB3&quot;/&gt;&lt;wsp:rsid wsp:val=&quot;00A77289&quot;/&gt;&lt;wsp:rsid wsp:val=&quot;00A807B0&quot;/&gt;&lt;wsp:rsid wsp:val=&quot;00A80A3A&quot;/&gt;&lt;wsp:rsid wsp:val=&quot;00A80A71&quot;/&gt;&lt;wsp:rsid wsp:val=&quot;00A810A4&quot;/&gt;&lt;wsp:rsid wsp:val=&quot;00A8132C&quot;/&gt;&lt;wsp:rsid wsp:val=&quot;00A8256D&quot;/&gt;&lt;wsp:rsid wsp:val=&quot;00A82B0C&quot;/&gt;&lt;wsp:rsid wsp:val=&quot;00A8483B&quot;/&gt;&lt;wsp:rsid wsp:val=&quot;00A84B15&quot;/&gt;&lt;wsp:rsid wsp:val=&quot;00A852E0&quot;/&gt;&lt;wsp:rsid wsp:val=&quot;00A854E6&quot;/&gt;&lt;wsp:rsid wsp:val=&quot;00A8574E&quot;/&gt;&lt;wsp:rsid wsp:val=&quot;00A85FCF&quot;/&gt;&lt;wsp:rsid wsp:val=&quot;00A86778&quot;/&gt;&lt;wsp:rsid wsp:val=&quot;00A86A82&quot;/&gt;&lt;wsp:rsid wsp:val=&quot;00A87556&quot;/&gt;&lt;wsp:rsid wsp:val=&quot;00A87841&quot;/&gt;&lt;wsp:rsid wsp:val=&quot;00A87C6B&quot;/&gt;&lt;wsp:rsid wsp:val=&quot;00A87F48&quot;/&gt;&lt;wsp:rsid wsp:val=&quot;00A90CA4&quot;/&gt;&lt;wsp:rsid wsp:val=&quot;00A91AB1&quot;/&gt;&lt;wsp:rsid wsp:val=&quot;00A91BAF&quot;/&gt;&lt;wsp:rsid wsp:val=&quot;00A923B6&quot;/&gt;&lt;wsp:rsid wsp:val=&quot;00A924EA&quot;/&gt;&lt;wsp:rsid wsp:val=&quot;00A93944&quot;/&gt;&lt;wsp:rsid wsp:val=&quot;00A941FB&quot;/&gt;&lt;wsp:rsid wsp:val=&quot;00A94BE3&quot;/&gt;&lt;wsp:rsid wsp:val=&quot;00A95599&quot;/&gt;&lt;wsp:rsid wsp:val=&quot;00A96264&quot;/&gt;&lt;wsp:rsid wsp:val=&quot;00A9663E&quot;/&gt;&lt;wsp:rsid wsp:val=&quot;00A96700&quot;/&gt;&lt;wsp:rsid wsp:val=&quot;00A96EFE&quot;/&gt;&lt;wsp:rsid wsp:val=&quot;00A97295&quot;/&gt;&lt;wsp:rsid wsp:val=&quot;00A972F1&quot;/&gt;&lt;wsp:rsid wsp:val=&quot;00A97571&quot;/&gt;&lt;wsp:rsid wsp:val=&quot;00A97716&quot;/&gt;&lt;wsp:rsid wsp:val=&quot;00A97B5A&quot;/&gt;&lt;wsp:rsid wsp:val=&quot;00AA07C2&quot;/&gt;&lt;wsp:rsid wsp:val=&quot;00AA0FD4&quot;/&gt;&lt;wsp:rsid wsp:val=&quot;00AA1FC7&quot;/&gt;&lt;wsp:rsid wsp:val=&quot;00AA2833&quot;/&gt;&lt;wsp:rsid wsp:val=&quot;00AA39D0&quot;/&gt;&lt;wsp:rsid wsp:val=&quot;00AA465F&quot;/&gt;&lt;wsp:rsid wsp:val=&quot;00AA4875&quot;/&gt;&lt;wsp:rsid wsp:val=&quot;00AA4C93&quot;/&gt;&lt;wsp:rsid wsp:val=&quot;00AA4D61&quot;/&gt;&lt;wsp:rsid wsp:val=&quot;00AA4D85&quot;/&gt;&lt;wsp:rsid wsp:val=&quot;00AA5590&quot;/&gt;&lt;wsp:rsid wsp:val=&quot;00AA56AD&quot;/&gt;&lt;wsp:rsid wsp:val=&quot;00AA6801&quot;/&gt;&lt;wsp:rsid wsp:val=&quot;00AA6923&quot;/&gt;&lt;wsp:rsid wsp:val=&quot;00AA6E3E&quot;/&gt;&lt;wsp:rsid wsp:val=&quot;00AA7487&quot;/&gt;&lt;wsp:rsid wsp:val=&quot;00AB0592&quot;/&gt;&lt;wsp:rsid wsp:val=&quot;00AB0B05&quot;/&gt;&lt;wsp:rsid wsp:val=&quot;00AB1A5A&quot;/&gt;&lt;wsp:rsid wsp:val=&quot;00AB297C&quot;/&gt;&lt;wsp:rsid wsp:val=&quot;00AB29D1&quot;/&gt;&lt;wsp:rsid wsp:val=&quot;00AB2B3D&quot;/&gt;&lt;wsp:rsid wsp:val=&quot;00AB3C0F&quot;/&gt;&lt;wsp:rsid wsp:val=&quot;00AB4FDD&quot;/&gt;&lt;wsp:rsid wsp:val=&quot;00AB5A12&quot;/&gt;&lt;wsp:rsid wsp:val=&quot;00AB600D&quot;/&gt;&lt;wsp:rsid wsp:val=&quot;00AB60F9&quot;/&gt;&lt;wsp:rsid wsp:val=&quot;00AB6F73&quot;/&gt;&lt;wsp:rsid wsp:val=&quot;00AB73F6&quot;/&gt;&lt;wsp:rsid wsp:val=&quot;00AC0016&quot;/&gt;&lt;wsp:rsid wsp:val=&quot;00AC011B&quot;/&gt;&lt;wsp:rsid wsp:val=&quot;00AC022C&quot;/&gt;&lt;wsp:rsid wsp:val=&quot;00AC05C0&quot;/&gt;&lt;wsp:rsid wsp:val=&quot;00AC111F&quot;/&gt;&lt;wsp:rsid wsp:val=&quot;00AC2819&quot;/&gt;&lt;wsp:rsid wsp:val=&quot;00AC2CC6&quot;/&gt;&lt;wsp:rsid wsp:val=&quot;00AC2DD0&quot;/&gt;&lt;wsp:rsid wsp:val=&quot;00AC30DA&quot;/&gt;&lt;wsp:rsid wsp:val=&quot;00AC4CE3&quot;/&gt;&lt;wsp:rsid wsp:val=&quot;00AC5512&quot;/&gt;&lt;wsp:rsid wsp:val=&quot;00AC5A0B&quot;/&gt;&lt;wsp:rsid wsp:val=&quot;00AC5C62&quot;/&gt;&lt;wsp:rsid wsp:val=&quot;00AC5E88&quot;/&gt;&lt;wsp:rsid wsp:val=&quot;00AC6305&quot;/&gt;&lt;wsp:rsid wsp:val=&quot;00AC6C7F&quot;/&gt;&lt;wsp:rsid wsp:val=&quot;00AC7097&quot;/&gt;&lt;wsp:rsid wsp:val=&quot;00AD0497&quot;/&gt;&lt;wsp:rsid wsp:val=&quot;00AD0607&quot;/&gt;&lt;wsp:rsid wsp:val=&quot;00AD12FF&quot;/&gt;&lt;wsp:rsid wsp:val=&quot;00AD1951&quot;/&gt;&lt;wsp:rsid wsp:val=&quot;00AD26E2&quot;/&gt;&lt;wsp:rsid wsp:val=&quot;00AD302D&quot;/&gt;&lt;wsp:rsid wsp:val=&quot;00AD34F0&quot;/&gt;&lt;wsp:rsid wsp:val=&quot;00AD3A2A&quot;/&gt;&lt;wsp:rsid wsp:val=&quot;00AD3C62&quot;/&gt;&lt;wsp:rsid wsp:val=&quot;00AD471C&quot;/&gt;&lt;wsp:rsid wsp:val=&quot;00AD4883&quot;/&gt;&lt;wsp:rsid wsp:val=&quot;00AD4B6F&quot;/&gt;&lt;wsp:rsid wsp:val=&quot;00AD50B4&quot;/&gt;&lt;wsp:rsid wsp:val=&quot;00AD51C5&quot;/&gt;&lt;wsp:rsid wsp:val=&quot;00AD574A&quot;/&gt;&lt;wsp:rsid wsp:val=&quot;00AD70AD&quot;/&gt;&lt;wsp:rsid wsp:val=&quot;00AD7772&quot;/&gt;&lt;wsp:rsid wsp:val=&quot;00AD793A&quot;/&gt;&lt;wsp:rsid wsp:val=&quot;00AE0393&quot;/&gt;&lt;wsp:rsid wsp:val=&quot;00AE1A3D&quot;/&gt;&lt;wsp:rsid wsp:val=&quot;00AE1A93&quot;/&gt;&lt;wsp:rsid wsp:val=&quot;00AE2BCF&quot;/&gt;&lt;wsp:rsid wsp:val=&quot;00AE2D0E&quot;/&gt;&lt;wsp:rsid wsp:val=&quot;00AE3D21&quot;/&gt;&lt;wsp:rsid wsp:val=&quot;00AE41A9&quot;/&gt;&lt;wsp:rsid wsp:val=&quot;00AE4C55&quot;/&gt;&lt;wsp:rsid wsp:val=&quot;00AE4F9E&quot;/&gt;&lt;wsp:rsid wsp:val=&quot;00AE4FCB&quot;/&gt;&lt;wsp:rsid wsp:val=&quot;00AE5317&quot;/&gt;&lt;wsp:rsid wsp:val=&quot;00AE5491&quot;/&gt;&lt;wsp:rsid wsp:val=&quot;00AE5DBF&quot;/&gt;&lt;wsp:rsid wsp:val=&quot;00AE64C9&quot;/&gt;&lt;wsp:rsid wsp:val=&quot;00AE6D2B&quot;/&gt;&lt;wsp:rsid wsp:val=&quot;00AE6E08&quot;/&gt;&lt;wsp:rsid wsp:val=&quot;00AE721E&quot;/&gt;&lt;wsp:rsid wsp:val=&quot;00AE7259&quot;/&gt;&lt;wsp:rsid wsp:val=&quot;00AE746F&quot;/&gt;&lt;wsp:rsid wsp:val=&quot;00AE75D8&quot;/&gt;&lt;wsp:rsid wsp:val=&quot;00AF0087&quot;/&gt;&lt;wsp:rsid wsp:val=&quot;00AF122E&quot;/&gt;&lt;wsp:rsid wsp:val=&quot;00AF255E&quot;/&gt;&lt;wsp:rsid wsp:val=&quot;00AF273E&quot;/&gt;&lt;wsp:rsid wsp:val=&quot;00AF302D&quot;/&gt;&lt;wsp:rsid wsp:val=&quot;00AF30A6&quot;/&gt;&lt;wsp:rsid wsp:val=&quot;00AF31F1&quot;/&gt;&lt;wsp:rsid wsp:val=&quot;00AF3A09&quot;/&gt;&lt;wsp:rsid wsp:val=&quot;00AF4B11&quot;/&gt;&lt;wsp:rsid wsp:val=&quot;00AF5593&quot;/&gt;&lt;wsp:rsid wsp:val=&quot;00AF5BA8&quot;/&gt;&lt;wsp:rsid wsp:val=&quot;00AF60A5&quot;/&gt;&lt;wsp:rsid wsp:val=&quot;00AF61CC&quot;/&gt;&lt;wsp:rsid wsp:val=&quot;00AF7F8E&quot;/&gt;&lt;wsp:rsid wsp:val=&quot;00B00140&quot;/&gt;&lt;wsp:rsid wsp:val=&quot;00B00667&quot;/&gt;&lt;wsp:rsid wsp:val=&quot;00B0091D&quot;/&gt;&lt;wsp:rsid wsp:val=&quot;00B00A9C&quot;/&gt;&lt;wsp:rsid wsp:val=&quot;00B0228A&quot;/&gt;&lt;wsp:rsid wsp:val=&quot;00B022D0&quot;/&gt;&lt;wsp:rsid wsp:val=&quot;00B02E0B&quot;/&gt;&lt;wsp:rsid wsp:val=&quot;00B037E8&quot;/&gt;&lt;wsp:rsid wsp:val=&quot;00B053EB&quot;/&gt;&lt;wsp:rsid wsp:val=&quot;00B056BF&quot;/&gt;&lt;wsp:rsid wsp:val=&quot;00B05D79&quot;/&gt;&lt;wsp:rsid wsp:val=&quot;00B062A3&quot;/&gt;&lt;wsp:rsid wsp:val=&quot;00B104B1&quot;/&gt;&lt;wsp:rsid wsp:val=&quot;00B1054D&quot;/&gt;&lt;wsp:rsid wsp:val=&quot;00B10858&quot;/&gt;&lt;wsp:rsid wsp:val=&quot;00B10C63&quot;/&gt;&lt;wsp:rsid wsp:val=&quot;00B11317&quot;/&gt;&lt;wsp:rsid wsp:val=&quot;00B118E2&quot;/&gt;&lt;wsp:rsid wsp:val=&quot;00B12EF4&quot;/&gt;&lt;wsp:rsid wsp:val=&quot;00B14866&quot;/&gt;&lt;wsp:rsid wsp:val=&quot;00B15AD4&quot;/&gt;&lt;wsp:rsid wsp:val=&quot;00B15B23&quot;/&gt;&lt;wsp:rsid wsp:val=&quot;00B15E33&quot;/&gt;&lt;wsp:rsid wsp:val=&quot;00B16BF2&quot;/&gt;&lt;wsp:rsid wsp:val=&quot;00B16D1D&quot;/&gt;&lt;wsp:rsid wsp:val=&quot;00B1763F&quot;/&gt;&lt;wsp:rsid wsp:val=&quot;00B17663&quot;/&gt;&lt;wsp:rsid wsp:val=&quot;00B17EF0&quot;/&gt;&lt;wsp:rsid wsp:val=&quot;00B2031F&quot;/&gt;&lt;wsp:rsid wsp:val=&quot;00B2134B&quot;/&gt;&lt;wsp:rsid wsp:val=&quot;00B214ED&quot;/&gt;&lt;wsp:rsid wsp:val=&quot;00B216EE&quot;/&gt;&lt;wsp:rsid wsp:val=&quot;00B21FCB&quot;/&gt;&lt;wsp:rsid wsp:val=&quot;00B22040&quot;/&gt;&lt;wsp:rsid wsp:val=&quot;00B222F4&quot;/&gt;&lt;wsp:rsid wsp:val=&quot;00B23417&quot;/&gt;&lt;wsp:rsid wsp:val=&quot;00B247C4&quot;/&gt;&lt;wsp:rsid wsp:val=&quot;00B25682&quot;/&gt;&lt;wsp:rsid wsp:val=&quot;00B26E85&quot;/&gt;&lt;wsp:rsid wsp:val=&quot;00B27088&quot;/&gt;&lt;wsp:rsid wsp:val=&quot;00B27443&quot;/&gt;&lt;wsp:rsid wsp:val=&quot;00B27541&quot;/&gt;&lt;wsp:rsid wsp:val=&quot;00B30F75&quot;/&gt;&lt;wsp:rsid wsp:val=&quot;00B31818&quot;/&gt;&lt;wsp:rsid wsp:val=&quot;00B31A3F&quot;/&gt;&lt;wsp:rsid wsp:val=&quot;00B31B2D&quot;/&gt;&lt;wsp:rsid wsp:val=&quot;00B327BC&quot;/&gt;&lt;wsp:rsid wsp:val=&quot;00B3288D&quot;/&gt;&lt;wsp:rsid wsp:val=&quot;00B32E88&quot;/&gt;&lt;wsp:rsid wsp:val=&quot;00B331EC&quot;/&gt;&lt;wsp:rsid wsp:val=&quot;00B34399&quot;/&gt;&lt;wsp:rsid wsp:val=&quot;00B348F5&quot;/&gt;&lt;wsp:rsid wsp:val=&quot;00B35423&quot;/&gt;&lt;wsp:rsid wsp:val=&quot;00B359DB&quot;/&gt;&lt;wsp:rsid wsp:val=&quot;00B35BC3&quot;/&gt;&lt;wsp:rsid wsp:val=&quot;00B35E8E&quot;/&gt;&lt;wsp:rsid wsp:val=&quot;00B37454&quot;/&gt;&lt;wsp:rsid wsp:val=&quot;00B37A0B&quot;/&gt;&lt;wsp:rsid wsp:val=&quot;00B37FDF&quot;/&gt;&lt;wsp:rsid wsp:val=&quot;00B40240&quot;/&gt;&lt;wsp:rsid wsp:val=&quot;00B41046&quot;/&gt;&lt;wsp:rsid wsp:val=&quot;00B41195&quot;/&gt;&lt;wsp:rsid wsp:val=&quot;00B41ED1&quot;/&gt;&lt;wsp:rsid wsp:val=&quot;00B421BE&quot;/&gt;&lt;wsp:rsid wsp:val=&quot;00B4225E&quot;/&gt;&lt;wsp:rsid wsp:val=&quot;00B427C0&quot;/&gt;&lt;wsp:rsid wsp:val=&quot;00B43884&quot;/&gt;&lt;wsp:rsid wsp:val=&quot;00B44111&quot;/&gt;&lt;wsp:rsid wsp:val=&quot;00B443E5&quot;/&gt;&lt;wsp:rsid wsp:val=&quot;00B44539&quot;/&gt;&lt;wsp:rsid wsp:val=&quot;00B44780&quot;/&gt;&lt;wsp:rsid wsp:val=&quot;00B44BC8&quot;/&gt;&lt;wsp:rsid wsp:val=&quot;00B45480&quot;/&gt;&lt;wsp:rsid wsp:val=&quot;00B4564E&quot;/&gt;&lt;wsp:rsid wsp:val=&quot;00B45988&quot;/&gt;&lt;wsp:rsid wsp:val=&quot;00B45EA0&quot;/&gt;&lt;wsp:rsid wsp:val=&quot;00B46A8C&quot;/&gt;&lt;wsp:rsid wsp:val=&quot;00B47012&quot;/&gt;&lt;wsp:rsid wsp:val=&quot;00B470FE&quot;/&gt;&lt;wsp:rsid wsp:val=&quot;00B47271&quot;/&gt;&lt;wsp:rsid wsp:val=&quot;00B4763F&quot;/&gt;&lt;wsp:rsid wsp:val=&quot;00B502D7&quot;/&gt;&lt;wsp:rsid wsp:val=&quot;00B50A5C&quot;/&gt;&lt;wsp:rsid wsp:val=&quot;00B51191&quot;/&gt;&lt;wsp:rsid wsp:val=&quot;00B51CB2&quot;/&gt;&lt;wsp:rsid wsp:val=&quot;00B52CA0&quot;/&gt;&lt;wsp:rsid wsp:val=&quot;00B5360A&quot;/&gt;&lt;wsp:rsid wsp:val=&quot;00B5380B&quot;/&gt;&lt;wsp:rsid wsp:val=&quot;00B5384F&quot;/&gt;&lt;wsp:rsid wsp:val=&quot;00B53AA0&quot;/&gt;&lt;wsp:rsid wsp:val=&quot;00B55B91&quot;/&gt;&lt;wsp:rsid wsp:val=&quot;00B55E17&quot;/&gt;&lt;wsp:rsid wsp:val=&quot;00B565A1&quot;/&gt;&lt;wsp:rsid wsp:val=&quot;00B56C31&quot;/&gt;&lt;wsp:rsid wsp:val=&quot;00B57549&quot;/&gt;&lt;wsp:rsid wsp:val=&quot;00B579D6&quot;/&gt;&lt;wsp:rsid wsp:val=&quot;00B601CF&quot;/&gt;&lt;wsp:rsid wsp:val=&quot;00B60580&quot;/&gt;&lt;wsp:rsid wsp:val=&quot;00B60A93&quot;/&gt;&lt;wsp:rsid wsp:val=&quot;00B6167D&quot;/&gt;&lt;wsp:rsid wsp:val=&quot;00B61864&quot;/&gt;&lt;wsp:rsid wsp:val=&quot;00B61EC2&quot;/&gt;&lt;wsp:rsid wsp:val=&quot;00B62A1E&quot;/&gt;&lt;wsp:rsid wsp:val=&quot;00B635B3&quot;/&gt;&lt;wsp:rsid wsp:val=&quot;00B6368C&quot;/&gt;&lt;wsp:rsid wsp:val=&quot;00B63756&quot;/&gt;&lt;wsp:rsid wsp:val=&quot;00B646A8&quot;/&gt;&lt;wsp:rsid wsp:val=&quot;00B64BCD&quot;/&gt;&lt;wsp:rsid wsp:val=&quot;00B6531C&quot;/&gt;&lt;wsp:rsid wsp:val=&quot;00B65E65&quot;/&gt;&lt;wsp:rsid wsp:val=&quot;00B6605F&quot;/&gt;&lt;wsp:rsid wsp:val=&quot;00B661E1&quot;/&gt;&lt;wsp:rsid wsp:val=&quot;00B66620&quot;/&gt;&lt;wsp:rsid wsp:val=&quot;00B6783C&quot;/&gt;&lt;wsp:rsid wsp:val=&quot;00B70F53&quot;/&gt;&lt;wsp:rsid wsp:val=&quot;00B7118C&quot;/&gt;&lt;wsp:rsid wsp:val=&quot;00B756BD&quot;/&gt;&lt;wsp:rsid wsp:val=&quot;00B763CF&quot;/&gt;&lt;wsp:rsid wsp:val=&quot;00B76D16&quot;/&gt;&lt;wsp:rsid wsp:val=&quot;00B77328&quot;/&gt;&lt;wsp:rsid wsp:val=&quot;00B776B8&quot;/&gt;&lt;wsp:rsid wsp:val=&quot;00B777B2&quot;/&gt;&lt;wsp:rsid wsp:val=&quot;00B7798A&quot;/&gt;&lt;wsp:rsid wsp:val=&quot;00B77A81&quot;/&gt;&lt;wsp:rsid wsp:val=&quot;00B814CE&quot;/&gt;&lt;wsp:rsid wsp:val=&quot;00B819C8&quot;/&gt;&lt;wsp:rsid wsp:val=&quot;00B81B24&quot;/&gt;&lt;wsp:rsid wsp:val=&quot;00B82124&quot;/&gt;&lt;wsp:rsid wsp:val=&quot;00B82325&quot;/&gt;&lt;wsp:rsid wsp:val=&quot;00B82A49&quot;/&gt;&lt;wsp:rsid wsp:val=&quot;00B83057&quot;/&gt;&lt;wsp:rsid wsp:val=&quot;00B83BE6&quot;/&gt;&lt;wsp:rsid wsp:val=&quot;00B84AC0&quot;/&gt;&lt;wsp:rsid wsp:val=&quot;00B85BC1&quot;/&gt;&lt;wsp:rsid wsp:val=&quot;00B85EFB&quot;/&gt;&lt;wsp:rsid wsp:val=&quot;00B86983&quot;/&gt;&lt;wsp:rsid wsp:val=&quot;00B870CF&quot;/&gt;&lt;wsp:rsid wsp:val=&quot;00B8762D&quot;/&gt;&lt;wsp:rsid wsp:val=&quot;00B879F5&quot;/&gt;&lt;wsp:rsid wsp:val=&quot;00B87C2D&quot;/&gt;&lt;wsp:rsid wsp:val=&quot;00B908D7&quot;/&gt;&lt;wsp:rsid wsp:val=&quot;00B910DE&quot;/&gt;&lt;wsp:rsid wsp:val=&quot;00B91BEB&quot;/&gt;&lt;wsp:rsid wsp:val=&quot;00B934E2&quot;/&gt;&lt;wsp:rsid wsp:val=&quot;00B94101&quot;/&gt;&lt;wsp:rsid wsp:val=&quot;00B941DB&quot;/&gt;&lt;wsp:rsid wsp:val=&quot;00B94824&quot;/&gt;&lt;wsp:rsid wsp:val=&quot;00B948BE&quot;/&gt;&lt;wsp:rsid wsp:val=&quot;00B94DC6&quot;/&gt;&lt;wsp:rsid wsp:val=&quot;00B94F63&quot;/&gt;&lt;wsp:rsid wsp:val=&quot;00B95662&quot;/&gt;&lt;wsp:rsid wsp:val=&quot;00B95BBE&quot;/&gt;&lt;wsp:rsid wsp:val=&quot;00B95F48&quot;/&gt;&lt;wsp:rsid wsp:val=&quot;00B9621E&quot;/&gt;&lt;wsp:rsid wsp:val=&quot;00B96BDD&quot;/&gt;&lt;wsp:rsid wsp:val=&quot;00B96E01&quot;/&gt;&lt;wsp:rsid wsp:val=&quot;00B96E48&quot;/&gt;&lt;wsp:rsid wsp:val=&quot;00B9707A&quot;/&gt;&lt;wsp:rsid wsp:val=&quot;00BA01A9&quot;/&gt;&lt;wsp:rsid wsp:val=&quot;00BA0822&quot;/&gt;&lt;wsp:rsid wsp:val=&quot;00BA1C9E&quot;/&gt;&lt;wsp:rsid wsp:val=&quot;00BA23CC&quot;/&gt;&lt;wsp:rsid wsp:val=&quot;00BA2854&quot;/&gt;&lt;wsp:rsid wsp:val=&quot;00BA35B4&quot;/&gt;&lt;wsp:rsid wsp:val=&quot;00BA3722&quot;/&gt;&lt;wsp:rsid wsp:val=&quot;00BA43D4&quot;/&gt;&lt;wsp:rsid wsp:val=&quot;00BA4B7E&quot;/&gt;&lt;wsp:rsid wsp:val=&quot;00BA4F59&quot;/&gt;&lt;wsp:rsid wsp:val=&quot;00BA50DC&quot;/&gt;&lt;wsp:rsid wsp:val=&quot;00BA5D68&quot;/&gt;&lt;wsp:rsid wsp:val=&quot;00BA6A8A&quot;/&gt;&lt;wsp:rsid wsp:val=&quot;00BA6EE5&quot;/&gt;&lt;wsp:rsid wsp:val=&quot;00BA7706&quot;/&gt;&lt;wsp:rsid wsp:val=&quot;00BB0410&quot;/&gt;&lt;wsp:rsid wsp:val=&quot;00BB0C58&quot;/&gt;&lt;wsp:rsid wsp:val=&quot;00BB0CC1&quot;/&gt;&lt;wsp:rsid wsp:val=&quot;00BB1572&quot;/&gt;&lt;wsp:rsid wsp:val=&quot;00BB30EF&quot;/&gt;&lt;wsp:rsid wsp:val=&quot;00BB327E&quot;/&gt;&lt;wsp:rsid wsp:val=&quot;00BB34DA&quot;/&gt;&lt;wsp:rsid wsp:val=&quot;00BB4583&quot;/&gt;&lt;wsp:rsid wsp:val=&quot;00BB47F2&quot;/&gt;&lt;wsp:rsid wsp:val=&quot;00BB59A0&quot;/&gt;&lt;wsp:rsid wsp:val=&quot;00BB5D09&quot;/&gt;&lt;wsp:rsid wsp:val=&quot;00BB64E7&quot;/&gt;&lt;wsp:rsid wsp:val=&quot;00BB66DE&quot;/&gt;&lt;wsp:rsid wsp:val=&quot;00BB681F&quot;/&gt;&lt;wsp:rsid wsp:val=&quot;00BB6B4F&quot;/&gt;&lt;wsp:rsid wsp:val=&quot;00BB72D8&quot;/&gt;&lt;wsp:rsid wsp:val=&quot;00BB75CB&quot;/&gt;&lt;wsp:rsid wsp:val=&quot;00BB7683&quot;/&gt;&lt;wsp:rsid wsp:val=&quot;00BB778B&quot;/&gt;&lt;wsp:rsid wsp:val=&quot;00BC04E4&quot;/&gt;&lt;wsp:rsid wsp:val=&quot;00BC184B&quot;/&gt;&lt;wsp:rsid wsp:val=&quot;00BC1D4A&quot;/&gt;&lt;wsp:rsid wsp:val=&quot;00BC204C&quot;/&gt;&lt;wsp:rsid wsp:val=&quot;00BC2660&quot;/&gt;&lt;wsp:rsid wsp:val=&quot;00BC3BA4&quot;/&gt;&lt;wsp:rsid wsp:val=&quot;00BC3C4D&quot;/&gt;&lt;wsp:rsid wsp:val=&quot;00BC5249&quot;/&gt;&lt;wsp:rsid wsp:val=&quot;00BC53F5&quot;/&gt;&lt;wsp:rsid wsp:val=&quot;00BC5536&quot;/&gt;&lt;wsp:rsid wsp:val=&quot;00BC605C&quot;/&gt;&lt;wsp:rsid wsp:val=&quot;00BC6356&quot;/&gt;&lt;wsp:rsid wsp:val=&quot;00BC66BB&quot;/&gt;&lt;wsp:rsid wsp:val=&quot;00BC77D3&quot;/&gt;&lt;wsp:rsid wsp:val=&quot;00BC7EA2&quot;/&gt;&lt;wsp:rsid wsp:val=&quot;00BC7EE1&quot;/&gt;&lt;wsp:rsid wsp:val=&quot;00BD065F&quot;/&gt;&lt;wsp:rsid wsp:val=&quot;00BD0895&quot;/&gt;&lt;wsp:rsid wsp:val=&quot;00BD0E48&quot;/&gt;&lt;wsp:rsid wsp:val=&quot;00BD0ED1&quot;/&gt;&lt;wsp:rsid wsp:val=&quot;00BD297C&quot;/&gt;&lt;wsp:rsid wsp:val=&quot;00BD4D19&quot;/&gt;&lt;wsp:rsid wsp:val=&quot;00BD4ED7&quot;/&gt;&lt;wsp:rsid wsp:val=&quot;00BD500A&quot;/&gt;&lt;wsp:rsid wsp:val=&quot;00BD618A&quot;/&gt;&lt;wsp:rsid wsp:val=&quot;00BD65D5&quot;/&gt;&lt;wsp:rsid wsp:val=&quot;00BD6BC9&quot;/&gt;&lt;wsp:rsid wsp:val=&quot;00BD6D7F&quot;/&gt;&lt;wsp:rsid wsp:val=&quot;00BD71C7&quot;/&gt;&lt;wsp:rsid wsp:val=&quot;00BD74F6&quot;/&gt;&lt;wsp:rsid wsp:val=&quot;00BE002B&quot;/&gt;&lt;wsp:rsid wsp:val=&quot;00BE010A&quot;/&gt;&lt;wsp:rsid wsp:val=&quot;00BE0715&quot;/&gt;&lt;wsp:rsid wsp:val=&quot;00BE0B7D&quot;/&gt;&lt;wsp:rsid wsp:val=&quot;00BE1447&quot;/&gt;&lt;wsp:rsid wsp:val=&quot;00BE158E&quot;/&gt;&lt;wsp:rsid wsp:val=&quot;00BE1766&quot;/&gt;&lt;wsp:rsid wsp:val=&quot;00BE2346&quot;/&gt;&lt;wsp:rsid wsp:val=&quot;00BE2788&quot;/&gt;&lt;wsp:rsid wsp:val=&quot;00BE2971&quot;/&gt;&lt;wsp:rsid wsp:val=&quot;00BE3B9F&quot;/&gt;&lt;wsp:rsid wsp:val=&quot;00BE4E8C&quot;/&gt;&lt;wsp:rsid wsp:val=&quot;00BE52E5&quot;/&gt;&lt;wsp:rsid wsp:val=&quot;00BE67CB&quot;/&gt;&lt;wsp:rsid wsp:val=&quot;00BE6944&quot;/&gt;&lt;wsp:rsid wsp:val=&quot;00BE6B83&quot;/&gt;&lt;wsp:rsid wsp:val=&quot;00BE7211&quot;/&gt;&lt;wsp:rsid wsp:val=&quot;00BE72E3&quot;/&gt;&lt;wsp:rsid wsp:val=&quot;00BE7EEE&quot;/&gt;&lt;wsp:rsid wsp:val=&quot;00BF01A6&quot;/&gt;&lt;wsp:rsid wsp:val=&quot;00BF1F7C&quot;/&gt;&lt;wsp:rsid wsp:val=&quot;00BF2DBB&quot;/&gt;&lt;wsp:rsid wsp:val=&quot;00BF3B77&quot;/&gt;&lt;wsp:rsid wsp:val=&quot;00BF4005&quot;/&gt;&lt;wsp:rsid wsp:val=&quot;00BF4517&quot;/&gt;&lt;wsp:rsid wsp:val=&quot;00BF49C4&quot;/&gt;&lt;wsp:rsid wsp:val=&quot;00BF50D8&quot;/&gt;&lt;wsp:rsid wsp:val=&quot;00BF5737&quot;/&gt;&lt;wsp:rsid wsp:val=&quot;00BF7886&quot;/&gt;&lt;wsp:rsid wsp:val=&quot;00BF7E3C&quot;/&gt;&lt;wsp:rsid wsp:val=&quot;00BF7E53&quot;/&gt;&lt;wsp:rsid wsp:val=&quot;00C005BC&quot;/&gt;&lt;wsp:rsid wsp:val=&quot;00C00E98&quot;/&gt;&lt;wsp:rsid wsp:val=&quot;00C01621&quot;/&gt;&lt;wsp:rsid wsp:val=&quot;00C01E6C&quot;/&gt;&lt;wsp:rsid wsp:val=&quot;00C0231B&quot;/&gt;&lt;wsp:rsid wsp:val=&quot;00C02CE2&quot;/&gt;&lt;wsp:rsid wsp:val=&quot;00C02DDA&quot;/&gt;&lt;wsp:rsid wsp:val=&quot;00C03382&quot;/&gt;&lt;wsp:rsid wsp:val=&quot;00C03B6A&quot;/&gt;&lt;wsp:rsid wsp:val=&quot;00C04E78&quot;/&gt;&lt;wsp:rsid wsp:val=&quot;00C06684&quot;/&gt;&lt;wsp:rsid wsp:val=&quot;00C06E3F&quot;/&gt;&lt;wsp:rsid wsp:val=&quot;00C10192&quot;/&gt;&lt;wsp:rsid wsp:val=&quot;00C105F9&quot;/&gt;&lt;wsp:rsid wsp:val=&quot;00C110CB&quot;/&gt;&lt;wsp:rsid wsp:val=&quot;00C11F48&quot;/&gt;&lt;wsp:rsid wsp:val=&quot;00C131B1&quot;/&gt;&lt;wsp:rsid wsp:val=&quot;00C134C0&quot;/&gt;&lt;wsp:rsid wsp:val=&quot;00C137DC&quot;/&gt;&lt;wsp:rsid wsp:val=&quot;00C14B3B&quot;/&gt;&lt;wsp:rsid wsp:val=&quot;00C1502D&quot;/&gt;&lt;wsp:rsid wsp:val=&quot;00C15BC8&quot;/&gt;&lt;wsp:rsid wsp:val=&quot;00C16155&quot;/&gt;&lt;wsp:rsid wsp:val=&quot;00C16947&quot;/&gt;&lt;wsp:rsid wsp:val=&quot;00C17DF8&quot;/&gt;&lt;wsp:rsid wsp:val=&quot;00C20FC0&quot;/&gt;&lt;wsp:rsid wsp:val=&quot;00C2121C&quot;/&gt;&lt;wsp:rsid wsp:val=&quot;00C215FC&quot;/&gt;&lt;wsp:rsid wsp:val=&quot;00C21B1C&quot;/&gt;&lt;wsp:rsid wsp:val=&quot;00C21E44&quot;/&gt;&lt;wsp:rsid wsp:val=&quot;00C21EC4&quot;/&gt;&lt;wsp:rsid wsp:val=&quot;00C22319&quot;/&gt;&lt;wsp:rsid wsp:val=&quot;00C23B3D&quot;/&gt;&lt;wsp:rsid wsp:val=&quot;00C2449B&quot;/&gt;&lt;wsp:rsid wsp:val=&quot;00C24914&quot;/&gt;&lt;wsp:rsid wsp:val=&quot;00C250A1&quot;/&gt;&lt;wsp:rsid wsp:val=&quot;00C250C8&quot;/&gt;&lt;wsp:rsid wsp:val=&quot;00C257FD&quot;/&gt;&lt;wsp:rsid wsp:val=&quot;00C2593E&quot;/&gt;&lt;wsp:rsid wsp:val=&quot;00C25A87&quot;/&gt;&lt;wsp:rsid wsp:val=&quot;00C25FA6&quot;/&gt;&lt;wsp:rsid wsp:val=&quot;00C262AB&quot;/&gt;&lt;wsp:rsid wsp:val=&quot;00C26FD5&quot;/&gt;&lt;wsp:rsid wsp:val=&quot;00C2712A&quot;/&gt;&lt;wsp:rsid wsp:val=&quot;00C27F91&quot;/&gt;&lt;wsp:rsid wsp:val=&quot;00C30FE9&quot;/&gt;&lt;wsp:rsid wsp:val=&quot;00C313A6&quot;/&gt;&lt;wsp:rsid wsp:val=&quot;00C3145A&quot;/&gt;&lt;wsp:rsid wsp:val=&quot;00C31CA4&quot;/&gt;&lt;wsp:rsid wsp:val=&quot;00C31F99&quot;/&gt;&lt;wsp:rsid wsp:val=&quot;00C3265E&quot;/&gt;&lt;wsp:rsid wsp:val=&quot;00C32B12&quot;/&gt;&lt;wsp:rsid wsp:val=&quot;00C32DA1&quot;/&gt;&lt;wsp:rsid wsp:val=&quot;00C336CD&quot;/&gt;&lt;wsp:rsid wsp:val=&quot;00C337D9&quot;/&gt;&lt;wsp:rsid wsp:val=&quot;00C33A4A&quot;/&gt;&lt;wsp:rsid wsp:val=&quot;00C33B7C&quot;/&gt;&lt;wsp:rsid wsp:val=&quot;00C34B1A&quot;/&gt;&lt;wsp:rsid wsp:val=&quot;00C34C5A&quot;/&gt;&lt;wsp:rsid wsp:val=&quot;00C364AB&quot;/&gt;&lt;wsp:rsid wsp:val=&quot;00C372B9&quot;/&gt;&lt;wsp:rsid wsp:val=&quot;00C372E6&quot;/&gt;&lt;wsp:rsid wsp:val=&quot;00C37385&quot;/&gt;&lt;wsp:rsid wsp:val=&quot;00C420BB&quot;/&gt;&lt;wsp:rsid wsp:val=&quot;00C42442&quot;/&gt;&lt;wsp:rsid wsp:val=&quot;00C42616&quot;/&gt;&lt;wsp:rsid wsp:val=&quot;00C428F2&quot;/&gt;&lt;wsp:rsid wsp:val=&quot;00C4391C&quot;/&gt;&lt;wsp:rsid wsp:val=&quot;00C43AB0&quot;/&gt;&lt;wsp:rsid wsp:val=&quot;00C440EB&quot;/&gt;&lt;wsp:rsid wsp:val=&quot;00C44920&quot;/&gt;&lt;wsp:rsid wsp:val=&quot;00C44E7B&quot;/&gt;&lt;wsp:rsid wsp:val=&quot;00C46538&quot;/&gt;&lt;wsp:rsid wsp:val=&quot;00C469C1&quot;/&gt;&lt;wsp:rsid wsp:val=&quot;00C4743E&quot;/&gt;&lt;wsp:rsid wsp:val=&quot;00C477F8&quot;/&gt;&lt;wsp:rsid wsp:val=&quot;00C52305&quot;/&gt;&lt;wsp:rsid wsp:val=&quot;00C52612&quot;/&gt;&lt;wsp:rsid wsp:val=&quot;00C52DD3&quot;/&gt;&lt;wsp:rsid wsp:val=&quot;00C530CD&quot;/&gt;&lt;wsp:rsid wsp:val=&quot;00C5338E&quot;/&gt;&lt;wsp:rsid wsp:val=&quot;00C5390B&quot;/&gt;&lt;wsp:rsid wsp:val=&quot;00C53A76&quot;/&gt;&lt;wsp:rsid wsp:val=&quot;00C55A44&quot;/&gt;&lt;wsp:rsid wsp:val=&quot;00C561A4&quot;/&gt;&lt;wsp:rsid wsp:val=&quot;00C56421&quot;/&gt;&lt;wsp:rsid wsp:val=&quot;00C567B0&quot;/&gt;&lt;wsp:rsid wsp:val=&quot;00C567EA&quot;/&gt;&lt;wsp:rsid wsp:val=&quot;00C56821&quot;/&gt;&lt;wsp:rsid wsp:val=&quot;00C574A2&quot;/&gt;&lt;wsp:rsid wsp:val=&quot;00C57CFD&quot;/&gt;&lt;wsp:rsid wsp:val=&quot;00C57EE2&quot;/&gt;&lt;wsp:rsid wsp:val=&quot;00C607D7&quot;/&gt;&lt;wsp:rsid wsp:val=&quot;00C60A4D&quot;/&gt;&lt;wsp:rsid wsp:val=&quot;00C60B45&quot;/&gt;&lt;wsp:rsid wsp:val=&quot;00C61517&quot;/&gt;&lt;wsp:rsid wsp:val=&quot;00C61684&quot;/&gt;&lt;wsp:rsid wsp:val=&quot;00C624AE&quot;/&gt;&lt;wsp:rsid wsp:val=&quot;00C62522&quot;/&gt;&lt;wsp:rsid wsp:val=&quot;00C6278D&quot;/&gt;&lt;wsp:rsid wsp:val=&quot;00C64985&quot;/&gt;&lt;wsp:rsid wsp:val=&quot;00C64F02&quot;/&gt;&lt;wsp:rsid wsp:val=&quot;00C65234&quot;/&gt;&lt;wsp:rsid wsp:val=&quot;00C65595&quot;/&gt;&lt;wsp:rsid wsp:val=&quot;00C658CE&quot;/&gt;&lt;wsp:rsid wsp:val=&quot;00C66961&quot;/&gt;&lt;wsp:rsid wsp:val=&quot;00C672E1&quot;/&gt;&lt;wsp:rsid wsp:val=&quot;00C70465&quot;/&gt;&lt;wsp:rsid wsp:val=&quot;00C704C6&quot;/&gt;&lt;wsp:rsid wsp:val=&quot;00C70956&quot;/&gt;&lt;wsp:rsid wsp:val=&quot;00C71DD8&quot;/&gt;&lt;wsp:rsid wsp:val=&quot;00C7244D&quot;/&gt;&lt;wsp:rsid wsp:val=&quot;00C72EB9&quot;/&gt;&lt;wsp:rsid wsp:val=&quot;00C73152&quot;/&gt;&lt;wsp:rsid wsp:val=&quot;00C73EA1&quot;/&gt;&lt;wsp:rsid wsp:val=&quot;00C7451A&quot;/&gt;&lt;wsp:rsid wsp:val=&quot;00C752BA&quot;/&gt;&lt;wsp:rsid wsp:val=&quot;00C757D1&quot;/&gt;&lt;wsp:rsid wsp:val=&quot;00C76A07&quot;/&gt;&lt;wsp:rsid wsp:val=&quot;00C77306&quot;/&gt;&lt;wsp:rsid wsp:val=&quot;00C7773C&quot;/&gt;&lt;wsp:rsid wsp:val=&quot;00C77A0A&quot;/&gt;&lt;wsp:rsid wsp:val=&quot;00C80660&quot;/&gt;&lt;wsp:rsid wsp:val=&quot;00C808BD&quot;/&gt;&lt;wsp:rsid wsp:val=&quot;00C80A95&quot;/&gt;&lt;wsp:rsid wsp:val=&quot;00C80DE0&quot;/&gt;&lt;wsp:rsid wsp:val=&quot;00C81306&quot;/&gt;&lt;wsp:rsid wsp:val=&quot;00C82A60&quot;/&gt;&lt;wsp:rsid wsp:val=&quot;00C82F48&quot;/&gt;&lt;wsp:rsid wsp:val=&quot;00C83034&quot;/&gt;&lt;wsp:rsid wsp:val=&quot;00C83C60&quot;/&gt;&lt;wsp:rsid wsp:val=&quot;00C83CAB&quot;/&gt;&lt;wsp:rsid wsp:val=&quot;00C8408B&quot;/&gt;&lt;wsp:rsid wsp:val=&quot;00C85236&quot;/&gt;&lt;wsp:rsid wsp:val=&quot;00C853A7&quot;/&gt;&lt;wsp:rsid wsp:val=&quot;00C861CA&quot;/&gt;&lt;wsp:rsid wsp:val=&quot;00C86297&quot;/&gt;&lt;wsp:rsid wsp:val=&quot;00C86476&quot;/&gt;&lt;wsp:rsid wsp:val=&quot;00C86A3E&quot;/&gt;&lt;wsp:rsid wsp:val=&quot;00C86F2E&quot;/&gt;&lt;wsp:rsid wsp:val=&quot;00C87057&quot;/&gt;&lt;wsp:rsid wsp:val=&quot;00C90525&quot;/&gt;&lt;wsp:rsid wsp:val=&quot;00C9056B&quot;/&gt;&lt;wsp:rsid wsp:val=&quot;00C90577&quot;/&gt;&lt;wsp:rsid wsp:val=&quot;00C90A0E&quot;/&gt;&lt;wsp:rsid wsp:val=&quot;00C91166&quot;/&gt;&lt;wsp:rsid wsp:val=&quot;00C91400&quot;/&gt;&lt;wsp:rsid wsp:val=&quot;00C91948&quot;/&gt;&lt;wsp:rsid wsp:val=&quot;00C91B34&quot;/&gt;&lt;wsp:rsid wsp:val=&quot;00C91F8C&quot;/&gt;&lt;wsp:rsid wsp:val=&quot;00C9224F&quot;/&gt;&lt;wsp:rsid wsp:val=&quot;00C92441&quot;/&gt;&lt;wsp:rsid wsp:val=&quot;00C92861&quot;/&gt;&lt;wsp:rsid wsp:val=&quot;00C93183&quot;/&gt;&lt;wsp:rsid wsp:val=&quot;00C93677&quot;/&gt;&lt;wsp:rsid wsp:val=&quot;00C94C60&quot;/&gt;&lt;wsp:rsid wsp:val=&quot;00C94D07&quot;/&gt;&lt;wsp:rsid wsp:val=&quot;00C95828&quot;/&gt;&lt;wsp:rsid wsp:val=&quot;00C963B6&quot;/&gt;&lt;wsp:rsid wsp:val=&quot;00C96B1E&quot;/&gt;&lt;wsp:rsid wsp:val=&quot;00C96B4A&quot;/&gt;&lt;wsp:rsid wsp:val=&quot;00C96BDC&quot;/&gt;&lt;wsp:rsid wsp:val=&quot;00C96F68&quot;/&gt;&lt;wsp:rsid wsp:val=&quot;00C973D2&quot;/&gt;&lt;wsp:rsid wsp:val=&quot;00C977FF&quot;/&gt;&lt;wsp:rsid wsp:val=&quot;00C979B8&quot;/&gt;&lt;wsp:rsid wsp:val=&quot;00CA0437&quot;/&gt;&lt;wsp:rsid wsp:val=&quot;00CA0E5F&quot;/&gt;&lt;wsp:rsid wsp:val=&quot;00CA0F4A&quot;/&gt;&lt;wsp:rsid wsp:val=&quot;00CA1095&quot;/&gt;&lt;wsp:rsid wsp:val=&quot;00CA1957&quot;/&gt;&lt;wsp:rsid wsp:val=&quot;00CA238A&quot;/&gt;&lt;wsp:rsid wsp:val=&quot;00CA3E10&quot;/&gt;&lt;wsp:rsid wsp:val=&quot;00CA3FC6&quot;/&gt;&lt;wsp:rsid wsp:val=&quot;00CA4812&quot;/&gt;&lt;wsp:rsid wsp:val=&quot;00CA52C1&quot;/&gt;&lt;wsp:rsid wsp:val=&quot;00CA52D9&quot;/&gt;&lt;wsp:rsid wsp:val=&quot;00CA6398&quot;/&gt;&lt;wsp:rsid wsp:val=&quot;00CA67A8&quot;/&gt;&lt;wsp:rsid wsp:val=&quot;00CA7455&quot;/&gt;&lt;wsp:rsid wsp:val=&quot;00CA7EC6&quot;/&gt;&lt;wsp:rsid wsp:val=&quot;00CB0527&quot;/&gt;&lt;wsp:rsid wsp:val=&quot;00CB0F7A&quot;/&gt;&lt;wsp:rsid wsp:val=&quot;00CB1329&quot;/&gt;&lt;wsp:rsid wsp:val=&quot;00CB182F&quot;/&gt;&lt;wsp:rsid wsp:val=&quot;00CB31B5&quot;/&gt;&lt;wsp:rsid wsp:val=&quot;00CB4BE8&quot;/&gt;&lt;wsp:rsid wsp:val=&quot;00CB665F&quot;/&gt;&lt;wsp:rsid wsp:val=&quot;00CB6D70&quot;/&gt;&lt;wsp:rsid wsp:val=&quot;00CB6D9D&quot;/&gt;&lt;wsp:rsid wsp:val=&quot;00CB74BD&quot;/&gt;&lt;wsp:rsid wsp:val=&quot;00CB76B2&quot;/&gt;&lt;wsp:rsid wsp:val=&quot;00CC0021&quot;/&gt;&lt;wsp:rsid wsp:val=&quot;00CC09B9&quot;/&gt;&lt;wsp:rsid wsp:val=&quot;00CC0CD7&quot;/&gt;&lt;wsp:rsid wsp:val=&quot;00CC1A09&quot;/&gt;&lt;wsp:rsid wsp:val=&quot;00CC23EF&quot;/&gt;&lt;wsp:rsid wsp:val=&quot;00CC3FF0&quot;/&gt;&lt;wsp:rsid wsp:val=&quot;00CC6210&quot;/&gt;&lt;wsp:rsid wsp:val=&quot;00CC6998&quot;/&gt;&lt;wsp:rsid wsp:val=&quot;00CC745B&quot;/&gt;&lt;wsp:rsid wsp:val=&quot;00CC7D6B&quot;/&gt;&lt;wsp:rsid wsp:val=&quot;00CD1101&quot;/&gt;&lt;wsp:rsid wsp:val=&quot;00CD1CF6&quot;/&gt;&lt;wsp:rsid wsp:val=&quot;00CD22EE&quot;/&gt;&lt;wsp:rsid wsp:val=&quot;00CD28AF&quot;/&gt;&lt;wsp:rsid wsp:val=&quot;00CD2931&quot;/&gt;&lt;wsp:rsid wsp:val=&quot;00CD3A73&quot;/&gt;&lt;wsp:rsid wsp:val=&quot;00CD3C4A&quot;/&gt;&lt;wsp:rsid wsp:val=&quot;00CD3C94&quot;/&gt;&lt;wsp:rsid wsp:val=&quot;00CD4295&quot;/&gt;&lt;wsp:rsid wsp:val=&quot;00CD4764&quot;/&gt;&lt;wsp:rsid wsp:val=&quot;00CD742E&quot;/&gt;&lt;wsp:rsid wsp:val=&quot;00CD7C1B&quot;/&gt;&lt;wsp:rsid wsp:val=&quot;00CD7EAB&quot;/&gt;&lt;wsp:rsid wsp:val=&quot;00CE09AF&quot;/&gt;&lt;wsp:rsid wsp:val=&quot;00CE0B3A&quot;/&gt;&lt;wsp:rsid wsp:val=&quot;00CE10A5&quot;/&gt;&lt;wsp:rsid wsp:val=&quot;00CE1501&quot;/&gt;&lt;wsp:rsid wsp:val=&quot;00CE196B&quot;/&gt;&lt;wsp:rsid wsp:val=&quot;00CE2134&quot;/&gt;&lt;wsp:rsid wsp:val=&quot;00CE2508&quot;/&gt;&lt;wsp:rsid wsp:val=&quot;00CE35DA&quot;/&gt;&lt;wsp:rsid wsp:val=&quot;00CE3917&quot;/&gt;&lt;wsp:rsid wsp:val=&quot;00CE3E37&quot;/&gt;&lt;wsp:rsid wsp:val=&quot;00CE42CC&quot;/&gt;&lt;wsp:rsid wsp:val=&quot;00CE49F9&quot;/&gt;&lt;wsp:rsid wsp:val=&quot;00CE4B15&quot;/&gt;&lt;wsp:rsid wsp:val=&quot;00CE5400&quot;/&gt;&lt;wsp:rsid wsp:val=&quot;00CE5AE8&quot;/&gt;&lt;wsp:rsid wsp:val=&quot;00CE6646&quot;/&gt;&lt;wsp:rsid wsp:val=&quot;00CE6AEC&quot;/&gt;&lt;wsp:rsid wsp:val=&quot;00CE6B38&quot;/&gt;&lt;wsp:rsid wsp:val=&quot;00CE6E33&quot;/&gt;&lt;wsp:rsid wsp:val=&quot;00CE7465&quot;/&gt;&lt;wsp:rsid wsp:val=&quot;00CE7DD1&quot;/&gt;&lt;wsp:rsid wsp:val=&quot;00CF192E&quot;/&gt;&lt;wsp:rsid wsp:val=&quot;00CF3C32&quot;/&gt;&lt;wsp:rsid wsp:val=&quot;00CF3C49&quot;/&gt;&lt;wsp:rsid wsp:val=&quot;00CF449B&quot;/&gt;&lt;wsp:rsid wsp:val=&quot;00CF4932&quot;/&gt;&lt;wsp:rsid wsp:val=&quot;00CF581F&quot;/&gt;&lt;wsp:rsid wsp:val=&quot;00CF5D79&quot;/&gt;&lt;wsp:rsid wsp:val=&quot;00CF6F5C&quot;/&gt;&lt;wsp:rsid wsp:val=&quot;00CF73D5&quot;/&gt;&lt;wsp:rsid wsp:val=&quot;00D005EE&quot;/&gt;&lt;wsp:rsid wsp:val=&quot;00D0104D&quot;/&gt;&lt;wsp:rsid wsp:val=&quot;00D01158&quot;/&gt;&lt;wsp:rsid wsp:val=&quot;00D0115C&quot;/&gt;&lt;wsp:rsid wsp:val=&quot;00D013F1&quot;/&gt;&lt;wsp:rsid wsp:val=&quot;00D01860&quot;/&gt;&lt;wsp:rsid wsp:val=&quot;00D01F5E&quot;/&gt;&lt;wsp:rsid wsp:val=&quot;00D02B6C&quot;/&gt;&lt;wsp:rsid wsp:val=&quot;00D02F3D&quot;/&gt;&lt;wsp:rsid wsp:val=&quot;00D03044&quot;/&gt;&lt;wsp:rsid wsp:val=&quot;00D03897&quot;/&gt;&lt;wsp:rsid wsp:val=&quot;00D03DBD&quot;/&gt;&lt;wsp:rsid wsp:val=&quot;00D04057&quot;/&gt;&lt;wsp:rsid wsp:val=&quot;00D05165&quot;/&gt;&lt;wsp:rsid wsp:val=&quot;00D053AC&quot;/&gt;&lt;wsp:rsid wsp:val=&quot;00D058F5&quot;/&gt;&lt;wsp:rsid wsp:val=&quot;00D06464&quot;/&gt;&lt;wsp:rsid wsp:val=&quot;00D07B67&quot;/&gt;&lt;wsp:rsid wsp:val=&quot;00D07C7B&quot;/&gt;&lt;wsp:rsid wsp:val=&quot;00D12095&quot;/&gt;&lt;wsp:rsid wsp:val=&quot;00D12DAB&quot;/&gt;&lt;wsp:rsid wsp:val=&quot;00D130BA&quot;/&gt;&lt;wsp:rsid wsp:val=&quot;00D1537C&quot;/&gt;&lt;wsp:rsid wsp:val=&quot;00D15EEB&quot;/&gt;&lt;wsp:rsid wsp:val=&quot;00D16440&quot;/&gt;&lt;wsp:rsid wsp:val=&quot;00D1649B&quot;/&gt;&lt;wsp:rsid wsp:val=&quot;00D16B28&quot;/&gt;&lt;wsp:rsid wsp:val=&quot;00D16F65&quot;/&gt;&lt;wsp:rsid wsp:val=&quot;00D20C2B&quot;/&gt;&lt;wsp:rsid wsp:val=&quot;00D21537&quot;/&gt;&lt;wsp:rsid wsp:val=&quot;00D218DC&quot;/&gt;&lt;wsp:rsid wsp:val=&quot;00D2292A&quot;/&gt;&lt;wsp:rsid wsp:val=&quot;00D2314A&quot;/&gt;&lt;wsp:rsid wsp:val=&quot;00D23333&quot;/&gt;&lt;wsp:rsid wsp:val=&quot;00D23DB8&quot;/&gt;&lt;wsp:rsid wsp:val=&quot;00D24185&quot;/&gt;&lt;wsp:rsid wsp:val=&quot;00D24B7D&quot;/&gt;&lt;wsp:rsid wsp:val=&quot;00D250E2&quot;/&gt;&lt;wsp:rsid wsp:val=&quot;00D260BC&quot;/&gt;&lt;wsp:rsid wsp:val=&quot;00D26137&quot;/&gt;&lt;wsp:rsid wsp:val=&quot;00D27445&quot;/&gt;&lt;wsp:rsid wsp:val=&quot;00D31C0C&quot;/&gt;&lt;wsp:rsid wsp:val=&quot;00D32577&quot;/&gt;&lt;wsp:rsid wsp:val=&quot;00D32979&quot;/&gt;&lt;wsp:rsid wsp:val=&quot;00D35204&quot;/&gt;&lt;wsp:rsid wsp:val=&quot;00D3530A&quot;/&gt;&lt;wsp:rsid wsp:val=&quot;00D35450&quot;/&gt;&lt;wsp:rsid wsp:val=&quot;00D35837&quot;/&gt;&lt;wsp:rsid wsp:val=&quot;00D3621D&quot;/&gt;&lt;wsp:rsid wsp:val=&quot;00D3630B&quot;/&gt;&lt;wsp:rsid wsp:val=&quot;00D42203&quot;/&gt;&lt;wsp:rsid wsp:val=&quot;00D4220A&quot;/&gt;&lt;wsp:rsid wsp:val=&quot;00D42D25&quot;/&gt;&lt;wsp:rsid wsp:val=&quot;00D43F46&quot;/&gt;&lt;wsp:rsid wsp:val=&quot;00D445FB&quot;/&gt;&lt;wsp:rsid wsp:val=&quot;00D44734&quot;/&gt;&lt;wsp:rsid wsp:val=&quot;00D44B75&quot;/&gt;&lt;wsp:rsid wsp:val=&quot;00D451A8&quot;/&gt;&lt;wsp:rsid wsp:val=&quot;00D45E9C&quot;/&gt;&lt;wsp:rsid wsp:val=&quot;00D46046&quot;/&gt;&lt;wsp:rsid wsp:val=&quot;00D46062&quot;/&gt;&lt;wsp:rsid wsp:val=&quot;00D4649F&quot;/&gt;&lt;wsp:rsid wsp:val=&quot;00D47B8C&quot;/&gt;&lt;wsp:rsid wsp:val=&quot;00D47E6B&quot;/&gt;&lt;wsp:rsid wsp:val=&quot;00D504E2&quot;/&gt;&lt;wsp:rsid wsp:val=&quot;00D50E4B&quot;/&gt;&lt;wsp:rsid wsp:val=&quot;00D51CDE&quot;/&gt;&lt;wsp:rsid wsp:val=&quot;00D51FB7&quot;/&gt;&lt;wsp:rsid wsp:val=&quot;00D52602&quot;/&gt;&lt;wsp:rsid wsp:val=&quot;00D52E72&quot;/&gt;&lt;wsp:rsid wsp:val=&quot;00D53384&quot;/&gt;&lt;wsp:rsid wsp:val=&quot;00D53882&quot;/&gt;&lt;wsp:rsid wsp:val=&quot;00D53DF4&quot;/&gt;&lt;wsp:rsid wsp:val=&quot;00D54C18&quot;/&gt;&lt;wsp:rsid wsp:val=&quot;00D562C5&quot;/&gt;&lt;wsp:rsid wsp:val=&quot;00D56B55&quot;/&gt;&lt;wsp:rsid wsp:val=&quot;00D57B90&quot;/&gt;&lt;wsp:rsid wsp:val=&quot;00D60C26&quot;/&gt;&lt;wsp:rsid wsp:val=&quot;00D61451&quot;/&gt;&lt;wsp:rsid wsp:val=&quot;00D6162E&quot;/&gt;&lt;wsp:rsid wsp:val=&quot;00D61A0E&quot;/&gt;&lt;wsp:rsid wsp:val=&quot;00D61AF2&quot;/&gt;&lt;wsp:rsid wsp:val=&quot;00D623F6&quot;/&gt;&lt;wsp:rsid wsp:val=&quot;00D62629&quot;/&gt;&lt;wsp:rsid wsp:val=&quot;00D638AB&quot;/&gt;&lt;wsp:rsid wsp:val=&quot;00D6446E&quot;/&gt;&lt;wsp:rsid wsp:val=&quot;00D6463A&quot;/&gt;&lt;wsp:rsid wsp:val=&quot;00D64D57&quot;/&gt;&lt;wsp:rsid wsp:val=&quot;00D650C3&quot;/&gt;&lt;wsp:rsid wsp:val=&quot;00D652D1&quot;/&gt;&lt;wsp:rsid wsp:val=&quot;00D65E47&quot;/&gt;&lt;wsp:rsid wsp:val=&quot;00D6709E&quot;/&gt;&lt;wsp:rsid wsp:val=&quot;00D6762C&quot;/&gt;&lt;wsp:rsid wsp:val=&quot;00D67BD2&quot;/&gt;&lt;wsp:rsid wsp:val=&quot;00D71106&quot;/&gt;&lt;wsp:rsid wsp:val=&quot;00D7128A&quot;/&gt;&lt;wsp:rsid wsp:val=&quot;00D72112&quot;/&gt;&lt;wsp:rsid wsp:val=&quot;00D7220F&quot;/&gt;&lt;wsp:rsid wsp:val=&quot;00D7224F&quot;/&gt;&lt;wsp:rsid wsp:val=&quot;00D72AC9&quot;/&gt;&lt;wsp:rsid wsp:val=&quot;00D73510&quot;/&gt;&lt;wsp:rsid wsp:val=&quot;00D7668F&quot;/&gt;&lt;wsp:rsid wsp:val=&quot;00D76E9D&quot;/&gt;&lt;wsp:rsid wsp:val=&quot;00D77435&quot;/&gt;&lt;wsp:rsid wsp:val=&quot;00D77446&quot;/&gt;&lt;wsp:rsid wsp:val=&quot;00D77540&quot;/&gt;&lt;wsp:rsid wsp:val=&quot;00D77582&quot;/&gt;&lt;wsp:rsid wsp:val=&quot;00D80A83&quot;/&gt;&lt;wsp:rsid wsp:val=&quot;00D80FA0&quot;/&gt;&lt;wsp:rsid wsp:val=&quot;00D80FE8&quot;/&gt;&lt;wsp:rsid wsp:val=&quot;00D81146&quot;/&gt;&lt;wsp:rsid wsp:val=&quot;00D82104&quot;/&gt;&lt;wsp:rsid wsp:val=&quot;00D82F8C&quot;/&gt;&lt;wsp:rsid wsp:val=&quot;00D83BB2&quot;/&gt;&lt;wsp:rsid wsp:val=&quot;00D84262&quot;/&gt;&lt;wsp:rsid wsp:val=&quot;00D84556&quot;/&gt;&lt;wsp:rsid wsp:val=&quot;00D85C20&quot;/&gt;&lt;wsp:rsid wsp:val=&quot;00D85D3D&quot;/&gt;&lt;wsp:rsid wsp:val=&quot;00D869DD&quot;/&gt;&lt;wsp:rsid wsp:val=&quot;00D900FB&quot;/&gt;&lt;wsp:rsid wsp:val=&quot;00D908CE&quot;/&gt;&lt;wsp:rsid wsp:val=&quot;00D91A4B&quot;/&gt;&lt;wsp:rsid wsp:val=&quot;00D92D1D&quot;/&gt;&lt;wsp:rsid wsp:val=&quot;00D92D1E&quot;/&gt;&lt;wsp:rsid wsp:val=&quot;00D932D9&quot;/&gt;&lt;wsp:rsid wsp:val=&quot;00D93BFA&quot;/&gt;&lt;wsp:rsid wsp:val=&quot;00D93CE3&quot;/&gt;&lt;wsp:rsid wsp:val=&quot;00D93FA2&quot;/&gt;&lt;wsp:rsid wsp:val=&quot;00D94921&quot;/&gt;&lt;wsp:rsid wsp:val=&quot;00D95150&quot;/&gt;&lt;wsp:rsid wsp:val=&quot;00D952F3&quot;/&gt;&lt;wsp:rsid wsp:val=&quot;00D95CFA&quot;/&gt;&lt;wsp:rsid wsp:val=&quot;00D95D60&quot;/&gt;&lt;wsp:rsid wsp:val=&quot;00D973A2&quot;/&gt;&lt;wsp:rsid wsp:val=&quot;00D9754F&quot;/&gt;&lt;wsp:rsid wsp:val=&quot;00D9783C&quot;/&gt;&lt;wsp:rsid wsp:val=&quot;00DA0A7F&quot;/&gt;&lt;wsp:rsid wsp:val=&quot;00DA15A1&quot;/&gt;&lt;wsp:rsid wsp:val=&quot;00DA1ABF&quot;/&gt;&lt;wsp:rsid wsp:val=&quot;00DA2931&quot;/&gt;&lt;wsp:rsid wsp:val=&quot;00DA2B76&quot;/&gt;&lt;wsp:rsid wsp:val=&quot;00DA3E69&quot;/&gt;&lt;wsp:rsid wsp:val=&quot;00DA3EC1&quot;/&gt;&lt;wsp:rsid wsp:val=&quot;00DA404E&quot;/&gt;&lt;wsp:rsid wsp:val=&quot;00DA4947&quot;/&gt;&lt;wsp:rsid wsp:val=&quot;00DA5448&quot;/&gt;&lt;wsp:rsid wsp:val=&quot;00DA62A8&quot;/&gt;&lt;wsp:rsid wsp:val=&quot;00DA631C&quot;/&gt;&lt;wsp:rsid wsp:val=&quot;00DA647F&quot;/&gt;&lt;wsp:rsid wsp:val=&quot;00DA65FF&quot;/&gt;&lt;wsp:rsid wsp:val=&quot;00DA6ACD&quot;/&gt;&lt;wsp:rsid wsp:val=&quot;00DA6F35&quot;/&gt;&lt;wsp:rsid wsp:val=&quot;00DA6F3C&quot;/&gt;&lt;wsp:rsid wsp:val=&quot;00DA7809&quot;/&gt;&lt;wsp:rsid wsp:val=&quot;00DA78B4&quot;/&gt;&lt;wsp:rsid wsp:val=&quot;00DA78D7&quot;/&gt;&lt;wsp:rsid wsp:val=&quot;00DB0120&quot;/&gt;&lt;wsp:rsid wsp:val=&quot;00DB0912&quot;/&gt;&lt;wsp:rsid wsp:val=&quot;00DB0955&quot;/&gt;&lt;wsp:rsid wsp:val=&quot;00DB0B90&quot;/&gt;&lt;wsp:rsid wsp:val=&quot;00DB0F5D&quot;/&gt;&lt;wsp:rsid wsp:val=&quot;00DB26DC&quot;/&gt;&lt;wsp:rsid wsp:val=&quot;00DB2913&quot;/&gt;&lt;wsp:rsid wsp:val=&quot;00DB3101&quot;/&gt;&lt;wsp:rsid wsp:val=&quot;00DB3645&quot;/&gt;&lt;wsp:rsid wsp:val=&quot;00DB3860&quot;/&gt;&lt;wsp:rsid wsp:val=&quot;00DB396D&quot;/&gt;&lt;wsp:rsid wsp:val=&quot;00DB3C6C&quot;/&gt;&lt;wsp:rsid wsp:val=&quot;00DB3FD9&quot;/&gt;&lt;wsp:rsid wsp:val=&quot;00DB4378&quot;/&gt;&lt;wsp:rsid wsp:val=&quot;00DB43D3&quot;/&gt;&lt;wsp:rsid wsp:val=&quot;00DB51EB&quot;/&gt;&lt;wsp:rsid wsp:val=&quot;00DB5AC4&quot;/&gt;&lt;wsp:rsid wsp:val=&quot;00DB5F98&quot;/&gt;&lt;wsp:rsid wsp:val=&quot;00DB62FD&quot;/&gt;&lt;wsp:rsid wsp:val=&quot;00DB6B44&quot;/&gt;&lt;wsp:rsid wsp:val=&quot;00DB7A67&quot;/&gt;&lt;wsp:rsid wsp:val=&quot;00DC24F8&quot;/&gt;&lt;wsp:rsid wsp:val=&quot;00DC3228&quot;/&gt;&lt;wsp:rsid wsp:val=&quot;00DC4738&quot;/&gt;&lt;wsp:rsid wsp:val=&quot;00DC4E81&quot;/&gt;&lt;wsp:rsid wsp:val=&quot;00DC51F3&quot;/&gt;&lt;wsp:rsid wsp:val=&quot;00DC53AE&quot;/&gt;&lt;wsp:rsid wsp:val=&quot;00DC5749&quot;/&gt;&lt;wsp:rsid wsp:val=&quot;00DC57B9&quot;/&gt;&lt;wsp:rsid wsp:val=&quot;00DC5ED0&quot;/&gt;&lt;wsp:rsid wsp:val=&quot;00DC6554&quot;/&gt;&lt;wsp:rsid wsp:val=&quot;00DD1061&quot;/&gt;&lt;wsp:rsid wsp:val=&quot;00DD28EB&quot;/&gt;&lt;wsp:rsid wsp:val=&quot;00DD4107&quot;/&gt;&lt;wsp:rsid wsp:val=&quot;00DD4324&quot;/&gt;&lt;wsp:rsid wsp:val=&quot;00DD434E&quot;/&gt;&lt;wsp:rsid wsp:val=&quot;00DD438D&quot;/&gt;&lt;wsp:rsid wsp:val=&quot;00DD4623&quot;/&gt;&lt;wsp:rsid wsp:val=&quot;00DD5035&quot;/&gt;&lt;wsp:rsid wsp:val=&quot;00DD59FF&quot;/&gt;&lt;wsp:rsid wsp:val=&quot;00DD5C2F&quot;/&gt;&lt;wsp:rsid wsp:val=&quot;00DD5D2E&quot;/&gt;&lt;wsp:rsid wsp:val=&quot;00DD678C&quot;/&gt;&lt;wsp:rsid wsp:val=&quot;00DD6D36&quot;/&gt;&lt;wsp:rsid wsp:val=&quot;00DE05A1&quot;/&gt;&lt;wsp:rsid wsp:val=&quot;00DE1293&quot;/&gt;&lt;wsp:rsid wsp:val=&quot;00DE2218&quot;/&gt;&lt;wsp:rsid wsp:val=&quot;00DE223C&quot;/&gt;&lt;wsp:rsid wsp:val=&quot;00DE26E7&quot;/&gt;&lt;wsp:rsid wsp:val=&quot;00DE3090&quot;/&gt;&lt;wsp:rsid wsp:val=&quot;00DE30A9&quot;/&gt;&lt;wsp:rsid wsp:val=&quot;00DE32B0&quot;/&gt;&lt;wsp:rsid wsp:val=&quot;00DE3A8A&quot;/&gt;&lt;wsp:rsid wsp:val=&quot;00DE514C&quot;/&gt;&lt;wsp:rsid wsp:val=&quot;00DE66F4&quot;/&gt;&lt;wsp:rsid wsp:val=&quot;00DE6957&quot;/&gt;&lt;wsp:rsid wsp:val=&quot;00DE70EF&quot;/&gt;&lt;wsp:rsid wsp:val=&quot;00DE7601&quot;/&gt;&lt;wsp:rsid wsp:val=&quot;00DE7F31&quot;/&gt;&lt;wsp:rsid wsp:val=&quot;00DF05D0&quot;/&gt;&lt;wsp:rsid wsp:val=&quot;00DF1707&quot;/&gt;&lt;wsp:rsid wsp:val=&quot;00DF2260&quot;/&gt;&lt;wsp:rsid wsp:val=&quot;00DF24B8&quot;/&gt;&lt;wsp:rsid wsp:val=&quot;00DF2AAE&quot;/&gt;&lt;wsp:rsid wsp:val=&quot;00DF526B&quot;/&gt;&lt;wsp:rsid wsp:val=&quot;00DF5404&quot;/&gt;&lt;wsp:rsid wsp:val=&quot;00DF5734&quot;/&gt;&lt;wsp:rsid wsp:val=&quot;00DF59F5&quot;/&gt;&lt;wsp:rsid wsp:val=&quot;00DF615E&quot;/&gt;&lt;wsp:rsid wsp:val=&quot;00DF6246&quot;/&gt;&lt;wsp:rsid wsp:val=&quot;00DF63FD&quot;/&gt;&lt;wsp:rsid wsp:val=&quot;00DF67D5&quot;/&gt;&lt;wsp:rsid wsp:val=&quot;00DF72DB&quot;/&gt;&lt;wsp:rsid wsp:val=&quot;00DF7541&quot;/&gt;&lt;wsp:rsid wsp:val=&quot;00E0054C&quot;/&gt;&lt;wsp:rsid wsp:val=&quot;00E019AE&quot;/&gt;&lt;wsp:rsid wsp:val=&quot;00E022E2&quot;/&gt;&lt;wsp:rsid wsp:val=&quot;00E0270D&quot;/&gt;&lt;wsp:rsid wsp:val=&quot;00E03133&quot;/&gt;&lt;wsp:rsid wsp:val=&quot;00E032C0&quot;/&gt;&lt;wsp:rsid wsp:val=&quot;00E03D6C&quot;/&gt;&lt;wsp:rsid wsp:val=&quot;00E0450E&quot;/&gt;&lt;wsp:rsid wsp:val=&quot;00E04A49&quot;/&gt;&lt;wsp:rsid wsp:val=&quot;00E05011&quot;/&gt;&lt;wsp:rsid wsp:val=&quot;00E05118&quot;/&gt;&lt;wsp:rsid wsp:val=&quot;00E053B7&quot;/&gt;&lt;wsp:rsid wsp:val=&quot;00E05464&quot;/&gt;&lt;wsp:rsid wsp:val=&quot;00E05779&quot;/&gt;&lt;wsp:rsid wsp:val=&quot;00E05B6F&quot;/&gt;&lt;wsp:rsid wsp:val=&quot;00E10300&quot;/&gt;&lt;wsp:rsid wsp:val=&quot;00E1080B&quot;/&gt;&lt;wsp:rsid wsp:val=&quot;00E10833&quot;/&gt;&lt;wsp:rsid wsp:val=&quot;00E121D0&quot;/&gt;&lt;wsp:rsid wsp:val=&quot;00E1247D&quot;/&gt;&lt;wsp:rsid wsp:val=&quot;00E13078&quot;/&gt;&lt;wsp:rsid wsp:val=&quot;00E135D8&quot;/&gt;&lt;wsp:rsid wsp:val=&quot;00E13A64&quot;/&gt;&lt;wsp:rsid wsp:val=&quot;00E1555C&quot;/&gt;&lt;wsp:rsid wsp:val=&quot;00E15D56&quot;/&gt;&lt;wsp:rsid wsp:val=&quot;00E15FF4&quot;/&gt;&lt;wsp:rsid wsp:val=&quot;00E163ED&quot;/&gt;&lt;wsp:rsid wsp:val=&quot;00E16BE6&quot;/&gt;&lt;wsp:rsid wsp:val=&quot;00E17163&quot;/&gt;&lt;wsp:rsid wsp:val=&quot;00E17E21&quot;/&gt;&lt;wsp:rsid wsp:val=&quot;00E17E26&quot;/&gt;&lt;wsp:rsid wsp:val=&quot;00E2008A&quot;/&gt;&lt;wsp:rsid wsp:val=&quot;00E210D6&quot;/&gt;&lt;wsp:rsid wsp:val=&quot;00E23669&quot;/&gt;&lt;wsp:rsid wsp:val=&quot;00E237B2&quot;/&gt;&lt;wsp:rsid wsp:val=&quot;00E25FDC&quot;/&gt;&lt;wsp:rsid wsp:val=&quot;00E305D7&quot;/&gt;&lt;wsp:rsid wsp:val=&quot;00E3073A&quot;/&gt;&lt;wsp:rsid wsp:val=&quot;00E3087C&quot;/&gt;&lt;wsp:rsid wsp:val=&quot;00E30ACA&quot;/&gt;&lt;wsp:rsid wsp:val=&quot;00E319CB&quot;/&gt;&lt;wsp:rsid wsp:val=&quot;00E321CD&quot;/&gt;&lt;wsp:rsid wsp:val=&quot;00E335D4&quot;/&gt;&lt;wsp:rsid wsp:val=&quot;00E339D7&quot;/&gt;&lt;wsp:rsid wsp:val=&quot;00E33C56&quot;/&gt;&lt;wsp:rsid wsp:val=&quot;00E33DE3&quot;/&gt;&lt;wsp:rsid wsp:val=&quot;00E34EDA&quot;/&gt;&lt;wsp:rsid wsp:val=&quot;00E35234&quot;/&gt;&lt;wsp:rsid wsp:val=&quot;00E3531E&quot;/&gt;&lt;wsp:rsid wsp:val=&quot;00E35570&quot;/&gt;&lt;wsp:rsid wsp:val=&quot;00E35D3E&quot;/&gt;&lt;wsp:rsid wsp:val=&quot;00E36162&quot;/&gt;&lt;wsp:rsid wsp:val=&quot;00E36EC5&quot;/&gt;&lt;wsp:rsid wsp:val=&quot;00E37066&quot;/&gt;&lt;wsp:rsid wsp:val=&quot;00E374B3&quot;/&gt;&lt;wsp:rsid wsp:val=&quot;00E377C1&quot;/&gt;&lt;wsp:rsid wsp:val=&quot;00E408F2&quot;/&gt;&lt;wsp:rsid wsp:val=&quot;00E44609&quot;/&gt;&lt;wsp:rsid wsp:val=&quot;00E457FE&quot;/&gt;&lt;wsp:rsid wsp:val=&quot;00E467D0&quot;/&gt;&lt;wsp:rsid wsp:val=&quot;00E46FBD&quot;/&gt;&lt;wsp:rsid wsp:val=&quot;00E47083&quot;/&gt;&lt;wsp:rsid wsp:val=&quot;00E473E1&quot;/&gt;&lt;wsp:rsid wsp:val=&quot;00E50213&quot;/&gt;&lt;wsp:rsid wsp:val=&quot;00E5225D&quot;/&gt;&lt;wsp:rsid wsp:val=&quot;00E52C37&quot;/&gt;&lt;wsp:rsid wsp:val=&quot;00E552B3&quot;/&gt;&lt;wsp:rsid wsp:val=&quot;00E558DF&quot;/&gt;&lt;wsp:rsid wsp:val=&quot;00E56297&quot;/&gt;&lt;wsp:rsid wsp:val=&quot;00E575BC&quot;/&gt;&lt;wsp:rsid wsp:val=&quot;00E57CA7&quot;/&gt;&lt;wsp:rsid wsp:val=&quot;00E608EA&quot;/&gt;&lt;wsp:rsid wsp:val=&quot;00E60A3C&quot;/&gt;&lt;wsp:rsid wsp:val=&quot;00E61235&quot;/&gt;&lt;wsp:rsid wsp:val=&quot;00E61BAD&quot;/&gt;&lt;wsp:rsid wsp:val=&quot;00E61E3A&quot;/&gt;&lt;wsp:rsid wsp:val=&quot;00E621EF&quot;/&gt;&lt;wsp:rsid wsp:val=&quot;00E636F7&quot;/&gt;&lt;wsp:rsid wsp:val=&quot;00E63782&quot;/&gt;&lt;wsp:rsid wsp:val=&quot;00E63A9A&quot;/&gt;&lt;wsp:rsid wsp:val=&quot;00E64221&quot;/&gt;&lt;wsp:rsid wsp:val=&quot;00E64277&quot;/&gt;&lt;wsp:rsid wsp:val=&quot;00E64302&quot;/&gt;&lt;wsp:rsid wsp:val=&quot;00E644F5&quot;/&gt;&lt;wsp:rsid wsp:val=&quot;00E6454F&quot;/&gt;&lt;wsp:rsid wsp:val=&quot;00E64ED1&quot;/&gt;&lt;wsp:rsid wsp:val=&quot;00E65683&quot;/&gt;&lt;wsp:rsid wsp:val=&quot;00E65C2E&quot;/&gt;&lt;wsp:rsid wsp:val=&quot;00E66061&quot;/&gt;&lt;wsp:rsid wsp:val=&quot;00E66D70&quot;/&gt;&lt;wsp:rsid wsp:val=&quot;00E672F8&quot;/&gt;&lt;wsp:rsid wsp:val=&quot;00E675E0&quot;/&gt;&lt;wsp:rsid wsp:val=&quot;00E676C0&quot;/&gt;&lt;wsp:rsid wsp:val=&quot;00E700E6&quot;/&gt;&lt;wsp:rsid wsp:val=&quot;00E712BC&quot;/&gt;&lt;wsp:rsid wsp:val=&quot;00E71572&quot;/&gt;&lt;wsp:rsid wsp:val=&quot;00E7177B&quot;/&gt;&lt;wsp:rsid wsp:val=&quot;00E71AB6&quot;/&gt;&lt;wsp:rsid wsp:val=&quot;00E724F4&quot;/&gt;&lt;wsp:rsid wsp:val=&quot;00E733EB&quot;/&gt;&lt;wsp:rsid wsp:val=&quot;00E7442A&quot;/&gt;&lt;wsp:rsid wsp:val=&quot;00E7445C&quot;/&gt;&lt;wsp:rsid wsp:val=&quot;00E74B6A&quot;/&gt;&lt;wsp:rsid wsp:val=&quot;00E761CE&quot;/&gt;&lt;wsp:rsid wsp:val=&quot;00E767E9&quot;/&gt;&lt;wsp:rsid wsp:val=&quot;00E76A2A&quot;/&gt;&lt;wsp:rsid wsp:val=&quot;00E77596&quot;/&gt;&lt;wsp:rsid wsp:val=&quot;00E77A98&quot;/&gt;&lt;wsp:rsid wsp:val=&quot;00E77B74&quot;/&gt;&lt;wsp:rsid wsp:val=&quot;00E81045&quot;/&gt;&lt;wsp:rsid wsp:val=&quot;00E81185&quot;/&gt;&lt;wsp:rsid wsp:val=&quot;00E8149D&quot;/&gt;&lt;wsp:rsid wsp:val=&quot;00E81586&quot;/&gt;&lt;wsp:rsid wsp:val=&quot;00E817CC&quot;/&gt;&lt;wsp:rsid wsp:val=&quot;00E817D6&quot;/&gt;&lt;wsp:rsid wsp:val=&quot;00E822BC&quot;/&gt;&lt;wsp:rsid wsp:val=&quot;00E84106&quot;/&gt;&lt;wsp:rsid wsp:val=&quot;00E845D1&quot;/&gt;&lt;wsp:rsid wsp:val=&quot;00E850A8&quot;/&gt;&lt;wsp:rsid wsp:val=&quot;00E87C07&quot;/&gt;&lt;wsp:rsid wsp:val=&quot;00E9011F&quot;/&gt;&lt;wsp:rsid wsp:val=&quot;00E90389&quot;/&gt;&lt;wsp:rsid wsp:val=&quot;00E926E0&quot;/&gt;&lt;wsp:rsid wsp:val=&quot;00E92814&quot;/&gt;&lt;wsp:rsid wsp:val=&quot;00E9492F&quot;/&gt;&lt;wsp:rsid wsp:val=&quot;00E94E28&quot;/&gt;&lt;wsp:rsid wsp:val=&quot;00E94F7D&quot;/&gt;&lt;wsp:rsid wsp:val=&quot;00E955F4&quot;/&gt;&lt;wsp:rsid wsp:val=&quot;00E9568F&quot;/&gt;&lt;wsp:rsid wsp:val=&quot;00E95A06&quot;/&gt;&lt;wsp:rsid wsp:val=&quot;00E96081&quot;/&gt;&lt;wsp:rsid wsp:val=&quot;00E96277&quot;/&gt;&lt;wsp:rsid wsp:val=&quot;00E97085&quot;/&gt;&lt;wsp:rsid wsp:val=&quot;00E97BCF&quot;/&gt;&lt;wsp:rsid wsp:val=&quot;00E97E9B&quot;/&gt;&lt;wsp:rsid wsp:val=&quot;00E97FD2&quot;/&gt;&lt;wsp:rsid wsp:val=&quot;00EA07FF&quot;/&gt;&lt;wsp:rsid wsp:val=&quot;00EA0837&quot;/&gt;&lt;wsp:rsid wsp:val=&quot;00EA221E&quot;/&gt;&lt;wsp:rsid wsp:val=&quot;00EA2E62&quot;/&gt;&lt;wsp:rsid wsp:val=&quot;00EA35FD&quot;/&gt;&lt;wsp:rsid wsp:val=&quot;00EA37ED&quot;/&gt;&lt;wsp:rsid wsp:val=&quot;00EA3848&quot;/&gt;&lt;wsp:rsid wsp:val=&quot;00EA3FFA&quot;/&gt;&lt;wsp:rsid wsp:val=&quot;00EA401B&quot;/&gt;&lt;wsp:rsid wsp:val=&quot;00EA4A2F&quot;/&gt;&lt;wsp:rsid wsp:val=&quot;00EA59FA&quot;/&gt;&lt;wsp:rsid wsp:val=&quot;00EA5DE3&quot;/&gt;&lt;wsp:rsid wsp:val=&quot;00EA5F6C&quot;/&gt;&lt;wsp:rsid wsp:val=&quot;00EA72F6&quot;/&gt;&lt;wsp:rsid wsp:val=&quot;00EB0B1C&quot;/&gt;&lt;wsp:rsid wsp:val=&quot;00EB0E6C&quot;/&gt;&lt;wsp:rsid wsp:val=&quot;00EB0FFF&quot;/&gt;&lt;wsp:rsid wsp:val=&quot;00EB133A&quot;/&gt;&lt;wsp:rsid wsp:val=&quot;00EB18E9&quot;/&gt;&lt;wsp:rsid wsp:val=&quot;00EB263C&quot;/&gt;&lt;wsp:rsid wsp:val=&quot;00EB4D77&quot;/&gt;&lt;wsp:rsid wsp:val=&quot;00EB7ED6&quot;/&gt;&lt;wsp:rsid wsp:val=&quot;00EC0274&quot;/&gt;&lt;wsp:rsid wsp:val=&quot;00EC09C3&quot;/&gt;&lt;wsp:rsid wsp:val=&quot;00EC0DB9&quot;/&gt;&lt;wsp:rsid wsp:val=&quot;00EC0DC0&quot;/&gt;&lt;wsp:rsid wsp:val=&quot;00EC136D&quot;/&gt;&lt;wsp:rsid wsp:val=&quot;00EC2DDA&quot;/&gt;&lt;wsp:rsid wsp:val=&quot;00EC3577&quot;/&gt;&lt;wsp:rsid wsp:val=&quot;00EC3F82&quot;/&gt;&lt;wsp:rsid wsp:val=&quot;00EC4322&quot;/&gt;&lt;wsp:rsid wsp:val=&quot;00EC49BA&quot;/&gt;&lt;wsp:rsid wsp:val=&quot;00EC5B88&quot;/&gt;&lt;wsp:rsid wsp:val=&quot;00EC5F92&quot;/&gt;&lt;wsp:rsid wsp:val=&quot;00EC612B&quot;/&gt;&lt;wsp:rsid wsp:val=&quot;00EC623D&quot;/&gt;&lt;wsp:rsid wsp:val=&quot;00EC63DC&quot;/&gt;&lt;wsp:rsid wsp:val=&quot;00EC6B0B&quot;/&gt;&lt;wsp:rsid wsp:val=&quot;00EC6ED4&quot;/&gt;&lt;wsp:rsid wsp:val=&quot;00EC7786&quot;/&gt;&lt;wsp:rsid wsp:val=&quot;00EC7A2E&quot;/&gt;&lt;wsp:rsid wsp:val=&quot;00EC7FBA&quot;/&gt;&lt;wsp:rsid wsp:val=&quot;00ED00FF&quot;/&gt;&lt;wsp:rsid wsp:val=&quot;00ED09C3&quot;/&gt;&lt;wsp:rsid wsp:val=&quot;00ED0E30&quot;/&gt;&lt;wsp:rsid wsp:val=&quot;00ED128F&quot;/&gt;&lt;wsp:rsid wsp:val=&quot;00ED1875&quot;/&gt;&lt;wsp:rsid wsp:val=&quot;00ED26D7&quot;/&gt;&lt;wsp:rsid wsp:val=&quot;00ED35D9&quot;/&gt;&lt;wsp:rsid wsp:val=&quot;00ED3C86&quot;/&gt;&lt;wsp:rsid wsp:val=&quot;00ED4165&quot;/&gt;&lt;wsp:rsid wsp:val=&quot;00ED49CE&quot;/&gt;&lt;wsp:rsid wsp:val=&quot;00ED50FA&quot;/&gt;&lt;wsp:rsid wsp:val=&quot;00ED5899&quot;/&gt;&lt;wsp:rsid wsp:val=&quot;00ED5BA3&quot;/&gt;&lt;wsp:rsid wsp:val=&quot;00ED6139&quot;/&gt;&lt;wsp:rsid wsp:val=&quot;00ED660C&quot;/&gt;&lt;wsp:rsid wsp:val=&quot;00ED683F&quot;/&gt;&lt;wsp:rsid wsp:val=&quot;00EE06DB&quot;/&gt;&lt;wsp:rsid wsp:val=&quot;00EE15BD&quot;/&gt;&lt;wsp:rsid wsp:val=&quot;00EE1B6B&quot;/&gt;&lt;wsp:rsid wsp:val=&quot;00EE20E7&quot;/&gt;&lt;wsp:rsid wsp:val=&quot;00EE2397&quot;/&gt;&lt;wsp:rsid wsp:val=&quot;00EE3146&quot;/&gt;&lt;wsp:rsid wsp:val=&quot;00EE3213&quot;/&gt;&lt;wsp:rsid wsp:val=&quot;00EE44B6&quot;/&gt;&lt;wsp:rsid wsp:val=&quot;00EE489E&quot;/&gt;&lt;wsp:rsid wsp:val=&quot;00EE5120&quot;/&gt;&lt;wsp:rsid wsp:val=&quot;00EE5F23&quot;/&gt;&lt;wsp:rsid wsp:val=&quot;00EE6C3C&quot;/&gt;&lt;wsp:rsid wsp:val=&quot;00EE6C56&quot;/&gt;&lt;wsp:rsid wsp:val=&quot;00EF026B&quot;/&gt;&lt;wsp:rsid wsp:val=&quot;00EF0C02&quot;/&gt;&lt;wsp:rsid wsp:val=&quot;00EF1A1A&quot;/&gt;&lt;wsp:rsid wsp:val=&quot;00EF1ECC&quot;/&gt;&lt;wsp:rsid wsp:val=&quot;00EF2518&quot;/&gt;&lt;wsp:rsid wsp:val=&quot;00EF28EF&quot;/&gt;&lt;wsp:rsid wsp:val=&quot;00EF39B0&quot;/&gt;&lt;wsp:rsid wsp:val=&quot;00EF3B45&quot;/&gt;&lt;wsp:rsid wsp:val=&quot;00EF3F3D&quot;/&gt;&lt;wsp:rsid wsp:val=&quot;00EF4484&quot;/&gt;&lt;wsp:rsid wsp:val=&quot;00EF491C&quot;/&gt;&lt;wsp:rsid wsp:val=&quot;00EF5D7D&quot;/&gt;&lt;wsp:rsid wsp:val=&quot;00EF5ECA&quot;/&gt;&lt;wsp:rsid wsp:val=&quot;00EF6AD0&quot;/&gt;&lt;wsp:rsid wsp:val=&quot;00EF6BBB&quot;/&gt;&lt;wsp:rsid wsp:val=&quot;00EF71B3&quot;/&gt;&lt;wsp:rsid wsp:val=&quot;00EF77C5&quot;/&gt;&lt;wsp:rsid wsp:val=&quot;00EF7AC0&quot;/&gt;&lt;wsp:rsid wsp:val=&quot;00F0034E&quot;/&gt;&lt;wsp:rsid wsp:val=&quot;00F00858&quot;/&gt;&lt;wsp:rsid wsp:val=&quot;00F013DB&quot;/&gt;&lt;wsp:rsid wsp:val=&quot;00F01E94&quot;/&gt;&lt;wsp:rsid wsp:val=&quot;00F020DB&quot;/&gt;&lt;wsp:rsid wsp:val=&quot;00F02DAE&quot;/&gt;&lt;wsp:rsid wsp:val=&quot;00F030A7&quot;/&gt;&lt;wsp:rsid wsp:val=&quot;00F03FDF&quot;/&gt;&lt;wsp:rsid wsp:val=&quot;00F0404D&quot;/&gt;&lt;wsp:rsid wsp:val=&quot;00F05204&quot;/&gt;&lt;wsp:rsid wsp:val=&quot;00F0527F&quot;/&gt;&lt;wsp:rsid wsp:val=&quot;00F0547C&quot;/&gt;&lt;wsp:rsid wsp:val=&quot;00F0571F&quot;/&gt;&lt;wsp:rsid wsp:val=&quot;00F06FBA&quot;/&gt;&lt;wsp:rsid wsp:val=&quot;00F07082&quot;/&gt;&lt;wsp:rsid wsp:val=&quot;00F0711E&quot;/&gt;&lt;wsp:rsid wsp:val=&quot;00F07808&quot;/&gt;&lt;wsp:rsid wsp:val=&quot;00F10B48&quot;/&gt;&lt;wsp:rsid wsp:val=&quot;00F10C86&quot;/&gt;&lt;wsp:rsid wsp:val=&quot;00F1128A&quot;/&gt;&lt;wsp:rsid wsp:val=&quot;00F11642&quot;/&gt;&lt;wsp:rsid wsp:val=&quot;00F12D93&quot;/&gt;&lt;wsp:rsid wsp:val=&quot;00F1336E&quot;/&gt;&lt;wsp:rsid wsp:val=&quot;00F14697&quot;/&gt;&lt;wsp:rsid wsp:val=&quot;00F14978&quot;/&gt;&lt;wsp:rsid wsp:val=&quot;00F14B76&quot;/&gt;&lt;wsp:rsid wsp:val=&quot;00F14DC5&quot;/&gt;&lt;wsp:rsid wsp:val=&quot;00F1552A&quot;/&gt;&lt;wsp:rsid wsp:val=&quot;00F16100&quot;/&gt;&lt;wsp:rsid wsp:val=&quot;00F16CBF&quot;/&gt;&lt;wsp:rsid wsp:val=&quot;00F20BA9&quot;/&gt;&lt;wsp:rsid wsp:val=&quot;00F20E03&quot;/&gt;&lt;wsp:rsid wsp:val=&quot;00F21252&quot;/&gt;&lt;wsp:rsid wsp:val=&quot;00F2151E&quot;/&gt;&lt;wsp:rsid wsp:val=&quot;00F21933&quot;/&gt;&lt;wsp:rsid wsp:val=&quot;00F21E7E&quot;/&gt;&lt;wsp:rsid wsp:val=&quot;00F220FA&quot;/&gt;&lt;wsp:rsid wsp:val=&quot;00F22A85&quot;/&gt;&lt;wsp:rsid wsp:val=&quot;00F2410B&quot;/&gt;&lt;wsp:rsid wsp:val=&quot;00F24D5B&quot;/&gt;&lt;wsp:rsid wsp:val=&quot;00F24E6C&quot;/&gt;&lt;wsp:rsid wsp:val=&quot;00F24F73&quot;/&gt;&lt;wsp:rsid wsp:val=&quot;00F25CA5&quot;/&gt;&lt;wsp:rsid wsp:val=&quot;00F25CB0&quot;/&gt;&lt;wsp:rsid wsp:val=&quot;00F26593&quot;/&gt;&lt;wsp:rsid wsp:val=&quot;00F274C3&quot;/&gt;&lt;wsp:rsid wsp:val=&quot;00F277B2&quot;/&gt;&lt;wsp:rsid wsp:val=&quot;00F27AA0&quot;/&gt;&lt;wsp:rsid wsp:val=&quot;00F27FBC&quot;/&gt;&lt;wsp:rsid wsp:val=&quot;00F30666&quot;/&gt;&lt;wsp:rsid wsp:val=&quot;00F309AF&quot;/&gt;&lt;wsp:rsid wsp:val=&quot;00F311FC&quot;/&gt;&lt;wsp:rsid wsp:val=&quot;00F31BDC&quot;/&gt;&lt;wsp:rsid wsp:val=&quot;00F322FE&quot;/&gt;&lt;wsp:rsid wsp:val=&quot;00F32E20&quot;/&gt;&lt;wsp:rsid wsp:val=&quot;00F32FBE&quot;/&gt;&lt;wsp:rsid wsp:val=&quot;00F33163&quot;/&gt;&lt;wsp:rsid wsp:val=&quot;00F33511&quot;/&gt;&lt;wsp:rsid wsp:val=&quot;00F35150&quot;/&gt;&lt;wsp:rsid wsp:val=&quot;00F35653&quot;/&gt;&lt;wsp:rsid wsp:val=&quot;00F35798&quot;/&gt;&lt;wsp:rsid wsp:val=&quot;00F3591E&quot;/&gt;&lt;wsp:rsid wsp:val=&quot;00F35C3A&quot;/&gt;&lt;wsp:rsid wsp:val=&quot;00F35D79&quot;/&gt;&lt;wsp:rsid wsp:val=&quot;00F36E9B&quot;/&gt;&lt;wsp:rsid wsp:val=&quot;00F36F48&quot;/&gt;&lt;wsp:rsid wsp:val=&quot;00F379BC&quot;/&gt;&lt;wsp:rsid wsp:val=&quot;00F40040&quot;/&gt;&lt;wsp:rsid wsp:val=&quot;00F400B5&quot;/&gt;&lt;wsp:rsid wsp:val=&quot;00F404BC&quot;/&gt;&lt;wsp:rsid wsp:val=&quot;00F404EF&quot;/&gt;&lt;wsp:rsid wsp:val=&quot;00F40A46&quot;/&gt;&lt;wsp:rsid wsp:val=&quot;00F40DE0&quot;/&gt;&lt;wsp:rsid wsp:val=&quot;00F41C6C&quot;/&gt;&lt;wsp:rsid wsp:val=&quot;00F4218A&quot;/&gt;&lt;wsp:rsid wsp:val=&quot;00F42E6E&quot;/&gt;&lt;wsp:rsid wsp:val=&quot;00F4390F&quot;/&gt;&lt;wsp:rsid wsp:val=&quot;00F43CB4&quot;/&gt;&lt;wsp:rsid wsp:val=&quot;00F44914&quot;/&gt;&lt;wsp:rsid wsp:val=&quot;00F45209&quot;/&gt;&lt;wsp:rsid wsp:val=&quot;00F454DF&quot;/&gt;&lt;wsp:rsid wsp:val=&quot;00F459E0&quot;/&gt;&lt;wsp:rsid wsp:val=&quot;00F46863&quot;/&gt;&lt;wsp:rsid wsp:val=&quot;00F46E6F&quot;/&gt;&lt;wsp:rsid wsp:val=&quot;00F47700&quot;/&gt;&lt;wsp:rsid wsp:val=&quot;00F5061A&quot;/&gt;&lt;wsp:rsid wsp:val=&quot;00F50C5D&quot;/&gt;&lt;wsp:rsid wsp:val=&quot;00F51104&quot;/&gt;&lt;wsp:rsid wsp:val=&quot;00F511AC&quot;/&gt;&lt;wsp:rsid wsp:val=&quot;00F5148D&quot;/&gt;&lt;wsp:rsid wsp:val=&quot;00F5310E&quot;/&gt;&lt;wsp:rsid wsp:val=&quot;00F53522&quot;/&gt;&lt;wsp:rsid wsp:val=&quot;00F53722&quot;/&gt;&lt;wsp:rsid wsp:val=&quot;00F5420A&quot;/&gt;&lt;wsp:rsid wsp:val=&quot;00F54364&quot;/&gt;&lt;wsp:rsid wsp:val=&quot;00F543D4&quot;/&gt;&lt;wsp:rsid wsp:val=&quot;00F54D13&quot;/&gt;&lt;wsp:rsid wsp:val=&quot;00F5513D&quot;/&gt;&lt;wsp:rsid wsp:val=&quot;00F5523F&quot;/&gt;&lt;wsp:rsid wsp:val=&quot;00F56701&quot;/&gt;&lt;wsp:rsid wsp:val=&quot;00F56F17&quot;/&gt;&lt;wsp:rsid wsp:val=&quot;00F56FA3&quot;/&gt;&lt;wsp:rsid wsp:val=&quot;00F57456&quot;/&gt;&lt;wsp:rsid wsp:val=&quot;00F5763F&quot;/&gt;&lt;wsp:rsid wsp:val=&quot;00F57686&quot;/&gt;&lt;wsp:rsid wsp:val=&quot;00F57B45&quot;/&gt;&lt;wsp:rsid wsp:val=&quot;00F60642&quot;/&gt;&lt;wsp:rsid wsp:val=&quot;00F60C21&quot;/&gt;&lt;wsp:rsid wsp:val=&quot;00F60F8C&quot;/&gt;&lt;wsp:rsid wsp:val=&quot;00F612F5&quot;/&gt;&lt;wsp:rsid wsp:val=&quot;00F6186E&quot;/&gt;&lt;wsp:rsid wsp:val=&quot;00F62183&quot;/&gt;&lt;wsp:rsid wsp:val=&quot;00F622A2&quot;/&gt;&lt;wsp:rsid wsp:val=&quot;00F62E01&quot;/&gt;&lt;wsp:rsid wsp:val=&quot;00F639EA&quot;/&gt;&lt;wsp:rsid wsp:val=&quot;00F6453E&quot;/&gt;&lt;wsp:rsid wsp:val=&quot;00F65B7B&quot;/&gt;&lt;wsp:rsid wsp:val=&quot;00F65FCB&quot;/&gt;&lt;wsp:rsid wsp:val=&quot;00F661A0&quot;/&gt;&lt;wsp:rsid wsp:val=&quot;00F67B37&quot;/&gt;&lt;wsp:rsid wsp:val=&quot;00F67CB5&quot;/&gt;&lt;wsp:rsid wsp:val=&quot;00F70648&quot;/&gt;&lt;wsp:rsid wsp:val=&quot;00F71120&quot;/&gt;&lt;wsp:rsid wsp:val=&quot;00F717CA&quot;/&gt;&lt;wsp:rsid wsp:val=&quot;00F717D6&quot;/&gt;&lt;wsp:rsid wsp:val=&quot;00F72016&quot;/&gt;&lt;wsp:rsid wsp:val=&quot;00F7222C&quot;/&gt;&lt;wsp:rsid wsp:val=&quot;00F72483&quot;/&gt;&lt;wsp:rsid wsp:val=&quot;00F72585&quot;/&gt;&lt;wsp:rsid wsp:val=&quot;00F72818&quot;/&gt;&lt;wsp:rsid wsp:val=&quot;00F72A60&quot;/&gt;&lt;wsp:rsid wsp:val=&quot;00F736C3&quot;/&gt;&lt;wsp:rsid wsp:val=&quot;00F7380B&quot;/&gt;&lt;wsp:rsid wsp:val=&quot;00F73E36&quot;/&gt;&lt;wsp:rsid wsp:val=&quot;00F7404E&quot;/&gt;&lt;wsp:rsid wsp:val=&quot;00F7478E&quot;/&gt;&lt;wsp:rsid wsp:val=&quot;00F7551E&quot;/&gt;&lt;wsp:rsid wsp:val=&quot;00F75520&quot;/&gt;&lt;wsp:rsid wsp:val=&quot;00F75868&quot;/&gt;&lt;wsp:rsid wsp:val=&quot;00F75EAA&quot;/&gt;&lt;wsp:rsid wsp:val=&quot;00F76908&quot;/&gt;&lt;wsp:rsid wsp:val=&quot;00F77172&quot;/&gt;&lt;wsp:rsid wsp:val=&quot;00F77F08&quot;/&gt;&lt;wsp:rsid wsp:val=&quot;00F77F24&quot;/&gt;&lt;wsp:rsid wsp:val=&quot;00F77FAB&quot;/&gt;&lt;wsp:rsid wsp:val=&quot;00F80157&quot;/&gt;&lt;wsp:rsid wsp:val=&quot;00F8099A&quot;/&gt;&lt;wsp:rsid wsp:val=&quot;00F81351&quot;/&gt;&lt;wsp:rsid wsp:val=&quot;00F844BD&quot;/&gt;&lt;wsp:rsid wsp:val=&quot;00F8451A&quot;/&gt;&lt;wsp:rsid wsp:val=&quot;00F84FDD&quot;/&gt;&lt;wsp:rsid wsp:val=&quot;00F8568B&quot;/&gt;&lt;wsp:rsid wsp:val=&quot;00F8574E&quot;/&gt;&lt;wsp:rsid wsp:val=&quot;00F85AC8&quot;/&gt;&lt;wsp:rsid wsp:val=&quot;00F85C9C&quot;/&gt;&lt;wsp:rsid wsp:val=&quot;00F85FE8&quot;/&gt;&lt;wsp:rsid wsp:val=&quot;00F86558&quot;/&gt;&lt;wsp:rsid wsp:val=&quot;00F86804&quot;/&gt;&lt;wsp:rsid wsp:val=&quot;00F8680C&quot;/&gt;&lt;wsp:rsid wsp:val=&quot;00F86EB3&quot;/&gt;&lt;wsp:rsid wsp:val=&quot;00F87726&quot;/&gt;&lt;wsp:rsid wsp:val=&quot;00F8772D&quot;/&gt;&lt;wsp:rsid wsp:val=&quot;00F87E3F&quot;/&gt;&lt;wsp:rsid wsp:val=&quot;00F90196&quot;/&gt;&lt;wsp:rsid wsp:val=&quot;00F908E8&quot;/&gt;&lt;wsp:rsid wsp:val=&quot;00F91E89&quot;/&gt;&lt;wsp:rsid wsp:val=&quot;00F92318&quot;/&gt;&lt;wsp:rsid wsp:val=&quot;00F92548&quot;/&gt;&lt;wsp:rsid wsp:val=&quot;00F93027&quot;/&gt;&lt;wsp:rsid wsp:val=&quot;00F93913&quot;/&gt;&lt;wsp:rsid wsp:val=&quot;00F946B2&quot;/&gt;&lt;wsp:rsid wsp:val=&quot;00F951DC&quot;/&gt;&lt;wsp:rsid wsp:val=&quot;00F9588C&quot;/&gt;&lt;wsp:rsid wsp:val=&quot;00F960A1&quot;/&gt;&lt;wsp:rsid wsp:val=&quot;00F96933&quot;/&gt;&lt;wsp:rsid wsp:val=&quot;00F9695B&quot;/&gt;&lt;wsp:rsid wsp:val=&quot;00F97050&quot;/&gt;&lt;wsp:rsid wsp:val=&quot;00F97611&quot;/&gt;&lt;wsp:rsid wsp:val=&quot;00FA0114&quot;/&gt;&lt;wsp:rsid wsp:val=&quot;00FA04EA&quot;/&gt;&lt;wsp:rsid wsp:val=&quot;00FA0730&quot;/&gt;&lt;wsp:rsid wsp:val=&quot;00FA0887&quot;/&gt;&lt;wsp:rsid wsp:val=&quot;00FA0975&quot;/&gt;&lt;wsp:rsid wsp:val=&quot;00FA0B37&quot;/&gt;&lt;wsp:rsid wsp:val=&quot;00FA0C36&quot;/&gt;&lt;wsp:rsid wsp:val=&quot;00FA29C2&quot;/&gt;&lt;wsp:rsid wsp:val=&quot;00FA35CE&quot;/&gt;&lt;wsp:rsid wsp:val=&quot;00FA361A&quot;/&gt;&lt;wsp:rsid wsp:val=&quot;00FA3D74&quot;/&gt;&lt;wsp:rsid wsp:val=&quot;00FA48E5&quot;/&gt;&lt;wsp:rsid wsp:val=&quot;00FA53B1&quot;/&gt;&lt;wsp:rsid wsp:val=&quot;00FA6022&quot;/&gt;&lt;wsp:rsid wsp:val=&quot;00FA756D&quot;/&gt;&lt;wsp:rsid wsp:val=&quot;00FA7E60&quot;/&gt;&lt;wsp:rsid wsp:val=&quot;00FB066A&quot;/&gt;&lt;wsp:rsid wsp:val=&quot;00FB1563&quot;/&gt;&lt;wsp:rsid wsp:val=&quot;00FB1E70&quot;/&gt;&lt;wsp:rsid wsp:val=&quot;00FB265A&quot;/&gt;&lt;wsp:rsid wsp:val=&quot;00FB2E86&quot;/&gt;&lt;wsp:rsid wsp:val=&quot;00FB2F9F&quot;/&gt;&lt;wsp:rsid wsp:val=&quot;00FB30E1&quot;/&gt;&lt;wsp:rsid wsp:val=&quot;00FB4317&quot;/&gt;&lt;wsp:rsid wsp:val=&quot;00FB44DB&quot;/&gt;&lt;wsp:rsid wsp:val=&quot;00FB4BA3&quot;/&gt;&lt;wsp:rsid wsp:val=&quot;00FB505A&quot;/&gt;&lt;wsp:rsid wsp:val=&quot;00FB62EF&quot;/&gt;&lt;wsp:rsid wsp:val=&quot;00FB638A&quot;/&gt;&lt;wsp:rsid wsp:val=&quot;00FB6F8C&quot;/&gt;&lt;wsp:rsid wsp:val=&quot;00FB7497&quot;/&gt;&lt;wsp:rsid wsp:val=&quot;00FB7620&quot;/&gt;&lt;wsp:rsid wsp:val=&quot;00FB7667&quot;/&gt;&lt;wsp:rsid wsp:val=&quot;00FB78D3&quot;/&gt;&lt;wsp:rsid wsp:val=&quot;00FC001E&quot;/&gt;&lt;wsp:rsid wsp:val=&quot;00FC0DE5&quot;/&gt;&lt;wsp:rsid wsp:val=&quot;00FC0FB9&quot;/&gt;&lt;wsp:rsid wsp:val=&quot;00FC1516&quot;/&gt;&lt;wsp:rsid wsp:val=&quot;00FC1840&quot;/&gt;&lt;wsp:rsid wsp:val=&quot;00FC1E5D&quot;/&gt;&lt;wsp:rsid wsp:val=&quot;00FC29CE&quot;/&gt;&lt;wsp:rsid wsp:val=&quot;00FC2C52&quot;/&gt;&lt;wsp:rsid wsp:val=&quot;00FC304A&quot;/&gt;&lt;wsp:rsid wsp:val=&quot;00FC32F3&quot;/&gt;&lt;wsp:rsid wsp:val=&quot;00FC372A&quot;/&gt;&lt;wsp:rsid wsp:val=&quot;00FC3A01&quot;/&gt;&lt;wsp:rsid wsp:val=&quot;00FC449F&quot;/&gt;&lt;wsp:rsid wsp:val=&quot;00FC49E2&quot;/&gt;&lt;wsp:rsid wsp:val=&quot;00FC4E02&quot;/&gt;&lt;wsp:rsid wsp:val=&quot;00FC53B3&quot;/&gt;&lt;wsp:rsid wsp:val=&quot;00FC65F0&quot;/&gt;&lt;wsp:rsid wsp:val=&quot;00FC699E&quot;/&gt;&lt;wsp:rsid wsp:val=&quot;00FC6CAB&quot;/&gt;&lt;wsp:rsid wsp:val=&quot;00FC7EC0&quot;/&gt;&lt;wsp:rsid wsp:val=&quot;00FD05C2&quot;/&gt;&lt;wsp:rsid wsp:val=&quot;00FD0DC9&quot;/&gt;&lt;wsp:rsid wsp:val=&quot;00FD1053&quot;/&gt;&lt;wsp:rsid wsp:val=&quot;00FD1D17&quot;/&gt;&lt;wsp:rsid wsp:val=&quot;00FD273E&quot;/&gt;&lt;wsp:rsid wsp:val=&quot;00FD2C37&quot;/&gt;&lt;wsp:rsid wsp:val=&quot;00FD3886&quot;/&gt;&lt;wsp:rsid wsp:val=&quot;00FD39C9&quot;/&gt;&lt;wsp:rsid wsp:val=&quot;00FD4A3B&quot;/&gt;&lt;wsp:rsid wsp:val=&quot;00FD52BD&quot;/&gt;&lt;wsp:rsid wsp:val=&quot;00FD55C0&quot;/&gt;&lt;wsp:rsid wsp:val=&quot;00FD608E&quot;/&gt;&lt;wsp:rsid wsp:val=&quot;00FD6385&quot;/&gt;&lt;wsp:rsid wsp:val=&quot;00FD6A25&quot;/&gt;&lt;wsp:rsid wsp:val=&quot;00FD7A07&quot;/&gt;&lt;wsp:rsid wsp:val=&quot;00FD7A0D&quot;/&gt;&lt;wsp:rsid wsp:val=&quot;00FE096B&quot;/&gt;&lt;wsp:rsid wsp:val=&quot;00FE0CD4&quot;/&gt;&lt;wsp:rsid wsp:val=&quot;00FE0FFE&quot;/&gt;&lt;wsp:rsid wsp:val=&quot;00FE104B&quot;/&gt;&lt;wsp:rsid wsp:val=&quot;00FE10E7&quot;/&gt;&lt;wsp:rsid wsp:val=&quot;00FE1324&quot;/&gt;&lt;wsp:rsid wsp:val=&quot;00FE1404&quot;/&gt;&lt;wsp:rsid wsp:val=&quot;00FE140B&quot;/&gt;&lt;wsp:rsid wsp:val=&quot;00FE1488&quot;/&gt;&lt;wsp:rsid wsp:val=&quot;00FE260A&quot;/&gt;&lt;wsp:rsid wsp:val=&quot;00FE2FDD&quot;/&gt;&lt;wsp:rsid wsp:val=&quot;00FE3BF8&quot;/&gt;&lt;wsp:rsid wsp:val=&quot;00FE40DA&quot;/&gt;&lt;wsp:rsid wsp:val=&quot;00FE463E&quot;/&gt;&lt;wsp:rsid wsp:val=&quot;00FE4F69&quot;/&gt;&lt;wsp:rsid wsp:val=&quot;00FE5AFA&quot;/&gt;&lt;wsp:rsid wsp:val=&quot;00FE6A68&quot;/&gt;&lt;wsp:rsid wsp:val=&quot;00FE7771&quot;/&gt;&lt;wsp:rsid wsp:val=&quot;00FE7FFC&quot;/&gt;&lt;wsp:rsid wsp:val=&quot;00FF00B2&quot;/&gt;&lt;wsp:rsid wsp:val=&quot;00FF05AE&quot;/&gt;&lt;wsp:rsid wsp:val=&quot;00FF0828&quot;/&gt;&lt;wsp:rsid wsp:val=&quot;00FF115F&quot;/&gt;&lt;wsp:rsid wsp:val=&quot;00FF17B4&quot;/&gt;&lt;wsp:rsid wsp:val=&quot;00FF1824&quot;/&gt;&lt;wsp:rsid wsp:val=&quot;00FF1B75&quot;/&gt;&lt;wsp:rsid wsp:val=&quot;00FF1F7B&quot;/&gt;&lt;wsp:rsid wsp:val=&quot;00FF23A4&quot;/&gt;&lt;wsp:rsid wsp:val=&quot;00FF269E&quot;/&gt;&lt;wsp:rsid wsp:val=&quot;00FF2E22&quot;/&gt;&lt;wsp:rsid wsp:val=&quot;00FF35BE&quot;/&gt;&lt;wsp:rsid wsp:val=&quot;00FF3942&quot;/&gt;&lt;wsp:rsid wsp:val=&quot;00FF4DCB&quot;/&gt;&lt;wsp:rsid wsp:val=&quot;00FF6277&quot;/&gt;&lt;wsp:rsid wsp:val=&quot;00FF66B4&quot;/&gt;&lt;wsp:rsid wsp:val=&quot;00FF697E&quot;/&gt;&lt;wsp:rsid wsp:val=&quot;00FF6D3C&quot;/&gt;&lt;wsp:rsid wsp:val=&quot;00FF72BE&quot;/&gt;&lt;wsp:rsid wsp:val=&quot;00FF7787&quot;/&gt;&lt;wsp:rsid wsp:val=&quot;00FF7CCF&quot;/&gt;&lt;wsp:rsid wsp:val=&quot;027DC2FB&quot;/&gt;&lt;wsp:rsid wsp:val=&quot;0EBC97D3&quot;/&gt;&lt;wsp:rsid wsp:val=&quot;13D11E1F&quot;/&gt;&lt;wsp:rsid wsp:val=&quot;17AF5E5F&quot;/&gt;&lt;wsp:rsid wsp:val=&quot;29DB4871&quot;/&gt;&lt;wsp:rsid wsp:val=&quot;321E349C&quot;/&gt;&lt;wsp:rsid wsp:val=&quot;53937656&quot;/&gt;&lt;wsp:rsid wsp:val=&quot;5C7FCD88&quot;/&gt;&lt;wsp:rsid wsp:val=&quot;5D998B92&quot;/&gt;&lt;wsp:rsid wsp:val=&quot;60245706&quot;/&gt;&lt;wsp:rsid wsp:val=&quot;65595F93&quot;/&gt;&lt;wsp:rsid wsp:val=&quot;660821B5&quot;/&gt;&lt;wsp:rsid wsp:val=&quot;688BA25B&quot;/&gt;&lt;wsp:rsid wsp:val=&quot;6D7AA47D&quot;/&gt;&lt;wsp:rsid wsp:val=&quot;6E042E69&quot;/&gt;&lt;wsp:rsid wsp:val=&quot;74912A21&quot;/&gt;&lt;/wsp:rsids&gt;&lt;/w:docPr&gt;&lt;w:body&gt;&lt;wx:sect&gt;&lt;w:p wsp:rsidR=&quot;00000000&quot; wsp:rsidRPr=&quot;00041EB3&quot; wsp:rsidRDefault=&quot;00041EB3&quot; wsp:rsidP=&quot;00041EB3&quot;&gt;&lt;m:oMathPara&gt;&lt;m:oMath&gt;&lt;m:bar&gt;&lt;m:barPr&gt;&lt;m:pos m:val=&quot;top&quot;/&gt;&lt;m:ctrlPr&gt;&lt;w:rPr&gt;&lt;w:rFonts w:ascii=&quot;Cambria Math&quot; w:h-ansi=&quot;Cambria Math&quot;/&gt;&lt;wx:font wx:val=&quot;Cambria Math&quot;/&gt;&lt;w:i/&gt;&lt;/w:rPr&gt;&lt;/m:ctrlPr&gt;&lt;/m:barPr&gt;&lt;m:e&gt;&lt;m:r&gt;&lt;w:rPr&gt;&lt;w:rFonts w:ascii=&quot;Cambria Math&quot; w:h-ansi=&quot;Cambria Math&quot;/&gt;&lt;wx:font wx:val=&quot;Cambria Math&quot;/&gt;&lt;w:i/&gt;&lt;/w:rPr&gt;&lt;m:t&gt;D&lt;/m:t&gt;&lt;/m:r&gt;&lt;/m:e&gt;&lt;/m:bar&gt;&lt;m:r&gt;&lt;w:rPr&gt;&lt;w:rFonts w:ascii=&quot;Cambria Math&quot; w:h-ansi=&quot;Cambria Math&quot;/&gt;&lt;wx:font wx:val=&quot;Cambria Math&quot;/&gt;&lt;w:i/&gt;&lt;/w:rPr&gt;&lt;m:t&gt;=&lt;/m:t&gt;&lt;/m:r&gt;&lt;m:nary&gt;&lt;m:naryPr&gt;&lt;m:chr m:val=&quot;â^‘&quot;/&gt;&lt;m:limLoc m:val=&quot;undOvr&quot;/&gt;&lt;m:ctrlPr&gt;&lt;w:rPr&gt;&lt;w:rFonts w:ascii=&quot;Cambria Math&quot; w:h-ansi=&quot;Cambria Math&quot;/&gt;&lt;wx:font wx:val=&quot;Cambria Math&quot;/&gt;&lt;w:i/&gt;&lt;/w:rPr&gt;&lt;/m:ctrlPr&gt;&lt;/m:naryPr&gt;&lt;m:sub&gt;&lt;m:r&gt;&lt;w:rPr&gt;&lt;w:rFonts w:ascii=&quot;Cambria Math&quot; w:h-ansi=&quot;Cambria Math&quot;/&gt;&lt;wx:font wx:val=&quot;Cambria Math&quot;/&gt;&lt;w:i/&gt;&lt;/w:rPr&gt;&lt;m:t&gt;i=1&lt;/m:t&gt;&lt;/m:r&gt;&lt;/m:sub&gt;&lt;m:sup&gt;&lt;m:r&gt;&lt;w:rPr&gt;&lt;w:rFonts w:ascii=&quot;Cambria Math&quot; w:h-ansi=&quot;Cambria Math&quot;/&gt;&lt;wx:font wx:val=&quot;Cambria Math&quot;/&gt;&lt;w:i/&gt;&lt;/w:rPr&gt;&lt;m:t&gt;k&lt;/m:t&gt;&lt;/m:r&gt;&lt;/m:sup&gt;&lt;m:e&gt;&lt;m:r&gt;&lt;w:rPr&gt;&lt;w:rFonts w:ascii=&quot;Cambria Math&quot; w:h-ansi=&quot;Cambria Math&quot;/&gt;&lt;wx:font wx:val=&quot;Cambria Math&quot;/&gt;&lt;w:i/&gt;&lt;/w:rPr&gt;&lt;m:t&gt;D&lt;/m:t&gt;&lt;/m:r&gt;&lt;m:d&gt;&lt;m:dPr&gt;&lt;m:begChr m:val=&quot;[&quot;/&gt;&lt;m:endChr m:val=&quot;]&quot;/&gt;&lt;m:ctrlPr&gt;&lt;w:rPr&gt;&lt;w:rFonts w:ascii=&quot;Cambria Math&quot; w:h-ansi=&quot;Cambria Math&quot;/&gt;&lt;wx:font wx:val=&quot;Cambria Math&quot;/&gt;&lt;w:i/&gt;&lt;/w:rPr&gt;&lt;/m:ctrlPr&gt;&lt;/m:dPr&gt;&lt;m:e&gt;&lt;m:r&gt;&lt;w:rPr&gt;&lt;w:rFonts w:ascii=&quot;Cambria Math&quot; w:h-ansi=&quot;Cambria Math&quot;/&gt;&lt;wx:font wx:val=&quot;Cambria Math&quot;/&gt;&lt;w:i/&gt;&lt;/w:rPr&gt;&lt;m:t&gt;i&lt;/m:t&gt;&lt;/m:r&gt;&lt;/m:e&gt;&lt;/m:d&gt;&lt;m:r&gt;&lt;w:rPr&gt;&lt;w:rFonts w:ascii=&quot;Cambria Math&quot; w:h-ansi=&quot;Cambria Math&quot;/&gt;&lt;wx:font wx:val=&quot;Cambria Math&quot;/&gt;&lt;w:i/&gt;&lt;/w:rPr&gt;&lt;m:t&gt;â^™â^†&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i&lt;/m:t&gt;&lt;/m:r&gt;&lt;/m:sub&gt;&lt;/m:sSub&gt;&lt;/m:e&gt;&lt;/m:nary&gt;&lt;/m:oMath&gt;&lt;/m:oMathPara&gt;&lt;/w:p&gt;&lt;w:sectPr wsp:rsidR=&quot;00000000&quot; wsp:rsidRPr=&quot;00041EB3&quot;&gt;&lt;w:pgSz w:w=&quot;12240&quot; w:h=&quot;15840&quot;/&gt;&lt;w:pgMar w:top=&quot;1417&quot; w:right=&quot;1417&quot; w:bottom=&quot;1417&quot; w:left=&quot;1417&quot; w:header=&quot;708&quot; w:footer=&quot;708&quot; w:gutter=&quot;0&quot;/&gt;&lt;w:cols w:space=&quot;708&quot;/&gt;&lt;/w:sectPr&gt;&lt;/wx:sect&gt;&lt;/w:body&gt;&lt;/w:wordDocument&gt;">
            <v:imagedata r:id="rId32" o:title="" chromakey="white"/>
          </v:shape>
        </w:pict>
      </w:r>
    </w:p>
    <w:p w14:paraId="04F79280" w14:textId="77777777" w:rsidR="008A23A2" w:rsidRPr="00567ACB" w:rsidRDefault="008A23A2" w:rsidP="008A23A2">
      <w:pPr>
        <w:pStyle w:val="Tekstpodstawowy"/>
        <w:rPr>
          <w:sz w:val="24"/>
          <w:szCs w:val="24"/>
        </w:rPr>
      </w:pPr>
      <w:r w:rsidRPr="00567ACB">
        <w:rPr>
          <w:sz w:val="24"/>
          <w:szCs w:val="24"/>
        </w:rPr>
        <w:t>W powyższym wzorze, wielkość D[i] jest średnią wielkością strat:</w:t>
      </w:r>
    </w:p>
    <w:p w14:paraId="28BBDAF8" w14:textId="6715FF3C" w:rsidR="008A23A2" w:rsidRPr="008A23A2" w:rsidRDefault="008642E6" w:rsidP="008A23A2">
      <w:pPr>
        <w:pStyle w:val="Tekstpodstawowy"/>
        <w:rPr>
          <w:rFonts w:ascii="Cambria Math" w:hAnsi="Cambria Math"/>
        </w:rPr>
      </w:pPr>
      <w:r>
        <w:pict w14:anchorId="1F1E43A6">
          <v:shape id="_x0000_i1026" type="#_x0000_t75" style="width:71.25pt;height:12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16sdtdh=&quot;http://schemas.microsoft.com/office/word/2020/wordml/sdtdatahash&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95&quot;/&gt;&lt;w:removePersonalInformation/&gt;&lt;w:doNotEmbedSystemFonts/&gt;&lt;w:defaultTabStop w:val=&quot;720&quot;/&gt;&lt;w:hyphenationZone w:val=&quot;425&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6A7CE0&quot;/&gt;&lt;wsp:rsid wsp:val=&quot;000013FA&quot;/&gt;&lt;wsp:rsid wsp:val=&quot;000017D3&quot;/&gt;&lt;wsp:rsid wsp:val=&quot;000020B2&quot;/&gt;&lt;wsp:rsid wsp:val=&quot;00002BEF&quot;/&gt;&lt;wsp:rsid wsp:val=&quot;00002D6C&quot;/&gt;&lt;wsp:rsid wsp:val=&quot;000034C7&quot;/&gt;&lt;wsp:rsid wsp:val=&quot;00003FFB&quot;/&gt;&lt;wsp:rsid wsp:val=&quot;000047B7&quot;/&gt;&lt;wsp:rsid wsp:val=&quot;000047F5&quot;/&gt;&lt;wsp:rsid wsp:val=&quot;00004905&quot;/&gt;&lt;wsp:rsid wsp:val=&quot;00004937&quot;/&gt;&lt;wsp:rsid wsp:val=&quot;00004952&quot;/&gt;&lt;wsp:rsid wsp:val=&quot;00004C38&quot;/&gt;&lt;wsp:rsid wsp:val=&quot;00004EA4&quot;/&gt;&lt;wsp:rsid wsp:val=&quot;00004F8D&quot;/&gt;&lt;wsp:rsid wsp:val=&quot;000058B5&quot;/&gt;&lt;wsp:rsid wsp:val=&quot;00005A0F&quot;/&gt;&lt;wsp:rsid wsp:val=&quot;000074F9&quot;/&gt;&lt;wsp:rsid wsp:val=&quot;00007C33&quot;/&gt;&lt;wsp:rsid wsp:val=&quot;00010B93&quot;/&gt;&lt;wsp:rsid wsp:val=&quot;0001107E&quot;/&gt;&lt;wsp:rsid wsp:val=&quot;000111D6&quot;/&gt;&lt;wsp:rsid wsp:val=&quot;000113CD&quot;/&gt;&lt;wsp:rsid wsp:val=&quot;00012173&quot;/&gt;&lt;wsp:rsid wsp:val=&quot;00012FD8&quot;/&gt;&lt;wsp:rsid wsp:val=&quot;00014A6C&quot;/&gt;&lt;wsp:rsid wsp:val=&quot;0001630D&quot;/&gt;&lt;wsp:rsid wsp:val=&quot;00016799&quot;/&gt;&lt;wsp:rsid wsp:val=&quot;000200A8&quot;/&gt;&lt;wsp:rsid wsp:val=&quot;00021178&quot;/&gt;&lt;wsp:rsid wsp:val=&quot;00021A42&quot;/&gt;&lt;wsp:rsid wsp:val=&quot;00021B7D&quot;/&gt;&lt;wsp:rsid wsp:val=&quot;00022E5A&quot;/&gt;&lt;wsp:rsid wsp:val=&quot;000232F1&quot;/&gt;&lt;wsp:rsid wsp:val=&quot;00023772&quot;/&gt;&lt;wsp:rsid wsp:val=&quot;00023D25&quot;/&gt;&lt;wsp:rsid wsp:val=&quot;000248B5&quot;/&gt;&lt;wsp:rsid wsp:val=&quot;00024CE1&quot;/&gt;&lt;wsp:rsid wsp:val=&quot;00025293&quot;/&gt;&lt;wsp:rsid wsp:val=&quot;00025359&quot;/&gt;&lt;wsp:rsid wsp:val=&quot;000253DF&quot;/&gt;&lt;wsp:rsid wsp:val=&quot;00025CAE&quot;/&gt;&lt;wsp:rsid wsp:val=&quot;000263DC&quot;/&gt;&lt;wsp:rsid wsp:val=&quot;00027324&quot;/&gt;&lt;wsp:rsid wsp:val=&quot;0003068B&quot;/&gt;&lt;wsp:rsid wsp:val=&quot;0003099F&quot;/&gt;&lt;wsp:rsid wsp:val=&quot;0003173A&quot;/&gt;&lt;wsp:rsid wsp:val=&quot;00033CCE&quot;/&gt;&lt;wsp:rsid wsp:val=&quot;000342F8&quot;/&gt;&lt;wsp:rsid wsp:val=&quot;00034594&quot;/&gt;&lt;wsp:rsid wsp:val=&quot;000353F3&quot;/&gt;&lt;wsp:rsid wsp:val=&quot;000357B2&quot;/&gt;&lt;wsp:rsid wsp:val=&quot;000358E4&quot;/&gt;&lt;wsp:rsid wsp:val=&quot;0003616A&quot;/&gt;&lt;wsp:rsid wsp:val=&quot;00036C11&quot;/&gt;&lt;wsp:rsid wsp:val=&quot;00036CBE&quot;/&gt;&lt;wsp:rsid wsp:val=&quot;000374E0&quot;/&gt;&lt;wsp:rsid wsp:val=&quot;000377DE&quot;/&gt;&lt;wsp:rsid wsp:val=&quot;00037C5C&quot;/&gt;&lt;wsp:rsid wsp:val=&quot;0004001B&quot;/&gt;&lt;wsp:rsid wsp:val=&quot;00040083&quot;/&gt;&lt;wsp:rsid wsp:val=&quot;000402D4&quot;/&gt;&lt;wsp:rsid wsp:val=&quot;00041523&quot;/&gt;&lt;wsp:rsid wsp:val=&quot;000433E1&quot;/&gt;&lt;wsp:rsid wsp:val=&quot;00043408&quot;/&gt;&lt;wsp:rsid wsp:val=&quot;00043C82&quot;/&gt;&lt;wsp:rsid wsp:val=&quot;00043CBE&quot;/&gt;&lt;wsp:rsid wsp:val=&quot;00044330&quot;/&gt;&lt;wsp:rsid wsp:val=&quot;0004458B&quot;/&gt;&lt;wsp:rsid wsp:val=&quot;000447A7&quot;/&gt;&lt;wsp:rsid wsp:val=&quot;00044A5E&quot;/&gt;&lt;wsp:rsid wsp:val=&quot;00044B8D&quot;/&gt;&lt;wsp:rsid wsp:val=&quot;00044C2E&quot;/&gt;&lt;wsp:rsid wsp:val=&quot;00044F06&quot;/&gt;&lt;wsp:rsid wsp:val=&quot;0004683F&quot;/&gt;&lt;wsp:rsid wsp:val=&quot;00046C5B&quot;/&gt;&lt;wsp:rsid wsp:val=&quot;0004765B&quot;/&gt;&lt;wsp:rsid wsp:val=&quot;00051050&quot;/&gt;&lt;wsp:rsid wsp:val=&quot;00051272&quot;/&gt;&lt;wsp:rsid wsp:val=&quot;00051A75&quot;/&gt;&lt;wsp:rsid wsp:val=&quot;000527EB&quot;/&gt;&lt;wsp:rsid wsp:val=&quot;00052B12&quot;/&gt;&lt;wsp:rsid wsp:val=&quot;000544EF&quot;/&gt;&lt;wsp:rsid wsp:val=&quot;00055450&quot;/&gt;&lt;wsp:rsid wsp:val=&quot;00055ADA&quot;/&gt;&lt;wsp:rsid wsp:val=&quot;00055CA0&quot;/&gt;&lt;wsp:rsid wsp:val=&quot;0005620C&quot;/&gt;&lt;wsp:rsid wsp:val=&quot;0005648D&quot;/&gt;&lt;wsp:rsid wsp:val=&quot;000568EC&quot;/&gt;&lt;wsp:rsid wsp:val=&quot;00056C69&quot;/&gt;&lt;wsp:rsid wsp:val=&quot;00056CC8&quot;/&gt;&lt;wsp:rsid wsp:val=&quot;000575D2&quot;/&gt;&lt;wsp:rsid wsp:val=&quot;00057991&quot;/&gt;&lt;wsp:rsid wsp:val=&quot;00057D85&quot;/&gt;&lt;wsp:rsid wsp:val=&quot;00060F1F&quot;/&gt;&lt;wsp:rsid wsp:val=&quot;00063115&quot;/&gt;&lt;wsp:rsid wsp:val=&quot;000646B7&quot;/&gt;&lt;wsp:rsid wsp:val=&quot;00064E8D&quot;/&gt;&lt;wsp:rsid wsp:val=&quot;00065A14&quot;/&gt;&lt;wsp:rsid wsp:val=&quot;00065E72&quot;/&gt;&lt;wsp:rsid wsp:val=&quot;00067F3E&quot;/&gt;&lt;wsp:rsid wsp:val=&quot;000713CA&quot;/&gt;&lt;wsp:rsid wsp:val=&quot;00071B49&quot;/&gt;&lt;wsp:rsid wsp:val=&quot;00071D6F&quot;/&gt;&lt;wsp:rsid wsp:val=&quot;00072C76&quot;/&gt;&lt;wsp:rsid wsp:val=&quot;0007308C&quot;/&gt;&lt;wsp:rsid wsp:val=&quot;00073BB3&quot;/&gt;&lt;wsp:rsid wsp:val=&quot;0007503E&quot;/&gt;&lt;wsp:rsid wsp:val=&quot;00075FC4&quot;/&gt;&lt;wsp:rsid wsp:val=&quot;00076D9D&quot;/&gt;&lt;wsp:rsid wsp:val=&quot;0007721E&quot;/&gt;&lt;wsp:rsid wsp:val=&quot;00077298&quot;/&gt;&lt;wsp:rsid wsp:val=&quot;0007761B&quot;/&gt;&lt;wsp:rsid wsp:val=&quot;000802AD&quot;/&gt;&lt;wsp:rsid wsp:val=&quot;0008087C&quot;/&gt;&lt;wsp:rsid wsp:val=&quot;000816BF&quot;/&gt;&lt;wsp:rsid wsp:val=&quot;00081F7A&quot;/&gt;&lt;wsp:rsid wsp:val=&quot;00082263&quot;/&gt;&lt;wsp:rsid wsp:val=&quot;0008288A&quot;/&gt;&lt;wsp:rsid wsp:val=&quot;000832AC&quot;/&gt;&lt;wsp:rsid wsp:val=&quot;00083325&quot;/&gt;&lt;wsp:rsid wsp:val=&quot;000834A6&quot;/&gt;&lt;wsp:rsid wsp:val=&quot;00083D6A&quot;/&gt;&lt;wsp:rsid wsp:val=&quot;000856CF&quot;/&gt;&lt;wsp:rsid wsp:val=&quot;00085868&quot;/&gt;&lt;wsp:rsid wsp:val=&quot;00086DF9&quot;/&gt;&lt;wsp:rsid wsp:val=&quot;0008709C&quot;/&gt;&lt;wsp:rsid wsp:val=&quot;000875C7&quot;/&gt;&lt;wsp:rsid wsp:val=&quot;00087CC1&quot;/&gt;&lt;wsp:rsid wsp:val=&quot;00092867&quot;/&gt;&lt;wsp:rsid wsp:val=&quot;00092B43&quot;/&gt;&lt;wsp:rsid wsp:val=&quot;00092D62&quot;/&gt;&lt;wsp:rsid wsp:val=&quot;00092E7A&quot;/&gt;&lt;wsp:rsid wsp:val=&quot;00093732&quot;/&gt;&lt;wsp:rsid wsp:val=&quot;00093FBD&quot;/&gt;&lt;wsp:rsid wsp:val=&quot;00095E96&quot;/&gt;&lt;wsp:rsid wsp:val=&quot;000960AB&quot;/&gt;&lt;wsp:rsid wsp:val=&quot;000963F1&quot;/&gt;&lt;wsp:rsid wsp:val=&quot;000977F0&quot;/&gt;&lt;wsp:rsid wsp:val=&quot;000A12CF&quot;/&gt;&lt;wsp:rsid wsp:val=&quot;000A2C7C&quot;/&gt;&lt;wsp:rsid wsp:val=&quot;000A33D1&quot;/&gt;&lt;wsp:rsid wsp:val=&quot;000A3752&quot;/&gt;&lt;wsp:rsid wsp:val=&quot;000A3C1B&quot;/&gt;&lt;wsp:rsid wsp:val=&quot;000A4B48&quot;/&gt;&lt;wsp:rsid wsp:val=&quot;000A5C19&quot;/&gt;&lt;wsp:rsid wsp:val=&quot;000A6E38&quot;/&gt;&lt;wsp:rsid wsp:val=&quot;000A6EF1&quot;/&gt;&lt;wsp:rsid wsp:val=&quot;000B001F&quot;/&gt;&lt;wsp:rsid wsp:val=&quot;000B0E67&quot;/&gt;&lt;wsp:rsid wsp:val=&quot;000B0FEA&quot;/&gt;&lt;wsp:rsid wsp:val=&quot;000B13F2&quot;/&gt;&lt;wsp:rsid wsp:val=&quot;000B1A88&quot;/&gt;&lt;wsp:rsid wsp:val=&quot;000B1E78&quot;/&gt;&lt;wsp:rsid wsp:val=&quot;000B1FA8&quot;/&gt;&lt;wsp:rsid wsp:val=&quot;000B36E1&quot;/&gt;&lt;wsp:rsid wsp:val=&quot;000B42F3&quot;/&gt;&lt;wsp:rsid wsp:val=&quot;000B4EA5&quot;/&gt;&lt;wsp:rsid wsp:val=&quot;000B539B&quot;/&gt;&lt;wsp:rsid wsp:val=&quot;000B63EC&quot;/&gt;&lt;wsp:rsid wsp:val=&quot;000B79D0&quot;/&gt;&lt;wsp:rsid wsp:val=&quot;000C1BD3&quot;/&gt;&lt;wsp:rsid wsp:val=&quot;000C1D53&quot;/&gt;&lt;wsp:rsid wsp:val=&quot;000C2004&quot;/&gt;&lt;wsp:rsid wsp:val=&quot;000C29A2&quot;/&gt;&lt;wsp:rsid wsp:val=&quot;000C2D21&quot;/&gt;&lt;wsp:rsid wsp:val=&quot;000C40D2&quot;/&gt;&lt;wsp:rsid wsp:val=&quot;000C42D9&quot;/&gt;&lt;wsp:rsid wsp:val=&quot;000C43A1&quot;/&gt;&lt;wsp:rsid wsp:val=&quot;000C4520&quot;/&gt;&lt;wsp:rsid wsp:val=&quot;000C4BE3&quot;/&gt;&lt;wsp:rsid wsp:val=&quot;000C5C4B&quot;/&gt;&lt;wsp:rsid wsp:val=&quot;000C5C88&quot;/&gt;&lt;wsp:rsid wsp:val=&quot;000C7D41&quot;/&gt;&lt;wsp:rsid wsp:val=&quot;000D0AC7&quot;/&gt;&lt;wsp:rsid wsp:val=&quot;000D1132&quot;/&gt;&lt;wsp:rsid wsp:val=&quot;000D113E&quot;/&gt;&lt;wsp:rsid wsp:val=&quot;000D1172&quot;/&gt;&lt;wsp:rsid wsp:val=&quot;000D223E&quot;/&gt;&lt;wsp:rsid wsp:val=&quot;000D246F&quot;/&gt;&lt;wsp:rsid wsp:val=&quot;000D252F&quot;/&gt;&lt;wsp:rsid wsp:val=&quot;000D269C&quot;/&gt;&lt;wsp:rsid wsp:val=&quot;000D2CAE&quot;/&gt;&lt;wsp:rsid wsp:val=&quot;000D3090&quot;/&gt;&lt;wsp:rsid wsp:val=&quot;000D33C9&quot;/&gt;&lt;wsp:rsid wsp:val=&quot;000D4924&quot;/&gt;&lt;wsp:rsid wsp:val=&quot;000D49B8&quot;/&gt;&lt;wsp:rsid wsp:val=&quot;000D4D65&quot;/&gt;&lt;wsp:rsid wsp:val=&quot;000D5652&quot;/&gt;&lt;wsp:rsid wsp:val=&quot;000D5A37&quot;/&gt;&lt;wsp:rsid wsp:val=&quot;000D628C&quot;/&gt;&lt;wsp:rsid wsp:val=&quot;000D6434&quot;/&gt;&lt;wsp:rsid wsp:val=&quot;000D6C8A&quot;/&gt;&lt;wsp:rsid wsp:val=&quot;000D6D88&quot;/&gt;&lt;wsp:rsid wsp:val=&quot;000D7F8A&quot;/&gt;&lt;wsp:rsid wsp:val=&quot;000E15C8&quot;/&gt;&lt;wsp:rsid wsp:val=&quot;000E18ED&quot;/&gt;&lt;wsp:rsid wsp:val=&quot;000E26F4&quot;/&gt;&lt;wsp:rsid wsp:val=&quot;000E2EE4&quot;/&gt;&lt;wsp:rsid wsp:val=&quot;000E3497&quot;/&gt;&lt;wsp:rsid wsp:val=&quot;000E34F2&quot;/&gt;&lt;wsp:rsid wsp:val=&quot;000E3BD5&quot;/&gt;&lt;wsp:rsid wsp:val=&quot;000E4533&quot;/&gt;&lt;wsp:rsid wsp:val=&quot;000E5F2C&quot;/&gt;&lt;wsp:rsid wsp:val=&quot;000E61CE&quot;/&gt;&lt;wsp:rsid wsp:val=&quot;000E702E&quot;/&gt;&lt;wsp:rsid wsp:val=&quot;000E7A61&quot;/&gt;&lt;wsp:rsid wsp:val=&quot;000E7AD8&quot;/&gt;&lt;wsp:rsid wsp:val=&quot;000F028E&quot;/&gt;&lt;wsp:rsid wsp:val=&quot;000F087C&quot;/&gt;&lt;wsp:rsid wsp:val=&quot;000F10AD&quot;/&gt;&lt;wsp:rsid wsp:val=&quot;000F1AEE&quot;/&gt;&lt;wsp:rsid wsp:val=&quot;000F21C5&quot;/&gt;&lt;wsp:rsid wsp:val=&quot;000F2778&quot;/&gt;&lt;wsp:rsid wsp:val=&quot;000F30D7&quot;/&gt;&lt;wsp:rsid wsp:val=&quot;000F3BF1&quot;/&gt;&lt;wsp:rsid wsp:val=&quot;000F3CD7&quot;/&gt;&lt;wsp:rsid wsp:val=&quot;000F3F3F&quot;/&gt;&lt;wsp:rsid wsp:val=&quot;000F43A3&quot;/&gt;&lt;wsp:rsid wsp:val=&quot;000F4722&quot;/&gt;&lt;wsp:rsid wsp:val=&quot;000F639D&quot;/&gt;&lt;wsp:rsid wsp:val=&quot;000F7441&quot;/&gt;&lt;wsp:rsid wsp:val=&quot;00100023&quot;/&gt;&lt;wsp:rsid wsp:val=&quot;0010026B&quot;/&gt;&lt;wsp:rsid wsp:val=&quot;00101113&quot;/&gt;&lt;wsp:rsid wsp:val=&quot;0010113B&quot;/&gt;&lt;wsp:rsid wsp:val=&quot;00101446&quot;/&gt;&lt;wsp:rsid wsp:val=&quot;001019B7&quot;/&gt;&lt;wsp:rsid wsp:val=&quot;00101B49&quot;/&gt;&lt;wsp:rsid wsp:val=&quot;00101BEE&quot;/&gt;&lt;wsp:rsid wsp:val=&quot;00102E3E&quot;/&gt;&lt;wsp:rsid wsp:val=&quot;00102F81&quot;/&gt;&lt;wsp:rsid wsp:val=&quot;0010327B&quot;/&gt;&lt;wsp:rsid wsp:val=&quot;00103BE5&quot;/&gt;&lt;wsp:rsid wsp:val=&quot;0010491F&quot;/&gt;&lt;wsp:rsid wsp:val=&quot;00105A65&quot;/&gt;&lt;wsp:rsid wsp:val=&quot;00106AB3&quot;/&gt;&lt;wsp:rsid wsp:val=&quot;00106DF3&quot;/&gt;&lt;wsp:rsid wsp:val=&quot;00107141&quot;/&gt;&lt;wsp:rsid wsp:val=&quot;00107463&quot;/&gt;&lt;wsp:rsid wsp:val=&quot;001079DD&quot;/&gt;&lt;wsp:rsid wsp:val=&quot;00107BFB&quot;/&gt;&lt;wsp:rsid wsp:val=&quot;00107E57&quot;/&gt;&lt;wsp:rsid wsp:val=&quot;00107FCF&quot;/&gt;&lt;wsp:rsid wsp:val=&quot;001102CA&quot;/&gt;&lt;wsp:rsid wsp:val=&quot;001106AE&quot;/&gt;&lt;wsp:rsid wsp:val=&quot;00111575&quot;/&gt;&lt;wsp:rsid wsp:val=&quot;00111AB5&quot;/&gt;&lt;wsp:rsid wsp:val=&quot;00111E5B&quot;/&gt;&lt;wsp:rsid wsp:val=&quot;00112DA7&quot;/&gt;&lt;wsp:rsid wsp:val=&quot;00113734&quot;/&gt;&lt;wsp:rsid wsp:val=&quot;0011383B&quot;/&gt;&lt;wsp:rsid wsp:val=&quot;0011386B&quot;/&gt;&lt;wsp:rsid wsp:val=&quot;00114C4C&quot;/&gt;&lt;wsp:rsid wsp:val=&quot;00114FD8&quot;/&gt;&lt;wsp:rsid wsp:val=&quot;001155C6&quot;/&gt;&lt;wsp:rsid wsp:val=&quot;001160CE&quot;/&gt;&lt;wsp:rsid wsp:val=&quot;00116570&quot;/&gt;&lt;wsp:rsid wsp:val=&quot;00117395&quot;/&gt;&lt;wsp:rsid wsp:val=&quot;00117ABD&quot;/&gt;&lt;wsp:rsid wsp:val=&quot;00117B01&quot;/&gt;&lt;wsp:rsid wsp:val=&quot;00120634&quot;/&gt;&lt;wsp:rsid wsp:val=&quot;00120A3D&quot;/&gt;&lt;wsp:rsid wsp:val=&quot;00121A61&quot;/&gt;&lt;wsp:rsid wsp:val=&quot;00122945&quot;/&gt;&lt;wsp:rsid wsp:val=&quot;0012344F&quot;/&gt;&lt;wsp:rsid wsp:val=&quot;0012397E&quot;/&gt;&lt;wsp:rsid wsp:val=&quot;001246AB&quot;/&gt;&lt;wsp:rsid wsp:val=&quot;0012687D&quot;/&gt;&lt;wsp:rsid wsp:val=&quot;00127582&quot;/&gt;&lt;wsp:rsid wsp:val=&quot;0012759B&quot;/&gt;&lt;wsp:rsid wsp:val=&quot;00127C1D&quot;/&gt;&lt;wsp:rsid wsp:val=&quot;001301D6&quot;/&gt;&lt;wsp:rsid wsp:val=&quot;0013180B&quot;/&gt;&lt;wsp:rsid wsp:val=&quot;0013253A&quot;/&gt;&lt;wsp:rsid wsp:val=&quot;00133617&quot;/&gt;&lt;wsp:rsid wsp:val=&quot;00133618&quot;/&gt;&lt;wsp:rsid wsp:val=&quot;00134391&quot;/&gt;&lt;wsp:rsid wsp:val=&quot;00134774&quot;/&gt;&lt;wsp:rsid wsp:val=&quot;001347B8&quot;/&gt;&lt;wsp:rsid wsp:val=&quot;00134D92&quot;/&gt;&lt;wsp:rsid wsp:val=&quot;00135A41&quot;/&gt;&lt;wsp:rsid wsp:val=&quot;00135D92&quot;/&gt;&lt;wsp:rsid wsp:val=&quot;00135F78&quot;/&gt;&lt;wsp:rsid wsp:val=&quot;001364E7&quot;/&gt;&lt;wsp:rsid wsp:val=&quot;001371E3&quot;/&gt;&lt;wsp:rsid wsp:val=&quot;00137A3B&quot;/&gt;&lt;wsp:rsid wsp:val=&quot;001409D2&quot;/&gt;&lt;wsp:rsid wsp:val=&quot;00140B7F&quot;/&gt;&lt;wsp:rsid wsp:val=&quot;00140D6B&quot;/&gt;&lt;wsp:rsid wsp:val=&quot;00140EF3&quot;/&gt;&lt;wsp:rsid wsp:val=&quot;0014215F&quot;/&gt;&lt;wsp:rsid wsp:val=&quot;00142215&quot;/&gt;&lt;wsp:rsid wsp:val=&quot;001432B2&quot;/&gt;&lt;wsp:rsid wsp:val=&quot;00143E48&quot;/&gt;&lt;wsp:rsid wsp:val=&quot;001445A7&quot;/&gt;&lt;wsp:rsid wsp:val=&quot;00144A69&quot;/&gt;&lt;wsp:rsid wsp:val=&quot;00144B85&quot;/&gt;&lt;wsp:rsid wsp:val=&quot;00145CFB&quot;/&gt;&lt;wsp:rsid wsp:val=&quot;00146435&quot;/&gt;&lt;wsp:rsid wsp:val=&quot;00146841&quot;/&gt;&lt;wsp:rsid wsp:val=&quot;00147708&quot;/&gt;&lt;wsp:rsid wsp:val=&quot;00147BE0&quot;/&gt;&lt;wsp:rsid wsp:val=&quot;00147E9C&quot;/&gt;&lt;wsp:rsid wsp:val=&quot;00150706&quot;/&gt;&lt;wsp:rsid wsp:val=&quot;00151634&quot;/&gt;&lt;wsp:rsid wsp:val=&quot;00151AD5&quot;/&gt;&lt;wsp:rsid wsp:val=&quot;00151CE2&quot;/&gt;&lt;wsp:rsid wsp:val=&quot;0015220A&quot;/&gt;&lt;wsp:rsid wsp:val=&quot;00152C67&quot;/&gt;&lt;wsp:rsid wsp:val=&quot;00152CAC&quot;/&gt;&lt;wsp:rsid wsp:val=&quot;00152EC3&quot;/&gt;&lt;wsp:rsid wsp:val=&quot;001535E1&quot;/&gt;&lt;wsp:rsid wsp:val=&quot;001537DF&quot;/&gt;&lt;wsp:rsid wsp:val=&quot;001537FA&quot;/&gt;&lt;wsp:rsid wsp:val=&quot;00153DFA&quot;/&gt;&lt;wsp:rsid wsp:val=&quot;00154F33&quot;/&gt;&lt;wsp:rsid wsp:val=&quot;001551E1&quot;/&gt;&lt;wsp:rsid wsp:val=&quot;0015521F&quot;/&gt;&lt;wsp:rsid wsp:val=&quot;0015763B&quot;/&gt;&lt;wsp:rsid wsp:val=&quot;00157893&quot;/&gt;&lt;wsp:rsid wsp:val=&quot;001607D4&quot;/&gt;&lt;wsp:rsid wsp:val=&quot;001608D6&quot;/&gt;&lt;wsp:rsid wsp:val=&quot;00161402&quot;/&gt;&lt;wsp:rsid wsp:val=&quot;001616E0&quot;/&gt;&lt;wsp:rsid wsp:val=&quot;00161B12&quot;/&gt;&lt;wsp:rsid wsp:val=&quot;001620EA&quot;/&gt;&lt;wsp:rsid wsp:val=&quot;00162293&quot;/&gt;&lt;wsp:rsid wsp:val=&quot;0016436D&quot;/&gt;&lt;wsp:rsid wsp:val=&quot;001648FC&quot;/&gt;&lt;wsp:rsid wsp:val=&quot;001657CF&quot;/&gt;&lt;wsp:rsid wsp:val=&quot;00165FEB&quot;/&gt;&lt;wsp:rsid wsp:val=&quot;001663A4&quot;/&gt;&lt;wsp:rsid wsp:val=&quot;001663F6&quot;/&gt;&lt;wsp:rsid wsp:val=&quot;001668F9&quot;/&gt;&lt;wsp:rsid wsp:val=&quot;00166D63&quot;/&gt;&lt;wsp:rsid wsp:val=&quot;00167FA2&quot;/&gt;&lt;wsp:rsid wsp:val=&quot;001701A1&quot;/&gt;&lt;wsp:rsid wsp:val=&quot;00171235&quot;/&gt;&lt;wsp:rsid wsp:val=&quot;0017127D&quot;/&gt;&lt;wsp:rsid wsp:val=&quot;0017138A&quot;/&gt;&lt;wsp:rsid wsp:val=&quot;00172558&quot;/&gt;&lt;wsp:rsid wsp:val=&quot;001728CF&quot;/&gt;&lt;wsp:rsid wsp:val=&quot;00172926&quot;/&gt;&lt;wsp:rsid wsp:val=&quot;00173090&quot;/&gt;&lt;wsp:rsid wsp:val=&quot;00173157&quot;/&gt;&lt;wsp:rsid wsp:val=&quot;001734D2&quot;/&gt;&lt;wsp:rsid wsp:val=&quot;00173B32&quot;/&gt;&lt;wsp:rsid wsp:val=&quot;00175A36&quot;/&gt;&lt;wsp:rsid wsp:val=&quot;0017606D&quot;/&gt;&lt;wsp:rsid wsp:val=&quot;00176566&quot;/&gt;&lt;wsp:rsid wsp:val=&quot;001776AB&quot;/&gt;&lt;wsp:rsid wsp:val=&quot;001802B6&quot;/&gt;&lt;wsp:rsid wsp:val=&quot;00180E73&quot;/&gt;&lt;wsp:rsid wsp:val=&quot;00181328&quot;/&gt;&lt;wsp:rsid wsp:val=&quot;00181D90&quot;/&gt;&lt;wsp:rsid wsp:val=&quot;00182E67&quot;/&gt;&lt;wsp:rsid wsp:val=&quot;00184355&quot;/&gt;&lt;wsp:rsid wsp:val=&quot;00184677&quot;/&gt;&lt;wsp:rsid wsp:val=&quot;001847AC&quot;/&gt;&lt;wsp:rsid wsp:val=&quot;00185290&quot;/&gt;&lt;wsp:rsid wsp:val=&quot;00185DB7&quot;/&gt;&lt;wsp:rsid wsp:val=&quot;00185F51&quot;/&gt;&lt;wsp:rsid wsp:val=&quot;00186E6B&quot;/&gt;&lt;wsp:rsid wsp:val=&quot;0018739C&quot;/&gt;&lt;wsp:rsid wsp:val=&quot;00187BD0&quot;/&gt;&lt;wsp:rsid wsp:val=&quot;00187F35&quot;/&gt;&lt;wsp:rsid wsp:val=&quot;00190049&quot;/&gt;&lt;wsp:rsid wsp:val=&quot;00191034&quot;/&gt;&lt;wsp:rsid wsp:val=&quot;00191964&quot;/&gt;&lt;wsp:rsid wsp:val=&quot;001919A9&quot;/&gt;&lt;wsp:rsid wsp:val=&quot;001924DC&quot;/&gt;&lt;wsp:rsid wsp:val=&quot;00192971&quot;/&gt;&lt;wsp:rsid wsp:val=&quot;00192A9D&quot;/&gt;&lt;wsp:rsid wsp:val=&quot;00193993&quot;/&gt;&lt;wsp:rsid wsp:val=&quot;00194AC0&quot;/&gt;&lt;wsp:rsid wsp:val=&quot;00194D26&quot;/&gt;&lt;wsp:rsid wsp:val=&quot;00194E9D&quot;/&gt;&lt;wsp:rsid wsp:val=&quot;0019560F&quot;/&gt;&lt;wsp:rsid wsp:val=&quot;00196144&quot;/&gt;&lt;wsp:rsid wsp:val=&quot;00196286&quot;/&gt;&lt;wsp:rsid wsp:val=&quot;001973D5&quot;/&gt;&lt;wsp:rsid wsp:val=&quot;001A02A9&quot;/&gt;&lt;wsp:rsid wsp:val=&quot;001A0A46&quot;/&gt;&lt;wsp:rsid wsp:val=&quot;001A2573&quot;/&gt;&lt;wsp:rsid wsp:val=&quot;001A2C41&quot;/&gt;&lt;wsp:rsid wsp:val=&quot;001A343A&quot;/&gt;&lt;wsp:rsid wsp:val=&quot;001A4013&quot;/&gt;&lt;wsp:rsid wsp:val=&quot;001A511A&quot;/&gt;&lt;wsp:rsid wsp:val=&quot;001A5A8C&quot;/&gt;&lt;wsp:rsid wsp:val=&quot;001A5CB5&quot;/&gt;&lt;wsp:rsid wsp:val=&quot;001A5CDA&quot;/&gt;&lt;wsp:rsid wsp:val=&quot;001A620C&quot;/&gt;&lt;wsp:rsid wsp:val=&quot;001A6303&quot;/&gt;&lt;wsp:rsid wsp:val=&quot;001A669D&quot;/&gt;&lt;wsp:rsid wsp:val=&quot;001A6E12&quot;/&gt;&lt;wsp:rsid wsp:val=&quot;001A7FC6&quot;/&gt;&lt;wsp:rsid wsp:val=&quot;001B0FA9&quot;/&gt;&lt;wsp:rsid wsp:val=&quot;001B2979&quot;/&gt;&lt;wsp:rsid wsp:val=&quot;001B335C&quot;/&gt;&lt;wsp:rsid wsp:val=&quot;001B3B5C&quot;/&gt;&lt;wsp:rsid wsp:val=&quot;001B4874&quot;/&gt;&lt;wsp:rsid wsp:val=&quot;001B577D&quot;/&gt;&lt;wsp:rsid wsp:val=&quot;001B6156&quot;/&gt;&lt;wsp:rsid wsp:val=&quot;001B621A&quot;/&gt;&lt;wsp:rsid wsp:val=&quot;001B7C17&quot;/&gt;&lt;wsp:rsid wsp:val=&quot;001C1C09&quot;/&gt;&lt;wsp:rsid wsp:val=&quot;001C1F78&quot;/&gt;&lt;wsp:rsid wsp:val=&quot;001C28DB&quot;/&gt;&lt;wsp:rsid wsp:val=&quot;001C34AB&quot;/&gt;&lt;wsp:rsid wsp:val=&quot;001C3731&quot;/&gt;&lt;wsp:rsid wsp:val=&quot;001C39F8&quot;/&gt;&lt;wsp:rsid wsp:val=&quot;001C3DE4&quot;/&gt;&lt;wsp:rsid wsp:val=&quot;001C3E71&quot;/&gt;&lt;wsp:rsid wsp:val=&quot;001C5D3B&quot;/&gt;&lt;wsp:rsid wsp:val=&quot;001C6452&quot;/&gt;&lt;wsp:rsid wsp:val=&quot;001C6573&quot;/&gt;&lt;wsp:rsid wsp:val=&quot;001C66BA&quot;/&gt;&lt;wsp:rsid wsp:val=&quot;001C6927&quot;/&gt;&lt;wsp:rsid wsp:val=&quot;001C6FBC&quot;/&gt;&lt;wsp:rsid wsp:val=&quot;001C7340&quot;/&gt;&lt;wsp:rsid wsp:val=&quot;001C7BF7&quot;/&gt;&lt;wsp:rsid wsp:val=&quot;001C7BFE&quot;/&gt;&lt;wsp:rsid wsp:val=&quot;001C7F0E&quot;/&gt;&lt;wsp:rsid wsp:val=&quot;001D0BBF&quot;/&gt;&lt;wsp:rsid wsp:val=&quot;001D1897&quot;/&gt;&lt;wsp:rsid wsp:val=&quot;001D1D14&quot;/&gt;&lt;wsp:rsid wsp:val=&quot;001D2152&quot;/&gt;&lt;wsp:rsid wsp:val=&quot;001D228E&quot;/&gt;&lt;wsp:rsid wsp:val=&quot;001D29DA&quot;/&gt;&lt;wsp:rsid wsp:val=&quot;001D34A2&quot;/&gt;&lt;wsp:rsid wsp:val=&quot;001D3680&quot;/&gt;&lt;wsp:rsid wsp:val=&quot;001D36D1&quot;/&gt;&lt;wsp:rsid wsp:val=&quot;001D3835&quot;/&gt;&lt;wsp:rsid wsp:val=&quot;001D4369&quot;/&gt;&lt;wsp:rsid wsp:val=&quot;001D4456&quot;/&gt;&lt;wsp:rsid wsp:val=&quot;001D4A61&quot;/&gt;&lt;wsp:rsid wsp:val=&quot;001D54C4&quot;/&gt;&lt;wsp:rsid wsp:val=&quot;001D5A1E&quot;/&gt;&lt;wsp:rsid wsp:val=&quot;001D5D3A&quot;/&gt;&lt;wsp:rsid wsp:val=&quot;001D701D&quot;/&gt;&lt;wsp:rsid wsp:val=&quot;001E0663&quot;/&gt;&lt;wsp:rsid wsp:val=&quot;001E0A15&quot;/&gt;&lt;wsp:rsid wsp:val=&quot;001E0E41&quot;/&gt;&lt;wsp:rsid wsp:val=&quot;001E146B&quot;/&gt;&lt;wsp:rsid wsp:val=&quot;001E1A36&quot;/&gt;&lt;wsp:rsid wsp:val=&quot;001E25B7&quot;/&gt;&lt;wsp:rsid wsp:val=&quot;001E335E&quot;/&gt;&lt;wsp:rsid wsp:val=&quot;001E37CC&quot;/&gt;&lt;wsp:rsid wsp:val=&quot;001E37DC&quot;/&gt;&lt;wsp:rsid wsp:val=&quot;001E3F09&quot;/&gt;&lt;wsp:rsid wsp:val=&quot;001E424F&quot;/&gt;&lt;wsp:rsid wsp:val=&quot;001E45F3&quot;/&gt;&lt;wsp:rsid wsp:val=&quot;001E4F20&quot;/&gt;&lt;wsp:rsid wsp:val=&quot;001E577D&quot;/&gt;&lt;wsp:rsid wsp:val=&quot;001E5A04&quot;/&gt;&lt;wsp:rsid wsp:val=&quot;001E5A6C&quot;/&gt;&lt;wsp:rsid wsp:val=&quot;001E6F35&quot;/&gt;&lt;wsp:rsid wsp:val=&quot;001E7487&quot;/&gt;&lt;wsp:rsid wsp:val=&quot;001E7C04&quot;/&gt;&lt;wsp:rsid wsp:val=&quot;001E7F5C&quot;/&gt;&lt;wsp:rsid wsp:val=&quot;001F0678&quot;/&gt;&lt;wsp:rsid wsp:val=&quot;001F082C&quot;/&gt;&lt;wsp:rsid wsp:val=&quot;001F0AF2&quot;/&gt;&lt;wsp:rsid wsp:val=&quot;001F19F8&quot;/&gt;&lt;wsp:rsid wsp:val=&quot;001F1D4C&quot;/&gt;&lt;wsp:rsid wsp:val=&quot;001F2356&quot;/&gt;&lt;wsp:rsid wsp:val=&quot;001F2701&quot;/&gt;&lt;wsp:rsid wsp:val=&quot;001F2AC3&quot;/&gt;&lt;wsp:rsid wsp:val=&quot;001F2C1F&quot;/&gt;&lt;wsp:rsid wsp:val=&quot;001F3541&quot;/&gt;&lt;wsp:rsid wsp:val=&quot;001F358B&quot;/&gt;&lt;wsp:rsid wsp:val=&quot;001F4227&quot;/&gt;&lt;wsp:rsid wsp:val=&quot;001F4453&quot;/&gt;&lt;wsp:rsid wsp:val=&quot;001F6167&quot;/&gt;&lt;wsp:rsid wsp:val=&quot;001F64BB&quot;/&gt;&lt;wsp:rsid wsp:val=&quot;001F6B4E&quot;/&gt;&lt;wsp:rsid wsp:val=&quot;001F7E7D&quot;/&gt;&lt;wsp:rsid wsp:val=&quot;00200519&quot;/&gt;&lt;wsp:rsid wsp:val=&quot;00200FAF&quot;/&gt;&lt;wsp:rsid wsp:val=&quot;0020151B&quot;/&gt;&lt;wsp:rsid wsp:val=&quot;00203572&quot;/&gt;&lt;wsp:rsid wsp:val=&quot;00203965&quot;/&gt;&lt;wsp:rsid wsp:val=&quot;002040D0&quot;/&gt;&lt;wsp:rsid wsp:val=&quot;00204AE8&quot;/&gt;&lt;wsp:rsid wsp:val=&quot;00205A74&quot;/&gt;&lt;wsp:rsid wsp:val=&quot;00206360&quot;/&gt;&lt;wsp:rsid wsp:val=&quot;0020664C&quot;/&gt;&lt;wsp:rsid wsp:val=&quot;002066B9&quot;/&gt;&lt;wsp:rsid wsp:val=&quot;002067C6&quot;/&gt;&lt;wsp:rsid wsp:val=&quot;00207393&quot;/&gt;&lt;wsp:rsid wsp:val=&quot;002074AA&quot;/&gt;&lt;wsp:rsid wsp:val=&quot;00207724&quot;/&gt;&lt;wsp:rsid wsp:val=&quot;00207788&quot;/&gt;&lt;wsp:rsid wsp:val=&quot;002077C2&quot;/&gt;&lt;wsp:rsid wsp:val=&quot;00207D41&quot;/&gt;&lt;wsp:rsid wsp:val=&quot;00210088&quot;/&gt;&lt;wsp:rsid wsp:val=&quot;0021019F&quot;/&gt;&lt;wsp:rsid wsp:val=&quot;0021195F&quot;/&gt;&lt;wsp:rsid wsp:val=&quot;00211DD9&quot;/&gt;&lt;wsp:rsid wsp:val=&quot;00212262&quot;/&gt;&lt;wsp:rsid wsp:val=&quot;00213952&quot;/&gt;&lt;wsp:rsid wsp:val=&quot;002142FA&quot;/&gt;&lt;wsp:rsid wsp:val=&quot;00214852&quot;/&gt;&lt;wsp:rsid wsp:val=&quot;0021566C&quot;/&gt;&lt;wsp:rsid wsp:val=&quot;00216432&quot;/&gt;&lt;wsp:rsid wsp:val=&quot;0022002F&quot;/&gt;&lt;wsp:rsid wsp:val=&quot;00220620&quot;/&gt;&lt;wsp:rsid wsp:val=&quot;00222091&quot;/&gt;&lt;wsp:rsid wsp:val=&quot;002226A0&quot;/&gt;&lt;wsp:rsid wsp:val=&quot;00222C24&quot;/&gt;&lt;wsp:rsid wsp:val=&quot;00224908&quot;/&gt;&lt;wsp:rsid wsp:val=&quot;00224F7C&quot;/&gt;&lt;wsp:rsid wsp:val=&quot;002250D4&quot;/&gt;&lt;wsp:rsid wsp:val=&quot;0022526B&quot;/&gt;&lt;wsp:rsid wsp:val=&quot;0022561B&quot;/&gt;&lt;wsp:rsid wsp:val=&quot;002271F6&quot;/&gt;&lt;wsp:rsid wsp:val=&quot;00227462&quot;/&gt;&lt;wsp:rsid wsp:val=&quot;002275E0&quot;/&gt;&lt;wsp:rsid wsp:val=&quot;00227AAE&quot;/&gt;&lt;wsp:rsid wsp:val=&quot;00230759&quot;/&gt;&lt;wsp:rsid wsp:val=&quot;00231880&quot;/&gt;&lt;wsp:rsid wsp:val=&quot;002322CF&quot;/&gt;&lt;wsp:rsid wsp:val=&quot;00232851&quot;/&gt;&lt;wsp:rsid wsp:val=&quot;00232AFF&quot;/&gt;&lt;wsp:rsid wsp:val=&quot;00232D19&quot;/&gt;&lt;wsp:rsid wsp:val=&quot;00233098&quot;/&gt;&lt;wsp:rsid wsp:val=&quot;002349FB&quot;/&gt;&lt;wsp:rsid wsp:val=&quot;00235405&quot;/&gt;&lt;wsp:rsid wsp:val=&quot;002356DE&quot;/&gt;&lt;wsp:rsid wsp:val=&quot;00235A04&quot;/&gt;&lt;wsp:rsid wsp:val=&quot;00236257&quot;/&gt;&lt;wsp:rsid wsp:val=&quot;00236C6F&quot;/&gt;&lt;wsp:rsid wsp:val=&quot;00236C91&quot;/&gt;&lt;wsp:rsid wsp:val=&quot;00236CEB&quot;/&gt;&lt;wsp:rsid wsp:val=&quot;002374B2&quot;/&gt;&lt;wsp:rsid wsp:val=&quot;00237518&quot;/&gt;&lt;wsp:rsid wsp:val=&quot;00240454&quot;/&gt;&lt;wsp:rsid wsp:val=&quot;00240EE5&quot;/&gt;&lt;wsp:rsid wsp:val=&quot;00241CFE&quot;/&gt;&lt;wsp:rsid wsp:val=&quot;00242607&quot;/&gt;&lt;wsp:rsid wsp:val=&quot;002428FD&quot;/&gt;&lt;wsp:rsid wsp:val=&quot;00242ED0&quot;/&gt;&lt;wsp:rsid wsp:val=&quot;0024315B&quot;/&gt;&lt;wsp:rsid wsp:val=&quot;0024386E&quot;/&gt;&lt;wsp:rsid wsp:val=&quot;0024393C&quot;/&gt;&lt;wsp:rsid wsp:val=&quot;00243D41&quot;/&gt;&lt;wsp:rsid wsp:val=&quot;00244E22&quot;/&gt;&lt;wsp:rsid wsp:val=&quot;00245437&quot;/&gt;&lt;wsp:rsid wsp:val=&quot;00245451&quot;/&gt;&lt;wsp:rsid wsp:val=&quot;0024701A&quot;/&gt;&lt;wsp:rsid wsp:val=&quot;002502C8&quot;/&gt;&lt;wsp:rsid wsp:val=&quot;002515F2&quot;/&gt;&lt;wsp:rsid wsp:val=&quot;0025191E&quot;/&gt;&lt;wsp:rsid wsp:val=&quot;002519A5&quot;/&gt;&lt;wsp:rsid wsp:val=&quot;00252357&quot;/&gt;&lt;wsp:rsid wsp:val=&quot;00252925&quot;/&gt;&lt;wsp:rsid wsp:val=&quot;0025338E&quot;/&gt;&lt;wsp:rsid wsp:val=&quot;0025465E&quot;/&gt;&lt;wsp:rsid wsp:val=&quot;00254C4A&quot;/&gt;&lt;wsp:rsid wsp:val=&quot;00254D80&quot;/&gt;&lt;wsp:rsid wsp:val=&quot;00255505&quot;/&gt;&lt;wsp:rsid wsp:val=&quot;00256940&quot;/&gt;&lt;wsp:rsid wsp:val=&quot;00256BB9&quot;/&gt;&lt;wsp:rsid wsp:val=&quot;002572D7&quot;/&gt;&lt;wsp:rsid wsp:val=&quot;00257636&quot;/&gt;&lt;wsp:rsid wsp:val=&quot;00257917&quot;/&gt;&lt;wsp:rsid wsp:val=&quot;00260501&quot;/&gt;&lt;wsp:rsid wsp:val=&quot;0026096E&quot;/&gt;&lt;wsp:rsid wsp:val=&quot;00260BC5&quot;/&gt;&lt;wsp:rsid wsp:val=&quot;00261713&quot;/&gt;&lt;wsp:rsid wsp:val=&quot;00261AF6&quot;/&gt;&lt;wsp:rsid wsp:val=&quot;00261DAE&quot;/&gt;&lt;wsp:rsid wsp:val=&quot;002628EF&quot;/&gt;&lt;wsp:rsid wsp:val=&quot;00264580&quot;/&gt;&lt;wsp:rsid wsp:val=&quot;00264617&quot;/&gt;&lt;wsp:rsid wsp:val=&quot;002650A1&quot;/&gt;&lt;wsp:rsid wsp:val=&quot;002664C1&quot;/&gt;&lt;wsp:rsid wsp:val=&quot;00266E9A&quot;/&gt;&lt;wsp:rsid wsp:val=&quot;002679BB&quot;/&gt;&lt;wsp:rsid wsp:val=&quot;00267E9B&quot;/&gt;&lt;wsp:rsid wsp:val=&quot;00270363&quot;/&gt;&lt;wsp:rsid wsp:val=&quot;00271345&quot;/&gt;&lt;wsp:rsid wsp:val=&quot;002721B6&quot;/&gt;&lt;wsp:rsid wsp:val=&quot;00272C99&quot;/&gt;&lt;wsp:rsid wsp:val=&quot;00272CD5&quot;/&gt;&lt;wsp:rsid wsp:val=&quot;00272F5A&quot;/&gt;&lt;wsp:rsid wsp:val=&quot;00273475&quot;/&gt;&lt;wsp:rsid wsp:val=&quot;00273D3A&quot;/&gt;&lt;wsp:rsid wsp:val=&quot;00274E17&quot;/&gt;&lt;wsp:rsid wsp:val=&quot;0027534C&quot;/&gt;&lt;wsp:rsid wsp:val=&quot;00275DE6&quot;/&gt;&lt;wsp:rsid wsp:val=&quot;00276645&quot;/&gt;&lt;wsp:rsid wsp:val=&quot;002769DA&quot;/&gt;&lt;wsp:rsid wsp:val=&quot;00277219&quot;/&gt;&lt;wsp:rsid wsp:val=&quot;00277BD8&quot;/&gt;&lt;wsp:rsid wsp:val=&quot;00277FEC&quot;/&gt;&lt;wsp:rsid wsp:val=&quot;0028066F&quot;/&gt;&lt;wsp:rsid wsp:val=&quot;00281DBA&quot;/&gt;&lt;wsp:rsid wsp:val=&quot;0028230F&quot;/&gt;&lt;wsp:rsid wsp:val=&quot;0028330C&quot;/&gt;&lt;wsp:rsid wsp:val=&quot;00283D16&quot;/&gt;&lt;wsp:rsid wsp:val=&quot;00283D2C&quot;/&gt;&lt;wsp:rsid wsp:val=&quot;002841DC&quot;/&gt;&lt;wsp:rsid wsp:val=&quot;00284832&quot;/&gt;&lt;wsp:rsid wsp:val=&quot;00285402&quot;/&gt;&lt;wsp:rsid wsp:val=&quot;0028551E&quot;/&gt;&lt;wsp:rsid wsp:val=&quot;00286B1D&quot;/&gt;&lt;wsp:rsid wsp:val=&quot;00286C46&quot;/&gt;&lt;wsp:rsid wsp:val=&quot;00286E1E&quot;/&gt;&lt;wsp:rsid wsp:val=&quot;00286F98&quot;/&gt;&lt;wsp:rsid wsp:val=&quot;0029015F&quot;/&gt;&lt;wsp:rsid wsp:val=&quot;0029058A&quot;/&gt;&lt;wsp:rsid wsp:val=&quot;00290F48&quot;/&gt;&lt;wsp:rsid wsp:val=&quot;00291371&quot;/&gt;&lt;wsp:rsid wsp:val=&quot;00292BEE&quot;/&gt;&lt;wsp:rsid wsp:val=&quot;00292D80&quot;/&gt;&lt;wsp:rsid wsp:val=&quot;00292E22&quot;/&gt;&lt;wsp:rsid wsp:val=&quot;00293C4E&quot;/&gt;&lt;wsp:rsid wsp:val=&quot;00293FDD&quot;/&gt;&lt;wsp:rsid wsp:val=&quot;00295392&quot;/&gt;&lt;wsp:rsid wsp:val=&quot;00295562&quot;/&gt;&lt;wsp:rsid wsp:val=&quot;002958B9&quot;/&gt;&lt;wsp:rsid wsp:val=&quot;00295DF4&quot;/&gt;&lt;wsp:rsid wsp:val=&quot;00295EA3&quot;/&gt;&lt;wsp:rsid wsp:val=&quot;00296404&quot;/&gt;&lt;wsp:rsid wsp:val=&quot;0029643A&quot;/&gt;&lt;wsp:rsid wsp:val=&quot;002964EE&quot;/&gt;&lt;wsp:rsid wsp:val=&quot;002966C6&quot;/&gt;&lt;wsp:rsid wsp:val=&quot;0029775F&quot;/&gt;&lt;wsp:rsid wsp:val=&quot;002A0E01&quot;/&gt;&lt;wsp:rsid wsp:val=&quot;002A1E9B&quot;/&gt;&lt;wsp:rsid wsp:val=&quot;002A23CE&quot;/&gt;&lt;wsp:rsid wsp:val=&quot;002A281F&quot;/&gt;&lt;wsp:rsid wsp:val=&quot;002A2AC8&quot;/&gt;&lt;wsp:rsid wsp:val=&quot;002A3383&quot;/&gt;&lt;wsp:rsid wsp:val=&quot;002A3F13&quot;/&gt;&lt;wsp:rsid wsp:val=&quot;002A3F9C&quot;/&gt;&lt;wsp:rsid wsp:val=&quot;002A474E&quot;/&gt;&lt;wsp:rsid wsp:val=&quot;002A55C8&quot;/&gt;&lt;wsp:rsid wsp:val=&quot;002A6230&quot;/&gt;&lt;wsp:rsid wsp:val=&quot;002A7019&quot;/&gt;&lt;wsp:rsid wsp:val=&quot;002A7076&quot;/&gt;&lt;wsp:rsid wsp:val=&quot;002A7A68&quot;/&gt;&lt;wsp:rsid wsp:val=&quot;002A7BB1&quot;/&gt;&lt;wsp:rsid wsp:val=&quot;002A7EE5&quot;/&gt;&lt;wsp:rsid wsp:val=&quot;002B044C&quot;/&gt;&lt;wsp:rsid wsp:val=&quot;002B0BC9&quot;/&gt;&lt;wsp:rsid wsp:val=&quot;002B0D22&quot;/&gt;&lt;wsp:rsid wsp:val=&quot;002B1500&quot;/&gt;&lt;wsp:rsid wsp:val=&quot;002B1BBB&quot;/&gt;&lt;wsp:rsid wsp:val=&quot;002B1C96&quot;/&gt;&lt;wsp:rsid wsp:val=&quot;002B1D32&quot;/&gt;&lt;wsp:rsid wsp:val=&quot;002B2075&quot;/&gt;&lt;wsp:rsid wsp:val=&quot;002B2B7D&quot;/&gt;&lt;wsp:rsid wsp:val=&quot;002B3878&quot;/&gt;&lt;wsp:rsid wsp:val=&quot;002B3D0C&quot;/&gt;&lt;wsp:rsid wsp:val=&quot;002B4080&quot;/&gt;&lt;wsp:rsid wsp:val=&quot;002B4506&quot;/&gt;&lt;wsp:rsid wsp:val=&quot;002B4C18&quot;/&gt;&lt;wsp:rsid wsp:val=&quot;002B5922&quot;/&gt;&lt;wsp:rsid wsp:val=&quot;002B6ACC&quot;/&gt;&lt;wsp:rsid wsp:val=&quot;002B7C34&quot;/&gt;&lt;wsp:rsid wsp:val=&quot;002C0368&quot;/&gt;&lt;wsp:rsid wsp:val=&quot;002C0A34&quot;/&gt;&lt;wsp:rsid wsp:val=&quot;002C1453&quot;/&gt;&lt;wsp:rsid wsp:val=&quot;002C15EE&quot;/&gt;&lt;wsp:rsid wsp:val=&quot;002C1686&quot;/&gt;&lt;wsp:rsid wsp:val=&quot;002C2890&quot;/&gt;&lt;wsp:rsid wsp:val=&quot;002C3A7D&quot;/&gt;&lt;wsp:rsid wsp:val=&quot;002C4849&quot;/&gt;&lt;wsp:rsid wsp:val=&quot;002C4A01&quot;/&gt;&lt;wsp:rsid wsp:val=&quot;002C4A82&quot;/&gt;&lt;wsp:rsid wsp:val=&quot;002C4C38&quot;/&gt;&lt;wsp:rsid wsp:val=&quot;002C52D4&quot;/&gt;&lt;wsp:rsid wsp:val=&quot;002D0378&quot;/&gt;&lt;wsp:rsid wsp:val=&quot;002D25D7&quot;/&gt;&lt;wsp:rsid wsp:val=&quot;002D26C7&quot;/&gt;&lt;wsp:rsid wsp:val=&quot;002D34A9&quot;/&gt;&lt;wsp:rsid wsp:val=&quot;002D374C&quot;/&gt;&lt;wsp:rsid wsp:val=&quot;002D3A96&quot;/&gt;&lt;wsp:rsid wsp:val=&quot;002D4338&quot;/&gt;&lt;wsp:rsid wsp:val=&quot;002D4593&quot;/&gt;&lt;wsp:rsid wsp:val=&quot;002D4C77&quot;/&gt;&lt;wsp:rsid wsp:val=&quot;002D4EFA&quot;/&gt;&lt;wsp:rsid wsp:val=&quot;002D4F94&quot;/&gt;&lt;wsp:rsid wsp:val=&quot;002D50A4&quot;/&gt;&lt;wsp:rsid wsp:val=&quot;002D5ED7&quot;/&gt;&lt;wsp:rsid wsp:val=&quot;002D68B7&quot;/&gt;&lt;wsp:rsid wsp:val=&quot;002D71D1&quot;/&gt;&lt;wsp:rsid wsp:val=&quot;002D7537&quot;/&gt;&lt;wsp:rsid wsp:val=&quot;002D76EE&quot;/&gt;&lt;wsp:rsid wsp:val=&quot;002D77DA&quot;/&gt;&lt;wsp:rsid wsp:val=&quot;002D7EC1&quot;/&gt;&lt;wsp:rsid wsp:val=&quot;002E0CA6&quot;/&gt;&lt;wsp:rsid wsp:val=&quot;002E111F&quot;/&gt;&lt;wsp:rsid wsp:val=&quot;002E292C&quot;/&gt;&lt;wsp:rsid wsp:val=&quot;002E329B&quot;/&gt;&lt;wsp:rsid wsp:val=&quot;002E3697&quot;/&gt;&lt;wsp:rsid wsp:val=&quot;002E4469&quot;/&gt;&lt;wsp:rsid wsp:val=&quot;002E4B20&quot;/&gt;&lt;wsp:rsid wsp:val=&quot;002E4DBB&quot;/&gt;&lt;wsp:rsid wsp:val=&quot;002E52D2&quot;/&gt;&lt;wsp:rsid wsp:val=&quot;002E578E&quot;/&gt;&lt;wsp:rsid wsp:val=&quot;002E5C73&quot;/&gt;&lt;wsp:rsid wsp:val=&quot;002E6E35&quot;/&gt;&lt;wsp:rsid wsp:val=&quot;002E6E8A&quot;/&gt;&lt;wsp:rsid wsp:val=&quot;002E7208&quot;/&gt;&lt;wsp:rsid wsp:val=&quot;002E7FE9&quot;/&gt;&lt;wsp:rsid wsp:val=&quot;002F0B0D&quot;/&gt;&lt;wsp:rsid wsp:val=&quot;002F0D45&quot;/&gt;&lt;wsp:rsid wsp:val=&quot;002F0F5F&quot;/&gt;&lt;wsp:rsid wsp:val=&quot;002F15AF&quot;/&gt;&lt;wsp:rsid wsp:val=&quot;002F19EE&quot;/&gt;&lt;wsp:rsid wsp:val=&quot;002F20B9&quot;/&gt;&lt;wsp:rsid wsp:val=&quot;002F2116&quot;/&gt;&lt;wsp:rsid wsp:val=&quot;002F2484&quot;/&gt;&lt;wsp:rsid wsp:val=&quot;002F2514&quot;/&gt;&lt;wsp:rsid wsp:val=&quot;002F2631&quot;/&gt;&lt;wsp:rsid wsp:val=&quot;002F2768&quot;/&gt;&lt;wsp:rsid wsp:val=&quot;002F355D&quot;/&gt;&lt;wsp:rsid wsp:val=&quot;002F40CA&quot;/&gt;&lt;wsp:rsid wsp:val=&quot;002F489F&quot;/&gt;&lt;wsp:rsid wsp:val=&quot;002F4BB2&quot;/&gt;&lt;wsp:rsid wsp:val=&quot;002F4FBB&quot;/&gt;&lt;wsp:rsid wsp:val=&quot;002F5357&quot;/&gt;&lt;wsp:rsid wsp:val=&quot;002F5505&quot;/&gt;&lt;wsp:rsid wsp:val=&quot;002F5D60&quot;/&gt;&lt;wsp:rsid wsp:val=&quot;002F6128&quot;/&gt;&lt;wsp:rsid wsp:val=&quot;002F6671&quot;/&gt;&lt;wsp:rsid wsp:val=&quot;002F701E&quot;/&gt;&lt;wsp:rsid wsp:val=&quot;002F7B9D&quot;/&gt;&lt;wsp:rsid wsp:val=&quot;003000B7&quot;/&gt;&lt;wsp:rsid wsp:val=&quot;00300316&quot;/&gt;&lt;wsp:rsid wsp:val=&quot;00300DC8&quot;/&gt;&lt;wsp:rsid wsp:val=&quot;0030129E&quot;/&gt;&lt;wsp:rsid wsp:val=&quot;00301620&quot;/&gt;&lt;wsp:rsid wsp:val=&quot;00301FD5&quot;/&gt;&lt;wsp:rsid wsp:val=&quot;0030237D&quot;/&gt;&lt;wsp:rsid wsp:val=&quot;00302C05&quot;/&gt;&lt;wsp:rsid wsp:val=&quot;00302E06&quot;/&gt;&lt;wsp:rsid wsp:val=&quot;00304169&quot;/&gt;&lt;wsp:rsid wsp:val=&quot;0030434E&quot;/&gt;&lt;wsp:rsid wsp:val=&quot;00304976&quot;/&gt;&lt;wsp:rsid wsp:val=&quot;00304FC6&quot;/&gt;&lt;wsp:rsid wsp:val=&quot;00306E68&quot;/&gt;&lt;wsp:rsid wsp:val=&quot;003077FB&quot;/&gt;&lt;wsp:rsid wsp:val=&quot;003106FC&quot;/&gt;&lt;wsp:rsid wsp:val=&quot;00310A7D&quot;/&gt;&lt;wsp:rsid wsp:val=&quot;00310AEA&quot;/&gt;&lt;wsp:rsid wsp:val=&quot;00312666&quot;/&gt;&lt;wsp:rsid wsp:val=&quot;003131AB&quot;/&gt;&lt;wsp:rsid wsp:val=&quot;00313310&quot;/&gt;&lt;wsp:rsid wsp:val=&quot;003147A1&quot;/&gt;&lt;wsp:rsid wsp:val=&quot;00314CE6&quot;/&gt;&lt;wsp:rsid wsp:val=&quot;00315E33&quot;/&gt;&lt;wsp:rsid wsp:val=&quot;00316F9D&quot;/&gt;&lt;wsp:rsid wsp:val=&quot;003175B2&quot;/&gt;&lt;wsp:rsid wsp:val=&quot;00317ABA&quot;/&gt;&lt;wsp:rsid wsp:val=&quot;00320C44&quot;/&gt;&lt;wsp:rsid wsp:val=&quot;00321100&quot;/&gt;&lt;wsp:rsid wsp:val=&quot;0032207E&quot;/&gt;&lt;wsp:rsid wsp:val=&quot;00323F22&quot;/&gt;&lt;wsp:rsid wsp:val=&quot;00324EAD&quot;/&gt;&lt;wsp:rsid wsp:val=&quot;00325ACE&quot;/&gt;&lt;wsp:rsid wsp:val=&quot;00325C51&quot;/&gt;&lt;wsp:rsid wsp:val=&quot;00325DB6&quot;/&gt;&lt;wsp:rsid wsp:val=&quot;00327547&quot;/&gt;&lt;wsp:rsid wsp:val=&quot;00331CF5&quot;/&gt;&lt;wsp:rsid wsp:val=&quot;00331F66&quot;/&gt;&lt;wsp:rsid wsp:val=&quot;00332029&quot;/&gt;&lt;wsp:rsid wsp:val=&quot;003320E4&quot;/&gt;&lt;wsp:rsid wsp:val=&quot;0033235E&quot;/&gt;&lt;wsp:rsid wsp:val=&quot;00333004&quot;/&gt;&lt;wsp:rsid wsp:val=&quot;00333A22&quot;/&gt;&lt;wsp:rsid wsp:val=&quot;00333F29&quot;/&gt;&lt;wsp:rsid wsp:val=&quot;0033403D&quot;/&gt;&lt;wsp:rsid wsp:val=&quot;00334959&quot;/&gt;&lt;wsp:rsid wsp:val=&quot;00334EB7&quot;/&gt;&lt;wsp:rsid wsp:val=&quot;00334FF5&quot;/&gt;&lt;wsp:rsid wsp:val=&quot;0033577D&quot;/&gt;&lt;wsp:rsid wsp:val=&quot;00335ED3&quot;/&gt;&lt;wsp:rsid wsp:val=&quot;00335F33&quot;/&gt;&lt;wsp:rsid wsp:val=&quot;0033613E&quot;/&gt;&lt;wsp:rsid wsp:val=&quot;0033623A&quot;/&gt;&lt;wsp:rsid wsp:val=&quot;00337289&quot;/&gt;&lt;wsp:rsid wsp:val=&quot;00337D7B&quot;/&gt;&lt;wsp:rsid wsp:val=&quot;00337E7D&quot;/&gt;&lt;wsp:rsid wsp:val=&quot;00340498&quot;/&gt;&lt;wsp:rsid wsp:val=&quot;00340DBF&quot;/&gt;&lt;wsp:rsid wsp:val=&quot;003420E9&quot;/&gt;&lt;wsp:rsid wsp:val=&quot;0034218C&quot;/&gt;&lt;wsp:rsid wsp:val=&quot;00342231&quot;/&gt;&lt;wsp:rsid wsp:val=&quot;0034268E&quot;/&gt;&lt;wsp:rsid wsp:val=&quot;003426EA&quot;/&gt;&lt;wsp:rsid wsp:val=&quot;00342FBC&quot;/&gt;&lt;wsp:rsid wsp:val=&quot;00343589&quot;/&gt;&lt;wsp:rsid wsp:val=&quot;0034527F&quot;/&gt;&lt;wsp:rsid wsp:val=&quot;00345317&quot;/&gt;&lt;wsp:rsid wsp:val=&quot;003479BD&quot;/&gt;&lt;wsp:rsid wsp:val=&quot;00347F70&quot;/&gt;&lt;wsp:rsid wsp:val=&quot;00350947&quot;/&gt;&lt;wsp:rsid wsp:val=&quot;0035108A&quot;/&gt;&lt;wsp:rsid wsp:val=&quot;00351178&quot;/&gt;&lt;wsp:rsid wsp:val=&quot;00351702&quot;/&gt;&lt;wsp:rsid wsp:val=&quot;00351A03&quot;/&gt;&lt;wsp:rsid wsp:val=&quot;003520FE&quot;/&gt;&lt;wsp:rsid wsp:val=&quot;0035267D&quot;/&gt;&lt;wsp:rsid wsp:val=&quot;00352DCC&quot;/&gt;&lt;wsp:rsid wsp:val=&quot;003542BE&quot;/&gt;&lt;wsp:rsid wsp:val=&quot;0035487D&quot;/&gt;&lt;wsp:rsid wsp:val=&quot;003548D6&quot;/&gt;&lt;wsp:rsid wsp:val=&quot;00354E4F&quot;/&gt;&lt;wsp:rsid wsp:val=&quot;00355503&quot;/&gt;&lt;wsp:rsid wsp:val=&quot;00355602&quot;/&gt;&lt;wsp:rsid wsp:val=&quot;00355B8D&quot;/&gt;&lt;wsp:rsid wsp:val=&quot;00356F9F&quot;/&gt;&lt;wsp:rsid wsp:val=&quot;00357E90&quot;/&gt;&lt;wsp:rsid wsp:val=&quot;00360161&quot;/&gt;&lt;wsp:rsid wsp:val=&quot;003603C5&quot;/&gt;&lt;wsp:rsid wsp:val=&quot;0036201C&quot;/&gt;&lt;wsp:rsid wsp:val=&quot;00363B31&quot;/&gt;&lt;wsp:rsid wsp:val=&quot;003646E9&quot;/&gt;&lt;wsp:rsid wsp:val=&quot;00364790&quot;/&gt;&lt;wsp:rsid wsp:val=&quot;00364ED9&quot;/&gt;&lt;wsp:rsid wsp:val=&quot;003659DE&quot;/&gt;&lt;wsp:rsid wsp:val=&quot;00366064&quot;/&gt;&lt;wsp:rsid wsp:val=&quot;0036609D&quot;/&gt;&lt;wsp:rsid wsp:val=&quot;0036614B&quot;/&gt;&lt;wsp:rsid wsp:val=&quot;00366162&quot;/&gt;&lt;wsp:rsid wsp:val=&quot;00366A7B&quot;/&gt;&lt;wsp:rsid wsp:val=&quot;00366DC8&quot;/&gt;&lt;wsp:rsid wsp:val=&quot;00367395&quot;/&gt;&lt;wsp:rsid wsp:val=&quot;00367CC1&quot;/&gt;&lt;wsp:rsid wsp:val=&quot;00367EDD&quot;/&gt;&lt;wsp:rsid wsp:val=&quot;00370382&quot;/&gt;&lt;wsp:rsid wsp:val=&quot;00370EF0&quot;/&gt;&lt;wsp:rsid wsp:val=&quot;00371092&quot;/&gt;&lt;wsp:rsid wsp:val=&quot;003719DB&quot;/&gt;&lt;wsp:rsid wsp:val=&quot;003726AD&quot;/&gt;&lt;wsp:rsid wsp:val=&quot;00372F71&quot;/&gt;&lt;wsp:rsid wsp:val=&quot;00374747&quot;/&gt;&lt;wsp:rsid wsp:val=&quot;003749A2&quot;/&gt;&lt;wsp:rsid wsp:val=&quot;003753DA&quot;/&gt;&lt;wsp:rsid wsp:val=&quot;003760FD&quot;/&gt;&lt;wsp:rsid wsp:val=&quot;0037631E&quot;/&gt;&lt;wsp:rsid wsp:val=&quot;00376707&quot;/&gt;&lt;wsp:rsid wsp:val=&quot;0037774F&quot;/&gt;&lt;wsp:rsid wsp:val=&quot;00377A30&quot;/&gt;&lt;wsp:rsid wsp:val=&quot;00380613&quot;/&gt;&lt;wsp:rsid wsp:val=&quot;0038061C&quot;/&gt;&lt;wsp:rsid wsp:val=&quot;0038082A&quot;/&gt;&lt;wsp:rsid wsp:val=&quot;00380984&quot;/&gt;&lt;wsp:rsid wsp:val=&quot;00380CC0&quot;/&gt;&lt;wsp:rsid wsp:val=&quot;00380D1D&quot;/&gt;&lt;wsp:rsid wsp:val=&quot;003810D2&quot;/&gt;&lt;wsp:rsid wsp:val=&quot;0038118F&quot;/&gt;&lt;wsp:rsid wsp:val=&quot;0038143B&quot;/&gt;&lt;wsp:rsid wsp:val=&quot;00381DDD&quot;/&gt;&lt;wsp:rsid wsp:val=&quot;00383234&quot;/&gt;&lt;wsp:rsid wsp:val=&quot;0038325A&quot;/&gt;&lt;wsp:rsid wsp:val=&quot;00383993&quot;/&gt;&lt;wsp:rsid wsp:val=&quot;00383C91&quot;/&gt;&lt;wsp:rsid wsp:val=&quot;0038425B&quot;/&gt;&lt;wsp:rsid wsp:val=&quot;00384286&quot;/&gt;&lt;wsp:rsid wsp:val=&quot;003852CA&quot;/&gt;&lt;wsp:rsid wsp:val=&quot;00385880&quot;/&gt;&lt;wsp:rsid wsp:val=&quot;00386A3F&quot;/&gt;&lt;wsp:rsid wsp:val=&quot;00386CA0&quot;/&gt;&lt;wsp:rsid wsp:val=&quot;00386CE0&quot;/&gt;&lt;wsp:rsid wsp:val=&quot;00386D5B&quot;/&gt;&lt;wsp:rsid wsp:val=&quot;00390CFB&quot;/&gt;&lt;wsp:rsid wsp:val=&quot;00390FCA&quot;/&gt;&lt;wsp:rsid wsp:val=&quot;00391A33&quot;/&gt;&lt;wsp:rsid wsp:val=&quot;00391E81&quot;/&gt;&lt;wsp:rsid wsp:val=&quot;00394157&quot;/&gt;&lt;wsp:rsid wsp:val=&quot;003949D5&quot;/&gt;&lt;wsp:rsid wsp:val=&quot;00394BDE&quot;/&gt;&lt;wsp:rsid wsp:val=&quot;00395DC8&quot;/&gt;&lt;wsp:rsid wsp:val=&quot;00396464&quot;/&gt;&lt;wsp:rsid wsp:val=&quot;00396B80&quot;/&gt;&lt;wsp:rsid wsp:val=&quot;0039795E&quot;/&gt;&lt;wsp:rsid wsp:val=&quot;0039799A&quot;/&gt;&lt;wsp:rsid wsp:val=&quot;00397B9B&quot;/&gt;&lt;wsp:rsid wsp:val=&quot;003A258A&quot;/&gt;&lt;wsp:rsid wsp:val=&quot;003A431D&quot;/&gt;&lt;wsp:rsid wsp:val=&quot;003A434D&quot;/&gt;&lt;wsp:rsid wsp:val=&quot;003A492F&quot;/&gt;&lt;wsp:rsid wsp:val=&quot;003A4CB4&quot;/&gt;&lt;wsp:rsid wsp:val=&quot;003A5080&quot;/&gt;&lt;wsp:rsid wsp:val=&quot;003A5C74&quot;/&gt;&lt;wsp:rsid wsp:val=&quot;003A5F53&quot;/&gt;&lt;wsp:rsid wsp:val=&quot;003A63B7&quot;/&gt;&lt;wsp:rsid wsp:val=&quot;003A65AF&quot;/&gt;&lt;wsp:rsid wsp:val=&quot;003A6B17&quot;/&gt;&lt;wsp:rsid wsp:val=&quot;003A6E1F&quot;/&gt;&lt;wsp:rsid wsp:val=&quot;003A7741&quot;/&gt;&lt;wsp:rsid wsp:val=&quot;003B017E&quot;/&gt;&lt;wsp:rsid wsp:val=&quot;003B0863&quot;/&gt;&lt;wsp:rsid wsp:val=&quot;003B1483&quot;/&gt;&lt;wsp:rsid wsp:val=&quot;003B24A3&quot;/&gt;&lt;wsp:rsid wsp:val=&quot;003B2E60&quot;/&gt;&lt;wsp:rsid wsp:val=&quot;003B37AE&quot;/&gt;&lt;wsp:rsid wsp:val=&quot;003B385F&quot;/&gt;&lt;wsp:rsid wsp:val=&quot;003B3A68&quot;/&gt;&lt;wsp:rsid wsp:val=&quot;003B3D42&quot;/&gt;&lt;wsp:rsid wsp:val=&quot;003B3E22&quot;/&gt;&lt;wsp:rsid wsp:val=&quot;003B4618&quot;/&gt;&lt;wsp:rsid wsp:val=&quot;003B4DBF&quot;/&gt;&lt;wsp:rsid wsp:val=&quot;003B4EE0&quot;/&gt;&lt;wsp:rsid wsp:val=&quot;003B63B7&quot;/&gt;&lt;wsp:rsid wsp:val=&quot;003B6E07&quot;/&gt;&lt;wsp:rsid wsp:val=&quot;003B7C9B&quot;/&gt;&lt;wsp:rsid wsp:val=&quot;003C011A&quot;/&gt;&lt;wsp:rsid wsp:val=&quot;003C0292&quot;/&gt;&lt;wsp:rsid wsp:val=&quot;003C0316&quot;/&gt;&lt;wsp:rsid wsp:val=&quot;003C0C05&quot;/&gt;&lt;wsp:rsid wsp:val=&quot;003C0C49&quot;/&gt;&lt;wsp:rsid wsp:val=&quot;003C128E&quot;/&gt;&lt;wsp:rsid wsp:val=&quot;003C2275&quot;/&gt;&lt;wsp:rsid wsp:val=&quot;003C301E&quot;/&gt;&lt;wsp:rsid wsp:val=&quot;003C53CA&quot;/&gt;&lt;wsp:rsid wsp:val=&quot;003C54F6&quot;/&gt;&lt;wsp:rsid wsp:val=&quot;003C587D&quot;/&gt;&lt;wsp:rsid wsp:val=&quot;003C5AAD&quot;/&gt;&lt;wsp:rsid wsp:val=&quot;003C5AF5&quot;/&gt;&lt;wsp:rsid wsp:val=&quot;003C60E1&quot;/&gt;&lt;wsp:rsid wsp:val=&quot;003C65E8&quot;/&gt;&lt;wsp:rsid wsp:val=&quot;003C6739&quot;/&gt;&lt;wsp:rsid wsp:val=&quot;003C7CF3&quot;/&gt;&lt;wsp:rsid wsp:val=&quot;003C7D37&quot;/&gt;&lt;wsp:rsid wsp:val=&quot;003C7ED8&quot;/&gt;&lt;wsp:rsid wsp:val=&quot;003D128F&quot;/&gt;&lt;wsp:rsid wsp:val=&quot;003D1FAD&quot;/&gt;&lt;wsp:rsid wsp:val=&quot;003D2329&quot;/&gt;&lt;wsp:rsid wsp:val=&quot;003D3170&quot;/&gt;&lt;wsp:rsid wsp:val=&quot;003D3241&quot;/&gt;&lt;wsp:rsid wsp:val=&quot;003D3FC2&quot;/&gt;&lt;wsp:rsid wsp:val=&quot;003D45B5&quot;/&gt;&lt;wsp:rsid wsp:val=&quot;003D6B4C&quot;/&gt;&lt;wsp:rsid wsp:val=&quot;003D6E10&quot;/&gt;&lt;wsp:rsid wsp:val=&quot;003E0997&quot;/&gt;&lt;wsp:rsid wsp:val=&quot;003E107C&quot;/&gt;&lt;wsp:rsid wsp:val=&quot;003E11C4&quot;/&gt;&lt;wsp:rsid wsp:val=&quot;003E1259&quot;/&gt;&lt;wsp:rsid wsp:val=&quot;003E167B&quot;/&gt;&lt;wsp:rsid wsp:val=&quot;003E1B5E&quot;/&gt;&lt;wsp:rsid wsp:val=&quot;003E2723&quot;/&gt;&lt;wsp:rsid wsp:val=&quot;003E2E9F&quot;/&gt;&lt;wsp:rsid wsp:val=&quot;003E2EF4&quot;/&gt;&lt;wsp:rsid wsp:val=&quot;003E3601&quot;/&gt;&lt;wsp:rsid wsp:val=&quot;003E3702&quot;/&gt;&lt;wsp:rsid wsp:val=&quot;003E38B4&quot;/&gt;&lt;wsp:rsid wsp:val=&quot;003E3EED&quot;/&gt;&lt;wsp:rsid wsp:val=&quot;003E4495&quot;/&gt;&lt;wsp:rsid wsp:val=&quot;003E515B&quot;/&gt;&lt;wsp:rsid wsp:val=&quot;003E5355&quot;/&gt;&lt;wsp:rsid wsp:val=&quot;003E5DA7&quot;/&gt;&lt;wsp:rsid wsp:val=&quot;003E6D4C&quot;/&gt;&lt;wsp:rsid wsp:val=&quot;003E6D88&quot;/&gt;&lt;wsp:rsid wsp:val=&quot;003E7747&quot;/&gt;&lt;wsp:rsid wsp:val=&quot;003F0047&quot;/&gt;&lt;wsp:rsid wsp:val=&quot;003F0C0F&quot;/&gt;&lt;wsp:rsid wsp:val=&quot;003F1330&quot;/&gt;&lt;wsp:rsid wsp:val=&quot;003F1B60&quot;/&gt;&lt;wsp:rsid wsp:val=&quot;003F1BB3&quot;/&gt;&lt;wsp:rsid wsp:val=&quot;003F1EE7&quot;/&gt;&lt;wsp:rsid wsp:val=&quot;003F3B82&quot;/&gt;&lt;wsp:rsid wsp:val=&quot;003F4404&quot;/&gt;&lt;wsp:rsid wsp:val=&quot;003F4666&quot;/&gt;&lt;wsp:rsid wsp:val=&quot;003F65AD&quot;/&gt;&lt;wsp:rsid wsp:val=&quot;004001A3&quot;/&gt;&lt;wsp:rsid wsp:val=&quot;00400281&quot;/&gt;&lt;wsp:rsid wsp:val=&quot;00400508&quot;/&gt;&lt;wsp:rsid wsp:val=&quot;004006B5&quot;/&gt;&lt;wsp:rsid wsp:val=&quot;00400874&quot;/&gt;&lt;wsp:rsid wsp:val=&quot;00400D75&quot;/&gt;&lt;wsp:rsid wsp:val=&quot;00400FAD&quot;/&gt;&lt;wsp:rsid wsp:val=&quot;004010BC&quot;/&gt;&lt;wsp:rsid wsp:val=&quot;00401BA8&quot;/&gt;&lt;wsp:rsid wsp:val=&quot;00403491&quot;/&gt;&lt;wsp:rsid wsp:val=&quot;00403CED&quot;/&gt;&lt;wsp:rsid wsp:val=&quot;004059C4&quot;/&gt;&lt;wsp:rsid wsp:val=&quot;00407EAE&quot;/&gt;&lt;wsp:rsid wsp:val=&quot;00410007&quot;/&gt;&lt;wsp:rsid wsp:val=&quot;00410969&quot;/&gt;&lt;wsp:rsid wsp:val=&quot;00411786&quot;/&gt;&lt;wsp:rsid wsp:val=&quot;00411A01&quot;/&gt;&lt;wsp:rsid wsp:val=&quot;0041370D&quot;/&gt;&lt;wsp:rsid wsp:val=&quot;00413C76&quot;/&gt;&lt;wsp:rsid wsp:val=&quot;00413D99&quot;/&gt;&lt;wsp:rsid wsp:val=&quot;004146A4&quot;/&gt;&lt;wsp:rsid wsp:val=&quot;004148C9&quot;/&gt;&lt;wsp:rsid wsp:val=&quot;00415148&quot;/&gt;&lt;wsp:rsid wsp:val=&quot;004161B0&quot;/&gt;&lt;wsp:rsid wsp:val=&quot;0041666B&quot;/&gt;&lt;wsp:rsid wsp:val=&quot;0041712F&quot;/&gt;&lt;wsp:rsid wsp:val=&quot;0041776A&quot;/&gt;&lt;wsp:rsid wsp:val=&quot;00420F62&quot;/&gt;&lt;wsp:rsid wsp:val=&quot;00422492&quot;/&gt;&lt;wsp:rsid wsp:val=&quot;004224A7&quot;/&gt;&lt;wsp:rsid wsp:val=&quot;00422DF6&quot;/&gt;&lt;wsp:rsid wsp:val=&quot;004231D0&quot;/&gt;&lt;wsp:rsid wsp:val=&quot;00423BE1&quot;/&gt;&lt;wsp:rsid wsp:val=&quot;00423E6D&quot;/&gt;&lt;wsp:rsid wsp:val=&quot;00424D05&quot;/&gt;&lt;wsp:rsid wsp:val=&quot;00424D2D&quot;/&gt;&lt;wsp:rsid wsp:val=&quot;00425C27&quot;/&gt;&lt;wsp:rsid wsp:val=&quot;00426577&quot;/&gt;&lt;wsp:rsid wsp:val=&quot;00426703&quot;/&gt;&lt;wsp:rsid wsp:val=&quot;00427DD7&quot;/&gt;&lt;wsp:rsid wsp:val=&quot;0043015E&quot;/&gt;&lt;wsp:rsid wsp:val=&quot;00431116&quot;/&gt;&lt;wsp:rsid wsp:val=&quot;0043169F&quot;/&gt;&lt;wsp:rsid wsp:val=&quot;004330F9&quot;/&gt;&lt;wsp:rsid wsp:val=&quot;004341B3&quot;/&gt;&lt;wsp:rsid wsp:val=&quot;0043436B&quot;/&gt;&lt;wsp:rsid wsp:val=&quot;004348C7&quot;/&gt;&lt;wsp:rsid wsp:val=&quot;00434AB5&quot;/&gt;&lt;wsp:rsid wsp:val=&quot;004351C5&quot;/&gt;&lt;wsp:rsid wsp:val=&quot;00435418&quot;/&gt;&lt;wsp:rsid wsp:val=&quot;00435B12&quot;/&gt;&lt;wsp:rsid wsp:val=&quot;00435DEF&quot;/&gt;&lt;wsp:rsid wsp:val=&quot;00435F2C&quot;/&gt;&lt;wsp:rsid wsp:val=&quot;00436445&quot;/&gt;&lt;wsp:rsid wsp:val=&quot;0043712A&quot;/&gt;&lt;wsp:rsid wsp:val=&quot;004407EC&quot;/&gt;&lt;wsp:rsid wsp:val=&quot;004413C3&quot;/&gt;&lt;wsp:rsid wsp:val=&quot;00441690&quot;/&gt;&lt;wsp:rsid wsp:val=&quot;004419DD&quot;/&gt;&lt;wsp:rsid wsp:val=&quot;00441F4B&quot;/&gt;&lt;wsp:rsid wsp:val=&quot;00442310&quot;/&gt;&lt;wsp:rsid wsp:val=&quot;004430BD&quot;/&gt;&lt;wsp:rsid wsp:val=&quot;0044392B&quot;/&gt;&lt;wsp:rsid wsp:val=&quot;00443D51&quot;/&gt;&lt;wsp:rsid wsp:val=&quot;0044436D&quot;/&gt;&lt;wsp:rsid wsp:val=&quot;00445E7F&quot;/&gt;&lt;wsp:rsid wsp:val=&quot;00446DF5&quot;/&gt;&lt;wsp:rsid wsp:val=&quot;00447589&quot;/&gt;&lt;wsp:rsid wsp:val=&quot;00447EDA&quot;/&gt;&lt;wsp:rsid wsp:val=&quot;004504D6&quot;/&gt;&lt;wsp:rsid wsp:val=&quot;0045071A&quot;/&gt;&lt;wsp:rsid wsp:val=&quot;00450BDC&quot;/&gt;&lt;wsp:rsid wsp:val=&quot;0045235D&quot;/&gt;&lt;wsp:rsid wsp:val=&quot;004529E5&quot;/&gt;&lt;wsp:rsid wsp:val=&quot;00452A44&quot;/&gt;&lt;wsp:rsid wsp:val=&quot;00452DB5&quot;/&gt;&lt;wsp:rsid wsp:val=&quot;0045367A&quot;/&gt;&lt;wsp:rsid wsp:val=&quot;004538F9&quot;/&gt;&lt;wsp:rsid wsp:val=&quot;004559A8&quot;/&gt;&lt;wsp:rsid wsp:val=&quot;004562C7&quot;/&gt;&lt;wsp:rsid wsp:val=&quot;00456A09&quot;/&gt;&lt;wsp:rsid wsp:val=&quot;0046142D&quot;/&gt;&lt;wsp:rsid wsp:val=&quot;00461499&quot;/&gt;&lt;wsp:rsid wsp:val=&quot;0046150B&quot;/&gt;&lt;wsp:rsid wsp:val=&quot;004624E9&quot;/&gt;&lt;wsp:rsid wsp:val=&quot;004626BB&quot;/&gt;&lt;wsp:rsid wsp:val=&quot;00462ADA&quot;/&gt;&lt;wsp:rsid wsp:val=&quot;00462D75&quot;/&gt;&lt;wsp:rsid wsp:val=&quot;00463787&quot;/&gt;&lt;wsp:rsid wsp:val=&quot;00463982&quot;/&gt;&lt;wsp:rsid wsp:val=&quot;00463A0B&quot;/&gt;&lt;wsp:rsid wsp:val=&quot;0046486A&quot;/&gt;&lt;wsp:rsid wsp:val=&quot;00464984&quot;/&gt;&lt;wsp:rsid wsp:val=&quot;00464AEA&quot;/&gt;&lt;wsp:rsid wsp:val=&quot;004657E9&quot;/&gt;&lt;wsp:rsid wsp:val=&quot;004660E7&quot;/&gt;&lt;wsp:rsid wsp:val=&quot;00466E79&quot;/&gt;&lt;wsp:rsid wsp:val=&quot;0046713F&quot;/&gt;&lt;wsp:rsid wsp:val=&quot;004671C1&quot;/&gt;&lt;wsp:rsid wsp:val=&quot;004700B1&quot;/&gt;&lt;wsp:rsid wsp:val=&quot;004712E5&quot;/&gt;&lt;wsp:rsid wsp:val=&quot;004712F7&quot;/&gt;&lt;wsp:rsid wsp:val=&quot;00471A0C&quot;/&gt;&lt;wsp:rsid wsp:val=&quot;00471D18&quot;/&gt;&lt;wsp:rsid wsp:val=&quot;0047244E&quot;/&gt;&lt;wsp:rsid wsp:val=&quot;0047327D&quot;/&gt;&lt;wsp:rsid wsp:val=&quot;004733E7&quot;/&gt;&lt;wsp:rsid wsp:val=&quot;00473665&quot;/&gt;&lt;wsp:rsid wsp:val=&quot;004743D3&quot;/&gt;&lt;wsp:rsid wsp:val=&quot;0047478A&quot;/&gt;&lt;wsp:rsid wsp:val=&quot;00474F84&quot;/&gt;&lt;wsp:rsid wsp:val=&quot;00475299&quot;/&gt;&lt;wsp:rsid wsp:val=&quot;00475541&quot;/&gt;&lt;wsp:rsid wsp:val=&quot;004758B4&quot;/&gt;&lt;wsp:rsid wsp:val=&quot;0047704F&quot;/&gt;&lt;wsp:rsid wsp:val=&quot;004772DB&quot;/&gt;&lt;wsp:rsid wsp:val=&quot;00477D70&quot;/&gt;&lt;wsp:rsid wsp:val=&quot;00480185&quot;/&gt;&lt;wsp:rsid wsp:val=&quot;00480BC5&quot;/&gt;&lt;wsp:rsid wsp:val=&quot;004819E4&quot;/&gt;&lt;wsp:rsid wsp:val=&quot;004822AE&quot;/&gt;&lt;wsp:rsid wsp:val=&quot;00482BB7&quot;/&gt;&lt;wsp:rsid wsp:val=&quot;0048423C&quot;/&gt;&lt;wsp:rsid wsp:val=&quot;004843FB&quot;/&gt;&lt;wsp:rsid wsp:val=&quot;00484B1B&quot;/&gt;&lt;wsp:rsid wsp:val=&quot;00485046&quot;/&gt;&lt;wsp:rsid wsp:val=&quot;004857DF&quot;/&gt;&lt;wsp:rsid wsp:val=&quot;00485B8F&quot;/&gt;&lt;wsp:rsid wsp:val=&quot;004863CF&quot;/&gt;&lt;wsp:rsid wsp:val=&quot;00487511&quot;/&gt;&lt;wsp:rsid wsp:val=&quot;00490439&quot;/&gt;&lt;wsp:rsid wsp:val=&quot;0049062C&quot;/&gt;&lt;wsp:rsid wsp:val=&quot;004908CA&quot;/&gt;&lt;wsp:rsid wsp:val=&quot;00490E55&quot;/&gt;&lt;wsp:rsid wsp:val=&quot;00492363&quot;/&gt;&lt;wsp:rsid wsp:val=&quot;004928C7&quot;/&gt;&lt;wsp:rsid wsp:val=&quot;00494A19&quot;/&gt;&lt;wsp:rsid wsp:val=&quot;00494C06&quot;/&gt;&lt;wsp:rsid wsp:val=&quot;00494C70&quot;/&gt;&lt;wsp:rsid wsp:val=&quot;00495B5A&quot;/&gt;&lt;wsp:rsid wsp:val=&quot;00497719&quot;/&gt;&lt;wsp:rsid wsp:val=&quot;00497B5E&quot;/&gt;&lt;wsp:rsid wsp:val=&quot;00497D92&quot;/&gt;&lt;wsp:rsid wsp:val=&quot;004A0992&quot;/&gt;&lt;wsp:rsid wsp:val=&quot;004A1B00&quot;/&gt;&lt;wsp:rsid wsp:val=&quot;004A2153&quot;/&gt;&lt;wsp:rsid wsp:val=&quot;004A28C4&quot;/&gt;&lt;wsp:rsid wsp:val=&quot;004A2FEB&quot;/&gt;&lt;wsp:rsid wsp:val=&quot;004A3AD6&quot;/&gt;&lt;wsp:rsid wsp:val=&quot;004A3CBC&quot;/&gt;&lt;wsp:rsid wsp:val=&quot;004A43FE&quot;/&gt;&lt;wsp:rsid wsp:val=&quot;004A44EF&quot;/&gt;&lt;wsp:rsid wsp:val=&quot;004A47E1&quot;/&gt;&lt;wsp:rsid wsp:val=&quot;004A49CE&quot;/&gt;&lt;wsp:rsid wsp:val=&quot;004A515F&quot;/&gt;&lt;wsp:rsid wsp:val=&quot;004A5706&quot;/&gt;&lt;wsp:rsid wsp:val=&quot;004A5A0F&quot;/&gt;&lt;wsp:rsid wsp:val=&quot;004A60F5&quot;/&gt;&lt;wsp:rsid wsp:val=&quot;004A62EA&quot;/&gt;&lt;wsp:rsid wsp:val=&quot;004A65C2&quot;/&gt;&lt;wsp:rsid wsp:val=&quot;004A6B24&quot;/&gt;&lt;wsp:rsid wsp:val=&quot;004A6BA7&quot;/&gt;&lt;wsp:rsid wsp:val=&quot;004A7E9C&quot;/&gt;&lt;wsp:rsid wsp:val=&quot;004B12F0&quot;/&gt;&lt;wsp:rsid wsp:val=&quot;004B1308&quot;/&gt;&lt;wsp:rsid wsp:val=&quot;004B2A96&quot;/&gt;&lt;wsp:rsid wsp:val=&quot;004B2FE0&quot;/&gt;&lt;wsp:rsid wsp:val=&quot;004B3572&quot;/&gt;&lt;wsp:rsid wsp:val=&quot;004B3799&quot;/&gt;&lt;wsp:rsid wsp:val=&quot;004B3ED9&quot;/&gt;&lt;wsp:rsid wsp:val=&quot;004B47FF&quot;/&gt;&lt;wsp:rsid wsp:val=&quot;004B6A21&quot;/&gt;&lt;wsp:rsid wsp:val=&quot;004B6CF4&quot;/&gt;&lt;wsp:rsid wsp:val=&quot;004B750D&quot;/&gt;&lt;wsp:rsid wsp:val=&quot;004C00AE&quot;/&gt;&lt;wsp:rsid wsp:val=&quot;004C1095&quot;/&gt;&lt;wsp:rsid wsp:val=&quot;004C1371&quot;/&gt;&lt;wsp:rsid wsp:val=&quot;004C13C3&quot;/&gt;&lt;wsp:rsid wsp:val=&quot;004C1F38&quot;/&gt;&lt;wsp:rsid wsp:val=&quot;004C2217&quot;/&gt;&lt;wsp:rsid wsp:val=&quot;004C3502&quot;/&gt;&lt;wsp:rsid wsp:val=&quot;004C4231&quot;/&gt;&lt;wsp:rsid wsp:val=&quot;004C4712&quot;/&gt;&lt;wsp:rsid wsp:val=&quot;004C4C52&quot;/&gt;&lt;wsp:rsid wsp:val=&quot;004C4D60&quot;/&gt;&lt;wsp:rsid wsp:val=&quot;004C4D89&quot;/&gt;&lt;wsp:rsid wsp:val=&quot;004C4F2A&quot;/&gt;&lt;wsp:rsid wsp:val=&quot;004C593D&quot;/&gt;&lt;wsp:rsid wsp:val=&quot;004C66BB&quot;/&gt;&lt;wsp:rsid wsp:val=&quot;004C6701&quot;/&gt;&lt;wsp:rsid wsp:val=&quot;004D0799&quot;/&gt;&lt;wsp:rsid wsp:val=&quot;004D16F7&quot;/&gt;&lt;wsp:rsid wsp:val=&quot;004D1AED&quot;/&gt;&lt;wsp:rsid wsp:val=&quot;004D1BF8&quot;/&gt;&lt;wsp:rsid wsp:val=&quot;004D25F5&quot;/&gt;&lt;wsp:rsid wsp:val=&quot;004D2CF0&quot;/&gt;&lt;wsp:rsid wsp:val=&quot;004D32D9&quot;/&gt;&lt;wsp:rsid wsp:val=&quot;004D38F5&quot;/&gt;&lt;wsp:rsid wsp:val=&quot;004D3D34&quot;/&gt;&lt;wsp:rsid wsp:val=&quot;004D4CD1&quot;/&gt;&lt;wsp:rsid wsp:val=&quot;004D4D25&quot;/&gt;&lt;wsp:rsid wsp:val=&quot;004D4D4B&quot;/&gt;&lt;wsp:rsid wsp:val=&quot;004D572D&quot;/&gt;&lt;wsp:rsid wsp:val=&quot;004D597D&quot;/&gt;&lt;wsp:rsid wsp:val=&quot;004D5A77&quot;/&gt;&lt;wsp:rsid wsp:val=&quot;004D64F8&quot;/&gt;&lt;wsp:rsid wsp:val=&quot;004D688A&quot;/&gt;&lt;wsp:rsid wsp:val=&quot;004D6A07&quot;/&gt;&lt;wsp:rsid wsp:val=&quot;004D6D17&quot;/&gt;&lt;wsp:rsid wsp:val=&quot;004D7014&quot;/&gt;&lt;wsp:rsid wsp:val=&quot;004D70DF&quot;/&gt;&lt;wsp:rsid wsp:val=&quot;004D731B&quot;/&gt;&lt;wsp:rsid wsp:val=&quot;004D734A&quot;/&gt;&lt;wsp:rsid wsp:val=&quot;004D7A5A&quot;/&gt;&lt;wsp:rsid wsp:val=&quot;004D7D37&quot;/&gt;&lt;wsp:rsid wsp:val=&quot;004E117E&quot;/&gt;&lt;wsp:rsid wsp:val=&quot;004E175C&quot;/&gt;&lt;wsp:rsid wsp:val=&quot;004E2358&quot;/&gt;&lt;wsp:rsid wsp:val=&quot;004E2A4A&quot;/&gt;&lt;wsp:rsid wsp:val=&quot;004E2F6A&quot;/&gt;&lt;wsp:rsid wsp:val=&quot;004E3CA9&quot;/&gt;&lt;wsp:rsid wsp:val=&quot;004E4106&quot;/&gt;&lt;wsp:rsid wsp:val=&quot;004E4438&quot;/&gt;&lt;wsp:rsid wsp:val=&quot;004E45B1&quot;/&gt;&lt;wsp:rsid wsp:val=&quot;004E5748&quot;/&gt;&lt;wsp:rsid wsp:val=&quot;004E5994&quot;/&gt;&lt;wsp:rsid wsp:val=&quot;004E69BC&quot;/&gt;&lt;wsp:rsid wsp:val=&quot;004E722D&quot;/&gt;&lt;wsp:rsid wsp:val=&quot;004E770B&quot;/&gt;&lt;wsp:rsid wsp:val=&quot;004E7A69&quot;/&gt;&lt;wsp:rsid wsp:val=&quot;004F046D&quot;/&gt;&lt;wsp:rsid wsp:val=&quot;004F0AD7&quot;/&gt;&lt;wsp:rsid wsp:val=&quot;004F0F89&quot;/&gt;&lt;wsp:rsid wsp:val=&quot;004F1A03&quot;/&gt;&lt;wsp:rsid wsp:val=&quot;004F2053&quot;/&gt;&lt;wsp:rsid wsp:val=&quot;004F2A50&quot;/&gt;&lt;wsp:rsid wsp:val=&quot;004F3779&quot;/&gt;&lt;wsp:rsid wsp:val=&quot;004F3948&quot;/&gt;&lt;wsp:rsid wsp:val=&quot;004F3B3D&quot;/&gt;&lt;wsp:rsid wsp:val=&quot;004F472C&quot;/&gt;&lt;wsp:rsid wsp:val=&quot;004F5390&quot;/&gt;&lt;wsp:rsid wsp:val=&quot;004F6445&quot;/&gt;&lt;wsp:rsid wsp:val=&quot;004F6F62&quot;/&gt;&lt;wsp:rsid wsp:val=&quot;004F7376&quot;/&gt;&lt;wsp:rsid wsp:val=&quot;004F78AA&quot;/&gt;&lt;wsp:rsid wsp:val=&quot;004F7DA5&quot;/&gt;&lt;wsp:rsid wsp:val=&quot;005000F8&quot;/&gt;&lt;wsp:rsid wsp:val=&quot;00500925&quot;/&gt;&lt;wsp:rsid wsp:val=&quot;00501E85&quot;/&gt;&lt;wsp:rsid wsp:val=&quot;005023B7&quot;/&gt;&lt;wsp:rsid wsp:val=&quot;00502893&quot;/&gt;&lt;wsp:rsid wsp:val=&quot;00502B3F&quot;/&gt;&lt;wsp:rsid wsp:val=&quot;00504938&quot;/&gt;&lt;wsp:rsid wsp:val=&quot;00505D8E&quot;/&gt;&lt;wsp:rsid wsp:val=&quot;00506097&quot;/&gt;&lt;wsp:rsid wsp:val=&quot;00507221&quot;/&gt;&lt;wsp:rsid wsp:val=&quot;005072FE&quot;/&gt;&lt;wsp:rsid wsp:val=&quot;0050735E&quot;/&gt;&lt;wsp:rsid wsp:val=&quot;00507AFE&quot;/&gt;&lt;wsp:rsid wsp:val=&quot;00510CDE&quot;/&gt;&lt;wsp:rsid wsp:val=&quot;005113D1&quot;/&gt;&lt;wsp:rsid wsp:val=&quot;00512431&quot;/&gt;&lt;wsp:rsid wsp:val=&quot;005131A6&quot;/&gt;&lt;wsp:rsid wsp:val=&quot;00513728&quot;/&gt;&lt;wsp:rsid wsp:val=&quot;005139F8&quot;/&gt;&lt;wsp:rsid wsp:val=&quot;00513D1F&quot;/&gt;&lt;wsp:rsid wsp:val=&quot;00514E4E&quot;/&gt;&lt;wsp:rsid wsp:val=&quot;00514F0E&quot;/&gt;&lt;wsp:rsid wsp:val=&quot;005152D1&quot;/&gt;&lt;wsp:rsid wsp:val=&quot;005154AD&quot;/&gt;&lt;wsp:rsid wsp:val=&quot;0051554C&quot;/&gt;&lt;wsp:rsid wsp:val=&quot;005162E4&quot;/&gt;&lt;wsp:rsid wsp:val=&quot;0051634C&quot;/&gt;&lt;wsp:rsid wsp:val=&quot;005163E9&quot;/&gt;&lt;wsp:rsid wsp:val=&quot;005167EC&quot;/&gt;&lt;wsp:rsid wsp:val=&quot;00517637&quot;/&gt;&lt;wsp:rsid wsp:val=&quot;005201DF&quot;/&gt;&lt;wsp:rsid wsp:val=&quot;005207BB&quot;/&gt;&lt;wsp:rsid wsp:val=&quot;00520E4C&quot;/&gt;&lt;wsp:rsid wsp:val=&quot;00521D8A&quot;/&gt;&lt;wsp:rsid wsp:val=&quot;00521E2E&quot;/&gt;&lt;wsp:rsid wsp:val=&quot;00522226&quot;/&gt;&lt;wsp:rsid wsp:val=&quot;005225A6&quot;/&gt;&lt;wsp:rsid wsp:val=&quot;005225E2&quot;/&gt;&lt;wsp:rsid wsp:val=&quot;00522839&quot;/&gt;&lt;wsp:rsid wsp:val=&quot;00522978&quot;/&gt;&lt;wsp:rsid wsp:val=&quot;00522E51&quot;/&gt;&lt;wsp:rsid wsp:val=&quot;005244F1&quot;/&gt;&lt;wsp:rsid wsp:val=&quot;005246C2&quot;/&gt;&lt;wsp:rsid wsp:val=&quot;00524C53&quot;/&gt;&lt;wsp:rsid wsp:val=&quot;00524E78&quot;/&gt;&lt;wsp:rsid wsp:val=&quot;00525DB6&quot;/&gt;&lt;wsp:rsid wsp:val=&quot;005264BD&quot;/&gt;&lt;wsp:rsid wsp:val=&quot;00526D7B&quot;/&gt;&lt;wsp:rsid wsp:val=&quot;00526EA9&quot;/&gt;&lt;wsp:rsid wsp:val=&quot;00527D69&quot;/&gt;&lt;wsp:rsid wsp:val=&quot;00531723&quot;/&gt;&lt;wsp:rsid wsp:val=&quot;00531C03&quot;/&gt;&lt;wsp:rsid wsp:val=&quot;00531C44&quot;/&gt;&lt;wsp:rsid wsp:val=&quot;00531FBE&quot;/&gt;&lt;wsp:rsid wsp:val=&quot;00532D40&quot;/&gt;&lt;wsp:rsid wsp:val=&quot;00533130&quot;/&gt;&lt;wsp:rsid wsp:val=&quot;00533F78&quot;/&gt;&lt;wsp:rsid wsp:val=&quot;0053469C&quot;/&gt;&lt;wsp:rsid wsp:val=&quot;005348CD&quot;/&gt;&lt;wsp:rsid wsp:val=&quot;0053497D&quot;/&gt;&lt;wsp:rsid wsp:val=&quot;005354D9&quot;/&gt;&lt;wsp:rsid wsp:val=&quot;00536331&quot;/&gt;&lt;wsp:rsid wsp:val=&quot;00540042&quot;/&gt;&lt;wsp:rsid wsp:val=&quot;0054082E&quot;/&gt;&lt;wsp:rsid wsp:val=&quot;00540A6C&quot;/&gt;&lt;wsp:rsid wsp:val=&quot;00540DC0&quot;/&gt;&lt;wsp:rsid wsp:val=&quot;00541C7D&quot;/&gt;&lt;wsp:rsid wsp:val=&quot;005420A8&quot;/&gt;&lt;wsp:rsid wsp:val=&quot;00542897&quot;/&gt;&lt;wsp:rsid wsp:val=&quot;0054333B&quot;/&gt;&lt;wsp:rsid wsp:val=&quot;00543EF0&quot;/&gt;&lt;wsp:rsid wsp:val=&quot;0054598A&quot;/&gt;&lt;wsp:rsid wsp:val=&quot;00545A40&quot;/&gt;&lt;wsp:rsid wsp:val=&quot;0054635A&quot;/&gt;&lt;wsp:rsid wsp:val=&quot;00547234&quot;/&gt;&lt;wsp:rsid wsp:val=&quot;00550751&quot;/&gt;&lt;wsp:rsid wsp:val=&quot;005511D5&quot;/&gt;&lt;wsp:rsid wsp:val=&quot;005526BC&quot;/&gt;&lt;wsp:rsid wsp:val=&quot;00552780&quot;/&gt;&lt;wsp:rsid wsp:val=&quot;0055310D&quot;/&gt;&lt;wsp:rsid wsp:val=&quot;00554295&quot;/&gt;&lt;wsp:rsid wsp:val=&quot;00554B90&quot;/&gt;&lt;wsp:rsid wsp:val=&quot;0055594B&quot;/&gt;&lt;wsp:rsid wsp:val=&quot;00555B46&quot;/&gt;&lt;wsp:rsid wsp:val=&quot;00555C86&quot;/&gt;&lt;wsp:rsid wsp:val=&quot;005570E4&quot;/&gt;&lt;wsp:rsid wsp:val=&quot;00557F22&quot;/&gt;&lt;wsp:rsid wsp:val=&quot;00560013&quot;/&gt;&lt;wsp:rsid wsp:val=&quot;0056008D&quot;/&gt;&lt;wsp:rsid wsp:val=&quot;0056031B&quot;/&gt;&lt;wsp:rsid wsp:val=&quot;005605D2&quot;/&gt;&lt;wsp:rsid wsp:val=&quot;00560AC5&quot;/&gt;&lt;wsp:rsid wsp:val=&quot;00560E24&quot;/&gt;&lt;wsp:rsid wsp:val=&quot;00561435&quot;/&gt;&lt;wsp:rsid wsp:val=&quot;00563177&quot;/&gt;&lt;wsp:rsid wsp:val=&quot;00563E7E&quot;/&gt;&lt;wsp:rsid wsp:val=&quot;00564A31&quot;/&gt;&lt;wsp:rsid wsp:val=&quot;00565902&quot;/&gt;&lt;wsp:rsid wsp:val=&quot;00565B82&quot;/&gt;&lt;wsp:rsid wsp:val=&quot;00566276&quot;/&gt;&lt;wsp:rsid wsp:val=&quot;005666A8&quot;/&gt;&lt;wsp:rsid wsp:val=&quot;0056712D&quot;/&gt;&lt;wsp:rsid wsp:val=&quot;005676EA&quot;/&gt;&lt;wsp:rsid wsp:val=&quot;00567879&quot;/&gt;&lt;wsp:rsid wsp:val=&quot;00567A3D&quot;/&gt;&lt;wsp:rsid wsp:val=&quot;00570006&quot;/&gt;&lt;wsp:rsid wsp:val=&quot;005707B8&quot;/&gt;&lt;wsp:rsid wsp:val=&quot;005716C3&quot;/&gt;&lt;wsp:rsid wsp:val=&quot;00572025&quot;/&gt;&lt;wsp:rsid wsp:val=&quot;00572B32&quot;/&gt;&lt;wsp:rsid wsp:val=&quot;00572C7B&quot;/&gt;&lt;wsp:rsid wsp:val=&quot;00572EA6&quot;/&gt;&lt;wsp:rsid wsp:val=&quot;0057383B&quot;/&gt;&lt;wsp:rsid wsp:val=&quot;005740F6&quot;/&gt;&lt;wsp:rsid wsp:val=&quot;005741FA&quot;/&gt;&lt;wsp:rsid wsp:val=&quot;0057460E&quot;/&gt;&lt;wsp:rsid wsp:val=&quot;00574CE4&quot;/&gt;&lt;wsp:rsid wsp:val=&quot;005752AA&quot;/&gt;&lt;wsp:rsid wsp:val=&quot;0057564F&quot;/&gt;&lt;wsp:rsid wsp:val=&quot;00575A85&quot;/&gt;&lt;wsp:rsid wsp:val=&quot;00576116&quot;/&gt;&lt;wsp:rsid wsp:val=&quot;00576363&quot;/&gt;&lt;wsp:rsid wsp:val=&quot;00576639&quot;/&gt;&lt;wsp:rsid wsp:val=&quot;005768F3&quot;/&gt;&lt;wsp:rsid wsp:val=&quot;00577AFA&quot;/&gt;&lt;wsp:rsid wsp:val=&quot;00577CEF&quot;/&gt;&lt;wsp:rsid wsp:val=&quot;0058005E&quot;/&gt;&lt;wsp:rsid wsp:val=&quot;00580733&quot;/&gt;&lt;wsp:rsid wsp:val=&quot;00581D93&quot;/&gt;&lt;wsp:rsid wsp:val=&quot;00582C49&quot;/&gt;&lt;wsp:rsid wsp:val=&quot;005836EB&quot;/&gt;&lt;wsp:rsid wsp:val=&quot;00584153&quot;/&gt;&lt;wsp:rsid wsp:val=&quot;00585276&quot;/&gt;&lt;wsp:rsid wsp:val=&quot;00585771&quot;/&gt;&lt;wsp:rsid wsp:val=&quot;00585A3B&quot;/&gt;&lt;wsp:rsid wsp:val=&quot;00586507&quot;/&gt;&lt;wsp:rsid wsp:val=&quot;0058666B&quot;/&gt;&lt;wsp:rsid wsp:val=&quot;00586695&quot;/&gt;&lt;wsp:rsid wsp:val=&quot;00586F7F&quot;/&gt;&lt;wsp:rsid wsp:val=&quot;00587906&quot;/&gt;&lt;wsp:rsid wsp:val=&quot;00587FF8&quot;/&gt;&lt;wsp:rsid wsp:val=&quot;0059163A&quot;/&gt;&lt;wsp:rsid wsp:val=&quot;0059170F&quot;/&gt;&lt;wsp:rsid wsp:val=&quot;005917A2&quot;/&gt;&lt;wsp:rsid wsp:val=&quot;005917D5&quot;/&gt;&lt;wsp:rsid wsp:val=&quot;00591B38&quot;/&gt;&lt;wsp:rsid wsp:val=&quot;00591DE9&quot;/&gt;&lt;wsp:rsid wsp:val=&quot;00591F7A&quot;/&gt;&lt;wsp:rsid wsp:val=&quot;00592063&quot;/&gt;&lt;wsp:rsid wsp:val=&quot;00592296&quot;/&gt;&lt;wsp:rsid wsp:val=&quot;00592693&quot;/&gt;&lt;wsp:rsid wsp:val=&quot;00592B07&quot;/&gt;&lt;wsp:rsid wsp:val=&quot;00594CC9&quot;/&gt;&lt;wsp:rsid wsp:val=&quot;00596544&quot;/&gt;&lt;wsp:rsid wsp:val=&quot;00596772&quot;/&gt;&lt;wsp:rsid wsp:val=&quot;005969F1&quot;/&gt;&lt;wsp:rsid wsp:val=&quot;00596D5F&quot;/&gt;&lt;wsp:rsid wsp:val=&quot;00597175&quot;/&gt;&lt;wsp:rsid wsp:val=&quot;0059745E&quot;/&gt;&lt;wsp:rsid wsp:val=&quot;005976E1&quot;/&gt;&lt;wsp:rsid wsp:val=&quot;00597B7F&quot;/&gt;&lt;wsp:rsid wsp:val=&quot;00597C53&quot;/&gt;&lt;wsp:rsid wsp:val=&quot;005A05A5&quot;/&gt;&lt;wsp:rsid wsp:val=&quot;005A0C2C&quot;/&gt;&lt;wsp:rsid wsp:val=&quot;005A0DFF&quot;/&gt;&lt;wsp:rsid wsp:val=&quot;005A131F&quot;/&gt;&lt;wsp:rsid wsp:val=&quot;005A1838&quot;/&gt;&lt;wsp:rsid wsp:val=&quot;005A18F7&quot;/&gt;&lt;wsp:rsid wsp:val=&quot;005A1BEE&quot;/&gt;&lt;wsp:rsid wsp:val=&quot;005A29B1&quot;/&gt;&lt;wsp:rsid wsp:val=&quot;005A4252&quot;/&gt;&lt;wsp:rsid wsp:val=&quot;005A4705&quot;/&gt;&lt;wsp:rsid wsp:val=&quot;005A6696&quot;/&gt;&lt;wsp:rsid wsp:val=&quot;005A6794&quot;/&gt;&lt;wsp:rsid wsp:val=&quot;005A7649&quot;/&gt;&lt;wsp:rsid wsp:val=&quot;005A795A&quot;/&gt;&lt;wsp:rsid wsp:val=&quot;005A7D9A&quot;/&gt;&lt;wsp:rsid wsp:val=&quot;005B0179&quot;/&gt;&lt;wsp:rsid wsp:val=&quot;005B0CDC&quot;/&gt;&lt;wsp:rsid wsp:val=&quot;005B0DFC&quot;/&gt;&lt;wsp:rsid wsp:val=&quot;005B0EA6&quot;/&gt;&lt;wsp:rsid wsp:val=&quot;005B10A3&quot;/&gt;&lt;wsp:rsid wsp:val=&quot;005B1C02&quot;/&gt;&lt;wsp:rsid wsp:val=&quot;005B1D6F&quot;/&gt;&lt;wsp:rsid wsp:val=&quot;005B1ECB&quot;/&gt;&lt;wsp:rsid wsp:val=&quot;005B21E1&quot;/&gt;&lt;wsp:rsid wsp:val=&quot;005B2B19&quot;/&gt;&lt;wsp:rsid wsp:val=&quot;005B3B60&quot;/&gt;&lt;wsp:rsid wsp:val=&quot;005B4119&quot;/&gt;&lt;wsp:rsid wsp:val=&quot;005B45D1&quot;/&gt;&lt;wsp:rsid wsp:val=&quot;005B65E5&quot;/&gt;&lt;wsp:rsid wsp:val=&quot;005B6FDF&quot;/&gt;&lt;wsp:rsid wsp:val=&quot;005B79C7&quot;/&gt;&lt;wsp:rsid wsp:val=&quot;005B7D34&quot;/&gt;&lt;wsp:rsid wsp:val=&quot;005B7F07&quot;/&gt;&lt;wsp:rsid wsp:val=&quot;005C07FA&quot;/&gt;&lt;wsp:rsid wsp:val=&quot;005C1771&quot;/&gt;&lt;wsp:rsid wsp:val=&quot;005C2495&quot;/&gt;&lt;wsp:rsid wsp:val=&quot;005C2E5D&quot;/&gt;&lt;wsp:rsid wsp:val=&quot;005C388C&quot;/&gt;&lt;wsp:rsid wsp:val=&quot;005C4CA3&quot;/&gt;&lt;wsp:rsid wsp:val=&quot;005C4D91&quot;/&gt;&lt;wsp:rsid wsp:val=&quot;005C5365&quot;/&gt;&lt;wsp:rsid wsp:val=&quot;005C54C1&quot;/&gt;&lt;wsp:rsid wsp:val=&quot;005C5C89&quot;/&gt;&lt;wsp:rsid wsp:val=&quot;005C6539&quot;/&gt;&lt;wsp:rsid wsp:val=&quot;005C675B&quot;/&gt;&lt;wsp:rsid wsp:val=&quot;005C677B&quot;/&gt;&lt;wsp:rsid wsp:val=&quot;005C6AFA&quot;/&gt;&lt;wsp:rsid wsp:val=&quot;005C7790&quot;/&gt;&lt;wsp:rsid wsp:val=&quot;005D0202&quot;/&gt;&lt;wsp:rsid wsp:val=&quot;005D0999&quot;/&gt;&lt;wsp:rsid wsp:val=&quot;005D16BE&quot;/&gt;&lt;wsp:rsid wsp:val=&quot;005D1748&quot;/&gt;&lt;wsp:rsid wsp:val=&quot;005D1A3C&quot;/&gt;&lt;wsp:rsid wsp:val=&quot;005D1F5C&quot;/&gt;&lt;wsp:rsid wsp:val=&quot;005D29FF&quot;/&gt;&lt;wsp:rsid wsp:val=&quot;005D37EE&quot;/&gt;&lt;wsp:rsid wsp:val=&quot;005D387E&quot;/&gt;&lt;wsp:rsid wsp:val=&quot;005D3B6B&quot;/&gt;&lt;wsp:rsid wsp:val=&quot;005D42E6&quot;/&gt;&lt;wsp:rsid wsp:val=&quot;005D4F1C&quot;/&gt;&lt;wsp:rsid wsp:val=&quot;005D4F2D&quot;/&gt;&lt;wsp:rsid wsp:val=&quot;005D5C30&quot;/&gt;&lt;wsp:rsid wsp:val=&quot;005D60F2&quot;/&gt;&lt;wsp:rsid wsp:val=&quot;005D7AAA&quot;/&gt;&lt;wsp:rsid wsp:val=&quot;005E01F6&quot;/&gt;&lt;wsp:rsid wsp:val=&quot;005E063A&quot;/&gt;&lt;wsp:rsid wsp:val=&quot;005E0D9B&quot;/&gt;&lt;wsp:rsid wsp:val=&quot;005E149D&quot;/&gt;&lt;wsp:rsid wsp:val=&quot;005E155D&quot;/&gt;&lt;wsp:rsid wsp:val=&quot;005E16C0&quot;/&gt;&lt;wsp:rsid wsp:val=&quot;005E1D11&quot;/&gt;&lt;wsp:rsid wsp:val=&quot;005E2895&quot;/&gt;&lt;wsp:rsid wsp:val=&quot;005E3D3D&quot;/&gt;&lt;wsp:rsid wsp:val=&quot;005E3E96&quot;/&gt;&lt;wsp:rsid wsp:val=&quot;005E4261&quot;/&gt;&lt;wsp:rsid wsp:val=&quot;005E42D6&quot;/&gt;&lt;wsp:rsid wsp:val=&quot;005E4694&quot;/&gt;&lt;wsp:rsid wsp:val=&quot;005E60C7&quot;/&gt;&lt;wsp:rsid wsp:val=&quot;005E699F&quot;/&gt;&lt;wsp:rsid wsp:val=&quot;005E7021&quot;/&gt;&lt;wsp:rsid wsp:val=&quot;005E7DDF&quot;/&gt;&lt;wsp:rsid wsp:val=&quot;005F0074&quot;/&gt;&lt;wsp:rsid wsp:val=&quot;005F01D9&quot;/&gt;&lt;wsp:rsid wsp:val=&quot;005F06E7&quot;/&gt;&lt;wsp:rsid wsp:val=&quot;005F0AE4&quot;/&gt;&lt;wsp:rsid wsp:val=&quot;005F0C07&quot;/&gt;&lt;wsp:rsid wsp:val=&quot;005F0C2A&quot;/&gt;&lt;wsp:rsid wsp:val=&quot;005F0CAF&quot;/&gt;&lt;wsp:rsid wsp:val=&quot;005F0DD3&quot;/&gt;&lt;wsp:rsid wsp:val=&quot;005F164E&quot;/&gt;&lt;wsp:rsid wsp:val=&quot;005F29B6&quot;/&gt;&lt;wsp:rsid wsp:val=&quot;005F30CE&quot;/&gt;&lt;wsp:rsid wsp:val=&quot;005F3BC2&quot;/&gt;&lt;wsp:rsid wsp:val=&quot;005F3C50&quot;/&gt;&lt;wsp:rsid wsp:val=&quot;005F4131&quot;/&gt;&lt;wsp:rsid wsp:val=&quot;005F4E24&quot;/&gt;&lt;wsp:rsid wsp:val=&quot;005F4E78&quot;/&gt;&lt;wsp:rsid wsp:val=&quot;005F5306&quot;/&gt;&lt;wsp:rsid wsp:val=&quot;005F5BF6&quot;/&gt;&lt;wsp:rsid wsp:val=&quot;005F5E63&quot;/&gt;&lt;wsp:rsid wsp:val=&quot;00600518&quot;/&gt;&lt;wsp:rsid wsp:val=&quot;00600569&quot;/&gt;&lt;wsp:rsid wsp:val=&quot;00600819&quot;/&gt;&lt;wsp:rsid wsp:val=&quot;006008B1&quot;/&gt;&lt;wsp:rsid wsp:val=&quot;00600B71&quot;/&gt;&lt;wsp:rsid wsp:val=&quot;0060115A&quot;/&gt;&lt;wsp:rsid wsp:val=&quot;00601421&quot;/&gt;&lt;wsp:rsid wsp:val=&quot;006016B0&quot;/&gt;&lt;wsp:rsid wsp:val=&quot;00601C6B&quot;/&gt;&lt;wsp:rsid wsp:val=&quot;00601CAA&quot;/&gt;&lt;wsp:rsid wsp:val=&quot;00603727&quot;/&gt;&lt;wsp:rsid wsp:val=&quot;00603810&quot;/&gt;&lt;wsp:rsid wsp:val=&quot;00603DD9&quot;/&gt;&lt;wsp:rsid wsp:val=&quot;00603EC2&quot;/&gt;&lt;wsp:rsid wsp:val=&quot;00604E68&quot;/&gt;&lt;wsp:rsid wsp:val=&quot;00605443&quot;/&gt;&lt;wsp:rsid wsp:val=&quot;00605A29&quot;/&gt;&lt;wsp:rsid wsp:val=&quot;00606A6B&quot;/&gt;&lt;wsp:rsid wsp:val=&quot;00606CD3&quot;/&gt;&lt;wsp:rsid wsp:val=&quot;00606E9E&quot;/&gt;&lt;wsp:rsid wsp:val=&quot;0060742F&quot;/&gt;&lt;wsp:rsid wsp:val=&quot;00607A11&quot;/&gt;&lt;wsp:rsid wsp:val=&quot;00607D90&quot;/&gt;&lt;wsp:rsid wsp:val=&quot;0061013A&quot;/&gt;&lt;wsp:rsid wsp:val=&quot;006105A4&quot;/&gt;&lt;wsp:rsid wsp:val=&quot;006107FA&quot;/&gt;&lt;wsp:rsid wsp:val=&quot;00610FDB&quot;/&gt;&lt;wsp:rsid wsp:val=&quot;00612605&quot;/&gt;&lt;wsp:rsid wsp:val=&quot;00612AAF&quot;/&gt;&lt;wsp:rsid wsp:val=&quot;0061312F&quot;/&gt;&lt;wsp:rsid wsp:val=&quot;00613CA2&quot;/&gt;&lt;wsp:rsid wsp:val=&quot;00613E95&quot;/&gt;&lt;wsp:rsid wsp:val=&quot;00615510&quot;/&gt;&lt;wsp:rsid wsp:val=&quot;006155F1&quot;/&gt;&lt;wsp:rsid wsp:val=&quot;00615813&quot;/&gt;&lt;wsp:rsid wsp:val=&quot;00615BD7&quot;/&gt;&lt;wsp:rsid wsp:val=&quot;00616045&quot;/&gt;&lt;wsp:rsid wsp:val=&quot;00616F0B&quot;/&gt;&lt;wsp:rsid wsp:val=&quot;006175FE&quot;/&gt;&lt;wsp:rsid wsp:val=&quot;0062052E&quot;/&gt;&lt;wsp:rsid wsp:val=&quot;0062118B&quot;/&gt;&lt;wsp:rsid wsp:val=&quot;006222D0&quot;/&gt;&lt;wsp:rsid wsp:val=&quot;00622A3D&quot;/&gt;&lt;wsp:rsid wsp:val=&quot;00622BDB&quot;/&gt;&lt;wsp:rsid wsp:val=&quot;00623A45&quot;/&gt;&lt;wsp:rsid wsp:val=&quot;00623C1D&quot;/&gt;&lt;wsp:rsid wsp:val=&quot;00624B46&quot;/&gt;&lt;wsp:rsid wsp:val=&quot;00624F02&quot;/&gt;&lt;wsp:rsid wsp:val=&quot;00625026&quot;/&gt;&lt;wsp:rsid wsp:val=&quot;00625D73&quot;/&gt;&lt;wsp:rsid wsp:val=&quot;00625FBC&quot;/&gt;&lt;wsp:rsid wsp:val=&quot;00626282&quot;/&gt;&lt;wsp:rsid wsp:val=&quot;006265F7&quot;/&gt;&lt;wsp:rsid wsp:val=&quot;006270AD&quot;/&gt;&lt;wsp:rsid wsp:val=&quot;006274C0&quot;/&gt;&lt;wsp:rsid wsp:val=&quot;00627C6C&quot;/&gt;&lt;wsp:rsid wsp:val=&quot;00627F2B&quot;/&gt;&lt;wsp:rsid wsp:val=&quot;00630A4B&quot;/&gt;&lt;wsp:rsid wsp:val=&quot;006311D6&quot;/&gt;&lt;wsp:rsid wsp:val=&quot;00631593&quot;/&gt;&lt;wsp:rsid wsp:val=&quot;00631EB7&quot;/&gt;&lt;wsp:rsid wsp:val=&quot;00631F3C&quot;/&gt;&lt;wsp:rsid wsp:val=&quot;00632201&quot;/&gt;&lt;wsp:rsid wsp:val=&quot;00632438&quot;/&gt;&lt;wsp:rsid wsp:val=&quot;006328B2&quot;/&gt;&lt;wsp:rsid wsp:val=&quot;00634AED&quot;/&gt;&lt;wsp:rsid wsp:val=&quot;00634E78&quot;/&gt;&lt;wsp:rsid wsp:val=&quot;006359B6&quot;/&gt;&lt;wsp:rsid wsp:val=&quot;00635A88&quot;/&gt;&lt;wsp:rsid wsp:val=&quot;0063660E&quot;/&gt;&lt;wsp:rsid wsp:val=&quot;006369EB&quot;/&gt;&lt;wsp:rsid wsp:val=&quot;00636F8D&quot;/&gt;&lt;wsp:rsid wsp:val=&quot;00637575&quot;/&gt;&lt;wsp:rsid wsp:val=&quot;00637816&quot;/&gt;&lt;wsp:rsid wsp:val=&quot;006403F9&quot;/&gt;&lt;wsp:rsid wsp:val=&quot;00640B43&quot;/&gt;&lt;wsp:rsid wsp:val=&quot;0064107A&quot;/&gt;&lt;wsp:rsid wsp:val=&quot;006414E1&quot;/&gt;&lt;wsp:rsid wsp:val=&quot;00641700&quot;/&gt;&lt;wsp:rsid wsp:val=&quot;006418CB&quot;/&gt;&lt;wsp:rsid wsp:val=&quot;0064236D&quot;/&gt;&lt;wsp:rsid wsp:val=&quot;00642579&quot;/&gt;&lt;wsp:rsid wsp:val=&quot;00643121&quot;/&gt;&lt;wsp:rsid wsp:val=&quot;00643F31&quot;/&gt;&lt;wsp:rsid wsp:val=&quot;006447BD&quot;/&gt;&lt;wsp:rsid wsp:val=&quot;00644B80&quot;/&gt;&lt;wsp:rsid wsp:val=&quot;0064598D&quot;/&gt;&lt;wsp:rsid wsp:val=&quot;006460F9&quot;/&gt;&lt;wsp:rsid wsp:val=&quot;006463C9&quot;/&gt;&lt;wsp:rsid wsp:val=&quot;00647056&quot;/&gt;&lt;wsp:rsid wsp:val=&quot;00650036&quot;/&gt;&lt;wsp:rsid wsp:val=&quot;00650442&quot;/&gt;&lt;wsp:rsid wsp:val=&quot;00651380&quot;/&gt;&lt;wsp:rsid wsp:val=&quot;006513E9&quot;/&gt;&lt;wsp:rsid wsp:val=&quot;006521E2&quot;/&gt;&lt;wsp:rsid wsp:val=&quot;00652830&quot;/&gt;&lt;wsp:rsid wsp:val=&quot;006528D6&quot;/&gt;&lt;wsp:rsid wsp:val=&quot;00652C56&quot;/&gt;&lt;wsp:rsid wsp:val=&quot;00652ED4&quot;/&gt;&lt;wsp:rsid wsp:val=&quot;00652F6E&quot;/&gt;&lt;wsp:rsid wsp:val=&quot;00653382&quot;/&gt;&lt;wsp:rsid wsp:val=&quot;00653C9B&quot;/&gt;&lt;wsp:rsid wsp:val=&quot;006542E5&quot;/&gt;&lt;wsp:rsid wsp:val=&quot;00654BC6&quot;/&gt;&lt;wsp:rsid wsp:val=&quot;00655786&quot;/&gt;&lt;wsp:rsid wsp:val=&quot;00655891&quot;/&gt;&lt;wsp:rsid wsp:val=&quot;00655FE5&quot;/&gt;&lt;wsp:rsid wsp:val=&quot;00657BBF&quot;/&gt;&lt;wsp:rsid wsp:val=&quot;0066091E&quot;/&gt;&lt;wsp:rsid wsp:val=&quot;00661908&quot;/&gt;&lt;wsp:rsid wsp:val=&quot;00662C91&quot;/&gt;&lt;wsp:rsid wsp:val=&quot;00663083&quot;/&gt;&lt;wsp:rsid wsp:val=&quot;006638FE&quot;/&gt;&lt;wsp:rsid wsp:val=&quot;00663A13&quot;/&gt;&lt;wsp:rsid wsp:val=&quot;00663C5D&quot;/&gt;&lt;wsp:rsid wsp:val=&quot;00663DDC&quot;/&gt;&lt;wsp:rsid wsp:val=&quot;00664BEA&quot;/&gt;&lt;wsp:rsid wsp:val=&quot;006650FE&quot;/&gt;&lt;wsp:rsid wsp:val=&quot;006652C1&quot;/&gt;&lt;wsp:rsid wsp:val=&quot;00666806&quot;/&gt;&lt;wsp:rsid wsp:val=&quot;006678A1&quot;/&gt;&lt;wsp:rsid wsp:val=&quot;00667AD5&quot;/&gt;&lt;wsp:rsid wsp:val=&quot;006705D2&quot;/&gt;&lt;wsp:rsid wsp:val=&quot;00670D06&quot;/&gt;&lt;wsp:rsid wsp:val=&quot;006710C1&quot;/&gt;&lt;wsp:rsid wsp:val=&quot;00671F48&quot;/&gt;&lt;wsp:rsid wsp:val=&quot;00674829&quot;/&gt;&lt;wsp:rsid wsp:val=&quot;00675454&quot;/&gt;&lt;wsp:rsid wsp:val=&quot;00675D0C&quot;/&gt;&lt;wsp:rsid wsp:val=&quot;006762A9&quot;/&gt;&lt;wsp:rsid wsp:val=&quot;00676AEF&quot;/&gt;&lt;wsp:rsid wsp:val=&quot;0067759A&quot;/&gt;&lt;wsp:rsid wsp:val=&quot;00680528&quot;/&gt;&lt;wsp:rsid wsp:val=&quot;006808F8&quot;/&gt;&lt;wsp:rsid wsp:val=&quot;00681D10&quot;/&gt;&lt;wsp:rsid wsp:val=&quot;00682639&quot;/&gt;&lt;wsp:rsid wsp:val=&quot;00682947&quot;/&gt;&lt;wsp:rsid wsp:val=&quot;00682FB9&quot;/&gt;&lt;wsp:rsid wsp:val=&quot;006834A7&quot;/&gt;&lt;wsp:rsid wsp:val=&quot;0068373C&quot;/&gt;&lt;wsp:rsid wsp:val=&quot;00683803&quot;/&gt;&lt;wsp:rsid wsp:val=&quot;00684042&quot;/&gt;&lt;wsp:rsid wsp:val=&quot;0068480B&quot;/&gt;&lt;wsp:rsid wsp:val=&quot;00685F97&quot;/&gt;&lt;wsp:rsid wsp:val=&quot;00686D4B&quot;/&gt;&lt;wsp:rsid wsp:val=&quot;006871AA&quot;/&gt;&lt;wsp:rsid wsp:val=&quot;00687358&quot;/&gt;&lt;wsp:rsid wsp:val=&quot;0069030A&quot;/&gt;&lt;wsp:rsid wsp:val=&quot;00690474&quot;/&gt;&lt;wsp:rsid wsp:val=&quot;006906B8&quot;/&gt;&lt;wsp:rsid wsp:val=&quot;00691F1C&quot;/&gt;&lt;wsp:rsid wsp:val=&quot;00692432&quot;/&gt;&lt;wsp:rsid wsp:val=&quot;00692A4D&quot;/&gt;&lt;wsp:rsid wsp:val=&quot;00692AD5&quot;/&gt;&lt;wsp:rsid wsp:val=&quot;00693230&quot;/&gt;&lt;wsp:rsid wsp:val=&quot;0069366C&quot;/&gt;&lt;wsp:rsid wsp:val=&quot;00693FBA&quot;/&gt;&lt;wsp:rsid wsp:val=&quot;006948FA&quot;/&gt;&lt;wsp:rsid wsp:val=&quot;00694D80&quot;/&gt;&lt;wsp:rsid wsp:val=&quot;00695129&quot;/&gt;&lt;wsp:rsid wsp:val=&quot;00695B00&quot;/&gt;&lt;wsp:rsid wsp:val=&quot;00695E6E&quot;/&gt;&lt;wsp:rsid wsp:val=&quot;00696026&quot;/&gt;&lt;wsp:rsid wsp:val=&quot;00696699&quot;/&gt;&lt;wsp:rsid wsp:val=&quot;006A0278&quot;/&gt;&lt;wsp:rsid wsp:val=&quot;006A02E2&quot;/&gt;&lt;wsp:rsid wsp:val=&quot;006A0AC6&quot;/&gt;&lt;wsp:rsid wsp:val=&quot;006A196B&quot;/&gt;&lt;wsp:rsid wsp:val=&quot;006A1A97&quot;/&gt;&lt;wsp:rsid wsp:val=&quot;006A1CD0&quot;/&gt;&lt;wsp:rsid wsp:val=&quot;006A2186&quot;/&gt;&lt;wsp:rsid wsp:val=&quot;006A3188&quot;/&gt;&lt;wsp:rsid wsp:val=&quot;006A37E9&quot;/&gt;&lt;wsp:rsid wsp:val=&quot;006A4B71&quot;/&gt;&lt;wsp:rsid wsp:val=&quot;006A5160&quot;/&gt;&lt;wsp:rsid wsp:val=&quot;006A5266&quot;/&gt;&lt;wsp:rsid wsp:val=&quot;006A5499&quot;/&gt;&lt;wsp:rsid wsp:val=&quot;006A56A3&quot;/&gt;&lt;wsp:rsid wsp:val=&quot;006A57E6&quot;/&gt;&lt;wsp:rsid wsp:val=&quot;006A60BD&quot;/&gt;&lt;wsp:rsid wsp:val=&quot;006A60D9&quot;/&gt;&lt;wsp:rsid wsp:val=&quot;006A60E2&quot;/&gt;&lt;wsp:rsid wsp:val=&quot;006A742A&quot;/&gt;&lt;wsp:rsid wsp:val=&quot;006A7977&quot;/&gt;&lt;wsp:rsid wsp:val=&quot;006A7CA1&quot;/&gt;&lt;wsp:rsid wsp:val=&quot;006A7CE0&quot;/&gt;&lt;wsp:rsid wsp:val=&quot;006A7F73&quot;/&gt;&lt;wsp:rsid wsp:val=&quot;006B01E8&quot;/&gt;&lt;wsp:rsid wsp:val=&quot;006B181F&quot;/&gt;&lt;wsp:rsid wsp:val=&quot;006B18DB&quot;/&gt;&lt;wsp:rsid wsp:val=&quot;006B1FEE&quot;/&gt;&lt;wsp:rsid wsp:val=&quot;006B2400&quot;/&gt;&lt;wsp:rsid wsp:val=&quot;006B2D7A&quot;/&gt;&lt;wsp:rsid wsp:val=&quot;006B46DF&quot;/&gt;&lt;wsp:rsid wsp:val=&quot;006B4C8F&quot;/&gt;&lt;wsp:rsid wsp:val=&quot;006B4CB5&quot;/&gt;&lt;wsp:rsid wsp:val=&quot;006B4F07&quot;/&gt;&lt;wsp:rsid wsp:val=&quot;006B5991&quot;/&gt;&lt;wsp:rsid wsp:val=&quot;006B601B&quot;/&gt;&lt;wsp:rsid wsp:val=&quot;006B6B25&quot;/&gt;&lt;wsp:rsid wsp:val=&quot;006B721A&quot;/&gt;&lt;wsp:rsid wsp:val=&quot;006B7D1E&quot;/&gt;&lt;wsp:rsid wsp:val=&quot;006C0E9E&quot;/&gt;&lt;wsp:rsid wsp:val=&quot;006C1048&quot;/&gt;&lt;wsp:rsid wsp:val=&quot;006C105D&quot;/&gt;&lt;wsp:rsid wsp:val=&quot;006C1DDB&quot;/&gt;&lt;wsp:rsid wsp:val=&quot;006C22C1&quot;/&gt;&lt;wsp:rsid wsp:val=&quot;006C2705&quot;/&gt;&lt;wsp:rsid wsp:val=&quot;006C27BA&quot;/&gt;&lt;wsp:rsid wsp:val=&quot;006C322D&quot;/&gt;&lt;wsp:rsid wsp:val=&quot;006C4A21&quot;/&gt;&lt;wsp:rsid wsp:val=&quot;006C52DD&quot;/&gt;&lt;wsp:rsid wsp:val=&quot;006C5E30&quot;/&gt;&lt;wsp:rsid wsp:val=&quot;006C6A7A&quot;/&gt;&lt;wsp:rsid wsp:val=&quot;006C7BDE&quot;/&gt;&lt;wsp:rsid wsp:val=&quot;006C7DBC&quot;/&gt;&lt;wsp:rsid wsp:val=&quot;006C7FB2&quot;/&gt;&lt;wsp:rsid wsp:val=&quot;006D11CC&quot;/&gt;&lt;wsp:rsid wsp:val=&quot;006D2D8C&quot;/&gt;&lt;wsp:rsid wsp:val=&quot;006D406C&quot;/&gt;&lt;wsp:rsid wsp:val=&quot;006D45A7&quot;/&gt;&lt;wsp:rsid wsp:val=&quot;006D46F1&quot;/&gt;&lt;wsp:rsid wsp:val=&quot;006D5116&quot;/&gt;&lt;wsp:rsid wsp:val=&quot;006D5E8B&quot;/&gt;&lt;wsp:rsid wsp:val=&quot;006D6641&quot;/&gt;&lt;wsp:rsid wsp:val=&quot;006D7DD8&quot;/&gt;&lt;wsp:rsid wsp:val=&quot;006E07C2&quot;/&gt;&lt;wsp:rsid wsp:val=&quot;006E148C&quot;/&gt;&lt;wsp:rsid wsp:val=&quot;006E180D&quot;/&gt;&lt;wsp:rsid wsp:val=&quot;006E1A29&quot;/&gt;&lt;wsp:rsid wsp:val=&quot;006E27CD&quot;/&gt;&lt;wsp:rsid wsp:val=&quot;006E292E&quot;/&gt;&lt;wsp:rsid wsp:val=&quot;006E2ED1&quot;/&gt;&lt;wsp:rsid wsp:val=&quot;006E35C0&quot;/&gt;&lt;wsp:rsid wsp:val=&quot;006E3B68&quot;/&gt;&lt;wsp:rsid wsp:val=&quot;006E3D5F&quot;/&gt;&lt;wsp:rsid wsp:val=&quot;006E4AA0&quot;/&gt;&lt;wsp:rsid wsp:val=&quot;006E591B&quot;/&gt;&lt;wsp:rsid wsp:val=&quot;006E61F2&quot;/&gt;&lt;wsp:rsid wsp:val=&quot;006E6ADA&quot;/&gt;&lt;wsp:rsid wsp:val=&quot;006E73F0&quot;/&gt;&lt;wsp:rsid wsp:val=&quot;006E7924&quot;/&gt;&lt;wsp:rsid wsp:val=&quot;006F076C&quot;/&gt;&lt;wsp:rsid wsp:val=&quot;006F0D71&quot;/&gt;&lt;wsp:rsid wsp:val=&quot;006F1DBA&quot;/&gt;&lt;wsp:rsid wsp:val=&quot;006F2787&quot;/&gt;&lt;wsp:rsid wsp:val=&quot;006F2913&quot;/&gt;&lt;wsp:rsid wsp:val=&quot;006F2AD2&quot;/&gt;&lt;wsp:rsid wsp:val=&quot;006F30CB&quot;/&gt;&lt;wsp:rsid wsp:val=&quot;006F34EE&quot;/&gt;&lt;wsp:rsid wsp:val=&quot;006F3B24&quot;/&gt;&lt;wsp:rsid wsp:val=&quot;006F44DF&quot;/&gt;&lt;wsp:rsid wsp:val=&quot;006F4A06&quot;/&gt;&lt;wsp:rsid wsp:val=&quot;006F4BC6&quot;/&gt;&lt;wsp:rsid wsp:val=&quot;006F5535&quot;/&gt;&lt;wsp:rsid wsp:val=&quot;006F6CD4&quot;/&gt;&lt;wsp:rsid wsp:val=&quot;006F6EE7&quot;/&gt;&lt;wsp:rsid wsp:val=&quot;007000C0&quot;/&gt;&lt;wsp:rsid wsp:val=&quot;007002D6&quot;/&gt;&lt;wsp:rsid wsp:val=&quot;0070133B&quot;/&gt;&lt;wsp:rsid wsp:val=&quot;00701498&quot;/&gt;&lt;wsp:rsid wsp:val=&quot;00701BC4&quot;/&gt;&lt;wsp:rsid wsp:val=&quot;00702A2C&quot;/&gt;&lt;wsp:rsid wsp:val=&quot;00703CD6&quot;/&gt;&lt;wsp:rsid wsp:val=&quot;00703FC0&quot;/&gt;&lt;wsp:rsid wsp:val=&quot;00704302&quot;/&gt;&lt;wsp:rsid wsp:val=&quot;00704598&quot;/&gt;&lt;wsp:rsid wsp:val=&quot;00705375&quot;/&gt;&lt;wsp:rsid wsp:val=&quot;00705B0A&quot;/&gt;&lt;wsp:rsid wsp:val=&quot;00705DD2&quot;/&gt;&lt;wsp:rsid wsp:val=&quot;007061E6&quot;/&gt;&lt;wsp:rsid wsp:val=&quot;00706B13&quot;/&gt;&lt;wsp:rsid wsp:val=&quot;00706B2E&quot;/&gt;&lt;wsp:rsid wsp:val=&quot;0071059C&quot;/&gt;&lt;wsp:rsid wsp:val=&quot;007105FF&quot;/&gt;&lt;wsp:rsid wsp:val=&quot;0071084E&quot;/&gt;&lt;wsp:rsid wsp:val=&quot;00710944&quot;/&gt;&lt;wsp:rsid wsp:val=&quot;00711238&quot;/&gt;&lt;wsp:rsid wsp:val=&quot;007126EF&quot;/&gt;&lt;wsp:rsid wsp:val=&quot;00712F9A&quot;/&gt;&lt;wsp:rsid wsp:val=&quot;00713B85&quot;/&gt;&lt;wsp:rsid wsp:val=&quot;0071429A&quot;/&gt;&lt;wsp:rsid wsp:val=&quot;00714340&quot;/&gt;&lt;wsp:rsid wsp:val=&quot;00715029&quot;/&gt;&lt;wsp:rsid wsp:val=&quot;00715387&quot;/&gt;&lt;wsp:rsid wsp:val=&quot;007153E5&quot;/&gt;&lt;wsp:rsid wsp:val=&quot;00716DDD&quot;/&gt;&lt;wsp:rsid wsp:val=&quot;00720614&quot;/&gt;&lt;wsp:rsid wsp:val=&quot;00720903&quot;/&gt;&lt;wsp:rsid wsp:val=&quot;00720E8A&quot;/&gt;&lt;wsp:rsid wsp:val=&quot;007210A8&quot;/&gt;&lt;wsp:rsid wsp:val=&quot;007216AD&quot;/&gt;&lt;wsp:rsid wsp:val=&quot;00721B53&quot;/&gt;&lt;wsp:rsid wsp:val=&quot;00721C63&quot;/&gt;&lt;wsp:rsid wsp:val=&quot;00721CAA&quot;/&gt;&lt;wsp:rsid wsp:val=&quot;00722C66&quot;/&gt;&lt;wsp:rsid wsp:val=&quot;00725707&quot;/&gt;&lt;wsp:rsid wsp:val=&quot;0072632C&quot;/&gt;&lt;wsp:rsid wsp:val=&quot;00726D75&quot;/&gt;&lt;wsp:rsid wsp:val=&quot;00730343&quot;/&gt;&lt;wsp:rsid wsp:val=&quot;00730CBD&quot;/&gt;&lt;wsp:rsid wsp:val=&quot;00730CD1&quot;/&gt;&lt;wsp:rsid wsp:val=&quot;00731A14&quot;/&gt;&lt;wsp:rsid wsp:val=&quot;0073228F&quot;/&gt;&lt;wsp:rsid wsp:val=&quot;0073391A&quot;/&gt;&lt;wsp:rsid wsp:val=&quot;00733E1F&quot;/&gt;&lt;wsp:rsid wsp:val=&quot;00735683&quot;/&gt;&lt;wsp:rsid wsp:val=&quot;00735A37&quot;/&gt;&lt;wsp:rsid wsp:val=&quot;00736473&quot;/&gt;&lt;wsp:rsid wsp:val=&quot;00736600&quot;/&gt;&lt;wsp:rsid wsp:val=&quot;00736D8B&quot;/&gt;&lt;wsp:rsid wsp:val=&quot;00736F02&quot;/&gt;&lt;wsp:rsid wsp:val=&quot;00737516&quot;/&gt;&lt;wsp:rsid wsp:val=&quot;00740643&quot;/&gt;&lt;wsp:rsid wsp:val=&quot;007425EB&quot;/&gt;&lt;wsp:rsid wsp:val=&quot;00742DA5&quot;/&gt;&lt;wsp:rsid wsp:val=&quot;007440E4&quot;/&gt;&lt;wsp:rsid wsp:val=&quot;00744343&quot;/&gt;&lt;wsp:rsid wsp:val=&quot;007443F5&quot;/&gt;&lt;wsp:rsid wsp:val=&quot;00744E8A&quot;/&gt;&lt;wsp:rsid wsp:val=&quot;00745033&quot;/&gt;&lt;wsp:rsid wsp:val=&quot;00745BC6&quot;/&gt;&lt;wsp:rsid wsp:val=&quot;0074657A&quot;/&gt;&lt;wsp:rsid wsp:val=&quot;00746A81&quot;/&gt;&lt;wsp:rsid wsp:val=&quot;00746D78&quot;/&gt;&lt;wsp:rsid wsp:val=&quot;00746E08&quot;/&gt;&lt;wsp:rsid wsp:val=&quot;00746E57&quot;/&gt;&lt;wsp:rsid wsp:val=&quot;00750190&quot;/&gt;&lt;wsp:rsid wsp:val=&quot;0075158A&quot;/&gt;&lt;wsp:rsid wsp:val=&quot;0075212A&quot;/&gt;&lt;wsp:rsid wsp:val=&quot;007526BC&quot;/&gt;&lt;wsp:rsid wsp:val=&quot;00752BAD&quot;/&gt;&lt;wsp:rsid wsp:val=&quot;00752E71&quot;/&gt;&lt;wsp:rsid wsp:val=&quot;007531BD&quot;/&gt;&lt;wsp:rsid wsp:val=&quot;00753502&quot;/&gt;&lt;wsp:rsid wsp:val=&quot;00755617&quot;/&gt;&lt;wsp:rsid wsp:val=&quot;00756342&quot;/&gt;&lt;wsp:rsid wsp:val=&quot;00756EC2&quot;/&gt;&lt;wsp:rsid wsp:val=&quot;00757118&quot;/&gt;&lt;wsp:rsid wsp:val=&quot;007572BD&quot;/&gt;&lt;wsp:rsid wsp:val=&quot;007575B2&quot;/&gt;&lt;wsp:rsid wsp:val=&quot;00757945&quot;/&gt;&lt;wsp:rsid wsp:val=&quot;00760B5E&quot;/&gt;&lt;wsp:rsid wsp:val=&quot;00761A3F&quot;/&gt;&lt;wsp:rsid wsp:val=&quot;00762229&quot;/&gt;&lt;wsp:rsid wsp:val=&quot;0076247B&quot;/&gt;&lt;wsp:rsid wsp:val=&quot;007624D1&quot;/&gt;&lt;wsp:rsid wsp:val=&quot;007629ED&quot;/&gt;&lt;wsp:rsid wsp:val=&quot;00762CE9&quot;/&gt;&lt;wsp:rsid wsp:val=&quot;007631A6&quot;/&gt;&lt;wsp:rsid wsp:val=&quot;0076339E&quot;/&gt;&lt;wsp:rsid wsp:val=&quot;007638E4&quot;/&gt;&lt;wsp:rsid wsp:val=&quot;00763BD4&quot;/&gt;&lt;wsp:rsid wsp:val=&quot;00763CC8&quot;/&gt;&lt;wsp:rsid wsp:val=&quot;00764002&quot;/&gt;&lt;wsp:rsid wsp:val=&quot;00764540&quot;/&gt;&lt;wsp:rsid wsp:val=&quot;007646F6&quot;/&gt;&lt;wsp:rsid wsp:val=&quot;007647FF&quot;/&gt;&lt;wsp:rsid wsp:val=&quot;00764A8A&quot;/&gt;&lt;wsp:rsid wsp:val=&quot;007654F0&quot;/&gt;&lt;wsp:rsid wsp:val=&quot;00765899&quot;/&gt;&lt;wsp:rsid wsp:val=&quot;00766160&quot;/&gt;&lt;wsp:rsid wsp:val=&quot;007662E1&quot;/&gt;&lt;wsp:rsid wsp:val=&quot;0076634A&quot;/&gt;&lt;wsp:rsid wsp:val=&quot;00766D3C&quot;/&gt;&lt;wsp:rsid wsp:val=&quot;00767B32&quot;/&gt;&lt;wsp:rsid wsp:val=&quot;00767B60&quot;/&gt;&lt;wsp:rsid wsp:val=&quot;00770334&quot;/&gt;&lt;wsp:rsid wsp:val=&quot;00770700&quot;/&gt;&lt;wsp:rsid wsp:val=&quot;00770850&quot;/&gt;&lt;wsp:rsid wsp:val=&quot;00771F67&quot;/&gt;&lt;wsp:rsid wsp:val=&quot;0077201E&quot;/&gt;&lt;wsp:rsid wsp:val=&quot;00774B53&quot;/&gt;&lt;wsp:rsid wsp:val=&quot;0077581D&quot;/&gt;&lt;wsp:rsid wsp:val=&quot;00776098&quot;/&gt;&lt;wsp:rsid wsp:val=&quot;007774EB&quot;/&gt;&lt;wsp:rsid wsp:val=&quot;007810D1&quot;/&gt;&lt;wsp:rsid wsp:val=&quot;0078271D&quot;/&gt;&lt;wsp:rsid wsp:val=&quot;00782735&quot;/&gt;&lt;wsp:rsid wsp:val=&quot;00782A49&quot;/&gt;&lt;wsp:rsid wsp:val=&quot;00783F82&quot;/&gt;&lt;wsp:rsid wsp:val=&quot;00785040&quot;/&gt;&lt;wsp:rsid wsp:val=&quot;00785753&quot;/&gt;&lt;wsp:rsid wsp:val=&quot;007857D1&quot;/&gt;&lt;wsp:rsid wsp:val=&quot;0078638D&quot;/&gt;&lt;wsp:rsid wsp:val=&quot;00787088&quot;/&gt;&lt;wsp:rsid wsp:val=&quot;0078777B&quot;/&gt;&lt;wsp:rsid wsp:val=&quot;00787D77&quot;/&gt;&lt;wsp:rsid wsp:val=&quot;007900F0&quot;/&gt;&lt;wsp:rsid wsp:val=&quot;00790269&quot;/&gt;&lt;wsp:rsid wsp:val=&quot;00791072&quot;/&gt;&lt;wsp:rsid wsp:val=&quot;00791779&quot;/&gt;&lt;wsp:rsid wsp:val=&quot;0079184C&quot;/&gt;&lt;wsp:rsid wsp:val=&quot;00791A72&quot;/&gt;&lt;wsp:rsid wsp:val=&quot;00791D61&quot;/&gt;&lt;wsp:rsid wsp:val=&quot;007930A0&quot;/&gt;&lt;wsp:rsid wsp:val=&quot;007949E5&quot;/&gt;&lt;wsp:rsid wsp:val=&quot;00795002&quot;/&gt;&lt;wsp:rsid wsp:val=&quot;00795E64&quot;/&gt;&lt;wsp:rsid wsp:val=&quot;00795FAD&quot;/&gt;&lt;wsp:rsid wsp:val=&quot;0079648F&quot;/&gt;&lt;wsp:rsid wsp:val=&quot;00796DD1&quot;/&gt;&lt;wsp:rsid wsp:val=&quot;00796E9E&quot;/&gt;&lt;wsp:rsid wsp:val=&quot;0079759A&quot;/&gt;&lt;wsp:rsid wsp:val=&quot;007A2E3D&quot;/&gt;&lt;wsp:rsid wsp:val=&quot;007A5B72&quot;/&gt;&lt;wsp:rsid wsp:val=&quot;007A6186&quot;/&gt;&lt;wsp:rsid wsp:val=&quot;007A61D4&quot;/&gt;&lt;wsp:rsid wsp:val=&quot;007A6200&quot;/&gt;&lt;wsp:rsid wsp:val=&quot;007A67A6&quot;/&gt;&lt;wsp:rsid wsp:val=&quot;007B0FB9&quot;/&gt;&lt;wsp:rsid wsp:val=&quot;007B11E0&quot;/&gt;&lt;wsp:rsid wsp:val=&quot;007B12D3&quot;/&gt;&lt;wsp:rsid wsp:val=&quot;007B166E&quot;/&gt;&lt;wsp:rsid wsp:val=&quot;007B245F&quot;/&gt;&lt;wsp:rsid wsp:val=&quot;007B2C72&quot;/&gt;&lt;wsp:rsid wsp:val=&quot;007B3033&quot;/&gt;&lt;wsp:rsid wsp:val=&quot;007B345C&quot;/&gt;&lt;wsp:rsid wsp:val=&quot;007B3DB5&quot;/&gt;&lt;wsp:rsid wsp:val=&quot;007B451B&quot;/&gt;&lt;wsp:rsid wsp:val=&quot;007B4666&quot;/&gt;&lt;wsp:rsid wsp:val=&quot;007B4CEF&quot;/&gt;&lt;wsp:rsid wsp:val=&quot;007B579A&quot;/&gt;&lt;wsp:rsid wsp:val=&quot;007B67F0&quot;/&gt;&lt;wsp:rsid wsp:val=&quot;007B7869&quot;/&gt;&lt;wsp:rsid wsp:val=&quot;007B789E&quot;/&gt;&lt;wsp:rsid wsp:val=&quot;007C0978&quot;/&gt;&lt;wsp:rsid wsp:val=&quot;007C0D63&quot;/&gt;&lt;wsp:rsid wsp:val=&quot;007C1363&quot;/&gt;&lt;wsp:rsid wsp:val=&quot;007C18B0&quot;/&gt;&lt;wsp:rsid wsp:val=&quot;007C190F&quot;/&gt;&lt;wsp:rsid wsp:val=&quot;007C1BB3&quot;/&gt;&lt;wsp:rsid wsp:val=&quot;007C2566&quot;/&gt;&lt;wsp:rsid wsp:val=&quot;007C26D6&quot;/&gt;&lt;wsp:rsid wsp:val=&quot;007C2BB3&quot;/&gt;&lt;wsp:rsid wsp:val=&quot;007C2D64&quot;/&gt;&lt;wsp:rsid wsp:val=&quot;007C2DC3&quot;/&gt;&lt;wsp:rsid wsp:val=&quot;007C3062&quot;/&gt;&lt;wsp:rsid wsp:val=&quot;007C30B5&quot;/&gt;&lt;wsp:rsid wsp:val=&quot;007C358C&quot;/&gt;&lt;wsp:rsid wsp:val=&quot;007C3DB4&quot;/&gt;&lt;wsp:rsid wsp:val=&quot;007C3FE1&quot;/&gt;&lt;wsp:rsid wsp:val=&quot;007C43D8&quot;/&gt;&lt;wsp:rsid wsp:val=&quot;007C46CF&quot;/&gt;&lt;wsp:rsid wsp:val=&quot;007C4E09&quot;/&gt;&lt;wsp:rsid wsp:val=&quot;007C53AF&quot;/&gt;&lt;wsp:rsid wsp:val=&quot;007C5E18&quot;/&gt;&lt;wsp:rsid wsp:val=&quot;007C78E5&quot;/&gt;&lt;wsp:rsid wsp:val=&quot;007C7E00&quot;/&gt;&lt;wsp:rsid wsp:val=&quot;007D08A5&quot;/&gt;&lt;wsp:rsid wsp:val=&quot;007D0F92&quot;/&gt;&lt;wsp:rsid wsp:val=&quot;007D1022&quot;/&gt;&lt;wsp:rsid wsp:val=&quot;007D15D6&quot;/&gt;&lt;wsp:rsid wsp:val=&quot;007D2164&quot;/&gt;&lt;wsp:rsid wsp:val=&quot;007D23C9&quot;/&gt;&lt;wsp:rsid wsp:val=&quot;007D24F4&quot;/&gt;&lt;wsp:rsid wsp:val=&quot;007D2727&quot;/&gt;&lt;wsp:rsid wsp:val=&quot;007D2F3D&quot;/&gt;&lt;wsp:rsid wsp:val=&quot;007D34F2&quot;/&gt;&lt;wsp:rsid wsp:val=&quot;007D47E5&quot;/&gt;&lt;wsp:rsid wsp:val=&quot;007D5884&quot;/&gt;&lt;wsp:rsid wsp:val=&quot;007D5931&quot;/&gt;&lt;wsp:rsid wsp:val=&quot;007D6665&quot;/&gt;&lt;wsp:rsid wsp:val=&quot;007D77CC&quot;/&gt;&lt;wsp:rsid wsp:val=&quot;007D7F99&quot;/&gt;&lt;wsp:rsid wsp:val=&quot;007E01D6&quot;/&gt;&lt;wsp:rsid wsp:val=&quot;007E02A5&quot;/&gt;&lt;wsp:rsid wsp:val=&quot;007E07C7&quot;/&gt;&lt;wsp:rsid wsp:val=&quot;007E0A97&quot;/&gt;&lt;wsp:rsid wsp:val=&quot;007E0EAB&quot;/&gt;&lt;wsp:rsid wsp:val=&quot;007E0EF9&quot;/&gt;&lt;wsp:rsid wsp:val=&quot;007E2A98&quot;/&gt;&lt;wsp:rsid wsp:val=&quot;007E2B83&quot;/&gt;&lt;wsp:rsid wsp:val=&quot;007E2EB1&quot;/&gt;&lt;wsp:rsid wsp:val=&quot;007E36FE&quot;/&gt;&lt;wsp:rsid wsp:val=&quot;007E49C7&quot;/&gt;&lt;wsp:rsid wsp:val=&quot;007E535E&quot;/&gt;&lt;wsp:rsid wsp:val=&quot;007E5FD1&quot;/&gt;&lt;wsp:rsid wsp:val=&quot;007E7611&quot;/&gt;&lt;wsp:rsid wsp:val=&quot;007E795A&quot;/&gt;&lt;wsp:rsid wsp:val=&quot;007F02EF&quot;/&gt;&lt;wsp:rsid wsp:val=&quot;007F1E97&quot;/&gt;&lt;wsp:rsid wsp:val=&quot;007F2659&quot;/&gt;&lt;wsp:rsid wsp:val=&quot;007F42D2&quot;/&gt;&lt;wsp:rsid wsp:val=&quot;007F4330&quot;/&gt;&lt;wsp:rsid wsp:val=&quot;007F4671&quot;/&gt;&lt;wsp:rsid wsp:val=&quot;007F5B42&quot;/&gt;&lt;wsp:rsid wsp:val=&quot;007F5CD3&quot;/&gt;&lt;wsp:rsid wsp:val=&quot;007F691D&quot;/&gt;&lt;wsp:rsid wsp:val=&quot;007F7335&quot;/&gt;&lt;wsp:rsid wsp:val=&quot;007F7C48&quot;/&gt;&lt;wsp:rsid wsp:val=&quot;0080021F&quot;/&gt;&lt;wsp:rsid wsp:val=&quot;00800241&quot;/&gt;&lt;wsp:rsid wsp:val=&quot;008006C0&quot;/&gt;&lt;wsp:rsid wsp:val=&quot;00800F99&quot;/&gt;&lt;wsp:rsid wsp:val=&quot;00801590&quot;/&gt;&lt;wsp:rsid wsp:val=&quot;00802C9C&quot;/&gt;&lt;wsp:rsid wsp:val=&quot;00803757&quot;/&gt;&lt;wsp:rsid wsp:val=&quot;00803820&quot;/&gt;&lt;wsp:rsid wsp:val=&quot;008053B6&quot;/&gt;&lt;wsp:rsid wsp:val=&quot;00805510&quot;/&gt;&lt;wsp:rsid wsp:val=&quot;00805603&quot;/&gt;&lt;wsp:rsid wsp:val=&quot;00806CCF&quot;/&gt;&lt;wsp:rsid wsp:val=&quot;0080747A&quot;/&gt;&lt;wsp:rsid wsp:val=&quot;00807492&quot;/&gt;&lt;wsp:rsid wsp:val=&quot;00807EFE&quot;/&gt;&lt;wsp:rsid wsp:val=&quot;008103CD&quot;/&gt;&lt;wsp:rsid wsp:val=&quot;0081069F&quot;/&gt;&lt;wsp:rsid wsp:val=&quot;00811105&quot;/&gt;&lt;wsp:rsid wsp:val=&quot;00811C79&quot;/&gt;&lt;wsp:rsid wsp:val=&quot;00811F99&quot;/&gt;&lt;wsp:rsid wsp:val=&quot;00812011&quot;/&gt;&lt;wsp:rsid wsp:val=&quot;00812AA2&quot;/&gt;&lt;wsp:rsid wsp:val=&quot;00813185&quot;/&gt;&lt;wsp:rsid wsp:val=&quot;0081361A&quot;/&gt;&lt;wsp:rsid wsp:val=&quot;00814645&quot;/&gt;&lt;wsp:rsid wsp:val=&quot;008155B6&quot;/&gt;&lt;wsp:rsid wsp:val=&quot;00815C90&quot;/&gt;&lt;wsp:rsid wsp:val=&quot;0081609F&quot;/&gt;&lt;wsp:rsid wsp:val=&quot;0081768C&quot;/&gt;&lt;wsp:rsid wsp:val=&quot;00817E41&quot;/&gt;&lt;wsp:rsid wsp:val=&quot;008209EF&quot;/&gt;&lt;wsp:rsid wsp:val=&quot;00821123&quot;/&gt;&lt;wsp:rsid wsp:val=&quot;008211C1&quot;/&gt;&lt;wsp:rsid wsp:val=&quot;008227EA&quot;/&gt;&lt;wsp:rsid wsp:val=&quot;0082389D&quot;/&gt;&lt;wsp:rsid wsp:val=&quot;008238E5&quot;/&gt;&lt;wsp:rsid wsp:val=&quot;00823D4C&quot;/&gt;&lt;wsp:rsid wsp:val=&quot;00823ED1&quot;/&gt;&lt;wsp:rsid wsp:val=&quot;00823EE3&quot;/&gt;&lt;wsp:rsid wsp:val=&quot;00824146&quot;/&gt;&lt;wsp:rsid wsp:val=&quot;00824581&quot;/&gt;&lt;wsp:rsid wsp:val=&quot;00824D3A&quot;/&gt;&lt;wsp:rsid wsp:val=&quot;00825212&quot;/&gt;&lt;wsp:rsid wsp:val=&quot;00825339&quot;/&gt;&lt;wsp:rsid wsp:val=&quot;00825A8B&quot;/&gt;&lt;wsp:rsid wsp:val=&quot;008276FC&quot;/&gt;&lt;wsp:rsid wsp:val=&quot;00827A7C&quot;/&gt;&lt;wsp:rsid wsp:val=&quot;00830294&quot;/&gt;&lt;wsp:rsid wsp:val=&quot;00830684&quot;/&gt;&lt;wsp:rsid wsp:val=&quot;0083069D&quot;/&gt;&lt;wsp:rsid wsp:val=&quot;00830D37&quot;/&gt;&lt;wsp:rsid wsp:val=&quot;00831070&quot;/&gt;&lt;wsp:rsid wsp:val=&quot;00831F80&quot;/&gt;&lt;wsp:rsid wsp:val=&quot;00831FE7&quot;/&gt;&lt;wsp:rsid wsp:val=&quot;00832E6E&quot;/&gt;&lt;wsp:rsid wsp:val=&quot;0083512D&quot;/&gt;&lt;wsp:rsid wsp:val=&quot;00835833&quot;/&gt;&lt;wsp:rsid wsp:val=&quot;008359D1&quot;/&gt;&lt;wsp:rsid wsp:val=&quot;00836451&quot;/&gt;&lt;wsp:rsid wsp:val=&quot;00837339&quot;/&gt;&lt;wsp:rsid wsp:val=&quot;00837871&quot;/&gt;&lt;wsp:rsid wsp:val=&quot;008404CD&quot;/&gt;&lt;wsp:rsid wsp:val=&quot;00840AB5&quot;/&gt;&lt;wsp:rsid wsp:val=&quot;00840BBA&quot;/&gt;&lt;wsp:rsid wsp:val=&quot;00841E9A&quot;/&gt;&lt;wsp:rsid wsp:val=&quot;008420A5&quot;/&gt;&lt;wsp:rsid wsp:val=&quot;00842F23&quot;/&gt;&lt;wsp:rsid wsp:val=&quot;00843541&quot;/&gt;&lt;wsp:rsid wsp:val=&quot;00843731&quot;/&gt;&lt;wsp:rsid wsp:val=&quot;00843ABD&quot;/&gt;&lt;wsp:rsid wsp:val=&quot;00843BA5&quot;/&gt;&lt;wsp:rsid wsp:val=&quot;00844DD5&quot;/&gt;&lt;wsp:rsid wsp:val=&quot;008450A1&quot;/&gt;&lt;wsp:rsid wsp:val=&quot;008453C0&quot;/&gt;&lt;wsp:rsid wsp:val=&quot;00845478&quot;/&gt;&lt;wsp:rsid wsp:val=&quot;00845AFF&quot;/&gt;&lt;wsp:rsid wsp:val=&quot;008463E6&quot;/&gt;&lt;wsp:rsid wsp:val=&quot;0084651E&quot;/&gt;&lt;wsp:rsid wsp:val=&quot;00846982&quot;/&gt;&lt;wsp:rsid wsp:val=&quot;00847250&quot;/&gt;&lt;wsp:rsid wsp:val=&quot;0085155B&quot;/&gt;&lt;wsp:rsid wsp:val=&quot;00852414&quot;/&gt;&lt;wsp:rsid wsp:val=&quot;008524C7&quot;/&gt;&lt;wsp:rsid wsp:val=&quot;00853DA2&quot;/&gt;&lt;wsp:rsid wsp:val=&quot;00854319&quot;/&gt;&lt;wsp:rsid wsp:val=&quot;00854AF7&quot;/&gt;&lt;wsp:rsid wsp:val=&quot;00854E9F&quot;/&gt;&lt;wsp:rsid wsp:val=&quot;00854F29&quot;/&gt;&lt;wsp:rsid wsp:val=&quot;00856236&quot;/&gt;&lt;wsp:rsid wsp:val=&quot;00857840&quot;/&gt;&lt;wsp:rsid wsp:val=&quot;008579B5&quot;/&gt;&lt;wsp:rsid wsp:val=&quot;00861185&quot;/&gt;&lt;wsp:rsid wsp:val=&quot;008612C0&quot;/&gt;&lt;wsp:rsid wsp:val=&quot;00861727&quot;/&gt;&lt;wsp:rsid wsp:val=&quot;00861900&quot;/&gt;&lt;wsp:rsid wsp:val=&quot;0086198E&quot;/&gt;&lt;wsp:rsid wsp:val=&quot;008620BA&quot;/&gt;&lt;wsp:rsid wsp:val=&quot;00862650&quot;/&gt;&lt;wsp:rsid wsp:val=&quot;00863661&quot;/&gt;&lt;wsp:rsid wsp:val=&quot;008641C1&quot;/&gt;&lt;wsp:rsid wsp:val=&quot;0086461F&quot;/&gt;&lt;wsp:rsid wsp:val=&quot;00864B20&quot;/&gt;&lt;wsp:rsid wsp:val=&quot;00865633&quot;/&gt;&lt;wsp:rsid wsp:val=&quot;00866654&quot;/&gt;&lt;wsp:rsid wsp:val=&quot;00866894&quot;/&gt;&lt;wsp:rsid wsp:val=&quot;00866973&quot;/&gt;&lt;wsp:rsid wsp:val=&quot;00867464&quot;/&gt;&lt;wsp:rsid wsp:val=&quot;008678F4&quot;/&gt;&lt;wsp:rsid wsp:val=&quot;00867C16&quot;/&gt;&lt;wsp:rsid wsp:val=&quot;00870432&quot;/&gt;&lt;wsp:rsid wsp:val=&quot;00870BE1&quot;/&gt;&lt;wsp:rsid wsp:val=&quot;00872296&quot;/&gt;&lt;wsp:rsid wsp:val=&quot;0087285A&quot;/&gt;&lt;wsp:rsid wsp:val=&quot;008728DA&quot;/&gt;&lt;wsp:rsid wsp:val=&quot;00872D14&quot;/&gt;&lt;wsp:rsid wsp:val=&quot;00872E31&quot;/&gt;&lt;wsp:rsid wsp:val=&quot;0087319E&quot;/&gt;&lt;wsp:rsid wsp:val=&quot;00874673&quot;/&gt;&lt;wsp:rsid wsp:val=&quot;00875457&quot;/&gt;&lt;wsp:rsid wsp:val=&quot;00875484&quot;/&gt;&lt;wsp:rsid wsp:val=&quot;00876898&quot;/&gt;&lt;wsp:rsid wsp:val=&quot;00876B21&quot;/&gt;&lt;wsp:rsid wsp:val=&quot;008777E3&quot;/&gt;&lt;wsp:rsid wsp:val=&quot;00877B30&quot;/&gt;&lt;wsp:rsid wsp:val=&quot;00877EBF&quot;/&gt;&lt;wsp:rsid wsp:val=&quot;00880107&quot;/&gt;&lt;wsp:rsid wsp:val=&quot;00880394&quot;/&gt;&lt;wsp:rsid wsp:val=&quot;00880A63&quot;/&gt;&lt;wsp:rsid wsp:val=&quot;00881402&quot;/&gt;&lt;wsp:rsid wsp:val=&quot;008815C6&quot;/&gt;&lt;wsp:rsid wsp:val=&quot;008818C9&quot;/&gt;&lt;wsp:rsid wsp:val=&quot;00881FD0&quot;/&gt;&lt;wsp:rsid wsp:val=&quot;0088223E&quot;/&gt;&lt;wsp:rsid wsp:val=&quot;008831A2&quot;/&gt;&lt;wsp:rsid wsp:val=&quot;00883692&quot;/&gt;&lt;wsp:rsid wsp:val=&quot;008848D3&quot;/&gt;&lt;wsp:rsid wsp:val=&quot;0088492B&quot;/&gt;&lt;wsp:rsid wsp:val=&quot;00884B88&quot;/&gt;&lt;wsp:rsid wsp:val=&quot;00885554&quot;/&gt;&lt;wsp:rsid wsp:val=&quot;00885719&quot;/&gt;&lt;wsp:rsid wsp:val=&quot;0088645A&quot;/&gt;&lt;wsp:rsid wsp:val=&quot;008867B0&quot;/&gt;&lt;wsp:rsid wsp:val=&quot;00886D6D&quot;/&gt;&lt;wsp:rsid wsp:val=&quot;00887582&quot;/&gt;&lt;wsp:rsid wsp:val=&quot;00887979&quot;/&gt;&lt;wsp:rsid wsp:val=&quot;00887E49&quot;/&gt;&lt;wsp:rsid wsp:val=&quot;00887EA0&quot;/&gt;&lt;wsp:rsid wsp:val=&quot;008904D8&quot;/&gt;&lt;wsp:rsid wsp:val=&quot;00890AD9&quot;/&gt;&lt;wsp:rsid wsp:val=&quot;008912ED&quot;/&gt;&lt;wsp:rsid wsp:val=&quot;00894061&quot;/&gt;&lt;wsp:rsid wsp:val=&quot;0089422F&quot;/&gt;&lt;wsp:rsid wsp:val=&quot;008942E1&quot;/&gt;&lt;wsp:rsid wsp:val=&quot;00894343&quot;/&gt;&lt;wsp:rsid wsp:val=&quot;00894722&quot;/&gt;&lt;wsp:rsid wsp:val=&quot;00895051&quot;/&gt;&lt;wsp:rsid wsp:val=&quot;00895067&quot;/&gt;&lt;wsp:rsid wsp:val=&quot;0089602D&quot;/&gt;&lt;wsp:rsid wsp:val=&quot;008963E0&quot;/&gt;&lt;wsp:rsid wsp:val=&quot;008965E8&quot;/&gt;&lt;wsp:rsid wsp:val=&quot;00896A9E&quot;/&gt;&lt;wsp:rsid wsp:val=&quot;00896D64&quot;/&gt;&lt;wsp:rsid wsp:val=&quot;008974D5&quot;/&gt;&lt;wsp:rsid wsp:val=&quot;00897D83&quot;/&gt;&lt;wsp:rsid wsp:val=&quot;008A23A2&quot;/&gt;&lt;wsp:rsid wsp:val=&quot;008A2A61&quot;/&gt;&lt;wsp:rsid wsp:val=&quot;008A322E&quot;/&gt;&lt;wsp:rsid wsp:val=&quot;008A37C2&quot;/&gt;&lt;wsp:rsid wsp:val=&quot;008A3EE7&quot;/&gt;&lt;wsp:rsid wsp:val=&quot;008A5957&quot;/&gt;&lt;wsp:rsid wsp:val=&quot;008A5F44&quot;/&gt;&lt;wsp:rsid wsp:val=&quot;008B0BC2&quot;/&gt;&lt;wsp:rsid wsp:val=&quot;008B24DF&quot;/&gt;&lt;wsp:rsid wsp:val=&quot;008B26A6&quot;/&gt;&lt;wsp:rsid wsp:val=&quot;008B2BEC&quot;/&gt;&lt;wsp:rsid wsp:val=&quot;008B3092&quot;/&gt;&lt;wsp:rsid wsp:val=&quot;008B3290&quot;/&gt;&lt;wsp:rsid wsp:val=&quot;008B3573&quot;/&gt;&lt;wsp:rsid wsp:val=&quot;008B4780&quot;/&gt;&lt;wsp:rsid wsp:val=&quot;008B48F9&quot;/&gt;&lt;wsp:rsid wsp:val=&quot;008B4E4A&quot;/&gt;&lt;wsp:rsid wsp:val=&quot;008B5155&quot;/&gt;&lt;wsp:rsid wsp:val=&quot;008B576B&quot;/&gt;&lt;wsp:rsid wsp:val=&quot;008B5AC7&quot;/&gt;&lt;wsp:rsid wsp:val=&quot;008B7069&quot;/&gt;&lt;wsp:rsid wsp:val=&quot;008B7A08&quot;/&gt;&lt;wsp:rsid wsp:val=&quot;008C1006&quot;/&gt;&lt;wsp:rsid wsp:val=&quot;008C1480&quot;/&gt;&lt;wsp:rsid wsp:val=&quot;008C1A7D&quot;/&gt;&lt;wsp:rsid wsp:val=&quot;008C29F5&quot;/&gt;&lt;wsp:rsid wsp:val=&quot;008C2CB2&quot;/&gt;&lt;wsp:rsid wsp:val=&quot;008C3B9A&quot;/&gt;&lt;wsp:rsid wsp:val=&quot;008C3FBA&quot;/&gt;&lt;wsp:rsid wsp:val=&quot;008C4B9E&quot;/&gt;&lt;wsp:rsid wsp:val=&quot;008C4CC6&quot;/&gt;&lt;wsp:rsid wsp:val=&quot;008C5195&quot;/&gt;&lt;wsp:rsid wsp:val=&quot;008C73BF&quot;/&gt;&lt;wsp:rsid wsp:val=&quot;008C7805&quot;/&gt;&lt;wsp:rsid wsp:val=&quot;008D00BC&quot;/&gt;&lt;wsp:rsid wsp:val=&quot;008D07C3&quot;/&gt;&lt;wsp:rsid wsp:val=&quot;008D2411&quot;/&gt;&lt;wsp:rsid wsp:val=&quot;008D2B7A&quot;/&gt;&lt;wsp:rsid wsp:val=&quot;008D31BD&quot;/&gt;&lt;wsp:rsid wsp:val=&quot;008D378A&quot;/&gt;&lt;wsp:rsid wsp:val=&quot;008D3F54&quot;/&gt;&lt;wsp:rsid wsp:val=&quot;008D4517&quot;/&gt;&lt;wsp:rsid wsp:val=&quot;008D474A&quot;/&gt;&lt;wsp:rsid wsp:val=&quot;008D48EF&quot;/&gt;&lt;wsp:rsid wsp:val=&quot;008D5067&quot;/&gt;&lt;wsp:rsid wsp:val=&quot;008D5624&quot;/&gt;&lt;wsp:rsid wsp:val=&quot;008D5CB0&quot;/&gt;&lt;wsp:rsid wsp:val=&quot;008D62E6&quot;/&gt;&lt;wsp:rsid wsp:val=&quot;008D761D&quot;/&gt;&lt;wsp:rsid wsp:val=&quot;008E07F6&quot;/&gt;&lt;wsp:rsid wsp:val=&quot;008E10F6&quot;/&gt;&lt;wsp:rsid wsp:val=&quot;008E2731&quot;/&gt;&lt;wsp:rsid wsp:val=&quot;008E2B5A&quot;/&gt;&lt;wsp:rsid wsp:val=&quot;008E4074&quot;/&gt;&lt;wsp:rsid wsp:val=&quot;008E4A8F&quot;/&gt;&lt;wsp:rsid wsp:val=&quot;008E4CEB&quot;/&gt;&lt;wsp:rsid wsp:val=&quot;008E5436&quot;/&gt;&lt;wsp:rsid wsp:val=&quot;008E59C4&quot;/&gt;&lt;wsp:rsid wsp:val=&quot;008E5FA0&quot;/&gt;&lt;wsp:rsid wsp:val=&quot;008E6280&quot;/&gt;&lt;wsp:rsid wsp:val=&quot;008E6454&quot;/&gt;&lt;wsp:rsid wsp:val=&quot;008E64E0&quot;/&gt;&lt;wsp:rsid wsp:val=&quot;008E6863&quot;/&gt;&lt;wsp:rsid wsp:val=&quot;008E78C2&quot;/&gt;&lt;wsp:rsid wsp:val=&quot;008F0D79&quot;/&gt;&lt;wsp:rsid wsp:val=&quot;008F0F37&quot;/&gt;&lt;wsp:rsid wsp:val=&quot;008F1133&quot;/&gt;&lt;wsp:rsid wsp:val=&quot;008F11A5&quot;/&gt;&lt;wsp:rsid wsp:val=&quot;008F286D&quot;/&gt;&lt;wsp:rsid wsp:val=&quot;008F35F1&quot;/&gt;&lt;wsp:rsid wsp:val=&quot;008F49A9&quot;/&gt;&lt;wsp:rsid wsp:val=&quot;008F4D07&quot;/&gt;&lt;wsp:rsid wsp:val=&quot;008F5A00&quot;/&gt;&lt;wsp:rsid wsp:val=&quot;008F6AB3&quot;/&gt;&lt;wsp:rsid wsp:val=&quot;008F6DA4&quot;/&gt;&lt;wsp:rsid wsp:val=&quot;008F73AE&quot;/&gt;&lt;wsp:rsid wsp:val=&quot;008F7D5D&quot;/&gt;&lt;wsp:rsid wsp:val=&quot;00902316&quot;/&gt;&lt;wsp:rsid wsp:val=&quot;00902428&quot;/&gt;&lt;wsp:rsid wsp:val=&quot;009033AF&quot;/&gt;&lt;wsp:rsid wsp:val=&quot;009043A5&quot;/&gt;&lt;wsp:rsid wsp:val=&quot;009044FB&quot;/&gt;&lt;wsp:rsid wsp:val=&quot;00904910&quot;/&gt;&lt;wsp:rsid wsp:val=&quot;009061FD&quot;/&gt;&lt;wsp:rsid wsp:val=&quot;009070C9&quot;/&gt;&lt;wsp:rsid wsp:val=&quot;0090743D&quot;/&gt;&lt;wsp:rsid wsp:val=&quot;00907503&quot;/&gt;&lt;wsp:rsid wsp:val=&quot;009078D2&quot;/&gt;&lt;wsp:rsid wsp:val=&quot;00907A17&quot;/&gt;&lt;wsp:rsid wsp:val=&quot;0091062B&quot;/&gt;&lt;wsp:rsid wsp:val=&quot;00911739&quot;/&gt;&lt;wsp:rsid wsp:val=&quot;00911888&quot;/&gt;&lt;wsp:rsid wsp:val=&quot;00911D65&quot;/&gt;&lt;wsp:rsid wsp:val=&quot;00911F93&quot;/&gt;&lt;wsp:rsid wsp:val=&quot;00913219&quot;/&gt;&lt;wsp:rsid wsp:val=&quot;00913341&quot;/&gt;&lt;wsp:rsid wsp:val=&quot;00913402&quot;/&gt;&lt;wsp:rsid wsp:val=&quot;009134B6&quot;/&gt;&lt;wsp:rsid wsp:val=&quot;00913EAF&quot;/&gt;&lt;wsp:rsid wsp:val=&quot;00914227&quot;/&gt;&lt;wsp:rsid wsp:val=&quot;00914457&quot;/&gt;&lt;wsp:rsid wsp:val=&quot;009144A1&quot;/&gt;&lt;wsp:rsid wsp:val=&quot;00915673&quot;/&gt;&lt;wsp:rsid wsp:val=&quot;009157A7&quot;/&gt;&lt;wsp:rsid wsp:val=&quot;009159BC&quot;/&gt;&lt;wsp:rsid wsp:val=&quot;00915ACC&quot;/&gt;&lt;wsp:rsid wsp:val=&quot;00916025&quot;/&gt;&lt;wsp:rsid wsp:val=&quot;0091605B&quot;/&gt;&lt;wsp:rsid wsp:val=&quot;009161D3&quot;/&gt;&lt;wsp:rsid wsp:val=&quot;00916388&quot;/&gt;&lt;wsp:rsid wsp:val=&quot;009166BF&quot;/&gt;&lt;wsp:rsid wsp:val=&quot;00916847&quot;/&gt;&lt;wsp:rsid wsp:val=&quot;00916B68&quot;/&gt;&lt;wsp:rsid wsp:val=&quot;00916C43&quot;/&gt;&lt;wsp:rsid wsp:val=&quot;00917DD3&quot;/&gt;&lt;wsp:rsid wsp:val=&quot;00920158&quot;/&gt;&lt;wsp:rsid wsp:val=&quot;0092087D&quot;/&gt;&lt;wsp:rsid wsp:val=&quot;00920BD4&quot;/&gt;&lt;wsp:rsid wsp:val=&quot;00921183&quot;/&gt;&lt;wsp:rsid wsp:val=&quot;0092167B&quot;/&gt;&lt;wsp:rsid wsp:val=&quot;00921B89&quot;/&gt;&lt;wsp:rsid wsp:val=&quot;00921D7B&quot;/&gt;&lt;wsp:rsid wsp:val=&quot;00922662&quot;/&gt;&lt;wsp:rsid wsp:val=&quot;00922852&quot;/&gt;&lt;wsp:rsid wsp:val=&quot;009243F9&quot;/&gt;&lt;wsp:rsid wsp:val=&quot;0092454B&quot;/&gt;&lt;wsp:rsid wsp:val=&quot;00924DC9&quot;/&gt;&lt;wsp:rsid wsp:val=&quot;009254AD&quot;/&gt;&lt;wsp:rsid wsp:val=&quot;00926275&quot;/&gt;&lt;wsp:rsid wsp:val=&quot;00926615&quot;/&gt;&lt;wsp:rsid wsp:val=&quot;00926659&quot;/&gt;&lt;wsp:rsid wsp:val=&quot;00926828&quot;/&gt;&lt;wsp:rsid wsp:val=&quot;00926F26&quot;/&gt;&lt;wsp:rsid wsp:val=&quot;00927781&quot;/&gt;&lt;wsp:rsid wsp:val=&quot;0093035F&quot;/&gt;&lt;wsp:rsid wsp:val=&quot;009306E2&quot;/&gt;&lt;wsp:rsid wsp:val=&quot;00930D1F&quot;/&gt;&lt;wsp:rsid wsp:val=&quot;009315C5&quot;/&gt;&lt;wsp:rsid wsp:val=&quot;00931C2A&quot;/&gt;&lt;wsp:rsid wsp:val=&quot;00931D55&quot;/&gt;&lt;wsp:rsid wsp:val=&quot;00931E55&quot;/&gt;&lt;wsp:rsid wsp:val=&quot;00932629&quot;/&gt;&lt;wsp:rsid wsp:val=&quot;009330EA&quot;/&gt;&lt;wsp:rsid wsp:val=&quot;00933795&quot;/&gt;&lt;wsp:rsid wsp:val=&quot;009342ED&quot;/&gt;&lt;wsp:rsid wsp:val=&quot;0093441F&quot;/&gt;&lt;wsp:rsid wsp:val=&quot;00935897&quot;/&gt;&lt;wsp:rsid wsp:val=&quot;00935CE7&quot;/&gt;&lt;wsp:rsid wsp:val=&quot;009363AB&quot;/&gt;&lt;wsp:rsid wsp:val=&quot;0093712D&quot;/&gt;&lt;wsp:rsid wsp:val=&quot;00940D42&quot;/&gt;&lt;wsp:rsid wsp:val=&quot;00941233&quot;/&gt;&lt;wsp:rsid wsp:val=&quot;00942122&quot;/&gt;&lt;wsp:rsid wsp:val=&quot;00942945&quot;/&gt;&lt;wsp:rsid wsp:val=&quot;0094359C&quot;/&gt;&lt;wsp:rsid wsp:val=&quot;009436C1&quot;/&gt;&lt;wsp:rsid wsp:val=&quot;009437B4&quot;/&gt;&lt;wsp:rsid wsp:val=&quot;00943AFD&quot;/&gt;&lt;wsp:rsid wsp:val=&quot;009445F4&quot;/&gt;&lt;wsp:rsid wsp:val=&quot;00947388&quot;/&gt;&lt;wsp:rsid wsp:val=&quot;00947707&quot;/&gt;&lt;wsp:rsid wsp:val=&quot;00947795&quot;/&gt;&lt;wsp:rsid wsp:val=&quot;00947973&quot;/&gt;&lt;wsp:rsid wsp:val=&quot;00947E92&quot;/&gt;&lt;wsp:rsid wsp:val=&quot;009510F8&quot;/&gt;&lt;wsp:rsid wsp:val=&quot;00951C26&quot;/&gt;&lt;wsp:rsid wsp:val=&quot;00952159&quot;/&gt;&lt;wsp:rsid wsp:val=&quot;00952423&quot;/&gt;&lt;wsp:rsid wsp:val=&quot;00952BF8&quot;/&gt;&lt;wsp:rsid wsp:val=&quot;00953A75&quot;/&gt;&lt;wsp:rsid wsp:val=&quot;00954639&quot;/&gt;&lt;wsp:rsid wsp:val=&quot;00954817&quot;/&gt;&lt;wsp:rsid wsp:val=&quot;0095500B&quot;/&gt;&lt;wsp:rsid wsp:val=&quot;0095512E&quot;/&gt;&lt;wsp:rsid wsp:val=&quot;00955501&quot;/&gt;&lt;wsp:rsid wsp:val=&quot;0095563D&quot;/&gt;&lt;wsp:rsid wsp:val=&quot;009559BE&quot;/&gt;&lt;wsp:rsid wsp:val=&quot;009559E5&quot;/&gt;&lt;wsp:rsid wsp:val=&quot;00956D79&quot;/&gt;&lt;wsp:rsid wsp:val=&quot;00957FD9&quot;/&gt;&lt;wsp:rsid wsp:val=&quot;00960C76&quot;/&gt;&lt;wsp:rsid wsp:val=&quot;009628DF&quot;/&gt;&lt;wsp:rsid wsp:val=&quot;00963250&quot;/&gt;&lt;wsp:rsid wsp:val=&quot;0096443B&quot;/&gt;&lt;wsp:rsid wsp:val=&quot;00964B9D&quot;/&gt;&lt;wsp:rsid wsp:val=&quot;00965AAE&quot;/&gt;&lt;wsp:rsid wsp:val=&quot;00966083&quot;/&gt;&lt;wsp:rsid wsp:val=&quot;00966DEC&quot;/&gt;&lt;wsp:rsid wsp:val=&quot;00967BCB&quot;/&gt;&lt;wsp:rsid wsp:val=&quot;0097075B&quot;/&gt;&lt;wsp:rsid wsp:val=&quot;00971576&quot;/&gt;&lt;wsp:rsid wsp:val=&quot;00971964&quot;/&gt;&lt;wsp:rsid wsp:val=&quot;00971EB0&quot;/&gt;&lt;wsp:rsid wsp:val=&quot;00972373&quot;/&gt;&lt;wsp:rsid wsp:val=&quot;009728E7&quot;/&gt;&lt;wsp:rsid wsp:val=&quot;0097303D&quot;/&gt;&lt;wsp:rsid wsp:val=&quot;0097321D&quot;/&gt;&lt;wsp:rsid wsp:val=&quot;009734E5&quot;/&gt;&lt;wsp:rsid wsp:val=&quot;00973C49&quot;/&gt;&lt;wsp:rsid wsp:val=&quot;00973D75&quot;/&gt;&lt;wsp:rsid wsp:val=&quot;00973DD8&quot;/&gt;&lt;wsp:rsid wsp:val=&quot;009745D2&quot;/&gt;&lt;wsp:rsid wsp:val=&quot;00974825&quot;/&gt;&lt;wsp:rsid wsp:val=&quot;00975133&quot;/&gt;&lt;wsp:rsid wsp:val=&quot;009766C6&quot;/&gt;&lt;wsp:rsid wsp:val=&quot;00980145&quot;/&gt;&lt;wsp:rsid wsp:val=&quot;00981190&quot;/&gt;&lt;wsp:rsid wsp:val=&quot;00983070&quot;/&gt;&lt;wsp:rsid wsp:val=&quot;00983162&quot;/&gt;&lt;wsp:rsid wsp:val=&quot;00983B07&quot;/&gt;&lt;wsp:rsid wsp:val=&quot;009842E4&quot;/&gt;&lt;wsp:rsid wsp:val=&quot;00986565&quot;/&gt;&lt;wsp:rsid wsp:val=&quot;009876D3&quot;/&gt;&lt;wsp:rsid wsp:val=&quot;00987E16&quot;/&gt;&lt;wsp:rsid wsp:val=&quot;0099000E&quot;/&gt;&lt;wsp:rsid wsp:val=&quot;00990DB9&quot;/&gt;&lt;wsp:rsid wsp:val=&quot;009914C8&quot;/&gt;&lt;wsp:rsid wsp:val=&quot;00991FBA&quot;/&gt;&lt;wsp:rsid wsp:val=&quot;00992212&quot;/&gt;&lt;wsp:rsid wsp:val=&quot;009927EE&quot;/&gt;&lt;wsp:rsid wsp:val=&quot;0099339F&quot;/&gt;&lt;wsp:rsid wsp:val=&quot;00993B1F&quot;/&gt;&lt;wsp:rsid wsp:val=&quot;00993D46&quot;/&gt;&lt;wsp:rsid wsp:val=&quot;00993D6A&quot;/&gt;&lt;wsp:rsid wsp:val=&quot;00993F2A&quot;/&gt;&lt;wsp:rsid wsp:val=&quot;00994287&quot;/&gt;&lt;wsp:rsid wsp:val=&quot;00994CB1&quot;/&gt;&lt;wsp:rsid wsp:val=&quot;00994CE7&quot;/&gt;&lt;wsp:rsid wsp:val=&quot;00994F88&quot;/&gt;&lt;wsp:rsid wsp:val=&quot;00995701&quot;/&gt;&lt;wsp:rsid wsp:val=&quot;0099582B&quot;/&gt;&lt;wsp:rsid wsp:val=&quot;00995A73&quot;/&gt;&lt;wsp:rsid wsp:val=&quot;00996BDF&quot;/&gt;&lt;wsp:rsid wsp:val=&quot;009A0A97&quot;/&gt;&lt;wsp:rsid wsp:val=&quot;009A1122&quot;/&gt;&lt;wsp:rsid wsp:val=&quot;009A1CF2&quot;/&gt;&lt;wsp:rsid wsp:val=&quot;009A208D&quot;/&gt;&lt;wsp:rsid wsp:val=&quot;009A3248&quot;/&gt;&lt;wsp:rsid wsp:val=&quot;009A3641&quot;/&gt;&lt;wsp:rsid wsp:val=&quot;009A397E&quot;/&gt;&lt;wsp:rsid wsp:val=&quot;009A3B17&quot;/&gt;&lt;wsp:rsid wsp:val=&quot;009A5C25&quot;/&gt;&lt;wsp:rsid wsp:val=&quot;009A6332&quot;/&gt;&lt;wsp:rsid wsp:val=&quot;009A6D78&quot;/&gt;&lt;wsp:rsid wsp:val=&quot;009A6E41&quot;/&gt;&lt;wsp:rsid wsp:val=&quot;009B05D2&quot;/&gt;&lt;wsp:rsid wsp:val=&quot;009B1075&quot;/&gt;&lt;wsp:rsid wsp:val=&quot;009B160E&quot;/&gt;&lt;wsp:rsid wsp:val=&quot;009B28AF&quot;/&gt;&lt;wsp:rsid wsp:val=&quot;009B2C13&quot;/&gt;&lt;wsp:rsid wsp:val=&quot;009B2C8E&quot;/&gt;&lt;wsp:rsid wsp:val=&quot;009B31FF&quot;/&gt;&lt;wsp:rsid wsp:val=&quot;009B4331&quot;/&gt;&lt;wsp:rsid wsp:val=&quot;009B46A1&quot;/&gt;&lt;wsp:rsid wsp:val=&quot;009B4DDB&quot;/&gt;&lt;wsp:rsid wsp:val=&quot;009B537B&quot;/&gt;&lt;wsp:rsid wsp:val=&quot;009B572E&quot;/&gt;&lt;wsp:rsid wsp:val=&quot;009B6397&quot;/&gt;&lt;wsp:rsid wsp:val=&quot;009C0C80&quot;/&gt;&lt;wsp:rsid wsp:val=&quot;009C169B&quot;/&gt;&lt;wsp:rsid wsp:val=&quot;009C1924&quot;/&gt;&lt;wsp:rsid wsp:val=&quot;009C1B20&quot;/&gt;&lt;wsp:rsid wsp:val=&quot;009C1D2B&quot;/&gt;&lt;wsp:rsid wsp:val=&quot;009C2316&quot;/&gt;&lt;wsp:rsid wsp:val=&quot;009C23CE&quot;/&gt;&lt;wsp:rsid wsp:val=&quot;009C23F5&quot;/&gt;&lt;wsp:rsid wsp:val=&quot;009C283B&quot;/&gt;&lt;wsp:rsid wsp:val=&quot;009C2BD9&quot;/&gt;&lt;wsp:rsid wsp:val=&quot;009C356B&quot;/&gt;&lt;wsp:rsid wsp:val=&quot;009C3C64&quot;/&gt;&lt;wsp:rsid wsp:val=&quot;009C4284&quot;/&gt;&lt;wsp:rsid wsp:val=&quot;009C53BD&quot;/&gt;&lt;wsp:rsid wsp:val=&quot;009C5A38&quot;/&gt;&lt;wsp:rsid wsp:val=&quot;009C5DAB&quot;/&gt;&lt;wsp:rsid wsp:val=&quot;009C602C&quot;/&gt;&lt;wsp:rsid wsp:val=&quot;009C646D&quot;/&gt;&lt;wsp:rsid wsp:val=&quot;009C7584&quot;/&gt;&lt;wsp:rsid wsp:val=&quot;009C7CF0&quot;/&gt;&lt;wsp:rsid wsp:val=&quot;009D0CF7&quot;/&gt;&lt;wsp:rsid wsp:val=&quot;009D0F2A&quot;/&gt;&lt;wsp:rsid wsp:val=&quot;009D1011&quot;/&gt;&lt;wsp:rsid wsp:val=&quot;009D176A&quot;/&gt;&lt;wsp:rsid wsp:val=&quot;009D29FC&quot;/&gt;&lt;wsp:rsid wsp:val=&quot;009D29FE&quot;/&gt;&lt;wsp:rsid wsp:val=&quot;009D2B59&quot;/&gt;&lt;wsp:rsid wsp:val=&quot;009D3BA4&quot;/&gt;&lt;wsp:rsid wsp:val=&quot;009D3EB0&quot;/&gt;&lt;wsp:rsid wsp:val=&quot;009D459A&quot;/&gt;&lt;wsp:rsid wsp:val=&quot;009D466C&quot;/&gt;&lt;wsp:rsid wsp:val=&quot;009D4820&quot;/&gt;&lt;wsp:rsid wsp:val=&quot;009D5084&quot;/&gt;&lt;wsp:rsid wsp:val=&quot;009D567A&quot;/&gt;&lt;wsp:rsid wsp:val=&quot;009D5B2F&quot;/&gt;&lt;wsp:rsid wsp:val=&quot;009D5BDA&quot;/&gt;&lt;wsp:rsid wsp:val=&quot;009D7CDD&quot;/&gt;&lt;wsp:rsid wsp:val=&quot;009D7D88&quot;/&gt;&lt;wsp:rsid wsp:val=&quot;009D7DAB&quot;/&gt;&lt;wsp:rsid wsp:val=&quot;009D7F57&quot;/&gt;&lt;wsp:rsid wsp:val=&quot;009E0828&quot;/&gt;&lt;wsp:rsid wsp:val=&quot;009E1263&quot;/&gt;&lt;wsp:rsid wsp:val=&quot;009E28FE&quot;/&gt;&lt;wsp:rsid wsp:val=&quot;009E2F86&quot;/&gt;&lt;wsp:rsid wsp:val=&quot;009E3EBE&quot;/&gt;&lt;wsp:rsid wsp:val=&quot;009E4440&quot;/&gt;&lt;wsp:rsid wsp:val=&quot;009E44B7&quot;/&gt;&lt;wsp:rsid wsp:val=&quot;009E6229&quot;/&gt;&lt;wsp:rsid wsp:val=&quot;009E743D&quot;/&gt;&lt;wsp:rsid wsp:val=&quot;009E77A6&quot;/&gt;&lt;wsp:rsid wsp:val=&quot;009F0056&quot;/&gt;&lt;wsp:rsid wsp:val=&quot;009F010D&quot;/&gt;&lt;wsp:rsid wsp:val=&quot;009F08E8&quot;/&gt;&lt;wsp:rsid wsp:val=&quot;009F11C7&quot;/&gt;&lt;wsp:rsid wsp:val=&quot;009F15D6&quot;/&gt;&lt;wsp:rsid wsp:val=&quot;009F1E08&quot;/&gt;&lt;wsp:rsid wsp:val=&quot;009F25C6&quot;/&gt;&lt;wsp:rsid wsp:val=&quot;009F3479&quot;/&gt;&lt;wsp:rsid wsp:val=&quot;009F34F5&quot;/&gt;&lt;wsp:rsid wsp:val=&quot;009F3EBF&quot;/&gt;&lt;wsp:rsid wsp:val=&quot;009F3F5A&quot;/&gt;&lt;wsp:rsid wsp:val=&quot;009F411A&quot;/&gt;&lt;wsp:rsid wsp:val=&quot;009F44F5&quot;/&gt;&lt;wsp:rsid wsp:val=&quot;009F4600&quot;/&gt;&lt;wsp:rsid wsp:val=&quot;009F520C&quot;/&gt;&lt;wsp:rsid wsp:val=&quot;009F5958&quot;/&gt;&lt;wsp:rsid wsp:val=&quot;009F5AF9&quot;/&gt;&lt;wsp:rsid wsp:val=&quot;009F65A0&quot;/&gt;&lt;wsp:rsid wsp:val=&quot;009F6ACF&quot;/&gt;&lt;wsp:rsid wsp:val=&quot;009F796D&quot;/&gt;&lt;wsp:rsid wsp:val=&quot;00A00B97&quot;/&gt;&lt;wsp:rsid wsp:val=&quot;00A010FD&quot;/&gt;&lt;wsp:rsid wsp:val=&quot;00A014DD&quot;/&gt;&lt;wsp:rsid wsp:val=&quot;00A01737&quot;/&gt;&lt;wsp:rsid wsp:val=&quot;00A022D4&quot;/&gt;&lt;wsp:rsid wsp:val=&quot;00A02428&quot;/&gt;&lt;wsp:rsid wsp:val=&quot;00A02E79&quot;/&gt;&lt;wsp:rsid wsp:val=&quot;00A04BD0&quot;/&gt;&lt;wsp:rsid wsp:val=&quot;00A05777&quot;/&gt;&lt;wsp:rsid wsp:val=&quot;00A06BB4&quot;/&gt;&lt;wsp:rsid wsp:val=&quot;00A0719A&quot;/&gt;&lt;wsp:rsid wsp:val=&quot;00A078CF&quot;/&gt;&lt;wsp:rsid wsp:val=&quot;00A1005C&quot;/&gt;&lt;wsp:rsid wsp:val=&quot;00A100C5&quot;/&gt;&lt;wsp:rsid wsp:val=&quot;00A10216&quot;/&gt;&lt;wsp:rsid wsp:val=&quot;00A106AD&quot;/&gt;&lt;wsp:rsid wsp:val=&quot;00A110BE&quot;/&gt;&lt;wsp:rsid wsp:val=&quot;00A1154B&quot;/&gt;&lt;wsp:rsid wsp:val=&quot;00A11A51&quot;/&gt;&lt;wsp:rsid wsp:val=&quot;00A130FF&quot;/&gt;&lt;wsp:rsid wsp:val=&quot;00A1330E&quot;/&gt;&lt;wsp:rsid wsp:val=&quot;00A13EA6&quot;/&gt;&lt;wsp:rsid wsp:val=&quot;00A14061&quot;/&gt;&lt;wsp:rsid wsp:val=&quot;00A149D3&quot;/&gt;&lt;wsp:rsid wsp:val=&quot;00A154B2&quot;/&gt;&lt;wsp:rsid wsp:val=&quot;00A157AB&quot;/&gt;&lt;wsp:rsid wsp:val=&quot;00A16A75&quot;/&gt;&lt;wsp:rsid wsp:val=&quot;00A16D44&quot;/&gt;&lt;wsp:rsid wsp:val=&quot;00A17FAB&quot;/&gt;&lt;wsp:rsid wsp:val=&quot;00A20DAD&quot;/&gt;&lt;wsp:rsid wsp:val=&quot;00A21410&quot;/&gt;&lt;wsp:rsid wsp:val=&quot;00A21641&quot;/&gt;&lt;wsp:rsid wsp:val=&quot;00A21647&quot;/&gt;&lt;wsp:rsid wsp:val=&quot;00A217D0&quot;/&gt;&lt;wsp:rsid wsp:val=&quot;00A21B56&quot;/&gt;&lt;wsp:rsid wsp:val=&quot;00A228D9&quot;/&gt;&lt;wsp:rsid wsp:val=&quot;00A22F96&quot;/&gt;&lt;wsp:rsid wsp:val=&quot;00A2341D&quot;/&gt;&lt;wsp:rsid wsp:val=&quot;00A246BE&quot;/&gt;&lt;wsp:rsid wsp:val=&quot;00A24B11&quot;/&gt;&lt;wsp:rsid wsp:val=&quot;00A253A6&quot;/&gt;&lt;wsp:rsid wsp:val=&quot;00A25BB3&quot;/&gt;&lt;wsp:rsid wsp:val=&quot;00A25F46&quot;/&gt;&lt;wsp:rsid wsp:val=&quot;00A26A63&quot;/&gt;&lt;wsp:rsid wsp:val=&quot;00A27B4D&quot;/&gt;&lt;wsp:rsid wsp:val=&quot;00A27D6C&quot;/&gt;&lt;wsp:rsid wsp:val=&quot;00A304EC&quot;/&gt;&lt;wsp:rsid wsp:val=&quot;00A3073D&quot;/&gt;&lt;wsp:rsid wsp:val=&quot;00A3097D&quot;/&gt;&lt;wsp:rsid wsp:val=&quot;00A33631&quot;/&gt;&lt;wsp:rsid wsp:val=&quot;00A33CB7&quot;/&gt;&lt;wsp:rsid wsp:val=&quot;00A34F60&quot;/&gt;&lt;wsp:rsid wsp:val=&quot;00A3706E&quot;/&gt;&lt;wsp:rsid wsp:val=&quot;00A37848&quot;/&gt;&lt;wsp:rsid wsp:val=&quot;00A40509&quot;/&gt;&lt;wsp:rsid wsp:val=&quot;00A407EF&quot;/&gt;&lt;wsp:rsid wsp:val=&quot;00A40CFC&quot;/&gt;&lt;wsp:rsid wsp:val=&quot;00A41DD8&quot;/&gt;&lt;wsp:rsid wsp:val=&quot;00A42C84&quot;/&gt;&lt;wsp:rsid wsp:val=&quot;00A42E6E&quot;/&gt;&lt;wsp:rsid wsp:val=&quot;00A4357D&quot;/&gt;&lt;wsp:rsid wsp:val=&quot;00A43663&quot;/&gt;&lt;wsp:rsid wsp:val=&quot;00A43947&quot;/&gt;&lt;wsp:rsid wsp:val=&quot;00A43C31&quot;/&gt;&lt;wsp:rsid wsp:val=&quot;00A450B7&quot;/&gt;&lt;wsp:rsid wsp:val=&quot;00A45619&quot;/&gt;&lt;wsp:rsid wsp:val=&quot;00A46721&quot;/&gt;&lt;wsp:rsid wsp:val=&quot;00A4736D&quot;/&gt;&lt;wsp:rsid wsp:val=&quot;00A50030&quot;/&gt;&lt;wsp:rsid wsp:val=&quot;00A505BE&quot;/&gt;&lt;wsp:rsid wsp:val=&quot;00A50753&quot;/&gt;&lt;wsp:rsid wsp:val=&quot;00A50EBE&quot;/&gt;&lt;wsp:rsid wsp:val=&quot;00A50F9D&quot;/&gt;&lt;wsp:rsid wsp:val=&quot;00A516BA&quot;/&gt;&lt;wsp:rsid wsp:val=&quot;00A51938&quot;/&gt;&lt;wsp:rsid wsp:val=&quot;00A520A9&quot;/&gt;&lt;wsp:rsid wsp:val=&quot;00A52199&quot;/&gt;&lt;wsp:rsid wsp:val=&quot;00A53C73&quot;/&gt;&lt;wsp:rsid wsp:val=&quot;00A5406B&quot;/&gt;&lt;wsp:rsid wsp:val=&quot;00A54920&quot;/&gt;&lt;wsp:rsid wsp:val=&quot;00A55391&quot;/&gt;&lt;wsp:rsid wsp:val=&quot;00A55993&quot;/&gt;&lt;wsp:rsid wsp:val=&quot;00A565B2&quot;/&gt;&lt;wsp:rsid wsp:val=&quot;00A56B48&quot;/&gt;&lt;wsp:rsid wsp:val=&quot;00A5794F&quot;/&gt;&lt;wsp:rsid wsp:val=&quot;00A60291&quot;/&gt;&lt;wsp:rsid wsp:val=&quot;00A6134C&quot;/&gt;&lt;wsp:rsid wsp:val=&quot;00A6137D&quot;/&gt;&lt;wsp:rsid wsp:val=&quot;00A613A5&quot;/&gt;&lt;wsp:rsid wsp:val=&quot;00A6195F&quot;/&gt;&lt;wsp:rsid wsp:val=&quot;00A61F2A&quot;/&gt;&lt;wsp:rsid wsp:val=&quot;00A62ADE&quot;/&gt;&lt;wsp:rsid wsp:val=&quot;00A6312E&quot;/&gt;&lt;wsp:rsid wsp:val=&quot;00A6411F&quot;/&gt;&lt;wsp:rsid wsp:val=&quot;00A646EE&quot;/&gt;&lt;wsp:rsid wsp:val=&quot;00A64837&quot;/&gt;&lt;wsp:rsid wsp:val=&quot;00A65C8A&quot;/&gt;&lt;wsp:rsid wsp:val=&quot;00A65DBD&quot;/&gt;&lt;wsp:rsid wsp:val=&quot;00A66038&quot;/&gt;&lt;wsp:rsid wsp:val=&quot;00A663BC&quot;/&gt;&lt;wsp:rsid wsp:val=&quot;00A664A3&quot;/&gt;&lt;wsp:rsid wsp:val=&quot;00A66DDF&quot;/&gt;&lt;wsp:rsid wsp:val=&quot;00A66FF2&quot;/&gt;&lt;wsp:rsid wsp:val=&quot;00A67656&quot;/&gt;&lt;wsp:rsid wsp:val=&quot;00A6782B&quot;/&gt;&lt;wsp:rsid wsp:val=&quot;00A67A57&quot;/&gt;&lt;wsp:rsid wsp:val=&quot;00A70153&quot;/&gt;&lt;wsp:rsid wsp:val=&quot;00A70806&quot;/&gt;&lt;wsp:rsid wsp:val=&quot;00A71322&quot;/&gt;&lt;wsp:rsid wsp:val=&quot;00A71390&quot;/&gt;&lt;wsp:rsid wsp:val=&quot;00A71412&quot;/&gt;&lt;wsp:rsid wsp:val=&quot;00A7142A&quot;/&gt;&lt;wsp:rsid wsp:val=&quot;00A716C2&quot;/&gt;&lt;wsp:rsid wsp:val=&quot;00A7250E&quot;/&gt;&lt;wsp:rsid wsp:val=&quot;00A73299&quot;/&gt;&lt;wsp:rsid wsp:val=&quot;00A73449&quot;/&gt;&lt;wsp:rsid wsp:val=&quot;00A73BA7&quot;/&gt;&lt;wsp:rsid wsp:val=&quot;00A73BEC&quot;/&gt;&lt;wsp:rsid wsp:val=&quot;00A74B5E&quot;/&gt;&lt;wsp:rsid wsp:val=&quot;00A75992&quot;/&gt;&lt;wsp:rsid wsp:val=&quot;00A75A15&quot;/&gt;&lt;wsp:rsid wsp:val=&quot;00A76181&quot;/&gt;&lt;wsp:rsid wsp:val=&quot;00A761EB&quot;/&gt;&lt;wsp:rsid wsp:val=&quot;00A7643E&quot;/&gt;&lt;wsp:rsid wsp:val=&quot;00A76AB5&quot;/&gt;&lt;wsp:rsid wsp:val=&quot;00A76EB3&quot;/&gt;&lt;wsp:rsid wsp:val=&quot;00A77289&quot;/&gt;&lt;wsp:rsid wsp:val=&quot;00A807B0&quot;/&gt;&lt;wsp:rsid wsp:val=&quot;00A80A3A&quot;/&gt;&lt;wsp:rsid wsp:val=&quot;00A80A71&quot;/&gt;&lt;wsp:rsid wsp:val=&quot;00A810A4&quot;/&gt;&lt;wsp:rsid wsp:val=&quot;00A8132C&quot;/&gt;&lt;wsp:rsid wsp:val=&quot;00A8256D&quot;/&gt;&lt;wsp:rsid wsp:val=&quot;00A82B0C&quot;/&gt;&lt;wsp:rsid wsp:val=&quot;00A8483B&quot;/&gt;&lt;wsp:rsid wsp:val=&quot;00A84B15&quot;/&gt;&lt;wsp:rsid wsp:val=&quot;00A852E0&quot;/&gt;&lt;wsp:rsid wsp:val=&quot;00A854E6&quot;/&gt;&lt;wsp:rsid wsp:val=&quot;00A8574E&quot;/&gt;&lt;wsp:rsid wsp:val=&quot;00A85FCF&quot;/&gt;&lt;wsp:rsid wsp:val=&quot;00A86778&quot;/&gt;&lt;wsp:rsid wsp:val=&quot;00A86A82&quot;/&gt;&lt;wsp:rsid wsp:val=&quot;00A87556&quot;/&gt;&lt;wsp:rsid wsp:val=&quot;00A87841&quot;/&gt;&lt;wsp:rsid wsp:val=&quot;00A87C6B&quot;/&gt;&lt;wsp:rsid wsp:val=&quot;00A87F48&quot;/&gt;&lt;wsp:rsid wsp:val=&quot;00A90CA4&quot;/&gt;&lt;wsp:rsid wsp:val=&quot;00A91AB1&quot;/&gt;&lt;wsp:rsid wsp:val=&quot;00A91BAF&quot;/&gt;&lt;wsp:rsid wsp:val=&quot;00A923B6&quot;/&gt;&lt;wsp:rsid wsp:val=&quot;00A924EA&quot;/&gt;&lt;wsp:rsid wsp:val=&quot;00A93944&quot;/&gt;&lt;wsp:rsid wsp:val=&quot;00A941FB&quot;/&gt;&lt;wsp:rsid wsp:val=&quot;00A94BE3&quot;/&gt;&lt;wsp:rsid wsp:val=&quot;00A95599&quot;/&gt;&lt;wsp:rsid wsp:val=&quot;00A96264&quot;/&gt;&lt;wsp:rsid wsp:val=&quot;00A9663E&quot;/&gt;&lt;wsp:rsid wsp:val=&quot;00A96700&quot;/&gt;&lt;wsp:rsid wsp:val=&quot;00A96EFE&quot;/&gt;&lt;wsp:rsid wsp:val=&quot;00A97295&quot;/&gt;&lt;wsp:rsid wsp:val=&quot;00A972F1&quot;/&gt;&lt;wsp:rsid wsp:val=&quot;00A97571&quot;/&gt;&lt;wsp:rsid wsp:val=&quot;00A97716&quot;/&gt;&lt;wsp:rsid wsp:val=&quot;00A97B5A&quot;/&gt;&lt;wsp:rsid wsp:val=&quot;00AA07C2&quot;/&gt;&lt;wsp:rsid wsp:val=&quot;00AA0FD4&quot;/&gt;&lt;wsp:rsid wsp:val=&quot;00AA1FC7&quot;/&gt;&lt;wsp:rsid wsp:val=&quot;00AA2833&quot;/&gt;&lt;wsp:rsid wsp:val=&quot;00AA39D0&quot;/&gt;&lt;wsp:rsid wsp:val=&quot;00AA465F&quot;/&gt;&lt;wsp:rsid wsp:val=&quot;00AA4875&quot;/&gt;&lt;wsp:rsid wsp:val=&quot;00AA4C93&quot;/&gt;&lt;wsp:rsid wsp:val=&quot;00AA4D61&quot;/&gt;&lt;wsp:rsid wsp:val=&quot;00AA4D85&quot;/&gt;&lt;wsp:rsid wsp:val=&quot;00AA5590&quot;/&gt;&lt;wsp:rsid wsp:val=&quot;00AA56AD&quot;/&gt;&lt;wsp:rsid wsp:val=&quot;00AA6801&quot;/&gt;&lt;wsp:rsid wsp:val=&quot;00AA6923&quot;/&gt;&lt;wsp:rsid wsp:val=&quot;00AA6E3E&quot;/&gt;&lt;wsp:rsid wsp:val=&quot;00AA7487&quot;/&gt;&lt;wsp:rsid wsp:val=&quot;00AB0592&quot;/&gt;&lt;wsp:rsid wsp:val=&quot;00AB0B05&quot;/&gt;&lt;wsp:rsid wsp:val=&quot;00AB1A5A&quot;/&gt;&lt;wsp:rsid wsp:val=&quot;00AB297C&quot;/&gt;&lt;wsp:rsid wsp:val=&quot;00AB29D1&quot;/&gt;&lt;wsp:rsid wsp:val=&quot;00AB2B3D&quot;/&gt;&lt;wsp:rsid wsp:val=&quot;00AB3C0F&quot;/&gt;&lt;wsp:rsid wsp:val=&quot;00AB4FDD&quot;/&gt;&lt;wsp:rsid wsp:val=&quot;00AB5A12&quot;/&gt;&lt;wsp:rsid wsp:val=&quot;00AB600D&quot;/&gt;&lt;wsp:rsid wsp:val=&quot;00AB60F9&quot;/&gt;&lt;wsp:rsid wsp:val=&quot;00AB6F73&quot;/&gt;&lt;wsp:rsid wsp:val=&quot;00AB73F6&quot;/&gt;&lt;wsp:rsid wsp:val=&quot;00AC0016&quot;/&gt;&lt;wsp:rsid wsp:val=&quot;00AC011B&quot;/&gt;&lt;wsp:rsid wsp:val=&quot;00AC022C&quot;/&gt;&lt;wsp:rsid wsp:val=&quot;00AC05C0&quot;/&gt;&lt;wsp:rsid wsp:val=&quot;00AC111F&quot;/&gt;&lt;wsp:rsid wsp:val=&quot;00AC2819&quot;/&gt;&lt;wsp:rsid wsp:val=&quot;00AC2CC6&quot;/&gt;&lt;wsp:rsid wsp:val=&quot;00AC2DD0&quot;/&gt;&lt;wsp:rsid wsp:val=&quot;00AC30DA&quot;/&gt;&lt;wsp:rsid wsp:val=&quot;00AC4CE3&quot;/&gt;&lt;wsp:rsid wsp:val=&quot;00AC5512&quot;/&gt;&lt;wsp:rsid wsp:val=&quot;00AC5A0B&quot;/&gt;&lt;wsp:rsid wsp:val=&quot;00AC5C62&quot;/&gt;&lt;wsp:rsid wsp:val=&quot;00AC5E88&quot;/&gt;&lt;wsp:rsid wsp:val=&quot;00AC6305&quot;/&gt;&lt;wsp:rsid wsp:val=&quot;00AC6C7F&quot;/&gt;&lt;wsp:rsid wsp:val=&quot;00AC7097&quot;/&gt;&lt;wsp:rsid wsp:val=&quot;00AD0497&quot;/&gt;&lt;wsp:rsid wsp:val=&quot;00AD0607&quot;/&gt;&lt;wsp:rsid wsp:val=&quot;00AD12FF&quot;/&gt;&lt;wsp:rsid wsp:val=&quot;00AD1951&quot;/&gt;&lt;wsp:rsid wsp:val=&quot;00AD26E2&quot;/&gt;&lt;wsp:rsid wsp:val=&quot;00AD302D&quot;/&gt;&lt;wsp:rsid wsp:val=&quot;00AD34F0&quot;/&gt;&lt;wsp:rsid wsp:val=&quot;00AD3A2A&quot;/&gt;&lt;wsp:rsid wsp:val=&quot;00AD3C62&quot;/&gt;&lt;wsp:rsid wsp:val=&quot;00AD471C&quot;/&gt;&lt;wsp:rsid wsp:val=&quot;00AD4883&quot;/&gt;&lt;wsp:rsid wsp:val=&quot;00AD4B6F&quot;/&gt;&lt;wsp:rsid wsp:val=&quot;00AD50B4&quot;/&gt;&lt;wsp:rsid wsp:val=&quot;00AD51C5&quot;/&gt;&lt;wsp:rsid wsp:val=&quot;00AD574A&quot;/&gt;&lt;wsp:rsid wsp:val=&quot;00AD70AD&quot;/&gt;&lt;wsp:rsid wsp:val=&quot;00AD7772&quot;/&gt;&lt;wsp:rsid wsp:val=&quot;00AD793A&quot;/&gt;&lt;wsp:rsid wsp:val=&quot;00AE0393&quot;/&gt;&lt;wsp:rsid wsp:val=&quot;00AE1A3D&quot;/&gt;&lt;wsp:rsid wsp:val=&quot;00AE1A93&quot;/&gt;&lt;wsp:rsid wsp:val=&quot;00AE2BCF&quot;/&gt;&lt;wsp:rsid wsp:val=&quot;00AE2D0E&quot;/&gt;&lt;wsp:rsid wsp:val=&quot;00AE3D21&quot;/&gt;&lt;wsp:rsid wsp:val=&quot;00AE41A9&quot;/&gt;&lt;wsp:rsid wsp:val=&quot;00AE4C55&quot;/&gt;&lt;wsp:rsid wsp:val=&quot;00AE4F9E&quot;/&gt;&lt;wsp:rsid wsp:val=&quot;00AE4FCB&quot;/&gt;&lt;wsp:rsid wsp:val=&quot;00AE5317&quot;/&gt;&lt;wsp:rsid wsp:val=&quot;00AE5491&quot;/&gt;&lt;wsp:rsid wsp:val=&quot;00AE5DBF&quot;/&gt;&lt;wsp:rsid wsp:val=&quot;00AE64C9&quot;/&gt;&lt;wsp:rsid wsp:val=&quot;00AE6D2B&quot;/&gt;&lt;wsp:rsid wsp:val=&quot;00AE6E08&quot;/&gt;&lt;wsp:rsid wsp:val=&quot;00AE721E&quot;/&gt;&lt;wsp:rsid wsp:val=&quot;00AE7259&quot;/&gt;&lt;wsp:rsid wsp:val=&quot;00AE746F&quot;/&gt;&lt;wsp:rsid wsp:val=&quot;00AE75D8&quot;/&gt;&lt;wsp:rsid wsp:val=&quot;00AF0087&quot;/&gt;&lt;wsp:rsid wsp:val=&quot;00AF122E&quot;/&gt;&lt;wsp:rsid wsp:val=&quot;00AF255E&quot;/&gt;&lt;wsp:rsid wsp:val=&quot;00AF273E&quot;/&gt;&lt;wsp:rsid wsp:val=&quot;00AF302D&quot;/&gt;&lt;wsp:rsid wsp:val=&quot;00AF30A6&quot;/&gt;&lt;wsp:rsid wsp:val=&quot;00AF31F1&quot;/&gt;&lt;wsp:rsid wsp:val=&quot;00AF3A09&quot;/&gt;&lt;wsp:rsid wsp:val=&quot;00AF4B11&quot;/&gt;&lt;wsp:rsid wsp:val=&quot;00AF5593&quot;/&gt;&lt;wsp:rsid wsp:val=&quot;00AF5BA8&quot;/&gt;&lt;wsp:rsid wsp:val=&quot;00AF60A5&quot;/&gt;&lt;wsp:rsid wsp:val=&quot;00AF61CC&quot;/&gt;&lt;wsp:rsid wsp:val=&quot;00AF7F8E&quot;/&gt;&lt;wsp:rsid wsp:val=&quot;00B00140&quot;/&gt;&lt;wsp:rsid wsp:val=&quot;00B00667&quot;/&gt;&lt;wsp:rsid wsp:val=&quot;00B0091D&quot;/&gt;&lt;wsp:rsid wsp:val=&quot;00B00A9C&quot;/&gt;&lt;wsp:rsid wsp:val=&quot;00B0228A&quot;/&gt;&lt;wsp:rsid wsp:val=&quot;00B022D0&quot;/&gt;&lt;wsp:rsid wsp:val=&quot;00B02E0B&quot;/&gt;&lt;wsp:rsid wsp:val=&quot;00B037E8&quot;/&gt;&lt;wsp:rsid wsp:val=&quot;00B053EB&quot;/&gt;&lt;wsp:rsid wsp:val=&quot;00B056BF&quot;/&gt;&lt;wsp:rsid wsp:val=&quot;00B05D79&quot;/&gt;&lt;wsp:rsid wsp:val=&quot;00B062A3&quot;/&gt;&lt;wsp:rsid wsp:val=&quot;00B104B1&quot;/&gt;&lt;wsp:rsid wsp:val=&quot;00B1054D&quot;/&gt;&lt;wsp:rsid wsp:val=&quot;00B10858&quot;/&gt;&lt;wsp:rsid wsp:val=&quot;00B10C63&quot;/&gt;&lt;wsp:rsid wsp:val=&quot;00B11317&quot;/&gt;&lt;wsp:rsid wsp:val=&quot;00B118E2&quot;/&gt;&lt;wsp:rsid wsp:val=&quot;00B12EF4&quot;/&gt;&lt;wsp:rsid wsp:val=&quot;00B14866&quot;/&gt;&lt;wsp:rsid wsp:val=&quot;00B15AD4&quot;/&gt;&lt;wsp:rsid wsp:val=&quot;00B15B23&quot;/&gt;&lt;wsp:rsid wsp:val=&quot;00B15E33&quot;/&gt;&lt;wsp:rsid wsp:val=&quot;00B16BF2&quot;/&gt;&lt;wsp:rsid wsp:val=&quot;00B16D1D&quot;/&gt;&lt;wsp:rsid wsp:val=&quot;00B1763F&quot;/&gt;&lt;wsp:rsid wsp:val=&quot;00B17663&quot;/&gt;&lt;wsp:rsid wsp:val=&quot;00B17EF0&quot;/&gt;&lt;wsp:rsid wsp:val=&quot;00B2031F&quot;/&gt;&lt;wsp:rsid wsp:val=&quot;00B2134B&quot;/&gt;&lt;wsp:rsid wsp:val=&quot;00B214ED&quot;/&gt;&lt;wsp:rsid wsp:val=&quot;00B216EE&quot;/&gt;&lt;wsp:rsid wsp:val=&quot;00B21FCB&quot;/&gt;&lt;wsp:rsid wsp:val=&quot;00B22040&quot;/&gt;&lt;wsp:rsid wsp:val=&quot;00B222F4&quot;/&gt;&lt;wsp:rsid wsp:val=&quot;00B23417&quot;/&gt;&lt;wsp:rsid wsp:val=&quot;00B247C4&quot;/&gt;&lt;wsp:rsid wsp:val=&quot;00B25682&quot;/&gt;&lt;wsp:rsid wsp:val=&quot;00B26E85&quot;/&gt;&lt;wsp:rsid wsp:val=&quot;00B27088&quot;/&gt;&lt;wsp:rsid wsp:val=&quot;00B27443&quot;/&gt;&lt;wsp:rsid wsp:val=&quot;00B27541&quot;/&gt;&lt;wsp:rsid wsp:val=&quot;00B30F75&quot;/&gt;&lt;wsp:rsid wsp:val=&quot;00B31818&quot;/&gt;&lt;wsp:rsid wsp:val=&quot;00B31A3F&quot;/&gt;&lt;wsp:rsid wsp:val=&quot;00B31B2D&quot;/&gt;&lt;wsp:rsid wsp:val=&quot;00B327BC&quot;/&gt;&lt;wsp:rsid wsp:val=&quot;00B3288D&quot;/&gt;&lt;wsp:rsid wsp:val=&quot;00B32E88&quot;/&gt;&lt;wsp:rsid wsp:val=&quot;00B331EC&quot;/&gt;&lt;wsp:rsid wsp:val=&quot;00B34399&quot;/&gt;&lt;wsp:rsid wsp:val=&quot;00B348F5&quot;/&gt;&lt;wsp:rsid wsp:val=&quot;00B35423&quot;/&gt;&lt;wsp:rsid wsp:val=&quot;00B359DB&quot;/&gt;&lt;wsp:rsid wsp:val=&quot;00B35BC3&quot;/&gt;&lt;wsp:rsid wsp:val=&quot;00B35E8E&quot;/&gt;&lt;wsp:rsid wsp:val=&quot;00B37454&quot;/&gt;&lt;wsp:rsid wsp:val=&quot;00B37A0B&quot;/&gt;&lt;wsp:rsid wsp:val=&quot;00B37FDF&quot;/&gt;&lt;wsp:rsid wsp:val=&quot;00B40240&quot;/&gt;&lt;wsp:rsid wsp:val=&quot;00B41046&quot;/&gt;&lt;wsp:rsid wsp:val=&quot;00B41195&quot;/&gt;&lt;wsp:rsid wsp:val=&quot;00B41ED1&quot;/&gt;&lt;wsp:rsid wsp:val=&quot;00B421BE&quot;/&gt;&lt;wsp:rsid wsp:val=&quot;00B4225E&quot;/&gt;&lt;wsp:rsid wsp:val=&quot;00B427C0&quot;/&gt;&lt;wsp:rsid wsp:val=&quot;00B43884&quot;/&gt;&lt;wsp:rsid wsp:val=&quot;00B44111&quot;/&gt;&lt;wsp:rsid wsp:val=&quot;00B443E5&quot;/&gt;&lt;wsp:rsid wsp:val=&quot;00B44539&quot;/&gt;&lt;wsp:rsid wsp:val=&quot;00B44780&quot;/&gt;&lt;wsp:rsid wsp:val=&quot;00B44BC8&quot;/&gt;&lt;wsp:rsid wsp:val=&quot;00B45480&quot;/&gt;&lt;wsp:rsid wsp:val=&quot;00B4564E&quot;/&gt;&lt;wsp:rsid wsp:val=&quot;00B45988&quot;/&gt;&lt;wsp:rsid wsp:val=&quot;00B45EA0&quot;/&gt;&lt;wsp:rsid wsp:val=&quot;00B46A8C&quot;/&gt;&lt;wsp:rsid wsp:val=&quot;00B47012&quot;/&gt;&lt;wsp:rsid wsp:val=&quot;00B470FE&quot;/&gt;&lt;wsp:rsid wsp:val=&quot;00B47271&quot;/&gt;&lt;wsp:rsid wsp:val=&quot;00B4763F&quot;/&gt;&lt;wsp:rsid wsp:val=&quot;00B502D7&quot;/&gt;&lt;wsp:rsid wsp:val=&quot;00B50A5C&quot;/&gt;&lt;wsp:rsid wsp:val=&quot;00B51191&quot;/&gt;&lt;wsp:rsid wsp:val=&quot;00B51CB2&quot;/&gt;&lt;wsp:rsid wsp:val=&quot;00B52CA0&quot;/&gt;&lt;wsp:rsid wsp:val=&quot;00B5360A&quot;/&gt;&lt;wsp:rsid wsp:val=&quot;00B5380B&quot;/&gt;&lt;wsp:rsid wsp:val=&quot;00B5384F&quot;/&gt;&lt;wsp:rsid wsp:val=&quot;00B53AA0&quot;/&gt;&lt;wsp:rsid wsp:val=&quot;00B55B91&quot;/&gt;&lt;wsp:rsid wsp:val=&quot;00B55E17&quot;/&gt;&lt;wsp:rsid wsp:val=&quot;00B565A1&quot;/&gt;&lt;wsp:rsid wsp:val=&quot;00B56C31&quot;/&gt;&lt;wsp:rsid wsp:val=&quot;00B57549&quot;/&gt;&lt;wsp:rsid wsp:val=&quot;00B579D6&quot;/&gt;&lt;wsp:rsid wsp:val=&quot;00B601CF&quot;/&gt;&lt;wsp:rsid wsp:val=&quot;00B60580&quot;/&gt;&lt;wsp:rsid wsp:val=&quot;00B60A93&quot;/&gt;&lt;wsp:rsid wsp:val=&quot;00B6167D&quot;/&gt;&lt;wsp:rsid wsp:val=&quot;00B61864&quot;/&gt;&lt;wsp:rsid wsp:val=&quot;00B61EC2&quot;/&gt;&lt;wsp:rsid wsp:val=&quot;00B62A1E&quot;/&gt;&lt;wsp:rsid wsp:val=&quot;00B635B3&quot;/&gt;&lt;wsp:rsid wsp:val=&quot;00B6368C&quot;/&gt;&lt;wsp:rsid wsp:val=&quot;00B63756&quot;/&gt;&lt;wsp:rsid wsp:val=&quot;00B646A8&quot;/&gt;&lt;wsp:rsid wsp:val=&quot;00B64BCD&quot;/&gt;&lt;wsp:rsid wsp:val=&quot;00B6531C&quot;/&gt;&lt;wsp:rsid wsp:val=&quot;00B65E65&quot;/&gt;&lt;wsp:rsid wsp:val=&quot;00B6605F&quot;/&gt;&lt;wsp:rsid wsp:val=&quot;00B661E1&quot;/&gt;&lt;wsp:rsid wsp:val=&quot;00B66620&quot;/&gt;&lt;wsp:rsid wsp:val=&quot;00B6783C&quot;/&gt;&lt;wsp:rsid wsp:val=&quot;00B70F53&quot;/&gt;&lt;wsp:rsid wsp:val=&quot;00B7118C&quot;/&gt;&lt;wsp:rsid wsp:val=&quot;00B756BD&quot;/&gt;&lt;wsp:rsid wsp:val=&quot;00B763CF&quot;/&gt;&lt;wsp:rsid wsp:val=&quot;00B76D16&quot;/&gt;&lt;wsp:rsid wsp:val=&quot;00B77328&quot;/&gt;&lt;wsp:rsid wsp:val=&quot;00B776B8&quot;/&gt;&lt;wsp:rsid wsp:val=&quot;00B777B2&quot;/&gt;&lt;wsp:rsid wsp:val=&quot;00B7798A&quot;/&gt;&lt;wsp:rsid wsp:val=&quot;00B77A81&quot;/&gt;&lt;wsp:rsid wsp:val=&quot;00B814CE&quot;/&gt;&lt;wsp:rsid wsp:val=&quot;00B819C8&quot;/&gt;&lt;wsp:rsid wsp:val=&quot;00B81B24&quot;/&gt;&lt;wsp:rsid wsp:val=&quot;00B82124&quot;/&gt;&lt;wsp:rsid wsp:val=&quot;00B82325&quot;/&gt;&lt;wsp:rsid wsp:val=&quot;00B82A49&quot;/&gt;&lt;wsp:rsid wsp:val=&quot;00B83057&quot;/&gt;&lt;wsp:rsid wsp:val=&quot;00B83BE6&quot;/&gt;&lt;wsp:rsid wsp:val=&quot;00B84AC0&quot;/&gt;&lt;wsp:rsid wsp:val=&quot;00B85BC1&quot;/&gt;&lt;wsp:rsid wsp:val=&quot;00B85EFB&quot;/&gt;&lt;wsp:rsid wsp:val=&quot;00B86983&quot;/&gt;&lt;wsp:rsid wsp:val=&quot;00B870CF&quot;/&gt;&lt;wsp:rsid wsp:val=&quot;00B8762D&quot;/&gt;&lt;wsp:rsid wsp:val=&quot;00B879F5&quot;/&gt;&lt;wsp:rsid wsp:val=&quot;00B87C2D&quot;/&gt;&lt;wsp:rsid wsp:val=&quot;00B908D7&quot;/&gt;&lt;wsp:rsid wsp:val=&quot;00B910DE&quot;/&gt;&lt;wsp:rsid wsp:val=&quot;00B91BEB&quot;/&gt;&lt;wsp:rsid wsp:val=&quot;00B934E2&quot;/&gt;&lt;wsp:rsid wsp:val=&quot;00B94101&quot;/&gt;&lt;wsp:rsid wsp:val=&quot;00B941DB&quot;/&gt;&lt;wsp:rsid wsp:val=&quot;00B94824&quot;/&gt;&lt;wsp:rsid wsp:val=&quot;00B948BE&quot;/&gt;&lt;wsp:rsid wsp:val=&quot;00B94DC6&quot;/&gt;&lt;wsp:rsid wsp:val=&quot;00B94F63&quot;/&gt;&lt;wsp:rsid wsp:val=&quot;00B95662&quot;/&gt;&lt;wsp:rsid wsp:val=&quot;00B95BBE&quot;/&gt;&lt;wsp:rsid wsp:val=&quot;00B95F48&quot;/&gt;&lt;wsp:rsid wsp:val=&quot;00B9621E&quot;/&gt;&lt;wsp:rsid wsp:val=&quot;00B96BDD&quot;/&gt;&lt;wsp:rsid wsp:val=&quot;00B96E01&quot;/&gt;&lt;wsp:rsid wsp:val=&quot;00B96E48&quot;/&gt;&lt;wsp:rsid wsp:val=&quot;00B9707A&quot;/&gt;&lt;wsp:rsid wsp:val=&quot;00BA01A9&quot;/&gt;&lt;wsp:rsid wsp:val=&quot;00BA0822&quot;/&gt;&lt;wsp:rsid wsp:val=&quot;00BA1C9E&quot;/&gt;&lt;wsp:rsid wsp:val=&quot;00BA23CC&quot;/&gt;&lt;wsp:rsid wsp:val=&quot;00BA2854&quot;/&gt;&lt;wsp:rsid wsp:val=&quot;00BA35B4&quot;/&gt;&lt;wsp:rsid wsp:val=&quot;00BA3722&quot;/&gt;&lt;wsp:rsid wsp:val=&quot;00BA43D4&quot;/&gt;&lt;wsp:rsid wsp:val=&quot;00BA4B7E&quot;/&gt;&lt;wsp:rsid wsp:val=&quot;00BA4F59&quot;/&gt;&lt;wsp:rsid wsp:val=&quot;00BA50DC&quot;/&gt;&lt;wsp:rsid wsp:val=&quot;00BA5D68&quot;/&gt;&lt;wsp:rsid wsp:val=&quot;00BA6A8A&quot;/&gt;&lt;wsp:rsid wsp:val=&quot;00BA6EE5&quot;/&gt;&lt;wsp:rsid wsp:val=&quot;00BA7706&quot;/&gt;&lt;wsp:rsid wsp:val=&quot;00BB0410&quot;/&gt;&lt;wsp:rsid wsp:val=&quot;00BB0C58&quot;/&gt;&lt;wsp:rsid wsp:val=&quot;00BB0CC1&quot;/&gt;&lt;wsp:rsid wsp:val=&quot;00BB1572&quot;/&gt;&lt;wsp:rsid wsp:val=&quot;00BB30EF&quot;/&gt;&lt;wsp:rsid wsp:val=&quot;00BB327E&quot;/&gt;&lt;wsp:rsid wsp:val=&quot;00BB34DA&quot;/&gt;&lt;wsp:rsid wsp:val=&quot;00BB4583&quot;/&gt;&lt;wsp:rsid wsp:val=&quot;00BB47F2&quot;/&gt;&lt;wsp:rsid wsp:val=&quot;00BB59A0&quot;/&gt;&lt;wsp:rsid wsp:val=&quot;00BB5D09&quot;/&gt;&lt;wsp:rsid wsp:val=&quot;00BB64E7&quot;/&gt;&lt;wsp:rsid wsp:val=&quot;00BB66DE&quot;/&gt;&lt;wsp:rsid wsp:val=&quot;00BB681F&quot;/&gt;&lt;wsp:rsid wsp:val=&quot;00BB6B4F&quot;/&gt;&lt;wsp:rsid wsp:val=&quot;00BB72D8&quot;/&gt;&lt;wsp:rsid wsp:val=&quot;00BB75CB&quot;/&gt;&lt;wsp:rsid wsp:val=&quot;00BB7683&quot;/&gt;&lt;wsp:rsid wsp:val=&quot;00BB778B&quot;/&gt;&lt;wsp:rsid wsp:val=&quot;00BC04E4&quot;/&gt;&lt;wsp:rsid wsp:val=&quot;00BC184B&quot;/&gt;&lt;wsp:rsid wsp:val=&quot;00BC1D4A&quot;/&gt;&lt;wsp:rsid wsp:val=&quot;00BC204C&quot;/&gt;&lt;wsp:rsid wsp:val=&quot;00BC2660&quot;/&gt;&lt;wsp:rsid wsp:val=&quot;00BC3BA4&quot;/&gt;&lt;wsp:rsid wsp:val=&quot;00BC3C4D&quot;/&gt;&lt;wsp:rsid wsp:val=&quot;00BC5249&quot;/&gt;&lt;wsp:rsid wsp:val=&quot;00BC53F5&quot;/&gt;&lt;wsp:rsid wsp:val=&quot;00BC5536&quot;/&gt;&lt;wsp:rsid wsp:val=&quot;00BC605C&quot;/&gt;&lt;wsp:rsid wsp:val=&quot;00BC6356&quot;/&gt;&lt;wsp:rsid wsp:val=&quot;00BC66BB&quot;/&gt;&lt;wsp:rsid wsp:val=&quot;00BC77D3&quot;/&gt;&lt;wsp:rsid wsp:val=&quot;00BC7EA2&quot;/&gt;&lt;wsp:rsid wsp:val=&quot;00BC7EE1&quot;/&gt;&lt;wsp:rsid wsp:val=&quot;00BD065F&quot;/&gt;&lt;wsp:rsid wsp:val=&quot;00BD0895&quot;/&gt;&lt;wsp:rsid wsp:val=&quot;00BD0E48&quot;/&gt;&lt;wsp:rsid wsp:val=&quot;00BD0ED1&quot;/&gt;&lt;wsp:rsid wsp:val=&quot;00BD297C&quot;/&gt;&lt;wsp:rsid wsp:val=&quot;00BD4D19&quot;/&gt;&lt;wsp:rsid wsp:val=&quot;00BD4ED7&quot;/&gt;&lt;wsp:rsid wsp:val=&quot;00BD500A&quot;/&gt;&lt;wsp:rsid wsp:val=&quot;00BD618A&quot;/&gt;&lt;wsp:rsid wsp:val=&quot;00BD65D5&quot;/&gt;&lt;wsp:rsid wsp:val=&quot;00BD6BC9&quot;/&gt;&lt;wsp:rsid wsp:val=&quot;00BD6D7F&quot;/&gt;&lt;wsp:rsid wsp:val=&quot;00BD71C7&quot;/&gt;&lt;wsp:rsid wsp:val=&quot;00BD74F6&quot;/&gt;&lt;wsp:rsid wsp:val=&quot;00BE002B&quot;/&gt;&lt;wsp:rsid wsp:val=&quot;00BE010A&quot;/&gt;&lt;wsp:rsid wsp:val=&quot;00BE0715&quot;/&gt;&lt;wsp:rsid wsp:val=&quot;00BE0B7D&quot;/&gt;&lt;wsp:rsid wsp:val=&quot;00BE1447&quot;/&gt;&lt;wsp:rsid wsp:val=&quot;00BE158E&quot;/&gt;&lt;wsp:rsid wsp:val=&quot;00BE1766&quot;/&gt;&lt;wsp:rsid wsp:val=&quot;00BE2346&quot;/&gt;&lt;wsp:rsid wsp:val=&quot;00BE2788&quot;/&gt;&lt;wsp:rsid wsp:val=&quot;00BE2971&quot;/&gt;&lt;wsp:rsid wsp:val=&quot;00BE3B9F&quot;/&gt;&lt;wsp:rsid wsp:val=&quot;00BE4E8C&quot;/&gt;&lt;wsp:rsid wsp:val=&quot;00BE52E5&quot;/&gt;&lt;wsp:rsid wsp:val=&quot;00BE67CB&quot;/&gt;&lt;wsp:rsid wsp:val=&quot;00BE6944&quot;/&gt;&lt;wsp:rsid wsp:val=&quot;00BE6B83&quot;/&gt;&lt;wsp:rsid wsp:val=&quot;00BE7211&quot;/&gt;&lt;wsp:rsid wsp:val=&quot;00BE72E3&quot;/&gt;&lt;wsp:rsid wsp:val=&quot;00BE7EEE&quot;/&gt;&lt;wsp:rsid wsp:val=&quot;00BF01A6&quot;/&gt;&lt;wsp:rsid wsp:val=&quot;00BF1F7C&quot;/&gt;&lt;wsp:rsid wsp:val=&quot;00BF2DBB&quot;/&gt;&lt;wsp:rsid wsp:val=&quot;00BF3B77&quot;/&gt;&lt;wsp:rsid wsp:val=&quot;00BF4005&quot;/&gt;&lt;wsp:rsid wsp:val=&quot;00BF4517&quot;/&gt;&lt;wsp:rsid wsp:val=&quot;00BF49C4&quot;/&gt;&lt;wsp:rsid wsp:val=&quot;00BF50D8&quot;/&gt;&lt;wsp:rsid wsp:val=&quot;00BF5737&quot;/&gt;&lt;wsp:rsid wsp:val=&quot;00BF7886&quot;/&gt;&lt;wsp:rsid wsp:val=&quot;00BF7E3C&quot;/&gt;&lt;wsp:rsid wsp:val=&quot;00BF7E53&quot;/&gt;&lt;wsp:rsid wsp:val=&quot;00C005BC&quot;/&gt;&lt;wsp:rsid wsp:val=&quot;00C00E98&quot;/&gt;&lt;wsp:rsid wsp:val=&quot;00C01621&quot;/&gt;&lt;wsp:rsid wsp:val=&quot;00C01E6C&quot;/&gt;&lt;wsp:rsid wsp:val=&quot;00C0231B&quot;/&gt;&lt;wsp:rsid wsp:val=&quot;00C02CE2&quot;/&gt;&lt;wsp:rsid wsp:val=&quot;00C02DDA&quot;/&gt;&lt;wsp:rsid wsp:val=&quot;00C03382&quot;/&gt;&lt;wsp:rsid wsp:val=&quot;00C03B6A&quot;/&gt;&lt;wsp:rsid wsp:val=&quot;00C04E78&quot;/&gt;&lt;wsp:rsid wsp:val=&quot;00C06684&quot;/&gt;&lt;wsp:rsid wsp:val=&quot;00C06E3F&quot;/&gt;&lt;wsp:rsid wsp:val=&quot;00C10192&quot;/&gt;&lt;wsp:rsid wsp:val=&quot;00C105F9&quot;/&gt;&lt;wsp:rsid wsp:val=&quot;00C110CB&quot;/&gt;&lt;wsp:rsid wsp:val=&quot;00C11F48&quot;/&gt;&lt;wsp:rsid wsp:val=&quot;00C131B1&quot;/&gt;&lt;wsp:rsid wsp:val=&quot;00C134C0&quot;/&gt;&lt;wsp:rsid wsp:val=&quot;00C137DC&quot;/&gt;&lt;wsp:rsid wsp:val=&quot;00C14B3B&quot;/&gt;&lt;wsp:rsid wsp:val=&quot;00C1502D&quot;/&gt;&lt;wsp:rsid wsp:val=&quot;00C15BC8&quot;/&gt;&lt;wsp:rsid wsp:val=&quot;00C16155&quot;/&gt;&lt;wsp:rsid wsp:val=&quot;00C16947&quot;/&gt;&lt;wsp:rsid wsp:val=&quot;00C17DF8&quot;/&gt;&lt;wsp:rsid wsp:val=&quot;00C20FC0&quot;/&gt;&lt;wsp:rsid wsp:val=&quot;00C2121C&quot;/&gt;&lt;wsp:rsid wsp:val=&quot;00C215FC&quot;/&gt;&lt;wsp:rsid wsp:val=&quot;00C21B1C&quot;/&gt;&lt;wsp:rsid wsp:val=&quot;00C21E44&quot;/&gt;&lt;wsp:rsid wsp:val=&quot;00C21EC4&quot;/&gt;&lt;wsp:rsid wsp:val=&quot;00C22319&quot;/&gt;&lt;wsp:rsid wsp:val=&quot;00C23B3D&quot;/&gt;&lt;wsp:rsid wsp:val=&quot;00C2449B&quot;/&gt;&lt;wsp:rsid wsp:val=&quot;00C24914&quot;/&gt;&lt;wsp:rsid wsp:val=&quot;00C250A1&quot;/&gt;&lt;wsp:rsid wsp:val=&quot;00C250C8&quot;/&gt;&lt;wsp:rsid wsp:val=&quot;00C257FD&quot;/&gt;&lt;wsp:rsid wsp:val=&quot;00C2593E&quot;/&gt;&lt;wsp:rsid wsp:val=&quot;00C25A87&quot;/&gt;&lt;wsp:rsid wsp:val=&quot;00C25FA6&quot;/&gt;&lt;wsp:rsid wsp:val=&quot;00C262AB&quot;/&gt;&lt;wsp:rsid wsp:val=&quot;00C26FD5&quot;/&gt;&lt;wsp:rsid wsp:val=&quot;00C2712A&quot;/&gt;&lt;wsp:rsid wsp:val=&quot;00C27F91&quot;/&gt;&lt;wsp:rsid wsp:val=&quot;00C30FE9&quot;/&gt;&lt;wsp:rsid wsp:val=&quot;00C313A6&quot;/&gt;&lt;wsp:rsid wsp:val=&quot;00C3145A&quot;/&gt;&lt;wsp:rsid wsp:val=&quot;00C31CA4&quot;/&gt;&lt;wsp:rsid wsp:val=&quot;00C31F99&quot;/&gt;&lt;wsp:rsid wsp:val=&quot;00C3265E&quot;/&gt;&lt;wsp:rsid wsp:val=&quot;00C32B12&quot;/&gt;&lt;wsp:rsid wsp:val=&quot;00C32DA1&quot;/&gt;&lt;wsp:rsid wsp:val=&quot;00C336CD&quot;/&gt;&lt;wsp:rsid wsp:val=&quot;00C337D9&quot;/&gt;&lt;wsp:rsid wsp:val=&quot;00C33A4A&quot;/&gt;&lt;wsp:rsid wsp:val=&quot;00C33B7C&quot;/&gt;&lt;wsp:rsid wsp:val=&quot;00C34B1A&quot;/&gt;&lt;wsp:rsid wsp:val=&quot;00C34C5A&quot;/&gt;&lt;wsp:rsid wsp:val=&quot;00C364AB&quot;/&gt;&lt;wsp:rsid wsp:val=&quot;00C372B9&quot;/&gt;&lt;wsp:rsid wsp:val=&quot;00C372E6&quot;/&gt;&lt;wsp:rsid wsp:val=&quot;00C37385&quot;/&gt;&lt;wsp:rsid wsp:val=&quot;00C420BB&quot;/&gt;&lt;wsp:rsid wsp:val=&quot;00C42442&quot;/&gt;&lt;wsp:rsid wsp:val=&quot;00C42616&quot;/&gt;&lt;wsp:rsid wsp:val=&quot;00C428F2&quot;/&gt;&lt;wsp:rsid wsp:val=&quot;00C4391C&quot;/&gt;&lt;wsp:rsid wsp:val=&quot;00C43AB0&quot;/&gt;&lt;wsp:rsid wsp:val=&quot;00C440EB&quot;/&gt;&lt;wsp:rsid wsp:val=&quot;00C44920&quot;/&gt;&lt;wsp:rsid wsp:val=&quot;00C44E7B&quot;/&gt;&lt;wsp:rsid wsp:val=&quot;00C46538&quot;/&gt;&lt;wsp:rsid wsp:val=&quot;00C469C1&quot;/&gt;&lt;wsp:rsid wsp:val=&quot;00C4743E&quot;/&gt;&lt;wsp:rsid wsp:val=&quot;00C477F8&quot;/&gt;&lt;wsp:rsid wsp:val=&quot;00C52305&quot;/&gt;&lt;wsp:rsid wsp:val=&quot;00C52612&quot;/&gt;&lt;wsp:rsid wsp:val=&quot;00C52DD3&quot;/&gt;&lt;wsp:rsid wsp:val=&quot;00C530CD&quot;/&gt;&lt;wsp:rsid wsp:val=&quot;00C5338E&quot;/&gt;&lt;wsp:rsid wsp:val=&quot;00C5390B&quot;/&gt;&lt;wsp:rsid wsp:val=&quot;00C53A76&quot;/&gt;&lt;wsp:rsid wsp:val=&quot;00C55A44&quot;/&gt;&lt;wsp:rsid wsp:val=&quot;00C561A4&quot;/&gt;&lt;wsp:rsid wsp:val=&quot;00C56421&quot;/&gt;&lt;wsp:rsid wsp:val=&quot;00C567B0&quot;/&gt;&lt;wsp:rsid wsp:val=&quot;00C567EA&quot;/&gt;&lt;wsp:rsid wsp:val=&quot;00C56821&quot;/&gt;&lt;wsp:rsid wsp:val=&quot;00C574A2&quot;/&gt;&lt;wsp:rsid wsp:val=&quot;00C57CFD&quot;/&gt;&lt;wsp:rsid wsp:val=&quot;00C57EE2&quot;/&gt;&lt;wsp:rsid wsp:val=&quot;00C607D7&quot;/&gt;&lt;wsp:rsid wsp:val=&quot;00C60A4D&quot;/&gt;&lt;wsp:rsid wsp:val=&quot;00C60B45&quot;/&gt;&lt;wsp:rsid wsp:val=&quot;00C61517&quot;/&gt;&lt;wsp:rsid wsp:val=&quot;00C61684&quot;/&gt;&lt;wsp:rsid wsp:val=&quot;00C624AE&quot;/&gt;&lt;wsp:rsid wsp:val=&quot;00C62522&quot;/&gt;&lt;wsp:rsid wsp:val=&quot;00C6278D&quot;/&gt;&lt;wsp:rsid wsp:val=&quot;00C64985&quot;/&gt;&lt;wsp:rsid wsp:val=&quot;00C64F02&quot;/&gt;&lt;wsp:rsid wsp:val=&quot;00C65234&quot;/&gt;&lt;wsp:rsid wsp:val=&quot;00C65595&quot;/&gt;&lt;wsp:rsid wsp:val=&quot;00C658CE&quot;/&gt;&lt;wsp:rsid wsp:val=&quot;00C66961&quot;/&gt;&lt;wsp:rsid wsp:val=&quot;00C672E1&quot;/&gt;&lt;wsp:rsid wsp:val=&quot;00C70465&quot;/&gt;&lt;wsp:rsid wsp:val=&quot;00C704C6&quot;/&gt;&lt;wsp:rsid wsp:val=&quot;00C70956&quot;/&gt;&lt;wsp:rsid wsp:val=&quot;00C71DD8&quot;/&gt;&lt;wsp:rsid wsp:val=&quot;00C7244D&quot;/&gt;&lt;wsp:rsid wsp:val=&quot;00C72EB9&quot;/&gt;&lt;wsp:rsid wsp:val=&quot;00C73152&quot;/&gt;&lt;wsp:rsid wsp:val=&quot;00C73EA1&quot;/&gt;&lt;wsp:rsid wsp:val=&quot;00C7451A&quot;/&gt;&lt;wsp:rsid wsp:val=&quot;00C752BA&quot;/&gt;&lt;wsp:rsid wsp:val=&quot;00C757D1&quot;/&gt;&lt;wsp:rsid wsp:val=&quot;00C76A07&quot;/&gt;&lt;wsp:rsid wsp:val=&quot;00C77306&quot;/&gt;&lt;wsp:rsid wsp:val=&quot;00C7773C&quot;/&gt;&lt;wsp:rsid wsp:val=&quot;00C77A0A&quot;/&gt;&lt;wsp:rsid wsp:val=&quot;00C80660&quot;/&gt;&lt;wsp:rsid wsp:val=&quot;00C808BD&quot;/&gt;&lt;wsp:rsid wsp:val=&quot;00C80A95&quot;/&gt;&lt;wsp:rsid wsp:val=&quot;00C80DE0&quot;/&gt;&lt;wsp:rsid wsp:val=&quot;00C81306&quot;/&gt;&lt;wsp:rsid wsp:val=&quot;00C82A60&quot;/&gt;&lt;wsp:rsid wsp:val=&quot;00C82F48&quot;/&gt;&lt;wsp:rsid wsp:val=&quot;00C83034&quot;/&gt;&lt;wsp:rsid wsp:val=&quot;00C83C60&quot;/&gt;&lt;wsp:rsid wsp:val=&quot;00C83CAB&quot;/&gt;&lt;wsp:rsid wsp:val=&quot;00C8408B&quot;/&gt;&lt;wsp:rsid wsp:val=&quot;00C85236&quot;/&gt;&lt;wsp:rsid wsp:val=&quot;00C853A7&quot;/&gt;&lt;wsp:rsid wsp:val=&quot;00C861CA&quot;/&gt;&lt;wsp:rsid wsp:val=&quot;00C86297&quot;/&gt;&lt;wsp:rsid wsp:val=&quot;00C86476&quot;/&gt;&lt;wsp:rsid wsp:val=&quot;00C86A3E&quot;/&gt;&lt;wsp:rsid wsp:val=&quot;00C86F2E&quot;/&gt;&lt;wsp:rsid wsp:val=&quot;00C87057&quot;/&gt;&lt;wsp:rsid wsp:val=&quot;00C90525&quot;/&gt;&lt;wsp:rsid wsp:val=&quot;00C9056B&quot;/&gt;&lt;wsp:rsid wsp:val=&quot;00C90577&quot;/&gt;&lt;wsp:rsid wsp:val=&quot;00C90A0E&quot;/&gt;&lt;wsp:rsid wsp:val=&quot;00C91166&quot;/&gt;&lt;wsp:rsid wsp:val=&quot;00C91400&quot;/&gt;&lt;wsp:rsid wsp:val=&quot;00C91948&quot;/&gt;&lt;wsp:rsid wsp:val=&quot;00C91B34&quot;/&gt;&lt;wsp:rsid wsp:val=&quot;00C91F8C&quot;/&gt;&lt;wsp:rsid wsp:val=&quot;00C9224F&quot;/&gt;&lt;wsp:rsid wsp:val=&quot;00C92441&quot;/&gt;&lt;wsp:rsid wsp:val=&quot;00C92861&quot;/&gt;&lt;wsp:rsid wsp:val=&quot;00C93183&quot;/&gt;&lt;wsp:rsid wsp:val=&quot;00C93677&quot;/&gt;&lt;wsp:rsid wsp:val=&quot;00C94C60&quot;/&gt;&lt;wsp:rsid wsp:val=&quot;00C94D07&quot;/&gt;&lt;wsp:rsid wsp:val=&quot;00C95828&quot;/&gt;&lt;wsp:rsid wsp:val=&quot;00C963B6&quot;/&gt;&lt;wsp:rsid wsp:val=&quot;00C96B1E&quot;/&gt;&lt;wsp:rsid wsp:val=&quot;00C96B4A&quot;/&gt;&lt;wsp:rsid wsp:val=&quot;00C96BDC&quot;/&gt;&lt;wsp:rsid wsp:val=&quot;00C96F68&quot;/&gt;&lt;wsp:rsid wsp:val=&quot;00C973D2&quot;/&gt;&lt;wsp:rsid wsp:val=&quot;00C977FF&quot;/&gt;&lt;wsp:rsid wsp:val=&quot;00C979B8&quot;/&gt;&lt;wsp:rsid wsp:val=&quot;00CA0437&quot;/&gt;&lt;wsp:rsid wsp:val=&quot;00CA0E5F&quot;/&gt;&lt;wsp:rsid wsp:val=&quot;00CA0F4A&quot;/&gt;&lt;wsp:rsid wsp:val=&quot;00CA1095&quot;/&gt;&lt;wsp:rsid wsp:val=&quot;00CA1957&quot;/&gt;&lt;wsp:rsid wsp:val=&quot;00CA238A&quot;/&gt;&lt;wsp:rsid wsp:val=&quot;00CA3E10&quot;/&gt;&lt;wsp:rsid wsp:val=&quot;00CA3FC6&quot;/&gt;&lt;wsp:rsid wsp:val=&quot;00CA4812&quot;/&gt;&lt;wsp:rsid wsp:val=&quot;00CA52C1&quot;/&gt;&lt;wsp:rsid wsp:val=&quot;00CA52D9&quot;/&gt;&lt;wsp:rsid wsp:val=&quot;00CA6398&quot;/&gt;&lt;wsp:rsid wsp:val=&quot;00CA67A8&quot;/&gt;&lt;wsp:rsid wsp:val=&quot;00CA7455&quot;/&gt;&lt;wsp:rsid wsp:val=&quot;00CA7EC6&quot;/&gt;&lt;wsp:rsid wsp:val=&quot;00CB0527&quot;/&gt;&lt;wsp:rsid wsp:val=&quot;00CB0F7A&quot;/&gt;&lt;wsp:rsid wsp:val=&quot;00CB1329&quot;/&gt;&lt;wsp:rsid wsp:val=&quot;00CB182F&quot;/&gt;&lt;wsp:rsid wsp:val=&quot;00CB31B5&quot;/&gt;&lt;wsp:rsid wsp:val=&quot;00CB4BE8&quot;/&gt;&lt;wsp:rsid wsp:val=&quot;00CB665F&quot;/&gt;&lt;wsp:rsid wsp:val=&quot;00CB6D70&quot;/&gt;&lt;wsp:rsid wsp:val=&quot;00CB6D9D&quot;/&gt;&lt;wsp:rsid wsp:val=&quot;00CB74BD&quot;/&gt;&lt;wsp:rsid wsp:val=&quot;00CB76B2&quot;/&gt;&lt;wsp:rsid wsp:val=&quot;00CC0021&quot;/&gt;&lt;wsp:rsid wsp:val=&quot;00CC09B9&quot;/&gt;&lt;wsp:rsid wsp:val=&quot;00CC0CD7&quot;/&gt;&lt;wsp:rsid wsp:val=&quot;00CC1A09&quot;/&gt;&lt;wsp:rsid wsp:val=&quot;00CC23EF&quot;/&gt;&lt;wsp:rsid wsp:val=&quot;00CC3FF0&quot;/&gt;&lt;wsp:rsid wsp:val=&quot;00CC6210&quot;/&gt;&lt;wsp:rsid wsp:val=&quot;00CC6998&quot;/&gt;&lt;wsp:rsid wsp:val=&quot;00CC745B&quot;/&gt;&lt;wsp:rsid wsp:val=&quot;00CC7D6B&quot;/&gt;&lt;wsp:rsid wsp:val=&quot;00CD1101&quot;/&gt;&lt;wsp:rsid wsp:val=&quot;00CD1CF6&quot;/&gt;&lt;wsp:rsid wsp:val=&quot;00CD22EE&quot;/&gt;&lt;wsp:rsid wsp:val=&quot;00CD28AF&quot;/&gt;&lt;wsp:rsid wsp:val=&quot;00CD2931&quot;/&gt;&lt;wsp:rsid wsp:val=&quot;00CD3A73&quot;/&gt;&lt;wsp:rsid wsp:val=&quot;00CD3C4A&quot;/&gt;&lt;wsp:rsid wsp:val=&quot;00CD3C94&quot;/&gt;&lt;wsp:rsid wsp:val=&quot;00CD4295&quot;/&gt;&lt;wsp:rsid wsp:val=&quot;00CD4764&quot;/&gt;&lt;wsp:rsid wsp:val=&quot;00CD742E&quot;/&gt;&lt;wsp:rsid wsp:val=&quot;00CD7C1B&quot;/&gt;&lt;wsp:rsid wsp:val=&quot;00CD7EAB&quot;/&gt;&lt;wsp:rsid wsp:val=&quot;00CE09AF&quot;/&gt;&lt;wsp:rsid wsp:val=&quot;00CE0B3A&quot;/&gt;&lt;wsp:rsid wsp:val=&quot;00CE10A5&quot;/&gt;&lt;wsp:rsid wsp:val=&quot;00CE1501&quot;/&gt;&lt;wsp:rsid wsp:val=&quot;00CE196B&quot;/&gt;&lt;wsp:rsid wsp:val=&quot;00CE2134&quot;/&gt;&lt;wsp:rsid wsp:val=&quot;00CE2508&quot;/&gt;&lt;wsp:rsid wsp:val=&quot;00CE35DA&quot;/&gt;&lt;wsp:rsid wsp:val=&quot;00CE3917&quot;/&gt;&lt;wsp:rsid wsp:val=&quot;00CE3E37&quot;/&gt;&lt;wsp:rsid wsp:val=&quot;00CE42CC&quot;/&gt;&lt;wsp:rsid wsp:val=&quot;00CE49F9&quot;/&gt;&lt;wsp:rsid wsp:val=&quot;00CE4B15&quot;/&gt;&lt;wsp:rsid wsp:val=&quot;00CE5400&quot;/&gt;&lt;wsp:rsid wsp:val=&quot;00CE5AE8&quot;/&gt;&lt;wsp:rsid wsp:val=&quot;00CE6646&quot;/&gt;&lt;wsp:rsid wsp:val=&quot;00CE6AEC&quot;/&gt;&lt;wsp:rsid wsp:val=&quot;00CE6B38&quot;/&gt;&lt;wsp:rsid wsp:val=&quot;00CE6E33&quot;/&gt;&lt;wsp:rsid wsp:val=&quot;00CE7465&quot;/&gt;&lt;wsp:rsid wsp:val=&quot;00CE7DD1&quot;/&gt;&lt;wsp:rsid wsp:val=&quot;00CF192E&quot;/&gt;&lt;wsp:rsid wsp:val=&quot;00CF3C32&quot;/&gt;&lt;wsp:rsid wsp:val=&quot;00CF3C49&quot;/&gt;&lt;wsp:rsid wsp:val=&quot;00CF449B&quot;/&gt;&lt;wsp:rsid wsp:val=&quot;00CF4932&quot;/&gt;&lt;wsp:rsid wsp:val=&quot;00CF581F&quot;/&gt;&lt;wsp:rsid wsp:val=&quot;00CF5D79&quot;/&gt;&lt;wsp:rsid wsp:val=&quot;00CF6F5C&quot;/&gt;&lt;wsp:rsid wsp:val=&quot;00CF73D5&quot;/&gt;&lt;wsp:rsid wsp:val=&quot;00D005EE&quot;/&gt;&lt;wsp:rsid wsp:val=&quot;00D0104D&quot;/&gt;&lt;wsp:rsid wsp:val=&quot;00D01158&quot;/&gt;&lt;wsp:rsid wsp:val=&quot;00D0115C&quot;/&gt;&lt;wsp:rsid wsp:val=&quot;00D013F1&quot;/&gt;&lt;wsp:rsid wsp:val=&quot;00D01860&quot;/&gt;&lt;wsp:rsid wsp:val=&quot;00D01F5E&quot;/&gt;&lt;wsp:rsid wsp:val=&quot;00D02B6C&quot;/&gt;&lt;wsp:rsid wsp:val=&quot;00D02F3D&quot;/&gt;&lt;wsp:rsid wsp:val=&quot;00D03044&quot;/&gt;&lt;wsp:rsid wsp:val=&quot;00D03897&quot;/&gt;&lt;wsp:rsid wsp:val=&quot;00D03DBD&quot;/&gt;&lt;wsp:rsid wsp:val=&quot;00D04057&quot;/&gt;&lt;wsp:rsid wsp:val=&quot;00D05165&quot;/&gt;&lt;wsp:rsid wsp:val=&quot;00D053AC&quot;/&gt;&lt;wsp:rsid wsp:val=&quot;00D058F5&quot;/&gt;&lt;wsp:rsid wsp:val=&quot;00D06464&quot;/&gt;&lt;wsp:rsid wsp:val=&quot;00D07B67&quot;/&gt;&lt;wsp:rsid wsp:val=&quot;00D07C7B&quot;/&gt;&lt;wsp:rsid wsp:val=&quot;00D12095&quot;/&gt;&lt;wsp:rsid wsp:val=&quot;00D12DAB&quot;/&gt;&lt;wsp:rsid wsp:val=&quot;00D130BA&quot;/&gt;&lt;wsp:rsid wsp:val=&quot;00D1537C&quot;/&gt;&lt;wsp:rsid wsp:val=&quot;00D15EEB&quot;/&gt;&lt;wsp:rsid wsp:val=&quot;00D16440&quot;/&gt;&lt;wsp:rsid wsp:val=&quot;00D1649B&quot;/&gt;&lt;wsp:rsid wsp:val=&quot;00D16B28&quot;/&gt;&lt;wsp:rsid wsp:val=&quot;00D16F65&quot;/&gt;&lt;wsp:rsid wsp:val=&quot;00D20C2B&quot;/&gt;&lt;wsp:rsid wsp:val=&quot;00D21537&quot;/&gt;&lt;wsp:rsid wsp:val=&quot;00D218DC&quot;/&gt;&lt;wsp:rsid wsp:val=&quot;00D2292A&quot;/&gt;&lt;wsp:rsid wsp:val=&quot;00D2314A&quot;/&gt;&lt;wsp:rsid wsp:val=&quot;00D23333&quot;/&gt;&lt;wsp:rsid wsp:val=&quot;00D23DB8&quot;/&gt;&lt;wsp:rsid wsp:val=&quot;00D24185&quot;/&gt;&lt;wsp:rsid wsp:val=&quot;00D24B7D&quot;/&gt;&lt;wsp:rsid wsp:val=&quot;00D250E2&quot;/&gt;&lt;wsp:rsid wsp:val=&quot;00D260BC&quot;/&gt;&lt;wsp:rsid wsp:val=&quot;00D26137&quot;/&gt;&lt;wsp:rsid wsp:val=&quot;00D27445&quot;/&gt;&lt;wsp:rsid wsp:val=&quot;00D31C0C&quot;/&gt;&lt;wsp:rsid wsp:val=&quot;00D32577&quot;/&gt;&lt;wsp:rsid wsp:val=&quot;00D32979&quot;/&gt;&lt;wsp:rsid wsp:val=&quot;00D35204&quot;/&gt;&lt;wsp:rsid wsp:val=&quot;00D3530A&quot;/&gt;&lt;wsp:rsid wsp:val=&quot;00D35450&quot;/&gt;&lt;wsp:rsid wsp:val=&quot;00D35837&quot;/&gt;&lt;wsp:rsid wsp:val=&quot;00D3621D&quot;/&gt;&lt;wsp:rsid wsp:val=&quot;00D3630B&quot;/&gt;&lt;wsp:rsid wsp:val=&quot;00D42203&quot;/&gt;&lt;wsp:rsid wsp:val=&quot;00D4220A&quot;/&gt;&lt;wsp:rsid wsp:val=&quot;00D42D25&quot;/&gt;&lt;wsp:rsid wsp:val=&quot;00D43F46&quot;/&gt;&lt;wsp:rsid wsp:val=&quot;00D445FB&quot;/&gt;&lt;wsp:rsid wsp:val=&quot;00D44734&quot;/&gt;&lt;wsp:rsid wsp:val=&quot;00D44B75&quot;/&gt;&lt;wsp:rsid wsp:val=&quot;00D451A8&quot;/&gt;&lt;wsp:rsid wsp:val=&quot;00D45E9C&quot;/&gt;&lt;wsp:rsid wsp:val=&quot;00D46046&quot;/&gt;&lt;wsp:rsid wsp:val=&quot;00D46062&quot;/&gt;&lt;wsp:rsid wsp:val=&quot;00D4649F&quot;/&gt;&lt;wsp:rsid wsp:val=&quot;00D47B8C&quot;/&gt;&lt;wsp:rsid wsp:val=&quot;00D47E6B&quot;/&gt;&lt;wsp:rsid wsp:val=&quot;00D504E2&quot;/&gt;&lt;wsp:rsid wsp:val=&quot;00D50E4B&quot;/&gt;&lt;wsp:rsid wsp:val=&quot;00D51CDE&quot;/&gt;&lt;wsp:rsid wsp:val=&quot;00D51FB7&quot;/&gt;&lt;wsp:rsid wsp:val=&quot;00D52602&quot;/&gt;&lt;wsp:rsid wsp:val=&quot;00D52E72&quot;/&gt;&lt;wsp:rsid wsp:val=&quot;00D53384&quot;/&gt;&lt;wsp:rsid wsp:val=&quot;00D53882&quot;/&gt;&lt;wsp:rsid wsp:val=&quot;00D53DF4&quot;/&gt;&lt;wsp:rsid wsp:val=&quot;00D54C18&quot;/&gt;&lt;wsp:rsid wsp:val=&quot;00D562C5&quot;/&gt;&lt;wsp:rsid wsp:val=&quot;00D56B55&quot;/&gt;&lt;wsp:rsid wsp:val=&quot;00D57B90&quot;/&gt;&lt;wsp:rsid wsp:val=&quot;00D60C26&quot;/&gt;&lt;wsp:rsid wsp:val=&quot;00D61451&quot;/&gt;&lt;wsp:rsid wsp:val=&quot;00D6162E&quot;/&gt;&lt;wsp:rsid wsp:val=&quot;00D61A0E&quot;/&gt;&lt;wsp:rsid wsp:val=&quot;00D61AF2&quot;/&gt;&lt;wsp:rsid wsp:val=&quot;00D623F6&quot;/&gt;&lt;wsp:rsid wsp:val=&quot;00D62629&quot;/&gt;&lt;wsp:rsid wsp:val=&quot;00D638AB&quot;/&gt;&lt;wsp:rsid wsp:val=&quot;00D6446E&quot;/&gt;&lt;wsp:rsid wsp:val=&quot;00D6463A&quot;/&gt;&lt;wsp:rsid wsp:val=&quot;00D64D57&quot;/&gt;&lt;wsp:rsid wsp:val=&quot;00D650C3&quot;/&gt;&lt;wsp:rsid wsp:val=&quot;00D652D1&quot;/&gt;&lt;wsp:rsid wsp:val=&quot;00D65E47&quot;/&gt;&lt;wsp:rsid wsp:val=&quot;00D6709E&quot;/&gt;&lt;wsp:rsid wsp:val=&quot;00D6762C&quot;/&gt;&lt;wsp:rsid wsp:val=&quot;00D67BD2&quot;/&gt;&lt;wsp:rsid wsp:val=&quot;00D71106&quot;/&gt;&lt;wsp:rsid wsp:val=&quot;00D7128A&quot;/&gt;&lt;wsp:rsid wsp:val=&quot;00D72112&quot;/&gt;&lt;wsp:rsid wsp:val=&quot;00D7220F&quot;/&gt;&lt;wsp:rsid wsp:val=&quot;00D7224F&quot;/&gt;&lt;wsp:rsid wsp:val=&quot;00D72AC9&quot;/&gt;&lt;wsp:rsid wsp:val=&quot;00D73510&quot;/&gt;&lt;wsp:rsid wsp:val=&quot;00D7668F&quot;/&gt;&lt;wsp:rsid wsp:val=&quot;00D76E9D&quot;/&gt;&lt;wsp:rsid wsp:val=&quot;00D77435&quot;/&gt;&lt;wsp:rsid wsp:val=&quot;00D77446&quot;/&gt;&lt;wsp:rsid wsp:val=&quot;00D77540&quot;/&gt;&lt;wsp:rsid wsp:val=&quot;00D77582&quot;/&gt;&lt;wsp:rsid wsp:val=&quot;00D80A83&quot;/&gt;&lt;wsp:rsid wsp:val=&quot;00D80FA0&quot;/&gt;&lt;wsp:rsid wsp:val=&quot;00D80FE8&quot;/&gt;&lt;wsp:rsid wsp:val=&quot;00D81146&quot;/&gt;&lt;wsp:rsid wsp:val=&quot;00D82104&quot;/&gt;&lt;wsp:rsid wsp:val=&quot;00D82F8C&quot;/&gt;&lt;wsp:rsid wsp:val=&quot;00D83BB2&quot;/&gt;&lt;wsp:rsid wsp:val=&quot;00D84262&quot;/&gt;&lt;wsp:rsid wsp:val=&quot;00D84556&quot;/&gt;&lt;wsp:rsid wsp:val=&quot;00D85C20&quot;/&gt;&lt;wsp:rsid wsp:val=&quot;00D85D3D&quot;/&gt;&lt;wsp:rsid wsp:val=&quot;00D869DD&quot;/&gt;&lt;wsp:rsid wsp:val=&quot;00D900FB&quot;/&gt;&lt;wsp:rsid wsp:val=&quot;00D908CE&quot;/&gt;&lt;wsp:rsid wsp:val=&quot;00D91A4B&quot;/&gt;&lt;wsp:rsid wsp:val=&quot;00D92D1D&quot;/&gt;&lt;wsp:rsid wsp:val=&quot;00D92D1E&quot;/&gt;&lt;wsp:rsid wsp:val=&quot;00D932D9&quot;/&gt;&lt;wsp:rsid wsp:val=&quot;00D93BFA&quot;/&gt;&lt;wsp:rsid wsp:val=&quot;00D93CE3&quot;/&gt;&lt;wsp:rsid wsp:val=&quot;00D93FA2&quot;/&gt;&lt;wsp:rsid wsp:val=&quot;00D94921&quot;/&gt;&lt;wsp:rsid wsp:val=&quot;00D95150&quot;/&gt;&lt;wsp:rsid wsp:val=&quot;00D952F3&quot;/&gt;&lt;wsp:rsid wsp:val=&quot;00D95CFA&quot;/&gt;&lt;wsp:rsid wsp:val=&quot;00D95D60&quot;/&gt;&lt;wsp:rsid wsp:val=&quot;00D973A2&quot;/&gt;&lt;wsp:rsid wsp:val=&quot;00D9754F&quot;/&gt;&lt;wsp:rsid wsp:val=&quot;00D9783C&quot;/&gt;&lt;wsp:rsid wsp:val=&quot;00DA0A7F&quot;/&gt;&lt;wsp:rsid wsp:val=&quot;00DA15A1&quot;/&gt;&lt;wsp:rsid wsp:val=&quot;00DA1ABF&quot;/&gt;&lt;wsp:rsid wsp:val=&quot;00DA2931&quot;/&gt;&lt;wsp:rsid wsp:val=&quot;00DA2B76&quot;/&gt;&lt;wsp:rsid wsp:val=&quot;00DA3E69&quot;/&gt;&lt;wsp:rsid wsp:val=&quot;00DA3EC1&quot;/&gt;&lt;wsp:rsid wsp:val=&quot;00DA404E&quot;/&gt;&lt;wsp:rsid wsp:val=&quot;00DA4947&quot;/&gt;&lt;wsp:rsid wsp:val=&quot;00DA5448&quot;/&gt;&lt;wsp:rsid wsp:val=&quot;00DA62A8&quot;/&gt;&lt;wsp:rsid wsp:val=&quot;00DA631C&quot;/&gt;&lt;wsp:rsid wsp:val=&quot;00DA647F&quot;/&gt;&lt;wsp:rsid wsp:val=&quot;00DA65FF&quot;/&gt;&lt;wsp:rsid wsp:val=&quot;00DA6ACD&quot;/&gt;&lt;wsp:rsid wsp:val=&quot;00DA6F35&quot;/&gt;&lt;wsp:rsid wsp:val=&quot;00DA6F3C&quot;/&gt;&lt;wsp:rsid wsp:val=&quot;00DA7809&quot;/&gt;&lt;wsp:rsid wsp:val=&quot;00DA78B4&quot;/&gt;&lt;wsp:rsid wsp:val=&quot;00DA78D7&quot;/&gt;&lt;wsp:rsid wsp:val=&quot;00DB0120&quot;/&gt;&lt;wsp:rsid wsp:val=&quot;00DB0912&quot;/&gt;&lt;wsp:rsid wsp:val=&quot;00DB0955&quot;/&gt;&lt;wsp:rsid wsp:val=&quot;00DB0B90&quot;/&gt;&lt;wsp:rsid wsp:val=&quot;00DB0F5D&quot;/&gt;&lt;wsp:rsid wsp:val=&quot;00DB26DC&quot;/&gt;&lt;wsp:rsid wsp:val=&quot;00DB2913&quot;/&gt;&lt;wsp:rsid wsp:val=&quot;00DB3101&quot;/&gt;&lt;wsp:rsid wsp:val=&quot;00DB3645&quot;/&gt;&lt;wsp:rsid wsp:val=&quot;00DB3860&quot;/&gt;&lt;wsp:rsid wsp:val=&quot;00DB396D&quot;/&gt;&lt;wsp:rsid wsp:val=&quot;00DB3C6C&quot;/&gt;&lt;wsp:rsid wsp:val=&quot;00DB3FD9&quot;/&gt;&lt;wsp:rsid wsp:val=&quot;00DB4378&quot;/&gt;&lt;wsp:rsid wsp:val=&quot;00DB43D3&quot;/&gt;&lt;wsp:rsid wsp:val=&quot;00DB51EB&quot;/&gt;&lt;wsp:rsid wsp:val=&quot;00DB5AC4&quot;/&gt;&lt;wsp:rsid wsp:val=&quot;00DB5F98&quot;/&gt;&lt;wsp:rsid wsp:val=&quot;00DB62FD&quot;/&gt;&lt;wsp:rsid wsp:val=&quot;00DB6B44&quot;/&gt;&lt;wsp:rsid wsp:val=&quot;00DB7A67&quot;/&gt;&lt;wsp:rsid wsp:val=&quot;00DC24F8&quot;/&gt;&lt;wsp:rsid wsp:val=&quot;00DC3228&quot;/&gt;&lt;wsp:rsid wsp:val=&quot;00DC4738&quot;/&gt;&lt;wsp:rsid wsp:val=&quot;00DC4E81&quot;/&gt;&lt;wsp:rsid wsp:val=&quot;00DC51F3&quot;/&gt;&lt;wsp:rsid wsp:val=&quot;00DC53AE&quot;/&gt;&lt;wsp:rsid wsp:val=&quot;00DC5749&quot;/&gt;&lt;wsp:rsid wsp:val=&quot;00DC57B9&quot;/&gt;&lt;wsp:rsid wsp:val=&quot;00DC5ED0&quot;/&gt;&lt;wsp:rsid wsp:val=&quot;00DC6554&quot;/&gt;&lt;wsp:rsid wsp:val=&quot;00DD1061&quot;/&gt;&lt;wsp:rsid wsp:val=&quot;00DD28EB&quot;/&gt;&lt;wsp:rsid wsp:val=&quot;00DD4107&quot;/&gt;&lt;wsp:rsid wsp:val=&quot;00DD4324&quot;/&gt;&lt;wsp:rsid wsp:val=&quot;00DD434E&quot;/&gt;&lt;wsp:rsid wsp:val=&quot;00DD438D&quot;/&gt;&lt;wsp:rsid wsp:val=&quot;00DD4623&quot;/&gt;&lt;wsp:rsid wsp:val=&quot;00DD5035&quot;/&gt;&lt;wsp:rsid wsp:val=&quot;00DD59FF&quot;/&gt;&lt;wsp:rsid wsp:val=&quot;00DD5C2F&quot;/&gt;&lt;wsp:rsid wsp:val=&quot;00DD5D2E&quot;/&gt;&lt;wsp:rsid wsp:val=&quot;00DD678C&quot;/&gt;&lt;wsp:rsid wsp:val=&quot;00DD6D36&quot;/&gt;&lt;wsp:rsid wsp:val=&quot;00DE05A1&quot;/&gt;&lt;wsp:rsid wsp:val=&quot;00DE1293&quot;/&gt;&lt;wsp:rsid wsp:val=&quot;00DE2218&quot;/&gt;&lt;wsp:rsid wsp:val=&quot;00DE223C&quot;/&gt;&lt;wsp:rsid wsp:val=&quot;00DE26E7&quot;/&gt;&lt;wsp:rsid wsp:val=&quot;00DE3090&quot;/&gt;&lt;wsp:rsid wsp:val=&quot;00DE30A9&quot;/&gt;&lt;wsp:rsid wsp:val=&quot;00DE32B0&quot;/&gt;&lt;wsp:rsid wsp:val=&quot;00DE3A8A&quot;/&gt;&lt;wsp:rsid wsp:val=&quot;00DE514C&quot;/&gt;&lt;wsp:rsid wsp:val=&quot;00DE66F4&quot;/&gt;&lt;wsp:rsid wsp:val=&quot;00DE6957&quot;/&gt;&lt;wsp:rsid wsp:val=&quot;00DE70EF&quot;/&gt;&lt;wsp:rsid wsp:val=&quot;00DE7601&quot;/&gt;&lt;wsp:rsid wsp:val=&quot;00DE7F31&quot;/&gt;&lt;wsp:rsid wsp:val=&quot;00DF05D0&quot;/&gt;&lt;wsp:rsid wsp:val=&quot;00DF1707&quot;/&gt;&lt;wsp:rsid wsp:val=&quot;00DF2260&quot;/&gt;&lt;wsp:rsid wsp:val=&quot;00DF24B8&quot;/&gt;&lt;wsp:rsid wsp:val=&quot;00DF2AAE&quot;/&gt;&lt;wsp:rsid wsp:val=&quot;00DF526B&quot;/&gt;&lt;wsp:rsid wsp:val=&quot;00DF5404&quot;/&gt;&lt;wsp:rsid wsp:val=&quot;00DF5734&quot;/&gt;&lt;wsp:rsid wsp:val=&quot;00DF59F5&quot;/&gt;&lt;wsp:rsid wsp:val=&quot;00DF615E&quot;/&gt;&lt;wsp:rsid wsp:val=&quot;00DF6246&quot;/&gt;&lt;wsp:rsid wsp:val=&quot;00DF63FD&quot;/&gt;&lt;wsp:rsid wsp:val=&quot;00DF67D5&quot;/&gt;&lt;wsp:rsid wsp:val=&quot;00DF72DB&quot;/&gt;&lt;wsp:rsid wsp:val=&quot;00DF7541&quot;/&gt;&lt;wsp:rsid wsp:val=&quot;00E0054C&quot;/&gt;&lt;wsp:rsid wsp:val=&quot;00E019AE&quot;/&gt;&lt;wsp:rsid wsp:val=&quot;00E022E2&quot;/&gt;&lt;wsp:rsid wsp:val=&quot;00E0270D&quot;/&gt;&lt;wsp:rsid wsp:val=&quot;00E03133&quot;/&gt;&lt;wsp:rsid wsp:val=&quot;00E032C0&quot;/&gt;&lt;wsp:rsid wsp:val=&quot;00E03D6C&quot;/&gt;&lt;wsp:rsid wsp:val=&quot;00E0450E&quot;/&gt;&lt;wsp:rsid wsp:val=&quot;00E04A49&quot;/&gt;&lt;wsp:rsid wsp:val=&quot;00E05011&quot;/&gt;&lt;wsp:rsid wsp:val=&quot;00E05118&quot;/&gt;&lt;wsp:rsid wsp:val=&quot;00E053B7&quot;/&gt;&lt;wsp:rsid wsp:val=&quot;00E05464&quot;/&gt;&lt;wsp:rsid wsp:val=&quot;00E05779&quot;/&gt;&lt;wsp:rsid wsp:val=&quot;00E05B6F&quot;/&gt;&lt;wsp:rsid wsp:val=&quot;00E10300&quot;/&gt;&lt;wsp:rsid wsp:val=&quot;00E1080B&quot;/&gt;&lt;wsp:rsid wsp:val=&quot;00E10833&quot;/&gt;&lt;wsp:rsid wsp:val=&quot;00E121D0&quot;/&gt;&lt;wsp:rsid wsp:val=&quot;00E1247D&quot;/&gt;&lt;wsp:rsid wsp:val=&quot;00E13078&quot;/&gt;&lt;wsp:rsid wsp:val=&quot;00E135D8&quot;/&gt;&lt;wsp:rsid wsp:val=&quot;00E13A64&quot;/&gt;&lt;wsp:rsid wsp:val=&quot;00E1555C&quot;/&gt;&lt;wsp:rsid wsp:val=&quot;00E15D56&quot;/&gt;&lt;wsp:rsid wsp:val=&quot;00E15FF4&quot;/&gt;&lt;wsp:rsid wsp:val=&quot;00E163ED&quot;/&gt;&lt;wsp:rsid wsp:val=&quot;00E16BE6&quot;/&gt;&lt;wsp:rsid wsp:val=&quot;00E17163&quot;/&gt;&lt;wsp:rsid wsp:val=&quot;00E17E21&quot;/&gt;&lt;wsp:rsid wsp:val=&quot;00E17E26&quot;/&gt;&lt;wsp:rsid wsp:val=&quot;00E2008A&quot;/&gt;&lt;wsp:rsid wsp:val=&quot;00E210D6&quot;/&gt;&lt;wsp:rsid wsp:val=&quot;00E23669&quot;/&gt;&lt;wsp:rsid wsp:val=&quot;00E237B2&quot;/&gt;&lt;wsp:rsid wsp:val=&quot;00E25FDC&quot;/&gt;&lt;wsp:rsid wsp:val=&quot;00E305D7&quot;/&gt;&lt;wsp:rsid wsp:val=&quot;00E3073A&quot;/&gt;&lt;wsp:rsid wsp:val=&quot;00E3087C&quot;/&gt;&lt;wsp:rsid wsp:val=&quot;00E30ACA&quot;/&gt;&lt;wsp:rsid wsp:val=&quot;00E319CB&quot;/&gt;&lt;wsp:rsid wsp:val=&quot;00E321CD&quot;/&gt;&lt;wsp:rsid wsp:val=&quot;00E335D4&quot;/&gt;&lt;wsp:rsid wsp:val=&quot;00E339D7&quot;/&gt;&lt;wsp:rsid wsp:val=&quot;00E33C56&quot;/&gt;&lt;wsp:rsid wsp:val=&quot;00E33DE3&quot;/&gt;&lt;wsp:rsid wsp:val=&quot;00E34EDA&quot;/&gt;&lt;wsp:rsid wsp:val=&quot;00E35234&quot;/&gt;&lt;wsp:rsid wsp:val=&quot;00E3531E&quot;/&gt;&lt;wsp:rsid wsp:val=&quot;00E35570&quot;/&gt;&lt;wsp:rsid wsp:val=&quot;00E35D3E&quot;/&gt;&lt;wsp:rsid wsp:val=&quot;00E36162&quot;/&gt;&lt;wsp:rsid wsp:val=&quot;00E36EC5&quot;/&gt;&lt;wsp:rsid wsp:val=&quot;00E37066&quot;/&gt;&lt;wsp:rsid wsp:val=&quot;00E374B3&quot;/&gt;&lt;wsp:rsid wsp:val=&quot;00E377C1&quot;/&gt;&lt;wsp:rsid wsp:val=&quot;00E408F2&quot;/&gt;&lt;wsp:rsid wsp:val=&quot;00E44609&quot;/&gt;&lt;wsp:rsid wsp:val=&quot;00E457FE&quot;/&gt;&lt;wsp:rsid wsp:val=&quot;00E467D0&quot;/&gt;&lt;wsp:rsid wsp:val=&quot;00E46FBD&quot;/&gt;&lt;wsp:rsid wsp:val=&quot;00E47083&quot;/&gt;&lt;wsp:rsid wsp:val=&quot;00E473E1&quot;/&gt;&lt;wsp:rsid wsp:val=&quot;00E50213&quot;/&gt;&lt;wsp:rsid wsp:val=&quot;00E5225D&quot;/&gt;&lt;wsp:rsid wsp:val=&quot;00E52C37&quot;/&gt;&lt;wsp:rsid wsp:val=&quot;00E552B3&quot;/&gt;&lt;wsp:rsid wsp:val=&quot;00E558DF&quot;/&gt;&lt;wsp:rsid wsp:val=&quot;00E56297&quot;/&gt;&lt;wsp:rsid wsp:val=&quot;00E575BC&quot;/&gt;&lt;wsp:rsid wsp:val=&quot;00E57CA7&quot;/&gt;&lt;wsp:rsid wsp:val=&quot;00E608EA&quot;/&gt;&lt;wsp:rsid wsp:val=&quot;00E60A3C&quot;/&gt;&lt;wsp:rsid wsp:val=&quot;00E61235&quot;/&gt;&lt;wsp:rsid wsp:val=&quot;00E61BAD&quot;/&gt;&lt;wsp:rsid wsp:val=&quot;00E61E3A&quot;/&gt;&lt;wsp:rsid wsp:val=&quot;00E621EF&quot;/&gt;&lt;wsp:rsid wsp:val=&quot;00E636F7&quot;/&gt;&lt;wsp:rsid wsp:val=&quot;00E63782&quot;/&gt;&lt;wsp:rsid wsp:val=&quot;00E63A9A&quot;/&gt;&lt;wsp:rsid wsp:val=&quot;00E64221&quot;/&gt;&lt;wsp:rsid wsp:val=&quot;00E64277&quot;/&gt;&lt;wsp:rsid wsp:val=&quot;00E64302&quot;/&gt;&lt;wsp:rsid wsp:val=&quot;00E644F5&quot;/&gt;&lt;wsp:rsid wsp:val=&quot;00E6454F&quot;/&gt;&lt;wsp:rsid wsp:val=&quot;00E64ED1&quot;/&gt;&lt;wsp:rsid wsp:val=&quot;00E65683&quot;/&gt;&lt;wsp:rsid wsp:val=&quot;00E65C2E&quot;/&gt;&lt;wsp:rsid wsp:val=&quot;00E66061&quot;/&gt;&lt;wsp:rsid wsp:val=&quot;00E66D70&quot;/&gt;&lt;wsp:rsid wsp:val=&quot;00E672F8&quot;/&gt;&lt;wsp:rsid wsp:val=&quot;00E675E0&quot;/&gt;&lt;wsp:rsid wsp:val=&quot;00E676C0&quot;/&gt;&lt;wsp:rsid wsp:val=&quot;00E700E6&quot;/&gt;&lt;wsp:rsid wsp:val=&quot;00E712BC&quot;/&gt;&lt;wsp:rsid wsp:val=&quot;00E71572&quot;/&gt;&lt;wsp:rsid wsp:val=&quot;00E7177B&quot;/&gt;&lt;wsp:rsid wsp:val=&quot;00E71AB6&quot;/&gt;&lt;wsp:rsid wsp:val=&quot;00E724F4&quot;/&gt;&lt;wsp:rsid wsp:val=&quot;00E733EB&quot;/&gt;&lt;wsp:rsid wsp:val=&quot;00E7442A&quot;/&gt;&lt;wsp:rsid wsp:val=&quot;00E7445C&quot;/&gt;&lt;wsp:rsid wsp:val=&quot;00E74B6A&quot;/&gt;&lt;wsp:rsid wsp:val=&quot;00E761CE&quot;/&gt;&lt;wsp:rsid wsp:val=&quot;00E767E9&quot;/&gt;&lt;wsp:rsid wsp:val=&quot;00E76A2A&quot;/&gt;&lt;wsp:rsid wsp:val=&quot;00E77596&quot;/&gt;&lt;wsp:rsid wsp:val=&quot;00E77A98&quot;/&gt;&lt;wsp:rsid wsp:val=&quot;00E77B74&quot;/&gt;&lt;wsp:rsid wsp:val=&quot;00E81045&quot;/&gt;&lt;wsp:rsid wsp:val=&quot;00E81185&quot;/&gt;&lt;wsp:rsid wsp:val=&quot;00E8149D&quot;/&gt;&lt;wsp:rsid wsp:val=&quot;00E81586&quot;/&gt;&lt;wsp:rsid wsp:val=&quot;00E817CC&quot;/&gt;&lt;wsp:rsid wsp:val=&quot;00E817D6&quot;/&gt;&lt;wsp:rsid wsp:val=&quot;00E822BC&quot;/&gt;&lt;wsp:rsid wsp:val=&quot;00E84106&quot;/&gt;&lt;wsp:rsid wsp:val=&quot;00E845D1&quot;/&gt;&lt;wsp:rsid wsp:val=&quot;00E850A8&quot;/&gt;&lt;wsp:rsid wsp:val=&quot;00E87C07&quot;/&gt;&lt;wsp:rsid wsp:val=&quot;00E9011F&quot;/&gt;&lt;wsp:rsid wsp:val=&quot;00E90389&quot;/&gt;&lt;wsp:rsid wsp:val=&quot;00E926E0&quot;/&gt;&lt;wsp:rsid wsp:val=&quot;00E92814&quot;/&gt;&lt;wsp:rsid wsp:val=&quot;00E9492F&quot;/&gt;&lt;wsp:rsid wsp:val=&quot;00E94E28&quot;/&gt;&lt;wsp:rsid wsp:val=&quot;00E94F7D&quot;/&gt;&lt;wsp:rsid wsp:val=&quot;00E955F4&quot;/&gt;&lt;wsp:rsid wsp:val=&quot;00E9568F&quot;/&gt;&lt;wsp:rsid wsp:val=&quot;00E95A06&quot;/&gt;&lt;wsp:rsid wsp:val=&quot;00E96081&quot;/&gt;&lt;wsp:rsid wsp:val=&quot;00E96277&quot;/&gt;&lt;wsp:rsid wsp:val=&quot;00E97085&quot;/&gt;&lt;wsp:rsid wsp:val=&quot;00E97BCF&quot;/&gt;&lt;wsp:rsid wsp:val=&quot;00E97E9B&quot;/&gt;&lt;wsp:rsid wsp:val=&quot;00E97FD2&quot;/&gt;&lt;wsp:rsid wsp:val=&quot;00EA07FF&quot;/&gt;&lt;wsp:rsid wsp:val=&quot;00EA0837&quot;/&gt;&lt;wsp:rsid wsp:val=&quot;00EA221E&quot;/&gt;&lt;wsp:rsid wsp:val=&quot;00EA2E62&quot;/&gt;&lt;wsp:rsid wsp:val=&quot;00EA35FD&quot;/&gt;&lt;wsp:rsid wsp:val=&quot;00EA37ED&quot;/&gt;&lt;wsp:rsid wsp:val=&quot;00EA3848&quot;/&gt;&lt;wsp:rsid wsp:val=&quot;00EA3FFA&quot;/&gt;&lt;wsp:rsid wsp:val=&quot;00EA401B&quot;/&gt;&lt;wsp:rsid wsp:val=&quot;00EA4A2F&quot;/&gt;&lt;wsp:rsid wsp:val=&quot;00EA59FA&quot;/&gt;&lt;wsp:rsid wsp:val=&quot;00EA5DE3&quot;/&gt;&lt;wsp:rsid wsp:val=&quot;00EA5F6C&quot;/&gt;&lt;wsp:rsid wsp:val=&quot;00EA72F6&quot;/&gt;&lt;wsp:rsid wsp:val=&quot;00EB0B1C&quot;/&gt;&lt;wsp:rsid wsp:val=&quot;00EB0E6C&quot;/&gt;&lt;wsp:rsid wsp:val=&quot;00EB0FFF&quot;/&gt;&lt;wsp:rsid wsp:val=&quot;00EB133A&quot;/&gt;&lt;wsp:rsid wsp:val=&quot;00EB18E9&quot;/&gt;&lt;wsp:rsid wsp:val=&quot;00EB263C&quot;/&gt;&lt;wsp:rsid wsp:val=&quot;00EB4D77&quot;/&gt;&lt;wsp:rsid wsp:val=&quot;00EB7ED6&quot;/&gt;&lt;wsp:rsid wsp:val=&quot;00EC0274&quot;/&gt;&lt;wsp:rsid wsp:val=&quot;00EC09C3&quot;/&gt;&lt;wsp:rsid wsp:val=&quot;00EC0DB9&quot;/&gt;&lt;wsp:rsid wsp:val=&quot;00EC0DC0&quot;/&gt;&lt;wsp:rsid wsp:val=&quot;00EC136D&quot;/&gt;&lt;wsp:rsid wsp:val=&quot;00EC2DDA&quot;/&gt;&lt;wsp:rsid wsp:val=&quot;00EC3577&quot;/&gt;&lt;wsp:rsid wsp:val=&quot;00EC3F82&quot;/&gt;&lt;wsp:rsid wsp:val=&quot;00EC4322&quot;/&gt;&lt;wsp:rsid wsp:val=&quot;00EC49BA&quot;/&gt;&lt;wsp:rsid wsp:val=&quot;00EC5B88&quot;/&gt;&lt;wsp:rsid wsp:val=&quot;00EC5F92&quot;/&gt;&lt;wsp:rsid wsp:val=&quot;00EC612B&quot;/&gt;&lt;wsp:rsid wsp:val=&quot;00EC623D&quot;/&gt;&lt;wsp:rsid wsp:val=&quot;00EC63DC&quot;/&gt;&lt;wsp:rsid wsp:val=&quot;00EC6B0B&quot;/&gt;&lt;wsp:rsid wsp:val=&quot;00EC6ED4&quot;/&gt;&lt;wsp:rsid wsp:val=&quot;00EC7786&quot;/&gt;&lt;wsp:rsid wsp:val=&quot;00EC7A2E&quot;/&gt;&lt;wsp:rsid wsp:val=&quot;00EC7FBA&quot;/&gt;&lt;wsp:rsid wsp:val=&quot;00ED00FF&quot;/&gt;&lt;wsp:rsid wsp:val=&quot;00ED09C3&quot;/&gt;&lt;wsp:rsid wsp:val=&quot;00ED0E30&quot;/&gt;&lt;wsp:rsid wsp:val=&quot;00ED128F&quot;/&gt;&lt;wsp:rsid wsp:val=&quot;00ED1875&quot;/&gt;&lt;wsp:rsid wsp:val=&quot;00ED26D7&quot;/&gt;&lt;wsp:rsid wsp:val=&quot;00ED35D9&quot;/&gt;&lt;wsp:rsid wsp:val=&quot;00ED3C86&quot;/&gt;&lt;wsp:rsid wsp:val=&quot;00ED4165&quot;/&gt;&lt;wsp:rsid wsp:val=&quot;00ED49CE&quot;/&gt;&lt;wsp:rsid wsp:val=&quot;00ED50FA&quot;/&gt;&lt;wsp:rsid wsp:val=&quot;00ED5899&quot;/&gt;&lt;wsp:rsid wsp:val=&quot;00ED5BA3&quot;/&gt;&lt;wsp:rsid wsp:val=&quot;00ED6139&quot;/&gt;&lt;wsp:rsid wsp:val=&quot;00ED660C&quot;/&gt;&lt;wsp:rsid wsp:val=&quot;00ED683F&quot;/&gt;&lt;wsp:rsid wsp:val=&quot;00EE06DB&quot;/&gt;&lt;wsp:rsid wsp:val=&quot;00EE15BD&quot;/&gt;&lt;wsp:rsid wsp:val=&quot;00EE1B6B&quot;/&gt;&lt;wsp:rsid wsp:val=&quot;00EE20E7&quot;/&gt;&lt;wsp:rsid wsp:val=&quot;00EE2397&quot;/&gt;&lt;wsp:rsid wsp:val=&quot;00EE3146&quot;/&gt;&lt;wsp:rsid wsp:val=&quot;00EE3213&quot;/&gt;&lt;wsp:rsid wsp:val=&quot;00EE44B6&quot;/&gt;&lt;wsp:rsid wsp:val=&quot;00EE489E&quot;/&gt;&lt;wsp:rsid wsp:val=&quot;00EE5120&quot;/&gt;&lt;wsp:rsid wsp:val=&quot;00EE5F23&quot;/&gt;&lt;wsp:rsid wsp:val=&quot;00EE6C3C&quot;/&gt;&lt;wsp:rsid wsp:val=&quot;00EE6C56&quot;/&gt;&lt;wsp:rsid wsp:val=&quot;00EF026B&quot;/&gt;&lt;wsp:rsid wsp:val=&quot;00EF0C02&quot;/&gt;&lt;wsp:rsid wsp:val=&quot;00EF1A1A&quot;/&gt;&lt;wsp:rsid wsp:val=&quot;00EF1ECC&quot;/&gt;&lt;wsp:rsid wsp:val=&quot;00EF2518&quot;/&gt;&lt;wsp:rsid wsp:val=&quot;00EF28EF&quot;/&gt;&lt;wsp:rsid wsp:val=&quot;00EF39B0&quot;/&gt;&lt;wsp:rsid wsp:val=&quot;00EF3B45&quot;/&gt;&lt;wsp:rsid wsp:val=&quot;00EF3F3D&quot;/&gt;&lt;wsp:rsid wsp:val=&quot;00EF4484&quot;/&gt;&lt;wsp:rsid wsp:val=&quot;00EF491C&quot;/&gt;&lt;wsp:rsid wsp:val=&quot;00EF5D7D&quot;/&gt;&lt;wsp:rsid wsp:val=&quot;00EF5ECA&quot;/&gt;&lt;wsp:rsid wsp:val=&quot;00EF6AD0&quot;/&gt;&lt;wsp:rsid wsp:val=&quot;00EF6BBB&quot;/&gt;&lt;wsp:rsid wsp:val=&quot;00EF71B3&quot;/&gt;&lt;wsp:rsid wsp:val=&quot;00EF77C5&quot;/&gt;&lt;wsp:rsid wsp:val=&quot;00EF7AC0&quot;/&gt;&lt;wsp:rsid wsp:val=&quot;00F0034E&quot;/&gt;&lt;wsp:rsid wsp:val=&quot;00F00858&quot;/&gt;&lt;wsp:rsid wsp:val=&quot;00F013DB&quot;/&gt;&lt;wsp:rsid wsp:val=&quot;00F01E94&quot;/&gt;&lt;wsp:rsid wsp:val=&quot;00F020DB&quot;/&gt;&lt;wsp:rsid wsp:val=&quot;00F02DAE&quot;/&gt;&lt;wsp:rsid wsp:val=&quot;00F030A7&quot;/&gt;&lt;wsp:rsid wsp:val=&quot;00F03FDF&quot;/&gt;&lt;wsp:rsid wsp:val=&quot;00F0404D&quot;/&gt;&lt;wsp:rsid wsp:val=&quot;00F05204&quot;/&gt;&lt;wsp:rsid wsp:val=&quot;00F0527F&quot;/&gt;&lt;wsp:rsid wsp:val=&quot;00F0547C&quot;/&gt;&lt;wsp:rsid wsp:val=&quot;00F0571F&quot;/&gt;&lt;wsp:rsid wsp:val=&quot;00F06FBA&quot;/&gt;&lt;wsp:rsid wsp:val=&quot;00F07082&quot;/&gt;&lt;wsp:rsid wsp:val=&quot;00F0711E&quot;/&gt;&lt;wsp:rsid wsp:val=&quot;00F07808&quot;/&gt;&lt;wsp:rsid wsp:val=&quot;00F10B48&quot;/&gt;&lt;wsp:rsid wsp:val=&quot;00F10C86&quot;/&gt;&lt;wsp:rsid wsp:val=&quot;00F1128A&quot;/&gt;&lt;wsp:rsid wsp:val=&quot;00F11642&quot;/&gt;&lt;wsp:rsid wsp:val=&quot;00F12D93&quot;/&gt;&lt;wsp:rsid wsp:val=&quot;00F1336E&quot;/&gt;&lt;wsp:rsid wsp:val=&quot;00F14697&quot;/&gt;&lt;wsp:rsid wsp:val=&quot;00F14978&quot;/&gt;&lt;wsp:rsid wsp:val=&quot;00F14B76&quot;/&gt;&lt;wsp:rsid wsp:val=&quot;00F14DC5&quot;/&gt;&lt;wsp:rsid wsp:val=&quot;00F1552A&quot;/&gt;&lt;wsp:rsid wsp:val=&quot;00F16100&quot;/&gt;&lt;wsp:rsid wsp:val=&quot;00F16CBF&quot;/&gt;&lt;wsp:rsid wsp:val=&quot;00F20BA9&quot;/&gt;&lt;wsp:rsid wsp:val=&quot;00F20E03&quot;/&gt;&lt;wsp:rsid wsp:val=&quot;00F21252&quot;/&gt;&lt;wsp:rsid wsp:val=&quot;00F2151E&quot;/&gt;&lt;wsp:rsid wsp:val=&quot;00F21933&quot;/&gt;&lt;wsp:rsid wsp:val=&quot;00F21E7E&quot;/&gt;&lt;wsp:rsid wsp:val=&quot;00F220FA&quot;/&gt;&lt;wsp:rsid wsp:val=&quot;00F22A85&quot;/&gt;&lt;wsp:rsid wsp:val=&quot;00F2410B&quot;/&gt;&lt;wsp:rsid wsp:val=&quot;00F24D5B&quot;/&gt;&lt;wsp:rsid wsp:val=&quot;00F24E6C&quot;/&gt;&lt;wsp:rsid wsp:val=&quot;00F24F73&quot;/&gt;&lt;wsp:rsid wsp:val=&quot;00F25CA5&quot;/&gt;&lt;wsp:rsid wsp:val=&quot;00F25CB0&quot;/&gt;&lt;wsp:rsid wsp:val=&quot;00F26593&quot;/&gt;&lt;wsp:rsid wsp:val=&quot;00F274C3&quot;/&gt;&lt;wsp:rsid wsp:val=&quot;00F277B2&quot;/&gt;&lt;wsp:rsid wsp:val=&quot;00F27AA0&quot;/&gt;&lt;wsp:rsid wsp:val=&quot;00F27FBC&quot;/&gt;&lt;wsp:rsid wsp:val=&quot;00F30666&quot;/&gt;&lt;wsp:rsid wsp:val=&quot;00F309AF&quot;/&gt;&lt;wsp:rsid wsp:val=&quot;00F311FC&quot;/&gt;&lt;wsp:rsid wsp:val=&quot;00F31BDC&quot;/&gt;&lt;wsp:rsid wsp:val=&quot;00F322FE&quot;/&gt;&lt;wsp:rsid wsp:val=&quot;00F32E20&quot;/&gt;&lt;wsp:rsid wsp:val=&quot;00F32FBE&quot;/&gt;&lt;wsp:rsid wsp:val=&quot;00F33163&quot;/&gt;&lt;wsp:rsid wsp:val=&quot;00F33511&quot;/&gt;&lt;wsp:rsid wsp:val=&quot;00F35150&quot;/&gt;&lt;wsp:rsid wsp:val=&quot;00F35653&quot;/&gt;&lt;wsp:rsid wsp:val=&quot;00F35798&quot;/&gt;&lt;wsp:rsid wsp:val=&quot;00F3591E&quot;/&gt;&lt;wsp:rsid wsp:val=&quot;00F35C3A&quot;/&gt;&lt;wsp:rsid wsp:val=&quot;00F35D79&quot;/&gt;&lt;wsp:rsid wsp:val=&quot;00F36E9B&quot;/&gt;&lt;wsp:rsid wsp:val=&quot;00F36F48&quot;/&gt;&lt;wsp:rsid wsp:val=&quot;00F379BC&quot;/&gt;&lt;wsp:rsid wsp:val=&quot;00F40040&quot;/&gt;&lt;wsp:rsid wsp:val=&quot;00F400B5&quot;/&gt;&lt;wsp:rsid wsp:val=&quot;00F404BC&quot;/&gt;&lt;wsp:rsid wsp:val=&quot;00F404EF&quot;/&gt;&lt;wsp:rsid wsp:val=&quot;00F40A46&quot;/&gt;&lt;wsp:rsid wsp:val=&quot;00F40DE0&quot;/&gt;&lt;wsp:rsid wsp:val=&quot;00F41C6C&quot;/&gt;&lt;wsp:rsid wsp:val=&quot;00F4218A&quot;/&gt;&lt;wsp:rsid wsp:val=&quot;00F42E6E&quot;/&gt;&lt;wsp:rsid wsp:val=&quot;00F4390F&quot;/&gt;&lt;wsp:rsid wsp:val=&quot;00F43CB4&quot;/&gt;&lt;wsp:rsid wsp:val=&quot;00F44914&quot;/&gt;&lt;wsp:rsid wsp:val=&quot;00F45209&quot;/&gt;&lt;wsp:rsid wsp:val=&quot;00F454DF&quot;/&gt;&lt;wsp:rsid wsp:val=&quot;00F459E0&quot;/&gt;&lt;wsp:rsid wsp:val=&quot;00F46863&quot;/&gt;&lt;wsp:rsid wsp:val=&quot;00F46E6F&quot;/&gt;&lt;wsp:rsid wsp:val=&quot;00F47700&quot;/&gt;&lt;wsp:rsid wsp:val=&quot;00F5061A&quot;/&gt;&lt;wsp:rsid wsp:val=&quot;00F50C5D&quot;/&gt;&lt;wsp:rsid wsp:val=&quot;00F51104&quot;/&gt;&lt;wsp:rsid wsp:val=&quot;00F511AC&quot;/&gt;&lt;wsp:rsid wsp:val=&quot;00F5148D&quot;/&gt;&lt;wsp:rsid wsp:val=&quot;00F5310E&quot;/&gt;&lt;wsp:rsid wsp:val=&quot;00F53522&quot;/&gt;&lt;wsp:rsid wsp:val=&quot;00F53722&quot;/&gt;&lt;wsp:rsid wsp:val=&quot;00F5420A&quot;/&gt;&lt;wsp:rsid wsp:val=&quot;00F54364&quot;/&gt;&lt;wsp:rsid wsp:val=&quot;00F543D4&quot;/&gt;&lt;wsp:rsid wsp:val=&quot;00F54D13&quot;/&gt;&lt;wsp:rsid wsp:val=&quot;00F5513D&quot;/&gt;&lt;wsp:rsid wsp:val=&quot;00F5523F&quot;/&gt;&lt;wsp:rsid wsp:val=&quot;00F56701&quot;/&gt;&lt;wsp:rsid wsp:val=&quot;00F56F17&quot;/&gt;&lt;wsp:rsid wsp:val=&quot;00F56FA3&quot;/&gt;&lt;wsp:rsid wsp:val=&quot;00F57456&quot;/&gt;&lt;wsp:rsid wsp:val=&quot;00F5763F&quot;/&gt;&lt;wsp:rsid wsp:val=&quot;00F57686&quot;/&gt;&lt;wsp:rsid wsp:val=&quot;00F57B45&quot;/&gt;&lt;wsp:rsid wsp:val=&quot;00F60642&quot;/&gt;&lt;wsp:rsid wsp:val=&quot;00F60C21&quot;/&gt;&lt;wsp:rsid wsp:val=&quot;00F60F8C&quot;/&gt;&lt;wsp:rsid wsp:val=&quot;00F612F5&quot;/&gt;&lt;wsp:rsid wsp:val=&quot;00F6186E&quot;/&gt;&lt;wsp:rsid wsp:val=&quot;00F62183&quot;/&gt;&lt;wsp:rsid wsp:val=&quot;00F622A2&quot;/&gt;&lt;wsp:rsid wsp:val=&quot;00F62E01&quot;/&gt;&lt;wsp:rsid wsp:val=&quot;00F639EA&quot;/&gt;&lt;wsp:rsid wsp:val=&quot;00F6453E&quot;/&gt;&lt;wsp:rsid wsp:val=&quot;00F65B7B&quot;/&gt;&lt;wsp:rsid wsp:val=&quot;00F65FCB&quot;/&gt;&lt;wsp:rsid wsp:val=&quot;00F661A0&quot;/&gt;&lt;wsp:rsid wsp:val=&quot;00F67B37&quot;/&gt;&lt;wsp:rsid wsp:val=&quot;00F67CB5&quot;/&gt;&lt;wsp:rsid wsp:val=&quot;00F70648&quot;/&gt;&lt;wsp:rsid wsp:val=&quot;00F71120&quot;/&gt;&lt;wsp:rsid wsp:val=&quot;00F717CA&quot;/&gt;&lt;wsp:rsid wsp:val=&quot;00F717D6&quot;/&gt;&lt;wsp:rsid wsp:val=&quot;00F72016&quot;/&gt;&lt;wsp:rsid wsp:val=&quot;00F7222C&quot;/&gt;&lt;wsp:rsid wsp:val=&quot;00F72483&quot;/&gt;&lt;wsp:rsid wsp:val=&quot;00F72585&quot;/&gt;&lt;wsp:rsid wsp:val=&quot;00F72818&quot;/&gt;&lt;wsp:rsid wsp:val=&quot;00F72A60&quot;/&gt;&lt;wsp:rsid wsp:val=&quot;00F736C3&quot;/&gt;&lt;wsp:rsid wsp:val=&quot;00F7380B&quot;/&gt;&lt;wsp:rsid wsp:val=&quot;00F73E36&quot;/&gt;&lt;wsp:rsid wsp:val=&quot;00F7404E&quot;/&gt;&lt;wsp:rsid wsp:val=&quot;00F7478E&quot;/&gt;&lt;wsp:rsid wsp:val=&quot;00F7551E&quot;/&gt;&lt;wsp:rsid wsp:val=&quot;00F75520&quot;/&gt;&lt;wsp:rsid wsp:val=&quot;00F75868&quot;/&gt;&lt;wsp:rsid wsp:val=&quot;00F75EAA&quot;/&gt;&lt;wsp:rsid wsp:val=&quot;00F76908&quot;/&gt;&lt;wsp:rsid wsp:val=&quot;00F77172&quot;/&gt;&lt;wsp:rsid wsp:val=&quot;00F77F08&quot;/&gt;&lt;wsp:rsid wsp:val=&quot;00F77F24&quot;/&gt;&lt;wsp:rsid wsp:val=&quot;00F77FAB&quot;/&gt;&lt;wsp:rsid wsp:val=&quot;00F80157&quot;/&gt;&lt;wsp:rsid wsp:val=&quot;00F8099A&quot;/&gt;&lt;wsp:rsid wsp:val=&quot;00F81351&quot;/&gt;&lt;wsp:rsid wsp:val=&quot;00F844BD&quot;/&gt;&lt;wsp:rsid wsp:val=&quot;00F8451A&quot;/&gt;&lt;wsp:rsid wsp:val=&quot;00F84FDD&quot;/&gt;&lt;wsp:rsid wsp:val=&quot;00F8568B&quot;/&gt;&lt;wsp:rsid wsp:val=&quot;00F8574E&quot;/&gt;&lt;wsp:rsid wsp:val=&quot;00F85AC8&quot;/&gt;&lt;wsp:rsid wsp:val=&quot;00F85C9C&quot;/&gt;&lt;wsp:rsid wsp:val=&quot;00F85FE8&quot;/&gt;&lt;wsp:rsid wsp:val=&quot;00F86558&quot;/&gt;&lt;wsp:rsid wsp:val=&quot;00F86804&quot;/&gt;&lt;wsp:rsid wsp:val=&quot;00F8680C&quot;/&gt;&lt;wsp:rsid wsp:val=&quot;00F86EB3&quot;/&gt;&lt;wsp:rsid wsp:val=&quot;00F87726&quot;/&gt;&lt;wsp:rsid wsp:val=&quot;00F8772D&quot;/&gt;&lt;wsp:rsid wsp:val=&quot;00F87E3F&quot;/&gt;&lt;wsp:rsid wsp:val=&quot;00F90196&quot;/&gt;&lt;wsp:rsid wsp:val=&quot;00F908E8&quot;/&gt;&lt;wsp:rsid wsp:val=&quot;00F91E89&quot;/&gt;&lt;wsp:rsid wsp:val=&quot;00F92318&quot;/&gt;&lt;wsp:rsid wsp:val=&quot;00F92548&quot;/&gt;&lt;wsp:rsid wsp:val=&quot;00F93027&quot;/&gt;&lt;wsp:rsid wsp:val=&quot;00F93913&quot;/&gt;&lt;wsp:rsid wsp:val=&quot;00F946B2&quot;/&gt;&lt;wsp:rsid wsp:val=&quot;00F951DC&quot;/&gt;&lt;wsp:rsid wsp:val=&quot;00F9588C&quot;/&gt;&lt;wsp:rsid wsp:val=&quot;00F960A1&quot;/&gt;&lt;wsp:rsid wsp:val=&quot;00F96933&quot;/&gt;&lt;wsp:rsid wsp:val=&quot;00F9695B&quot;/&gt;&lt;wsp:rsid wsp:val=&quot;00F97050&quot;/&gt;&lt;wsp:rsid wsp:val=&quot;00F97611&quot;/&gt;&lt;wsp:rsid wsp:val=&quot;00FA0114&quot;/&gt;&lt;wsp:rsid wsp:val=&quot;00FA04EA&quot;/&gt;&lt;wsp:rsid wsp:val=&quot;00FA0730&quot;/&gt;&lt;wsp:rsid wsp:val=&quot;00FA0887&quot;/&gt;&lt;wsp:rsid wsp:val=&quot;00FA0975&quot;/&gt;&lt;wsp:rsid wsp:val=&quot;00FA0B37&quot;/&gt;&lt;wsp:rsid wsp:val=&quot;00FA0C36&quot;/&gt;&lt;wsp:rsid wsp:val=&quot;00FA29C2&quot;/&gt;&lt;wsp:rsid wsp:val=&quot;00FA35CE&quot;/&gt;&lt;wsp:rsid wsp:val=&quot;00FA361A&quot;/&gt;&lt;wsp:rsid wsp:val=&quot;00FA3D74&quot;/&gt;&lt;wsp:rsid wsp:val=&quot;00FA48E5&quot;/&gt;&lt;wsp:rsid wsp:val=&quot;00FA53B1&quot;/&gt;&lt;wsp:rsid wsp:val=&quot;00FA6022&quot;/&gt;&lt;wsp:rsid wsp:val=&quot;00FA756D&quot;/&gt;&lt;wsp:rsid wsp:val=&quot;00FA7E60&quot;/&gt;&lt;wsp:rsid wsp:val=&quot;00FB066A&quot;/&gt;&lt;wsp:rsid wsp:val=&quot;00FB1563&quot;/&gt;&lt;wsp:rsid wsp:val=&quot;00FB1E70&quot;/&gt;&lt;wsp:rsid wsp:val=&quot;00FB265A&quot;/&gt;&lt;wsp:rsid wsp:val=&quot;00FB2E86&quot;/&gt;&lt;wsp:rsid wsp:val=&quot;00FB2F9F&quot;/&gt;&lt;wsp:rsid wsp:val=&quot;00FB30E1&quot;/&gt;&lt;wsp:rsid wsp:val=&quot;00FB4317&quot;/&gt;&lt;wsp:rsid wsp:val=&quot;00FB44DB&quot;/&gt;&lt;wsp:rsid wsp:val=&quot;00FB4BA3&quot;/&gt;&lt;wsp:rsid wsp:val=&quot;00FB505A&quot;/&gt;&lt;wsp:rsid wsp:val=&quot;00FB62EF&quot;/&gt;&lt;wsp:rsid wsp:val=&quot;00FB638A&quot;/&gt;&lt;wsp:rsid wsp:val=&quot;00FB6F8C&quot;/&gt;&lt;wsp:rsid wsp:val=&quot;00FB7497&quot;/&gt;&lt;wsp:rsid wsp:val=&quot;00FB7620&quot;/&gt;&lt;wsp:rsid wsp:val=&quot;00FB7667&quot;/&gt;&lt;wsp:rsid wsp:val=&quot;00FB78D3&quot;/&gt;&lt;wsp:rsid wsp:val=&quot;00FC001E&quot;/&gt;&lt;wsp:rsid wsp:val=&quot;00FC0DE5&quot;/&gt;&lt;wsp:rsid wsp:val=&quot;00FC0FB9&quot;/&gt;&lt;wsp:rsid wsp:val=&quot;00FC1516&quot;/&gt;&lt;wsp:rsid wsp:val=&quot;00FC1840&quot;/&gt;&lt;wsp:rsid wsp:val=&quot;00FC1E5D&quot;/&gt;&lt;wsp:rsid wsp:val=&quot;00FC29CE&quot;/&gt;&lt;wsp:rsid wsp:val=&quot;00FC2C52&quot;/&gt;&lt;wsp:rsid wsp:val=&quot;00FC304A&quot;/&gt;&lt;wsp:rsid wsp:val=&quot;00FC32F3&quot;/&gt;&lt;wsp:rsid wsp:val=&quot;00FC372A&quot;/&gt;&lt;wsp:rsid wsp:val=&quot;00FC3A01&quot;/&gt;&lt;wsp:rsid wsp:val=&quot;00FC449F&quot;/&gt;&lt;wsp:rsid wsp:val=&quot;00FC49E2&quot;/&gt;&lt;wsp:rsid wsp:val=&quot;00FC4E02&quot;/&gt;&lt;wsp:rsid wsp:val=&quot;00FC53B3&quot;/&gt;&lt;wsp:rsid wsp:val=&quot;00FC65F0&quot;/&gt;&lt;wsp:rsid wsp:val=&quot;00FC699E&quot;/&gt;&lt;wsp:rsid wsp:val=&quot;00FC6CAB&quot;/&gt;&lt;wsp:rsid wsp:val=&quot;00FC7EC0&quot;/&gt;&lt;wsp:rsid wsp:val=&quot;00FD05C2&quot;/&gt;&lt;wsp:rsid wsp:val=&quot;00FD0DC9&quot;/&gt;&lt;wsp:rsid wsp:val=&quot;00FD1053&quot;/&gt;&lt;wsp:rsid wsp:val=&quot;00FD1D17&quot;/&gt;&lt;wsp:rsid wsp:val=&quot;00FD273E&quot;/&gt;&lt;wsp:rsid wsp:val=&quot;00FD2C37&quot;/&gt;&lt;wsp:rsid wsp:val=&quot;00FD3886&quot;/&gt;&lt;wsp:rsid wsp:val=&quot;00FD39C9&quot;/&gt;&lt;wsp:rsid wsp:val=&quot;00FD4A3B&quot;/&gt;&lt;wsp:rsid wsp:val=&quot;00FD52BD&quot;/&gt;&lt;wsp:rsid wsp:val=&quot;00FD55C0&quot;/&gt;&lt;wsp:rsid wsp:val=&quot;00FD608E&quot;/&gt;&lt;wsp:rsid wsp:val=&quot;00FD6385&quot;/&gt;&lt;wsp:rsid wsp:val=&quot;00FD6A25&quot;/&gt;&lt;wsp:rsid wsp:val=&quot;00FD7A07&quot;/&gt;&lt;wsp:rsid wsp:val=&quot;00FD7A0D&quot;/&gt;&lt;wsp:rsid wsp:val=&quot;00FE096B&quot;/&gt;&lt;wsp:rsid wsp:val=&quot;00FE0CD4&quot;/&gt;&lt;wsp:rsid wsp:val=&quot;00FE0FFE&quot;/&gt;&lt;wsp:rsid wsp:val=&quot;00FE104B&quot;/&gt;&lt;wsp:rsid wsp:val=&quot;00FE10E7&quot;/&gt;&lt;wsp:rsid wsp:val=&quot;00FE1324&quot;/&gt;&lt;wsp:rsid wsp:val=&quot;00FE1404&quot;/&gt;&lt;wsp:rsid wsp:val=&quot;00FE140B&quot;/&gt;&lt;wsp:rsid wsp:val=&quot;00FE1488&quot;/&gt;&lt;wsp:rsid wsp:val=&quot;00FE260A&quot;/&gt;&lt;wsp:rsid wsp:val=&quot;00FE2FDD&quot;/&gt;&lt;wsp:rsid wsp:val=&quot;00FE3BF8&quot;/&gt;&lt;wsp:rsid wsp:val=&quot;00FE40DA&quot;/&gt;&lt;wsp:rsid wsp:val=&quot;00FE463E&quot;/&gt;&lt;wsp:rsid wsp:val=&quot;00FE4F69&quot;/&gt;&lt;wsp:rsid wsp:val=&quot;00FE5AFA&quot;/&gt;&lt;wsp:rsid wsp:val=&quot;00FE6A68&quot;/&gt;&lt;wsp:rsid wsp:val=&quot;00FE7771&quot;/&gt;&lt;wsp:rsid wsp:val=&quot;00FE7FFC&quot;/&gt;&lt;wsp:rsid wsp:val=&quot;00FF00B2&quot;/&gt;&lt;wsp:rsid wsp:val=&quot;00FF05AE&quot;/&gt;&lt;wsp:rsid wsp:val=&quot;00FF0828&quot;/&gt;&lt;wsp:rsid wsp:val=&quot;00FF115F&quot;/&gt;&lt;wsp:rsid wsp:val=&quot;00FF17B4&quot;/&gt;&lt;wsp:rsid wsp:val=&quot;00FF1824&quot;/&gt;&lt;wsp:rsid wsp:val=&quot;00FF1B75&quot;/&gt;&lt;wsp:rsid wsp:val=&quot;00FF1F7B&quot;/&gt;&lt;wsp:rsid wsp:val=&quot;00FF23A4&quot;/&gt;&lt;wsp:rsid wsp:val=&quot;00FF269E&quot;/&gt;&lt;wsp:rsid wsp:val=&quot;00FF2E22&quot;/&gt;&lt;wsp:rsid wsp:val=&quot;00FF35BE&quot;/&gt;&lt;wsp:rsid wsp:val=&quot;00FF3942&quot;/&gt;&lt;wsp:rsid wsp:val=&quot;00FF4DCB&quot;/&gt;&lt;wsp:rsid wsp:val=&quot;00FF6277&quot;/&gt;&lt;wsp:rsid wsp:val=&quot;00FF66B4&quot;/&gt;&lt;wsp:rsid wsp:val=&quot;00FF697E&quot;/&gt;&lt;wsp:rsid wsp:val=&quot;00FF6D3C&quot;/&gt;&lt;wsp:rsid wsp:val=&quot;00FF72BE&quot;/&gt;&lt;wsp:rsid wsp:val=&quot;00FF7787&quot;/&gt;&lt;wsp:rsid wsp:val=&quot;00FF7CCF&quot;/&gt;&lt;wsp:rsid wsp:val=&quot;027DC2FB&quot;/&gt;&lt;wsp:rsid wsp:val=&quot;0EBC97D3&quot;/&gt;&lt;wsp:rsid wsp:val=&quot;13D11E1F&quot;/&gt;&lt;wsp:rsid wsp:val=&quot;17AF5E5F&quot;/&gt;&lt;wsp:rsid wsp:val=&quot;29DB4871&quot;/&gt;&lt;wsp:rsid wsp:val=&quot;321E349C&quot;/&gt;&lt;wsp:rsid wsp:val=&quot;53937656&quot;/&gt;&lt;wsp:rsid wsp:val=&quot;5C7FCD88&quot;/&gt;&lt;wsp:rsid wsp:val=&quot;5D998B92&quot;/&gt;&lt;wsp:rsid wsp:val=&quot;60245706&quot;/&gt;&lt;wsp:rsid wsp:val=&quot;65595F93&quot;/&gt;&lt;wsp:rsid wsp:val=&quot;660821B5&quot;/&gt;&lt;wsp:rsid wsp:val=&quot;688BA25B&quot;/&gt;&lt;wsp:rsid wsp:val=&quot;6D7AA47D&quot;/&gt;&lt;wsp:rsid wsp:val=&quot;6E042E69&quot;/&gt;&lt;wsp:rsid wsp:val=&quot;74912A21&quot;/&gt;&lt;/wsp:rsids&gt;&lt;/w:docPr&gt;&lt;w:body&gt;&lt;wx:sect&gt;&lt;w:p wsp:rsidR=&quot;00000000&quot; wsp:rsidRPr=&quot;003B6E07&quot; wsp:rsidRDefault=&quot;003B6E07&quot; wsp:rsidP=&quot;003B6E07&quot;&gt;&lt;m:oMathPara&gt;&lt;m:oMath&gt;&lt;m:r&gt;&lt;m:rPr&gt;&lt;m:sty m:val=&quot;p&quot;/&gt;&lt;/m:rPr&gt;&lt;w:rPr&gt;&lt;w:rFonts w:ascii=&quot;Cambria Math&quot; w:h-ansi=&quot;Cambria Math&quot;/&gt;&lt;wx:font wx:val=&quot;Cambria Math&quot;/&gt;&lt;/w:rPr&gt;&lt;m:t&gt;â^†&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i&lt;/m:t&gt;&lt;/m:r&gt;&lt;/m:sub&gt;&lt;/m:sSub&gt;&lt;m:r&gt;&lt;m:rPr&gt;&lt;m:sty m:val=&quot;p&quot;/&gt;&lt;/m:rPr&gt;&lt;w:rPr&gt;&lt;w:rFonts w:ascii=&quot;Cambria Math&quot; w:h-ansi=&quot;Cambria Math&quot;/&gt;&lt;wx:font wx:val=&quot;Cambria Math&quot;/&gt;&lt;/w:rPr&gt;&lt;m:t&gt;=&lt;/m:t&gt;&lt;/m:r&gt;&lt;m:d&gt;&lt;m:dPr&gt;&lt;m:begChr m:val=&quot;|&quot;/&gt;&lt;m:endChr m:val=&quot;|&quot;/&gt;&lt;m:ctrlPr&gt;&lt;w:rPr&gt;&lt;w:rFonts w:ascii=&quot;Cambria Math&quot; w:h-ansi=&quot;Cambria Math&quot;/&gt;&lt;wx:font wx:val=&quot;Cambria Math&quot;/&gt;&lt;/w:rPr&gt;&lt;/m:ctrlPr&gt;&lt;/m:dPr&gt;&lt;m:e&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i&lt;/m:t&gt;&lt;/m:r&gt;&lt;/m:sub&gt;&lt;/m:sSub&gt;&lt;m:r&gt;&lt;m:rPr&gt;&lt;m:sty m:val=&quot;p&quot;/&gt;&lt;/m:rPr&gt;&lt;w:rPr&gt;&lt;w:rFonts w:ascii=&quot;Cambria Math&quot; w:h-ansi=&quot;Cambria Math&quot;/&gt;&lt;wx:font wx:val=&quot;Cambria Math&quot;/&gt;&lt;/w:rPr&gt;&lt;m:t&gt;-&lt;/m:t&gt;&lt;/m:r&gt;&lt;m:sSub&gt;&lt;m:sSubPr&gt;&lt;m:ctrlPr&gt;&lt;w:rPr&gt;&lt;w:rFonts w:ascii=&quot;Cambria Math&quot; w:h-ansi=&quot;Cambria Math&quot;/&gt;&lt;wx:font wx:val=&quot;Cambria Math&quot;/&gt;&lt;/w:rPr&gt;&lt;/m:ctrlPr&gt;&lt;/m:sSubPr&gt;&lt;m:e&gt;&lt;m:r&gt;&lt;w:rPr&gt;&lt;w:rFonts w:ascii=&quot;Cambria Math&quot; w:h-ansi=&quot;Cambria Math&quot;/&gt;&lt;wx:font wx:val=&quot;Cambria Math&quot;/&gt;&lt;w:i/&gt;&lt;/w:rPr&gt;&lt;m:t&gt;P&lt;/m:t&gt;&lt;/m:r&gt;&lt;/m:e&gt;&lt;m:sub&gt;&lt;m:r&gt;&lt;w:rPr&gt;&lt;w:rFonts w:ascii=&quot;Cambria Math&quot; w:h-ansi=&quot;Cambria Math&quot;/&gt;&lt;wx:font wx:val=&quot;Cambria Math&quot;/&gt;&lt;w:i/&gt;&lt;/w:rPr&gt;&lt;m:t&gt;i&lt;/m:t&gt;&lt;/m:r&gt;&lt;m:r&gt;&lt;m:rPr&gt;&lt;m:sty m:val=&quot;p&quot;/&gt;&lt;/m:rPr&gt;&lt;w:rPr&gt;&lt;w:rFonts w:ascii=&quot;Cambria Math&quot; w:h-ansi=&quot;Cambria Math&quot;/&gt;&lt;wx:font wx:val=&quot;Cambria Math&quot;/&gt;&lt;/w:rPr&gt;&lt;m:t&gt;-1&lt;/m:t&gt;&lt;/m:r&gt;&lt;/m:sub&gt;&lt;/m:sSub&gt;&lt;/m:e&gt;&lt;/m:d&gt;&lt;/m:oMath&gt;&lt;/m:oMathPara&gt;&lt;/w:p&gt;&lt;w:sectPr wsp:rsidR=&quot;00000000&quot; wsp:rsidRPr=&quot;003B6E07&quot;&gt;&lt;w:pgSz w:w=&quot;12240&quot; w:h=&quot;15840&quot;/&gt;&lt;w:pgMar w:top=&quot;1417&quot; w:right=&quot;1417&quot; w:bottom=&quot;1417&quot; w:left=&quot;1417&quot; w:header=&quot;708&quot; w:footer=&quot;708&quot; w:gutter=&quot;0&quot;/&gt;&lt;w:cols w:space=&quot;708&quot;/&gt;&lt;/w:sectPr&gt;&lt;/wx:sect&gt;&lt;/w:body&gt;&lt;/w:wordDocument&gt;">
            <v:imagedata r:id="rId33" o:title="" chromakey="white"/>
          </v:shape>
        </w:pict>
      </w:r>
    </w:p>
    <w:p w14:paraId="49CC24D9" w14:textId="77777777" w:rsidR="008A23A2" w:rsidRPr="008A23A2" w:rsidRDefault="008A23A2" w:rsidP="008A23A2">
      <w:pPr>
        <w:pStyle w:val="11StopPowodzi-Listawypunktowana"/>
        <w:numPr>
          <w:ilvl w:val="0"/>
          <w:numId w:val="0"/>
        </w:numPr>
        <w:spacing w:before="0" w:after="160" w:line="240" w:lineRule="auto"/>
        <w:rPr>
          <w:lang w:val="pl-PL" w:eastAsia="zh-CN"/>
        </w:rPr>
      </w:pPr>
      <w:r w:rsidRPr="008A23A2">
        <w:rPr>
          <w:lang w:val="pl-PL" w:eastAsia="zh-CN"/>
        </w:rPr>
        <w:t>Metodyka zaimplementowana w analizach rozkładu zagrożenia powodziowego aPZRPM nieco różni się od podstawowych elementów wyznaczania AAD. Analogicznie do obliczeń AAD w aPZRP w analizach nie są wykorzystywane pojedyncze krzywe prawdopodobieństwa przepływów maksymalnych. Zamiast tego opracowane zostały kompleksowe profile przepływów maksymalnych prawdopodobnych. Natomiast krzywe przepływów reprezentowane są przez modele matematyczne wiążące przepływy i stany wody. Pozwala to na całościowe uwzględnienie złożoności topograficznej cieku oraz specyfiki funkcjonowania obiektów hydrotechnicznych. Szczegółowość informacji hydrologicznej jest znacznie większa niż wynikałoby to z podstawowych założeń AAD.</w:t>
      </w:r>
    </w:p>
    <w:p w14:paraId="37AE80FC" w14:textId="77777777" w:rsidR="008A23A2" w:rsidRPr="008A23A2" w:rsidRDefault="008A23A2" w:rsidP="008A23A2">
      <w:pPr>
        <w:pStyle w:val="11StopPowodzi-Listawypunktowana"/>
        <w:numPr>
          <w:ilvl w:val="0"/>
          <w:numId w:val="0"/>
        </w:numPr>
        <w:spacing w:before="0" w:after="160" w:line="240" w:lineRule="auto"/>
        <w:rPr>
          <w:lang w:val="pl-PL" w:eastAsia="zh-CN"/>
        </w:rPr>
      </w:pPr>
      <w:r w:rsidRPr="008A23A2">
        <w:rPr>
          <w:lang w:val="pl-PL" w:eastAsia="zh-CN"/>
        </w:rPr>
        <w:t xml:space="preserve">Implementacja modelowania matematycznego na bazie kompleksowych danych hydrologicznych pozwoliła na wyznaczanie zasięgów zalewu dla wybranych przepływów maksymalnych. W ramach projektu ISOK, stanowiącego podstawę realizacji aPZRPM, przyjęto, że będą to przepływy odpowiadające prawdopodobieństwu przekroczenia 1% oraz 0.2%. </w:t>
      </w:r>
    </w:p>
    <w:p w14:paraId="3C970975" w14:textId="5BC76A97" w:rsidR="008A23A2" w:rsidRPr="008A23A2" w:rsidRDefault="001224FB" w:rsidP="008A23A2">
      <w:pPr>
        <w:pStyle w:val="11StopPowodzi-Listawypunktowana"/>
        <w:numPr>
          <w:ilvl w:val="0"/>
          <w:numId w:val="0"/>
        </w:numPr>
        <w:spacing w:before="0" w:after="160" w:line="240" w:lineRule="auto"/>
        <w:rPr>
          <w:lang w:val="pl-PL" w:eastAsia="zh-CN"/>
        </w:rPr>
      </w:pPr>
      <w:r>
        <w:rPr>
          <w:lang w:val="pl-PL" w:eastAsia="zh-CN"/>
        </w:rPr>
        <w:br w:type="column"/>
      </w:r>
      <w:r w:rsidR="008A23A2" w:rsidRPr="008A23A2">
        <w:rPr>
          <w:lang w:val="pl-PL" w:eastAsia="zh-CN"/>
        </w:rPr>
        <w:lastRenderedPageBreak/>
        <w:t xml:space="preserve">W załączniku 6 – Analiza kosztów i korzyści zamieszczono wyliczenie AAD dla każdego, wyznaczonego obszaru problemowego w poszczególnych wariantach. Wyliczone w ten sposób potencjalne koszty wynikające ze strat powodziowych stały się podstawą do szacowania korzyści ekonomicznych, które dzięki realizacjom inwestycji uda się osiągnąć. W dalszej kolejności przeprowadzona analiza kosztów i korzyści dla każdego obszaru problemowego, która miała na celu wykazać, które przedsięwzięcia związane z ochroną przeciwpowodziową powinny zostać zrealizowane i dla których wariantów korzyści wszystkich użytkowników (zdyskontowane przy uwzględnieniu całkowitego cyklu życia przedsięwzięcia) przewyższają całkowite koszty. </w:t>
      </w:r>
    </w:p>
    <w:p w14:paraId="25AF1BFD" w14:textId="0C511A98" w:rsidR="008A23A2" w:rsidRDefault="008A23A2" w:rsidP="008A23A2">
      <w:pPr>
        <w:pStyle w:val="11StopPowodzi-Listawypunktowana"/>
        <w:numPr>
          <w:ilvl w:val="0"/>
          <w:numId w:val="0"/>
        </w:numPr>
        <w:spacing w:before="0" w:after="160" w:line="240" w:lineRule="auto"/>
        <w:rPr>
          <w:lang w:val="pl-PL" w:eastAsia="zh-CN"/>
        </w:rPr>
      </w:pPr>
      <w:r w:rsidRPr="008A23A2">
        <w:rPr>
          <w:lang w:val="pl-PL" w:eastAsia="zh-CN"/>
        </w:rPr>
        <w:t xml:space="preserve">Wyniki przeprowadzonych analiz kosztów i korzyści, a w szczególności wskaźnik B/C zostały wykorzystane w analizie wielokryterialnej. </w:t>
      </w:r>
    </w:p>
    <w:p w14:paraId="1E75F6BD" w14:textId="2E876902" w:rsidR="001224FB" w:rsidRDefault="001224FB" w:rsidP="008A23A2">
      <w:pPr>
        <w:pStyle w:val="11StopPowodzi-Listawypunktowana"/>
        <w:numPr>
          <w:ilvl w:val="0"/>
          <w:numId w:val="0"/>
        </w:numPr>
        <w:spacing w:before="0" w:after="160" w:line="240" w:lineRule="auto"/>
        <w:rPr>
          <w:lang w:val="pl-PL" w:eastAsia="zh-CN"/>
        </w:rPr>
      </w:pPr>
    </w:p>
    <w:p w14:paraId="52339458" w14:textId="0D932C38" w:rsidR="00107FCF" w:rsidRDefault="00AF7C5E" w:rsidP="00AF7C5E">
      <w:pPr>
        <w:pStyle w:val="ReportLevel3"/>
      </w:pPr>
      <w:r>
        <w:t>5.2.9</w:t>
      </w:r>
      <w:r>
        <w:tab/>
      </w:r>
      <w:r w:rsidR="00107FCF">
        <w:t>Wynik analizy</w:t>
      </w:r>
    </w:p>
    <w:p w14:paraId="1FCEC45E" w14:textId="49274531" w:rsidR="00107FCF" w:rsidRDefault="00107FCF" w:rsidP="000342F8">
      <w:pPr>
        <w:pStyle w:val="ReportText"/>
        <w:spacing w:before="120" w:after="120"/>
        <w:jc w:val="both"/>
      </w:pPr>
      <w:r>
        <w:t xml:space="preserve">W przeprowadzonych analizach uwzględniono szacunkowe nakłady inwestycyjne, związane z inwestycjami budowlanymi oraz zakupami składników majątku trwałego. Dla określenia poziomu nakładów inwestycyjnych wykorzystano aktualne ceny realizacji podobnych inwestycji, w tym dostępne cenniki dla rozwiązań mobilnych oferowanych przez producentów. Nakłady poddano </w:t>
      </w:r>
      <w:r w:rsidRPr="006A7977">
        <w:t xml:space="preserve">indeksacji oraz przyjęto założenie, że realizacja inwestycji dla wszystkich analizowanych wariantów zostanie przeprowadzona w latach 2025-2027. Wyniki analizy kosztów i korzyści </w:t>
      </w:r>
      <w:r w:rsidR="001224FB">
        <w:t>zaprezentowane są w Tabeli 10</w:t>
      </w:r>
      <w:bookmarkStart w:id="76" w:name="_Hlk79752674"/>
      <w:r w:rsidR="001224FB">
        <w:t xml:space="preserve">, </w:t>
      </w:r>
      <w:r w:rsidRPr="001F2C1F">
        <w:t>oraz</w:t>
      </w:r>
      <w:r>
        <w:t xml:space="preserve"> w</w:t>
      </w:r>
      <w:r w:rsidR="001224FB">
        <w:t> </w:t>
      </w:r>
      <w:r w:rsidRPr="001F2C1F">
        <w:t>Załącznik</w:t>
      </w:r>
      <w:r>
        <w:t>u</w:t>
      </w:r>
      <w:r w:rsidRPr="001F2C1F">
        <w:t xml:space="preserve"> 6 – Analiza kosztów i korzyści.</w:t>
      </w:r>
      <w:bookmarkEnd w:id="76"/>
    </w:p>
    <w:p w14:paraId="5A50202A" w14:textId="7FC5B23F" w:rsidR="00107FCF" w:rsidRDefault="00107FCF" w:rsidP="00567ACB">
      <w:pPr>
        <w:pStyle w:val="Legenda"/>
        <w:tabs>
          <w:tab w:val="clear" w:pos="1080"/>
          <w:tab w:val="left" w:pos="1276"/>
        </w:tabs>
        <w:ind w:left="1134" w:hanging="1134"/>
        <w:jc w:val="both"/>
      </w:pPr>
      <w:bookmarkStart w:id="77" w:name="_Ref76719346"/>
      <w:bookmarkStart w:id="78" w:name="_Ref76719323"/>
      <w:bookmarkStart w:id="79" w:name="_Toc80608762"/>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9</w:t>
      </w:r>
      <w:r w:rsidR="00290AD4">
        <w:rPr>
          <w:sz w:val="24"/>
          <w:szCs w:val="28"/>
        </w:rPr>
        <w:fldChar w:fldCharType="end"/>
      </w:r>
      <w:bookmarkEnd w:id="77"/>
      <w:r w:rsidR="00567ACB">
        <w:rPr>
          <w:sz w:val="24"/>
          <w:szCs w:val="28"/>
        </w:rPr>
        <w:tab/>
      </w:r>
      <w:r w:rsidRPr="003E107C">
        <w:rPr>
          <w:sz w:val="24"/>
          <w:szCs w:val="28"/>
        </w:rPr>
        <w:t>Szacunkowe koszty realizacji wariantów</w:t>
      </w:r>
      <w:bookmarkEnd w:id="78"/>
      <w:r w:rsidRPr="003E107C">
        <w:rPr>
          <w:sz w:val="24"/>
          <w:szCs w:val="28"/>
        </w:rPr>
        <w:t xml:space="preserve"> (w tys. zł) *</w:t>
      </w:r>
      <w:bookmarkEnd w:id="79"/>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2831"/>
        <w:gridCol w:w="2832"/>
        <w:gridCol w:w="2832"/>
      </w:tblGrid>
      <w:tr w:rsidR="00107FCF" w:rsidRPr="00507221" w14:paraId="132E9D34" w14:textId="77777777" w:rsidTr="006A3BC1">
        <w:trPr>
          <w:trHeight w:val="325"/>
        </w:trPr>
        <w:tc>
          <w:tcPr>
            <w:tcW w:w="1666" w:type="pct"/>
            <w:vMerge w:val="restart"/>
            <w:tcBorders>
              <w:bottom w:val="single" w:sz="12" w:space="0" w:color="7ECBED"/>
            </w:tcBorders>
            <w:shd w:val="clear" w:color="auto" w:fill="D4EDF9"/>
          </w:tcPr>
          <w:p w14:paraId="4EEED92D" w14:textId="77777777" w:rsidR="00107FCF" w:rsidRPr="00507221" w:rsidRDefault="00107FCF" w:rsidP="000B79D0">
            <w:pPr>
              <w:rPr>
                <w:b/>
                <w:bCs/>
                <w:highlight w:val="green"/>
              </w:rPr>
            </w:pPr>
            <w:r w:rsidRPr="00507221">
              <w:t>Nazwa obszaru problemowego</w:t>
            </w:r>
          </w:p>
        </w:tc>
        <w:tc>
          <w:tcPr>
            <w:tcW w:w="3334" w:type="pct"/>
            <w:gridSpan w:val="2"/>
            <w:tcBorders>
              <w:bottom w:val="single" w:sz="12" w:space="0" w:color="7ECBED"/>
            </w:tcBorders>
            <w:shd w:val="clear" w:color="auto" w:fill="D4EDF9"/>
            <w:vAlign w:val="center"/>
          </w:tcPr>
          <w:p w14:paraId="3C0E7F18" w14:textId="77777777" w:rsidR="00107FCF" w:rsidRPr="00507221" w:rsidRDefault="00107FCF" w:rsidP="00507221">
            <w:pPr>
              <w:jc w:val="center"/>
              <w:rPr>
                <w:b/>
                <w:bCs/>
              </w:rPr>
            </w:pPr>
            <w:r w:rsidRPr="00507221">
              <w:t>Szacunkowe koszty realizacji wariantów</w:t>
            </w:r>
          </w:p>
        </w:tc>
      </w:tr>
      <w:tr w:rsidR="00107FCF" w:rsidRPr="00507221" w14:paraId="0D01A0F5" w14:textId="77777777" w:rsidTr="006A3BC1">
        <w:trPr>
          <w:trHeight w:val="325"/>
        </w:trPr>
        <w:tc>
          <w:tcPr>
            <w:tcW w:w="1666" w:type="pct"/>
            <w:vMerge/>
            <w:shd w:val="clear" w:color="auto" w:fill="D4EDF9"/>
          </w:tcPr>
          <w:p w14:paraId="7E51936D" w14:textId="77777777" w:rsidR="00107FCF" w:rsidRPr="00507221" w:rsidRDefault="00107FCF" w:rsidP="00AC5A0B">
            <w:pPr>
              <w:rPr>
                <w:b/>
                <w:bCs/>
              </w:rPr>
            </w:pPr>
          </w:p>
        </w:tc>
        <w:tc>
          <w:tcPr>
            <w:tcW w:w="1667" w:type="pct"/>
            <w:shd w:val="clear" w:color="auto" w:fill="D4EDF9"/>
            <w:vAlign w:val="center"/>
          </w:tcPr>
          <w:p w14:paraId="1A91BE00" w14:textId="77777777" w:rsidR="00107FCF" w:rsidRPr="00507221" w:rsidRDefault="00107FCF" w:rsidP="00507221">
            <w:pPr>
              <w:jc w:val="center"/>
              <w:rPr>
                <w:b/>
                <w:bCs/>
              </w:rPr>
            </w:pPr>
            <w:r w:rsidRPr="00507221">
              <w:t>Wariant 1</w:t>
            </w:r>
          </w:p>
        </w:tc>
        <w:tc>
          <w:tcPr>
            <w:tcW w:w="1667" w:type="pct"/>
            <w:shd w:val="clear" w:color="auto" w:fill="D4EDF9"/>
            <w:vAlign w:val="center"/>
          </w:tcPr>
          <w:p w14:paraId="6432D426" w14:textId="77777777" w:rsidR="00107FCF" w:rsidRPr="00507221" w:rsidRDefault="00107FCF" w:rsidP="00507221">
            <w:pPr>
              <w:jc w:val="center"/>
              <w:rPr>
                <w:b/>
                <w:bCs/>
              </w:rPr>
            </w:pPr>
            <w:r w:rsidRPr="00507221">
              <w:t>Wariant 2</w:t>
            </w:r>
          </w:p>
        </w:tc>
      </w:tr>
      <w:tr w:rsidR="00107FCF" w:rsidRPr="00507221" w14:paraId="19A84DA5" w14:textId="77777777" w:rsidTr="006A3BC1">
        <w:tc>
          <w:tcPr>
            <w:tcW w:w="1666" w:type="pct"/>
          </w:tcPr>
          <w:p w14:paraId="128880BE" w14:textId="77777777" w:rsidR="00107FCF" w:rsidRPr="00507221" w:rsidRDefault="00107FCF" w:rsidP="00AC5A0B">
            <w:pPr>
              <w:rPr>
                <w:b/>
                <w:bCs/>
              </w:rPr>
            </w:pPr>
            <w:r w:rsidRPr="00507221">
              <w:t>IOP_3 Świnoujście</w:t>
            </w:r>
          </w:p>
        </w:tc>
        <w:tc>
          <w:tcPr>
            <w:tcW w:w="1667" w:type="pct"/>
            <w:vAlign w:val="center"/>
          </w:tcPr>
          <w:p w14:paraId="19BFB32C" w14:textId="77777777" w:rsidR="00107FCF" w:rsidRPr="00507221" w:rsidRDefault="00107FCF" w:rsidP="00507221">
            <w:pPr>
              <w:jc w:val="right"/>
            </w:pPr>
            <w:r w:rsidRPr="00507221">
              <w:t>5 718</w:t>
            </w:r>
          </w:p>
        </w:tc>
        <w:tc>
          <w:tcPr>
            <w:tcW w:w="1667" w:type="pct"/>
            <w:vAlign w:val="center"/>
          </w:tcPr>
          <w:p w14:paraId="6A4950A9" w14:textId="77777777" w:rsidR="00107FCF" w:rsidRPr="00507221" w:rsidRDefault="00107FCF" w:rsidP="00507221">
            <w:pPr>
              <w:jc w:val="right"/>
            </w:pPr>
            <w:r w:rsidRPr="00507221">
              <w:t>32 059</w:t>
            </w:r>
          </w:p>
        </w:tc>
      </w:tr>
      <w:tr w:rsidR="00107FCF" w:rsidRPr="00507221" w14:paraId="5469AE7E" w14:textId="77777777" w:rsidTr="006A3BC1">
        <w:tc>
          <w:tcPr>
            <w:tcW w:w="1666" w:type="pct"/>
          </w:tcPr>
          <w:p w14:paraId="68B77C25" w14:textId="77777777" w:rsidR="00107FCF" w:rsidRPr="00507221" w:rsidRDefault="00107FCF" w:rsidP="00AC5A0B">
            <w:pPr>
              <w:rPr>
                <w:b/>
                <w:bCs/>
              </w:rPr>
            </w:pPr>
            <w:r w:rsidRPr="00507221">
              <w:t>IOP_4 Kołobrzeg</w:t>
            </w:r>
          </w:p>
        </w:tc>
        <w:tc>
          <w:tcPr>
            <w:tcW w:w="1667" w:type="pct"/>
            <w:vAlign w:val="center"/>
          </w:tcPr>
          <w:p w14:paraId="62228309" w14:textId="77777777" w:rsidR="00107FCF" w:rsidRPr="00507221" w:rsidRDefault="00107FCF" w:rsidP="00507221">
            <w:pPr>
              <w:jc w:val="right"/>
            </w:pPr>
            <w:r w:rsidRPr="00507221">
              <w:t>4 514</w:t>
            </w:r>
          </w:p>
        </w:tc>
        <w:tc>
          <w:tcPr>
            <w:tcW w:w="1667" w:type="pct"/>
            <w:vAlign w:val="center"/>
          </w:tcPr>
          <w:p w14:paraId="6109EA2D" w14:textId="77777777" w:rsidR="00107FCF" w:rsidRPr="00507221" w:rsidRDefault="00107FCF" w:rsidP="00507221">
            <w:pPr>
              <w:jc w:val="right"/>
            </w:pPr>
            <w:r w:rsidRPr="00507221">
              <w:t>16 400</w:t>
            </w:r>
          </w:p>
        </w:tc>
      </w:tr>
      <w:tr w:rsidR="00107FCF" w:rsidRPr="00507221" w14:paraId="69D87CE2" w14:textId="77777777" w:rsidTr="006A3BC1">
        <w:tc>
          <w:tcPr>
            <w:tcW w:w="1666" w:type="pct"/>
          </w:tcPr>
          <w:p w14:paraId="7557F20F" w14:textId="77777777" w:rsidR="00107FCF" w:rsidRPr="00507221" w:rsidRDefault="00107FCF" w:rsidP="00AC5A0B">
            <w:pPr>
              <w:rPr>
                <w:b/>
                <w:bCs/>
              </w:rPr>
            </w:pPr>
            <w:r w:rsidRPr="00507221">
              <w:t>IOP_6 Darłowo</w:t>
            </w:r>
          </w:p>
        </w:tc>
        <w:tc>
          <w:tcPr>
            <w:tcW w:w="1667" w:type="pct"/>
            <w:vAlign w:val="center"/>
          </w:tcPr>
          <w:p w14:paraId="49EE24EE" w14:textId="77777777" w:rsidR="00107FCF" w:rsidRPr="00507221" w:rsidRDefault="00107FCF" w:rsidP="00507221">
            <w:pPr>
              <w:jc w:val="right"/>
            </w:pPr>
            <w:r w:rsidRPr="00507221">
              <w:t>23 156</w:t>
            </w:r>
          </w:p>
        </w:tc>
        <w:tc>
          <w:tcPr>
            <w:tcW w:w="1667" w:type="pct"/>
            <w:vAlign w:val="center"/>
          </w:tcPr>
          <w:p w14:paraId="500BA57D" w14:textId="77777777" w:rsidR="00107FCF" w:rsidRPr="00507221" w:rsidRDefault="00107FCF" w:rsidP="00507221">
            <w:pPr>
              <w:jc w:val="right"/>
            </w:pPr>
            <w:r w:rsidRPr="00507221">
              <w:t>18 242</w:t>
            </w:r>
          </w:p>
        </w:tc>
      </w:tr>
      <w:tr w:rsidR="00107FCF" w:rsidRPr="00507221" w14:paraId="53947FD3" w14:textId="77777777" w:rsidTr="006A3BC1">
        <w:tc>
          <w:tcPr>
            <w:tcW w:w="1666" w:type="pct"/>
          </w:tcPr>
          <w:p w14:paraId="313BC717" w14:textId="77777777" w:rsidR="00107FCF" w:rsidRPr="00507221" w:rsidRDefault="00107FCF" w:rsidP="00AC5A0B">
            <w:pPr>
              <w:rPr>
                <w:b/>
                <w:bCs/>
              </w:rPr>
            </w:pPr>
            <w:r w:rsidRPr="00507221">
              <w:t>IOP_9 Trzebież</w:t>
            </w:r>
          </w:p>
        </w:tc>
        <w:tc>
          <w:tcPr>
            <w:tcW w:w="1667" w:type="pct"/>
            <w:vAlign w:val="center"/>
          </w:tcPr>
          <w:p w14:paraId="5D5180CA" w14:textId="77777777" w:rsidR="00107FCF" w:rsidRPr="00507221" w:rsidRDefault="00107FCF" w:rsidP="00507221">
            <w:pPr>
              <w:jc w:val="right"/>
            </w:pPr>
            <w:r w:rsidRPr="00507221">
              <w:t>4 198</w:t>
            </w:r>
          </w:p>
        </w:tc>
        <w:tc>
          <w:tcPr>
            <w:tcW w:w="1667" w:type="pct"/>
            <w:vAlign w:val="center"/>
          </w:tcPr>
          <w:p w14:paraId="1AC6B182" w14:textId="77777777" w:rsidR="00107FCF" w:rsidRPr="00507221" w:rsidRDefault="00107FCF" w:rsidP="00507221">
            <w:pPr>
              <w:jc w:val="right"/>
            </w:pPr>
            <w:r w:rsidRPr="00507221">
              <w:t>6 704</w:t>
            </w:r>
          </w:p>
        </w:tc>
      </w:tr>
      <w:tr w:rsidR="00107FCF" w:rsidRPr="00507221" w14:paraId="376114F3" w14:textId="77777777" w:rsidTr="006A3BC1">
        <w:tc>
          <w:tcPr>
            <w:tcW w:w="1666" w:type="pct"/>
          </w:tcPr>
          <w:p w14:paraId="02F892F4" w14:textId="77777777" w:rsidR="00107FCF" w:rsidRPr="00507221" w:rsidRDefault="00107FCF" w:rsidP="00AC5A0B">
            <w:pPr>
              <w:rPr>
                <w:b/>
                <w:bCs/>
              </w:rPr>
            </w:pPr>
            <w:r w:rsidRPr="00507221">
              <w:t>IOP_10 Stepnica</w:t>
            </w:r>
          </w:p>
        </w:tc>
        <w:tc>
          <w:tcPr>
            <w:tcW w:w="1667" w:type="pct"/>
            <w:vAlign w:val="center"/>
          </w:tcPr>
          <w:p w14:paraId="152A5131" w14:textId="77777777" w:rsidR="00107FCF" w:rsidRPr="00507221" w:rsidRDefault="00107FCF" w:rsidP="00507221">
            <w:pPr>
              <w:jc w:val="right"/>
            </w:pPr>
            <w:r w:rsidRPr="00507221">
              <w:t>2 193</w:t>
            </w:r>
          </w:p>
        </w:tc>
        <w:tc>
          <w:tcPr>
            <w:tcW w:w="1667" w:type="pct"/>
            <w:vAlign w:val="center"/>
          </w:tcPr>
          <w:p w14:paraId="13798146" w14:textId="77777777" w:rsidR="00107FCF" w:rsidRPr="00507221" w:rsidRDefault="00107FCF" w:rsidP="00507221">
            <w:pPr>
              <w:jc w:val="right"/>
            </w:pPr>
            <w:r w:rsidRPr="00507221">
              <w:t>3 632</w:t>
            </w:r>
          </w:p>
        </w:tc>
      </w:tr>
      <w:tr w:rsidR="00107FCF" w:rsidRPr="00507221" w14:paraId="433815CA" w14:textId="77777777" w:rsidTr="006A3BC1">
        <w:tc>
          <w:tcPr>
            <w:tcW w:w="1666" w:type="pct"/>
          </w:tcPr>
          <w:p w14:paraId="226D82CC" w14:textId="77777777" w:rsidR="00107FCF" w:rsidRPr="00507221" w:rsidRDefault="00107FCF" w:rsidP="00AC5A0B">
            <w:pPr>
              <w:rPr>
                <w:b/>
                <w:bCs/>
              </w:rPr>
            </w:pPr>
            <w:r w:rsidRPr="00507221">
              <w:t>IOP_11 Nowe Warpno</w:t>
            </w:r>
          </w:p>
        </w:tc>
        <w:tc>
          <w:tcPr>
            <w:tcW w:w="1667" w:type="pct"/>
            <w:vAlign w:val="center"/>
          </w:tcPr>
          <w:p w14:paraId="5E3FA1C0" w14:textId="77777777" w:rsidR="00107FCF" w:rsidRPr="00507221" w:rsidRDefault="00107FCF" w:rsidP="00507221">
            <w:pPr>
              <w:jc w:val="right"/>
            </w:pPr>
            <w:r w:rsidRPr="00507221">
              <w:t>69</w:t>
            </w:r>
          </w:p>
        </w:tc>
        <w:tc>
          <w:tcPr>
            <w:tcW w:w="1667" w:type="pct"/>
            <w:vAlign w:val="center"/>
          </w:tcPr>
          <w:p w14:paraId="4A2D3431" w14:textId="77777777" w:rsidR="00107FCF" w:rsidRPr="00507221" w:rsidRDefault="00107FCF" w:rsidP="00507221">
            <w:pPr>
              <w:jc w:val="right"/>
            </w:pPr>
            <w:r w:rsidRPr="00507221">
              <w:t>544</w:t>
            </w:r>
          </w:p>
        </w:tc>
      </w:tr>
    </w:tbl>
    <w:p w14:paraId="59A8C5FD" w14:textId="4903E15F" w:rsidR="00107FCF" w:rsidRPr="001C23A2" w:rsidRDefault="001C23A2" w:rsidP="001C23A2">
      <w:pPr>
        <w:pStyle w:val="ReportText"/>
        <w:spacing w:line="240" w:lineRule="auto"/>
        <w:ind w:left="142" w:hanging="142"/>
        <w:jc w:val="both"/>
        <w:rPr>
          <w:sz w:val="18"/>
          <w:szCs w:val="18"/>
          <w:lang w:eastAsia="zh-CN"/>
        </w:rPr>
      </w:pPr>
      <w:r>
        <w:rPr>
          <w:sz w:val="18"/>
          <w:szCs w:val="18"/>
          <w:lang w:eastAsia="zh-CN"/>
        </w:rPr>
        <w:t>*</w:t>
      </w:r>
      <w:r>
        <w:rPr>
          <w:sz w:val="18"/>
          <w:szCs w:val="18"/>
          <w:lang w:eastAsia="zh-CN"/>
        </w:rPr>
        <w:tab/>
      </w:r>
      <w:r w:rsidR="00107FCF" w:rsidRPr="001C23A2">
        <w:rPr>
          <w:sz w:val="18"/>
          <w:szCs w:val="18"/>
          <w:lang w:eastAsia="zh-CN"/>
        </w:rPr>
        <w:t>Szacunkowe koszty realizacji inwestycji (bez uwzględnienia kosztów usunięcia kolizji, projektu i nadzorów autorskich, zarządzania i nadzoru inwestorskiego, rezerwy inwestycyjnej, ewentualnego kosztu wykupu gruntów)</w:t>
      </w:r>
    </w:p>
    <w:p w14:paraId="3AC0726C" w14:textId="27088F97" w:rsidR="00107FCF" w:rsidRPr="003E107C" w:rsidRDefault="001224FB" w:rsidP="001C23A2">
      <w:pPr>
        <w:pStyle w:val="Legenda"/>
        <w:tabs>
          <w:tab w:val="clear" w:pos="1080"/>
        </w:tabs>
        <w:spacing w:before="240"/>
        <w:ind w:left="1134" w:hanging="1134"/>
        <w:jc w:val="both"/>
        <w:rPr>
          <w:sz w:val="24"/>
          <w:szCs w:val="28"/>
        </w:rPr>
      </w:pPr>
      <w:bookmarkStart w:id="80" w:name="_Ref76656608"/>
      <w:r>
        <w:rPr>
          <w:sz w:val="24"/>
          <w:szCs w:val="28"/>
        </w:rPr>
        <w:br w:type="column"/>
      </w:r>
      <w:bookmarkStart w:id="81" w:name="_Toc80608763"/>
      <w:r w:rsidR="00107FCF" w:rsidRPr="003E107C">
        <w:rPr>
          <w:sz w:val="24"/>
          <w:szCs w:val="28"/>
        </w:rPr>
        <w:lastRenderedPageBreak/>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10</w:t>
      </w:r>
      <w:r w:rsidR="00290AD4">
        <w:rPr>
          <w:sz w:val="24"/>
          <w:szCs w:val="28"/>
        </w:rPr>
        <w:fldChar w:fldCharType="end"/>
      </w:r>
      <w:bookmarkEnd w:id="80"/>
      <w:r w:rsidR="001C23A2">
        <w:rPr>
          <w:sz w:val="24"/>
          <w:szCs w:val="28"/>
        </w:rPr>
        <w:tab/>
      </w:r>
      <w:r w:rsidR="00107FCF" w:rsidRPr="003E107C">
        <w:rPr>
          <w:sz w:val="24"/>
          <w:szCs w:val="28"/>
        </w:rPr>
        <w:t>Wyniki analizy kosztów i korzyści dla wariantów planistycznych w zlewni planistycznej Dolnej Odry</w:t>
      </w:r>
      <w:bookmarkEnd w:id="81"/>
    </w:p>
    <w:tbl>
      <w:tblPr>
        <w:tblW w:w="5000" w:type="pct"/>
        <w:jc w:val="center"/>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2843"/>
        <w:gridCol w:w="2825"/>
        <w:gridCol w:w="2827"/>
      </w:tblGrid>
      <w:tr w:rsidR="00107FCF" w:rsidRPr="00507221" w14:paraId="323FE592" w14:textId="77777777" w:rsidTr="00507221">
        <w:trPr>
          <w:trHeight w:val="287"/>
          <w:tblHeader/>
          <w:jc w:val="center"/>
        </w:trPr>
        <w:tc>
          <w:tcPr>
            <w:tcW w:w="1673" w:type="pct"/>
            <w:tcBorders>
              <w:bottom w:val="single" w:sz="12" w:space="0" w:color="7ECBED"/>
            </w:tcBorders>
            <w:shd w:val="clear" w:color="auto" w:fill="D4EDF9"/>
            <w:noWrap/>
            <w:vAlign w:val="center"/>
          </w:tcPr>
          <w:p w14:paraId="03F26836" w14:textId="77777777" w:rsidR="00107FCF" w:rsidRPr="00507221" w:rsidRDefault="00107FCF" w:rsidP="00507221">
            <w:pPr>
              <w:jc w:val="center"/>
              <w:rPr>
                <w:b/>
                <w:bCs/>
                <w:color w:val="000000"/>
                <w:lang w:eastAsia="pl-PL"/>
              </w:rPr>
            </w:pPr>
            <w:r w:rsidRPr="00507221">
              <w:rPr>
                <w:bCs/>
                <w:color w:val="000000"/>
              </w:rPr>
              <w:t>Wskaźnik</w:t>
            </w:r>
          </w:p>
        </w:tc>
        <w:tc>
          <w:tcPr>
            <w:tcW w:w="1663" w:type="pct"/>
            <w:tcBorders>
              <w:bottom w:val="single" w:sz="12" w:space="0" w:color="7ECBED"/>
            </w:tcBorders>
            <w:shd w:val="clear" w:color="auto" w:fill="D4EDF9"/>
            <w:noWrap/>
            <w:vAlign w:val="center"/>
          </w:tcPr>
          <w:p w14:paraId="0594A455" w14:textId="77777777" w:rsidR="00107FCF" w:rsidRPr="00507221" w:rsidRDefault="00107FCF" w:rsidP="00507221">
            <w:pPr>
              <w:jc w:val="center"/>
              <w:rPr>
                <w:b/>
                <w:bCs/>
                <w:color w:val="000000"/>
              </w:rPr>
            </w:pPr>
            <w:r w:rsidRPr="00507221">
              <w:rPr>
                <w:bCs/>
                <w:color w:val="000000"/>
              </w:rPr>
              <w:t>Wariant 1</w:t>
            </w:r>
          </w:p>
        </w:tc>
        <w:tc>
          <w:tcPr>
            <w:tcW w:w="1664" w:type="pct"/>
            <w:tcBorders>
              <w:bottom w:val="single" w:sz="12" w:space="0" w:color="7ECBED"/>
            </w:tcBorders>
            <w:shd w:val="clear" w:color="auto" w:fill="D4EDF9"/>
            <w:noWrap/>
            <w:vAlign w:val="center"/>
          </w:tcPr>
          <w:p w14:paraId="3270F3A6" w14:textId="77777777" w:rsidR="00107FCF" w:rsidRPr="00507221" w:rsidRDefault="00107FCF" w:rsidP="00507221">
            <w:pPr>
              <w:jc w:val="center"/>
              <w:rPr>
                <w:b/>
                <w:bCs/>
                <w:color w:val="000000"/>
              </w:rPr>
            </w:pPr>
            <w:r w:rsidRPr="00507221">
              <w:rPr>
                <w:bCs/>
                <w:color w:val="000000"/>
              </w:rPr>
              <w:t>Wariant 2</w:t>
            </w:r>
          </w:p>
        </w:tc>
      </w:tr>
      <w:tr w:rsidR="00107FCF" w:rsidRPr="00507221" w14:paraId="19508C2A" w14:textId="77777777" w:rsidTr="00507221">
        <w:trPr>
          <w:trHeight w:val="287"/>
          <w:jc w:val="center"/>
        </w:trPr>
        <w:tc>
          <w:tcPr>
            <w:tcW w:w="5000" w:type="pct"/>
            <w:gridSpan w:val="3"/>
            <w:shd w:val="clear" w:color="auto" w:fill="A9DCF3"/>
            <w:noWrap/>
            <w:vAlign w:val="center"/>
          </w:tcPr>
          <w:p w14:paraId="5856E9B4" w14:textId="77777777" w:rsidR="00107FCF" w:rsidRPr="00507221" w:rsidRDefault="00107FCF" w:rsidP="00507221">
            <w:pPr>
              <w:jc w:val="center"/>
              <w:rPr>
                <w:b/>
                <w:bCs/>
                <w:color w:val="000000"/>
              </w:rPr>
            </w:pPr>
            <w:r w:rsidRPr="00507221">
              <w:rPr>
                <w:bCs/>
                <w:color w:val="000000"/>
              </w:rPr>
              <w:t>IOP_3 Świnoujście</w:t>
            </w:r>
          </w:p>
        </w:tc>
      </w:tr>
      <w:tr w:rsidR="00107FCF" w:rsidRPr="00507221" w14:paraId="3B65FC05" w14:textId="77777777" w:rsidTr="00507221">
        <w:trPr>
          <w:trHeight w:val="287"/>
          <w:jc w:val="center"/>
        </w:trPr>
        <w:tc>
          <w:tcPr>
            <w:tcW w:w="1673" w:type="pct"/>
            <w:noWrap/>
            <w:vAlign w:val="center"/>
          </w:tcPr>
          <w:p w14:paraId="421DDEB4" w14:textId="77777777" w:rsidR="00107FCF" w:rsidRPr="00507221" w:rsidRDefault="00107FCF" w:rsidP="0080021F">
            <w:pPr>
              <w:rPr>
                <w:b/>
                <w:bCs/>
                <w:color w:val="000000"/>
              </w:rPr>
            </w:pPr>
            <w:r w:rsidRPr="00507221">
              <w:rPr>
                <w:bCs/>
                <w:color w:val="000000"/>
              </w:rPr>
              <w:t>ENPV</w:t>
            </w:r>
          </w:p>
        </w:tc>
        <w:tc>
          <w:tcPr>
            <w:tcW w:w="1663" w:type="pct"/>
            <w:noWrap/>
          </w:tcPr>
          <w:p w14:paraId="0EF5891E" w14:textId="77777777" w:rsidR="00107FCF" w:rsidRPr="00507221" w:rsidRDefault="00107FCF" w:rsidP="00507221">
            <w:pPr>
              <w:jc w:val="right"/>
              <w:rPr>
                <w:color w:val="000000"/>
              </w:rPr>
            </w:pPr>
            <w:r w:rsidRPr="00507221">
              <w:t>(1 935)</w:t>
            </w:r>
          </w:p>
        </w:tc>
        <w:tc>
          <w:tcPr>
            <w:tcW w:w="1664" w:type="pct"/>
            <w:noWrap/>
          </w:tcPr>
          <w:p w14:paraId="7C9A02AF" w14:textId="77777777" w:rsidR="00107FCF" w:rsidRPr="00507221" w:rsidRDefault="00107FCF" w:rsidP="00507221">
            <w:pPr>
              <w:jc w:val="right"/>
              <w:rPr>
                <w:color w:val="000000"/>
              </w:rPr>
            </w:pPr>
            <w:r w:rsidRPr="00507221">
              <w:t>(31 816)</w:t>
            </w:r>
          </w:p>
        </w:tc>
      </w:tr>
      <w:tr w:rsidR="00107FCF" w:rsidRPr="00507221" w14:paraId="046E3FF5" w14:textId="77777777" w:rsidTr="00507221">
        <w:trPr>
          <w:trHeight w:val="287"/>
          <w:jc w:val="center"/>
        </w:trPr>
        <w:tc>
          <w:tcPr>
            <w:tcW w:w="1673" w:type="pct"/>
            <w:noWrap/>
            <w:vAlign w:val="center"/>
          </w:tcPr>
          <w:p w14:paraId="52821CD0" w14:textId="77777777" w:rsidR="00107FCF" w:rsidRPr="00507221" w:rsidRDefault="00107FCF" w:rsidP="0080021F">
            <w:pPr>
              <w:rPr>
                <w:b/>
                <w:bCs/>
                <w:color w:val="000000"/>
              </w:rPr>
            </w:pPr>
            <w:r w:rsidRPr="00507221">
              <w:rPr>
                <w:bCs/>
                <w:color w:val="000000"/>
              </w:rPr>
              <w:t>EIRR</w:t>
            </w:r>
          </w:p>
        </w:tc>
        <w:tc>
          <w:tcPr>
            <w:tcW w:w="1663" w:type="pct"/>
            <w:noWrap/>
          </w:tcPr>
          <w:p w14:paraId="64983EF6" w14:textId="77777777" w:rsidR="00107FCF" w:rsidRPr="00507221" w:rsidRDefault="00107FCF" w:rsidP="00507221">
            <w:pPr>
              <w:jc w:val="right"/>
              <w:rPr>
                <w:color w:val="000000"/>
              </w:rPr>
            </w:pPr>
            <w:r w:rsidRPr="00507221">
              <w:t>3,23%</w:t>
            </w:r>
          </w:p>
        </w:tc>
        <w:tc>
          <w:tcPr>
            <w:tcW w:w="1664" w:type="pct"/>
            <w:noWrap/>
          </w:tcPr>
          <w:p w14:paraId="3FB456AF" w14:textId="77777777" w:rsidR="00107FCF" w:rsidRPr="00507221" w:rsidRDefault="00107FCF" w:rsidP="00507221">
            <w:pPr>
              <w:jc w:val="right"/>
              <w:rPr>
                <w:color w:val="000000"/>
              </w:rPr>
            </w:pPr>
            <w:r w:rsidRPr="00507221">
              <w:t>-1,85%</w:t>
            </w:r>
          </w:p>
        </w:tc>
      </w:tr>
      <w:tr w:rsidR="00107FCF" w:rsidRPr="00507221" w14:paraId="6B026742" w14:textId="77777777" w:rsidTr="00507221">
        <w:trPr>
          <w:trHeight w:val="287"/>
          <w:jc w:val="center"/>
        </w:trPr>
        <w:tc>
          <w:tcPr>
            <w:tcW w:w="1673" w:type="pct"/>
            <w:noWrap/>
            <w:vAlign w:val="center"/>
          </w:tcPr>
          <w:p w14:paraId="14985F51" w14:textId="77777777" w:rsidR="00107FCF" w:rsidRPr="00507221" w:rsidRDefault="00107FCF" w:rsidP="0080021F">
            <w:pPr>
              <w:rPr>
                <w:b/>
                <w:bCs/>
                <w:color w:val="000000"/>
              </w:rPr>
            </w:pPr>
            <w:r w:rsidRPr="00507221">
              <w:rPr>
                <w:bCs/>
                <w:color w:val="000000"/>
              </w:rPr>
              <w:t>B/C</w:t>
            </w:r>
          </w:p>
        </w:tc>
        <w:tc>
          <w:tcPr>
            <w:tcW w:w="1663" w:type="pct"/>
            <w:noWrap/>
          </w:tcPr>
          <w:p w14:paraId="348D5A94" w14:textId="77777777" w:rsidR="00107FCF" w:rsidRPr="00507221" w:rsidRDefault="00107FCF" w:rsidP="00507221">
            <w:pPr>
              <w:jc w:val="right"/>
              <w:rPr>
                <w:color w:val="000000"/>
              </w:rPr>
            </w:pPr>
            <w:r w:rsidRPr="00507221">
              <w:t xml:space="preserve">0,73 </w:t>
            </w:r>
          </w:p>
        </w:tc>
        <w:tc>
          <w:tcPr>
            <w:tcW w:w="1664" w:type="pct"/>
            <w:noWrap/>
          </w:tcPr>
          <w:p w14:paraId="2DD8A36D" w14:textId="77777777" w:rsidR="00107FCF" w:rsidRPr="00507221" w:rsidRDefault="00107FCF" w:rsidP="00507221">
            <w:pPr>
              <w:jc w:val="right"/>
              <w:rPr>
                <w:color w:val="000000"/>
              </w:rPr>
            </w:pPr>
            <w:r w:rsidRPr="00507221">
              <w:t xml:space="preserve">0,18 </w:t>
            </w:r>
          </w:p>
        </w:tc>
      </w:tr>
      <w:tr w:rsidR="00107FCF" w:rsidRPr="00507221" w14:paraId="7AEE37AE" w14:textId="77777777" w:rsidTr="00507221">
        <w:trPr>
          <w:trHeight w:val="287"/>
          <w:jc w:val="center"/>
        </w:trPr>
        <w:tc>
          <w:tcPr>
            <w:tcW w:w="5000" w:type="pct"/>
            <w:gridSpan w:val="3"/>
            <w:shd w:val="clear" w:color="auto" w:fill="A9DCF3"/>
            <w:noWrap/>
            <w:vAlign w:val="center"/>
          </w:tcPr>
          <w:p w14:paraId="564046F0" w14:textId="77777777" w:rsidR="00107FCF" w:rsidRPr="00507221" w:rsidRDefault="00107FCF" w:rsidP="00507221">
            <w:pPr>
              <w:jc w:val="center"/>
              <w:rPr>
                <w:b/>
                <w:bCs/>
                <w:color w:val="000000"/>
              </w:rPr>
            </w:pPr>
            <w:r w:rsidRPr="00507221">
              <w:rPr>
                <w:bCs/>
                <w:color w:val="000000"/>
              </w:rPr>
              <w:t>IOP_4 Kołobrzeg</w:t>
            </w:r>
          </w:p>
        </w:tc>
      </w:tr>
      <w:tr w:rsidR="00107FCF" w:rsidRPr="00507221" w14:paraId="5AFF2240" w14:textId="77777777" w:rsidTr="00507221">
        <w:trPr>
          <w:trHeight w:val="287"/>
          <w:jc w:val="center"/>
        </w:trPr>
        <w:tc>
          <w:tcPr>
            <w:tcW w:w="1673" w:type="pct"/>
            <w:noWrap/>
            <w:vAlign w:val="center"/>
          </w:tcPr>
          <w:p w14:paraId="1FDB0DE4" w14:textId="77777777" w:rsidR="00107FCF" w:rsidRPr="00507221" w:rsidRDefault="00107FCF" w:rsidP="0080021F">
            <w:pPr>
              <w:rPr>
                <w:b/>
                <w:bCs/>
                <w:color w:val="000000"/>
              </w:rPr>
            </w:pPr>
            <w:r w:rsidRPr="00507221">
              <w:rPr>
                <w:bCs/>
                <w:color w:val="000000"/>
              </w:rPr>
              <w:t>ENPV</w:t>
            </w:r>
          </w:p>
        </w:tc>
        <w:tc>
          <w:tcPr>
            <w:tcW w:w="1663" w:type="pct"/>
            <w:noWrap/>
          </w:tcPr>
          <w:p w14:paraId="31B0AB16" w14:textId="77777777" w:rsidR="00107FCF" w:rsidRPr="00507221" w:rsidRDefault="00107FCF" w:rsidP="00507221">
            <w:pPr>
              <w:jc w:val="right"/>
              <w:rPr>
                <w:color w:val="000000"/>
              </w:rPr>
            </w:pPr>
            <w:r w:rsidRPr="00507221">
              <w:t>(4 901)</w:t>
            </w:r>
          </w:p>
        </w:tc>
        <w:tc>
          <w:tcPr>
            <w:tcW w:w="1664" w:type="pct"/>
            <w:noWrap/>
          </w:tcPr>
          <w:p w14:paraId="61A03ADD" w14:textId="77777777" w:rsidR="00107FCF" w:rsidRPr="00507221" w:rsidRDefault="00107FCF" w:rsidP="00507221">
            <w:pPr>
              <w:jc w:val="right"/>
              <w:rPr>
                <w:color w:val="000000"/>
              </w:rPr>
            </w:pPr>
            <w:r w:rsidRPr="00507221">
              <w:t>(37 192)</w:t>
            </w:r>
          </w:p>
        </w:tc>
      </w:tr>
      <w:tr w:rsidR="00107FCF" w:rsidRPr="00507221" w14:paraId="31ED57CA" w14:textId="77777777" w:rsidTr="00507221">
        <w:trPr>
          <w:trHeight w:val="287"/>
          <w:jc w:val="center"/>
        </w:trPr>
        <w:tc>
          <w:tcPr>
            <w:tcW w:w="1673" w:type="pct"/>
            <w:noWrap/>
            <w:vAlign w:val="center"/>
          </w:tcPr>
          <w:p w14:paraId="08D1D5A8" w14:textId="77777777" w:rsidR="00107FCF" w:rsidRPr="00507221" w:rsidRDefault="00107FCF" w:rsidP="0080021F">
            <w:pPr>
              <w:rPr>
                <w:b/>
                <w:bCs/>
                <w:color w:val="000000"/>
              </w:rPr>
            </w:pPr>
            <w:r w:rsidRPr="00507221">
              <w:rPr>
                <w:bCs/>
                <w:color w:val="000000"/>
              </w:rPr>
              <w:t>EIRR</w:t>
            </w:r>
          </w:p>
        </w:tc>
        <w:tc>
          <w:tcPr>
            <w:tcW w:w="1663" w:type="pct"/>
            <w:noWrap/>
          </w:tcPr>
          <w:p w14:paraId="74FE50CA" w14:textId="77777777" w:rsidR="00107FCF" w:rsidRPr="00507221" w:rsidRDefault="00107FCF" w:rsidP="00507221">
            <w:pPr>
              <w:jc w:val="right"/>
              <w:rPr>
                <w:color w:val="000000"/>
              </w:rPr>
            </w:pPr>
            <w:r w:rsidRPr="00507221">
              <w:t>-3,96%</w:t>
            </w:r>
          </w:p>
        </w:tc>
        <w:tc>
          <w:tcPr>
            <w:tcW w:w="1664" w:type="pct"/>
            <w:noWrap/>
          </w:tcPr>
          <w:p w14:paraId="5B6E4F84" w14:textId="77777777" w:rsidR="00107FCF" w:rsidRPr="00507221" w:rsidRDefault="00107FCF" w:rsidP="00507221">
            <w:pPr>
              <w:jc w:val="right"/>
              <w:rPr>
                <w:color w:val="000000"/>
              </w:rPr>
            </w:pPr>
            <w:r w:rsidRPr="00507221">
              <w:t>-7,96%</w:t>
            </w:r>
          </w:p>
        </w:tc>
      </w:tr>
      <w:tr w:rsidR="00107FCF" w:rsidRPr="00507221" w14:paraId="7038BC0E" w14:textId="77777777" w:rsidTr="00507221">
        <w:trPr>
          <w:trHeight w:val="287"/>
          <w:jc w:val="center"/>
        </w:trPr>
        <w:tc>
          <w:tcPr>
            <w:tcW w:w="1673" w:type="pct"/>
            <w:noWrap/>
            <w:vAlign w:val="center"/>
          </w:tcPr>
          <w:p w14:paraId="794DBC3E" w14:textId="77777777" w:rsidR="00107FCF" w:rsidRPr="00507221" w:rsidRDefault="00107FCF" w:rsidP="0080021F">
            <w:pPr>
              <w:rPr>
                <w:b/>
                <w:bCs/>
                <w:color w:val="000000"/>
              </w:rPr>
            </w:pPr>
            <w:r w:rsidRPr="00507221">
              <w:rPr>
                <w:bCs/>
                <w:color w:val="000000"/>
              </w:rPr>
              <w:t>B/C</w:t>
            </w:r>
          </w:p>
        </w:tc>
        <w:tc>
          <w:tcPr>
            <w:tcW w:w="1663" w:type="pct"/>
            <w:noWrap/>
          </w:tcPr>
          <w:p w14:paraId="363B8AE3" w14:textId="77777777" w:rsidR="00107FCF" w:rsidRPr="00507221" w:rsidRDefault="00107FCF" w:rsidP="00507221">
            <w:pPr>
              <w:jc w:val="right"/>
              <w:rPr>
                <w:color w:val="000000"/>
              </w:rPr>
            </w:pPr>
            <w:r w:rsidRPr="00507221">
              <w:t xml:space="preserve">0,15 </w:t>
            </w:r>
          </w:p>
        </w:tc>
        <w:tc>
          <w:tcPr>
            <w:tcW w:w="1664" w:type="pct"/>
            <w:noWrap/>
          </w:tcPr>
          <w:p w14:paraId="254C03C1" w14:textId="77777777" w:rsidR="00107FCF" w:rsidRPr="00507221" w:rsidRDefault="00107FCF" w:rsidP="00507221">
            <w:pPr>
              <w:jc w:val="right"/>
              <w:rPr>
                <w:color w:val="000000"/>
              </w:rPr>
            </w:pPr>
            <w:r w:rsidRPr="00507221">
              <w:t xml:space="preserve">0,04 </w:t>
            </w:r>
          </w:p>
        </w:tc>
      </w:tr>
      <w:tr w:rsidR="00107FCF" w:rsidRPr="00507221" w14:paraId="70E69686" w14:textId="77777777" w:rsidTr="00507221">
        <w:trPr>
          <w:trHeight w:val="287"/>
          <w:jc w:val="center"/>
        </w:trPr>
        <w:tc>
          <w:tcPr>
            <w:tcW w:w="5000" w:type="pct"/>
            <w:gridSpan w:val="3"/>
            <w:shd w:val="clear" w:color="auto" w:fill="A9DCF3"/>
            <w:noWrap/>
            <w:vAlign w:val="center"/>
          </w:tcPr>
          <w:p w14:paraId="4B936716" w14:textId="77777777" w:rsidR="00107FCF" w:rsidRPr="00507221" w:rsidRDefault="00107FCF" w:rsidP="00507221">
            <w:pPr>
              <w:jc w:val="center"/>
              <w:rPr>
                <w:b/>
                <w:bCs/>
                <w:color w:val="000000"/>
              </w:rPr>
            </w:pPr>
            <w:r w:rsidRPr="00507221">
              <w:rPr>
                <w:bCs/>
                <w:color w:val="000000"/>
              </w:rPr>
              <w:t>IOP_6 Darłowo</w:t>
            </w:r>
          </w:p>
        </w:tc>
      </w:tr>
      <w:tr w:rsidR="00107FCF" w:rsidRPr="00507221" w14:paraId="6243036A" w14:textId="77777777" w:rsidTr="00507221">
        <w:trPr>
          <w:trHeight w:val="287"/>
          <w:jc w:val="center"/>
        </w:trPr>
        <w:tc>
          <w:tcPr>
            <w:tcW w:w="1673" w:type="pct"/>
            <w:noWrap/>
            <w:vAlign w:val="center"/>
          </w:tcPr>
          <w:p w14:paraId="59298339" w14:textId="77777777" w:rsidR="00107FCF" w:rsidRPr="00507221" w:rsidRDefault="00107FCF" w:rsidP="0080021F">
            <w:pPr>
              <w:rPr>
                <w:b/>
                <w:bCs/>
                <w:color w:val="000000"/>
              </w:rPr>
            </w:pPr>
            <w:r w:rsidRPr="00507221">
              <w:rPr>
                <w:bCs/>
                <w:color w:val="000000"/>
              </w:rPr>
              <w:t>ENPV</w:t>
            </w:r>
          </w:p>
        </w:tc>
        <w:tc>
          <w:tcPr>
            <w:tcW w:w="1663" w:type="pct"/>
            <w:noWrap/>
          </w:tcPr>
          <w:p w14:paraId="289BF4F4" w14:textId="77777777" w:rsidR="00107FCF" w:rsidRPr="00507221" w:rsidRDefault="00107FCF" w:rsidP="00507221">
            <w:pPr>
              <w:jc w:val="right"/>
              <w:rPr>
                <w:color w:val="000000"/>
              </w:rPr>
            </w:pPr>
            <w:r w:rsidRPr="00507221">
              <w:t xml:space="preserve">18 728 </w:t>
            </w:r>
          </w:p>
        </w:tc>
        <w:tc>
          <w:tcPr>
            <w:tcW w:w="1664" w:type="pct"/>
            <w:noWrap/>
          </w:tcPr>
          <w:p w14:paraId="021106EA" w14:textId="77777777" w:rsidR="00107FCF" w:rsidRPr="00507221" w:rsidRDefault="00107FCF" w:rsidP="00507221">
            <w:pPr>
              <w:jc w:val="right"/>
              <w:rPr>
                <w:color w:val="000000"/>
              </w:rPr>
            </w:pPr>
            <w:r w:rsidRPr="00507221">
              <w:t xml:space="preserve">20 806 </w:t>
            </w:r>
          </w:p>
        </w:tc>
      </w:tr>
      <w:tr w:rsidR="00107FCF" w:rsidRPr="00507221" w14:paraId="0E7B47C3" w14:textId="77777777" w:rsidTr="00507221">
        <w:trPr>
          <w:trHeight w:val="287"/>
          <w:jc w:val="center"/>
        </w:trPr>
        <w:tc>
          <w:tcPr>
            <w:tcW w:w="1673" w:type="pct"/>
            <w:noWrap/>
            <w:vAlign w:val="center"/>
          </w:tcPr>
          <w:p w14:paraId="3FE6F37E" w14:textId="77777777" w:rsidR="00107FCF" w:rsidRPr="00507221" w:rsidRDefault="00107FCF" w:rsidP="0080021F">
            <w:pPr>
              <w:rPr>
                <w:b/>
                <w:bCs/>
                <w:color w:val="000000"/>
              </w:rPr>
            </w:pPr>
            <w:r w:rsidRPr="00507221">
              <w:rPr>
                <w:bCs/>
                <w:color w:val="000000"/>
              </w:rPr>
              <w:t>EIRR</w:t>
            </w:r>
          </w:p>
        </w:tc>
        <w:tc>
          <w:tcPr>
            <w:tcW w:w="1663" w:type="pct"/>
            <w:noWrap/>
          </w:tcPr>
          <w:p w14:paraId="1A180E87" w14:textId="77777777" w:rsidR="00107FCF" w:rsidRPr="00507221" w:rsidRDefault="00107FCF" w:rsidP="00507221">
            <w:pPr>
              <w:jc w:val="right"/>
              <w:rPr>
                <w:color w:val="000000"/>
              </w:rPr>
            </w:pPr>
            <w:r w:rsidRPr="00507221">
              <w:t>8,14%</w:t>
            </w:r>
          </w:p>
        </w:tc>
        <w:tc>
          <w:tcPr>
            <w:tcW w:w="1664" w:type="pct"/>
            <w:noWrap/>
          </w:tcPr>
          <w:p w14:paraId="27F21E25" w14:textId="77777777" w:rsidR="00107FCF" w:rsidRPr="00507221" w:rsidRDefault="00107FCF" w:rsidP="00507221">
            <w:pPr>
              <w:jc w:val="right"/>
              <w:rPr>
                <w:color w:val="000000"/>
              </w:rPr>
            </w:pPr>
            <w:r w:rsidRPr="00507221">
              <w:t>8,47%</w:t>
            </w:r>
          </w:p>
        </w:tc>
      </w:tr>
      <w:tr w:rsidR="00107FCF" w:rsidRPr="00507221" w14:paraId="23BF3223" w14:textId="77777777" w:rsidTr="00507221">
        <w:trPr>
          <w:trHeight w:val="287"/>
          <w:jc w:val="center"/>
        </w:trPr>
        <w:tc>
          <w:tcPr>
            <w:tcW w:w="1673" w:type="pct"/>
            <w:noWrap/>
            <w:vAlign w:val="center"/>
          </w:tcPr>
          <w:p w14:paraId="2A7CC0E8" w14:textId="77777777" w:rsidR="00107FCF" w:rsidRPr="00507221" w:rsidRDefault="00107FCF" w:rsidP="0080021F">
            <w:pPr>
              <w:rPr>
                <w:b/>
                <w:bCs/>
                <w:color w:val="000000"/>
              </w:rPr>
            </w:pPr>
            <w:r w:rsidRPr="00507221">
              <w:rPr>
                <w:bCs/>
                <w:color w:val="000000"/>
              </w:rPr>
              <w:t>B/C</w:t>
            </w:r>
          </w:p>
        </w:tc>
        <w:tc>
          <w:tcPr>
            <w:tcW w:w="1663" w:type="pct"/>
            <w:noWrap/>
          </w:tcPr>
          <w:p w14:paraId="0F015F8C" w14:textId="77777777" w:rsidR="00107FCF" w:rsidRPr="00507221" w:rsidRDefault="00107FCF" w:rsidP="00507221">
            <w:pPr>
              <w:jc w:val="right"/>
              <w:rPr>
                <w:color w:val="000000"/>
              </w:rPr>
            </w:pPr>
            <w:r w:rsidRPr="00507221">
              <w:t xml:space="preserve">1,64 </w:t>
            </w:r>
          </w:p>
        </w:tc>
        <w:tc>
          <w:tcPr>
            <w:tcW w:w="1664" w:type="pct"/>
            <w:noWrap/>
          </w:tcPr>
          <w:p w14:paraId="42BB3A7A" w14:textId="77777777" w:rsidR="00107FCF" w:rsidRPr="00507221" w:rsidRDefault="00107FCF" w:rsidP="00507221">
            <w:pPr>
              <w:jc w:val="right"/>
              <w:rPr>
                <w:color w:val="000000"/>
              </w:rPr>
            </w:pPr>
            <w:r w:rsidRPr="00507221">
              <w:t xml:space="preserve">1,77 </w:t>
            </w:r>
          </w:p>
        </w:tc>
      </w:tr>
      <w:tr w:rsidR="00107FCF" w:rsidRPr="00507221" w14:paraId="26A09B05" w14:textId="77777777" w:rsidTr="00507221">
        <w:trPr>
          <w:trHeight w:val="287"/>
          <w:jc w:val="center"/>
        </w:trPr>
        <w:tc>
          <w:tcPr>
            <w:tcW w:w="5000" w:type="pct"/>
            <w:gridSpan w:val="3"/>
            <w:shd w:val="clear" w:color="auto" w:fill="A9DCF3"/>
            <w:noWrap/>
            <w:vAlign w:val="center"/>
          </w:tcPr>
          <w:p w14:paraId="78F33E0E" w14:textId="77777777" w:rsidR="00107FCF" w:rsidRPr="00507221" w:rsidRDefault="00107FCF" w:rsidP="00507221">
            <w:pPr>
              <w:jc w:val="center"/>
              <w:rPr>
                <w:b/>
                <w:bCs/>
                <w:color w:val="000000"/>
              </w:rPr>
            </w:pPr>
            <w:r w:rsidRPr="00507221">
              <w:rPr>
                <w:bCs/>
                <w:color w:val="000000"/>
              </w:rPr>
              <w:t>IOP_9 Trzebież</w:t>
            </w:r>
          </w:p>
        </w:tc>
      </w:tr>
      <w:tr w:rsidR="00107FCF" w:rsidRPr="00507221" w14:paraId="549B8C4D" w14:textId="77777777" w:rsidTr="00507221">
        <w:trPr>
          <w:trHeight w:val="287"/>
          <w:jc w:val="center"/>
        </w:trPr>
        <w:tc>
          <w:tcPr>
            <w:tcW w:w="1673" w:type="pct"/>
            <w:noWrap/>
            <w:vAlign w:val="center"/>
          </w:tcPr>
          <w:p w14:paraId="7A67D313" w14:textId="77777777" w:rsidR="00107FCF" w:rsidRPr="00507221" w:rsidRDefault="00107FCF" w:rsidP="0080021F">
            <w:pPr>
              <w:rPr>
                <w:b/>
                <w:bCs/>
                <w:color w:val="000000"/>
              </w:rPr>
            </w:pPr>
            <w:r w:rsidRPr="00507221">
              <w:rPr>
                <w:bCs/>
                <w:color w:val="000000"/>
              </w:rPr>
              <w:t>ENPV</w:t>
            </w:r>
          </w:p>
        </w:tc>
        <w:tc>
          <w:tcPr>
            <w:tcW w:w="1663" w:type="pct"/>
            <w:noWrap/>
          </w:tcPr>
          <w:p w14:paraId="7C196BF2" w14:textId="77777777" w:rsidR="00107FCF" w:rsidRPr="00507221" w:rsidRDefault="00107FCF" w:rsidP="00507221">
            <w:pPr>
              <w:jc w:val="right"/>
              <w:rPr>
                <w:color w:val="000000"/>
              </w:rPr>
            </w:pPr>
            <w:r w:rsidRPr="00507221">
              <w:t>(1 162)</w:t>
            </w:r>
          </w:p>
        </w:tc>
        <w:tc>
          <w:tcPr>
            <w:tcW w:w="1664" w:type="pct"/>
            <w:noWrap/>
          </w:tcPr>
          <w:p w14:paraId="764F206A" w14:textId="77777777" w:rsidR="00107FCF" w:rsidRPr="00507221" w:rsidRDefault="00107FCF" w:rsidP="00507221">
            <w:pPr>
              <w:jc w:val="right"/>
              <w:rPr>
                <w:color w:val="000000"/>
              </w:rPr>
            </w:pPr>
            <w:r w:rsidRPr="00507221">
              <w:t>(5 934)</w:t>
            </w:r>
          </w:p>
        </w:tc>
      </w:tr>
      <w:tr w:rsidR="00107FCF" w:rsidRPr="00507221" w14:paraId="5A5EFE75" w14:textId="77777777" w:rsidTr="00507221">
        <w:trPr>
          <w:trHeight w:val="287"/>
          <w:jc w:val="center"/>
        </w:trPr>
        <w:tc>
          <w:tcPr>
            <w:tcW w:w="1673" w:type="pct"/>
            <w:noWrap/>
            <w:vAlign w:val="center"/>
          </w:tcPr>
          <w:p w14:paraId="6E62414F" w14:textId="77777777" w:rsidR="00107FCF" w:rsidRPr="00507221" w:rsidRDefault="00107FCF" w:rsidP="0080021F">
            <w:pPr>
              <w:rPr>
                <w:b/>
                <w:bCs/>
                <w:color w:val="000000"/>
              </w:rPr>
            </w:pPr>
            <w:r w:rsidRPr="00507221">
              <w:rPr>
                <w:bCs/>
                <w:color w:val="000000"/>
              </w:rPr>
              <w:t>EIRR</w:t>
            </w:r>
          </w:p>
        </w:tc>
        <w:tc>
          <w:tcPr>
            <w:tcW w:w="1663" w:type="pct"/>
            <w:noWrap/>
          </w:tcPr>
          <w:p w14:paraId="4A705DA6" w14:textId="77777777" w:rsidR="00107FCF" w:rsidRPr="00507221" w:rsidRDefault="00107FCF" w:rsidP="00507221">
            <w:pPr>
              <w:jc w:val="right"/>
              <w:rPr>
                <w:color w:val="000000"/>
              </w:rPr>
            </w:pPr>
            <w:r w:rsidRPr="00507221">
              <w:t>3,64%</w:t>
            </w:r>
          </w:p>
        </w:tc>
        <w:tc>
          <w:tcPr>
            <w:tcW w:w="1664" w:type="pct"/>
            <w:noWrap/>
          </w:tcPr>
          <w:p w14:paraId="53C57D26" w14:textId="77777777" w:rsidR="00107FCF" w:rsidRPr="00507221" w:rsidRDefault="00107FCF" w:rsidP="00507221">
            <w:pPr>
              <w:jc w:val="right"/>
              <w:rPr>
                <w:color w:val="000000"/>
              </w:rPr>
            </w:pPr>
            <w:r w:rsidRPr="00507221">
              <w:t>2,21%</w:t>
            </w:r>
          </w:p>
        </w:tc>
      </w:tr>
      <w:tr w:rsidR="00107FCF" w:rsidRPr="00507221" w14:paraId="5FB6A1BE" w14:textId="77777777" w:rsidTr="00507221">
        <w:trPr>
          <w:trHeight w:val="287"/>
          <w:jc w:val="center"/>
        </w:trPr>
        <w:tc>
          <w:tcPr>
            <w:tcW w:w="1673" w:type="pct"/>
            <w:noWrap/>
            <w:vAlign w:val="center"/>
          </w:tcPr>
          <w:p w14:paraId="0954BEAD" w14:textId="77777777" w:rsidR="00107FCF" w:rsidRPr="00507221" w:rsidRDefault="00107FCF" w:rsidP="0080021F">
            <w:pPr>
              <w:rPr>
                <w:b/>
                <w:bCs/>
                <w:color w:val="000000"/>
              </w:rPr>
            </w:pPr>
            <w:r w:rsidRPr="00507221">
              <w:rPr>
                <w:bCs/>
                <w:color w:val="000000"/>
              </w:rPr>
              <w:t>B/C</w:t>
            </w:r>
          </w:p>
        </w:tc>
        <w:tc>
          <w:tcPr>
            <w:tcW w:w="1663" w:type="pct"/>
            <w:noWrap/>
          </w:tcPr>
          <w:p w14:paraId="1323A31B" w14:textId="77777777" w:rsidR="00107FCF" w:rsidRPr="00507221" w:rsidRDefault="00107FCF" w:rsidP="00507221">
            <w:pPr>
              <w:jc w:val="right"/>
              <w:rPr>
                <w:color w:val="000000"/>
              </w:rPr>
            </w:pPr>
            <w:r w:rsidRPr="00507221">
              <w:t xml:space="preserve">0,78 </w:t>
            </w:r>
          </w:p>
        </w:tc>
        <w:tc>
          <w:tcPr>
            <w:tcW w:w="1664" w:type="pct"/>
            <w:noWrap/>
          </w:tcPr>
          <w:p w14:paraId="5934F562" w14:textId="77777777" w:rsidR="00107FCF" w:rsidRPr="00507221" w:rsidRDefault="00107FCF" w:rsidP="00507221">
            <w:pPr>
              <w:jc w:val="right"/>
              <w:rPr>
                <w:color w:val="000000"/>
              </w:rPr>
            </w:pPr>
            <w:r w:rsidRPr="00507221">
              <w:t xml:space="preserve">0,54 </w:t>
            </w:r>
          </w:p>
        </w:tc>
      </w:tr>
      <w:tr w:rsidR="00107FCF" w:rsidRPr="00507221" w14:paraId="37365098" w14:textId="77777777" w:rsidTr="00507221">
        <w:trPr>
          <w:trHeight w:val="287"/>
          <w:jc w:val="center"/>
        </w:trPr>
        <w:tc>
          <w:tcPr>
            <w:tcW w:w="5000" w:type="pct"/>
            <w:gridSpan w:val="3"/>
            <w:shd w:val="clear" w:color="auto" w:fill="A9DCF3"/>
            <w:noWrap/>
            <w:vAlign w:val="center"/>
          </w:tcPr>
          <w:p w14:paraId="7C67DA80" w14:textId="77777777" w:rsidR="00107FCF" w:rsidRPr="00507221" w:rsidRDefault="00107FCF" w:rsidP="00507221">
            <w:pPr>
              <w:jc w:val="center"/>
              <w:rPr>
                <w:b/>
                <w:bCs/>
                <w:color w:val="000000"/>
              </w:rPr>
            </w:pPr>
            <w:r w:rsidRPr="00507221">
              <w:rPr>
                <w:bCs/>
                <w:color w:val="000000"/>
              </w:rPr>
              <w:t xml:space="preserve">IOP_10 </w:t>
            </w:r>
            <w:r w:rsidRPr="00507221">
              <w:rPr>
                <w:color w:val="000000"/>
              </w:rPr>
              <w:t>Stepnica</w:t>
            </w:r>
          </w:p>
        </w:tc>
      </w:tr>
      <w:tr w:rsidR="00107FCF" w:rsidRPr="00507221" w14:paraId="540CCD51" w14:textId="77777777" w:rsidTr="00507221">
        <w:trPr>
          <w:trHeight w:val="287"/>
          <w:jc w:val="center"/>
        </w:trPr>
        <w:tc>
          <w:tcPr>
            <w:tcW w:w="1673" w:type="pct"/>
            <w:noWrap/>
            <w:vAlign w:val="center"/>
          </w:tcPr>
          <w:p w14:paraId="39BEA6DE" w14:textId="77777777" w:rsidR="00107FCF" w:rsidRPr="00507221" w:rsidRDefault="00107FCF" w:rsidP="0080021F">
            <w:pPr>
              <w:rPr>
                <w:b/>
                <w:bCs/>
                <w:color w:val="000000"/>
              </w:rPr>
            </w:pPr>
            <w:r w:rsidRPr="00507221">
              <w:rPr>
                <w:bCs/>
                <w:color w:val="000000"/>
              </w:rPr>
              <w:t>ENPV</w:t>
            </w:r>
          </w:p>
        </w:tc>
        <w:tc>
          <w:tcPr>
            <w:tcW w:w="1663" w:type="pct"/>
            <w:noWrap/>
          </w:tcPr>
          <w:p w14:paraId="62146FB5" w14:textId="77777777" w:rsidR="00107FCF" w:rsidRPr="00507221" w:rsidRDefault="00107FCF" w:rsidP="00507221">
            <w:pPr>
              <w:jc w:val="right"/>
              <w:rPr>
                <w:color w:val="000000"/>
              </w:rPr>
            </w:pPr>
            <w:r w:rsidRPr="00507221">
              <w:t xml:space="preserve">3 019 </w:t>
            </w:r>
          </w:p>
        </w:tc>
        <w:tc>
          <w:tcPr>
            <w:tcW w:w="1664" w:type="pct"/>
            <w:noWrap/>
          </w:tcPr>
          <w:p w14:paraId="450E6385" w14:textId="77777777" w:rsidR="00107FCF" w:rsidRPr="00507221" w:rsidRDefault="00107FCF" w:rsidP="00507221">
            <w:pPr>
              <w:jc w:val="right"/>
              <w:rPr>
                <w:color w:val="000000"/>
              </w:rPr>
            </w:pPr>
            <w:r w:rsidRPr="00507221">
              <w:t xml:space="preserve">1 797 </w:t>
            </w:r>
          </w:p>
        </w:tc>
      </w:tr>
      <w:tr w:rsidR="00107FCF" w:rsidRPr="00507221" w14:paraId="7D647717" w14:textId="77777777" w:rsidTr="00507221">
        <w:trPr>
          <w:trHeight w:val="287"/>
          <w:jc w:val="center"/>
        </w:trPr>
        <w:tc>
          <w:tcPr>
            <w:tcW w:w="1673" w:type="pct"/>
            <w:noWrap/>
            <w:vAlign w:val="center"/>
          </w:tcPr>
          <w:p w14:paraId="0A2D7AC4" w14:textId="77777777" w:rsidR="00107FCF" w:rsidRPr="00507221" w:rsidRDefault="00107FCF" w:rsidP="0080021F">
            <w:pPr>
              <w:rPr>
                <w:b/>
                <w:bCs/>
                <w:color w:val="000000"/>
              </w:rPr>
            </w:pPr>
            <w:r w:rsidRPr="00507221">
              <w:rPr>
                <w:bCs/>
                <w:color w:val="000000"/>
              </w:rPr>
              <w:t>EIRR</w:t>
            </w:r>
          </w:p>
        </w:tc>
        <w:tc>
          <w:tcPr>
            <w:tcW w:w="1663" w:type="pct"/>
            <w:noWrap/>
          </w:tcPr>
          <w:p w14:paraId="0DCB589E" w14:textId="77777777" w:rsidR="00107FCF" w:rsidRPr="00507221" w:rsidRDefault="00107FCF" w:rsidP="00507221">
            <w:pPr>
              <w:jc w:val="right"/>
              <w:rPr>
                <w:color w:val="000000"/>
              </w:rPr>
            </w:pPr>
            <w:r w:rsidRPr="00507221">
              <w:t>9,96%</w:t>
            </w:r>
          </w:p>
        </w:tc>
        <w:tc>
          <w:tcPr>
            <w:tcW w:w="1664" w:type="pct"/>
            <w:noWrap/>
          </w:tcPr>
          <w:p w14:paraId="4D136DB4" w14:textId="77777777" w:rsidR="00107FCF" w:rsidRPr="00507221" w:rsidRDefault="00107FCF" w:rsidP="00507221">
            <w:pPr>
              <w:jc w:val="right"/>
              <w:rPr>
                <w:color w:val="000000"/>
              </w:rPr>
            </w:pPr>
            <w:r w:rsidRPr="00507221">
              <w:t>6,20%</w:t>
            </w:r>
          </w:p>
        </w:tc>
      </w:tr>
      <w:tr w:rsidR="00107FCF" w:rsidRPr="00507221" w14:paraId="431CCE43" w14:textId="77777777" w:rsidTr="00507221">
        <w:trPr>
          <w:trHeight w:val="287"/>
          <w:jc w:val="center"/>
        </w:trPr>
        <w:tc>
          <w:tcPr>
            <w:tcW w:w="1673" w:type="pct"/>
            <w:noWrap/>
            <w:vAlign w:val="center"/>
          </w:tcPr>
          <w:p w14:paraId="1239B25B" w14:textId="77777777" w:rsidR="00107FCF" w:rsidRPr="00507221" w:rsidRDefault="00107FCF" w:rsidP="0080021F">
            <w:pPr>
              <w:rPr>
                <w:b/>
                <w:bCs/>
                <w:color w:val="000000"/>
              </w:rPr>
            </w:pPr>
            <w:r w:rsidRPr="00507221">
              <w:rPr>
                <w:bCs/>
                <w:color w:val="000000"/>
              </w:rPr>
              <w:t>B/C</w:t>
            </w:r>
          </w:p>
        </w:tc>
        <w:tc>
          <w:tcPr>
            <w:tcW w:w="1663" w:type="pct"/>
            <w:noWrap/>
          </w:tcPr>
          <w:p w14:paraId="4A7C106B" w14:textId="77777777" w:rsidR="00107FCF" w:rsidRPr="00507221" w:rsidRDefault="00107FCF" w:rsidP="00507221">
            <w:pPr>
              <w:jc w:val="right"/>
              <w:rPr>
                <w:color w:val="000000"/>
              </w:rPr>
            </w:pPr>
            <w:r w:rsidRPr="00507221">
              <w:t xml:space="preserve">2,09 </w:t>
            </w:r>
          </w:p>
        </w:tc>
        <w:tc>
          <w:tcPr>
            <w:tcW w:w="1664" w:type="pct"/>
            <w:noWrap/>
          </w:tcPr>
          <w:p w14:paraId="148EBE07" w14:textId="77777777" w:rsidR="00107FCF" w:rsidRPr="00507221" w:rsidRDefault="00107FCF" w:rsidP="00507221">
            <w:pPr>
              <w:jc w:val="right"/>
              <w:rPr>
                <w:color w:val="000000"/>
              </w:rPr>
            </w:pPr>
            <w:r w:rsidRPr="00507221">
              <w:t xml:space="preserve">1,25 </w:t>
            </w:r>
          </w:p>
        </w:tc>
      </w:tr>
      <w:tr w:rsidR="00107FCF" w:rsidRPr="00507221" w14:paraId="7E9A37C5" w14:textId="77777777" w:rsidTr="00507221">
        <w:trPr>
          <w:trHeight w:val="287"/>
          <w:jc w:val="center"/>
        </w:trPr>
        <w:tc>
          <w:tcPr>
            <w:tcW w:w="5000" w:type="pct"/>
            <w:gridSpan w:val="3"/>
            <w:shd w:val="clear" w:color="auto" w:fill="A9DCF3"/>
            <w:noWrap/>
            <w:vAlign w:val="center"/>
          </w:tcPr>
          <w:p w14:paraId="4321B143" w14:textId="77777777" w:rsidR="00107FCF" w:rsidRPr="00507221" w:rsidRDefault="00107FCF" w:rsidP="00507221">
            <w:pPr>
              <w:jc w:val="center"/>
              <w:rPr>
                <w:b/>
                <w:bCs/>
                <w:color w:val="000000"/>
              </w:rPr>
            </w:pPr>
            <w:r w:rsidRPr="00507221">
              <w:rPr>
                <w:bCs/>
                <w:color w:val="000000"/>
              </w:rPr>
              <w:t>IOP_11 Nowe Warpno</w:t>
            </w:r>
          </w:p>
        </w:tc>
      </w:tr>
      <w:tr w:rsidR="00107FCF" w:rsidRPr="00507221" w14:paraId="3699B361" w14:textId="77777777" w:rsidTr="00507221">
        <w:trPr>
          <w:trHeight w:val="287"/>
          <w:jc w:val="center"/>
        </w:trPr>
        <w:tc>
          <w:tcPr>
            <w:tcW w:w="1673" w:type="pct"/>
            <w:noWrap/>
            <w:vAlign w:val="center"/>
          </w:tcPr>
          <w:p w14:paraId="7D5A7800" w14:textId="77777777" w:rsidR="00107FCF" w:rsidRPr="00507221" w:rsidRDefault="00107FCF" w:rsidP="0080021F">
            <w:pPr>
              <w:rPr>
                <w:b/>
                <w:bCs/>
                <w:color w:val="000000"/>
              </w:rPr>
            </w:pPr>
            <w:r w:rsidRPr="00507221">
              <w:rPr>
                <w:bCs/>
                <w:color w:val="000000"/>
              </w:rPr>
              <w:t>ENPV</w:t>
            </w:r>
          </w:p>
        </w:tc>
        <w:tc>
          <w:tcPr>
            <w:tcW w:w="1663" w:type="pct"/>
            <w:noWrap/>
          </w:tcPr>
          <w:p w14:paraId="12BA8686" w14:textId="77777777" w:rsidR="00107FCF" w:rsidRPr="00507221" w:rsidRDefault="00107FCF" w:rsidP="00507221">
            <w:pPr>
              <w:jc w:val="right"/>
              <w:rPr>
                <w:color w:val="000000"/>
              </w:rPr>
            </w:pPr>
            <w:r w:rsidRPr="00507221">
              <w:t xml:space="preserve">2 922 </w:t>
            </w:r>
          </w:p>
        </w:tc>
        <w:tc>
          <w:tcPr>
            <w:tcW w:w="1664" w:type="pct"/>
            <w:noWrap/>
          </w:tcPr>
          <w:p w14:paraId="18C77329" w14:textId="77777777" w:rsidR="00107FCF" w:rsidRPr="00507221" w:rsidRDefault="00107FCF" w:rsidP="00507221">
            <w:pPr>
              <w:jc w:val="right"/>
              <w:rPr>
                <w:color w:val="000000"/>
              </w:rPr>
            </w:pPr>
            <w:r w:rsidRPr="00507221">
              <w:t xml:space="preserve">2 391 </w:t>
            </w:r>
          </w:p>
        </w:tc>
      </w:tr>
      <w:tr w:rsidR="00107FCF" w:rsidRPr="00507221" w14:paraId="6FFF43C7" w14:textId="77777777" w:rsidTr="00507221">
        <w:trPr>
          <w:trHeight w:val="287"/>
          <w:jc w:val="center"/>
        </w:trPr>
        <w:tc>
          <w:tcPr>
            <w:tcW w:w="1673" w:type="pct"/>
            <w:noWrap/>
            <w:vAlign w:val="center"/>
          </w:tcPr>
          <w:p w14:paraId="41834EA7" w14:textId="77777777" w:rsidR="00107FCF" w:rsidRPr="00507221" w:rsidRDefault="00107FCF" w:rsidP="0080021F">
            <w:pPr>
              <w:rPr>
                <w:b/>
                <w:bCs/>
                <w:color w:val="000000"/>
              </w:rPr>
            </w:pPr>
            <w:r w:rsidRPr="00507221">
              <w:rPr>
                <w:bCs/>
                <w:color w:val="000000"/>
              </w:rPr>
              <w:t>EIRR</w:t>
            </w:r>
          </w:p>
        </w:tc>
        <w:tc>
          <w:tcPr>
            <w:tcW w:w="1663" w:type="pct"/>
            <w:noWrap/>
          </w:tcPr>
          <w:p w14:paraId="656D4245" w14:textId="77777777" w:rsidR="00107FCF" w:rsidRPr="00507221" w:rsidRDefault="00107FCF" w:rsidP="00507221">
            <w:pPr>
              <w:jc w:val="right"/>
              <w:rPr>
                <w:color w:val="000000"/>
              </w:rPr>
            </w:pPr>
            <w:r w:rsidRPr="00507221">
              <w:t>69,04%</w:t>
            </w:r>
          </w:p>
        </w:tc>
        <w:tc>
          <w:tcPr>
            <w:tcW w:w="1664" w:type="pct"/>
            <w:noWrap/>
          </w:tcPr>
          <w:p w14:paraId="2B943699" w14:textId="77777777" w:rsidR="00107FCF" w:rsidRPr="00507221" w:rsidRDefault="00107FCF" w:rsidP="00507221">
            <w:pPr>
              <w:jc w:val="right"/>
              <w:rPr>
                <w:color w:val="000000"/>
              </w:rPr>
            </w:pPr>
            <w:r w:rsidRPr="00507221">
              <w:t>17,45%</w:t>
            </w:r>
          </w:p>
        </w:tc>
      </w:tr>
      <w:tr w:rsidR="00107FCF" w:rsidRPr="00507221" w14:paraId="23513D15" w14:textId="77777777" w:rsidTr="00507221">
        <w:trPr>
          <w:trHeight w:val="287"/>
          <w:jc w:val="center"/>
        </w:trPr>
        <w:tc>
          <w:tcPr>
            <w:tcW w:w="1673" w:type="pct"/>
            <w:noWrap/>
            <w:vAlign w:val="center"/>
          </w:tcPr>
          <w:p w14:paraId="2ED80BFA" w14:textId="77777777" w:rsidR="00107FCF" w:rsidRPr="00507221" w:rsidRDefault="00107FCF" w:rsidP="0080021F">
            <w:pPr>
              <w:rPr>
                <w:b/>
                <w:bCs/>
                <w:color w:val="000000"/>
              </w:rPr>
            </w:pPr>
            <w:r w:rsidRPr="00507221">
              <w:rPr>
                <w:bCs/>
                <w:color w:val="000000"/>
              </w:rPr>
              <w:t>B/C</w:t>
            </w:r>
          </w:p>
        </w:tc>
        <w:tc>
          <w:tcPr>
            <w:tcW w:w="1663" w:type="pct"/>
            <w:noWrap/>
          </w:tcPr>
          <w:p w14:paraId="315031D7" w14:textId="77777777" w:rsidR="00107FCF" w:rsidRPr="00507221" w:rsidRDefault="00107FCF" w:rsidP="00507221">
            <w:pPr>
              <w:jc w:val="right"/>
              <w:rPr>
                <w:color w:val="000000"/>
              </w:rPr>
            </w:pPr>
            <w:r w:rsidRPr="00507221">
              <w:t xml:space="preserve">34,97 </w:t>
            </w:r>
          </w:p>
        </w:tc>
        <w:tc>
          <w:tcPr>
            <w:tcW w:w="1664" w:type="pct"/>
            <w:noWrap/>
          </w:tcPr>
          <w:p w14:paraId="6C94CB89" w14:textId="77777777" w:rsidR="00107FCF" w:rsidRPr="00507221" w:rsidRDefault="00107FCF" w:rsidP="00507221">
            <w:pPr>
              <w:jc w:val="right"/>
              <w:rPr>
                <w:color w:val="000000"/>
              </w:rPr>
            </w:pPr>
            <w:r w:rsidRPr="00507221">
              <w:t xml:space="preserve">4,70 </w:t>
            </w:r>
          </w:p>
        </w:tc>
      </w:tr>
    </w:tbl>
    <w:p w14:paraId="7EA12145" w14:textId="77777777" w:rsidR="00107FCF" w:rsidRDefault="00107FCF" w:rsidP="008F0F37">
      <w:pPr>
        <w:pStyle w:val="ReportText"/>
        <w:spacing w:before="120" w:after="120"/>
        <w:jc w:val="both"/>
      </w:pPr>
    </w:p>
    <w:p w14:paraId="068661AF" w14:textId="033D824D" w:rsidR="00107FCF" w:rsidRPr="001C23A2" w:rsidRDefault="00107FCF" w:rsidP="000B79D0">
      <w:pPr>
        <w:jc w:val="both"/>
      </w:pPr>
      <w:r>
        <w:t xml:space="preserve">Warianty, które uzyskały pozytywny wynik analizy kosztów i korzyści były kwalifikowane do prowadzenia analizy wielokryterialnej, o ile w danym obszarze problemowym możliwe było sformułowanie co najmniej dwóch wariantów, które by skutecznie chroniły ww. obszar problemowy i jednocześnie byłyby realne do </w:t>
      </w:r>
      <w:r w:rsidRPr="001C23A2">
        <w:t xml:space="preserve">wdrożenia oraz charakteryzowałyby się efektywnością ekonomiczną. Jako pozytywny wynik analizy kosztów i korzyści kwalifikowano zadania, które spełniały wszystkie poniższe warunki: </w:t>
      </w:r>
    </w:p>
    <w:p w14:paraId="6C5E35BD" w14:textId="77777777" w:rsidR="00107FCF" w:rsidRPr="001C23A2" w:rsidRDefault="00107FCF" w:rsidP="006D41A7">
      <w:pPr>
        <w:pStyle w:val="Akapitzlist"/>
        <w:numPr>
          <w:ilvl w:val="0"/>
          <w:numId w:val="33"/>
        </w:numPr>
        <w:jc w:val="both"/>
        <w:rPr>
          <w:sz w:val="24"/>
          <w:szCs w:val="24"/>
        </w:rPr>
      </w:pPr>
      <w:r w:rsidRPr="001C23A2">
        <w:rPr>
          <w:sz w:val="24"/>
          <w:szCs w:val="24"/>
        </w:rPr>
        <w:t xml:space="preserve">Wskaźnik korzyści do kosztów B/C (ang. Benefits / costs) wyższy od 1;  </w:t>
      </w:r>
    </w:p>
    <w:p w14:paraId="75407237" w14:textId="77777777" w:rsidR="00107FCF" w:rsidRPr="001C23A2" w:rsidRDefault="00107FCF" w:rsidP="006D41A7">
      <w:pPr>
        <w:pStyle w:val="Akapitzlist"/>
        <w:numPr>
          <w:ilvl w:val="0"/>
          <w:numId w:val="33"/>
        </w:numPr>
        <w:jc w:val="both"/>
        <w:rPr>
          <w:sz w:val="24"/>
          <w:szCs w:val="24"/>
          <w:lang w:val="en-US"/>
        </w:rPr>
      </w:pPr>
      <w:r w:rsidRPr="001C23A2">
        <w:rPr>
          <w:sz w:val="24"/>
          <w:szCs w:val="24"/>
        </w:rPr>
        <w:t xml:space="preserve">Ekonomiczna wartość bieżąca netto ENPV (ang. </w:t>
      </w:r>
      <w:r w:rsidRPr="001C23A2">
        <w:rPr>
          <w:sz w:val="24"/>
          <w:szCs w:val="24"/>
          <w:lang w:val="en-US"/>
        </w:rPr>
        <w:t xml:space="preserve">Economic net present value) większa od 0; </w:t>
      </w:r>
    </w:p>
    <w:p w14:paraId="446AB12D" w14:textId="77777777" w:rsidR="00107FCF" w:rsidRPr="001C23A2" w:rsidRDefault="00107FCF" w:rsidP="006D41A7">
      <w:pPr>
        <w:pStyle w:val="Akapitzlist"/>
        <w:numPr>
          <w:ilvl w:val="0"/>
          <w:numId w:val="33"/>
        </w:numPr>
        <w:jc w:val="both"/>
        <w:rPr>
          <w:sz w:val="24"/>
          <w:szCs w:val="24"/>
        </w:rPr>
      </w:pPr>
      <w:r w:rsidRPr="001C23A2">
        <w:rPr>
          <w:sz w:val="24"/>
          <w:szCs w:val="24"/>
        </w:rPr>
        <w:t>Ekonomiczna wewnętrzna stopa zwrotu ERR (ang. Economic rate of return) większa od stopy dyskontowej.</w:t>
      </w:r>
    </w:p>
    <w:p w14:paraId="4C1BD54D" w14:textId="77777777" w:rsidR="00107FCF" w:rsidRPr="001C23A2" w:rsidRDefault="00107FCF" w:rsidP="000B79D0">
      <w:pPr>
        <w:jc w:val="both"/>
      </w:pPr>
    </w:p>
    <w:p w14:paraId="62D2CF86" w14:textId="43BC0B93" w:rsidR="00107FCF" w:rsidRDefault="00AF7C5E" w:rsidP="000B79D0">
      <w:pPr>
        <w:jc w:val="both"/>
      </w:pPr>
      <w:r>
        <w:br w:type="column"/>
      </w:r>
      <w:r w:rsidR="00107FCF" w:rsidRPr="001C23A2">
        <w:lastRenderedPageBreak/>
        <w:t>W przypadku braku pozytywnego wyniku analizy kosztów i korzyści dla wszystkich analizowanych</w:t>
      </w:r>
      <w:r w:rsidR="00107FCF">
        <w:t xml:space="preserve"> wariantów planistycznych zawierających działania techniczne, zarekomendowany został jedynie wariant nietechniczny. Jeśli w danym obszarze problemowym zidentyfikowano tylko jeden wariant realny do wdrożenia, to rekomendacja następowała na podstawie wyników analizy kosztów i korzyści.</w:t>
      </w:r>
    </w:p>
    <w:p w14:paraId="4C703EBE" w14:textId="77777777" w:rsidR="00107FCF" w:rsidRDefault="00107FCF" w:rsidP="000B79D0">
      <w:pPr>
        <w:jc w:val="both"/>
      </w:pPr>
    </w:p>
    <w:p w14:paraId="0923CA8E" w14:textId="77777777" w:rsidR="00107FCF" w:rsidRDefault="00107FCF" w:rsidP="000B79D0">
      <w:pPr>
        <w:jc w:val="both"/>
      </w:pPr>
      <w:r>
        <w:t>W przypadku obszarów problemowych IOP_6 Darłowo, IOP_10 Stepnica oraz IOP_11 Nowe Warpno wyniki analizy kosztów i korzyści były pozytywne dla obu proponowanych wariantów planistycznych.</w:t>
      </w:r>
    </w:p>
    <w:p w14:paraId="3D1E60A9" w14:textId="77777777" w:rsidR="00107FCF" w:rsidRDefault="00107FCF" w:rsidP="000B79D0">
      <w:pPr>
        <w:jc w:val="both"/>
      </w:pPr>
    </w:p>
    <w:p w14:paraId="516EFA47" w14:textId="7F3C3D11" w:rsidR="00107FCF" w:rsidRPr="006A7977" w:rsidRDefault="00107FCF" w:rsidP="006A7977">
      <w:pPr>
        <w:jc w:val="both"/>
        <w:rPr>
          <w:szCs w:val="20"/>
          <w:lang w:eastAsia="en-US"/>
        </w:rPr>
      </w:pPr>
      <w:r>
        <w:t>W przypadku obszarów problemowych IOP_3 Świnoujście, IOP_4 Kołobrzeg i IOP_9 Trzebież wyniki analizy kosztów i korzyści były negatywne dla obu proponowanych wariantów planistycznych, wobec czego rekomendowanym wariantem ochrony przeciwpowodziowej jest wariant „0” – utrzymanie aktualnego stanu zabudowy hydrotechnicznej.</w:t>
      </w:r>
    </w:p>
    <w:p w14:paraId="29844931" w14:textId="16BC7F2D" w:rsidR="00107FCF" w:rsidRDefault="00EA50FC" w:rsidP="006D41A7">
      <w:pPr>
        <w:pStyle w:val="ReportLevel2"/>
        <w:numPr>
          <w:ilvl w:val="1"/>
          <w:numId w:val="4"/>
        </w:numPr>
      </w:pPr>
      <w:r>
        <w:br w:type="column"/>
      </w:r>
      <w:bookmarkStart w:id="82" w:name="_Toc80608727"/>
      <w:r w:rsidR="00107FCF">
        <w:lastRenderedPageBreak/>
        <w:t>Analiza wielokryterialna</w:t>
      </w:r>
      <w:bookmarkEnd w:id="82"/>
    </w:p>
    <w:p w14:paraId="52F896A5" w14:textId="77777777" w:rsidR="00107FCF" w:rsidRDefault="00107FCF" w:rsidP="00CA0F4A">
      <w:pPr>
        <w:pStyle w:val="ReportText"/>
        <w:spacing w:before="0" w:afterLines="160" w:after="384" w:line="240" w:lineRule="auto"/>
        <w:jc w:val="both"/>
      </w:pPr>
      <w:r>
        <w:t xml:space="preserve">Analizy wielokryterialne wykorzystano, aby wyłonić optymalne warianty planistyczne spośród zaproponowanych wariantów planistycznych, które uzyskały pozytywny wynik analizy kosztów i korzyści. </w:t>
      </w:r>
    </w:p>
    <w:p w14:paraId="25B81A79" w14:textId="77777777" w:rsidR="00107FCF" w:rsidRPr="00EF491C" w:rsidRDefault="00107FCF" w:rsidP="00AF7C5E">
      <w:pPr>
        <w:rPr>
          <w:b/>
        </w:rPr>
      </w:pPr>
      <w:r w:rsidRPr="00EF491C">
        <w:t>Analiza porównawcza spełniania danego kryterium przez analizowane warianty parami wykonywana jest osobno dla każdego kryterium, czyli porównuje się parami warianty rozwiązania problemu w obszarze problemowym w świetle każdego z kryteriów osobno.</w:t>
      </w:r>
    </w:p>
    <w:p w14:paraId="22DC6854" w14:textId="77777777" w:rsidR="00107FCF" w:rsidRDefault="00107FCF" w:rsidP="00CA0F4A">
      <w:pPr>
        <w:pStyle w:val="ReportText"/>
        <w:spacing w:before="0" w:afterLines="160" w:after="384" w:line="240" w:lineRule="auto"/>
        <w:jc w:val="both"/>
      </w:pPr>
      <w:r>
        <w:t>Zastosowanie tego narzędzia umożliwiło podejmowanie decyzji w obliczu niejednorodnych i konkurencyjnych kryteriów wyboru. Efektem przeprowadzonej analizy wielokryterialnej jest także ustalenie priorytetów działań na poziomie zlewni planistycznej. Przeprowadzona analiza wielokryterialna pozwoliła uszeregować działania od najpilniejszych do najmniej pilnych w obrębie każdej zlewni planistycznej.</w:t>
      </w:r>
    </w:p>
    <w:p w14:paraId="7C9B2638" w14:textId="301F672A" w:rsidR="00107FCF" w:rsidRDefault="00107FCF" w:rsidP="00452A44">
      <w:pPr>
        <w:pStyle w:val="ReportText"/>
        <w:spacing w:before="120" w:after="120"/>
        <w:jc w:val="both"/>
        <w:rPr>
          <w:lang w:eastAsia="zh-CN"/>
        </w:rPr>
      </w:pPr>
      <w:bookmarkStart w:id="83" w:name="_Ref76654642"/>
      <w:r w:rsidRPr="007E2EB1">
        <w:t xml:space="preserve">Analiza wielokryterialna została przygotowana zgodnie z metodyką AHP - the Analytic Hierarchy </w:t>
      </w:r>
      <w:r w:rsidRPr="00A66DDF">
        <w:t xml:space="preserve">Process i zarówno jak analiza wykonywana podczas prac nad aPZRP </w:t>
      </w:r>
      <w:r w:rsidRPr="00354E4F">
        <w:t>uwzględniała kryteria ekonomiczne, społeczne, środowiskowe oraz powodziowe. Do kwalifikacji wariantów planistycznych posłużyły oceny wykonane dla ośmiu</w:t>
      </w:r>
      <w:r w:rsidR="001C23A2">
        <w:t xml:space="preserve"> </w:t>
      </w:r>
      <w:r w:rsidRPr="00354E4F">
        <w:t>kryteriów zbiorczych. Wagi kryteriów zostały określone na potrzeby projektu aPZRP</w:t>
      </w:r>
      <w:r w:rsidR="001C23A2">
        <w:t xml:space="preserve"> </w:t>
      </w:r>
      <w:r w:rsidRPr="00354E4F">
        <w:t>i</w:t>
      </w:r>
      <w:r w:rsidR="001C23A2">
        <w:t> </w:t>
      </w:r>
      <w:r w:rsidRPr="00354E4F">
        <w:t>w</w:t>
      </w:r>
      <w:r w:rsidR="001C23A2">
        <w:t> </w:t>
      </w:r>
      <w:r w:rsidRPr="00354E4F">
        <w:t>przedmiotowym projekcie wykorzystano te same wskaźniki tak aby zachować homogeniczność ocen. Kryteria zbiorcze wraz z przypisanymi do nich wagami przedstawia</w:t>
      </w:r>
      <w:r>
        <w:t xml:space="preserve"> </w:t>
      </w:r>
      <w:r>
        <w:fldChar w:fldCharType="begin"/>
      </w:r>
      <w:r>
        <w:instrText xml:space="preserve"> REF _Ref79499090 \h </w:instrText>
      </w:r>
      <w:r>
        <w:fldChar w:fldCharType="separate"/>
      </w:r>
      <w:r w:rsidR="00AC4DF9" w:rsidRPr="003E107C">
        <w:rPr>
          <w:szCs w:val="28"/>
        </w:rPr>
        <w:t xml:space="preserve">Tabela </w:t>
      </w:r>
      <w:r w:rsidR="00AC4DF9">
        <w:rPr>
          <w:noProof/>
          <w:szCs w:val="28"/>
        </w:rPr>
        <w:t>11</w:t>
      </w:r>
      <w:r>
        <w:fldChar w:fldCharType="end"/>
      </w:r>
    </w:p>
    <w:p w14:paraId="67162C06" w14:textId="6A979C84" w:rsidR="00107FCF" w:rsidRPr="003E107C" w:rsidRDefault="00107FCF" w:rsidP="001C23A2">
      <w:pPr>
        <w:pStyle w:val="Legenda"/>
        <w:tabs>
          <w:tab w:val="clear" w:pos="1080"/>
        </w:tabs>
        <w:spacing w:before="120" w:after="0"/>
        <w:ind w:left="1134" w:hanging="1134"/>
        <w:jc w:val="both"/>
        <w:rPr>
          <w:sz w:val="24"/>
          <w:szCs w:val="28"/>
        </w:rPr>
      </w:pPr>
      <w:bookmarkStart w:id="84" w:name="_Ref79499090"/>
      <w:bookmarkStart w:id="85" w:name="_Toc80608764"/>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11</w:t>
      </w:r>
      <w:r w:rsidR="00290AD4">
        <w:rPr>
          <w:sz w:val="24"/>
          <w:szCs w:val="28"/>
        </w:rPr>
        <w:fldChar w:fldCharType="end"/>
      </w:r>
      <w:bookmarkEnd w:id="83"/>
      <w:bookmarkEnd w:id="84"/>
      <w:r w:rsidRPr="003E107C">
        <w:rPr>
          <w:sz w:val="24"/>
          <w:szCs w:val="28"/>
        </w:rPr>
        <w:tab/>
        <w:t>Kryteria zbiorcze wykorzystywane w analizie wielokryterialnej wraz z</w:t>
      </w:r>
      <w:r w:rsidR="001C23A2">
        <w:rPr>
          <w:sz w:val="24"/>
          <w:szCs w:val="28"/>
        </w:rPr>
        <w:t> </w:t>
      </w:r>
      <w:r w:rsidRPr="003E107C">
        <w:rPr>
          <w:sz w:val="24"/>
          <w:szCs w:val="28"/>
        </w:rPr>
        <w:t>przypisanymi do nich wagami</w:t>
      </w:r>
      <w:bookmarkEnd w:id="85"/>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543"/>
        <w:gridCol w:w="6661"/>
        <w:gridCol w:w="1291"/>
      </w:tblGrid>
      <w:tr w:rsidR="00107FCF" w:rsidRPr="00507221" w14:paraId="2EA0B5E5" w14:textId="77777777" w:rsidTr="006A3BC1">
        <w:trPr>
          <w:trHeight w:val="300"/>
        </w:trPr>
        <w:tc>
          <w:tcPr>
            <w:tcW w:w="310" w:type="pct"/>
            <w:tcBorders>
              <w:bottom w:val="single" w:sz="12" w:space="0" w:color="7ECBED"/>
            </w:tcBorders>
            <w:shd w:val="clear" w:color="auto" w:fill="D4EDF9"/>
          </w:tcPr>
          <w:p w14:paraId="58A3E1C8" w14:textId="77777777" w:rsidR="00107FCF" w:rsidRPr="00507221" w:rsidRDefault="00107FCF" w:rsidP="00507221">
            <w:pPr>
              <w:spacing w:before="40" w:after="40"/>
              <w:rPr>
                <w:b/>
                <w:bCs/>
                <w:color w:val="000000"/>
                <w:lang w:eastAsia="pl-PL"/>
              </w:rPr>
            </w:pPr>
            <w:r w:rsidRPr="00507221">
              <w:rPr>
                <w:color w:val="000000"/>
                <w:lang w:eastAsia="pl-PL"/>
              </w:rPr>
              <w:t>Lp.</w:t>
            </w:r>
          </w:p>
        </w:tc>
        <w:tc>
          <w:tcPr>
            <w:tcW w:w="3908" w:type="pct"/>
            <w:tcBorders>
              <w:bottom w:val="single" w:sz="12" w:space="0" w:color="7ECBED"/>
            </w:tcBorders>
            <w:shd w:val="clear" w:color="auto" w:fill="D4EDF9"/>
            <w:noWrap/>
          </w:tcPr>
          <w:p w14:paraId="22199C4F" w14:textId="77777777" w:rsidR="00107FCF" w:rsidRPr="00507221" w:rsidRDefault="00107FCF" w:rsidP="00507221">
            <w:pPr>
              <w:spacing w:before="40" w:after="40"/>
              <w:rPr>
                <w:b/>
                <w:bCs/>
                <w:color w:val="000000"/>
                <w:lang w:eastAsia="pl-PL"/>
              </w:rPr>
            </w:pPr>
            <w:r w:rsidRPr="00507221">
              <w:rPr>
                <w:color w:val="000000"/>
                <w:lang w:eastAsia="pl-PL"/>
              </w:rPr>
              <w:t>Kryterium zbiorcze</w:t>
            </w:r>
          </w:p>
        </w:tc>
        <w:tc>
          <w:tcPr>
            <w:tcW w:w="782" w:type="pct"/>
            <w:tcBorders>
              <w:bottom w:val="single" w:sz="12" w:space="0" w:color="7ECBED"/>
            </w:tcBorders>
            <w:shd w:val="clear" w:color="auto" w:fill="D4EDF9"/>
          </w:tcPr>
          <w:p w14:paraId="4B8E56B2" w14:textId="77777777" w:rsidR="00107FCF" w:rsidRPr="00507221" w:rsidRDefault="00107FCF" w:rsidP="00507221">
            <w:pPr>
              <w:spacing w:before="40" w:after="40"/>
              <w:jc w:val="center"/>
              <w:rPr>
                <w:b/>
                <w:bCs/>
                <w:color w:val="000000"/>
              </w:rPr>
            </w:pPr>
            <w:r w:rsidRPr="00507221">
              <w:rPr>
                <w:color w:val="000000"/>
              </w:rPr>
              <w:t>Waga</w:t>
            </w:r>
          </w:p>
        </w:tc>
      </w:tr>
      <w:tr w:rsidR="00107FCF" w:rsidRPr="00507221" w14:paraId="3CC09610" w14:textId="77777777" w:rsidTr="006A3BC1">
        <w:trPr>
          <w:trHeight w:val="300"/>
        </w:trPr>
        <w:tc>
          <w:tcPr>
            <w:tcW w:w="310" w:type="pct"/>
          </w:tcPr>
          <w:p w14:paraId="666ED3C0" w14:textId="77777777" w:rsidR="00107FCF" w:rsidRPr="00507221" w:rsidRDefault="00107FCF" w:rsidP="00507221">
            <w:pPr>
              <w:spacing w:before="40" w:after="40"/>
              <w:rPr>
                <w:b/>
                <w:bCs/>
                <w:color w:val="000000"/>
              </w:rPr>
            </w:pPr>
            <w:r w:rsidRPr="00507221">
              <w:rPr>
                <w:color w:val="000000"/>
              </w:rPr>
              <w:t>1</w:t>
            </w:r>
          </w:p>
        </w:tc>
        <w:tc>
          <w:tcPr>
            <w:tcW w:w="3908" w:type="pct"/>
            <w:noWrap/>
          </w:tcPr>
          <w:p w14:paraId="44BE6A7B" w14:textId="77777777" w:rsidR="00107FCF" w:rsidRPr="00507221" w:rsidRDefault="00107FCF" w:rsidP="00507221">
            <w:pPr>
              <w:spacing w:before="40" w:after="40"/>
              <w:rPr>
                <w:bCs/>
                <w:color w:val="000000"/>
              </w:rPr>
            </w:pPr>
            <w:r w:rsidRPr="00507221">
              <w:rPr>
                <w:bCs/>
                <w:color w:val="000000"/>
              </w:rPr>
              <w:t>Skuteczność osiągania celów zarządzania ryzykiem powodziowym</w:t>
            </w:r>
          </w:p>
        </w:tc>
        <w:tc>
          <w:tcPr>
            <w:tcW w:w="782" w:type="pct"/>
          </w:tcPr>
          <w:p w14:paraId="5807C294" w14:textId="77777777" w:rsidR="00107FCF" w:rsidRPr="00507221" w:rsidRDefault="00107FCF" w:rsidP="00507221">
            <w:pPr>
              <w:spacing w:before="40" w:after="40"/>
              <w:jc w:val="center"/>
              <w:rPr>
                <w:color w:val="000000"/>
              </w:rPr>
            </w:pPr>
            <w:r w:rsidRPr="00507221">
              <w:rPr>
                <w:color w:val="000000"/>
              </w:rPr>
              <w:t>18.76%</w:t>
            </w:r>
          </w:p>
        </w:tc>
      </w:tr>
      <w:tr w:rsidR="00107FCF" w:rsidRPr="00507221" w14:paraId="4809270D" w14:textId="77777777" w:rsidTr="006A3BC1">
        <w:trPr>
          <w:trHeight w:val="300"/>
        </w:trPr>
        <w:tc>
          <w:tcPr>
            <w:tcW w:w="310" w:type="pct"/>
          </w:tcPr>
          <w:p w14:paraId="4349A5AD" w14:textId="77777777" w:rsidR="00107FCF" w:rsidRPr="00507221" w:rsidRDefault="00107FCF" w:rsidP="00507221">
            <w:pPr>
              <w:spacing w:before="40" w:after="40"/>
              <w:rPr>
                <w:b/>
                <w:bCs/>
                <w:color w:val="000000"/>
              </w:rPr>
            </w:pPr>
            <w:r w:rsidRPr="00507221">
              <w:rPr>
                <w:color w:val="000000"/>
              </w:rPr>
              <w:t>2</w:t>
            </w:r>
          </w:p>
        </w:tc>
        <w:tc>
          <w:tcPr>
            <w:tcW w:w="3908" w:type="pct"/>
            <w:noWrap/>
          </w:tcPr>
          <w:p w14:paraId="7B65AAB9" w14:textId="77777777" w:rsidR="00107FCF" w:rsidRPr="00507221" w:rsidRDefault="00107FCF" w:rsidP="00507221">
            <w:pPr>
              <w:spacing w:before="40" w:after="40"/>
              <w:rPr>
                <w:bCs/>
                <w:color w:val="000000"/>
              </w:rPr>
            </w:pPr>
            <w:r w:rsidRPr="00507221">
              <w:rPr>
                <w:bCs/>
                <w:color w:val="000000"/>
              </w:rPr>
              <w:t>Efektywność ekonomiczna / Całkowite Nakłady Inwestycyjne</w:t>
            </w:r>
          </w:p>
        </w:tc>
        <w:tc>
          <w:tcPr>
            <w:tcW w:w="782" w:type="pct"/>
          </w:tcPr>
          <w:p w14:paraId="065362FD" w14:textId="77777777" w:rsidR="00107FCF" w:rsidRPr="00507221" w:rsidRDefault="00107FCF" w:rsidP="00507221">
            <w:pPr>
              <w:spacing w:before="40" w:after="40"/>
              <w:jc w:val="center"/>
              <w:rPr>
                <w:color w:val="000000"/>
              </w:rPr>
            </w:pPr>
            <w:r w:rsidRPr="00507221">
              <w:rPr>
                <w:color w:val="000000"/>
              </w:rPr>
              <w:t>18.07%</w:t>
            </w:r>
          </w:p>
        </w:tc>
      </w:tr>
      <w:tr w:rsidR="00107FCF" w:rsidRPr="00507221" w14:paraId="660BF514" w14:textId="77777777" w:rsidTr="006A3BC1">
        <w:trPr>
          <w:trHeight w:val="300"/>
        </w:trPr>
        <w:tc>
          <w:tcPr>
            <w:tcW w:w="310" w:type="pct"/>
          </w:tcPr>
          <w:p w14:paraId="222BFED5" w14:textId="77777777" w:rsidR="00107FCF" w:rsidRPr="00507221" w:rsidRDefault="00107FCF" w:rsidP="00507221">
            <w:pPr>
              <w:spacing w:before="40" w:after="40"/>
              <w:rPr>
                <w:b/>
                <w:bCs/>
                <w:color w:val="000000"/>
              </w:rPr>
            </w:pPr>
            <w:r w:rsidRPr="00507221">
              <w:rPr>
                <w:color w:val="000000"/>
              </w:rPr>
              <w:t>3</w:t>
            </w:r>
          </w:p>
        </w:tc>
        <w:tc>
          <w:tcPr>
            <w:tcW w:w="3908" w:type="pct"/>
            <w:noWrap/>
          </w:tcPr>
          <w:p w14:paraId="0CDBF471" w14:textId="77777777" w:rsidR="00107FCF" w:rsidRPr="00507221" w:rsidRDefault="00107FCF" w:rsidP="00507221">
            <w:pPr>
              <w:spacing w:before="40" w:after="40"/>
              <w:rPr>
                <w:bCs/>
                <w:color w:val="000000"/>
              </w:rPr>
            </w:pPr>
            <w:r w:rsidRPr="00507221">
              <w:rPr>
                <w:bCs/>
                <w:color w:val="000000"/>
              </w:rPr>
              <w:t>Zapewnienie finansowania</w:t>
            </w:r>
          </w:p>
        </w:tc>
        <w:tc>
          <w:tcPr>
            <w:tcW w:w="782" w:type="pct"/>
          </w:tcPr>
          <w:p w14:paraId="6D3D5C54" w14:textId="77777777" w:rsidR="00107FCF" w:rsidRPr="00507221" w:rsidRDefault="00107FCF" w:rsidP="00507221">
            <w:pPr>
              <w:spacing w:before="40" w:after="40"/>
              <w:jc w:val="center"/>
              <w:rPr>
                <w:color w:val="000000"/>
              </w:rPr>
            </w:pPr>
            <w:r w:rsidRPr="00507221">
              <w:rPr>
                <w:color w:val="000000"/>
              </w:rPr>
              <w:t>11.77%</w:t>
            </w:r>
          </w:p>
        </w:tc>
      </w:tr>
      <w:tr w:rsidR="00107FCF" w:rsidRPr="00507221" w14:paraId="052DC1F7" w14:textId="77777777" w:rsidTr="006A3BC1">
        <w:trPr>
          <w:trHeight w:val="300"/>
        </w:trPr>
        <w:tc>
          <w:tcPr>
            <w:tcW w:w="310" w:type="pct"/>
          </w:tcPr>
          <w:p w14:paraId="73C5F620" w14:textId="77777777" w:rsidR="00107FCF" w:rsidRPr="00507221" w:rsidRDefault="00107FCF" w:rsidP="00507221">
            <w:pPr>
              <w:spacing w:before="40" w:after="40"/>
              <w:rPr>
                <w:b/>
                <w:bCs/>
                <w:color w:val="000000"/>
              </w:rPr>
            </w:pPr>
            <w:r w:rsidRPr="00507221">
              <w:rPr>
                <w:color w:val="000000"/>
              </w:rPr>
              <w:t>4</w:t>
            </w:r>
          </w:p>
        </w:tc>
        <w:tc>
          <w:tcPr>
            <w:tcW w:w="3908" w:type="pct"/>
            <w:noWrap/>
          </w:tcPr>
          <w:p w14:paraId="0C801F1E" w14:textId="77777777" w:rsidR="00107FCF" w:rsidRPr="00507221" w:rsidRDefault="00107FCF" w:rsidP="00507221">
            <w:pPr>
              <w:spacing w:before="40" w:after="40"/>
              <w:rPr>
                <w:bCs/>
                <w:color w:val="000000"/>
              </w:rPr>
            </w:pPr>
            <w:r w:rsidRPr="00507221">
              <w:rPr>
                <w:bCs/>
                <w:color w:val="000000"/>
              </w:rPr>
              <w:t>Kryterium zgodności z RDW</w:t>
            </w:r>
          </w:p>
        </w:tc>
        <w:tc>
          <w:tcPr>
            <w:tcW w:w="782" w:type="pct"/>
          </w:tcPr>
          <w:p w14:paraId="2A366E2F" w14:textId="77777777" w:rsidR="00107FCF" w:rsidRPr="00507221" w:rsidRDefault="00107FCF" w:rsidP="00507221">
            <w:pPr>
              <w:spacing w:before="40" w:after="40"/>
              <w:jc w:val="center"/>
              <w:rPr>
                <w:color w:val="000000"/>
              </w:rPr>
            </w:pPr>
            <w:r w:rsidRPr="00507221">
              <w:rPr>
                <w:color w:val="000000"/>
              </w:rPr>
              <w:t>11.59%</w:t>
            </w:r>
          </w:p>
        </w:tc>
      </w:tr>
      <w:tr w:rsidR="00107FCF" w:rsidRPr="00507221" w14:paraId="70E007DC" w14:textId="77777777" w:rsidTr="006A3BC1">
        <w:trPr>
          <w:trHeight w:val="300"/>
        </w:trPr>
        <w:tc>
          <w:tcPr>
            <w:tcW w:w="310" w:type="pct"/>
          </w:tcPr>
          <w:p w14:paraId="4776DFBF" w14:textId="77777777" w:rsidR="00107FCF" w:rsidRPr="00507221" w:rsidRDefault="00107FCF" w:rsidP="00507221">
            <w:pPr>
              <w:spacing w:before="40" w:after="40"/>
              <w:rPr>
                <w:b/>
                <w:bCs/>
                <w:color w:val="000000"/>
              </w:rPr>
            </w:pPr>
            <w:r w:rsidRPr="00507221">
              <w:rPr>
                <w:color w:val="000000"/>
              </w:rPr>
              <w:t>5</w:t>
            </w:r>
          </w:p>
        </w:tc>
        <w:tc>
          <w:tcPr>
            <w:tcW w:w="3908" w:type="pct"/>
            <w:noWrap/>
          </w:tcPr>
          <w:p w14:paraId="36727303" w14:textId="77777777" w:rsidR="00107FCF" w:rsidRPr="00507221" w:rsidRDefault="00107FCF" w:rsidP="00507221">
            <w:pPr>
              <w:spacing w:before="40" w:after="40"/>
              <w:rPr>
                <w:bCs/>
                <w:color w:val="000000"/>
              </w:rPr>
            </w:pPr>
            <w:r w:rsidRPr="00507221">
              <w:rPr>
                <w:bCs/>
                <w:color w:val="000000"/>
              </w:rPr>
              <w:t>Zakres i stopień negatywnego oddziaływania na środowisko</w:t>
            </w:r>
          </w:p>
        </w:tc>
        <w:tc>
          <w:tcPr>
            <w:tcW w:w="782" w:type="pct"/>
          </w:tcPr>
          <w:p w14:paraId="5FB2FEA6" w14:textId="77777777" w:rsidR="00107FCF" w:rsidRPr="00507221" w:rsidRDefault="00107FCF" w:rsidP="00507221">
            <w:pPr>
              <w:spacing w:before="40" w:after="40"/>
              <w:jc w:val="center"/>
              <w:rPr>
                <w:color w:val="000000"/>
              </w:rPr>
            </w:pPr>
            <w:r w:rsidRPr="00507221">
              <w:rPr>
                <w:color w:val="000000"/>
              </w:rPr>
              <w:t>11.50%</w:t>
            </w:r>
          </w:p>
        </w:tc>
      </w:tr>
      <w:tr w:rsidR="00107FCF" w:rsidRPr="00507221" w14:paraId="0F6060CE" w14:textId="77777777" w:rsidTr="006A3BC1">
        <w:trPr>
          <w:trHeight w:val="300"/>
        </w:trPr>
        <w:tc>
          <w:tcPr>
            <w:tcW w:w="310" w:type="pct"/>
          </w:tcPr>
          <w:p w14:paraId="5D9A6FCB" w14:textId="77777777" w:rsidR="00107FCF" w:rsidRPr="00507221" w:rsidRDefault="00107FCF" w:rsidP="00507221">
            <w:pPr>
              <w:spacing w:before="40" w:after="40"/>
              <w:rPr>
                <w:b/>
                <w:bCs/>
                <w:color w:val="000000"/>
              </w:rPr>
            </w:pPr>
            <w:r w:rsidRPr="00507221">
              <w:rPr>
                <w:color w:val="000000"/>
              </w:rPr>
              <w:t>6</w:t>
            </w:r>
          </w:p>
        </w:tc>
        <w:tc>
          <w:tcPr>
            <w:tcW w:w="3908" w:type="pct"/>
            <w:noWrap/>
          </w:tcPr>
          <w:p w14:paraId="08BF95BE" w14:textId="77777777" w:rsidR="00107FCF" w:rsidRPr="00507221" w:rsidRDefault="00107FCF" w:rsidP="00507221">
            <w:pPr>
              <w:spacing w:before="40" w:after="40"/>
              <w:rPr>
                <w:bCs/>
                <w:color w:val="000000"/>
              </w:rPr>
            </w:pPr>
            <w:r w:rsidRPr="00507221">
              <w:rPr>
                <w:bCs/>
                <w:color w:val="000000"/>
              </w:rPr>
              <w:t>Możliwe konflikty społeczne związane z realizacją działań</w:t>
            </w:r>
          </w:p>
        </w:tc>
        <w:tc>
          <w:tcPr>
            <w:tcW w:w="782" w:type="pct"/>
          </w:tcPr>
          <w:p w14:paraId="38E04914" w14:textId="77777777" w:rsidR="00107FCF" w:rsidRPr="00507221" w:rsidRDefault="00107FCF" w:rsidP="00507221">
            <w:pPr>
              <w:spacing w:before="40" w:after="40"/>
              <w:jc w:val="center"/>
              <w:rPr>
                <w:color w:val="000000"/>
              </w:rPr>
            </w:pPr>
            <w:r w:rsidRPr="00507221">
              <w:rPr>
                <w:color w:val="000000"/>
              </w:rPr>
              <w:t>10.24%</w:t>
            </w:r>
          </w:p>
        </w:tc>
      </w:tr>
      <w:tr w:rsidR="00107FCF" w:rsidRPr="00507221" w14:paraId="3B5F28E5" w14:textId="77777777" w:rsidTr="006A3BC1">
        <w:trPr>
          <w:trHeight w:val="300"/>
        </w:trPr>
        <w:tc>
          <w:tcPr>
            <w:tcW w:w="310" w:type="pct"/>
          </w:tcPr>
          <w:p w14:paraId="7F6E7ED2" w14:textId="77777777" w:rsidR="00107FCF" w:rsidRPr="00507221" w:rsidRDefault="00107FCF" w:rsidP="00507221">
            <w:pPr>
              <w:spacing w:before="40" w:after="40"/>
              <w:rPr>
                <w:b/>
                <w:bCs/>
                <w:color w:val="000000"/>
              </w:rPr>
            </w:pPr>
            <w:r w:rsidRPr="00507221">
              <w:rPr>
                <w:color w:val="000000"/>
              </w:rPr>
              <w:t>7</w:t>
            </w:r>
          </w:p>
        </w:tc>
        <w:tc>
          <w:tcPr>
            <w:tcW w:w="3908" w:type="pct"/>
            <w:noWrap/>
          </w:tcPr>
          <w:p w14:paraId="4D044323" w14:textId="77777777" w:rsidR="00107FCF" w:rsidRPr="00507221" w:rsidRDefault="00107FCF" w:rsidP="00507221">
            <w:pPr>
              <w:spacing w:before="40" w:after="40"/>
              <w:rPr>
                <w:bCs/>
                <w:color w:val="000000"/>
              </w:rPr>
            </w:pPr>
            <w:r w:rsidRPr="00507221">
              <w:rPr>
                <w:bCs/>
                <w:color w:val="000000"/>
              </w:rPr>
              <w:t>Znaczenie dla realizacji strategii adaptacji do zmian klimatu</w:t>
            </w:r>
          </w:p>
        </w:tc>
        <w:tc>
          <w:tcPr>
            <w:tcW w:w="782" w:type="pct"/>
          </w:tcPr>
          <w:p w14:paraId="37907181" w14:textId="77777777" w:rsidR="00107FCF" w:rsidRPr="00507221" w:rsidRDefault="00107FCF" w:rsidP="00507221">
            <w:pPr>
              <w:spacing w:before="40" w:after="40"/>
              <w:jc w:val="center"/>
              <w:rPr>
                <w:color w:val="000000"/>
              </w:rPr>
            </w:pPr>
            <w:r w:rsidRPr="00507221">
              <w:rPr>
                <w:color w:val="000000"/>
              </w:rPr>
              <w:t>8.38%</w:t>
            </w:r>
          </w:p>
        </w:tc>
      </w:tr>
      <w:tr w:rsidR="00107FCF" w:rsidRPr="00507221" w14:paraId="1AE64F09" w14:textId="77777777" w:rsidTr="006A3BC1">
        <w:trPr>
          <w:trHeight w:val="300"/>
        </w:trPr>
        <w:tc>
          <w:tcPr>
            <w:tcW w:w="310" w:type="pct"/>
          </w:tcPr>
          <w:p w14:paraId="4CB0BA86" w14:textId="77777777" w:rsidR="00107FCF" w:rsidRPr="00507221" w:rsidRDefault="00107FCF" w:rsidP="00507221">
            <w:pPr>
              <w:spacing w:before="40" w:after="40"/>
              <w:rPr>
                <w:b/>
                <w:bCs/>
                <w:color w:val="000000"/>
              </w:rPr>
            </w:pPr>
            <w:r w:rsidRPr="00507221">
              <w:rPr>
                <w:color w:val="000000"/>
              </w:rPr>
              <w:t>8</w:t>
            </w:r>
          </w:p>
        </w:tc>
        <w:tc>
          <w:tcPr>
            <w:tcW w:w="3908" w:type="pct"/>
            <w:noWrap/>
          </w:tcPr>
          <w:p w14:paraId="32F07EA6" w14:textId="77777777" w:rsidR="00107FCF" w:rsidRPr="00507221" w:rsidRDefault="00107FCF" w:rsidP="00507221">
            <w:pPr>
              <w:spacing w:before="40" w:after="40"/>
              <w:rPr>
                <w:bCs/>
                <w:color w:val="000000"/>
              </w:rPr>
            </w:pPr>
            <w:r w:rsidRPr="00507221">
              <w:rPr>
                <w:bCs/>
                <w:color w:val="000000"/>
              </w:rPr>
              <w:t>Kryterium synergii</w:t>
            </w:r>
          </w:p>
        </w:tc>
        <w:tc>
          <w:tcPr>
            <w:tcW w:w="782" w:type="pct"/>
          </w:tcPr>
          <w:p w14:paraId="4F376339" w14:textId="77777777" w:rsidR="00107FCF" w:rsidRPr="00507221" w:rsidRDefault="00107FCF" w:rsidP="00507221">
            <w:pPr>
              <w:spacing w:before="40" w:after="40"/>
              <w:jc w:val="center"/>
              <w:rPr>
                <w:color w:val="000000"/>
              </w:rPr>
            </w:pPr>
            <w:r w:rsidRPr="00507221">
              <w:rPr>
                <w:color w:val="000000"/>
              </w:rPr>
              <w:t>9.69%</w:t>
            </w:r>
          </w:p>
        </w:tc>
      </w:tr>
      <w:bookmarkEnd w:id="18"/>
    </w:tbl>
    <w:p w14:paraId="1072D122" w14:textId="6107B872" w:rsidR="00107FCF" w:rsidRDefault="00107FCF">
      <w:pPr>
        <w:rPr>
          <w:b/>
          <w:color w:val="28AAE1"/>
          <w:sz w:val="28"/>
          <w:szCs w:val="18"/>
          <w:lang w:eastAsia="en-US"/>
        </w:rPr>
      </w:pPr>
    </w:p>
    <w:p w14:paraId="1FCDB60F" w14:textId="003BE335" w:rsidR="00107FCF" w:rsidRDefault="001C23A2" w:rsidP="006D41A7">
      <w:pPr>
        <w:pStyle w:val="ReportLevel3"/>
        <w:numPr>
          <w:ilvl w:val="2"/>
          <w:numId w:val="4"/>
        </w:numPr>
      </w:pPr>
      <w:r>
        <w:br w:type="column"/>
      </w:r>
      <w:r w:rsidR="00107FCF">
        <w:lastRenderedPageBreak/>
        <w:t>Kryterium s</w:t>
      </w:r>
      <w:r w:rsidR="00107FCF" w:rsidRPr="00A66DDF">
        <w:t>kuteczność osiągania celów zarządzania ryzykiem powodziowym</w:t>
      </w:r>
    </w:p>
    <w:p w14:paraId="31CE1379" w14:textId="77777777" w:rsidR="00107FCF" w:rsidRDefault="00107FCF" w:rsidP="00354E4F">
      <w:pPr>
        <w:pStyle w:val="ReportText"/>
        <w:jc w:val="both"/>
      </w:pPr>
      <w:r>
        <w:t>Na ocenę kryterium s</w:t>
      </w:r>
      <w:r w:rsidRPr="00A66DDF">
        <w:t>kuteczność osiągania celów zarządzania ryzykiem powodziowym</w:t>
      </w:r>
      <w:r>
        <w:t xml:space="preserve"> składają się kryteria szczegółowe: </w:t>
      </w:r>
    </w:p>
    <w:p w14:paraId="49CDE15F" w14:textId="77777777" w:rsidR="00107FCF" w:rsidRDefault="00107FCF" w:rsidP="006D41A7">
      <w:pPr>
        <w:pStyle w:val="ReportText"/>
        <w:numPr>
          <w:ilvl w:val="0"/>
          <w:numId w:val="34"/>
        </w:numPr>
        <w:ind w:left="567" w:hanging="425"/>
        <w:jc w:val="both"/>
      </w:pPr>
      <w:r w:rsidRPr="00355B8D">
        <w:t xml:space="preserve">Stopień trudności realizacji zadania </w:t>
      </w:r>
      <w:r>
        <w:t>–</w:t>
      </w:r>
      <w:r w:rsidRPr="00355B8D">
        <w:t xml:space="preserve"> ocena</w:t>
      </w:r>
      <w:r>
        <w:t xml:space="preserve"> ekspercka</w:t>
      </w:r>
      <w:r w:rsidRPr="00355B8D">
        <w:t xml:space="preserve"> </w:t>
      </w:r>
      <w:r>
        <w:t xml:space="preserve">uzależniona od </w:t>
      </w:r>
      <w:r w:rsidRPr="00355B8D">
        <w:t>łączn</w:t>
      </w:r>
      <w:r>
        <w:t>ej</w:t>
      </w:r>
      <w:r w:rsidRPr="00355B8D">
        <w:t xml:space="preserve"> długoś</w:t>
      </w:r>
      <w:r>
        <w:t>ci</w:t>
      </w:r>
      <w:r w:rsidRPr="00355B8D">
        <w:t xml:space="preserve"> </w:t>
      </w:r>
      <w:r>
        <w:t>oraz stopnia skomplikowania realizacji poszczególnych rozwiązań projektowych;</w:t>
      </w:r>
    </w:p>
    <w:p w14:paraId="7A4BE03C" w14:textId="14AE1B3B" w:rsidR="00107FCF" w:rsidRDefault="00107FCF" w:rsidP="006D41A7">
      <w:pPr>
        <w:pStyle w:val="ReportText"/>
        <w:numPr>
          <w:ilvl w:val="0"/>
          <w:numId w:val="34"/>
        </w:numPr>
        <w:ind w:left="567" w:hanging="425"/>
        <w:jc w:val="both"/>
      </w:pPr>
      <w:r w:rsidRPr="00355B8D">
        <w:t xml:space="preserve">Zależność od czasu uzyskania prognozy - </w:t>
      </w:r>
      <w:r>
        <w:t>kryterium uw</w:t>
      </w:r>
      <w:r w:rsidRPr="00F1336E">
        <w:t>zględniane jedynie w</w:t>
      </w:r>
      <w:r w:rsidR="001C23A2">
        <w:t> </w:t>
      </w:r>
      <w:r w:rsidRPr="00F1336E">
        <w:t>przypadku obszarów problemowych, na których przynajmniej w jednym z</w:t>
      </w:r>
      <w:r w:rsidR="001C23A2">
        <w:t> </w:t>
      </w:r>
      <w:r w:rsidRPr="00F1336E">
        <w:t>wariantów proponowane są mobilne systemy przeciwpowodziowe</w:t>
      </w:r>
      <w:r>
        <w:t>, z uwagi na to, iż</w:t>
      </w:r>
      <w:r w:rsidRPr="00F1336E">
        <w:t xml:space="preserve"> </w:t>
      </w:r>
      <w:r>
        <w:t xml:space="preserve">dla rozwiązań stałych </w:t>
      </w:r>
      <w:r w:rsidRPr="00F1336E">
        <w:t xml:space="preserve">czas niezbędny do uzyskania ochrony wynosi 0 h. </w:t>
      </w:r>
      <w:r>
        <w:t>O</w:t>
      </w:r>
      <w:r w:rsidRPr="00355B8D">
        <w:t>cena porównawcza</w:t>
      </w:r>
      <w:r>
        <w:t xml:space="preserve"> uzależniona od </w:t>
      </w:r>
      <w:r w:rsidRPr="00355B8D">
        <w:t>łączn</w:t>
      </w:r>
      <w:r>
        <w:t>ej</w:t>
      </w:r>
      <w:r w:rsidRPr="00355B8D">
        <w:t xml:space="preserve"> długoś</w:t>
      </w:r>
      <w:r>
        <w:t>ci</w:t>
      </w:r>
      <w:r w:rsidRPr="00355B8D">
        <w:t xml:space="preserve"> mobilnych systemów</w:t>
      </w:r>
      <w:r>
        <w:t xml:space="preserve"> oraz </w:t>
      </w:r>
      <w:r w:rsidRPr="00355B8D">
        <w:t>średni</w:t>
      </w:r>
      <w:r>
        <w:t>ej</w:t>
      </w:r>
      <w:r w:rsidRPr="00355B8D">
        <w:t xml:space="preserve"> wysokość przegród</w:t>
      </w:r>
      <w:r>
        <w:t>;</w:t>
      </w:r>
    </w:p>
    <w:p w14:paraId="4BE65F1F" w14:textId="3740F34D" w:rsidR="00107FCF" w:rsidRDefault="00107FCF" w:rsidP="006D41A7">
      <w:pPr>
        <w:pStyle w:val="ReportText"/>
        <w:numPr>
          <w:ilvl w:val="0"/>
          <w:numId w:val="34"/>
        </w:numPr>
        <w:ind w:left="567" w:hanging="425"/>
        <w:jc w:val="both"/>
      </w:pPr>
      <w:r w:rsidRPr="00355B8D">
        <w:t xml:space="preserve">Czas potrzebny na ustawienie bariery ochronnej - </w:t>
      </w:r>
      <w:r>
        <w:t>kryterium uw</w:t>
      </w:r>
      <w:r w:rsidRPr="00F1336E">
        <w:t>zględniane jedynie w przypadku obszarów problemowych, na których przynajmniej w jednym z</w:t>
      </w:r>
      <w:r w:rsidR="001C23A2">
        <w:t> </w:t>
      </w:r>
      <w:r w:rsidRPr="00F1336E">
        <w:t>wariantów proponowane są mobilne systemy przeciwpowodziowe</w:t>
      </w:r>
      <w:r>
        <w:t>. O</w:t>
      </w:r>
      <w:r w:rsidRPr="00355B8D">
        <w:t>cena porównawcza</w:t>
      </w:r>
      <w:r>
        <w:t xml:space="preserve"> uzależniona od </w:t>
      </w:r>
      <w:r w:rsidRPr="00355B8D">
        <w:t>łączn</w:t>
      </w:r>
      <w:r>
        <w:t>ej</w:t>
      </w:r>
      <w:r w:rsidRPr="00355B8D">
        <w:t xml:space="preserve"> długoś</w:t>
      </w:r>
      <w:r>
        <w:t>ci</w:t>
      </w:r>
      <w:r w:rsidRPr="00355B8D">
        <w:t xml:space="preserve"> mobilnych systemów</w:t>
      </w:r>
      <w:r>
        <w:t xml:space="preserve">, </w:t>
      </w:r>
      <w:r w:rsidRPr="00355B8D">
        <w:t>średni</w:t>
      </w:r>
      <w:r>
        <w:t>ej</w:t>
      </w:r>
      <w:r w:rsidRPr="00355B8D">
        <w:t xml:space="preserve"> wysokość przegród</w:t>
      </w:r>
      <w:r>
        <w:t xml:space="preserve"> oraz stopnia oceny czasu potrzebnego na ustawienie bariery ochronnej;</w:t>
      </w:r>
    </w:p>
    <w:p w14:paraId="5FDC15E1" w14:textId="77777777" w:rsidR="00107FCF" w:rsidRDefault="00107FCF" w:rsidP="006D41A7">
      <w:pPr>
        <w:pStyle w:val="ReportText"/>
        <w:numPr>
          <w:ilvl w:val="0"/>
          <w:numId w:val="34"/>
        </w:numPr>
        <w:ind w:left="567" w:hanging="425"/>
        <w:jc w:val="both"/>
      </w:pPr>
      <w:r w:rsidRPr="00355B8D">
        <w:t>Kryterium stanu zaawansowania - ocena stanu zaawansowania dokumentacji</w:t>
      </w:r>
      <w:r>
        <w:t>.</w:t>
      </w:r>
    </w:p>
    <w:p w14:paraId="19404EFA" w14:textId="1DC8C8D9" w:rsidR="00107FCF" w:rsidRPr="003E107C" w:rsidRDefault="00107FCF" w:rsidP="00452A44">
      <w:pPr>
        <w:pStyle w:val="Legenda"/>
        <w:spacing w:before="120" w:after="0"/>
        <w:ind w:left="1080" w:hanging="1080"/>
        <w:rPr>
          <w:sz w:val="24"/>
          <w:szCs w:val="28"/>
        </w:rPr>
      </w:pPr>
      <w:r w:rsidRPr="003E107C">
        <w:rPr>
          <w:sz w:val="24"/>
          <w:szCs w:val="28"/>
        </w:rPr>
        <w:t xml:space="preserve">Kryteria szczegółowe wraz z przypisanymi do nich wagami przedstawia </w:t>
      </w:r>
      <w:r>
        <w:rPr>
          <w:sz w:val="24"/>
          <w:szCs w:val="28"/>
        </w:rPr>
        <w:fldChar w:fldCharType="begin"/>
      </w:r>
      <w:r>
        <w:rPr>
          <w:sz w:val="24"/>
          <w:szCs w:val="28"/>
        </w:rPr>
        <w:instrText xml:space="preserve"> REF _Ref79499126 \h </w:instrText>
      </w:r>
      <w:r>
        <w:rPr>
          <w:sz w:val="24"/>
          <w:szCs w:val="28"/>
        </w:rPr>
      </w:r>
      <w:r>
        <w:rPr>
          <w:sz w:val="24"/>
          <w:szCs w:val="28"/>
        </w:rPr>
        <w:fldChar w:fldCharType="separate"/>
      </w:r>
      <w:r w:rsidR="00AC4DF9" w:rsidRPr="003E107C">
        <w:rPr>
          <w:sz w:val="24"/>
          <w:szCs w:val="28"/>
        </w:rPr>
        <w:t xml:space="preserve">Tabela </w:t>
      </w:r>
      <w:r w:rsidR="00AC4DF9">
        <w:rPr>
          <w:noProof/>
          <w:sz w:val="24"/>
          <w:szCs w:val="28"/>
        </w:rPr>
        <w:t>12</w:t>
      </w:r>
      <w:r>
        <w:rPr>
          <w:sz w:val="24"/>
          <w:szCs w:val="28"/>
        </w:rPr>
        <w:fldChar w:fldCharType="end"/>
      </w:r>
    </w:p>
    <w:p w14:paraId="5322986C" w14:textId="37BA4F8E" w:rsidR="00107FCF" w:rsidRPr="003E107C" w:rsidRDefault="00107FCF" w:rsidP="001C23A2">
      <w:pPr>
        <w:pStyle w:val="Legenda"/>
        <w:tabs>
          <w:tab w:val="clear" w:pos="1080"/>
        </w:tabs>
        <w:spacing w:before="120" w:after="0"/>
        <w:ind w:left="1134" w:hanging="1134"/>
        <w:jc w:val="both"/>
        <w:rPr>
          <w:sz w:val="24"/>
          <w:szCs w:val="28"/>
        </w:rPr>
      </w:pPr>
      <w:bookmarkStart w:id="86" w:name="_Ref79499126"/>
      <w:bookmarkStart w:id="87" w:name="_Toc80608765"/>
      <w:r w:rsidRPr="003E107C">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12</w:t>
      </w:r>
      <w:r w:rsidR="00290AD4">
        <w:rPr>
          <w:sz w:val="24"/>
          <w:szCs w:val="28"/>
        </w:rPr>
        <w:fldChar w:fldCharType="end"/>
      </w:r>
      <w:bookmarkEnd w:id="86"/>
      <w:r w:rsidRPr="003E107C">
        <w:rPr>
          <w:sz w:val="24"/>
          <w:szCs w:val="28"/>
        </w:rPr>
        <w:tab/>
        <w:t>Kryteria szczegółowe wykorzystywane w analizie wielokryterialnej wraz z</w:t>
      </w:r>
      <w:r w:rsidR="001C23A2">
        <w:rPr>
          <w:sz w:val="24"/>
          <w:szCs w:val="28"/>
        </w:rPr>
        <w:t> </w:t>
      </w:r>
      <w:r w:rsidRPr="003E107C">
        <w:rPr>
          <w:sz w:val="24"/>
          <w:szCs w:val="28"/>
        </w:rPr>
        <w:t>przypisanymi do nich wagami</w:t>
      </w:r>
      <w:bookmarkEnd w:id="87"/>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1781"/>
        <w:gridCol w:w="5430"/>
        <w:gridCol w:w="1284"/>
      </w:tblGrid>
      <w:tr w:rsidR="00107FCF" w:rsidRPr="00507221" w14:paraId="06EF6583" w14:textId="77777777" w:rsidTr="006A3BC1">
        <w:trPr>
          <w:trHeight w:val="407"/>
        </w:trPr>
        <w:tc>
          <w:tcPr>
            <w:tcW w:w="1048" w:type="pct"/>
            <w:tcBorders>
              <w:bottom w:val="single" w:sz="12" w:space="0" w:color="7ECBED"/>
            </w:tcBorders>
            <w:shd w:val="clear" w:color="auto" w:fill="D4EDF9"/>
          </w:tcPr>
          <w:p w14:paraId="713E4BA3" w14:textId="77777777" w:rsidR="00107FCF" w:rsidRPr="00507221" w:rsidRDefault="00107FCF" w:rsidP="00507221">
            <w:pPr>
              <w:spacing w:before="60" w:after="60"/>
              <w:rPr>
                <w:b/>
                <w:bCs/>
                <w:color w:val="000000"/>
                <w:lang w:eastAsia="pl-PL"/>
              </w:rPr>
            </w:pPr>
            <w:r w:rsidRPr="00507221">
              <w:rPr>
                <w:bCs/>
                <w:color w:val="000000"/>
              </w:rPr>
              <w:t>Kryterium zbiorcze</w:t>
            </w:r>
          </w:p>
        </w:tc>
        <w:tc>
          <w:tcPr>
            <w:tcW w:w="3195" w:type="pct"/>
            <w:tcBorders>
              <w:bottom w:val="single" w:sz="12" w:space="0" w:color="7ECBED"/>
            </w:tcBorders>
            <w:shd w:val="clear" w:color="auto" w:fill="D4EDF9"/>
          </w:tcPr>
          <w:p w14:paraId="7DE89556" w14:textId="77777777" w:rsidR="00107FCF" w:rsidRPr="00507221" w:rsidRDefault="00107FCF" w:rsidP="00507221">
            <w:pPr>
              <w:spacing w:before="60" w:after="60"/>
              <w:rPr>
                <w:b/>
                <w:bCs/>
                <w:color w:val="000000"/>
              </w:rPr>
            </w:pPr>
            <w:r w:rsidRPr="00507221">
              <w:rPr>
                <w:bCs/>
                <w:color w:val="000000"/>
              </w:rPr>
              <w:t>Nazwa kryterium szczegółowego</w:t>
            </w:r>
          </w:p>
        </w:tc>
        <w:tc>
          <w:tcPr>
            <w:tcW w:w="756" w:type="pct"/>
            <w:tcBorders>
              <w:bottom w:val="single" w:sz="12" w:space="0" w:color="7ECBED"/>
            </w:tcBorders>
            <w:shd w:val="clear" w:color="auto" w:fill="D4EDF9"/>
          </w:tcPr>
          <w:p w14:paraId="5EB5FE73" w14:textId="77777777" w:rsidR="00107FCF" w:rsidRPr="00507221" w:rsidRDefault="00107FCF" w:rsidP="00507221">
            <w:pPr>
              <w:spacing w:before="60" w:after="60"/>
              <w:rPr>
                <w:b/>
                <w:bCs/>
                <w:color w:val="000000"/>
              </w:rPr>
            </w:pPr>
            <w:r w:rsidRPr="00507221">
              <w:rPr>
                <w:bCs/>
                <w:color w:val="000000"/>
              </w:rPr>
              <w:t>Waga kryterium</w:t>
            </w:r>
          </w:p>
        </w:tc>
      </w:tr>
      <w:tr w:rsidR="00107FCF" w:rsidRPr="00507221" w14:paraId="1549B966" w14:textId="77777777" w:rsidTr="006A3BC1">
        <w:trPr>
          <w:trHeight w:val="203"/>
        </w:trPr>
        <w:tc>
          <w:tcPr>
            <w:tcW w:w="1048" w:type="pct"/>
            <w:vMerge w:val="restart"/>
          </w:tcPr>
          <w:p w14:paraId="2915FD00" w14:textId="77777777" w:rsidR="00107FCF" w:rsidRPr="00507221" w:rsidRDefault="00107FCF" w:rsidP="00507221">
            <w:pPr>
              <w:spacing w:before="60" w:after="60"/>
              <w:rPr>
                <w:b/>
                <w:bCs/>
                <w:color w:val="000000"/>
              </w:rPr>
            </w:pPr>
            <w:r w:rsidRPr="00507221">
              <w:rPr>
                <w:bCs/>
                <w:color w:val="000000"/>
              </w:rPr>
              <w:t xml:space="preserve">Skuteczność </w:t>
            </w:r>
            <w:r w:rsidRPr="00507221">
              <w:rPr>
                <w:color w:val="000000"/>
              </w:rPr>
              <w:t>osiągania</w:t>
            </w:r>
            <w:r w:rsidRPr="00507221">
              <w:rPr>
                <w:bCs/>
                <w:color w:val="000000"/>
              </w:rPr>
              <w:t xml:space="preserve"> celów zarządzania ryzykiem powodziowym</w:t>
            </w:r>
          </w:p>
        </w:tc>
        <w:tc>
          <w:tcPr>
            <w:tcW w:w="3195" w:type="pct"/>
            <w:noWrap/>
          </w:tcPr>
          <w:p w14:paraId="4B97BB7F" w14:textId="77777777" w:rsidR="00107FCF" w:rsidRPr="00507221" w:rsidRDefault="00107FCF" w:rsidP="00507221">
            <w:pPr>
              <w:spacing w:before="60" w:after="60"/>
              <w:rPr>
                <w:color w:val="000000"/>
              </w:rPr>
            </w:pPr>
            <w:r w:rsidRPr="00507221">
              <w:rPr>
                <w:color w:val="000000"/>
              </w:rPr>
              <w:t xml:space="preserve">Stopień trudności realizacji zadania </w:t>
            </w:r>
            <w:r w:rsidRPr="00507221">
              <w:rPr>
                <w:color w:val="000000"/>
              </w:rPr>
              <w:br/>
              <w:t>- ocena ekspercka [pkt]</w:t>
            </w:r>
          </w:p>
        </w:tc>
        <w:tc>
          <w:tcPr>
            <w:tcW w:w="756" w:type="pct"/>
            <w:noWrap/>
          </w:tcPr>
          <w:p w14:paraId="1700D074" w14:textId="77777777" w:rsidR="00107FCF" w:rsidRPr="00507221" w:rsidRDefault="00107FCF" w:rsidP="00507221">
            <w:pPr>
              <w:spacing w:before="60" w:after="60"/>
              <w:jc w:val="center"/>
              <w:rPr>
                <w:color w:val="000000"/>
              </w:rPr>
            </w:pPr>
            <w:r w:rsidRPr="00507221">
              <w:rPr>
                <w:color w:val="000000"/>
              </w:rPr>
              <w:t>10%</w:t>
            </w:r>
          </w:p>
        </w:tc>
      </w:tr>
      <w:tr w:rsidR="00107FCF" w:rsidRPr="00507221" w14:paraId="4BB5301B" w14:textId="77777777" w:rsidTr="006A3BC1">
        <w:trPr>
          <w:trHeight w:val="458"/>
        </w:trPr>
        <w:tc>
          <w:tcPr>
            <w:tcW w:w="1048" w:type="pct"/>
            <w:vMerge/>
          </w:tcPr>
          <w:p w14:paraId="485A4DEE" w14:textId="77777777" w:rsidR="00107FCF" w:rsidRPr="00507221" w:rsidRDefault="00107FCF" w:rsidP="00507221">
            <w:pPr>
              <w:spacing w:before="60" w:after="60"/>
              <w:rPr>
                <w:b/>
                <w:bCs/>
                <w:color w:val="000000"/>
              </w:rPr>
            </w:pPr>
          </w:p>
        </w:tc>
        <w:tc>
          <w:tcPr>
            <w:tcW w:w="3195" w:type="pct"/>
          </w:tcPr>
          <w:p w14:paraId="4B6C6F10" w14:textId="77777777" w:rsidR="00107FCF" w:rsidRPr="00507221" w:rsidRDefault="00107FCF" w:rsidP="00507221">
            <w:pPr>
              <w:spacing w:before="60" w:after="60"/>
              <w:rPr>
                <w:color w:val="000000"/>
              </w:rPr>
            </w:pPr>
            <w:r w:rsidRPr="00507221">
              <w:rPr>
                <w:color w:val="000000"/>
              </w:rPr>
              <w:t xml:space="preserve">Zależność od czasu uzyskania prognozy </w:t>
            </w:r>
            <w:r w:rsidRPr="00507221">
              <w:rPr>
                <w:color w:val="000000"/>
              </w:rPr>
              <w:br/>
              <w:t>- ocena porównawcza - łączna długość mobilnych systemów [m] x średnia wysokość przegród [m]*</w:t>
            </w:r>
          </w:p>
        </w:tc>
        <w:tc>
          <w:tcPr>
            <w:tcW w:w="756" w:type="pct"/>
            <w:noWrap/>
          </w:tcPr>
          <w:p w14:paraId="19ED9D38" w14:textId="77777777" w:rsidR="00107FCF" w:rsidRPr="00507221" w:rsidRDefault="00107FCF" w:rsidP="00507221">
            <w:pPr>
              <w:spacing w:before="60" w:after="60"/>
              <w:jc w:val="center"/>
              <w:rPr>
                <w:color w:val="000000"/>
              </w:rPr>
            </w:pPr>
            <w:r w:rsidRPr="00507221">
              <w:rPr>
                <w:color w:val="000000"/>
              </w:rPr>
              <w:t>35%</w:t>
            </w:r>
          </w:p>
        </w:tc>
      </w:tr>
      <w:tr w:rsidR="00107FCF" w:rsidRPr="00507221" w14:paraId="4AD442F5" w14:textId="77777777" w:rsidTr="006A3BC1">
        <w:trPr>
          <w:trHeight w:val="407"/>
        </w:trPr>
        <w:tc>
          <w:tcPr>
            <w:tcW w:w="1048" w:type="pct"/>
            <w:vMerge/>
          </w:tcPr>
          <w:p w14:paraId="01034F95" w14:textId="77777777" w:rsidR="00107FCF" w:rsidRPr="00507221" w:rsidRDefault="00107FCF" w:rsidP="00507221">
            <w:pPr>
              <w:spacing w:before="60" w:after="60"/>
              <w:rPr>
                <w:b/>
                <w:bCs/>
                <w:color w:val="000000"/>
              </w:rPr>
            </w:pPr>
          </w:p>
        </w:tc>
        <w:tc>
          <w:tcPr>
            <w:tcW w:w="3195" w:type="pct"/>
          </w:tcPr>
          <w:p w14:paraId="7710BD73" w14:textId="77777777" w:rsidR="00107FCF" w:rsidRPr="00507221" w:rsidRDefault="00107FCF" w:rsidP="00507221">
            <w:pPr>
              <w:spacing w:before="60" w:after="60"/>
              <w:rPr>
                <w:color w:val="000000"/>
              </w:rPr>
            </w:pPr>
            <w:r w:rsidRPr="00507221">
              <w:rPr>
                <w:color w:val="000000"/>
              </w:rPr>
              <w:t>Czas potrzebny na ustawienie bariery ochronnej</w:t>
            </w:r>
            <w:r w:rsidRPr="00507221">
              <w:rPr>
                <w:color w:val="000000"/>
              </w:rPr>
              <w:br/>
              <w:t>- ocena porównawcza [pkt] *</w:t>
            </w:r>
          </w:p>
        </w:tc>
        <w:tc>
          <w:tcPr>
            <w:tcW w:w="756" w:type="pct"/>
            <w:noWrap/>
          </w:tcPr>
          <w:p w14:paraId="5840D911" w14:textId="77777777" w:rsidR="00107FCF" w:rsidRPr="00507221" w:rsidRDefault="00107FCF" w:rsidP="00507221">
            <w:pPr>
              <w:spacing w:before="60" w:after="60"/>
              <w:jc w:val="center"/>
              <w:rPr>
                <w:color w:val="000000"/>
              </w:rPr>
            </w:pPr>
            <w:r w:rsidRPr="00507221">
              <w:rPr>
                <w:color w:val="000000"/>
              </w:rPr>
              <w:t>35%</w:t>
            </w:r>
          </w:p>
        </w:tc>
      </w:tr>
      <w:tr w:rsidR="00107FCF" w:rsidRPr="00507221" w14:paraId="1C704614" w14:textId="77777777" w:rsidTr="006A3BC1">
        <w:trPr>
          <w:trHeight w:val="203"/>
        </w:trPr>
        <w:tc>
          <w:tcPr>
            <w:tcW w:w="1048" w:type="pct"/>
            <w:vMerge/>
          </w:tcPr>
          <w:p w14:paraId="4C198C6A" w14:textId="77777777" w:rsidR="00107FCF" w:rsidRPr="00507221" w:rsidRDefault="00107FCF" w:rsidP="00507221">
            <w:pPr>
              <w:spacing w:before="60" w:after="60"/>
              <w:rPr>
                <w:b/>
                <w:bCs/>
                <w:color w:val="000000"/>
              </w:rPr>
            </w:pPr>
          </w:p>
        </w:tc>
        <w:tc>
          <w:tcPr>
            <w:tcW w:w="3195" w:type="pct"/>
            <w:noWrap/>
          </w:tcPr>
          <w:p w14:paraId="0B2CAF6E" w14:textId="77777777" w:rsidR="00107FCF" w:rsidRPr="00507221" w:rsidRDefault="00107FCF" w:rsidP="00507221">
            <w:pPr>
              <w:spacing w:before="60" w:after="60"/>
              <w:rPr>
                <w:color w:val="000000"/>
              </w:rPr>
            </w:pPr>
            <w:r w:rsidRPr="00507221">
              <w:rPr>
                <w:color w:val="000000"/>
              </w:rPr>
              <w:t>Kryterium stanu zaawansowania</w:t>
            </w:r>
            <w:r w:rsidRPr="00507221">
              <w:rPr>
                <w:color w:val="000000"/>
              </w:rPr>
              <w:br/>
              <w:t>- ocena stanu zaawansowania dokumentacji [pkt]</w:t>
            </w:r>
          </w:p>
        </w:tc>
        <w:tc>
          <w:tcPr>
            <w:tcW w:w="756" w:type="pct"/>
            <w:noWrap/>
          </w:tcPr>
          <w:p w14:paraId="4C52B82C" w14:textId="77777777" w:rsidR="00107FCF" w:rsidRPr="00507221" w:rsidRDefault="00107FCF" w:rsidP="00507221">
            <w:pPr>
              <w:spacing w:before="60" w:after="60"/>
              <w:jc w:val="center"/>
              <w:rPr>
                <w:color w:val="000000"/>
              </w:rPr>
            </w:pPr>
            <w:r w:rsidRPr="00507221">
              <w:rPr>
                <w:color w:val="000000"/>
              </w:rPr>
              <w:t>20%</w:t>
            </w:r>
          </w:p>
        </w:tc>
      </w:tr>
    </w:tbl>
    <w:p w14:paraId="0286BCF5" w14:textId="77777777" w:rsidR="00EA50FC" w:rsidRDefault="00EA50FC" w:rsidP="00290AD4"/>
    <w:p w14:paraId="1A3D3BCB" w14:textId="060BB3B6" w:rsidR="00107FCF" w:rsidRDefault="00EA50FC" w:rsidP="006D41A7">
      <w:pPr>
        <w:pStyle w:val="ReportLevel3"/>
        <w:numPr>
          <w:ilvl w:val="2"/>
          <w:numId w:val="4"/>
        </w:numPr>
      </w:pPr>
      <w:r>
        <w:br w:type="column"/>
      </w:r>
      <w:r w:rsidR="00107FCF">
        <w:lastRenderedPageBreak/>
        <w:t>Kryterium e</w:t>
      </w:r>
      <w:r w:rsidR="00107FCF" w:rsidRPr="006E591B">
        <w:t>fektywność ekonomiczna</w:t>
      </w:r>
    </w:p>
    <w:p w14:paraId="3A2B9C02" w14:textId="77777777" w:rsidR="00107FCF" w:rsidRDefault="00107FCF" w:rsidP="00452A44">
      <w:pPr>
        <w:jc w:val="both"/>
      </w:pPr>
      <w:r w:rsidRPr="004D6A07">
        <w:rPr>
          <w:szCs w:val="20"/>
          <w:lang w:eastAsia="en-US"/>
        </w:rPr>
        <w:t>Efektywność ekonomiczna określana jest na podstawie wskaźnika kosztów do korzyści (B/C). Wskaźnik B/C to stosunek sumy zdyskontowanych korzyści projektu do zdyskontowanych kosztów</w:t>
      </w:r>
      <w:r>
        <w:rPr>
          <w:szCs w:val="20"/>
          <w:lang w:eastAsia="en-US"/>
        </w:rPr>
        <w:t xml:space="preserve"> w okresie odniesienia</w:t>
      </w:r>
      <w:r w:rsidRPr="004D6A07">
        <w:rPr>
          <w:szCs w:val="20"/>
          <w:lang w:eastAsia="en-US"/>
        </w:rPr>
        <w:t xml:space="preserve">. </w:t>
      </w:r>
      <w:r>
        <w:t xml:space="preserve">Uznaje się, że inwestycja jest efektywna, jeżeli wskaźnik B/C jest większy lub równy jedności, co oznacza, że wartość korzyści przekracza wartość kosztów inwestycji. </w:t>
      </w:r>
    </w:p>
    <w:p w14:paraId="360CDA95" w14:textId="77777777" w:rsidR="00107FCF" w:rsidRDefault="00107FCF" w:rsidP="006D41A7">
      <w:pPr>
        <w:pStyle w:val="ReportLevel3"/>
        <w:numPr>
          <w:ilvl w:val="2"/>
          <w:numId w:val="4"/>
        </w:numPr>
      </w:pPr>
      <w:r>
        <w:t>Kryterium z</w:t>
      </w:r>
      <w:r w:rsidRPr="006E591B">
        <w:t>apewnieni</w:t>
      </w:r>
      <w:r>
        <w:t>a</w:t>
      </w:r>
      <w:r w:rsidRPr="006E591B">
        <w:t xml:space="preserve"> finansowania</w:t>
      </w:r>
    </w:p>
    <w:p w14:paraId="262A6883" w14:textId="77777777" w:rsidR="00107FCF" w:rsidRDefault="00107FCF" w:rsidP="00BB0C58">
      <w:pPr>
        <w:jc w:val="both"/>
        <w:rPr>
          <w:rFonts w:eastAsia="Times New Roman"/>
          <w:color w:val="0F5573"/>
          <w:lang w:eastAsia="en-US"/>
        </w:rPr>
      </w:pPr>
      <w:r>
        <w:t>Kryterium porównawcze wariantów uwzględniające zapewnienie lub brak finansowania danego działania. Ocena została przyjęta na podstawie konsultacji z p</w:t>
      </w:r>
      <w:r w:rsidRPr="00BB0C58">
        <w:t>odmiot</w:t>
      </w:r>
      <w:r>
        <w:t xml:space="preserve">ami </w:t>
      </w:r>
      <w:r w:rsidRPr="00BB0C58">
        <w:t>odpowiedzialny</w:t>
      </w:r>
      <w:r>
        <w:t>mi</w:t>
      </w:r>
      <w:r w:rsidRPr="00BB0C58">
        <w:t xml:space="preserve"> za realizację </w:t>
      </w:r>
      <w:r>
        <w:t xml:space="preserve">danego </w:t>
      </w:r>
      <w:r w:rsidRPr="00BB0C58">
        <w:t>działania</w:t>
      </w:r>
      <w:r>
        <w:t xml:space="preserve">. </w:t>
      </w:r>
    </w:p>
    <w:p w14:paraId="43F83006" w14:textId="77777777" w:rsidR="00107FCF" w:rsidRDefault="00107FCF" w:rsidP="006D41A7">
      <w:pPr>
        <w:pStyle w:val="ReportLevel3"/>
        <w:numPr>
          <w:ilvl w:val="2"/>
          <w:numId w:val="4"/>
        </w:numPr>
      </w:pPr>
      <w:r>
        <w:t xml:space="preserve">Kryterium </w:t>
      </w:r>
      <w:r w:rsidRPr="008B48F9">
        <w:t>zgodności z RDW</w:t>
      </w:r>
    </w:p>
    <w:p w14:paraId="23572621" w14:textId="20676498" w:rsidR="00107FCF" w:rsidRDefault="00107FCF" w:rsidP="00CA0F4A">
      <w:pPr>
        <w:spacing w:afterLines="160" w:after="384"/>
        <w:jc w:val="both"/>
        <w:rPr>
          <w:rFonts w:ascii="Calibri" w:hAnsi="Calibri" w:cs="Calibri"/>
          <w:bCs/>
          <w:sz w:val="22"/>
          <w:szCs w:val="22"/>
        </w:rPr>
      </w:pPr>
      <w:r w:rsidRPr="00C5390B">
        <w:t>Kryterium zawierające ocena zgodności wariantowanych działań z Ramową Dyrektywą Wodn</w:t>
      </w:r>
      <w:r>
        <w:t xml:space="preserve">ą oraz </w:t>
      </w:r>
      <w:r w:rsidRPr="00C5390B">
        <w:t>Ramową Dyrektywą</w:t>
      </w:r>
      <w:r w:rsidR="001C23A2">
        <w:t xml:space="preserve"> </w:t>
      </w:r>
      <w:r w:rsidRPr="00C5390B">
        <w:t>Strategii</w:t>
      </w:r>
      <w:r w:rsidR="001C23A2">
        <w:t xml:space="preserve"> </w:t>
      </w:r>
      <w:r w:rsidRPr="00C5390B">
        <w:t>Morskiej</w:t>
      </w:r>
      <w:r>
        <w:t>.</w:t>
      </w:r>
      <w:r>
        <w:rPr>
          <w:rFonts w:ascii="Calibri" w:hAnsi="Calibri" w:cs="Calibri"/>
          <w:bCs/>
          <w:sz w:val="22"/>
          <w:szCs w:val="22"/>
        </w:rPr>
        <w:t xml:space="preserve"> </w:t>
      </w:r>
    </w:p>
    <w:p w14:paraId="615E928F" w14:textId="77777777" w:rsidR="00107FCF" w:rsidRDefault="00107FCF" w:rsidP="00CA0F4A">
      <w:pPr>
        <w:pStyle w:val="ReportText"/>
        <w:spacing w:before="0" w:afterLines="160" w:after="384" w:line="240" w:lineRule="auto"/>
        <w:jc w:val="both"/>
      </w:pPr>
      <w:r>
        <w:t xml:space="preserve">Opis analizy </w:t>
      </w:r>
      <w:r w:rsidRPr="00213952">
        <w:t>zgodności planowanych wariantów z dokumentami wskazanymi w OPZ</w:t>
      </w:r>
      <w:r>
        <w:t xml:space="preserve"> znajduje się w pkt. 6.2.8 </w:t>
      </w:r>
      <w:r w:rsidRPr="00482BB7">
        <w:t>niniejszego</w:t>
      </w:r>
      <w:r>
        <w:t xml:space="preserve"> raportu.</w:t>
      </w:r>
    </w:p>
    <w:p w14:paraId="0429583C" w14:textId="77777777" w:rsidR="00107FCF" w:rsidRDefault="00107FCF" w:rsidP="006D41A7">
      <w:pPr>
        <w:pStyle w:val="ReportLevel3"/>
        <w:numPr>
          <w:ilvl w:val="2"/>
          <w:numId w:val="4"/>
        </w:numPr>
      </w:pPr>
      <w:r>
        <w:t>Kryterium z</w:t>
      </w:r>
      <w:r w:rsidRPr="008B48F9">
        <w:t>akres</w:t>
      </w:r>
      <w:r>
        <w:t>u</w:t>
      </w:r>
      <w:r w:rsidRPr="008B48F9">
        <w:t xml:space="preserve"> i stop</w:t>
      </w:r>
      <w:r>
        <w:t>nia</w:t>
      </w:r>
      <w:r w:rsidRPr="008B48F9">
        <w:t xml:space="preserve"> negatywnego oddziaływania na środowisko</w:t>
      </w:r>
    </w:p>
    <w:p w14:paraId="412AB8EF" w14:textId="77777777" w:rsidR="00107FCF" w:rsidRDefault="00107FCF" w:rsidP="00C5390B">
      <w:pPr>
        <w:pStyle w:val="ReportText"/>
        <w:jc w:val="both"/>
      </w:pPr>
      <w:r>
        <w:t>Na ocenę kryterium z</w:t>
      </w:r>
      <w:r w:rsidRPr="008B48F9">
        <w:t>akres</w:t>
      </w:r>
      <w:r>
        <w:t>u</w:t>
      </w:r>
      <w:r w:rsidRPr="008B48F9">
        <w:t xml:space="preserve"> i stop</w:t>
      </w:r>
      <w:r>
        <w:t>nia</w:t>
      </w:r>
      <w:r w:rsidRPr="008B48F9">
        <w:t xml:space="preserve"> negatywnego oddziaływania na środowisko</w:t>
      </w:r>
      <w:r>
        <w:t xml:space="preserve"> składają się kryteria szczegółowe: </w:t>
      </w:r>
    </w:p>
    <w:p w14:paraId="1F057913" w14:textId="699F3962" w:rsidR="00107FCF" w:rsidRDefault="00107FCF" w:rsidP="006D41A7">
      <w:pPr>
        <w:pStyle w:val="ReportText"/>
        <w:numPr>
          <w:ilvl w:val="0"/>
          <w:numId w:val="37"/>
        </w:numPr>
        <w:ind w:left="567" w:hanging="425"/>
        <w:jc w:val="both"/>
      </w:pPr>
      <w:r w:rsidRPr="00C5390B">
        <w:t xml:space="preserve">Wpływ na </w:t>
      </w:r>
      <w:r w:rsidR="00D408DE">
        <w:t>JCWP</w:t>
      </w:r>
      <w:r w:rsidRPr="00C5390B">
        <w:t xml:space="preserve"> - ocena ekspercka </w:t>
      </w:r>
      <w:r>
        <w:t xml:space="preserve">uzależniona od oceny wpływu działania na jednolite części wód podziemnych (analiza i ocena wpływu planowanych wariantów na </w:t>
      </w:r>
      <w:r w:rsidR="00D408DE">
        <w:t>JCWP</w:t>
      </w:r>
      <w:r>
        <w:t xml:space="preserve"> znajduje się w pkt. 6.2 </w:t>
      </w:r>
      <w:r w:rsidRPr="00482BB7">
        <w:t>niniejszego</w:t>
      </w:r>
      <w:r>
        <w:t xml:space="preserve"> raportu);</w:t>
      </w:r>
    </w:p>
    <w:p w14:paraId="300295FC" w14:textId="77777777" w:rsidR="00107FCF" w:rsidRDefault="00107FCF" w:rsidP="006D41A7">
      <w:pPr>
        <w:pStyle w:val="ReportText"/>
        <w:numPr>
          <w:ilvl w:val="0"/>
          <w:numId w:val="35"/>
        </w:numPr>
        <w:ind w:left="567" w:hanging="425"/>
        <w:jc w:val="both"/>
      </w:pPr>
      <w:r>
        <w:t>Wpływ na f</w:t>
      </w:r>
      <w:r w:rsidRPr="00C5390B">
        <w:t xml:space="preserve">ormy ochrony przyrody </w:t>
      </w:r>
      <w:r>
        <w:t>–</w:t>
      </w:r>
      <w:r w:rsidRPr="00C5390B">
        <w:t xml:space="preserve"> </w:t>
      </w:r>
      <w:r>
        <w:t xml:space="preserve">ocena punktowa, uzależniona od </w:t>
      </w:r>
      <w:r w:rsidRPr="00C5390B">
        <w:t>typ</w:t>
      </w:r>
      <w:r>
        <w:t>u form</w:t>
      </w:r>
      <w:r w:rsidRPr="00C5390B">
        <w:t xml:space="preserve"> ochrony </w:t>
      </w:r>
      <w:r>
        <w:t>przyrody oraz procentowego</w:t>
      </w:r>
      <w:r w:rsidRPr="00C5390B">
        <w:t xml:space="preserve"> stop</w:t>
      </w:r>
      <w:r>
        <w:t>nia</w:t>
      </w:r>
      <w:r w:rsidRPr="00C5390B">
        <w:t xml:space="preserve"> ingerencji</w:t>
      </w:r>
      <w:r>
        <w:t xml:space="preserve"> danego działania;</w:t>
      </w:r>
    </w:p>
    <w:p w14:paraId="6E40B458" w14:textId="77777777" w:rsidR="00107FCF" w:rsidRDefault="00107FCF" w:rsidP="006D41A7">
      <w:pPr>
        <w:pStyle w:val="ReportText"/>
        <w:numPr>
          <w:ilvl w:val="0"/>
          <w:numId w:val="35"/>
        </w:numPr>
        <w:ind w:left="567" w:hanging="425"/>
        <w:jc w:val="both"/>
      </w:pPr>
      <w:r w:rsidRPr="00C5390B">
        <w:t xml:space="preserve">Wycinka drzew/lasu </w:t>
      </w:r>
      <w:r>
        <w:t>– ocena punktowa, uwzględnia liczbę drzew przeznaczonych do wycinki na terenie planowanego przedsięwzięcia;</w:t>
      </w:r>
    </w:p>
    <w:p w14:paraId="43537EF7" w14:textId="77777777" w:rsidR="00107FCF" w:rsidRDefault="00107FCF" w:rsidP="006D41A7">
      <w:pPr>
        <w:pStyle w:val="ReportText"/>
        <w:numPr>
          <w:ilvl w:val="0"/>
          <w:numId w:val="35"/>
        </w:numPr>
        <w:ind w:left="567" w:hanging="425"/>
        <w:jc w:val="both"/>
      </w:pPr>
      <w:r>
        <w:t>K</w:t>
      </w:r>
      <w:r w:rsidRPr="00C5390B">
        <w:t xml:space="preserve">rajobraz </w:t>
      </w:r>
      <w:r>
        <w:t>–</w:t>
      </w:r>
      <w:r w:rsidRPr="00C5390B">
        <w:t xml:space="preserve"> </w:t>
      </w:r>
      <w:r>
        <w:t xml:space="preserve">ocena punktowa, obejmująca oszacowanie stopnia ingerencji wariantu w krajobraz uwzględniająca </w:t>
      </w:r>
      <w:r w:rsidRPr="00C5390B">
        <w:t>kubatur</w:t>
      </w:r>
      <w:r>
        <w:t>ę danego</w:t>
      </w:r>
      <w:r w:rsidRPr="00C5390B">
        <w:t xml:space="preserve"> obiektu</w:t>
      </w:r>
      <w:r>
        <w:t>.</w:t>
      </w:r>
    </w:p>
    <w:p w14:paraId="753AB241" w14:textId="73A890BD" w:rsidR="00107FCF" w:rsidRPr="003E107C" w:rsidRDefault="00107FCF" w:rsidP="00D84556">
      <w:pPr>
        <w:pStyle w:val="Legenda"/>
        <w:spacing w:before="120" w:after="0"/>
        <w:ind w:left="1080" w:hanging="1080"/>
        <w:rPr>
          <w:sz w:val="24"/>
          <w:szCs w:val="28"/>
        </w:rPr>
      </w:pPr>
      <w:r w:rsidRPr="003E107C">
        <w:rPr>
          <w:sz w:val="24"/>
          <w:szCs w:val="28"/>
        </w:rPr>
        <w:t xml:space="preserve">Kryteria szczegółowe wraz z przypisanymi do nich wagami przedstawia </w:t>
      </w:r>
      <w:r w:rsidR="006A3BC1">
        <w:rPr>
          <w:sz w:val="24"/>
          <w:szCs w:val="28"/>
        </w:rPr>
        <w:t>Tabela 13.</w:t>
      </w:r>
      <w:r w:rsidR="006A3BC1" w:rsidRPr="003E107C">
        <w:rPr>
          <w:sz w:val="24"/>
          <w:szCs w:val="28"/>
        </w:rPr>
        <w:t xml:space="preserve"> </w:t>
      </w:r>
    </w:p>
    <w:p w14:paraId="67D5505C" w14:textId="6BF29E97" w:rsidR="00107FCF" w:rsidRPr="003E107C" w:rsidRDefault="00EA50FC" w:rsidP="006A3BC1">
      <w:pPr>
        <w:pStyle w:val="Legenda"/>
        <w:tabs>
          <w:tab w:val="clear" w:pos="1080"/>
          <w:tab w:val="left" w:pos="1276"/>
        </w:tabs>
        <w:spacing w:before="120"/>
        <w:ind w:left="1134" w:hanging="1134"/>
        <w:jc w:val="both"/>
        <w:rPr>
          <w:sz w:val="24"/>
          <w:szCs w:val="28"/>
        </w:rPr>
      </w:pPr>
      <w:bookmarkStart w:id="88" w:name="_Ref79499193"/>
      <w:r>
        <w:rPr>
          <w:sz w:val="24"/>
          <w:szCs w:val="28"/>
        </w:rPr>
        <w:br w:type="column"/>
      </w:r>
      <w:bookmarkStart w:id="89" w:name="_Toc80608766"/>
      <w:r w:rsidR="00107FCF" w:rsidRPr="003E107C">
        <w:rPr>
          <w:sz w:val="24"/>
          <w:szCs w:val="28"/>
        </w:rPr>
        <w:lastRenderedPageBreak/>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13</w:t>
      </w:r>
      <w:r w:rsidR="00290AD4">
        <w:rPr>
          <w:sz w:val="24"/>
          <w:szCs w:val="28"/>
        </w:rPr>
        <w:fldChar w:fldCharType="end"/>
      </w:r>
      <w:bookmarkEnd w:id="88"/>
      <w:r w:rsidR="00107FCF" w:rsidRPr="003E107C">
        <w:rPr>
          <w:sz w:val="24"/>
          <w:szCs w:val="28"/>
        </w:rPr>
        <w:tab/>
        <w:t>Kryteria szczegółowe wykorzystywane w analizie wielokryterialnej wraz z</w:t>
      </w:r>
      <w:r w:rsidR="001C23A2">
        <w:rPr>
          <w:sz w:val="24"/>
          <w:szCs w:val="28"/>
        </w:rPr>
        <w:t> </w:t>
      </w:r>
      <w:r w:rsidR="00107FCF" w:rsidRPr="003E107C">
        <w:rPr>
          <w:sz w:val="24"/>
          <w:szCs w:val="28"/>
        </w:rPr>
        <w:t>przypisanymi do nich wagami</w:t>
      </w:r>
      <w:bookmarkEnd w:id="89"/>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1781"/>
        <w:gridCol w:w="5430"/>
        <w:gridCol w:w="1284"/>
      </w:tblGrid>
      <w:tr w:rsidR="00107FCF" w:rsidRPr="00507221" w14:paraId="28EA34FB" w14:textId="77777777" w:rsidTr="006A3BC1">
        <w:trPr>
          <w:trHeight w:val="407"/>
        </w:trPr>
        <w:tc>
          <w:tcPr>
            <w:tcW w:w="1048" w:type="pct"/>
            <w:tcBorders>
              <w:bottom w:val="single" w:sz="12" w:space="0" w:color="7ECBED"/>
            </w:tcBorders>
            <w:shd w:val="clear" w:color="auto" w:fill="D4EDF9"/>
          </w:tcPr>
          <w:p w14:paraId="7D78D739" w14:textId="77777777" w:rsidR="00107FCF" w:rsidRPr="00507221" w:rsidRDefault="00107FCF" w:rsidP="00507221">
            <w:pPr>
              <w:spacing w:before="60" w:after="60"/>
              <w:rPr>
                <w:b/>
                <w:bCs/>
                <w:color w:val="000000"/>
                <w:lang w:eastAsia="pl-PL"/>
              </w:rPr>
            </w:pPr>
            <w:r w:rsidRPr="00507221">
              <w:rPr>
                <w:bCs/>
                <w:color w:val="000000"/>
              </w:rPr>
              <w:t>Kryterium zbiorcze</w:t>
            </w:r>
          </w:p>
        </w:tc>
        <w:tc>
          <w:tcPr>
            <w:tcW w:w="3195" w:type="pct"/>
            <w:tcBorders>
              <w:bottom w:val="single" w:sz="12" w:space="0" w:color="7ECBED"/>
            </w:tcBorders>
            <w:shd w:val="clear" w:color="auto" w:fill="D4EDF9"/>
          </w:tcPr>
          <w:p w14:paraId="1FE5A4F0" w14:textId="77777777" w:rsidR="00107FCF" w:rsidRPr="00507221" w:rsidRDefault="00107FCF" w:rsidP="00507221">
            <w:pPr>
              <w:spacing w:before="60" w:after="60"/>
              <w:rPr>
                <w:b/>
                <w:bCs/>
                <w:color w:val="000000"/>
              </w:rPr>
            </w:pPr>
            <w:r w:rsidRPr="00507221">
              <w:rPr>
                <w:bCs/>
                <w:color w:val="000000"/>
              </w:rPr>
              <w:t>Nazwa kryterium szczegółowego</w:t>
            </w:r>
          </w:p>
        </w:tc>
        <w:tc>
          <w:tcPr>
            <w:tcW w:w="756" w:type="pct"/>
            <w:tcBorders>
              <w:bottom w:val="single" w:sz="12" w:space="0" w:color="7ECBED"/>
            </w:tcBorders>
            <w:shd w:val="clear" w:color="auto" w:fill="D4EDF9"/>
          </w:tcPr>
          <w:p w14:paraId="47F54F26" w14:textId="77777777" w:rsidR="00107FCF" w:rsidRPr="00507221" w:rsidRDefault="00107FCF" w:rsidP="00507221">
            <w:pPr>
              <w:spacing w:before="60" w:after="60"/>
              <w:rPr>
                <w:b/>
                <w:bCs/>
                <w:color w:val="000000"/>
              </w:rPr>
            </w:pPr>
            <w:r w:rsidRPr="00507221">
              <w:rPr>
                <w:bCs/>
                <w:color w:val="000000"/>
              </w:rPr>
              <w:t>Waga kryterium</w:t>
            </w:r>
          </w:p>
        </w:tc>
      </w:tr>
      <w:tr w:rsidR="00107FCF" w:rsidRPr="00507221" w14:paraId="0ED94FCF" w14:textId="77777777" w:rsidTr="006A3BC1">
        <w:trPr>
          <w:trHeight w:val="469"/>
        </w:trPr>
        <w:tc>
          <w:tcPr>
            <w:tcW w:w="1048" w:type="pct"/>
            <w:vMerge w:val="restart"/>
            <w:tcBorders>
              <w:top w:val="double" w:sz="4" w:space="0" w:color="28AAE1"/>
            </w:tcBorders>
          </w:tcPr>
          <w:p w14:paraId="3BFF424C" w14:textId="77777777" w:rsidR="00107FCF" w:rsidRPr="00507221" w:rsidRDefault="00107FCF" w:rsidP="00507221">
            <w:pPr>
              <w:spacing w:before="60" w:after="60"/>
              <w:rPr>
                <w:b/>
                <w:bCs/>
                <w:color w:val="000000"/>
              </w:rPr>
            </w:pPr>
            <w:r w:rsidRPr="00507221">
              <w:rPr>
                <w:bCs/>
                <w:color w:val="000000"/>
              </w:rPr>
              <w:t>Zakres i stopień negatywnego oddziaływania na środowisko</w:t>
            </w:r>
          </w:p>
        </w:tc>
        <w:tc>
          <w:tcPr>
            <w:tcW w:w="3195" w:type="pct"/>
            <w:tcBorders>
              <w:top w:val="double" w:sz="4" w:space="0" w:color="28AAE1"/>
            </w:tcBorders>
            <w:noWrap/>
          </w:tcPr>
          <w:p w14:paraId="4A9F3187" w14:textId="0F6D259E" w:rsidR="00107FCF" w:rsidRPr="00507221" w:rsidRDefault="00107FCF" w:rsidP="00507221">
            <w:pPr>
              <w:spacing w:before="40" w:after="40"/>
              <w:rPr>
                <w:color w:val="000000"/>
              </w:rPr>
            </w:pPr>
            <w:r w:rsidRPr="00507221">
              <w:rPr>
                <w:color w:val="000000"/>
              </w:rPr>
              <w:t xml:space="preserve">Wpływ na </w:t>
            </w:r>
            <w:r w:rsidR="00D408DE">
              <w:rPr>
                <w:color w:val="000000"/>
              </w:rPr>
              <w:t>JCWP</w:t>
            </w:r>
            <w:r w:rsidRPr="00507221">
              <w:rPr>
                <w:color w:val="000000"/>
              </w:rPr>
              <w:br/>
              <w:t>- ocena ekspercka [pkt]</w:t>
            </w:r>
          </w:p>
        </w:tc>
        <w:tc>
          <w:tcPr>
            <w:tcW w:w="756" w:type="pct"/>
            <w:tcBorders>
              <w:top w:val="double" w:sz="4" w:space="0" w:color="28AAE1"/>
            </w:tcBorders>
            <w:noWrap/>
          </w:tcPr>
          <w:p w14:paraId="583BF2AA" w14:textId="77777777" w:rsidR="00107FCF" w:rsidRPr="00507221" w:rsidRDefault="00107FCF" w:rsidP="00507221">
            <w:pPr>
              <w:spacing w:before="40" w:after="40"/>
              <w:jc w:val="center"/>
              <w:rPr>
                <w:color w:val="000000"/>
              </w:rPr>
            </w:pPr>
            <w:r w:rsidRPr="00507221">
              <w:rPr>
                <w:color w:val="000000"/>
              </w:rPr>
              <w:t>25%</w:t>
            </w:r>
          </w:p>
        </w:tc>
      </w:tr>
      <w:tr w:rsidR="00107FCF" w:rsidRPr="00507221" w14:paraId="49C49659" w14:textId="77777777" w:rsidTr="006A3BC1">
        <w:trPr>
          <w:trHeight w:val="607"/>
        </w:trPr>
        <w:tc>
          <w:tcPr>
            <w:tcW w:w="1048" w:type="pct"/>
            <w:vMerge/>
          </w:tcPr>
          <w:p w14:paraId="41D768D4" w14:textId="77777777" w:rsidR="00107FCF" w:rsidRPr="00507221" w:rsidRDefault="00107FCF" w:rsidP="00507221">
            <w:pPr>
              <w:spacing w:before="60" w:after="60"/>
              <w:rPr>
                <w:b/>
                <w:bCs/>
                <w:color w:val="000000"/>
              </w:rPr>
            </w:pPr>
          </w:p>
        </w:tc>
        <w:tc>
          <w:tcPr>
            <w:tcW w:w="3195" w:type="pct"/>
            <w:noWrap/>
          </w:tcPr>
          <w:p w14:paraId="7FDD626E" w14:textId="77777777" w:rsidR="00107FCF" w:rsidRPr="00507221" w:rsidRDefault="00107FCF" w:rsidP="00507221">
            <w:pPr>
              <w:spacing w:before="40" w:after="40"/>
              <w:rPr>
                <w:color w:val="000000"/>
              </w:rPr>
            </w:pPr>
            <w:r w:rsidRPr="00507221">
              <w:rPr>
                <w:color w:val="000000"/>
              </w:rPr>
              <w:t>Formy ochrony przyrody</w:t>
            </w:r>
            <w:r w:rsidRPr="00507221">
              <w:rPr>
                <w:color w:val="000000"/>
              </w:rPr>
              <w:br/>
              <w:t>- typ ochrony [pkt.] x stopień ingerencji [%]</w:t>
            </w:r>
          </w:p>
        </w:tc>
        <w:tc>
          <w:tcPr>
            <w:tcW w:w="756" w:type="pct"/>
            <w:noWrap/>
          </w:tcPr>
          <w:p w14:paraId="6B1618DC" w14:textId="77777777" w:rsidR="00107FCF" w:rsidRPr="00507221" w:rsidRDefault="00107FCF" w:rsidP="00507221">
            <w:pPr>
              <w:spacing w:before="40" w:after="40"/>
              <w:jc w:val="center"/>
              <w:rPr>
                <w:color w:val="000000"/>
              </w:rPr>
            </w:pPr>
            <w:r w:rsidRPr="00507221">
              <w:rPr>
                <w:color w:val="000000"/>
              </w:rPr>
              <w:t>30%</w:t>
            </w:r>
          </w:p>
        </w:tc>
      </w:tr>
      <w:tr w:rsidR="00107FCF" w:rsidRPr="00507221" w14:paraId="2BEFE218" w14:textId="77777777" w:rsidTr="006A3BC1">
        <w:trPr>
          <w:trHeight w:val="275"/>
        </w:trPr>
        <w:tc>
          <w:tcPr>
            <w:tcW w:w="1048" w:type="pct"/>
            <w:vMerge/>
          </w:tcPr>
          <w:p w14:paraId="15C8B9DD" w14:textId="77777777" w:rsidR="00107FCF" w:rsidRPr="00507221" w:rsidRDefault="00107FCF" w:rsidP="00507221">
            <w:pPr>
              <w:spacing w:before="60" w:after="60"/>
              <w:rPr>
                <w:b/>
                <w:bCs/>
                <w:color w:val="000000"/>
              </w:rPr>
            </w:pPr>
          </w:p>
        </w:tc>
        <w:tc>
          <w:tcPr>
            <w:tcW w:w="3195" w:type="pct"/>
            <w:noWrap/>
          </w:tcPr>
          <w:p w14:paraId="508F0B7B" w14:textId="77777777" w:rsidR="00107FCF" w:rsidRPr="00507221" w:rsidRDefault="00107FCF" w:rsidP="00507221">
            <w:pPr>
              <w:spacing w:before="40" w:after="40"/>
              <w:rPr>
                <w:color w:val="000000"/>
              </w:rPr>
            </w:pPr>
            <w:r w:rsidRPr="00507221">
              <w:rPr>
                <w:color w:val="000000"/>
              </w:rPr>
              <w:t>Wycinka drzew/lasu [pkt]</w:t>
            </w:r>
          </w:p>
        </w:tc>
        <w:tc>
          <w:tcPr>
            <w:tcW w:w="756" w:type="pct"/>
            <w:noWrap/>
          </w:tcPr>
          <w:p w14:paraId="1AB8505E" w14:textId="77777777" w:rsidR="00107FCF" w:rsidRPr="00507221" w:rsidRDefault="00107FCF" w:rsidP="00507221">
            <w:pPr>
              <w:spacing w:before="40" w:after="40"/>
              <w:jc w:val="center"/>
              <w:rPr>
                <w:color w:val="000000"/>
              </w:rPr>
            </w:pPr>
            <w:r w:rsidRPr="00507221">
              <w:rPr>
                <w:color w:val="000000"/>
              </w:rPr>
              <w:t>25%</w:t>
            </w:r>
          </w:p>
        </w:tc>
      </w:tr>
      <w:tr w:rsidR="00107FCF" w:rsidRPr="00507221" w14:paraId="70B36B04" w14:textId="77777777" w:rsidTr="006A3BC1">
        <w:trPr>
          <w:trHeight w:val="181"/>
        </w:trPr>
        <w:tc>
          <w:tcPr>
            <w:tcW w:w="1048" w:type="pct"/>
            <w:vMerge/>
          </w:tcPr>
          <w:p w14:paraId="2CC1722F" w14:textId="77777777" w:rsidR="00107FCF" w:rsidRPr="00507221" w:rsidRDefault="00107FCF" w:rsidP="00507221">
            <w:pPr>
              <w:spacing w:before="60" w:after="60"/>
              <w:rPr>
                <w:b/>
                <w:bCs/>
                <w:color w:val="000000"/>
              </w:rPr>
            </w:pPr>
          </w:p>
        </w:tc>
        <w:tc>
          <w:tcPr>
            <w:tcW w:w="3195" w:type="pct"/>
            <w:noWrap/>
          </w:tcPr>
          <w:p w14:paraId="14464926" w14:textId="77777777" w:rsidR="00107FCF" w:rsidRPr="00507221" w:rsidRDefault="00107FCF" w:rsidP="00507221">
            <w:pPr>
              <w:spacing w:before="40" w:after="40"/>
              <w:rPr>
                <w:color w:val="000000"/>
              </w:rPr>
            </w:pPr>
            <w:r w:rsidRPr="00507221">
              <w:rPr>
                <w:color w:val="000000"/>
              </w:rPr>
              <w:t>Krajobraz - kubatura obiektu [pkt]</w:t>
            </w:r>
          </w:p>
        </w:tc>
        <w:tc>
          <w:tcPr>
            <w:tcW w:w="756" w:type="pct"/>
            <w:noWrap/>
          </w:tcPr>
          <w:p w14:paraId="6770E2A3" w14:textId="77777777" w:rsidR="00107FCF" w:rsidRPr="00507221" w:rsidRDefault="00107FCF" w:rsidP="00507221">
            <w:pPr>
              <w:spacing w:before="40" w:after="40"/>
              <w:jc w:val="center"/>
              <w:rPr>
                <w:color w:val="000000"/>
              </w:rPr>
            </w:pPr>
            <w:r w:rsidRPr="00507221">
              <w:rPr>
                <w:color w:val="000000"/>
              </w:rPr>
              <w:t>20%</w:t>
            </w:r>
          </w:p>
        </w:tc>
      </w:tr>
    </w:tbl>
    <w:p w14:paraId="2E1D768F" w14:textId="77777777" w:rsidR="00107FCF" w:rsidRDefault="00107FCF" w:rsidP="006D41A7">
      <w:pPr>
        <w:pStyle w:val="ReportLevel3"/>
        <w:numPr>
          <w:ilvl w:val="2"/>
          <w:numId w:val="4"/>
        </w:numPr>
      </w:pPr>
      <w:r>
        <w:t>Kryterium m</w:t>
      </w:r>
      <w:r w:rsidRPr="008B48F9">
        <w:t>ożliw</w:t>
      </w:r>
      <w:r>
        <w:t>ych</w:t>
      </w:r>
      <w:r w:rsidRPr="008B48F9">
        <w:t xml:space="preserve"> konflikt</w:t>
      </w:r>
      <w:r>
        <w:t>ów</w:t>
      </w:r>
      <w:r w:rsidRPr="008B48F9">
        <w:t xml:space="preserve"> społeczn</w:t>
      </w:r>
      <w:r>
        <w:t>ych</w:t>
      </w:r>
      <w:r w:rsidRPr="008B48F9">
        <w:t xml:space="preserve"> związane z realizacją działań</w:t>
      </w:r>
    </w:p>
    <w:p w14:paraId="3B5A1A66" w14:textId="77777777" w:rsidR="00107FCF" w:rsidRDefault="00107FCF" w:rsidP="00F40040">
      <w:pPr>
        <w:pStyle w:val="ReportText"/>
        <w:jc w:val="both"/>
      </w:pPr>
      <w:r>
        <w:t xml:space="preserve">Na ocenę kryterium </w:t>
      </w:r>
      <w:r w:rsidRPr="008B48F9">
        <w:t>konflikt</w:t>
      </w:r>
      <w:r>
        <w:t>ów</w:t>
      </w:r>
      <w:r w:rsidRPr="008B48F9">
        <w:t xml:space="preserve"> społeczn</w:t>
      </w:r>
      <w:r>
        <w:t>ych</w:t>
      </w:r>
      <w:r w:rsidRPr="008B48F9">
        <w:t xml:space="preserve"> związane z realizacją działań</w:t>
      </w:r>
      <w:r>
        <w:t xml:space="preserve"> składają się kryteria szczegółowe: </w:t>
      </w:r>
    </w:p>
    <w:p w14:paraId="0AB39BB7" w14:textId="77777777" w:rsidR="00107FCF" w:rsidRDefault="00107FCF" w:rsidP="006D41A7">
      <w:pPr>
        <w:pStyle w:val="ReportText"/>
        <w:numPr>
          <w:ilvl w:val="0"/>
          <w:numId w:val="36"/>
        </w:numPr>
        <w:ind w:left="567" w:hanging="425"/>
        <w:jc w:val="both"/>
      </w:pPr>
      <w:r w:rsidRPr="00F40040">
        <w:t xml:space="preserve">Zajętość terenu przez budowlę </w:t>
      </w:r>
      <w:r>
        <w:t xml:space="preserve">– </w:t>
      </w:r>
      <w:r w:rsidRPr="00355B8D">
        <w:t>ocen</w:t>
      </w:r>
      <w:r>
        <w:t>iono możliwość potencjalnych konfliktów społecznych w zależności od powierzchni zajętości terenu przeznaczoną pod daną inwestycję;</w:t>
      </w:r>
    </w:p>
    <w:p w14:paraId="27697B19" w14:textId="77777777" w:rsidR="00107FCF" w:rsidRDefault="00107FCF" w:rsidP="006D41A7">
      <w:pPr>
        <w:pStyle w:val="ReportText"/>
        <w:numPr>
          <w:ilvl w:val="0"/>
          <w:numId w:val="36"/>
        </w:numPr>
        <w:ind w:left="567" w:hanging="425"/>
        <w:jc w:val="both"/>
      </w:pPr>
      <w:r w:rsidRPr="00F40040">
        <w:t>Udział przekształceń naturalnego i semi-naturalnego terenu</w:t>
      </w:r>
      <w:r>
        <w:t xml:space="preserve"> - </w:t>
      </w:r>
      <w:r w:rsidRPr="00355B8D">
        <w:t>ocen</w:t>
      </w:r>
      <w:r>
        <w:t xml:space="preserve">iono możliwość potencjalnych konfliktów społecznych w zależności od wpływu na </w:t>
      </w:r>
      <w:r w:rsidRPr="00F40040">
        <w:t>przekształc</w:t>
      </w:r>
      <w:r>
        <w:t>enia</w:t>
      </w:r>
      <w:r w:rsidRPr="00F40040">
        <w:t xml:space="preserve"> naturaln</w:t>
      </w:r>
      <w:r>
        <w:t>e</w:t>
      </w:r>
      <w:r w:rsidRPr="00F40040">
        <w:t xml:space="preserve"> i semi-naturalne</w:t>
      </w:r>
      <w:r>
        <w:t>. Ocena uwzględnia stopień przekształcenia terenu, typ oraz długość zastosowanych rozwiązań projektowych;</w:t>
      </w:r>
    </w:p>
    <w:p w14:paraId="14A429BA" w14:textId="77777777" w:rsidR="00107FCF" w:rsidRDefault="00107FCF" w:rsidP="006D41A7">
      <w:pPr>
        <w:pStyle w:val="ReportText"/>
        <w:numPr>
          <w:ilvl w:val="0"/>
          <w:numId w:val="36"/>
        </w:numPr>
        <w:ind w:left="567" w:hanging="425"/>
        <w:jc w:val="both"/>
      </w:pPr>
      <w:r w:rsidRPr="00F40040">
        <w:t xml:space="preserve">Liczba budynków koniecznych do wyburzenia </w:t>
      </w:r>
      <w:r>
        <w:t xml:space="preserve">- </w:t>
      </w:r>
      <w:r w:rsidRPr="00355B8D">
        <w:t>ocen</w:t>
      </w:r>
      <w:r>
        <w:t xml:space="preserve">iono możliwość potencjalnych konfliktów społecznych w zależności od liczby wyburzonych budynków. </w:t>
      </w:r>
    </w:p>
    <w:p w14:paraId="78E18E85" w14:textId="77777777" w:rsidR="00107FCF" w:rsidRPr="001B621A" w:rsidRDefault="00107FCF" w:rsidP="001B621A">
      <w:pPr>
        <w:pStyle w:val="Legenda"/>
        <w:spacing w:before="120" w:after="0"/>
        <w:ind w:left="1080" w:hanging="1080"/>
        <w:rPr>
          <w:sz w:val="24"/>
          <w:szCs w:val="28"/>
        </w:rPr>
      </w:pPr>
      <w:bookmarkStart w:id="90" w:name="_Ref76656211"/>
      <w:r w:rsidRPr="0047478A">
        <w:rPr>
          <w:sz w:val="24"/>
          <w:szCs w:val="28"/>
        </w:rPr>
        <w:t>Kryteria szczegółowe wraz z przypisanymi do nich wagami przedstawia Tabela 14.</w:t>
      </w:r>
    </w:p>
    <w:p w14:paraId="00258F3D" w14:textId="7E0A1362" w:rsidR="00107FCF" w:rsidRPr="001B621A" w:rsidRDefault="00107FCF" w:rsidP="006A3BC1">
      <w:pPr>
        <w:pStyle w:val="Legenda"/>
        <w:tabs>
          <w:tab w:val="clear" w:pos="1080"/>
        </w:tabs>
        <w:spacing w:before="120"/>
        <w:ind w:left="1134" w:hanging="1134"/>
        <w:jc w:val="both"/>
        <w:rPr>
          <w:sz w:val="24"/>
          <w:szCs w:val="28"/>
        </w:rPr>
      </w:pPr>
      <w:bookmarkStart w:id="91" w:name="_Toc80608767"/>
      <w:r w:rsidRPr="0047478A">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14</w:t>
      </w:r>
      <w:r w:rsidR="00290AD4">
        <w:rPr>
          <w:sz w:val="24"/>
          <w:szCs w:val="28"/>
        </w:rPr>
        <w:fldChar w:fldCharType="end"/>
      </w:r>
      <w:bookmarkEnd w:id="90"/>
      <w:r w:rsidRPr="0047478A">
        <w:rPr>
          <w:sz w:val="24"/>
          <w:szCs w:val="28"/>
        </w:rPr>
        <w:tab/>
        <w:t>Kryteria szczegółowe wykorzystywane w analizie wielokryterialnej wraz z</w:t>
      </w:r>
      <w:r>
        <w:rPr>
          <w:sz w:val="24"/>
          <w:szCs w:val="28"/>
        </w:rPr>
        <w:t> </w:t>
      </w:r>
      <w:r w:rsidRPr="0047478A">
        <w:rPr>
          <w:sz w:val="24"/>
          <w:szCs w:val="28"/>
        </w:rPr>
        <w:t>przypisanymi do nich wagami</w:t>
      </w:r>
      <w:bookmarkEnd w:id="91"/>
    </w:p>
    <w:tbl>
      <w:tblPr>
        <w:tblW w:w="5054"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1302"/>
        <w:gridCol w:w="6347"/>
        <w:gridCol w:w="1163"/>
      </w:tblGrid>
      <w:tr w:rsidR="006A3BC1" w:rsidRPr="00507221" w14:paraId="5EFFD79F" w14:textId="77777777" w:rsidTr="004674FC">
        <w:trPr>
          <w:trHeight w:val="407"/>
        </w:trPr>
        <w:tc>
          <w:tcPr>
            <w:tcW w:w="740" w:type="pct"/>
            <w:tcBorders>
              <w:bottom w:val="single" w:sz="12" w:space="0" w:color="7ECBED"/>
            </w:tcBorders>
            <w:shd w:val="clear" w:color="auto" w:fill="D4EDF9"/>
          </w:tcPr>
          <w:p w14:paraId="3BF4C1A5" w14:textId="77777777" w:rsidR="00107FCF" w:rsidRPr="00507221" w:rsidRDefault="00107FCF" w:rsidP="00507221">
            <w:pPr>
              <w:spacing w:before="60" w:after="60"/>
              <w:rPr>
                <w:b/>
                <w:bCs/>
                <w:color w:val="000000"/>
                <w:lang w:eastAsia="pl-PL"/>
              </w:rPr>
            </w:pPr>
            <w:r w:rsidRPr="00507221">
              <w:rPr>
                <w:bCs/>
                <w:color w:val="000000"/>
              </w:rPr>
              <w:t>Kryterium zbiorcze</w:t>
            </w:r>
          </w:p>
        </w:tc>
        <w:tc>
          <w:tcPr>
            <w:tcW w:w="3600" w:type="pct"/>
            <w:tcBorders>
              <w:bottom w:val="single" w:sz="12" w:space="0" w:color="7ECBED"/>
            </w:tcBorders>
            <w:shd w:val="clear" w:color="auto" w:fill="D4EDF9"/>
          </w:tcPr>
          <w:p w14:paraId="37B5B068" w14:textId="77777777" w:rsidR="00107FCF" w:rsidRPr="00507221" w:rsidRDefault="00107FCF" w:rsidP="00507221">
            <w:pPr>
              <w:spacing w:before="60" w:after="60"/>
              <w:rPr>
                <w:b/>
                <w:bCs/>
                <w:color w:val="000000"/>
              </w:rPr>
            </w:pPr>
            <w:r w:rsidRPr="00507221">
              <w:rPr>
                <w:bCs/>
                <w:color w:val="000000"/>
              </w:rPr>
              <w:t>Nazwa kryterium szczegółowego</w:t>
            </w:r>
          </w:p>
        </w:tc>
        <w:tc>
          <w:tcPr>
            <w:tcW w:w="660" w:type="pct"/>
            <w:tcBorders>
              <w:bottom w:val="single" w:sz="12" w:space="0" w:color="7ECBED"/>
            </w:tcBorders>
            <w:shd w:val="clear" w:color="auto" w:fill="D4EDF9"/>
          </w:tcPr>
          <w:p w14:paraId="503D695C" w14:textId="77777777" w:rsidR="00107FCF" w:rsidRPr="00507221" w:rsidRDefault="00107FCF" w:rsidP="00507221">
            <w:pPr>
              <w:spacing w:before="60" w:after="60"/>
              <w:rPr>
                <w:b/>
                <w:bCs/>
                <w:color w:val="000000"/>
              </w:rPr>
            </w:pPr>
            <w:r w:rsidRPr="00507221">
              <w:rPr>
                <w:bCs/>
                <w:color w:val="000000"/>
              </w:rPr>
              <w:t>Waga kryterium</w:t>
            </w:r>
          </w:p>
        </w:tc>
      </w:tr>
      <w:tr w:rsidR="006A3BC1" w:rsidRPr="00507221" w14:paraId="5966390A" w14:textId="77777777" w:rsidTr="004674FC">
        <w:trPr>
          <w:trHeight w:val="428"/>
        </w:trPr>
        <w:tc>
          <w:tcPr>
            <w:tcW w:w="740" w:type="pct"/>
            <w:vMerge w:val="restart"/>
            <w:tcBorders>
              <w:top w:val="double" w:sz="4" w:space="0" w:color="28AAE1"/>
            </w:tcBorders>
          </w:tcPr>
          <w:p w14:paraId="17FFC981" w14:textId="5BBB9005" w:rsidR="00107FCF" w:rsidRPr="00507221" w:rsidRDefault="00107FCF" w:rsidP="00507221">
            <w:pPr>
              <w:spacing w:before="60" w:after="60"/>
              <w:rPr>
                <w:b/>
                <w:bCs/>
                <w:color w:val="000000"/>
              </w:rPr>
            </w:pPr>
            <w:r w:rsidRPr="00507221">
              <w:rPr>
                <w:bCs/>
                <w:color w:val="000000"/>
              </w:rPr>
              <w:t>Możliwe konflikty społeczne związane z</w:t>
            </w:r>
            <w:r w:rsidR="006A3BC1">
              <w:rPr>
                <w:bCs/>
                <w:color w:val="000000"/>
              </w:rPr>
              <w:t> </w:t>
            </w:r>
            <w:r w:rsidRPr="00507221">
              <w:rPr>
                <w:bCs/>
                <w:color w:val="000000"/>
              </w:rPr>
              <w:t>realizacją działań</w:t>
            </w:r>
          </w:p>
        </w:tc>
        <w:tc>
          <w:tcPr>
            <w:tcW w:w="3600" w:type="pct"/>
            <w:tcBorders>
              <w:top w:val="double" w:sz="4" w:space="0" w:color="28AAE1"/>
            </w:tcBorders>
            <w:noWrap/>
          </w:tcPr>
          <w:p w14:paraId="4AE20C11" w14:textId="77777777" w:rsidR="00107FCF" w:rsidRPr="00507221" w:rsidRDefault="00107FCF" w:rsidP="00507221">
            <w:pPr>
              <w:spacing w:before="40" w:after="40"/>
              <w:rPr>
                <w:color w:val="000000"/>
              </w:rPr>
            </w:pPr>
            <w:r w:rsidRPr="00507221">
              <w:rPr>
                <w:color w:val="000000"/>
              </w:rPr>
              <w:t>Zajętość terenu przez budowlę [pkt]</w:t>
            </w:r>
          </w:p>
        </w:tc>
        <w:tc>
          <w:tcPr>
            <w:tcW w:w="660" w:type="pct"/>
            <w:tcBorders>
              <w:top w:val="double" w:sz="4" w:space="0" w:color="28AAE1"/>
            </w:tcBorders>
            <w:noWrap/>
          </w:tcPr>
          <w:p w14:paraId="5CF5B679" w14:textId="77777777" w:rsidR="00107FCF" w:rsidRPr="00507221" w:rsidRDefault="00107FCF" w:rsidP="00507221">
            <w:pPr>
              <w:spacing w:before="40" w:after="40"/>
              <w:jc w:val="center"/>
              <w:rPr>
                <w:color w:val="000000"/>
              </w:rPr>
            </w:pPr>
            <w:r w:rsidRPr="00507221">
              <w:rPr>
                <w:color w:val="000000"/>
              </w:rPr>
              <w:t>20%</w:t>
            </w:r>
          </w:p>
        </w:tc>
      </w:tr>
      <w:tr w:rsidR="006A3BC1" w:rsidRPr="00507221" w14:paraId="3C8F431E" w14:textId="77777777" w:rsidTr="004674FC">
        <w:trPr>
          <w:trHeight w:val="203"/>
        </w:trPr>
        <w:tc>
          <w:tcPr>
            <w:tcW w:w="740" w:type="pct"/>
            <w:vMerge/>
          </w:tcPr>
          <w:p w14:paraId="41A722DA" w14:textId="77777777" w:rsidR="00107FCF" w:rsidRPr="00507221" w:rsidRDefault="00107FCF" w:rsidP="00507221">
            <w:pPr>
              <w:spacing w:before="60" w:after="60"/>
              <w:rPr>
                <w:b/>
                <w:bCs/>
                <w:color w:val="000000"/>
              </w:rPr>
            </w:pPr>
          </w:p>
        </w:tc>
        <w:tc>
          <w:tcPr>
            <w:tcW w:w="3600" w:type="pct"/>
            <w:noWrap/>
          </w:tcPr>
          <w:p w14:paraId="43F0E674" w14:textId="77777777" w:rsidR="00107FCF" w:rsidRPr="00507221" w:rsidRDefault="00107FCF" w:rsidP="00507221">
            <w:pPr>
              <w:spacing w:before="40" w:after="40"/>
              <w:rPr>
                <w:color w:val="000000"/>
              </w:rPr>
            </w:pPr>
            <w:r w:rsidRPr="00507221">
              <w:rPr>
                <w:color w:val="000000"/>
              </w:rPr>
              <w:t>Udział przekształceń naturalnego i semi-naturalnego terenu [%]</w:t>
            </w:r>
          </w:p>
        </w:tc>
        <w:tc>
          <w:tcPr>
            <w:tcW w:w="660" w:type="pct"/>
            <w:noWrap/>
          </w:tcPr>
          <w:p w14:paraId="0BC5C124" w14:textId="77777777" w:rsidR="00107FCF" w:rsidRPr="00507221" w:rsidRDefault="00107FCF" w:rsidP="00507221">
            <w:pPr>
              <w:spacing w:before="40" w:after="40"/>
              <w:jc w:val="center"/>
              <w:rPr>
                <w:color w:val="000000"/>
              </w:rPr>
            </w:pPr>
            <w:r w:rsidRPr="00507221">
              <w:rPr>
                <w:color w:val="000000"/>
              </w:rPr>
              <w:t>40%</w:t>
            </w:r>
          </w:p>
        </w:tc>
      </w:tr>
      <w:tr w:rsidR="006A3BC1" w:rsidRPr="00507221" w14:paraId="28436F6B" w14:textId="77777777" w:rsidTr="004674FC">
        <w:trPr>
          <w:trHeight w:val="560"/>
        </w:trPr>
        <w:tc>
          <w:tcPr>
            <w:tcW w:w="740" w:type="pct"/>
            <w:vMerge/>
          </w:tcPr>
          <w:p w14:paraId="5F0EA2D9" w14:textId="77777777" w:rsidR="00107FCF" w:rsidRPr="00507221" w:rsidRDefault="00107FCF" w:rsidP="00507221">
            <w:pPr>
              <w:spacing w:before="60" w:after="60"/>
              <w:rPr>
                <w:b/>
                <w:bCs/>
                <w:color w:val="000000"/>
              </w:rPr>
            </w:pPr>
          </w:p>
        </w:tc>
        <w:tc>
          <w:tcPr>
            <w:tcW w:w="3600" w:type="pct"/>
            <w:noWrap/>
          </w:tcPr>
          <w:p w14:paraId="4F8A4D93" w14:textId="77777777" w:rsidR="00107FCF" w:rsidRPr="00507221" w:rsidRDefault="00107FCF" w:rsidP="00507221">
            <w:pPr>
              <w:spacing w:before="40" w:after="40"/>
              <w:rPr>
                <w:color w:val="000000"/>
              </w:rPr>
            </w:pPr>
            <w:r w:rsidRPr="00507221">
              <w:rPr>
                <w:color w:val="000000"/>
              </w:rPr>
              <w:t>Liczba budynków koniecznych do wyburzenia [szt]</w:t>
            </w:r>
          </w:p>
        </w:tc>
        <w:tc>
          <w:tcPr>
            <w:tcW w:w="660" w:type="pct"/>
            <w:noWrap/>
          </w:tcPr>
          <w:p w14:paraId="07CEEC14" w14:textId="77777777" w:rsidR="00107FCF" w:rsidRPr="00507221" w:rsidRDefault="00107FCF" w:rsidP="00507221">
            <w:pPr>
              <w:spacing w:before="40" w:after="40"/>
              <w:jc w:val="center"/>
              <w:rPr>
                <w:color w:val="000000"/>
              </w:rPr>
            </w:pPr>
            <w:r w:rsidRPr="00507221">
              <w:rPr>
                <w:color w:val="000000"/>
              </w:rPr>
              <w:t>40%</w:t>
            </w:r>
          </w:p>
        </w:tc>
      </w:tr>
    </w:tbl>
    <w:p w14:paraId="692AF8EB" w14:textId="77777777" w:rsidR="001C23A2" w:rsidRDefault="001C23A2" w:rsidP="00290AD4"/>
    <w:p w14:paraId="3E161F88" w14:textId="309C2C82" w:rsidR="00107FCF" w:rsidRDefault="001C23A2" w:rsidP="006D41A7">
      <w:pPr>
        <w:pStyle w:val="ReportLevel3"/>
        <w:numPr>
          <w:ilvl w:val="2"/>
          <w:numId w:val="4"/>
        </w:numPr>
      </w:pPr>
      <w:r>
        <w:br w:type="column"/>
      </w:r>
      <w:r w:rsidR="00107FCF">
        <w:lastRenderedPageBreak/>
        <w:t>Kryterium z</w:t>
      </w:r>
      <w:r w:rsidR="00107FCF" w:rsidRPr="008B48F9">
        <w:t>naczeni</w:t>
      </w:r>
      <w:r w:rsidR="00107FCF">
        <w:t>a</w:t>
      </w:r>
      <w:r w:rsidR="00107FCF" w:rsidRPr="008B48F9">
        <w:t xml:space="preserve"> dla realizacji strategii adaptacji do zmian klimatu</w:t>
      </w:r>
    </w:p>
    <w:p w14:paraId="71C47F11" w14:textId="5A0C02A6" w:rsidR="00107FCF" w:rsidRPr="001C39F8" w:rsidRDefault="00107FCF" w:rsidP="0035267D">
      <w:pPr>
        <w:pStyle w:val="ReportText"/>
        <w:jc w:val="both"/>
      </w:pPr>
      <w:r>
        <w:t>Kryterium porównawcze wariantów uwzględniające ewentualny wpływ inwestycji na realizacje strategii adaptacji do zmian klimatu. Oceniono, czy działanie w</w:t>
      </w:r>
      <w:r w:rsidRPr="0035267D">
        <w:t>pisuje się w</w:t>
      </w:r>
      <w:r w:rsidR="001C23A2">
        <w:t> </w:t>
      </w:r>
      <w:r w:rsidRPr="0035267D">
        <w:t xml:space="preserve">ramową politykę Unii Europejskiej w zakresie adaptacji do zmian klimatu, której celem jest poprawa odporności państw członkowskich na aktualne i oczekiwane zmiany klimatu, zwracając szczególną uwagę na lepsze przygotowanie do ekstremalnych zjawisk klimatycznych i pogodowych oraz redukcję kosztów społeczno-ekonomicznych z tym </w:t>
      </w:r>
      <w:r w:rsidRPr="001C39F8">
        <w:t>związanych.</w:t>
      </w:r>
    </w:p>
    <w:p w14:paraId="1A4BA723" w14:textId="575BAB61" w:rsidR="00107FCF" w:rsidRDefault="00107FCF" w:rsidP="0035267D">
      <w:pPr>
        <w:pStyle w:val="ReportText"/>
        <w:jc w:val="both"/>
      </w:pPr>
      <w:r w:rsidRPr="001C39F8">
        <w:t>Szczegółowy opis uwzględnienia zmian klimatu w opracowaniu aPZRP</w:t>
      </w:r>
      <w:r>
        <w:t>M znajduje się</w:t>
      </w:r>
      <w:r w:rsidR="00F8204D">
        <w:br/>
      </w:r>
      <w:r>
        <w:t>w pkt. 8 niniejszego raportu.</w:t>
      </w:r>
    </w:p>
    <w:p w14:paraId="4FC368D0" w14:textId="1698D4AC" w:rsidR="00EA50FC" w:rsidRDefault="00EA50FC" w:rsidP="0035267D">
      <w:pPr>
        <w:pStyle w:val="ReportText"/>
        <w:jc w:val="both"/>
      </w:pPr>
    </w:p>
    <w:p w14:paraId="37DC3CEF" w14:textId="77777777" w:rsidR="00107FCF" w:rsidRDefault="00107FCF" w:rsidP="006D41A7">
      <w:pPr>
        <w:pStyle w:val="ReportLevel3"/>
        <w:numPr>
          <w:ilvl w:val="2"/>
          <w:numId w:val="4"/>
        </w:numPr>
      </w:pPr>
      <w:r>
        <w:t xml:space="preserve">Kryterium </w:t>
      </w:r>
      <w:r w:rsidRPr="008B48F9">
        <w:t>synergii</w:t>
      </w:r>
    </w:p>
    <w:p w14:paraId="171A6415" w14:textId="19CE91E5" w:rsidR="00107FCF" w:rsidRPr="003E2E9F" w:rsidRDefault="00107FCF" w:rsidP="007E49C7">
      <w:pPr>
        <w:pStyle w:val="ReportText"/>
        <w:jc w:val="both"/>
      </w:pPr>
      <w:r w:rsidRPr="003E2E9F">
        <w:t xml:space="preserve">Kryterium porównawcze wariantów uwzględniające ewentualny wpływ inwestycji na plan przeciwdziałania skutkom suszy, program przeciwdziałania niedoborowi wody oraz krajowy program renaturyzacji wód powierzchniowych. </w:t>
      </w:r>
    </w:p>
    <w:p w14:paraId="6A7E4980" w14:textId="77777777" w:rsidR="00107FCF" w:rsidRPr="006E591B" w:rsidRDefault="00107FCF" w:rsidP="008974D5">
      <w:pPr>
        <w:pStyle w:val="ReportText"/>
      </w:pPr>
      <w:r>
        <w:t xml:space="preserve">Analiza i ocena </w:t>
      </w:r>
      <w:r w:rsidRPr="00B1763F">
        <w:t>zgodności planowanych wariantów z dokumentami wskazanymi w OPZ</w:t>
      </w:r>
      <w:r>
        <w:t xml:space="preserve"> znajduje się w pkt. 6.2.8 niniejszego raportu.</w:t>
      </w:r>
    </w:p>
    <w:p w14:paraId="09D6A578" w14:textId="77777777" w:rsidR="00107FCF" w:rsidRDefault="00107FCF" w:rsidP="006D41A7">
      <w:pPr>
        <w:pStyle w:val="ReportLevel3"/>
        <w:numPr>
          <w:ilvl w:val="2"/>
          <w:numId w:val="4"/>
        </w:numPr>
      </w:pPr>
      <w:r>
        <w:t>Wynik analizy</w:t>
      </w:r>
    </w:p>
    <w:p w14:paraId="0A96AAA3" w14:textId="28697CBF" w:rsidR="00107FCF" w:rsidRPr="00C61517" w:rsidRDefault="00107FCF" w:rsidP="00452A44">
      <w:pPr>
        <w:pStyle w:val="ReportText"/>
        <w:spacing w:before="120" w:after="120"/>
        <w:jc w:val="both"/>
        <w:rPr>
          <w:lang w:eastAsia="zh-CN"/>
        </w:rPr>
      </w:pPr>
      <w:r>
        <w:rPr>
          <w:lang w:eastAsia="zh-CN"/>
        </w:rPr>
        <w:t xml:space="preserve">Wyniki przeprowadzonej analizy wielokryterialnej dla poszczególnych wariantów planistycznych przedstawiają </w:t>
      </w:r>
      <w:r w:rsidR="002C15EE">
        <w:fldChar w:fldCharType="begin"/>
      </w:r>
      <w:r w:rsidR="002C15EE">
        <w:instrText xml:space="preserve"> REF _Ref76733636 \h  \* MERGEFORMAT </w:instrText>
      </w:r>
      <w:r w:rsidR="002C15EE">
        <w:fldChar w:fldCharType="separate"/>
      </w:r>
      <w:r w:rsidR="00AC4DF9" w:rsidRPr="00AC4DF9">
        <w:t xml:space="preserve">Tabela </w:t>
      </w:r>
      <w:r w:rsidR="00AC4DF9" w:rsidRPr="00AC4DF9">
        <w:rPr>
          <w:noProof/>
        </w:rPr>
        <w:t>15</w:t>
      </w:r>
      <w:r w:rsidR="002C15EE">
        <w:fldChar w:fldCharType="end"/>
      </w:r>
      <w:r>
        <w:rPr>
          <w:lang w:eastAsia="zh-CN"/>
        </w:rPr>
        <w:t>, Tabela 16 i Tabela 17.</w:t>
      </w:r>
    </w:p>
    <w:p w14:paraId="511CF1FA" w14:textId="5C2AB464" w:rsidR="00107FCF" w:rsidRPr="001B621A" w:rsidRDefault="00107FCF" w:rsidP="001C23A2">
      <w:pPr>
        <w:pStyle w:val="Legenda"/>
        <w:tabs>
          <w:tab w:val="clear" w:pos="1080"/>
          <w:tab w:val="left" w:pos="1276"/>
        </w:tabs>
        <w:spacing w:before="120" w:after="0"/>
        <w:ind w:left="1134" w:hanging="1134"/>
        <w:jc w:val="both"/>
        <w:rPr>
          <w:sz w:val="24"/>
          <w:szCs w:val="28"/>
        </w:rPr>
      </w:pPr>
      <w:bookmarkStart w:id="92" w:name="_Ref76733636"/>
      <w:bookmarkStart w:id="93" w:name="_Toc76734802"/>
      <w:bookmarkStart w:id="94" w:name="_Toc80608768"/>
      <w:r w:rsidRPr="001B621A">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15</w:t>
      </w:r>
      <w:r w:rsidR="00290AD4">
        <w:rPr>
          <w:sz w:val="24"/>
          <w:szCs w:val="28"/>
        </w:rPr>
        <w:fldChar w:fldCharType="end"/>
      </w:r>
      <w:bookmarkEnd w:id="92"/>
      <w:r w:rsidRPr="001B621A">
        <w:rPr>
          <w:sz w:val="24"/>
          <w:szCs w:val="28"/>
        </w:rPr>
        <w:tab/>
        <w:t>Wyniki analizy wielokryterialnej prowadzonej dla oceny wariantów planistycznych na obszarze problemowym IOP 6 Darłowo</w:t>
      </w:r>
      <w:bookmarkEnd w:id="93"/>
      <w:bookmarkEnd w:id="94"/>
    </w:p>
    <w:p w14:paraId="5E7BD797" w14:textId="7AE4F635" w:rsidR="00107FCF" w:rsidRDefault="003C649E" w:rsidP="00452A44">
      <w:pPr>
        <w:pStyle w:val="Legenda"/>
        <w:spacing w:before="60" w:after="0"/>
        <w:ind w:left="1080" w:hanging="1080"/>
        <w:jc w:val="center"/>
      </w:pPr>
      <w:r>
        <w:rPr>
          <w:noProof/>
          <w:lang w:eastAsia="pl-PL"/>
        </w:rPr>
        <w:drawing>
          <wp:inline distT="0" distB="0" distL="0" distR="0" wp14:anchorId="40DFFC0A" wp14:editId="56E71A33">
            <wp:extent cx="5355590" cy="23406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55590" cy="2340610"/>
                    </a:xfrm>
                    <a:prstGeom prst="rect">
                      <a:avLst/>
                    </a:prstGeom>
                    <a:noFill/>
                    <a:ln>
                      <a:noFill/>
                    </a:ln>
                  </pic:spPr>
                </pic:pic>
              </a:graphicData>
            </a:graphic>
          </wp:inline>
        </w:drawing>
      </w:r>
    </w:p>
    <w:p w14:paraId="500A988B" w14:textId="0E0AC71B" w:rsidR="00107FCF" w:rsidRDefault="00EA50FC" w:rsidP="00452A44">
      <w:pPr>
        <w:spacing w:before="120"/>
        <w:jc w:val="both"/>
      </w:pPr>
      <w:bookmarkStart w:id="95" w:name="_Ref76733650"/>
      <w:bookmarkStart w:id="96" w:name="_Toc76734803"/>
      <w:r>
        <w:br w:type="column"/>
      </w:r>
      <w:r w:rsidR="00107FCF">
        <w:lastRenderedPageBreak/>
        <w:t>Wyniki analizy wielokryterialnej przeprowadzonej na potrzeby oceny wariantów ochrony przeciwpowodziowej dla obszaru problemowego IOP_6 Darłowo wskazują na wyższość Wariantu Planistycznego W2, jednak otrzymane wartości dla obu analizowanych opcji są zbliżone do siebie. Wariant planistyczny W2 otrzymał wyższe oceny dla kryterium zbiorczego określającego skuteczność osiągania celów zarządzania ryzykiem powodziowym oraz efektywności ekonomicznej, czyli dwóch najistotniejszych wskaźników. Wariant Planistyczny W1 otrzymał znacznie lepszą ocenę dla kryterium zbiorczego określającego spodziewany zakres i stopień negatywnego oddziaływania na środowisko. Niniejsza nota wynika z charakteru zaproponowanych rozwiązań opartych w znakomitej większości na mobilnych systemach ochrony przeciwpowodziowej, które pozostają neutralne dla środowiska, ponieważ są barierami tymczasowymi. Analogiczna sytuacja występuje dla kryterium zbiorczego oceniającego możliwe do wystąpienia konflikty społeczne związane z</w:t>
      </w:r>
      <w:r w:rsidR="001C23A2">
        <w:t> </w:t>
      </w:r>
      <w:r w:rsidR="00107FCF">
        <w:t>realizacją działań, w tym przypadku także wpływ na lepszy wynik miała przewaga</w:t>
      </w:r>
      <w:r w:rsidR="001C23A2">
        <w:t xml:space="preserve"> </w:t>
      </w:r>
      <w:r w:rsidR="00107FCF">
        <w:t>systemów mobilnych ochrony przeciwpowodziowej. Pomimo, że ocena obu wariantów jest zbliżona, głębsza analiza wyników w sposób jednoznaczny wskazuje, że wariantem rekomendowanym powinien być Wariant Planistyczny W2.</w:t>
      </w:r>
    </w:p>
    <w:p w14:paraId="418ADA6C" w14:textId="13F8C95B" w:rsidR="00107FCF" w:rsidRPr="001B621A" w:rsidRDefault="00107FCF" w:rsidP="001C23A2">
      <w:pPr>
        <w:pStyle w:val="Legenda"/>
        <w:tabs>
          <w:tab w:val="clear" w:pos="1080"/>
        </w:tabs>
        <w:spacing w:before="120" w:after="0"/>
        <w:ind w:left="1134" w:hanging="1134"/>
        <w:jc w:val="both"/>
        <w:rPr>
          <w:sz w:val="24"/>
          <w:szCs w:val="28"/>
        </w:rPr>
      </w:pPr>
      <w:bookmarkStart w:id="97" w:name="_Toc80608769"/>
      <w:r w:rsidRPr="001B621A">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16</w:t>
      </w:r>
      <w:r w:rsidR="00290AD4">
        <w:rPr>
          <w:sz w:val="24"/>
          <w:szCs w:val="28"/>
        </w:rPr>
        <w:fldChar w:fldCharType="end"/>
      </w:r>
      <w:bookmarkEnd w:id="95"/>
      <w:r w:rsidRPr="001B621A">
        <w:rPr>
          <w:sz w:val="24"/>
          <w:szCs w:val="28"/>
        </w:rPr>
        <w:tab/>
        <w:t>Wyniki analizy wielokryterialnej prowadzonej dla oceny wariantów planistycznych na obszarze problemowym IOP 10 Stepnica północ</w:t>
      </w:r>
      <w:bookmarkEnd w:id="96"/>
      <w:bookmarkEnd w:id="97"/>
    </w:p>
    <w:p w14:paraId="06EA377B" w14:textId="0E3A8CC9" w:rsidR="00107FCF" w:rsidRPr="00B87C2D" w:rsidRDefault="003C649E" w:rsidP="00452A44">
      <w:pPr>
        <w:pStyle w:val="ReportText"/>
        <w:spacing w:before="40" w:after="60"/>
        <w:jc w:val="center"/>
        <w:rPr>
          <w:lang w:eastAsia="zh-CN"/>
        </w:rPr>
      </w:pPr>
      <w:r>
        <w:rPr>
          <w:noProof/>
          <w:lang w:eastAsia="pl-PL"/>
        </w:rPr>
        <w:drawing>
          <wp:inline distT="0" distB="0" distL="0" distR="0" wp14:anchorId="6BD4E060" wp14:editId="76935BED">
            <wp:extent cx="5355590" cy="23514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55590" cy="2351405"/>
                    </a:xfrm>
                    <a:prstGeom prst="rect">
                      <a:avLst/>
                    </a:prstGeom>
                    <a:noFill/>
                    <a:ln>
                      <a:noFill/>
                    </a:ln>
                  </pic:spPr>
                </pic:pic>
              </a:graphicData>
            </a:graphic>
          </wp:inline>
        </w:drawing>
      </w:r>
    </w:p>
    <w:p w14:paraId="625F1FC8" w14:textId="7148A43D" w:rsidR="00107FCF" w:rsidRDefault="00EA50FC" w:rsidP="00452A44">
      <w:pPr>
        <w:pStyle w:val="ReportText"/>
        <w:spacing w:before="80" w:after="120"/>
        <w:jc w:val="both"/>
        <w:rPr>
          <w:lang w:eastAsia="zh-CN"/>
        </w:rPr>
      </w:pPr>
      <w:bookmarkStart w:id="98" w:name="_Ref76733658"/>
      <w:bookmarkStart w:id="99" w:name="_Toc76734804"/>
      <w:r>
        <w:rPr>
          <w:lang w:eastAsia="zh-CN"/>
        </w:rPr>
        <w:br w:type="column"/>
      </w:r>
      <w:r w:rsidR="00107FCF">
        <w:rPr>
          <w:lang w:eastAsia="zh-CN"/>
        </w:rPr>
        <w:lastRenderedPageBreak/>
        <w:t xml:space="preserve">Wyniki analizy wielokryterialnej </w:t>
      </w:r>
      <w:r w:rsidR="00107FCF">
        <w:t xml:space="preserve">przeprowadzonej na potrzeby oceny wariantów ochrony przeciwpowodziowej dla obszaru problemowego IOP_10 Stepnica północ, </w:t>
      </w:r>
      <w:r w:rsidR="00107FCF">
        <w:rPr>
          <w:lang w:eastAsia="zh-CN"/>
        </w:rPr>
        <w:t>w</w:t>
      </w:r>
      <w:r w:rsidR="001C23A2">
        <w:rPr>
          <w:lang w:eastAsia="zh-CN"/>
        </w:rPr>
        <w:t> </w:t>
      </w:r>
      <w:r w:rsidR="00107FCF">
        <w:rPr>
          <w:lang w:eastAsia="zh-CN"/>
        </w:rPr>
        <w:t>sposób jednoznaczny wskazują na przewagę Wariantu Planistycznego W1. Należy zwrócić uwagę na bardzo dobry rezultat jaki przedmiotowy wariant otrzymał dla kryterium zbiorczego efektywności ekonomicznej. Wartość wskaźnika B/C na poziomie ponad 34 świadczy o bardzo dużej efektywności zakładanych działań. Jednocześnie omawiany wariant uzyskał dużo lepszy rezultat dla kryterium zbiorczego oceniającego skuteczność osiągania celów zarządzania ryzykiem powodziowym. Wyniki pozostałych kryteriów zbiorczych były zbliżone do siebie.  W obu przypadkach, głównie ze względu na niewielką skalę proponowanych działań, proponowane warianty uzyskały bardzo wysokie noty dla kryterium zbiorczego oceniającego możliwe konflikty społeczne związane z realizacją działań. Oceny dla kryterium środowiskowego były także zbliżone, a kluczowy wpływ na niższą notę dla Wariantu Planistycznego W2 była konieczność wycinki kilku drzew w przypadku jego realizacji. Przeprowadzona analiza wielokryterialna w sposób jednoznaczny wskazała wyższość Wariantu Planistycznego W1, w związku z czym jest on wariantem rekomendowanym.</w:t>
      </w:r>
    </w:p>
    <w:p w14:paraId="76531B09" w14:textId="6BBDB319" w:rsidR="00107FCF" w:rsidRDefault="00107FCF">
      <w:pPr>
        <w:rPr>
          <w:sz w:val="22"/>
        </w:rPr>
      </w:pPr>
    </w:p>
    <w:p w14:paraId="6D41313C" w14:textId="6ADEA8D0" w:rsidR="00107FCF" w:rsidRPr="001B621A" w:rsidRDefault="00107FCF" w:rsidP="001C23A2">
      <w:pPr>
        <w:pStyle w:val="Legenda"/>
        <w:tabs>
          <w:tab w:val="clear" w:pos="1080"/>
        </w:tabs>
        <w:spacing w:before="120" w:after="0"/>
        <w:ind w:left="1134" w:hanging="1134"/>
        <w:jc w:val="both"/>
        <w:rPr>
          <w:sz w:val="24"/>
          <w:szCs w:val="28"/>
        </w:rPr>
      </w:pPr>
      <w:bookmarkStart w:id="100" w:name="_Toc80608770"/>
      <w:r w:rsidRPr="001B621A">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17</w:t>
      </w:r>
      <w:r w:rsidR="00290AD4">
        <w:rPr>
          <w:sz w:val="24"/>
          <w:szCs w:val="28"/>
        </w:rPr>
        <w:fldChar w:fldCharType="end"/>
      </w:r>
      <w:bookmarkEnd w:id="98"/>
      <w:r w:rsidRPr="001B621A">
        <w:rPr>
          <w:sz w:val="24"/>
          <w:szCs w:val="28"/>
        </w:rPr>
        <w:tab/>
        <w:t>Wyniki analizy wielokryterialnej prowadzonej dla oceny wariantów planistycznych na obszarze problemowym IOP 11 Nowe Warpno</w:t>
      </w:r>
      <w:bookmarkEnd w:id="99"/>
      <w:bookmarkEnd w:id="100"/>
    </w:p>
    <w:p w14:paraId="790ACC7F" w14:textId="6123D5D5" w:rsidR="00107FCF" w:rsidRDefault="003C649E" w:rsidP="00452A44">
      <w:pPr>
        <w:spacing w:before="40"/>
        <w:jc w:val="center"/>
      </w:pPr>
      <w:r>
        <w:rPr>
          <w:noProof/>
          <w:lang w:eastAsia="pl-PL"/>
        </w:rPr>
        <w:drawing>
          <wp:inline distT="0" distB="0" distL="0" distR="0" wp14:anchorId="60B0AD6C" wp14:editId="6590052F">
            <wp:extent cx="5377815" cy="2362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77815" cy="2362200"/>
                    </a:xfrm>
                    <a:prstGeom prst="rect">
                      <a:avLst/>
                    </a:prstGeom>
                    <a:noFill/>
                    <a:ln>
                      <a:noFill/>
                    </a:ln>
                  </pic:spPr>
                </pic:pic>
              </a:graphicData>
            </a:graphic>
          </wp:inline>
        </w:drawing>
      </w:r>
    </w:p>
    <w:p w14:paraId="2E540E29" w14:textId="072342CA" w:rsidR="00107FCF" w:rsidRDefault="00107FCF" w:rsidP="00452A44">
      <w:pPr>
        <w:spacing w:before="60"/>
        <w:jc w:val="both"/>
        <w:rPr>
          <w:b/>
          <w:color w:val="28AAE1"/>
          <w:sz w:val="36"/>
          <w:szCs w:val="20"/>
          <w:lang w:eastAsia="en-US"/>
        </w:rPr>
      </w:pPr>
      <w:r>
        <w:t xml:space="preserve">Lepszą ocenę w przeprowadzonej analizie wielokryterialnej otrzymał Wariant Planistyczny W1. Otrzymał on wyższe oceny dla dwóch najistotniejszych kryteriów zbiorczych opisujących skuteczność osiągania celów zarządzania ryzykiem powodziowym oraz efektywność ekonomiczną. Także dla pozostałych kryteriów zbiorczych Wariant Planistyczny W1 został oceniony lepiej. Przeprowadzona analiza wielokryterialna wykazała wyższość Wariantu Planistycznego W1 nad Wariantem Planistycznym W2, w związku z czym jest on wariantem rekomendowanym. </w:t>
      </w:r>
    </w:p>
    <w:p w14:paraId="69B015A1" w14:textId="6EC5E85E" w:rsidR="00107FCF" w:rsidRDefault="00EA50FC" w:rsidP="006D41A7">
      <w:pPr>
        <w:pStyle w:val="ReportLevel1"/>
        <w:numPr>
          <w:ilvl w:val="0"/>
          <w:numId w:val="4"/>
        </w:numPr>
      </w:pPr>
      <w:r>
        <w:br w:type="column"/>
      </w:r>
      <w:bookmarkStart w:id="101" w:name="_Toc80608728"/>
      <w:r w:rsidR="00107FCF">
        <w:lastRenderedPageBreak/>
        <w:t>Aktualizacja i utworzenie ostatecznej listy działań</w:t>
      </w:r>
      <w:bookmarkEnd w:id="101"/>
    </w:p>
    <w:p w14:paraId="233AC06B" w14:textId="66F04488" w:rsidR="00107FCF" w:rsidRDefault="00107FCF" w:rsidP="00896D64">
      <w:pPr>
        <w:pStyle w:val="ReportText"/>
        <w:jc w:val="both"/>
      </w:pPr>
      <w:r>
        <w:t>Na ostatecznej liście działań znalazły się działania realizujące wszystkie cele główne</w:t>
      </w:r>
      <w:r w:rsidR="001C23A2">
        <w:t xml:space="preserve"> </w:t>
      </w:r>
      <w:r>
        <w:t>i</w:t>
      </w:r>
      <w:r w:rsidR="001C23A2">
        <w:t> </w:t>
      </w:r>
      <w:r>
        <w:t xml:space="preserve">szczegółowe zarządzania ryzykiem powodziowym od strony morza, w tym morskich wód wewnętrznych. Część z zadań została zakwalifikowana bezpośrednio z listy bazowej, część została zarekomendowana po pozytywnym przejściu analiz zmierzających do wyboru optymalnych wariantów planistycznych proponowanych dla zidentyfikowanych obszarów problemowych. Zestawienie zadań przedstawia </w:t>
      </w:r>
      <w:r>
        <w:fldChar w:fldCharType="begin"/>
      </w:r>
      <w:r>
        <w:instrText xml:space="preserve"> REF _Ref76658076 \h </w:instrText>
      </w:r>
      <w:r>
        <w:fldChar w:fldCharType="separate"/>
      </w:r>
      <w:r w:rsidR="00AC4DF9" w:rsidRPr="001B621A">
        <w:rPr>
          <w:szCs w:val="28"/>
        </w:rPr>
        <w:t xml:space="preserve">Tabela </w:t>
      </w:r>
      <w:r w:rsidR="00AC4DF9">
        <w:rPr>
          <w:noProof/>
          <w:szCs w:val="28"/>
        </w:rPr>
        <w:t>18</w:t>
      </w:r>
      <w:r>
        <w:fldChar w:fldCharType="end"/>
      </w:r>
      <w:r>
        <w:t>. Szczegółowa tabela została przedstawiona w Załączniku 5.</w:t>
      </w:r>
    </w:p>
    <w:p w14:paraId="1FF4972C" w14:textId="6B4AF087" w:rsidR="00107FCF" w:rsidRPr="001B621A" w:rsidRDefault="00107FCF" w:rsidP="001C23A2">
      <w:pPr>
        <w:pStyle w:val="Legenda"/>
        <w:tabs>
          <w:tab w:val="clear" w:pos="1080"/>
          <w:tab w:val="left" w:pos="1276"/>
        </w:tabs>
        <w:spacing w:before="120" w:after="0"/>
        <w:ind w:left="1134" w:hanging="1134"/>
        <w:rPr>
          <w:sz w:val="24"/>
          <w:szCs w:val="28"/>
        </w:rPr>
      </w:pPr>
      <w:bookmarkStart w:id="102" w:name="_Ref76658076"/>
      <w:bookmarkStart w:id="103" w:name="_Toc80608771"/>
      <w:r w:rsidRPr="001B621A">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18</w:t>
      </w:r>
      <w:r w:rsidR="00290AD4">
        <w:rPr>
          <w:sz w:val="24"/>
          <w:szCs w:val="28"/>
        </w:rPr>
        <w:fldChar w:fldCharType="end"/>
      </w:r>
      <w:bookmarkEnd w:id="102"/>
      <w:r w:rsidRPr="001B621A">
        <w:rPr>
          <w:sz w:val="24"/>
          <w:szCs w:val="28"/>
        </w:rPr>
        <w:tab/>
        <w:t>Ostateczna lista działań aPZRPM</w:t>
      </w:r>
      <w:bookmarkEnd w:id="103"/>
    </w:p>
    <w:tbl>
      <w:tblPr>
        <w:tblW w:w="8870" w:type="dxa"/>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543"/>
        <w:gridCol w:w="1577"/>
        <w:gridCol w:w="4600"/>
        <w:gridCol w:w="2150"/>
      </w:tblGrid>
      <w:tr w:rsidR="00107FCF" w:rsidRPr="00507221" w14:paraId="5A83FFE7" w14:textId="77777777" w:rsidTr="00A50EBE">
        <w:trPr>
          <w:cantSplit/>
          <w:trHeight w:val="210"/>
          <w:tblHeader/>
        </w:trPr>
        <w:tc>
          <w:tcPr>
            <w:tcW w:w="543" w:type="dxa"/>
            <w:tcBorders>
              <w:bottom w:val="single" w:sz="12" w:space="0" w:color="7ECBED"/>
            </w:tcBorders>
            <w:shd w:val="clear" w:color="auto" w:fill="D4EDF9"/>
          </w:tcPr>
          <w:p w14:paraId="055845B6" w14:textId="77777777" w:rsidR="00107FCF" w:rsidRPr="00507221" w:rsidRDefault="00107FCF" w:rsidP="00507221">
            <w:pPr>
              <w:jc w:val="center"/>
              <w:rPr>
                <w:b/>
                <w:bCs/>
                <w:lang w:eastAsia="pl-PL"/>
              </w:rPr>
            </w:pPr>
            <w:r w:rsidRPr="00507221">
              <w:rPr>
                <w:lang w:eastAsia="pl-PL"/>
              </w:rPr>
              <w:t>Lp.</w:t>
            </w:r>
          </w:p>
        </w:tc>
        <w:tc>
          <w:tcPr>
            <w:tcW w:w="1590" w:type="dxa"/>
            <w:tcBorders>
              <w:bottom w:val="single" w:sz="12" w:space="0" w:color="7ECBED"/>
            </w:tcBorders>
            <w:shd w:val="clear" w:color="auto" w:fill="D4EDF9"/>
          </w:tcPr>
          <w:p w14:paraId="2676F89D" w14:textId="77777777" w:rsidR="00107FCF" w:rsidRPr="00507221" w:rsidRDefault="00107FCF" w:rsidP="00507221">
            <w:pPr>
              <w:jc w:val="center"/>
              <w:rPr>
                <w:b/>
                <w:bCs/>
                <w:lang w:eastAsia="pl-PL"/>
              </w:rPr>
            </w:pPr>
            <w:r w:rsidRPr="00507221">
              <w:rPr>
                <w:lang w:eastAsia="pl-PL"/>
              </w:rPr>
              <w:t>Nr działania</w:t>
            </w:r>
          </w:p>
        </w:tc>
        <w:tc>
          <w:tcPr>
            <w:tcW w:w="4905" w:type="dxa"/>
            <w:tcBorders>
              <w:bottom w:val="single" w:sz="12" w:space="0" w:color="7ECBED"/>
            </w:tcBorders>
            <w:shd w:val="clear" w:color="auto" w:fill="D4EDF9"/>
          </w:tcPr>
          <w:p w14:paraId="3D2C59EE" w14:textId="77777777" w:rsidR="00107FCF" w:rsidRPr="00507221" w:rsidRDefault="00107FCF">
            <w:pPr>
              <w:rPr>
                <w:b/>
                <w:bCs/>
              </w:rPr>
            </w:pPr>
            <w:r w:rsidRPr="00507221">
              <w:t>Nazwa działania</w:t>
            </w:r>
          </w:p>
        </w:tc>
        <w:tc>
          <w:tcPr>
            <w:tcW w:w="1832" w:type="dxa"/>
            <w:tcBorders>
              <w:bottom w:val="single" w:sz="12" w:space="0" w:color="7ECBED"/>
            </w:tcBorders>
            <w:shd w:val="clear" w:color="auto" w:fill="D4EDF9"/>
          </w:tcPr>
          <w:p w14:paraId="6982D075" w14:textId="77777777" w:rsidR="00107FCF" w:rsidRPr="00507221" w:rsidRDefault="00107FCF">
            <w:pPr>
              <w:rPr>
                <w:b/>
                <w:bCs/>
              </w:rPr>
            </w:pPr>
            <w:r w:rsidRPr="00507221">
              <w:t>Podmiot odpowiedzialny</w:t>
            </w:r>
          </w:p>
        </w:tc>
      </w:tr>
      <w:tr w:rsidR="00A50EBE" w:rsidRPr="00507221" w14:paraId="4F993E8A" w14:textId="77777777" w:rsidTr="00A50EBE">
        <w:trPr>
          <w:cantSplit/>
          <w:trHeight w:val="1419"/>
        </w:trPr>
        <w:tc>
          <w:tcPr>
            <w:tcW w:w="543" w:type="dxa"/>
          </w:tcPr>
          <w:p w14:paraId="14FD343C" w14:textId="77777777" w:rsidR="00A50EBE" w:rsidRPr="00507221" w:rsidRDefault="00A50EBE" w:rsidP="00507221">
            <w:pPr>
              <w:jc w:val="center"/>
              <w:rPr>
                <w:b/>
                <w:bCs/>
              </w:rPr>
            </w:pPr>
            <w:r w:rsidRPr="00507221">
              <w:t>1</w:t>
            </w:r>
          </w:p>
        </w:tc>
        <w:tc>
          <w:tcPr>
            <w:tcW w:w="1590" w:type="dxa"/>
          </w:tcPr>
          <w:p w14:paraId="50C9AA2D" w14:textId="2DCCBFCA" w:rsidR="00A50EBE" w:rsidRPr="00507221" w:rsidRDefault="00A50EBE" w:rsidP="008963E0">
            <w:pPr>
              <w:rPr>
                <w:color w:val="000000"/>
              </w:rPr>
            </w:pPr>
            <w:r w:rsidRPr="00507221">
              <w:rPr>
                <w:color w:val="000000"/>
              </w:rPr>
              <w:t>O_AR_08</w:t>
            </w:r>
          </w:p>
        </w:tc>
        <w:tc>
          <w:tcPr>
            <w:tcW w:w="4905" w:type="dxa"/>
          </w:tcPr>
          <w:p w14:paraId="63926C05" w14:textId="54AA79AE" w:rsidR="00A50EBE" w:rsidRPr="00507221" w:rsidRDefault="00A50EBE" w:rsidP="0068480B">
            <w:pPr>
              <w:rPr>
                <w:color w:val="000000"/>
              </w:rPr>
            </w:pPr>
            <w:r w:rsidRPr="00507221">
              <w:rPr>
                <w:color w:val="000000"/>
              </w:rPr>
              <w:t>Obwałowania na wyspie Chrząszczew</w:t>
            </w:r>
            <w:r>
              <w:rPr>
                <w:color w:val="000000"/>
              </w:rPr>
              <w:t>skiej</w:t>
            </w:r>
            <w:r w:rsidRPr="00507221">
              <w:rPr>
                <w:color w:val="000000"/>
              </w:rPr>
              <w:t>. Wał północny (długość ok. 1530m). Kontrola stanu technicznego wału wyłączonego z użytkowania. Przeprowadzenie analiz mających na celu określenie celowości prowadzenia prac remontowych.</w:t>
            </w:r>
          </w:p>
        </w:tc>
        <w:tc>
          <w:tcPr>
            <w:tcW w:w="1832" w:type="dxa"/>
          </w:tcPr>
          <w:p w14:paraId="0346D655" w14:textId="1818FE84" w:rsidR="00A50EBE" w:rsidRPr="00507221" w:rsidRDefault="00A50EBE" w:rsidP="0068480B">
            <w:r w:rsidRPr="00507221">
              <w:t>RZGW Szczecin</w:t>
            </w:r>
          </w:p>
        </w:tc>
      </w:tr>
      <w:tr w:rsidR="00A50EBE" w:rsidRPr="00507221" w14:paraId="33DD554B" w14:textId="77777777" w:rsidTr="00A50EBE">
        <w:trPr>
          <w:cantSplit/>
          <w:trHeight w:val="552"/>
        </w:trPr>
        <w:tc>
          <w:tcPr>
            <w:tcW w:w="543" w:type="dxa"/>
          </w:tcPr>
          <w:p w14:paraId="45010ECC" w14:textId="77777777" w:rsidR="00A50EBE" w:rsidRPr="00507221" w:rsidRDefault="00A50EBE" w:rsidP="00507221">
            <w:pPr>
              <w:jc w:val="center"/>
              <w:rPr>
                <w:b/>
                <w:bCs/>
              </w:rPr>
            </w:pPr>
            <w:r w:rsidRPr="00507221">
              <w:t>2</w:t>
            </w:r>
          </w:p>
        </w:tc>
        <w:tc>
          <w:tcPr>
            <w:tcW w:w="1590" w:type="dxa"/>
          </w:tcPr>
          <w:p w14:paraId="54A190B5" w14:textId="29E4040A" w:rsidR="00A50EBE" w:rsidRPr="00507221" w:rsidRDefault="00A50EBE" w:rsidP="008963E0">
            <w:pPr>
              <w:rPr>
                <w:color w:val="000000"/>
              </w:rPr>
            </w:pPr>
            <w:r w:rsidRPr="00507221">
              <w:rPr>
                <w:color w:val="000000"/>
              </w:rPr>
              <w:t>O_MDW_98</w:t>
            </w:r>
          </w:p>
        </w:tc>
        <w:tc>
          <w:tcPr>
            <w:tcW w:w="4905" w:type="dxa"/>
          </w:tcPr>
          <w:p w14:paraId="55395F79" w14:textId="44B4ED17" w:rsidR="00A50EBE" w:rsidRPr="00507221" w:rsidRDefault="00A50EBE" w:rsidP="0068480B">
            <w:pPr>
              <w:rPr>
                <w:color w:val="000000"/>
              </w:rPr>
            </w:pPr>
            <w:r w:rsidRPr="00507221">
              <w:rPr>
                <w:color w:val="000000"/>
              </w:rPr>
              <w:t>Koncepcja ochrony miejscowości Skalno, Lędzin, Ninikowo, Dreżewo (gm. Karnice, pow. gryficki) oraz Niechorze (gm.  Rewal, pow. gryficki).</w:t>
            </w:r>
          </w:p>
        </w:tc>
        <w:tc>
          <w:tcPr>
            <w:tcW w:w="1832" w:type="dxa"/>
          </w:tcPr>
          <w:p w14:paraId="15107821" w14:textId="33072412" w:rsidR="00A50EBE" w:rsidRPr="00507221" w:rsidRDefault="00A50EBE" w:rsidP="0068480B">
            <w:r w:rsidRPr="00507221">
              <w:t>RZGW Szczecin</w:t>
            </w:r>
          </w:p>
        </w:tc>
      </w:tr>
      <w:tr w:rsidR="00A50EBE" w:rsidRPr="00507221" w14:paraId="473A5C6C" w14:textId="77777777" w:rsidTr="00A50EBE">
        <w:trPr>
          <w:cantSplit/>
          <w:trHeight w:val="600"/>
        </w:trPr>
        <w:tc>
          <w:tcPr>
            <w:tcW w:w="543" w:type="dxa"/>
          </w:tcPr>
          <w:p w14:paraId="4D1DE6C7" w14:textId="77777777" w:rsidR="00A50EBE" w:rsidRPr="00507221" w:rsidRDefault="00A50EBE" w:rsidP="00507221">
            <w:pPr>
              <w:jc w:val="center"/>
              <w:rPr>
                <w:b/>
                <w:bCs/>
              </w:rPr>
            </w:pPr>
            <w:r w:rsidRPr="00507221">
              <w:t>3</w:t>
            </w:r>
          </w:p>
        </w:tc>
        <w:tc>
          <w:tcPr>
            <w:tcW w:w="1590" w:type="dxa"/>
          </w:tcPr>
          <w:p w14:paraId="0F2B338B" w14:textId="6EDB5060" w:rsidR="00A50EBE" w:rsidRPr="00507221" w:rsidRDefault="00A50EBE" w:rsidP="008963E0">
            <w:pPr>
              <w:rPr>
                <w:color w:val="000000"/>
              </w:rPr>
            </w:pPr>
            <w:r w:rsidRPr="00507221">
              <w:rPr>
                <w:color w:val="000000"/>
              </w:rPr>
              <w:t>O_AR_80</w:t>
            </w:r>
          </w:p>
        </w:tc>
        <w:tc>
          <w:tcPr>
            <w:tcW w:w="4905" w:type="dxa"/>
          </w:tcPr>
          <w:p w14:paraId="07650768" w14:textId="27EE23EA" w:rsidR="00A50EBE" w:rsidRPr="00507221" w:rsidRDefault="00A50EBE" w:rsidP="0068480B">
            <w:pPr>
              <w:rPr>
                <w:color w:val="000000"/>
              </w:rPr>
            </w:pPr>
            <w:r w:rsidRPr="00507221">
              <w:rPr>
                <w:color w:val="000000"/>
              </w:rPr>
              <w:t>Rozwój lokalnego systemu ostrzegania przed powodziami i prognozowania zagrożeń na terenie miasta Świnoujście</w:t>
            </w:r>
          </w:p>
        </w:tc>
        <w:tc>
          <w:tcPr>
            <w:tcW w:w="1832" w:type="dxa"/>
          </w:tcPr>
          <w:p w14:paraId="49D9E531" w14:textId="59B29219" w:rsidR="00A50EBE" w:rsidRPr="00507221" w:rsidRDefault="00A50EBE" w:rsidP="0068480B">
            <w:r w:rsidRPr="00507221">
              <w:t>Miasto Świnoujście</w:t>
            </w:r>
          </w:p>
        </w:tc>
      </w:tr>
      <w:tr w:rsidR="00A50EBE" w:rsidRPr="00507221" w14:paraId="652A0599" w14:textId="77777777" w:rsidTr="00A50EBE">
        <w:trPr>
          <w:cantSplit/>
          <w:trHeight w:val="600"/>
        </w:trPr>
        <w:tc>
          <w:tcPr>
            <w:tcW w:w="543" w:type="dxa"/>
          </w:tcPr>
          <w:p w14:paraId="24F869FC" w14:textId="77777777" w:rsidR="00A50EBE" w:rsidRPr="00507221" w:rsidRDefault="00A50EBE" w:rsidP="00507221">
            <w:pPr>
              <w:jc w:val="center"/>
              <w:rPr>
                <w:b/>
                <w:bCs/>
              </w:rPr>
            </w:pPr>
            <w:r w:rsidRPr="00507221">
              <w:t>4</w:t>
            </w:r>
          </w:p>
        </w:tc>
        <w:tc>
          <w:tcPr>
            <w:tcW w:w="1590" w:type="dxa"/>
          </w:tcPr>
          <w:p w14:paraId="6906BEB6" w14:textId="17AF0A72" w:rsidR="00A50EBE" w:rsidRPr="00507221" w:rsidRDefault="00A50EBE" w:rsidP="008963E0">
            <w:pPr>
              <w:rPr>
                <w:color w:val="000000"/>
              </w:rPr>
            </w:pPr>
            <w:r w:rsidRPr="00507221">
              <w:rPr>
                <w:color w:val="000000"/>
              </w:rPr>
              <w:t>O_AR_97</w:t>
            </w:r>
          </w:p>
        </w:tc>
        <w:tc>
          <w:tcPr>
            <w:tcW w:w="4905" w:type="dxa"/>
          </w:tcPr>
          <w:p w14:paraId="42CF47F9" w14:textId="28A14897" w:rsidR="00A50EBE" w:rsidRPr="00507221" w:rsidRDefault="00A50EBE" w:rsidP="0068480B">
            <w:pPr>
              <w:rPr>
                <w:i/>
                <w:iCs/>
                <w:color w:val="000000"/>
              </w:rPr>
            </w:pPr>
            <w:r w:rsidRPr="00507221">
              <w:rPr>
                <w:color w:val="000000"/>
              </w:rPr>
              <w:t>Budowa wału przeciwpowodziowego o długości 1680 m na lewym brzegu rz. Wieprzy w m. Darłowo (Darłówko) oraz ochrona przy pomocy systemu mobilnych przegród przeciwpowodziowych o długości 640 m i 1270 m oraz muru oporowego połączonego z systemem mobilnych zabezpieczeń na górnej krawędzi muru oporowego o długości 1160 m wraz z rozwojem lokalnego systemu ostrzegania przed powodziami i prognozowania zagrożeń na terenie gminy Darłowo, pow. sławieński</w:t>
            </w:r>
          </w:p>
        </w:tc>
        <w:tc>
          <w:tcPr>
            <w:tcW w:w="1832" w:type="dxa"/>
          </w:tcPr>
          <w:p w14:paraId="2508FEF7" w14:textId="684D023C" w:rsidR="00A50EBE" w:rsidRPr="00507221" w:rsidRDefault="00A50EBE" w:rsidP="0068480B">
            <w:r w:rsidRPr="00507221">
              <w:t>RZGW Szczecin / Miasto Darłowo</w:t>
            </w:r>
          </w:p>
        </w:tc>
      </w:tr>
      <w:tr w:rsidR="00A50EBE" w:rsidRPr="00507221" w14:paraId="16F19098" w14:textId="77777777" w:rsidTr="00A50EBE">
        <w:trPr>
          <w:cantSplit/>
          <w:trHeight w:val="600"/>
        </w:trPr>
        <w:tc>
          <w:tcPr>
            <w:tcW w:w="543" w:type="dxa"/>
          </w:tcPr>
          <w:p w14:paraId="18259D72" w14:textId="77777777" w:rsidR="00A50EBE" w:rsidRPr="00507221" w:rsidRDefault="00A50EBE" w:rsidP="00507221">
            <w:pPr>
              <w:jc w:val="center"/>
              <w:rPr>
                <w:b/>
                <w:bCs/>
              </w:rPr>
            </w:pPr>
            <w:r w:rsidRPr="00507221">
              <w:lastRenderedPageBreak/>
              <w:t>5</w:t>
            </w:r>
          </w:p>
        </w:tc>
        <w:tc>
          <w:tcPr>
            <w:tcW w:w="1590" w:type="dxa"/>
          </w:tcPr>
          <w:p w14:paraId="7615D03D" w14:textId="717DF761" w:rsidR="00A50EBE" w:rsidRPr="00507221" w:rsidRDefault="00A50EBE" w:rsidP="008963E0">
            <w:pPr>
              <w:rPr>
                <w:color w:val="000000"/>
              </w:rPr>
            </w:pPr>
            <w:r w:rsidRPr="00507221">
              <w:rPr>
                <w:color w:val="000000"/>
              </w:rPr>
              <w:t>O_AR_12</w:t>
            </w:r>
          </w:p>
        </w:tc>
        <w:tc>
          <w:tcPr>
            <w:tcW w:w="4905" w:type="dxa"/>
          </w:tcPr>
          <w:p w14:paraId="3DE2AC58" w14:textId="572F43D9" w:rsidR="00A50EBE" w:rsidRPr="00507221" w:rsidRDefault="00A50EBE" w:rsidP="0068480B">
            <w:pPr>
              <w:rPr>
                <w:color w:val="000000"/>
              </w:rPr>
            </w:pPr>
            <w:r w:rsidRPr="00507221">
              <w:rPr>
                <w:color w:val="000000"/>
              </w:rPr>
              <w:t>Ochrona przeciwpowodziowa miejscowości Stepnica przy pomocy systemu mobilnych przegród przeciwpowodziowych opartych na belkach szandorowych o długości ok. 300 m i</w:t>
            </w:r>
            <w:r w:rsidR="001C23A2">
              <w:rPr>
                <w:color w:val="000000"/>
              </w:rPr>
              <w:t> </w:t>
            </w:r>
            <w:r w:rsidRPr="00507221">
              <w:rPr>
                <w:color w:val="000000"/>
              </w:rPr>
              <w:t>mobilnych systemach z wykorzystaniem elastycznych barier o długości ok. 370 m, wraz z rozwojem lokalnego systemu ostrzegania przed powodziami i prognozowania zagrożeń na terenie gminy Stepnica, pow. goleniowski (Zadanie O_AR_12).</w:t>
            </w:r>
          </w:p>
        </w:tc>
        <w:tc>
          <w:tcPr>
            <w:tcW w:w="1832" w:type="dxa"/>
          </w:tcPr>
          <w:p w14:paraId="3BFA934C" w14:textId="7A5402F6" w:rsidR="00A50EBE" w:rsidRPr="00507221" w:rsidRDefault="00A50EBE" w:rsidP="0068480B">
            <w:pPr>
              <w:rPr>
                <w:color w:val="FF0000"/>
              </w:rPr>
            </w:pPr>
            <w:r w:rsidRPr="00507221">
              <w:t>RZGW Szczecin / Urząd Miasta</w:t>
            </w:r>
            <w:r w:rsidRPr="00507221">
              <w:br/>
              <w:t>i Gminy Stepnica</w:t>
            </w:r>
          </w:p>
        </w:tc>
      </w:tr>
      <w:tr w:rsidR="00A50EBE" w:rsidRPr="00507221" w14:paraId="17246544" w14:textId="77777777" w:rsidTr="00A50EBE">
        <w:trPr>
          <w:cantSplit/>
          <w:trHeight w:val="600"/>
        </w:trPr>
        <w:tc>
          <w:tcPr>
            <w:tcW w:w="543" w:type="dxa"/>
          </w:tcPr>
          <w:p w14:paraId="4C44E3B8" w14:textId="77777777" w:rsidR="00A50EBE" w:rsidRPr="00507221" w:rsidRDefault="00A50EBE" w:rsidP="00507221">
            <w:pPr>
              <w:jc w:val="center"/>
              <w:rPr>
                <w:b/>
                <w:bCs/>
              </w:rPr>
            </w:pPr>
            <w:r w:rsidRPr="00507221">
              <w:t>6</w:t>
            </w:r>
          </w:p>
        </w:tc>
        <w:tc>
          <w:tcPr>
            <w:tcW w:w="1590" w:type="dxa"/>
          </w:tcPr>
          <w:p w14:paraId="09E0F525" w14:textId="6EEE56DB" w:rsidR="00A50EBE" w:rsidRPr="00507221" w:rsidRDefault="00A50EBE" w:rsidP="008963E0">
            <w:pPr>
              <w:rPr>
                <w:color w:val="000000"/>
              </w:rPr>
            </w:pPr>
            <w:r w:rsidRPr="00507221">
              <w:rPr>
                <w:color w:val="000000"/>
              </w:rPr>
              <w:t>O_AR_09</w:t>
            </w:r>
          </w:p>
        </w:tc>
        <w:tc>
          <w:tcPr>
            <w:tcW w:w="4905" w:type="dxa"/>
          </w:tcPr>
          <w:p w14:paraId="1629441E" w14:textId="2D92E593" w:rsidR="00A50EBE" w:rsidRPr="00507221" w:rsidRDefault="00A50EBE" w:rsidP="0068480B">
            <w:pPr>
              <w:rPr>
                <w:color w:val="000000"/>
              </w:rPr>
            </w:pPr>
            <w:r w:rsidRPr="00507221">
              <w:rPr>
                <w:color w:val="000000"/>
              </w:rPr>
              <w:t>Budowa wałów przeciwpowodziowych o długości ok. 50 m i 40 m, w miejscowości Nowe Warpno, powiat policki</w:t>
            </w:r>
          </w:p>
        </w:tc>
        <w:tc>
          <w:tcPr>
            <w:tcW w:w="1832" w:type="dxa"/>
          </w:tcPr>
          <w:p w14:paraId="4826E4CD" w14:textId="557B287F" w:rsidR="00A50EBE" w:rsidRPr="00507221" w:rsidRDefault="00A50EBE" w:rsidP="0068480B">
            <w:pPr>
              <w:rPr>
                <w:color w:val="FF0000"/>
              </w:rPr>
            </w:pPr>
            <w:r w:rsidRPr="00507221">
              <w:t>RZGW Szczecin</w:t>
            </w:r>
          </w:p>
        </w:tc>
      </w:tr>
      <w:tr w:rsidR="00A50EBE" w:rsidRPr="00507221" w14:paraId="69F9C460" w14:textId="77777777" w:rsidTr="00A50EBE">
        <w:trPr>
          <w:cantSplit/>
          <w:trHeight w:val="600"/>
        </w:trPr>
        <w:tc>
          <w:tcPr>
            <w:tcW w:w="543" w:type="dxa"/>
          </w:tcPr>
          <w:p w14:paraId="6A4D9E8B" w14:textId="77777777" w:rsidR="00A50EBE" w:rsidRPr="00507221" w:rsidRDefault="00A50EBE" w:rsidP="00507221">
            <w:pPr>
              <w:jc w:val="center"/>
              <w:rPr>
                <w:b/>
                <w:bCs/>
              </w:rPr>
            </w:pPr>
            <w:r w:rsidRPr="00507221">
              <w:t>7</w:t>
            </w:r>
          </w:p>
        </w:tc>
        <w:tc>
          <w:tcPr>
            <w:tcW w:w="1590" w:type="dxa"/>
          </w:tcPr>
          <w:p w14:paraId="3EC82738" w14:textId="137B8C97" w:rsidR="00A50EBE" w:rsidRPr="00507221" w:rsidRDefault="00A50EBE" w:rsidP="008963E0">
            <w:pPr>
              <w:rPr>
                <w:color w:val="000000"/>
              </w:rPr>
            </w:pPr>
            <w:r w:rsidRPr="00507221">
              <w:rPr>
                <w:color w:val="000000"/>
              </w:rPr>
              <w:t>O_AR_79</w:t>
            </w:r>
          </w:p>
        </w:tc>
        <w:tc>
          <w:tcPr>
            <w:tcW w:w="4905" w:type="dxa"/>
          </w:tcPr>
          <w:p w14:paraId="1F955854" w14:textId="2D22AEC6" w:rsidR="00A50EBE" w:rsidRPr="00507221" w:rsidRDefault="00A50EBE" w:rsidP="0068480B">
            <w:pPr>
              <w:rPr>
                <w:color w:val="000000"/>
              </w:rPr>
            </w:pPr>
            <w:r w:rsidRPr="00507221">
              <w:rPr>
                <w:color w:val="000000"/>
              </w:rPr>
              <w:t>Rozwój lokalnego systemu ostrzegania przed powodziami i prognozowania zagrożeń na terenie miasta Kołobrzeg</w:t>
            </w:r>
          </w:p>
        </w:tc>
        <w:tc>
          <w:tcPr>
            <w:tcW w:w="1832" w:type="dxa"/>
          </w:tcPr>
          <w:p w14:paraId="3F6A3ED8" w14:textId="255ECE00" w:rsidR="00A50EBE" w:rsidRPr="00507221" w:rsidRDefault="00A50EBE" w:rsidP="0068480B">
            <w:pPr>
              <w:rPr>
                <w:color w:val="FF0000"/>
              </w:rPr>
            </w:pPr>
            <w:r w:rsidRPr="00507221">
              <w:t>Urząd Miasta Kołobrzeg</w:t>
            </w:r>
          </w:p>
        </w:tc>
      </w:tr>
      <w:tr w:rsidR="00A50EBE" w:rsidRPr="00507221" w14:paraId="32605390" w14:textId="77777777" w:rsidTr="00A50EBE">
        <w:trPr>
          <w:cantSplit/>
          <w:trHeight w:val="600"/>
        </w:trPr>
        <w:tc>
          <w:tcPr>
            <w:tcW w:w="543" w:type="dxa"/>
          </w:tcPr>
          <w:p w14:paraId="2DEF83E6" w14:textId="77777777" w:rsidR="00A50EBE" w:rsidRPr="00507221" w:rsidRDefault="00A50EBE" w:rsidP="00507221">
            <w:pPr>
              <w:jc w:val="center"/>
              <w:rPr>
                <w:b/>
                <w:bCs/>
              </w:rPr>
            </w:pPr>
            <w:r w:rsidRPr="00507221">
              <w:t>8</w:t>
            </w:r>
          </w:p>
        </w:tc>
        <w:tc>
          <w:tcPr>
            <w:tcW w:w="1590" w:type="dxa"/>
          </w:tcPr>
          <w:p w14:paraId="58A3CD0B" w14:textId="5B520248" w:rsidR="00A50EBE" w:rsidRPr="00507221" w:rsidRDefault="00A50EBE" w:rsidP="008963E0">
            <w:pPr>
              <w:rPr>
                <w:color w:val="000000"/>
              </w:rPr>
            </w:pPr>
            <w:r w:rsidRPr="00507221">
              <w:rPr>
                <w:color w:val="000000"/>
              </w:rPr>
              <w:t>O_AR_78</w:t>
            </w:r>
          </w:p>
        </w:tc>
        <w:tc>
          <w:tcPr>
            <w:tcW w:w="4905" w:type="dxa"/>
          </w:tcPr>
          <w:p w14:paraId="1EFE0B92" w14:textId="32A7C800" w:rsidR="00A50EBE" w:rsidRPr="00507221" w:rsidRDefault="00A50EBE" w:rsidP="0068480B">
            <w:pPr>
              <w:rPr>
                <w:color w:val="000000"/>
              </w:rPr>
            </w:pPr>
            <w:r w:rsidRPr="00507221">
              <w:rPr>
                <w:color w:val="000000"/>
              </w:rPr>
              <w:t>Rozwój lokalnego systemu ostrzegania przed powodziami i prognozowania zagrożeń na terenie miejscowości Trzebież.</w:t>
            </w:r>
          </w:p>
        </w:tc>
        <w:tc>
          <w:tcPr>
            <w:tcW w:w="1832" w:type="dxa"/>
          </w:tcPr>
          <w:p w14:paraId="130E9B16" w14:textId="3787B543" w:rsidR="00A50EBE" w:rsidRPr="00507221" w:rsidRDefault="00A50EBE" w:rsidP="0068480B">
            <w:r>
              <w:t>Gmina Police</w:t>
            </w:r>
          </w:p>
        </w:tc>
      </w:tr>
      <w:tr w:rsidR="00A50EBE" w:rsidRPr="00507221" w14:paraId="42DE7FBD" w14:textId="77777777" w:rsidTr="00A50EBE">
        <w:trPr>
          <w:cantSplit/>
          <w:trHeight w:val="600"/>
        </w:trPr>
        <w:tc>
          <w:tcPr>
            <w:tcW w:w="543" w:type="dxa"/>
          </w:tcPr>
          <w:p w14:paraId="34729A79" w14:textId="77777777" w:rsidR="00A50EBE" w:rsidRPr="00507221" w:rsidRDefault="00A50EBE" w:rsidP="00507221">
            <w:pPr>
              <w:jc w:val="center"/>
              <w:rPr>
                <w:b/>
                <w:bCs/>
              </w:rPr>
            </w:pPr>
            <w:r w:rsidRPr="00507221">
              <w:t>9</w:t>
            </w:r>
          </w:p>
        </w:tc>
        <w:tc>
          <w:tcPr>
            <w:tcW w:w="1590" w:type="dxa"/>
          </w:tcPr>
          <w:p w14:paraId="2B9CE1A9" w14:textId="7EFDAFBF" w:rsidR="00A50EBE" w:rsidRPr="00507221" w:rsidRDefault="00A50EBE" w:rsidP="008963E0">
            <w:pPr>
              <w:rPr>
                <w:color w:val="000000"/>
              </w:rPr>
            </w:pPr>
            <w:r w:rsidRPr="00507221">
              <w:rPr>
                <w:color w:val="000000"/>
              </w:rPr>
              <w:t>O_AR_77</w:t>
            </w:r>
          </w:p>
        </w:tc>
        <w:tc>
          <w:tcPr>
            <w:tcW w:w="4905" w:type="dxa"/>
          </w:tcPr>
          <w:p w14:paraId="3C89D1BC" w14:textId="0ECEBAA3" w:rsidR="00A50EBE" w:rsidRPr="00507221" w:rsidRDefault="00A50EBE" w:rsidP="0068480B">
            <w:pPr>
              <w:rPr>
                <w:color w:val="000000"/>
              </w:rPr>
            </w:pPr>
            <w:r w:rsidRPr="00507221">
              <w:rPr>
                <w:color w:val="000000"/>
              </w:rPr>
              <w:t>Kampania w telewizji lokalnej na rzecz uświadomienia zagrożeń powodziowych i</w:t>
            </w:r>
            <w:r w:rsidR="001C23A2">
              <w:rPr>
                <w:color w:val="000000"/>
              </w:rPr>
              <w:t> </w:t>
            </w:r>
            <w:r w:rsidRPr="00507221">
              <w:rPr>
                <w:color w:val="000000"/>
              </w:rPr>
              <w:t>przeciwdziałania im na poziomie działań indywidualnych.</w:t>
            </w:r>
          </w:p>
        </w:tc>
        <w:tc>
          <w:tcPr>
            <w:tcW w:w="1832" w:type="dxa"/>
          </w:tcPr>
          <w:p w14:paraId="0E3FDBC3" w14:textId="4EEAD6B9" w:rsidR="00A50EBE" w:rsidRPr="00507221" w:rsidRDefault="00647AFF" w:rsidP="0068480B">
            <w:r>
              <w:t xml:space="preserve">Zachodniopomorski Urząd Wojewódzki w Szczecinie (przy współpracy z </w:t>
            </w:r>
            <w:r w:rsidR="00A50EBE" w:rsidRPr="00507221">
              <w:t>RZGW Szczecin / Urząd Morski w Szczecinie</w:t>
            </w:r>
            <w:r>
              <w:t>)</w:t>
            </w:r>
          </w:p>
        </w:tc>
      </w:tr>
    </w:tbl>
    <w:p w14:paraId="6C5E0462" w14:textId="397045B3" w:rsidR="00107FCF" w:rsidRDefault="00107FCF">
      <w:pPr>
        <w:rPr>
          <w:b/>
          <w:color w:val="28AAE1"/>
          <w:sz w:val="32"/>
          <w:szCs w:val="20"/>
          <w:lang w:eastAsia="en-US"/>
        </w:rPr>
      </w:pPr>
    </w:p>
    <w:p w14:paraId="6DDB0A53" w14:textId="232EBF11" w:rsidR="00107FCF" w:rsidRDefault="00EA50FC" w:rsidP="006D41A7">
      <w:pPr>
        <w:pStyle w:val="ReportLevel2"/>
        <w:numPr>
          <w:ilvl w:val="1"/>
          <w:numId w:val="4"/>
        </w:numPr>
      </w:pPr>
      <w:r>
        <w:br w:type="column"/>
      </w:r>
      <w:bookmarkStart w:id="104" w:name="_Toc80608729"/>
      <w:r w:rsidR="00107FCF">
        <w:lastRenderedPageBreak/>
        <w:t>Źródła finansowania planowanych działań</w:t>
      </w:r>
      <w:bookmarkEnd w:id="104"/>
    </w:p>
    <w:p w14:paraId="0728138F" w14:textId="77777777" w:rsidR="00107FCF" w:rsidRDefault="00107FCF" w:rsidP="00DA2B76">
      <w:pPr>
        <w:pStyle w:val="ReportText"/>
        <w:spacing w:before="120"/>
        <w:jc w:val="both"/>
      </w:pPr>
      <w:r>
        <w:t xml:space="preserve">Realizacja działań planowanych w ramach Planów zarządzania ryzykiem powodziowym od strony morza w tym morskich wód wewnętrznych (PZRPM) dla obszarów zlewni planistycznych Dolnej Wisły i Dolnej Odry możliwa będzie dzięki pozyskaniu finansowania dla rekomendowanych działań, które na moment przeprowadzenia przeglądu i sporządzenia projektów aktualizacji PZRPM nie posiadają jeszcze zapewnionego finansowania. </w:t>
      </w:r>
    </w:p>
    <w:p w14:paraId="2782FCBD" w14:textId="77777777" w:rsidR="00107FCF" w:rsidRDefault="00107FCF" w:rsidP="00DA2B76">
      <w:pPr>
        <w:pStyle w:val="ReportText"/>
        <w:spacing w:before="120"/>
        <w:jc w:val="both"/>
      </w:pPr>
      <w:r>
        <w:t xml:space="preserve">Przewidywane potencjalne źródła finansowania przedsięwzięć uwzględniają najbliższą perspektywę finansową i obejmują 6 letni cykl planistyczny, lata 2022-2027. Przeprowadzona analiza obejmuje szeroki zakres krajowych oraz zagranicznych instytucji finansowych oraz programów wsparcia finansowego dedykowanych przedsięwzięciom użyteczności publicznej, jakim są niewątpliwie projekty z zakresu ochrony przeciwpowodziowej. Potencjalnymi Wnioskodawcami w ramach analizowanych Programów mogą być zarówno RZGW, JST, jak i Urzędy Morskie. </w:t>
      </w:r>
    </w:p>
    <w:p w14:paraId="6726A371" w14:textId="299A521C" w:rsidR="00107FCF" w:rsidRDefault="00107FCF" w:rsidP="00DA2B76">
      <w:pPr>
        <w:pStyle w:val="ReportText"/>
        <w:spacing w:before="120"/>
        <w:jc w:val="both"/>
      </w:pPr>
      <w:r>
        <w:t>Dofinansowanie rozpatrywane jest zarówno w formie środków bezzwrotnych, jak</w:t>
      </w:r>
      <w:r w:rsidR="001C23A2">
        <w:t xml:space="preserve"> </w:t>
      </w:r>
      <w:r>
        <w:t>i</w:t>
      </w:r>
      <w:r w:rsidR="001C23A2">
        <w:t> </w:t>
      </w:r>
      <w:r>
        <w:t>zwrotnych w</w:t>
      </w:r>
      <w:r w:rsidR="001C23A2">
        <w:t xml:space="preserve"> </w:t>
      </w:r>
      <w:r>
        <w:t>postaci preferencyjnych pożyczek, które poprzez czy to obniżone oprocentowanie, czy częściowe umorzenie będą dawały możliwość poprawienia przepływów finansowych i zachęcały do realizacji przedsięwzięć.</w:t>
      </w:r>
    </w:p>
    <w:p w14:paraId="50591C83" w14:textId="77777777" w:rsidR="00107FCF" w:rsidRDefault="00107FCF" w:rsidP="00DA2B76">
      <w:pPr>
        <w:pStyle w:val="ReportText"/>
        <w:spacing w:before="120"/>
        <w:jc w:val="both"/>
      </w:pPr>
      <w:r>
        <w:t xml:space="preserve">Środki finansowe pochodzące z zagranicznych instytucji finansowych, oferujących programy wsparcia finansowego niepodlegające zwrotowi, stanowią najbardziej efektywne źródło finansowania, dlatego też powinny być brane pod uwagę w pierwszej kolejności. </w:t>
      </w:r>
    </w:p>
    <w:p w14:paraId="05A7AE1A" w14:textId="3A20FEB5" w:rsidR="00107FCF" w:rsidRDefault="00107FCF" w:rsidP="00DA2B76">
      <w:pPr>
        <w:pStyle w:val="ReportText"/>
        <w:spacing w:before="120"/>
        <w:jc w:val="both"/>
      </w:pPr>
      <w:r>
        <w:t>Projekty przeciwpowodziowe mogą być dofinansowane z funduszy Unii Europejskiej,</w:t>
      </w:r>
      <w:r w:rsidR="001C23A2">
        <w:t xml:space="preserve"> </w:t>
      </w:r>
      <w:r>
        <w:t>w</w:t>
      </w:r>
      <w:r w:rsidR="001C23A2">
        <w:t> </w:t>
      </w:r>
      <w:r>
        <w:t>ramach Funduszu Spójności, ale również Krajowego Programu Odbudowy</w:t>
      </w:r>
      <w:r w:rsidR="001C23A2">
        <w:t xml:space="preserve"> </w:t>
      </w:r>
      <w:r>
        <w:t>i</w:t>
      </w:r>
      <w:r w:rsidR="001C23A2">
        <w:t> </w:t>
      </w:r>
      <w:r>
        <w:t xml:space="preserve">Zwiększania Odporności, czy też inicjatyw takich jak Europejski Zielony Ład (European Green Deal). W okresie planistycznym 2022-2027 przewiduje się dofinansowanie projektów przeciwpowodziowych przede wszystkim z Funduszu </w:t>
      </w:r>
      <w:r w:rsidRPr="006D11CC">
        <w:t>Europejskie</w:t>
      </w:r>
      <w:r>
        <w:t>go</w:t>
      </w:r>
      <w:r w:rsidR="0012739E">
        <w:t xml:space="preserve"> </w:t>
      </w:r>
      <w:r w:rsidRPr="006D11CC">
        <w:t xml:space="preserve">na Infrastrukturę, Klimat, Środowisko </w:t>
      </w:r>
      <w:r>
        <w:t>Spójności, stanowiącego kontynuację Programu Operacyjnego Infrastruktura i Środowisko oraz programów operacyjnych na poziomie regionalnym.</w:t>
      </w:r>
    </w:p>
    <w:p w14:paraId="0CCECD20" w14:textId="77777777" w:rsidR="00107FCF" w:rsidRPr="001C28DB" w:rsidRDefault="00107FCF" w:rsidP="00DA2B76">
      <w:pPr>
        <w:pStyle w:val="ReportLevel4NoNumber"/>
      </w:pPr>
      <w:r w:rsidRPr="001C28DB">
        <w:t>Krajowy Plan Odbudowy i Zwiększania Odporności</w:t>
      </w:r>
    </w:p>
    <w:p w14:paraId="3458F208" w14:textId="7146D2B8" w:rsidR="00EA50FC" w:rsidRDefault="00107FCF" w:rsidP="00DA2B76">
      <w:pPr>
        <w:pStyle w:val="ReportText"/>
        <w:spacing w:before="120"/>
        <w:jc w:val="both"/>
      </w:pPr>
      <w:r>
        <w:t>Kwestia powodzi jako istotnego zagadnienia została wskazana w komponencie</w:t>
      </w:r>
      <w:r w:rsidR="001C23A2">
        <w:t xml:space="preserve"> </w:t>
      </w:r>
      <w:r>
        <w:t>B Krajowego Plan Odbudowy i Zwiększania Odporności pn. Zielona energia</w:t>
      </w:r>
      <w:r w:rsidR="001C23A2">
        <w:t xml:space="preserve"> </w:t>
      </w:r>
      <w:r>
        <w:t>i</w:t>
      </w:r>
      <w:r w:rsidR="001C23A2">
        <w:t> </w:t>
      </w:r>
      <w:r>
        <w:t>zmniejszenie energochłonności. W charakterystyce podejmowanych działań wspomina się o problemie powodzi, podtopień jako bezpośrednich zagrożeń dla bezpieczeństwa mieszkańców, ich sytuacji mieszkaniowej i infrastruktury miast. Ponadto jednym</w:t>
      </w:r>
      <w:r w:rsidR="001C23A2">
        <w:t xml:space="preserve"> </w:t>
      </w:r>
      <w:r>
        <w:t>z</w:t>
      </w:r>
      <w:r w:rsidR="001C23A2">
        <w:t> </w:t>
      </w:r>
      <w:r>
        <w:t>realizowanych cel</w:t>
      </w:r>
      <w:r w:rsidR="009C7C60">
        <w:t>ów</w:t>
      </w:r>
      <w:r>
        <w:t xml:space="preserve"> będzie zwiększenie odporności rolnictwa na suszę i</w:t>
      </w:r>
      <w:r w:rsidR="001C23A2">
        <w:t xml:space="preserve"> </w:t>
      </w:r>
      <w:r>
        <w:t xml:space="preserve">zapobieganie zjawisku powodzi na terenach rolnych. Aktualnie KPO, po zaakceptowaniu przez Komisję Europejską, będzie wdrażany na poziomie krajowym i dopiero publikacja ostatecznych, dedykowanych programów operacyjnych zarówno na poziomie krajowym, jak i regionalnym pozwoli stwierdzić czy Plan Odbudowy będzie finansował inwestycje rekomendowane do realizacji w ramach niniejszego projektu. </w:t>
      </w:r>
    </w:p>
    <w:p w14:paraId="3A7352CC" w14:textId="5349F565" w:rsidR="00107FCF" w:rsidRPr="001C23A2" w:rsidRDefault="00EA50FC" w:rsidP="00DA2B76">
      <w:pPr>
        <w:pStyle w:val="ReportText"/>
        <w:spacing w:before="120"/>
        <w:jc w:val="both"/>
        <w:rPr>
          <w:szCs w:val="24"/>
        </w:rPr>
      </w:pPr>
      <w:r>
        <w:br w:type="column"/>
      </w:r>
      <w:r w:rsidR="00107FCF">
        <w:lastRenderedPageBreak/>
        <w:t xml:space="preserve">Na ten </w:t>
      </w:r>
      <w:r w:rsidR="00107FCF" w:rsidRPr="001C23A2">
        <w:rPr>
          <w:szCs w:val="24"/>
        </w:rPr>
        <w:t>moment, warto zwrócić uwagę na charakterystykę niżej wymienionych inwestycji zamieszczonych</w:t>
      </w:r>
      <w:r w:rsidRPr="001C23A2">
        <w:rPr>
          <w:szCs w:val="24"/>
        </w:rPr>
        <w:t xml:space="preserve"> </w:t>
      </w:r>
      <w:r w:rsidR="00107FCF" w:rsidRPr="001C23A2">
        <w:rPr>
          <w:szCs w:val="24"/>
        </w:rPr>
        <w:t>w KPO tj.</w:t>
      </w:r>
    </w:p>
    <w:p w14:paraId="753C216A" w14:textId="77777777" w:rsidR="00107FCF" w:rsidRPr="001C23A2" w:rsidRDefault="00107FCF" w:rsidP="006D41A7">
      <w:pPr>
        <w:pStyle w:val="Akapitzlist"/>
        <w:numPr>
          <w:ilvl w:val="0"/>
          <w:numId w:val="21"/>
        </w:numPr>
        <w:spacing w:after="160" w:line="259" w:lineRule="auto"/>
        <w:ind w:left="567" w:hanging="425"/>
        <w:jc w:val="both"/>
        <w:rPr>
          <w:sz w:val="24"/>
          <w:szCs w:val="24"/>
        </w:rPr>
      </w:pPr>
      <w:r w:rsidRPr="001C23A2">
        <w:rPr>
          <w:sz w:val="24"/>
          <w:szCs w:val="24"/>
        </w:rPr>
        <w:t>Inwestycje na rzecz kompleksowej zielonej transformacji miast</w:t>
      </w:r>
    </w:p>
    <w:p w14:paraId="1EDAE063" w14:textId="77777777" w:rsidR="00107FCF" w:rsidRPr="001C23A2" w:rsidRDefault="00107FCF" w:rsidP="006D41A7">
      <w:pPr>
        <w:pStyle w:val="Akapitzlist"/>
        <w:numPr>
          <w:ilvl w:val="0"/>
          <w:numId w:val="21"/>
        </w:numPr>
        <w:spacing w:after="160" w:line="259" w:lineRule="auto"/>
        <w:ind w:left="567" w:hanging="425"/>
        <w:jc w:val="both"/>
        <w:rPr>
          <w:sz w:val="24"/>
          <w:szCs w:val="24"/>
        </w:rPr>
      </w:pPr>
      <w:r w:rsidRPr="001C23A2">
        <w:rPr>
          <w:sz w:val="24"/>
          <w:szCs w:val="24"/>
        </w:rPr>
        <w:t>Inwestycje w zwiększanie potencjału zrównoważonej gospodarki wodnej na obszarach wiejskich</w:t>
      </w:r>
    </w:p>
    <w:p w14:paraId="4DDEF9A0" w14:textId="77777777" w:rsidR="00107FCF" w:rsidRPr="001C23A2" w:rsidRDefault="00107FCF" w:rsidP="006D41A7">
      <w:pPr>
        <w:pStyle w:val="Akapitzlist"/>
        <w:numPr>
          <w:ilvl w:val="0"/>
          <w:numId w:val="21"/>
        </w:numPr>
        <w:spacing w:after="160" w:line="259" w:lineRule="auto"/>
        <w:ind w:left="567" w:hanging="425"/>
        <w:jc w:val="both"/>
        <w:rPr>
          <w:sz w:val="24"/>
          <w:szCs w:val="24"/>
        </w:rPr>
      </w:pPr>
      <w:r w:rsidRPr="001C23A2">
        <w:rPr>
          <w:sz w:val="24"/>
          <w:szCs w:val="24"/>
        </w:rPr>
        <w:t>Inwestycje na rzecz kompleksowej zielonej transformacji miast</w:t>
      </w:r>
    </w:p>
    <w:p w14:paraId="7E1B49C9" w14:textId="77777777" w:rsidR="00107FCF" w:rsidRPr="004D38F5" w:rsidRDefault="00107FCF" w:rsidP="00DA2B76">
      <w:pPr>
        <w:pStyle w:val="ReportLevel4NoNumber"/>
      </w:pPr>
      <w:r w:rsidRPr="004D38F5">
        <w:t>Fundusze Europejskie na Infrastrukturę, Klimat, Środowisko (FEnIKS) 2021-2027</w:t>
      </w:r>
    </w:p>
    <w:p w14:paraId="77EA9BFA" w14:textId="2BE3108A" w:rsidR="00107FCF" w:rsidRDefault="00107FCF" w:rsidP="00DA2B76">
      <w:pPr>
        <w:pStyle w:val="ReportText"/>
        <w:spacing w:before="120"/>
        <w:jc w:val="both"/>
      </w:pPr>
      <w:r>
        <w:t xml:space="preserve">Potencjalnym źródłem finansowanie inwestycji, o których mowa w niniejszym raporcie, może być Program FEnIKS, w ramach nowego budżetu unijnego na lata 2021-2027. </w:t>
      </w:r>
      <w:r w:rsidRPr="00334EB7">
        <w:t>FEnIKS stanowi kontynuację programu Infrastruktura i Środowisko na lata 2014-2020 (POIiŚ). Uwzględnia on również nowe wyzwania i priorytety, przed którymi stoi cała Europa, wynikające z Europejskiego Zielonego Ładu.</w:t>
      </w:r>
      <w:r>
        <w:t xml:space="preserve"> Aktualnie na przełomie czerwca</w:t>
      </w:r>
      <w:r w:rsidR="001C23A2">
        <w:t xml:space="preserve"> </w:t>
      </w:r>
      <w:r>
        <w:t>i</w:t>
      </w:r>
      <w:r w:rsidR="001C23A2">
        <w:t> </w:t>
      </w:r>
      <w:r>
        <w:t xml:space="preserve">lipca 2021 trwają konsultacje społeczne projektu programu FEnIKS, tym niemniej już teraz warto zwrócić uwagę na poniższy cel szczegółowy, który może być jednym ze źródeł finansowania projektów przeciwpowodziowych. </w:t>
      </w:r>
    </w:p>
    <w:p w14:paraId="7E6EBEAD" w14:textId="312A0FCC" w:rsidR="00107FCF" w:rsidRDefault="00107FCF" w:rsidP="00DA2B76">
      <w:pPr>
        <w:pStyle w:val="ReportText"/>
        <w:spacing w:before="120"/>
        <w:jc w:val="both"/>
      </w:pPr>
      <w:r>
        <w:t>Cel szczegółowy 2.4 Wspieranie przystosowania się do zmian klimatu i zapobiegania ryzyku związanemu z klęskami żywiołowymi i katastrofami, a także odporności,</w:t>
      </w:r>
      <w:r w:rsidR="001C23A2">
        <w:t xml:space="preserve"> </w:t>
      </w:r>
      <w:r>
        <w:t>z</w:t>
      </w:r>
      <w:r w:rsidR="001C23A2">
        <w:t> </w:t>
      </w:r>
      <w:r>
        <w:t>uwzględnieniem podejścia ekosystemowego.</w:t>
      </w:r>
    </w:p>
    <w:p w14:paraId="7995F299" w14:textId="77777777" w:rsidR="00107FCF" w:rsidRPr="004D38F5" w:rsidRDefault="00107FCF" w:rsidP="00DA2B76">
      <w:pPr>
        <w:pStyle w:val="ReportLevel4NoNumber"/>
      </w:pPr>
      <w:r w:rsidRPr="004D38F5">
        <w:t>Program LIFE</w:t>
      </w:r>
    </w:p>
    <w:p w14:paraId="0888CC40" w14:textId="77777777" w:rsidR="00107FCF" w:rsidRDefault="00107FCF" w:rsidP="00DA2B76">
      <w:pPr>
        <w:pStyle w:val="ReportText"/>
        <w:spacing w:before="120"/>
        <w:jc w:val="both"/>
      </w:pPr>
      <w:r>
        <w:t>Program LIFE to jedyny instrument finansowy Unii Europejskiej poświęcony wyłącznie współfinansowaniu projektów z dziedziny ochrony środowiska, w tym przyrody oraz wpływu człowieka na klimat i dostosowania się do jego zmian. Jego głównym celem jest wspieranie procesu wdrażania wspólnotowego prawa ochrony środowiska, realizacja unijnej polityki w tym zakresie, a także identyfikacja i promocja nowych rozwiązań dla problemów dotyczących środowiska i klimatu.</w:t>
      </w:r>
    </w:p>
    <w:p w14:paraId="03105FB0" w14:textId="45E1E131" w:rsidR="00107FCF" w:rsidRDefault="00107FCF" w:rsidP="00DA2B76">
      <w:pPr>
        <w:pStyle w:val="ReportText"/>
        <w:spacing w:before="120"/>
        <w:jc w:val="both"/>
      </w:pPr>
      <w:r>
        <w:t>Program LIFE – program działań na rzecz środowiska i klimatu (2021-2027) został ustanowiony Rozporządzeniem Parlamentu Europejskiego i Rady (UE) w dniu</w:t>
      </w:r>
      <w:r w:rsidR="001C23A2">
        <w:t xml:space="preserve"> </w:t>
      </w:r>
      <w:r>
        <w:t>29</w:t>
      </w:r>
      <w:r w:rsidR="001C23A2">
        <w:t> </w:t>
      </w:r>
      <w:r>
        <w:t>kwietnia 2021 r. Wdrażanie programu zostało podzielone na dwa okresy rozliczeniowe, w ramach których będą przyjmowane tzw. Wieloletnie Programy Prac,</w:t>
      </w:r>
      <w:r w:rsidR="001C23A2">
        <w:t xml:space="preserve"> </w:t>
      </w:r>
      <w:r>
        <w:t>w ramach których KE definiuje ramy wdrażania LIFE w danym okresie.</w:t>
      </w:r>
    </w:p>
    <w:p w14:paraId="26338B67" w14:textId="77777777" w:rsidR="00107FCF" w:rsidRDefault="00107FCF" w:rsidP="00DA2B76">
      <w:pPr>
        <w:pStyle w:val="ReportText"/>
        <w:spacing w:before="120"/>
        <w:jc w:val="both"/>
      </w:pPr>
      <w:r>
        <w:t>Obszar Klimat: Łagodzenie zmian klimatu i przystosowanie się do niej, alokacja 0,947 mld €.</w:t>
      </w:r>
    </w:p>
    <w:p w14:paraId="2277A532" w14:textId="0588EDE5" w:rsidR="00107FCF" w:rsidRDefault="00107FCF" w:rsidP="00DA2B76">
      <w:pPr>
        <w:pStyle w:val="ReportText"/>
        <w:spacing w:before="120"/>
        <w:jc w:val="both"/>
      </w:pPr>
      <w:r>
        <w:t>Poza wyżej wymienionymi źródłami finansowania, opartymi na pomocy bezzwrotnej, międzynarodowe instytucje finansowe, takie jak Bank Światowy, Europejski Bank Odbudowy i Rozwoju czy Europejski Bank Inwestycyjny, oferują również pożyczki oraz kredyty przeznaczone na finansowanie budowy obiektów przeciwpowodziowych.</w:t>
      </w:r>
    </w:p>
    <w:p w14:paraId="6309312D" w14:textId="711B1C8A" w:rsidR="00107FCF" w:rsidRPr="004D38F5" w:rsidRDefault="001C23A2" w:rsidP="00DA2B76">
      <w:pPr>
        <w:pStyle w:val="ReportLevel4NoNumber"/>
      </w:pPr>
      <w:r>
        <w:br w:type="column"/>
      </w:r>
      <w:r w:rsidR="00107FCF" w:rsidRPr="004D38F5">
        <w:lastRenderedPageBreak/>
        <w:t>Bank Światowy, Bank Rozwoju Rady Europy i KE</w:t>
      </w:r>
    </w:p>
    <w:p w14:paraId="72B06628" w14:textId="3822DCBC" w:rsidR="00107FCF" w:rsidRDefault="00107FCF" w:rsidP="00DA2B76">
      <w:pPr>
        <w:pStyle w:val="ReportText"/>
        <w:spacing w:before="120"/>
        <w:jc w:val="both"/>
      </w:pPr>
      <w:r>
        <w:t>Problem powodzi został także dostrzeżony przez Bank Światowy i Bank Rozwoju, czego konsekwencją był program finansowania inwestycji mający na celu łagodzenie fali powodziowej i zmniejszenie zagrożenia powodziowego.</w:t>
      </w:r>
    </w:p>
    <w:p w14:paraId="744C126D" w14:textId="015D94C6" w:rsidR="00107FCF" w:rsidRPr="001C23A2" w:rsidRDefault="00107FCF" w:rsidP="00DA2B76">
      <w:pPr>
        <w:pStyle w:val="ReportText"/>
        <w:spacing w:before="120"/>
        <w:jc w:val="both"/>
        <w:rPr>
          <w:szCs w:val="24"/>
        </w:rPr>
      </w:pPr>
      <w:r>
        <w:t xml:space="preserve">Ponadto, przewiduje się, że uzupełnieniem finansowania przedsięwzięć ze źródeł </w:t>
      </w:r>
      <w:r w:rsidRPr="001C23A2">
        <w:rPr>
          <w:szCs w:val="24"/>
        </w:rPr>
        <w:t>zagranicznych, w odniesieniu do wielu inwestycji będą krajowe środki publiczne, pochodzące z:</w:t>
      </w:r>
    </w:p>
    <w:p w14:paraId="256BD038" w14:textId="77777777" w:rsidR="00107FCF" w:rsidRPr="001C23A2" w:rsidRDefault="00107FCF" w:rsidP="006D41A7">
      <w:pPr>
        <w:pStyle w:val="Akapitzlist"/>
        <w:numPr>
          <w:ilvl w:val="0"/>
          <w:numId w:val="22"/>
        </w:numPr>
        <w:spacing w:after="160" w:line="259" w:lineRule="auto"/>
        <w:ind w:left="567" w:hanging="425"/>
        <w:jc w:val="both"/>
        <w:rPr>
          <w:sz w:val="24"/>
          <w:szCs w:val="24"/>
        </w:rPr>
      </w:pPr>
      <w:r w:rsidRPr="001C23A2">
        <w:rPr>
          <w:sz w:val="24"/>
          <w:szCs w:val="24"/>
        </w:rPr>
        <w:t>Budżetu Państwa;</w:t>
      </w:r>
    </w:p>
    <w:p w14:paraId="341FA81F" w14:textId="77777777" w:rsidR="00107FCF" w:rsidRPr="001C23A2" w:rsidRDefault="00107FCF" w:rsidP="006D41A7">
      <w:pPr>
        <w:pStyle w:val="Akapitzlist"/>
        <w:numPr>
          <w:ilvl w:val="0"/>
          <w:numId w:val="22"/>
        </w:numPr>
        <w:spacing w:after="160" w:line="259" w:lineRule="auto"/>
        <w:ind w:left="567" w:hanging="425"/>
        <w:jc w:val="both"/>
        <w:rPr>
          <w:sz w:val="24"/>
          <w:szCs w:val="24"/>
        </w:rPr>
      </w:pPr>
      <w:r w:rsidRPr="001C23A2">
        <w:rPr>
          <w:sz w:val="24"/>
          <w:szCs w:val="24"/>
        </w:rPr>
        <w:t xml:space="preserve">Budżetów Jednostek Samorządu Terytorialnego; </w:t>
      </w:r>
    </w:p>
    <w:p w14:paraId="3D817472" w14:textId="77777777" w:rsidR="00107FCF" w:rsidRPr="001C23A2" w:rsidRDefault="00107FCF" w:rsidP="006D41A7">
      <w:pPr>
        <w:pStyle w:val="Akapitzlist"/>
        <w:numPr>
          <w:ilvl w:val="0"/>
          <w:numId w:val="22"/>
        </w:numPr>
        <w:spacing w:after="160" w:line="259" w:lineRule="auto"/>
        <w:ind w:left="567" w:hanging="425"/>
        <w:jc w:val="both"/>
        <w:rPr>
          <w:sz w:val="24"/>
          <w:szCs w:val="24"/>
        </w:rPr>
      </w:pPr>
      <w:r w:rsidRPr="001C23A2">
        <w:rPr>
          <w:sz w:val="24"/>
          <w:szCs w:val="24"/>
        </w:rPr>
        <w:t>NFOŚiGW/WFOŚiGW.</w:t>
      </w:r>
    </w:p>
    <w:p w14:paraId="2A5D0252" w14:textId="77777777" w:rsidR="00107FCF" w:rsidRPr="004D38F5" w:rsidRDefault="00107FCF" w:rsidP="00DA2B76">
      <w:pPr>
        <w:pStyle w:val="ReportLevel4NoNumber"/>
      </w:pPr>
      <w:r w:rsidRPr="004D38F5">
        <w:t>Poprawa ochrony przeciwpowodziowej i przeciwdziałanie suszy</w:t>
      </w:r>
      <w:r>
        <w:t xml:space="preserve"> </w:t>
      </w:r>
      <w:r w:rsidRPr="004D38F5">
        <w:t xml:space="preserve">– dofinansowanie na poziomie poszczególnych Urzędów Marszałkowskich </w:t>
      </w:r>
    </w:p>
    <w:p w14:paraId="4D2ED383" w14:textId="777D2D99" w:rsidR="00107FCF" w:rsidRDefault="00107FCF" w:rsidP="00DA2B76">
      <w:pPr>
        <w:pStyle w:val="ReportText"/>
        <w:spacing w:before="120"/>
        <w:jc w:val="both"/>
      </w:pPr>
      <w:r>
        <w:t>W zależności od decyzji Urzędów Marszałkowskich, potencjalne środki na finansowanie mogą pochodzić z programów ochrony przeciwpowodziowej i</w:t>
      </w:r>
      <w:r w:rsidR="001C23A2">
        <w:t> </w:t>
      </w:r>
      <w:r>
        <w:t>przeciwdziałaniu suszy. Dotychczas o</w:t>
      </w:r>
      <w:r w:rsidRPr="0008288A">
        <w:t xml:space="preserve"> wsparcie </w:t>
      </w:r>
      <w:r>
        <w:t xml:space="preserve">mogły </w:t>
      </w:r>
      <w:r w:rsidRPr="0008288A">
        <w:t xml:space="preserve">ubiegać się jednostki samorządu terytorialnego i ich związki oraz stowarzyszenia. Ponadto dofinansowanie przeznaczone </w:t>
      </w:r>
      <w:r>
        <w:t>było</w:t>
      </w:r>
      <w:r w:rsidRPr="0008288A">
        <w:t xml:space="preserve"> dla samorządowych jednostek organizacyjnych, organów administracji rządowej, państwowych jednostek organizacyjnych, a także prywatnych partnerów podmiotów publicznych w przypadku projektów realizowanych w formule partnerstwa publiczno-prywatnego.</w:t>
      </w:r>
    </w:p>
    <w:p w14:paraId="18752C9F" w14:textId="77777777" w:rsidR="00107FCF" w:rsidRPr="004D38F5" w:rsidRDefault="00107FCF" w:rsidP="00DA2B76">
      <w:pPr>
        <w:pStyle w:val="ReportLevel4NoNumber"/>
      </w:pPr>
      <w:r w:rsidRPr="004D38F5">
        <w:t>Wojewódzki Fundusz Ochrony Środowiska i Gospodarki Wodnej</w:t>
      </w:r>
    </w:p>
    <w:p w14:paraId="623D960B" w14:textId="1FF9C0DA" w:rsidR="00107FCF" w:rsidRDefault="00107FCF" w:rsidP="00DA2B76">
      <w:pPr>
        <w:pStyle w:val="ReportText"/>
        <w:spacing w:before="120"/>
        <w:jc w:val="both"/>
      </w:pPr>
      <w:r>
        <w:t>Źródłem finansowania inwestycji mogą być środki Wojewódzkich Funduszy Ochrony Środowiska i Gospodarki Wodnej m.in. w ramach programu skierowanego do JST</w:t>
      </w:r>
      <w:r w:rsidR="001E2A91">
        <w:t xml:space="preserve"> </w:t>
      </w:r>
      <w:r>
        <w:t>w</w:t>
      </w:r>
      <w:r w:rsidR="001E2A91">
        <w:t> </w:t>
      </w:r>
      <w:r>
        <w:t xml:space="preserve">postaci tzw. </w:t>
      </w:r>
      <w:r w:rsidRPr="00CC7D6B">
        <w:t>Zadania z zakresu ochrony wód</w:t>
      </w:r>
      <w:r>
        <w:t xml:space="preserve">. WFOŚiGW prowadziły i prowadzą obecnie nabory wniosków na realizację zadań z zakresu ochrony wód i gospodarki wodnej, w tym m.in. w ramach programu budowy i przebudowy urządzeń i obiektów hydrotechnicznych poprawiających bezpieczeństwo przeciwpowodziowe. </w:t>
      </w:r>
    </w:p>
    <w:p w14:paraId="6FB20C5E" w14:textId="77777777" w:rsidR="00107FCF" w:rsidRPr="004D38F5" w:rsidRDefault="00107FCF" w:rsidP="00DA2B76">
      <w:pPr>
        <w:pStyle w:val="ReportLevel4NoNumber"/>
      </w:pPr>
      <w:r w:rsidRPr="004D38F5">
        <w:t>Program ochrony brzegów morskich</w:t>
      </w:r>
    </w:p>
    <w:p w14:paraId="1C917354" w14:textId="77777777" w:rsidR="00107FCF" w:rsidRDefault="00107FCF" w:rsidP="00DA2B76">
      <w:pPr>
        <w:pStyle w:val="ReportText"/>
        <w:spacing w:before="120"/>
        <w:jc w:val="both"/>
      </w:pPr>
      <w:r>
        <w:t xml:space="preserve">Wieloletni program realizowany w latach 2004-2023 finansujący zadania dotyczące m.in. </w:t>
      </w:r>
      <w:r w:rsidRPr="00D47E6B">
        <w:t>budowy, rozbudowy i utrzymywania systemu ochrony brzegów morskich przed erozją morską i powodzią od strony morza</w:t>
      </w:r>
      <w:r>
        <w:t xml:space="preserve">. </w:t>
      </w:r>
      <w:r w:rsidRPr="00D47E6B">
        <w:t>Wskaźnikiem realizacji Programu w danym roku jest długość linii brzegowej zabezpieczonej przed zjawiskiem erozji i powodzi od strony morza, liczona w kilometrach.</w:t>
      </w:r>
      <w:r>
        <w:t xml:space="preserve"> </w:t>
      </w:r>
      <w:r w:rsidRPr="00D47E6B">
        <w:t>Program jest finansowany ze środków budżetu państwa oraz środków pozabudżetowych.</w:t>
      </w:r>
    </w:p>
    <w:p w14:paraId="130216B0" w14:textId="77777777" w:rsidR="00107FCF" w:rsidRPr="004D38F5" w:rsidRDefault="00107FCF" w:rsidP="00DA2B76">
      <w:pPr>
        <w:pStyle w:val="ReportLevel4NoNumber"/>
      </w:pPr>
      <w:r w:rsidRPr="004D38F5">
        <w:t>Programy przeciwpowodziowe na poziomie poszczególnych miast</w:t>
      </w:r>
    </w:p>
    <w:p w14:paraId="522D281E" w14:textId="77777777" w:rsidR="00107FCF" w:rsidRDefault="00107FCF" w:rsidP="00DA2B76">
      <w:pPr>
        <w:pStyle w:val="ReportText"/>
        <w:spacing w:before="120"/>
        <w:jc w:val="both"/>
      </w:pPr>
      <w:r>
        <w:t xml:space="preserve">Miasta realizują w ramach własnych środków inwestycje mające na celu redukcję zagrożenia powodziowego, w pierwszej kolejności rozważając zastosowanie środków nietechnicznych związanych z powiększaniem naturalnej retencji i ochroną ekosystemów. Przykładem może być Gdański Program Przeciwpowodziowy. </w:t>
      </w:r>
    </w:p>
    <w:p w14:paraId="2968D9FF" w14:textId="689FD9CE" w:rsidR="00107FCF" w:rsidRDefault="00107FCF">
      <w:pPr>
        <w:rPr>
          <w:b/>
          <w:color w:val="28AAE1"/>
          <w:sz w:val="32"/>
          <w:szCs w:val="20"/>
          <w:lang w:eastAsia="en-US"/>
        </w:rPr>
      </w:pPr>
    </w:p>
    <w:p w14:paraId="367FCFF9" w14:textId="77777777" w:rsidR="00107FCF" w:rsidRPr="00D4220A" w:rsidRDefault="00107FCF" w:rsidP="006D41A7">
      <w:pPr>
        <w:pStyle w:val="ReportLevel2"/>
        <w:numPr>
          <w:ilvl w:val="1"/>
          <w:numId w:val="4"/>
        </w:numPr>
      </w:pPr>
      <w:bookmarkStart w:id="105" w:name="_Toc80608730"/>
      <w:r w:rsidRPr="00D4220A">
        <w:lastRenderedPageBreak/>
        <w:t>Analiza i ocena zgodności przyjętych ostatecznych wariantów działań z wymogami prawnymi i</w:t>
      </w:r>
      <w:r>
        <w:t> </w:t>
      </w:r>
      <w:r w:rsidRPr="00D4220A">
        <w:t>środowiskowymi</w:t>
      </w:r>
      <w:bookmarkEnd w:id="105"/>
    </w:p>
    <w:p w14:paraId="605A501B" w14:textId="2C76EFB8" w:rsidR="00107FCF" w:rsidRPr="00B6531C" w:rsidRDefault="00107FCF" w:rsidP="006D41A7">
      <w:pPr>
        <w:pStyle w:val="ReportLevel3"/>
        <w:numPr>
          <w:ilvl w:val="2"/>
          <w:numId w:val="4"/>
        </w:numPr>
      </w:pPr>
      <w:r w:rsidRPr="00B6531C">
        <w:rPr>
          <w:rFonts w:cs="Calibri"/>
          <w:bCs/>
        </w:rPr>
        <w:t xml:space="preserve">Ocena wpływu </w:t>
      </w:r>
      <w:r>
        <w:rPr>
          <w:rFonts w:cs="Calibri"/>
          <w:bCs/>
        </w:rPr>
        <w:t>działań</w:t>
      </w:r>
      <w:r w:rsidRPr="00B6531C">
        <w:rPr>
          <w:rFonts w:cs="Calibri"/>
          <w:bCs/>
        </w:rPr>
        <w:t xml:space="preserve"> do realizacji (negatywnych jak i</w:t>
      </w:r>
      <w:r>
        <w:rPr>
          <w:rFonts w:cs="Calibri"/>
          <w:bCs/>
        </w:rPr>
        <w:t> </w:t>
      </w:r>
      <w:r w:rsidRPr="00B6531C">
        <w:rPr>
          <w:rFonts w:cs="Calibri"/>
          <w:bCs/>
        </w:rPr>
        <w:t>pozytywnych) na cele środowiskowe jednolitych części wód powierzchniowych (</w:t>
      </w:r>
      <w:r w:rsidR="00D408DE">
        <w:rPr>
          <w:rFonts w:cs="Calibri"/>
          <w:bCs/>
        </w:rPr>
        <w:t>JCWP</w:t>
      </w:r>
      <w:r w:rsidRPr="00B6531C">
        <w:rPr>
          <w:rFonts w:cs="Calibri"/>
          <w:bCs/>
        </w:rPr>
        <w:t>), o których mowa w art. 56, 57, 59 i 61 ustawy Prawo wodne, ze szczególnym uwzględnieniem elementów hydro-morfologicznych</w:t>
      </w:r>
    </w:p>
    <w:p w14:paraId="03C0150C" w14:textId="77777777" w:rsidR="00107FCF" w:rsidRPr="00B6531C" w:rsidRDefault="00107FCF" w:rsidP="007B2C72">
      <w:pPr>
        <w:pStyle w:val="Akapitzlist1"/>
        <w:tabs>
          <w:tab w:val="left" w:pos="2250"/>
        </w:tabs>
        <w:spacing w:line="240" w:lineRule="auto"/>
        <w:ind w:left="0"/>
        <w:jc w:val="both"/>
        <w:rPr>
          <w:rFonts w:ascii="Times New Roman" w:eastAsia="MS Mincho" w:hAnsi="Times New Roman"/>
          <w:sz w:val="24"/>
          <w:szCs w:val="20"/>
        </w:rPr>
      </w:pPr>
      <w:r w:rsidRPr="00B6531C">
        <w:rPr>
          <w:rFonts w:ascii="Times New Roman" w:eastAsia="MS Mincho" w:hAnsi="Times New Roman"/>
          <w:sz w:val="24"/>
          <w:szCs w:val="20"/>
        </w:rPr>
        <w:t xml:space="preserve">Metodą ekspercką </w:t>
      </w:r>
      <w:r>
        <w:rPr>
          <w:rFonts w:ascii="Times New Roman" w:eastAsia="MS Mincho" w:hAnsi="Times New Roman"/>
          <w:sz w:val="24"/>
          <w:szCs w:val="20"/>
        </w:rPr>
        <w:t xml:space="preserve">w pierwszym kroku </w:t>
      </w:r>
      <w:r w:rsidRPr="00B6531C">
        <w:rPr>
          <w:rFonts w:ascii="Times New Roman" w:eastAsia="MS Mincho" w:hAnsi="Times New Roman"/>
          <w:sz w:val="24"/>
          <w:szCs w:val="20"/>
        </w:rPr>
        <w:t xml:space="preserve">dokonano oceny potencjalnego wpływu wariantów na stan </w:t>
      </w:r>
      <w:r>
        <w:rPr>
          <w:rFonts w:ascii="Times New Roman" w:eastAsia="MS Mincho" w:hAnsi="Times New Roman"/>
          <w:sz w:val="24"/>
          <w:szCs w:val="20"/>
        </w:rPr>
        <w:t>i</w:t>
      </w:r>
      <w:r w:rsidRPr="00B6531C">
        <w:rPr>
          <w:rFonts w:ascii="Times New Roman" w:eastAsia="MS Mincho" w:hAnsi="Times New Roman"/>
          <w:sz w:val="24"/>
          <w:szCs w:val="20"/>
        </w:rPr>
        <w:t xml:space="preserve"> cele środowiskowe </w:t>
      </w:r>
      <w:r>
        <w:rPr>
          <w:rFonts w:ascii="Times New Roman" w:eastAsia="MS Mincho" w:hAnsi="Times New Roman"/>
          <w:sz w:val="24"/>
          <w:szCs w:val="20"/>
        </w:rPr>
        <w:t>JCW</w:t>
      </w:r>
      <w:r w:rsidRPr="00B6531C">
        <w:rPr>
          <w:rFonts w:ascii="Times New Roman" w:eastAsia="MS Mincho" w:hAnsi="Times New Roman"/>
          <w:sz w:val="24"/>
          <w:szCs w:val="20"/>
        </w:rPr>
        <w:t xml:space="preserve"> oraz </w:t>
      </w:r>
      <w:r>
        <w:rPr>
          <w:rFonts w:ascii="Times New Roman" w:eastAsia="MS Mincho" w:hAnsi="Times New Roman"/>
          <w:sz w:val="24"/>
          <w:szCs w:val="20"/>
        </w:rPr>
        <w:t>na</w:t>
      </w:r>
      <w:r w:rsidRPr="00B6531C">
        <w:rPr>
          <w:rFonts w:ascii="Times New Roman" w:eastAsia="MS Mincho" w:hAnsi="Times New Roman"/>
          <w:sz w:val="24"/>
          <w:szCs w:val="20"/>
        </w:rPr>
        <w:t xml:space="preserve"> siedliska od wód zależne</w:t>
      </w:r>
      <w:r>
        <w:rPr>
          <w:rFonts w:ascii="Times New Roman" w:eastAsia="MS Mincho" w:hAnsi="Times New Roman"/>
          <w:sz w:val="24"/>
          <w:szCs w:val="20"/>
        </w:rPr>
        <w:t>, a także wpływu na przedmioty i</w:t>
      </w:r>
      <w:r w:rsidRPr="00B6531C">
        <w:rPr>
          <w:rFonts w:ascii="Times New Roman" w:eastAsia="MS Mincho" w:hAnsi="Times New Roman"/>
          <w:sz w:val="24"/>
          <w:szCs w:val="20"/>
        </w:rPr>
        <w:t xml:space="preserve"> obszary chronione, oceniając istotność oddziaływań w skali 3 stopniowej: </w:t>
      </w:r>
    </w:p>
    <w:p w14:paraId="7AF41CC9" w14:textId="77777777" w:rsidR="00107FCF" w:rsidRPr="00B6531C" w:rsidRDefault="00107FCF" w:rsidP="006D41A7">
      <w:pPr>
        <w:pStyle w:val="Akapitzlist1"/>
        <w:numPr>
          <w:ilvl w:val="0"/>
          <w:numId w:val="38"/>
        </w:numPr>
        <w:tabs>
          <w:tab w:val="clear" w:pos="720"/>
          <w:tab w:val="num" w:pos="567"/>
          <w:tab w:val="left" w:pos="2250"/>
        </w:tabs>
        <w:spacing w:line="240" w:lineRule="auto"/>
        <w:ind w:left="567" w:hanging="425"/>
        <w:jc w:val="both"/>
        <w:rPr>
          <w:rFonts w:ascii="Times New Roman" w:eastAsia="MS Mincho" w:hAnsi="Times New Roman"/>
          <w:sz w:val="24"/>
          <w:szCs w:val="20"/>
        </w:rPr>
      </w:pPr>
      <w:r w:rsidRPr="00B6531C">
        <w:rPr>
          <w:rFonts w:ascii="Times New Roman" w:eastAsia="MS Mincho" w:hAnsi="Times New Roman"/>
          <w:sz w:val="24"/>
          <w:szCs w:val="20"/>
        </w:rPr>
        <w:t xml:space="preserve">PZ - potencjalnie znaczące, ocena wskazana dla wariantu, który potencjalnie generuje nowe, negatywne, trwałe oddziaływania na elementy oceny stanu wód, </w:t>
      </w:r>
      <w:r>
        <w:rPr>
          <w:rFonts w:ascii="Times New Roman" w:eastAsia="MS Mincho" w:hAnsi="Times New Roman"/>
          <w:sz w:val="24"/>
          <w:szCs w:val="20"/>
        </w:rPr>
        <w:t xml:space="preserve">prowadzące do pogorszenia wskaźników </w:t>
      </w:r>
      <w:bookmarkStart w:id="106" w:name="OLE_LINK1"/>
      <w:r>
        <w:rPr>
          <w:rFonts w:ascii="Times New Roman" w:eastAsia="MS Mincho" w:hAnsi="Times New Roman"/>
          <w:sz w:val="24"/>
          <w:szCs w:val="20"/>
        </w:rPr>
        <w:t xml:space="preserve">oceny stanu elementów hydromorfologicznych </w:t>
      </w:r>
      <w:bookmarkEnd w:id="106"/>
      <w:r>
        <w:rPr>
          <w:rFonts w:ascii="Times New Roman" w:eastAsia="MS Mincho" w:hAnsi="Times New Roman"/>
          <w:sz w:val="24"/>
          <w:szCs w:val="20"/>
        </w:rPr>
        <w:t xml:space="preserve">lub biologicznych, </w:t>
      </w:r>
      <w:r w:rsidRPr="00B6531C">
        <w:rPr>
          <w:rFonts w:ascii="Times New Roman" w:eastAsia="MS Mincho" w:hAnsi="Times New Roman"/>
          <w:sz w:val="24"/>
          <w:szCs w:val="20"/>
        </w:rPr>
        <w:t xml:space="preserve">oddziaływania prowadzą do trwałej zmiany warunków hydromorfologicznych, </w:t>
      </w:r>
      <w:r>
        <w:rPr>
          <w:rFonts w:ascii="Times New Roman" w:eastAsia="MS Mincho" w:hAnsi="Times New Roman"/>
          <w:sz w:val="24"/>
          <w:szCs w:val="20"/>
        </w:rPr>
        <w:t xml:space="preserve">warunków przepływu, przekształcenia morfologii </w:t>
      </w:r>
      <w:r w:rsidRPr="00B6531C">
        <w:rPr>
          <w:rFonts w:ascii="Times New Roman" w:eastAsia="MS Mincho" w:hAnsi="Times New Roman"/>
          <w:sz w:val="24"/>
          <w:szCs w:val="20"/>
        </w:rPr>
        <w:t>strefy brzegowej lub dna morskiego</w:t>
      </w:r>
      <w:r>
        <w:rPr>
          <w:rFonts w:ascii="Times New Roman" w:eastAsia="MS Mincho" w:hAnsi="Times New Roman"/>
          <w:sz w:val="24"/>
          <w:szCs w:val="20"/>
        </w:rPr>
        <w:t xml:space="preserve"> lub morfologii cieku</w:t>
      </w:r>
      <w:r w:rsidRPr="00B6531C">
        <w:rPr>
          <w:rFonts w:ascii="Times New Roman" w:eastAsia="MS Mincho" w:hAnsi="Times New Roman"/>
          <w:sz w:val="24"/>
          <w:szCs w:val="20"/>
        </w:rPr>
        <w:t xml:space="preserve">, przekształcenia struktury przestrzenno-funkcjonalnej ekosystemów wodnych i od wód zależnych, powodują trwałe zmiany </w:t>
      </w:r>
      <w:r>
        <w:rPr>
          <w:rFonts w:ascii="Times New Roman" w:eastAsia="MS Mincho" w:hAnsi="Times New Roman"/>
          <w:sz w:val="24"/>
          <w:szCs w:val="20"/>
        </w:rPr>
        <w:t xml:space="preserve">warunków hydromorfologicznych </w:t>
      </w:r>
      <w:r w:rsidRPr="00B6531C">
        <w:rPr>
          <w:rFonts w:ascii="Times New Roman" w:eastAsia="MS Mincho" w:hAnsi="Times New Roman"/>
          <w:sz w:val="24"/>
          <w:szCs w:val="20"/>
        </w:rPr>
        <w:t xml:space="preserve">dna, brzegów, strefy brzegowej, mogą powodować degradację </w:t>
      </w:r>
      <w:r>
        <w:rPr>
          <w:rFonts w:ascii="Times New Roman" w:eastAsia="MS Mincho" w:hAnsi="Times New Roman"/>
          <w:sz w:val="24"/>
          <w:szCs w:val="20"/>
        </w:rPr>
        <w:t xml:space="preserve">form korytowych, przykorytowych, </w:t>
      </w:r>
      <w:r w:rsidRPr="00B6531C">
        <w:rPr>
          <w:rFonts w:ascii="Times New Roman" w:eastAsia="MS Mincho" w:hAnsi="Times New Roman"/>
          <w:sz w:val="24"/>
          <w:szCs w:val="20"/>
        </w:rPr>
        <w:t xml:space="preserve">gleb lub siedlisk i prowadzić do zmiany stosunków wodnych, wpływając negatywnie na stan ekosystemów wodnych i od wód zależnych, lub prowadzą do znaczącego zaburzenia lub zahamowania procesów naturalnych warunkujących dobry stan wód i siedlisk. </w:t>
      </w:r>
    </w:p>
    <w:p w14:paraId="02014A67" w14:textId="0A041812" w:rsidR="00107FCF" w:rsidRPr="00B6531C" w:rsidRDefault="00107FCF" w:rsidP="006D41A7">
      <w:pPr>
        <w:numPr>
          <w:ilvl w:val="0"/>
          <w:numId w:val="38"/>
        </w:numPr>
        <w:tabs>
          <w:tab w:val="clear" w:pos="720"/>
          <w:tab w:val="num" w:pos="567"/>
        </w:tabs>
        <w:ind w:left="567" w:hanging="425"/>
        <w:jc w:val="both"/>
      </w:pPr>
      <w:r w:rsidRPr="00E65C2E">
        <w:t>UN - umiarkowane nieznaczące (</w:t>
      </w:r>
      <w:r w:rsidRPr="007B2C72">
        <w:t>wymagające i możliwe do zminimalizowania</w:t>
      </w:r>
      <w:r w:rsidRPr="00E65C2E">
        <w:t>) , ocena wskazywana dla wariantu, który generuje potencjalnie umiarkowane oddziaływania w skali lokalnej, oddziaływania nie mające wpływ</w:t>
      </w:r>
      <w:r>
        <w:t>u</w:t>
      </w:r>
      <w:r w:rsidRPr="00E65C2E">
        <w:t xml:space="preserve"> na stan całej </w:t>
      </w:r>
      <w:r w:rsidR="00D408DE">
        <w:t>JCWP</w:t>
      </w:r>
      <w:r w:rsidRPr="00E65C2E">
        <w:t>, oddziaływania mają charakter lokalny</w:t>
      </w:r>
      <w:r>
        <w:t xml:space="preserve"> ograniczony do obszaru przedsięwzięcia</w:t>
      </w:r>
      <w:r w:rsidRPr="00E65C2E">
        <w:t>, występują głownie na etapie realizacji</w:t>
      </w:r>
      <w:r w:rsidRPr="00B6531C">
        <w:t xml:space="preserve"> prac np. robót ziemnych, nie generuje nowych trwałych oddziaływań na środowisko</w:t>
      </w:r>
      <w:r>
        <w:t xml:space="preserve"> wodne prowadzące do pogorszenia stanu wód JCW</w:t>
      </w:r>
      <w:r w:rsidRPr="00B6531C">
        <w:t xml:space="preserve">, w tym </w:t>
      </w:r>
      <w:r>
        <w:t xml:space="preserve">nie </w:t>
      </w:r>
      <w:r w:rsidRPr="00B6531C">
        <w:t>prowadzą do trwałej</w:t>
      </w:r>
      <w:r>
        <w:t>, znaczącej</w:t>
      </w:r>
      <w:r w:rsidRPr="00B6531C">
        <w:t xml:space="preserve"> zmiany hydromorfologii dna</w:t>
      </w:r>
      <w:r>
        <w:t xml:space="preserve"> oraz </w:t>
      </w:r>
      <w:r w:rsidRPr="00B6531C">
        <w:t>brzegów</w:t>
      </w:r>
      <w:r>
        <w:t xml:space="preserve"> morskich, strefy brzegowej koryta, nie maja znaczącego</w:t>
      </w:r>
      <w:r w:rsidRPr="00B6531C">
        <w:t xml:space="preserve"> wpływ</w:t>
      </w:r>
      <w:r>
        <w:t>u</w:t>
      </w:r>
      <w:r w:rsidRPr="00B6531C">
        <w:t xml:space="preserve"> na pogorszenie </w:t>
      </w:r>
      <w:r>
        <w:t xml:space="preserve">biologicznych </w:t>
      </w:r>
      <w:r w:rsidRPr="00B6531C">
        <w:t xml:space="preserve">wskaźników oceny stanu wód, oddziaływania wiążą się </w:t>
      </w:r>
      <w:r>
        <w:t xml:space="preserve">zazwyczaj </w:t>
      </w:r>
      <w:r w:rsidRPr="00B6531C">
        <w:t xml:space="preserve">z modernizacją istniejącej infrastruktury, </w:t>
      </w:r>
      <w:r>
        <w:t xml:space="preserve">podwyższeniem istniejących obwałowań, </w:t>
      </w:r>
      <w:r w:rsidRPr="00B6531C">
        <w:t>lub prowadzone</w:t>
      </w:r>
      <w:r>
        <w:t xml:space="preserve"> są</w:t>
      </w:r>
      <w:r w:rsidRPr="00B6531C">
        <w:t xml:space="preserve"> na terenie silnie przekształconym</w:t>
      </w:r>
      <w:r>
        <w:t xml:space="preserve"> np. na odcinku brzegu umocnionego</w:t>
      </w:r>
      <w:r w:rsidRPr="00B6531C">
        <w:t>, mają ograniczony wpływ na zmiany warunków glebowych, siedliskowych, zmiany stosunków wodnych, wykazują brak istotnego negatywnego wpływu na cele środowiskowe i stan wód</w:t>
      </w:r>
      <w:r>
        <w:t xml:space="preserve"> całej </w:t>
      </w:r>
      <w:r w:rsidR="00D408DE">
        <w:t>JCWP</w:t>
      </w:r>
      <w:r w:rsidRPr="00B6531C">
        <w:t>.</w:t>
      </w:r>
      <w:r>
        <w:t xml:space="preserve"> Negatywny wpływ na elementy oceny wód i siedliska może być zminimalizowany. </w:t>
      </w:r>
    </w:p>
    <w:p w14:paraId="068FFCCE" w14:textId="0142CD74" w:rsidR="00107FCF" w:rsidRPr="00B6531C" w:rsidRDefault="00EA50FC" w:rsidP="006D41A7">
      <w:pPr>
        <w:pStyle w:val="Akapitzlist1"/>
        <w:numPr>
          <w:ilvl w:val="0"/>
          <w:numId w:val="38"/>
        </w:numPr>
        <w:tabs>
          <w:tab w:val="clear" w:pos="720"/>
          <w:tab w:val="num" w:pos="567"/>
          <w:tab w:val="left" w:pos="2250"/>
        </w:tabs>
        <w:spacing w:line="240" w:lineRule="auto"/>
        <w:ind w:left="567" w:hanging="425"/>
        <w:jc w:val="both"/>
        <w:rPr>
          <w:rFonts w:ascii="Times New Roman" w:eastAsia="MS Mincho" w:hAnsi="Times New Roman"/>
          <w:sz w:val="24"/>
          <w:szCs w:val="20"/>
        </w:rPr>
      </w:pPr>
      <w:r>
        <w:rPr>
          <w:rFonts w:ascii="Times New Roman" w:eastAsia="MS Mincho" w:hAnsi="Times New Roman"/>
          <w:sz w:val="24"/>
          <w:szCs w:val="20"/>
        </w:rPr>
        <w:br w:type="column"/>
      </w:r>
      <w:r w:rsidR="00107FCF" w:rsidRPr="00B6531C">
        <w:rPr>
          <w:rFonts w:ascii="Times New Roman" w:eastAsia="MS Mincho" w:hAnsi="Times New Roman"/>
          <w:sz w:val="24"/>
          <w:szCs w:val="20"/>
        </w:rPr>
        <w:lastRenderedPageBreak/>
        <w:t>B - brak</w:t>
      </w:r>
      <w:r w:rsidR="00107FCF">
        <w:rPr>
          <w:rFonts w:ascii="Times New Roman" w:eastAsia="MS Mincho" w:hAnsi="Times New Roman"/>
          <w:sz w:val="24"/>
          <w:szCs w:val="20"/>
        </w:rPr>
        <w:t xml:space="preserve"> oddziaływań</w:t>
      </w:r>
      <w:r w:rsidR="00107FCF" w:rsidRPr="00B6531C">
        <w:rPr>
          <w:rFonts w:ascii="Times New Roman" w:eastAsia="MS Mincho" w:hAnsi="Times New Roman"/>
          <w:sz w:val="24"/>
          <w:szCs w:val="20"/>
        </w:rPr>
        <w:t>, wskazywano dla wariantów bez wpływu na stan wód (brak oddziaływań negatywnych</w:t>
      </w:r>
      <w:r w:rsidR="00107FCF">
        <w:rPr>
          <w:rFonts w:ascii="Times New Roman" w:eastAsia="MS Mincho" w:hAnsi="Times New Roman"/>
          <w:sz w:val="24"/>
          <w:szCs w:val="20"/>
        </w:rPr>
        <w:t xml:space="preserve"> powodujących pogorszenie stanu całej wód </w:t>
      </w:r>
      <w:r w:rsidR="00D408DE">
        <w:rPr>
          <w:rFonts w:ascii="Times New Roman" w:eastAsia="MS Mincho" w:hAnsi="Times New Roman"/>
          <w:sz w:val="24"/>
          <w:szCs w:val="20"/>
        </w:rPr>
        <w:t>JCWP</w:t>
      </w:r>
      <w:r w:rsidR="00107FCF" w:rsidRPr="00B6531C">
        <w:rPr>
          <w:rFonts w:ascii="Times New Roman" w:eastAsia="MS Mincho" w:hAnsi="Times New Roman"/>
          <w:sz w:val="24"/>
          <w:szCs w:val="20"/>
        </w:rPr>
        <w:t xml:space="preserve">), wskazywano dla wariantu nie generującego oddziaływań </w:t>
      </w:r>
      <w:r w:rsidR="00107FCF">
        <w:rPr>
          <w:rFonts w:ascii="Times New Roman" w:eastAsia="MS Mincho" w:hAnsi="Times New Roman"/>
          <w:sz w:val="24"/>
          <w:szCs w:val="20"/>
        </w:rPr>
        <w:t xml:space="preserve">negatywnych </w:t>
      </w:r>
      <w:r w:rsidR="00107FCF" w:rsidRPr="00B6531C">
        <w:rPr>
          <w:rFonts w:ascii="Times New Roman" w:eastAsia="MS Mincho" w:hAnsi="Times New Roman"/>
          <w:sz w:val="24"/>
          <w:szCs w:val="20"/>
        </w:rPr>
        <w:t>na elementy oceny stanu wód</w:t>
      </w:r>
      <w:r w:rsidR="00107FCF">
        <w:rPr>
          <w:rFonts w:ascii="Times New Roman" w:eastAsia="MS Mincho" w:hAnsi="Times New Roman"/>
          <w:sz w:val="24"/>
          <w:szCs w:val="20"/>
        </w:rPr>
        <w:t>, w tym elementy biologiczne i</w:t>
      </w:r>
      <w:r>
        <w:rPr>
          <w:rFonts w:ascii="Times New Roman" w:eastAsia="MS Mincho" w:hAnsi="Times New Roman"/>
          <w:sz w:val="24"/>
          <w:szCs w:val="20"/>
        </w:rPr>
        <w:t> </w:t>
      </w:r>
      <w:r w:rsidR="00107FCF">
        <w:rPr>
          <w:rFonts w:ascii="Times New Roman" w:eastAsia="MS Mincho" w:hAnsi="Times New Roman"/>
          <w:sz w:val="24"/>
          <w:szCs w:val="20"/>
        </w:rPr>
        <w:t>hydromorfologiczne.</w:t>
      </w:r>
      <w:r w:rsidR="00107FCF" w:rsidRPr="00B6531C">
        <w:rPr>
          <w:rFonts w:ascii="Times New Roman" w:eastAsia="MS Mincho" w:hAnsi="Times New Roman"/>
          <w:sz w:val="24"/>
          <w:szCs w:val="20"/>
        </w:rPr>
        <w:t xml:space="preserve"> </w:t>
      </w:r>
    </w:p>
    <w:p w14:paraId="5CE224D5" w14:textId="77777777" w:rsidR="00107FCF" w:rsidRPr="00B6531C" w:rsidRDefault="00107FCF" w:rsidP="007B2C72">
      <w:pPr>
        <w:pStyle w:val="Akapitzlist1"/>
        <w:tabs>
          <w:tab w:val="left" w:pos="2250"/>
        </w:tabs>
        <w:spacing w:line="240" w:lineRule="auto"/>
        <w:ind w:left="360"/>
        <w:jc w:val="both"/>
        <w:rPr>
          <w:rFonts w:ascii="Times New Roman" w:eastAsia="MS Mincho" w:hAnsi="Times New Roman"/>
          <w:sz w:val="24"/>
          <w:szCs w:val="20"/>
        </w:rPr>
      </w:pPr>
    </w:p>
    <w:p w14:paraId="6AABE079" w14:textId="2B305546" w:rsidR="00107FCF" w:rsidRDefault="00107FCF" w:rsidP="007B2C72">
      <w:pPr>
        <w:pStyle w:val="Akapitzlist1"/>
        <w:tabs>
          <w:tab w:val="left" w:pos="2250"/>
        </w:tabs>
        <w:spacing w:line="240" w:lineRule="auto"/>
        <w:ind w:left="0"/>
        <w:jc w:val="both"/>
        <w:rPr>
          <w:rFonts w:ascii="Times New Roman" w:eastAsia="MS Mincho" w:hAnsi="Times New Roman"/>
          <w:sz w:val="24"/>
          <w:szCs w:val="20"/>
        </w:rPr>
      </w:pPr>
      <w:r w:rsidRPr="007B2C72">
        <w:rPr>
          <w:rFonts w:ascii="Times New Roman" w:eastAsia="MS Mincho" w:hAnsi="Times New Roman"/>
          <w:sz w:val="24"/>
          <w:szCs w:val="20"/>
        </w:rPr>
        <w:t>Podczas oceny uwzględniono zarówno oddziaływania pojawiające się na etapie realizacji, czasowe, jak i długotrwałe, prowadzące do trwałych zmian w strukturze środowiska, mogące powodować zmiany wartości wskaźników oceny stanu wód lub pogorszenie stanu wód, w tym pogorszenia wskaźników jakości wód: biologicznych, hydromorfologicznych i fizykochemicznych. Uwzględniono oddziaływania bezpośrednie i pośrednie oraz skumulowane. Przede wszystkim analizowano potencjalny negatywny wpływ na elementy oceny stanu wód, w tym hydromorfologię i</w:t>
      </w:r>
      <w:r w:rsidR="001E2A91">
        <w:rPr>
          <w:rFonts w:ascii="Times New Roman" w:eastAsia="MS Mincho" w:hAnsi="Times New Roman"/>
          <w:sz w:val="24"/>
          <w:szCs w:val="20"/>
        </w:rPr>
        <w:t> </w:t>
      </w:r>
      <w:r w:rsidRPr="007B2C72">
        <w:rPr>
          <w:rFonts w:ascii="Times New Roman" w:eastAsia="MS Mincho" w:hAnsi="Times New Roman"/>
          <w:sz w:val="24"/>
          <w:szCs w:val="20"/>
        </w:rPr>
        <w:t xml:space="preserve">wpływ na wskaźniki oceny </w:t>
      </w:r>
      <w:bookmarkStart w:id="107" w:name="OLE_LINK2"/>
      <w:r w:rsidRPr="007B2C72">
        <w:rPr>
          <w:rFonts w:ascii="Times New Roman" w:eastAsia="MS Mincho" w:hAnsi="Times New Roman"/>
          <w:sz w:val="24"/>
          <w:szCs w:val="20"/>
        </w:rPr>
        <w:t xml:space="preserve">stanu </w:t>
      </w:r>
      <w:r>
        <w:rPr>
          <w:rFonts w:ascii="Times New Roman" w:eastAsia="MS Mincho" w:hAnsi="Times New Roman"/>
          <w:sz w:val="24"/>
          <w:szCs w:val="20"/>
        </w:rPr>
        <w:t xml:space="preserve">elementów </w:t>
      </w:r>
      <w:r w:rsidRPr="007B2C72">
        <w:rPr>
          <w:rFonts w:ascii="Times New Roman" w:eastAsia="MS Mincho" w:hAnsi="Times New Roman"/>
          <w:sz w:val="24"/>
          <w:szCs w:val="20"/>
        </w:rPr>
        <w:t>hydromo</w:t>
      </w:r>
      <w:r>
        <w:rPr>
          <w:rFonts w:ascii="Times New Roman" w:eastAsia="MS Mincho" w:hAnsi="Times New Roman"/>
          <w:sz w:val="24"/>
          <w:szCs w:val="20"/>
        </w:rPr>
        <w:t>r</w:t>
      </w:r>
      <w:r w:rsidRPr="007B2C72">
        <w:rPr>
          <w:rFonts w:ascii="Times New Roman" w:eastAsia="MS Mincho" w:hAnsi="Times New Roman"/>
          <w:sz w:val="24"/>
          <w:szCs w:val="20"/>
        </w:rPr>
        <w:t>fologiczn</w:t>
      </w:r>
      <w:r>
        <w:rPr>
          <w:rFonts w:ascii="Times New Roman" w:eastAsia="MS Mincho" w:hAnsi="Times New Roman"/>
          <w:sz w:val="24"/>
          <w:szCs w:val="20"/>
        </w:rPr>
        <w:t>ych</w:t>
      </w:r>
      <w:r w:rsidRPr="007B2C72">
        <w:rPr>
          <w:rFonts w:ascii="Times New Roman" w:eastAsia="MS Mincho" w:hAnsi="Times New Roman"/>
          <w:sz w:val="24"/>
          <w:szCs w:val="20"/>
        </w:rPr>
        <w:t xml:space="preserve"> </w:t>
      </w:r>
      <w:bookmarkEnd w:id="107"/>
      <w:r w:rsidRPr="00220620">
        <w:rPr>
          <w:rFonts w:ascii="Times New Roman" w:eastAsia="MS Mincho" w:hAnsi="Times New Roman"/>
          <w:sz w:val="24"/>
          <w:szCs w:val="20"/>
        </w:rPr>
        <w:t>HIR/LHS:</w:t>
      </w:r>
      <w:r>
        <w:rPr>
          <w:rFonts w:ascii="Times New Roman" w:eastAsia="MS Mincho" w:hAnsi="Times New Roman"/>
          <w:sz w:val="24"/>
          <w:szCs w:val="20"/>
        </w:rPr>
        <w:t xml:space="preserve"> </w:t>
      </w:r>
      <w:r w:rsidRPr="007B2C72">
        <w:rPr>
          <w:rFonts w:ascii="Times New Roman" w:eastAsia="MS Mincho" w:hAnsi="Times New Roman"/>
          <w:sz w:val="24"/>
          <w:szCs w:val="20"/>
        </w:rPr>
        <w:t xml:space="preserve">wpływ pośredni, skumulowany na cele środowiskowe innych </w:t>
      </w:r>
      <w:r w:rsidR="00D408DE">
        <w:rPr>
          <w:rFonts w:ascii="Times New Roman" w:eastAsia="MS Mincho" w:hAnsi="Times New Roman"/>
          <w:sz w:val="24"/>
          <w:szCs w:val="20"/>
        </w:rPr>
        <w:t>JCWP</w:t>
      </w:r>
      <w:r w:rsidRPr="007B2C72">
        <w:rPr>
          <w:rFonts w:ascii="Times New Roman" w:eastAsia="MS Mincho" w:hAnsi="Times New Roman"/>
          <w:sz w:val="24"/>
          <w:szCs w:val="20"/>
        </w:rPr>
        <w:t>, wpływ na elementy biologiczne, w</w:t>
      </w:r>
      <w:r>
        <w:rPr>
          <w:rFonts w:ascii="Times New Roman" w:eastAsia="MS Mincho" w:hAnsi="Times New Roman"/>
          <w:sz w:val="24"/>
          <w:szCs w:val="20"/>
        </w:rPr>
        <w:t> </w:t>
      </w:r>
      <w:r w:rsidRPr="007B2C72">
        <w:rPr>
          <w:rFonts w:ascii="Times New Roman" w:eastAsia="MS Mincho" w:hAnsi="Times New Roman"/>
          <w:sz w:val="24"/>
          <w:szCs w:val="20"/>
        </w:rPr>
        <w:t>tym ciągłość biologiczną i morfologiczną oraz wskaźniki biologiczne, w</w:t>
      </w:r>
      <w:r w:rsidR="001E2A91">
        <w:rPr>
          <w:rFonts w:ascii="Times New Roman" w:eastAsia="MS Mincho" w:hAnsi="Times New Roman"/>
          <w:sz w:val="24"/>
          <w:szCs w:val="20"/>
        </w:rPr>
        <w:t> </w:t>
      </w:r>
      <w:r w:rsidRPr="007B2C72">
        <w:rPr>
          <w:rFonts w:ascii="Times New Roman" w:eastAsia="MS Mincho" w:hAnsi="Times New Roman"/>
          <w:sz w:val="24"/>
          <w:szCs w:val="20"/>
        </w:rPr>
        <w:t xml:space="preserve">tym ichtiofaunę, wpływ na wskaźniki fizykochemiczne, dodatkowo uwzględniono potencjalny negatywny wpływ na siedliska i gatunki, będący efektem zajętości terenu, czy pośredniego wpływu związanego z ograniczeniem zalewu powierzchniowego, np. zmiany stosunków wodnych, glebowych, siedliskowych, czy emisją hałasu. </w:t>
      </w:r>
    </w:p>
    <w:p w14:paraId="5ECF8275" w14:textId="77777777" w:rsidR="00107FCF" w:rsidRDefault="00107FCF" w:rsidP="007B2C72">
      <w:pPr>
        <w:pStyle w:val="Akapitzlist1"/>
        <w:tabs>
          <w:tab w:val="left" w:pos="2250"/>
        </w:tabs>
        <w:spacing w:line="240" w:lineRule="auto"/>
        <w:ind w:left="0"/>
        <w:jc w:val="both"/>
        <w:rPr>
          <w:rFonts w:ascii="Times New Roman" w:eastAsia="MS Mincho" w:hAnsi="Times New Roman"/>
          <w:sz w:val="24"/>
          <w:szCs w:val="20"/>
        </w:rPr>
      </w:pPr>
    </w:p>
    <w:p w14:paraId="59CCB00C" w14:textId="77777777" w:rsidR="00107FCF" w:rsidRPr="007B2C72" w:rsidRDefault="00107FCF" w:rsidP="007B2C72">
      <w:pPr>
        <w:jc w:val="both"/>
        <w:rPr>
          <w:szCs w:val="20"/>
          <w:lang w:eastAsia="en-US"/>
        </w:rPr>
      </w:pPr>
      <w:r w:rsidRPr="007B2C72">
        <w:rPr>
          <w:szCs w:val="20"/>
          <w:lang w:eastAsia="en-US"/>
        </w:rPr>
        <w:t>Zgodnie z metodyką aPZRP w ramach oceny zgodności wariantów działań z celami środowiskowym</w:t>
      </w:r>
      <w:r>
        <w:rPr>
          <w:szCs w:val="20"/>
          <w:lang w:eastAsia="en-US"/>
        </w:rPr>
        <w:t>i</w:t>
      </w:r>
      <w:r w:rsidRPr="007B2C72">
        <w:rPr>
          <w:szCs w:val="20"/>
          <w:lang w:eastAsia="en-US"/>
        </w:rPr>
        <w:t xml:space="preserve"> wynikającymi z Ramowej Dyrektywy Wodnej oraz zgodnoś</w:t>
      </w:r>
      <w:r>
        <w:rPr>
          <w:szCs w:val="20"/>
          <w:lang w:eastAsia="en-US"/>
        </w:rPr>
        <w:t>ci</w:t>
      </w:r>
      <w:r w:rsidRPr="007B2C72">
        <w:rPr>
          <w:szCs w:val="20"/>
          <w:lang w:eastAsia="en-US"/>
        </w:rPr>
        <w:t xml:space="preserve"> wariantów działań z wymaganiami Dyrektywy Ptasiej i Siedliskowej oraz wymaganiami ustawy o Ochronie Przyrody (obszarowe formy ochrony przyrody oraz korytarze ekologiczne) finalnie warianty oceniono ze wzgl</w:t>
      </w:r>
      <w:r>
        <w:rPr>
          <w:szCs w:val="20"/>
          <w:lang w:eastAsia="en-US"/>
        </w:rPr>
        <w:t>ędu</w:t>
      </w:r>
      <w:r w:rsidRPr="007B2C72">
        <w:rPr>
          <w:szCs w:val="20"/>
          <w:lang w:eastAsia="en-US"/>
        </w:rPr>
        <w:t xml:space="preserve"> na stopień udatności środowiskowe</w:t>
      </w:r>
      <w:r>
        <w:rPr>
          <w:szCs w:val="20"/>
          <w:lang w:eastAsia="en-US"/>
        </w:rPr>
        <w:t>j</w:t>
      </w:r>
      <w:r w:rsidRPr="007B2C72">
        <w:rPr>
          <w:szCs w:val="20"/>
          <w:lang w:eastAsia="en-US"/>
        </w:rPr>
        <w:t>, wskazując opcje:</w:t>
      </w:r>
    </w:p>
    <w:p w14:paraId="384F3418" w14:textId="77777777" w:rsidR="001E2A91" w:rsidRDefault="00107FCF" w:rsidP="006D41A7">
      <w:pPr>
        <w:numPr>
          <w:ilvl w:val="0"/>
          <w:numId w:val="81"/>
        </w:numPr>
        <w:ind w:left="567" w:hanging="425"/>
        <w:jc w:val="both"/>
        <w:rPr>
          <w:szCs w:val="20"/>
          <w:lang w:eastAsia="en-US"/>
        </w:rPr>
      </w:pPr>
      <w:r w:rsidRPr="007B2C72">
        <w:rPr>
          <w:szCs w:val="20"/>
          <w:lang w:eastAsia="en-US"/>
        </w:rPr>
        <w:t>korzystna środowiskow</w:t>
      </w:r>
      <w:r>
        <w:rPr>
          <w:szCs w:val="20"/>
          <w:lang w:eastAsia="en-US"/>
        </w:rPr>
        <w:t>o</w:t>
      </w:r>
      <w:r w:rsidRPr="007B2C72">
        <w:rPr>
          <w:szCs w:val="20"/>
          <w:lang w:eastAsia="en-US"/>
        </w:rPr>
        <w:t>, czyli zgodna z zapisami RDW, nie wpływając</w:t>
      </w:r>
      <w:r>
        <w:rPr>
          <w:szCs w:val="20"/>
          <w:lang w:eastAsia="en-US"/>
        </w:rPr>
        <w:t>y</w:t>
      </w:r>
      <w:r w:rsidRPr="007B2C72">
        <w:rPr>
          <w:szCs w:val="20"/>
          <w:lang w:eastAsia="en-US"/>
        </w:rPr>
        <w:t xml:space="preserve"> na stan i</w:t>
      </w:r>
      <w:r w:rsidR="00EA50FC">
        <w:rPr>
          <w:szCs w:val="20"/>
          <w:lang w:eastAsia="en-US"/>
        </w:rPr>
        <w:t> </w:t>
      </w:r>
      <w:r w:rsidRPr="007B2C72">
        <w:rPr>
          <w:szCs w:val="20"/>
          <w:lang w:eastAsia="en-US"/>
        </w:rPr>
        <w:t>cele środowiskow</w:t>
      </w:r>
      <w:r>
        <w:rPr>
          <w:szCs w:val="20"/>
          <w:lang w:eastAsia="en-US"/>
        </w:rPr>
        <w:t>e</w:t>
      </w:r>
      <w:r w:rsidRPr="007B2C72">
        <w:rPr>
          <w:szCs w:val="20"/>
          <w:lang w:eastAsia="en-US"/>
        </w:rPr>
        <w:t xml:space="preserve"> </w:t>
      </w:r>
      <w:r>
        <w:rPr>
          <w:szCs w:val="20"/>
          <w:lang w:eastAsia="en-US"/>
        </w:rPr>
        <w:t>JCW</w:t>
      </w:r>
      <w:r w:rsidRPr="007B2C72">
        <w:rPr>
          <w:szCs w:val="20"/>
          <w:lang w:eastAsia="en-US"/>
        </w:rPr>
        <w:t xml:space="preserve"> i cele oraz przedmioty ochrony obszarów chronionych;</w:t>
      </w:r>
    </w:p>
    <w:p w14:paraId="794D6D33" w14:textId="6C68FE26" w:rsidR="001E2A91" w:rsidRDefault="00107FCF" w:rsidP="006D41A7">
      <w:pPr>
        <w:numPr>
          <w:ilvl w:val="0"/>
          <w:numId w:val="81"/>
        </w:numPr>
        <w:ind w:left="567" w:hanging="425"/>
        <w:jc w:val="both"/>
        <w:rPr>
          <w:szCs w:val="20"/>
          <w:lang w:eastAsia="en-US"/>
        </w:rPr>
      </w:pPr>
      <w:r w:rsidRPr="001E2A91">
        <w:rPr>
          <w:szCs w:val="20"/>
          <w:lang w:eastAsia="en-US"/>
        </w:rPr>
        <w:t>umiarkowanie korzystna środowiskowo, powodująca pogorszenie stanu elementów oceny wód, w tym hydromorfologicznych lub biologicznych, jednak istnieje możliwość skutecznego zminimalizowania negatywnych oddziaływań z</w:t>
      </w:r>
      <w:r w:rsidR="001E2A91">
        <w:rPr>
          <w:szCs w:val="20"/>
          <w:lang w:eastAsia="en-US"/>
        </w:rPr>
        <w:t> </w:t>
      </w:r>
      <w:r w:rsidRPr="001E2A91">
        <w:rPr>
          <w:szCs w:val="20"/>
          <w:lang w:eastAsia="en-US"/>
        </w:rPr>
        <w:t xml:space="preserve">uwagi na stosunkowo niewielki zakres przestrzenny działania w stosunku do całej </w:t>
      </w:r>
      <w:r w:rsidR="00D408DE">
        <w:rPr>
          <w:szCs w:val="20"/>
          <w:lang w:eastAsia="en-US"/>
        </w:rPr>
        <w:t>JCWP</w:t>
      </w:r>
      <w:r w:rsidRPr="001E2A91">
        <w:rPr>
          <w:szCs w:val="20"/>
          <w:lang w:eastAsia="en-US"/>
        </w:rPr>
        <w:t>.</w:t>
      </w:r>
    </w:p>
    <w:p w14:paraId="513F6EA5" w14:textId="03E813D4" w:rsidR="00107FCF" w:rsidRPr="001E2A91" w:rsidRDefault="00107FCF" w:rsidP="006D41A7">
      <w:pPr>
        <w:numPr>
          <w:ilvl w:val="0"/>
          <w:numId w:val="81"/>
        </w:numPr>
        <w:ind w:left="567" w:hanging="425"/>
        <w:jc w:val="both"/>
        <w:rPr>
          <w:szCs w:val="20"/>
          <w:lang w:eastAsia="en-US"/>
        </w:rPr>
      </w:pPr>
      <w:r w:rsidRPr="001E2A91">
        <w:rPr>
          <w:szCs w:val="20"/>
          <w:lang w:eastAsia="en-US"/>
        </w:rPr>
        <w:t>niekorzystna środowiskowo, czyli niezgodna z zapisami RDW, wpływająca na pogorszenie stanu wód i powodująca ryzyko nieosiągnięcia celów środowiskowych, negatywnych oddziaływań nie można w pełni zminimalizować w sposób skuteczny.</w:t>
      </w:r>
    </w:p>
    <w:p w14:paraId="09849C97" w14:textId="77777777" w:rsidR="00107FCF" w:rsidRPr="007B2C72" w:rsidRDefault="00107FCF" w:rsidP="007B2C72">
      <w:pPr>
        <w:pStyle w:val="Akapitzlist1"/>
        <w:tabs>
          <w:tab w:val="left" w:pos="2250"/>
        </w:tabs>
        <w:spacing w:line="240" w:lineRule="auto"/>
        <w:ind w:left="0"/>
        <w:jc w:val="both"/>
        <w:rPr>
          <w:rFonts w:ascii="Times New Roman" w:eastAsia="MS Mincho" w:hAnsi="Times New Roman"/>
          <w:sz w:val="24"/>
          <w:szCs w:val="20"/>
        </w:rPr>
      </w:pPr>
    </w:p>
    <w:p w14:paraId="3F780EDE" w14:textId="24758075" w:rsidR="00107FCF" w:rsidRDefault="00107FCF" w:rsidP="00B6531C">
      <w:pPr>
        <w:pStyle w:val="Akapitzlist1"/>
        <w:tabs>
          <w:tab w:val="left" w:pos="2250"/>
        </w:tabs>
        <w:spacing w:line="240" w:lineRule="auto"/>
        <w:ind w:left="0"/>
        <w:jc w:val="both"/>
        <w:rPr>
          <w:rFonts w:ascii="Times New Roman" w:eastAsia="MS Mincho" w:hAnsi="Times New Roman"/>
          <w:sz w:val="24"/>
          <w:szCs w:val="20"/>
        </w:rPr>
      </w:pPr>
      <w:r w:rsidRPr="00352DCC">
        <w:rPr>
          <w:rFonts w:ascii="Times New Roman" w:eastAsia="MS Mincho" w:hAnsi="Times New Roman"/>
          <w:sz w:val="24"/>
          <w:szCs w:val="20"/>
        </w:rPr>
        <w:t xml:space="preserve">Wyniki oceny eksperckiej zaprezentowano w </w:t>
      </w:r>
      <w:r w:rsidR="004674FC">
        <w:rPr>
          <w:rFonts w:ascii="Times New Roman" w:eastAsia="MS Mincho" w:hAnsi="Times New Roman"/>
          <w:sz w:val="24"/>
          <w:szCs w:val="20"/>
        </w:rPr>
        <w:t>Tabeli 19.</w:t>
      </w:r>
      <w:r w:rsidRPr="00B6531C">
        <w:rPr>
          <w:rFonts w:ascii="Times New Roman" w:eastAsia="MS Mincho" w:hAnsi="Times New Roman"/>
          <w:sz w:val="24"/>
          <w:szCs w:val="20"/>
        </w:rPr>
        <w:t xml:space="preserve"> Wykonana ocena miała na celu wskazanie dla każdego obszaru problemowego wariantu rekomendowanego, czyli takiego który uzyskał korzystniejszą ocenę środowiskową, a jego realizacja wiąże się z</w:t>
      </w:r>
      <w:r w:rsidR="001E2A91">
        <w:rPr>
          <w:rFonts w:ascii="Times New Roman" w:eastAsia="MS Mincho" w:hAnsi="Times New Roman"/>
          <w:sz w:val="24"/>
          <w:szCs w:val="20"/>
        </w:rPr>
        <w:t> </w:t>
      </w:r>
      <w:r w:rsidRPr="00B6531C">
        <w:rPr>
          <w:rFonts w:ascii="Times New Roman" w:eastAsia="MS Mincho" w:hAnsi="Times New Roman"/>
          <w:sz w:val="24"/>
          <w:szCs w:val="20"/>
        </w:rPr>
        <w:t>brakiem, lub nieznaczącym potencjalnym negatywnym wpływem na środowisko, w</w:t>
      </w:r>
      <w:r w:rsidR="00EA50FC">
        <w:rPr>
          <w:rFonts w:ascii="Times New Roman" w:eastAsia="MS Mincho" w:hAnsi="Times New Roman"/>
          <w:sz w:val="24"/>
          <w:szCs w:val="20"/>
        </w:rPr>
        <w:t> </w:t>
      </w:r>
      <w:r w:rsidRPr="00B6531C">
        <w:rPr>
          <w:rFonts w:ascii="Times New Roman" w:eastAsia="MS Mincho" w:hAnsi="Times New Roman"/>
          <w:sz w:val="24"/>
          <w:szCs w:val="20"/>
        </w:rPr>
        <w:t xml:space="preserve">tym na elementy oceny stan wód i cele środowiskowe </w:t>
      </w:r>
      <w:r w:rsidR="00D408DE">
        <w:rPr>
          <w:rFonts w:ascii="Times New Roman" w:eastAsia="MS Mincho" w:hAnsi="Times New Roman"/>
          <w:sz w:val="24"/>
          <w:szCs w:val="20"/>
        </w:rPr>
        <w:t>JCWP</w:t>
      </w:r>
      <w:r w:rsidRPr="00B6531C">
        <w:rPr>
          <w:rFonts w:ascii="Times New Roman" w:eastAsia="MS Mincho" w:hAnsi="Times New Roman"/>
          <w:sz w:val="24"/>
          <w:szCs w:val="20"/>
        </w:rPr>
        <w:t xml:space="preserve">. </w:t>
      </w:r>
    </w:p>
    <w:p w14:paraId="3D12CF67" w14:textId="765965A5" w:rsidR="00107FCF" w:rsidRDefault="00107FCF" w:rsidP="001E2A91">
      <w:pPr>
        <w:rPr>
          <w:bCs/>
          <w:color w:val="000000"/>
        </w:rPr>
      </w:pPr>
    </w:p>
    <w:p w14:paraId="15AB6CAD" w14:textId="2BEBABB9" w:rsidR="00107FCF" w:rsidRPr="001B621A" w:rsidRDefault="001E2A91" w:rsidP="004674FC">
      <w:pPr>
        <w:pStyle w:val="Legenda"/>
        <w:tabs>
          <w:tab w:val="clear" w:pos="1080"/>
        </w:tabs>
        <w:spacing w:before="120"/>
        <w:ind w:left="1134" w:hanging="1134"/>
        <w:jc w:val="both"/>
        <w:rPr>
          <w:sz w:val="24"/>
          <w:szCs w:val="28"/>
        </w:rPr>
      </w:pPr>
      <w:bookmarkStart w:id="108" w:name="_Ref79499599"/>
      <w:r>
        <w:rPr>
          <w:sz w:val="24"/>
          <w:szCs w:val="28"/>
        </w:rPr>
        <w:br w:type="column"/>
      </w:r>
      <w:bookmarkStart w:id="109" w:name="_Toc80608772"/>
      <w:r w:rsidR="00107FCF" w:rsidRPr="001B621A">
        <w:rPr>
          <w:sz w:val="24"/>
          <w:szCs w:val="28"/>
        </w:rPr>
        <w:lastRenderedPageBreak/>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19</w:t>
      </w:r>
      <w:r w:rsidR="00290AD4">
        <w:rPr>
          <w:sz w:val="24"/>
          <w:szCs w:val="28"/>
        </w:rPr>
        <w:fldChar w:fldCharType="end"/>
      </w:r>
      <w:bookmarkEnd w:id="108"/>
      <w:r w:rsidR="00107FCF" w:rsidRPr="001B621A">
        <w:rPr>
          <w:sz w:val="24"/>
          <w:szCs w:val="28"/>
        </w:rPr>
        <w:tab/>
        <w:t>Ocena istotności oddziaływań</w:t>
      </w:r>
      <w:bookmarkEnd w:id="109"/>
    </w:p>
    <w:tbl>
      <w:tblPr>
        <w:tblW w:w="5003"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0A0" w:firstRow="1" w:lastRow="0" w:firstColumn="1" w:lastColumn="0" w:noHBand="0" w:noVBand="0"/>
      </w:tblPr>
      <w:tblGrid>
        <w:gridCol w:w="1776"/>
        <w:gridCol w:w="1816"/>
        <w:gridCol w:w="4908"/>
      </w:tblGrid>
      <w:tr w:rsidR="00107FCF" w:rsidRPr="00507221" w14:paraId="46E731B3" w14:textId="77777777" w:rsidTr="009C7C60">
        <w:trPr>
          <w:trHeight w:val="407"/>
        </w:trPr>
        <w:tc>
          <w:tcPr>
            <w:tcW w:w="1045" w:type="pct"/>
            <w:tcBorders>
              <w:bottom w:val="single" w:sz="12" w:space="0" w:color="7ECBED"/>
            </w:tcBorders>
            <w:shd w:val="clear" w:color="auto" w:fill="D4EDF9"/>
            <w:vAlign w:val="center"/>
          </w:tcPr>
          <w:p w14:paraId="6C74DC8C" w14:textId="77777777" w:rsidR="00107FCF" w:rsidRPr="00507221" w:rsidRDefault="00107FCF" w:rsidP="00507221">
            <w:pPr>
              <w:spacing w:before="60" w:after="60"/>
              <w:jc w:val="center"/>
              <w:rPr>
                <w:b/>
                <w:bCs/>
                <w:color w:val="000000"/>
              </w:rPr>
            </w:pPr>
            <w:r w:rsidRPr="00507221">
              <w:rPr>
                <w:bCs/>
                <w:color w:val="000000"/>
              </w:rPr>
              <w:t>Obszar problemowy</w:t>
            </w:r>
          </w:p>
        </w:tc>
        <w:tc>
          <w:tcPr>
            <w:tcW w:w="1068" w:type="pct"/>
            <w:tcBorders>
              <w:bottom w:val="single" w:sz="12" w:space="0" w:color="7ECBED"/>
            </w:tcBorders>
            <w:shd w:val="clear" w:color="auto" w:fill="D4EDF9"/>
            <w:vAlign w:val="center"/>
          </w:tcPr>
          <w:p w14:paraId="5A3DCD6F" w14:textId="77777777" w:rsidR="00107FCF" w:rsidRPr="00507221" w:rsidRDefault="00107FCF" w:rsidP="00507221">
            <w:pPr>
              <w:spacing w:before="60" w:after="60"/>
              <w:jc w:val="center"/>
              <w:rPr>
                <w:b/>
                <w:bCs/>
                <w:color w:val="000000"/>
              </w:rPr>
            </w:pPr>
            <w:r w:rsidRPr="00507221">
              <w:rPr>
                <w:bCs/>
                <w:color w:val="000000"/>
              </w:rPr>
              <w:t>Wariant rekomendowany</w:t>
            </w:r>
          </w:p>
        </w:tc>
        <w:tc>
          <w:tcPr>
            <w:tcW w:w="2886" w:type="pct"/>
            <w:tcBorders>
              <w:bottom w:val="single" w:sz="12" w:space="0" w:color="7ECBED"/>
            </w:tcBorders>
            <w:shd w:val="clear" w:color="auto" w:fill="D4EDF9"/>
            <w:vAlign w:val="center"/>
          </w:tcPr>
          <w:p w14:paraId="0FFF0ECB" w14:textId="77777777" w:rsidR="00107FCF" w:rsidRPr="00507221" w:rsidRDefault="00107FCF" w:rsidP="00507221">
            <w:pPr>
              <w:spacing w:line="360" w:lineRule="auto"/>
              <w:jc w:val="center"/>
              <w:rPr>
                <w:b/>
                <w:bCs/>
                <w:color w:val="000000"/>
              </w:rPr>
            </w:pPr>
            <w:r w:rsidRPr="00507221">
              <w:rPr>
                <w:bCs/>
                <w:color w:val="000000"/>
              </w:rPr>
              <w:t>Ocena istotności oddziaływań</w:t>
            </w:r>
          </w:p>
        </w:tc>
      </w:tr>
      <w:tr w:rsidR="00107FCF" w:rsidRPr="00507221" w14:paraId="6D9926E3" w14:textId="77777777" w:rsidTr="009C7C60">
        <w:trPr>
          <w:trHeight w:val="469"/>
        </w:trPr>
        <w:tc>
          <w:tcPr>
            <w:tcW w:w="1045" w:type="pct"/>
            <w:tcBorders>
              <w:top w:val="double" w:sz="4" w:space="0" w:color="28AAE1"/>
            </w:tcBorders>
          </w:tcPr>
          <w:p w14:paraId="2E6A8375" w14:textId="77777777" w:rsidR="00107FCF" w:rsidRPr="00507221" w:rsidRDefault="00107FCF" w:rsidP="00507221">
            <w:pPr>
              <w:spacing w:before="60" w:after="60"/>
              <w:rPr>
                <w:b/>
                <w:bCs/>
                <w:color w:val="000000"/>
              </w:rPr>
            </w:pPr>
            <w:r w:rsidRPr="00507221">
              <w:rPr>
                <w:bCs/>
                <w:color w:val="000000"/>
              </w:rPr>
              <w:t>IOP_6 – Darłowo</w:t>
            </w:r>
          </w:p>
        </w:tc>
        <w:tc>
          <w:tcPr>
            <w:tcW w:w="1068" w:type="pct"/>
            <w:tcBorders>
              <w:top w:val="double" w:sz="4" w:space="0" w:color="28AAE1"/>
            </w:tcBorders>
            <w:noWrap/>
          </w:tcPr>
          <w:p w14:paraId="4741FAC4" w14:textId="77777777" w:rsidR="00107FCF" w:rsidRPr="00507221" w:rsidRDefault="00107FCF" w:rsidP="00507221">
            <w:pPr>
              <w:spacing w:before="40" w:after="40"/>
              <w:jc w:val="center"/>
              <w:rPr>
                <w:bCs/>
                <w:color w:val="000000"/>
              </w:rPr>
            </w:pPr>
            <w:r w:rsidRPr="00507221">
              <w:rPr>
                <w:bCs/>
                <w:color w:val="000000"/>
              </w:rPr>
              <w:t>II</w:t>
            </w:r>
          </w:p>
        </w:tc>
        <w:tc>
          <w:tcPr>
            <w:tcW w:w="2886" w:type="pct"/>
            <w:tcBorders>
              <w:top w:val="double" w:sz="4" w:space="0" w:color="28AAE1"/>
            </w:tcBorders>
            <w:noWrap/>
          </w:tcPr>
          <w:p w14:paraId="1335760C" w14:textId="77777777" w:rsidR="009C7C60" w:rsidRDefault="00107FCF" w:rsidP="00507221">
            <w:pPr>
              <w:spacing w:before="40" w:after="40"/>
              <w:jc w:val="center"/>
              <w:rPr>
                <w:bCs/>
                <w:color w:val="000000"/>
              </w:rPr>
            </w:pPr>
            <w:r w:rsidRPr="00507221">
              <w:rPr>
                <w:bCs/>
                <w:color w:val="000000"/>
              </w:rPr>
              <w:t>U</w:t>
            </w:r>
            <w:r w:rsidR="009C7C60">
              <w:rPr>
                <w:bCs/>
                <w:color w:val="000000"/>
              </w:rPr>
              <w:t>N</w:t>
            </w:r>
            <w:r w:rsidRPr="00507221">
              <w:rPr>
                <w:bCs/>
                <w:color w:val="000000"/>
              </w:rPr>
              <w:t xml:space="preserve">/PZ – umiarkowane </w:t>
            </w:r>
            <w:r w:rsidR="009C7C60">
              <w:rPr>
                <w:bCs/>
                <w:color w:val="000000"/>
              </w:rPr>
              <w:t>nieznaczące</w:t>
            </w:r>
            <w:r w:rsidRPr="00507221">
              <w:rPr>
                <w:bCs/>
                <w:color w:val="000000"/>
              </w:rPr>
              <w:t xml:space="preserve">/ </w:t>
            </w:r>
          </w:p>
          <w:p w14:paraId="493E142F" w14:textId="2C17416B" w:rsidR="00107FCF" w:rsidRPr="00507221" w:rsidRDefault="00107FCF" w:rsidP="00507221">
            <w:pPr>
              <w:spacing w:before="40" w:after="40"/>
              <w:jc w:val="center"/>
              <w:rPr>
                <w:bCs/>
                <w:color w:val="000000"/>
              </w:rPr>
            </w:pPr>
            <w:r w:rsidRPr="00507221">
              <w:rPr>
                <w:bCs/>
                <w:color w:val="000000"/>
              </w:rPr>
              <w:t>potencjalnie znaczące</w:t>
            </w:r>
          </w:p>
        </w:tc>
      </w:tr>
      <w:tr w:rsidR="00107FCF" w:rsidRPr="00507221" w14:paraId="77648ED0" w14:textId="77777777" w:rsidTr="009C7C60">
        <w:trPr>
          <w:trHeight w:val="400"/>
        </w:trPr>
        <w:tc>
          <w:tcPr>
            <w:tcW w:w="1045" w:type="pct"/>
          </w:tcPr>
          <w:p w14:paraId="2775CE2C" w14:textId="77777777" w:rsidR="00107FCF" w:rsidRPr="00507221" w:rsidRDefault="00107FCF" w:rsidP="00507221">
            <w:pPr>
              <w:spacing w:before="60" w:after="60"/>
              <w:rPr>
                <w:b/>
                <w:bCs/>
                <w:color w:val="000000"/>
              </w:rPr>
            </w:pPr>
            <w:r w:rsidRPr="00507221">
              <w:rPr>
                <w:bCs/>
                <w:color w:val="000000"/>
              </w:rPr>
              <w:t>IOP_10 – Stepnica</w:t>
            </w:r>
          </w:p>
        </w:tc>
        <w:tc>
          <w:tcPr>
            <w:tcW w:w="1068" w:type="pct"/>
            <w:noWrap/>
          </w:tcPr>
          <w:p w14:paraId="6D7343A0" w14:textId="77777777" w:rsidR="00107FCF" w:rsidRPr="00507221" w:rsidRDefault="00107FCF" w:rsidP="00507221">
            <w:pPr>
              <w:spacing w:before="40" w:after="40"/>
              <w:jc w:val="center"/>
              <w:rPr>
                <w:bCs/>
                <w:color w:val="000000"/>
              </w:rPr>
            </w:pPr>
            <w:r w:rsidRPr="00507221">
              <w:rPr>
                <w:bCs/>
                <w:color w:val="000000"/>
              </w:rPr>
              <w:t>I</w:t>
            </w:r>
          </w:p>
        </w:tc>
        <w:tc>
          <w:tcPr>
            <w:tcW w:w="2886" w:type="pct"/>
            <w:noWrap/>
          </w:tcPr>
          <w:p w14:paraId="79F64290" w14:textId="77777777" w:rsidR="00107FCF" w:rsidRPr="00507221" w:rsidRDefault="00107FCF" w:rsidP="00507221">
            <w:pPr>
              <w:spacing w:before="40" w:after="40"/>
              <w:jc w:val="center"/>
              <w:rPr>
                <w:bCs/>
                <w:color w:val="000000"/>
              </w:rPr>
            </w:pPr>
            <w:r w:rsidRPr="00507221">
              <w:rPr>
                <w:bCs/>
                <w:color w:val="000000"/>
              </w:rPr>
              <w:t>B – brak</w:t>
            </w:r>
          </w:p>
        </w:tc>
      </w:tr>
      <w:tr w:rsidR="00107FCF" w:rsidRPr="00507221" w14:paraId="0D59DC30" w14:textId="77777777" w:rsidTr="009C7C60">
        <w:trPr>
          <w:trHeight w:val="275"/>
        </w:trPr>
        <w:tc>
          <w:tcPr>
            <w:tcW w:w="1045" w:type="pct"/>
          </w:tcPr>
          <w:p w14:paraId="67C7AF2E" w14:textId="77777777" w:rsidR="00107FCF" w:rsidRPr="00507221" w:rsidRDefault="00107FCF" w:rsidP="00507221">
            <w:pPr>
              <w:spacing w:before="60" w:after="60"/>
              <w:rPr>
                <w:b/>
                <w:bCs/>
                <w:color w:val="000000"/>
              </w:rPr>
            </w:pPr>
            <w:r w:rsidRPr="00507221">
              <w:rPr>
                <w:bCs/>
                <w:color w:val="000000"/>
              </w:rPr>
              <w:t>IOP_11 – Nowe Warpno</w:t>
            </w:r>
          </w:p>
        </w:tc>
        <w:tc>
          <w:tcPr>
            <w:tcW w:w="1068" w:type="pct"/>
            <w:noWrap/>
          </w:tcPr>
          <w:p w14:paraId="72986E05" w14:textId="77777777" w:rsidR="00107FCF" w:rsidRPr="00507221" w:rsidRDefault="00107FCF" w:rsidP="00507221">
            <w:pPr>
              <w:spacing w:before="40" w:after="40"/>
              <w:jc w:val="center"/>
              <w:rPr>
                <w:bCs/>
                <w:color w:val="000000"/>
              </w:rPr>
            </w:pPr>
            <w:r w:rsidRPr="00507221">
              <w:rPr>
                <w:bCs/>
                <w:color w:val="000000"/>
              </w:rPr>
              <w:t>I</w:t>
            </w:r>
          </w:p>
        </w:tc>
        <w:tc>
          <w:tcPr>
            <w:tcW w:w="2886" w:type="pct"/>
            <w:noWrap/>
          </w:tcPr>
          <w:p w14:paraId="5CC1AEC0" w14:textId="072EA250" w:rsidR="00107FCF" w:rsidRPr="00507221" w:rsidRDefault="00107FCF" w:rsidP="00507221">
            <w:pPr>
              <w:spacing w:before="40" w:after="40"/>
              <w:jc w:val="center"/>
              <w:rPr>
                <w:bCs/>
                <w:color w:val="000000"/>
              </w:rPr>
            </w:pPr>
            <w:r w:rsidRPr="00507221">
              <w:rPr>
                <w:bCs/>
                <w:color w:val="000000"/>
              </w:rPr>
              <w:t>U</w:t>
            </w:r>
            <w:r w:rsidR="009C7C60">
              <w:rPr>
                <w:bCs/>
                <w:color w:val="000000"/>
              </w:rPr>
              <w:t>N</w:t>
            </w:r>
            <w:r w:rsidRPr="00507221">
              <w:rPr>
                <w:bCs/>
                <w:color w:val="000000"/>
              </w:rPr>
              <w:t xml:space="preserve"> – umiarkowane</w:t>
            </w:r>
            <w:r w:rsidR="009C7C60">
              <w:rPr>
                <w:bCs/>
                <w:color w:val="000000"/>
              </w:rPr>
              <w:t xml:space="preserve"> nieznaczące</w:t>
            </w:r>
          </w:p>
        </w:tc>
      </w:tr>
    </w:tbl>
    <w:p w14:paraId="4B60C825"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p>
    <w:p w14:paraId="5AEB21CF" w14:textId="77777777" w:rsidR="00107FCF" w:rsidRPr="00AA0FD4"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r w:rsidRPr="00AA0FD4">
        <w:rPr>
          <w:rFonts w:ascii="Times New Roman" w:eastAsia="MS Mincho" w:hAnsi="Times New Roman"/>
          <w:sz w:val="24"/>
          <w:szCs w:val="20"/>
        </w:rPr>
        <w:t xml:space="preserve">Zgodnie z art. 56 </w:t>
      </w:r>
      <w:r w:rsidRPr="00CA7EC6">
        <w:rPr>
          <w:rFonts w:ascii="Times New Roman" w:eastAsia="MS Mincho" w:hAnsi="Times New Roman"/>
          <w:sz w:val="24"/>
          <w:szCs w:val="20"/>
        </w:rPr>
        <w:t>Ustawy prawo wodne z dnia 20 lipca 2017 r.</w:t>
      </w:r>
      <w:r w:rsidRPr="00AA0FD4">
        <w:rPr>
          <w:rFonts w:ascii="Times New Roman" w:eastAsia="MS Mincho" w:hAnsi="Times New Roman"/>
          <w:sz w:val="24"/>
          <w:szCs w:val="20"/>
        </w:rPr>
        <w:t xml:space="preserve"> celem środowiskowym dla jednolitych części wód powierzchniowych</w:t>
      </w:r>
      <w:r>
        <w:rPr>
          <w:rFonts w:ascii="Times New Roman" w:eastAsia="MS Mincho" w:hAnsi="Times New Roman"/>
          <w:sz w:val="24"/>
          <w:szCs w:val="20"/>
        </w:rPr>
        <w:t xml:space="preserve"> </w:t>
      </w:r>
      <w:r w:rsidRPr="00AA0FD4">
        <w:rPr>
          <w:rFonts w:ascii="Times New Roman" w:eastAsia="MS Mincho" w:hAnsi="Times New Roman"/>
          <w:sz w:val="24"/>
          <w:szCs w:val="20"/>
        </w:rPr>
        <w:t xml:space="preserve">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 </w:t>
      </w:r>
    </w:p>
    <w:p w14:paraId="097CF165"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p>
    <w:p w14:paraId="19457873" w14:textId="77777777" w:rsidR="00107FCF" w:rsidRPr="00AA0FD4"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r w:rsidRPr="00AA0FD4">
        <w:rPr>
          <w:rFonts w:ascii="Times New Roman" w:eastAsia="MS Mincho" w:hAnsi="Times New Roman"/>
          <w:sz w:val="24"/>
          <w:szCs w:val="20"/>
        </w:rPr>
        <w:t>Dla sztucznych i silnie zmienionych jednolitych części wód powierzchniowych wg art. 57. pr.w. celem środowiskowym jest ochrona tych wód oraz poprawa ich potencjału</w:t>
      </w:r>
      <w:r>
        <w:rPr>
          <w:rFonts w:ascii="Times New Roman" w:eastAsia="MS Mincho" w:hAnsi="Times New Roman"/>
          <w:sz w:val="24"/>
          <w:szCs w:val="20"/>
        </w:rPr>
        <w:t xml:space="preserve"> </w:t>
      </w:r>
      <w:r w:rsidRPr="00AA0FD4">
        <w:rPr>
          <w:rFonts w:ascii="Times New Roman" w:eastAsia="MS Mincho" w:hAnsi="Times New Roman"/>
          <w:sz w:val="24"/>
          <w:szCs w:val="20"/>
        </w:rPr>
        <w:t xml:space="preserve">ekologicznego i stanu chemicznego, tak aby osiągnąć co najmniej dobry potencjał ekologiczny i dobry stan chemiczny wód powierzchniowych, a także zapobieganie pogorszeniu ich potencjału ekologicznego oraz stanu chemicznego. </w:t>
      </w:r>
    </w:p>
    <w:p w14:paraId="192A9591"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p>
    <w:p w14:paraId="11B8A196" w14:textId="77777777" w:rsidR="00107FCF" w:rsidRPr="00AA0FD4"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r w:rsidRPr="00AA0FD4">
        <w:rPr>
          <w:rFonts w:ascii="Times New Roman" w:eastAsia="MS Mincho" w:hAnsi="Times New Roman"/>
          <w:sz w:val="24"/>
          <w:szCs w:val="20"/>
        </w:rPr>
        <w:t xml:space="preserve">Dla jednolitych części wód podziemnych zgodnie </w:t>
      </w:r>
      <w:r w:rsidRPr="00CA7EC6">
        <w:rPr>
          <w:rFonts w:ascii="Times New Roman" w:eastAsia="MS Mincho" w:hAnsi="Times New Roman"/>
          <w:sz w:val="24"/>
          <w:szCs w:val="20"/>
        </w:rPr>
        <w:t>z art. 59 Ustawy prawo wodne z dnia 20 lipca 2017 r.</w:t>
      </w:r>
      <w:r w:rsidRPr="00AA0FD4">
        <w:rPr>
          <w:rFonts w:ascii="Times New Roman" w:eastAsia="MS Mincho" w:hAnsi="Times New Roman"/>
          <w:sz w:val="24"/>
          <w:szCs w:val="20"/>
        </w:rPr>
        <w:t xml:space="preserve"> </w:t>
      </w:r>
      <w:r w:rsidRPr="00CA7EC6">
        <w:rPr>
          <w:rFonts w:ascii="Times New Roman" w:eastAsia="MS Mincho" w:hAnsi="Times New Roman"/>
          <w:sz w:val="24"/>
          <w:szCs w:val="20"/>
        </w:rPr>
        <w:t>celem</w:t>
      </w:r>
      <w:r w:rsidRPr="00AA0FD4">
        <w:rPr>
          <w:rFonts w:ascii="Times New Roman" w:eastAsia="MS Mincho" w:hAnsi="Times New Roman"/>
          <w:sz w:val="24"/>
          <w:szCs w:val="20"/>
        </w:rPr>
        <w:t xml:space="preserve"> środowiskowym jest zapobieganie lub ograniczanie wprowadzania do nich zanieczyszczeń, zapobieganie pogorszeniu oraz poprawa ich stanu, ich ochrona i podejmowanie działań naprawczych, a także zapewnianie równowagi między poborem a zasilaniem tych wód, tak aby osiągnąć ich dobry stan. </w:t>
      </w:r>
    </w:p>
    <w:p w14:paraId="731BBD06"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p>
    <w:p w14:paraId="0A2F7E9A" w14:textId="24BE6A96" w:rsidR="00107FCF" w:rsidRPr="00AA0FD4"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r w:rsidRPr="00AA0FD4">
        <w:rPr>
          <w:rFonts w:ascii="Times New Roman" w:eastAsia="MS Mincho" w:hAnsi="Times New Roman"/>
          <w:sz w:val="24"/>
          <w:szCs w:val="20"/>
        </w:rPr>
        <w:t xml:space="preserve">Zgodnie z art. 61.1. </w:t>
      </w:r>
      <w:r w:rsidRPr="00CA7EC6">
        <w:rPr>
          <w:rFonts w:ascii="Times New Roman" w:eastAsia="MS Mincho" w:hAnsi="Times New Roman"/>
          <w:sz w:val="24"/>
          <w:szCs w:val="20"/>
        </w:rPr>
        <w:t>Ustawy prawo wodne z dnia 20 lipca 2017 r.</w:t>
      </w:r>
      <w:r w:rsidRPr="00AA0FD4">
        <w:rPr>
          <w:rFonts w:ascii="Times New Roman" w:eastAsia="MS Mincho" w:hAnsi="Times New Roman"/>
          <w:sz w:val="24"/>
          <w:szCs w:val="20"/>
        </w:rPr>
        <w:t xml:space="preserve"> celem środowiskowym dla obszarów chronionych jest osiągnięcie norm i celów wynikających z przepisów, na podstawie których te obszary chronione zostały utworzone, przepisów ustanawiających te obszary lub dotyczących tych obszarów, o ile nie zawierają one w</w:t>
      </w:r>
      <w:r w:rsidR="001E2A91">
        <w:rPr>
          <w:rFonts w:ascii="Times New Roman" w:eastAsia="MS Mincho" w:hAnsi="Times New Roman"/>
          <w:sz w:val="24"/>
          <w:szCs w:val="20"/>
        </w:rPr>
        <w:t> </w:t>
      </w:r>
      <w:r w:rsidRPr="00AA0FD4">
        <w:rPr>
          <w:rFonts w:ascii="Times New Roman" w:eastAsia="MS Mincho" w:hAnsi="Times New Roman"/>
          <w:sz w:val="24"/>
          <w:szCs w:val="20"/>
        </w:rPr>
        <w:t>tym zakresie odmiennych uregulowań.</w:t>
      </w:r>
    </w:p>
    <w:p w14:paraId="5B189151"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r w:rsidRPr="00CA7EC6">
        <w:rPr>
          <w:rFonts w:ascii="Times New Roman" w:eastAsia="MS Mincho" w:hAnsi="Times New Roman"/>
          <w:sz w:val="24"/>
          <w:szCs w:val="20"/>
        </w:rPr>
        <w:t xml:space="preserve">Według ustawy prawo wodne cele środowiskowe, o których mowa w art. 56, 57, 59, 61 realizuje się w szczególności przez podejmowanie działań zawartych w planie gospodarowania wodami na obszarze dorzecza, wobec czego planowane w ramach PZRP od strony morza, w tym morskich wód wewnętrznych inwestycje i działania powinny być zgodne z zapisami zawartymi w aktualizacji planów gospodarowania wodami na lata </w:t>
      </w:r>
      <w:bookmarkStart w:id="110" w:name="OLE_LINK5"/>
      <w:r w:rsidRPr="00CA7EC6">
        <w:rPr>
          <w:rFonts w:ascii="Times New Roman" w:eastAsia="MS Mincho" w:hAnsi="Times New Roman"/>
          <w:sz w:val="24"/>
          <w:szCs w:val="20"/>
        </w:rPr>
        <w:t>202</w:t>
      </w:r>
      <w:r>
        <w:rPr>
          <w:rFonts w:ascii="Times New Roman" w:eastAsia="MS Mincho" w:hAnsi="Times New Roman"/>
          <w:sz w:val="24"/>
          <w:szCs w:val="20"/>
        </w:rPr>
        <w:t>2</w:t>
      </w:r>
      <w:r w:rsidRPr="00CA7EC6">
        <w:rPr>
          <w:rFonts w:ascii="Times New Roman" w:eastAsia="MS Mincho" w:hAnsi="Times New Roman"/>
          <w:sz w:val="24"/>
          <w:szCs w:val="20"/>
        </w:rPr>
        <w:t>-2027</w:t>
      </w:r>
      <w:bookmarkEnd w:id="110"/>
      <w:r w:rsidRPr="00CA7EC6">
        <w:rPr>
          <w:rFonts w:ascii="Times New Roman" w:eastAsia="MS Mincho" w:hAnsi="Times New Roman"/>
          <w:sz w:val="24"/>
          <w:szCs w:val="20"/>
        </w:rPr>
        <w:t>, w tym z zestawami działań naprawczych. Wyniki analizy zgodności zaprezentowano w rozdziale 6.2.7.</w:t>
      </w:r>
    </w:p>
    <w:p w14:paraId="588BB32E"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0"/>
        </w:rPr>
      </w:pPr>
    </w:p>
    <w:p w14:paraId="0265D4FD" w14:textId="77777777" w:rsidR="00107FCF" w:rsidRDefault="00107FCF" w:rsidP="006D41A7">
      <w:pPr>
        <w:pStyle w:val="ReportLevel4"/>
        <w:numPr>
          <w:ilvl w:val="3"/>
          <w:numId w:val="4"/>
        </w:numPr>
        <w:rPr>
          <w:rFonts w:cs="Calibri"/>
          <w:bCs/>
        </w:rPr>
      </w:pPr>
      <w:r>
        <w:rPr>
          <w:rFonts w:cs="Calibri"/>
          <w:bCs/>
        </w:rPr>
        <w:br w:type="column"/>
      </w:r>
      <w:r w:rsidRPr="00AA0FD4">
        <w:rPr>
          <w:rFonts w:cs="Calibri"/>
          <w:bCs/>
        </w:rPr>
        <w:lastRenderedPageBreak/>
        <w:t>Identyfikacja jednolitej części wód oraz celów środowiskowych dla wybranych wariantów planistycznych, w</w:t>
      </w:r>
      <w:r>
        <w:rPr>
          <w:rFonts w:cs="Calibri"/>
          <w:bCs/>
        </w:rPr>
        <w:t> </w:t>
      </w:r>
      <w:r w:rsidRPr="00AA0FD4">
        <w:rPr>
          <w:rFonts w:cs="Calibri"/>
          <w:bCs/>
        </w:rPr>
        <w:t>obrębie, których zlokalizowane są inwestycje i działania oraz JCW, na które mogą one oddziaływać</w:t>
      </w:r>
    </w:p>
    <w:p w14:paraId="17A8A942" w14:textId="0BAAA94B" w:rsidR="00107FCF" w:rsidRPr="00AA0FD4" w:rsidRDefault="00107FCF" w:rsidP="00AA0FD4">
      <w:pPr>
        <w:pStyle w:val="Akapitzlist1"/>
        <w:tabs>
          <w:tab w:val="left" w:pos="2250"/>
        </w:tabs>
        <w:spacing w:line="240" w:lineRule="auto"/>
        <w:ind w:left="0"/>
        <w:jc w:val="both"/>
        <w:rPr>
          <w:rFonts w:ascii="Times New Roman" w:eastAsia="MS Mincho" w:hAnsi="Times New Roman"/>
          <w:sz w:val="24"/>
          <w:szCs w:val="20"/>
        </w:rPr>
      </w:pPr>
      <w:r w:rsidRPr="00AA0FD4">
        <w:rPr>
          <w:rFonts w:ascii="Times New Roman" w:eastAsia="MS Mincho" w:hAnsi="Times New Roman"/>
          <w:sz w:val="24"/>
          <w:szCs w:val="20"/>
        </w:rPr>
        <w:t xml:space="preserve">Ocena wpływu na cele środowiskowe uwzględnia </w:t>
      </w:r>
      <w:r>
        <w:rPr>
          <w:rFonts w:ascii="Times New Roman" w:eastAsia="MS Mincho" w:hAnsi="Times New Roman"/>
          <w:sz w:val="24"/>
          <w:szCs w:val="20"/>
        </w:rPr>
        <w:t xml:space="preserve">wybrane </w:t>
      </w:r>
      <w:r w:rsidRPr="00AA0FD4">
        <w:rPr>
          <w:rFonts w:ascii="Times New Roman" w:eastAsia="MS Mincho" w:hAnsi="Times New Roman"/>
          <w:sz w:val="24"/>
          <w:szCs w:val="20"/>
        </w:rPr>
        <w:t>warianty, które uzyskały w</w:t>
      </w:r>
      <w:r w:rsidR="001E2A91">
        <w:rPr>
          <w:rFonts w:ascii="Times New Roman" w:eastAsia="MS Mincho" w:hAnsi="Times New Roman"/>
          <w:sz w:val="24"/>
          <w:szCs w:val="20"/>
        </w:rPr>
        <w:t> </w:t>
      </w:r>
      <w:r w:rsidRPr="00AA0FD4">
        <w:rPr>
          <w:rFonts w:ascii="Times New Roman" w:eastAsia="MS Mincho" w:hAnsi="Times New Roman"/>
          <w:sz w:val="24"/>
          <w:szCs w:val="20"/>
        </w:rPr>
        <w:t>pierwszym kroku ocenę B lub UN.</w:t>
      </w:r>
    </w:p>
    <w:p w14:paraId="3C71F70F" w14:textId="77777777" w:rsidR="00107FCF" w:rsidRPr="00AA0FD4" w:rsidRDefault="00107FCF" w:rsidP="00AA0FD4">
      <w:pPr>
        <w:pStyle w:val="Akapitzlist1"/>
        <w:tabs>
          <w:tab w:val="left" w:pos="2250"/>
        </w:tabs>
        <w:spacing w:line="240" w:lineRule="auto"/>
        <w:ind w:left="0"/>
        <w:jc w:val="both"/>
        <w:rPr>
          <w:rFonts w:ascii="Times New Roman" w:eastAsia="MS Mincho" w:hAnsi="Times New Roman"/>
          <w:sz w:val="24"/>
          <w:szCs w:val="20"/>
        </w:rPr>
      </w:pPr>
    </w:p>
    <w:p w14:paraId="7B1FE020" w14:textId="6FC059CA" w:rsidR="00107FCF" w:rsidRPr="00AA0FD4" w:rsidRDefault="00107FCF" w:rsidP="00AA0FD4">
      <w:pPr>
        <w:pStyle w:val="Akapitzlist1"/>
        <w:tabs>
          <w:tab w:val="left" w:pos="2250"/>
        </w:tabs>
        <w:spacing w:line="240" w:lineRule="auto"/>
        <w:ind w:left="0"/>
        <w:jc w:val="both"/>
        <w:rPr>
          <w:rFonts w:ascii="Times New Roman" w:eastAsia="MS Mincho" w:hAnsi="Times New Roman"/>
          <w:sz w:val="24"/>
          <w:szCs w:val="20"/>
        </w:rPr>
      </w:pPr>
      <w:r w:rsidRPr="00AA0FD4">
        <w:rPr>
          <w:rFonts w:ascii="Times New Roman" w:eastAsia="MS Mincho" w:hAnsi="Times New Roman"/>
          <w:sz w:val="24"/>
          <w:szCs w:val="20"/>
        </w:rPr>
        <w:t>Według aktualizacji planów gospodarowania wodami (202</w:t>
      </w:r>
      <w:r w:rsidR="00203A6E">
        <w:rPr>
          <w:rFonts w:ascii="Times New Roman" w:eastAsia="MS Mincho" w:hAnsi="Times New Roman"/>
          <w:sz w:val="24"/>
          <w:szCs w:val="20"/>
        </w:rPr>
        <w:t>2</w:t>
      </w:r>
      <w:r w:rsidRPr="00AA0FD4">
        <w:rPr>
          <w:rFonts w:ascii="Times New Roman" w:eastAsia="MS Mincho" w:hAnsi="Times New Roman"/>
          <w:sz w:val="24"/>
          <w:szCs w:val="20"/>
        </w:rPr>
        <w:t xml:space="preserve">-2027) planowane inwestycje i działania </w:t>
      </w:r>
      <w:r w:rsidRPr="009728E7">
        <w:rPr>
          <w:rFonts w:ascii="Times New Roman" w:eastAsia="MS Mincho" w:hAnsi="Times New Roman"/>
          <w:sz w:val="24"/>
          <w:szCs w:val="20"/>
        </w:rPr>
        <w:t xml:space="preserve">zlokalizowane są w regionie wodnym Dolnej Odry i Przymorza Zachodniego, w obrębie </w:t>
      </w:r>
      <w:r w:rsidR="00D408DE">
        <w:rPr>
          <w:rFonts w:ascii="Times New Roman" w:eastAsia="MS Mincho" w:hAnsi="Times New Roman"/>
          <w:sz w:val="24"/>
          <w:szCs w:val="20"/>
        </w:rPr>
        <w:t>JCWP</w:t>
      </w:r>
      <w:r w:rsidRPr="009728E7">
        <w:rPr>
          <w:rFonts w:ascii="Times New Roman" w:eastAsia="MS Mincho" w:hAnsi="Times New Roman"/>
          <w:sz w:val="24"/>
          <w:szCs w:val="20"/>
        </w:rPr>
        <w:t xml:space="preserve"> przedstawionych w Tabeli 20.</w:t>
      </w:r>
    </w:p>
    <w:p w14:paraId="10E61820" w14:textId="77777777" w:rsidR="00107FCF" w:rsidRDefault="00107FCF" w:rsidP="00AA0FD4">
      <w:pPr>
        <w:pStyle w:val="Akapitzlist1"/>
        <w:tabs>
          <w:tab w:val="left" w:pos="2250"/>
        </w:tabs>
        <w:spacing w:line="360" w:lineRule="auto"/>
        <w:ind w:left="0"/>
        <w:jc w:val="both"/>
        <w:rPr>
          <w:rFonts w:cs="Calibri"/>
          <w:bCs/>
        </w:rPr>
      </w:pPr>
    </w:p>
    <w:p w14:paraId="15BDB116" w14:textId="2227FF1C" w:rsidR="00107FCF" w:rsidRPr="001B621A" w:rsidRDefault="00107FCF" w:rsidP="004674FC">
      <w:pPr>
        <w:pStyle w:val="Legenda"/>
        <w:tabs>
          <w:tab w:val="clear" w:pos="1080"/>
          <w:tab w:val="left" w:pos="1134"/>
        </w:tabs>
        <w:spacing w:before="120" w:line="240" w:lineRule="auto"/>
        <w:ind w:left="1080" w:hanging="1080"/>
        <w:jc w:val="both"/>
        <w:rPr>
          <w:sz w:val="24"/>
          <w:szCs w:val="28"/>
        </w:rPr>
      </w:pPr>
      <w:bookmarkStart w:id="111" w:name="_Toc80608773"/>
      <w:r w:rsidRPr="001B621A">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20</w:t>
      </w:r>
      <w:r w:rsidR="00290AD4">
        <w:rPr>
          <w:sz w:val="24"/>
          <w:szCs w:val="28"/>
        </w:rPr>
        <w:fldChar w:fldCharType="end"/>
      </w:r>
      <w:r w:rsidRPr="001B621A">
        <w:rPr>
          <w:sz w:val="24"/>
          <w:szCs w:val="28"/>
        </w:rPr>
        <w:tab/>
        <w:t xml:space="preserve">Identyfikacja </w:t>
      </w:r>
      <w:r w:rsidR="00D408DE">
        <w:rPr>
          <w:sz w:val="24"/>
          <w:szCs w:val="28"/>
        </w:rPr>
        <w:t>JCWP</w:t>
      </w:r>
      <w:r w:rsidRPr="001B621A">
        <w:rPr>
          <w:sz w:val="24"/>
          <w:szCs w:val="28"/>
        </w:rPr>
        <w:t xml:space="preserve"> w obrębie, których zlokalizowane są inwestycje</w:t>
      </w:r>
      <w:r w:rsidR="004674FC">
        <w:rPr>
          <w:sz w:val="24"/>
          <w:szCs w:val="28"/>
        </w:rPr>
        <w:t xml:space="preserve"> </w:t>
      </w:r>
      <w:r w:rsidRPr="001B621A">
        <w:rPr>
          <w:sz w:val="24"/>
          <w:szCs w:val="28"/>
        </w:rPr>
        <w:t>i</w:t>
      </w:r>
      <w:r w:rsidR="004674FC">
        <w:rPr>
          <w:sz w:val="24"/>
          <w:szCs w:val="28"/>
        </w:rPr>
        <w:t> </w:t>
      </w:r>
      <w:r w:rsidRPr="001B621A">
        <w:rPr>
          <w:sz w:val="24"/>
          <w:szCs w:val="28"/>
        </w:rPr>
        <w:t>działania oraz tych, na które mogą one oddziaływać</w:t>
      </w:r>
      <w:bookmarkEnd w:id="111"/>
    </w:p>
    <w:tbl>
      <w:tblPr>
        <w:tblW w:w="8613" w:type="dxa"/>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ayout w:type="fixed"/>
        <w:tblLook w:val="00A0" w:firstRow="1" w:lastRow="0" w:firstColumn="1" w:lastColumn="0" w:noHBand="0" w:noVBand="0"/>
      </w:tblPr>
      <w:tblGrid>
        <w:gridCol w:w="1526"/>
        <w:gridCol w:w="1701"/>
        <w:gridCol w:w="1559"/>
        <w:gridCol w:w="1843"/>
        <w:gridCol w:w="1984"/>
      </w:tblGrid>
      <w:tr w:rsidR="00107FCF" w:rsidRPr="00507221" w14:paraId="18BC2767" w14:textId="77777777" w:rsidTr="004674FC">
        <w:trPr>
          <w:trHeight w:val="407"/>
        </w:trPr>
        <w:tc>
          <w:tcPr>
            <w:tcW w:w="1526" w:type="dxa"/>
            <w:vMerge w:val="restart"/>
            <w:tcBorders>
              <w:bottom w:val="single" w:sz="12" w:space="0" w:color="7ECBED"/>
            </w:tcBorders>
            <w:shd w:val="clear" w:color="auto" w:fill="D4EDF9"/>
          </w:tcPr>
          <w:p w14:paraId="293F516A" w14:textId="77777777" w:rsidR="00107FCF" w:rsidRPr="00507221" w:rsidRDefault="00107FCF" w:rsidP="00D12DAB">
            <w:pPr>
              <w:rPr>
                <w:b/>
                <w:bCs/>
                <w:color w:val="000000"/>
              </w:rPr>
            </w:pPr>
            <w:r w:rsidRPr="00507221">
              <w:rPr>
                <w:bCs/>
                <w:color w:val="000000"/>
              </w:rPr>
              <w:t>Obszar problemowy</w:t>
            </w:r>
          </w:p>
        </w:tc>
        <w:tc>
          <w:tcPr>
            <w:tcW w:w="3260" w:type="dxa"/>
            <w:gridSpan w:val="2"/>
            <w:tcBorders>
              <w:bottom w:val="single" w:sz="12" w:space="0" w:color="7ECBED"/>
            </w:tcBorders>
            <w:shd w:val="clear" w:color="auto" w:fill="D4EDF9"/>
          </w:tcPr>
          <w:p w14:paraId="7D2320BA" w14:textId="77777777" w:rsidR="00107FCF" w:rsidRPr="00507221" w:rsidRDefault="00107FCF" w:rsidP="00D12DAB">
            <w:pPr>
              <w:rPr>
                <w:b/>
                <w:bCs/>
                <w:color w:val="000000"/>
              </w:rPr>
            </w:pPr>
            <w:r w:rsidRPr="00507221">
              <w:rPr>
                <w:bCs/>
                <w:color w:val="000000"/>
              </w:rPr>
              <w:t>Oddziaływania bezpośrednie/lokalizacja przedsięwzięcia</w:t>
            </w:r>
          </w:p>
        </w:tc>
        <w:tc>
          <w:tcPr>
            <w:tcW w:w="3827" w:type="dxa"/>
            <w:gridSpan w:val="2"/>
            <w:tcBorders>
              <w:bottom w:val="single" w:sz="12" w:space="0" w:color="7ECBED"/>
            </w:tcBorders>
            <w:shd w:val="clear" w:color="auto" w:fill="D4EDF9"/>
          </w:tcPr>
          <w:p w14:paraId="47AB7BE0" w14:textId="77777777" w:rsidR="00107FCF" w:rsidRPr="00507221" w:rsidRDefault="00107FCF" w:rsidP="00507221">
            <w:pPr>
              <w:spacing w:line="360" w:lineRule="auto"/>
              <w:rPr>
                <w:b/>
                <w:bCs/>
                <w:color w:val="000000"/>
              </w:rPr>
            </w:pPr>
            <w:r w:rsidRPr="00507221">
              <w:rPr>
                <w:bCs/>
                <w:color w:val="000000"/>
              </w:rPr>
              <w:t>Potencjalne odziaływania pośrednie</w:t>
            </w:r>
          </w:p>
        </w:tc>
      </w:tr>
      <w:tr w:rsidR="00107FCF" w:rsidRPr="00507221" w14:paraId="7C5562CC" w14:textId="77777777" w:rsidTr="004674FC">
        <w:trPr>
          <w:trHeight w:val="407"/>
        </w:trPr>
        <w:tc>
          <w:tcPr>
            <w:tcW w:w="1526" w:type="dxa"/>
            <w:vMerge/>
            <w:shd w:val="clear" w:color="auto" w:fill="D4EDF9"/>
          </w:tcPr>
          <w:p w14:paraId="05406AE5" w14:textId="77777777" w:rsidR="00107FCF" w:rsidRPr="00507221" w:rsidRDefault="00107FCF" w:rsidP="00507221">
            <w:pPr>
              <w:spacing w:before="60" w:after="60"/>
              <w:rPr>
                <w:b/>
                <w:bCs/>
                <w:color w:val="000000"/>
              </w:rPr>
            </w:pPr>
          </w:p>
        </w:tc>
        <w:tc>
          <w:tcPr>
            <w:tcW w:w="1701" w:type="dxa"/>
            <w:shd w:val="clear" w:color="auto" w:fill="D4EDF9"/>
          </w:tcPr>
          <w:p w14:paraId="135189D1" w14:textId="42EDD9E0" w:rsidR="00107FCF" w:rsidRPr="00507221" w:rsidRDefault="00107FCF" w:rsidP="00507221">
            <w:pPr>
              <w:spacing w:before="60" w:after="60"/>
              <w:rPr>
                <w:bCs/>
                <w:color w:val="000000"/>
              </w:rPr>
            </w:pPr>
            <w:r w:rsidRPr="00507221">
              <w:rPr>
                <w:bCs/>
                <w:color w:val="000000"/>
              </w:rPr>
              <w:t xml:space="preserve">Nazwa </w:t>
            </w:r>
            <w:r w:rsidR="00D408DE">
              <w:rPr>
                <w:bCs/>
                <w:color w:val="000000"/>
              </w:rPr>
              <w:t>JCWP</w:t>
            </w:r>
          </w:p>
        </w:tc>
        <w:tc>
          <w:tcPr>
            <w:tcW w:w="1559" w:type="dxa"/>
            <w:shd w:val="clear" w:color="auto" w:fill="D4EDF9"/>
          </w:tcPr>
          <w:p w14:paraId="3A20DA5D" w14:textId="77777777" w:rsidR="00107FCF" w:rsidRPr="00507221" w:rsidRDefault="00107FCF" w:rsidP="00507221">
            <w:pPr>
              <w:spacing w:line="360" w:lineRule="auto"/>
              <w:rPr>
                <w:bCs/>
                <w:color w:val="000000"/>
              </w:rPr>
            </w:pPr>
            <w:r w:rsidRPr="00507221">
              <w:rPr>
                <w:bCs/>
                <w:color w:val="000000"/>
              </w:rPr>
              <w:t>Kod</w:t>
            </w:r>
          </w:p>
        </w:tc>
        <w:tc>
          <w:tcPr>
            <w:tcW w:w="1843" w:type="dxa"/>
            <w:shd w:val="clear" w:color="auto" w:fill="D4EDF9"/>
          </w:tcPr>
          <w:p w14:paraId="1965E78C" w14:textId="6D5D9D6A" w:rsidR="00107FCF" w:rsidRPr="00507221" w:rsidRDefault="00107FCF" w:rsidP="00507221">
            <w:pPr>
              <w:spacing w:line="360" w:lineRule="auto"/>
              <w:rPr>
                <w:bCs/>
                <w:color w:val="000000"/>
              </w:rPr>
            </w:pPr>
            <w:r w:rsidRPr="00507221">
              <w:rPr>
                <w:bCs/>
                <w:color w:val="000000"/>
              </w:rPr>
              <w:t xml:space="preserve">Nazwa </w:t>
            </w:r>
            <w:r w:rsidR="00D408DE">
              <w:rPr>
                <w:bCs/>
                <w:color w:val="000000"/>
              </w:rPr>
              <w:t>JCWP</w:t>
            </w:r>
          </w:p>
        </w:tc>
        <w:tc>
          <w:tcPr>
            <w:tcW w:w="1984" w:type="dxa"/>
            <w:shd w:val="clear" w:color="auto" w:fill="D4EDF9"/>
          </w:tcPr>
          <w:p w14:paraId="75709D74" w14:textId="77777777" w:rsidR="00107FCF" w:rsidRPr="00507221" w:rsidRDefault="00107FCF" w:rsidP="00507221">
            <w:pPr>
              <w:spacing w:line="360" w:lineRule="auto"/>
              <w:rPr>
                <w:bCs/>
                <w:color w:val="000000"/>
              </w:rPr>
            </w:pPr>
            <w:r w:rsidRPr="00507221">
              <w:rPr>
                <w:bCs/>
                <w:color w:val="000000"/>
              </w:rPr>
              <w:t>Kod</w:t>
            </w:r>
          </w:p>
        </w:tc>
      </w:tr>
      <w:tr w:rsidR="00107FCF" w:rsidRPr="00507221" w14:paraId="0A32FCD3" w14:textId="77777777" w:rsidTr="004674FC">
        <w:trPr>
          <w:trHeight w:val="469"/>
        </w:trPr>
        <w:tc>
          <w:tcPr>
            <w:tcW w:w="1526" w:type="dxa"/>
            <w:tcBorders>
              <w:top w:val="double" w:sz="4" w:space="0" w:color="28AAE1"/>
            </w:tcBorders>
          </w:tcPr>
          <w:p w14:paraId="72BC2F75" w14:textId="77777777" w:rsidR="00107FCF" w:rsidRPr="00507221" w:rsidRDefault="00107FCF" w:rsidP="00507221">
            <w:pPr>
              <w:spacing w:before="60" w:after="60"/>
              <w:rPr>
                <w:b/>
                <w:bCs/>
                <w:color w:val="000000"/>
              </w:rPr>
            </w:pPr>
            <w:r w:rsidRPr="00507221">
              <w:rPr>
                <w:bCs/>
                <w:color w:val="000000"/>
              </w:rPr>
              <w:t>IOP_6</w:t>
            </w:r>
          </w:p>
          <w:p w14:paraId="38758561" w14:textId="77777777" w:rsidR="00107FCF" w:rsidRPr="00507221" w:rsidRDefault="00107FCF" w:rsidP="00507221">
            <w:pPr>
              <w:spacing w:before="60" w:after="60"/>
              <w:rPr>
                <w:b/>
                <w:bCs/>
                <w:color w:val="000000"/>
              </w:rPr>
            </w:pPr>
            <w:r w:rsidRPr="00507221">
              <w:rPr>
                <w:bCs/>
                <w:color w:val="000000"/>
              </w:rPr>
              <w:t>Darłowo</w:t>
            </w:r>
          </w:p>
        </w:tc>
        <w:tc>
          <w:tcPr>
            <w:tcW w:w="1701" w:type="dxa"/>
            <w:tcBorders>
              <w:top w:val="double" w:sz="4" w:space="0" w:color="28AAE1"/>
            </w:tcBorders>
            <w:noWrap/>
          </w:tcPr>
          <w:p w14:paraId="0F8AA70B" w14:textId="77777777" w:rsidR="00107FCF" w:rsidRPr="00507221" w:rsidRDefault="00107FCF" w:rsidP="00507221">
            <w:pPr>
              <w:spacing w:before="40" w:after="40"/>
              <w:jc w:val="center"/>
              <w:rPr>
                <w:bCs/>
                <w:color w:val="000000"/>
              </w:rPr>
            </w:pPr>
            <w:r w:rsidRPr="00507221">
              <w:rPr>
                <w:bCs/>
                <w:color w:val="000000"/>
              </w:rPr>
              <w:t>Wieprza od Łękawicy do ujścia</w:t>
            </w:r>
          </w:p>
        </w:tc>
        <w:tc>
          <w:tcPr>
            <w:tcW w:w="1559" w:type="dxa"/>
            <w:tcBorders>
              <w:top w:val="double" w:sz="4" w:space="0" w:color="28AAE1"/>
            </w:tcBorders>
          </w:tcPr>
          <w:p w14:paraId="55370B70" w14:textId="77777777" w:rsidR="00107FCF" w:rsidRPr="00507221" w:rsidRDefault="00107FCF" w:rsidP="00507221">
            <w:pPr>
              <w:spacing w:before="40" w:after="40"/>
              <w:jc w:val="center"/>
              <w:rPr>
                <w:bCs/>
                <w:color w:val="000000"/>
                <w:sz w:val="20"/>
                <w:szCs w:val="20"/>
              </w:rPr>
            </w:pPr>
            <w:r w:rsidRPr="00507221">
              <w:rPr>
                <w:bCs/>
                <w:color w:val="000000"/>
                <w:sz w:val="20"/>
                <w:szCs w:val="20"/>
              </w:rPr>
              <w:t>RW6000144699</w:t>
            </w:r>
          </w:p>
        </w:tc>
        <w:tc>
          <w:tcPr>
            <w:tcW w:w="1843" w:type="dxa"/>
            <w:tcBorders>
              <w:top w:val="double" w:sz="4" w:space="0" w:color="28AAE1"/>
            </w:tcBorders>
          </w:tcPr>
          <w:p w14:paraId="3BBEBB9A" w14:textId="77777777" w:rsidR="00107FCF" w:rsidRPr="00507221" w:rsidRDefault="00107FCF" w:rsidP="004674FC">
            <w:pPr>
              <w:pStyle w:val="Akapitzlist1"/>
              <w:tabs>
                <w:tab w:val="left" w:pos="2250"/>
              </w:tabs>
              <w:spacing w:line="240" w:lineRule="auto"/>
              <w:ind w:left="-4"/>
              <w:rPr>
                <w:rFonts w:ascii="Times New Roman" w:eastAsia="MS Mincho" w:hAnsi="Times New Roman"/>
                <w:bCs/>
                <w:color w:val="000000"/>
                <w:sz w:val="24"/>
                <w:szCs w:val="24"/>
                <w:lang w:eastAsia="zh-CN"/>
              </w:rPr>
            </w:pPr>
            <w:r w:rsidRPr="00507221">
              <w:rPr>
                <w:rFonts w:ascii="Times New Roman" w:eastAsia="MS Mincho" w:hAnsi="Times New Roman"/>
                <w:bCs/>
                <w:color w:val="000000"/>
                <w:sz w:val="24"/>
                <w:szCs w:val="24"/>
                <w:lang w:eastAsia="zh-CN"/>
              </w:rPr>
              <w:t xml:space="preserve">Polskie wody przybrzeżne Basenu </w:t>
            </w:r>
            <w:bookmarkStart w:id="112" w:name="OLE_LINK6"/>
            <w:r w:rsidRPr="00507221">
              <w:rPr>
                <w:rFonts w:ascii="Times New Roman" w:eastAsia="MS Mincho" w:hAnsi="Times New Roman"/>
                <w:bCs/>
                <w:color w:val="000000"/>
                <w:sz w:val="24"/>
                <w:szCs w:val="24"/>
                <w:lang w:eastAsia="zh-CN"/>
              </w:rPr>
              <w:t>Bornholmskiego</w:t>
            </w:r>
            <w:bookmarkEnd w:id="112"/>
            <w:r w:rsidRPr="00507221">
              <w:rPr>
                <w:rFonts w:ascii="Times New Roman" w:eastAsia="MS Mincho" w:hAnsi="Times New Roman"/>
                <w:bCs/>
                <w:color w:val="000000"/>
                <w:sz w:val="24"/>
                <w:szCs w:val="24"/>
                <w:lang w:eastAsia="zh-CN"/>
              </w:rPr>
              <w:t xml:space="preserve"> </w:t>
            </w:r>
          </w:p>
        </w:tc>
        <w:tc>
          <w:tcPr>
            <w:tcW w:w="1984" w:type="dxa"/>
            <w:tcBorders>
              <w:top w:val="double" w:sz="4" w:space="0" w:color="28AAE1"/>
            </w:tcBorders>
            <w:noWrap/>
          </w:tcPr>
          <w:p w14:paraId="1F2FDCB6" w14:textId="77777777" w:rsidR="00107FCF" w:rsidRPr="00507221" w:rsidRDefault="00107FCF" w:rsidP="00507221">
            <w:pPr>
              <w:spacing w:before="40" w:after="40"/>
              <w:jc w:val="center"/>
              <w:rPr>
                <w:bCs/>
                <w:color w:val="000000"/>
                <w:sz w:val="20"/>
                <w:szCs w:val="20"/>
              </w:rPr>
            </w:pPr>
            <w:r w:rsidRPr="00507221">
              <w:rPr>
                <w:bCs/>
                <w:color w:val="000000"/>
                <w:sz w:val="20"/>
                <w:szCs w:val="20"/>
              </w:rPr>
              <w:t>CW60001WB3</w:t>
            </w:r>
          </w:p>
        </w:tc>
      </w:tr>
      <w:tr w:rsidR="00107FCF" w:rsidRPr="00507221" w14:paraId="6DF25109" w14:textId="77777777" w:rsidTr="004674FC">
        <w:trPr>
          <w:trHeight w:val="607"/>
        </w:trPr>
        <w:tc>
          <w:tcPr>
            <w:tcW w:w="1526" w:type="dxa"/>
          </w:tcPr>
          <w:p w14:paraId="6119E1CC" w14:textId="77777777" w:rsidR="00107FCF" w:rsidRPr="00507221" w:rsidRDefault="00107FCF" w:rsidP="00507221">
            <w:pPr>
              <w:spacing w:before="60" w:after="60"/>
              <w:rPr>
                <w:b/>
                <w:bCs/>
                <w:color w:val="000000"/>
              </w:rPr>
            </w:pPr>
            <w:r w:rsidRPr="00507221">
              <w:rPr>
                <w:bCs/>
                <w:color w:val="000000"/>
              </w:rPr>
              <w:t>IOP_10</w:t>
            </w:r>
          </w:p>
          <w:p w14:paraId="38F84353" w14:textId="77777777" w:rsidR="00107FCF" w:rsidRPr="00507221" w:rsidRDefault="00107FCF" w:rsidP="00507221">
            <w:pPr>
              <w:spacing w:before="60" w:after="60"/>
              <w:rPr>
                <w:b/>
                <w:bCs/>
                <w:color w:val="000000"/>
              </w:rPr>
            </w:pPr>
            <w:r w:rsidRPr="00507221">
              <w:rPr>
                <w:bCs/>
                <w:color w:val="000000"/>
              </w:rPr>
              <w:t>Stepnica</w:t>
            </w:r>
          </w:p>
        </w:tc>
        <w:tc>
          <w:tcPr>
            <w:tcW w:w="1701" w:type="dxa"/>
            <w:noWrap/>
          </w:tcPr>
          <w:p w14:paraId="273B966E" w14:textId="73580D80" w:rsidR="00107FCF" w:rsidRPr="00507221" w:rsidRDefault="00107FCF" w:rsidP="00507221">
            <w:pPr>
              <w:spacing w:before="40" w:after="40"/>
              <w:jc w:val="center"/>
              <w:rPr>
                <w:bCs/>
                <w:color w:val="000000"/>
              </w:rPr>
            </w:pPr>
            <w:r w:rsidRPr="001F2701">
              <w:t>Gowienica od Dopływu z</w:t>
            </w:r>
            <w:r w:rsidR="004674FC">
              <w:t> </w:t>
            </w:r>
            <w:r w:rsidRPr="001F2701">
              <w:t>Puszczy Goleniowskiej do ujścia</w:t>
            </w:r>
            <w:r>
              <w:t xml:space="preserve"> </w:t>
            </w:r>
          </w:p>
        </w:tc>
        <w:tc>
          <w:tcPr>
            <w:tcW w:w="1559" w:type="dxa"/>
          </w:tcPr>
          <w:p w14:paraId="3406B42E" w14:textId="77777777" w:rsidR="00107FCF" w:rsidRPr="00507221" w:rsidRDefault="00107FCF" w:rsidP="00507221">
            <w:pPr>
              <w:spacing w:before="40" w:after="40"/>
              <w:jc w:val="center"/>
              <w:rPr>
                <w:bCs/>
                <w:color w:val="000000"/>
                <w:sz w:val="20"/>
                <w:szCs w:val="20"/>
              </w:rPr>
            </w:pPr>
            <w:r w:rsidRPr="004674FC">
              <w:rPr>
                <w:sz w:val="20"/>
                <w:szCs w:val="20"/>
              </w:rPr>
              <w:t>RW6000113149</w:t>
            </w:r>
          </w:p>
        </w:tc>
        <w:tc>
          <w:tcPr>
            <w:tcW w:w="1843" w:type="dxa"/>
          </w:tcPr>
          <w:p w14:paraId="003B27B9" w14:textId="77777777" w:rsidR="00107FCF" w:rsidRPr="00507221" w:rsidRDefault="00107FCF" w:rsidP="00507221">
            <w:pPr>
              <w:spacing w:before="40" w:after="40"/>
              <w:jc w:val="center"/>
              <w:rPr>
                <w:bCs/>
                <w:color w:val="000000"/>
              </w:rPr>
            </w:pPr>
            <w:r w:rsidRPr="00507221">
              <w:rPr>
                <w:bCs/>
                <w:color w:val="000000"/>
              </w:rPr>
              <w:t xml:space="preserve">Zalew Szczeciński  </w:t>
            </w:r>
          </w:p>
        </w:tc>
        <w:tc>
          <w:tcPr>
            <w:tcW w:w="1984" w:type="dxa"/>
            <w:noWrap/>
          </w:tcPr>
          <w:p w14:paraId="786FA3F8" w14:textId="77777777" w:rsidR="00107FCF" w:rsidRPr="00507221" w:rsidRDefault="00107FCF" w:rsidP="00507221">
            <w:pPr>
              <w:spacing w:before="40" w:after="40"/>
              <w:jc w:val="center"/>
              <w:rPr>
                <w:bCs/>
                <w:color w:val="000000"/>
                <w:sz w:val="20"/>
                <w:szCs w:val="20"/>
              </w:rPr>
            </w:pPr>
            <w:r w:rsidRPr="00507221">
              <w:rPr>
                <w:bCs/>
                <w:color w:val="000000"/>
                <w:sz w:val="20"/>
                <w:szCs w:val="20"/>
              </w:rPr>
              <w:t>TW60001WB2</w:t>
            </w:r>
          </w:p>
        </w:tc>
      </w:tr>
      <w:tr w:rsidR="00107FCF" w:rsidRPr="00507221" w14:paraId="77F7E12F" w14:textId="77777777" w:rsidTr="004674FC">
        <w:trPr>
          <w:trHeight w:val="275"/>
        </w:trPr>
        <w:tc>
          <w:tcPr>
            <w:tcW w:w="1526" w:type="dxa"/>
          </w:tcPr>
          <w:p w14:paraId="041BBCBC" w14:textId="77777777" w:rsidR="00107FCF" w:rsidRPr="00507221" w:rsidRDefault="00107FCF" w:rsidP="00507221">
            <w:pPr>
              <w:spacing w:before="60" w:after="60"/>
              <w:rPr>
                <w:b/>
                <w:bCs/>
                <w:color w:val="000000"/>
              </w:rPr>
            </w:pPr>
            <w:r w:rsidRPr="00507221">
              <w:rPr>
                <w:bCs/>
                <w:color w:val="000000"/>
              </w:rPr>
              <w:t>IOP_11</w:t>
            </w:r>
          </w:p>
          <w:p w14:paraId="37243284" w14:textId="77777777" w:rsidR="00107FCF" w:rsidRPr="00507221" w:rsidRDefault="00107FCF" w:rsidP="00507221">
            <w:pPr>
              <w:spacing w:before="60" w:after="60"/>
              <w:rPr>
                <w:b/>
                <w:bCs/>
                <w:color w:val="000000"/>
              </w:rPr>
            </w:pPr>
            <w:r w:rsidRPr="00507221">
              <w:rPr>
                <w:bCs/>
                <w:color w:val="000000"/>
              </w:rPr>
              <w:t>Nowe Warpno</w:t>
            </w:r>
          </w:p>
        </w:tc>
        <w:tc>
          <w:tcPr>
            <w:tcW w:w="1701" w:type="dxa"/>
            <w:noWrap/>
          </w:tcPr>
          <w:p w14:paraId="02B2D0F7" w14:textId="77777777" w:rsidR="00107FCF" w:rsidRPr="00507221" w:rsidRDefault="00107FCF" w:rsidP="00507221">
            <w:pPr>
              <w:spacing w:before="40" w:after="40"/>
              <w:jc w:val="center"/>
              <w:rPr>
                <w:bCs/>
                <w:color w:val="000000"/>
              </w:rPr>
            </w:pPr>
            <w:r w:rsidRPr="00507221">
              <w:rPr>
                <w:bCs/>
                <w:color w:val="000000"/>
              </w:rPr>
              <w:t xml:space="preserve">Zalew Szczeciński </w:t>
            </w:r>
          </w:p>
        </w:tc>
        <w:tc>
          <w:tcPr>
            <w:tcW w:w="1559" w:type="dxa"/>
          </w:tcPr>
          <w:p w14:paraId="2107537F" w14:textId="77777777" w:rsidR="00107FCF" w:rsidRPr="00507221" w:rsidRDefault="00107FCF" w:rsidP="00507221">
            <w:pPr>
              <w:spacing w:before="40" w:after="40"/>
              <w:jc w:val="center"/>
              <w:rPr>
                <w:bCs/>
                <w:color w:val="000000"/>
                <w:sz w:val="20"/>
                <w:szCs w:val="20"/>
              </w:rPr>
            </w:pPr>
            <w:r w:rsidRPr="00507221">
              <w:rPr>
                <w:bCs/>
                <w:color w:val="000000"/>
                <w:sz w:val="20"/>
                <w:szCs w:val="20"/>
              </w:rPr>
              <w:t>TW60001WB2</w:t>
            </w:r>
          </w:p>
        </w:tc>
        <w:tc>
          <w:tcPr>
            <w:tcW w:w="1843" w:type="dxa"/>
          </w:tcPr>
          <w:p w14:paraId="311AF8B8" w14:textId="77777777" w:rsidR="00107FCF" w:rsidRPr="00507221" w:rsidRDefault="00107FCF" w:rsidP="00507221">
            <w:pPr>
              <w:spacing w:before="40" w:after="40"/>
              <w:jc w:val="center"/>
              <w:rPr>
                <w:bCs/>
                <w:color w:val="000000"/>
              </w:rPr>
            </w:pPr>
            <w:r w:rsidRPr="00507221">
              <w:rPr>
                <w:bCs/>
                <w:color w:val="000000"/>
              </w:rPr>
              <w:t>-</w:t>
            </w:r>
          </w:p>
        </w:tc>
        <w:tc>
          <w:tcPr>
            <w:tcW w:w="1984" w:type="dxa"/>
            <w:noWrap/>
          </w:tcPr>
          <w:p w14:paraId="72C4838E" w14:textId="77777777" w:rsidR="00107FCF" w:rsidRPr="00507221" w:rsidRDefault="00107FCF" w:rsidP="00507221">
            <w:pPr>
              <w:spacing w:before="40" w:after="40"/>
              <w:jc w:val="center"/>
              <w:rPr>
                <w:bCs/>
                <w:color w:val="000000"/>
                <w:sz w:val="20"/>
                <w:szCs w:val="20"/>
              </w:rPr>
            </w:pPr>
            <w:r w:rsidRPr="00507221">
              <w:rPr>
                <w:bCs/>
                <w:color w:val="000000"/>
                <w:sz w:val="20"/>
                <w:szCs w:val="20"/>
              </w:rPr>
              <w:t>-</w:t>
            </w:r>
          </w:p>
        </w:tc>
      </w:tr>
    </w:tbl>
    <w:p w14:paraId="7B86B8FD" w14:textId="37DD7983" w:rsidR="00107FCF" w:rsidRDefault="00107FCF" w:rsidP="006D41A7">
      <w:pPr>
        <w:pStyle w:val="ReportLevel4"/>
        <w:numPr>
          <w:ilvl w:val="3"/>
          <w:numId w:val="4"/>
        </w:numPr>
      </w:pPr>
      <w:r>
        <w:br w:type="column"/>
      </w:r>
      <w:r w:rsidRPr="00572EA6">
        <w:lastRenderedPageBreak/>
        <w:t>Charakterystyka a</w:t>
      </w:r>
      <w:r w:rsidR="00D408DE">
        <w:t>JCWP</w:t>
      </w:r>
      <w:r w:rsidRPr="00572EA6">
        <w:t xml:space="preserve"> oraz cele środowiskowe i ocena stanu </w:t>
      </w:r>
      <w:r w:rsidR="00D408DE">
        <w:t>JCWP</w:t>
      </w:r>
      <w:r w:rsidRPr="00572EA6">
        <w:t xml:space="preserve"> objętych oddziaływaniem </w:t>
      </w:r>
    </w:p>
    <w:p w14:paraId="7A73B7EB" w14:textId="6EE937AE" w:rsidR="00107FCF" w:rsidRDefault="00107FCF" w:rsidP="00D12DAB">
      <w:pPr>
        <w:pStyle w:val="Akapitzlist1"/>
        <w:tabs>
          <w:tab w:val="left" w:pos="2250"/>
        </w:tabs>
        <w:spacing w:line="240" w:lineRule="auto"/>
        <w:ind w:left="0"/>
        <w:jc w:val="both"/>
        <w:rPr>
          <w:rFonts w:ascii="Times New Roman" w:eastAsia="MS Mincho" w:hAnsi="Times New Roman"/>
          <w:sz w:val="24"/>
          <w:szCs w:val="20"/>
        </w:rPr>
      </w:pPr>
      <w:r w:rsidRPr="00D12DAB">
        <w:rPr>
          <w:rFonts w:ascii="Times New Roman" w:eastAsia="MS Mincho" w:hAnsi="Times New Roman"/>
          <w:sz w:val="24"/>
          <w:szCs w:val="20"/>
        </w:rPr>
        <w:t>Planowane inwestycje zlokalizowane są w obrębie Zalewu Szczecińskiego oraz w</w:t>
      </w:r>
      <w:r w:rsidR="001E2A91">
        <w:rPr>
          <w:rFonts w:ascii="Times New Roman" w:eastAsia="MS Mincho" w:hAnsi="Times New Roman"/>
          <w:sz w:val="24"/>
          <w:szCs w:val="20"/>
        </w:rPr>
        <w:t> </w:t>
      </w:r>
      <w:r w:rsidRPr="00D12DAB">
        <w:rPr>
          <w:rFonts w:ascii="Times New Roman" w:eastAsia="MS Mincho" w:hAnsi="Times New Roman"/>
          <w:sz w:val="24"/>
          <w:szCs w:val="20"/>
        </w:rPr>
        <w:t>ujściowych odcinkach rzek Wieprzy</w:t>
      </w:r>
      <w:r>
        <w:rPr>
          <w:rFonts w:ascii="Times New Roman" w:eastAsia="MS Mincho" w:hAnsi="Times New Roman"/>
          <w:sz w:val="24"/>
          <w:szCs w:val="20"/>
        </w:rPr>
        <w:t xml:space="preserve"> i</w:t>
      </w:r>
      <w:r w:rsidRPr="00D12DAB">
        <w:rPr>
          <w:rFonts w:ascii="Times New Roman" w:eastAsia="MS Mincho" w:hAnsi="Times New Roman"/>
          <w:sz w:val="24"/>
          <w:szCs w:val="20"/>
        </w:rPr>
        <w:t xml:space="preserve"> Gowienicy. Wszystkie </w:t>
      </w:r>
      <w:r w:rsidR="00D408DE">
        <w:rPr>
          <w:rFonts w:ascii="Times New Roman" w:eastAsia="MS Mincho" w:hAnsi="Times New Roman"/>
          <w:sz w:val="24"/>
          <w:szCs w:val="20"/>
        </w:rPr>
        <w:t>JCWP</w:t>
      </w:r>
      <w:r w:rsidRPr="00D12DAB">
        <w:rPr>
          <w:rFonts w:ascii="Times New Roman" w:eastAsia="MS Mincho" w:hAnsi="Times New Roman"/>
          <w:sz w:val="24"/>
          <w:szCs w:val="20"/>
        </w:rPr>
        <w:t xml:space="preserve"> charakteryzuje zły stan wód oraz </w:t>
      </w:r>
      <w:r w:rsidRPr="008965E8">
        <w:rPr>
          <w:rFonts w:ascii="Times New Roman" w:eastAsia="MS Mincho" w:hAnsi="Times New Roman"/>
          <w:sz w:val="24"/>
          <w:szCs w:val="24"/>
        </w:rPr>
        <w:t xml:space="preserve">są one zagrożone nieosiągnięciem celów środowiskowych wskazanych na lata 2022-2027. </w:t>
      </w:r>
      <w:r>
        <w:rPr>
          <w:rFonts w:ascii="Times New Roman" w:hAnsi="Times New Roman"/>
          <w:sz w:val="24"/>
          <w:szCs w:val="24"/>
        </w:rPr>
        <w:t>I</w:t>
      </w:r>
      <w:r w:rsidRPr="008965E8">
        <w:rPr>
          <w:rFonts w:ascii="Times New Roman" w:hAnsi="Times New Roman"/>
          <w:sz w:val="24"/>
          <w:szCs w:val="24"/>
        </w:rPr>
        <w:t>nformacje zawarte w rozdziale pochodzą z drugiej aktualizacji planu gospodarowania wodami na obszarze dorzecza Odry (na lata 2022-2027), który w chwili opracowywania aPZRPM jest jeszcze w fazie projektu.</w:t>
      </w:r>
    </w:p>
    <w:p w14:paraId="4463B5DF" w14:textId="77777777" w:rsidR="00107FCF" w:rsidRDefault="00107FCF" w:rsidP="00D12DAB">
      <w:pPr>
        <w:pStyle w:val="Akapitzlist1"/>
        <w:tabs>
          <w:tab w:val="left" w:pos="2250"/>
        </w:tabs>
        <w:spacing w:line="240" w:lineRule="auto"/>
        <w:ind w:left="0"/>
        <w:jc w:val="both"/>
        <w:rPr>
          <w:rFonts w:ascii="Times New Roman" w:eastAsia="MS Mincho" w:hAnsi="Times New Roman"/>
          <w:sz w:val="24"/>
          <w:szCs w:val="20"/>
        </w:rPr>
      </w:pPr>
    </w:p>
    <w:p w14:paraId="4044FD76" w14:textId="5C6E426D"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4"/>
        </w:rPr>
      </w:pPr>
      <w:r w:rsidRPr="00D12DAB">
        <w:rPr>
          <w:rFonts w:ascii="Times New Roman" w:eastAsia="MS Mincho" w:hAnsi="Times New Roman"/>
          <w:sz w:val="24"/>
          <w:szCs w:val="20"/>
        </w:rPr>
        <w:t xml:space="preserve">Charakterystyka </w:t>
      </w:r>
      <w:r w:rsidR="00D408DE">
        <w:rPr>
          <w:rFonts w:ascii="Times New Roman" w:eastAsia="MS Mincho" w:hAnsi="Times New Roman"/>
          <w:sz w:val="24"/>
          <w:szCs w:val="20"/>
        </w:rPr>
        <w:t>JCWP</w:t>
      </w:r>
      <w:r w:rsidRPr="00D12DAB">
        <w:rPr>
          <w:rFonts w:ascii="Times New Roman" w:eastAsia="MS Mincho" w:hAnsi="Times New Roman"/>
          <w:sz w:val="24"/>
          <w:szCs w:val="20"/>
        </w:rPr>
        <w:t xml:space="preserve"> w obrębie, których zlokalizowane są inwestycje i działania oraz </w:t>
      </w:r>
      <w:r w:rsidR="00D408DE">
        <w:rPr>
          <w:rFonts w:ascii="Times New Roman" w:eastAsia="MS Mincho" w:hAnsi="Times New Roman"/>
          <w:sz w:val="24"/>
          <w:szCs w:val="20"/>
        </w:rPr>
        <w:t>JCWP</w:t>
      </w:r>
      <w:r w:rsidRPr="00D12DAB">
        <w:rPr>
          <w:rFonts w:ascii="Times New Roman" w:eastAsia="MS Mincho" w:hAnsi="Times New Roman"/>
          <w:sz w:val="24"/>
          <w:szCs w:val="20"/>
        </w:rPr>
        <w:t xml:space="preserve"> na które mogą one oddziaływać (wg aktualizacji planów gospodarowania wodami </w:t>
      </w:r>
      <w:r w:rsidRPr="002F7B9D">
        <w:rPr>
          <w:rFonts w:ascii="Times New Roman" w:eastAsia="MS Mincho" w:hAnsi="Times New Roman"/>
          <w:sz w:val="24"/>
          <w:szCs w:val="24"/>
        </w:rPr>
        <w:t>202</w:t>
      </w:r>
      <w:r>
        <w:rPr>
          <w:rFonts w:ascii="Times New Roman" w:eastAsia="MS Mincho" w:hAnsi="Times New Roman"/>
          <w:sz w:val="24"/>
          <w:szCs w:val="24"/>
        </w:rPr>
        <w:t>2</w:t>
      </w:r>
      <w:r w:rsidRPr="002F7B9D">
        <w:rPr>
          <w:rFonts w:ascii="Times New Roman" w:eastAsia="MS Mincho" w:hAnsi="Times New Roman"/>
          <w:sz w:val="24"/>
          <w:szCs w:val="24"/>
        </w:rPr>
        <w:t>-2027):</w:t>
      </w:r>
    </w:p>
    <w:p w14:paraId="31BC5C5A" w14:textId="77777777" w:rsidR="00107FCF" w:rsidRDefault="00107FCF" w:rsidP="00CA0F4A">
      <w:pPr>
        <w:pStyle w:val="Akapitzlist1"/>
        <w:tabs>
          <w:tab w:val="left" w:pos="2250"/>
        </w:tabs>
        <w:spacing w:afterLines="160" w:after="384" w:line="240" w:lineRule="auto"/>
        <w:ind w:left="0"/>
        <w:jc w:val="both"/>
        <w:rPr>
          <w:rFonts w:ascii="Times New Roman" w:eastAsia="MS Mincho" w:hAnsi="Times New Roman"/>
          <w:sz w:val="24"/>
          <w:szCs w:val="24"/>
        </w:rPr>
      </w:pPr>
    </w:p>
    <w:p w14:paraId="5BCA4467" w14:textId="77777777" w:rsidR="001E2A91" w:rsidRDefault="00107FCF" w:rsidP="006D41A7">
      <w:pPr>
        <w:pStyle w:val="Akapitzlist1"/>
        <w:numPr>
          <w:ilvl w:val="0"/>
          <w:numId w:val="39"/>
        </w:numPr>
        <w:tabs>
          <w:tab w:val="left" w:pos="567"/>
        </w:tabs>
        <w:spacing w:afterLines="160" w:after="384" w:line="240" w:lineRule="auto"/>
        <w:ind w:left="567" w:hanging="425"/>
        <w:jc w:val="both"/>
        <w:rPr>
          <w:rFonts w:ascii="Times New Roman" w:eastAsia="MS Mincho" w:hAnsi="Times New Roman"/>
          <w:b/>
          <w:bCs/>
          <w:sz w:val="24"/>
          <w:szCs w:val="24"/>
        </w:rPr>
      </w:pPr>
      <w:r w:rsidRPr="002F7B9D">
        <w:rPr>
          <w:rFonts w:ascii="Times New Roman" w:eastAsia="MS Mincho" w:hAnsi="Times New Roman"/>
          <w:b/>
          <w:bCs/>
          <w:sz w:val="24"/>
          <w:szCs w:val="24"/>
        </w:rPr>
        <w:t xml:space="preserve">Zalew Szczeciński - </w:t>
      </w:r>
      <w:r w:rsidRPr="002F7B9D">
        <w:rPr>
          <w:rFonts w:ascii="Times New Roman" w:hAnsi="Times New Roman"/>
          <w:b/>
          <w:bCs/>
          <w:sz w:val="24"/>
          <w:szCs w:val="24"/>
        </w:rPr>
        <w:t>TW60001WB2</w:t>
      </w:r>
    </w:p>
    <w:p w14:paraId="59C7D001" w14:textId="6DB1F07C" w:rsidR="001E2A91" w:rsidRPr="001E2A91" w:rsidRDefault="00107FCF" w:rsidP="006D41A7">
      <w:pPr>
        <w:pStyle w:val="Akapitzlist1"/>
        <w:numPr>
          <w:ilvl w:val="0"/>
          <w:numId w:val="84"/>
        </w:numPr>
        <w:spacing w:afterLines="160" w:after="384" w:line="240" w:lineRule="auto"/>
        <w:ind w:left="1134" w:hanging="283"/>
        <w:jc w:val="both"/>
        <w:rPr>
          <w:rFonts w:ascii="Times New Roman" w:eastAsia="MS Mincho" w:hAnsi="Times New Roman"/>
          <w:b/>
          <w:bCs/>
          <w:sz w:val="24"/>
          <w:szCs w:val="24"/>
        </w:rPr>
      </w:pPr>
      <w:r w:rsidRPr="001E2A91">
        <w:rPr>
          <w:rFonts w:ascii="Times New Roman" w:hAnsi="Times New Roman"/>
          <w:sz w:val="24"/>
          <w:szCs w:val="24"/>
        </w:rPr>
        <w:t xml:space="preserve">Status/uzasadnienie: </w:t>
      </w:r>
      <w:r w:rsidRPr="001E2A91">
        <w:rPr>
          <w:rFonts w:ascii="Times New Roman" w:hAnsi="Times New Roman"/>
          <w:bCs/>
          <w:sz w:val="24"/>
          <w:szCs w:val="24"/>
        </w:rPr>
        <w:t xml:space="preserve">naturalna część wód, uzasadnienie wyznaczenia: Wskaźnik zmian odporności ekosystemu na presje hydromorfologiczne </w:t>
      </w:r>
      <w:bookmarkStart w:id="113" w:name="OLE_LINK10"/>
      <w:r w:rsidRPr="001E2A91">
        <w:rPr>
          <w:rFonts w:ascii="Times New Roman" w:hAnsi="Times New Roman"/>
          <w:bCs/>
          <w:sz w:val="24"/>
          <w:szCs w:val="24"/>
        </w:rPr>
        <w:t>&lt;10%;</w:t>
      </w:r>
      <w:bookmarkEnd w:id="113"/>
    </w:p>
    <w:p w14:paraId="4240FB61" w14:textId="2BFB7BD4" w:rsidR="001E2A91" w:rsidRDefault="00D408DE" w:rsidP="006D41A7">
      <w:pPr>
        <w:pStyle w:val="Akapitzlist1"/>
        <w:numPr>
          <w:ilvl w:val="0"/>
          <w:numId w:val="82"/>
        </w:numPr>
        <w:spacing w:afterLines="160" w:after="384" w:line="240" w:lineRule="auto"/>
        <w:ind w:left="1134" w:hanging="283"/>
        <w:jc w:val="both"/>
        <w:rPr>
          <w:rFonts w:ascii="Times New Roman" w:hAnsi="Times New Roman"/>
          <w:sz w:val="24"/>
          <w:szCs w:val="24"/>
        </w:rPr>
      </w:pPr>
      <w:r>
        <w:rPr>
          <w:rFonts w:ascii="Times New Roman" w:hAnsi="Times New Roman"/>
          <w:sz w:val="24"/>
          <w:szCs w:val="24"/>
        </w:rPr>
        <w:t>JCWP</w:t>
      </w:r>
      <w:r w:rsidR="00107FCF" w:rsidRPr="001E2A91">
        <w:rPr>
          <w:rFonts w:ascii="Times New Roman" w:hAnsi="Times New Roman"/>
          <w:sz w:val="24"/>
          <w:szCs w:val="24"/>
        </w:rPr>
        <w:t xml:space="preserve">d w obrębie której występuje dana </w:t>
      </w:r>
      <w:r>
        <w:rPr>
          <w:rFonts w:ascii="Times New Roman" w:hAnsi="Times New Roman"/>
          <w:sz w:val="24"/>
          <w:szCs w:val="24"/>
        </w:rPr>
        <w:t>JCWP</w:t>
      </w:r>
      <w:r w:rsidR="00107FCF" w:rsidRPr="001E2A91">
        <w:rPr>
          <w:rFonts w:ascii="Times New Roman" w:hAnsi="Times New Roman"/>
          <w:sz w:val="24"/>
          <w:szCs w:val="24"/>
        </w:rPr>
        <w:t>:</w:t>
      </w:r>
      <w:r w:rsidR="00107FCF" w:rsidRPr="00872296">
        <w:t xml:space="preserve"> </w:t>
      </w:r>
      <w:r w:rsidR="00107FCF" w:rsidRPr="001E2A91">
        <w:rPr>
          <w:rFonts w:ascii="Times New Roman" w:hAnsi="Times New Roman"/>
          <w:sz w:val="24"/>
          <w:szCs w:val="24"/>
        </w:rPr>
        <w:t>PLGW60005; PLGW60007; PLGW60002; PLGW60001; PLGW60003</w:t>
      </w:r>
    </w:p>
    <w:p w14:paraId="5F7D7261" w14:textId="77777777" w:rsidR="001E2A91" w:rsidRDefault="00107FCF" w:rsidP="006D41A7">
      <w:pPr>
        <w:pStyle w:val="Akapitzlist1"/>
        <w:numPr>
          <w:ilvl w:val="0"/>
          <w:numId w:val="82"/>
        </w:numPr>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Ocena stanu wód wykonana*: </w:t>
      </w:r>
      <w:r w:rsidRPr="001E2A91">
        <w:rPr>
          <w:rFonts w:ascii="Times New Roman" w:hAnsi="Times New Roman"/>
          <w:bCs/>
          <w:sz w:val="24"/>
          <w:szCs w:val="24"/>
        </w:rPr>
        <w:t>Zły stan wód</w:t>
      </w:r>
    </w:p>
    <w:p w14:paraId="7B25A182" w14:textId="77777777" w:rsidR="001E2A91" w:rsidRDefault="00107FCF" w:rsidP="006D41A7">
      <w:pPr>
        <w:pStyle w:val="Akapitzlist1"/>
        <w:numPr>
          <w:ilvl w:val="0"/>
          <w:numId w:val="82"/>
        </w:numPr>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Ocena ryzyka (2022-2027): </w:t>
      </w:r>
      <w:r w:rsidRPr="001E2A91">
        <w:rPr>
          <w:rFonts w:ascii="Times New Roman" w:hAnsi="Times New Roman"/>
          <w:bCs/>
          <w:sz w:val="24"/>
          <w:szCs w:val="24"/>
        </w:rPr>
        <w:t>zagrożona</w:t>
      </w:r>
    </w:p>
    <w:p w14:paraId="13E951F2" w14:textId="1047C5AD" w:rsidR="001E2A91" w:rsidRDefault="00107FCF" w:rsidP="006D41A7">
      <w:pPr>
        <w:pStyle w:val="Akapitzlist1"/>
        <w:numPr>
          <w:ilvl w:val="0"/>
          <w:numId w:val="82"/>
        </w:numPr>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Cel środowiskowy </w:t>
      </w:r>
      <w:r w:rsidR="00D408DE">
        <w:rPr>
          <w:rFonts w:ascii="Times New Roman" w:hAnsi="Times New Roman"/>
          <w:sz w:val="24"/>
          <w:szCs w:val="24"/>
        </w:rPr>
        <w:t>JCWP</w:t>
      </w:r>
      <w:r w:rsidRPr="001E2A91">
        <w:rPr>
          <w:rFonts w:ascii="Times New Roman" w:hAnsi="Times New Roman"/>
          <w:sz w:val="24"/>
          <w:szCs w:val="24"/>
        </w:rPr>
        <w:t xml:space="preserve"> wg IIaPGW: </w:t>
      </w:r>
      <w:r w:rsidRPr="001E2A91">
        <w:rPr>
          <w:rFonts w:ascii="Times New Roman" w:hAnsi="Times New Roman"/>
          <w:bCs/>
          <w:sz w:val="24"/>
          <w:szCs w:val="24"/>
        </w:rPr>
        <w:t>dobry stan ekologiczny; zapewnienie drożności cieku dla migracji ichtiofauny od ujścia z Zalewu Szczecińskiego do ujścia do Bałtyku, dobry stan chemiczny.</w:t>
      </w:r>
    </w:p>
    <w:p w14:paraId="667C8E6E" w14:textId="792B20A7" w:rsidR="00107FCF" w:rsidRPr="001E2A91" w:rsidRDefault="00107FCF" w:rsidP="006D41A7">
      <w:pPr>
        <w:pStyle w:val="Akapitzlist1"/>
        <w:numPr>
          <w:ilvl w:val="0"/>
          <w:numId w:val="82"/>
        </w:numPr>
        <w:spacing w:afterLines="160" w:after="384" w:line="240" w:lineRule="auto"/>
        <w:ind w:left="1134" w:hanging="283"/>
        <w:jc w:val="both"/>
        <w:rPr>
          <w:rFonts w:ascii="Times New Roman" w:hAnsi="Times New Roman"/>
          <w:sz w:val="24"/>
          <w:szCs w:val="24"/>
        </w:rPr>
      </w:pPr>
      <w:r w:rsidRPr="001E2A91">
        <w:rPr>
          <w:rFonts w:ascii="Times New Roman" w:eastAsia="MS Mincho" w:hAnsi="Times New Roman"/>
          <w:sz w:val="24"/>
          <w:szCs w:val="24"/>
        </w:rPr>
        <w:t>Uzasadnienie odstępstwa: art. 4.4 RDW -</w:t>
      </w:r>
      <w:r w:rsidRPr="00872296">
        <w:t xml:space="preserve"> </w:t>
      </w:r>
      <w:r w:rsidRPr="001E2A91">
        <w:rPr>
          <w:rFonts w:ascii="Times New Roman" w:eastAsia="MS Mincho" w:hAnsi="Times New Roman"/>
          <w:sz w:val="24"/>
          <w:szCs w:val="24"/>
        </w:rPr>
        <w:t xml:space="preserve">warunki naturalne, dla NSP - brak możliwości technicznych; </w:t>
      </w:r>
    </w:p>
    <w:p w14:paraId="53711037" w14:textId="77777777" w:rsidR="00107FCF" w:rsidRPr="002F7B9D" w:rsidRDefault="00107FCF" w:rsidP="00CA0F4A">
      <w:pPr>
        <w:pStyle w:val="Akapitzlist1"/>
        <w:tabs>
          <w:tab w:val="left" w:pos="2250"/>
        </w:tabs>
        <w:spacing w:afterLines="160" w:after="384" w:line="240" w:lineRule="auto"/>
        <w:jc w:val="both"/>
        <w:rPr>
          <w:rFonts w:ascii="Times New Roman" w:eastAsia="MS Mincho" w:hAnsi="Times New Roman"/>
          <w:sz w:val="24"/>
          <w:szCs w:val="24"/>
        </w:rPr>
      </w:pPr>
    </w:p>
    <w:p w14:paraId="3387EA4B" w14:textId="77777777" w:rsidR="00107FCF" w:rsidRPr="002F7B9D" w:rsidRDefault="00107FCF" w:rsidP="006D41A7">
      <w:pPr>
        <w:pStyle w:val="Akapitzlist1"/>
        <w:numPr>
          <w:ilvl w:val="0"/>
          <w:numId w:val="39"/>
        </w:numPr>
        <w:tabs>
          <w:tab w:val="left" w:pos="567"/>
        </w:tabs>
        <w:spacing w:afterLines="160" w:after="384" w:line="240" w:lineRule="auto"/>
        <w:ind w:left="567" w:hanging="425"/>
        <w:jc w:val="both"/>
        <w:rPr>
          <w:rFonts w:ascii="Times New Roman" w:eastAsia="MS Mincho" w:hAnsi="Times New Roman"/>
          <w:b/>
          <w:bCs/>
          <w:sz w:val="24"/>
          <w:szCs w:val="24"/>
        </w:rPr>
      </w:pPr>
      <w:r w:rsidRPr="002F7B9D">
        <w:rPr>
          <w:rFonts w:ascii="Times New Roman" w:eastAsia="MS Mincho" w:hAnsi="Times New Roman"/>
          <w:b/>
          <w:bCs/>
          <w:sz w:val="24"/>
          <w:szCs w:val="24"/>
        </w:rPr>
        <w:t xml:space="preserve">Polskie wody przybrzeżne Basenu Bornholmskiego - </w:t>
      </w:r>
      <w:r w:rsidRPr="002F7B9D">
        <w:rPr>
          <w:rFonts w:ascii="Times New Roman" w:hAnsi="Times New Roman"/>
          <w:b/>
          <w:bCs/>
          <w:sz w:val="24"/>
          <w:szCs w:val="24"/>
        </w:rPr>
        <w:t>CW60001WB3</w:t>
      </w:r>
    </w:p>
    <w:p w14:paraId="107A28C7" w14:textId="2B392CFB" w:rsidR="001E2A91" w:rsidRDefault="00107FCF" w:rsidP="006D41A7">
      <w:pPr>
        <w:pStyle w:val="Akapitzlist1"/>
        <w:numPr>
          <w:ilvl w:val="0"/>
          <w:numId w:val="83"/>
        </w:numPr>
        <w:tabs>
          <w:tab w:val="left" w:pos="1134"/>
        </w:tabs>
        <w:spacing w:afterLines="160" w:after="384" w:line="240" w:lineRule="auto"/>
        <w:ind w:left="1134" w:hanging="283"/>
        <w:jc w:val="both"/>
        <w:rPr>
          <w:rFonts w:ascii="Times New Roman" w:hAnsi="Times New Roman"/>
          <w:sz w:val="24"/>
          <w:szCs w:val="24"/>
        </w:rPr>
      </w:pPr>
      <w:r w:rsidRPr="002F7B9D">
        <w:rPr>
          <w:rFonts w:ascii="Times New Roman" w:hAnsi="Times New Roman"/>
          <w:sz w:val="24"/>
          <w:szCs w:val="24"/>
        </w:rPr>
        <w:t xml:space="preserve">Status/uzasadnienie: </w:t>
      </w:r>
      <w:r w:rsidRPr="002F7B9D">
        <w:rPr>
          <w:rFonts w:ascii="Times New Roman" w:hAnsi="Times New Roman"/>
          <w:bCs/>
          <w:sz w:val="24"/>
          <w:szCs w:val="24"/>
        </w:rPr>
        <w:t>naturalna część wód, uzasadnienie wyznaczenia: Wskaźnik zmian odporności ekosystemu na presje hydromorfologiczne &lt;15%;</w:t>
      </w:r>
    </w:p>
    <w:p w14:paraId="2C62A1CE" w14:textId="3F83C8BB" w:rsidR="001E2A91" w:rsidRDefault="00D408DE" w:rsidP="006D41A7">
      <w:pPr>
        <w:pStyle w:val="Akapitzlist1"/>
        <w:numPr>
          <w:ilvl w:val="0"/>
          <w:numId w:val="83"/>
        </w:numPr>
        <w:tabs>
          <w:tab w:val="left" w:pos="1134"/>
        </w:tabs>
        <w:spacing w:afterLines="160" w:after="384" w:line="240" w:lineRule="auto"/>
        <w:ind w:left="1134" w:hanging="283"/>
        <w:jc w:val="both"/>
        <w:rPr>
          <w:rFonts w:ascii="Times New Roman" w:hAnsi="Times New Roman"/>
          <w:sz w:val="24"/>
          <w:szCs w:val="24"/>
        </w:rPr>
      </w:pPr>
      <w:r>
        <w:rPr>
          <w:rFonts w:ascii="Times New Roman" w:hAnsi="Times New Roman"/>
          <w:sz w:val="24"/>
          <w:szCs w:val="24"/>
        </w:rPr>
        <w:t>JCWP</w:t>
      </w:r>
      <w:r w:rsidR="00107FCF" w:rsidRPr="001E2A91">
        <w:rPr>
          <w:rFonts w:ascii="Times New Roman" w:hAnsi="Times New Roman"/>
          <w:sz w:val="24"/>
          <w:szCs w:val="24"/>
        </w:rPr>
        <w:t xml:space="preserve">d w obrębie której występuje dana </w:t>
      </w:r>
      <w:r>
        <w:rPr>
          <w:rFonts w:ascii="Times New Roman" w:hAnsi="Times New Roman"/>
          <w:sz w:val="24"/>
          <w:szCs w:val="24"/>
        </w:rPr>
        <w:t>JCWP</w:t>
      </w:r>
      <w:r w:rsidR="00107FCF" w:rsidRPr="001E2A91">
        <w:rPr>
          <w:rFonts w:ascii="Times New Roman" w:hAnsi="Times New Roman"/>
          <w:sz w:val="24"/>
          <w:szCs w:val="24"/>
        </w:rPr>
        <w:t>: PLGW60008; PLGW60009; PLGW600010</w:t>
      </w:r>
    </w:p>
    <w:p w14:paraId="4CB50C81" w14:textId="77777777" w:rsidR="001E2A91" w:rsidRDefault="00107FCF" w:rsidP="006D41A7">
      <w:pPr>
        <w:pStyle w:val="Akapitzlist1"/>
        <w:numPr>
          <w:ilvl w:val="0"/>
          <w:numId w:val="83"/>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Ocena stanu wód wykonana*: </w:t>
      </w:r>
      <w:r w:rsidRPr="001E2A91">
        <w:rPr>
          <w:rFonts w:ascii="Times New Roman" w:hAnsi="Times New Roman"/>
          <w:bCs/>
          <w:sz w:val="24"/>
          <w:szCs w:val="24"/>
        </w:rPr>
        <w:t>Zły stan wód</w:t>
      </w:r>
    </w:p>
    <w:p w14:paraId="486E3B3D" w14:textId="77777777" w:rsidR="001E2A91" w:rsidRDefault="00107FCF" w:rsidP="006D41A7">
      <w:pPr>
        <w:pStyle w:val="Akapitzlist1"/>
        <w:numPr>
          <w:ilvl w:val="0"/>
          <w:numId w:val="83"/>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Ocena ryzyka (2022-2027): </w:t>
      </w:r>
      <w:r w:rsidRPr="001E2A91">
        <w:rPr>
          <w:rFonts w:ascii="Times New Roman" w:hAnsi="Times New Roman"/>
          <w:bCs/>
          <w:sz w:val="24"/>
          <w:szCs w:val="24"/>
        </w:rPr>
        <w:t>zagrożona</w:t>
      </w:r>
    </w:p>
    <w:p w14:paraId="34A8526F" w14:textId="6B23A9C3" w:rsidR="001E2A91" w:rsidRDefault="00107FCF" w:rsidP="006D41A7">
      <w:pPr>
        <w:pStyle w:val="Akapitzlist1"/>
        <w:numPr>
          <w:ilvl w:val="0"/>
          <w:numId w:val="83"/>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Cel środowiskowy </w:t>
      </w:r>
      <w:r w:rsidR="00D408DE">
        <w:rPr>
          <w:rFonts w:ascii="Times New Roman" w:hAnsi="Times New Roman"/>
          <w:sz w:val="24"/>
          <w:szCs w:val="24"/>
        </w:rPr>
        <w:t>JCWP</w:t>
      </w:r>
      <w:r w:rsidRPr="001E2A91">
        <w:rPr>
          <w:rFonts w:ascii="Times New Roman" w:hAnsi="Times New Roman"/>
          <w:sz w:val="24"/>
          <w:szCs w:val="24"/>
        </w:rPr>
        <w:t xml:space="preserve"> wg IIaPGW: </w:t>
      </w:r>
      <w:r w:rsidRPr="001E2A91">
        <w:rPr>
          <w:rFonts w:ascii="Times New Roman" w:hAnsi="Times New Roman"/>
          <w:bCs/>
          <w:sz w:val="24"/>
          <w:szCs w:val="24"/>
        </w:rPr>
        <w:t>Dobry stan ekologiczny, dobry stan chemiczny.</w:t>
      </w:r>
    </w:p>
    <w:p w14:paraId="4924810B" w14:textId="02D4B174" w:rsidR="001E2A91" w:rsidRPr="001E2A91" w:rsidRDefault="00107FCF" w:rsidP="006D41A7">
      <w:pPr>
        <w:pStyle w:val="Akapitzlist1"/>
        <w:numPr>
          <w:ilvl w:val="0"/>
          <w:numId w:val="83"/>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eastAsia="MS Mincho" w:hAnsi="Times New Roman"/>
          <w:sz w:val="24"/>
          <w:szCs w:val="24"/>
        </w:rPr>
        <w:t>Uzasadnienie odstępstwa: art. 4.4 RDW -</w:t>
      </w:r>
      <w:r w:rsidRPr="00872296">
        <w:t xml:space="preserve"> </w:t>
      </w:r>
      <w:r w:rsidRPr="001E2A91">
        <w:rPr>
          <w:rFonts w:ascii="Times New Roman" w:eastAsia="MS Mincho" w:hAnsi="Times New Roman"/>
          <w:sz w:val="24"/>
          <w:szCs w:val="24"/>
        </w:rPr>
        <w:t xml:space="preserve">warunki naturalne, dla NSP - brak możliwości technicznych; </w:t>
      </w:r>
    </w:p>
    <w:p w14:paraId="6A6A840B" w14:textId="77777777" w:rsidR="001E2A91" w:rsidRPr="001E2A91" w:rsidRDefault="001E2A91" w:rsidP="006D41A7">
      <w:pPr>
        <w:pStyle w:val="Akapitzlist1"/>
        <w:numPr>
          <w:ilvl w:val="0"/>
          <w:numId w:val="39"/>
        </w:numPr>
        <w:tabs>
          <w:tab w:val="left" w:pos="1134"/>
        </w:tabs>
        <w:spacing w:afterLines="160" w:after="384" w:line="240" w:lineRule="auto"/>
        <w:ind w:left="567" w:hanging="425"/>
        <w:jc w:val="center"/>
        <w:rPr>
          <w:rFonts w:ascii="Times New Roman" w:eastAsia="MS Mincho" w:hAnsi="Times New Roman"/>
          <w:b/>
          <w:bCs/>
          <w:sz w:val="24"/>
          <w:szCs w:val="24"/>
        </w:rPr>
      </w:pPr>
    </w:p>
    <w:p w14:paraId="35E17107" w14:textId="353EE6AE" w:rsidR="00107FCF" w:rsidRPr="001E2A91" w:rsidRDefault="00107FCF" w:rsidP="006D41A7">
      <w:pPr>
        <w:pStyle w:val="Akapitzlist1"/>
        <w:numPr>
          <w:ilvl w:val="0"/>
          <w:numId w:val="39"/>
        </w:numPr>
        <w:tabs>
          <w:tab w:val="left" w:pos="567"/>
        </w:tabs>
        <w:spacing w:afterLines="160" w:after="384" w:line="240" w:lineRule="auto"/>
        <w:ind w:left="567" w:hanging="425"/>
        <w:jc w:val="center"/>
        <w:rPr>
          <w:rFonts w:ascii="Times New Roman" w:eastAsia="MS Mincho" w:hAnsi="Times New Roman"/>
          <w:b/>
          <w:bCs/>
          <w:sz w:val="24"/>
          <w:szCs w:val="24"/>
        </w:rPr>
      </w:pPr>
      <w:r w:rsidRPr="001E2A91">
        <w:rPr>
          <w:rFonts w:ascii="Times New Roman" w:hAnsi="Times New Roman"/>
          <w:b/>
          <w:sz w:val="24"/>
          <w:szCs w:val="24"/>
        </w:rPr>
        <w:t>Gowienica od Dopływu z Puszczy Goleniowskiej do ujścia RW6000113149</w:t>
      </w:r>
    </w:p>
    <w:p w14:paraId="4F7A4974" w14:textId="77777777" w:rsidR="001E2A91" w:rsidRDefault="00107FCF" w:rsidP="006D41A7">
      <w:pPr>
        <w:pStyle w:val="Akapitzlist1"/>
        <w:numPr>
          <w:ilvl w:val="0"/>
          <w:numId w:val="85"/>
        </w:numPr>
        <w:tabs>
          <w:tab w:val="left" w:pos="1134"/>
        </w:tabs>
        <w:spacing w:afterLines="160" w:after="384" w:line="240" w:lineRule="auto"/>
        <w:ind w:left="1134" w:hanging="283"/>
        <w:jc w:val="both"/>
        <w:rPr>
          <w:rFonts w:ascii="Times New Roman" w:hAnsi="Times New Roman"/>
          <w:sz w:val="24"/>
          <w:szCs w:val="24"/>
        </w:rPr>
      </w:pPr>
      <w:r w:rsidRPr="002F7B9D">
        <w:rPr>
          <w:rFonts w:ascii="Times New Roman" w:hAnsi="Times New Roman"/>
          <w:sz w:val="24"/>
          <w:szCs w:val="24"/>
        </w:rPr>
        <w:t xml:space="preserve">Status/uzasadnienie: </w:t>
      </w:r>
      <w:r w:rsidRPr="002F7B9D">
        <w:rPr>
          <w:rFonts w:ascii="Times New Roman" w:hAnsi="Times New Roman"/>
          <w:bCs/>
          <w:sz w:val="24"/>
          <w:szCs w:val="24"/>
        </w:rPr>
        <w:t>naturalna</w:t>
      </w:r>
      <w:r>
        <w:rPr>
          <w:rFonts w:ascii="Times New Roman" w:hAnsi="Times New Roman"/>
          <w:bCs/>
          <w:sz w:val="24"/>
          <w:szCs w:val="24"/>
        </w:rPr>
        <w:t>, HIR 0,769</w:t>
      </w:r>
    </w:p>
    <w:p w14:paraId="45E737DD" w14:textId="07E2B528" w:rsidR="001E2A91" w:rsidRDefault="00D408DE" w:rsidP="006D41A7">
      <w:pPr>
        <w:pStyle w:val="Akapitzlist1"/>
        <w:numPr>
          <w:ilvl w:val="0"/>
          <w:numId w:val="85"/>
        </w:numPr>
        <w:tabs>
          <w:tab w:val="left" w:pos="1134"/>
        </w:tabs>
        <w:spacing w:afterLines="160" w:after="384" w:line="240" w:lineRule="auto"/>
        <w:ind w:left="1134" w:hanging="283"/>
        <w:jc w:val="both"/>
        <w:rPr>
          <w:rFonts w:ascii="Times New Roman" w:hAnsi="Times New Roman"/>
          <w:sz w:val="24"/>
          <w:szCs w:val="24"/>
        </w:rPr>
      </w:pPr>
      <w:r>
        <w:rPr>
          <w:rFonts w:ascii="Times New Roman" w:hAnsi="Times New Roman"/>
          <w:sz w:val="24"/>
          <w:szCs w:val="24"/>
        </w:rPr>
        <w:t>JCWP</w:t>
      </w:r>
      <w:r w:rsidR="00107FCF" w:rsidRPr="001E2A91">
        <w:rPr>
          <w:rFonts w:ascii="Times New Roman" w:hAnsi="Times New Roman"/>
          <w:sz w:val="24"/>
          <w:szCs w:val="24"/>
        </w:rPr>
        <w:t xml:space="preserve">d w obrębie której występuje dana </w:t>
      </w:r>
      <w:r>
        <w:rPr>
          <w:rFonts w:ascii="Times New Roman" w:hAnsi="Times New Roman"/>
          <w:sz w:val="24"/>
          <w:szCs w:val="24"/>
        </w:rPr>
        <w:t>JCWP</w:t>
      </w:r>
      <w:r w:rsidR="00107FCF" w:rsidRPr="001E2A91">
        <w:rPr>
          <w:rFonts w:ascii="Times New Roman" w:hAnsi="Times New Roman"/>
          <w:sz w:val="24"/>
          <w:szCs w:val="24"/>
        </w:rPr>
        <w:t>: PLGW60002</w:t>
      </w:r>
    </w:p>
    <w:p w14:paraId="00BACB9B" w14:textId="77777777" w:rsidR="001E2A91" w:rsidRDefault="00107FCF" w:rsidP="006D41A7">
      <w:pPr>
        <w:pStyle w:val="Akapitzlist1"/>
        <w:numPr>
          <w:ilvl w:val="0"/>
          <w:numId w:val="85"/>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Ocena stanu wód wykonana*: </w:t>
      </w:r>
      <w:r w:rsidRPr="001E2A91">
        <w:rPr>
          <w:rFonts w:ascii="Times New Roman" w:hAnsi="Times New Roman"/>
          <w:bCs/>
          <w:sz w:val="24"/>
          <w:szCs w:val="24"/>
        </w:rPr>
        <w:t>Zły stan wód</w:t>
      </w:r>
    </w:p>
    <w:p w14:paraId="071CDA3B" w14:textId="77777777" w:rsidR="001E2A91" w:rsidRDefault="00107FCF" w:rsidP="006D41A7">
      <w:pPr>
        <w:pStyle w:val="Akapitzlist1"/>
        <w:numPr>
          <w:ilvl w:val="0"/>
          <w:numId w:val="85"/>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hAnsi="Times New Roman"/>
          <w:sz w:val="24"/>
          <w:szCs w:val="24"/>
        </w:rPr>
        <w:t xml:space="preserve">Ocena ryzyka (2022-2027): </w:t>
      </w:r>
      <w:r w:rsidRPr="001E2A91">
        <w:rPr>
          <w:rFonts w:ascii="Times New Roman" w:hAnsi="Times New Roman"/>
          <w:bCs/>
          <w:sz w:val="24"/>
          <w:szCs w:val="24"/>
        </w:rPr>
        <w:t>zagrożona</w:t>
      </w:r>
    </w:p>
    <w:p w14:paraId="0E1C145E" w14:textId="626A5047" w:rsidR="001E2A91" w:rsidRDefault="001E2A91" w:rsidP="006D41A7">
      <w:pPr>
        <w:pStyle w:val="Akapitzlist1"/>
        <w:numPr>
          <w:ilvl w:val="0"/>
          <w:numId w:val="85"/>
        </w:numPr>
        <w:tabs>
          <w:tab w:val="left" w:pos="1134"/>
        </w:tabs>
        <w:spacing w:afterLines="160" w:after="384" w:line="240" w:lineRule="auto"/>
        <w:ind w:left="1134" w:hanging="283"/>
        <w:jc w:val="both"/>
        <w:rPr>
          <w:rFonts w:ascii="Times New Roman" w:hAnsi="Times New Roman"/>
          <w:sz w:val="24"/>
          <w:szCs w:val="24"/>
        </w:rPr>
      </w:pPr>
      <w:r>
        <w:rPr>
          <w:rFonts w:ascii="Times New Roman" w:hAnsi="Times New Roman"/>
          <w:sz w:val="24"/>
          <w:szCs w:val="24"/>
        </w:rPr>
        <w:br w:type="column"/>
      </w:r>
      <w:r w:rsidR="00107FCF" w:rsidRPr="001E2A91">
        <w:rPr>
          <w:rFonts w:ascii="Times New Roman" w:hAnsi="Times New Roman"/>
          <w:sz w:val="24"/>
          <w:szCs w:val="24"/>
        </w:rPr>
        <w:lastRenderedPageBreak/>
        <w:t xml:space="preserve">Cel środowiskowy </w:t>
      </w:r>
      <w:r w:rsidR="00D408DE">
        <w:rPr>
          <w:rFonts w:ascii="Times New Roman" w:hAnsi="Times New Roman"/>
          <w:sz w:val="24"/>
          <w:szCs w:val="24"/>
        </w:rPr>
        <w:t>JCWP</w:t>
      </w:r>
      <w:r w:rsidR="00107FCF" w:rsidRPr="001E2A91">
        <w:rPr>
          <w:rFonts w:ascii="Times New Roman" w:hAnsi="Times New Roman"/>
          <w:sz w:val="24"/>
          <w:szCs w:val="24"/>
        </w:rPr>
        <w:t xml:space="preserve"> wg IIaPGW: </w:t>
      </w:r>
      <w:r w:rsidR="00107FCF" w:rsidRPr="001E2A91">
        <w:rPr>
          <w:rFonts w:ascii="Times New Roman" w:hAnsi="Times New Roman"/>
          <w:bCs/>
          <w:sz w:val="24"/>
          <w:szCs w:val="24"/>
        </w:rPr>
        <w:t>dobry stan ekologiczny, zapewnienie drożności cieku dla migracji ichtiofauny o ile jest monitorowany wskaźnik diadromiczny D; zapewnienie drożności cieku według wymagań gatunków chronionych, stan chemiczny, dla złagodzonych wskaźników przedstawionych kolumnie 35 - benzo(a)piren(w), poniżej stanu dobrego, dla pozostałych wskaźników - stan dobry, Ponadkorytowy charakter przepływu Q50 i niezredukowana antropogenicznie częstotliwość jego występowania (wylewy potrzebne dla: 91E0 w Ostoja Goleniowska PLH320013, ptaki w Puszcza Goleniowska PLB320012), Stan hydromorfologiczny wg wymogu dla rzek włosienicznikowych - przedm. ochr. w obsz. Natura 2000: Ostoja Goleniowska PLH320013.</w:t>
      </w:r>
      <w:r w:rsidR="00107FCF" w:rsidRPr="00F5513D">
        <w:t xml:space="preserve"> </w:t>
      </w:r>
      <w:r w:rsidR="00107FCF" w:rsidRPr="001E2A91">
        <w:rPr>
          <w:rFonts w:ascii="Times New Roman" w:hAnsi="Times New Roman"/>
          <w:bCs/>
          <w:sz w:val="24"/>
          <w:szCs w:val="24"/>
        </w:rPr>
        <w:t xml:space="preserve">Spełnienie celu wskazanego w rejestrze wykazu obszarów chronionych do ochrony siedlisk i gatunków dla obszarów przypisanych </w:t>
      </w:r>
      <w:r w:rsidR="00D408DE">
        <w:rPr>
          <w:rFonts w:ascii="Times New Roman" w:hAnsi="Times New Roman"/>
          <w:bCs/>
          <w:sz w:val="24"/>
          <w:szCs w:val="24"/>
        </w:rPr>
        <w:t>JCWP</w:t>
      </w:r>
      <w:r w:rsidR="00107FCF" w:rsidRPr="001E2A91">
        <w:rPr>
          <w:rFonts w:ascii="Times New Roman" w:hAnsi="Times New Roman"/>
          <w:bCs/>
          <w:sz w:val="24"/>
          <w:szCs w:val="24"/>
        </w:rPr>
        <w:t>.</w:t>
      </w:r>
    </w:p>
    <w:p w14:paraId="4226ADC2" w14:textId="27073600" w:rsidR="00107FCF" w:rsidRPr="001E2A91" w:rsidRDefault="001E2A91" w:rsidP="006D41A7">
      <w:pPr>
        <w:pStyle w:val="Akapitzlist1"/>
        <w:numPr>
          <w:ilvl w:val="0"/>
          <w:numId w:val="85"/>
        </w:numPr>
        <w:tabs>
          <w:tab w:val="left" w:pos="1134"/>
        </w:tabs>
        <w:spacing w:afterLines="160" w:after="384" w:line="240" w:lineRule="auto"/>
        <w:ind w:left="1134" w:hanging="283"/>
        <w:jc w:val="both"/>
        <w:rPr>
          <w:rFonts w:ascii="Times New Roman" w:hAnsi="Times New Roman"/>
          <w:sz w:val="24"/>
          <w:szCs w:val="24"/>
        </w:rPr>
      </w:pPr>
      <w:r w:rsidRPr="001E2A91">
        <w:rPr>
          <w:rFonts w:ascii="Times New Roman" w:hAnsi="Times New Roman"/>
          <w:bCs/>
          <w:sz w:val="24"/>
          <w:szCs w:val="24"/>
        </w:rPr>
        <w:t>U</w:t>
      </w:r>
      <w:r w:rsidR="00107FCF" w:rsidRPr="001E2A91">
        <w:rPr>
          <w:rFonts w:ascii="Times New Roman" w:hAnsi="Times New Roman"/>
          <w:bCs/>
          <w:sz w:val="24"/>
          <w:szCs w:val="24"/>
        </w:rPr>
        <w:t>zasadnienie odstępstw</w:t>
      </w:r>
      <w:r>
        <w:rPr>
          <w:rFonts w:ascii="Times New Roman" w:hAnsi="Times New Roman"/>
          <w:bCs/>
          <w:sz w:val="24"/>
          <w:szCs w:val="24"/>
        </w:rPr>
        <w:t>a</w:t>
      </w:r>
      <w:r w:rsidR="00107FCF" w:rsidRPr="001E2A91">
        <w:rPr>
          <w:rFonts w:ascii="Times New Roman" w:hAnsi="Times New Roman"/>
          <w:bCs/>
          <w:sz w:val="24"/>
          <w:szCs w:val="24"/>
        </w:rPr>
        <w:t>:</w:t>
      </w:r>
      <w:r w:rsidR="00107FCF" w:rsidRPr="0054082E">
        <w:t xml:space="preserve"> </w:t>
      </w:r>
      <w:r w:rsidR="00107FCF" w:rsidRPr="001E2A91">
        <w:rPr>
          <w:rFonts w:ascii="Times New Roman" w:hAnsi="Times New Roman"/>
          <w:bCs/>
          <w:sz w:val="24"/>
          <w:szCs w:val="24"/>
        </w:rPr>
        <w:t>art. 4.4 RDW: warunki naturalne, art. 4.5 RDW: brak możliwości technicznych</w:t>
      </w:r>
    </w:p>
    <w:p w14:paraId="60E4D0B4" w14:textId="77777777" w:rsidR="00107FCF" w:rsidRPr="002F7B9D" w:rsidRDefault="00107FCF" w:rsidP="00CA0F4A">
      <w:pPr>
        <w:pStyle w:val="Akapitzlist1"/>
        <w:tabs>
          <w:tab w:val="left" w:pos="2250"/>
        </w:tabs>
        <w:spacing w:afterLines="160" w:after="384" w:line="240" w:lineRule="auto"/>
        <w:jc w:val="both"/>
        <w:rPr>
          <w:rFonts w:ascii="Times New Roman" w:eastAsia="MS Mincho" w:hAnsi="Times New Roman"/>
          <w:sz w:val="24"/>
          <w:szCs w:val="24"/>
        </w:rPr>
      </w:pPr>
    </w:p>
    <w:p w14:paraId="45277271" w14:textId="77777777" w:rsidR="00107FCF" w:rsidRPr="002F7B9D" w:rsidRDefault="00107FCF" w:rsidP="006D41A7">
      <w:pPr>
        <w:pStyle w:val="Akapitzlist1"/>
        <w:numPr>
          <w:ilvl w:val="0"/>
          <w:numId w:val="39"/>
        </w:numPr>
        <w:tabs>
          <w:tab w:val="left" w:pos="567"/>
        </w:tabs>
        <w:spacing w:afterLines="160" w:after="384" w:line="240" w:lineRule="auto"/>
        <w:ind w:left="567" w:hanging="425"/>
        <w:jc w:val="both"/>
        <w:rPr>
          <w:rFonts w:ascii="Times New Roman" w:eastAsia="MS Mincho" w:hAnsi="Times New Roman"/>
          <w:b/>
          <w:bCs/>
          <w:sz w:val="24"/>
          <w:szCs w:val="24"/>
        </w:rPr>
      </w:pPr>
      <w:r w:rsidRPr="002F7B9D">
        <w:rPr>
          <w:rFonts w:ascii="Times New Roman" w:eastAsia="MS Mincho" w:hAnsi="Times New Roman"/>
          <w:b/>
          <w:bCs/>
          <w:sz w:val="24"/>
          <w:szCs w:val="24"/>
        </w:rPr>
        <w:t xml:space="preserve">Wieprza od Łękawicy do ujścia - </w:t>
      </w:r>
      <w:r w:rsidRPr="002F7B9D">
        <w:rPr>
          <w:rFonts w:ascii="Times New Roman" w:hAnsi="Times New Roman"/>
          <w:b/>
          <w:bCs/>
          <w:sz w:val="24"/>
          <w:szCs w:val="24"/>
        </w:rPr>
        <w:t>RW6000144699</w:t>
      </w:r>
    </w:p>
    <w:p w14:paraId="205A1467" w14:textId="77777777" w:rsidR="001E2A91" w:rsidRDefault="00107FCF" w:rsidP="006D41A7">
      <w:pPr>
        <w:pStyle w:val="Akapitzlist1"/>
        <w:numPr>
          <w:ilvl w:val="0"/>
          <w:numId w:val="86"/>
        </w:numPr>
        <w:tabs>
          <w:tab w:val="left" w:pos="1134"/>
        </w:tabs>
        <w:spacing w:afterLines="160" w:after="384" w:line="240" w:lineRule="auto"/>
        <w:ind w:left="1134" w:hanging="283"/>
        <w:jc w:val="both"/>
        <w:rPr>
          <w:rFonts w:ascii="Times New Roman" w:hAnsi="Times New Roman"/>
          <w:bCs/>
          <w:sz w:val="24"/>
          <w:szCs w:val="24"/>
        </w:rPr>
      </w:pPr>
      <w:r w:rsidRPr="002F7B9D">
        <w:rPr>
          <w:rFonts w:ascii="Times New Roman" w:hAnsi="Times New Roman"/>
          <w:sz w:val="24"/>
          <w:szCs w:val="24"/>
        </w:rPr>
        <w:t xml:space="preserve">Status/uzasadnienie: </w:t>
      </w:r>
      <w:r w:rsidRPr="002F7B9D">
        <w:rPr>
          <w:rFonts w:ascii="Times New Roman" w:hAnsi="Times New Roman"/>
          <w:bCs/>
          <w:sz w:val="24"/>
          <w:szCs w:val="24"/>
        </w:rPr>
        <w:t xml:space="preserve">Silnie zmieniona część wód; </w:t>
      </w:r>
      <w:r w:rsidRPr="00872296">
        <w:rPr>
          <w:rFonts w:ascii="Times New Roman" w:hAnsi="Times New Roman"/>
          <w:bCs/>
          <w:sz w:val="24"/>
          <w:szCs w:val="24"/>
        </w:rPr>
        <w:t>brak możliwości skutecznego odwrócenia zmian hydromorfologicznych, brak alternatyw dla pełnionych funkcji</w:t>
      </w:r>
      <w:r>
        <w:rPr>
          <w:rFonts w:ascii="Times New Roman" w:hAnsi="Times New Roman"/>
          <w:bCs/>
          <w:sz w:val="24"/>
          <w:szCs w:val="24"/>
        </w:rPr>
        <w:t xml:space="preserve">, </w:t>
      </w:r>
      <w:r w:rsidRPr="00872296">
        <w:rPr>
          <w:rFonts w:ascii="Times New Roman" w:hAnsi="Times New Roman"/>
          <w:bCs/>
          <w:sz w:val="24"/>
          <w:szCs w:val="24"/>
        </w:rPr>
        <w:t>HIR≤0,40 oraz wyznaczenie jako SZCW w poprzednim cyklu planistycznym</w:t>
      </w:r>
      <w:r>
        <w:rPr>
          <w:rFonts w:ascii="Times New Roman" w:hAnsi="Times New Roman"/>
          <w:bCs/>
          <w:sz w:val="24"/>
          <w:szCs w:val="24"/>
        </w:rPr>
        <w:t xml:space="preserve">, </w:t>
      </w:r>
      <w:r w:rsidRPr="00872296">
        <w:rPr>
          <w:rFonts w:ascii="Times New Roman" w:hAnsi="Times New Roman"/>
          <w:bCs/>
          <w:sz w:val="24"/>
          <w:szCs w:val="24"/>
        </w:rPr>
        <w:t>zapory, bariery, przegrody (zabudowa poprzeczna); zmiany fizyczne koryta /strefy nadbrzeżnej, zabudowa podłużna</w:t>
      </w:r>
      <w:r>
        <w:rPr>
          <w:rFonts w:ascii="Times New Roman" w:hAnsi="Times New Roman"/>
          <w:bCs/>
          <w:sz w:val="24"/>
          <w:szCs w:val="24"/>
        </w:rPr>
        <w:t xml:space="preserve">, </w:t>
      </w:r>
      <w:r w:rsidRPr="00872296">
        <w:rPr>
          <w:rFonts w:ascii="Times New Roman" w:hAnsi="Times New Roman"/>
          <w:bCs/>
          <w:sz w:val="24"/>
          <w:szCs w:val="24"/>
        </w:rPr>
        <w:t>transport - żegluga (Port morski Darłowo); rozwój obszarów miejskich - inne: zabudowa; ochrona przeciwpowodziowa</w:t>
      </w:r>
    </w:p>
    <w:p w14:paraId="681F5333" w14:textId="37BD6A91" w:rsidR="001E2A91" w:rsidRDefault="00D408DE" w:rsidP="006D41A7">
      <w:pPr>
        <w:pStyle w:val="Akapitzlist1"/>
        <w:numPr>
          <w:ilvl w:val="0"/>
          <w:numId w:val="86"/>
        </w:numPr>
        <w:tabs>
          <w:tab w:val="left" w:pos="1134"/>
        </w:tabs>
        <w:spacing w:afterLines="160" w:after="384" w:line="240" w:lineRule="auto"/>
        <w:ind w:left="1134" w:hanging="283"/>
        <w:jc w:val="both"/>
        <w:rPr>
          <w:rFonts w:ascii="Times New Roman" w:hAnsi="Times New Roman"/>
          <w:bCs/>
          <w:sz w:val="24"/>
          <w:szCs w:val="24"/>
        </w:rPr>
      </w:pPr>
      <w:r>
        <w:rPr>
          <w:rFonts w:ascii="Times New Roman" w:hAnsi="Times New Roman"/>
          <w:sz w:val="24"/>
          <w:szCs w:val="24"/>
        </w:rPr>
        <w:t>JCWP</w:t>
      </w:r>
      <w:r w:rsidR="00107FCF" w:rsidRPr="001E2A91">
        <w:rPr>
          <w:rFonts w:ascii="Times New Roman" w:hAnsi="Times New Roman"/>
          <w:sz w:val="24"/>
          <w:szCs w:val="24"/>
        </w:rPr>
        <w:t xml:space="preserve">d w obrębie której występuje dana </w:t>
      </w:r>
      <w:r>
        <w:rPr>
          <w:rFonts w:ascii="Times New Roman" w:hAnsi="Times New Roman"/>
          <w:sz w:val="24"/>
          <w:szCs w:val="24"/>
        </w:rPr>
        <w:t>JCWP</w:t>
      </w:r>
      <w:r w:rsidR="00107FCF" w:rsidRPr="001E2A91">
        <w:rPr>
          <w:rFonts w:ascii="Times New Roman" w:hAnsi="Times New Roman"/>
          <w:sz w:val="24"/>
          <w:szCs w:val="24"/>
        </w:rPr>
        <w:t xml:space="preserve">: </w:t>
      </w:r>
      <w:r w:rsidR="00107FCF" w:rsidRPr="001E2A91">
        <w:rPr>
          <w:rFonts w:ascii="Times New Roman" w:hAnsi="Times New Roman"/>
          <w:bCs/>
          <w:sz w:val="24"/>
          <w:szCs w:val="24"/>
        </w:rPr>
        <w:t>PLGW600010;</w:t>
      </w:r>
    </w:p>
    <w:p w14:paraId="5F6BB743" w14:textId="77777777" w:rsidR="001E2A91" w:rsidRDefault="00107FCF" w:rsidP="006D41A7">
      <w:pPr>
        <w:pStyle w:val="Akapitzlist1"/>
        <w:numPr>
          <w:ilvl w:val="0"/>
          <w:numId w:val="86"/>
        </w:numPr>
        <w:tabs>
          <w:tab w:val="left" w:pos="1134"/>
        </w:tabs>
        <w:spacing w:afterLines="160" w:after="384" w:line="240" w:lineRule="auto"/>
        <w:ind w:left="1134" w:hanging="283"/>
        <w:jc w:val="both"/>
        <w:rPr>
          <w:rFonts w:ascii="Times New Roman" w:hAnsi="Times New Roman"/>
          <w:bCs/>
          <w:sz w:val="24"/>
          <w:szCs w:val="24"/>
        </w:rPr>
      </w:pPr>
      <w:r w:rsidRPr="001E2A91">
        <w:rPr>
          <w:rFonts w:ascii="Times New Roman" w:hAnsi="Times New Roman"/>
          <w:sz w:val="24"/>
          <w:szCs w:val="24"/>
        </w:rPr>
        <w:t xml:space="preserve">Ocena stanu wód wykonana*: </w:t>
      </w:r>
      <w:r w:rsidRPr="001E2A91">
        <w:rPr>
          <w:rFonts w:ascii="Times New Roman" w:hAnsi="Times New Roman"/>
          <w:bCs/>
          <w:sz w:val="24"/>
          <w:szCs w:val="24"/>
        </w:rPr>
        <w:t>Zły stan wód;</w:t>
      </w:r>
    </w:p>
    <w:p w14:paraId="4F02CE34" w14:textId="77777777" w:rsidR="001E2A91" w:rsidRDefault="00107FCF" w:rsidP="006D41A7">
      <w:pPr>
        <w:pStyle w:val="Akapitzlist1"/>
        <w:numPr>
          <w:ilvl w:val="0"/>
          <w:numId w:val="86"/>
        </w:numPr>
        <w:tabs>
          <w:tab w:val="left" w:pos="1134"/>
        </w:tabs>
        <w:spacing w:afterLines="160" w:after="384" w:line="240" w:lineRule="auto"/>
        <w:ind w:left="1134" w:hanging="283"/>
        <w:jc w:val="both"/>
        <w:rPr>
          <w:rFonts w:ascii="Times New Roman" w:hAnsi="Times New Roman"/>
          <w:bCs/>
          <w:sz w:val="24"/>
          <w:szCs w:val="24"/>
        </w:rPr>
      </w:pPr>
      <w:r w:rsidRPr="001E2A91">
        <w:rPr>
          <w:rFonts w:ascii="Times New Roman" w:hAnsi="Times New Roman"/>
          <w:sz w:val="24"/>
          <w:szCs w:val="24"/>
        </w:rPr>
        <w:t xml:space="preserve">Ocena ryzyka (2022-2027): </w:t>
      </w:r>
      <w:r w:rsidRPr="001E2A91">
        <w:rPr>
          <w:rFonts w:ascii="Times New Roman" w:hAnsi="Times New Roman"/>
          <w:bCs/>
          <w:sz w:val="24"/>
          <w:szCs w:val="24"/>
        </w:rPr>
        <w:t>zagrożona</w:t>
      </w:r>
    </w:p>
    <w:p w14:paraId="5C58D055" w14:textId="732D4EA5" w:rsidR="001E2A91" w:rsidRDefault="00107FCF" w:rsidP="006D41A7">
      <w:pPr>
        <w:pStyle w:val="Akapitzlist1"/>
        <w:numPr>
          <w:ilvl w:val="0"/>
          <w:numId w:val="86"/>
        </w:numPr>
        <w:tabs>
          <w:tab w:val="left" w:pos="1134"/>
        </w:tabs>
        <w:spacing w:afterLines="160" w:after="384" w:line="240" w:lineRule="auto"/>
        <w:ind w:left="1134" w:hanging="283"/>
        <w:jc w:val="both"/>
        <w:rPr>
          <w:rFonts w:ascii="Times New Roman" w:hAnsi="Times New Roman"/>
          <w:bCs/>
          <w:sz w:val="24"/>
          <w:szCs w:val="24"/>
        </w:rPr>
      </w:pPr>
      <w:r w:rsidRPr="001E2A91">
        <w:rPr>
          <w:rFonts w:ascii="Times New Roman" w:hAnsi="Times New Roman"/>
          <w:sz w:val="24"/>
          <w:szCs w:val="24"/>
        </w:rPr>
        <w:t xml:space="preserve">Cel środowiskowy </w:t>
      </w:r>
      <w:r w:rsidR="00D408DE">
        <w:rPr>
          <w:rFonts w:ascii="Times New Roman" w:hAnsi="Times New Roman"/>
          <w:sz w:val="24"/>
          <w:szCs w:val="24"/>
        </w:rPr>
        <w:t>JCWP</w:t>
      </w:r>
      <w:r w:rsidRPr="001E2A91">
        <w:rPr>
          <w:rFonts w:ascii="Times New Roman" w:hAnsi="Times New Roman"/>
          <w:sz w:val="24"/>
          <w:szCs w:val="24"/>
        </w:rPr>
        <w:t xml:space="preserve"> wg IIaPGW:</w:t>
      </w:r>
      <w:r w:rsidRPr="001E2A91">
        <w:rPr>
          <w:rFonts w:ascii="Times New Roman" w:hAnsi="Times New Roman"/>
          <w:bCs/>
          <w:sz w:val="24"/>
          <w:szCs w:val="24"/>
        </w:rPr>
        <w:t xml:space="preserve"> dobry potencjał ekologiczny; zapewnienie drożności cieku dla migracji ichtiofauny; zapewnienie drożności według wymagań gatunków chronionych, stan chemiczny, dla złagodzonych wskaźników benzo(a)piren(w)- poniżej stanu dobrego, dla pozostałych wskaźników - stan dobry; Wymagania w odniesieniu do </w:t>
      </w:r>
      <w:r w:rsidR="00D408DE">
        <w:rPr>
          <w:rFonts w:ascii="Times New Roman" w:hAnsi="Times New Roman"/>
          <w:bCs/>
          <w:sz w:val="24"/>
          <w:szCs w:val="24"/>
        </w:rPr>
        <w:t>JCWP</w:t>
      </w:r>
      <w:r w:rsidRPr="001E2A91">
        <w:rPr>
          <w:rFonts w:ascii="Times New Roman" w:hAnsi="Times New Roman"/>
          <w:bCs/>
          <w:sz w:val="24"/>
          <w:szCs w:val="24"/>
        </w:rPr>
        <w:t xml:space="preserve">, wynikające </w:t>
      </w:r>
      <w:r w:rsidRPr="001E2A91">
        <w:rPr>
          <w:rFonts w:ascii="Times New Roman" w:hAnsi="Times New Roman"/>
          <w:bCs/>
          <w:sz w:val="24"/>
          <w:szCs w:val="24"/>
        </w:rPr>
        <w:br/>
        <w:t>z wymagań dla obszarów przyrodniczych:</w:t>
      </w:r>
      <w:r w:rsidRPr="001E2A91">
        <w:rPr>
          <w:rFonts w:ascii="Times New Roman" w:hAnsi="Times New Roman"/>
          <w:sz w:val="24"/>
          <w:szCs w:val="24"/>
        </w:rPr>
        <w:t xml:space="preserve"> </w:t>
      </w:r>
      <w:r w:rsidRPr="001E2A91">
        <w:rPr>
          <w:rFonts w:ascii="Times New Roman" w:hAnsi="Times New Roman"/>
          <w:bCs/>
          <w:sz w:val="24"/>
          <w:szCs w:val="24"/>
        </w:rPr>
        <w:t xml:space="preserve">drożność wg wymagań minoga rzecznego i łososia - </w:t>
      </w:r>
      <w:bookmarkStart w:id="114" w:name="OLE_LINK17"/>
      <w:r w:rsidRPr="001E2A91">
        <w:rPr>
          <w:rFonts w:ascii="Times New Roman" w:hAnsi="Times New Roman"/>
          <w:bCs/>
          <w:sz w:val="24"/>
          <w:szCs w:val="24"/>
        </w:rPr>
        <w:t xml:space="preserve">droga do i z siedliska </w:t>
      </w:r>
      <w:bookmarkEnd w:id="114"/>
      <w:r w:rsidRPr="001E2A91">
        <w:rPr>
          <w:rFonts w:ascii="Times New Roman" w:hAnsi="Times New Roman"/>
          <w:bCs/>
          <w:sz w:val="24"/>
          <w:szCs w:val="24"/>
        </w:rPr>
        <w:t xml:space="preserve">wewnątrz obszaru chronionego wyznaczonego dla ochrony jego tarlisk, drożność wg wymagań minogów - przedmiotów ochrony w obszarze Natura 2000: Dolina Wieprzy i Studnicy PLH220038, drożność według wymagań małych ryb chronionych - przedmiotów ochrony w obszarze Natura 2000: Dolina Wieprzy i Studnicy PLH220038, spełnienie celu wskazanego w rejestrze wykazu obszarów chronionych do ochrony siedlisk i gatunków dla obszarów przypisanych </w:t>
      </w:r>
      <w:r w:rsidR="00D408DE">
        <w:rPr>
          <w:rFonts w:ascii="Times New Roman" w:hAnsi="Times New Roman"/>
          <w:bCs/>
          <w:sz w:val="24"/>
          <w:szCs w:val="24"/>
        </w:rPr>
        <w:t>JCWP</w:t>
      </w:r>
      <w:r w:rsidRPr="001E2A91">
        <w:rPr>
          <w:rFonts w:ascii="Times New Roman" w:hAnsi="Times New Roman"/>
          <w:bCs/>
          <w:sz w:val="24"/>
          <w:szCs w:val="24"/>
        </w:rPr>
        <w:t>.</w:t>
      </w:r>
    </w:p>
    <w:p w14:paraId="1867085D" w14:textId="1E2714E1" w:rsidR="00107FCF" w:rsidRPr="001E2A91" w:rsidRDefault="001E2A91" w:rsidP="006D41A7">
      <w:pPr>
        <w:pStyle w:val="Akapitzlist1"/>
        <w:numPr>
          <w:ilvl w:val="0"/>
          <w:numId w:val="86"/>
        </w:numPr>
        <w:tabs>
          <w:tab w:val="left" w:pos="1134"/>
        </w:tabs>
        <w:spacing w:afterLines="160" w:after="384" w:line="240" w:lineRule="auto"/>
        <w:ind w:left="1134" w:hanging="283"/>
        <w:jc w:val="both"/>
        <w:rPr>
          <w:rFonts w:ascii="Times New Roman" w:hAnsi="Times New Roman"/>
          <w:bCs/>
          <w:sz w:val="24"/>
          <w:szCs w:val="24"/>
        </w:rPr>
      </w:pPr>
      <w:r w:rsidRPr="001E2A91">
        <w:rPr>
          <w:rFonts w:ascii="Times New Roman" w:hAnsi="Times New Roman"/>
          <w:bCs/>
          <w:sz w:val="24"/>
          <w:szCs w:val="24"/>
        </w:rPr>
        <w:t>U</w:t>
      </w:r>
      <w:r w:rsidR="00107FCF" w:rsidRPr="001E2A91">
        <w:rPr>
          <w:rFonts w:ascii="Times New Roman" w:hAnsi="Times New Roman"/>
          <w:bCs/>
          <w:sz w:val="24"/>
          <w:szCs w:val="24"/>
        </w:rPr>
        <w:t>zasadnienie odstępstw</w:t>
      </w:r>
      <w:r w:rsidRPr="001E2A91">
        <w:rPr>
          <w:rFonts w:ascii="Times New Roman" w:hAnsi="Times New Roman"/>
          <w:bCs/>
          <w:sz w:val="24"/>
          <w:szCs w:val="24"/>
        </w:rPr>
        <w:t>a</w:t>
      </w:r>
      <w:r w:rsidR="00107FCF" w:rsidRPr="001E2A91">
        <w:rPr>
          <w:rFonts w:ascii="Times New Roman" w:hAnsi="Times New Roman"/>
          <w:bCs/>
          <w:sz w:val="24"/>
          <w:szCs w:val="24"/>
        </w:rPr>
        <w:t>:</w:t>
      </w:r>
      <w:r w:rsidR="00107FCF" w:rsidRPr="0054082E">
        <w:t xml:space="preserve"> </w:t>
      </w:r>
      <w:r w:rsidR="00107FCF" w:rsidRPr="001E2A91">
        <w:rPr>
          <w:rFonts w:ascii="Times New Roman" w:hAnsi="Times New Roman"/>
          <w:bCs/>
          <w:sz w:val="24"/>
          <w:szCs w:val="24"/>
        </w:rPr>
        <w:t>art. 4.4 RDW: warunki naturalne, dla NSP - brak możliwości technicznych, art. 4.5 RDW: brak możliwości technicznych</w:t>
      </w:r>
      <w:r w:rsidR="00107FCF" w:rsidRPr="001E2A91">
        <w:rPr>
          <w:rFonts w:ascii="Times New Roman" w:eastAsia="MS Mincho" w:hAnsi="Times New Roman"/>
          <w:sz w:val="24"/>
          <w:szCs w:val="24"/>
        </w:rPr>
        <w:t xml:space="preserve"> </w:t>
      </w:r>
    </w:p>
    <w:p w14:paraId="43B8A5A3" w14:textId="7C96E7DE" w:rsidR="00107FCF" w:rsidRPr="00872296" w:rsidRDefault="00107FCF" w:rsidP="00CA0F4A">
      <w:pPr>
        <w:pStyle w:val="ReportText"/>
        <w:spacing w:before="0" w:afterLines="160" w:after="384" w:line="240" w:lineRule="auto"/>
        <w:jc w:val="both"/>
        <w:rPr>
          <w:szCs w:val="24"/>
        </w:rPr>
      </w:pPr>
      <w:r w:rsidRPr="002F7B9D">
        <w:rPr>
          <w:szCs w:val="24"/>
        </w:rPr>
        <w:t xml:space="preserve">*) </w:t>
      </w:r>
      <w:r w:rsidRPr="00872296">
        <w:rPr>
          <w:szCs w:val="24"/>
        </w:rPr>
        <w:t>Ocena stanu wód wykonana wg. klasyfikacji obowiązującej od roku 2022, zgodnie z</w:t>
      </w:r>
      <w:r w:rsidR="001E2A91">
        <w:rPr>
          <w:szCs w:val="24"/>
        </w:rPr>
        <w:t> </w:t>
      </w:r>
      <w:r w:rsidRPr="00872296">
        <w:rPr>
          <w:szCs w:val="24"/>
        </w:rPr>
        <w:t>r.kl.</w:t>
      </w:r>
      <w:r w:rsidR="00D408DE">
        <w:rPr>
          <w:szCs w:val="24"/>
        </w:rPr>
        <w:t>JCWP</w:t>
      </w:r>
      <w:r w:rsidRPr="00872296">
        <w:rPr>
          <w:szCs w:val="24"/>
        </w:rPr>
        <w:t xml:space="preserve">. Ocena wykonana na oceny stanu GIOŚ (2014-2019) oraz wyników Analizy znaczących oddziaływań - </w:t>
      </w:r>
      <w:r w:rsidR="00D408DE">
        <w:rPr>
          <w:szCs w:val="24"/>
        </w:rPr>
        <w:t>JCWP</w:t>
      </w:r>
      <w:r w:rsidRPr="00872296">
        <w:rPr>
          <w:szCs w:val="24"/>
        </w:rPr>
        <w:t xml:space="preserve"> (…)</w:t>
      </w:r>
    </w:p>
    <w:p w14:paraId="1DB72D7E" w14:textId="77777777" w:rsidR="00107FCF" w:rsidRDefault="00107FCF" w:rsidP="006D41A7">
      <w:pPr>
        <w:pStyle w:val="ReportLevel3"/>
        <w:numPr>
          <w:ilvl w:val="2"/>
          <w:numId w:val="4"/>
        </w:numPr>
        <w:rPr>
          <w:rFonts w:cs="Calibri"/>
          <w:bCs/>
        </w:rPr>
      </w:pPr>
      <w:r>
        <w:rPr>
          <w:rFonts w:cs="Calibri"/>
          <w:bCs/>
        </w:rPr>
        <w:br w:type="column"/>
      </w:r>
      <w:r w:rsidRPr="00652C56">
        <w:rPr>
          <w:rFonts w:cs="Calibri"/>
          <w:bCs/>
        </w:rPr>
        <w:lastRenderedPageBreak/>
        <w:t>Identyfikacja obszarów chronionych przeznaczonych dla ochrony siedlisk i gatunków w obrębie, których zlokalizowane są inwestycje i działania oraz tych, na które mogą one oddziaływa</w:t>
      </w:r>
    </w:p>
    <w:p w14:paraId="1758F4FF" w14:textId="65F3A45A" w:rsidR="00107FCF" w:rsidRPr="00EE15BD" w:rsidRDefault="00107FCF" w:rsidP="00652C56">
      <w:pPr>
        <w:pStyle w:val="Akapitzlist1"/>
        <w:tabs>
          <w:tab w:val="left" w:pos="2250"/>
        </w:tabs>
        <w:spacing w:line="240" w:lineRule="auto"/>
        <w:ind w:left="0"/>
        <w:jc w:val="both"/>
        <w:rPr>
          <w:rFonts w:ascii="Times New Roman" w:eastAsia="MS Mincho" w:hAnsi="Times New Roman"/>
          <w:sz w:val="24"/>
          <w:szCs w:val="24"/>
        </w:rPr>
      </w:pPr>
      <w:r w:rsidRPr="00EE15BD">
        <w:rPr>
          <w:rFonts w:ascii="Times New Roman" w:eastAsia="MS Mincho" w:hAnsi="Times New Roman"/>
          <w:sz w:val="24"/>
          <w:szCs w:val="24"/>
        </w:rPr>
        <w:t xml:space="preserve">Planowane inwestycje lub działania zlokalizowane są lub mogą potencjalnie oddziaływać na </w:t>
      </w:r>
      <w:r w:rsidR="00D408DE">
        <w:rPr>
          <w:rFonts w:ascii="Times New Roman" w:eastAsia="MS Mincho" w:hAnsi="Times New Roman"/>
          <w:sz w:val="24"/>
          <w:szCs w:val="24"/>
        </w:rPr>
        <w:t>JCWP</w:t>
      </w:r>
      <w:r w:rsidRPr="00EE15BD">
        <w:rPr>
          <w:rFonts w:ascii="Times New Roman" w:eastAsia="MS Mincho" w:hAnsi="Times New Roman"/>
          <w:sz w:val="24"/>
          <w:szCs w:val="24"/>
        </w:rPr>
        <w:t xml:space="preserve">, w obrębie których położone są obszary chronione przeznaczone dla ochrony siedlisk i gatunków (dla </w:t>
      </w:r>
      <w:r w:rsidR="00D408DE">
        <w:rPr>
          <w:rFonts w:ascii="Times New Roman" w:eastAsia="MS Mincho" w:hAnsi="Times New Roman"/>
          <w:sz w:val="24"/>
          <w:szCs w:val="24"/>
        </w:rPr>
        <w:t>JCWP</w:t>
      </w:r>
      <w:r w:rsidRPr="00EE15BD">
        <w:rPr>
          <w:rFonts w:ascii="Times New Roman" w:eastAsia="MS Mincho" w:hAnsi="Times New Roman"/>
          <w:sz w:val="24"/>
          <w:szCs w:val="24"/>
        </w:rPr>
        <w:t xml:space="preserve"> podano kody Inspir</w:t>
      </w:r>
      <w:r>
        <w:rPr>
          <w:rFonts w:ascii="Times New Roman" w:eastAsia="MS Mincho" w:hAnsi="Times New Roman"/>
          <w:sz w:val="24"/>
          <w:szCs w:val="24"/>
        </w:rPr>
        <w:t xml:space="preserve">e obszaru chronionego wskazane </w:t>
      </w:r>
      <w:r w:rsidRPr="00EE15BD">
        <w:rPr>
          <w:rFonts w:ascii="Times New Roman" w:eastAsia="MS Mincho" w:hAnsi="Times New Roman"/>
          <w:sz w:val="24"/>
          <w:szCs w:val="24"/>
        </w:rPr>
        <w:t>w aktualizacji planów gospodarowania wodami na lata 202</w:t>
      </w:r>
      <w:r>
        <w:rPr>
          <w:rFonts w:ascii="Times New Roman" w:eastAsia="MS Mincho" w:hAnsi="Times New Roman"/>
          <w:sz w:val="24"/>
          <w:szCs w:val="24"/>
        </w:rPr>
        <w:t>2</w:t>
      </w:r>
      <w:r w:rsidRPr="00EE15BD">
        <w:rPr>
          <w:rFonts w:ascii="Times New Roman" w:eastAsia="MS Mincho" w:hAnsi="Times New Roman"/>
          <w:sz w:val="24"/>
          <w:szCs w:val="24"/>
        </w:rPr>
        <w:t>-2027):</w:t>
      </w:r>
    </w:p>
    <w:p w14:paraId="4ABB9348" w14:textId="77777777" w:rsidR="00107FCF" w:rsidRPr="00EE15BD" w:rsidRDefault="00107FCF" w:rsidP="00526EA9">
      <w:pPr>
        <w:pStyle w:val="Akapitzlist1"/>
        <w:tabs>
          <w:tab w:val="left" w:pos="2250"/>
        </w:tabs>
        <w:spacing w:line="240" w:lineRule="auto"/>
        <w:ind w:left="0"/>
        <w:rPr>
          <w:rFonts w:ascii="Times New Roman" w:eastAsia="MS Mincho" w:hAnsi="Times New Roman"/>
          <w:sz w:val="24"/>
          <w:szCs w:val="24"/>
        </w:rPr>
      </w:pPr>
    </w:p>
    <w:p w14:paraId="190E1749" w14:textId="27D5D8EA" w:rsidR="00107FCF" w:rsidRPr="00EE15BD" w:rsidRDefault="00D408DE" w:rsidP="006D41A7">
      <w:pPr>
        <w:pStyle w:val="Akapitzlist1"/>
        <w:numPr>
          <w:ilvl w:val="0"/>
          <w:numId w:val="40"/>
        </w:numPr>
        <w:tabs>
          <w:tab w:val="left" w:pos="2250"/>
        </w:tabs>
        <w:spacing w:line="360" w:lineRule="auto"/>
        <w:rPr>
          <w:rFonts w:ascii="Times New Roman" w:hAnsi="Times New Roman"/>
          <w:bCs/>
          <w:sz w:val="24"/>
          <w:szCs w:val="24"/>
        </w:rPr>
      </w:pPr>
      <w:r>
        <w:rPr>
          <w:rFonts w:ascii="Times New Roman" w:hAnsi="Times New Roman"/>
          <w:b/>
          <w:bCs/>
          <w:sz w:val="24"/>
          <w:szCs w:val="24"/>
        </w:rPr>
        <w:t>JCWP</w:t>
      </w:r>
      <w:r w:rsidR="00107FCF">
        <w:rPr>
          <w:rFonts w:ascii="Times New Roman" w:hAnsi="Times New Roman"/>
          <w:b/>
          <w:bCs/>
          <w:sz w:val="24"/>
          <w:szCs w:val="24"/>
        </w:rPr>
        <w:t xml:space="preserve"> </w:t>
      </w:r>
      <w:r w:rsidR="00107FCF" w:rsidRPr="00526EA9">
        <w:rPr>
          <w:rFonts w:ascii="Times New Roman" w:hAnsi="Times New Roman"/>
          <w:b/>
          <w:bCs/>
          <w:sz w:val="24"/>
          <w:szCs w:val="24"/>
        </w:rPr>
        <w:t>RW6000113149</w:t>
      </w:r>
      <w:r w:rsidR="00107FCF" w:rsidRPr="00EE15BD">
        <w:rPr>
          <w:rFonts w:ascii="Times New Roman" w:hAnsi="Times New Roman"/>
          <w:b/>
          <w:bCs/>
          <w:sz w:val="24"/>
          <w:szCs w:val="24"/>
        </w:rPr>
        <w:t>:</w:t>
      </w:r>
      <w:r w:rsidR="00107FCF" w:rsidRPr="00EE15BD">
        <w:rPr>
          <w:rFonts w:ascii="Times New Roman" w:hAnsi="Times New Roman"/>
          <w:bCs/>
          <w:sz w:val="24"/>
          <w:szCs w:val="24"/>
        </w:rPr>
        <w:t xml:space="preserve"> </w:t>
      </w:r>
      <w:r w:rsidR="00107FCF" w:rsidRPr="00526EA9">
        <w:rPr>
          <w:rFonts w:ascii="Times New Roman" w:hAnsi="Times New Roman"/>
          <w:bCs/>
          <w:sz w:val="24"/>
          <w:szCs w:val="24"/>
        </w:rPr>
        <w:t>PL.ZIPOP.1393.N2K.PLB320012.B</w:t>
      </w:r>
      <w:r w:rsidR="00107FCF">
        <w:rPr>
          <w:rFonts w:ascii="Times New Roman" w:hAnsi="Times New Roman"/>
          <w:bCs/>
          <w:sz w:val="24"/>
          <w:szCs w:val="24"/>
        </w:rPr>
        <w:t xml:space="preserve">, </w:t>
      </w:r>
      <w:r w:rsidR="00107FCF" w:rsidRPr="00526EA9">
        <w:rPr>
          <w:rFonts w:ascii="Times New Roman" w:hAnsi="Times New Roman"/>
          <w:bCs/>
          <w:sz w:val="24"/>
          <w:szCs w:val="24"/>
        </w:rPr>
        <w:t>PL.ZIPOP.1393.N2K.PLH320013.H</w:t>
      </w:r>
      <w:r w:rsidR="00107FCF">
        <w:rPr>
          <w:rFonts w:ascii="Times New Roman" w:hAnsi="Times New Roman"/>
          <w:bCs/>
          <w:sz w:val="24"/>
          <w:szCs w:val="24"/>
        </w:rPr>
        <w:t xml:space="preserve">, </w:t>
      </w:r>
      <w:r w:rsidR="00107FCF" w:rsidRPr="00526EA9">
        <w:rPr>
          <w:rFonts w:ascii="Times New Roman" w:hAnsi="Times New Roman"/>
          <w:bCs/>
          <w:sz w:val="24"/>
          <w:szCs w:val="24"/>
        </w:rPr>
        <w:t>PL.ZIPOP.1393.N2K.PLB320007.B</w:t>
      </w:r>
    </w:p>
    <w:p w14:paraId="4CA01519" w14:textId="63B37E6A" w:rsidR="00107FCF" w:rsidRPr="00EE15BD" w:rsidRDefault="00D408DE" w:rsidP="006D41A7">
      <w:pPr>
        <w:pStyle w:val="Akapitzlist1"/>
        <w:numPr>
          <w:ilvl w:val="0"/>
          <w:numId w:val="40"/>
        </w:numPr>
        <w:tabs>
          <w:tab w:val="left" w:pos="2250"/>
        </w:tabs>
        <w:spacing w:line="360" w:lineRule="auto"/>
        <w:jc w:val="both"/>
        <w:rPr>
          <w:rFonts w:ascii="Times New Roman" w:hAnsi="Times New Roman"/>
          <w:bCs/>
          <w:sz w:val="24"/>
          <w:szCs w:val="24"/>
        </w:rPr>
      </w:pPr>
      <w:r>
        <w:rPr>
          <w:rFonts w:ascii="Times New Roman" w:hAnsi="Times New Roman"/>
          <w:b/>
          <w:bCs/>
          <w:sz w:val="24"/>
          <w:szCs w:val="24"/>
        </w:rPr>
        <w:t>JCWP</w:t>
      </w:r>
      <w:r w:rsidR="00107FCF" w:rsidRPr="00EE15BD">
        <w:rPr>
          <w:rFonts w:ascii="Times New Roman" w:hAnsi="Times New Roman"/>
          <w:b/>
          <w:bCs/>
          <w:sz w:val="24"/>
          <w:szCs w:val="24"/>
        </w:rPr>
        <w:t xml:space="preserve"> RW6000144699:</w:t>
      </w:r>
      <w:r w:rsidR="00107FCF" w:rsidRPr="00EE15BD">
        <w:rPr>
          <w:rFonts w:ascii="Times New Roman" w:hAnsi="Times New Roman"/>
          <w:bCs/>
          <w:sz w:val="24"/>
          <w:szCs w:val="24"/>
        </w:rPr>
        <w:t xml:space="preserve"> PL.ZIPOP.1393.N2K.PLH220038.H</w:t>
      </w:r>
    </w:p>
    <w:p w14:paraId="34564829" w14:textId="071B79DC" w:rsidR="00107FCF" w:rsidRPr="00EE15BD" w:rsidRDefault="00D408DE" w:rsidP="006D41A7">
      <w:pPr>
        <w:pStyle w:val="Akapitzlist1"/>
        <w:numPr>
          <w:ilvl w:val="0"/>
          <w:numId w:val="40"/>
        </w:numPr>
        <w:tabs>
          <w:tab w:val="left" w:pos="2250"/>
        </w:tabs>
        <w:spacing w:line="360" w:lineRule="auto"/>
        <w:rPr>
          <w:rFonts w:ascii="Times New Roman" w:hAnsi="Times New Roman"/>
          <w:bCs/>
          <w:sz w:val="24"/>
          <w:szCs w:val="24"/>
        </w:rPr>
      </w:pPr>
      <w:r>
        <w:rPr>
          <w:rFonts w:ascii="Times New Roman" w:hAnsi="Times New Roman"/>
          <w:b/>
          <w:bCs/>
          <w:sz w:val="24"/>
          <w:szCs w:val="24"/>
        </w:rPr>
        <w:t>JCWP</w:t>
      </w:r>
      <w:r w:rsidR="00107FCF" w:rsidRPr="00EE15BD">
        <w:rPr>
          <w:rFonts w:ascii="Times New Roman" w:hAnsi="Times New Roman"/>
          <w:b/>
          <w:bCs/>
          <w:sz w:val="24"/>
          <w:szCs w:val="24"/>
        </w:rPr>
        <w:t xml:space="preserve"> CW60001WB3:</w:t>
      </w:r>
      <w:r w:rsidR="00107FCF" w:rsidRPr="00EE15BD">
        <w:rPr>
          <w:rFonts w:ascii="Times New Roman" w:hAnsi="Times New Roman"/>
          <w:bCs/>
          <w:sz w:val="24"/>
          <w:szCs w:val="24"/>
        </w:rPr>
        <w:t xml:space="preserve"> PL.ZIPOP.1393.N2K.PLB990002.B, PL.ZIPOP.1393.N2K.PLH320041.H, PL.ZIPOP.1393.N2K.PLH320059.H, PL.ZIPOP.1393.N2K.PLH320068.H, PL.ZIPOP.1393.N2K.PLH990002.H, PL.ZIPOP.1393.N2K.PLH320017.H, PL.ZIPOP.1393.N2K.PLB320010.B, PL.ZIPOP.1393.N2K.PLB990003.B, PL.ZIPOP.1393.OCHK.14, PL.ZIPOP.1393.OCHK.430, PL.ZIPOP.1393.OCHK.412, PL.ZIPOP.1393.UE.3208011.143</w:t>
      </w:r>
    </w:p>
    <w:p w14:paraId="6D1B0BD5" w14:textId="6743EBFB" w:rsidR="00107FCF" w:rsidRPr="00D35837" w:rsidRDefault="00D408DE" w:rsidP="006D41A7">
      <w:pPr>
        <w:pStyle w:val="Akapitzlist1"/>
        <w:numPr>
          <w:ilvl w:val="0"/>
          <w:numId w:val="40"/>
        </w:numPr>
        <w:tabs>
          <w:tab w:val="left" w:pos="2250"/>
        </w:tabs>
        <w:spacing w:line="360" w:lineRule="auto"/>
        <w:rPr>
          <w:rFonts w:cs="Calibri"/>
          <w:bCs/>
        </w:rPr>
      </w:pPr>
      <w:r>
        <w:rPr>
          <w:rFonts w:ascii="Times New Roman" w:hAnsi="Times New Roman"/>
          <w:b/>
          <w:sz w:val="24"/>
          <w:szCs w:val="24"/>
        </w:rPr>
        <w:t>JCWP</w:t>
      </w:r>
      <w:r w:rsidR="00107FCF" w:rsidRPr="00EE15BD">
        <w:rPr>
          <w:rFonts w:ascii="Times New Roman" w:hAnsi="Times New Roman"/>
          <w:b/>
          <w:sz w:val="24"/>
          <w:szCs w:val="24"/>
        </w:rPr>
        <w:t xml:space="preserve"> TW60001WB2:</w:t>
      </w:r>
      <w:r w:rsidR="00107FCF" w:rsidRPr="00EE15BD">
        <w:rPr>
          <w:rFonts w:ascii="Times New Roman" w:hAnsi="Times New Roman"/>
          <w:sz w:val="24"/>
          <w:szCs w:val="24"/>
        </w:rPr>
        <w:t xml:space="preserve">  PL.ZIPOP.1393.N2K.PLB320002.B, PL.ZIPOP.1393.N2K.PLH320018.H, PL.ZIPOP.1393.N2K.PLH320019.H, PL.ZIPOP.1393.N2K.PLB320014.B, PL.ZIPOP.1393.N2K.PLB320012.B, PL.ZIPOP.1393.N2K.PLH320033.H, PL.ZIPOP.1393.N2K.PLB320009.B, PL.ZIPOP.1393.N2K.PLB320007.B, PL.ZIPOP.1393.PN.4, PL.ZIPOP.1393.RP.704, PL.ZIPOP.1393.RP.1211, PL.ZIPOP.1393.RP.560, PL.ZIPOP.1393.UE.3211033.1102, PL.ZIPOP.1393.UE.3211033.1101, PL.ZIPOP.1393.UE.3207063.1148, PL.ZIPOP.1393.ZPK.299.</w:t>
      </w:r>
    </w:p>
    <w:p w14:paraId="41A1DA66" w14:textId="1D515F8D" w:rsidR="00107FCF" w:rsidRPr="00652C56" w:rsidRDefault="00107FCF" w:rsidP="00652C56">
      <w:pPr>
        <w:pStyle w:val="Akapitzlist1"/>
        <w:tabs>
          <w:tab w:val="left" w:pos="2250"/>
        </w:tabs>
        <w:spacing w:line="240" w:lineRule="auto"/>
        <w:ind w:left="0"/>
        <w:jc w:val="both"/>
        <w:rPr>
          <w:rFonts w:ascii="Times New Roman" w:eastAsia="MS Mincho" w:hAnsi="Times New Roman"/>
          <w:sz w:val="24"/>
          <w:szCs w:val="20"/>
        </w:rPr>
      </w:pPr>
      <w:r w:rsidRPr="00652C56">
        <w:rPr>
          <w:rFonts w:ascii="Times New Roman" w:eastAsia="MS Mincho" w:hAnsi="Times New Roman"/>
          <w:sz w:val="24"/>
          <w:szCs w:val="20"/>
        </w:rPr>
        <w:t>Zgodnie z prawem wodnym art. 61. 1. celem środowiskowym dla obszarów chronionych jest osiągnięcie norm i celów wynikających z przepisów, na podstawie których te obszary chronione zostały utworzone, przepisów ustanawiających te obszary lub dotyczących tych obszarów, o ile nie zawierają one w tym zakresie odmiennych uregulowań. Cele dla obszarów chronionych, takich jak: parki narodowe, rezerwaty przyrody i parki krajobrazowe wynikają z ustanowionych planów ochrony lub planów zadań ochronnych, a jeżeli nie ustanowiono odpowiednich planów dla tych obszarów, wynikają z aktu prawnego tworzącego daną formę ochrony przyrody. Dla obszarów chronionego krajobrazu, celami takimi są normy dotyczące ochrony ekosystemów z</w:t>
      </w:r>
      <w:r w:rsidR="001E2A91">
        <w:rPr>
          <w:rFonts w:ascii="Times New Roman" w:eastAsia="MS Mincho" w:hAnsi="Times New Roman"/>
          <w:sz w:val="24"/>
          <w:szCs w:val="20"/>
        </w:rPr>
        <w:t> </w:t>
      </w:r>
      <w:r w:rsidRPr="00652C56">
        <w:rPr>
          <w:rFonts w:ascii="Times New Roman" w:eastAsia="MS Mincho" w:hAnsi="Times New Roman"/>
          <w:sz w:val="24"/>
          <w:szCs w:val="20"/>
        </w:rPr>
        <w:t xml:space="preserve">aktu wyznaczającego dany obszar. Dla obszarów Natura 2000, celem jest właściwy stan gatunków i siedlisk przyrodniczych będących przedmiotami ochrony w obszarze. </w:t>
      </w:r>
    </w:p>
    <w:p w14:paraId="794443CF" w14:textId="77777777" w:rsidR="00107FCF" w:rsidRPr="00652C56" w:rsidRDefault="00107FCF" w:rsidP="00652C56">
      <w:pPr>
        <w:pStyle w:val="Akapitzlist1"/>
        <w:tabs>
          <w:tab w:val="left" w:pos="2250"/>
        </w:tabs>
        <w:spacing w:line="240" w:lineRule="auto"/>
        <w:ind w:left="0"/>
        <w:jc w:val="both"/>
        <w:rPr>
          <w:rFonts w:ascii="Times New Roman" w:eastAsia="MS Mincho" w:hAnsi="Times New Roman"/>
          <w:sz w:val="24"/>
          <w:szCs w:val="20"/>
        </w:rPr>
      </w:pPr>
    </w:p>
    <w:p w14:paraId="4AEA4459" w14:textId="73BB6E48" w:rsidR="00107FCF" w:rsidRDefault="00107FCF" w:rsidP="00652C56">
      <w:pPr>
        <w:pStyle w:val="Akapitzlist1"/>
        <w:tabs>
          <w:tab w:val="left" w:pos="2250"/>
        </w:tabs>
        <w:spacing w:line="240" w:lineRule="auto"/>
        <w:ind w:left="0"/>
        <w:jc w:val="both"/>
        <w:rPr>
          <w:rFonts w:ascii="Times New Roman" w:eastAsia="MS Mincho" w:hAnsi="Times New Roman"/>
          <w:sz w:val="24"/>
          <w:szCs w:val="20"/>
        </w:rPr>
      </w:pPr>
      <w:r>
        <w:rPr>
          <w:rFonts w:ascii="Times New Roman" w:eastAsia="MS Mincho" w:hAnsi="Times New Roman"/>
          <w:sz w:val="24"/>
          <w:szCs w:val="20"/>
        </w:rPr>
        <w:br w:type="column"/>
      </w:r>
      <w:r w:rsidRPr="00652C56">
        <w:rPr>
          <w:rFonts w:ascii="Times New Roman" w:eastAsia="MS Mincho" w:hAnsi="Times New Roman"/>
          <w:sz w:val="24"/>
          <w:szCs w:val="20"/>
        </w:rPr>
        <w:lastRenderedPageBreak/>
        <w:t>W przypadku braku precyzyjnie określonych celów dla poszczególnych typów siedlisk przyrodniczych i gatunków należy odnieść się do wymogów ekologicznych siedlisk i</w:t>
      </w:r>
      <w:r w:rsidR="001E2A91">
        <w:rPr>
          <w:rFonts w:ascii="Times New Roman" w:eastAsia="MS Mincho" w:hAnsi="Times New Roman"/>
          <w:sz w:val="24"/>
          <w:szCs w:val="20"/>
        </w:rPr>
        <w:t> </w:t>
      </w:r>
      <w:r w:rsidRPr="00652C56">
        <w:rPr>
          <w:rFonts w:ascii="Times New Roman" w:eastAsia="MS Mincho" w:hAnsi="Times New Roman"/>
          <w:sz w:val="24"/>
          <w:szCs w:val="20"/>
        </w:rPr>
        <w:t>gatunków. Zapewnienie bądź utrzymanie właściwego stanu ochrony siedlisk i</w:t>
      </w:r>
      <w:r w:rsidR="00D408DE">
        <w:rPr>
          <w:rFonts w:ascii="Times New Roman" w:eastAsia="MS Mincho" w:hAnsi="Times New Roman"/>
          <w:sz w:val="24"/>
          <w:szCs w:val="20"/>
        </w:rPr>
        <w:t> </w:t>
      </w:r>
      <w:r w:rsidRPr="00652C56">
        <w:rPr>
          <w:rFonts w:ascii="Times New Roman" w:eastAsia="MS Mincho" w:hAnsi="Times New Roman"/>
          <w:sz w:val="24"/>
          <w:szCs w:val="20"/>
        </w:rPr>
        <w:t>gatunków zależnych od wód warunkowane jest przede wszystkim utrzymaniem aktualnych stosunków wodnych, w tym obecności zalewów zapewniających odpowiedni stan siedlisk przyrodniczych solnisk, strefy brzegowej czy doliny rzecznej oraz zachowaniem (utrzymaniem powierzchni) płatów siedlisk i siedlisk gatunków występujących bezpośrednio w strefie brzegowej, tudzież dolinie.</w:t>
      </w:r>
    </w:p>
    <w:p w14:paraId="184CF6C2" w14:textId="77777777" w:rsidR="00107FCF" w:rsidRDefault="00107FCF" w:rsidP="00652C56">
      <w:pPr>
        <w:pStyle w:val="Akapitzlist1"/>
        <w:tabs>
          <w:tab w:val="left" w:pos="2250"/>
        </w:tabs>
        <w:spacing w:line="240" w:lineRule="auto"/>
        <w:ind w:left="0"/>
        <w:jc w:val="both"/>
        <w:rPr>
          <w:rFonts w:ascii="Times New Roman" w:eastAsia="MS Mincho" w:hAnsi="Times New Roman"/>
          <w:sz w:val="24"/>
          <w:szCs w:val="20"/>
        </w:rPr>
      </w:pPr>
    </w:p>
    <w:p w14:paraId="5BA31D95" w14:textId="77777777" w:rsidR="00107FCF" w:rsidRPr="00E6454F" w:rsidRDefault="00107FCF" w:rsidP="00652C56">
      <w:pPr>
        <w:pStyle w:val="Akapitzlist1"/>
        <w:tabs>
          <w:tab w:val="left" w:pos="2250"/>
        </w:tabs>
        <w:spacing w:line="240" w:lineRule="auto"/>
        <w:ind w:left="0"/>
        <w:jc w:val="both"/>
        <w:rPr>
          <w:rFonts w:ascii="Times New Roman" w:eastAsia="MS Mincho" w:hAnsi="Times New Roman"/>
          <w:sz w:val="24"/>
          <w:szCs w:val="24"/>
        </w:rPr>
      </w:pPr>
      <w:r w:rsidRPr="00E6454F">
        <w:rPr>
          <w:rFonts w:ascii="Times New Roman" w:eastAsia="MS Mincho" w:hAnsi="Times New Roman"/>
          <w:sz w:val="24"/>
          <w:szCs w:val="20"/>
        </w:rPr>
        <w:t xml:space="preserve">Podsumowując, po analizie zakresu planowanych </w:t>
      </w:r>
      <w:r>
        <w:rPr>
          <w:rFonts w:ascii="Times New Roman" w:eastAsia="MS Mincho" w:hAnsi="Times New Roman"/>
          <w:sz w:val="24"/>
          <w:szCs w:val="20"/>
        </w:rPr>
        <w:t>działań</w:t>
      </w:r>
      <w:r w:rsidRPr="00E6454F">
        <w:rPr>
          <w:rFonts w:ascii="Times New Roman" w:eastAsia="MS Mincho" w:hAnsi="Times New Roman"/>
          <w:sz w:val="24"/>
          <w:szCs w:val="20"/>
        </w:rPr>
        <w:t xml:space="preserve"> </w:t>
      </w:r>
      <w:r>
        <w:rPr>
          <w:rFonts w:ascii="Times New Roman" w:eastAsia="MS Mincho" w:hAnsi="Times New Roman"/>
          <w:sz w:val="24"/>
          <w:szCs w:val="20"/>
        </w:rPr>
        <w:t>wskazano</w:t>
      </w:r>
      <w:r w:rsidRPr="00E6454F">
        <w:rPr>
          <w:rFonts w:ascii="Times New Roman" w:eastAsia="MS Mincho" w:hAnsi="Times New Roman"/>
          <w:sz w:val="24"/>
          <w:szCs w:val="20"/>
        </w:rPr>
        <w:t xml:space="preserve"> </w:t>
      </w:r>
      <w:r>
        <w:rPr>
          <w:rFonts w:ascii="Times New Roman" w:eastAsia="MS Mincho" w:hAnsi="Times New Roman"/>
          <w:sz w:val="24"/>
          <w:szCs w:val="20"/>
        </w:rPr>
        <w:t xml:space="preserve">listę </w:t>
      </w:r>
      <w:r w:rsidRPr="00E6454F">
        <w:rPr>
          <w:rFonts w:ascii="Times New Roman" w:hAnsi="Times New Roman"/>
          <w:bCs/>
          <w:sz w:val="24"/>
          <w:szCs w:val="24"/>
        </w:rPr>
        <w:t>obszar</w:t>
      </w:r>
      <w:r>
        <w:rPr>
          <w:rFonts w:ascii="Times New Roman" w:hAnsi="Times New Roman"/>
          <w:bCs/>
          <w:sz w:val="24"/>
          <w:szCs w:val="24"/>
        </w:rPr>
        <w:t>ów</w:t>
      </w:r>
      <w:r w:rsidRPr="00E6454F">
        <w:rPr>
          <w:rFonts w:ascii="Times New Roman" w:hAnsi="Times New Roman"/>
          <w:bCs/>
          <w:sz w:val="24"/>
          <w:szCs w:val="24"/>
        </w:rPr>
        <w:t xml:space="preserve"> chronion</w:t>
      </w:r>
      <w:r>
        <w:rPr>
          <w:rFonts w:ascii="Times New Roman" w:hAnsi="Times New Roman"/>
          <w:bCs/>
          <w:sz w:val="24"/>
          <w:szCs w:val="24"/>
        </w:rPr>
        <w:t>ych</w:t>
      </w:r>
      <w:r w:rsidRPr="00E6454F">
        <w:rPr>
          <w:rFonts w:ascii="Times New Roman" w:hAnsi="Times New Roman"/>
          <w:bCs/>
          <w:sz w:val="24"/>
          <w:szCs w:val="24"/>
        </w:rPr>
        <w:t xml:space="preserve"> przeznaczon</w:t>
      </w:r>
      <w:r>
        <w:rPr>
          <w:rFonts w:ascii="Times New Roman" w:hAnsi="Times New Roman"/>
          <w:bCs/>
          <w:sz w:val="24"/>
          <w:szCs w:val="24"/>
        </w:rPr>
        <w:t>ych</w:t>
      </w:r>
      <w:r w:rsidRPr="00E6454F">
        <w:rPr>
          <w:rFonts w:ascii="Times New Roman" w:hAnsi="Times New Roman"/>
          <w:bCs/>
          <w:sz w:val="24"/>
          <w:szCs w:val="24"/>
        </w:rPr>
        <w:t xml:space="preserve"> dla ochrony siedlisk i gatunków w obrębie, których zlokalizowane są inwestycje i działania oraz t</w:t>
      </w:r>
      <w:r>
        <w:rPr>
          <w:rFonts w:ascii="Times New Roman" w:hAnsi="Times New Roman"/>
          <w:bCs/>
          <w:sz w:val="24"/>
          <w:szCs w:val="24"/>
        </w:rPr>
        <w:t>ych</w:t>
      </w:r>
      <w:r w:rsidRPr="00E6454F">
        <w:rPr>
          <w:rFonts w:ascii="Times New Roman" w:hAnsi="Times New Roman"/>
          <w:bCs/>
          <w:sz w:val="24"/>
          <w:szCs w:val="24"/>
        </w:rPr>
        <w:t>, na które mogą one oddziaływa</w:t>
      </w:r>
      <w:r>
        <w:rPr>
          <w:rFonts w:ascii="Times New Roman" w:hAnsi="Times New Roman"/>
          <w:bCs/>
          <w:sz w:val="24"/>
          <w:szCs w:val="24"/>
        </w:rPr>
        <w:t>ć, są to</w:t>
      </w:r>
      <w:r w:rsidRPr="00E6454F">
        <w:rPr>
          <w:rFonts w:ascii="Times New Roman" w:hAnsi="Times New Roman"/>
          <w:bCs/>
          <w:sz w:val="24"/>
          <w:szCs w:val="24"/>
        </w:rPr>
        <w:t>:</w:t>
      </w:r>
    </w:p>
    <w:p w14:paraId="1BB2C44F" w14:textId="77777777" w:rsidR="00107FCF" w:rsidRDefault="00107FCF" w:rsidP="006D41A7">
      <w:pPr>
        <w:numPr>
          <w:ilvl w:val="0"/>
          <w:numId w:val="68"/>
        </w:numPr>
      </w:pPr>
      <w:r w:rsidRPr="00504938">
        <w:rPr>
          <w:bCs/>
        </w:rPr>
        <w:t xml:space="preserve">Natura 2000 Dolina Wieprzy i Studnicy </w:t>
      </w:r>
      <w:hyperlink r:id="rId37" w:tgtFrame="_blank" w:history="1">
        <w:r w:rsidRPr="00504938">
          <w:rPr>
            <w:rStyle w:val="Hipercze"/>
            <w:u w:val="none"/>
          </w:rPr>
          <w:t>PLH220038</w:t>
        </w:r>
      </w:hyperlink>
      <w:r w:rsidRPr="00504938">
        <w:t xml:space="preserve"> (</w:t>
      </w:r>
      <w:hyperlink r:id="rId38" w:tgtFrame="_blank" w:history="1">
        <w:r w:rsidRPr="00504938">
          <w:rPr>
            <w:rStyle w:val="Hipercze"/>
            <w:u w:val="none"/>
          </w:rPr>
          <w:t>PL.ZIPOP.1393.N2K.PLH220038.H</w:t>
        </w:r>
      </w:hyperlink>
      <w:r w:rsidRPr="00504938">
        <w:t xml:space="preserve">), </w:t>
      </w:r>
    </w:p>
    <w:p w14:paraId="3421C2BF" w14:textId="77777777" w:rsidR="00107FCF" w:rsidRDefault="00107FCF" w:rsidP="006D41A7">
      <w:pPr>
        <w:numPr>
          <w:ilvl w:val="0"/>
          <w:numId w:val="68"/>
        </w:numPr>
      </w:pPr>
      <w:r w:rsidRPr="00504938">
        <w:rPr>
          <w:bCs/>
        </w:rPr>
        <w:t xml:space="preserve">Natura 2000 Przybrzeżne wody Bałtyku </w:t>
      </w:r>
      <w:hyperlink r:id="rId39" w:tgtFrame="_blank" w:history="1">
        <w:r w:rsidRPr="00504938">
          <w:rPr>
            <w:rStyle w:val="Hipercze"/>
            <w:u w:val="none"/>
          </w:rPr>
          <w:t>PLB990002</w:t>
        </w:r>
      </w:hyperlink>
      <w:r w:rsidRPr="00504938">
        <w:t xml:space="preserve"> (</w:t>
      </w:r>
      <w:hyperlink r:id="rId40" w:tgtFrame="_blank" w:history="1">
        <w:r w:rsidRPr="00504938">
          <w:rPr>
            <w:rStyle w:val="Hipercze"/>
            <w:u w:val="none"/>
          </w:rPr>
          <w:t>PL.ZIPOP.1393.N2K.PLB990002.B</w:t>
        </w:r>
      </w:hyperlink>
      <w:r w:rsidRPr="00504938">
        <w:t xml:space="preserve">) </w:t>
      </w:r>
    </w:p>
    <w:p w14:paraId="0E38EE22" w14:textId="77777777" w:rsidR="00107FCF" w:rsidRPr="00504938" w:rsidRDefault="00107FCF" w:rsidP="006D41A7">
      <w:pPr>
        <w:numPr>
          <w:ilvl w:val="0"/>
          <w:numId w:val="68"/>
        </w:numPr>
      </w:pPr>
      <w:r w:rsidRPr="00504938">
        <w:t>Obszar Chronionego Krajobrazu "Koszaliński Pas Nadmorski", (</w:t>
      </w:r>
      <w:hyperlink r:id="rId41" w:tgtFrame="_blank" w:history="1">
        <w:r w:rsidRPr="00504938">
          <w:rPr>
            <w:rStyle w:val="Hipercze"/>
            <w:u w:val="none"/>
          </w:rPr>
          <w:t>PL.ZIPOP.1393.OCHK.14</w:t>
        </w:r>
      </w:hyperlink>
      <w:r w:rsidRPr="00504938">
        <w:t xml:space="preserve">). </w:t>
      </w:r>
    </w:p>
    <w:p w14:paraId="39145289" w14:textId="77777777" w:rsidR="00107FCF" w:rsidRPr="00E6454F" w:rsidRDefault="00107FCF" w:rsidP="006D41A7">
      <w:pPr>
        <w:numPr>
          <w:ilvl w:val="0"/>
          <w:numId w:val="69"/>
        </w:numPr>
        <w:autoSpaceDE w:val="0"/>
        <w:autoSpaceDN w:val="0"/>
        <w:adjustRightInd w:val="0"/>
        <w:spacing w:after="160"/>
      </w:pPr>
      <w:r w:rsidRPr="00504938">
        <w:t xml:space="preserve">Natura 2000 </w:t>
      </w:r>
      <w:r w:rsidRPr="00504938">
        <w:rPr>
          <w:bCs/>
        </w:rPr>
        <w:t xml:space="preserve">Łąki Skoszewskie, </w:t>
      </w:r>
      <w:hyperlink r:id="rId42" w:tgtFrame="_blank" w:history="1">
        <w:r w:rsidRPr="00504938">
          <w:rPr>
            <w:rStyle w:val="Hipercze"/>
            <w:u w:val="none"/>
          </w:rPr>
          <w:t>PLB320007</w:t>
        </w:r>
      </w:hyperlink>
      <w:r w:rsidRPr="00504938">
        <w:t xml:space="preserve"> (</w:t>
      </w:r>
      <w:hyperlink r:id="rId43" w:tgtFrame="_blank" w:history="1">
        <w:r w:rsidRPr="00504938">
          <w:rPr>
            <w:rStyle w:val="Hipercze"/>
            <w:rFonts w:eastAsia="Times New Roman"/>
            <w:u w:val="none"/>
            <w:lang w:eastAsia="pl-PL"/>
          </w:rPr>
          <w:t>PL.ZIPOP.1393.N2K.PLB320007.B</w:t>
        </w:r>
      </w:hyperlink>
      <w:r w:rsidRPr="00504938">
        <w:rPr>
          <w:rFonts w:eastAsia="Times New Roman"/>
          <w:lang w:eastAsia="pl-PL"/>
        </w:rPr>
        <w:t xml:space="preserve">), </w:t>
      </w:r>
    </w:p>
    <w:p w14:paraId="5BAF36D9" w14:textId="77777777" w:rsidR="00107FCF" w:rsidRPr="00504938" w:rsidRDefault="00107FCF" w:rsidP="006D41A7">
      <w:pPr>
        <w:numPr>
          <w:ilvl w:val="0"/>
          <w:numId w:val="69"/>
        </w:numPr>
        <w:autoSpaceDE w:val="0"/>
        <w:autoSpaceDN w:val="0"/>
        <w:adjustRightInd w:val="0"/>
        <w:spacing w:after="160"/>
      </w:pPr>
      <w:r w:rsidRPr="00504938">
        <w:rPr>
          <w:rFonts w:eastAsia="Times New Roman"/>
          <w:lang w:eastAsia="pl-PL"/>
        </w:rPr>
        <w:t xml:space="preserve">Natura 2000 </w:t>
      </w:r>
      <w:r>
        <w:rPr>
          <w:bCs/>
        </w:rPr>
        <w:t xml:space="preserve">Zalew Szczeciński </w:t>
      </w:r>
      <w:r w:rsidRPr="00504938">
        <w:rPr>
          <w:bCs/>
        </w:rPr>
        <w:t>(</w:t>
      </w:r>
      <w:hyperlink r:id="rId44" w:tgtFrame="_blank" w:history="1">
        <w:r w:rsidRPr="00504938">
          <w:rPr>
            <w:rStyle w:val="Hipercze"/>
            <w:u w:val="none"/>
          </w:rPr>
          <w:t>PLB320009</w:t>
        </w:r>
      </w:hyperlink>
      <w:hyperlink r:id="rId45" w:tgtFrame="_blank" w:history="1">
        <w:r w:rsidRPr="00504938">
          <w:rPr>
            <w:rStyle w:val="Hipercze"/>
            <w:rFonts w:eastAsia="Times New Roman"/>
            <w:u w:val="none"/>
            <w:lang w:eastAsia="pl-PL"/>
          </w:rPr>
          <w:t>PL.ZIPOP.1393.N2K.PLB320009.B</w:t>
        </w:r>
      </w:hyperlink>
      <w:r w:rsidRPr="00504938">
        <w:rPr>
          <w:rFonts w:eastAsia="Times New Roman"/>
          <w:lang w:eastAsia="pl-PL"/>
        </w:rPr>
        <w:t>)</w:t>
      </w:r>
      <w:r w:rsidRPr="00504938">
        <w:t xml:space="preserve">, </w:t>
      </w:r>
    </w:p>
    <w:p w14:paraId="6BD7FDF1" w14:textId="77777777" w:rsidR="00107FCF" w:rsidRDefault="00107FCF" w:rsidP="006D41A7">
      <w:pPr>
        <w:numPr>
          <w:ilvl w:val="0"/>
          <w:numId w:val="69"/>
        </w:numPr>
        <w:autoSpaceDE w:val="0"/>
        <w:autoSpaceDN w:val="0"/>
        <w:adjustRightInd w:val="0"/>
        <w:spacing w:after="160"/>
      </w:pPr>
      <w:r w:rsidRPr="00504938">
        <w:t xml:space="preserve">Natura 2000 </w:t>
      </w:r>
      <w:r w:rsidRPr="00504938">
        <w:rPr>
          <w:bCs/>
        </w:rPr>
        <w:t xml:space="preserve">Zalew Szczeciński </w:t>
      </w:r>
      <w:hyperlink r:id="rId46" w:tgtFrame="_blank" w:history="1">
        <w:r w:rsidRPr="00504938">
          <w:rPr>
            <w:rStyle w:val="Hipercze"/>
            <w:u w:val="none"/>
          </w:rPr>
          <w:t>PLB320009</w:t>
        </w:r>
      </w:hyperlink>
      <w:r w:rsidRPr="00504938">
        <w:t xml:space="preserve"> (</w:t>
      </w:r>
      <w:hyperlink r:id="rId47" w:tgtFrame="_blank" w:history="1">
        <w:r w:rsidRPr="00504938">
          <w:rPr>
            <w:rStyle w:val="Hipercze"/>
            <w:u w:val="none"/>
          </w:rPr>
          <w:t>PL.ZIPOP.1393.N2K.PLB320009.B</w:t>
        </w:r>
      </w:hyperlink>
      <w:r w:rsidRPr="00504938">
        <w:t xml:space="preserve">), </w:t>
      </w:r>
    </w:p>
    <w:p w14:paraId="583601F5" w14:textId="77777777" w:rsidR="00107FCF" w:rsidRPr="00504938" w:rsidRDefault="00107FCF" w:rsidP="006D41A7">
      <w:pPr>
        <w:numPr>
          <w:ilvl w:val="0"/>
          <w:numId w:val="69"/>
        </w:numPr>
        <w:autoSpaceDE w:val="0"/>
        <w:autoSpaceDN w:val="0"/>
        <w:adjustRightInd w:val="0"/>
        <w:spacing w:after="160"/>
      </w:pPr>
      <w:r w:rsidRPr="00504938">
        <w:t xml:space="preserve">Natura 2000 </w:t>
      </w:r>
      <w:r w:rsidRPr="00504938">
        <w:rPr>
          <w:bCs/>
        </w:rPr>
        <w:t xml:space="preserve">Ujście Odry i Zalew Szczeciński </w:t>
      </w:r>
      <w:hyperlink r:id="rId48" w:tgtFrame="_blank" w:history="1">
        <w:r w:rsidRPr="00504938">
          <w:rPr>
            <w:rStyle w:val="Hipercze"/>
            <w:u w:val="none"/>
          </w:rPr>
          <w:t>PLH320018</w:t>
        </w:r>
      </w:hyperlink>
      <w:r w:rsidRPr="00504938">
        <w:t xml:space="preserve"> (</w:t>
      </w:r>
      <w:hyperlink r:id="rId49" w:tgtFrame="_blank" w:history="1">
        <w:r w:rsidRPr="00504938">
          <w:rPr>
            <w:rStyle w:val="Hipercze"/>
            <w:rFonts w:eastAsia="Times New Roman"/>
            <w:u w:val="none"/>
            <w:lang w:eastAsia="pl-PL"/>
          </w:rPr>
          <w:t>PL.ZIPOP.1393.N2K.PLH320018.H</w:t>
        </w:r>
      </w:hyperlink>
      <w:r w:rsidRPr="00504938">
        <w:rPr>
          <w:rFonts w:eastAsia="Times New Roman"/>
          <w:lang w:eastAsia="pl-PL"/>
        </w:rPr>
        <w:t>).</w:t>
      </w:r>
    </w:p>
    <w:p w14:paraId="2AF5F423" w14:textId="77777777" w:rsidR="00107FCF" w:rsidRDefault="00107FCF" w:rsidP="00652C56">
      <w:pPr>
        <w:pStyle w:val="Akapitzlist1"/>
        <w:tabs>
          <w:tab w:val="left" w:pos="2250"/>
        </w:tabs>
        <w:spacing w:line="240" w:lineRule="auto"/>
        <w:ind w:left="0"/>
        <w:jc w:val="both"/>
        <w:rPr>
          <w:rFonts w:ascii="Times New Roman" w:eastAsia="MS Mincho" w:hAnsi="Times New Roman"/>
          <w:sz w:val="24"/>
          <w:szCs w:val="20"/>
        </w:rPr>
      </w:pPr>
    </w:p>
    <w:p w14:paraId="38A3BE47" w14:textId="7EE4B292" w:rsidR="00107FCF" w:rsidRPr="00B0091D" w:rsidRDefault="00D408DE" w:rsidP="006D41A7">
      <w:pPr>
        <w:pStyle w:val="ReportLevel3"/>
        <w:numPr>
          <w:ilvl w:val="2"/>
          <w:numId w:val="4"/>
        </w:numPr>
        <w:rPr>
          <w:rFonts w:cs="Calibri"/>
          <w:bCs/>
        </w:rPr>
      </w:pPr>
      <w:r>
        <w:rPr>
          <w:rFonts w:cs="Calibri"/>
          <w:bCs/>
        </w:rPr>
        <w:br w:type="column"/>
      </w:r>
      <w:r w:rsidR="00107FCF" w:rsidRPr="00652C56">
        <w:rPr>
          <w:rFonts w:cs="Calibri"/>
          <w:bCs/>
        </w:rPr>
        <w:lastRenderedPageBreak/>
        <w:t xml:space="preserve">Identyfikacja </w:t>
      </w:r>
      <w:r w:rsidR="00107FCF" w:rsidRPr="00B0091D">
        <w:rPr>
          <w:rFonts w:cs="Calibri"/>
          <w:bCs/>
        </w:rPr>
        <w:t>czynników oddziaływania inwestycji i działań na wskaźniki oceny stanu wód</w:t>
      </w:r>
    </w:p>
    <w:p w14:paraId="7CC78248" w14:textId="77777777" w:rsidR="00107FCF" w:rsidRPr="008450A1" w:rsidRDefault="00107FCF" w:rsidP="006D41A7">
      <w:pPr>
        <w:pStyle w:val="ReportLevel4"/>
        <w:numPr>
          <w:ilvl w:val="3"/>
          <w:numId w:val="4"/>
        </w:numPr>
      </w:pPr>
      <w:r w:rsidRPr="008450A1">
        <w:t>Obszar problemowy IOP_6 – Darłowo, Zadanie O_AR_97 - Wariant II</w:t>
      </w:r>
    </w:p>
    <w:p w14:paraId="0CDDF1DB" w14:textId="0C23C4B6" w:rsidR="00107FCF" w:rsidRDefault="00107FCF" w:rsidP="001371E3">
      <w:pPr>
        <w:pStyle w:val="Akapitzlist1"/>
        <w:tabs>
          <w:tab w:val="left" w:pos="2250"/>
        </w:tabs>
        <w:spacing w:line="240" w:lineRule="auto"/>
        <w:ind w:left="0"/>
        <w:jc w:val="both"/>
        <w:rPr>
          <w:rFonts w:ascii="Times New Roman" w:eastAsia="MS Mincho" w:hAnsi="Times New Roman"/>
          <w:sz w:val="24"/>
          <w:szCs w:val="20"/>
        </w:rPr>
      </w:pPr>
      <w:r w:rsidRPr="00F47700">
        <w:rPr>
          <w:rFonts w:ascii="Times New Roman" w:eastAsia="MS Mincho" w:hAnsi="Times New Roman"/>
          <w:sz w:val="24"/>
          <w:szCs w:val="20"/>
        </w:rPr>
        <w:t xml:space="preserve">Inwestycja zaplanowana w obrębie prawego brzegu rzeki Wieprzy, wzdłuż strefy brzegowej </w:t>
      </w:r>
      <w:r w:rsidR="00D408DE">
        <w:rPr>
          <w:rFonts w:ascii="Times New Roman" w:eastAsia="MS Mincho" w:hAnsi="Times New Roman"/>
          <w:sz w:val="24"/>
          <w:szCs w:val="20"/>
        </w:rPr>
        <w:t>JCWP</w:t>
      </w:r>
      <w:r w:rsidRPr="00F47700">
        <w:rPr>
          <w:rFonts w:ascii="Times New Roman" w:eastAsia="MS Mincho" w:hAnsi="Times New Roman"/>
          <w:sz w:val="24"/>
          <w:szCs w:val="20"/>
        </w:rPr>
        <w:t xml:space="preserve"> o nazwie Wieprza od Łękawicy do ujścia RW6000144699 wyznaczana jako silnie zmieniona część wód, o złym </w:t>
      </w:r>
      <w:bookmarkStart w:id="115" w:name="OLE_LINK21"/>
      <w:r w:rsidRPr="00F47700">
        <w:rPr>
          <w:rFonts w:ascii="Times New Roman" w:eastAsia="MS Mincho" w:hAnsi="Times New Roman"/>
          <w:sz w:val="24"/>
          <w:szCs w:val="20"/>
        </w:rPr>
        <w:t>stanie</w:t>
      </w:r>
      <w:r>
        <w:rPr>
          <w:rFonts w:ascii="Times New Roman" w:eastAsia="MS Mincho" w:hAnsi="Times New Roman"/>
          <w:sz w:val="24"/>
          <w:szCs w:val="20"/>
        </w:rPr>
        <w:t>,</w:t>
      </w:r>
      <w:r w:rsidRPr="00F47700">
        <w:rPr>
          <w:rFonts w:ascii="Times New Roman" w:eastAsia="MS Mincho" w:hAnsi="Times New Roman"/>
          <w:sz w:val="24"/>
          <w:szCs w:val="20"/>
        </w:rPr>
        <w:t xml:space="preserve"> zagrożona </w:t>
      </w:r>
      <w:bookmarkEnd w:id="115"/>
      <w:r w:rsidRPr="00F47700">
        <w:rPr>
          <w:rFonts w:ascii="Times New Roman" w:eastAsia="MS Mincho" w:hAnsi="Times New Roman"/>
          <w:sz w:val="24"/>
          <w:szCs w:val="20"/>
        </w:rPr>
        <w:t>nieosiągnięciem celów środowiskowych oraz na lewym brzegu w oddaleniu od koryta rzeki, wzdłuż ulicy Nadmorskiej oraz krótkiego odcinka ul. Lotników Morskich.  Celem działań jest ochrona przeciwpowodziowa miejscowości Darłowo (Darłówko) przy pomocy budowy wału przeciwpowodziowego o długości 1680 m na lewym brzegu rz. Wieprzy w m. Darłowo (Darłówko) oraz budowy systemu mobilnych przegród przeciwpowodziowych o długości 640 m i 1270 m wraz z murem oporowym połączonym z systemem mobilnych zabezpieczeń na górnej krawędzi muru oporowego o długości 1160 m, a</w:t>
      </w:r>
      <w:r w:rsidR="00D408DE">
        <w:rPr>
          <w:rFonts w:ascii="Times New Roman" w:eastAsia="MS Mincho" w:hAnsi="Times New Roman"/>
          <w:sz w:val="24"/>
          <w:szCs w:val="20"/>
        </w:rPr>
        <w:t> </w:t>
      </w:r>
      <w:r w:rsidRPr="00F47700">
        <w:rPr>
          <w:rFonts w:ascii="Times New Roman" w:eastAsia="MS Mincho" w:hAnsi="Times New Roman"/>
          <w:sz w:val="24"/>
          <w:szCs w:val="20"/>
        </w:rPr>
        <w:t>także rozwojem lokalnego systemu ostrzegania przed powodziami i prognozowania zagrożeń na terenie gminy Darłowo.</w:t>
      </w:r>
    </w:p>
    <w:p w14:paraId="39940F0A" w14:textId="77777777" w:rsidR="00107FCF" w:rsidRPr="001371E3" w:rsidRDefault="00107FCF" w:rsidP="001371E3">
      <w:pPr>
        <w:pStyle w:val="Akapitzlist1"/>
        <w:tabs>
          <w:tab w:val="left" w:pos="2250"/>
        </w:tabs>
        <w:spacing w:line="240" w:lineRule="auto"/>
        <w:ind w:left="0"/>
        <w:jc w:val="both"/>
        <w:rPr>
          <w:rFonts w:ascii="Times New Roman" w:eastAsia="MS Mincho" w:hAnsi="Times New Roman"/>
          <w:sz w:val="24"/>
          <w:szCs w:val="20"/>
        </w:rPr>
      </w:pPr>
    </w:p>
    <w:p w14:paraId="0011BA1E" w14:textId="59EDD101" w:rsidR="00107FCF" w:rsidRPr="00C83C60" w:rsidRDefault="00107FCF" w:rsidP="00F47700">
      <w:pPr>
        <w:pStyle w:val="Akapitzlist1"/>
        <w:tabs>
          <w:tab w:val="left" w:pos="2250"/>
        </w:tabs>
        <w:spacing w:line="240" w:lineRule="auto"/>
        <w:ind w:left="0"/>
        <w:jc w:val="both"/>
        <w:rPr>
          <w:rFonts w:ascii="Times New Roman" w:eastAsia="MS Mincho" w:hAnsi="Times New Roman"/>
          <w:sz w:val="24"/>
          <w:szCs w:val="20"/>
        </w:rPr>
      </w:pPr>
      <w:r w:rsidRPr="00400874">
        <w:rPr>
          <w:rFonts w:ascii="Times New Roman" w:eastAsia="MS Mincho" w:hAnsi="Times New Roman"/>
          <w:sz w:val="24"/>
          <w:szCs w:val="24"/>
        </w:rPr>
        <w:t>Ze względu</w:t>
      </w:r>
      <w:r w:rsidRPr="001371E3">
        <w:rPr>
          <w:rFonts w:ascii="Times New Roman" w:eastAsia="MS Mincho" w:hAnsi="Times New Roman"/>
          <w:sz w:val="24"/>
          <w:szCs w:val="20"/>
        </w:rPr>
        <w:t xml:space="preserve"> na</w:t>
      </w:r>
      <w:r>
        <w:rPr>
          <w:rFonts w:ascii="Times New Roman" w:eastAsia="MS Mincho" w:hAnsi="Times New Roman"/>
          <w:sz w:val="24"/>
          <w:szCs w:val="20"/>
        </w:rPr>
        <w:t xml:space="preserve"> zakres działań, w tym budowa obwałowań i muru oporowego,</w:t>
      </w:r>
      <w:r w:rsidRPr="001371E3">
        <w:rPr>
          <w:rFonts w:ascii="Times New Roman" w:eastAsia="MS Mincho" w:hAnsi="Times New Roman"/>
          <w:sz w:val="24"/>
          <w:szCs w:val="20"/>
        </w:rPr>
        <w:t xml:space="preserve"> lokalizacje planowanych mobilnych przegród, </w:t>
      </w:r>
      <w:r>
        <w:rPr>
          <w:rFonts w:ascii="Times New Roman" w:eastAsia="MS Mincho" w:hAnsi="Times New Roman"/>
          <w:sz w:val="24"/>
          <w:szCs w:val="20"/>
        </w:rPr>
        <w:t>mogą wystąpić negatywne umiarkowane i znaczące</w:t>
      </w:r>
      <w:r w:rsidRPr="001371E3">
        <w:rPr>
          <w:rFonts w:ascii="Times New Roman" w:eastAsia="MS Mincho" w:hAnsi="Times New Roman"/>
          <w:sz w:val="24"/>
          <w:szCs w:val="20"/>
        </w:rPr>
        <w:t xml:space="preserve"> oddziaływa</w:t>
      </w:r>
      <w:r>
        <w:rPr>
          <w:rFonts w:ascii="Times New Roman" w:eastAsia="MS Mincho" w:hAnsi="Times New Roman"/>
          <w:sz w:val="24"/>
          <w:szCs w:val="20"/>
        </w:rPr>
        <w:t xml:space="preserve">nia na </w:t>
      </w:r>
      <w:r w:rsidRPr="001371E3">
        <w:rPr>
          <w:rFonts w:ascii="Times New Roman" w:eastAsia="MS Mincho" w:hAnsi="Times New Roman"/>
          <w:sz w:val="24"/>
          <w:szCs w:val="20"/>
        </w:rPr>
        <w:t xml:space="preserve">wskaźniki oceny stanu wód </w:t>
      </w:r>
      <w:r w:rsidR="00D408DE">
        <w:rPr>
          <w:rFonts w:ascii="Times New Roman" w:eastAsia="MS Mincho" w:hAnsi="Times New Roman"/>
          <w:sz w:val="24"/>
          <w:szCs w:val="20"/>
        </w:rPr>
        <w:t>JCWP</w:t>
      </w:r>
      <w:r w:rsidRPr="001371E3">
        <w:rPr>
          <w:rFonts w:ascii="Times New Roman" w:eastAsia="MS Mincho" w:hAnsi="Times New Roman"/>
          <w:sz w:val="24"/>
          <w:szCs w:val="20"/>
        </w:rPr>
        <w:t xml:space="preserve"> a tym samym </w:t>
      </w:r>
      <w:r>
        <w:rPr>
          <w:rFonts w:ascii="Times New Roman" w:eastAsia="MS Mincho" w:hAnsi="Times New Roman"/>
          <w:sz w:val="24"/>
          <w:szCs w:val="20"/>
        </w:rPr>
        <w:t xml:space="preserve">możliwy jest negatywny </w:t>
      </w:r>
      <w:r w:rsidRPr="001371E3">
        <w:rPr>
          <w:rFonts w:ascii="Times New Roman" w:eastAsia="MS Mincho" w:hAnsi="Times New Roman"/>
          <w:sz w:val="24"/>
          <w:szCs w:val="20"/>
        </w:rPr>
        <w:t xml:space="preserve">wpływ na stan wód i cele środowiskowe </w:t>
      </w:r>
      <w:r w:rsidR="00D408DE">
        <w:rPr>
          <w:rFonts w:ascii="Times New Roman" w:eastAsia="MS Mincho" w:hAnsi="Times New Roman"/>
          <w:sz w:val="24"/>
          <w:szCs w:val="20"/>
        </w:rPr>
        <w:t>JCWP</w:t>
      </w:r>
      <w:r w:rsidRPr="001371E3">
        <w:rPr>
          <w:rFonts w:ascii="Times New Roman" w:eastAsia="MS Mincho" w:hAnsi="Times New Roman"/>
          <w:sz w:val="24"/>
          <w:szCs w:val="20"/>
        </w:rPr>
        <w:t xml:space="preserve"> </w:t>
      </w:r>
      <w:r w:rsidRPr="00410969">
        <w:rPr>
          <w:rFonts w:ascii="Times New Roman" w:eastAsia="MS Mincho" w:hAnsi="Times New Roman"/>
          <w:sz w:val="24"/>
          <w:szCs w:val="20"/>
        </w:rPr>
        <w:t>RW6000144699</w:t>
      </w:r>
      <w:r w:rsidRPr="001371E3">
        <w:rPr>
          <w:rFonts w:ascii="Times New Roman" w:eastAsia="MS Mincho" w:hAnsi="Times New Roman"/>
          <w:sz w:val="24"/>
          <w:szCs w:val="20"/>
        </w:rPr>
        <w:t>, w tym na:</w:t>
      </w:r>
      <w:r w:rsidRPr="00C83C60">
        <w:rPr>
          <w:rFonts w:ascii="Times New Roman" w:eastAsia="MS Mincho" w:hAnsi="Times New Roman"/>
          <w:sz w:val="24"/>
          <w:szCs w:val="20"/>
        </w:rPr>
        <w:t xml:space="preserve"> </w:t>
      </w:r>
    </w:p>
    <w:p w14:paraId="431DCF50" w14:textId="77777777" w:rsidR="00107FCF" w:rsidRPr="00C83C60" w:rsidRDefault="00107FCF" w:rsidP="00F47700">
      <w:pPr>
        <w:pStyle w:val="Akapitzlist1"/>
        <w:tabs>
          <w:tab w:val="left" w:pos="2250"/>
        </w:tabs>
        <w:spacing w:line="240" w:lineRule="auto"/>
        <w:ind w:left="0"/>
        <w:jc w:val="both"/>
        <w:rPr>
          <w:rFonts w:ascii="Times New Roman" w:eastAsia="MS Mincho" w:hAnsi="Times New Roman"/>
          <w:sz w:val="24"/>
          <w:szCs w:val="20"/>
        </w:rPr>
      </w:pPr>
    </w:p>
    <w:p w14:paraId="69A715AA" w14:textId="77777777" w:rsidR="00107FCF" w:rsidRPr="001371E3" w:rsidRDefault="00107FCF" w:rsidP="006D41A7">
      <w:pPr>
        <w:pStyle w:val="Akapitzlist1"/>
        <w:numPr>
          <w:ilvl w:val="0"/>
          <w:numId w:val="47"/>
        </w:numPr>
        <w:tabs>
          <w:tab w:val="left" w:pos="567"/>
        </w:tabs>
        <w:spacing w:line="240" w:lineRule="auto"/>
        <w:ind w:left="567" w:hanging="425"/>
        <w:jc w:val="both"/>
        <w:rPr>
          <w:rFonts w:ascii="Times New Roman" w:eastAsia="MS Mincho" w:hAnsi="Times New Roman"/>
          <w:sz w:val="24"/>
          <w:szCs w:val="20"/>
        </w:rPr>
      </w:pPr>
      <w:r w:rsidRPr="001371E3">
        <w:rPr>
          <w:rFonts w:ascii="Times New Roman" w:eastAsia="MS Mincho" w:hAnsi="Times New Roman"/>
          <w:sz w:val="24"/>
          <w:szCs w:val="20"/>
        </w:rPr>
        <w:t>elementy biologiczne (brak oddziaływań</w:t>
      </w:r>
      <w:r>
        <w:rPr>
          <w:rFonts w:ascii="Times New Roman" w:eastAsia="MS Mincho" w:hAnsi="Times New Roman"/>
          <w:sz w:val="24"/>
          <w:szCs w:val="20"/>
        </w:rPr>
        <w:t xml:space="preserve"> na etapie eksploatacji, podczas prac ziemnych na brzegu lewym rzeki Wieprzy możliwy wzrostu zawiesiny i związane z tym potencjalne pogorszenie wskaźników fizykochemicznych, w tym pogorszenie warunków tlenowych i potencjalny negatywny wpływ na ichtiofaunę, oddziaływanie czasowe</w:t>
      </w:r>
      <w:r w:rsidRPr="001371E3">
        <w:rPr>
          <w:rFonts w:ascii="Times New Roman" w:eastAsia="MS Mincho" w:hAnsi="Times New Roman"/>
          <w:sz w:val="24"/>
          <w:szCs w:val="20"/>
        </w:rPr>
        <w:t>)</w:t>
      </w:r>
    </w:p>
    <w:p w14:paraId="49F70DEC" w14:textId="395FEA56" w:rsidR="00107FCF" w:rsidRPr="001371E3" w:rsidRDefault="00107FCF" w:rsidP="006D41A7">
      <w:pPr>
        <w:pStyle w:val="Akapitzlist1"/>
        <w:numPr>
          <w:ilvl w:val="0"/>
          <w:numId w:val="47"/>
        </w:numPr>
        <w:tabs>
          <w:tab w:val="left" w:pos="567"/>
        </w:tabs>
        <w:spacing w:line="240" w:lineRule="auto"/>
        <w:ind w:left="567" w:hanging="425"/>
        <w:jc w:val="both"/>
        <w:rPr>
          <w:rFonts w:ascii="Times New Roman" w:eastAsia="MS Mincho" w:hAnsi="Times New Roman"/>
          <w:sz w:val="24"/>
          <w:szCs w:val="20"/>
        </w:rPr>
      </w:pPr>
      <w:r w:rsidRPr="001371E3">
        <w:rPr>
          <w:rFonts w:ascii="Times New Roman" w:eastAsia="MS Mincho" w:hAnsi="Times New Roman"/>
          <w:sz w:val="24"/>
          <w:szCs w:val="20"/>
        </w:rPr>
        <w:t>elementy hydromorfologiczne (</w:t>
      </w:r>
      <w:r>
        <w:rPr>
          <w:rFonts w:ascii="Times New Roman" w:eastAsia="MS Mincho" w:hAnsi="Times New Roman"/>
          <w:sz w:val="24"/>
          <w:szCs w:val="20"/>
        </w:rPr>
        <w:t xml:space="preserve">trwała zmiana struktury doliny rzeki Wieprzy, zmiana warunków przepływu wód wezbraniowych w odcinku ujściowym rzeki, ograniczenie zasięgu zalewu powierzchniowego, zmiana warunków hydromorfologicznych strefy zalewowej, wpływ na pogorszenie wskaźników oceny stanu elementów hydromorfologicznych </w:t>
      </w:r>
      <w:r w:rsidR="00D408DE">
        <w:rPr>
          <w:rFonts w:ascii="Times New Roman" w:eastAsia="MS Mincho" w:hAnsi="Times New Roman"/>
          <w:sz w:val="24"/>
          <w:szCs w:val="20"/>
        </w:rPr>
        <w:t>JCWP</w:t>
      </w:r>
      <w:r>
        <w:rPr>
          <w:rFonts w:ascii="Times New Roman" w:eastAsia="MS Mincho" w:hAnsi="Times New Roman"/>
          <w:sz w:val="24"/>
          <w:szCs w:val="20"/>
        </w:rPr>
        <w:t xml:space="preserve"> </w:t>
      </w:r>
      <w:r w:rsidRPr="00410969">
        <w:rPr>
          <w:rFonts w:ascii="Times New Roman" w:eastAsia="MS Mincho" w:hAnsi="Times New Roman"/>
          <w:sz w:val="24"/>
          <w:szCs w:val="20"/>
        </w:rPr>
        <w:t>RW6000144699</w:t>
      </w:r>
      <w:r>
        <w:rPr>
          <w:rFonts w:ascii="Times New Roman" w:eastAsia="MS Mincho" w:hAnsi="Times New Roman"/>
          <w:sz w:val="24"/>
          <w:szCs w:val="20"/>
        </w:rPr>
        <w:t xml:space="preserve">, obecny stan elementów hydromorfologicznych </w:t>
      </w:r>
      <w:r w:rsidR="00D408DE">
        <w:rPr>
          <w:rFonts w:ascii="Times New Roman" w:eastAsia="MS Mincho" w:hAnsi="Times New Roman"/>
          <w:sz w:val="24"/>
          <w:szCs w:val="20"/>
        </w:rPr>
        <w:t>JCWP</w:t>
      </w:r>
      <w:r>
        <w:rPr>
          <w:rFonts w:ascii="Times New Roman" w:eastAsia="MS Mincho" w:hAnsi="Times New Roman"/>
          <w:sz w:val="24"/>
          <w:szCs w:val="20"/>
        </w:rPr>
        <w:t xml:space="preserve"> jest zły HIR 0,357; pogorszenie wskaźników przekształcenia hydromorfologicznego: PPH6, zwiększenie presji w</w:t>
      </w:r>
      <w:r w:rsidR="00D408DE">
        <w:rPr>
          <w:rFonts w:ascii="Times New Roman" w:eastAsia="MS Mincho" w:hAnsi="Times New Roman"/>
          <w:sz w:val="24"/>
          <w:szCs w:val="20"/>
        </w:rPr>
        <w:t> </w:t>
      </w:r>
      <w:r>
        <w:rPr>
          <w:rFonts w:ascii="Times New Roman" w:eastAsia="MS Mincho" w:hAnsi="Times New Roman"/>
          <w:sz w:val="24"/>
          <w:szCs w:val="20"/>
        </w:rPr>
        <w:t>postaci nowych obwałowań, negatywny wpływ na warunki glebowe i</w:t>
      </w:r>
      <w:r w:rsidR="00D408DE">
        <w:rPr>
          <w:rFonts w:ascii="Times New Roman" w:eastAsia="MS Mincho" w:hAnsi="Times New Roman"/>
          <w:sz w:val="24"/>
          <w:szCs w:val="20"/>
        </w:rPr>
        <w:t> </w:t>
      </w:r>
      <w:r>
        <w:rPr>
          <w:rFonts w:ascii="Times New Roman" w:eastAsia="MS Mincho" w:hAnsi="Times New Roman"/>
          <w:sz w:val="24"/>
          <w:szCs w:val="20"/>
        </w:rPr>
        <w:t>siedliskowe strefy nadrzecznej odciętej od zalewu - brzeg lewy Wieprzy</w:t>
      </w:r>
      <w:r w:rsidRPr="001371E3">
        <w:rPr>
          <w:rFonts w:ascii="Times New Roman" w:eastAsia="MS Mincho" w:hAnsi="Times New Roman"/>
          <w:sz w:val="24"/>
          <w:szCs w:val="20"/>
        </w:rPr>
        <w:t>)</w:t>
      </w:r>
    </w:p>
    <w:p w14:paraId="25DDF78B" w14:textId="77777777" w:rsidR="00107FCF" w:rsidRDefault="00107FCF" w:rsidP="006D41A7">
      <w:pPr>
        <w:pStyle w:val="Akapitzlist1"/>
        <w:numPr>
          <w:ilvl w:val="0"/>
          <w:numId w:val="47"/>
        </w:numPr>
        <w:tabs>
          <w:tab w:val="left" w:pos="567"/>
        </w:tabs>
        <w:spacing w:line="240" w:lineRule="auto"/>
        <w:ind w:left="567" w:hanging="425"/>
        <w:jc w:val="both"/>
        <w:rPr>
          <w:rFonts w:ascii="Times New Roman" w:eastAsia="MS Mincho" w:hAnsi="Times New Roman"/>
          <w:sz w:val="24"/>
          <w:szCs w:val="20"/>
        </w:rPr>
      </w:pPr>
      <w:r w:rsidRPr="001371E3">
        <w:rPr>
          <w:rFonts w:ascii="Times New Roman" w:eastAsia="MS Mincho" w:hAnsi="Times New Roman"/>
          <w:sz w:val="24"/>
          <w:szCs w:val="20"/>
        </w:rPr>
        <w:t>elementy fizykochemiczne (</w:t>
      </w:r>
      <w:r>
        <w:rPr>
          <w:rFonts w:ascii="Times New Roman" w:eastAsia="MS Mincho" w:hAnsi="Times New Roman"/>
          <w:sz w:val="24"/>
          <w:szCs w:val="20"/>
        </w:rPr>
        <w:t>na</w:t>
      </w:r>
      <w:r w:rsidRPr="001371E3">
        <w:rPr>
          <w:rFonts w:ascii="Times New Roman" w:eastAsia="MS Mincho" w:hAnsi="Times New Roman"/>
          <w:sz w:val="24"/>
          <w:szCs w:val="20"/>
        </w:rPr>
        <w:t xml:space="preserve"> etapie eksploatacji</w:t>
      </w:r>
      <w:r>
        <w:rPr>
          <w:rFonts w:ascii="Times New Roman" w:eastAsia="MS Mincho" w:hAnsi="Times New Roman"/>
          <w:sz w:val="24"/>
          <w:szCs w:val="20"/>
        </w:rPr>
        <w:t xml:space="preserve"> brak</w:t>
      </w:r>
      <w:r w:rsidRPr="001371E3">
        <w:rPr>
          <w:rFonts w:ascii="Times New Roman" w:eastAsia="MS Mincho" w:hAnsi="Times New Roman"/>
          <w:sz w:val="24"/>
          <w:szCs w:val="20"/>
        </w:rPr>
        <w:t xml:space="preserve">, możliwe oddziaływania na etapie </w:t>
      </w:r>
      <w:r>
        <w:rPr>
          <w:rFonts w:ascii="Times New Roman" w:eastAsia="MS Mincho" w:hAnsi="Times New Roman"/>
          <w:sz w:val="24"/>
          <w:szCs w:val="20"/>
        </w:rPr>
        <w:t xml:space="preserve">prac ziemnych, w tym budowy muru oporowego i </w:t>
      </w:r>
      <w:r w:rsidRPr="001371E3">
        <w:rPr>
          <w:rFonts w:ascii="Times New Roman" w:eastAsia="MS Mincho" w:hAnsi="Times New Roman"/>
          <w:sz w:val="24"/>
          <w:szCs w:val="20"/>
        </w:rPr>
        <w:t>montażu trwałych elementów przegród mobilnych o charakterze punktowym - podczas awarii).</w:t>
      </w:r>
    </w:p>
    <w:p w14:paraId="4F6E5D0C" w14:textId="77777777" w:rsidR="00107FCF" w:rsidRPr="001371E3" w:rsidRDefault="00107FCF" w:rsidP="00E575BC">
      <w:pPr>
        <w:pStyle w:val="Akapitzlist1"/>
        <w:tabs>
          <w:tab w:val="left" w:pos="2250"/>
        </w:tabs>
        <w:spacing w:line="240" w:lineRule="auto"/>
        <w:ind w:left="360"/>
        <w:jc w:val="both"/>
        <w:rPr>
          <w:rFonts w:ascii="Times New Roman" w:eastAsia="MS Mincho" w:hAnsi="Times New Roman"/>
          <w:sz w:val="24"/>
          <w:szCs w:val="20"/>
        </w:rPr>
      </w:pPr>
    </w:p>
    <w:p w14:paraId="57F46F1F" w14:textId="7E2E4546" w:rsidR="00107FCF" w:rsidRDefault="00D408DE" w:rsidP="00E575BC">
      <w:pPr>
        <w:pStyle w:val="Akapitzlist1"/>
        <w:tabs>
          <w:tab w:val="left" w:pos="2250"/>
        </w:tabs>
        <w:spacing w:line="240" w:lineRule="auto"/>
        <w:ind w:left="0"/>
        <w:jc w:val="both"/>
        <w:rPr>
          <w:sz w:val="24"/>
          <w:szCs w:val="24"/>
        </w:rPr>
      </w:pPr>
      <w:r>
        <w:rPr>
          <w:rFonts w:ascii="Times New Roman" w:eastAsia="MS Mincho" w:hAnsi="Times New Roman"/>
          <w:bCs/>
          <w:sz w:val="24"/>
          <w:szCs w:val="20"/>
        </w:rPr>
        <w:br w:type="column"/>
      </w:r>
      <w:r w:rsidR="00107FCF" w:rsidRPr="00A941FB">
        <w:rPr>
          <w:rFonts w:ascii="Times New Roman" w:eastAsia="MS Mincho" w:hAnsi="Times New Roman"/>
          <w:bCs/>
          <w:sz w:val="24"/>
          <w:szCs w:val="20"/>
        </w:rPr>
        <w:lastRenderedPageBreak/>
        <w:t xml:space="preserve">Minimalizacje: zakaz lokalizacji placu budowy, placów manewrowych czy miejsc składowania materiałów budowlanych, ziemi, gruzu </w:t>
      </w:r>
      <w:r w:rsidR="00107FCF">
        <w:rPr>
          <w:rFonts w:ascii="Times New Roman" w:eastAsia="MS Mincho" w:hAnsi="Times New Roman"/>
          <w:bCs/>
          <w:sz w:val="24"/>
          <w:szCs w:val="20"/>
        </w:rPr>
        <w:t>etc.</w:t>
      </w:r>
      <w:r w:rsidR="00107FCF" w:rsidRPr="00A941FB">
        <w:rPr>
          <w:rFonts w:ascii="Times New Roman" w:eastAsia="MS Mincho" w:hAnsi="Times New Roman"/>
          <w:bCs/>
          <w:sz w:val="24"/>
          <w:szCs w:val="20"/>
        </w:rPr>
        <w:t xml:space="preserve">, lokalizowania dróg technologicznych w odległości bliższej niż 10 m od linii wody w celu ograniczenia ryzyka zanieczyszczeń spowodowanych ewentualnym wyciekiem olejów, paliw </w:t>
      </w:r>
      <w:r w:rsidR="00107FCF">
        <w:rPr>
          <w:rFonts w:ascii="Times New Roman" w:eastAsia="MS Mincho" w:hAnsi="Times New Roman"/>
          <w:bCs/>
          <w:sz w:val="24"/>
          <w:szCs w:val="20"/>
        </w:rPr>
        <w:t>etc.</w:t>
      </w:r>
      <w:r w:rsidR="00107FCF" w:rsidRPr="00A941FB">
        <w:rPr>
          <w:rFonts w:ascii="Times New Roman" w:eastAsia="MS Mincho" w:hAnsi="Times New Roman"/>
          <w:bCs/>
          <w:sz w:val="24"/>
          <w:szCs w:val="20"/>
        </w:rPr>
        <w:t xml:space="preserve">  Zakaz składowania ziemi, gruzu na terenie zalesionym pomiędzy brzegiem prawym a</w:t>
      </w:r>
      <w:r>
        <w:rPr>
          <w:rFonts w:ascii="Times New Roman" w:eastAsia="MS Mincho" w:hAnsi="Times New Roman"/>
          <w:bCs/>
          <w:sz w:val="24"/>
          <w:szCs w:val="20"/>
        </w:rPr>
        <w:t> </w:t>
      </w:r>
      <w:r w:rsidR="00107FCF" w:rsidRPr="00A941FB">
        <w:rPr>
          <w:rFonts w:ascii="Times New Roman" w:eastAsia="MS Mincho" w:hAnsi="Times New Roman"/>
          <w:bCs/>
          <w:sz w:val="24"/>
          <w:szCs w:val="20"/>
        </w:rPr>
        <w:t>ulicami: Józefa Conrada i Morskiej, zakaz składowania mas ziemnych i gruzu w</w:t>
      </w:r>
      <w:r>
        <w:rPr>
          <w:rFonts w:ascii="Times New Roman" w:eastAsia="MS Mincho" w:hAnsi="Times New Roman"/>
          <w:bCs/>
          <w:sz w:val="24"/>
          <w:szCs w:val="20"/>
        </w:rPr>
        <w:t> </w:t>
      </w:r>
      <w:r w:rsidR="00107FCF" w:rsidRPr="00A941FB">
        <w:rPr>
          <w:rFonts w:ascii="Times New Roman" w:eastAsia="MS Mincho" w:hAnsi="Times New Roman"/>
          <w:bCs/>
          <w:sz w:val="24"/>
          <w:szCs w:val="20"/>
        </w:rPr>
        <w:t>sąsiedztwie wody w celu ograniczenia dostawy zawiesiny lub innych zanieczyszczeń do wód powierzchniowych. Zalecany montaż przegród w odległości od linii wody w</w:t>
      </w:r>
      <w:r>
        <w:rPr>
          <w:rFonts w:ascii="Times New Roman" w:eastAsia="MS Mincho" w:hAnsi="Times New Roman"/>
          <w:bCs/>
          <w:sz w:val="24"/>
          <w:szCs w:val="20"/>
        </w:rPr>
        <w:t> </w:t>
      </w:r>
      <w:r w:rsidR="00107FCF" w:rsidRPr="00A941FB">
        <w:rPr>
          <w:rFonts w:ascii="Times New Roman" w:eastAsia="MS Mincho" w:hAnsi="Times New Roman"/>
          <w:bCs/>
          <w:sz w:val="24"/>
          <w:szCs w:val="20"/>
        </w:rPr>
        <w:t xml:space="preserve">celu ograniczenia ryzyka zanieczyszczeń wód powierzchniowych. Zakaz wycinki drzew. Prace w obszarach chronionych i zalesionych należy prowadzić poza sezonem lęgowym ptaków. </w:t>
      </w:r>
      <w:r w:rsidR="00107FCF" w:rsidRPr="00E575BC">
        <w:rPr>
          <w:rFonts w:ascii="Times New Roman" w:eastAsia="MS Mincho" w:hAnsi="Times New Roman"/>
          <w:bCs/>
          <w:sz w:val="24"/>
          <w:szCs w:val="20"/>
        </w:rPr>
        <w:t>Wymagane inwentaryzacje przyrodnicze.</w:t>
      </w:r>
    </w:p>
    <w:p w14:paraId="5757E954" w14:textId="77777777" w:rsidR="00107FCF" w:rsidRPr="00B0091D" w:rsidRDefault="00107FCF" w:rsidP="006D41A7">
      <w:pPr>
        <w:pStyle w:val="ReportLevel4"/>
        <w:numPr>
          <w:ilvl w:val="3"/>
          <w:numId w:val="4"/>
        </w:numPr>
      </w:pPr>
      <w:r w:rsidRPr="00B0091D">
        <w:t>Obszar problemowy IOP_10 – Stepnica</w:t>
      </w:r>
      <w:r>
        <w:t xml:space="preserve">, </w:t>
      </w:r>
      <w:r w:rsidRPr="00B0091D">
        <w:t>Zadanie O_AR_12</w:t>
      </w:r>
      <w:r>
        <w:t xml:space="preserve"> -</w:t>
      </w:r>
      <w:r w:rsidRPr="00B0091D">
        <w:t xml:space="preserve"> Wariant </w:t>
      </w:r>
      <w:r>
        <w:t>I</w:t>
      </w:r>
    </w:p>
    <w:p w14:paraId="629F1906" w14:textId="46C6F5D5" w:rsidR="00107FCF" w:rsidRDefault="00107FCF" w:rsidP="00B0091D">
      <w:pPr>
        <w:pStyle w:val="Akapitzlist1"/>
        <w:tabs>
          <w:tab w:val="left" w:pos="2250"/>
        </w:tabs>
        <w:spacing w:line="240" w:lineRule="auto"/>
        <w:ind w:left="0"/>
        <w:jc w:val="both"/>
        <w:rPr>
          <w:rFonts w:ascii="Times New Roman" w:eastAsia="MS Mincho" w:hAnsi="Times New Roman"/>
          <w:sz w:val="24"/>
          <w:szCs w:val="20"/>
        </w:rPr>
      </w:pPr>
      <w:r w:rsidRPr="00B0091D">
        <w:rPr>
          <w:rFonts w:ascii="Times New Roman" w:eastAsia="MS Mincho" w:hAnsi="Times New Roman"/>
          <w:sz w:val="24"/>
          <w:szCs w:val="20"/>
        </w:rPr>
        <w:t>Inwestycja zaplanowana jest w obrębie lewego brzegu Kanału Kłosowicza w</w:t>
      </w:r>
      <w:r w:rsidR="00D408DE">
        <w:rPr>
          <w:rFonts w:ascii="Times New Roman" w:eastAsia="MS Mincho" w:hAnsi="Times New Roman"/>
          <w:sz w:val="24"/>
          <w:szCs w:val="20"/>
        </w:rPr>
        <w:t> </w:t>
      </w:r>
      <w:r w:rsidRPr="00B0091D">
        <w:rPr>
          <w:rFonts w:ascii="Times New Roman" w:eastAsia="MS Mincho" w:hAnsi="Times New Roman"/>
          <w:sz w:val="24"/>
          <w:szCs w:val="20"/>
        </w:rPr>
        <w:t>miejscowości Stepnica. Celem jest ochrona przeciwpowodziowa miejscowości przy pomocy systemu mobilnych przegród przeciwpowodziowych o długości ok. 300 m i</w:t>
      </w:r>
      <w:r w:rsidR="00D408DE">
        <w:rPr>
          <w:rFonts w:ascii="Times New Roman" w:eastAsia="MS Mincho" w:hAnsi="Times New Roman"/>
          <w:sz w:val="24"/>
          <w:szCs w:val="20"/>
        </w:rPr>
        <w:t> </w:t>
      </w:r>
      <w:r w:rsidRPr="00B0091D">
        <w:rPr>
          <w:rFonts w:ascii="Times New Roman" w:eastAsia="MS Mincho" w:hAnsi="Times New Roman"/>
          <w:sz w:val="24"/>
          <w:szCs w:val="20"/>
        </w:rPr>
        <w:t>370 m, wraz z rozwojem lokalnego systemu ostrzegania przed powodziami i</w:t>
      </w:r>
      <w:r w:rsidR="00D408DE">
        <w:rPr>
          <w:rFonts w:ascii="Times New Roman" w:eastAsia="MS Mincho" w:hAnsi="Times New Roman"/>
          <w:sz w:val="24"/>
          <w:szCs w:val="20"/>
        </w:rPr>
        <w:t> </w:t>
      </w:r>
      <w:r w:rsidRPr="00B0091D">
        <w:rPr>
          <w:rFonts w:ascii="Times New Roman" w:eastAsia="MS Mincho" w:hAnsi="Times New Roman"/>
          <w:sz w:val="24"/>
          <w:szCs w:val="20"/>
        </w:rPr>
        <w:t xml:space="preserve">prognozowania zagrożeń na terenie gminy Stepnica. Ze względu na lokalizację działania będą miały potencjalny wpływ na </w:t>
      </w:r>
      <w:r w:rsidR="00D408DE">
        <w:rPr>
          <w:rFonts w:ascii="Times New Roman" w:eastAsia="MS Mincho" w:hAnsi="Times New Roman"/>
          <w:sz w:val="24"/>
          <w:szCs w:val="20"/>
        </w:rPr>
        <w:t>JCWP</w:t>
      </w:r>
      <w:r w:rsidRPr="00B0091D">
        <w:rPr>
          <w:rFonts w:ascii="Times New Roman" w:eastAsia="MS Mincho" w:hAnsi="Times New Roman"/>
          <w:sz w:val="24"/>
          <w:szCs w:val="20"/>
        </w:rPr>
        <w:t xml:space="preserve"> </w:t>
      </w:r>
      <w:r w:rsidRPr="00E6454F">
        <w:rPr>
          <w:rFonts w:ascii="Times New Roman" w:eastAsia="MS Mincho" w:hAnsi="Times New Roman"/>
          <w:sz w:val="24"/>
          <w:szCs w:val="20"/>
        </w:rPr>
        <w:t xml:space="preserve">Gowienica od Dopływu z Puszczy Goleniowskiej do ujścia RW6000113149 </w:t>
      </w:r>
      <w:r w:rsidRPr="00B0091D">
        <w:rPr>
          <w:rFonts w:ascii="Times New Roman" w:eastAsia="MS Mincho" w:hAnsi="Times New Roman"/>
          <w:sz w:val="24"/>
          <w:szCs w:val="20"/>
        </w:rPr>
        <w:t xml:space="preserve">wyznaczoną jako naturalna część wód o złym stanie, zagrożona nieosiągnięciem celów środowiskowych. Dodatkowo, podczas prowadzonych prac ziemnych, mogą wystąpić pośrednie oddziaływania na </w:t>
      </w:r>
      <w:r w:rsidR="00D408DE">
        <w:rPr>
          <w:rFonts w:ascii="Times New Roman" w:eastAsia="MS Mincho" w:hAnsi="Times New Roman"/>
          <w:sz w:val="24"/>
          <w:szCs w:val="20"/>
        </w:rPr>
        <w:t>JCWP</w:t>
      </w:r>
      <w:r w:rsidRPr="00B0091D">
        <w:rPr>
          <w:rFonts w:ascii="Times New Roman" w:eastAsia="MS Mincho" w:hAnsi="Times New Roman"/>
          <w:sz w:val="24"/>
          <w:szCs w:val="20"/>
        </w:rPr>
        <w:t xml:space="preserve"> Zalew Szczeciński TW60001WB2 wyznaczoną jako naturalna część wód, o złym stanie zagrożona nieosiągnięciem celów środowiskowych. Ze względu na charakter inwestycji i jej lokalizację oddziaływania będą miały charakter czasowy i lokalny, nie mający wpływu na stan wód i cele środowiskowe. Mogą wystąpić oddziaływania mające negatywny wpływ na wskaźniki oceny stanu wód </w:t>
      </w:r>
      <w:r w:rsidR="00D408DE">
        <w:rPr>
          <w:rFonts w:ascii="Times New Roman" w:eastAsia="MS Mincho" w:hAnsi="Times New Roman"/>
          <w:sz w:val="24"/>
          <w:szCs w:val="20"/>
        </w:rPr>
        <w:t>JCWP</w:t>
      </w:r>
      <w:r w:rsidRPr="00B0091D">
        <w:rPr>
          <w:rFonts w:ascii="Times New Roman" w:eastAsia="MS Mincho" w:hAnsi="Times New Roman"/>
          <w:sz w:val="24"/>
          <w:szCs w:val="20"/>
        </w:rPr>
        <w:t>:</w:t>
      </w:r>
    </w:p>
    <w:p w14:paraId="0C8FEF66" w14:textId="77777777" w:rsidR="00107FCF" w:rsidRPr="00B0091D" w:rsidRDefault="00107FCF" w:rsidP="00B0091D">
      <w:pPr>
        <w:pStyle w:val="Akapitzlist1"/>
        <w:tabs>
          <w:tab w:val="left" w:pos="2250"/>
        </w:tabs>
        <w:spacing w:line="240" w:lineRule="auto"/>
        <w:ind w:left="0"/>
        <w:jc w:val="both"/>
        <w:rPr>
          <w:rFonts w:ascii="Times New Roman" w:eastAsia="MS Mincho" w:hAnsi="Times New Roman"/>
          <w:sz w:val="24"/>
          <w:szCs w:val="20"/>
        </w:rPr>
      </w:pPr>
    </w:p>
    <w:p w14:paraId="08DFC4F8" w14:textId="77777777" w:rsidR="00107FCF" w:rsidRPr="00B0091D" w:rsidRDefault="00107FCF" w:rsidP="006D41A7">
      <w:pPr>
        <w:pStyle w:val="Akapitzlist1"/>
        <w:numPr>
          <w:ilvl w:val="0"/>
          <w:numId w:val="41"/>
        </w:numPr>
        <w:tabs>
          <w:tab w:val="left" w:pos="567"/>
        </w:tabs>
        <w:spacing w:line="240" w:lineRule="auto"/>
        <w:ind w:left="567" w:hanging="425"/>
        <w:jc w:val="both"/>
        <w:rPr>
          <w:rFonts w:ascii="Times New Roman" w:eastAsia="MS Mincho" w:hAnsi="Times New Roman"/>
          <w:sz w:val="24"/>
          <w:szCs w:val="20"/>
        </w:rPr>
      </w:pPr>
      <w:r>
        <w:rPr>
          <w:rFonts w:ascii="Times New Roman" w:eastAsia="MS Mincho" w:hAnsi="Times New Roman"/>
          <w:sz w:val="24"/>
          <w:szCs w:val="20"/>
        </w:rPr>
        <w:t>E</w:t>
      </w:r>
      <w:r w:rsidRPr="00B0091D">
        <w:rPr>
          <w:rFonts w:ascii="Times New Roman" w:eastAsia="MS Mincho" w:hAnsi="Times New Roman"/>
          <w:sz w:val="24"/>
          <w:szCs w:val="20"/>
        </w:rPr>
        <w:t>lementy biologiczne (brak oddziaływań)</w:t>
      </w:r>
      <w:r>
        <w:rPr>
          <w:rFonts w:ascii="Times New Roman" w:eastAsia="MS Mincho" w:hAnsi="Times New Roman"/>
          <w:sz w:val="24"/>
          <w:szCs w:val="20"/>
        </w:rPr>
        <w:t>;</w:t>
      </w:r>
    </w:p>
    <w:p w14:paraId="0B941851" w14:textId="77777777" w:rsidR="00107FCF" w:rsidRDefault="00107FCF" w:rsidP="006D41A7">
      <w:pPr>
        <w:pStyle w:val="Akapitzlist1"/>
        <w:numPr>
          <w:ilvl w:val="0"/>
          <w:numId w:val="41"/>
        </w:numPr>
        <w:tabs>
          <w:tab w:val="left" w:pos="567"/>
        </w:tabs>
        <w:spacing w:line="240" w:lineRule="auto"/>
        <w:ind w:left="567" w:hanging="425"/>
        <w:jc w:val="both"/>
        <w:rPr>
          <w:rFonts w:ascii="Times New Roman" w:eastAsia="MS Mincho" w:hAnsi="Times New Roman"/>
          <w:sz w:val="24"/>
          <w:szCs w:val="20"/>
        </w:rPr>
      </w:pPr>
      <w:r>
        <w:rPr>
          <w:rFonts w:ascii="Times New Roman" w:eastAsia="MS Mincho" w:hAnsi="Times New Roman"/>
          <w:sz w:val="24"/>
          <w:szCs w:val="20"/>
        </w:rPr>
        <w:t>E</w:t>
      </w:r>
      <w:r w:rsidRPr="00B0091D">
        <w:rPr>
          <w:rFonts w:ascii="Times New Roman" w:eastAsia="MS Mincho" w:hAnsi="Times New Roman"/>
          <w:sz w:val="24"/>
          <w:szCs w:val="20"/>
        </w:rPr>
        <w:t>lementy hydromorfologiczne (brak oddziaływań)</w:t>
      </w:r>
      <w:r>
        <w:rPr>
          <w:rFonts w:ascii="Times New Roman" w:eastAsia="MS Mincho" w:hAnsi="Times New Roman"/>
          <w:sz w:val="24"/>
          <w:szCs w:val="20"/>
        </w:rPr>
        <w:t>;</w:t>
      </w:r>
    </w:p>
    <w:p w14:paraId="4B759412" w14:textId="77777777" w:rsidR="00107FCF" w:rsidRPr="00B0091D" w:rsidRDefault="00107FCF" w:rsidP="006D41A7">
      <w:pPr>
        <w:pStyle w:val="Akapitzlist1"/>
        <w:numPr>
          <w:ilvl w:val="0"/>
          <w:numId w:val="41"/>
        </w:numPr>
        <w:tabs>
          <w:tab w:val="left" w:pos="567"/>
        </w:tabs>
        <w:spacing w:line="240" w:lineRule="auto"/>
        <w:ind w:left="567" w:hanging="425"/>
        <w:jc w:val="both"/>
        <w:rPr>
          <w:rFonts w:ascii="Times New Roman" w:eastAsia="MS Mincho" w:hAnsi="Times New Roman"/>
          <w:sz w:val="24"/>
          <w:szCs w:val="20"/>
        </w:rPr>
      </w:pPr>
      <w:r>
        <w:rPr>
          <w:rFonts w:ascii="Times New Roman" w:eastAsia="MS Mincho" w:hAnsi="Times New Roman"/>
          <w:sz w:val="24"/>
          <w:szCs w:val="20"/>
        </w:rPr>
        <w:t>E</w:t>
      </w:r>
      <w:r w:rsidRPr="00B0091D">
        <w:rPr>
          <w:rFonts w:ascii="Times New Roman" w:eastAsia="MS Mincho" w:hAnsi="Times New Roman"/>
          <w:sz w:val="24"/>
          <w:szCs w:val="20"/>
        </w:rPr>
        <w:t>lementy fizykochemiczne (</w:t>
      </w:r>
      <w:r w:rsidRPr="00E6454F">
        <w:rPr>
          <w:rFonts w:ascii="Times New Roman" w:eastAsia="MS Mincho" w:hAnsi="Times New Roman"/>
          <w:sz w:val="24"/>
          <w:szCs w:val="20"/>
        </w:rPr>
        <w:t>RW6000113149</w:t>
      </w:r>
      <w:r w:rsidRPr="00B0091D">
        <w:rPr>
          <w:rFonts w:ascii="Times New Roman" w:eastAsia="MS Mincho" w:hAnsi="Times New Roman"/>
          <w:sz w:val="24"/>
          <w:szCs w:val="20"/>
        </w:rPr>
        <w:t xml:space="preserve"> - brak oddziaływań, TW60001WB2</w:t>
      </w:r>
      <w:r>
        <w:rPr>
          <w:rFonts w:ascii="Times New Roman" w:eastAsia="MS Mincho" w:hAnsi="Times New Roman"/>
          <w:sz w:val="24"/>
          <w:szCs w:val="20"/>
        </w:rPr>
        <w:t xml:space="preserve"> </w:t>
      </w:r>
      <w:r w:rsidRPr="00B0091D">
        <w:rPr>
          <w:rFonts w:ascii="Times New Roman" w:eastAsia="MS Mincho" w:hAnsi="Times New Roman"/>
          <w:sz w:val="24"/>
          <w:szCs w:val="20"/>
        </w:rPr>
        <w:t>mogą wystąpić na etapie prac ziemnych, podczas awarii).</w:t>
      </w:r>
    </w:p>
    <w:p w14:paraId="78BE5CAA" w14:textId="77777777" w:rsidR="00107FCF" w:rsidRPr="005A1BEE" w:rsidRDefault="00107FCF" w:rsidP="00B0091D">
      <w:pPr>
        <w:pStyle w:val="Akapitzlist1"/>
        <w:tabs>
          <w:tab w:val="left" w:pos="2250"/>
        </w:tabs>
        <w:spacing w:line="360" w:lineRule="auto"/>
        <w:ind w:left="0"/>
        <w:jc w:val="both"/>
        <w:rPr>
          <w:rFonts w:cs="Calibri"/>
          <w:bCs/>
          <w:sz w:val="16"/>
          <w:szCs w:val="16"/>
        </w:rPr>
      </w:pPr>
    </w:p>
    <w:p w14:paraId="39F5D5B4" w14:textId="77777777" w:rsidR="00107FCF" w:rsidRPr="00A941FB" w:rsidRDefault="00107FCF" w:rsidP="00E575BC">
      <w:pPr>
        <w:autoSpaceDE w:val="0"/>
        <w:autoSpaceDN w:val="0"/>
        <w:adjustRightInd w:val="0"/>
        <w:jc w:val="both"/>
        <w:rPr>
          <w:bCs/>
          <w:szCs w:val="20"/>
          <w:lang w:eastAsia="en-US"/>
        </w:rPr>
      </w:pPr>
      <w:r w:rsidRPr="00A941FB">
        <w:rPr>
          <w:bCs/>
          <w:szCs w:val="20"/>
          <w:lang w:eastAsia="en-US"/>
        </w:rPr>
        <w:t xml:space="preserve">Minimalizacje: zakaz lokalizacji placu budowy, placów manewrowych czy miejsc składowania materiałów budowlanych, ziemi, gruzu </w:t>
      </w:r>
      <w:r>
        <w:rPr>
          <w:bCs/>
          <w:szCs w:val="20"/>
          <w:lang w:eastAsia="en-US"/>
        </w:rPr>
        <w:t>etc.</w:t>
      </w:r>
      <w:r w:rsidRPr="00A941FB">
        <w:rPr>
          <w:bCs/>
          <w:szCs w:val="20"/>
          <w:lang w:eastAsia="en-US"/>
        </w:rPr>
        <w:t xml:space="preserve">, lokalizowania dróg technologicznych w odległości bliższej niż 10 m od linii wody w celu ograniczenia ryzyka zanieczyszczeń spowodowanych ewentualnym wyciekiem olejów, paliw </w:t>
      </w:r>
      <w:r>
        <w:rPr>
          <w:bCs/>
          <w:szCs w:val="20"/>
          <w:lang w:eastAsia="en-US"/>
        </w:rPr>
        <w:t>etc.</w:t>
      </w:r>
      <w:r w:rsidRPr="00A941FB">
        <w:rPr>
          <w:bCs/>
          <w:szCs w:val="20"/>
          <w:lang w:eastAsia="en-US"/>
        </w:rPr>
        <w:t xml:space="preserve">  </w:t>
      </w:r>
      <w:r w:rsidRPr="00A941FB">
        <w:rPr>
          <w:bCs/>
          <w:szCs w:val="20"/>
        </w:rPr>
        <w:t>Prace w obszarach chronionych i zalesionych należy prowadzić poza sezonem lęgowym ptaków.</w:t>
      </w:r>
    </w:p>
    <w:p w14:paraId="27141C41" w14:textId="77777777" w:rsidR="00107FCF" w:rsidRPr="00504938" w:rsidRDefault="00107FCF" w:rsidP="006D41A7">
      <w:pPr>
        <w:pStyle w:val="ReportLevel4"/>
        <w:numPr>
          <w:ilvl w:val="3"/>
          <w:numId w:val="4"/>
        </w:numPr>
      </w:pPr>
      <w:r>
        <w:br w:type="column"/>
      </w:r>
      <w:r w:rsidRPr="00B0091D">
        <w:lastRenderedPageBreak/>
        <w:t xml:space="preserve">Obszar problemowy IOP_11 – Nowe Warpno, Zadanie </w:t>
      </w:r>
      <w:r w:rsidRPr="00504938">
        <w:t>O_AR_09 - Wariant I</w:t>
      </w:r>
    </w:p>
    <w:p w14:paraId="498CB67D" w14:textId="6054DC83" w:rsidR="00107FCF" w:rsidRPr="00D408DE" w:rsidRDefault="00107FCF" w:rsidP="00E575BC">
      <w:pPr>
        <w:pStyle w:val="Akapitzlist"/>
        <w:tabs>
          <w:tab w:val="left" w:pos="2250"/>
        </w:tabs>
        <w:ind w:left="0"/>
        <w:jc w:val="both"/>
        <w:rPr>
          <w:sz w:val="24"/>
          <w:szCs w:val="24"/>
        </w:rPr>
      </w:pPr>
      <w:r w:rsidRPr="00D408DE">
        <w:rPr>
          <w:sz w:val="24"/>
          <w:szCs w:val="24"/>
        </w:rPr>
        <w:t xml:space="preserve">Inwestycja zaplanowana w miejscowości Nowe Warpno, w obrębie </w:t>
      </w:r>
      <w:r w:rsidR="00D408DE">
        <w:rPr>
          <w:sz w:val="24"/>
          <w:szCs w:val="24"/>
        </w:rPr>
        <w:t>JCWP</w:t>
      </w:r>
      <w:r w:rsidRPr="00D408DE">
        <w:rPr>
          <w:sz w:val="24"/>
          <w:szCs w:val="24"/>
        </w:rPr>
        <w:t xml:space="preserve"> Zalew Szczeciński TW60001WB2, wyznaczonej jako naturalna część wód, o złym stanie zagrożona nieosiągnięciem celów środowiskowych. Celem działań jest ochrona przeciwpowodziowa miejscowości Nowe Warpno, pow. policki poprzez budowę</w:t>
      </w:r>
      <w:r w:rsidRPr="00D408DE">
        <w:rPr>
          <w:rFonts w:eastAsia="SimSun"/>
          <w:sz w:val="24"/>
          <w:szCs w:val="24"/>
        </w:rPr>
        <w:t xml:space="preserve"> </w:t>
      </w:r>
      <w:r w:rsidRPr="00D408DE">
        <w:rPr>
          <w:sz w:val="24"/>
          <w:szCs w:val="24"/>
        </w:rPr>
        <w:t>wał</w:t>
      </w:r>
      <w:r w:rsidRPr="00D408DE">
        <w:rPr>
          <w:rFonts w:eastAsia="SimSun"/>
          <w:sz w:val="24"/>
          <w:szCs w:val="24"/>
        </w:rPr>
        <w:t>ó</w:t>
      </w:r>
      <w:r w:rsidRPr="00D408DE">
        <w:rPr>
          <w:sz w:val="24"/>
          <w:szCs w:val="24"/>
        </w:rPr>
        <w:t>w przeciwpowodziowych o długości ok 50 i 40 m w m. Nowe Warpno wraz z rozwojem lokalnego systemu ostrzegania przed powodziami i prognozowania</w:t>
      </w:r>
      <w:r w:rsidR="00D408DE">
        <w:rPr>
          <w:sz w:val="24"/>
          <w:szCs w:val="24"/>
        </w:rPr>
        <w:t xml:space="preserve"> </w:t>
      </w:r>
      <w:r w:rsidRPr="00D408DE">
        <w:rPr>
          <w:sz w:val="24"/>
          <w:szCs w:val="24"/>
        </w:rPr>
        <w:t>zagrożeń na terenie gminy Nowe Warpno</w:t>
      </w:r>
    </w:p>
    <w:p w14:paraId="3641C130" w14:textId="77777777" w:rsidR="00107FCF" w:rsidRPr="00D408DE" w:rsidRDefault="00107FCF" w:rsidP="00051A75">
      <w:pPr>
        <w:pStyle w:val="Akapitzlist1"/>
        <w:tabs>
          <w:tab w:val="left" w:pos="2250"/>
        </w:tabs>
        <w:spacing w:line="240" w:lineRule="auto"/>
        <w:ind w:left="0"/>
        <w:jc w:val="both"/>
        <w:rPr>
          <w:rFonts w:ascii="Times New Roman" w:eastAsia="MS Mincho" w:hAnsi="Times New Roman"/>
          <w:sz w:val="24"/>
          <w:szCs w:val="24"/>
        </w:rPr>
      </w:pPr>
    </w:p>
    <w:p w14:paraId="139D17DF" w14:textId="77777777" w:rsidR="00107FCF" w:rsidRPr="00D408DE" w:rsidRDefault="00107FCF" w:rsidP="006D41A7">
      <w:pPr>
        <w:pStyle w:val="Akapitzlist1"/>
        <w:numPr>
          <w:ilvl w:val="0"/>
          <w:numId w:val="42"/>
        </w:numPr>
        <w:tabs>
          <w:tab w:val="left" w:pos="567"/>
        </w:tabs>
        <w:spacing w:line="240" w:lineRule="auto"/>
        <w:ind w:left="567" w:hanging="425"/>
        <w:jc w:val="both"/>
        <w:rPr>
          <w:rFonts w:ascii="Times New Roman" w:eastAsia="MS Mincho" w:hAnsi="Times New Roman"/>
          <w:sz w:val="24"/>
          <w:szCs w:val="24"/>
        </w:rPr>
      </w:pPr>
      <w:r w:rsidRPr="00D408DE">
        <w:rPr>
          <w:rFonts w:ascii="Times New Roman" w:eastAsia="MS Mincho" w:hAnsi="Times New Roman"/>
          <w:sz w:val="24"/>
          <w:szCs w:val="24"/>
        </w:rPr>
        <w:t>elementy biologiczne (brak oddziaływań)</w:t>
      </w:r>
    </w:p>
    <w:p w14:paraId="0CA979CA" w14:textId="77777777" w:rsidR="00107FCF" w:rsidRPr="00D408DE" w:rsidRDefault="00107FCF" w:rsidP="006D41A7">
      <w:pPr>
        <w:pStyle w:val="Akapitzlist1"/>
        <w:numPr>
          <w:ilvl w:val="0"/>
          <w:numId w:val="42"/>
        </w:numPr>
        <w:tabs>
          <w:tab w:val="left" w:pos="567"/>
        </w:tabs>
        <w:spacing w:line="240" w:lineRule="auto"/>
        <w:ind w:left="567" w:hanging="425"/>
        <w:jc w:val="both"/>
        <w:rPr>
          <w:rFonts w:ascii="Times New Roman" w:eastAsia="MS Mincho" w:hAnsi="Times New Roman"/>
          <w:sz w:val="24"/>
          <w:szCs w:val="24"/>
        </w:rPr>
      </w:pPr>
      <w:r w:rsidRPr="00D408DE">
        <w:rPr>
          <w:rFonts w:ascii="Times New Roman" w:eastAsia="MS Mincho" w:hAnsi="Times New Roman"/>
          <w:sz w:val="24"/>
          <w:szCs w:val="24"/>
        </w:rPr>
        <w:t xml:space="preserve">elementy hydromorfologiczne (oddziaływania umiarkowane o zasięgu lokalnym, spowodowane lokalną zmianą warunków </w:t>
      </w:r>
      <w:bookmarkStart w:id="116" w:name="OLE_LINK22"/>
      <w:r w:rsidRPr="00D408DE">
        <w:rPr>
          <w:rFonts w:ascii="Times New Roman" w:eastAsia="MS Mincho" w:hAnsi="Times New Roman"/>
          <w:sz w:val="24"/>
          <w:szCs w:val="24"/>
        </w:rPr>
        <w:t>hydromorfologicznych</w:t>
      </w:r>
      <w:bookmarkEnd w:id="116"/>
      <w:r w:rsidRPr="00D408DE">
        <w:rPr>
          <w:rFonts w:ascii="Times New Roman" w:eastAsia="MS Mincho" w:hAnsi="Times New Roman"/>
          <w:sz w:val="24"/>
          <w:szCs w:val="24"/>
        </w:rPr>
        <w:t xml:space="preserve"> poprzez zmniejszenie zasięgu zalewu wód morskich, lokalną zmianą stosunków wodnych gleb i siedlisk w strefie odciętej wałami),</w:t>
      </w:r>
    </w:p>
    <w:p w14:paraId="5CB20190" w14:textId="77777777" w:rsidR="00107FCF" w:rsidRPr="00D408DE" w:rsidRDefault="00107FCF" w:rsidP="006D41A7">
      <w:pPr>
        <w:pStyle w:val="Akapitzlist1"/>
        <w:numPr>
          <w:ilvl w:val="0"/>
          <w:numId w:val="42"/>
        </w:numPr>
        <w:tabs>
          <w:tab w:val="left" w:pos="567"/>
        </w:tabs>
        <w:spacing w:line="240" w:lineRule="auto"/>
        <w:ind w:left="567" w:hanging="425"/>
        <w:jc w:val="both"/>
        <w:rPr>
          <w:rFonts w:ascii="Times New Roman" w:eastAsia="MS Mincho" w:hAnsi="Times New Roman"/>
          <w:sz w:val="24"/>
          <w:szCs w:val="24"/>
        </w:rPr>
      </w:pPr>
      <w:r w:rsidRPr="00D408DE">
        <w:rPr>
          <w:rFonts w:ascii="Times New Roman" w:eastAsia="MS Mincho" w:hAnsi="Times New Roman"/>
          <w:sz w:val="24"/>
          <w:szCs w:val="24"/>
        </w:rPr>
        <w:t>elementy fizykochemiczne (</w:t>
      </w:r>
      <w:r w:rsidRPr="00D408DE">
        <w:rPr>
          <w:rFonts w:ascii="Times New Roman" w:hAnsi="Times New Roman"/>
          <w:bCs/>
          <w:sz w:val="24"/>
          <w:szCs w:val="24"/>
        </w:rPr>
        <w:t>brak oddziaływań</w:t>
      </w:r>
      <w:r w:rsidRPr="00D408DE">
        <w:rPr>
          <w:rFonts w:ascii="Times New Roman" w:eastAsia="MS Mincho" w:hAnsi="Times New Roman"/>
          <w:sz w:val="24"/>
          <w:szCs w:val="24"/>
        </w:rPr>
        <w:t>).</w:t>
      </w:r>
    </w:p>
    <w:p w14:paraId="33F2E095" w14:textId="77777777" w:rsidR="00107FCF" w:rsidRPr="00D408DE" w:rsidRDefault="00107FCF" w:rsidP="007D34F2">
      <w:pPr>
        <w:pStyle w:val="Akapitzlist1"/>
        <w:tabs>
          <w:tab w:val="left" w:pos="2250"/>
        </w:tabs>
        <w:spacing w:line="240" w:lineRule="auto"/>
        <w:jc w:val="both"/>
        <w:rPr>
          <w:rFonts w:ascii="Times New Roman" w:eastAsia="MS Mincho" w:hAnsi="Times New Roman"/>
          <w:sz w:val="24"/>
          <w:szCs w:val="24"/>
        </w:rPr>
      </w:pPr>
    </w:p>
    <w:p w14:paraId="079E83DB" w14:textId="77777777" w:rsidR="00107FCF" w:rsidRPr="00D408DE" w:rsidRDefault="00107FCF" w:rsidP="00E575BC">
      <w:pPr>
        <w:pStyle w:val="Akapitzlist"/>
        <w:tabs>
          <w:tab w:val="left" w:pos="2250"/>
        </w:tabs>
        <w:ind w:left="0"/>
        <w:jc w:val="both"/>
        <w:rPr>
          <w:sz w:val="24"/>
          <w:szCs w:val="24"/>
        </w:rPr>
      </w:pPr>
      <w:r w:rsidRPr="00D408DE">
        <w:rPr>
          <w:sz w:val="24"/>
          <w:szCs w:val="24"/>
        </w:rPr>
        <w:t xml:space="preserve">Minimalizacje: zakaz lokalizacji placu budowy, placów manewrowych oraz miejsc składowania materiałów budowlanych, ziemi, gruzu etc., lokalizowania dróg technologicznych w odległości bliższej niż 10 m od linii wody w celu ograniczenia ryzyka zanieczyszczeń spowodowanych ewentualnym wyciekiem olejów, paliw etc.  Zakaz wycinki drzew. Prace w obszarach chronionych i zalesionych należy prowadzić poza sezonem lęgowym ptaków.  Wymagane inwentaryzacje przyrodnicze. </w:t>
      </w:r>
    </w:p>
    <w:p w14:paraId="67352639" w14:textId="1149C5BC" w:rsidR="00107FCF" w:rsidRPr="00504938" w:rsidRDefault="00D408DE" w:rsidP="006D41A7">
      <w:pPr>
        <w:pStyle w:val="ReportLevel3"/>
        <w:numPr>
          <w:ilvl w:val="2"/>
          <w:numId w:val="4"/>
        </w:numPr>
        <w:rPr>
          <w:rFonts w:cs="Calibri"/>
          <w:bCs/>
        </w:rPr>
      </w:pPr>
      <w:r>
        <w:rPr>
          <w:rFonts w:cs="Calibri"/>
          <w:bCs/>
        </w:rPr>
        <w:br w:type="column"/>
      </w:r>
      <w:r w:rsidR="00107FCF" w:rsidRPr="00504938">
        <w:rPr>
          <w:rFonts w:cs="Calibri"/>
          <w:bCs/>
        </w:rPr>
        <w:lastRenderedPageBreak/>
        <w:t>Identyfikacja czynników oddziaływania inwestycji i działań na przedmioty i cele ochrony obszarowych form ochrony przyrody (parki narodowe, parki krajobrazowe, rezerwaty przyrody, obszary Natura 2000)</w:t>
      </w:r>
    </w:p>
    <w:p w14:paraId="7D08455A" w14:textId="77777777" w:rsidR="00107FCF" w:rsidRPr="00504938" w:rsidRDefault="00107FCF" w:rsidP="00504938">
      <w:pPr>
        <w:autoSpaceDE w:val="0"/>
        <w:autoSpaceDN w:val="0"/>
        <w:adjustRightInd w:val="0"/>
        <w:spacing w:after="160"/>
        <w:jc w:val="both"/>
      </w:pPr>
      <w:r w:rsidRPr="00504938">
        <w:t>Ze względu na zakres, lokalizację a także charakter działań możliwy jest potencjalny (pośredni) wpływ na przedmioty ochrony i cele środowiskowe obszarów chronionych:</w:t>
      </w:r>
    </w:p>
    <w:p w14:paraId="41597612" w14:textId="77777777" w:rsidR="00107FCF" w:rsidRPr="00504938" w:rsidRDefault="00107FCF" w:rsidP="006D41A7">
      <w:pPr>
        <w:numPr>
          <w:ilvl w:val="0"/>
          <w:numId w:val="68"/>
        </w:numPr>
        <w:tabs>
          <w:tab w:val="clear" w:pos="720"/>
          <w:tab w:val="num" w:pos="567"/>
        </w:tabs>
        <w:ind w:left="567" w:hanging="425"/>
        <w:jc w:val="both"/>
      </w:pPr>
      <w:r w:rsidRPr="00504938">
        <w:rPr>
          <w:bCs/>
        </w:rPr>
        <w:t xml:space="preserve">obszar problemowy </w:t>
      </w:r>
      <w:r w:rsidRPr="00504938">
        <w:t xml:space="preserve">IOP_6 – Darłowo - ujście Wieprzy, </w:t>
      </w:r>
      <w:r w:rsidRPr="00504938">
        <w:rPr>
          <w:lang w:eastAsia="pl-PL"/>
        </w:rPr>
        <w:t>możliwy potencjalny wpływ na przedmioty ochrony</w:t>
      </w:r>
      <w:r w:rsidRPr="00504938">
        <w:t xml:space="preserve"> </w:t>
      </w:r>
      <w:r w:rsidRPr="00504938">
        <w:rPr>
          <w:bCs/>
        </w:rPr>
        <w:t xml:space="preserve">Natura 2000 Dolina Wieprzy i Studnicy </w:t>
      </w:r>
      <w:hyperlink r:id="rId50" w:tgtFrame="_blank" w:history="1">
        <w:r w:rsidRPr="00504938">
          <w:rPr>
            <w:rStyle w:val="Hipercze"/>
            <w:u w:val="none"/>
          </w:rPr>
          <w:t>PLH220038</w:t>
        </w:r>
      </w:hyperlink>
      <w:r w:rsidRPr="00504938">
        <w:t xml:space="preserve"> (</w:t>
      </w:r>
      <w:hyperlink r:id="rId51" w:tgtFrame="_blank" w:history="1">
        <w:r w:rsidRPr="00504938">
          <w:rPr>
            <w:rStyle w:val="Hipercze"/>
            <w:u w:val="none"/>
          </w:rPr>
          <w:t>PL.ZIPOP.1393.N2K.PLH220038.H</w:t>
        </w:r>
      </w:hyperlink>
      <w:r w:rsidRPr="00504938">
        <w:t xml:space="preserve">), </w:t>
      </w:r>
      <w:r w:rsidRPr="00504938">
        <w:rPr>
          <w:bCs/>
        </w:rPr>
        <w:t xml:space="preserve">Natura 2000 Przybrzeżne wody Bałtyku </w:t>
      </w:r>
      <w:hyperlink r:id="rId52" w:tgtFrame="_blank" w:history="1">
        <w:r w:rsidRPr="00504938">
          <w:rPr>
            <w:rStyle w:val="Hipercze"/>
            <w:u w:val="none"/>
          </w:rPr>
          <w:t>PLB990002</w:t>
        </w:r>
      </w:hyperlink>
      <w:r w:rsidRPr="00504938">
        <w:t xml:space="preserve"> (</w:t>
      </w:r>
      <w:hyperlink r:id="rId53" w:tgtFrame="_blank" w:history="1">
        <w:r w:rsidRPr="00504938">
          <w:rPr>
            <w:rStyle w:val="Hipercze"/>
            <w:u w:val="none"/>
          </w:rPr>
          <w:t>PL.ZIPOP.1393.N2K.PLB990002.B</w:t>
        </w:r>
      </w:hyperlink>
      <w:r w:rsidRPr="00504938">
        <w:t>) oraz Obszar Chronionego Krajobrazu "Koszaliński Pas Nadmorski", (</w:t>
      </w:r>
      <w:hyperlink r:id="rId54" w:tgtFrame="_blank" w:history="1">
        <w:r w:rsidRPr="00504938">
          <w:rPr>
            <w:rStyle w:val="Hipercze"/>
            <w:u w:val="none"/>
          </w:rPr>
          <w:t>PL.ZIPOP.1393.OCHK.14</w:t>
        </w:r>
      </w:hyperlink>
      <w:r w:rsidRPr="00504938">
        <w:t xml:space="preserve">). </w:t>
      </w:r>
    </w:p>
    <w:p w14:paraId="20136B6E" w14:textId="77777777" w:rsidR="00107FCF" w:rsidRPr="00504938" w:rsidRDefault="00107FCF" w:rsidP="006D41A7">
      <w:pPr>
        <w:numPr>
          <w:ilvl w:val="0"/>
          <w:numId w:val="69"/>
        </w:numPr>
        <w:tabs>
          <w:tab w:val="clear" w:pos="720"/>
          <w:tab w:val="num" w:pos="567"/>
        </w:tabs>
        <w:autoSpaceDE w:val="0"/>
        <w:autoSpaceDN w:val="0"/>
        <w:adjustRightInd w:val="0"/>
        <w:spacing w:after="160"/>
        <w:ind w:left="567" w:hanging="425"/>
        <w:jc w:val="both"/>
      </w:pPr>
      <w:r w:rsidRPr="00504938">
        <w:t xml:space="preserve">obszar problemowy IOP_10 – Stepnica północ - Kanał Kłosowicza, </w:t>
      </w:r>
      <w:r w:rsidRPr="00504938">
        <w:rPr>
          <w:lang w:eastAsia="pl-PL"/>
        </w:rPr>
        <w:t>możliwy potencjalny wpływ na przedmioty ochrony</w:t>
      </w:r>
      <w:r w:rsidRPr="00504938">
        <w:t xml:space="preserve"> Natura 2000 </w:t>
      </w:r>
      <w:r w:rsidRPr="00504938">
        <w:rPr>
          <w:bCs/>
        </w:rPr>
        <w:t xml:space="preserve">Łąki Skoszewskie, </w:t>
      </w:r>
      <w:hyperlink r:id="rId55" w:tgtFrame="_blank" w:history="1">
        <w:r w:rsidRPr="00504938">
          <w:rPr>
            <w:rStyle w:val="Hipercze"/>
            <w:u w:val="none"/>
          </w:rPr>
          <w:t>PLB320007</w:t>
        </w:r>
      </w:hyperlink>
      <w:r w:rsidRPr="00504938">
        <w:t xml:space="preserve"> (</w:t>
      </w:r>
      <w:hyperlink r:id="rId56" w:tgtFrame="_blank" w:history="1">
        <w:r w:rsidRPr="00504938">
          <w:rPr>
            <w:rStyle w:val="Hipercze"/>
            <w:rFonts w:eastAsia="Times New Roman"/>
            <w:u w:val="none"/>
            <w:lang w:eastAsia="pl-PL"/>
          </w:rPr>
          <w:t>PL.ZIPOP.1393.N2K.PLB320007.B</w:t>
        </w:r>
      </w:hyperlink>
      <w:r w:rsidRPr="00504938">
        <w:rPr>
          <w:rFonts w:eastAsia="Times New Roman"/>
          <w:lang w:eastAsia="pl-PL"/>
        </w:rPr>
        <w:t xml:space="preserve">), Natura 2000 </w:t>
      </w:r>
      <w:r w:rsidRPr="00504938">
        <w:rPr>
          <w:bCs/>
        </w:rPr>
        <w:t>Zalew Szczeciński (</w:t>
      </w:r>
      <w:hyperlink r:id="rId57" w:tgtFrame="_blank" w:history="1">
        <w:r w:rsidRPr="00504938">
          <w:rPr>
            <w:rStyle w:val="Hipercze"/>
            <w:u w:val="none"/>
          </w:rPr>
          <w:t>PLB320009</w:t>
        </w:r>
      </w:hyperlink>
      <w:hyperlink r:id="rId58" w:tgtFrame="_blank" w:history="1">
        <w:r w:rsidRPr="00504938">
          <w:rPr>
            <w:rStyle w:val="Hipercze"/>
            <w:rFonts w:eastAsia="Times New Roman"/>
            <w:u w:val="none"/>
            <w:lang w:eastAsia="pl-PL"/>
          </w:rPr>
          <w:t>PL.ZIPOP.1393.N2K.PLB320009.B</w:t>
        </w:r>
      </w:hyperlink>
      <w:r w:rsidRPr="00504938">
        <w:rPr>
          <w:rFonts w:eastAsia="Times New Roman"/>
          <w:lang w:eastAsia="pl-PL"/>
        </w:rPr>
        <w:t>)</w:t>
      </w:r>
      <w:r w:rsidRPr="00504938">
        <w:t xml:space="preserve">, </w:t>
      </w:r>
    </w:p>
    <w:p w14:paraId="240D1B1A" w14:textId="77777777" w:rsidR="00107FCF" w:rsidRPr="00504938" w:rsidRDefault="00107FCF" w:rsidP="006D41A7">
      <w:pPr>
        <w:numPr>
          <w:ilvl w:val="0"/>
          <w:numId w:val="69"/>
        </w:numPr>
        <w:tabs>
          <w:tab w:val="clear" w:pos="720"/>
          <w:tab w:val="num" w:pos="567"/>
        </w:tabs>
        <w:autoSpaceDE w:val="0"/>
        <w:autoSpaceDN w:val="0"/>
        <w:adjustRightInd w:val="0"/>
        <w:spacing w:after="160"/>
        <w:ind w:left="567" w:hanging="425"/>
        <w:jc w:val="both"/>
      </w:pPr>
      <w:r w:rsidRPr="00504938">
        <w:t xml:space="preserve">Obszar problemowy IOP_11 – Nowe Warpno, </w:t>
      </w:r>
      <w:r w:rsidRPr="00504938">
        <w:rPr>
          <w:lang w:eastAsia="pl-PL"/>
        </w:rPr>
        <w:t>możliwy potencjalny wpływ na przedmioty ochrony</w:t>
      </w:r>
      <w:r w:rsidRPr="00504938">
        <w:t xml:space="preserve">: Natura 2000 </w:t>
      </w:r>
      <w:r w:rsidRPr="00504938">
        <w:rPr>
          <w:bCs/>
        </w:rPr>
        <w:t xml:space="preserve">Zalew Szczeciński </w:t>
      </w:r>
      <w:hyperlink r:id="rId59" w:tgtFrame="_blank" w:history="1">
        <w:r w:rsidRPr="00504938">
          <w:rPr>
            <w:rStyle w:val="Hipercze"/>
            <w:u w:val="none"/>
          </w:rPr>
          <w:t>PLB320009</w:t>
        </w:r>
      </w:hyperlink>
      <w:r w:rsidRPr="00504938">
        <w:t xml:space="preserve"> (</w:t>
      </w:r>
      <w:hyperlink r:id="rId60" w:tgtFrame="_blank" w:history="1">
        <w:r w:rsidRPr="00504938">
          <w:rPr>
            <w:rStyle w:val="Hipercze"/>
            <w:u w:val="none"/>
          </w:rPr>
          <w:t>PL.ZIPOP.1393.N2K.PLB320009.B</w:t>
        </w:r>
      </w:hyperlink>
      <w:r w:rsidRPr="00504938">
        <w:t xml:space="preserve">), Natura 2000 </w:t>
      </w:r>
      <w:r w:rsidRPr="00504938">
        <w:rPr>
          <w:bCs/>
        </w:rPr>
        <w:t xml:space="preserve">Ujście Odry i Zalew Szczeciński </w:t>
      </w:r>
      <w:hyperlink r:id="rId61" w:tgtFrame="_blank" w:history="1">
        <w:r w:rsidRPr="00504938">
          <w:rPr>
            <w:rStyle w:val="Hipercze"/>
            <w:u w:val="none"/>
          </w:rPr>
          <w:t>PLH320018</w:t>
        </w:r>
      </w:hyperlink>
      <w:r w:rsidRPr="00504938">
        <w:t xml:space="preserve"> (</w:t>
      </w:r>
      <w:hyperlink r:id="rId62" w:tgtFrame="_blank" w:history="1">
        <w:r w:rsidRPr="00504938">
          <w:rPr>
            <w:rStyle w:val="Hipercze"/>
            <w:rFonts w:eastAsia="Times New Roman"/>
            <w:u w:val="none"/>
            <w:lang w:eastAsia="pl-PL"/>
          </w:rPr>
          <w:t>PL.ZIPOP.1393.N2K.PLH320018.H</w:t>
        </w:r>
      </w:hyperlink>
      <w:r w:rsidRPr="00504938">
        <w:rPr>
          <w:rFonts w:eastAsia="Times New Roman"/>
          <w:lang w:eastAsia="pl-PL"/>
        </w:rPr>
        <w:t>).</w:t>
      </w:r>
    </w:p>
    <w:p w14:paraId="25D57A81" w14:textId="54472D10" w:rsidR="00107FCF" w:rsidRDefault="00107FCF" w:rsidP="00504938">
      <w:pPr>
        <w:jc w:val="both"/>
        <w:rPr>
          <w:rFonts w:eastAsia="Times New Roman"/>
          <w:lang w:eastAsia="pl-PL"/>
        </w:rPr>
      </w:pPr>
      <w:r w:rsidRPr="00504938">
        <w:t>Warianty nie są sprzeczne z działaniami wskazanymi dla poprawy warunków dla obszarów chronionych, w tym realizacji działań wynikających z planów ochrony i</w:t>
      </w:r>
      <w:r w:rsidR="00D408DE">
        <w:t> </w:t>
      </w:r>
      <w:r w:rsidRPr="00504938">
        <w:t xml:space="preserve">planów zadań ochronnych dla obszarów chronionych wg projektu aktualizacji </w:t>
      </w:r>
      <w:r>
        <w:t>II</w:t>
      </w:r>
      <w:r w:rsidRPr="00504938">
        <w:t>aPGW.</w:t>
      </w:r>
      <w:r w:rsidRPr="00504938">
        <w:rPr>
          <w:rFonts w:eastAsia="Times New Roman"/>
          <w:lang w:eastAsia="pl-PL"/>
        </w:rPr>
        <w:t xml:space="preserve"> </w:t>
      </w:r>
    </w:p>
    <w:p w14:paraId="09C97A56" w14:textId="77777777" w:rsidR="00107FCF" w:rsidRPr="00504938" w:rsidRDefault="00107FCF" w:rsidP="00504938">
      <w:pPr>
        <w:jc w:val="both"/>
        <w:rPr>
          <w:rFonts w:eastAsia="Times New Roman"/>
          <w:lang w:eastAsia="pl-PL"/>
        </w:rPr>
      </w:pPr>
    </w:p>
    <w:p w14:paraId="1166F60F" w14:textId="39940674" w:rsidR="00107FCF" w:rsidRPr="00504938" w:rsidRDefault="00107FCF" w:rsidP="006D41A7">
      <w:pPr>
        <w:pStyle w:val="ReportLevel3"/>
        <w:numPr>
          <w:ilvl w:val="2"/>
          <w:numId w:val="4"/>
        </w:numPr>
        <w:spacing w:line="240" w:lineRule="auto"/>
      </w:pPr>
      <w:r w:rsidRPr="00504938">
        <w:rPr>
          <w:rFonts w:cs="Calibri"/>
          <w:bCs/>
        </w:rPr>
        <w:t>Ocena wpływu wariantów planowanych do realizacji na osiągnięcie celów środowiskowych ustalonych dla a</w:t>
      </w:r>
      <w:r w:rsidR="00D408DE">
        <w:rPr>
          <w:rFonts w:cs="Calibri"/>
          <w:bCs/>
        </w:rPr>
        <w:t>JCWP</w:t>
      </w:r>
    </w:p>
    <w:p w14:paraId="35FA557F" w14:textId="6B5CBF6B" w:rsidR="00107FCF" w:rsidRPr="00D408DE" w:rsidRDefault="00107FCF" w:rsidP="00504938">
      <w:pPr>
        <w:autoSpaceDE w:val="0"/>
        <w:autoSpaceDN w:val="0"/>
        <w:adjustRightInd w:val="0"/>
        <w:spacing w:after="160"/>
        <w:jc w:val="both"/>
      </w:pPr>
      <w:r w:rsidRPr="00D408DE">
        <w:t xml:space="preserve">Ze względu na zakres planowanych inwestycji i działań wskazanych dla ocenianych wariantów, ich lokalizację oraz charakter potencjalnych oddziaływań przewiduje się wpływu na stan </w:t>
      </w:r>
      <w:r w:rsidR="00D408DE">
        <w:t>JCWP</w:t>
      </w:r>
      <w:r w:rsidRPr="00D408DE">
        <w:t>, elementy oceny stanu wód i cele środowiskowe:</w:t>
      </w:r>
    </w:p>
    <w:p w14:paraId="5FAEBDE1" w14:textId="09DDE59E" w:rsidR="00107FCF" w:rsidRPr="00D408DE" w:rsidRDefault="00107FCF" w:rsidP="006D41A7">
      <w:pPr>
        <w:pStyle w:val="Akapitzlist"/>
        <w:numPr>
          <w:ilvl w:val="0"/>
          <w:numId w:val="70"/>
        </w:numPr>
        <w:autoSpaceDE w:val="0"/>
        <w:autoSpaceDN w:val="0"/>
        <w:adjustRightInd w:val="0"/>
        <w:spacing w:after="160"/>
        <w:ind w:left="567" w:hanging="425"/>
        <w:jc w:val="both"/>
        <w:rPr>
          <w:sz w:val="24"/>
          <w:szCs w:val="24"/>
        </w:rPr>
      </w:pPr>
      <w:r w:rsidRPr="00D408DE">
        <w:rPr>
          <w:sz w:val="24"/>
          <w:szCs w:val="24"/>
        </w:rPr>
        <w:t xml:space="preserve">Obszar problemowy IOP_6 Darłowo - umiarkowany/znaczący wpływ na cele środowiskowe, </w:t>
      </w:r>
      <w:r w:rsidRPr="00D408DE">
        <w:rPr>
          <w:sz w:val="24"/>
          <w:szCs w:val="24"/>
          <w:lang w:eastAsia="pl-PL"/>
        </w:rPr>
        <w:t>możliwy potencjalny negatywny wpływ na stan elementów hydromorfologicznych</w:t>
      </w:r>
      <w:r w:rsidRPr="00D408DE">
        <w:rPr>
          <w:sz w:val="24"/>
          <w:szCs w:val="24"/>
        </w:rPr>
        <w:t xml:space="preserve"> </w:t>
      </w:r>
      <w:r w:rsidR="00D408DE">
        <w:rPr>
          <w:sz w:val="24"/>
          <w:szCs w:val="24"/>
        </w:rPr>
        <w:t>JCWP</w:t>
      </w:r>
      <w:r w:rsidRPr="00D408DE">
        <w:rPr>
          <w:sz w:val="24"/>
          <w:szCs w:val="24"/>
        </w:rPr>
        <w:t xml:space="preserve"> Wieprza od Łękawicy do ujścia RW6000144699</w:t>
      </w:r>
      <w:r w:rsidRPr="00D408DE">
        <w:rPr>
          <w:sz w:val="24"/>
          <w:szCs w:val="24"/>
          <w:lang w:eastAsia="pl-PL"/>
        </w:rPr>
        <w:t>, potencjalny wpływ na przedmioty ochrony</w:t>
      </w:r>
      <w:r w:rsidRPr="00D408DE">
        <w:rPr>
          <w:sz w:val="24"/>
          <w:szCs w:val="24"/>
        </w:rPr>
        <w:t xml:space="preserve"> i cele obszarów chronionych: </w:t>
      </w:r>
      <w:hyperlink r:id="rId63" w:tgtFrame="_blank" w:history="1">
        <w:r w:rsidRPr="00D408DE">
          <w:rPr>
            <w:rStyle w:val="Hipercze"/>
            <w:sz w:val="24"/>
            <w:szCs w:val="24"/>
            <w:u w:val="none"/>
          </w:rPr>
          <w:t>PL.ZIPOP.1393.N2K.PLH220038.H</w:t>
        </w:r>
      </w:hyperlink>
      <w:r w:rsidRPr="00D408DE">
        <w:rPr>
          <w:sz w:val="24"/>
          <w:szCs w:val="24"/>
        </w:rPr>
        <w:t xml:space="preserve">, </w:t>
      </w:r>
      <w:hyperlink r:id="rId64" w:tgtFrame="_blank" w:history="1">
        <w:r w:rsidRPr="00D408DE">
          <w:rPr>
            <w:rStyle w:val="Hipercze"/>
            <w:sz w:val="24"/>
            <w:szCs w:val="24"/>
            <w:u w:val="none"/>
          </w:rPr>
          <w:t>PL.ZIPOP.1393.N2K.PLB990002.B</w:t>
        </w:r>
      </w:hyperlink>
      <w:r w:rsidRPr="00D408DE">
        <w:rPr>
          <w:sz w:val="24"/>
          <w:szCs w:val="24"/>
        </w:rPr>
        <w:t xml:space="preserve">,  </w:t>
      </w:r>
      <w:hyperlink r:id="rId65" w:tgtFrame="_blank" w:history="1">
        <w:r w:rsidRPr="00D408DE">
          <w:rPr>
            <w:rStyle w:val="Hipercze"/>
            <w:sz w:val="24"/>
            <w:szCs w:val="24"/>
            <w:u w:val="none"/>
          </w:rPr>
          <w:t>PL.ZIPOP.1393.OCHK.14</w:t>
        </w:r>
      </w:hyperlink>
      <w:r w:rsidRPr="00D408DE">
        <w:rPr>
          <w:sz w:val="24"/>
          <w:szCs w:val="24"/>
        </w:rPr>
        <w:t xml:space="preserve"> </w:t>
      </w:r>
    </w:p>
    <w:p w14:paraId="4DB74B49" w14:textId="4BB81B7C" w:rsidR="00107FCF" w:rsidRPr="00D408DE" w:rsidRDefault="00107FCF" w:rsidP="006D41A7">
      <w:pPr>
        <w:pStyle w:val="Akapitzlist"/>
        <w:numPr>
          <w:ilvl w:val="0"/>
          <w:numId w:val="70"/>
        </w:numPr>
        <w:autoSpaceDE w:val="0"/>
        <w:autoSpaceDN w:val="0"/>
        <w:adjustRightInd w:val="0"/>
        <w:spacing w:after="160"/>
        <w:ind w:left="567" w:hanging="425"/>
        <w:jc w:val="both"/>
        <w:rPr>
          <w:sz w:val="24"/>
          <w:szCs w:val="24"/>
        </w:rPr>
      </w:pPr>
      <w:r w:rsidRPr="00D408DE">
        <w:rPr>
          <w:sz w:val="24"/>
          <w:szCs w:val="24"/>
        </w:rPr>
        <w:t xml:space="preserve">Obszar problemowy IOP_10 Stepnica - brak negatywnego wpływu na stan i cele środowiskowe </w:t>
      </w:r>
      <w:r w:rsidR="00D408DE">
        <w:rPr>
          <w:sz w:val="24"/>
          <w:szCs w:val="24"/>
        </w:rPr>
        <w:t>JCWP</w:t>
      </w:r>
      <w:r w:rsidRPr="00D408DE">
        <w:rPr>
          <w:sz w:val="24"/>
          <w:szCs w:val="24"/>
        </w:rPr>
        <w:t xml:space="preserve"> RW6000113149, </w:t>
      </w:r>
      <w:r w:rsidRPr="00D408DE">
        <w:rPr>
          <w:sz w:val="24"/>
          <w:szCs w:val="24"/>
          <w:lang w:eastAsia="pl-PL"/>
        </w:rPr>
        <w:t xml:space="preserve">możliwy potencjalny wpływ na przedmioty i cele ochrony </w:t>
      </w:r>
      <w:hyperlink r:id="rId66" w:tgtFrame="_blank" w:history="1">
        <w:r w:rsidRPr="00D408DE">
          <w:rPr>
            <w:rStyle w:val="Hipercze"/>
            <w:rFonts w:eastAsia="Times New Roman"/>
            <w:sz w:val="24"/>
            <w:szCs w:val="24"/>
            <w:u w:val="none"/>
            <w:lang w:eastAsia="pl-PL"/>
          </w:rPr>
          <w:t>PL.ZIPOP.1393.N2K.PLB320007.B</w:t>
        </w:r>
      </w:hyperlink>
      <w:r w:rsidRPr="00D408DE">
        <w:rPr>
          <w:rFonts w:eastAsia="Times New Roman"/>
          <w:sz w:val="24"/>
          <w:szCs w:val="24"/>
          <w:lang w:eastAsia="pl-PL"/>
        </w:rPr>
        <w:t xml:space="preserve">, </w:t>
      </w:r>
      <w:hyperlink r:id="rId67" w:tgtFrame="_blank" w:history="1">
        <w:r w:rsidRPr="00D408DE">
          <w:rPr>
            <w:rStyle w:val="Hipercze"/>
            <w:rFonts w:eastAsia="Times New Roman"/>
            <w:sz w:val="24"/>
            <w:szCs w:val="24"/>
            <w:u w:val="none"/>
            <w:lang w:eastAsia="pl-PL"/>
          </w:rPr>
          <w:t>PL.ZIPOP.1393.N2K.PLB320009.B</w:t>
        </w:r>
      </w:hyperlink>
      <w:r w:rsidRPr="00D408DE">
        <w:rPr>
          <w:sz w:val="24"/>
          <w:szCs w:val="24"/>
        </w:rPr>
        <w:t xml:space="preserve">, </w:t>
      </w:r>
    </w:p>
    <w:p w14:paraId="48B30CB2" w14:textId="23E2E538" w:rsidR="00107FCF" w:rsidRPr="00D408DE" w:rsidRDefault="00107FCF" w:rsidP="006D41A7">
      <w:pPr>
        <w:pStyle w:val="Akapitzlist"/>
        <w:numPr>
          <w:ilvl w:val="0"/>
          <w:numId w:val="70"/>
        </w:numPr>
        <w:autoSpaceDE w:val="0"/>
        <w:autoSpaceDN w:val="0"/>
        <w:adjustRightInd w:val="0"/>
        <w:spacing w:after="160"/>
        <w:ind w:left="567" w:hanging="425"/>
        <w:jc w:val="both"/>
        <w:rPr>
          <w:sz w:val="24"/>
          <w:szCs w:val="24"/>
        </w:rPr>
      </w:pPr>
      <w:r w:rsidRPr="00D408DE">
        <w:rPr>
          <w:sz w:val="24"/>
          <w:szCs w:val="24"/>
        </w:rPr>
        <w:t xml:space="preserve">Obszar problemowy IOP_11 Nowe Warpno - umiarkowany wpływ na stan i cele środowiskowe </w:t>
      </w:r>
      <w:r w:rsidR="00D408DE">
        <w:rPr>
          <w:sz w:val="24"/>
          <w:szCs w:val="24"/>
        </w:rPr>
        <w:t>JCWP</w:t>
      </w:r>
      <w:r w:rsidRPr="00D408DE">
        <w:rPr>
          <w:sz w:val="24"/>
          <w:szCs w:val="24"/>
        </w:rPr>
        <w:t xml:space="preserve"> Zalew Szczeciński TW60001WB2, </w:t>
      </w:r>
      <w:r w:rsidRPr="00D408DE">
        <w:rPr>
          <w:sz w:val="24"/>
          <w:szCs w:val="24"/>
          <w:lang w:eastAsia="pl-PL"/>
        </w:rPr>
        <w:t>możliwy potencjalny wpływ na przedmioty ochrony</w:t>
      </w:r>
      <w:r w:rsidRPr="00D408DE">
        <w:rPr>
          <w:sz w:val="24"/>
          <w:szCs w:val="24"/>
        </w:rPr>
        <w:t xml:space="preserve"> i cele obszarów chronionych: </w:t>
      </w:r>
      <w:hyperlink r:id="rId68" w:tgtFrame="_blank" w:history="1">
        <w:r w:rsidRPr="00D408DE">
          <w:rPr>
            <w:rStyle w:val="Hipercze"/>
            <w:sz w:val="24"/>
            <w:szCs w:val="24"/>
            <w:u w:val="none"/>
          </w:rPr>
          <w:t>PL.ZIPOP.1393.N2K.PLB320009.B</w:t>
        </w:r>
      </w:hyperlink>
      <w:r w:rsidRPr="00D408DE">
        <w:rPr>
          <w:sz w:val="24"/>
          <w:szCs w:val="24"/>
        </w:rPr>
        <w:t xml:space="preserve">, </w:t>
      </w:r>
      <w:hyperlink r:id="rId69" w:tgtFrame="_blank" w:history="1">
        <w:r w:rsidRPr="00D408DE">
          <w:rPr>
            <w:rStyle w:val="Hipercze"/>
            <w:rFonts w:eastAsia="Times New Roman"/>
            <w:sz w:val="24"/>
            <w:szCs w:val="24"/>
            <w:u w:val="none"/>
            <w:lang w:eastAsia="pl-PL"/>
          </w:rPr>
          <w:t>PL.ZIPOP.1393.N2K.PLH320018.H</w:t>
        </w:r>
      </w:hyperlink>
    </w:p>
    <w:p w14:paraId="17FADDB6" w14:textId="77777777" w:rsidR="00107FCF" w:rsidRDefault="00107FCF">
      <w:r>
        <w:br w:type="column"/>
      </w:r>
    </w:p>
    <w:p w14:paraId="0E1848D1" w14:textId="6E670EA1" w:rsidR="00107FCF" w:rsidRPr="00D408DE" w:rsidRDefault="00107FCF" w:rsidP="00D408DE">
      <w:pPr>
        <w:pStyle w:val="Legenda"/>
        <w:ind w:left="1134" w:hanging="1134"/>
        <w:jc w:val="both"/>
        <w:rPr>
          <w:sz w:val="24"/>
        </w:rPr>
      </w:pPr>
      <w:bookmarkStart w:id="117" w:name="_Toc80608774"/>
      <w:r w:rsidRPr="00D408DE">
        <w:rPr>
          <w:sz w:val="24"/>
        </w:rPr>
        <w:t xml:space="preserve">Tabela </w:t>
      </w:r>
      <w:r w:rsidR="00290AD4">
        <w:rPr>
          <w:sz w:val="24"/>
        </w:rPr>
        <w:fldChar w:fldCharType="begin"/>
      </w:r>
      <w:r w:rsidR="00290AD4">
        <w:rPr>
          <w:sz w:val="24"/>
        </w:rPr>
        <w:instrText xml:space="preserve"> SEQ Tabela \* ARABIC </w:instrText>
      </w:r>
      <w:r w:rsidR="00290AD4">
        <w:rPr>
          <w:sz w:val="24"/>
        </w:rPr>
        <w:fldChar w:fldCharType="separate"/>
      </w:r>
      <w:r w:rsidR="00AC4DF9">
        <w:rPr>
          <w:noProof/>
          <w:sz w:val="24"/>
        </w:rPr>
        <w:t>21</w:t>
      </w:r>
      <w:r w:rsidR="00290AD4">
        <w:rPr>
          <w:sz w:val="24"/>
        </w:rPr>
        <w:fldChar w:fldCharType="end"/>
      </w:r>
      <w:r w:rsidR="00D408DE">
        <w:rPr>
          <w:sz w:val="24"/>
        </w:rPr>
        <w:tab/>
      </w:r>
      <w:r w:rsidRPr="00D408DE">
        <w:rPr>
          <w:rFonts w:eastAsia="Times New Roman"/>
          <w:sz w:val="24"/>
          <w:lang w:eastAsia="pl-PL"/>
        </w:rPr>
        <w:t xml:space="preserve">Ocena </w:t>
      </w:r>
      <w:r w:rsidRPr="00D408DE">
        <w:rPr>
          <w:rStyle w:val="fontstyle01"/>
          <w:rFonts w:ascii="Times New Roman" w:hAnsi="Times New Roman"/>
          <w:color w:val="auto"/>
          <w:sz w:val="24"/>
          <w:szCs w:val="24"/>
        </w:rPr>
        <w:t>zgodności z celami środowiskowymi wynikającymi z</w:t>
      </w:r>
      <w:r w:rsidRPr="00D408DE">
        <w:rPr>
          <w:b/>
          <w:bCs/>
          <w:sz w:val="24"/>
        </w:rPr>
        <w:t xml:space="preserve"> </w:t>
      </w:r>
      <w:r w:rsidRPr="00D408DE">
        <w:rPr>
          <w:rStyle w:val="fontstyle01"/>
          <w:rFonts w:ascii="Times New Roman" w:hAnsi="Times New Roman"/>
          <w:color w:val="auto"/>
          <w:sz w:val="24"/>
          <w:szCs w:val="24"/>
        </w:rPr>
        <w:t>Ramowej Dyrektywy Wodnej i wymaganiami</w:t>
      </w:r>
      <w:r w:rsidRPr="00D408DE">
        <w:rPr>
          <w:b/>
          <w:bCs/>
          <w:sz w:val="24"/>
        </w:rPr>
        <w:t xml:space="preserve"> </w:t>
      </w:r>
      <w:r w:rsidRPr="00D408DE">
        <w:rPr>
          <w:rStyle w:val="fontstyle01"/>
          <w:rFonts w:ascii="Times New Roman" w:hAnsi="Times New Roman"/>
          <w:color w:val="auto"/>
          <w:sz w:val="24"/>
          <w:szCs w:val="24"/>
        </w:rPr>
        <w:t>Dyrektywy Ptasiej i Siedliskowej oraz wymaganiami ustawy o Ochronie Przyrody</w:t>
      </w:r>
      <w:r w:rsidRPr="00D408DE">
        <w:rPr>
          <w:b/>
          <w:bCs/>
          <w:sz w:val="24"/>
        </w:rPr>
        <w:t>-</w:t>
      </w:r>
      <w:r w:rsidRPr="00D408DE">
        <w:rPr>
          <w:bCs/>
          <w:sz w:val="24"/>
        </w:rPr>
        <w:t xml:space="preserve"> podsumowanie oceny dla </w:t>
      </w:r>
      <w:r w:rsidRPr="00D408DE">
        <w:rPr>
          <w:sz w:val="24"/>
        </w:rPr>
        <w:t>obszaru problemowego IOP_6 Darłowo</w:t>
      </w:r>
      <w:bookmarkEnd w:id="117"/>
    </w:p>
    <w:tbl>
      <w:tblPr>
        <w:tblW w:w="8926" w:type="dxa"/>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1E0" w:firstRow="1" w:lastRow="1" w:firstColumn="1" w:lastColumn="1" w:noHBand="0" w:noVBand="0"/>
      </w:tblPr>
      <w:tblGrid>
        <w:gridCol w:w="2176"/>
        <w:gridCol w:w="3917"/>
        <w:gridCol w:w="2251"/>
        <w:gridCol w:w="582"/>
      </w:tblGrid>
      <w:tr w:rsidR="00107FCF" w:rsidRPr="00507221" w14:paraId="6A13A86A" w14:textId="77777777" w:rsidTr="009C7C60">
        <w:tc>
          <w:tcPr>
            <w:tcW w:w="8926" w:type="dxa"/>
            <w:gridSpan w:val="4"/>
            <w:tcBorders>
              <w:bottom w:val="single" w:sz="12" w:space="0" w:color="7ECBED"/>
            </w:tcBorders>
            <w:shd w:val="clear" w:color="auto" w:fill="D4EDF9"/>
            <w:vAlign w:val="center"/>
          </w:tcPr>
          <w:p w14:paraId="54AE2828" w14:textId="77777777" w:rsidR="00107FCF" w:rsidRPr="00507221" w:rsidRDefault="00107FCF" w:rsidP="00507221">
            <w:pPr>
              <w:jc w:val="center"/>
              <w:rPr>
                <w:b/>
                <w:bCs/>
              </w:rPr>
            </w:pPr>
            <w:r w:rsidRPr="00507221">
              <w:rPr>
                <w:rStyle w:val="fontstyle01"/>
                <w:rFonts w:ascii="Times New Roman" w:hAnsi="Times New Roman"/>
                <w:sz w:val="24"/>
                <w:szCs w:val="24"/>
              </w:rPr>
              <w:t>Ocena stopnia udatności środowiskowej wariantów działań</w:t>
            </w:r>
          </w:p>
          <w:p w14:paraId="38476325" w14:textId="77777777" w:rsidR="00107FCF" w:rsidRPr="00507221" w:rsidRDefault="00107FCF" w:rsidP="00507221">
            <w:pPr>
              <w:spacing w:before="40" w:after="40"/>
              <w:jc w:val="center"/>
              <w:rPr>
                <w:b/>
                <w:bCs/>
                <w:color w:val="000000"/>
              </w:rPr>
            </w:pPr>
            <w:r w:rsidRPr="00507221">
              <w:rPr>
                <w:color w:val="000000"/>
              </w:rPr>
              <w:t>K- korzystna środowiskowo, U - umiarkowanie korzystna środowiskowo,</w:t>
            </w:r>
          </w:p>
          <w:p w14:paraId="25B34967" w14:textId="77777777" w:rsidR="00107FCF" w:rsidRPr="00507221" w:rsidRDefault="00107FCF" w:rsidP="00507221">
            <w:pPr>
              <w:spacing w:before="40" w:after="40"/>
              <w:jc w:val="center"/>
              <w:rPr>
                <w:b/>
                <w:bCs/>
              </w:rPr>
            </w:pPr>
            <w:r w:rsidRPr="00507221">
              <w:rPr>
                <w:color w:val="000000"/>
              </w:rPr>
              <w:t xml:space="preserve">N - </w:t>
            </w:r>
            <w:r w:rsidRPr="00507221">
              <w:t>niekorzystna środowiskowo,</w:t>
            </w:r>
          </w:p>
        </w:tc>
      </w:tr>
      <w:tr w:rsidR="00107FCF" w:rsidRPr="00507221" w14:paraId="62FF55E8" w14:textId="77777777" w:rsidTr="009C7C60">
        <w:trPr>
          <w:trHeight w:val="454"/>
        </w:trPr>
        <w:tc>
          <w:tcPr>
            <w:tcW w:w="8926" w:type="dxa"/>
            <w:gridSpan w:val="4"/>
            <w:shd w:val="clear" w:color="auto" w:fill="D4EDF9"/>
            <w:vAlign w:val="center"/>
          </w:tcPr>
          <w:p w14:paraId="0F30ECF6" w14:textId="77777777" w:rsidR="00107FCF" w:rsidRPr="00507221" w:rsidRDefault="00107FCF" w:rsidP="00C977FF">
            <w:pPr>
              <w:pStyle w:val="Bezodstpw"/>
              <w:rPr>
                <w:b/>
                <w:bCs/>
              </w:rPr>
            </w:pPr>
            <w:r w:rsidRPr="00507221">
              <w:rPr>
                <w:b/>
                <w:bCs/>
              </w:rPr>
              <w:t>Obszar problemowy IOP_6 Darłowo</w:t>
            </w:r>
          </w:p>
        </w:tc>
      </w:tr>
      <w:tr w:rsidR="00107FCF" w:rsidRPr="00507221" w14:paraId="04D07C70" w14:textId="77777777" w:rsidTr="009C7C60">
        <w:tc>
          <w:tcPr>
            <w:tcW w:w="2176" w:type="dxa"/>
            <w:vAlign w:val="center"/>
          </w:tcPr>
          <w:p w14:paraId="788F9C7D"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parametry biologiczne</w:t>
            </w:r>
          </w:p>
        </w:tc>
        <w:tc>
          <w:tcPr>
            <w:tcW w:w="3917" w:type="dxa"/>
            <w:vAlign w:val="center"/>
          </w:tcPr>
          <w:p w14:paraId="3873673D" w14:textId="1EAFEF60" w:rsidR="00107FCF" w:rsidRPr="00507221" w:rsidRDefault="00D408DE" w:rsidP="00507221">
            <w:pPr>
              <w:pStyle w:val="Akapitzlist1"/>
              <w:tabs>
                <w:tab w:val="left" w:pos="2250"/>
              </w:tabs>
              <w:spacing w:line="240" w:lineRule="auto"/>
              <w:ind w:left="0"/>
              <w:rPr>
                <w:rFonts w:ascii="Times New Roman" w:eastAsia="MS Mincho" w:hAnsi="Times New Roman"/>
                <w:sz w:val="24"/>
                <w:szCs w:val="24"/>
              </w:rPr>
            </w:pPr>
            <w:r>
              <w:rPr>
                <w:rFonts w:ascii="Times New Roman" w:eastAsia="MS Mincho" w:hAnsi="Times New Roman"/>
                <w:sz w:val="24"/>
                <w:szCs w:val="24"/>
              </w:rPr>
              <w:t>JCWP</w:t>
            </w:r>
            <w:r w:rsidR="00107FCF" w:rsidRPr="00507221">
              <w:rPr>
                <w:rFonts w:ascii="Times New Roman" w:eastAsia="MS Mincho" w:hAnsi="Times New Roman"/>
                <w:sz w:val="24"/>
                <w:szCs w:val="24"/>
              </w:rPr>
              <w:t xml:space="preserve"> RW60001444999</w:t>
            </w:r>
          </w:p>
          <w:p w14:paraId="3E4C6481"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hAnsi="Times New Roman"/>
                <w:color w:val="000000"/>
                <w:sz w:val="24"/>
                <w:szCs w:val="24"/>
              </w:rPr>
              <w:t>CW60001WB3</w:t>
            </w:r>
          </w:p>
        </w:tc>
        <w:tc>
          <w:tcPr>
            <w:tcW w:w="2251" w:type="dxa"/>
            <w:vAlign w:val="center"/>
          </w:tcPr>
          <w:p w14:paraId="13B87E6F"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nd</w:t>
            </w:r>
          </w:p>
        </w:tc>
        <w:tc>
          <w:tcPr>
            <w:tcW w:w="582" w:type="dxa"/>
            <w:vAlign w:val="center"/>
          </w:tcPr>
          <w:p w14:paraId="27D72C70"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K</w:t>
            </w:r>
          </w:p>
        </w:tc>
      </w:tr>
      <w:tr w:rsidR="00107FCF" w:rsidRPr="00507221" w14:paraId="5341AD3A" w14:textId="77777777" w:rsidTr="009C7C60">
        <w:tc>
          <w:tcPr>
            <w:tcW w:w="2176" w:type="dxa"/>
            <w:vAlign w:val="center"/>
          </w:tcPr>
          <w:p w14:paraId="4D428D8F"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parametry hydromorfologiczne</w:t>
            </w:r>
          </w:p>
          <w:p w14:paraId="0D3D7B9F"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p>
        </w:tc>
        <w:tc>
          <w:tcPr>
            <w:tcW w:w="3917" w:type="dxa"/>
            <w:vAlign w:val="center"/>
          </w:tcPr>
          <w:p w14:paraId="0ABC3FFB" w14:textId="4A9EFBC2" w:rsidR="00107FCF" w:rsidRPr="00507221" w:rsidRDefault="00D408DE" w:rsidP="00507221">
            <w:pPr>
              <w:pStyle w:val="Akapitzlist1"/>
              <w:tabs>
                <w:tab w:val="left" w:pos="2250"/>
              </w:tabs>
              <w:spacing w:line="240" w:lineRule="auto"/>
              <w:ind w:left="0"/>
              <w:rPr>
                <w:rFonts w:ascii="Times New Roman" w:eastAsia="MS Mincho" w:hAnsi="Times New Roman"/>
                <w:sz w:val="24"/>
                <w:szCs w:val="24"/>
              </w:rPr>
            </w:pPr>
            <w:r>
              <w:rPr>
                <w:rFonts w:ascii="Times New Roman" w:eastAsia="MS Mincho" w:hAnsi="Times New Roman"/>
                <w:sz w:val="24"/>
                <w:szCs w:val="24"/>
              </w:rPr>
              <w:t>JCWP</w:t>
            </w:r>
            <w:r w:rsidR="00107FCF" w:rsidRPr="00507221">
              <w:rPr>
                <w:rFonts w:ascii="Times New Roman" w:eastAsia="MS Mincho" w:hAnsi="Times New Roman"/>
                <w:sz w:val="24"/>
                <w:szCs w:val="24"/>
              </w:rPr>
              <w:t xml:space="preserve"> RW60001444999</w:t>
            </w:r>
          </w:p>
        </w:tc>
        <w:tc>
          <w:tcPr>
            <w:tcW w:w="2251" w:type="dxa"/>
            <w:vAlign w:val="center"/>
          </w:tcPr>
          <w:p w14:paraId="72EF4304" w14:textId="77777777" w:rsidR="00107FCF" w:rsidRPr="00507221" w:rsidRDefault="00107FCF" w:rsidP="00C977FF">
            <w:r w:rsidRPr="00507221">
              <w:t>Pogorszenie wskaźnika PPH6/ pogorszenie wskaźnika HIR,</w:t>
            </w:r>
            <w:r w:rsidRPr="00507221">
              <w:rPr>
                <w:rStyle w:val="fontstyle01"/>
                <w:rFonts w:ascii="Times New Roman" w:hAnsi="Times New Roman"/>
                <w:sz w:val="24"/>
                <w:szCs w:val="24"/>
              </w:rPr>
              <w:t xml:space="preserve"> ograniczenie terenów naturalnie okresowo zalewanych</w:t>
            </w:r>
          </w:p>
        </w:tc>
        <w:tc>
          <w:tcPr>
            <w:tcW w:w="582" w:type="dxa"/>
            <w:vAlign w:val="center"/>
          </w:tcPr>
          <w:p w14:paraId="5FEAF18E"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N</w:t>
            </w:r>
          </w:p>
        </w:tc>
      </w:tr>
      <w:tr w:rsidR="00107FCF" w:rsidRPr="00507221" w14:paraId="09E8627E" w14:textId="77777777" w:rsidTr="009C7C60">
        <w:tc>
          <w:tcPr>
            <w:tcW w:w="2176" w:type="dxa"/>
            <w:vAlign w:val="center"/>
          </w:tcPr>
          <w:p w14:paraId="199F5F57"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obszary chronione i korytarze ekologiczne</w:t>
            </w:r>
          </w:p>
        </w:tc>
        <w:tc>
          <w:tcPr>
            <w:tcW w:w="3917" w:type="dxa"/>
            <w:vAlign w:val="center"/>
          </w:tcPr>
          <w:p w14:paraId="12195B35" w14:textId="77777777" w:rsidR="00107FCF" w:rsidRPr="00507221" w:rsidRDefault="00107FCF" w:rsidP="00507221">
            <w:pPr>
              <w:pStyle w:val="Akapitzlist1"/>
              <w:tabs>
                <w:tab w:val="left" w:pos="2250"/>
              </w:tabs>
              <w:spacing w:line="240" w:lineRule="auto"/>
              <w:ind w:left="0"/>
              <w:rPr>
                <w:rFonts w:ascii="Times New Roman" w:hAnsi="Times New Roman"/>
                <w:sz w:val="24"/>
                <w:szCs w:val="24"/>
              </w:rPr>
            </w:pPr>
            <w:r w:rsidRPr="00507221">
              <w:rPr>
                <w:rFonts w:ascii="Times New Roman" w:hAnsi="Times New Roman"/>
                <w:sz w:val="24"/>
                <w:szCs w:val="24"/>
              </w:rPr>
              <w:t xml:space="preserve">Natura 2000 Dolina Wieprzy i Studnicy </w:t>
            </w:r>
            <w:hyperlink r:id="rId70" w:tgtFrame="_blank" w:history="1">
              <w:r w:rsidRPr="00507221">
                <w:rPr>
                  <w:rStyle w:val="Hipercze"/>
                  <w:sz w:val="24"/>
                  <w:szCs w:val="24"/>
                  <w:lang w:eastAsia="zh-CN"/>
                </w:rPr>
                <w:t>PLH220038</w:t>
              </w:r>
            </w:hyperlink>
            <w:r w:rsidRPr="00507221">
              <w:rPr>
                <w:rFonts w:ascii="Times New Roman" w:hAnsi="Times New Roman"/>
                <w:sz w:val="24"/>
                <w:szCs w:val="24"/>
              </w:rPr>
              <w:t xml:space="preserve"> (</w:t>
            </w:r>
            <w:hyperlink r:id="rId71" w:tgtFrame="_blank" w:history="1">
              <w:r w:rsidRPr="00507221">
                <w:rPr>
                  <w:rStyle w:val="Hipercze"/>
                  <w:sz w:val="24"/>
                  <w:szCs w:val="24"/>
                  <w:lang w:eastAsia="zh-CN"/>
                </w:rPr>
                <w:t>PL.ZIPOP.1393.N2K.PLH220038.H</w:t>
              </w:r>
            </w:hyperlink>
            <w:r w:rsidRPr="00507221">
              <w:rPr>
                <w:rFonts w:ascii="Times New Roman" w:hAnsi="Times New Roman"/>
                <w:sz w:val="24"/>
                <w:szCs w:val="24"/>
              </w:rPr>
              <w:t>)</w:t>
            </w:r>
          </w:p>
          <w:p w14:paraId="71CCC87B" w14:textId="77777777" w:rsidR="00107FCF" w:rsidRPr="00507221" w:rsidRDefault="00107FCF" w:rsidP="00507221">
            <w:pPr>
              <w:pStyle w:val="Akapitzlist1"/>
              <w:tabs>
                <w:tab w:val="left" w:pos="2250"/>
              </w:tabs>
              <w:spacing w:line="240" w:lineRule="auto"/>
              <w:ind w:left="0"/>
              <w:rPr>
                <w:rFonts w:ascii="Times New Roman" w:hAnsi="Times New Roman"/>
                <w:sz w:val="24"/>
                <w:szCs w:val="24"/>
              </w:rPr>
            </w:pPr>
            <w:r w:rsidRPr="00507221">
              <w:rPr>
                <w:rFonts w:ascii="Times New Roman" w:hAnsi="Times New Roman"/>
                <w:sz w:val="24"/>
                <w:szCs w:val="24"/>
              </w:rPr>
              <w:t xml:space="preserve">Natura 2000 Przybrzeżne wody Bałtyku </w:t>
            </w:r>
            <w:hyperlink r:id="rId72" w:tgtFrame="_blank" w:history="1">
              <w:r w:rsidRPr="00507221">
                <w:rPr>
                  <w:rStyle w:val="Hipercze"/>
                  <w:sz w:val="24"/>
                  <w:szCs w:val="24"/>
                  <w:lang w:eastAsia="zh-CN"/>
                </w:rPr>
                <w:t>PLB990002</w:t>
              </w:r>
            </w:hyperlink>
            <w:r w:rsidRPr="00507221">
              <w:rPr>
                <w:rFonts w:ascii="Times New Roman" w:hAnsi="Times New Roman"/>
                <w:sz w:val="24"/>
                <w:szCs w:val="24"/>
              </w:rPr>
              <w:t xml:space="preserve"> (</w:t>
            </w:r>
            <w:hyperlink r:id="rId73" w:tgtFrame="_blank" w:history="1">
              <w:r w:rsidRPr="00507221">
                <w:rPr>
                  <w:rStyle w:val="Hipercze"/>
                  <w:sz w:val="24"/>
                  <w:szCs w:val="24"/>
                  <w:lang w:eastAsia="zh-CN"/>
                </w:rPr>
                <w:t>PL.ZIPOP.1393.N2K.PLB990002.B</w:t>
              </w:r>
            </w:hyperlink>
            <w:r w:rsidRPr="00507221">
              <w:rPr>
                <w:rFonts w:ascii="Times New Roman" w:hAnsi="Times New Roman"/>
                <w:sz w:val="24"/>
                <w:szCs w:val="24"/>
              </w:rPr>
              <w:t>)</w:t>
            </w:r>
          </w:p>
          <w:p w14:paraId="58341AC8"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hAnsi="Times New Roman"/>
                <w:sz w:val="24"/>
                <w:szCs w:val="24"/>
              </w:rPr>
              <w:t>Obszar Chronionego Krajobrazu „Koszaliński Pas Nadmorski” (</w:t>
            </w:r>
            <w:hyperlink r:id="rId74" w:tgtFrame="_blank" w:history="1">
              <w:r w:rsidRPr="00507221">
                <w:rPr>
                  <w:rStyle w:val="Hipercze"/>
                  <w:sz w:val="24"/>
                  <w:szCs w:val="24"/>
                  <w:lang w:eastAsia="zh-CN"/>
                </w:rPr>
                <w:t>PL.ZIPOP.1393.OCHK.14</w:t>
              </w:r>
            </w:hyperlink>
            <w:r w:rsidRPr="00507221">
              <w:rPr>
                <w:rFonts w:ascii="Times New Roman" w:hAnsi="Times New Roman"/>
                <w:sz w:val="24"/>
                <w:szCs w:val="24"/>
              </w:rPr>
              <w:t>).</w:t>
            </w:r>
          </w:p>
        </w:tc>
        <w:tc>
          <w:tcPr>
            <w:tcW w:w="2251" w:type="dxa"/>
            <w:vAlign w:val="center"/>
          </w:tcPr>
          <w:p w14:paraId="61F44D7C" w14:textId="77777777" w:rsidR="00107FCF" w:rsidRPr="00507221" w:rsidRDefault="00107FCF" w:rsidP="00C977FF">
            <w:r w:rsidRPr="00507221">
              <w:rPr>
                <w:rStyle w:val="fontstyle01"/>
                <w:rFonts w:ascii="Times New Roman" w:hAnsi="Times New Roman"/>
                <w:sz w:val="24"/>
                <w:szCs w:val="24"/>
              </w:rPr>
              <w:t>Potencjalny wpływ na siedliska zależne od wód, potencjalny wpływ na przedmioty ochrony, potencjalny wpływ na warunki swobodnej migracji ssaków ziemno-wodnych, potencjalny</w:t>
            </w:r>
          </w:p>
          <w:p w14:paraId="744D7E49" w14:textId="77777777" w:rsidR="00107FCF" w:rsidRPr="00507221" w:rsidRDefault="00107FCF" w:rsidP="00C977FF">
            <w:r w:rsidRPr="00507221">
              <w:rPr>
                <w:rStyle w:val="fontstyle01"/>
                <w:rFonts w:ascii="Times New Roman" w:hAnsi="Times New Roman"/>
                <w:sz w:val="24"/>
                <w:szCs w:val="24"/>
              </w:rPr>
              <w:t>wpływ na funkcjonalność korytarza ekologicznego</w:t>
            </w:r>
          </w:p>
        </w:tc>
        <w:tc>
          <w:tcPr>
            <w:tcW w:w="582" w:type="dxa"/>
            <w:vAlign w:val="center"/>
          </w:tcPr>
          <w:p w14:paraId="5BF2BA78"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U</w:t>
            </w:r>
          </w:p>
        </w:tc>
      </w:tr>
      <w:tr w:rsidR="00107FCF" w:rsidRPr="00507221" w14:paraId="33564B63" w14:textId="77777777" w:rsidTr="009C7C60">
        <w:trPr>
          <w:trHeight w:val="407"/>
        </w:trPr>
        <w:tc>
          <w:tcPr>
            <w:tcW w:w="6093" w:type="dxa"/>
            <w:gridSpan w:val="2"/>
            <w:vAlign w:val="center"/>
          </w:tcPr>
          <w:p w14:paraId="33172788" w14:textId="77777777" w:rsidR="00107FCF" w:rsidRPr="00507221" w:rsidRDefault="00107FCF" w:rsidP="00C977FF">
            <w:pPr>
              <w:rPr>
                <w:b/>
                <w:bCs/>
              </w:rPr>
            </w:pPr>
            <w:r w:rsidRPr="00507221">
              <w:rPr>
                <w:rStyle w:val="fontstyle01"/>
                <w:rFonts w:ascii="Times New Roman" w:hAnsi="Times New Roman"/>
                <w:sz w:val="24"/>
                <w:szCs w:val="24"/>
              </w:rPr>
              <w:t>Stopień udatności środowiskowej</w:t>
            </w:r>
          </w:p>
        </w:tc>
        <w:tc>
          <w:tcPr>
            <w:tcW w:w="2833" w:type="dxa"/>
            <w:gridSpan w:val="2"/>
            <w:vAlign w:val="center"/>
          </w:tcPr>
          <w:p w14:paraId="1A54693F" w14:textId="77777777" w:rsidR="00107FCF" w:rsidRPr="00507221" w:rsidRDefault="00107FCF" w:rsidP="00507221">
            <w:pPr>
              <w:pStyle w:val="Bezodstpw"/>
              <w:jc w:val="center"/>
              <w:rPr>
                <w:b/>
                <w:bCs/>
              </w:rPr>
            </w:pPr>
            <w:r w:rsidRPr="00507221">
              <w:t>U/N</w:t>
            </w:r>
          </w:p>
        </w:tc>
      </w:tr>
      <w:tr w:rsidR="00107FCF" w:rsidRPr="00507221" w14:paraId="078DFAF2" w14:textId="77777777" w:rsidTr="009C7C60">
        <w:tc>
          <w:tcPr>
            <w:tcW w:w="8926" w:type="dxa"/>
            <w:gridSpan w:val="4"/>
            <w:vAlign w:val="center"/>
          </w:tcPr>
          <w:p w14:paraId="1096E2F8" w14:textId="6C52D18C" w:rsidR="00107FCF" w:rsidRPr="00507221" w:rsidRDefault="00107FCF" w:rsidP="00507221">
            <w:pPr>
              <w:pStyle w:val="Akapitzlist1"/>
              <w:tabs>
                <w:tab w:val="left" w:pos="2250"/>
              </w:tabs>
              <w:spacing w:line="240" w:lineRule="auto"/>
              <w:ind w:left="0"/>
              <w:jc w:val="both"/>
              <w:rPr>
                <w:rFonts w:ascii="Times New Roman" w:eastAsia="MS Mincho" w:hAnsi="Times New Roman"/>
                <w:b/>
                <w:bCs/>
                <w:sz w:val="24"/>
                <w:szCs w:val="24"/>
              </w:rPr>
            </w:pPr>
            <w:r w:rsidRPr="00507221">
              <w:rPr>
                <w:rFonts w:ascii="Times New Roman" w:eastAsia="MS Mincho" w:hAnsi="Times New Roman"/>
                <w:sz w:val="24"/>
                <w:szCs w:val="24"/>
              </w:rPr>
              <w:t xml:space="preserve">Z uwagi na skalę prac działania będą negatywnie oddziaływać na parametry hydromorfologiczne </w:t>
            </w:r>
            <w:r w:rsidR="00D408DE">
              <w:rPr>
                <w:rFonts w:ascii="Times New Roman" w:eastAsia="MS Mincho" w:hAnsi="Times New Roman"/>
                <w:sz w:val="24"/>
                <w:szCs w:val="24"/>
              </w:rPr>
              <w:t>JCWP</w:t>
            </w:r>
            <w:r w:rsidRPr="00507221">
              <w:rPr>
                <w:rFonts w:ascii="Times New Roman" w:eastAsia="MS Mincho" w:hAnsi="Times New Roman"/>
                <w:sz w:val="24"/>
                <w:szCs w:val="24"/>
              </w:rPr>
              <w:t xml:space="preserve">, dlatego Wariant został oceniony jako niekorzystny środowiskowo </w:t>
            </w:r>
            <w:r w:rsidRPr="00507221">
              <w:rPr>
                <w:rStyle w:val="fontstyle01"/>
                <w:rFonts w:ascii="Times New Roman" w:eastAsia="MS Mincho" w:hAnsi="Times New Roman"/>
                <w:sz w:val="24"/>
                <w:szCs w:val="24"/>
              </w:rPr>
              <w:t>mogąc</w:t>
            </w:r>
            <w:r w:rsidRPr="00507221">
              <w:rPr>
                <w:rStyle w:val="fontstyle01"/>
                <w:rFonts w:ascii="Times New Roman" w:hAnsi="Times New Roman"/>
                <w:sz w:val="24"/>
                <w:szCs w:val="24"/>
              </w:rPr>
              <w:t>y</w:t>
            </w:r>
            <w:r w:rsidRPr="00507221">
              <w:rPr>
                <w:rStyle w:val="fontstyle01"/>
                <w:rFonts w:ascii="Times New Roman" w:eastAsia="MS Mincho" w:hAnsi="Times New Roman"/>
                <w:sz w:val="24"/>
                <w:szCs w:val="24"/>
              </w:rPr>
              <w:t xml:space="preserve"> wpłynąć negatywnie na</w:t>
            </w:r>
            <w:r w:rsidRPr="00507221">
              <w:rPr>
                <w:rFonts w:ascii="Times New Roman" w:hAnsi="Times New Roman"/>
                <w:color w:val="000000"/>
                <w:sz w:val="24"/>
                <w:szCs w:val="24"/>
              </w:rPr>
              <w:t xml:space="preserve"> </w:t>
            </w:r>
            <w:r w:rsidRPr="00507221">
              <w:rPr>
                <w:rStyle w:val="fontstyle01"/>
                <w:rFonts w:ascii="Times New Roman" w:eastAsia="MS Mincho" w:hAnsi="Times New Roman"/>
                <w:sz w:val="24"/>
                <w:szCs w:val="24"/>
              </w:rPr>
              <w:t>możliwość osiągnięcia celów ochrony wód w rozumieniu RDW</w:t>
            </w:r>
            <w:r w:rsidRPr="00507221">
              <w:rPr>
                <w:rFonts w:ascii="Times New Roman" w:eastAsia="MS Mincho" w:hAnsi="Times New Roman"/>
                <w:sz w:val="24"/>
                <w:szCs w:val="24"/>
              </w:rPr>
              <w:t>. Działanie zlokalizowane jest w granicach obszarów Natura 2000, jednak nie przewiduje się znaczącego negatywnego oddziaływania na przedmioty ochrony obszarów Natura 2000 a ewentualne oddziaływania ocenia się jako możliwe do zminimalizowania. Stopień udatności środowiskowej określono jako umiarkowanie korzystny / niekorzystny.</w:t>
            </w:r>
          </w:p>
        </w:tc>
      </w:tr>
    </w:tbl>
    <w:p w14:paraId="6CE0C7E4" w14:textId="77777777" w:rsidR="00107FCF" w:rsidRDefault="00107FCF" w:rsidP="00366162">
      <w:pPr>
        <w:spacing w:before="60" w:after="60"/>
        <w:jc w:val="both"/>
        <w:rPr>
          <w:szCs w:val="28"/>
        </w:rPr>
      </w:pPr>
    </w:p>
    <w:p w14:paraId="06615597" w14:textId="429EAC9B" w:rsidR="00107FCF" w:rsidRPr="00366162" w:rsidRDefault="00107FCF" w:rsidP="00D408DE">
      <w:pPr>
        <w:spacing w:before="60" w:after="60"/>
        <w:ind w:left="1134" w:hanging="1134"/>
        <w:jc w:val="both"/>
        <w:rPr>
          <w:rFonts w:eastAsia="Times New Roman"/>
          <w:highlight w:val="yellow"/>
          <w:lang w:eastAsia="pl-PL"/>
        </w:rPr>
      </w:pPr>
      <w:r>
        <w:rPr>
          <w:szCs w:val="28"/>
        </w:rPr>
        <w:br w:type="column"/>
      </w:r>
      <w:bookmarkStart w:id="118" w:name="_Toc80608775"/>
      <w:r w:rsidRPr="00580733">
        <w:rPr>
          <w:szCs w:val="28"/>
        </w:rPr>
        <w:lastRenderedPageBreak/>
        <w:t xml:space="preserve">Tabela </w:t>
      </w:r>
      <w:r w:rsidR="00290AD4">
        <w:rPr>
          <w:szCs w:val="28"/>
        </w:rPr>
        <w:fldChar w:fldCharType="begin"/>
      </w:r>
      <w:r w:rsidR="00290AD4">
        <w:rPr>
          <w:szCs w:val="28"/>
        </w:rPr>
        <w:instrText xml:space="preserve"> SEQ Tabela \* ARABIC </w:instrText>
      </w:r>
      <w:r w:rsidR="00290AD4">
        <w:rPr>
          <w:szCs w:val="28"/>
        </w:rPr>
        <w:fldChar w:fldCharType="separate"/>
      </w:r>
      <w:r w:rsidR="00AC4DF9">
        <w:rPr>
          <w:noProof/>
          <w:szCs w:val="28"/>
        </w:rPr>
        <w:t>22</w:t>
      </w:r>
      <w:r w:rsidR="00290AD4">
        <w:rPr>
          <w:szCs w:val="28"/>
        </w:rPr>
        <w:fldChar w:fldCharType="end"/>
      </w:r>
      <w:r w:rsidR="00D408DE">
        <w:rPr>
          <w:szCs w:val="28"/>
        </w:rPr>
        <w:tab/>
      </w:r>
      <w:r w:rsidRPr="00580733">
        <w:rPr>
          <w:szCs w:val="28"/>
        </w:rPr>
        <w:t>Ocena zgodności z celami środowiskowymi wynikającymi z Ramowej Dyrektywy Wodnej i wymaganiami Dyrektywy Ptasiej i Siedliskowej oraz wymaganiami ustawy o</w:t>
      </w:r>
      <w:r>
        <w:rPr>
          <w:szCs w:val="28"/>
        </w:rPr>
        <w:t xml:space="preserve"> </w:t>
      </w:r>
      <w:r w:rsidRPr="00580733">
        <w:rPr>
          <w:szCs w:val="28"/>
        </w:rPr>
        <w:t>Ochronie Przyrody – podsumowanie oceny dla obszaru problemowego IOP_10 Stepnica</w:t>
      </w:r>
      <w:bookmarkEnd w:id="118"/>
    </w:p>
    <w:tbl>
      <w:tblPr>
        <w:tblW w:w="5068"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1E0" w:firstRow="1" w:lastRow="1" w:firstColumn="1" w:lastColumn="1" w:noHBand="0" w:noVBand="0"/>
      </w:tblPr>
      <w:tblGrid>
        <w:gridCol w:w="2176"/>
        <w:gridCol w:w="5050"/>
        <w:gridCol w:w="1350"/>
        <w:gridCol w:w="390"/>
      </w:tblGrid>
      <w:tr w:rsidR="00107FCF" w:rsidRPr="00507221" w14:paraId="61EF3CEF" w14:textId="77777777" w:rsidTr="009C7C60">
        <w:tc>
          <w:tcPr>
            <w:tcW w:w="5000" w:type="pct"/>
            <w:gridSpan w:val="4"/>
            <w:tcBorders>
              <w:bottom w:val="single" w:sz="12" w:space="0" w:color="7ECBED"/>
            </w:tcBorders>
            <w:shd w:val="clear" w:color="auto" w:fill="D4EDF9"/>
            <w:vAlign w:val="center"/>
          </w:tcPr>
          <w:p w14:paraId="5F1D3AB9" w14:textId="77777777" w:rsidR="00107FCF" w:rsidRPr="00507221" w:rsidRDefault="00107FCF" w:rsidP="00507221">
            <w:pPr>
              <w:jc w:val="center"/>
              <w:rPr>
                <w:b/>
                <w:bCs/>
              </w:rPr>
            </w:pPr>
            <w:r w:rsidRPr="00507221">
              <w:rPr>
                <w:rStyle w:val="fontstyle01"/>
                <w:rFonts w:ascii="Times New Roman" w:hAnsi="Times New Roman"/>
                <w:sz w:val="24"/>
                <w:szCs w:val="24"/>
              </w:rPr>
              <w:t>Ocena stopnia udatności środowiskowej wariantów działań</w:t>
            </w:r>
          </w:p>
          <w:p w14:paraId="7F62C63C" w14:textId="77777777" w:rsidR="00107FCF" w:rsidRPr="00507221" w:rsidRDefault="00107FCF" w:rsidP="00507221">
            <w:pPr>
              <w:spacing w:before="40" w:after="40"/>
              <w:jc w:val="center"/>
              <w:rPr>
                <w:b/>
                <w:bCs/>
                <w:color w:val="000000"/>
              </w:rPr>
            </w:pPr>
            <w:r w:rsidRPr="00507221">
              <w:rPr>
                <w:color w:val="000000"/>
              </w:rPr>
              <w:t>K- korzystna środowiskowo, U - umiarkowanie korzystna środowiskowo,</w:t>
            </w:r>
          </w:p>
          <w:p w14:paraId="0B5BF5BE" w14:textId="77777777" w:rsidR="00107FCF" w:rsidRPr="00507221" w:rsidRDefault="00107FCF" w:rsidP="00507221">
            <w:pPr>
              <w:spacing w:before="40" w:after="40"/>
              <w:jc w:val="center"/>
              <w:rPr>
                <w:b/>
                <w:bCs/>
              </w:rPr>
            </w:pPr>
            <w:r w:rsidRPr="00507221">
              <w:rPr>
                <w:color w:val="000000"/>
              </w:rPr>
              <w:t xml:space="preserve">N - </w:t>
            </w:r>
            <w:r w:rsidRPr="00507221">
              <w:t>niekorzystna środowiskowo,</w:t>
            </w:r>
          </w:p>
        </w:tc>
      </w:tr>
      <w:tr w:rsidR="00107FCF" w:rsidRPr="00507221" w14:paraId="7E5FFBD9" w14:textId="77777777" w:rsidTr="009C7C60">
        <w:trPr>
          <w:trHeight w:val="454"/>
        </w:trPr>
        <w:tc>
          <w:tcPr>
            <w:tcW w:w="5000" w:type="pct"/>
            <w:gridSpan w:val="4"/>
            <w:shd w:val="clear" w:color="auto" w:fill="D4EDF9"/>
            <w:vAlign w:val="center"/>
          </w:tcPr>
          <w:p w14:paraId="32017E88" w14:textId="77777777" w:rsidR="00107FCF" w:rsidRPr="00507221" w:rsidRDefault="00107FCF" w:rsidP="001246AB">
            <w:pPr>
              <w:pStyle w:val="Bezodstpw"/>
              <w:rPr>
                <w:b/>
                <w:bCs/>
              </w:rPr>
            </w:pPr>
            <w:r w:rsidRPr="00507221">
              <w:rPr>
                <w:b/>
                <w:bCs/>
              </w:rPr>
              <w:t>Obszar problemowy IOP_10 Stępnica</w:t>
            </w:r>
          </w:p>
        </w:tc>
      </w:tr>
      <w:tr w:rsidR="00107FCF" w:rsidRPr="00507221" w14:paraId="4D5CFB04" w14:textId="77777777" w:rsidTr="009C7C60">
        <w:tc>
          <w:tcPr>
            <w:tcW w:w="1197" w:type="pct"/>
            <w:vAlign w:val="center"/>
          </w:tcPr>
          <w:p w14:paraId="434DA8DF"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parametry biologiczne</w:t>
            </w:r>
          </w:p>
        </w:tc>
        <w:tc>
          <w:tcPr>
            <w:tcW w:w="2769" w:type="pct"/>
            <w:vAlign w:val="center"/>
          </w:tcPr>
          <w:p w14:paraId="1554425D" w14:textId="77777777" w:rsidR="00107FCF" w:rsidRPr="00507221" w:rsidRDefault="00107FCF" w:rsidP="00507221">
            <w:pPr>
              <w:pStyle w:val="Akapitzlist1"/>
              <w:tabs>
                <w:tab w:val="left" w:pos="2250"/>
              </w:tabs>
              <w:ind w:left="0"/>
              <w:rPr>
                <w:rFonts w:ascii="Times New Roman" w:eastAsia="MS Mincho" w:hAnsi="Times New Roman"/>
                <w:sz w:val="24"/>
                <w:szCs w:val="24"/>
              </w:rPr>
            </w:pPr>
            <w:r w:rsidRPr="00507221">
              <w:rPr>
                <w:rFonts w:ascii="Times New Roman" w:eastAsia="MS Mincho" w:hAnsi="Times New Roman"/>
                <w:sz w:val="24"/>
                <w:szCs w:val="24"/>
              </w:rPr>
              <w:t>RW600009197432749</w:t>
            </w:r>
          </w:p>
          <w:p w14:paraId="5C82AAF9"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TW60001WB2</w:t>
            </w:r>
          </w:p>
        </w:tc>
        <w:tc>
          <w:tcPr>
            <w:tcW w:w="805" w:type="pct"/>
            <w:vAlign w:val="center"/>
          </w:tcPr>
          <w:p w14:paraId="1BE5ED59"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nd</w:t>
            </w:r>
          </w:p>
        </w:tc>
        <w:tc>
          <w:tcPr>
            <w:tcW w:w="221" w:type="pct"/>
            <w:vAlign w:val="center"/>
          </w:tcPr>
          <w:p w14:paraId="5ECF2F78"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K</w:t>
            </w:r>
          </w:p>
        </w:tc>
      </w:tr>
      <w:tr w:rsidR="00107FCF" w:rsidRPr="00507221" w14:paraId="66F60DD3" w14:textId="77777777" w:rsidTr="009C7C60">
        <w:tc>
          <w:tcPr>
            <w:tcW w:w="1197" w:type="pct"/>
            <w:vAlign w:val="center"/>
          </w:tcPr>
          <w:p w14:paraId="03169BED"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parametry hydromorfologiczne</w:t>
            </w:r>
          </w:p>
          <w:p w14:paraId="156893EA"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p>
        </w:tc>
        <w:tc>
          <w:tcPr>
            <w:tcW w:w="2769" w:type="pct"/>
            <w:vAlign w:val="center"/>
          </w:tcPr>
          <w:p w14:paraId="67FF300E"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RW600009197432749</w:t>
            </w:r>
          </w:p>
        </w:tc>
        <w:tc>
          <w:tcPr>
            <w:tcW w:w="805" w:type="pct"/>
            <w:vAlign w:val="center"/>
          </w:tcPr>
          <w:p w14:paraId="43E374D5" w14:textId="77777777" w:rsidR="00107FCF" w:rsidRPr="00507221" w:rsidRDefault="00107FCF" w:rsidP="001246AB">
            <w:r w:rsidRPr="00507221">
              <w:t>nd</w:t>
            </w:r>
          </w:p>
        </w:tc>
        <w:tc>
          <w:tcPr>
            <w:tcW w:w="221" w:type="pct"/>
            <w:vAlign w:val="center"/>
          </w:tcPr>
          <w:p w14:paraId="0805F0DD"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K</w:t>
            </w:r>
          </w:p>
        </w:tc>
      </w:tr>
      <w:tr w:rsidR="00107FCF" w:rsidRPr="00507221" w14:paraId="51A37D28" w14:textId="77777777" w:rsidTr="009C7C60">
        <w:tc>
          <w:tcPr>
            <w:tcW w:w="1197" w:type="pct"/>
            <w:vAlign w:val="center"/>
          </w:tcPr>
          <w:p w14:paraId="087D32B2"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obszary chronione i korytarze ekologiczne</w:t>
            </w:r>
          </w:p>
        </w:tc>
        <w:tc>
          <w:tcPr>
            <w:tcW w:w="2769" w:type="pct"/>
            <w:vAlign w:val="center"/>
          </w:tcPr>
          <w:p w14:paraId="460E7E60" w14:textId="77777777" w:rsidR="00107FCF" w:rsidRPr="00507221" w:rsidRDefault="00107FCF" w:rsidP="00580733">
            <w:r w:rsidRPr="00507221">
              <w:t xml:space="preserve">Natura 2000 Łąki Skoszewskie </w:t>
            </w:r>
            <w:hyperlink r:id="rId75" w:tgtFrame="_blank" w:history="1">
              <w:r w:rsidRPr="00507221">
                <w:rPr>
                  <w:rStyle w:val="Hipercze"/>
                </w:rPr>
                <w:t>PLB320007</w:t>
              </w:r>
            </w:hyperlink>
            <w:r w:rsidRPr="00507221">
              <w:t xml:space="preserve"> (</w:t>
            </w:r>
            <w:hyperlink r:id="rId76" w:tgtFrame="_blank" w:history="1">
              <w:r w:rsidRPr="00507221">
                <w:rPr>
                  <w:rStyle w:val="Hipercze"/>
                </w:rPr>
                <w:t>PL.ZIPOP.1393.N2K.PLB320007.B</w:t>
              </w:r>
            </w:hyperlink>
            <w:r w:rsidRPr="00507221">
              <w:t xml:space="preserve">), </w:t>
            </w:r>
          </w:p>
          <w:p w14:paraId="35130D0E" w14:textId="77777777" w:rsidR="00107FCF" w:rsidRPr="00507221" w:rsidRDefault="00107FCF" w:rsidP="00580733">
            <w:r w:rsidRPr="00507221">
              <w:t>Natura 2000 Zalew Szczeciński (</w:t>
            </w:r>
            <w:hyperlink r:id="rId77" w:tgtFrame="_blank" w:history="1">
              <w:r w:rsidRPr="00507221">
                <w:rPr>
                  <w:rStyle w:val="Hipercze"/>
                </w:rPr>
                <w:t>PLB320009</w:t>
              </w:r>
            </w:hyperlink>
            <w:hyperlink r:id="rId78" w:tgtFrame="_blank" w:history="1">
              <w:r w:rsidRPr="00507221">
                <w:rPr>
                  <w:rStyle w:val="Hipercze"/>
                </w:rPr>
                <w:t>PL.ZIPOP.1393.N2K.PLB320009.B</w:t>
              </w:r>
            </w:hyperlink>
            <w:r w:rsidRPr="00507221">
              <w:t>)</w:t>
            </w:r>
          </w:p>
        </w:tc>
        <w:tc>
          <w:tcPr>
            <w:tcW w:w="805" w:type="pct"/>
            <w:vAlign w:val="center"/>
          </w:tcPr>
          <w:p w14:paraId="36E8A64E" w14:textId="77777777" w:rsidR="00107FCF" w:rsidRPr="00507221" w:rsidRDefault="00107FCF" w:rsidP="001246AB">
            <w:r w:rsidRPr="00507221">
              <w:rPr>
                <w:rStyle w:val="fontstyle01"/>
                <w:rFonts w:ascii="Times New Roman" w:hAnsi="Times New Roman"/>
                <w:sz w:val="24"/>
                <w:szCs w:val="24"/>
              </w:rPr>
              <w:t>Potencjalny wpływ na przedmioty ochrony na etapie realizacji – hałas</w:t>
            </w:r>
          </w:p>
        </w:tc>
        <w:tc>
          <w:tcPr>
            <w:tcW w:w="221" w:type="pct"/>
            <w:vAlign w:val="center"/>
          </w:tcPr>
          <w:p w14:paraId="1640DE79"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U</w:t>
            </w:r>
          </w:p>
        </w:tc>
      </w:tr>
      <w:tr w:rsidR="00107FCF" w:rsidRPr="00507221" w14:paraId="6325916E" w14:textId="77777777" w:rsidTr="009C7C60">
        <w:trPr>
          <w:trHeight w:val="407"/>
        </w:trPr>
        <w:tc>
          <w:tcPr>
            <w:tcW w:w="3967" w:type="pct"/>
            <w:gridSpan w:val="2"/>
            <w:vAlign w:val="center"/>
          </w:tcPr>
          <w:p w14:paraId="08054006" w14:textId="77777777" w:rsidR="00107FCF" w:rsidRPr="00507221" w:rsidRDefault="00107FCF" w:rsidP="001246AB">
            <w:pPr>
              <w:rPr>
                <w:b/>
                <w:bCs/>
              </w:rPr>
            </w:pPr>
            <w:r w:rsidRPr="00507221">
              <w:rPr>
                <w:rStyle w:val="fontstyle01"/>
                <w:rFonts w:ascii="Times New Roman" w:hAnsi="Times New Roman"/>
                <w:sz w:val="24"/>
                <w:szCs w:val="24"/>
              </w:rPr>
              <w:t>Stopień udatności środowiskowej</w:t>
            </w:r>
          </w:p>
        </w:tc>
        <w:tc>
          <w:tcPr>
            <w:tcW w:w="1033" w:type="pct"/>
            <w:gridSpan w:val="2"/>
            <w:vAlign w:val="center"/>
          </w:tcPr>
          <w:p w14:paraId="4C75ED83" w14:textId="77777777" w:rsidR="00107FCF" w:rsidRPr="00507221" w:rsidRDefault="00107FCF" w:rsidP="00507221">
            <w:pPr>
              <w:pStyle w:val="Bezodstpw"/>
              <w:jc w:val="center"/>
              <w:rPr>
                <w:b/>
                <w:bCs/>
              </w:rPr>
            </w:pPr>
            <w:r w:rsidRPr="00507221">
              <w:t>K/U</w:t>
            </w:r>
          </w:p>
        </w:tc>
      </w:tr>
      <w:tr w:rsidR="00107FCF" w:rsidRPr="00507221" w14:paraId="15FCC19E" w14:textId="77777777" w:rsidTr="009C7C60">
        <w:tc>
          <w:tcPr>
            <w:tcW w:w="5000" w:type="pct"/>
            <w:gridSpan w:val="4"/>
            <w:vAlign w:val="center"/>
          </w:tcPr>
          <w:p w14:paraId="334916CF" w14:textId="78AAFA38" w:rsidR="00107FCF" w:rsidRPr="00507221" w:rsidRDefault="00107FCF" w:rsidP="00507221">
            <w:pPr>
              <w:pStyle w:val="Akapitzlist1"/>
              <w:tabs>
                <w:tab w:val="left" w:pos="2250"/>
              </w:tabs>
              <w:spacing w:line="240" w:lineRule="auto"/>
              <w:ind w:left="0"/>
              <w:jc w:val="both"/>
              <w:rPr>
                <w:rFonts w:ascii="Times New Roman" w:eastAsia="MS Mincho" w:hAnsi="Times New Roman"/>
                <w:b/>
                <w:bCs/>
                <w:sz w:val="24"/>
                <w:szCs w:val="24"/>
              </w:rPr>
            </w:pPr>
            <w:r w:rsidRPr="00507221">
              <w:rPr>
                <w:rFonts w:ascii="Times New Roman" w:eastAsia="MS Mincho" w:hAnsi="Times New Roman"/>
                <w:sz w:val="24"/>
                <w:szCs w:val="24"/>
              </w:rPr>
              <w:t xml:space="preserve">Z uwagi na skalę prac działania nie będą negatywnie oddziaływać na parametry hydromorfologiczne i biologiczne </w:t>
            </w:r>
            <w:r w:rsidR="00D408DE">
              <w:rPr>
                <w:rFonts w:ascii="Times New Roman" w:eastAsia="MS Mincho" w:hAnsi="Times New Roman"/>
                <w:sz w:val="24"/>
                <w:szCs w:val="24"/>
              </w:rPr>
              <w:t>JCWP</w:t>
            </w:r>
            <w:r w:rsidRPr="00507221">
              <w:rPr>
                <w:rFonts w:ascii="Times New Roman" w:eastAsia="MS Mincho" w:hAnsi="Times New Roman"/>
                <w:sz w:val="24"/>
                <w:szCs w:val="24"/>
              </w:rPr>
              <w:t xml:space="preserve">, dlatego Wariant został oceniony jako bez wpływu </w:t>
            </w:r>
            <w:r w:rsidR="00A5725D">
              <w:rPr>
                <w:rFonts w:ascii="Times New Roman" w:eastAsia="MS Mincho" w:hAnsi="Times New Roman"/>
                <w:sz w:val="24"/>
                <w:szCs w:val="24"/>
              </w:rPr>
              <w:t xml:space="preserve">na </w:t>
            </w:r>
            <w:r w:rsidRPr="00507221">
              <w:rPr>
                <w:rFonts w:ascii="Times New Roman" w:eastAsia="MS Mincho" w:hAnsi="Times New Roman"/>
                <w:sz w:val="24"/>
                <w:szCs w:val="24"/>
              </w:rPr>
              <w:t>możliwość osiągnięcia celów ochrony wód w rozumieniu RDW. Działanie zlokalizowane jest w granicach obszarów Natura 2000, jednak nie przewiduje się znaczącego negatywnego oddziaływania na przedmioty ochrony obszarów Natura 2000 a ewentualne oddziaływania ocenia się jako możliwe do zminimalizowania. Stopień udatności środowiskowej określono jako korzystny / umiarkowanie niekorzystny.</w:t>
            </w:r>
          </w:p>
        </w:tc>
      </w:tr>
    </w:tbl>
    <w:p w14:paraId="1C9C89A4" w14:textId="77777777" w:rsidR="00107FCF" w:rsidRPr="00580733" w:rsidRDefault="00107FCF" w:rsidP="00580733">
      <w:pPr>
        <w:spacing w:before="60" w:after="60"/>
        <w:jc w:val="both"/>
        <w:rPr>
          <w:highlight w:val="yellow"/>
        </w:rPr>
      </w:pPr>
    </w:p>
    <w:p w14:paraId="3C5917BE" w14:textId="16BBF0B4" w:rsidR="00107FCF" w:rsidRPr="00580733" w:rsidRDefault="00107FCF" w:rsidP="00D408DE">
      <w:pPr>
        <w:pStyle w:val="Legenda"/>
        <w:ind w:left="1134" w:hanging="1134"/>
        <w:jc w:val="both"/>
        <w:rPr>
          <w:sz w:val="24"/>
          <w:szCs w:val="28"/>
        </w:rPr>
      </w:pPr>
      <w:r>
        <w:rPr>
          <w:sz w:val="24"/>
          <w:szCs w:val="28"/>
        </w:rPr>
        <w:br w:type="column"/>
      </w:r>
      <w:bookmarkStart w:id="119" w:name="_Toc80608776"/>
      <w:r w:rsidRPr="00580733">
        <w:rPr>
          <w:sz w:val="24"/>
          <w:szCs w:val="28"/>
        </w:rPr>
        <w:lastRenderedPageBreak/>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23</w:t>
      </w:r>
      <w:r w:rsidR="00290AD4">
        <w:rPr>
          <w:sz w:val="24"/>
          <w:szCs w:val="28"/>
        </w:rPr>
        <w:fldChar w:fldCharType="end"/>
      </w:r>
      <w:r w:rsidR="00D408DE">
        <w:rPr>
          <w:sz w:val="24"/>
          <w:szCs w:val="28"/>
        </w:rPr>
        <w:tab/>
      </w:r>
      <w:r w:rsidRPr="00580733">
        <w:rPr>
          <w:sz w:val="24"/>
          <w:szCs w:val="28"/>
        </w:rPr>
        <w:t>Ocena zgodności z celami środowiskowymi wynikającymi z Ramowej Dyrektywy Wodnej i wymaganiami Dyrektywy Ptasiej i Siedliskowej oraz wymaganiami ustawy o</w:t>
      </w:r>
      <w:r>
        <w:rPr>
          <w:sz w:val="24"/>
          <w:szCs w:val="28"/>
        </w:rPr>
        <w:t xml:space="preserve"> </w:t>
      </w:r>
      <w:r w:rsidRPr="00580733">
        <w:rPr>
          <w:sz w:val="24"/>
          <w:szCs w:val="28"/>
        </w:rPr>
        <w:t>Ochronie Przyrody – podsumowanie oceny dla obszaru problemowego IOP_11 Nowe Warpno</w:t>
      </w:r>
      <w:bookmarkEnd w:id="119"/>
    </w:p>
    <w:tbl>
      <w:tblPr>
        <w:tblW w:w="5000" w:type="pct"/>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Look w:val="01E0" w:firstRow="1" w:lastRow="1" w:firstColumn="1" w:lastColumn="1" w:noHBand="0" w:noVBand="0"/>
      </w:tblPr>
      <w:tblGrid>
        <w:gridCol w:w="2176"/>
        <w:gridCol w:w="3977"/>
        <w:gridCol w:w="1952"/>
        <w:gridCol w:w="390"/>
      </w:tblGrid>
      <w:tr w:rsidR="00107FCF" w:rsidRPr="00507221" w14:paraId="1BA405B2" w14:textId="77777777" w:rsidTr="00D408DE">
        <w:tc>
          <w:tcPr>
            <w:tcW w:w="5000" w:type="pct"/>
            <w:gridSpan w:val="4"/>
            <w:tcBorders>
              <w:bottom w:val="single" w:sz="12" w:space="0" w:color="7ECBED"/>
            </w:tcBorders>
            <w:shd w:val="clear" w:color="auto" w:fill="D4EDF9"/>
            <w:vAlign w:val="center"/>
          </w:tcPr>
          <w:p w14:paraId="40F0B295" w14:textId="77777777" w:rsidR="00107FCF" w:rsidRPr="00507221" w:rsidRDefault="00107FCF" w:rsidP="00507221">
            <w:pPr>
              <w:jc w:val="center"/>
              <w:rPr>
                <w:b/>
                <w:bCs/>
              </w:rPr>
            </w:pPr>
            <w:r w:rsidRPr="00507221">
              <w:rPr>
                <w:rStyle w:val="fontstyle01"/>
                <w:rFonts w:ascii="Times New Roman" w:hAnsi="Times New Roman"/>
                <w:sz w:val="24"/>
                <w:szCs w:val="24"/>
              </w:rPr>
              <w:t>Ocena stopnia udatności środowiskowej wariantów działań</w:t>
            </w:r>
          </w:p>
          <w:p w14:paraId="6CFFE0CF" w14:textId="77777777" w:rsidR="00107FCF" w:rsidRPr="00507221" w:rsidRDefault="00107FCF" w:rsidP="00507221">
            <w:pPr>
              <w:spacing w:before="40" w:after="40"/>
              <w:jc w:val="center"/>
              <w:rPr>
                <w:b/>
                <w:bCs/>
                <w:color w:val="000000"/>
              </w:rPr>
            </w:pPr>
            <w:r w:rsidRPr="00507221">
              <w:rPr>
                <w:color w:val="000000"/>
              </w:rPr>
              <w:t>K- korzystna środowiskowo, U - umiarkowanie korzystna środowiskowo,</w:t>
            </w:r>
          </w:p>
          <w:p w14:paraId="2F604782" w14:textId="77777777" w:rsidR="00107FCF" w:rsidRPr="00507221" w:rsidRDefault="00107FCF" w:rsidP="00507221">
            <w:pPr>
              <w:spacing w:before="40" w:after="40"/>
              <w:jc w:val="center"/>
              <w:rPr>
                <w:b/>
                <w:bCs/>
              </w:rPr>
            </w:pPr>
            <w:r w:rsidRPr="00507221">
              <w:rPr>
                <w:color w:val="000000"/>
              </w:rPr>
              <w:t xml:space="preserve">N - </w:t>
            </w:r>
            <w:r w:rsidRPr="00507221">
              <w:t>niekorzystna środowiskowo,</w:t>
            </w:r>
          </w:p>
        </w:tc>
      </w:tr>
      <w:tr w:rsidR="00107FCF" w:rsidRPr="00507221" w14:paraId="563BADB5" w14:textId="77777777" w:rsidTr="00D408DE">
        <w:trPr>
          <w:trHeight w:val="454"/>
        </w:trPr>
        <w:tc>
          <w:tcPr>
            <w:tcW w:w="5000" w:type="pct"/>
            <w:gridSpan w:val="4"/>
            <w:shd w:val="clear" w:color="auto" w:fill="D4EDF9"/>
            <w:vAlign w:val="center"/>
          </w:tcPr>
          <w:p w14:paraId="7E7B2B5E" w14:textId="77777777" w:rsidR="00107FCF" w:rsidRPr="00507221" w:rsidRDefault="00107FCF" w:rsidP="001246AB">
            <w:pPr>
              <w:pStyle w:val="Bezodstpw"/>
              <w:rPr>
                <w:b/>
                <w:bCs/>
              </w:rPr>
            </w:pPr>
            <w:r w:rsidRPr="00507221">
              <w:rPr>
                <w:b/>
                <w:bCs/>
              </w:rPr>
              <w:t>Obszar problemowy IOP_11 Nowe Warpno</w:t>
            </w:r>
          </w:p>
        </w:tc>
      </w:tr>
      <w:tr w:rsidR="00107FCF" w:rsidRPr="00507221" w14:paraId="56DF2063" w14:textId="77777777" w:rsidTr="00D408DE">
        <w:tc>
          <w:tcPr>
            <w:tcW w:w="1163" w:type="pct"/>
            <w:vAlign w:val="center"/>
          </w:tcPr>
          <w:p w14:paraId="4A83DCA2"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parametry biologiczne</w:t>
            </w:r>
          </w:p>
        </w:tc>
        <w:tc>
          <w:tcPr>
            <w:tcW w:w="2394" w:type="pct"/>
            <w:vAlign w:val="center"/>
          </w:tcPr>
          <w:p w14:paraId="3FB41190"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TW60001WB2</w:t>
            </w:r>
          </w:p>
        </w:tc>
        <w:tc>
          <w:tcPr>
            <w:tcW w:w="1235" w:type="pct"/>
            <w:vAlign w:val="center"/>
          </w:tcPr>
          <w:p w14:paraId="7A128B90"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nd</w:t>
            </w:r>
          </w:p>
        </w:tc>
        <w:tc>
          <w:tcPr>
            <w:tcW w:w="208" w:type="pct"/>
            <w:vAlign w:val="center"/>
          </w:tcPr>
          <w:p w14:paraId="348113BE"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K</w:t>
            </w:r>
          </w:p>
        </w:tc>
      </w:tr>
      <w:tr w:rsidR="00107FCF" w:rsidRPr="00507221" w14:paraId="3AE50A76" w14:textId="77777777" w:rsidTr="00D408DE">
        <w:tc>
          <w:tcPr>
            <w:tcW w:w="1163" w:type="pct"/>
            <w:vAlign w:val="center"/>
          </w:tcPr>
          <w:p w14:paraId="48EA50ED"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parametry hydromorfologiczne</w:t>
            </w:r>
          </w:p>
          <w:p w14:paraId="602F8191"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p>
        </w:tc>
        <w:tc>
          <w:tcPr>
            <w:tcW w:w="2394" w:type="pct"/>
            <w:vAlign w:val="center"/>
          </w:tcPr>
          <w:p w14:paraId="198A7FFB" w14:textId="77777777" w:rsidR="00107FCF" w:rsidRPr="00507221" w:rsidRDefault="00107FCF" w:rsidP="00507221">
            <w:pPr>
              <w:pStyle w:val="Akapitzlist1"/>
              <w:tabs>
                <w:tab w:val="left" w:pos="2250"/>
              </w:tabs>
              <w:spacing w:line="240" w:lineRule="auto"/>
              <w:ind w:left="0"/>
              <w:rPr>
                <w:rFonts w:ascii="Times New Roman" w:eastAsia="MS Mincho" w:hAnsi="Times New Roman"/>
                <w:sz w:val="24"/>
                <w:szCs w:val="24"/>
              </w:rPr>
            </w:pPr>
            <w:r w:rsidRPr="00507221">
              <w:rPr>
                <w:rFonts w:ascii="Times New Roman" w:eastAsia="MS Mincho" w:hAnsi="Times New Roman"/>
                <w:sz w:val="24"/>
                <w:szCs w:val="24"/>
              </w:rPr>
              <w:t>TW60001WB2</w:t>
            </w:r>
          </w:p>
        </w:tc>
        <w:tc>
          <w:tcPr>
            <w:tcW w:w="1235" w:type="pct"/>
            <w:vAlign w:val="center"/>
          </w:tcPr>
          <w:p w14:paraId="715C6DAA" w14:textId="77777777" w:rsidR="00107FCF" w:rsidRPr="00507221" w:rsidRDefault="00107FCF" w:rsidP="001246AB">
            <w:r w:rsidRPr="00507221">
              <w:t>Ograniczenie terenów naturalnie okresowo zalewanych</w:t>
            </w:r>
          </w:p>
        </w:tc>
        <w:tc>
          <w:tcPr>
            <w:tcW w:w="208" w:type="pct"/>
            <w:vAlign w:val="center"/>
          </w:tcPr>
          <w:p w14:paraId="01E7F66B"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U</w:t>
            </w:r>
          </w:p>
        </w:tc>
      </w:tr>
      <w:tr w:rsidR="00107FCF" w:rsidRPr="00507221" w14:paraId="7906B627" w14:textId="77777777" w:rsidTr="00D408DE">
        <w:tc>
          <w:tcPr>
            <w:tcW w:w="1163" w:type="pct"/>
            <w:vAlign w:val="center"/>
          </w:tcPr>
          <w:p w14:paraId="7FCF356B" w14:textId="77777777" w:rsidR="00107FCF" w:rsidRPr="00507221" w:rsidRDefault="00107FCF" w:rsidP="00507221">
            <w:pPr>
              <w:pStyle w:val="Akapitzlist1"/>
              <w:tabs>
                <w:tab w:val="left" w:pos="2250"/>
              </w:tabs>
              <w:spacing w:line="240" w:lineRule="auto"/>
              <w:ind w:left="0"/>
              <w:rPr>
                <w:rFonts w:ascii="Times New Roman" w:eastAsia="MS Mincho" w:hAnsi="Times New Roman"/>
                <w:b/>
                <w:bCs/>
                <w:sz w:val="24"/>
                <w:szCs w:val="24"/>
              </w:rPr>
            </w:pPr>
            <w:r w:rsidRPr="00507221">
              <w:rPr>
                <w:rFonts w:ascii="Times New Roman" w:eastAsia="MS Mincho" w:hAnsi="Times New Roman"/>
                <w:sz w:val="24"/>
                <w:szCs w:val="24"/>
              </w:rPr>
              <w:t>Wpływ na obszary chronione i korytarze ekologiczne</w:t>
            </w:r>
          </w:p>
        </w:tc>
        <w:tc>
          <w:tcPr>
            <w:tcW w:w="2394" w:type="pct"/>
            <w:vAlign w:val="center"/>
          </w:tcPr>
          <w:p w14:paraId="4B4157EF" w14:textId="77777777" w:rsidR="00107FCF" w:rsidRPr="00507221" w:rsidRDefault="00107FCF" w:rsidP="00580733">
            <w:r w:rsidRPr="00507221">
              <w:t>Natura 2000 Zalew Szczeciński PLB320009 (PL.ZIPOP.1393.N2K.PLB320009.B),</w:t>
            </w:r>
          </w:p>
          <w:p w14:paraId="24D754A7" w14:textId="77777777" w:rsidR="00107FCF" w:rsidRPr="00507221" w:rsidRDefault="00107FCF" w:rsidP="00580733"/>
          <w:p w14:paraId="73D74290" w14:textId="77777777" w:rsidR="00107FCF" w:rsidRPr="00507221" w:rsidRDefault="00107FCF" w:rsidP="00580733">
            <w:r w:rsidRPr="00507221">
              <w:t>Natura 2000 Ujście Odry i Zalew Szczeciński PLH320018 (PL.ZIPOP.1393.N2K.PLH320018.H).</w:t>
            </w:r>
          </w:p>
        </w:tc>
        <w:tc>
          <w:tcPr>
            <w:tcW w:w="1235" w:type="pct"/>
            <w:vAlign w:val="center"/>
          </w:tcPr>
          <w:p w14:paraId="24217B7C" w14:textId="77777777" w:rsidR="00107FCF" w:rsidRPr="00507221" w:rsidRDefault="00107FCF" w:rsidP="00580733">
            <w:r w:rsidRPr="00507221">
              <w:rPr>
                <w:rStyle w:val="fontstyle01"/>
                <w:rFonts w:ascii="Times New Roman" w:hAnsi="Times New Roman"/>
                <w:sz w:val="24"/>
                <w:szCs w:val="24"/>
              </w:rPr>
              <w:t>Potencjalny wpływ na siedliska zależne od wód, potencjalny wpływ na przedmioty ochrony, potencjalny</w:t>
            </w:r>
          </w:p>
        </w:tc>
        <w:tc>
          <w:tcPr>
            <w:tcW w:w="208" w:type="pct"/>
            <w:vAlign w:val="center"/>
          </w:tcPr>
          <w:p w14:paraId="338B108D" w14:textId="77777777" w:rsidR="00107FCF" w:rsidRPr="00507221" w:rsidRDefault="00107FCF" w:rsidP="00507221">
            <w:pPr>
              <w:pStyle w:val="Akapitzlist1"/>
              <w:tabs>
                <w:tab w:val="left" w:pos="2250"/>
              </w:tabs>
              <w:spacing w:line="240" w:lineRule="auto"/>
              <w:ind w:left="0"/>
              <w:jc w:val="center"/>
              <w:rPr>
                <w:rFonts w:ascii="Times New Roman" w:eastAsia="MS Mincho" w:hAnsi="Times New Roman"/>
                <w:b/>
                <w:bCs/>
                <w:sz w:val="24"/>
                <w:szCs w:val="24"/>
              </w:rPr>
            </w:pPr>
            <w:r w:rsidRPr="00507221">
              <w:rPr>
                <w:rFonts w:ascii="Times New Roman" w:eastAsia="MS Mincho" w:hAnsi="Times New Roman"/>
                <w:sz w:val="24"/>
                <w:szCs w:val="24"/>
              </w:rPr>
              <w:t>U</w:t>
            </w:r>
          </w:p>
        </w:tc>
      </w:tr>
      <w:tr w:rsidR="00107FCF" w:rsidRPr="00507221" w14:paraId="07FB2A37" w14:textId="77777777" w:rsidTr="00D408DE">
        <w:trPr>
          <w:trHeight w:val="407"/>
        </w:trPr>
        <w:tc>
          <w:tcPr>
            <w:tcW w:w="3557" w:type="pct"/>
            <w:gridSpan w:val="2"/>
            <w:vAlign w:val="center"/>
          </w:tcPr>
          <w:p w14:paraId="1186FA92" w14:textId="77777777" w:rsidR="00107FCF" w:rsidRPr="00507221" w:rsidRDefault="00107FCF" w:rsidP="001246AB">
            <w:pPr>
              <w:rPr>
                <w:b/>
                <w:bCs/>
              </w:rPr>
            </w:pPr>
            <w:r w:rsidRPr="00507221">
              <w:rPr>
                <w:rStyle w:val="fontstyle01"/>
                <w:rFonts w:ascii="Times New Roman" w:hAnsi="Times New Roman"/>
                <w:sz w:val="24"/>
                <w:szCs w:val="24"/>
              </w:rPr>
              <w:t>Stopień udatności środowiskowej</w:t>
            </w:r>
          </w:p>
        </w:tc>
        <w:tc>
          <w:tcPr>
            <w:tcW w:w="1443" w:type="pct"/>
            <w:gridSpan w:val="2"/>
            <w:vAlign w:val="center"/>
          </w:tcPr>
          <w:p w14:paraId="02476505" w14:textId="77777777" w:rsidR="00107FCF" w:rsidRPr="00507221" w:rsidRDefault="00107FCF" w:rsidP="00507221">
            <w:pPr>
              <w:pStyle w:val="Bezodstpw"/>
              <w:jc w:val="center"/>
              <w:rPr>
                <w:b/>
                <w:bCs/>
              </w:rPr>
            </w:pPr>
            <w:r w:rsidRPr="00507221">
              <w:t>U</w:t>
            </w:r>
          </w:p>
        </w:tc>
      </w:tr>
      <w:tr w:rsidR="00107FCF" w:rsidRPr="00507221" w14:paraId="167F2F1F" w14:textId="77777777" w:rsidTr="00D408DE">
        <w:tc>
          <w:tcPr>
            <w:tcW w:w="5000" w:type="pct"/>
            <w:gridSpan w:val="4"/>
            <w:vAlign w:val="center"/>
          </w:tcPr>
          <w:p w14:paraId="498F38B4" w14:textId="1472B605" w:rsidR="00107FCF" w:rsidRPr="00507221" w:rsidRDefault="00107FCF" w:rsidP="00507221">
            <w:pPr>
              <w:pStyle w:val="Akapitzlist1"/>
              <w:tabs>
                <w:tab w:val="left" w:pos="2250"/>
              </w:tabs>
              <w:spacing w:line="240" w:lineRule="auto"/>
              <w:ind w:left="0"/>
              <w:jc w:val="both"/>
              <w:rPr>
                <w:rFonts w:ascii="Times New Roman" w:eastAsia="MS Mincho" w:hAnsi="Times New Roman"/>
                <w:b/>
                <w:bCs/>
                <w:sz w:val="24"/>
                <w:szCs w:val="24"/>
              </w:rPr>
            </w:pPr>
            <w:r w:rsidRPr="00507221">
              <w:rPr>
                <w:rFonts w:ascii="Times New Roman" w:eastAsia="MS Mincho" w:hAnsi="Times New Roman"/>
                <w:sz w:val="24"/>
                <w:szCs w:val="24"/>
              </w:rPr>
              <w:t>Z uwagi na skalę prac działania wpłyną na zmianę warunków morfologicznych brzegu i ograniczenie terenów naturalnie okresowo zalewanych, dlatego Wariant został oceniony jako umiarkowanie korzystny środowiskowo mogący wpłynąć na możliwość osiągnięcia celów ochrony wód w rozumieniu RDW. Działanie zlokalizowane jest w</w:t>
            </w:r>
            <w:r w:rsidR="00D408DE">
              <w:rPr>
                <w:rFonts w:ascii="Times New Roman" w:eastAsia="MS Mincho" w:hAnsi="Times New Roman"/>
                <w:sz w:val="24"/>
                <w:szCs w:val="24"/>
              </w:rPr>
              <w:t> </w:t>
            </w:r>
            <w:r w:rsidRPr="00507221">
              <w:rPr>
                <w:rFonts w:ascii="Times New Roman" w:eastAsia="MS Mincho" w:hAnsi="Times New Roman"/>
                <w:sz w:val="24"/>
                <w:szCs w:val="24"/>
              </w:rPr>
              <w:t>granicach obszarów Natura 2000, jednak nie przewiduje się znaczącego negatywnego oddziaływania na przedmioty ochrony obszarów Natura 2000 a ewentualne oddziaływania ocenia się jako możliwe do zminimalizowania. Stopień udatności środowiskowej określono jako umiarkowanie korzystny środowiskowo.</w:t>
            </w:r>
          </w:p>
        </w:tc>
      </w:tr>
    </w:tbl>
    <w:p w14:paraId="283F655F" w14:textId="77777777" w:rsidR="00107FCF" w:rsidRPr="00580733" w:rsidRDefault="00107FCF" w:rsidP="00580733">
      <w:pPr>
        <w:autoSpaceDE w:val="0"/>
        <w:autoSpaceDN w:val="0"/>
        <w:adjustRightInd w:val="0"/>
        <w:spacing w:after="160" w:line="360" w:lineRule="auto"/>
        <w:jc w:val="both"/>
        <w:rPr>
          <w:highlight w:val="yellow"/>
        </w:rPr>
      </w:pPr>
    </w:p>
    <w:p w14:paraId="2320AE54" w14:textId="77777777" w:rsidR="00107FCF" w:rsidRPr="00366162" w:rsidRDefault="00107FCF" w:rsidP="006D41A7">
      <w:pPr>
        <w:pStyle w:val="ReportLevel3"/>
        <w:numPr>
          <w:ilvl w:val="2"/>
          <w:numId w:val="4"/>
        </w:numPr>
      </w:pPr>
      <w:r>
        <w:rPr>
          <w:rFonts w:cs="Calibri"/>
          <w:bCs/>
          <w:highlight w:val="yellow"/>
        </w:rPr>
        <w:br w:type="column"/>
      </w:r>
      <w:r w:rsidRPr="00366162">
        <w:rPr>
          <w:rFonts w:cs="Calibri"/>
          <w:bCs/>
        </w:rPr>
        <w:lastRenderedPageBreak/>
        <w:t>Ocena zgodności planowanych wariantów z dokumentami wskazanymi w OPZ</w:t>
      </w:r>
    </w:p>
    <w:p w14:paraId="37CC8490" w14:textId="5DF6F69D" w:rsidR="00107FCF" w:rsidRPr="00366162" w:rsidRDefault="00107FCF" w:rsidP="00E61235">
      <w:pPr>
        <w:autoSpaceDE w:val="0"/>
        <w:autoSpaceDN w:val="0"/>
        <w:adjustRightInd w:val="0"/>
        <w:spacing w:after="160"/>
        <w:jc w:val="both"/>
      </w:pPr>
      <w:r w:rsidRPr="00366162">
        <w:t xml:space="preserve">Zgodnie z RDW oraz Dyrektywą morską państwa członkowskie zobligowane zostały do podjęcia niezbędnych działania na rzecz osiągnięcia lub utrzymania dobrego stanu ekologicznego </w:t>
      </w:r>
      <w:r w:rsidR="00D408DE">
        <w:t>JCWP</w:t>
      </w:r>
      <w:r w:rsidRPr="00366162">
        <w:t xml:space="preserve"> najpóźniej do 2027 roku.  Strategia Unii Europejskiej dla regionu Morza Bałtyckiego (2009) jednoznacznie wskazuje na konieczność poprawy jakości wód oraz ograniczenia degradacji ekosystemów Morza Bałtyckiego, oraz osiągnięcie i</w:t>
      </w:r>
      <w:r w:rsidR="00D408DE">
        <w:t> </w:t>
      </w:r>
      <w:r w:rsidRPr="00366162">
        <w:t xml:space="preserve">utrzymanie dobrego stanu ekologicznego środowiska morskiego, w szczególności w zakresie różnorodności biologicznej morskich obszarów chronionych. Dokumenty tj.: Polityka morska RP do 2020 roku (z perspektywą do 2030 roku), Strategia Rozwoju Kraju 2020, POWM, POBM, SUKZP OM wskazują jednoznacznie na konieczność zrównoważonego rozwoju obszarów przybrzeżnych. </w:t>
      </w:r>
    </w:p>
    <w:p w14:paraId="3C065D0F" w14:textId="3878A552" w:rsidR="00107FCF" w:rsidRPr="00366162" w:rsidRDefault="00107FCF" w:rsidP="00E61235">
      <w:pPr>
        <w:autoSpaceDE w:val="0"/>
        <w:autoSpaceDN w:val="0"/>
        <w:adjustRightInd w:val="0"/>
        <w:spacing w:after="160"/>
        <w:jc w:val="both"/>
      </w:pPr>
      <w:r w:rsidRPr="00366162">
        <w:t>Planowane warianty zostały ocenione pod kątem zgodności z zapisami dokumentów strategicznych wskazanych w OPZ. Stwierdzono zgodność wariantów z celami i</w:t>
      </w:r>
      <w:r w:rsidR="00D408DE">
        <w:t> </w:t>
      </w:r>
      <w:r w:rsidRPr="00366162">
        <w:t xml:space="preserve">zapisami analizowanych dokumentów. </w:t>
      </w:r>
    </w:p>
    <w:p w14:paraId="5B2CCCA2" w14:textId="77777777" w:rsidR="00107FCF" w:rsidRPr="00366162" w:rsidRDefault="00107FCF" w:rsidP="00E61235">
      <w:pPr>
        <w:autoSpaceDE w:val="0"/>
        <w:autoSpaceDN w:val="0"/>
        <w:adjustRightInd w:val="0"/>
        <w:spacing w:after="160"/>
        <w:jc w:val="both"/>
        <w:rPr>
          <w:b/>
          <w:bCs/>
        </w:rPr>
      </w:pPr>
      <w:bookmarkStart w:id="120" w:name="OLE_LINK24"/>
      <w:r>
        <w:rPr>
          <w:b/>
          <w:bCs/>
        </w:rPr>
        <w:t>Projekt drugiej aktualizacji planów</w:t>
      </w:r>
      <w:r w:rsidRPr="00366162">
        <w:rPr>
          <w:b/>
          <w:bCs/>
        </w:rPr>
        <w:t xml:space="preserve"> gospodarowania wodami 202</w:t>
      </w:r>
      <w:r>
        <w:rPr>
          <w:b/>
          <w:bCs/>
        </w:rPr>
        <w:t>2</w:t>
      </w:r>
      <w:r w:rsidRPr="00366162">
        <w:rPr>
          <w:b/>
          <w:bCs/>
        </w:rPr>
        <w:t>-2027</w:t>
      </w:r>
    </w:p>
    <w:bookmarkEnd w:id="120"/>
    <w:p w14:paraId="60B347EE" w14:textId="77777777" w:rsidR="00107FCF" w:rsidRPr="00366162" w:rsidRDefault="00107FCF" w:rsidP="00E61235">
      <w:pPr>
        <w:autoSpaceDE w:val="0"/>
        <w:autoSpaceDN w:val="0"/>
        <w:adjustRightInd w:val="0"/>
        <w:spacing w:after="160"/>
        <w:jc w:val="both"/>
      </w:pPr>
      <w:r w:rsidRPr="00366162">
        <w:t>W projektach planów gospodarowania wodami na lata 202</w:t>
      </w:r>
      <w:r>
        <w:t>2</w:t>
      </w:r>
      <w:r w:rsidRPr="00366162">
        <w:t xml:space="preserve">-2027 wskazane zostały cele środowiskowe dla wszystkich typów wód, ponadto opracowano zestawy działań naprawczych, których celem jest: ograniczenie presji znaczących powodujących ryzyko nieosiągnięcia celów środowiskowych JCW, a także zachowanie dobrego stanu oraz poprawę złego stanu wód, osiągnięcie celów środowiskowych JCW, w tym celów dla obszarów chronionych. </w:t>
      </w:r>
    </w:p>
    <w:p w14:paraId="58DB5093" w14:textId="77777777" w:rsidR="00107FCF" w:rsidRPr="00366162" w:rsidRDefault="00107FCF" w:rsidP="00E61235">
      <w:pPr>
        <w:autoSpaceDE w:val="0"/>
        <w:autoSpaceDN w:val="0"/>
        <w:adjustRightInd w:val="0"/>
        <w:spacing w:after="160"/>
        <w:jc w:val="both"/>
      </w:pPr>
      <w:r w:rsidRPr="00366162">
        <w:t>Już na etapie wstępnej oceny istotności oddziaływań i wpływu Wariantów na cele środowiskowe JCW, uwzględniono potencjalne oddziaływania negatywne,</w:t>
      </w:r>
      <w:r>
        <w:t xml:space="preserve"> </w:t>
      </w:r>
      <w:r w:rsidRPr="00366162">
        <w:t xml:space="preserve">rekomendując do realizacji warianty, dla których nie stwierdzono wpływu na cele środowiskowe wód i na stan wód </w:t>
      </w:r>
      <w:r>
        <w:t>–</w:t>
      </w:r>
      <w:r w:rsidRPr="00366162">
        <w:t xml:space="preserve"> ocena B</w:t>
      </w:r>
      <w:r>
        <w:t xml:space="preserve"> – b</w:t>
      </w:r>
      <w:r w:rsidRPr="00366162">
        <w:t xml:space="preserve">rak lub oddziaływania są </w:t>
      </w:r>
      <w:r>
        <w:t>umiarkowanie nieznaczące</w:t>
      </w:r>
      <w:r w:rsidRPr="00366162">
        <w:t xml:space="preserve"> UN. </w:t>
      </w:r>
    </w:p>
    <w:p w14:paraId="70AEEC71" w14:textId="386171F1" w:rsidR="00107FCF" w:rsidRPr="00366162" w:rsidRDefault="00107FCF" w:rsidP="00E61235">
      <w:pPr>
        <w:autoSpaceDE w:val="0"/>
        <w:autoSpaceDN w:val="0"/>
        <w:adjustRightInd w:val="0"/>
        <w:spacing w:after="160"/>
        <w:jc w:val="both"/>
      </w:pPr>
      <w:r w:rsidRPr="00366162">
        <w:t>W dalszej ocenie zgodności zaplanowanych działań z projektami planów gospodarowania wodami przeanalizowano zestawy działań naprawczych opracowanych na cykl 202</w:t>
      </w:r>
      <w:r>
        <w:t>2</w:t>
      </w:r>
      <w:r w:rsidRPr="00366162">
        <w:t xml:space="preserve">-2027, z uwzględnieniem </w:t>
      </w:r>
      <w:r w:rsidR="00D408DE">
        <w:t>JCWP</w:t>
      </w:r>
      <w:r w:rsidRPr="00366162">
        <w:t xml:space="preserve">, w obrębie których planowane są inwestycje, lub </w:t>
      </w:r>
      <w:r w:rsidR="00D408DE">
        <w:t>JCWP</w:t>
      </w:r>
      <w:r w:rsidRPr="00366162">
        <w:t xml:space="preserve"> na które inwestycje mogą potencjalnie oddziaływać.  </w:t>
      </w:r>
    </w:p>
    <w:p w14:paraId="01B1B17A" w14:textId="77777777" w:rsidR="00107FCF" w:rsidRPr="00366162" w:rsidRDefault="00107FCF" w:rsidP="00E61235">
      <w:pPr>
        <w:autoSpaceDE w:val="0"/>
        <w:autoSpaceDN w:val="0"/>
        <w:adjustRightInd w:val="0"/>
        <w:spacing w:after="160"/>
        <w:jc w:val="both"/>
      </w:pPr>
    </w:p>
    <w:p w14:paraId="18F243B4" w14:textId="77777777" w:rsidR="00107FCF" w:rsidRPr="00366162" w:rsidRDefault="00107FCF" w:rsidP="00E61235">
      <w:pPr>
        <w:autoSpaceDE w:val="0"/>
        <w:autoSpaceDN w:val="0"/>
        <w:adjustRightInd w:val="0"/>
        <w:spacing w:after="160"/>
        <w:jc w:val="both"/>
      </w:pPr>
      <w:r>
        <w:br w:type="column"/>
      </w:r>
      <w:r w:rsidRPr="00366162">
        <w:lastRenderedPageBreak/>
        <w:t xml:space="preserve">W projektach </w:t>
      </w:r>
      <w:r>
        <w:t>II</w:t>
      </w:r>
      <w:r w:rsidRPr="00366162">
        <w:t xml:space="preserve">aPGW wskazano następujące działania naprawcze: </w:t>
      </w:r>
    </w:p>
    <w:p w14:paraId="211C1494" w14:textId="43700E28" w:rsidR="00107FCF" w:rsidRPr="00366162" w:rsidRDefault="00D408DE" w:rsidP="006D41A7">
      <w:pPr>
        <w:numPr>
          <w:ilvl w:val="4"/>
          <w:numId w:val="65"/>
        </w:numPr>
        <w:spacing w:line="360" w:lineRule="auto"/>
        <w:ind w:left="426" w:hanging="426"/>
        <w:jc w:val="both"/>
        <w:rPr>
          <w:b/>
          <w:bCs/>
        </w:rPr>
      </w:pPr>
      <w:r>
        <w:rPr>
          <w:b/>
          <w:bCs/>
        </w:rPr>
        <w:t>JCWP</w:t>
      </w:r>
      <w:r w:rsidR="00107FCF" w:rsidRPr="00366162">
        <w:rPr>
          <w:b/>
          <w:bCs/>
        </w:rPr>
        <w:t xml:space="preserve"> TW60001WB2 Zalew Szczeciński:</w:t>
      </w:r>
    </w:p>
    <w:p w14:paraId="4D4E477C" w14:textId="0E8E9434" w:rsidR="00107FCF" w:rsidRPr="00366162" w:rsidRDefault="00107FCF" w:rsidP="006D41A7">
      <w:pPr>
        <w:numPr>
          <w:ilvl w:val="0"/>
          <w:numId w:val="43"/>
        </w:numPr>
        <w:tabs>
          <w:tab w:val="clear" w:pos="765"/>
          <w:tab w:val="num" w:pos="567"/>
        </w:tabs>
        <w:spacing w:after="160"/>
        <w:ind w:left="567" w:hanging="425"/>
        <w:jc w:val="both"/>
        <w:rPr>
          <w:rStyle w:val="fontstyle01"/>
          <w:rFonts w:ascii="Times New Roman" w:hAnsi="Times New Roman"/>
          <w:sz w:val="24"/>
          <w:szCs w:val="24"/>
        </w:rPr>
      </w:pPr>
      <w:r w:rsidRPr="00366162">
        <w:rPr>
          <w:rStyle w:val="fontstyle01"/>
          <w:rFonts w:ascii="Times New Roman" w:hAnsi="Times New Roman"/>
          <w:sz w:val="24"/>
          <w:szCs w:val="24"/>
        </w:rPr>
        <w:t>Poprawa warunków dla obszarów chronionych, w tym działania wynikające z</w:t>
      </w:r>
      <w:r w:rsidR="00D408DE">
        <w:rPr>
          <w:rStyle w:val="fontstyle01"/>
          <w:rFonts w:ascii="Times New Roman" w:hAnsi="Times New Roman"/>
          <w:sz w:val="24"/>
          <w:szCs w:val="24"/>
        </w:rPr>
        <w:t> </w:t>
      </w:r>
      <w:r w:rsidRPr="00366162">
        <w:rPr>
          <w:rStyle w:val="fontstyle01"/>
          <w:rFonts w:ascii="Times New Roman" w:hAnsi="Times New Roman"/>
          <w:sz w:val="24"/>
          <w:szCs w:val="24"/>
        </w:rPr>
        <w:t>planów ochrony/planów zadań ochronnych ustanowionych dla obszarów przeznaczonych do ochrony siedlisk lub gatunków, ustanowione w ustawie o</w:t>
      </w:r>
      <w:r w:rsidR="00D408DE">
        <w:rPr>
          <w:rStyle w:val="fontstyle01"/>
          <w:rFonts w:ascii="Times New Roman" w:hAnsi="Times New Roman"/>
          <w:sz w:val="24"/>
          <w:szCs w:val="24"/>
        </w:rPr>
        <w:t> </w:t>
      </w:r>
      <w:r w:rsidRPr="00366162">
        <w:rPr>
          <w:rStyle w:val="fontstyle01"/>
          <w:rFonts w:ascii="Times New Roman" w:hAnsi="Times New Roman"/>
          <w:sz w:val="24"/>
          <w:szCs w:val="24"/>
        </w:rPr>
        <w:t>ochronie przyrody, dla których utrzymanie lub poprawa stanu wód jest ważnym czynnikiem w ich ochronie.</w:t>
      </w:r>
    </w:p>
    <w:p w14:paraId="4F193218" w14:textId="178B57F0" w:rsidR="00107FCF" w:rsidRPr="00366162" w:rsidRDefault="00107FCF" w:rsidP="006D41A7">
      <w:pPr>
        <w:numPr>
          <w:ilvl w:val="0"/>
          <w:numId w:val="43"/>
        </w:numPr>
        <w:tabs>
          <w:tab w:val="clear" w:pos="765"/>
          <w:tab w:val="num" w:pos="567"/>
        </w:tabs>
        <w:spacing w:after="160"/>
        <w:ind w:left="567" w:hanging="425"/>
        <w:jc w:val="both"/>
        <w:rPr>
          <w:rStyle w:val="fontstyle01"/>
          <w:rFonts w:ascii="Times New Roman" w:hAnsi="Times New Roman"/>
          <w:sz w:val="24"/>
          <w:szCs w:val="24"/>
        </w:rPr>
      </w:pPr>
      <w:r w:rsidRPr="00366162">
        <w:rPr>
          <w:rStyle w:val="fontstyle01"/>
          <w:rFonts w:ascii="Times New Roman" w:hAnsi="Times New Roman"/>
          <w:sz w:val="24"/>
          <w:szCs w:val="24"/>
        </w:rPr>
        <w:t>Ochrona ekosystemów morskich i od wód morskich zależnych/ zachowanie lub przywracanie właściwego stanu siedlisk i siedlisk gatunków; działanie: Opracowanie indywidualnych programów renaturyzacji mających na celu odbudowę słonych mokradeł w strefie brzegowej wód przejściowych zasilanych wodami morskimi. Renaturyzacja obszarów mokradłowych - Obszar Natura 2000 Wolin i Uznam PLH320019. Ochrona i odtwarzanie obszarów wodno-błotnych w</w:t>
      </w:r>
      <w:r w:rsidR="00D408DE">
        <w:rPr>
          <w:rStyle w:val="fontstyle01"/>
          <w:rFonts w:ascii="Times New Roman" w:hAnsi="Times New Roman"/>
          <w:sz w:val="24"/>
          <w:szCs w:val="24"/>
        </w:rPr>
        <w:t> </w:t>
      </w:r>
      <w:r w:rsidRPr="00366162">
        <w:rPr>
          <w:rStyle w:val="fontstyle01"/>
          <w:rFonts w:ascii="Times New Roman" w:hAnsi="Times New Roman"/>
          <w:sz w:val="24"/>
          <w:szCs w:val="24"/>
        </w:rPr>
        <w:t>ujściowych odcinkach rzek. Renaturyzacja brzegów morskich.</w:t>
      </w:r>
    </w:p>
    <w:p w14:paraId="14A39897" w14:textId="77777777" w:rsidR="00107FCF" w:rsidRPr="00366162" w:rsidRDefault="00107FCF" w:rsidP="006D41A7">
      <w:pPr>
        <w:numPr>
          <w:ilvl w:val="0"/>
          <w:numId w:val="43"/>
        </w:numPr>
        <w:tabs>
          <w:tab w:val="clear" w:pos="765"/>
          <w:tab w:val="num" w:pos="567"/>
        </w:tabs>
        <w:spacing w:after="160"/>
        <w:ind w:left="567" w:hanging="425"/>
        <w:jc w:val="both"/>
        <w:rPr>
          <w:rStyle w:val="fontstyle01"/>
          <w:rFonts w:ascii="Times New Roman" w:hAnsi="Times New Roman"/>
          <w:sz w:val="24"/>
          <w:szCs w:val="24"/>
        </w:rPr>
      </w:pPr>
      <w:r w:rsidRPr="00366162">
        <w:rPr>
          <w:rStyle w:val="fontstyle01"/>
          <w:rFonts w:ascii="Times New Roman" w:hAnsi="Times New Roman"/>
          <w:sz w:val="24"/>
          <w:szCs w:val="24"/>
        </w:rPr>
        <w:t>Poprawa stanu elementów hydromorfologicznych i warunków siedliskowych strefy brzegowej poprzez zapobieganie dalszym antropogenicznym zmianom strefy brzegowej tym odtwarzanie i poprawa stanu elementów hydromorfologicznych; działanie: Monitoring - kontrola wpływu sztucznych wysp na stan wód Zalewu Szczecińskiego.</w:t>
      </w:r>
    </w:p>
    <w:p w14:paraId="63219279" w14:textId="4BB7DAD4" w:rsidR="00107FCF" w:rsidRPr="00366162" w:rsidRDefault="00107FCF" w:rsidP="006D41A7">
      <w:pPr>
        <w:numPr>
          <w:ilvl w:val="0"/>
          <w:numId w:val="43"/>
        </w:numPr>
        <w:tabs>
          <w:tab w:val="clear" w:pos="765"/>
          <w:tab w:val="num" w:pos="567"/>
        </w:tabs>
        <w:spacing w:after="120"/>
        <w:ind w:left="567" w:hanging="425"/>
        <w:jc w:val="both"/>
        <w:rPr>
          <w:color w:val="000000"/>
        </w:rPr>
      </w:pPr>
      <w:r w:rsidRPr="00366162">
        <w:rPr>
          <w:rStyle w:val="fontstyle01"/>
          <w:rFonts w:ascii="Times New Roman" w:hAnsi="Times New Roman"/>
          <w:sz w:val="24"/>
          <w:szCs w:val="24"/>
        </w:rPr>
        <w:t>Porządkowanie gospodarki ściekowej i gospodarki odpadami, działania:</w:t>
      </w:r>
      <w:r w:rsidRPr="00366162">
        <w:rPr>
          <w:color w:val="000000"/>
        </w:rPr>
        <w:t xml:space="preserve"> Realizacja Krajowego Programu Oczyszczania Ścieków Komunalnych, Analiza potrzeb w zakresie budowy i modernizacji infrastruktury portowej służącej do odbioru odpadów oraz pozostałości ładunkowych ze statków: Analiza potrzeb w</w:t>
      </w:r>
      <w:r w:rsidR="00D408DE">
        <w:rPr>
          <w:color w:val="000000"/>
        </w:rPr>
        <w:t> </w:t>
      </w:r>
      <w:r w:rsidRPr="00366162">
        <w:rPr>
          <w:color w:val="000000"/>
        </w:rPr>
        <w:t>zakresie budowy i modernizacji infrastruktury portowej  służącej do odbioru odpadów oraz pozostałości ładunkowych ze statków, ścieków ze statków pasażerskich zwiększonego ruchu jednostek, a także możliwości wtórnego zagospodarowania wód opadowych i roztopowych - w portach morskich, przyst</w:t>
      </w:r>
      <w:r w:rsidR="0085646F">
        <w:rPr>
          <w:color w:val="000000"/>
        </w:rPr>
        <w:t>a</w:t>
      </w:r>
      <w:r w:rsidRPr="00366162">
        <w:rPr>
          <w:color w:val="000000"/>
        </w:rPr>
        <w:t>niach morskich, ze szczególnym uwzględnieniem planowanego rozwoju portów i potrzeby adaptacji do zmian klimatu w portach i przystaniach:</w:t>
      </w:r>
    </w:p>
    <w:p w14:paraId="19FD1FF3"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Morski port rybacki w Przytorze </w:t>
      </w:r>
    </w:p>
    <w:p w14:paraId="1EBF67A6"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Morski port rybacki w Wapnicy </w:t>
      </w:r>
    </w:p>
    <w:p w14:paraId="2FF811E3"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Port morski w Lubinie </w:t>
      </w:r>
    </w:p>
    <w:p w14:paraId="5AD30F59"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Port morski w Nowym Warpnie </w:t>
      </w:r>
    </w:p>
    <w:p w14:paraId="6E00BA06" w14:textId="5CD2FE7E"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Port morski w Policach (poza obszarem </w:t>
      </w:r>
      <w:r w:rsidR="00D408DE">
        <w:rPr>
          <w:color w:val="000000"/>
          <w:sz w:val="24"/>
          <w:szCs w:val="24"/>
        </w:rPr>
        <w:t>JCWP</w:t>
      </w:r>
      <w:r w:rsidRPr="00D408DE">
        <w:rPr>
          <w:color w:val="000000"/>
          <w:sz w:val="24"/>
          <w:szCs w:val="24"/>
        </w:rPr>
        <w:t>)</w:t>
      </w:r>
    </w:p>
    <w:p w14:paraId="2CED5937"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Port morski w Stepnicy</w:t>
      </w:r>
    </w:p>
    <w:p w14:paraId="28844F26" w14:textId="561DE460"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Port morski w Szczecinie (poza obszarem </w:t>
      </w:r>
      <w:r w:rsidR="00D408DE">
        <w:rPr>
          <w:color w:val="000000"/>
          <w:sz w:val="24"/>
          <w:szCs w:val="24"/>
        </w:rPr>
        <w:t>JCWP</w:t>
      </w:r>
      <w:r w:rsidRPr="00D408DE">
        <w:rPr>
          <w:color w:val="000000"/>
          <w:sz w:val="24"/>
          <w:szCs w:val="24"/>
        </w:rPr>
        <w:t>)</w:t>
      </w:r>
    </w:p>
    <w:p w14:paraId="76DD392C"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Port morski w Świnoujściu </w:t>
      </w:r>
    </w:p>
    <w:p w14:paraId="1FE73B0E"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Port morski w Trzebieży </w:t>
      </w:r>
    </w:p>
    <w:p w14:paraId="04D15B7C" w14:textId="77777777" w:rsidR="00107FCF" w:rsidRPr="00D408DE" w:rsidRDefault="00107FCF" w:rsidP="006D41A7">
      <w:pPr>
        <w:pStyle w:val="Akapitzlist"/>
        <w:numPr>
          <w:ilvl w:val="0"/>
          <w:numId w:val="73"/>
        </w:numPr>
        <w:tabs>
          <w:tab w:val="clear" w:pos="765"/>
        </w:tabs>
        <w:ind w:left="1134" w:hanging="283"/>
        <w:jc w:val="both"/>
        <w:rPr>
          <w:color w:val="000000"/>
          <w:sz w:val="24"/>
          <w:szCs w:val="24"/>
        </w:rPr>
      </w:pPr>
      <w:r w:rsidRPr="00D408DE">
        <w:rPr>
          <w:color w:val="000000"/>
          <w:sz w:val="24"/>
          <w:szCs w:val="24"/>
        </w:rPr>
        <w:t xml:space="preserve">Przystań morska w Międzyzdrojach </w:t>
      </w:r>
    </w:p>
    <w:p w14:paraId="6EAF5DE4" w14:textId="77777777" w:rsidR="00107FCF" w:rsidRPr="00D408DE" w:rsidRDefault="00107FCF" w:rsidP="006D41A7">
      <w:pPr>
        <w:pStyle w:val="Akapitzlist"/>
        <w:numPr>
          <w:ilvl w:val="0"/>
          <w:numId w:val="73"/>
        </w:numPr>
        <w:tabs>
          <w:tab w:val="clear" w:pos="765"/>
        </w:tabs>
        <w:ind w:left="1134" w:hanging="283"/>
        <w:contextualSpacing w:val="0"/>
        <w:jc w:val="both"/>
        <w:rPr>
          <w:rStyle w:val="fontstyle01"/>
          <w:rFonts w:ascii="Times New Roman" w:hAnsi="Times New Roman"/>
          <w:sz w:val="24"/>
          <w:szCs w:val="24"/>
        </w:rPr>
      </w:pPr>
      <w:r w:rsidRPr="00D408DE">
        <w:rPr>
          <w:color w:val="000000"/>
          <w:sz w:val="24"/>
          <w:szCs w:val="24"/>
        </w:rPr>
        <w:t>Przystań morska w Świnoujściu - Karsiborze.</w:t>
      </w:r>
    </w:p>
    <w:p w14:paraId="58B1D65C" w14:textId="77777777" w:rsidR="00107FCF" w:rsidRPr="002F15AF" w:rsidRDefault="00107FCF" w:rsidP="006D41A7">
      <w:pPr>
        <w:numPr>
          <w:ilvl w:val="0"/>
          <w:numId w:val="43"/>
        </w:numPr>
        <w:spacing w:before="120"/>
        <w:ind w:left="760" w:hanging="357"/>
        <w:jc w:val="both"/>
        <w:rPr>
          <w:rStyle w:val="fontstyle01"/>
          <w:rFonts w:ascii="Times New Roman" w:hAnsi="Times New Roman"/>
          <w:sz w:val="24"/>
          <w:szCs w:val="24"/>
        </w:rPr>
      </w:pPr>
      <w:r w:rsidRPr="00D408DE">
        <w:rPr>
          <w:rStyle w:val="fontstyle01"/>
          <w:rFonts w:ascii="Times New Roman" w:hAnsi="Times New Roman"/>
          <w:sz w:val="24"/>
          <w:szCs w:val="24"/>
        </w:rPr>
        <w:t>Ograniczenie zanieczyszczeń rozproszonych związanych</w:t>
      </w:r>
      <w:r w:rsidRPr="00366162">
        <w:rPr>
          <w:rStyle w:val="fontstyle01"/>
          <w:rFonts w:ascii="Times New Roman" w:hAnsi="Times New Roman"/>
          <w:sz w:val="24"/>
          <w:szCs w:val="24"/>
        </w:rPr>
        <w:t xml:space="preserve"> z rozwojem obszarów zurbanizowanych, turystyki i transportu, działanie: Planowanie działań i analiz związanych z ograniczeniem dopływu substancji z terenów zanieczyszczonych. Przygotowanie programów i dokumentacji technicznych w celu przeprowadzenia działań naprawczych i rekultywacyjnych.</w:t>
      </w:r>
    </w:p>
    <w:p w14:paraId="39795BDE" w14:textId="5A370469" w:rsidR="00107FCF" w:rsidRPr="00366162" w:rsidRDefault="006D41A7" w:rsidP="006D41A7">
      <w:pPr>
        <w:numPr>
          <w:ilvl w:val="4"/>
          <w:numId w:val="65"/>
        </w:numPr>
        <w:spacing w:after="160"/>
        <w:ind w:left="426" w:hanging="426"/>
        <w:jc w:val="both"/>
        <w:rPr>
          <w:rStyle w:val="fontstyle01"/>
          <w:rFonts w:ascii="Times New Roman" w:hAnsi="Times New Roman"/>
          <w:b/>
          <w:sz w:val="24"/>
          <w:szCs w:val="24"/>
        </w:rPr>
      </w:pPr>
      <w:r>
        <w:rPr>
          <w:rStyle w:val="fontstyle01"/>
          <w:rFonts w:ascii="Times New Roman" w:hAnsi="Times New Roman"/>
          <w:b/>
          <w:sz w:val="24"/>
          <w:szCs w:val="24"/>
        </w:rPr>
        <w:br w:type="column"/>
      </w:r>
      <w:r w:rsidR="00D408DE">
        <w:rPr>
          <w:rStyle w:val="fontstyle01"/>
          <w:rFonts w:ascii="Times New Roman" w:hAnsi="Times New Roman"/>
          <w:b/>
          <w:sz w:val="24"/>
          <w:szCs w:val="24"/>
        </w:rPr>
        <w:lastRenderedPageBreak/>
        <w:t>JCWP</w:t>
      </w:r>
      <w:r w:rsidR="00107FCF" w:rsidRPr="00366162">
        <w:rPr>
          <w:rStyle w:val="fontstyle01"/>
          <w:rFonts w:ascii="Times New Roman" w:hAnsi="Times New Roman"/>
          <w:b/>
          <w:sz w:val="24"/>
          <w:szCs w:val="24"/>
        </w:rPr>
        <w:t xml:space="preserve"> Polskie wody przybrzeżne Basenu Bornholmskiego CW60001WB3:</w:t>
      </w:r>
    </w:p>
    <w:p w14:paraId="7FC62252" w14:textId="72452F25" w:rsidR="00107FCF" w:rsidRPr="00366162" w:rsidRDefault="00107FCF" w:rsidP="006D41A7">
      <w:pPr>
        <w:numPr>
          <w:ilvl w:val="0"/>
          <w:numId w:val="43"/>
        </w:numPr>
        <w:spacing w:after="160"/>
        <w:jc w:val="both"/>
        <w:rPr>
          <w:rStyle w:val="fontstyle01"/>
          <w:rFonts w:ascii="Times New Roman" w:hAnsi="Times New Roman"/>
          <w:sz w:val="24"/>
          <w:szCs w:val="24"/>
        </w:rPr>
      </w:pPr>
      <w:r w:rsidRPr="00366162">
        <w:rPr>
          <w:rStyle w:val="fontstyle01"/>
          <w:rFonts w:ascii="Times New Roman" w:hAnsi="Times New Roman"/>
          <w:sz w:val="24"/>
          <w:szCs w:val="24"/>
        </w:rPr>
        <w:t>Poprawa warunków dla obszarów chronionych, Działania wynikające z planów ochrony/planów zadań ochronnych ustanowionych dla obszarów przeznaczonych do ochrony siedlisk lub gatunków, ustanowione w ustawie o</w:t>
      </w:r>
      <w:r w:rsidR="00D408DE">
        <w:rPr>
          <w:rStyle w:val="fontstyle01"/>
          <w:rFonts w:ascii="Times New Roman" w:hAnsi="Times New Roman"/>
          <w:sz w:val="24"/>
          <w:szCs w:val="24"/>
        </w:rPr>
        <w:t> </w:t>
      </w:r>
      <w:r w:rsidRPr="00366162">
        <w:rPr>
          <w:rStyle w:val="fontstyle01"/>
          <w:rFonts w:ascii="Times New Roman" w:hAnsi="Times New Roman"/>
          <w:sz w:val="24"/>
          <w:szCs w:val="24"/>
        </w:rPr>
        <w:t>ochronie przyrody, dla których utrzymanie lub poprawa stanu wód jest ważnym czynnikiem w ich ochronie</w:t>
      </w:r>
      <w:r w:rsidR="0085646F">
        <w:rPr>
          <w:rStyle w:val="fontstyle01"/>
          <w:rFonts w:ascii="Times New Roman" w:hAnsi="Times New Roman"/>
          <w:sz w:val="24"/>
          <w:szCs w:val="24"/>
        </w:rPr>
        <w:t>.</w:t>
      </w:r>
    </w:p>
    <w:p w14:paraId="6F1F9959" w14:textId="77777777" w:rsidR="00107FCF" w:rsidRPr="00366162" w:rsidRDefault="00107FCF" w:rsidP="006D41A7">
      <w:pPr>
        <w:numPr>
          <w:ilvl w:val="0"/>
          <w:numId w:val="43"/>
        </w:numPr>
        <w:spacing w:after="160"/>
        <w:jc w:val="both"/>
        <w:rPr>
          <w:rStyle w:val="fontstyle01"/>
          <w:rFonts w:ascii="Times New Roman" w:hAnsi="Times New Roman"/>
          <w:sz w:val="24"/>
          <w:szCs w:val="24"/>
        </w:rPr>
      </w:pPr>
      <w:r w:rsidRPr="00366162">
        <w:rPr>
          <w:rStyle w:val="fontstyle01"/>
          <w:rFonts w:ascii="Times New Roman" w:hAnsi="Times New Roman"/>
          <w:sz w:val="24"/>
          <w:szCs w:val="24"/>
        </w:rPr>
        <w:t>Ochrona ekosystemów morskich i od wód morskich zależnych/ zachowanie lub przywracanie właściwego stanu siedlisk i siedlisk gatunków; działanie: Opracowanie indywidualnych programów renaturyzacji mających na celu odbudowę słonych mokradeł w strefie brzegowej wód przejściowych zasilanych wodami morskimi, działania: Renaturyzacja obszarów mokradłowych -  Obszar Natura 2000 Trzebiatowsko-Kołobrzeski Pas Nadmorski  PLH320017 (rejon Włodarki), Ochrona i odtwarzanie obszarów wodno-błotnych w ujściowych odcinkach rzek. Renaturyzacja brzegów morskich.</w:t>
      </w:r>
    </w:p>
    <w:p w14:paraId="2A4AEB63" w14:textId="77777777" w:rsidR="00107FCF" w:rsidRPr="00366162" w:rsidRDefault="00107FCF" w:rsidP="006D41A7">
      <w:pPr>
        <w:numPr>
          <w:ilvl w:val="0"/>
          <w:numId w:val="43"/>
        </w:numPr>
        <w:spacing w:after="160"/>
        <w:jc w:val="both"/>
        <w:rPr>
          <w:rStyle w:val="fontstyle01"/>
          <w:rFonts w:ascii="Times New Roman" w:hAnsi="Times New Roman"/>
          <w:sz w:val="24"/>
          <w:szCs w:val="24"/>
        </w:rPr>
      </w:pPr>
      <w:r w:rsidRPr="00366162">
        <w:rPr>
          <w:rStyle w:val="fontstyle01"/>
          <w:rFonts w:ascii="Times New Roman" w:hAnsi="Times New Roman"/>
          <w:sz w:val="24"/>
          <w:szCs w:val="24"/>
        </w:rPr>
        <w:t>Poprawa stanu elementów hydromorfologicznych i warunków siedliskowych strefy brzegowej poprzez zapobieganie dalszym antropogenicznym zmianom strefy brzegowej, działania: W obszarach chronionych wykluczenie lub znaczne ograniczenie odcinków brzegów klifowych z trwałej technicznej ochrony brzegu np. opaski, falochrony brzegowe, Nieoczyszczanie plaż z materiału organicznego naniesionego przez morze poza kąpieliskami.</w:t>
      </w:r>
    </w:p>
    <w:p w14:paraId="1734F8C7" w14:textId="6752E5C2" w:rsidR="00107FCF" w:rsidRPr="00366162" w:rsidRDefault="00107FCF" w:rsidP="006D41A7">
      <w:pPr>
        <w:numPr>
          <w:ilvl w:val="0"/>
          <w:numId w:val="43"/>
        </w:numPr>
        <w:spacing w:after="160"/>
        <w:jc w:val="both"/>
        <w:rPr>
          <w:rStyle w:val="fontstyle01"/>
          <w:rFonts w:ascii="Times New Roman" w:hAnsi="Times New Roman"/>
          <w:sz w:val="24"/>
          <w:szCs w:val="24"/>
        </w:rPr>
      </w:pPr>
      <w:r w:rsidRPr="00366162">
        <w:rPr>
          <w:rStyle w:val="fontstyle01"/>
          <w:rFonts w:ascii="Times New Roman" w:hAnsi="Times New Roman"/>
          <w:sz w:val="24"/>
          <w:szCs w:val="24"/>
        </w:rPr>
        <w:t xml:space="preserve">Monitoring badawczy w zakresie elementów hydromorfologicznych. Prowadzenie monitoringu badawczego elementów hydromorfologicznych na potrzeby identyfikacji wpływu zabudowy hydrotechnicznej na stan środowiska strefy brzegowej </w:t>
      </w:r>
      <w:r w:rsidR="00D408DE">
        <w:rPr>
          <w:rStyle w:val="fontstyle01"/>
          <w:rFonts w:ascii="Times New Roman" w:hAnsi="Times New Roman"/>
          <w:sz w:val="24"/>
          <w:szCs w:val="24"/>
        </w:rPr>
        <w:t>JCWP</w:t>
      </w:r>
      <w:r w:rsidRPr="00366162">
        <w:rPr>
          <w:rStyle w:val="fontstyle01"/>
          <w:rFonts w:ascii="Times New Roman" w:hAnsi="Times New Roman"/>
          <w:sz w:val="24"/>
          <w:szCs w:val="24"/>
        </w:rPr>
        <w:t xml:space="preserve"> przejściowych i przybrzeżnych</w:t>
      </w:r>
      <w:r w:rsidR="0085646F">
        <w:rPr>
          <w:rStyle w:val="fontstyle01"/>
          <w:rFonts w:ascii="Times New Roman" w:hAnsi="Times New Roman"/>
          <w:sz w:val="24"/>
          <w:szCs w:val="24"/>
        </w:rPr>
        <w:t>.</w:t>
      </w:r>
    </w:p>
    <w:p w14:paraId="6638AC87" w14:textId="1EA2DA82" w:rsidR="00107FCF" w:rsidRPr="00366162" w:rsidRDefault="00107FCF" w:rsidP="006D41A7">
      <w:pPr>
        <w:numPr>
          <w:ilvl w:val="0"/>
          <w:numId w:val="43"/>
        </w:numPr>
        <w:spacing w:after="160"/>
        <w:jc w:val="both"/>
        <w:rPr>
          <w:rStyle w:val="fontstyle01"/>
          <w:rFonts w:ascii="Times New Roman" w:hAnsi="Times New Roman"/>
          <w:sz w:val="24"/>
          <w:szCs w:val="24"/>
        </w:rPr>
      </w:pPr>
      <w:r w:rsidRPr="00366162">
        <w:rPr>
          <w:rStyle w:val="fontstyle01"/>
          <w:rFonts w:ascii="Times New Roman" w:hAnsi="Times New Roman"/>
          <w:sz w:val="24"/>
          <w:szCs w:val="24"/>
        </w:rPr>
        <w:t>Porządkowanie gospodarki ściekowej i gospodarki odpadami, Analiza potrzeb w zakresie budowy i modernizacji infrastruktury portowej  służącej do odbioru odpadów oraz pozostałości ładunkowych ze statków, ścieków ze statków pasażerskich zwiększonego ruchu jednostek, a także możliwości wtórnego zagospodarowania wód opadowych i roztopowych - w portach morskich, przystaniach morskich, ze szczególnym uwzględnieniem planowanego rozwoju portów i potrzeby adaptacji do zmian klimatu w portach i przystaniach:</w:t>
      </w:r>
    </w:p>
    <w:p w14:paraId="273FA6C3"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Port morski w Mrzeżynie </w:t>
      </w:r>
    </w:p>
    <w:p w14:paraId="4FED5A02"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Przystań morska w Jarosławcu </w:t>
      </w:r>
    </w:p>
    <w:p w14:paraId="5FA2F064"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Przystań morska w Chłopach </w:t>
      </w:r>
    </w:p>
    <w:p w14:paraId="08ED1B3A"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Przystań morska w Dąbkach </w:t>
      </w:r>
    </w:p>
    <w:p w14:paraId="0B3A2CF5"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Przystań morska w Unieściu </w:t>
      </w:r>
    </w:p>
    <w:p w14:paraId="51DB5EE9"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Przystań morska w Ustroniu Morskim </w:t>
      </w:r>
    </w:p>
    <w:p w14:paraId="67D4FB6A"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Port morski w Kołobrzegu </w:t>
      </w:r>
    </w:p>
    <w:p w14:paraId="70BE0B7D"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 xml:space="preserve">Port morski w Darłowie </w:t>
      </w:r>
    </w:p>
    <w:p w14:paraId="45CBAF86" w14:textId="77777777" w:rsidR="00107FCF" w:rsidRPr="00366162" w:rsidRDefault="00107FCF" w:rsidP="006D41A7">
      <w:pPr>
        <w:pStyle w:val="Akapitzlist"/>
        <w:numPr>
          <w:ilvl w:val="0"/>
          <w:numId w:val="72"/>
        </w:numPr>
        <w:ind w:left="1134" w:hanging="283"/>
        <w:jc w:val="both"/>
        <w:rPr>
          <w:rStyle w:val="fontstyle01"/>
          <w:rFonts w:ascii="Times New Roman" w:hAnsi="Times New Roman"/>
          <w:sz w:val="24"/>
          <w:szCs w:val="24"/>
        </w:rPr>
      </w:pPr>
      <w:r w:rsidRPr="00366162">
        <w:rPr>
          <w:rStyle w:val="fontstyle01"/>
          <w:rFonts w:ascii="Times New Roman" w:hAnsi="Times New Roman"/>
          <w:sz w:val="24"/>
          <w:szCs w:val="24"/>
        </w:rPr>
        <w:t>Morski port rybacki w Dźwirzynie.</w:t>
      </w:r>
    </w:p>
    <w:p w14:paraId="32197DEC" w14:textId="77777777" w:rsidR="00107FCF" w:rsidRPr="00366162" w:rsidRDefault="00107FCF" w:rsidP="001371E3">
      <w:pPr>
        <w:spacing w:after="160"/>
        <w:jc w:val="both"/>
        <w:rPr>
          <w:rStyle w:val="fontstyle01"/>
          <w:rFonts w:ascii="Times New Roman" w:hAnsi="Times New Roman"/>
          <w:sz w:val="24"/>
          <w:szCs w:val="24"/>
        </w:rPr>
      </w:pPr>
    </w:p>
    <w:p w14:paraId="1700A333" w14:textId="51265CF9" w:rsidR="00107FCF" w:rsidRPr="00366162" w:rsidRDefault="00107FCF" w:rsidP="006D41A7">
      <w:pPr>
        <w:numPr>
          <w:ilvl w:val="4"/>
          <w:numId w:val="65"/>
        </w:numPr>
        <w:spacing w:after="160"/>
        <w:ind w:left="426" w:hanging="426"/>
        <w:jc w:val="both"/>
        <w:rPr>
          <w:b/>
          <w:bCs/>
        </w:rPr>
      </w:pPr>
      <w:r>
        <w:rPr>
          <w:b/>
          <w:bCs/>
        </w:rPr>
        <w:br w:type="column"/>
      </w:r>
      <w:r w:rsidR="00D408DE">
        <w:rPr>
          <w:b/>
          <w:bCs/>
        </w:rPr>
        <w:lastRenderedPageBreak/>
        <w:t>JCWP</w:t>
      </w:r>
      <w:r w:rsidRPr="00366162">
        <w:rPr>
          <w:b/>
          <w:bCs/>
        </w:rPr>
        <w:t xml:space="preserve"> Wieprza od Łękawicy do ujścia RW6000144699:</w:t>
      </w:r>
    </w:p>
    <w:p w14:paraId="0E81948D" w14:textId="632E9F51" w:rsidR="00107FCF" w:rsidRPr="00366162" w:rsidRDefault="00107FCF" w:rsidP="006D41A7">
      <w:pPr>
        <w:numPr>
          <w:ilvl w:val="0"/>
          <w:numId w:val="46"/>
        </w:numPr>
        <w:tabs>
          <w:tab w:val="clear" w:pos="720"/>
          <w:tab w:val="num" w:pos="567"/>
        </w:tabs>
        <w:spacing w:after="160"/>
        <w:ind w:left="567" w:hanging="425"/>
        <w:jc w:val="both"/>
        <w:rPr>
          <w:color w:val="2C2C2D"/>
        </w:rPr>
      </w:pPr>
      <w:r w:rsidRPr="00366162">
        <w:rPr>
          <w:color w:val="2C2C2D"/>
        </w:rPr>
        <w:t>Realizacja działań wynikających z planów ochrony i planów zadań ochronnych dla obszarów chronionych</w:t>
      </w:r>
      <w:r w:rsidR="0085646F">
        <w:rPr>
          <w:color w:val="2C2C2D"/>
        </w:rPr>
        <w:t>.</w:t>
      </w:r>
    </w:p>
    <w:p w14:paraId="1C2CA178" w14:textId="0EA2D074" w:rsidR="00107FCF" w:rsidRPr="00366162" w:rsidRDefault="00107FCF" w:rsidP="006D41A7">
      <w:pPr>
        <w:numPr>
          <w:ilvl w:val="0"/>
          <w:numId w:val="44"/>
        </w:numPr>
        <w:tabs>
          <w:tab w:val="clear" w:pos="720"/>
          <w:tab w:val="num" w:pos="567"/>
        </w:tabs>
        <w:spacing w:after="160"/>
        <w:ind w:left="567" w:hanging="425"/>
        <w:jc w:val="both"/>
        <w:rPr>
          <w:color w:val="2C2C2D"/>
        </w:rPr>
      </w:pPr>
      <w:r w:rsidRPr="00366162">
        <w:rPr>
          <w:color w:val="2C2C2D"/>
        </w:rPr>
        <w:t>Dodatkowy przegląd pozwoleń wodnoprawnych</w:t>
      </w:r>
      <w:r w:rsidR="0085646F">
        <w:rPr>
          <w:color w:val="2C2C2D"/>
        </w:rPr>
        <w:t>.</w:t>
      </w:r>
    </w:p>
    <w:p w14:paraId="773B2D91" w14:textId="1723A672" w:rsidR="00107FCF" w:rsidRPr="00366162" w:rsidRDefault="00107FCF" w:rsidP="006D41A7">
      <w:pPr>
        <w:numPr>
          <w:ilvl w:val="0"/>
          <w:numId w:val="44"/>
        </w:numPr>
        <w:tabs>
          <w:tab w:val="clear" w:pos="720"/>
          <w:tab w:val="num" w:pos="567"/>
        </w:tabs>
        <w:spacing w:after="160"/>
        <w:ind w:left="567" w:hanging="425"/>
        <w:jc w:val="both"/>
        <w:rPr>
          <w:color w:val="2C2C2D"/>
        </w:rPr>
      </w:pPr>
      <w:r w:rsidRPr="00366162">
        <w:rPr>
          <w:color w:val="2C2C2D"/>
        </w:rPr>
        <w:t>Rozbudowa sieci monitoringu przepływu w rzekach zagrożonych znaczącym zmniejszeniem przepływów</w:t>
      </w:r>
      <w:r w:rsidR="0085646F">
        <w:rPr>
          <w:color w:val="2C2C2D"/>
        </w:rPr>
        <w:t>.</w:t>
      </w:r>
    </w:p>
    <w:p w14:paraId="344FFDA0" w14:textId="77777777" w:rsidR="00107FCF" w:rsidRPr="00366162" w:rsidRDefault="00107FCF" w:rsidP="006D41A7">
      <w:pPr>
        <w:numPr>
          <w:ilvl w:val="0"/>
          <w:numId w:val="44"/>
        </w:numPr>
        <w:tabs>
          <w:tab w:val="clear" w:pos="720"/>
          <w:tab w:val="num" w:pos="567"/>
        </w:tabs>
        <w:spacing w:after="160"/>
        <w:ind w:left="567" w:hanging="425"/>
        <w:jc w:val="both"/>
        <w:rPr>
          <w:color w:val="2C2C2D"/>
        </w:rPr>
      </w:pPr>
      <w:r w:rsidRPr="00366162">
        <w:rPr>
          <w:color w:val="2C2C2D"/>
        </w:rPr>
        <w:t>Opracowanie wariantowej analizy sposobu udrożnienia budowli piętrzących na cieku wraz ze wskazaniem wariantu do realizacji oraz opracowaniem dokumentacji projektowej. Realizacja wybranego wariantu udrożnienia cieku - działanie inwestycyjne.</w:t>
      </w:r>
    </w:p>
    <w:p w14:paraId="7BC1B6F7" w14:textId="4DB50EA6" w:rsidR="00107FCF" w:rsidRPr="00366162" w:rsidRDefault="00107FCF" w:rsidP="006D41A7">
      <w:pPr>
        <w:numPr>
          <w:ilvl w:val="0"/>
          <w:numId w:val="44"/>
        </w:numPr>
        <w:tabs>
          <w:tab w:val="clear" w:pos="720"/>
          <w:tab w:val="num" w:pos="567"/>
        </w:tabs>
        <w:spacing w:after="160"/>
        <w:ind w:left="567" w:hanging="425"/>
        <w:jc w:val="both"/>
        <w:rPr>
          <w:color w:val="2C2C2D"/>
        </w:rPr>
      </w:pPr>
      <w:r w:rsidRPr="00366162">
        <w:rPr>
          <w:color w:val="2C2C2D"/>
        </w:rPr>
        <w:t>Realizacja Krajowego Programu Oczyszczania Ścieków Komunalnych</w:t>
      </w:r>
      <w:r w:rsidR="0085646F">
        <w:rPr>
          <w:color w:val="2C2C2D"/>
        </w:rPr>
        <w:t>.</w:t>
      </w:r>
    </w:p>
    <w:p w14:paraId="51952BBF" w14:textId="35FFC8BA" w:rsidR="00107FCF" w:rsidRPr="00366162" w:rsidRDefault="00107FCF" w:rsidP="006D41A7">
      <w:pPr>
        <w:numPr>
          <w:ilvl w:val="0"/>
          <w:numId w:val="44"/>
        </w:numPr>
        <w:tabs>
          <w:tab w:val="clear" w:pos="720"/>
          <w:tab w:val="num" w:pos="567"/>
        </w:tabs>
        <w:spacing w:after="160"/>
        <w:ind w:left="567" w:hanging="425"/>
        <w:jc w:val="both"/>
        <w:rPr>
          <w:color w:val="2C2C2D"/>
        </w:rPr>
      </w:pPr>
      <w:r w:rsidRPr="00366162">
        <w:rPr>
          <w:color w:val="2C2C2D"/>
        </w:rPr>
        <w:t xml:space="preserve">Weryfikacja i aktualizacja programu ochrony środowiska pod kątem poprawy efektywności dotyczącej ograniczania dopływu zanieczyszczeń do </w:t>
      </w:r>
      <w:r w:rsidR="00D408DE">
        <w:rPr>
          <w:color w:val="2C2C2D"/>
        </w:rPr>
        <w:t>JCWP</w:t>
      </w:r>
      <w:r w:rsidR="0085646F">
        <w:rPr>
          <w:color w:val="2C2C2D"/>
        </w:rPr>
        <w:t>.</w:t>
      </w:r>
    </w:p>
    <w:p w14:paraId="62BC2EB4" w14:textId="77777777" w:rsidR="00107FCF" w:rsidRPr="00366162" w:rsidRDefault="00107FCF" w:rsidP="006D41A7">
      <w:pPr>
        <w:numPr>
          <w:ilvl w:val="0"/>
          <w:numId w:val="44"/>
        </w:numPr>
        <w:tabs>
          <w:tab w:val="clear" w:pos="720"/>
          <w:tab w:val="num" w:pos="567"/>
        </w:tabs>
        <w:spacing w:after="160"/>
        <w:ind w:left="567" w:hanging="425"/>
        <w:jc w:val="both"/>
        <w:rPr>
          <w:color w:val="2C2C2D"/>
        </w:rPr>
      </w:pPr>
      <w:r w:rsidRPr="00366162">
        <w:rPr>
          <w:color w:val="2C2C2D"/>
        </w:rPr>
        <w:t>Kontrola przestrzegania warunków ustalonych w decyzjach i korzystania z wód (na podstawie art. ...), kontrola gospodarowania wodami (na podstawie art. 334 pr.w.) oraz wykonanie przeglądów pozwoleń wodnoprawnych (na podstawie art. 416 pr.w.) - w zakresie wprowadzania ścieków do wód lub do ziemi, lub do urządzeń kanalizacyjnych.</w:t>
      </w:r>
    </w:p>
    <w:p w14:paraId="685893F1" w14:textId="77777777" w:rsidR="00107FCF" w:rsidRPr="00366162" w:rsidRDefault="00107FCF" w:rsidP="001371E3">
      <w:pPr>
        <w:spacing w:after="160"/>
        <w:jc w:val="both"/>
        <w:rPr>
          <w:color w:val="2C2C2D"/>
        </w:rPr>
      </w:pPr>
    </w:p>
    <w:p w14:paraId="29307B9D" w14:textId="421783D7" w:rsidR="00107FCF" w:rsidRPr="00366162" w:rsidRDefault="00D408DE" w:rsidP="006D41A7">
      <w:pPr>
        <w:numPr>
          <w:ilvl w:val="4"/>
          <w:numId w:val="65"/>
        </w:numPr>
        <w:spacing w:after="160"/>
        <w:ind w:left="426" w:hanging="426"/>
        <w:jc w:val="both"/>
        <w:rPr>
          <w:b/>
          <w:color w:val="2C2C2D"/>
        </w:rPr>
      </w:pPr>
      <w:r>
        <w:rPr>
          <w:b/>
          <w:color w:val="2C2C2D"/>
        </w:rPr>
        <w:t>JCWP</w:t>
      </w:r>
      <w:r w:rsidR="00107FCF">
        <w:rPr>
          <w:b/>
          <w:bCs/>
        </w:rPr>
        <w:t xml:space="preserve"> </w:t>
      </w:r>
      <w:r w:rsidR="00107FCF" w:rsidRPr="00E6454F">
        <w:rPr>
          <w:b/>
          <w:bCs/>
        </w:rPr>
        <w:t>Gowienica od Dopływu z Puszczy Goleniowskiej do ujścia RW6000113149</w:t>
      </w:r>
      <w:r w:rsidR="00107FCF" w:rsidRPr="00366162">
        <w:rPr>
          <w:rStyle w:val="fontstyle01"/>
          <w:rFonts w:ascii="Times New Roman" w:hAnsi="Times New Roman"/>
          <w:b/>
          <w:sz w:val="24"/>
          <w:szCs w:val="24"/>
        </w:rPr>
        <w:t>:</w:t>
      </w:r>
    </w:p>
    <w:p w14:paraId="44030190" w14:textId="30C459EB" w:rsidR="00107FCF" w:rsidRDefault="00107FCF" w:rsidP="006D41A7">
      <w:pPr>
        <w:numPr>
          <w:ilvl w:val="0"/>
          <w:numId w:val="45"/>
        </w:numPr>
        <w:tabs>
          <w:tab w:val="clear" w:pos="720"/>
          <w:tab w:val="num" w:pos="567"/>
        </w:tabs>
        <w:spacing w:after="160"/>
        <w:ind w:left="567" w:hanging="425"/>
        <w:jc w:val="both"/>
        <w:rPr>
          <w:color w:val="2C2C2D"/>
        </w:rPr>
      </w:pPr>
      <w:r w:rsidRPr="00366162">
        <w:rPr>
          <w:color w:val="2C2C2D"/>
        </w:rPr>
        <w:t>Realizacja działań wynikających z planów ochrony i planów zadań ochronnych dla obszarów chronionych</w:t>
      </w:r>
      <w:r w:rsidR="0085646F">
        <w:rPr>
          <w:color w:val="2C2C2D"/>
        </w:rPr>
        <w:t>.</w:t>
      </w:r>
    </w:p>
    <w:p w14:paraId="425FCEC0" w14:textId="77BA57BF" w:rsidR="00107FCF" w:rsidRDefault="00107FCF" w:rsidP="006D41A7">
      <w:pPr>
        <w:numPr>
          <w:ilvl w:val="0"/>
          <w:numId w:val="45"/>
        </w:numPr>
        <w:tabs>
          <w:tab w:val="clear" w:pos="720"/>
          <w:tab w:val="num" w:pos="567"/>
        </w:tabs>
        <w:spacing w:after="160"/>
        <w:ind w:left="567" w:hanging="425"/>
        <w:jc w:val="both"/>
        <w:rPr>
          <w:color w:val="2C2C2D"/>
        </w:rPr>
      </w:pPr>
      <w:r w:rsidRPr="00C1502D">
        <w:rPr>
          <w:color w:val="2C2C2D"/>
        </w:rPr>
        <w:t>Realizacja działań naprawczych dla obszarów chronionych w zakresie dopływu zanieczyszczeń</w:t>
      </w:r>
      <w:r w:rsidR="0085646F">
        <w:rPr>
          <w:color w:val="2C2C2D"/>
        </w:rPr>
        <w:t>.</w:t>
      </w:r>
    </w:p>
    <w:p w14:paraId="708B62A1" w14:textId="42C53040" w:rsidR="00107FCF" w:rsidRDefault="00107FCF" w:rsidP="006D41A7">
      <w:pPr>
        <w:numPr>
          <w:ilvl w:val="0"/>
          <w:numId w:val="45"/>
        </w:numPr>
        <w:tabs>
          <w:tab w:val="clear" w:pos="720"/>
          <w:tab w:val="num" w:pos="567"/>
        </w:tabs>
        <w:spacing w:after="160"/>
        <w:ind w:left="567" w:hanging="425"/>
        <w:jc w:val="both"/>
        <w:rPr>
          <w:color w:val="2C2C2D"/>
        </w:rPr>
      </w:pPr>
      <w:r w:rsidRPr="00C1502D">
        <w:rPr>
          <w:color w:val="2C2C2D"/>
        </w:rPr>
        <w:t>Kontrola gospodarowania wodami oraz przeglądy pozwoleń wodnoprawnych</w:t>
      </w:r>
      <w:r w:rsidR="0085646F">
        <w:rPr>
          <w:color w:val="2C2C2D"/>
        </w:rPr>
        <w:t>.</w:t>
      </w:r>
    </w:p>
    <w:p w14:paraId="2E53B440" w14:textId="21D8D674" w:rsidR="00107FCF" w:rsidRPr="00366162" w:rsidRDefault="00107FCF" w:rsidP="006D41A7">
      <w:pPr>
        <w:numPr>
          <w:ilvl w:val="0"/>
          <w:numId w:val="45"/>
        </w:numPr>
        <w:tabs>
          <w:tab w:val="clear" w:pos="720"/>
          <w:tab w:val="num" w:pos="567"/>
        </w:tabs>
        <w:spacing w:after="160"/>
        <w:ind w:left="567" w:hanging="425"/>
        <w:jc w:val="both"/>
        <w:rPr>
          <w:color w:val="2C2C2D"/>
        </w:rPr>
      </w:pPr>
      <w:r w:rsidRPr="00C1502D">
        <w:rPr>
          <w:color w:val="2C2C2D"/>
        </w:rPr>
        <w:t xml:space="preserve">Weryfikacja i aktualizacja programu ochrony środowiska pod kątem poprawy efektywności dotyczącej ograniczania dopływu zanieczyszczeń do </w:t>
      </w:r>
      <w:r w:rsidR="00D408DE">
        <w:rPr>
          <w:color w:val="2C2C2D"/>
        </w:rPr>
        <w:t>JCWP</w:t>
      </w:r>
      <w:r w:rsidR="0085646F">
        <w:rPr>
          <w:color w:val="2C2C2D"/>
        </w:rPr>
        <w:t>.</w:t>
      </w:r>
    </w:p>
    <w:p w14:paraId="5C36B52B" w14:textId="16A7D365" w:rsidR="00107FCF" w:rsidRDefault="00107FCF" w:rsidP="006D41A7">
      <w:pPr>
        <w:numPr>
          <w:ilvl w:val="0"/>
          <w:numId w:val="45"/>
        </w:numPr>
        <w:tabs>
          <w:tab w:val="clear" w:pos="720"/>
          <w:tab w:val="num" w:pos="567"/>
        </w:tabs>
        <w:spacing w:after="160"/>
        <w:ind w:left="567" w:hanging="425"/>
        <w:jc w:val="both"/>
        <w:rPr>
          <w:color w:val="2C2C2D"/>
        </w:rPr>
      </w:pPr>
      <w:r w:rsidRPr="00366162">
        <w:rPr>
          <w:color w:val="2C2C2D"/>
        </w:rPr>
        <w:t>Realizacja Krajowego Programu Oczyszczania Ścieków Komunalnych</w:t>
      </w:r>
      <w:r w:rsidR="0085646F">
        <w:rPr>
          <w:color w:val="2C2C2D"/>
        </w:rPr>
        <w:t>.</w:t>
      </w:r>
    </w:p>
    <w:p w14:paraId="39D11C1F" w14:textId="77777777" w:rsidR="00107FCF" w:rsidRDefault="00107FCF" w:rsidP="00EE15BD">
      <w:pPr>
        <w:spacing w:after="160"/>
        <w:jc w:val="both"/>
        <w:rPr>
          <w:color w:val="2C2C2D"/>
        </w:rPr>
      </w:pPr>
    </w:p>
    <w:p w14:paraId="2630A183" w14:textId="1F91BB53" w:rsidR="00107FCF" w:rsidRPr="00366162" w:rsidRDefault="006D41A7" w:rsidP="006D41A7">
      <w:pPr>
        <w:pStyle w:val="ReportLevel4"/>
        <w:numPr>
          <w:ilvl w:val="3"/>
          <w:numId w:val="4"/>
        </w:numPr>
      </w:pPr>
      <w:r>
        <w:br w:type="column"/>
      </w:r>
      <w:r w:rsidR="00107FCF" w:rsidRPr="00366162">
        <w:lastRenderedPageBreak/>
        <w:t>Plan przeciwdziałania skutkom suszy</w:t>
      </w:r>
    </w:p>
    <w:p w14:paraId="32B0E6AC" w14:textId="29C1EF4A" w:rsidR="00107FCF" w:rsidRPr="00366162" w:rsidRDefault="00107FCF" w:rsidP="00926615">
      <w:pPr>
        <w:pStyle w:val="Tekstkomentarza"/>
        <w:jc w:val="both"/>
        <w:rPr>
          <w:rFonts w:ascii="Times New Roman" w:hAnsi="Times New Roman"/>
          <w:sz w:val="24"/>
        </w:rPr>
      </w:pPr>
      <w:r w:rsidRPr="00366162">
        <w:rPr>
          <w:rFonts w:ascii="Times New Roman" w:hAnsi="Times New Roman"/>
          <w:sz w:val="24"/>
        </w:rPr>
        <w:t xml:space="preserve">Zgodnie z </w:t>
      </w:r>
      <w:r w:rsidR="0085646F">
        <w:rPr>
          <w:rFonts w:ascii="Times New Roman" w:hAnsi="Times New Roman"/>
          <w:sz w:val="24"/>
        </w:rPr>
        <w:t>art. 184 U</w:t>
      </w:r>
      <w:r w:rsidRPr="00366162">
        <w:rPr>
          <w:rFonts w:ascii="Times New Roman" w:hAnsi="Times New Roman"/>
          <w:sz w:val="24"/>
        </w:rPr>
        <w:t>staw</w:t>
      </w:r>
      <w:r w:rsidR="0085646F">
        <w:rPr>
          <w:rFonts w:ascii="Times New Roman" w:hAnsi="Times New Roman"/>
          <w:sz w:val="24"/>
        </w:rPr>
        <w:t>y</w:t>
      </w:r>
      <w:r w:rsidRPr="00366162">
        <w:rPr>
          <w:rFonts w:ascii="Times New Roman" w:hAnsi="Times New Roman"/>
          <w:sz w:val="24"/>
        </w:rPr>
        <w:t xml:space="preserve"> z dnia 18 lipca 2001 r. Prawo wodne </w:t>
      </w:r>
      <w:r w:rsidR="0085646F" w:rsidRPr="0085646F">
        <w:rPr>
          <w:rFonts w:ascii="Times New Roman" w:hAnsi="Times New Roman"/>
          <w:sz w:val="24"/>
        </w:rPr>
        <w:t xml:space="preserve">(Dz. U. z 2021 r. poz. 624 ze zm.) </w:t>
      </w:r>
      <w:r w:rsidRPr="00366162">
        <w:rPr>
          <w:rFonts w:ascii="Times New Roman" w:hAnsi="Times New Roman"/>
          <w:sz w:val="24"/>
        </w:rPr>
        <w:t xml:space="preserve">głównymi dokumentami planistycznymi w zakresie przeciwdziałania zjawisku suszy są plany przeciwdziałania skutkom suszy w regionach wodnych oraz na obszarach dorzeczy. Zgodnie z ustawą plan przeciwdziałania skutkom suszy zawiera </w:t>
      </w:r>
      <w:r w:rsidR="0085646F">
        <w:rPr>
          <w:rFonts w:ascii="Times New Roman" w:hAnsi="Times New Roman"/>
          <w:sz w:val="24"/>
        </w:rPr>
        <w:br/>
      </w:r>
      <w:r w:rsidRPr="00366162">
        <w:rPr>
          <w:rFonts w:ascii="Times New Roman" w:hAnsi="Times New Roman"/>
          <w:sz w:val="24"/>
        </w:rPr>
        <w:t xml:space="preserve"> kluczowe elementy: analizę możliwości powiększenia dyspozycyjnych zasobów wodnych, propozycje budowy lub przebudowy urządzeń wodnych, propozycje niezbędnych zmian w zakresie korzystania z zasobów wodnych oraz zmian naturalnej i sztucznej retencji oraz działania służące przeciwdziałaniu skutkom suszy. Celem PPSS była analiza możliwości powiększenia dyspozycyjnych zasobów wodnych w obrębie zlewni </w:t>
      </w:r>
      <w:r w:rsidR="00D408DE">
        <w:rPr>
          <w:rFonts w:ascii="Times New Roman" w:hAnsi="Times New Roman"/>
          <w:sz w:val="24"/>
        </w:rPr>
        <w:t>JCWP</w:t>
      </w:r>
      <w:r w:rsidRPr="00366162">
        <w:rPr>
          <w:rFonts w:ascii="Times New Roman" w:hAnsi="Times New Roman"/>
          <w:sz w:val="24"/>
        </w:rPr>
        <w:t>, propozycja budowy,</w:t>
      </w:r>
      <w:r>
        <w:rPr>
          <w:rFonts w:ascii="Times New Roman" w:hAnsi="Times New Roman"/>
          <w:sz w:val="24"/>
        </w:rPr>
        <w:t xml:space="preserve"> </w:t>
      </w:r>
      <w:r w:rsidRPr="00366162">
        <w:rPr>
          <w:rFonts w:ascii="Times New Roman" w:hAnsi="Times New Roman"/>
          <w:sz w:val="24"/>
        </w:rPr>
        <w:t>rozbudowy lub przebudowy urządzeń wodnych, propozycja niezbędnych zmian w</w:t>
      </w:r>
      <w:r>
        <w:rPr>
          <w:rFonts w:ascii="Times New Roman" w:hAnsi="Times New Roman"/>
          <w:sz w:val="24"/>
        </w:rPr>
        <w:t> </w:t>
      </w:r>
      <w:r w:rsidRPr="00366162">
        <w:rPr>
          <w:rFonts w:ascii="Times New Roman" w:hAnsi="Times New Roman"/>
          <w:sz w:val="24"/>
        </w:rPr>
        <w:t>zakresie korzystania z zasobów wodnych oraz zmian naturalnej i sztucznej retencji. W</w:t>
      </w:r>
      <w:r>
        <w:rPr>
          <w:rFonts w:ascii="Times New Roman" w:hAnsi="Times New Roman"/>
          <w:sz w:val="24"/>
        </w:rPr>
        <w:t> </w:t>
      </w:r>
      <w:r w:rsidRPr="00366162">
        <w:rPr>
          <w:rFonts w:ascii="Times New Roman" w:hAnsi="Times New Roman"/>
          <w:sz w:val="24"/>
        </w:rPr>
        <w:t xml:space="preserve">ramach projektu opracowano katalog działań służących ograniczeniu skutków suszy, dokonano hierarchizacji zlewni </w:t>
      </w:r>
      <w:r w:rsidR="00D408DE">
        <w:rPr>
          <w:rFonts w:ascii="Times New Roman" w:hAnsi="Times New Roman"/>
          <w:sz w:val="24"/>
        </w:rPr>
        <w:t>JCWP</w:t>
      </w:r>
      <w:r w:rsidRPr="00366162">
        <w:rPr>
          <w:rFonts w:ascii="Times New Roman" w:hAnsi="Times New Roman"/>
          <w:sz w:val="24"/>
        </w:rPr>
        <w:t xml:space="preserve"> narażonych na skutki występowania różnych typów suszy, wskazano działania łagodzące skutki suszy. </w:t>
      </w:r>
    </w:p>
    <w:p w14:paraId="478E2448" w14:textId="77777777" w:rsidR="00107FCF" w:rsidRPr="00366162" w:rsidRDefault="00107FCF" w:rsidP="00CA0F4A">
      <w:pPr>
        <w:spacing w:afterLines="160" w:after="384"/>
        <w:ind w:left="774"/>
        <w:contextualSpacing/>
        <w:rPr>
          <w:b/>
          <w:u w:val="single"/>
        </w:rPr>
      </w:pPr>
    </w:p>
    <w:p w14:paraId="3312C928" w14:textId="0E84D698" w:rsidR="00107FCF" w:rsidRPr="00366162" w:rsidRDefault="00107FCF" w:rsidP="00CA0F4A">
      <w:pPr>
        <w:spacing w:afterLines="160" w:after="384"/>
        <w:jc w:val="both"/>
      </w:pPr>
      <w:r w:rsidRPr="00366162">
        <w:t xml:space="preserve">Działania mające na celu ograniczenie powodzi od strony morza nie generują znaczących negatywnych oddziaływań na zasoby wodne </w:t>
      </w:r>
      <w:r w:rsidR="00D408DE">
        <w:t>JCWP</w:t>
      </w:r>
      <w:r w:rsidRPr="00366162">
        <w:t xml:space="preserve">, nie wpływają znacząco na zmianę stosunków wodnych w zlewniach </w:t>
      </w:r>
      <w:r w:rsidR="00D408DE">
        <w:t>JCWP</w:t>
      </w:r>
      <w:r w:rsidRPr="00366162">
        <w:t xml:space="preserve">, nie mają znaczącego wpływu na ograniczenie potencjału retencyjnego zlewni. </w:t>
      </w:r>
    </w:p>
    <w:p w14:paraId="72BBC5B1" w14:textId="77777777" w:rsidR="00107FCF" w:rsidRPr="00366162" w:rsidRDefault="00107FCF" w:rsidP="00CA0F4A">
      <w:pPr>
        <w:spacing w:afterLines="160" w:after="384"/>
        <w:jc w:val="both"/>
      </w:pPr>
      <w:r w:rsidRPr="00366162">
        <w:t>Uwzględniając zapisy PPSS działania zaplanowano dla ochrony terenów zabudowanych.</w:t>
      </w:r>
    </w:p>
    <w:p w14:paraId="289C000D" w14:textId="77777777" w:rsidR="00107FCF" w:rsidRPr="00366162" w:rsidRDefault="00107FCF" w:rsidP="006D41A7">
      <w:pPr>
        <w:pStyle w:val="ReportLevel4"/>
        <w:numPr>
          <w:ilvl w:val="3"/>
          <w:numId w:val="4"/>
        </w:numPr>
        <w:tabs>
          <w:tab w:val="num" w:pos="1492"/>
        </w:tabs>
      </w:pPr>
      <w:r w:rsidRPr="00366162">
        <w:t>Program przeciwdziałania niedoborowi wody (Program Rozwoju Retencji)</w:t>
      </w:r>
    </w:p>
    <w:p w14:paraId="03BACA2B" w14:textId="1279568F" w:rsidR="00107FCF" w:rsidRDefault="00107FCF" w:rsidP="006D41A7">
      <w:pPr>
        <w:spacing w:afterLines="160" w:after="384"/>
        <w:jc w:val="both"/>
      </w:pPr>
      <w:r w:rsidRPr="00366162">
        <w:rPr>
          <w:color w:val="000000"/>
        </w:rPr>
        <w:t>Program Rozwoju Retencji ma na celu przeciwdziałanie obserwowanemu deficytowi wody oraz zjawisku suszy, będącym skutkiem zarówno zmian klimatu jak i</w:t>
      </w:r>
      <w:r w:rsidR="00D408DE">
        <w:rPr>
          <w:color w:val="000000"/>
        </w:rPr>
        <w:t> </w:t>
      </w:r>
      <w:r w:rsidRPr="00366162">
        <w:rPr>
          <w:color w:val="000000"/>
        </w:rPr>
        <w:t>zwiększającej się antropopresji.</w:t>
      </w:r>
      <w:r w:rsidRPr="00366162">
        <w:t xml:space="preserve"> </w:t>
      </w:r>
      <w:r w:rsidRPr="00366162">
        <w:rPr>
          <w:color w:val="000000"/>
        </w:rPr>
        <w:t>Podejmowanie działania w zakresie retencji wodnej przyczynią się do zmniejszenia lub spowolnienia odpływu wód ze zlewni, stanowiąc równocześnie jeden ze sposobów przeciwdziałania powstawaniu powodzi lub ograniczania skali ich skutków.</w:t>
      </w:r>
      <w:r w:rsidRPr="00366162">
        <w:t xml:space="preserve">  Działania </w:t>
      </w:r>
      <w:r w:rsidRPr="00366162">
        <w:rPr>
          <w:color w:val="000000"/>
        </w:rPr>
        <w:t xml:space="preserve">wskazane w </w:t>
      </w:r>
      <w:r w:rsidRPr="00366162">
        <w:t>Programie przeciwdziałania niedoborowi wody obejmują między innymi:</w:t>
      </w:r>
    </w:p>
    <w:p w14:paraId="2FEA8620" w14:textId="77777777" w:rsidR="00107FCF" w:rsidRPr="00366162" w:rsidRDefault="00107FCF" w:rsidP="006D41A7">
      <w:pPr>
        <w:numPr>
          <w:ilvl w:val="0"/>
          <w:numId w:val="71"/>
        </w:numPr>
        <w:ind w:left="714" w:hanging="357"/>
        <w:jc w:val="both"/>
      </w:pPr>
      <w:r w:rsidRPr="00366162">
        <w:t>renaturyzację ekosystemów mokradłowych (poprzez między innymi zatrzymanie wody w rowach melioracyjnych);</w:t>
      </w:r>
    </w:p>
    <w:p w14:paraId="53283D6F" w14:textId="77777777" w:rsidR="00107FCF" w:rsidRPr="00366162" w:rsidRDefault="00107FCF" w:rsidP="006D41A7">
      <w:pPr>
        <w:numPr>
          <w:ilvl w:val="0"/>
          <w:numId w:val="71"/>
        </w:numPr>
        <w:ind w:left="714" w:hanging="357"/>
        <w:jc w:val="both"/>
      </w:pPr>
      <w:r w:rsidRPr="00366162">
        <w:t>renaturyzacja rzek;</w:t>
      </w:r>
    </w:p>
    <w:p w14:paraId="49C9B3ED" w14:textId="77777777" w:rsidR="00107FCF" w:rsidRPr="00366162" w:rsidRDefault="00107FCF" w:rsidP="006D41A7">
      <w:pPr>
        <w:numPr>
          <w:ilvl w:val="0"/>
          <w:numId w:val="71"/>
        </w:numPr>
        <w:ind w:left="714" w:hanging="357"/>
        <w:jc w:val="both"/>
      </w:pPr>
      <w:r w:rsidRPr="00366162">
        <w:t>realizację i odtwarzanie obiektów małej retencji i mikroretencji na terenach leśnych;</w:t>
      </w:r>
    </w:p>
    <w:p w14:paraId="5A085474" w14:textId="77777777" w:rsidR="00107FCF" w:rsidRPr="00366162" w:rsidRDefault="00107FCF" w:rsidP="006D41A7">
      <w:pPr>
        <w:numPr>
          <w:ilvl w:val="0"/>
          <w:numId w:val="71"/>
        </w:numPr>
        <w:ind w:left="714" w:hanging="357"/>
        <w:jc w:val="both"/>
      </w:pPr>
      <w:r w:rsidRPr="00366162">
        <w:t>zalesiania, zadrzewiania oraz przebudowę drzewostanów;</w:t>
      </w:r>
    </w:p>
    <w:p w14:paraId="0C9CB951" w14:textId="77777777" w:rsidR="00107FCF" w:rsidRPr="00366162" w:rsidRDefault="00107FCF" w:rsidP="006D41A7">
      <w:pPr>
        <w:numPr>
          <w:ilvl w:val="0"/>
          <w:numId w:val="71"/>
        </w:numPr>
        <w:ind w:left="714" w:hanging="357"/>
        <w:jc w:val="both"/>
      </w:pPr>
      <w:r w:rsidRPr="00366162">
        <w:t>realizację i odtwarzanie obiektów małej retencji i mikroretencji na terenach rolniczych;</w:t>
      </w:r>
    </w:p>
    <w:p w14:paraId="737DFD5D" w14:textId="77777777" w:rsidR="00107FCF" w:rsidRPr="00366162" w:rsidRDefault="00107FCF" w:rsidP="006D41A7">
      <w:pPr>
        <w:numPr>
          <w:ilvl w:val="0"/>
          <w:numId w:val="71"/>
        </w:numPr>
        <w:ind w:left="714" w:hanging="357"/>
        <w:jc w:val="both"/>
      </w:pPr>
      <w:r w:rsidRPr="00366162">
        <w:t>promowanie i wdrażanie zabiegów agrotechnicznych zwiększających retencję glebową;</w:t>
      </w:r>
    </w:p>
    <w:p w14:paraId="436DC7AE" w14:textId="77777777" w:rsidR="00107FCF" w:rsidRPr="00366162" w:rsidRDefault="00107FCF" w:rsidP="006D41A7">
      <w:pPr>
        <w:numPr>
          <w:ilvl w:val="0"/>
          <w:numId w:val="71"/>
        </w:numPr>
        <w:ind w:left="714" w:hanging="357"/>
        <w:jc w:val="both"/>
      </w:pPr>
      <w:r w:rsidRPr="00366162">
        <w:t>tworzenie i odtwarzanie zadrzewień śródpolnych, przydrożonych i przywodnych;</w:t>
      </w:r>
    </w:p>
    <w:p w14:paraId="348027C7" w14:textId="38F74C9C" w:rsidR="00107FCF" w:rsidRPr="00366162" w:rsidRDefault="00107FCF" w:rsidP="006D41A7">
      <w:pPr>
        <w:numPr>
          <w:ilvl w:val="0"/>
          <w:numId w:val="71"/>
        </w:numPr>
        <w:ind w:left="714" w:hanging="357"/>
        <w:jc w:val="both"/>
      </w:pPr>
      <w:r w:rsidRPr="00366162">
        <w:t>realizacja MPA oraz inne działania mające na celu zwiększenie retencji w</w:t>
      </w:r>
      <w:r>
        <w:t> </w:t>
      </w:r>
      <w:r w:rsidRPr="00366162">
        <w:t>miastach (m.in. błękitno-zielona infrastruktura, retencja wód opadowych i</w:t>
      </w:r>
      <w:r>
        <w:t> </w:t>
      </w:r>
      <w:r w:rsidRPr="00366162">
        <w:t>zwiększanie udziału powierzchni biologiczne czynnych).</w:t>
      </w:r>
    </w:p>
    <w:p w14:paraId="5AA4C052" w14:textId="2C98D7C7" w:rsidR="006D41A7" w:rsidRDefault="00107FCF" w:rsidP="00926615">
      <w:pPr>
        <w:spacing w:before="160" w:after="160"/>
        <w:jc w:val="both"/>
      </w:pPr>
      <w:r w:rsidRPr="00366162">
        <w:rPr>
          <w:color w:val="000000"/>
        </w:rPr>
        <w:lastRenderedPageBreak/>
        <w:t>Program Rozwoju Retencji przyczyni się do poprawy funkcjonowania</w:t>
      </w:r>
      <w:r w:rsidR="00D408DE">
        <w:rPr>
          <w:color w:val="000000"/>
        </w:rPr>
        <w:t xml:space="preserve"> </w:t>
      </w:r>
      <w:r w:rsidRPr="00366162">
        <w:rPr>
          <w:color w:val="000000"/>
        </w:rPr>
        <w:t>gospodarki wodnej w kraju przyczyniając się równocześnie do ograniczenia ryzyka</w:t>
      </w:r>
      <w:r w:rsidR="00D408DE">
        <w:rPr>
          <w:color w:val="000000"/>
        </w:rPr>
        <w:t xml:space="preserve"> </w:t>
      </w:r>
      <w:r w:rsidRPr="00366162">
        <w:rPr>
          <w:color w:val="000000"/>
        </w:rPr>
        <w:t>powodziowego jak i łagodzenia skutków zmian klimatu związanych z występowaniem suszy i</w:t>
      </w:r>
      <w:r w:rsidR="00D408DE">
        <w:rPr>
          <w:color w:val="000000"/>
        </w:rPr>
        <w:t> </w:t>
      </w:r>
      <w:r w:rsidRPr="00366162">
        <w:rPr>
          <w:color w:val="000000"/>
        </w:rPr>
        <w:t>niedoborów wody</w:t>
      </w:r>
      <w:r w:rsidRPr="00366162">
        <w:t xml:space="preserve"> Oceniane warianty mające na celu ograniczenie powodzi od strony morza nie generują negatywnych znaczących oddziaływań na zasoby wodne </w:t>
      </w:r>
      <w:r w:rsidR="00D408DE">
        <w:t>JCWP</w:t>
      </w:r>
      <w:r w:rsidRPr="00366162">
        <w:t xml:space="preserve">. Działania zaplanowano uwzględniając zapisy PRR optymalnie na terenach zabudowanych. </w:t>
      </w:r>
    </w:p>
    <w:p w14:paraId="3A4DEA03" w14:textId="1ED4D26F" w:rsidR="00107FCF" w:rsidRPr="00366162" w:rsidRDefault="00107FCF" w:rsidP="006D41A7">
      <w:pPr>
        <w:pStyle w:val="ReportLevel4"/>
        <w:numPr>
          <w:ilvl w:val="3"/>
          <w:numId w:val="4"/>
        </w:numPr>
        <w:tabs>
          <w:tab w:val="num" w:pos="1492"/>
        </w:tabs>
      </w:pPr>
      <w:r w:rsidRPr="00366162">
        <w:t>Wdrożenie instrumentów wspierających realizację działań PZRP.</w:t>
      </w:r>
    </w:p>
    <w:p w14:paraId="5A1743D7" w14:textId="3ED1806A" w:rsidR="00107FCF" w:rsidRPr="00366162" w:rsidRDefault="00107FCF" w:rsidP="00366162">
      <w:pPr>
        <w:jc w:val="both"/>
      </w:pPr>
      <w:r w:rsidRPr="00366162">
        <w:t>Wdrożenie instrumentów wspierających realizację działań aPZRP ma na celu zapewnienie wysokiego stopnia bezpieczeństwa ludności oraz infrastruktury technicznej, a tym samym ograniczenie wielkości strat będących skutkiem wystąpienia powodzi. Wprowadzono zapisy w polskim systemie prawnym oraz w dokumentach prawa miejscowego, pozwalające na prowadzenie działań mających na celu ograniczenie ryzyka powodziowego, w tym poprzez wyeliminowanie lub unikanie wzrostu zagospodarowania w obrębie obszarów szczególnego zagrożenia wystąpieniem powodzi, a także ograniczanie istniejącego zagospodarowania. Stworzone przepisy prawne umożliwiają prowadzenie działań w celu</w:t>
      </w:r>
      <w:r>
        <w:t xml:space="preserve"> </w:t>
      </w:r>
      <w:r w:rsidRPr="00366162">
        <w:t>ochrony obszarów występowania naturalnej retencji, przywracania naturalnej retencji,</w:t>
      </w:r>
      <w:r>
        <w:t xml:space="preserve"> </w:t>
      </w:r>
      <w:r w:rsidRPr="00366162">
        <w:t>naturalnych warunków przepływu oraz hydromorfologii cieków wodnych. Stworzone zostały także instrumenty pozwalające na realizację infrastruktury przeciwpowodziowej poprzez opracowanie oceny kompletności zestawu obiektów przeciwpowodziowych wraz z obiektami towarzyszącymi przewidzianych do realizacji, a także wskazany sposób pozyskiwania praw do nieruchomości, na których obiekty te mają powstać. W ramach opracowanych instrumentów przygotowano: rozwiązania prawne, administracyjne, kontrolne i</w:t>
      </w:r>
      <w:r w:rsidR="00D408DE">
        <w:t> </w:t>
      </w:r>
      <w:r w:rsidRPr="00366162">
        <w:t>inwestycyjne, będące podstawą do dalszych prac legislacyjnych. które ochronią społeczności przed nadmiernym ryzykiem powodziowym i ograniczą straty w</w:t>
      </w:r>
      <w:r w:rsidR="00D408DE">
        <w:t> </w:t>
      </w:r>
      <w:r w:rsidRPr="00366162">
        <w:t>przyszłości. Ich treści wspierają osiągnięcie celów szczegółowych sformułowanych w</w:t>
      </w:r>
      <w:r w:rsidR="00D408DE">
        <w:t> </w:t>
      </w:r>
      <w:r w:rsidRPr="00366162">
        <w:t xml:space="preserve">aPZRPM. </w:t>
      </w:r>
    </w:p>
    <w:p w14:paraId="49926546" w14:textId="77777777" w:rsidR="00107FCF" w:rsidRPr="00366162" w:rsidRDefault="00107FCF" w:rsidP="006D41A7">
      <w:pPr>
        <w:pStyle w:val="ReportLevel4"/>
        <w:numPr>
          <w:ilvl w:val="3"/>
          <w:numId w:val="4"/>
        </w:numPr>
        <w:tabs>
          <w:tab w:val="num" w:pos="1492"/>
        </w:tabs>
      </w:pPr>
      <w:r w:rsidRPr="00366162">
        <w:t xml:space="preserve">Krajowy program renaturyzacji wód powierzchniowych. </w:t>
      </w:r>
    </w:p>
    <w:p w14:paraId="104403ED" w14:textId="7E9AAA95" w:rsidR="00107FCF" w:rsidRDefault="00107FCF" w:rsidP="00EE15BD">
      <w:pPr>
        <w:pStyle w:val="NormalnyWeb"/>
        <w:spacing w:before="0" w:beforeAutospacing="0" w:after="200"/>
        <w:jc w:val="both"/>
      </w:pPr>
      <w:r w:rsidRPr="00366162">
        <w:t>KPRWP opracowany został na zlecenie Państwowego Gospodarstwa Wodnego Wody Polskie w 2020 roku, stanowi zestaw działań wskazanych dla wszystkich typów wód powierzchniowych opracowanych w celu likwidacji lub ograniczenia presji hydromorfologicznych i poprawy stanu wód powierzchniowych. W ramach KPRWP wskazano tzw. Obszary Wymagające Renaturyzacji oraz Obszary Priorytetowe, w</w:t>
      </w:r>
      <w:r>
        <w:t> </w:t>
      </w:r>
      <w:r w:rsidRPr="00366162">
        <w:t xml:space="preserve">których działania renaturyzacyjne powinny zostać zrealizowane w pierwszej kolejności. Każdej jednolitej części wód powierzchniowych, która została zaliczona do tych obszarów, przypisano potencjalne zestawy działań renaturyzacyjnych. Renaturyzacja wód powierzchniowych wg KPRWP obejmuje działania naprawcze mające na celu likwidację presji hydromorfologicznych oraz przywrócenie naturalnych procesów, odbudowę i normalizację stosunków wodnych, poprawę i odtworzenie retencji korytowej, dolinowej, normalizację stosunków wodnych w zlewni, renaturalizację mokradeł i torfowisk, przywracanie ciągłości i różnorodności hydromorfologicznej cieków i jezior. W KPRWP wykazano, że renaturyzacja wód wpływa na zmniejszenie </w:t>
      </w:r>
      <w:r w:rsidRPr="00366162">
        <w:lastRenderedPageBreak/>
        <w:t>ryzyka powodziowego, łagodzi skutki suszy, redukuje niezbędne koszty prowadzenia prac utrzymaniowych i tworzy miejsca atrakcyjne społecznie</w:t>
      </w:r>
      <w:r w:rsidRPr="00366162">
        <w:rPr>
          <w:rStyle w:val="Odwoanieprzypisudolnego"/>
        </w:rPr>
        <w:footnoteReference w:id="2"/>
      </w:r>
      <w:r w:rsidRPr="00366162">
        <w:t xml:space="preserve">.  </w:t>
      </w:r>
    </w:p>
    <w:p w14:paraId="1C57583E" w14:textId="1FF1684E" w:rsidR="00107FCF" w:rsidRPr="00366162" w:rsidRDefault="00107FCF" w:rsidP="00EE15BD">
      <w:pPr>
        <w:spacing w:after="200"/>
        <w:jc w:val="both"/>
      </w:pPr>
      <w:r w:rsidRPr="00366162">
        <w:t xml:space="preserve">Głównym celem KPRWP jest poprawa stanu </w:t>
      </w:r>
      <w:r>
        <w:t>elementów hydromorfologicznych</w:t>
      </w:r>
      <w:r w:rsidRPr="00366162">
        <w:t xml:space="preserve"> </w:t>
      </w:r>
      <w:r w:rsidR="00D408DE">
        <w:t>JCWP</w:t>
      </w:r>
      <w:r w:rsidRPr="00366162">
        <w:t xml:space="preserve"> powierzchniowych w zakresie umożliwiającym spełnienie celów środowiskowych </w:t>
      </w:r>
      <w:r w:rsidR="00D408DE">
        <w:t>JCWP</w:t>
      </w:r>
      <w:r w:rsidRPr="00366162">
        <w:t xml:space="preserve">. Działania zawarte w KPRWP służą między innymi </w:t>
      </w:r>
      <w:r w:rsidRPr="00366162">
        <w:rPr>
          <w:color w:val="000000"/>
        </w:rPr>
        <w:t xml:space="preserve">ochronie i zwiększeniu naturalnej retencji oraz przywracaniu naturalnych warunków przepływu wód w obrębie cieków, </w:t>
      </w:r>
      <w:r w:rsidRPr="00366162">
        <w:t>skierowane na poprawę retencji naturalnej w tym odtwarzanie mokradeł i</w:t>
      </w:r>
      <w:r w:rsidR="00D408DE">
        <w:t> </w:t>
      </w:r>
      <w:r w:rsidRPr="00366162">
        <w:t>torfowisk oraz poprawę naturalnej retencji korytowej poprzez renaturyzację. Z</w:t>
      </w:r>
      <w:r w:rsidR="00D408DE">
        <w:t> </w:t>
      </w:r>
      <w:r w:rsidRPr="00366162">
        <w:t>założenia działania KPRWP mają pośrednio przyczynić się do zmniejszenia ryzyka powodziowego w</w:t>
      </w:r>
      <w:r>
        <w:t> </w:t>
      </w:r>
      <w:r w:rsidRPr="00366162">
        <w:t>zlewniach oraz ograniczenia negatywnych skutków suszy i powodzi także od strony morza.</w:t>
      </w:r>
    </w:p>
    <w:p w14:paraId="5DE0FE64" w14:textId="75420945" w:rsidR="00107FCF" w:rsidRPr="00366162" w:rsidRDefault="00107FCF" w:rsidP="00EE15BD">
      <w:pPr>
        <w:pStyle w:val="NormalnyWeb"/>
        <w:spacing w:before="0" w:beforeAutospacing="0" w:after="200"/>
        <w:jc w:val="both"/>
      </w:pPr>
      <w:r w:rsidRPr="00366162">
        <w:t xml:space="preserve">Działania dla obszarów problemowych IOP_6 – Darłowo - ujście Wieprzy oraz IOP_11 – Nowe Warpno – okolice jeziora Nowowarpieńskiego generują nowe oddziaływania zwiększające presje hydromorfologiczne, wpłyną na pogorszenie wskaźnika przekształcenia hydromorfologii PPH6 - wskaźnik obwałowania, prowadząc do pogorszenia wartości multimetriksu HIR i mogą wpłynąć na pogorszenie stanu </w:t>
      </w:r>
      <w:r>
        <w:t>elementów hydromorfologicznych</w:t>
      </w:r>
      <w:r w:rsidRPr="00366162">
        <w:t xml:space="preserve"> </w:t>
      </w:r>
      <w:r w:rsidR="00D408DE">
        <w:t>JCWP</w:t>
      </w:r>
      <w:r w:rsidRPr="00366162">
        <w:t xml:space="preserve">, tym samym mogą utrudniać lub uniemożliwiać będą osiągnięcie celów środowiskowych wskazanych dla </w:t>
      </w:r>
      <w:r w:rsidR="00D408DE">
        <w:t>JCWP</w:t>
      </w:r>
      <w:r w:rsidRPr="00366162">
        <w:t xml:space="preserve">. Działania mogą powodować pogorszenie warunków hydromorfologicznych </w:t>
      </w:r>
      <w:r w:rsidR="00D408DE">
        <w:t>JCWP</w:t>
      </w:r>
      <w:r w:rsidRPr="00366162">
        <w:t>, w</w:t>
      </w:r>
      <w:r>
        <w:t> </w:t>
      </w:r>
      <w:r w:rsidRPr="00366162">
        <w:t xml:space="preserve">obrębie których są zlokalizowane, i na które potencjalnie oddziałują. Działania nie wpływają na ciągłość biologiczną i morfologiczną </w:t>
      </w:r>
      <w:r w:rsidR="00D408DE">
        <w:t>JCWP</w:t>
      </w:r>
      <w:r w:rsidRPr="00366162">
        <w:t xml:space="preserve"> rzecznych, nie generują pogorszenia wskaźników biologicznych, tym samym nie prowadzą do pogorszenia stanu biologicznego </w:t>
      </w:r>
      <w:r w:rsidR="00D408DE">
        <w:t>JCWP</w:t>
      </w:r>
      <w:r w:rsidRPr="00366162">
        <w:t xml:space="preserve">. </w:t>
      </w:r>
    </w:p>
    <w:p w14:paraId="1B8C2131" w14:textId="6ED7D8D1" w:rsidR="00107FCF" w:rsidRPr="00366162" w:rsidRDefault="00107FCF" w:rsidP="00EE15BD">
      <w:pPr>
        <w:spacing w:after="200"/>
        <w:jc w:val="both"/>
      </w:pPr>
      <w:r w:rsidRPr="00366162">
        <w:t>Wariant dla obszaru problemowy IOP_10 Stepnica zawiera działania techniczne i</w:t>
      </w:r>
      <w:r>
        <w:t> </w:t>
      </w:r>
      <w:r w:rsidRPr="00366162">
        <w:t xml:space="preserve">nietechniczne zgodne z założeniami KPRWP polegające między innymi na montażu mobilnych przegród przeciwpowodziowych wraz z rozwojem lokalnego systemu ostrzegania przed powodziami i prognozowania zagrożeń, które nie maja wpływu na warunki hydromorfologiczne </w:t>
      </w:r>
      <w:r w:rsidR="00D408DE">
        <w:t>JCWP</w:t>
      </w:r>
      <w:r w:rsidRPr="00366162">
        <w:t>.</w:t>
      </w:r>
    </w:p>
    <w:p w14:paraId="69E206A0" w14:textId="77777777" w:rsidR="00107FCF" w:rsidRDefault="00107FCF" w:rsidP="00EE15BD">
      <w:pPr>
        <w:spacing w:after="200"/>
        <w:rPr>
          <w:rFonts w:eastAsia="Times New Roman"/>
          <w:lang w:eastAsia="pl-PL"/>
        </w:rPr>
      </w:pPr>
      <w:r w:rsidRPr="00366162">
        <w:t>Uwzględniając zapisy KPRWP działania zaplanowano dla ochrony terenów zabudowanych.</w:t>
      </w:r>
      <w:r>
        <w:t xml:space="preserve"> </w:t>
      </w:r>
    </w:p>
    <w:p w14:paraId="1F252050" w14:textId="0B3B31E2" w:rsidR="00107FCF" w:rsidRPr="00FB44DB" w:rsidRDefault="006D41A7" w:rsidP="006D41A7">
      <w:pPr>
        <w:pStyle w:val="ReportLevel2"/>
        <w:numPr>
          <w:ilvl w:val="1"/>
          <w:numId w:val="4"/>
        </w:numPr>
      </w:pPr>
      <w:r>
        <w:br w:type="column"/>
      </w:r>
      <w:bookmarkStart w:id="121" w:name="_Toc80608731"/>
      <w:r w:rsidR="00107FCF" w:rsidRPr="00FB44DB">
        <w:lastRenderedPageBreak/>
        <w:t>Możliwe konflikty społeczne związane z realizacją działań</w:t>
      </w:r>
      <w:bookmarkEnd w:id="121"/>
    </w:p>
    <w:p w14:paraId="6E555E06" w14:textId="5A65A681" w:rsidR="00107FCF" w:rsidRPr="00FB44DB" w:rsidRDefault="00107FCF" w:rsidP="00EA72F6">
      <w:pPr>
        <w:pStyle w:val="ReportText"/>
        <w:jc w:val="both"/>
      </w:pPr>
      <w:r w:rsidRPr="00FB44DB">
        <w:t>W ramach analizy wielokryterialnej oceniano następujące kryteria związane z</w:t>
      </w:r>
      <w:r w:rsidR="00D408DE">
        <w:t> </w:t>
      </w:r>
      <w:r w:rsidRPr="00FB44DB">
        <w:t xml:space="preserve">możliwymi konfliktami społecznymi: </w:t>
      </w:r>
    </w:p>
    <w:p w14:paraId="5C04F886" w14:textId="77777777" w:rsidR="00107FCF" w:rsidRPr="00FB44DB" w:rsidRDefault="00107FCF" w:rsidP="006D41A7">
      <w:pPr>
        <w:pStyle w:val="ReportText"/>
        <w:numPr>
          <w:ilvl w:val="0"/>
          <w:numId w:val="36"/>
        </w:numPr>
        <w:spacing w:before="0" w:after="0" w:line="240" w:lineRule="auto"/>
        <w:ind w:left="567" w:hanging="425"/>
        <w:jc w:val="both"/>
      </w:pPr>
      <w:r w:rsidRPr="00FB44DB">
        <w:t>potencjalne konflikty społeczne związane z koniecznością zajęcia terenu pod daną inwestycję;</w:t>
      </w:r>
    </w:p>
    <w:p w14:paraId="45BF1FB2" w14:textId="2BA6A1F8" w:rsidR="00107FCF" w:rsidRPr="00FB44DB" w:rsidRDefault="00107FCF" w:rsidP="006D41A7">
      <w:pPr>
        <w:pStyle w:val="ReportText"/>
        <w:numPr>
          <w:ilvl w:val="0"/>
          <w:numId w:val="36"/>
        </w:numPr>
        <w:spacing w:before="0" w:after="0" w:line="240" w:lineRule="auto"/>
        <w:ind w:left="567" w:hanging="425"/>
        <w:jc w:val="both"/>
      </w:pPr>
      <w:r w:rsidRPr="00FB44DB">
        <w:t>potencjalne konflikty społeczne związane z przekształceniami naturalnymi</w:t>
      </w:r>
      <w:r w:rsidR="00D408DE">
        <w:t xml:space="preserve"> </w:t>
      </w:r>
      <w:r w:rsidRPr="00FB44DB">
        <w:t>i semi-naturalnymi;</w:t>
      </w:r>
    </w:p>
    <w:p w14:paraId="502FC289" w14:textId="77777777" w:rsidR="00107FCF" w:rsidRPr="00FB44DB" w:rsidRDefault="00107FCF" w:rsidP="006D41A7">
      <w:pPr>
        <w:pStyle w:val="ReportText"/>
        <w:numPr>
          <w:ilvl w:val="0"/>
          <w:numId w:val="36"/>
        </w:numPr>
        <w:spacing w:before="0" w:after="0" w:line="240" w:lineRule="auto"/>
        <w:ind w:left="567" w:hanging="425"/>
        <w:jc w:val="both"/>
      </w:pPr>
      <w:r w:rsidRPr="00FB44DB">
        <w:t xml:space="preserve">potencjalne konflikty społeczne związane z koniecznością wyburzenia budynków. </w:t>
      </w:r>
    </w:p>
    <w:p w14:paraId="5346D790" w14:textId="056BEF75" w:rsidR="00107FCF" w:rsidRDefault="00107FCF" w:rsidP="00EA72F6">
      <w:pPr>
        <w:pStyle w:val="ReportText"/>
        <w:jc w:val="both"/>
      </w:pPr>
      <w:r w:rsidRPr="00FB44DB">
        <w:t xml:space="preserve">Poniżej przedstawiono analizę możliwych konfliktów społecznych uwzględniających powyższe kryteria oraz ewentualne dodatkowe czynniki, uzależnione od indywidualnego charakteru obszaru, w którym planowane są działania ochronne.  </w:t>
      </w:r>
    </w:p>
    <w:p w14:paraId="5FC88853" w14:textId="5E379599" w:rsidR="00107FCF" w:rsidRPr="00FB44DB" w:rsidRDefault="00107FCF" w:rsidP="006D41A7">
      <w:pPr>
        <w:pStyle w:val="ReportLevel3"/>
        <w:numPr>
          <w:ilvl w:val="2"/>
          <w:numId w:val="4"/>
        </w:numPr>
      </w:pPr>
      <w:r w:rsidRPr="00FB44DB">
        <w:rPr>
          <w:bCs/>
        </w:rPr>
        <w:t>Obszar problemowy IOP_6 Darłowo – ujście Wieprz</w:t>
      </w:r>
      <w:r>
        <w:rPr>
          <w:bCs/>
        </w:rPr>
        <w:t>y</w:t>
      </w:r>
    </w:p>
    <w:p w14:paraId="2B22D044" w14:textId="77777777" w:rsidR="00107FCF" w:rsidRPr="00FB44DB" w:rsidRDefault="00107FCF" w:rsidP="00EA72F6">
      <w:pPr>
        <w:pStyle w:val="ReportText"/>
        <w:spacing w:before="120" w:after="120"/>
        <w:jc w:val="both"/>
      </w:pPr>
      <w:r w:rsidRPr="00FB44DB">
        <w:t>Dla obszaru problemowego IOP_6   Darłowo - ujście Wieprz</w:t>
      </w:r>
      <w:r>
        <w:t>y</w:t>
      </w:r>
      <w:r w:rsidRPr="00FB44DB">
        <w:t xml:space="preserve"> działania obejmują:</w:t>
      </w:r>
    </w:p>
    <w:p w14:paraId="719C7AB2" w14:textId="77777777" w:rsidR="00107FCF" w:rsidRPr="00FB44DB" w:rsidRDefault="00107FCF" w:rsidP="006D41A7">
      <w:pPr>
        <w:pStyle w:val="ReportText"/>
        <w:numPr>
          <w:ilvl w:val="0"/>
          <w:numId w:val="66"/>
        </w:numPr>
        <w:spacing w:before="120" w:after="120"/>
        <w:ind w:left="567" w:hanging="425"/>
        <w:jc w:val="both"/>
      </w:pPr>
      <w:r w:rsidRPr="00FB44DB">
        <w:t xml:space="preserve">Wariant „1” </w:t>
      </w:r>
    </w:p>
    <w:p w14:paraId="1B1BEF22" w14:textId="77777777" w:rsidR="00107FCF" w:rsidRPr="00FB44DB" w:rsidRDefault="00107FCF" w:rsidP="006D41A7">
      <w:pPr>
        <w:pStyle w:val="ReportText"/>
        <w:numPr>
          <w:ilvl w:val="2"/>
          <w:numId w:val="24"/>
        </w:numPr>
        <w:spacing w:before="120" w:after="120"/>
        <w:ind w:left="1134" w:hanging="283"/>
        <w:jc w:val="both"/>
      </w:pPr>
      <w:r w:rsidRPr="00FB44DB">
        <w:t>mobilne przegrody przeciwpowodziowe (belki zaporowe - szandory);</w:t>
      </w:r>
    </w:p>
    <w:p w14:paraId="19B1B78E" w14:textId="1198A19E" w:rsidR="00107FCF" w:rsidRPr="00FB44DB" w:rsidRDefault="00107FCF" w:rsidP="006D41A7">
      <w:pPr>
        <w:pStyle w:val="ReportText"/>
        <w:numPr>
          <w:ilvl w:val="2"/>
          <w:numId w:val="24"/>
        </w:numPr>
        <w:spacing w:before="120" w:after="120"/>
        <w:ind w:left="1134" w:hanging="283"/>
        <w:jc w:val="both"/>
      </w:pPr>
      <w:r w:rsidRPr="00FB44DB">
        <w:t xml:space="preserve">mur oporowy + mobilne przegrody przeciwpowodziowe (belki zaporowe </w:t>
      </w:r>
      <w:r w:rsidR="00D408DE">
        <w:t>–</w:t>
      </w:r>
      <w:r w:rsidRPr="00FB44DB">
        <w:t xml:space="preserve"> szandory);</w:t>
      </w:r>
    </w:p>
    <w:p w14:paraId="51DB9202" w14:textId="77777777" w:rsidR="00107FCF" w:rsidRPr="00FB44DB" w:rsidRDefault="00107FCF" w:rsidP="006D41A7">
      <w:pPr>
        <w:pStyle w:val="ReportText"/>
        <w:numPr>
          <w:ilvl w:val="2"/>
          <w:numId w:val="24"/>
        </w:numPr>
        <w:spacing w:before="120" w:after="120"/>
        <w:ind w:left="1134" w:hanging="283"/>
        <w:jc w:val="both"/>
      </w:pPr>
      <w:r w:rsidRPr="00FB44DB">
        <w:t>średnia wysokość: 1,85 m (mur oporowy 1,35m, mobilny system przegród 0,5 m);</w:t>
      </w:r>
    </w:p>
    <w:p w14:paraId="6F7D453E" w14:textId="77777777" w:rsidR="00107FCF" w:rsidRPr="00FB44DB" w:rsidRDefault="00107FCF" w:rsidP="00EA72F6">
      <w:pPr>
        <w:pStyle w:val="ReportText"/>
        <w:spacing w:before="120" w:after="120"/>
        <w:jc w:val="both"/>
      </w:pPr>
      <w:r w:rsidRPr="00FB44DB">
        <w:t>Nie przewiduje się konfliktów społecznych związanych z działaniem dotyczącym mobilnych systemów ochrony przeciwpowodziowej. Ewentualne przygotowanie terenu pod te obiekty będzie stanowiło krótkotrwałą uciążliwość, po zakończeniu przygotowań elementy przegród mobilnych będą niemal niewidoczne i nie będą stanowiły przeszkód komunikacyjnych, jak również nie będą zakłócały krajobrazu.</w:t>
      </w:r>
    </w:p>
    <w:p w14:paraId="33D658A8" w14:textId="277CF002" w:rsidR="00107FCF" w:rsidRPr="00FB44DB" w:rsidRDefault="00107FCF" w:rsidP="00EA72F6">
      <w:pPr>
        <w:pStyle w:val="ReportText"/>
        <w:spacing w:before="120" w:after="120"/>
        <w:jc w:val="both"/>
      </w:pPr>
      <w:r w:rsidRPr="00FB44DB">
        <w:t xml:space="preserve">Większą ingerencją w teren będzie budowa muru oporowego, która będzie miała miejsce w sąsiedztwie zadrzewionego terenu wzdłuż ujściowego odcinka Wieprzy na prawym brzegu. Z uwagi na to, że nie jest to teren o szczególnych walorach krajobrazowych, budowa muru na bulwarze wzdłuż rzeki nie zakłóci walorów widokowych w tym rejonie. W celu uniknięcia zbyt intensywnej ingerencji w teren zaproponowano budowę muru i uzupełnianie koniecznej wysokości ochronnej za pomocą elementów mobilnych. Ewentualne zastrzeżenia może budzić zakłócenie komunikacji między bulwarem nadrzecznym a ulicą Morską, jednak umożliwienie komunikacji poprzez zamykane przegrodami bramy w murze powinno rozwiązać problem dojazdu. </w:t>
      </w:r>
    </w:p>
    <w:p w14:paraId="4113E5B2" w14:textId="77777777" w:rsidR="00107FCF" w:rsidRDefault="00107FCF" w:rsidP="00EA72F6">
      <w:pPr>
        <w:pStyle w:val="ReportText"/>
        <w:spacing w:before="120" w:after="120"/>
        <w:jc w:val="both"/>
      </w:pPr>
      <w:r w:rsidRPr="00FB44DB">
        <w:t>Teren, na którym planuje się budowę muru nie jest zajęty pod działalność gospodarczą, związaną z zabudową stałą. Nie przewiduje się wywłaszczeń gruntu.</w:t>
      </w:r>
    </w:p>
    <w:p w14:paraId="335FAE23" w14:textId="71804AA4" w:rsidR="00107FCF" w:rsidRPr="00FB44DB" w:rsidRDefault="006D41A7" w:rsidP="00EA72F6">
      <w:pPr>
        <w:pStyle w:val="ReportText"/>
        <w:spacing w:before="120" w:after="120"/>
        <w:jc w:val="both"/>
      </w:pPr>
      <w:r>
        <w:br w:type="column"/>
      </w:r>
      <w:r w:rsidR="00107FCF" w:rsidRPr="00FB44DB">
        <w:lastRenderedPageBreak/>
        <w:t>W ramach działań w wariancie I nie przewiduje się przesiedleń ludności.</w:t>
      </w:r>
    </w:p>
    <w:p w14:paraId="78A851B3" w14:textId="77777777" w:rsidR="00107FCF" w:rsidRPr="00FB44DB" w:rsidRDefault="00107FCF" w:rsidP="006D41A7">
      <w:pPr>
        <w:pStyle w:val="ReportText"/>
        <w:numPr>
          <w:ilvl w:val="0"/>
          <w:numId w:val="49"/>
        </w:numPr>
        <w:spacing w:before="120" w:after="120"/>
        <w:ind w:left="567" w:hanging="425"/>
        <w:jc w:val="both"/>
      </w:pPr>
      <w:r w:rsidRPr="00FB44DB">
        <w:t xml:space="preserve">Wariant „2” </w:t>
      </w:r>
    </w:p>
    <w:p w14:paraId="6C5329D3" w14:textId="77777777" w:rsidR="00107FCF" w:rsidRPr="00FB44DB" w:rsidRDefault="00107FCF" w:rsidP="006D41A7">
      <w:pPr>
        <w:pStyle w:val="ReportText"/>
        <w:numPr>
          <w:ilvl w:val="2"/>
          <w:numId w:val="24"/>
        </w:numPr>
        <w:spacing w:before="120" w:after="120"/>
        <w:ind w:left="1134" w:hanging="283"/>
        <w:jc w:val="both"/>
      </w:pPr>
      <w:r>
        <w:t>t</w:t>
      </w:r>
      <w:r w:rsidRPr="00FB44DB">
        <w:t>yp ochrony: wał przeciwpowodziowy;</w:t>
      </w:r>
    </w:p>
    <w:p w14:paraId="4D786FC6" w14:textId="77777777" w:rsidR="00107FCF" w:rsidRPr="00FB44DB" w:rsidRDefault="00107FCF" w:rsidP="006D41A7">
      <w:pPr>
        <w:pStyle w:val="ReportText"/>
        <w:numPr>
          <w:ilvl w:val="2"/>
          <w:numId w:val="24"/>
        </w:numPr>
        <w:spacing w:before="120" w:after="120"/>
        <w:ind w:left="1134" w:hanging="283"/>
        <w:jc w:val="both"/>
      </w:pPr>
      <w:r>
        <w:t>ś</w:t>
      </w:r>
      <w:r w:rsidRPr="00FB44DB">
        <w:t>rednia wysokość: 2,6 m;</w:t>
      </w:r>
    </w:p>
    <w:p w14:paraId="2064DCF8" w14:textId="77777777" w:rsidR="00107FCF" w:rsidRPr="00FB44DB" w:rsidRDefault="00107FCF" w:rsidP="006D41A7">
      <w:pPr>
        <w:pStyle w:val="ReportText"/>
        <w:numPr>
          <w:ilvl w:val="2"/>
          <w:numId w:val="24"/>
        </w:numPr>
        <w:spacing w:before="120" w:after="120"/>
        <w:ind w:left="1134" w:hanging="283"/>
        <w:jc w:val="both"/>
      </w:pPr>
      <w:r w:rsidRPr="00FB44DB">
        <w:t>mobilne przegrody przeciwpowodziowe (belki zaporowe - szandory);</w:t>
      </w:r>
    </w:p>
    <w:p w14:paraId="587DC7FF" w14:textId="1AFF2C52" w:rsidR="00107FCF" w:rsidRPr="00FB44DB" w:rsidRDefault="00107FCF" w:rsidP="006D41A7">
      <w:pPr>
        <w:pStyle w:val="ReportText"/>
        <w:numPr>
          <w:ilvl w:val="2"/>
          <w:numId w:val="24"/>
        </w:numPr>
        <w:spacing w:before="120" w:after="120"/>
        <w:ind w:left="1134" w:hanging="283"/>
        <w:jc w:val="both"/>
      </w:pPr>
      <w:r w:rsidRPr="00FB44DB">
        <w:t xml:space="preserve">mur oporowy + mobilne przegrody przeciwpowodziowe (belki zaporowe </w:t>
      </w:r>
      <w:r w:rsidR="00D408DE">
        <w:t>–</w:t>
      </w:r>
      <w:r w:rsidRPr="00FB44DB">
        <w:t xml:space="preserve"> szandory);</w:t>
      </w:r>
    </w:p>
    <w:p w14:paraId="6C6E5A6D" w14:textId="61BC72A2" w:rsidR="00107FCF" w:rsidRDefault="00107FCF" w:rsidP="00CA0F4A">
      <w:pPr>
        <w:spacing w:afterLines="160" w:after="384"/>
        <w:jc w:val="both"/>
        <w:rPr>
          <w:bCs/>
        </w:rPr>
      </w:pPr>
      <w:r w:rsidRPr="00FB44DB">
        <w:rPr>
          <w:bCs/>
        </w:rPr>
        <w:t>Wariant 2 różni się od wariantu 1 budową wału zamiast mobilnych systemów ochrony, wzdłuż ul. Nadmorskiej. Wał jest planowany na terenie niezabudowanym, wzdłuż podmokłego terenu, porośniętego roślinnością wodną, trzcinami. Może on stanowić ewentualne zakłócenie krajobrazu dla mieszkańców zabudowań w sąsiedztwie planowanego wału. Teren nie jest zabudowany, nie jest tam prowadzona żadna działalność. Nie będzie konieczności przesiedleń, wyburzeń ewentualne wywłaszczenia nie obejmują cennych terenów. Nie przewiduje się zatem znaczących konfliktów społecznych dla propozycji działań w tym wariancie.</w:t>
      </w:r>
    </w:p>
    <w:p w14:paraId="608FEACD" w14:textId="087CE9B0" w:rsidR="00107FCF" w:rsidRPr="00FB44DB" w:rsidRDefault="00107FCF" w:rsidP="006D41A7">
      <w:pPr>
        <w:pStyle w:val="ReportLevel3"/>
        <w:numPr>
          <w:ilvl w:val="2"/>
          <w:numId w:val="4"/>
        </w:numPr>
      </w:pPr>
      <w:r w:rsidRPr="00FB44DB">
        <w:rPr>
          <w:bCs/>
        </w:rPr>
        <w:t>Obszar problemowy IOP_10 Stepnica północ- Kanał Kłosowicza</w:t>
      </w:r>
    </w:p>
    <w:p w14:paraId="0C2FA732" w14:textId="77777777" w:rsidR="00107FCF" w:rsidRPr="00FB44DB" w:rsidRDefault="00107FCF" w:rsidP="00EA72F6">
      <w:pPr>
        <w:pStyle w:val="ReportText"/>
        <w:spacing w:before="120" w:after="120"/>
        <w:jc w:val="both"/>
      </w:pPr>
      <w:r w:rsidRPr="00FB44DB">
        <w:t xml:space="preserve">Dla obszaru problemowego IOP_10 Stepnica północ - Kanał Kłosowicza działania obejmują: </w:t>
      </w:r>
    </w:p>
    <w:p w14:paraId="1B2DF226" w14:textId="77777777" w:rsidR="00107FCF" w:rsidRPr="00FB44DB" w:rsidRDefault="00107FCF" w:rsidP="006D41A7">
      <w:pPr>
        <w:pStyle w:val="ReportText"/>
        <w:numPr>
          <w:ilvl w:val="0"/>
          <w:numId w:val="49"/>
        </w:numPr>
        <w:spacing w:before="120" w:after="120"/>
        <w:ind w:left="567" w:hanging="425"/>
        <w:jc w:val="both"/>
      </w:pPr>
      <w:r w:rsidRPr="00FB44DB">
        <w:t xml:space="preserve">Wariant „1” </w:t>
      </w:r>
    </w:p>
    <w:p w14:paraId="4CAF4C22" w14:textId="653712FC" w:rsidR="00107FCF" w:rsidRPr="00FB44DB" w:rsidRDefault="00107FCF" w:rsidP="006D41A7">
      <w:pPr>
        <w:pStyle w:val="ReportText"/>
        <w:numPr>
          <w:ilvl w:val="2"/>
          <w:numId w:val="24"/>
        </w:numPr>
        <w:spacing w:before="120" w:after="120"/>
        <w:ind w:left="1134" w:hanging="283"/>
        <w:jc w:val="both"/>
      </w:pPr>
      <w:r>
        <w:t>t</w:t>
      </w:r>
      <w:r w:rsidRPr="00FB44DB">
        <w:t xml:space="preserve">yp ochrony: mobilne przegrody przeciwpowodziowe (belki zaporowe </w:t>
      </w:r>
      <w:r w:rsidR="00D408DE">
        <w:t>–</w:t>
      </w:r>
      <w:r w:rsidRPr="00FB44DB">
        <w:t xml:space="preserve"> szandory);</w:t>
      </w:r>
    </w:p>
    <w:p w14:paraId="7C089442" w14:textId="77777777" w:rsidR="00107FCF" w:rsidRPr="00FB44DB" w:rsidRDefault="00107FCF" w:rsidP="006D41A7">
      <w:pPr>
        <w:pStyle w:val="ReportText"/>
        <w:numPr>
          <w:ilvl w:val="2"/>
          <w:numId w:val="24"/>
        </w:numPr>
        <w:spacing w:before="120" w:after="120"/>
        <w:ind w:left="1134" w:hanging="283"/>
        <w:jc w:val="both"/>
      </w:pPr>
      <w:r>
        <w:t>t</w:t>
      </w:r>
      <w:r w:rsidRPr="00FB44DB">
        <w:t>yp ochrony: mobilne przegrody przeciwpowodziowe (przegrody elastyczne);</w:t>
      </w:r>
    </w:p>
    <w:p w14:paraId="702C94FF" w14:textId="104DBBE1" w:rsidR="00107FCF" w:rsidRDefault="00107FCF" w:rsidP="00EA72F6">
      <w:pPr>
        <w:pStyle w:val="ReportText"/>
        <w:spacing w:before="120" w:after="120"/>
        <w:jc w:val="both"/>
      </w:pPr>
      <w:r w:rsidRPr="00FB44DB">
        <w:t>W przypadku działań na terenie Stepnicy planuje się w Wariancie 1 tylko zabezpieczenia mobilne. W tym jeden odcinek, położony wzdłuż portu jachtowego jest przewidywany do realizacji z wykorzystaniem elastycznych barier, napełnianych wodą w przypadku przewidywanego zagrożenia. Nie wymaga to praktycznie żadnego przygotowania terenu poza ewentualnym uprzątnięciem przed rozpoczęciem rozkładania barier. W związku z tym nie przewiduje się konfliktów społecznych związanych z działaniem dotyczącym mobilnych systemów ochrony przeciwpowodziowej. Ewentualne przygotowanie terenu pod elementy szandorowe obiekty będzie stanowiło krótkotrwałą uciążliwość, po zakończeniu przygotowań elementy przegród mobilnych będą niemal niewidoczne i nie będą stanowiły przeszkód komunikacyjnych, jak również nie będą zakłócały krajobrazu.</w:t>
      </w:r>
    </w:p>
    <w:p w14:paraId="795CDF90" w14:textId="3B1DBC76" w:rsidR="00107FCF" w:rsidRPr="00FB44DB" w:rsidRDefault="006D41A7" w:rsidP="00EA72F6">
      <w:pPr>
        <w:pStyle w:val="ReportText"/>
        <w:spacing w:before="120" w:after="120"/>
        <w:jc w:val="both"/>
      </w:pPr>
      <w:r>
        <w:br w:type="column"/>
      </w:r>
      <w:r w:rsidR="00107FCF" w:rsidRPr="00FB44DB">
        <w:lastRenderedPageBreak/>
        <w:t>Nie przewiduje się wywłaszczeń terenu, wyburzania budynków ani przesiedleń ludności.</w:t>
      </w:r>
    </w:p>
    <w:p w14:paraId="7AF98AEC" w14:textId="77777777" w:rsidR="00107FCF" w:rsidRPr="00FB44DB" w:rsidRDefault="00107FCF" w:rsidP="006D41A7">
      <w:pPr>
        <w:pStyle w:val="ReportText"/>
        <w:numPr>
          <w:ilvl w:val="0"/>
          <w:numId w:val="49"/>
        </w:numPr>
        <w:spacing w:before="120" w:after="120"/>
        <w:ind w:left="567" w:hanging="425"/>
        <w:jc w:val="both"/>
      </w:pPr>
      <w:r w:rsidRPr="00FB44DB">
        <w:t xml:space="preserve">Wariant „2”  </w:t>
      </w:r>
    </w:p>
    <w:p w14:paraId="52538A6D" w14:textId="77777777" w:rsidR="00107FCF" w:rsidRPr="00FB44DB" w:rsidRDefault="00107FCF" w:rsidP="006D41A7">
      <w:pPr>
        <w:pStyle w:val="ReportText"/>
        <w:numPr>
          <w:ilvl w:val="2"/>
          <w:numId w:val="24"/>
        </w:numPr>
        <w:spacing w:before="120" w:after="120"/>
        <w:ind w:left="1134" w:hanging="283"/>
        <w:jc w:val="both"/>
      </w:pPr>
      <w:r w:rsidRPr="00FB44DB">
        <w:t>Typ ochrony: mobilne przegrody przeciwpowodziowe (belki zaporowe - szandory);</w:t>
      </w:r>
    </w:p>
    <w:p w14:paraId="69F259D4" w14:textId="77777777" w:rsidR="00107FCF" w:rsidRPr="00FB44DB" w:rsidRDefault="00107FCF" w:rsidP="006D41A7">
      <w:pPr>
        <w:pStyle w:val="ReportText"/>
        <w:numPr>
          <w:ilvl w:val="2"/>
          <w:numId w:val="24"/>
        </w:numPr>
        <w:spacing w:before="120" w:after="120"/>
        <w:ind w:left="1134" w:hanging="283"/>
        <w:jc w:val="both"/>
      </w:pPr>
      <w:r w:rsidRPr="00FB44DB">
        <w:t>Typ ochrony: mobilne przegrody przeciwpowodziowe (przegrody elastyczne);</w:t>
      </w:r>
    </w:p>
    <w:p w14:paraId="116CF8E1" w14:textId="77777777" w:rsidR="00107FCF" w:rsidRPr="00FB44DB" w:rsidRDefault="00107FCF" w:rsidP="006D41A7">
      <w:pPr>
        <w:pStyle w:val="ReportText"/>
        <w:numPr>
          <w:ilvl w:val="2"/>
          <w:numId w:val="24"/>
        </w:numPr>
        <w:spacing w:before="120" w:after="120"/>
        <w:ind w:left="1134" w:hanging="283"/>
        <w:jc w:val="both"/>
      </w:pPr>
      <w:r w:rsidRPr="00FB44DB">
        <w:t>Typ ochrony: mur oporowy;</w:t>
      </w:r>
    </w:p>
    <w:p w14:paraId="1C948191" w14:textId="7ED3C531" w:rsidR="00107FCF" w:rsidRDefault="00107FCF" w:rsidP="00EA72F6">
      <w:pPr>
        <w:pStyle w:val="ReportText"/>
        <w:spacing w:before="120" w:after="120"/>
        <w:jc w:val="both"/>
      </w:pPr>
      <w:r w:rsidRPr="00FB44DB">
        <w:t>Wariant 2 różni się od wariantu 1 lokalizacją mobilnych przegród elastycznych oraz budową odcinka muru oporowego. W związku z budową elementów mobilnego systemu, podobnie jak w wariancie 1 nie przewiduje się konfliktów społecznych. Większą ingerencją w teren jest budowa odcinka muru oporowego w rejonie ul. Młynarskiej. W tym przypadku wystąpi najprawdopodobniej konieczność zajęcia części działki prywatnej, mur jest również planowany w sąsiedztwie budynku jednorodzinnego. W tym przypadku należy się spodziewać konfliktu ze strony właściciela nieruchomości sąsiadującej murem. Mur nie będzie zakłócał komunikacji, nie naruszy walorów krajobrazowych, jest planowany na porośniętym nadrzecznymi zaroślami terenie, stąd nie powinien być źródłem konfliktów społecznych z tym związanych. Nie przewiduje się konieczności wyburzeń budynków ani przesiedleń ludności.</w:t>
      </w:r>
    </w:p>
    <w:p w14:paraId="1D40F033" w14:textId="5F4B90B1" w:rsidR="006D41A7" w:rsidRDefault="006D41A7" w:rsidP="00EA72F6">
      <w:pPr>
        <w:pStyle w:val="ReportText"/>
        <w:spacing w:before="120" w:after="120"/>
        <w:jc w:val="both"/>
      </w:pPr>
    </w:p>
    <w:p w14:paraId="083B6980" w14:textId="61320DF9" w:rsidR="00107FCF" w:rsidRPr="00FB44DB" w:rsidRDefault="00107FCF" w:rsidP="006D41A7">
      <w:pPr>
        <w:pStyle w:val="ReportLevel3"/>
        <w:numPr>
          <w:ilvl w:val="2"/>
          <w:numId w:val="4"/>
        </w:numPr>
      </w:pPr>
      <w:r w:rsidRPr="00FB44DB">
        <w:rPr>
          <w:bCs/>
        </w:rPr>
        <w:t>Obszar problemowy IOP_11 Nowe Warpno</w:t>
      </w:r>
    </w:p>
    <w:p w14:paraId="6A4B1476" w14:textId="77777777" w:rsidR="00107FCF" w:rsidRPr="00FB44DB" w:rsidRDefault="00107FCF" w:rsidP="00EA72F6">
      <w:pPr>
        <w:pStyle w:val="ReportText"/>
        <w:spacing w:before="120" w:after="120"/>
        <w:jc w:val="both"/>
      </w:pPr>
      <w:r w:rsidRPr="00FB44DB">
        <w:t xml:space="preserve">Dla obszaru problemowego IOP_11 Nowe działania przeciwpowodziowe obejmują: </w:t>
      </w:r>
    </w:p>
    <w:p w14:paraId="5D5CDF36" w14:textId="77777777" w:rsidR="00107FCF" w:rsidRPr="00FB44DB" w:rsidRDefault="00107FCF" w:rsidP="006D41A7">
      <w:pPr>
        <w:pStyle w:val="ReportText"/>
        <w:numPr>
          <w:ilvl w:val="0"/>
          <w:numId w:val="48"/>
        </w:numPr>
        <w:spacing w:before="120" w:after="120"/>
        <w:ind w:left="567" w:hanging="425"/>
        <w:jc w:val="both"/>
      </w:pPr>
      <w:r w:rsidRPr="00FB44DB">
        <w:t xml:space="preserve">Wariant „1” </w:t>
      </w:r>
    </w:p>
    <w:p w14:paraId="4EEC0D7B" w14:textId="77777777" w:rsidR="00107FCF" w:rsidRPr="00FB44DB" w:rsidRDefault="00107FCF" w:rsidP="006D41A7">
      <w:pPr>
        <w:pStyle w:val="ReportText"/>
        <w:numPr>
          <w:ilvl w:val="2"/>
          <w:numId w:val="24"/>
        </w:numPr>
        <w:spacing w:before="120" w:after="120"/>
        <w:ind w:left="1134" w:hanging="283"/>
        <w:jc w:val="both"/>
      </w:pPr>
      <w:r w:rsidRPr="00FB44DB">
        <w:t>Typ ochrony: wały przeciwpowodziowe;</w:t>
      </w:r>
    </w:p>
    <w:p w14:paraId="50CE12FB" w14:textId="3FAA0846" w:rsidR="00107FCF" w:rsidRPr="00FB44DB" w:rsidRDefault="00107FCF" w:rsidP="00EA72F6">
      <w:pPr>
        <w:pStyle w:val="ReportText"/>
        <w:spacing w:before="120" w:after="120"/>
        <w:jc w:val="both"/>
      </w:pPr>
      <w:r w:rsidRPr="00FB44DB">
        <w:t xml:space="preserve">W wariancie 1 planowana jest budowa dwóch odcinków wałów przeciwpowodziowych o długości ok. </w:t>
      </w:r>
      <w:r w:rsidR="005A0B07">
        <w:t>5</w:t>
      </w:r>
      <w:r w:rsidRPr="00FB44DB">
        <w:t xml:space="preserve">0 i 40 m. Pierwszy z nich planowany jest na terenie nieużytków w pobliżu ul. Dworcowej, na terenie porośniętym niską roślinnością krzewiastą, nie jest to teren atrakcyjny pod względem turystycznym, nie znajdują się w bezpośrednim sąsiedztwie zabudowania, nie jest prowadzona działalność związana z zabudową stałą. Nie przewiduje się poprzez budowę wału zakłócania walorów krajobrazowych czy widokowych na tym terenie w związku z tym nie przewiduje się konfliktów społecznych z tym związanych. Budowa wału będzie wymagała zajęcia terenu, stąd można się spodziewać utrudnień od właścicieli działek, na których planowany jest wał. Nie przewiduje się wyburzeń ani przesiedleń ludności. </w:t>
      </w:r>
    </w:p>
    <w:p w14:paraId="0CBB0539" w14:textId="77777777" w:rsidR="00107FCF" w:rsidRPr="00FB44DB" w:rsidRDefault="00107FCF" w:rsidP="00EA72F6">
      <w:pPr>
        <w:pStyle w:val="ReportText"/>
        <w:spacing w:before="120" w:after="120"/>
        <w:jc w:val="both"/>
      </w:pPr>
      <w:r w:rsidRPr="00FB44DB">
        <w:t xml:space="preserve">Drugi z odcinków wału mieści się na terenie kempingu przy ul. Słonecznej. Długość wału to ok. 40 m jednak w tym przypadku należy się spodziewać sprzeciwów ze strony właściciela kempingu. Część terenu przy plaży zostanie zajęta pod wał, uniemożliwiając korzystanie turystyczne, dostęp do plaży zostanie zakłócony, jednak nie uniemożliwiony. Nie będzie konieczności wyburzeń budynków ani przesiedleń.  </w:t>
      </w:r>
    </w:p>
    <w:p w14:paraId="7DC40D9B" w14:textId="77207B64" w:rsidR="00107FCF" w:rsidRPr="00FB44DB" w:rsidRDefault="006D41A7" w:rsidP="006D41A7">
      <w:pPr>
        <w:pStyle w:val="ReportText"/>
        <w:numPr>
          <w:ilvl w:val="0"/>
          <w:numId w:val="48"/>
        </w:numPr>
        <w:spacing w:before="120" w:after="120"/>
        <w:ind w:left="567" w:hanging="425"/>
        <w:jc w:val="both"/>
      </w:pPr>
      <w:r>
        <w:br w:type="column"/>
      </w:r>
      <w:r w:rsidR="00107FCF" w:rsidRPr="00FB44DB">
        <w:lastRenderedPageBreak/>
        <w:t xml:space="preserve">Wariant „2” </w:t>
      </w:r>
    </w:p>
    <w:p w14:paraId="654AF276" w14:textId="342A9FD8" w:rsidR="00107FCF" w:rsidRDefault="00107FCF" w:rsidP="006D41A7">
      <w:pPr>
        <w:pStyle w:val="ReportText"/>
        <w:numPr>
          <w:ilvl w:val="2"/>
          <w:numId w:val="24"/>
        </w:numPr>
        <w:spacing w:before="120" w:after="120"/>
        <w:ind w:left="1134" w:hanging="283"/>
        <w:jc w:val="both"/>
      </w:pPr>
      <w:r w:rsidRPr="00FB44DB">
        <w:t>Typ ochrony: mury oporowe;</w:t>
      </w:r>
    </w:p>
    <w:p w14:paraId="07447C27" w14:textId="3B8AFB95" w:rsidR="00107FCF" w:rsidRPr="00FB44DB" w:rsidRDefault="00107FCF" w:rsidP="00EA72F6">
      <w:pPr>
        <w:pStyle w:val="ReportText"/>
        <w:spacing w:before="120" w:after="120"/>
        <w:jc w:val="both"/>
      </w:pPr>
      <w:r w:rsidRPr="00FB44DB">
        <w:t>Wariant 2 różni się od poprzedniego wariantu tym, że zamiast wałów przeciwpowodziowych planowane są dwa odcinki murów oporowych, jednak o większej długości niż planowane wały. Lokalizacja obiektów jest podobna. Dłuższy odcinek muru o długości ok 220 m będzie w rejonie ul. Żeromskiego i Dworcowej na terenie porośniętym niską roślinnością krzewiastą, nie jest to teren atrakcyjny pod względem turystycznym, nie znajdują się w bezpośrednim sąsiedztwie zabudowania, nie jest prowadzona działalność związana z zabudową stałą. Nie przewiduje się poprzez budowę muru zakłócania walorów krajobrazowych czy widokowych na tym terenie w związku z tym nie przewiduje się konfliktów społecznych z tym związanych. Budowa muru będzie wymagała zajęcia terenu, stąd można się spodziewać utrudnień od właścicieli działek, na których planowany jest mur oporowy. Nie przewiduje się wyburzeń ani przesiedleń ludności. Drugi odcinek muru jest planowany, podobnie jak wał w wariancie 1 na terenie kempingu przy ul. Słonecznej. W związku z tym przewiduje się podobne konflikty jak dla wału, czyli sprzeciwy ze strony właściciela kempingu. Część terenu przy plaży zostanie zajęta pod mur, uniemożliwiając korzystanie turystyczne, dostęp do plaży zostanie zakłócony, jednak nie uniemożliwiony. Nie będzie konieczności wyburzeń budynków ani przesiedleń</w:t>
      </w:r>
    </w:p>
    <w:p w14:paraId="695B8B21" w14:textId="77777777" w:rsidR="00107FCF" w:rsidRDefault="00107FCF" w:rsidP="006D41A7">
      <w:pPr>
        <w:pStyle w:val="ReportLevel1"/>
        <w:numPr>
          <w:ilvl w:val="0"/>
          <w:numId w:val="4"/>
        </w:numPr>
      </w:pPr>
      <w:r>
        <w:br w:type="column"/>
      </w:r>
      <w:bookmarkStart w:id="122" w:name="_Toc80608732"/>
      <w:r>
        <w:lastRenderedPageBreak/>
        <w:t>Aktualizacja katalogu działań przypisanych celom szczegółowym</w:t>
      </w:r>
      <w:bookmarkEnd w:id="122"/>
    </w:p>
    <w:p w14:paraId="77F55C35" w14:textId="7519E314" w:rsidR="00107FCF" w:rsidRDefault="00107FCF" w:rsidP="00F7551E">
      <w:pPr>
        <w:pStyle w:val="ReportText"/>
        <w:spacing w:before="120"/>
        <w:jc w:val="both"/>
      </w:pPr>
      <w:bookmarkStart w:id="123" w:name="_Toc39180331"/>
      <w:bookmarkStart w:id="124" w:name="_Toc58600756"/>
      <w:bookmarkStart w:id="125" w:name="_Toc58612747"/>
      <w:r w:rsidRPr="00F7551E">
        <w:t xml:space="preserve">Na podstawie wybranych wariantów planistycznych </w:t>
      </w:r>
      <w:r>
        <w:t xml:space="preserve">zaktualizowano ostateczną </w:t>
      </w:r>
      <w:r w:rsidRPr="00F7551E">
        <w:t>list</w:t>
      </w:r>
      <w:r>
        <w:t>ę</w:t>
      </w:r>
      <w:r w:rsidRPr="00F7551E">
        <w:t xml:space="preserve"> działań dla obszar</w:t>
      </w:r>
      <w:r>
        <w:t xml:space="preserve">u zlewni planistycznej Dolnej Odry (załącznik 5). Po przeanalizowaniu ostatecznej listy działań dokonano aktualizacji katalogu działań usuwając cele szczegółowe do których nie zostaną </w:t>
      </w:r>
      <w:r w:rsidRPr="00CB76B2">
        <w:t xml:space="preserve">przypisanie </w:t>
      </w:r>
      <w:r>
        <w:t>działania.</w:t>
      </w:r>
    </w:p>
    <w:p w14:paraId="1ADF5AB0" w14:textId="73FC4F07" w:rsidR="00107FCF" w:rsidRDefault="00107FCF" w:rsidP="006A3BC1">
      <w:pPr>
        <w:pStyle w:val="Legenda"/>
        <w:tabs>
          <w:tab w:val="clear" w:pos="1080"/>
        </w:tabs>
        <w:spacing w:before="120" w:after="0"/>
        <w:ind w:left="1134" w:hanging="1134"/>
        <w:jc w:val="both"/>
        <w:rPr>
          <w:sz w:val="24"/>
          <w:szCs w:val="28"/>
        </w:rPr>
      </w:pPr>
      <w:bookmarkStart w:id="126" w:name="_Toc80608777"/>
      <w:r w:rsidRPr="009C4284">
        <w:rPr>
          <w:sz w:val="24"/>
          <w:szCs w:val="28"/>
        </w:rPr>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24</w:t>
      </w:r>
      <w:r w:rsidR="00290AD4">
        <w:rPr>
          <w:sz w:val="24"/>
          <w:szCs w:val="28"/>
        </w:rPr>
        <w:fldChar w:fldCharType="end"/>
      </w:r>
      <w:r w:rsidRPr="009C4284">
        <w:rPr>
          <w:sz w:val="24"/>
          <w:szCs w:val="28"/>
        </w:rPr>
        <w:tab/>
        <w:t>Katalog działań przypisanych celom szczegółowym</w:t>
      </w:r>
      <w:bookmarkEnd w:id="126"/>
    </w:p>
    <w:tbl>
      <w:tblPr>
        <w:tblW w:w="8500" w:type="dxa"/>
        <w:tblBorders>
          <w:top w:val="single" w:sz="4" w:space="0" w:color="28AAE1"/>
          <w:left w:val="single" w:sz="4" w:space="0" w:color="28AAE1"/>
          <w:bottom w:val="single" w:sz="4" w:space="0" w:color="28AAE1"/>
          <w:right w:val="single" w:sz="4" w:space="0" w:color="28AAE1"/>
          <w:insideH w:val="single" w:sz="4" w:space="0" w:color="28AAE1"/>
          <w:insideV w:val="single" w:sz="4" w:space="0" w:color="28AAE1"/>
        </w:tblBorders>
        <w:tblCellMar>
          <w:left w:w="70" w:type="dxa"/>
          <w:right w:w="70" w:type="dxa"/>
        </w:tblCellMar>
        <w:tblLook w:val="04A0" w:firstRow="1" w:lastRow="0" w:firstColumn="1" w:lastColumn="0" w:noHBand="0" w:noVBand="1"/>
      </w:tblPr>
      <w:tblGrid>
        <w:gridCol w:w="444"/>
        <w:gridCol w:w="8056"/>
      </w:tblGrid>
      <w:tr w:rsidR="00087650" w:rsidRPr="00FF6FAD" w14:paraId="7EE0B273" w14:textId="77777777" w:rsidTr="006A3BC1">
        <w:trPr>
          <w:trHeight w:val="259"/>
          <w:tblHeader/>
        </w:trPr>
        <w:tc>
          <w:tcPr>
            <w:tcW w:w="8500" w:type="dxa"/>
            <w:gridSpan w:val="2"/>
            <w:shd w:val="clear" w:color="auto" w:fill="D4EDF9"/>
            <w:noWrap/>
            <w:hideMark/>
          </w:tcPr>
          <w:p w14:paraId="4B6BBA8E" w14:textId="77777777" w:rsidR="00087650" w:rsidRPr="00FF6FAD" w:rsidRDefault="00087650" w:rsidP="008427BB">
            <w:pPr>
              <w:tabs>
                <w:tab w:val="left" w:pos="3480"/>
              </w:tabs>
            </w:pPr>
            <w:r w:rsidRPr="00FF6FAD">
              <w:t>Nazwa i typ działania</w:t>
            </w:r>
          </w:p>
        </w:tc>
      </w:tr>
      <w:tr w:rsidR="00087650" w:rsidRPr="00FF6FAD" w14:paraId="3E7885F4" w14:textId="77777777" w:rsidTr="006A3BC1">
        <w:trPr>
          <w:trHeight w:val="259"/>
        </w:trPr>
        <w:tc>
          <w:tcPr>
            <w:tcW w:w="8500" w:type="dxa"/>
            <w:gridSpan w:val="2"/>
            <w:shd w:val="clear" w:color="auto" w:fill="D4EDF9"/>
            <w:noWrap/>
          </w:tcPr>
          <w:p w14:paraId="0D2ACFF4" w14:textId="77777777" w:rsidR="00087650" w:rsidRPr="00FF6FAD" w:rsidRDefault="00087650" w:rsidP="008427BB">
            <w:pPr>
              <w:tabs>
                <w:tab w:val="left" w:pos="3480"/>
              </w:tabs>
            </w:pPr>
            <w:r w:rsidRPr="00FF6FAD">
              <w:t>1. Zahamowanie wzrostu ryzyka powodziowego</w:t>
            </w:r>
          </w:p>
        </w:tc>
      </w:tr>
      <w:tr w:rsidR="00087650" w:rsidRPr="00FF6FAD" w14:paraId="4E570755" w14:textId="77777777" w:rsidTr="006A3BC1">
        <w:trPr>
          <w:trHeight w:val="259"/>
        </w:trPr>
        <w:tc>
          <w:tcPr>
            <w:tcW w:w="444" w:type="dxa"/>
            <w:vMerge w:val="restart"/>
            <w:shd w:val="clear" w:color="auto" w:fill="auto"/>
            <w:noWrap/>
            <w:hideMark/>
          </w:tcPr>
          <w:p w14:paraId="30B7B1F7" w14:textId="77777777" w:rsidR="00087650" w:rsidRPr="00FF6FAD" w:rsidRDefault="00087650" w:rsidP="008427BB">
            <w:pPr>
              <w:spacing w:before="120"/>
            </w:pPr>
            <w:r w:rsidRPr="00FF6FAD">
              <w:t>1.1</w:t>
            </w:r>
          </w:p>
        </w:tc>
        <w:tc>
          <w:tcPr>
            <w:tcW w:w="8056" w:type="dxa"/>
            <w:shd w:val="clear" w:color="auto" w:fill="D4EDF9"/>
            <w:noWrap/>
            <w:hideMark/>
          </w:tcPr>
          <w:p w14:paraId="12331FC8" w14:textId="77777777" w:rsidR="00087650" w:rsidRPr="00FF6FAD" w:rsidRDefault="00087650" w:rsidP="008427BB">
            <w:pPr>
              <w:spacing w:before="120"/>
            </w:pPr>
            <w:r w:rsidRPr="00FF6FAD">
              <w:t>Zapewnienie warunków ograniczających możliwość występowania powodzi</w:t>
            </w:r>
          </w:p>
        </w:tc>
      </w:tr>
      <w:tr w:rsidR="00087650" w:rsidRPr="00FF6FAD" w14:paraId="2301A8C3" w14:textId="77777777" w:rsidTr="008427BB">
        <w:trPr>
          <w:trHeight w:val="259"/>
        </w:trPr>
        <w:tc>
          <w:tcPr>
            <w:tcW w:w="444" w:type="dxa"/>
            <w:vMerge/>
          </w:tcPr>
          <w:p w14:paraId="7BC1333F" w14:textId="77777777" w:rsidR="00087650" w:rsidRPr="00FF6FAD" w:rsidRDefault="00087650" w:rsidP="008427BB"/>
        </w:tc>
        <w:tc>
          <w:tcPr>
            <w:tcW w:w="8056" w:type="dxa"/>
            <w:shd w:val="clear" w:color="auto" w:fill="auto"/>
          </w:tcPr>
          <w:p w14:paraId="3DD80341" w14:textId="77777777" w:rsidR="00087650" w:rsidRPr="00FF6FAD" w:rsidRDefault="00087650" w:rsidP="006D41A7">
            <w:pPr>
              <w:pStyle w:val="Akapitzlist"/>
              <w:numPr>
                <w:ilvl w:val="0"/>
                <w:numId w:val="48"/>
              </w:numPr>
              <w:ind w:left="192" w:hanging="192"/>
              <w:rPr>
                <w:sz w:val="24"/>
                <w:szCs w:val="24"/>
              </w:rPr>
            </w:pPr>
            <w:r w:rsidRPr="00FF6FAD">
              <w:rPr>
                <w:sz w:val="24"/>
                <w:szCs w:val="24"/>
              </w:rPr>
              <w:t>Budowa, przebudowa wałów przeciwpowodziowych/ przeciwsztormowych, murów oporowych</w:t>
            </w:r>
          </w:p>
        </w:tc>
      </w:tr>
      <w:tr w:rsidR="00087650" w:rsidRPr="00FF6FAD" w14:paraId="14747475" w14:textId="77777777" w:rsidTr="008427BB">
        <w:trPr>
          <w:trHeight w:val="259"/>
        </w:trPr>
        <w:tc>
          <w:tcPr>
            <w:tcW w:w="444" w:type="dxa"/>
            <w:vMerge/>
          </w:tcPr>
          <w:p w14:paraId="11B3F3A5" w14:textId="77777777" w:rsidR="00087650" w:rsidRPr="00FF6FAD" w:rsidRDefault="00087650" w:rsidP="008427BB"/>
        </w:tc>
        <w:tc>
          <w:tcPr>
            <w:tcW w:w="8056" w:type="dxa"/>
            <w:shd w:val="clear" w:color="auto" w:fill="auto"/>
          </w:tcPr>
          <w:p w14:paraId="3F96BA43" w14:textId="77777777" w:rsidR="00087650" w:rsidRPr="00FF6FAD" w:rsidRDefault="00087650" w:rsidP="006D41A7">
            <w:pPr>
              <w:pStyle w:val="Akapitzlist"/>
              <w:numPr>
                <w:ilvl w:val="0"/>
                <w:numId w:val="48"/>
              </w:numPr>
              <w:ind w:left="192" w:hanging="192"/>
              <w:rPr>
                <w:sz w:val="24"/>
                <w:szCs w:val="24"/>
              </w:rPr>
            </w:pPr>
            <w:r w:rsidRPr="00FF6FAD">
              <w:rPr>
                <w:sz w:val="24"/>
                <w:szCs w:val="24"/>
              </w:rPr>
              <w:t>Budowa mobilnych systemów ochrony przed powodzią</w:t>
            </w:r>
          </w:p>
        </w:tc>
      </w:tr>
      <w:tr w:rsidR="00087650" w:rsidRPr="00FF6FAD" w14:paraId="7CD645D5" w14:textId="77777777" w:rsidTr="008427BB">
        <w:trPr>
          <w:trHeight w:val="88"/>
        </w:trPr>
        <w:tc>
          <w:tcPr>
            <w:tcW w:w="444" w:type="dxa"/>
            <w:vMerge/>
          </w:tcPr>
          <w:p w14:paraId="52A4775B" w14:textId="77777777" w:rsidR="00087650" w:rsidRPr="00FF6FAD" w:rsidRDefault="00087650" w:rsidP="008427BB"/>
        </w:tc>
        <w:tc>
          <w:tcPr>
            <w:tcW w:w="8056" w:type="dxa"/>
            <w:shd w:val="clear" w:color="auto" w:fill="auto"/>
          </w:tcPr>
          <w:p w14:paraId="0A83C982" w14:textId="77777777" w:rsidR="00087650" w:rsidRPr="00FF6FAD" w:rsidRDefault="00087650" w:rsidP="006D41A7">
            <w:pPr>
              <w:pStyle w:val="Akapitzlist"/>
              <w:numPr>
                <w:ilvl w:val="0"/>
                <w:numId w:val="48"/>
              </w:numPr>
              <w:ind w:left="192" w:hanging="192"/>
              <w:rPr>
                <w:sz w:val="24"/>
                <w:szCs w:val="24"/>
              </w:rPr>
            </w:pPr>
            <w:r w:rsidRPr="00FF6FAD">
              <w:rPr>
                <w:sz w:val="24"/>
                <w:szCs w:val="24"/>
              </w:rPr>
              <w:t>Zapewnienie funkcjonalności istniejącej infrastruktury przeciwpowodziowej</w:t>
            </w:r>
          </w:p>
        </w:tc>
      </w:tr>
      <w:tr w:rsidR="00087650" w:rsidRPr="00FF6FAD" w14:paraId="4A40AF2F" w14:textId="77777777" w:rsidTr="008427BB">
        <w:trPr>
          <w:trHeight w:val="88"/>
        </w:trPr>
        <w:tc>
          <w:tcPr>
            <w:tcW w:w="444" w:type="dxa"/>
            <w:vMerge/>
          </w:tcPr>
          <w:p w14:paraId="4341F2C4" w14:textId="77777777" w:rsidR="00087650" w:rsidRPr="00FF6FAD" w:rsidRDefault="00087650" w:rsidP="008427BB"/>
        </w:tc>
        <w:tc>
          <w:tcPr>
            <w:tcW w:w="8056" w:type="dxa"/>
            <w:shd w:val="clear" w:color="auto" w:fill="auto"/>
          </w:tcPr>
          <w:p w14:paraId="540B22BE" w14:textId="77777777" w:rsidR="00087650" w:rsidRPr="00FF6FAD" w:rsidRDefault="00087650" w:rsidP="006D41A7">
            <w:pPr>
              <w:pStyle w:val="Akapitzlist"/>
              <w:numPr>
                <w:ilvl w:val="0"/>
                <w:numId w:val="48"/>
              </w:numPr>
              <w:ind w:left="192" w:hanging="192"/>
              <w:rPr>
                <w:sz w:val="24"/>
                <w:szCs w:val="24"/>
              </w:rPr>
            </w:pPr>
            <w:r w:rsidRPr="00FF6FAD">
              <w:rPr>
                <w:sz w:val="24"/>
                <w:szCs w:val="24"/>
              </w:rPr>
              <w:t>Zapewnienie możliwości prowadzenia akcji lodołamania</w:t>
            </w:r>
          </w:p>
        </w:tc>
      </w:tr>
      <w:tr w:rsidR="00087650" w:rsidRPr="00FF6FAD" w14:paraId="06A54202" w14:textId="77777777" w:rsidTr="006A3BC1">
        <w:trPr>
          <w:trHeight w:val="259"/>
        </w:trPr>
        <w:tc>
          <w:tcPr>
            <w:tcW w:w="8500" w:type="dxa"/>
            <w:gridSpan w:val="2"/>
            <w:shd w:val="clear" w:color="auto" w:fill="D4EDF9"/>
            <w:noWrap/>
            <w:hideMark/>
          </w:tcPr>
          <w:p w14:paraId="2E8D87F3" w14:textId="77777777" w:rsidR="00087650" w:rsidRPr="00FF6FAD" w:rsidRDefault="00087650" w:rsidP="008427BB">
            <w:pPr>
              <w:rPr>
                <w:highlight w:val="green"/>
              </w:rPr>
            </w:pPr>
            <w:r w:rsidRPr="00FF6FAD">
              <w:t>2. Obniżenie istniejącego ryzyka powodziowego</w:t>
            </w:r>
          </w:p>
        </w:tc>
      </w:tr>
      <w:tr w:rsidR="00087650" w:rsidRPr="00FF6FAD" w14:paraId="79C663B3" w14:textId="77777777" w:rsidTr="006A3BC1">
        <w:trPr>
          <w:trHeight w:val="259"/>
        </w:trPr>
        <w:tc>
          <w:tcPr>
            <w:tcW w:w="444" w:type="dxa"/>
            <w:vMerge w:val="restart"/>
            <w:shd w:val="clear" w:color="auto" w:fill="auto"/>
            <w:noWrap/>
            <w:hideMark/>
          </w:tcPr>
          <w:p w14:paraId="0CE1FA35" w14:textId="77777777" w:rsidR="00087650" w:rsidRPr="00FF6FAD" w:rsidRDefault="00087650" w:rsidP="008427BB">
            <w:r w:rsidRPr="00FF6FAD">
              <w:t>2.2</w:t>
            </w:r>
          </w:p>
        </w:tc>
        <w:tc>
          <w:tcPr>
            <w:tcW w:w="8056" w:type="dxa"/>
            <w:shd w:val="clear" w:color="auto" w:fill="D4EDF9"/>
            <w:noWrap/>
            <w:hideMark/>
          </w:tcPr>
          <w:p w14:paraId="54486E90" w14:textId="77777777" w:rsidR="00087650" w:rsidRPr="00FF6FAD" w:rsidRDefault="00087650" w:rsidP="008427BB">
            <w:pPr>
              <w:rPr>
                <w:highlight w:val="green"/>
              </w:rPr>
            </w:pPr>
            <w:r w:rsidRPr="00FF6FAD">
              <w:t>Redukcja obszaru zagrożonego powodzią oraz zapewnienie racjonalnego gospodarowania obszarami zagrożenia powodziowego</w:t>
            </w:r>
          </w:p>
        </w:tc>
      </w:tr>
      <w:tr w:rsidR="00087650" w:rsidRPr="00FF6FAD" w14:paraId="01A6C726" w14:textId="77777777" w:rsidTr="008427BB">
        <w:trPr>
          <w:trHeight w:val="259"/>
        </w:trPr>
        <w:tc>
          <w:tcPr>
            <w:tcW w:w="444" w:type="dxa"/>
            <w:vMerge/>
            <w:hideMark/>
          </w:tcPr>
          <w:p w14:paraId="4AEBBE9E" w14:textId="77777777" w:rsidR="00087650" w:rsidRPr="00FF6FAD" w:rsidRDefault="00087650" w:rsidP="008427BB"/>
        </w:tc>
        <w:tc>
          <w:tcPr>
            <w:tcW w:w="8056" w:type="dxa"/>
            <w:shd w:val="clear" w:color="auto" w:fill="auto"/>
            <w:hideMark/>
          </w:tcPr>
          <w:p w14:paraId="50FC7F26" w14:textId="77777777" w:rsidR="00087650" w:rsidRPr="00FF6FAD" w:rsidRDefault="00087650" w:rsidP="006D41A7">
            <w:pPr>
              <w:pStyle w:val="Akapitzlist"/>
              <w:numPr>
                <w:ilvl w:val="0"/>
                <w:numId w:val="51"/>
              </w:numPr>
              <w:ind w:left="192" w:hanging="192"/>
              <w:rPr>
                <w:sz w:val="24"/>
                <w:szCs w:val="24"/>
              </w:rPr>
            </w:pPr>
            <w:r w:rsidRPr="00FF6FAD">
              <w:rPr>
                <w:sz w:val="24"/>
                <w:szCs w:val="24"/>
              </w:rPr>
              <w:t>Budowa, przebudowa wałów przeciwpowodziowych / przeciwsztormowych, murów oporowych</w:t>
            </w:r>
          </w:p>
        </w:tc>
      </w:tr>
      <w:tr w:rsidR="00087650" w:rsidRPr="00FF6FAD" w14:paraId="7B590AAA" w14:textId="77777777" w:rsidTr="008427BB">
        <w:trPr>
          <w:trHeight w:val="259"/>
        </w:trPr>
        <w:tc>
          <w:tcPr>
            <w:tcW w:w="444" w:type="dxa"/>
            <w:vMerge/>
            <w:hideMark/>
          </w:tcPr>
          <w:p w14:paraId="7632B752" w14:textId="77777777" w:rsidR="00087650" w:rsidRPr="00FF6FAD" w:rsidRDefault="00087650" w:rsidP="008427BB"/>
        </w:tc>
        <w:tc>
          <w:tcPr>
            <w:tcW w:w="8056" w:type="dxa"/>
            <w:shd w:val="clear" w:color="auto" w:fill="auto"/>
            <w:hideMark/>
          </w:tcPr>
          <w:p w14:paraId="12AFBFAD" w14:textId="77777777" w:rsidR="00087650" w:rsidRPr="00FF6FAD" w:rsidRDefault="00087650" w:rsidP="006D41A7">
            <w:pPr>
              <w:pStyle w:val="Akapitzlist"/>
              <w:numPr>
                <w:ilvl w:val="0"/>
                <w:numId w:val="51"/>
              </w:numPr>
              <w:ind w:left="192" w:hanging="192"/>
              <w:rPr>
                <w:sz w:val="24"/>
                <w:szCs w:val="24"/>
              </w:rPr>
            </w:pPr>
            <w:r w:rsidRPr="00FF6FAD">
              <w:rPr>
                <w:sz w:val="24"/>
                <w:szCs w:val="24"/>
              </w:rPr>
              <w:t>Budowa mobilnych systemów ochrony przed powodzią</w:t>
            </w:r>
          </w:p>
        </w:tc>
      </w:tr>
      <w:tr w:rsidR="00087650" w:rsidRPr="00FF6FAD" w14:paraId="2E22D818" w14:textId="77777777" w:rsidTr="008427BB">
        <w:trPr>
          <w:trHeight w:val="259"/>
        </w:trPr>
        <w:tc>
          <w:tcPr>
            <w:tcW w:w="444" w:type="dxa"/>
            <w:vMerge/>
            <w:hideMark/>
          </w:tcPr>
          <w:p w14:paraId="21FB0C27" w14:textId="77777777" w:rsidR="00087650" w:rsidRPr="00FF6FAD" w:rsidRDefault="00087650" w:rsidP="008427BB"/>
        </w:tc>
        <w:tc>
          <w:tcPr>
            <w:tcW w:w="8056" w:type="dxa"/>
            <w:shd w:val="clear" w:color="auto" w:fill="auto"/>
            <w:hideMark/>
          </w:tcPr>
          <w:p w14:paraId="370DF954" w14:textId="77777777" w:rsidR="00087650" w:rsidRPr="00FF6FAD" w:rsidRDefault="00087650" w:rsidP="006D41A7">
            <w:pPr>
              <w:pStyle w:val="Akapitzlist"/>
              <w:numPr>
                <w:ilvl w:val="0"/>
                <w:numId w:val="51"/>
              </w:numPr>
              <w:ind w:left="192" w:hanging="192"/>
              <w:rPr>
                <w:sz w:val="24"/>
                <w:szCs w:val="24"/>
              </w:rPr>
            </w:pPr>
            <w:r w:rsidRPr="00FF6FAD">
              <w:rPr>
                <w:sz w:val="24"/>
                <w:szCs w:val="24"/>
              </w:rPr>
              <w:t>Zapewnienie funkcjonalności istniejącej infrastruktury przeciwpowodziowej</w:t>
            </w:r>
          </w:p>
        </w:tc>
      </w:tr>
      <w:tr w:rsidR="00087650" w:rsidRPr="00FF6FAD" w14:paraId="06485A7E" w14:textId="77777777" w:rsidTr="008427BB">
        <w:trPr>
          <w:trHeight w:val="259"/>
        </w:trPr>
        <w:tc>
          <w:tcPr>
            <w:tcW w:w="444" w:type="dxa"/>
            <w:vMerge/>
            <w:hideMark/>
          </w:tcPr>
          <w:p w14:paraId="09C8DCA0" w14:textId="77777777" w:rsidR="00087650" w:rsidRPr="00FF6FAD" w:rsidRDefault="00087650" w:rsidP="008427BB"/>
        </w:tc>
        <w:tc>
          <w:tcPr>
            <w:tcW w:w="8056" w:type="dxa"/>
            <w:shd w:val="clear" w:color="auto" w:fill="auto"/>
            <w:hideMark/>
          </w:tcPr>
          <w:p w14:paraId="79C499AC" w14:textId="77777777" w:rsidR="00087650" w:rsidRPr="00FF6FAD" w:rsidRDefault="00087650" w:rsidP="006D41A7">
            <w:pPr>
              <w:pStyle w:val="Akapitzlist"/>
              <w:numPr>
                <w:ilvl w:val="0"/>
                <w:numId w:val="51"/>
              </w:numPr>
              <w:ind w:left="192" w:hanging="192"/>
              <w:rPr>
                <w:sz w:val="24"/>
                <w:szCs w:val="24"/>
              </w:rPr>
            </w:pPr>
            <w:r w:rsidRPr="00FF6FAD">
              <w:rPr>
                <w:sz w:val="24"/>
                <w:szCs w:val="24"/>
              </w:rPr>
              <w:t>Zapewnienie możliwości prowadzenia akcji lodołamania</w:t>
            </w:r>
          </w:p>
        </w:tc>
      </w:tr>
      <w:tr w:rsidR="00087650" w:rsidRPr="00FF6FAD" w14:paraId="08C9ECB0" w14:textId="77777777" w:rsidTr="008427BB">
        <w:trPr>
          <w:trHeight w:val="259"/>
        </w:trPr>
        <w:tc>
          <w:tcPr>
            <w:tcW w:w="444" w:type="dxa"/>
            <w:vMerge/>
          </w:tcPr>
          <w:p w14:paraId="20C442C1" w14:textId="77777777" w:rsidR="00087650" w:rsidRPr="00FF6FAD" w:rsidRDefault="00087650" w:rsidP="008427BB"/>
        </w:tc>
        <w:tc>
          <w:tcPr>
            <w:tcW w:w="8056" w:type="dxa"/>
            <w:shd w:val="clear" w:color="auto" w:fill="auto"/>
          </w:tcPr>
          <w:p w14:paraId="2441BBAF" w14:textId="77777777" w:rsidR="00087650" w:rsidRPr="00FF6FAD" w:rsidRDefault="00087650" w:rsidP="006D41A7">
            <w:pPr>
              <w:pStyle w:val="Akapitzlist"/>
              <w:numPr>
                <w:ilvl w:val="0"/>
                <w:numId w:val="51"/>
              </w:numPr>
              <w:ind w:left="192" w:hanging="192"/>
              <w:rPr>
                <w:sz w:val="24"/>
                <w:szCs w:val="24"/>
              </w:rPr>
            </w:pPr>
            <w:r w:rsidRPr="00FF6FAD">
              <w:rPr>
                <w:sz w:val="24"/>
                <w:szCs w:val="24"/>
              </w:rPr>
              <w:t>Opracowanie koncepcji ochrony przed powodzią dla obszarów zagrożonych</w:t>
            </w:r>
          </w:p>
        </w:tc>
      </w:tr>
      <w:tr w:rsidR="00087650" w:rsidRPr="00FF6FAD" w14:paraId="0CED3CDF" w14:textId="77777777" w:rsidTr="006A3BC1">
        <w:trPr>
          <w:trHeight w:val="259"/>
        </w:trPr>
        <w:tc>
          <w:tcPr>
            <w:tcW w:w="444" w:type="dxa"/>
            <w:vMerge w:val="restart"/>
          </w:tcPr>
          <w:p w14:paraId="4589D3AF" w14:textId="77777777" w:rsidR="00087650" w:rsidRPr="00FF6FAD" w:rsidRDefault="00087650" w:rsidP="008427BB">
            <w:r w:rsidRPr="00FF6FAD">
              <w:t>2.3</w:t>
            </w:r>
          </w:p>
        </w:tc>
        <w:tc>
          <w:tcPr>
            <w:tcW w:w="8056" w:type="dxa"/>
            <w:shd w:val="clear" w:color="auto" w:fill="D4EDF9"/>
          </w:tcPr>
          <w:p w14:paraId="538ABFCF" w14:textId="77777777" w:rsidR="00087650" w:rsidRPr="00FF6FAD" w:rsidRDefault="00087650" w:rsidP="008427BB">
            <w:r w:rsidRPr="00FF6FAD">
              <w:t>Redukcja wrażliwości społeczności i obiektów na obszarze zagrożenia powodzią</w:t>
            </w:r>
          </w:p>
        </w:tc>
      </w:tr>
      <w:tr w:rsidR="00087650" w:rsidRPr="00FF6FAD" w14:paraId="7513B7CD" w14:textId="77777777" w:rsidTr="008427BB">
        <w:trPr>
          <w:trHeight w:val="259"/>
        </w:trPr>
        <w:tc>
          <w:tcPr>
            <w:tcW w:w="444" w:type="dxa"/>
            <w:vMerge/>
          </w:tcPr>
          <w:p w14:paraId="0444F43B" w14:textId="77777777" w:rsidR="00087650" w:rsidRPr="00FF6FAD" w:rsidRDefault="00087650" w:rsidP="008427BB"/>
        </w:tc>
        <w:tc>
          <w:tcPr>
            <w:tcW w:w="8056" w:type="dxa"/>
            <w:shd w:val="clear" w:color="auto" w:fill="auto"/>
          </w:tcPr>
          <w:p w14:paraId="645A3E45" w14:textId="77777777" w:rsidR="00087650" w:rsidRPr="00FF6FAD" w:rsidRDefault="00087650" w:rsidP="006D41A7">
            <w:pPr>
              <w:pStyle w:val="Akapitzlist"/>
              <w:numPr>
                <w:ilvl w:val="0"/>
                <w:numId w:val="52"/>
              </w:numPr>
              <w:ind w:left="192" w:hanging="192"/>
              <w:rPr>
                <w:sz w:val="24"/>
                <w:szCs w:val="24"/>
              </w:rPr>
            </w:pPr>
            <w:r w:rsidRPr="00FF6FAD">
              <w:rPr>
                <w:sz w:val="24"/>
                <w:szCs w:val="24"/>
              </w:rPr>
              <w:t>Opracowanie koncepcji ochrony przed powodzią dla obszarów zagrożonych</w:t>
            </w:r>
          </w:p>
        </w:tc>
      </w:tr>
      <w:tr w:rsidR="00087650" w:rsidRPr="00FF6FAD" w14:paraId="7ABD67DD" w14:textId="77777777" w:rsidTr="006A3BC1">
        <w:trPr>
          <w:trHeight w:val="259"/>
        </w:trPr>
        <w:tc>
          <w:tcPr>
            <w:tcW w:w="8500" w:type="dxa"/>
            <w:gridSpan w:val="2"/>
            <w:shd w:val="clear" w:color="auto" w:fill="D4EDF9"/>
            <w:noWrap/>
            <w:hideMark/>
          </w:tcPr>
          <w:p w14:paraId="107F3268" w14:textId="77777777" w:rsidR="00087650" w:rsidRPr="00FF6FAD" w:rsidRDefault="00087650" w:rsidP="008427BB">
            <w:r w:rsidRPr="00FF6FAD">
              <w:t>3. Poprawa systemu zarządzania ryzykiem powodziowym</w:t>
            </w:r>
          </w:p>
        </w:tc>
      </w:tr>
      <w:tr w:rsidR="00087650" w:rsidRPr="00FF6FAD" w14:paraId="60082CCF" w14:textId="77777777" w:rsidTr="006A3BC1">
        <w:trPr>
          <w:trHeight w:val="259"/>
        </w:trPr>
        <w:tc>
          <w:tcPr>
            <w:tcW w:w="444" w:type="dxa"/>
            <w:vMerge w:val="restart"/>
            <w:shd w:val="clear" w:color="auto" w:fill="auto"/>
            <w:noWrap/>
          </w:tcPr>
          <w:p w14:paraId="4F46904E" w14:textId="77777777" w:rsidR="00087650" w:rsidRPr="00FF6FAD" w:rsidRDefault="00087650" w:rsidP="008427BB">
            <w:r w:rsidRPr="00FF6FAD">
              <w:t>3.1</w:t>
            </w:r>
          </w:p>
        </w:tc>
        <w:tc>
          <w:tcPr>
            <w:tcW w:w="8056" w:type="dxa"/>
            <w:shd w:val="clear" w:color="auto" w:fill="D4EDF9"/>
            <w:noWrap/>
          </w:tcPr>
          <w:p w14:paraId="611AE676" w14:textId="0F82D4D7" w:rsidR="00087650" w:rsidRPr="00FF6FAD" w:rsidRDefault="00087650" w:rsidP="008427BB">
            <w:r w:rsidRPr="00FF6FAD">
              <w:t>Doskonalenie prognozowania i ostrzegania o zagrożeniach meteorologicznych</w:t>
            </w:r>
            <w:r w:rsidR="006A3BC1">
              <w:t xml:space="preserve"> </w:t>
            </w:r>
            <w:r w:rsidRPr="00FF6FAD">
              <w:t>i</w:t>
            </w:r>
            <w:r w:rsidR="006A3BC1">
              <w:t> </w:t>
            </w:r>
            <w:r w:rsidRPr="00FF6FAD">
              <w:t>hydrologicznych</w:t>
            </w:r>
          </w:p>
        </w:tc>
      </w:tr>
      <w:tr w:rsidR="00087650" w:rsidRPr="00FF6FAD" w14:paraId="083280F5" w14:textId="77777777" w:rsidTr="008427BB">
        <w:trPr>
          <w:trHeight w:val="283"/>
        </w:trPr>
        <w:tc>
          <w:tcPr>
            <w:tcW w:w="444" w:type="dxa"/>
            <w:vMerge/>
          </w:tcPr>
          <w:p w14:paraId="34ABE947" w14:textId="77777777" w:rsidR="00087650" w:rsidRPr="00FF6FAD" w:rsidRDefault="00087650" w:rsidP="008427BB"/>
        </w:tc>
        <w:tc>
          <w:tcPr>
            <w:tcW w:w="8056" w:type="dxa"/>
            <w:shd w:val="clear" w:color="auto" w:fill="auto"/>
          </w:tcPr>
          <w:p w14:paraId="422107BC" w14:textId="77777777" w:rsidR="00087650" w:rsidRPr="00FF6FAD" w:rsidRDefault="00087650" w:rsidP="006D41A7">
            <w:pPr>
              <w:pStyle w:val="Akapitzlist"/>
              <w:numPr>
                <w:ilvl w:val="0"/>
                <w:numId w:val="52"/>
              </w:numPr>
              <w:ind w:left="192" w:hanging="192"/>
              <w:rPr>
                <w:sz w:val="24"/>
                <w:szCs w:val="24"/>
              </w:rPr>
            </w:pPr>
            <w:r w:rsidRPr="00FF6FAD">
              <w:rPr>
                <w:sz w:val="24"/>
                <w:szCs w:val="24"/>
              </w:rPr>
              <w:t>Rozwój krajowego systemu prognoz, monitoringu i ostrzeżeń</w:t>
            </w:r>
          </w:p>
        </w:tc>
      </w:tr>
      <w:tr w:rsidR="00087650" w:rsidRPr="00FF6FAD" w14:paraId="7C02BD7C" w14:textId="77777777" w:rsidTr="008427BB">
        <w:trPr>
          <w:trHeight w:val="357"/>
        </w:trPr>
        <w:tc>
          <w:tcPr>
            <w:tcW w:w="444" w:type="dxa"/>
            <w:vMerge/>
          </w:tcPr>
          <w:p w14:paraId="1489D953" w14:textId="77777777" w:rsidR="00087650" w:rsidRPr="00FF6FAD" w:rsidRDefault="00087650" w:rsidP="008427BB"/>
        </w:tc>
        <w:tc>
          <w:tcPr>
            <w:tcW w:w="8056" w:type="dxa"/>
            <w:shd w:val="clear" w:color="auto" w:fill="auto"/>
          </w:tcPr>
          <w:p w14:paraId="0762FFFA" w14:textId="77777777" w:rsidR="00087650" w:rsidRPr="00FF6FAD" w:rsidRDefault="00087650" w:rsidP="006D41A7">
            <w:pPr>
              <w:pStyle w:val="Akapitzlist"/>
              <w:numPr>
                <w:ilvl w:val="0"/>
                <w:numId w:val="52"/>
              </w:numPr>
              <w:ind w:left="192" w:hanging="192"/>
              <w:rPr>
                <w:sz w:val="24"/>
                <w:szCs w:val="24"/>
              </w:rPr>
            </w:pPr>
            <w:r w:rsidRPr="00FF6FAD">
              <w:rPr>
                <w:sz w:val="24"/>
                <w:szCs w:val="24"/>
              </w:rPr>
              <w:t>Budowa i rozwój lokalnych systemów ostrzegania przed powodziami</w:t>
            </w:r>
          </w:p>
        </w:tc>
      </w:tr>
      <w:tr w:rsidR="00087650" w:rsidRPr="00FF6FAD" w14:paraId="005F632D" w14:textId="77777777" w:rsidTr="006A3BC1">
        <w:trPr>
          <w:trHeight w:val="259"/>
        </w:trPr>
        <w:tc>
          <w:tcPr>
            <w:tcW w:w="444" w:type="dxa"/>
            <w:vMerge w:val="restart"/>
            <w:shd w:val="clear" w:color="auto" w:fill="auto"/>
            <w:noWrap/>
          </w:tcPr>
          <w:p w14:paraId="102C2992" w14:textId="77777777" w:rsidR="00087650" w:rsidRPr="00FF6FAD" w:rsidRDefault="00087650" w:rsidP="008427BB">
            <w:pPr>
              <w:spacing w:before="120"/>
            </w:pPr>
            <w:r w:rsidRPr="00FF6FAD">
              <w:t>3.2</w:t>
            </w:r>
          </w:p>
        </w:tc>
        <w:tc>
          <w:tcPr>
            <w:tcW w:w="8056" w:type="dxa"/>
            <w:shd w:val="clear" w:color="auto" w:fill="D4EDF9"/>
            <w:noWrap/>
          </w:tcPr>
          <w:p w14:paraId="094392B2" w14:textId="77777777" w:rsidR="00087650" w:rsidRPr="00FF6FAD" w:rsidRDefault="00087650" w:rsidP="008427BB">
            <w:r w:rsidRPr="00FF6FAD">
              <w:t>Doskonalenie skuteczności reagowania ludzi, firm i instytucji publicznych</w:t>
            </w:r>
          </w:p>
        </w:tc>
      </w:tr>
      <w:tr w:rsidR="00087650" w:rsidRPr="00FF6FAD" w14:paraId="5BE959D5" w14:textId="77777777" w:rsidTr="008427BB">
        <w:trPr>
          <w:trHeight w:val="259"/>
        </w:trPr>
        <w:tc>
          <w:tcPr>
            <w:tcW w:w="444" w:type="dxa"/>
            <w:vMerge/>
          </w:tcPr>
          <w:p w14:paraId="666C64C6" w14:textId="77777777" w:rsidR="00087650" w:rsidRPr="00FF6FAD" w:rsidRDefault="00087650" w:rsidP="008427BB"/>
        </w:tc>
        <w:tc>
          <w:tcPr>
            <w:tcW w:w="8056" w:type="dxa"/>
            <w:shd w:val="clear" w:color="auto" w:fill="auto"/>
          </w:tcPr>
          <w:p w14:paraId="6762FF4F" w14:textId="77777777" w:rsidR="00087650" w:rsidRPr="00FF6FAD" w:rsidRDefault="00087650" w:rsidP="006D41A7">
            <w:pPr>
              <w:pStyle w:val="Akapitzlist"/>
              <w:numPr>
                <w:ilvl w:val="0"/>
                <w:numId w:val="53"/>
              </w:numPr>
              <w:ind w:left="192" w:hanging="192"/>
              <w:rPr>
                <w:sz w:val="24"/>
                <w:szCs w:val="24"/>
              </w:rPr>
            </w:pPr>
            <w:r w:rsidRPr="00FF6FAD">
              <w:rPr>
                <w:sz w:val="24"/>
                <w:szCs w:val="24"/>
              </w:rPr>
              <w:t xml:space="preserve">Budowa i rozwój lokalnych systemów ostrzegania przed powodziami </w:t>
            </w:r>
          </w:p>
        </w:tc>
      </w:tr>
      <w:tr w:rsidR="00087650" w:rsidRPr="00FF6FAD" w14:paraId="52C7FE54" w14:textId="77777777" w:rsidTr="006A3BC1">
        <w:trPr>
          <w:trHeight w:val="259"/>
        </w:trPr>
        <w:tc>
          <w:tcPr>
            <w:tcW w:w="444" w:type="dxa"/>
            <w:vMerge w:val="restart"/>
          </w:tcPr>
          <w:p w14:paraId="22281BF2" w14:textId="77777777" w:rsidR="00087650" w:rsidRPr="00FF6FAD" w:rsidRDefault="00087650" w:rsidP="008427BB">
            <w:r w:rsidRPr="00FF6FAD">
              <w:t>3.6</w:t>
            </w:r>
          </w:p>
        </w:tc>
        <w:tc>
          <w:tcPr>
            <w:tcW w:w="8056" w:type="dxa"/>
            <w:shd w:val="clear" w:color="auto" w:fill="D4EDF9"/>
          </w:tcPr>
          <w:p w14:paraId="77C4C50A" w14:textId="4ED011C2" w:rsidR="00087650" w:rsidRPr="00FF6FAD" w:rsidRDefault="00087650" w:rsidP="008427BB">
            <w:r w:rsidRPr="00FF6FAD">
              <w:t>Zwiększenie świadomości i wiedzy na temat źródeł zagrożenia powodziowego i</w:t>
            </w:r>
            <w:r w:rsidR="006A3BC1">
              <w:t> </w:t>
            </w:r>
            <w:r w:rsidRPr="00FF6FAD">
              <w:t>ryzyka powodziowego</w:t>
            </w:r>
          </w:p>
        </w:tc>
      </w:tr>
      <w:tr w:rsidR="00087650" w:rsidRPr="00FF6FAD" w14:paraId="7AFD5DB1" w14:textId="77777777" w:rsidTr="008427BB">
        <w:trPr>
          <w:trHeight w:val="259"/>
        </w:trPr>
        <w:tc>
          <w:tcPr>
            <w:tcW w:w="444" w:type="dxa"/>
            <w:vMerge/>
          </w:tcPr>
          <w:p w14:paraId="5D74B35B" w14:textId="77777777" w:rsidR="00087650" w:rsidRPr="00FF6FAD" w:rsidRDefault="00087650" w:rsidP="008427BB"/>
        </w:tc>
        <w:tc>
          <w:tcPr>
            <w:tcW w:w="8056" w:type="dxa"/>
            <w:shd w:val="clear" w:color="auto" w:fill="auto"/>
          </w:tcPr>
          <w:p w14:paraId="611197E7" w14:textId="77777777" w:rsidR="00087650" w:rsidRPr="00FF6FAD" w:rsidRDefault="00087650" w:rsidP="006D41A7">
            <w:pPr>
              <w:pStyle w:val="Akapitzlist"/>
              <w:numPr>
                <w:ilvl w:val="0"/>
                <w:numId w:val="53"/>
              </w:numPr>
              <w:ind w:left="192" w:hanging="192"/>
              <w:rPr>
                <w:sz w:val="24"/>
                <w:szCs w:val="24"/>
              </w:rPr>
            </w:pPr>
            <w:r w:rsidRPr="00FF6FAD">
              <w:rPr>
                <w:sz w:val="24"/>
                <w:szCs w:val="24"/>
              </w:rPr>
              <w:t>Inicjowanie programów edukacyjnych dla różnych odbiorców, w tym również dostarczanie materiałów metodycznych i edukacyjnych w zakresie zarządzania ryzykiem powodziowym</w:t>
            </w:r>
          </w:p>
        </w:tc>
      </w:tr>
      <w:tr w:rsidR="00087650" w:rsidRPr="00FF6FAD" w14:paraId="553326FE" w14:textId="77777777" w:rsidTr="008427BB">
        <w:trPr>
          <w:trHeight w:val="259"/>
        </w:trPr>
        <w:tc>
          <w:tcPr>
            <w:tcW w:w="444" w:type="dxa"/>
            <w:vMerge/>
          </w:tcPr>
          <w:p w14:paraId="65005B44" w14:textId="77777777" w:rsidR="00087650" w:rsidRPr="00FF6FAD" w:rsidRDefault="00087650" w:rsidP="008427BB"/>
        </w:tc>
        <w:tc>
          <w:tcPr>
            <w:tcW w:w="8056" w:type="dxa"/>
            <w:shd w:val="clear" w:color="auto" w:fill="auto"/>
          </w:tcPr>
          <w:p w14:paraId="59BA253B" w14:textId="16A6EC63" w:rsidR="00087650" w:rsidRPr="00FF6FAD" w:rsidRDefault="00087650" w:rsidP="006D41A7">
            <w:pPr>
              <w:pStyle w:val="Akapitzlist"/>
              <w:numPr>
                <w:ilvl w:val="0"/>
                <w:numId w:val="53"/>
              </w:numPr>
              <w:ind w:left="192" w:hanging="192"/>
              <w:rPr>
                <w:sz w:val="24"/>
                <w:szCs w:val="24"/>
              </w:rPr>
            </w:pPr>
            <w:r w:rsidRPr="00FF6FAD">
              <w:rPr>
                <w:sz w:val="24"/>
                <w:szCs w:val="24"/>
              </w:rPr>
              <w:t>Realizacja programów edukacyjno-promocyjnych dla różnych odbiorców w</w:t>
            </w:r>
            <w:r w:rsidR="006A3BC1">
              <w:rPr>
                <w:sz w:val="24"/>
                <w:szCs w:val="24"/>
              </w:rPr>
              <w:t> </w:t>
            </w:r>
            <w:r w:rsidRPr="00FF6FAD">
              <w:rPr>
                <w:sz w:val="24"/>
                <w:szCs w:val="24"/>
              </w:rPr>
              <w:t>zakresie zarządzania ryzykiem powodziowym</w:t>
            </w:r>
          </w:p>
        </w:tc>
      </w:tr>
    </w:tbl>
    <w:p w14:paraId="4E2CF371" w14:textId="2D840D32" w:rsidR="00087650" w:rsidRDefault="00087650" w:rsidP="00087650">
      <w:pPr>
        <w:pStyle w:val="ReportText"/>
        <w:rPr>
          <w:lang w:eastAsia="zh-CN"/>
        </w:rPr>
      </w:pPr>
    </w:p>
    <w:p w14:paraId="3DFAF428" w14:textId="77777777" w:rsidR="00087650" w:rsidRPr="00087650" w:rsidRDefault="00087650" w:rsidP="00087650">
      <w:pPr>
        <w:pStyle w:val="ReportText"/>
        <w:rPr>
          <w:lang w:eastAsia="zh-CN"/>
        </w:rPr>
      </w:pPr>
    </w:p>
    <w:p w14:paraId="3F898177" w14:textId="12E8AF74" w:rsidR="00107FCF" w:rsidRDefault="00107FCF" w:rsidP="00F7551E">
      <w:pPr>
        <w:pStyle w:val="ReportText"/>
        <w:spacing w:before="120"/>
        <w:jc w:val="both"/>
      </w:pPr>
    </w:p>
    <w:p w14:paraId="0B233E9F" w14:textId="767A0A18" w:rsidR="00107FCF" w:rsidRDefault="006A3BC1" w:rsidP="006D41A7">
      <w:pPr>
        <w:pStyle w:val="ReportLevel1"/>
        <w:numPr>
          <w:ilvl w:val="0"/>
          <w:numId w:val="4"/>
        </w:numPr>
      </w:pPr>
      <w:bookmarkStart w:id="127" w:name="_Toc58845100"/>
      <w:r>
        <w:br w:type="column"/>
      </w:r>
      <w:bookmarkStart w:id="128" w:name="_Toc80608733"/>
      <w:bookmarkEnd w:id="127"/>
      <w:r w:rsidR="00107FCF" w:rsidRPr="00D3630B">
        <w:lastRenderedPageBreak/>
        <w:t>Opi</w:t>
      </w:r>
      <w:r w:rsidR="00107FCF">
        <w:t xml:space="preserve">s </w:t>
      </w:r>
      <w:r w:rsidR="00107FCF" w:rsidRPr="00FD4A3B">
        <w:t>sposobu przypisania priorytetów działaniom służącym osiągnięciu celów zarządzania ryzykiem powodziowym</w:t>
      </w:r>
      <w:bookmarkEnd w:id="128"/>
    </w:p>
    <w:p w14:paraId="6225FFD3" w14:textId="77777777" w:rsidR="00107FCF" w:rsidRPr="00FD4A3B" w:rsidRDefault="00107FCF" w:rsidP="00FD4A3B">
      <w:pPr>
        <w:pStyle w:val="11StopPowodzi-Listawypunktowana"/>
        <w:numPr>
          <w:ilvl w:val="0"/>
          <w:numId w:val="0"/>
        </w:numPr>
        <w:spacing w:before="0" w:after="160" w:line="240" w:lineRule="auto"/>
        <w:rPr>
          <w:lang w:val="pl-PL" w:eastAsia="zh-CN"/>
        </w:rPr>
      </w:pPr>
      <w:r w:rsidRPr="00FD4A3B">
        <w:rPr>
          <w:lang w:val="pl-PL" w:eastAsia="zh-CN"/>
        </w:rPr>
        <w:t xml:space="preserve">Wszystkim działaniom ujętym na </w:t>
      </w:r>
      <w:r>
        <w:rPr>
          <w:lang w:val="pl-PL" w:eastAsia="zh-CN"/>
        </w:rPr>
        <w:t xml:space="preserve">ostatecznej liście </w:t>
      </w:r>
      <w:r w:rsidRPr="00FD4A3B">
        <w:rPr>
          <w:lang w:val="pl-PL" w:eastAsia="zh-CN"/>
        </w:rPr>
        <w:t>przypisano priorytety ich realizacji z</w:t>
      </w:r>
      <w:r>
        <w:rPr>
          <w:lang w:val="pl-PL" w:eastAsia="zh-CN"/>
        </w:rPr>
        <w:t> </w:t>
      </w:r>
      <w:r w:rsidRPr="00FD4A3B">
        <w:rPr>
          <w:lang w:val="pl-PL" w:eastAsia="zh-CN"/>
        </w:rPr>
        <w:t xml:space="preserve">zastosowaniem 5 stopniowej skali, zgodnej z zaleceniami Komisji Europejskiej, wskazując działania o: </w:t>
      </w:r>
    </w:p>
    <w:p w14:paraId="66D425FB" w14:textId="77777777" w:rsidR="00107FCF" w:rsidRPr="00FD4A3B"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niskim priorytecie (low</w:t>
      </w:r>
      <w:r>
        <w:rPr>
          <w:lang w:val="pl-PL" w:eastAsia="zh-CN"/>
        </w:rPr>
        <w:t xml:space="preserve"> - 1</w:t>
      </w:r>
      <w:r w:rsidRPr="00FD4A3B">
        <w:rPr>
          <w:lang w:val="pl-PL" w:eastAsia="zh-CN"/>
        </w:rPr>
        <w:t xml:space="preserve">); </w:t>
      </w:r>
    </w:p>
    <w:p w14:paraId="73C1F056" w14:textId="77777777" w:rsidR="00107FCF" w:rsidRPr="00FD4A3B"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umiarkowanym priorytecie (moderate</w:t>
      </w:r>
      <w:r>
        <w:rPr>
          <w:lang w:val="pl-PL" w:eastAsia="zh-CN"/>
        </w:rPr>
        <w:t xml:space="preserve"> - 2</w:t>
      </w:r>
      <w:r w:rsidRPr="00FD4A3B">
        <w:rPr>
          <w:lang w:val="pl-PL" w:eastAsia="zh-CN"/>
        </w:rPr>
        <w:t xml:space="preserve">); </w:t>
      </w:r>
    </w:p>
    <w:p w14:paraId="722E117E" w14:textId="77777777" w:rsidR="00107FCF" w:rsidRPr="00FD4A3B"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wysokim priorytecie (high</w:t>
      </w:r>
      <w:r>
        <w:rPr>
          <w:lang w:val="pl-PL" w:eastAsia="zh-CN"/>
        </w:rPr>
        <w:t xml:space="preserve"> - 3</w:t>
      </w:r>
      <w:r w:rsidRPr="00FD4A3B">
        <w:rPr>
          <w:lang w:val="pl-PL" w:eastAsia="zh-CN"/>
        </w:rPr>
        <w:t xml:space="preserve">); </w:t>
      </w:r>
    </w:p>
    <w:p w14:paraId="6C621185" w14:textId="77777777" w:rsidR="00107FCF" w:rsidRPr="00FD4A3B"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bardzo wysokim priorytecie (very high</w:t>
      </w:r>
      <w:r>
        <w:rPr>
          <w:lang w:val="pl-PL" w:eastAsia="zh-CN"/>
        </w:rPr>
        <w:t xml:space="preserve"> - 4</w:t>
      </w:r>
      <w:r w:rsidRPr="00FD4A3B">
        <w:rPr>
          <w:lang w:val="pl-PL" w:eastAsia="zh-CN"/>
        </w:rPr>
        <w:t xml:space="preserve">); </w:t>
      </w:r>
    </w:p>
    <w:p w14:paraId="09471A2C" w14:textId="77777777" w:rsidR="00107FCF" w:rsidRPr="00FD4A3B"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bezzwłocznym priorytecie (critical</w:t>
      </w:r>
      <w:r>
        <w:rPr>
          <w:lang w:val="pl-PL" w:eastAsia="zh-CN"/>
        </w:rPr>
        <w:t xml:space="preserve"> - 5</w:t>
      </w:r>
      <w:r w:rsidRPr="00FD4A3B">
        <w:rPr>
          <w:lang w:val="pl-PL" w:eastAsia="zh-CN"/>
        </w:rPr>
        <w:t xml:space="preserve">). </w:t>
      </w:r>
    </w:p>
    <w:p w14:paraId="07C3D165" w14:textId="59999B9B" w:rsidR="00107FCF" w:rsidRDefault="00107FCF" w:rsidP="00FD4A3B">
      <w:pPr>
        <w:pStyle w:val="11StopPowodzi-Listawypunktowana"/>
        <w:numPr>
          <w:ilvl w:val="0"/>
          <w:numId w:val="0"/>
        </w:numPr>
        <w:spacing w:before="0" w:after="160" w:line="240" w:lineRule="auto"/>
        <w:rPr>
          <w:lang w:val="pl-PL" w:eastAsia="zh-CN"/>
        </w:rPr>
      </w:pPr>
      <w:r>
        <w:rPr>
          <w:lang w:val="pl-PL" w:eastAsia="zh-CN"/>
        </w:rPr>
        <w:t xml:space="preserve">Działania, którym należy przypisać </w:t>
      </w:r>
      <w:r w:rsidRPr="00FD4A3B">
        <w:rPr>
          <w:lang w:val="pl-PL" w:eastAsia="zh-CN"/>
        </w:rPr>
        <w:t>bezzwłoczny priorytet (5)</w:t>
      </w:r>
      <w:r>
        <w:rPr>
          <w:lang w:val="pl-PL" w:eastAsia="zh-CN"/>
        </w:rPr>
        <w:t xml:space="preserve"> </w:t>
      </w:r>
      <w:r w:rsidRPr="00FD4A3B">
        <w:rPr>
          <w:lang w:val="pl-PL" w:eastAsia="zh-CN"/>
        </w:rPr>
        <w:t>wynikający z</w:t>
      </w:r>
      <w:r w:rsidR="006A3BC1">
        <w:rPr>
          <w:lang w:val="pl-PL" w:eastAsia="zh-CN"/>
        </w:rPr>
        <w:t> </w:t>
      </w:r>
      <w:r w:rsidRPr="00FD4A3B">
        <w:rPr>
          <w:lang w:val="pl-PL" w:eastAsia="zh-CN"/>
        </w:rPr>
        <w:t>konieczności zrealizowania tych działań, bez względu na to jaki te działania realizują cel główny aPZRP</w:t>
      </w:r>
      <w:r>
        <w:rPr>
          <w:lang w:val="pl-PL" w:eastAsia="zh-CN"/>
        </w:rPr>
        <w:t xml:space="preserve"> obejmują:</w:t>
      </w:r>
    </w:p>
    <w:p w14:paraId="7E44C723" w14:textId="77777777" w:rsidR="00107FCF"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rozpoczęt</w:t>
      </w:r>
      <w:r>
        <w:rPr>
          <w:lang w:val="pl-PL" w:eastAsia="zh-CN"/>
        </w:rPr>
        <w:t>e</w:t>
      </w:r>
      <w:r w:rsidRPr="00FD4A3B">
        <w:rPr>
          <w:lang w:val="pl-PL" w:eastAsia="zh-CN"/>
        </w:rPr>
        <w:t xml:space="preserve"> w I cyklu planistycznym i przechodzącym do aPZRP</w:t>
      </w:r>
      <w:r>
        <w:rPr>
          <w:lang w:val="pl-PL" w:eastAsia="zh-CN"/>
        </w:rPr>
        <w:t>;</w:t>
      </w:r>
    </w:p>
    <w:p w14:paraId="2F987371" w14:textId="77777777" w:rsidR="00107FCF" w:rsidRDefault="00107FCF" w:rsidP="006D41A7">
      <w:pPr>
        <w:pStyle w:val="11StopPowodzi-Listawypunktowana"/>
        <w:numPr>
          <w:ilvl w:val="0"/>
          <w:numId w:val="53"/>
        </w:numPr>
        <w:spacing w:before="0" w:after="160" w:line="240" w:lineRule="auto"/>
        <w:ind w:left="567" w:hanging="425"/>
        <w:rPr>
          <w:lang w:val="pl-PL" w:eastAsia="zh-CN"/>
        </w:rPr>
      </w:pPr>
      <w:r w:rsidRPr="00FD4A3B">
        <w:rPr>
          <w:lang w:val="pl-PL" w:eastAsia="zh-CN"/>
        </w:rPr>
        <w:t>na które są wydane nakazy nadzoru budowlanego, ponieważ ich stan zagraża bezpieczeństwu</w:t>
      </w:r>
      <w:r>
        <w:rPr>
          <w:lang w:val="pl-PL" w:eastAsia="zh-CN"/>
        </w:rPr>
        <w:t xml:space="preserve">; </w:t>
      </w:r>
    </w:p>
    <w:p w14:paraId="069174EB" w14:textId="77777777" w:rsidR="00107FCF" w:rsidRDefault="00107FCF" w:rsidP="006D41A7">
      <w:pPr>
        <w:pStyle w:val="11StopPowodzi-Listawypunktowana"/>
        <w:numPr>
          <w:ilvl w:val="0"/>
          <w:numId w:val="53"/>
        </w:numPr>
        <w:spacing w:before="0" w:after="160" w:line="240" w:lineRule="auto"/>
        <w:ind w:left="567" w:hanging="425"/>
        <w:rPr>
          <w:lang w:val="pl-PL" w:eastAsia="zh-CN"/>
        </w:rPr>
      </w:pPr>
      <w:r w:rsidRPr="00347F70">
        <w:rPr>
          <w:lang w:val="pl-PL" w:eastAsia="zh-CN"/>
        </w:rPr>
        <w:t>wspólne dla aPZRP i aPZRPM</w:t>
      </w:r>
    </w:p>
    <w:p w14:paraId="153F1E0F" w14:textId="77777777" w:rsidR="00107FCF" w:rsidRDefault="00107FCF" w:rsidP="00FD4A3B">
      <w:pPr>
        <w:pStyle w:val="11StopPowodzi-Listawypunktowana"/>
        <w:numPr>
          <w:ilvl w:val="0"/>
          <w:numId w:val="0"/>
        </w:numPr>
        <w:spacing w:before="0" w:after="160" w:line="240" w:lineRule="auto"/>
        <w:rPr>
          <w:lang w:val="pl-PL" w:eastAsia="zh-CN"/>
        </w:rPr>
      </w:pPr>
      <w:r w:rsidRPr="00FD4A3B">
        <w:rPr>
          <w:lang w:val="pl-PL" w:eastAsia="zh-CN"/>
        </w:rPr>
        <w:t xml:space="preserve">Działaniom nietechnicznym o charakterze horyzontalnym, tj. nie odnoszącym się do konkretnego obszaru problemowego, a także działaniom technicznym (z wyłączeniem działań technicznych realizujących cel 2) </w:t>
      </w:r>
      <w:r>
        <w:rPr>
          <w:lang w:val="pl-PL" w:eastAsia="zh-CN"/>
        </w:rPr>
        <w:t xml:space="preserve">należy </w:t>
      </w:r>
      <w:r w:rsidRPr="00FD4A3B">
        <w:rPr>
          <w:lang w:val="pl-PL" w:eastAsia="zh-CN"/>
        </w:rPr>
        <w:t>przyp</w:t>
      </w:r>
      <w:r>
        <w:rPr>
          <w:lang w:val="pl-PL" w:eastAsia="zh-CN"/>
        </w:rPr>
        <w:t>isać</w:t>
      </w:r>
      <w:r w:rsidRPr="00FD4A3B">
        <w:rPr>
          <w:lang w:val="pl-PL" w:eastAsia="zh-CN"/>
        </w:rPr>
        <w:t xml:space="preserve"> priorytety (w skali 1 – 5) uwzględniające przynależność danego działania do typu działania (któremu wcześniej przypisano priorytet niski, średni lub wysoki, przedstawiony w rozdziale 7) oraz ocenę indywidualnych cech priorytetyzowanego działania, czyli zastosowano następujące kryteria oceny:</w:t>
      </w:r>
    </w:p>
    <w:p w14:paraId="3170F240" w14:textId="77777777" w:rsidR="00107FCF" w:rsidRPr="0029775F" w:rsidRDefault="00107FCF" w:rsidP="006D41A7">
      <w:pPr>
        <w:pStyle w:val="Default"/>
        <w:numPr>
          <w:ilvl w:val="0"/>
          <w:numId w:val="54"/>
        </w:numPr>
        <w:ind w:left="567" w:hanging="425"/>
        <w:rPr>
          <w:rFonts w:ascii="Times New Roman" w:hAnsi="Times New Roman" w:cs="Times New Roman"/>
          <w:color w:val="auto"/>
          <w:lang w:eastAsia="zh-CN"/>
        </w:rPr>
      </w:pPr>
      <w:r w:rsidRPr="0029775F">
        <w:rPr>
          <w:rFonts w:ascii="Times New Roman" w:hAnsi="Times New Roman" w:cs="Times New Roman"/>
          <w:color w:val="auto"/>
          <w:lang w:eastAsia="zh-CN"/>
        </w:rPr>
        <w:t xml:space="preserve">Kryterium 1. Stan zaawansowania działania, o wadze 30%: </w:t>
      </w:r>
    </w:p>
    <w:p w14:paraId="550A620E" w14:textId="77777777" w:rsidR="00107FCF" w:rsidRPr="0029775F" w:rsidRDefault="00107FCF" w:rsidP="006D41A7">
      <w:pPr>
        <w:pStyle w:val="Default"/>
        <w:numPr>
          <w:ilvl w:val="1"/>
          <w:numId w:val="54"/>
        </w:numPr>
        <w:ind w:left="1134" w:hanging="283"/>
        <w:rPr>
          <w:rFonts w:ascii="Times New Roman" w:hAnsi="Times New Roman" w:cs="Times New Roman"/>
          <w:color w:val="auto"/>
          <w:lang w:eastAsia="zh-CN"/>
        </w:rPr>
      </w:pPr>
      <w:r w:rsidRPr="0029775F">
        <w:rPr>
          <w:rFonts w:ascii="Times New Roman" w:hAnsi="Times New Roman" w:cs="Times New Roman"/>
          <w:color w:val="auto"/>
          <w:lang w:eastAsia="zh-CN"/>
        </w:rPr>
        <w:t xml:space="preserve">Działanie w fazie pomysłu </w:t>
      </w:r>
      <w:r>
        <w:rPr>
          <w:rFonts w:ascii="Times New Roman" w:hAnsi="Times New Roman" w:cs="Times New Roman"/>
          <w:color w:val="auto"/>
          <w:lang w:eastAsia="zh-CN"/>
        </w:rPr>
        <w:t xml:space="preserve">- </w:t>
      </w:r>
      <w:r w:rsidRPr="0029775F">
        <w:rPr>
          <w:rFonts w:ascii="Times New Roman" w:hAnsi="Times New Roman" w:cs="Times New Roman"/>
          <w:color w:val="auto"/>
          <w:lang w:eastAsia="zh-CN"/>
        </w:rPr>
        <w:t>dla działań technicznych - brak dokumentacji – ocena: 1</w:t>
      </w:r>
    </w:p>
    <w:p w14:paraId="0A60A701" w14:textId="77777777" w:rsidR="00107FCF" w:rsidRPr="0029775F" w:rsidRDefault="00107FCF" w:rsidP="006D41A7">
      <w:pPr>
        <w:pStyle w:val="Default"/>
        <w:numPr>
          <w:ilvl w:val="1"/>
          <w:numId w:val="54"/>
        </w:numPr>
        <w:ind w:left="1134" w:hanging="283"/>
        <w:rPr>
          <w:rFonts w:ascii="Times New Roman" w:hAnsi="Times New Roman" w:cs="Times New Roman"/>
          <w:color w:val="auto"/>
          <w:lang w:eastAsia="zh-CN"/>
        </w:rPr>
      </w:pPr>
      <w:r w:rsidRPr="0029775F">
        <w:rPr>
          <w:rFonts w:ascii="Times New Roman" w:hAnsi="Times New Roman" w:cs="Times New Roman"/>
          <w:color w:val="auto"/>
          <w:lang w:eastAsia="zh-CN"/>
        </w:rPr>
        <w:t xml:space="preserve">Działanie w fazie przygotowawczej </w:t>
      </w:r>
      <w:r>
        <w:rPr>
          <w:rFonts w:ascii="Times New Roman" w:hAnsi="Times New Roman" w:cs="Times New Roman"/>
          <w:color w:val="auto"/>
          <w:lang w:eastAsia="zh-CN"/>
        </w:rPr>
        <w:t xml:space="preserve">- </w:t>
      </w:r>
      <w:r w:rsidRPr="0029775F">
        <w:rPr>
          <w:rFonts w:ascii="Times New Roman" w:hAnsi="Times New Roman" w:cs="Times New Roman"/>
          <w:color w:val="auto"/>
          <w:lang w:eastAsia="zh-CN"/>
        </w:rPr>
        <w:t>dla działań technicznych - jest koncepcja</w:t>
      </w:r>
      <w:r>
        <w:rPr>
          <w:rFonts w:ascii="Times New Roman" w:hAnsi="Times New Roman" w:cs="Times New Roman"/>
          <w:color w:val="auto"/>
          <w:lang w:eastAsia="zh-CN"/>
        </w:rPr>
        <w:t xml:space="preserve"> </w:t>
      </w:r>
      <w:r w:rsidRPr="0029775F">
        <w:rPr>
          <w:rFonts w:ascii="Times New Roman" w:hAnsi="Times New Roman" w:cs="Times New Roman"/>
          <w:color w:val="auto"/>
          <w:lang w:eastAsia="zh-CN"/>
        </w:rPr>
        <w:t>techniczna – ocena: 2</w:t>
      </w:r>
    </w:p>
    <w:p w14:paraId="38F384C4" w14:textId="77777777" w:rsidR="00107FCF" w:rsidRPr="0029775F" w:rsidRDefault="00107FCF" w:rsidP="006D41A7">
      <w:pPr>
        <w:pStyle w:val="Default"/>
        <w:numPr>
          <w:ilvl w:val="1"/>
          <w:numId w:val="54"/>
        </w:numPr>
        <w:ind w:left="1134" w:hanging="283"/>
        <w:rPr>
          <w:rFonts w:ascii="Times New Roman" w:hAnsi="Times New Roman" w:cs="Times New Roman"/>
          <w:color w:val="auto"/>
          <w:lang w:eastAsia="zh-CN"/>
        </w:rPr>
      </w:pPr>
      <w:r w:rsidRPr="0029775F">
        <w:rPr>
          <w:rFonts w:ascii="Times New Roman" w:hAnsi="Times New Roman" w:cs="Times New Roman"/>
          <w:color w:val="auto"/>
          <w:lang w:eastAsia="zh-CN"/>
        </w:rPr>
        <w:t xml:space="preserve">Dla działań technicznych </w:t>
      </w:r>
      <w:r>
        <w:rPr>
          <w:rFonts w:ascii="Times New Roman" w:hAnsi="Times New Roman" w:cs="Times New Roman"/>
          <w:color w:val="auto"/>
          <w:lang w:eastAsia="zh-CN"/>
        </w:rPr>
        <w:t xml:space="preserve">- </w:t>
      </w:r>
      <w:r w:rsidRPr="0029775F">
        <w:rPr>
          <w:rFonts w:ascii="Times New Roman" w:hAnsi="Times New Roman" w:cs="Times New Roman"/>
          <w:color w:val="auto"/>
          <w:lang w:eastAsia="zh-CN"/>
        </w:rPr>
        <w:t xml:space="preserve">jest decyzja środowiskowa – ocena: 3 </w:t>
      </w:r>
    </w:p>
    <w:p w14:paraId="71391DE7" w14:textId="77777777" w:rsidR="00107FCF" w:rsidRPr="0029775F" w:rsidRDefault="00107FCF" w:rsidP="006D41A7">
      <w:pPr>
        <w:pStyle w:val="Default"/>
        <w:numPr>
          <w:ilvl w:val="1"/>
          <w:numId w:val="54"/>
        </w:numPr>
        <w:spacing w:after="160"/>
        <w:ind w:left="1134" w:hanging="283"/>
        <w:rPr>
          <w:rFonts w:ascii="Times New Roman" w:hAnsi="Times New Roman" w:cs="Times New Roman"/>
          <w:color w:val="auto"/>
          <w:lang w:eastAsia="zh-CN"/>
        </w:rPr>
      </w:pPr>
      <w:r w:rsidRPr="0029775F">
        <w:rPr>
          <w:rFonts w:ascii="Times New Roman" w:hAnsi="Times New Roman" w:cs="Times New Roman"/>
          <w:color w:val="auto"/>
          <w:lang w:eastAsia="zh-CN"/>
        </w:rPr>
        <w:t xml:space="preserve">Działanie gotowe do wdrożenia </w:t>
      </w:r>
      <w:r>
        <w:rPr>
          <w:rFonts w:ascii="Times New Roman" w:hAnsi="Times New Roman" w:cs="Times New Roman"/>
          <w:color w:val="auto"/>
          <w:lang w:eastAsia="zh-CN"/>
        </w:rPr>
        <w:t xml:space="preserve">- </w:t>
      </w:r>
      <w:r w:rsidRPr="0029775F">
        <w:rPr>
          <w:rFonts w:ascii="Times New Roman" w:hAnsi="Times New Roman" w:cs="Times New Roman"/>
          <w:color w:val="auto"/>
          <w:lang w:eastAsia="zh-CN"/>
        </w:rPr>
        <w:t xml:space="preserve">dla działań technicznych - jest pozwolenie na budowę – ocena: 4 </w:t>
      </w:r>
    </w:p>
    <w:p w14:paraId="373D2ACB" w14:textId="77777777" w:rsidR="00107FCF" w:rsidRPr="0029775F" w:rsidRDefault="00107FCF" w:rsidP="006D41A7">
      <w:pPr>
        <w:pStyle w:val="Default"/>
        <w:numPr>
          <w:ilvl w:val="0"/>
          <w:numId w:val="54"/>
        </w:numPr>
        <w:ind w:left="567" w:hanging="425"/>
        <w:rPr>
          <w:rFonts w:ascii="Times New Roman" w:hAnsi="Times New Roman" w:cs="Times New Roman"/>
          <w:color w:val="auto"/>
          <w:lang w:eastAsia="zh-CN"/>
        </w:rPr>
      </w:pPr>
      <w:r w:rsidRPr="0029775F">
        <w:rPr>
          <w:rFonts w:ascii="Times New Roman" w:hAnsi="Times New Roman" w:cs="Times New Roman"/>
          <w:color w:val="auto"/>
          <w:lang w:eastAsia="zh-CN"/>
        </w:rPr>
        <w:t xml:space="preserve">Kryterium 2. Zapewnienie finansowania, o wadze 30%: </w:t>
      </w:r>
    </w:p>
    <w:p w14:paraId="409F7B99" w14:textId="77777777" w:rsidR="00107FCF" w:rsidRPr="0029775F" w:rsidRDefault="00107FCF" w:rsidP="006D41A7">
      <w:pPr>
        <w:pStyle w:val="Default"/>
        <w:numPr>
          <w:ilvl w:val="1"/>
          <w:numId w:val="54"/>
        </w:numPr>
        <w:ind w:left="1134" w:hanging="283"/>
        <w:rPr>
          <w:rFonts w:ascii="Times New Roman" w:hAnsi="Times New Roman" w:cs="Times New Roman"/>
          <w:color w:val="auto"/>
          <w:lang w:eastAsia="zh-CN"/>
        </w:rPr>
      </w:pPr>
      <w:r w:rsidRPr="0029775F">
        <w:rPr>
          <w:rFonts w:ascii="Times New Roman" w:hAnsi="Times New Roman" w:cs="Times New Roman"/>
          <w:color w:val="auto"/>
          <w:lang w:eastAsia="zh-CN"/>
        </w:rPr>
        <w:t xml:space="preserve">Posiada potwierdzone finansowanie – ocena: 2 </w:t>
      </w:r>
    </w:p>
    <w:p w14:paraId="41556BDB" w14:textId="77777777" w:rsidR="00107FCF" w:rsidRPr="0029775F" w:rsidRDefault="00107FCF" w:rsidP="006D41A7">
      <w:pPr>
        <w:pStyle w:val="11StopPowodzi-Listawypunktowana"/>
        <w:numPr>
          <w:ilvl w:val="1"/>
          <w:numId w:val="54"/>
        </w:numPr>
        <w:spacing w:before="0" w:after="160" w:line="240" w:lineRule="auto"/>
        <w:ind w:left="1134" w:hanging="283"/>
        <w:rPr>
          <w:lang w:val="pl-PL" w:eastAsia="zh-CN"/>
        </w:rPr>
      </w:pPr>
      <w:r w:rsidRPr="0029775F">
        <w:rPr>
          <w:lang w:val="pl-PL" w:eastAsia="zh-CN"/>
        </w:rPr>
        <w:t>Planuje się pozyskać finansowanie – ocena: 1</w:t>
      </w:r>
    </w:p>
    <w:p w14:paraId="05179125" w14:textId="77777777" w:rsidR="00107FCF" w:rsidRPr="006A3BC1" w:rsidRDefault="00107FCF" w:rsidP="006D41A7">
      <w:pPr>
        <w:pStyle w:val="Default"/>
        <w:numPr>
          <w:ilvl w:val="0"/>
          <w:numId w:val="54"/>
        </w:numPr>
        <w:ind w:left="567" w:hanging="425"/>
        <w:rPr>
          <w:rFonts w:ascii="Times New Roman" w:hAnsi="Times New Roman" w:cs="Times New Roman"/>
          <w:color w:val="auto"/>
          <w:lang w:eastAsia="zh-CN"/>
        </w:rPr>
      </w:pPr>
      <w:r w:rsidRPr="0029775F">
        <w:rPr>
          <w:rFonts w:ascii="Times New Roman" w:hAnsi="Times New Roman" w:cs="Times New Roman"/>
          <w:color w:val="auto"/>
          <w:lang w:eastAsia="zh-CN"/>
        </w:rPr>
        <w:br w:type="page"/>
      </w:r>
      <w:r w:rsidRPr="0029775F">
        <w:rPr>
          <w:rFonts w:ascii="Times New Roman" w:hAnsi="Times New Roman" w:cs="Times New Roman"/>
          <w:color w:val="auto"/>
          <w:lang w:eastAsia="zh-CN"/>
        </w:rPr>
        <w:lastRenderedPageBreak/>
        <w:t xml:space="preserve">Kryterium 3. Przynależność ocenianego działania do typu działania o danym priorytecie, o </w:t>
      </w:r>
      <w:r w:rsidRPr="006A3BC1">
        <w:rPr>
          <w:rFonts w:ascii="Times New Roman" w:hAnsi="Times New Roman" w:cs="Times New Roman"/>
          <w:color w:val="auto"/>
          <w:lang w:eastAsia="zh-CN"/>
        </w:rPr>
        <w:t xml:space="preserve">wadze 40%: </w:t>
      </w:r>
    </w:p>
    <w:p w14:paraId="7427F116" w14:textId="77777777" w:rsidR="00107FCF" w:rsidRPr="006A3BC1" w:rsidRDefault="00107FCF" w:rsidP="006D41A7">
      <w:pPr>
        <w:pStyle w:val="Default"/>
        <w:numPr>
          <w:ilvl w:val="1"/>
          <w:numId w:val="54"/>
        </w:numPr>
        <w:ind w:left="1134" w:hanging="283"/>
        <w:rPr>
          <w:rFonts w:ascii="Times New Roman" w:hAnsi="Times New Roman" w:cs="Times New Roman"/>
          <w:color w:val="auto"/>
          <w:lang w:eastAsia="zh-CN"/>
        </w:rPr>
      </w:pPr>
      <w:r w:rsidRPr="006A3BC1">
        <w:rPr>
          <w:rFonts w:ascii="Times New Roman" w:hAnsi="Times New Roman" w:cs="Times New Roman"/>
          <w:color w:val="auto"/>
          <w:lang w:eastAsia="zh-CN"/>
        </w:rPr>
        <w:t xml:space="preserve">Działania należące do typu o wysokim priorytecie - ocena: 3 </w:t>
      </w:r>
    </w:p>
    <w:p w14:paraId="3B58BF1F" w14:textId="77777777" w:rsidR="00107FCF" w:rsidRPr="006A3BC1" w:rsidRDefault="00107FCF" w:rsidP="006D41A7">
      <w:pPr>
        <w:pStyle w:val="Default"/>
        <w:numPr>
          <w:ilvl w:val="1"/>
          <w:numId w:val="54"/>
        </w:numPr>
        <w:ind w:left="1134" w:hanging="283"/>
        <w:rPr>
          <w:rFonts w:ascii="Times New Roman" w:hAnsi="Times New Roman" w:cs="Times New Roman"/>
          <w:color w:val="auto"/>
          <w:lang w:eastAsia="zh-CN"/>
        </w:rPr>
      </w:pPr>
      <w:r w:rsidRPr="006A3BC1">
        <w:rPr>
          <w:rFonts w:ascii="Times New Roman" w:hAnsi="Times New Roman" w:cs="Times New Roman"/>
          <w:color w:val="auto"/>
          <w:lang w:eastAsia="zh-CN"/>
        </w:rPr>
        <w:t xml:space="preserve">Działania należące do typu o średnim priorytecie - ocena: 2 </w:t>
      </w:r>
    </w:p>
    <w:p w14:paraId="56A8D1EA" w14:textId="77777777" w:rsidR="00107FCF" w:rsidRPr="006A3BC1" w:rsidRDefault="00107FCF" w:rsidP="006D41A7">
      <w:pPr>
        <w:pStyle w:val="Akapitzlist"/>
        <w:numPr>
          <w:ilvl w:val="1"/>
          <w:numId w:val="54"/>
        </w:numPr>
        <w:ind w:left="1134" w:hanging="283"/>
        <w:rPr>
          <w:rFonts w:eastAsia="Times New Roman"/>
          <w:sz w:val="24"/>
          <w:szCs w:val="24"/>
        </w:rPr>
      </w:pPr>
      <w:r w:rsidRPr="006A3BC1">
        <w:rPr>
          <w:rFonts w:eastAsia="Times New Roman"/>
          <w:sz w:val="24"/>
          <w:szCs w:val="24"/>
        </w:rPr>
        <w:t>Działania należące do typu o niskim priorytecie - ocena: 1.</w:t>
      </w:r>
    </w:p>
    <w:p w14:paraId="2589ED0E" w14:textId="77777777" w:rsidR="00107FCF" w:rsidRPr="006A3BC1" w:rsidRDefault="00107FCF" w:rsidP="0029775F">
      <w:pPr>
        <w:rPr>
          <w:rFonts w:eastAsia="Times New Roman"/>
        </w:rPr>
      </w:pPr>
    </w:p>
    <w:p w14:paraId="3757ECE8" w14:textId="77777777" w:rsidR="00107FCF" w:rsidRPr="006A3BC1" w:rsidRDefault="00107FCF" w:rsidP="003753DA">
      <w:pPr>
        <w:pStyle w:val="11StopPowodzi-Listawypunktowana"/>
        <w:numPr>
          <w:ilvl w:val="0"/>
          <w:numId w:val="0"/>
        </w:numPr>
        <w:spacing w:before="0" w:after="160" w:line="240" w:lineRule="auto"/>
        <w:rPr>
          <w:lang w:val="pl-PL" w:eastAsia="zh-CN"/>
        </w:rPr>
      </w:pPr>
      <w:r w:rsidRPr="006A3BC1">
        <w:rPr>
          <w:lang w:val="pl-PL" w:eastAsia="zh-CN"/>
        </w:rPr>
        <w:t xml:space="preserve">Działaniom nietechnicznym, odnoszącym się do konkretnego obszaru problemowego, należy przypisać priorytety (w skali 1 – 5), kierując się wartością średniorocznych strat powodziowych AAD w obszarze problemowym, do którego dane działanie się odnosi. </w:t>
      </w:r>
    </w:p>
    <w:p w14:paraId="43284A4F" w14:textId="77777777" w:rsidR="00107FCF" w:rsidRPr="006A3BC1" w:rsidRDefault="00107FCF" w:rsidP="003753DA">
      <w:pPr>
        <w:pStyle w:val="11StopPowodzi-Listawypunktowana"/>
        <w:numPr>
          <w:ilvl w:val="0"/>
          <w:numId w:val="0"/>
        </w:numPr>
        <w:spacing w:before="0" w:after="160" w:line="240" w:lineRule="auto"/>
        <w:rPr>
          <w:lang w:val="pl-PL" w:eastAsia="zh-CN"/>
        </w:rPr>
      </w:pPr>
      <w:r w:rsidRPr="006A3BC1">
        <w:rPr>
          <w:lang w:val="pl-PL" w:eastAsia="zh-CN"/>
        </w:rPr>
        <w:t xml:space="preserve">Nowym działaniom technicznym przewidzianym w aPZRP realizującym cel 2, należy przypisać priorytety (w skali 1 – 5) na poziomie regionu wodnego (lub dorzecza) jako wypadkową wyznaczonego wstępnie priorytetu na poziomie typu działania, a także priorytetu redukcji ryzyka powodziowego w obszarze problemowym, któremu dedykowane jest to działanie. </w:t>
      </w:r>
    </w:p>
    <w:p w14:paraId="7BB7A438" w14:textId="77777777" w:rsidR="00107FCF" w:rsidRPr="006A3BC1" w:rsidRDefault="00107FCF" w:rsidP="003753DA">
      <w:pPr>
        <w:pStyle w:val="11StopPowodzi-Listawypunktowana"/>
        <w:numPr>
          <w:ilvl w:val="0"/>
          <w:numId w:val="0"/>
        </w:numPr>
        <w:spacing w:before="0" w:after="160" w:line="240" w:lineRule="auto"/>
        <w:rPr>
          <w:lang w:val="pl-PL" w:eastAsia="zh-CN"/>
        </w:rPr>
      </w:pPr>
      <w:r w:rsidRPr="006A3BC1">
        <w:rPr>
          <w:lang w:val="pl-PL" w:eastAsia="zh-CN"/>
        </w:rPr>
        <w:t>Lista działań z przypisanymi priorytetami znajduje się w Załączniku 5</w:t>
      </w:r>
      <w:r w:rsidRPr="006A3BC1">
        <w:rPr>
          <w:lang w:val="pl-PL"/>
        </w:rPr>
        <w:t xml:space="preserve"> – Ostateczna lista działań.</w:t>
      </w:r>
    </w:p>
    <w:p w14:paraId="415BF4B0" w14:textId="5D89B266" w:rsidR="008427BB" w:rsidRDefault="001B538B" w:rsidP="006D41A7">
      <w:pPr>
        <w:pStyle w:val="ReportLevel1"/>
        <w:numPr>
          <w:ilvl w:val="0"/>
          <w:numId w:val="4"/>
        </w:numPr>
      </w:pPr>
      <w:r>
        <w:br w:type="page"/>
      </w:r>
      <w:bookmarkStart w:id="129" w:name="_Hlk80299099"/>
      <w:bookmarkStart w:id="130" w:name="_Toc80608734"/>
      <w:r w:rsidR="008427BB">
        <w:lastRenderedPageBreak/>
        <w:t>Podsumowanie działań prowadzonych podczas prac nad aPZRPM</w:t>
      </w:r>
      <w:bookmarkEnd w:id="129"/>
      <w:bookmarkEnd w:id="130"/>
    </w:p>
    <w:p w14:paraId="7FC6E078" w14:textId="77777777" w:rsidR="008427BB" w:rsidRDefault="008427BB" w:rsidP="006D41A7">
      <w:pPr>
        <w:pStyle w:val="ReportLevel2"/>
        <w:numPr>
          <w:ilvl w:val="1"/>
          <w:numId w:val="4"/>
        </w:numPr>
      </w:pPr>
      <w:bookmarkStart w:id="131" w:name="_Toc80608735"/>
      <w:r>
        <w:t>Podsumowanie przeglądu i aktualizacji MZP i MRP</w:t>
      </w:r>
      <w:bookmarkEnd w:id="131"/>
      <w:r>
        <w:t xml:space="preserve"> </w:t>
      </w:r>
    </w:p>
    <w:p w14:paraId="0B9E6850" w14:textId="522538F7" w:rsidR="008427BB" w:rsidRDefault="008427BB" w:rsidP="008427BB">
      <w:pPr>
        <w:pStyle w:val="ReportText"/>
        <w:spacing w:before="120" w:after="120"/>
        <w:jc w:val="both"/>
      </w:pPr>
      <w:r>
        <w:t>Realizacja projektu: Przegląd i aktualizacja map zagrożenia powodziowego (MZP) i map ryzyka powodziowego (MRP) w II cyklu planistycznym wdrażania Dyrektywy Powodziowej, finansowana była ze środków Programu Operacyjnego Infrastruktura i</w:t>
      </w:r>
      <w:r w:rsidR="00290AD4">
        <w:t> </w:t>
      </w:r>
      <w:r>
        <w:t>Środowisko 2014- 2020, Oś priorytetowa II: Ochrona środowiska w tym adaptacja do zmian klimatu, Działanie 2.1 Adaptacja do zmian klimatu wraz z zabezpieczeniem i</w:t>
      </w:r>
      <w:r w:rsidR="00290AD4">
        <w:t> </w:t>
      </w:r>
      <w:r>
        <w:t xml:space="preserve">zwiększeniem odporności na klęski żywiołowe, w szczególności katastrofy naturalne oraz monitoring środowiska. Projekt opracowywany był w latach 2017 – 2020. </w:t>
      </w:r>
    </w:p>
    <w:p w14:paraId="57147D55" w14:textId="77777777" w:rsidR="008427BB" w:rsidRDefault="008427BB" w:rsidP="008427BB">
      <w:pPr>
        <w:pStyle w:val="ReportText"/>
        <w:spacing w:before="120" w:after="120"/>
        <w:jc w:val="both"/>
      </w:pPr>
      <w:r>
        <w:t>Zakres prac zrealizowanych w II cyklu planistycznym (2016-2021) obejmował:</w:t>
      </w:r>
    </w:p>
    <w:p w14:paraId="48190F87" w14:textId="77777777" w:rsidR="008427BB" w:rsidRDefault="008427BB" w:rsidP="006D41A7">
      <w:pPr>
        <w:pStyle w:val="ReportText"/>
        <w:numPr>
          <w:ilvl w:val="0"/>
          <w:numId w:val="104"/>
        </w:numPr>
        <w:spacing w:before="120" w:after="120"/>
        <w:ind w:left="567" w:hanging="425"/>
        <w:jc w:val="both"/>
      </w:pPr>
      <w:r>
        <w:t xml:space="preserve">przegląd MZP i MRP opracowanych w I cyklu planistycznym oraz ich aktualizację w razie stwierdzenia takiej potrzeby; </w:t>
      </w:r>
    </w:p>
    <w:p w14:paraId="04758C3B" w14:textId="77777777" w:rsidR="008427BB" w:rsidRDefault="008427BB" w:rsidP="006D41A7">
      <w:pPr>
        <w:pStyle w:val="ReportText"/>
        <w:numPr>
          <w:ilvl w:val="0"/>
          <w:numId w:val="104"/>
        </w:numPr>
        <w:spacing w:before="120" w:after="120"/>
        <w:ind w:left="567" w:hanging="425"/>
        <w:jc w:val="both"/>
      </w:pPr>
      <w:r>
        <w:t xml:space="preserve">sporządzenie nowych map zagrożenia powodziowego i map ryzyka powodziowego dla obszarów i typów powodzi wskazanych w wyniku przeglądu i aktualizacji wstępnej oceny ryzyka powodziowego zakończonej w 2018 r. </w:t>
      </w:r>
    </w:p>
    <w:p w14:paraId="2C917346" w14:textId="77777777" w:rsidR="008427BB" w:rsidRDefault="008427BB" w:rsidP="008427BB">
      <w:pPr>
        <w:pStyle w:val="ReportText"/>
        <w:spacing w:before="120" w:after="120"/>
        <w:jc w:val="both"/>
      </w:pPr>
      <w:r>
        <w:t xml:space="preserve">Podstawę przeglądu, aktualizacji oraz opracowania map zagrożenia powodziowego i map ryzyka powodziowego stanowiły następujące akty prawne: </w:t>
      </w:r>
    </w:p>
    <w:p w14:paraId="630014FA" w14:textId="77777777" w:rsidR="008427BB" w:rsidRDefault="008427BB" w:rsidP="006D41A7">
      <w:pPr>
        <w:pStyle w:val="ReportText"/>
        <w:numPr>
          <w:ilvl w:val="0"/>
          <w:numId w:val="87"/>
        </w:numPr>
        <w:spacing w:before="120" w:after="120"/>
        <w:ind w:left="567" w:hanging="425"/>
        <w:jc w:val="both"/>
      </w:pPr>
      <w:r>
        <w:t xml:space="preserve">Dyrektywa 2007/60/WE Parlamentu Europejskiego i Rady z dnia 23 października 2007 r. w sprawie oceny ryzyka powodziowego i zarządzania nim (Dyrektywa Powodziowa); </w:t>
      </w:r>
    </w:p>
    <w:p w14:paraId="15319EC7" w14:textId="77777777" w:rsidR="008427BB" w:rsidRDefault="008427BB" w:rsidP="006D41A7">
      <w:pPr>
        <w:pStyle w:val="ReportText"/>
        <w:numPr>
          <w:ilvl w:val="0"/>
          <w:numId w:val="87"/>
        </w:numPr>
        <w:spacing w:before="120" w:after="120"/>
        <w:ind w:left="567" w:hanging="425"/>
        <w:jc w:val="both"/>
      </w:pPr>
      <w:r>
        <w:t xml:space="preserve">Ustawa z dnia 20 lipca 2017 r. – Prawo wodne (Dz. U. z 2020 r. poz. 310, z późn. zm.); </w:t>
      </w:r>
    </w:p>
    <w:p w14:paraId="2BA4F79C" w14:textId="77777777" w:rsidR="008427BB" w:rsidRDefault="008427BB" w:rsidP="006D41A7">
      <w:pPr>
        <w:pStyle w:val="ReportText"/>
        <w:numPr>
          <w:ilvl w:val="0"/>
          <w:numId w:val="87"/>
        </w:numPr>
        <w:spacing w:before="120" w:after="120"/>
        <w:ind w:left="567" w:hanging="425"/>
        <w:jc w:val="both"/>
      </w:pPr>
      <w:r>
        <w:t xml:space="preserve">Rozporządzenie Ministra Gospodarki Morskiej i Żeglugi Śródlądowej z dnia 4 października 2018 r. w sprawie opracowania map zagrożenia powodziowego oraz map ryzyka powodziowego (Dz. U z 2018 r. poz. 2031). </w:t>
      </w:r>
    </w:p>
    <w:p w14:paraId="72BBE1CD" w14:textId="77777777" w:rsidR="008427BB" w:rsidRDefault="008427BB" w:rsidP="008427BB">
      <w:pPr>
        <w:pStyle w:val="ReportText"/>
        <w:spacing w:before="120" w:after="120"/>
        <w:jc w:val="both"/>
      </w:pPr>
      <w:r>
        <w:t>Zgodnie z art. 555 ust. 2 pkt 4 i 5 ustawy z dnia 20 lipca 2017 r. – Prawo wodne (</w:t>
      </w:r>
      <w:r w:rsidRPr="00725707">
        <w:t>Dz. U. z 2021 r. poz. 624 ze zm.)</w:t>
      </w:r>
      <w:r>
        <w:t xml:space="preserve">, zwanej dalej „ustawą – Prawo wodne”, opracowane dotychczas mapy zagrożenia powodziowego i mapy ryzyka powodziowego zachowują ważność. </w:t>
      </w:r>
    </w:p>
    <w:p w14:paraId="2CD27647" w14:textId="77777777" w:rsidR="008427BB" w:rsidRDefault="008427BB" w:rsidP="008427BB">
      <w:pPr>
        <w:pStyle w:val="ReportText"/>
        <w:spacing w:before="120" w:after="120"/>
        <w:jc w:val="both"/>
      </w:pPr>
      <w:r>
        <w:t xml:space="preserve">Zgodnie z art. 171 ust. 8 ustawy – Prawo wodne, mapy zagrożenia powodziowego i mapy ryzyka powodziowego podlegają przeglądowi co 6 lat oraz w razie potrzeby aktualizacji. Ostatni przegląd i aktualizacja map zagrożenia powodziowego i map ryzyka powodziowego, zostały podane do publicznej wiadomości w dniu 22.10.2020 r. </w:t>
      </w:r>
    </w:p>
    <w:p w14:paraId="21103E90" w14:textId="77777777" w:rsidR="008427BB" w:rsidRDefault="008427BB" w:rsidP="008427BB">
      <w:pPr>
        <w:pStyle w:val="ReportText"/>
        <w:spacing w:before="120" w:after="120"/>
        <w:jc w:val="both"/>
      </w:pPr>
      <w:r>
        <w:t xml:space="preserve">Zgodnie z art. 169 ust. 1 ustawy – Prawo wodne mapy zagrożenia powodziowego i mapy ryzyka powodziowego sporządzane są dla obszarów narażonych na niebezpieczeństwo powodzi, wyznaczonych na podstawie wstępnej oceny ryzyka powodziowego. </w:t>
      </w:r>
    </w:p>
    <w:p w14:paraId="073CD9B5" w14:textId="77777777" w:rsidR="008427BB" w:rsidRDefault="008427BB" w:rsidP="008427BB">
      <w:pPr>
        <w:pStyle w:val="ReportText"/>
        <w:spacing w:before="120" w:after="120"/>
        <w:jc w:val="both"/>
      </w:pPr>
      <w:r>
        <w:t xml:space="preserve">Zakres oraz sposób opracowania map zagrożenia powodziowego i map ryzyka powodziowego określony został w art. 169-171 ustawy – Prawo wodne. Ww. artykuły wskazują również tryb ich opiniowania oraz uzgadniania. </w:t>
      </w:r>
    </w:p>
    <w:p w14:paraId="44789B7E" w14:textId="5DE25F84" w:rsidR="008427BB" w:rsidRDefault="006D41A7" w:rsidP="008427BB">
      <w:pPr>
        <w:pStyle w:val="ReportText"/>
        <w:spacing w:before="120" w:after="120"/>
        <w:jc w:val="both"/>
      </w:pPr>
      <w:r>
        <w:br w:type="column"/>
      </w:r>
      <w:r w:rsidR="008427BB">
        <w:lastRenderedPageBreak/>
        <w:t>Zgodnie z ustawą – Prawo wodne (art. 169 ust. 2) na mapach zagrożenia powodziowego przedstawia się w szczególności:</w:t>
      </w:r>
    </w:p>
    <w:p w14:paraId="61F20717" w14:textId="77777777" w:rsidR="008427BB" w:rsidRDefault="008427BB" w:rsidP="006D41A7">
      <w:pPr>
        <w:pStyle w:val="ReportText"/>
        <w:numPr>
          <w:ilvl w:val="0"/>
          <w:numId w:val="89"/>
        </w:numPr>
        <w:spacing w:before="120" w:after="120"/>
        <w:ind w:left="567" w:hanging="425"/>
        <w:jc w:val="both"/>
      </w:pPr>
      <w:r>
        <w:t xml:space="preserve">obszary, na których prawdopodobieństwo powodzi jest niskie i wynosi 0,2% lub na których istnieje prawdopodobieństwo wystąpienia zdarzenia ekstremalnego; </w:t>
      </w:r>
    </w:p>
    <w:p w14:paraId="1D06E0CA" w14:textId="77777777" w:rsidR="008427BB" w:rsidRDefault="008427BB" w:rsidP="006D41A7">
      <w:pPr>
        <w:pStyle w:val="ReportText"/>
        <w:numPr>
          <w:ilvl w:val="0"/>
          <w:numId w:val="89"/>
        </w:numPr>
        <w:spacing w:before="120" w:after="120"/>
        <w:ind w:left="567" w:hanging="425"/>
        <w:jc w:val="both"/>
      </w:pPr>
      <w:r>
        <w:t xml:space="preserve">obszary szczególnego zagrożenia powodzią; </w:t>
      </w:r>
    </w:p>
    <w:p w14:paraId="2BEA5A49" w14:textId="77777777" w:rsidR="008427BB" w:rsidRDefault="008427BB" w:rsidP="006D41A7">
      <w:pPr>
        <w:pStyle w:val="ReportText"/>
        <w:numPr>
          <w:ilvl w:val="0"/>
          <w:numId w:val="89"/>
        </w:numPr>
        <w:spacing w:before="120" w:after="120"/>
        <w:ind w:left="567" w:hanging="425"/>
        <w:jc w:val="both"/>
      </w:pPr>
      <w:r>
        <w:t xml:space="preserve">obszary obejmujące tereny narażone na zalanie w przypadku uszkodzenia lub zniszczenia: </w:t>
      </w:r>
    </w:p>
    <w:p w14:paraId="58965F23" w14:textId="77777777" w:rsidR="008427BB" w:rsidRDefault="008427BB" w:rsidP="006D41A7">
      <w:pPr>
        <w:pStyle w:val="ReportText"/>
        <w:numPr>
          <w:ilvl w:val="0"/>
          <w:numId w:val="88"/>
        </w:numPr>
        <w:spacing w:before="120" w:after="120"/>
        <w:ind w:left="1134" w:hanging="283"/>
        <w:jc w:val="both"/>
      </w:pPr>
      <w:r>
        <w:t xml:space="preserve">wału przeciwpowodziowego; </w:t>
      </w:r>
    </w:p>
    <w:p w14:paraId="1BCC9989" w14:textId="77777777" w:rsidR="008427BB" w:rsidRDefault="008427BB" w:rsidP="006D41A7">
      <w:pPr>
        <w:pStyle w:val="ReportText"/>
        <w:numPr>
          <w:ilvl w:val="0"/>
          <w:numId w:val="88"/>
        </w:numPr>
        <w:spacing w:before="120" w:after="120"/>
        <w:ind w:left="1134" w:hanging="283"/>
        <w:jc w:val="both"/>
      </w:pPr>
      <w:r>
        <w:t xml:space="preserve">wału przeciwsztormowego; </w:t>
      </w:r>
    </w:p>
    <w:p w14:paraId="132ACBC1" w14:textId="77777777" w:rsidR="008427BB" w:rsidRDefault="008427BB" w:rsidP="006D41A7">
      <w:pPr>
        <w:pStyle w:val="ReportText"/>
        <w:numPr>
          <w:ilvl w:val="0"/>
          <w:numId w:val="88"/>
        </w:numPr>
        <w:spacing w:before="120" w:after="120"/>
        <w:ind w:left="1134" w:hanging="283"/>
        <w:jc w:val="both"/>
      </w:pPr>
      <w:r>
        <w:t>budowli piętrzącej.</w:t>
      </w:r>
    </w:p>
    <w:p w14:paraId="6BD75A51" w14:textId="77777777" w:rsidR="008427BB" w:rsidRDefault="008427BB" w:rsidP="008427BB">
      <w:pPr>
        <w:pStyle w:val="ReportText"/>
        <w:spacing w:before="120" w:after="120"/>
        <w:jc w:val="both"/>
      </w:pPr>
      <w:r>
        <w:t>Dla obszarów, o których mowa w art. 169 ust. 2 ustawy, sporządza się mapy ryzyka powodziowego. Na mapach ryzyka powodziowego (zgodnie z art. 170 ust. 2) przedstawia się potencjalnie negatywne skutki związane z powodzią, uwzględniające:</w:t>
      </w:r>
    </w:p>
    <w:p w14:paraId="3FB0BFE6" w14:textId="77777777" w:rsidR="008427BB" w:rsidRDefault="008427BB" w:rsidP="006D41A7">
      <w:pPr>
        <w:pStyle w:val="ReportText"/>
        <w:numPr>
          <w:ilvl w:val="0"/>
          <w:numId w:val="90"/>
        </w:numPr>
        <w:spacing w:before="120" w:after="120"/>
        <w:ind w:left="567" w:hanging="425"/>
        <w:jc w:val="both"/>
      </w:pPr>
      <w:r>
        <w:t>szacunkową liczbę mieszkańców, którzy mogą być dotknięci powodzią;</w:t>
      </w:r>
    </w:p>
    <w:p w14:paraId="7ABEB8BC" w14:textId="77777777" w:rsidR="008427BB" w:rsidRDefault="008427BB" w:rsidP="006D41A7">
      <w:pPr>
        <w:pStyle w:val="ReportText"/>
        <w:numPr>
          <w:ilvl w:val="0"/>
          <w:numId w:val="90"/>
        </w:numPr>
        <w:spacing w:before="120" w:after="120"/>
        <w:ind w:left="567" w:hanging="425"/>
        <w:jc w:val="both"/>
      </w:pPr>
      <w:r>
        <w:t>rodzaje działalności gospodarczej wykonywanych na obszarach, o których mowa w art. 169 ust.2;</w:t>
      </w:r>
    </w:p>
    <w:p w14:paraId="01C210DE" w14:textId="77777777" w:rsidR="008427BB" w:rsidRDefault="008427BB" w:rsidP="006D41A7">
      <w:pPr>
        <w:pStyle w:val="ReportText"/>
        <w:numPr>
          <w:ilvl w:val="0"/>
          <w:numId w:val="90"/>
        </w:numPr>
        <w:spacing w:before="120" w:after="120"/>
        <w:ind w:left="567" w:hanging="425"/>
        <w:jc w:val="both"/>
      </w:pPr>
      <w:r>
        <w:t>instalacje mogące, w razie wystąpienia powodzi, spowodować znaczne zanieczyszczenie poszczególnych elementów przyrodniczych albo środowiska jako całości;</w:t>
      </w:r>
    </w:p>
    <w:p w14:paraId="0D0DBED6" w14:textId="77777777" w:rsidR="008427BB" w:rsidRDefault="008427BB" w:rsidP="006D41A7">
      <w:pPr>
        <w:pStyle w:val="ReportText"/>
        <w:numPr>
          <w:ilvl w:val="0"/>
          <w:numId w:val="90"/>
        </w:numPr>
        <w:spacing w:before="120" w:after="120"/>
        <w:ind w:left="567" w:hanging="425"/>
        <w:jc w:val="both"/>
      </w:pPr>
      <w:r>
        <w:t xml:space="preserve">występowanie: </w:t>
      </w:r>
    </w:p>
    <w:p w14:paraId="635ED555" w14:textId="77777777" w:rsidR="008427BB" w:rsidRDefault="008427BB" w:rsidP="006D41A7">
      <w:pPr>
        <w:pStyle w:val="ReportText"/>
        <w:numPr>
          <w:ilvl w:val="0"/>
          <w:numId w:val="91"/>
        </w:numPr>
        <w:spacing w:before="120" w:after="120"/>
        <w:ind w:left="1134" w:hanging="283"/>
        <w:jc w:val="both"/>
      </w:pPr>
      <w:r>
        <w:t xml:space="preserve">ujęć wody, stref ochronnych lub obszarów ochronnych; </w:t>
      </w:r>
    </w:p>
    <w:p w14:paraId="482B1A8D" w14:textId="77777777" w:rsidR="008427BB" w:rsidRDefault="008427BB" w:rsidP="006D41A7">
      <w:pPr>
        <w:pStyle w:val="ReportText"/>
        <w:numPr>
          <w:ilvl w:val="0"/>
          <w:numId w:val="91"/>
        </w:numPr>
        <w:spacing w:before="120" w:after="120"/>
        <w:ind w:left="1134" w:hanging="283"/>
        <w:jc w:val="both"/>
      </w:pPr>
      <w:r>
        <w:t xml:space="preserve">kąpielisk; </w:t>
      </w:r>
    </w:p>
    <w:p w14:paraId="38A6675E" w14:textId="77777777" w:rsidR="008427BB" w:rsidRDefault="008427BB" w:rsidP="006D41A7">
      <w:pPr>
        <w:pStyle w:val="ReportText"/>
        <w:numPr>
          <w:ilvl w:val="0"/>
          <w:numId w:val="91"/>
        </w:numPr>
        <w:spacing w:before="120" w:after="120"/>
        <w:ind w:left="1134" w:hanging="283"/>
        <w:jc w:val="both"/>
      </w:pPr>
      <w:r>
        <w:t xml:space="preserve">obszarów Natura 2000, parków narodowych oraz rezerwatów przyrody; </w:t>
      </w:r>
    </w:p>
    <w:p w14:paraId="62D85A50" w14:textId="77777777" w:rsidR="008427BB" w:rsidRDefault="008427BB" w:rsidP="006D41A7">
      <w:pPr>
        <w:pStyle w:val="ReportText"/>
        <w:numPr>
          <w:ilvl w:val="0"/>
          <w:numId w:val="90"/>
        </w:numPr>
        <w:spacing w:before="120" w:after="120"/>
        <w:ind w:left="1134" w:hanging="283"/>
        <w:jc w:val="both"/>
      </w:pPr>
      <w:r>
        <w:t xml:space="preserve">w uzasadnionych przypadkach: </w:t>
      </w:r>
    </w:p>
    <w:p w14:paraId="210D8EC0" w14:textId="77777777" w:rsidR="008427BB" w:rsidRDefault="008427BB" w:rsidP="006D41A7">
      <w:pPr>
        <w:pStyle w:val="ReportText"/>
        <w:numPr>
          <w:ilvl w:val="0"/>
          <w:numId w:val="92"/>
        </w:numPr>
        <w:spacing w:before="120" w:after="120"/>
        <w:ind w:left="1134" w:hanging="283"/>
        <w:jc w:val="both"/>
      </w:pPr>
      <w:r>
        <w:t xml:space="preserve">obszary, na których mogą wystąpić powodzie, którym towarzyszy transport dużej ilości osadów i rumowiska; </w:t>
      </w:r>
    </w:p>
    <w:p w14:paraId="202A0D81" w14:textId="77777777" w:rsidR="008427BB" w:rsidRDefault="008427BB" w:rsidP="006D41A7">
      <w:pPr>
        <w:pStyle w:val="ReportText"/>
        <w:numPr>
          <w:ilvl w:val="0"/>
          <w:numId w:val="92"/>
        </w:numPr>
        <w:spacing w:before="120" w:after="120"/>
        <w:ind w:left="1134" w:hanging="283"/>
        <w:jc w:val="both"/>
      </w:pPr>
      <w:r>
        <w:t xml:space="preserve">potencjalne ogniska zanieczyszczeń wód. </w:t>
      </w:r>
    </w:p>
    <w:p w14:paraId="0854D8B8" w14:textId="77777777" w:rsidR="008427BB" w:rsidRDefault="008427BB" w:rsidP="008427BB">
      <w:pPr>
        <w:pStyle w:val="ReportText"/>
        <w:spacing w:before="120" w:after="120"/>
        <w:jc w:val="both"/>
      </w:pPr>
      <w:r>
        <w:t>Szczegółowy zakres i wymagania dotyczące opracowywania map zagrożenia powodziowego oraz map ryzyka powodziowego, jak również skalę map, określa Rozporządzenie Ministra Gospodarki Morskiej i Żeglugi Śródlądowej z dnia 4 października 2018 r. w sprawie opracowywania map zagrożenia powodziowego oraz map ryzyka powodziowego (Dz. U. 2018 poz. 2031), zwanego dalej „Rozporządzeniem”.</w:t>
      </w:r>
    </w:p>
    <w:p w14:paraId="3A0ACFEE" w14:textId="77777777" w:rsidR="008427BB" w:rsidRDefault="008427BB" w:rsidP="008427BB">
      <w:pPr>
        <w:pStyle w:val="ReportText"/>
        <w:spacing w:before="120" w:after="120"/>
        <w:jc w:val="both"/>
      </w:pPr>
      <w:r>
        <w:t>Mapy zagrożenia powodziowego i mapy ryzyka powodziowego są zatwierdzane przez ministra właściwego do spraw gospodarki wodnej. Zatwierdzone mapy przekazywane są w postaci elektronicznej organom administracji wskazanym w art. 171 ust. 4 ustawy – Prawo wodne oraz podawane do publicznej wiadomości poprzez ich umieszczenie na stronie internetowej Biuletynu Informacji Publicznej PGW WP.</w:t>
      </w:r>
    </w:p>
    <w:p w14:paraId="4BD7A312" w14:textId="17F7B065" w:rsidR="008427BB" w:rsidRDefault="008427BB" w:rsidP="008427BB">
      <w:pPr>
        <w:pStyle w:val="ReportText"/>
        <w:spacing w:before="120" w:after="120"/>
        <w:jc w:val="both"/>
      </w:pPr>
      <w:r>
        <w:t>Zgodnie z wymaganiami Dyrektywy Powodziowej mapy zagrożenia powodziowego i</w:t>
      </w:r>
      <w:r w:rsidR="00290AD4">
        <w:t> </w:t>
      </w:r>
      <w:r>
        <w:t>mapy ryzyka powodziowego sporządzane są dla obszarów i typów powodzi, wskazanych we Wstępnej ocenie ryzyka powodziowego (WORP).</w:t>
      </w:r>
    </w:p>
    <w:p w14:paraId="2A97B990" w14:textId="77777777" w:rsidR="008427BB" w:rsidRDefault="008427BB" w:rsidP="008427BB">
      <w:pPr>
        <w:pStyle w:val="ReportText"/>
        <w:spacing w:before="120" w:after="120"/>
        <w:jc w:val="both"/>
      </w:pPr>
      <w:r>
        <w:lastRenderedPageBreak/>
        <w:t>Wynikiem prac w ramach przeglądu i aktualizacji WORP w 2018 r. było wyznaczenie następujących znaczących typów powodzi w Polsce (ze względu na źródło ich powstania):</w:t>
      </w:r>
    </w:p>
    <w:p w14:paraId="19B6A2DB" w14:textId="77777777" w:rsidR="008427BB" w:rsidRDefault="008427BB" w:rsidP="006D41A7">
      <w:pPr>
        <w:pStyle w:val="ReportText"/>
        <w:numPr>
          <w:ilvl w:val="1"/>
          <w:numId w:val="90"/>
        </w:numPr>
        <w:spacing w:before="120" w:after="120"/>
        <w:ind w:left="567" w:hanging="425"/>
        <w:jc w:val="both"/>
      </w:pPr>
      <w:r>
        <w:t xml:space="preserve">powódź rzeczna – dla dwóch scenariuszy: </w:t>
      </w:r>
    </w:p>
    <w:p w14:paraId="0E92615C" w14:textId="77777777" w:rsidR="008427BB" w:rsidRDefault="008427BB" w:rsidP="006D41A7">
      <w:pPr>
        <w:pStyle w:val="ReportText"/>
        <w:numPr>
          <w:ilvl w:val="0"/>
          <w:numId w:val="93"/>
        </w:numPr>
        <w:spacing w:before="120" w:after="120"/>
        <w:ind w:left="1134" w:hanging="283"/>
        <w:jc w:val="both"/>
      </w:pPr>
      <w:r>
        <w:t>naturalnego wezbrania;</w:t>
      </w:r>
    </w:p>
    <w:p w14:paraId="20ADC9EF" w14:textId="77777777" w:rsidR="008427BB" w:rsidRDefault="008427BB" w:rsidP="006D41A7">
      <w:pPr>
        <w:pStyle w:val="ReportText"/>
        <w:numPr>
          <w:ilvl w:val="0"/>
          <w:numId w:val="93"/>
        </w:numPr>
        <w:spacing w:before="120" w:after="120"/>
        <w:ind w:left="1134" w:hanging="283"/>
        <w:jc w:val="both"/>
      </w:pPr>
      <w:r>
        <w:t xml:space="preserve">zniszczenia wałów przeciwpowodziowych; </w:t>
      </w:r>
    </w:p>
    <w:p w14:paraId="4628A28D" w14:textId="77777777" w:rsidR="008427BB" w:rsidRDefault="008427BB" w:rsidP="006D41A7">
      <w:pPr>
        <w:pStyle w:val="ReportText"/>
        <w:numPr>
          <w:ilvl w:val="1"/>
          <w:numId w:val="90"/>
        </w:numPr>
        <w:spacing w:before="120" w:after="120"/>
        <w:ind w:left="567" w:hanging="425"/>
        <w:jc w:val="both"/>
      </w:pPr>
      <w:r>
        <w:t xml:space="preserve">powódź od strony morza – dla dwóch scenariuszy: </w:t>
      </w:r>
    </w:p>
    <w:p w14:paraId="1FF0D510" w14:textId="77777777" w:rsidR="008427BB" w:rsidRDefault="008427BB" w:rsidP="006D41A7">
      <w:pPr>
        <w:pStyle w:val="ReportText"/>
        <w:numPr>
          <w:ilvl w:val="0"/>
          <w:numId w:val="94"/>
        </w:numPr>
        <w:spacing w:before="120" w:after="120"/>
        <w:ind w:left="1134" w:hanging="283"/>
        <w:jc w:val="both"/>
      </w:pPr>
      <w:r>
        <w:t xml:space="preserve">naturalnego wezbrania; </w:t>
      </w:r>
    </w:p>
    <w:p w14:paraId="752A987B" w14:textId="77777777" w:rsidR="008427BB" w:rsidRDefault="008427BB" w:rsidP="006D41A7">
      <w:pPr>
        <w:pStyle w:val="ReportText"/>
        <w:numPr>
          <w:ilvl w:val="0"/>
          <w:numId w:val="94"/>
        </w:numPr>
        <w:spacing w:before="120" w:after="120"/>
        <w:ind w:left="1134" w:hanging="283"/>
        <w:jc w:val="both"/>
      </w:pPr>
      <w:r>
        <w:t xml:space="preserve">zniszczenia wałów przeciwpowodziowych lub przeciwsztormowych; </w:t>
      </w:r>
    </w:p>
    <w:p w14:paraId="7E28A66F" w14:textId="77777777" w:rsidR="008427BB" w:rsidRDefault="008427BB" w:rsidP="006D41A7">
      <w:pPr>
        <w:pStyle w:val="ReportText"/>
        <w:numPr>
          <w:ilvl w:val="1"/>
          <w:numId w:val="90"/>
        </w:numPr>
        <w:spacing w:before="120" w:after="120"/>
        <w:ind w:left="567" w:hanging="425"/>
        <w:jc w:val="both"/>
      </w:pPr>
      <w:r>
        <w:t>powódź od urządzeń hydrotechnicznych – związana z zalaniem terenu będącym skutkiem uszkodzenia lub zniszczenia budowli piętrzących.</w:t>
      </w:r>
    </w:p>
    <w:p w14:paraId="7885E4FC" w14:textId="3CEB1DBB" w:rsidR="008427BB" w:rsidRDefault="008427BB" w:rsidP="008427BB">
      <w:pPr>
        <w:pStyle w:val="ReportText"/>
        <w:spacing w:before="120" w:after="120"/>
        <w:jc w:val="both"/>
      </w:pPr>
      <w:r>
        <w:t>Mapy zagrożenia powodziowego i mapy ryzyka powodziowego dla powodzi rzecznych oraz powodzi od strony morza zostały opracowane już w ramach I cyklu planistycznego opracowania MZP i MRP. Wynikiem prac przeprowadzonych w II cyklu planistycznym w ramach przeglądu i aktualizacji Wstępnej oceny ryzyka powodziowego było wyznaczenie dodatkowo obszarów narażonych na niebezpieczeństwo powodzi w wyniku zniszczenia lub uszkodzenia budowli piętrzących. Tym samym zakres przeglądu i</w:t>
      </w:r>
      <w:r w:rsidR="00290AD4">
        <w:t> </w:t>
      </w:r>
      <w:r>
        <w:t>aktualizacji MZP i MRP w II cyklu planistycznym obejmował także opracowanie po raz pierwszy MZP i MRP dla powodzi będącej skutkiem uszkodzenia lub zniszczenia budowli piętrzących.</w:t>
      </w:r>
    </w:p>
    <w:p w14:paraId="6230F176" w14:textId="77777777" w:rsidR="008427BB" w:rsidRDefault="008427BB" w:rsidP="006D41A7">
      <w:pPr>
        <w:pStyle w:val="ReportLevel1"/>
        <w:numPr>
          <w:ilvl w:val="0"/>
          <w:numId w:val="4"/>
        </w:numPr>
      </w:pPr>
      <w:r>
        <w:br w:type="page"/>
      </w:r>
      <w:bookmarkStart w:id="132" w:name="_Hlk80299208"/>
      <w:bookmarkStart w:id="133" w:name="_Toc80608736"/>
      <w:r>
        <w:lastRenderedPageBreak/>
        <w:t>Podsumowanie działań służących ustaleniu celów i działań w aPZRPM</w:t>
      </w:r>
      <w:bookmarkEnd w:id="132"/>
      <w:bookmarkEnd w:id="133"/>
    </w:p>
    <w:p w14:paraId="0AAC22D2" w14:textId="77777777" w:rsidR="008427BB" w:rsidRPr="001B538B" w:rsidRDefault="008427BB" w:rsidP="006D41A7">
      <w:pPr>
        <w:pStyle w:val="ReportLevel2"/>
        <w:numPr>
          <w:ilvl w:val="1"/>
          <w:numId w:val="4"/>
        </w:numPr>
        <w:rPr>
          <w:bCs/>
        </w:rPr>
      </w:pPr>
      <w:bookmarkStart w:id="134" w:name="_Toc80608737"/>
      <w:r w:rsidRPr="001B538B">
        <w:rPr>
          <w:bCs/>
        </w:rPr>
        <w:t>Ankietyzacja</w:t>
      </w:r>
      <w:bookmarkEnd w:id="134"/>
    </w:p>
    <w:p w14:paraId="08C09BCC" w14:textId="77777777" w:rsidR="008427BB" w:rsidRDefault="008427BB" w:rsidP="008427BB">
      <w:pPr>
        <w:pStyle w:val="ReportText"/>
        <w:jc w:val="both"/>
      </w:pPr>
      <w:r>
        <w:t>Podczas prac nad aPZRPM przeprowadzono a</w:t>
      </w:r>
      <w:r w:rsidRPr="00B80ECE">
        <w:t>nkietyzacj</w:t>
      </w:r>
      <w:r>
        <w:t>ę</w:t>
      </w:r>
      <w:r w:rsidRPr="00B80ECE">
        <w:t xml:space="preserve"> interesariuszy – podmiotów odpowiedzialnych za realizację zadań związanych z ryzykiem powodziowym</w:t>
      </w:r>
      <w:r>
        <w:t>. O</w:t>
      </w:r>
      <w:r w:rsidRPr="00B80ECE">
        <w:t xml:space="preserve">bjęto </w:t>
      </w:r>
      <w:r>
        <w:t xml:space="preserve">nią </w:t>
      </w:r>
      <w:r w:rsidRPr="00B80ECE">
        <w:t>jednostki samorządowe realizujące zadania mające na celu zmniejszenie zagrożenia powodziowego od strony morza, w tym morskich wód wewnętrznych.</w:t>
      </w:r>
      <w:r>
        <w:t xml:space="preserve"> Podstawą do określenia listy interesariuszy były: </w:t>
      </w:r>
    </w:p>
    <w:p w14:paraId="60259BDA" w14:textId="77777777" w:rsidR="008427BB" w:rsidRDefault="008427BB" w:rsidP="006D41A7">
      <w:pPr>
        <w:pStyle w:val="ReportText"/>
        <w:numPr>
          <w:ilvl w:val="0"/>
          <w:numId w:val="96"/>
        </w:numPr>
        <w:ind w:left="567" w:hanging="425"/>
        <w:jc w:val="both"/>
      </w:pPr>
      <w:r>
        <w:t>Plany zarządzania ryzykiem powodziowym dla obszarów dorzeczy i regionów wodnych opracowane w pierwszym cyklu planistycznym (karty działań);</w:t>
      </w:r>
    </w:p>
    <w:p w14:paraId="1DD8E39F" w14:textId="77777777" w:rsidR="008427BB" w:rsidRDefault="008427BB" w:rsidP="006D41A7">
      <w:pPr>
        <w:pStyle w:val="ReportText"/>
        <w:numPr>
          <w:ilvl w:val="0"/>
          <w:numId w:val="96"/>
        </w:numPr>
        <w:ind w:left="567" w:hanging="425"/>
        <w:jc w:val="both"/>
      </w:pPr>
      <w:r>
        <w:t>Krajowy Plan Zarządzania Kryzysowego, a w szczególności zawarte w nim:</w:t>
      </w:r>
    </w:p>
    <w:p w14:paraId="24A1140B" w14:textId="77777777" w:rsidR="008427BB" w:rsidRDefault="008427BB" w:rsidP="006D41A7">
      <w:pPr>
        <w:pStyle w:val="ReportText"/>
        <w:numPr>
          <w:ilvl w:val="0"/>
          <w:numId w:val="105"/>
        </w:numPr>
        <w:ind w:left="1134" w:hanging="283"/>
        <w:jc w:val="both"/>
      </w:pPr>
      <w:r>
        <w:t>zadania i obowiązki uczestników zarządzania kryzysowego dla faz zapobiegania, przygotowania, reagowania i odbudowy;</w:t>
      </w:r>
    </w:p>
    <w:p w14:paraId="528AB633" w14:textId="77777777" w:rsidR="008427BB" w:rsidRDefault="008427BB" w:rsidP="006D41A7">
      <w:pPr>
        <w:pStyle w:val="ReportText"/>
        <w:numPr>
          <w:ilvl w:val="0"/>
          <w:numId w:val="105"/>
        </w:numPr>
        <w:ind w:left="1134" w:hanging="283"/>
        <w:jc w:val="both"/>
      </w:pPr>
      <w:r>
        <w:t>zadania w zakresie monitorowania zagrożenia powodzią;</w:t>
      </w:r>
    </w:p>
    <w:p w14:paraId="2E7C91F4" w14:textId="5E7FA1D8" w:rsidR="008427BB" w:rsidRDefault="008427BB" w:rsidP="006D41A7">
      <w:pPr>
        <w:pStyle w:val="ReportText"/>
        <w:numPr>
          <w:ilvl w:val="0"/>
          <w:numId w:val="105"/>
        </w:numPr>
        <w:ind w:left="1134" w:hanging="283"/>
        <w:jc w:val="both"/>
      </w:pPr>
      <w:r>
        <w:t>procedury reagowania kryzysowego, określające sposób postępowania w</w:t>
      </w:r>
      <w:r w:rsidR="00290AD4">
        <w:t> </w:t>
      </w:r>
      <w:r>
        <w:t>sytuacjach kryzysowych – zestawienie katalogów i modułów zadaniowych ministrów i wojewodów;</w:t>
      </w:r>
    </w:p>
    <w:p w14:paraId="7BF805CB" w14:textId="77777777" w:rsidR="008427BB" w:rsidRDefault="008427BB" w:rsidP="006D41A7">
      <w:pPr>
        <w:pStyle w:val="ReportText"/>
        <w:numPr>
          <w:ilvl w:val="0"/>
          <w:numId w:val="105"/>
        </w:numPr>
        <w:ind w:left="1134" w:hanging="283"/>
        <w:jc w:val="both"/>
      </w:pPr>
      <w:r>
        <w:t>procedury realizacji zadań z zakresu zarządzania kryzysowego –standardowe procedury operacyjne, w tym związane z ochroną infrastruktury krytycznej</w:t>
      </w:r>
      <w:r>
        <w:br/>
        <w:t>(SPO-5 Wprowadzenie stanu klęski żywiołowej).</w:t>
      </w:r>
    </w:p>
    <w:p w14:paraId="750339E0" w14:textId="77777777" w:rsidR="008427BB" w:rsidRDefault="008427BB" w:rsidP="006D41A7">
      <w:pPr>
        <w:pStyle w:val="ReportText"/>
        <w:numPr>
          <w:ilvl w:val="0"/>
          <w:numId w:val="96"/>
        </w:numPr>
        <w:ind w:left="567"/>
        <w:jc w:val="both"/>
      </w:pPr>
      <w:r>
        <w:t>podmioty odpowiedzialne za wykonywanie działań, które przyczyniają się do redukcji ryzyka powodziowego, zgodnie z obowiązującymi przepisami prawa;</w:t>
      </w:r>
    </w:p>
    <w:p w14:paraId="17D02D67" w14:textId="77777777" w:rsidR="008427BB" w:rsidRDefault="008427BB" w:rsidP="006D41A7">
      <w:pPr>
        <w:pStyle w:val="ReportText"/>
        <w:numPr>
          <w:ilvl w:val="0"/>
          <w:numId w:val="96"/>
        </w:numPr>
        <w:ind w:left="567"/>
        <w:jc w:val="both"/>
      </w:pPr>
      <w:r>
        <w:t>jednostki samorządu terytorialnego realizujące tzw. działania nietechniczne (np. Miejskie Plany Adaptacji, ekspertyzy, projekty).</w:t>
      </w:r>
    </w:p>
    <w:p w14:paraId="286A98F8" w14:textId="77777777" w:rsidR="008427BB" w:rsidRDefault="008427BB" w:rsidP="008427BB">
      <w:pPr>
        <w:pStyle w:val="ReportText"/>
        <w:jc w:val="both"/>
      </w:pPr>
      <w:r>
        <w:t>Celem ankietyzacji było zebranie kompleksowych informacji na temat działań przeciwpowodziowych (technicznych i nietechnicznych), jakie jednostki samorządowe realizują na terenie swojej jurysdykcji. Ankietyzacja przeprowadzona została w zakresie:</w:t>
      </w:r>
    </w:p>
    <w:p w14:paraId="1C7B1FB0" w14:textId="77777777" w:rsidR="008427BB" w:rsidRDefault="008427BB" w:rsidP="006D41A7">
      <w:pPr>
        <w:pStyle w:val="ReportText"/>
        <w:numPr>
          <w:ilvl w:val="0"/>
          <w:numId w:val="95"/>
        </w:numPr>
        <w:ind w:left="567" w:hanging="425"/>
        <w:jc w:val="both"/>
      </w:pPr>
      <w:r>
        <w:t>działań podjętych lub prowadzonych w okresie obowiązywania PZRP opracowanych w I cyklu planistycznym, wskazanych w planach zarządzania ryzykiem powodziowym;</w:t>
      </w:r>
    </w:p>
    <w:p w14:paraId="3A7B6241" w14:textId="77777777" w:rsidR="008427BB" w:rsidRDefault="008427BB" w:rsidP="006D41A7">
      <w:pPr>
        <w:pStyle w:val="ReportText"/>
        <w:numPr>
          <w:ilvl w:val="0"/>
          <w:numId w:val="95"/>
        </w:numPr>
        <w:ind w:left="567" w:hanging="425"/>
        <w:jc w:val="both"/>
      </w:pPr>
      <w:r>
        <w:t>działań podjętych lub prowadzonych w okresie obowiązywania PZRP opracowanych w I cyklu planistycznym nie zawartych w planach zarządzania ryzykiem powodziowym, a realizujących cele PZRPM;</w:t>
      </w:r>
    </w:p>
    <w:p w14:paraId="2A751DBF" w14:textId="4813E731" w:rsidR="008427BB" w:rsidRDefault="008427BB" w:rsidP="006D41A7">
      <w:pPr>
        <w:pStyle w:val="ReportText"/>
        <w:numPr>
          <w:ilvl w:val="0"/>
          <w:numId w:val="95"/>
        </w:numPr>
        <w:ind w:left="567" w:hanging="425"/>
        <w:jc w:val="both"/>
      </w:pPr>
      <w:r>
        <w:t>działań, których podjęcie jest planowane w okresie obowiązywania przeglądu i</w:t>
      </w:r>
      <w:r w:rsidR="00290AD4">
        <w:t> </w:t>
      </w:r>
      <w:r>
        <w:t>aktualizacji PZRPM w II cyklu planistycznym (lata 2022 – 2027);</w:t>
      </w:r>
    </w:p>
    <w:p w14:paraId="6A0302D3" w14:textId="10A7EB61" w:rsidR="008427BB" w:rsidRDefault="008427BB" w:rsidP="006D41A7">
      <w:pPr>
        <w:pStyle w:val="ReportText"/>
        <w:numPr>
          <w:ilvl w:val="0"/>
          <w:numId w:val="95"/>
        </w:numPr>
        <w:ind w:left="567" w:hanging="425"/>
        <w:jc w:val="both"/>
      </w:pPr>
      <w:r>
        <w:t>określenia przyczyn niepodjęcia działań lub niezrealizowania działań w</w:t>
      </w:r>
      <w:r w:rsidR="00290AD4">
        <w:t> </w:t>
      </w:r>
      <w:r>
        <w:t>planowanym przedziale czasu wraz z informacją czy planowana jest realizacja/kontynuacja działań.</w:t>
      </w:r>
    </w:p>
    <w:p w14:paraId="10903BB6" w14:textId="523AF495" w:rsidR="008427BB" w:rsidRDefault="008427BB" w:rsidP="008427BB">
      <w:pPr>
        <w:pStyle w:val="ReportText"/>
        <w:jc w:val="both"/>
      </w:pPr>
      <w:r>
        <w:lastRenderedPageBreak/>
        <w:t>Zadaniem dodatkowym ankietyzacji był monitoring postępu realizacji działań zawartych w Planach zarządzania ryzykiem powodziowym, których obowiązek sprawozdawczy określony jest w Rozporządzeniu Ministra Gospodarki Morskiej i Żeglugi Śródlądowej z</w:t>
      </w:r>
      <w:r w:rsidR="00243F98">
        <w:t> </w:t>
      </w:r>
      <w:r>
        <w:t>dnia 14 grudnia 2018 r. w sprawie zakresu informacji z realizacji działań zawartych w</w:t>
      </w:r>
      <w:r w:rsidR="00243F98">
        <w:t> </w:t>
      </w:r>
      <w:r>
        <w:t>planach gospodarowania wodami na obszarach dorzeczy, planach zarządzania ryzykiem powodziowym i programie ochrony wód morskich (Dz.U. 2018 poz. 2390).</w:t>
      </w:r>
    </w:p>
    <w:p w14:paraId="3AC5E872" w14:textId="77777777" w:rsidR="00243F98" w:rsidRDefault="00243F98" w:rsidP="008427BB">
      <w:pPr>
        <w:pStyle w:val="ReportText"/>
        <w:jc w:val="both"/>
      </w:pPr>
    </w:p>
    <w:p w14:paraId="2190FC4E" w14:textId="77777777" w:rsidR="00881433" w:rsidRDefault="00881433" w:rsidP="006D41A7">
      <w:pPr>
        <w:pStyle w:val="Nagwek5"/>
      </w:pPr>
      <w:bookmarkStart w:id="135" w:name="_Toc70508822"/>
      <w:bookmarkStart w:id="136" w:name="_Toc70664353"/>
      <w:r>
        <w:t>Ankietyzowane podmioty</w:t>
      </w:r>
      <w:bookmarkEnd w:id="135"/>
      <w:bookmarkEnd w:id="136"/>
    </w:p>
    <w:p w14:paraId="522BFA60" w14:textId="77777777" w:rsidR="00881433" w:rsidRDefault="00881433" w:rsidP="00881433">
      <w:pPr>
        <w:pStyle w:val="ReportText"/>
        <w:jc w:val="both"/>
      </w:pPr>
      <w:r>
        <w:t xml:space="preserve">Na potrzeby ankietyzacji przygotowano listę respondentów/interesariuszy, odpowiedzialnych za realizację działań związanych z zarządzaniem ryzykiem powodziowym. Podstawą do określenia listy interesariuszy były: </w:t>
      </w:r>
    </w:p>
    <w:p w14:paraId="7C311DFF" w14:textId="77777777" w:rsidR="00881433" w:rsidRDefault="00881433" w:rsidP="00243F98">
      <w:pPr>
        <w:pStyle w:val="ReportList1"/>
        <w:tabs>
          <w:tab w:val="clear" w:pos="357"/>
        </w:tabs>
        <w:ind w:left="567" w:hanging="425"/>
        <w:jc w:val="both"/>
        <w:rPr>
          <w:lang w:eastAsia="en-US"/>
        </w:rPr>
      </w:pPr>
      <w:r>
        <w:rPr>
          <w:lang w:eastAsia="en-US"/>
        </w:rPr>
        <w:t>Plany zarządzania ryzykiem powodziowym dla obszarów dorzeczy i regionów wodnych opracowane w pierwszym cyklu planistycznym (karty działań);</w:t>
      </w:r>
    </w:p>
    <w:p w14:paraId="0358B9C6" w14:textId="77777777" w:rsidR="00881433" w:rsidRDefault="00881433" w:rsidP="00243F98">
      <w:pPr>
        <w:pStyle w:val="ReportList1"/>
        <w:tabs>
          <w:tab w:val="clear" w:pos="357"/>
        </w:tabs>
        <w:ind w:left="567" w:hanging="425"/>
        <w:jc w:val="both"/>
        <w:rPr>
          <w:lang w:eastAsia="en-US"/>
        </w:rPr>
      </w:pPr>
      <w:r>
        <w:rPr>
          <w:lang w:eastAsia="en-US"/>
        </w:rPr>
        <w:t>Krajowy Plan Zarządzania Kryzysowego, a w szczególności zawarte w nim:</w:t>
      </w:r>
    </w:p>
    <w:p w14:paraId="7DDB9766" w14:textId="77777777" w:rsidR="00881433" w:rsidRPr="00881433" w:rsidRDefault="00881433" w:rsidP="006D41A7">
      <w:pPr>
        <w:pStyle w:val="Akapitzlist"/>
        <w:numPr>
          <w:ilvl w:val="2"/>
          <w:numId w:val="103"/>
        </w:numPr>
        <w:ind w:left="1134" w:hanging="283"/>
        <w:jc w:val="both"/>
        <w:rPr>
          <w:sz w:val="24"/>
          <w:szCs w:val="24"/>
          <w:lang w:eastAsia="en-US"/>
        </w:rPr>
      </w:pPr>
      <w:r w:rsidRPr="00881433">
        <w:rPr>
          <w:sz w:val="24"/>
          <w:szCs w:val="24"/>
          <w:lang w:eastAsia="en-US"/>
        </w:rPr>
        <w:t>zadania i obowiązki uczestników zarządzania kryzysowego dla faz zapobiegania, przygotowania, reagowania i odbudowy;</w:t>
      </w:r>
    </w:p>
    <w:p w14:paraId="6C4C2647" w14:textId="77777777" w:rsidR="00881433" w:rsidRPr="00881433" w:rsidRDefault="00881433" w:rsidP="006D41A7">
      <w:pPr>
        <w:pStyle w:val="Akapitzlist"/>
        <w:numPr>
          <w:ilvl w:val="2"/>
          <w:numId w:val="103"/>
        </w:numPr>
        <w:ind w:left="1134" w:hanging="283"/>
        <w:jc w:val="both"/>
        <w:rPr>
          <w:sz w:val="24"/>
          <w:szCs w:val="24"/>
          <w:lang w:eastAsia="en-US"/>
        </w:rPr>
      </w:pPr>
      <w:r w:rsidRPr="00881433">
        <w:rPr>
          <w:sz w:val="24"/>
          <w:szCs w:val="24"/>
          <w:lang w:eastAsia="en-US"/>
        </w:rPr>
        <w:t>zadania w zakresie monitorowania zagrożenia powodzią;</w:t>
      </w:r>
    </w:p>
    <w:p w14:paraId="4065664F" w14:textId="77777777" w:rsidR="00881433" w:rsidRPr="00881433" w:rsidRDefault="00881433" w:rsidP="006D41A7">
      <w:pPr>
        <w:pStyle w:val="Akapitzlist"/>
        <w:numPr>
          <w:ilvl w:val="2"/>
          <w:numId w:val="103"/>
        </w:numPr>
        <w:ind w:left="1134" w:hanging="283"/>
        <w:jc w:val="both"/>
        <w:rPr>
          <w:sz w:val="24"/>
          <w:szCs w:val="24"/>
          <w:lang w:eastAsia="en-US"/>
        </w:rPr>
      </w:pPr>
      <w:r w:rsidRPr="00881433">
        <w:rPr>
          <w:sz w:val="24"/>
          <w:szCs w:val="24"/>
          <w:lang w:eastAsia="en-US"/>
        </w:rPr>
        <w:t>procedury reagowania kryzysowego, określające sposób postępowania w sytuacjach kryzysowych – zestawienie katalogów i modułów zadaniowych ministrów i wojewodów;</w:t>
      </w:r>
    </w:p>
    <w:p w14:paraId="0D12A990" w14:textId="77777777" w:rsidR="00881433" w:rsidRPr="00881433" w:rsidRDefault="00881433" w:rsidP="006D41A7">
      <w:pPr>
        <w:pStyle w:val="Akapitzlist"/>
        <w:numPr>
          <w:ilvl w:val="2"/>
          <w:numId w:val="103"/>
        </w:numPr>
        <w:ind w:left="1134" w:hanging="283"/>
        <w:jc w:val="both"/>
        <w:rPr>
          <w:sz w:val="24"/>
          <w:szCs w:val="24"/>
          <w:lang w:eastAsia="en-US"/>
        </w:rPr>
      </w:pPr>
      <w:r w:rsidRPr="00881433">
        <w:rPr>
          <w:sz w:val="24"/>
          <w:szCs w:val="24"/>
          <w:lang w:eastAsia="en-US"/>
        </w:rPr>
        <w:t>procedury realizacji zadań z zakresu zarządzania kryzysowego –standardowe procedury operacyjne, w tym związane z ochroną infrastruktury krytycznej (SPO-5 Wprowadzenie stanu klęski żywiołowej).</w:t>
      </w:r>
    </w:p>
    <w:p w14:paraId="1FFFAA05" w14:textId="77777777" w:rsidR="00881433" w:rsidRDefault="00881433" w:rsidP="00243F98">
      <w:pPr>
        <w:pStyle w:val="ReportList1"/>
        <w:tabs>
          <w:tab w:val="clear" w:pos="357"/>
          <w:tab w:val="num" w:pos="567"/>
        </w:tabs>
        <w:ind w:left="567" w:hanging="425"/>
        <w:jc w:val="both"/>
        <w:rPr>
          <w:lang w:eastAsia="en-US"/>
        </w:rPr>
      </w:pPr>
      <w:r>
        <w:rPr>
          <w:lang w:eastAsia="en-US"/>
        </w:rPr>
        <w:t>podmioty odpowiedzialne za wykonywanie działań, które przyczyniają się do redukcji ryzyka powodziowego, zgodnie z obowiązującymi przepisami prawa;</w:t>
      </w:r>
    </w:p>
    <w:p w14:paraId="2E2A37D7" w14:textId="77777777" w:rsidR="00881433" w:rsidRDefault="00881433" w:rsidP="00243F98">
      <w:pPr>
        <w:pStyle w:val="ReportList1"/>
        <w:tabs>
          <w:tab w:val="clear" w:pos="357"/>
          <w:tab w:val="num" w:pos="567"/>
        </w:tabs>
        <w:ind w:left="567" w:hanging="425"/>
        <w:jc w:val="both"/>
        <w:rPr>
          <w:lang w:eastAsia="en-US"/>
        </w:rPr>
      </w:pPr>
      <w:r>
        <w:rPr>
          <w:lang w:eastAsia="en-US"/>
        </w:rPr>
        <w:t>jednostki samorządu terytorialnego realizujące tzw. działania nietechniczne (np. Miejskie Plany Adaptacji, ekspertyzy, projekty).</w:t>
      </w:r>
    </w:p>
    <w:p w14:paraId="7C7BF671" w14:textId="7994D5EC" w:rsidR="00290AD4" w:rsidRPr="00290AD4" w:rsidRDefault="00881433" w:rsidP="00243F98">
      <w:pPr>
        <w:pStyle w:val="ReportText"/>
        <w:jc w:val="both"/>
      </w:pPr>
      <w:r>
        <w:t>Wytypowano</w:t>
      </w:r>
      <w:r w:rsidRPr="00BF1AF6">
        <w:t xml:space="preserve"> łącznie </w:t>
      </w:r>
      <w:r>
        <w:t>104</w:t>
      </w:r>
      <w:r w:rsidRPr="00BF1AF6">
        <w:t xml:space="preserve"> </w:t>
      </w:r>
      <w:r>
        <w:t xml:space="preserve">jednostki położone w granicach trzech województw: zachodnio-pomorskiego, pomorskiego i warmińsko-mazurskiego. Wytypowane gminy zlokalizowane są w pasie przybrzeżnym morza Bałtyckiego, na Żuławach Wiślanych oraz w sąsiedztwie Zalewu Szczecińskiego. Ankietyzację powiatów rozszerzono na starostwa powiatowe znajdujące się w granicach województw: pomorskiego i zachodnio-pomorskiego oraz jedno starostwo w województwie warmińsko-mazurskim. Ankietowane grupy interesariuszy zestawiono w poniższej tabeli. </w:t>
      </w:r>
    </w:p>
    <w:p w14:paraId="01E9552F" w14:textId="44473C8D" w:rsidR="00290AD4" w:rsidRPr="00290AD4" w:rsidRDefault="00290AD4" w:rsidP="00290AD4">
      <w:pPr>
        <w:pStyle w:val="Legenda"/>
        <w:ind w:left="1134" w:hanging="1134"/>
        <w:jc w:val="both"/>
        <w:rPr>
          <w:sz w:val="24"/>
        </w:rPr>
      </w:pPr>
      <w:bookmarkStart w:id="137" w:name="_Toc80608778"/>
      <w:r w:rsidRPr="00290AD4">
        <w:rPr>
          <w:sz w:val="24"/>
        </w:rPr>
        <w:t xml:space="preserve">Tabela </w:t>
      </w:r>
      <w:r w:rsidRPr="00290AD4">
        <w:rPr>
          <w:sz w:val="24"/>
        </w:rPr>
        <w:fldChar w:fldCharType="begin"/>
      </w:r>
      <w:r w:rsidRPr="00290AD4">
        <w:rPr>
          <w:sz w:val="24"/>
        </w:rPr>
        <w:instrText xml:space="preserve"> SEQ Tabela \* ARABIC </w:instrText>
      </w:r>
      <w:r w:rsidRPr="00290AD4">
        <w:rPr>
          <w:sz w:val="24"/>
        </w:rPr>
        <w:fldChar w:fldCharType="separate"/>
      </w:r>
      <w:r w:rsidR="00AC4DF9">
        <w:rPr>
          <w:noProof/>
          <w:sz w:val="24"/>
        </w:rPr>
        <w:t>25</w:t>
      </w:r>
      <w:r w:rsidRPr="00290AD4">
        <w:rPr>
          <w:sz w:val="24"/>
        </w:rPr>
        <w:fldChar w:fldCharType="end"/>
      </w:r>
      <w:r>
        <w:rPr>
          <w:sz w:val="24"/>
        </w:rPr>
        <w:tab/>
      </w:r>
      <w:r w:rsidRPr="00290AD4">
        <w:rPr>
          <w:sz w:val="24"/>
        </w:rPr>
        <w:t>Grupy interesariuszy, do których skierowano ankietę</w:t>
      </w:r>
      <w:bookmarkEnd w:id="137"/>
    </w:p>
    <w:tbl>
      <w:tblPr>
        <w:tblStyle w:val="Tabelasiatki6kolorowaakcent21"/>
        <w:tblW w:w="7792" w:type="dxa"/>
        <w:tblLook w:val="04A0" w:firstRow="1" w:lastRow="0" w:firstColumn="1" w:lastColumn="0" w:noHBand="0" w:noVBand="1"/>
      </w:tblPr>
      <w:tblGrid>
        <w:gridCol w:w="3964"/>
        <w:gridCol w:w="3828"/>
      </w:tblGrid>
      <w:tr w:rsidR="007435EC" w:rsidRPr="007435EC" w14:paraId="7B214241" w14:textId="77777777" w:rsidTr="00243F9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179684F6" w14:textId="77777777" w:rsidR="00881433" w:rsidRPr="00290AD4" w:rsidRDefault="00881433" w:rsidP="005A0B07">
            <w:pPr>
              <w:jc w:val="center"/>
              <w:rPr>
                <w:b w:val="0"/>
                <w:color w:val="auto"/>
                <w:lang w:val="pl-PL"/>
              </w:rPr>
            </w:pPr>
            <w:r w:rsidRPr="00290AD4">
              <w:rPr>
                <w:b w:val="0"/>
                <w:color w:val="auto"/>
                <w:lang w:val="pl-PL"/>
              </w:rPr>
              <w:t>Grupa interesariuszy</w:t>
            </w:r>
          </w:p>
        </w:tc>
        <w:tc>
          <w:tcPr>
            <w:tcW w:w="3828" w:type="dxa"/>
          </w:tcPr>
          <w:p w14:paraId="0477987A" w14:textId="77777777" w:rsidR="00881433" w:rsidRPr="00290AD4" w:rsidRDefault="00881433" w:rsidP="005A0B07">
            <w:pPr>
              <w:jc w:val="center"/>
              <w:cnfStyle w:val="100000000000" w:firstRow="1" w:lastRow="0" w:firstColumn="0" w:lastColumn="0" w:oddVBand="0" w:evenVBand="0" w:oddHBand="0" w:evenHBand="0" w:firstRowFirstColumn="0" w:firstRowLastColumn="0" w:lastRowFirstColumn="0" w:lastRowLastColumn="0"/>
              <w:rPr>
                <w:b w:val="0"/>
                <w:color w:val="auto"/>
                <w:lang w:val="pl-PL"/>
              </w:rPr>
            </w:pPr>
            <w:r w:rsidRPr="00290AD4">
              <w:rPr>
                <w:b w:val="0"/>
                <w:color w:val="auto"/>
                <w:lang w:val="pl-PL"/>
              </w:rPr>
              <w:t>Liczba interesariuszy</w:t>
            </w:r>
          </w:p>
        </w:tc>
      </w:tr>
      <w:tr w:rsidR="007435EC" w:rsidRPr="007435EC" w14:paraId="6BF9F596" w14:textId="77777777" w:rsidTr="00243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45F7B1D2" w14:textId="77777777" w:rsidR="00881433" w:rsidRPr="00290AD4" w:rsidRDefault="00881433" w:rsidP="005A0B07">
            <w:pPr>
              <w:jc w:val="center"/>
              <w:rPr>
                <w:b w:val="0"/>
                <w:color w:val="auto"/>
                <w:lang w:val="pl-PL"/>
              </w:rPr>
            </w:pPr>
            <w:r w:rsidRPr="00290AD4">
              <w:rPr>
                <w:b w:val="0"/>
                <w:color w:val="auto"/>
                <w:lang w:val="pl-PL"/>
              </w:rPr>
              <w:t>Urzędy Gminy</w:t>
            </w:r>
          </w:p>
        </w:tc>
        <w:tc>
          <w:tcPr>
            <w:tcW w:w="3828" w:type="dxa"/>
          </w:tcPr>
          <w:p w14:paraId="4A6DA905" w14:textId="77777777" w:rsidR="00881433" w:rsidRPr="00290AD4" w:rsidRDefault="00881433" w:rsidP="005A0B07">
            <w:pPr>
              <w:jc w:val="center"/>
              <w:cnfStyle w:val="000000100000" w:firstRow="0" w:lastRow="0" w:firstColumn="0" w:lastColumn="0" w:oddVBand="0" w:evenVBand="0" w:oddHBand="1" w:evenHBand="0" w:firstRowFirstColumn="0" w:firstRowLastColumn="0" w:lastRowFirstColumn="0" w:lastRowLastColumn="0"/>
              <w:rPr>
                <w:bCs/>
                <w:color w:val="auto"/>
                <w:lang w:val="pl-PL"/>
              </w:rPr>
            </w:pPr>
            <w:r w:rsidRPr="00290AD4">
              <w:rPr>
                <w:bCs/>
                <w:color w:val="auto"/>
                <w:lang w:val="pl-PL"/>
              </w:rPr>
              <w:t>38</w:t>
            </w:r>
          </w:p>
        </w:tc>
      </w:tr>
      <w:tr w:rsidR="007435EC" w:rsidRPr="007435EC" w14:paraId="766B6C4A" w14:textId="77777777" w:rsidTr="00243F98">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6F4F7459" w14:textId="77777777" w:rsidR="00881433" w:rsidRPr="00290AD4" w:rsidRDefault="00881433" w:rsidP="005A0B07">
            <w:pPr>
              <w:jc w:val="center"/>
              <w:rPr>
                <w:b w:val="0"/>
                <w:color w:val="auto"/>
                <w:lang w:val="pl-PL"/>
              </w:rPr>
            </w:pPr>
            <w:r w:rsidRPr="00290AD4">
              <w:rPr>
                <w:b w:val="0"/>
                <w:color w:val="auto"/>
                <w:lang w:val="pl-PL"/>
              </w:rPr>
              <w:t>Urzędy Miasta i Gminy</w:t>
            </w:r>
          </w:p>
        </w:tc>
        <w:tc>
          <w:tcPr>
            <w:tcW w:w="3828" w:type="dxa"/>
          </w:tcPr>
          <w:p w14:paraId="562F7A15" w14:textId="77777777" w:rsidR="00881433" w:rsidRPr="00290AD4" w:rsidRDefault="00881433" w:rsidP="005A0B07">
            <w:pPr>
              <w:jc w:val="center"/>
              <w:cnfStyle w:val="000000000000" w:firstRow="0" w:lastRow="0" w:firstColumn="0" w:lastColumn="0" w:oddVBand="0" w:evenVBand="0" w:oddHBand="0" w:evenHBand="0" w:firstRowFirstColumn="0" w:firstRowLastColumn="0" w:lastRowFirstColumn="0" w:lastRowLastColumn="0"/>
              <w:rPr>
                <w:bCs/>
                <w:color w:val="auto"/>
                <w:lang w:val="pl-PL"/>
              </w:rPr>
            </w:pPr>
            <w:r w:rsidRPr="00290AD4">
              <w:rPr>
                <w:bCs/>
                <w:color w:val="auto"/>
                <w:lang w:val="pl-PL"/>
              </w:rPr>
              <w:t>4</w:t>
            </w:r>
          </w:p>
        </w:tc>
      </w:tr>
      <w:tr w:rsidR="007435EC" w:rsidRPr="007435EC" w14:paraId="608BBB88" w14:textId="77777777" w:rsidTr="00243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12264BF8" w14:textId="77777777" w:rsidR="00881433" w:rsidRPr="00290AD4" w:rsidRDefault="00881433" w:rsidP="005A0B07">
            <w:pPr>
              <w:jc w:val="center"/>
              <w:rPr>
                <w:b w:val="0"/>
                <w:color w:val="auto"/>
                <w:lang w:val="pl-PL"/>
              </w:rPr>
            </w:pPr>
            <w:r w:rsidRPr="00290AD4">
              <w:rPr>
                <w:b w:val="0"/>
                <w:color w:val="auto"/>
                <w:lang w:val="pl-PL"/>
              </w:rPr>
              <w:t>Urzędy Miejskie</w:t>
            </w:r>
          </w:p>
        </w:tc>
        <w:tc>
          <w:tcPr>
            <w:tcW w:w="3828" w:type="dxa"/>
          </w:tcPr>
          <w:p w14:paraId="623D30F3" w14:textId="77777777" w:rsidR="00881433" w:rsidRPr="00290AD4" w:rsidRDefault="00881433" w:rsidP="005A0B07">
            <w:pPr>
              <w:jc w:val="center"/>
              <w:cnfStyle w:val="000000100000" w:firstRow="0" w:lastRow="0" w:firstColumn="0" w:lastColumn="0" w:oddVBand="0" w:evenVBand="0" w:oddHBand="1" w:evenHBand="0" w:firstRowFirstColumn="0" w:firstRowLastColumn="0" w:lastRowFirstColumn="0" w:lastRowLastColumn="0"/>
              <w:rPr>
                <w:bCs/>
                <w:color w:val="auto"/>
                <w:lang w:val="pl-PL"/>
              </w:rPr>
            </w:pPr>
            <w:r w:rsidRPr="00290AD4">
              <w:rPr>
                <w:bCs/>
                <w:color w:val="auto"/>
                <w:lang w:val="pl-PL"/>
              </w:rPr>
              <w:t>21</w:t>
            </w:r>
          </w:p>
        </w:tc>
      </w:tr>
      <w:tr w:rsidR="007435EC" w:rsidRPr="007435EC" w14:paraId="00DC3444" w14:textId="77777777" w:rsidTr="00243F98">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6BA647C4" w14:textId="77777777" w:rsidR="00881433" w:rsidRPr="00290AD4" w:rsidRDefault="00881433" w:rsidP="005A0B07">
            <w:pPr>
              <w:jc w:val="center"/>
              <w:rPr>
                <w:b w:val="0"/>
                <w:color w:val="auto"/>
                <w:lang w:val="pl-PL"/>
              </w:rPr>
            </w:pPr>
            <w:r w:rsidRPr="00290AD4">
              <w:rPr>
                <w:b w:val="0"/>
                <w:color w:val="auto"/>
                <w:lang w:val="pl-PL"/>
              </w:rPr>
              <w:t>Starostwa Powiatowe</w:t>
            </w:r>
          </w:p>
        </w:tc>
        <w:tc>
          <w:tcPr>
            <w:tcW w:w="3828" w:type="dxa"/>
          </w:tcPr>
          <w:p w14:paraId="651C119A" w14:textId="77777777" w:rsidR="00881433" w:rsidRPr="00290AD4" w:rsidRDefault="00881433" w:rsidP="005A0B07">
            <w:pPr>
              <w:jc w:val="center"/>
              <w:cnfStyle w:val="000000000000" w:firstRow="0" w:lastRow="0" w:firstColumn="0" w:lastColumn="0" w:oddVBand="0" w:evenVBand="0" w:oddHBand="0" w:evenHBand="0" w:firstRowFirstColumn="0" w:firstRowLastColumn="0" w:lastRowFirstColumn="0" w:lastRowLastColumn="0"/>
              <w:rPr>
                <w:bCs/>
                <w:color w:val="auto"/>
                <w:lang w:val="pl-PL"/>
              </w:rPr>
            </w:pPr>
            <w:r w:rsidRPr="00290AD4">
              <w:rPr>
                <w:bCs/>
                <w:color w:val="auto"/>
                <w:lang w:val="pl-PL"/>
              </w:rPr>
              <w:t>35</w:t>
            </w:r>
          </w:p>
        </w:tc>
      </w:tr>
      <w:tr w:rsidR="007435EC" w:rsidRPr="007435EC" w14:paraId="306C59F8" w14:textId="77777777" w:rsidTr="00243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1ACDB6B9" w14:textId="77777777" w:rsidR="00881433" w:rsidRPr="00290AD4" w:rsidRDefault="00881433" w:rsidP="005A0B07">
            <w:pPr>
              <w:jc w:val="center"/>
              <w:rPr>
                <w:b w:val="0"/>
                <w:color w:val="auto"/>
                <w:lang w:val="pl-PL"/>
              </w:rPr>
            </w:pPr>
            <w:r w:rsidRPr="00290AD4">
              <w:rPr>
                <w:b w:val="0"/>
                <w:color w:val="auto"/>
                <w:lang w:val="pl-PL"/>
              </w:rPr>
              <w:t>Urzędy Wojewódzkie</w:t>
            </w:r>
          </w:p>
        </w:tc>
        <w:tc>
          <w:tcPr>
            <w:tcW w:w="3828" w:type="dxa"/>
          </w:tcPr>
          <w:p w14:paraId="60E79C84" w14:textId="77777777" w:rsidR="00881433" w:rsidRPr="00290AD4" w:rsidRDefault="00881433" w:rsidP="005A0B07">
            <w:pPr>
              <w:jc w:val="center"/>
              <w:cnfStyle w:val="000000100000" w:firstRow="0" w:lastRow="0" w:firstColumn="0" w:lastColumn="0" w:oddVBand="0" w:evenVBand="0" w:oddHBand="1" w:evenHBand="0" w:firstRowFirstColumn="0" w:firstRowLastColumn="0" w:lastRowFirstColumn="0" w:lastRowLastColumn="0"/>
              <w:rPr>
                <w:bCs/>
                <w:color w:val="auto"/>
                <w:lang w:val="pl-PL"/>
              </w:rPr>
            </w:pPr>
            <w:r w:rsidRPr="00290AD4">
              <w:rPr>
                <w:bCs/>
                <w:color w:val="auto"/>
                <w:lang w:val="pl-PL"/>
              </w:rPr>
              <w:t>3</w:t>
            </w:r>
          </w:p>
        </w:tc>
      </w:tr>
      <w:tr w:rsidR="007435EC" w:rsidRPr="007435EC" w14:paraId="28300C92" w14:textId="77777777" w:rsidTr="00243F98">
        <w:trPr>
          <w:trHeight w:val="20"/>
        </w:trPr>
        <w:tc>
          <w:tcPr>
            <w:cnfStyle w:val="001000000000" w:firstRow="0" w:lastRow="0" w:firstColumn="1" w:lastColumn="0" w:oddVBand="0" w:evenVBand="0" w:oddHBand="0" w:evenHBand="0" w:firstRowFirstColumn="0" w:firstRowLastColumn="0" w:lastRowFirstColumn="0" w:lastRowLastColumn="0"/>
            <w:tcW w:w="3964" w:type="dxa"/>
          </w:tcPr>
          <w:p w14:paraId="47C4515D" w14:textId="77777777" w:rsidR="00881433" w:rsidRPr="00290AD4" w:rsidRDefault="00881433" w:rsidP="005A0B07">
            <w:pPr>
              <w:jc w:val="center"/>
              <w:rPr>
                <w:b w:val="0"/>
                <w:color w:val="auto"/>
                <w:lang w:val="pl-PL"/>
              </w:rPr>
            </w:pPr>
            <w:r w:rsidRPr="00290AD4">
              <w:rPr>
                <w:b w:val="0"/>
                <w:color w:val="auto"/>
                <w:lang w:val="pl-PL"/>
              </w:rPr>
              <w:t>Urzędy Marszałkowskie</w:t>
            </w:r>
          </w:p>
        </w:tc>
        <w:tc>
          <w:tcPr>
            <w:tcW w:w="3828" w:type="dxa"/>
          </w:tcPr>
          <w:p w14:paraId="5172478F" w14:textId="77777777" w:rsidR="00881433" w:rsidRPr="00290AD4" w:rsidRDefault="00881433" w:rsidP="005A0B07">
            <w:pPr>
              <w:jc w:val="center"/>
              <w:cnfStyle w:val="000000000000" w:firstRow="0" w:lastRow="0" w:firstColumn="0" w:lastColumn="0" w:oddVBand="0" w:evenVBand="0" w:oddHBand="0" w:evenHBand="0" w:firstRowFirstColumn="0" w:firstRowLastColumn="0" w:lastRowFirstColumn="0" w:lastRowLastColumn="0"/>
              <w:rPr>
                <w:bCs/>
                <w:color w:val="auto"/>
                <w:lang w:val="pl-PL"/>
              </w:rPr>
            </w:pPr>
            <w:r w:rsidRPr="00290AD4">
              <w:rPr>
                <w:bCs/>
                <w:color w:val="auto"/>
                <w:lang w:val="pl-PL"/>
              </w:rPr>
              <w:t>3</w:t>
            </w:r>
          </w:p>
        </w:tc>
      </w:tr>
      <w:tr w:rsidR="007435EC" w:rsidRPr="007435EC" w14:paraId="108B68B8" w14:textId="77777777" w:rsidTr="00243F98">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4" w:type="dxa"/>
          </w:tcPr>
          <w:p w14:paraId="565F0BCA" w14:textId="77777777" w:rsidR="00881433" w:rsidRPr="00290AD4" w:rsidRDefault="00881433" w:rsidP="005A0B07">
            <w:pPr>
              <w:jc w:val="center"/>
              <w:rPr>
                <w:b w:val="0"/>
                <w:color w:val="auto"/>
                <w:lang w:val="pl-PL"/>
              </w:rPr>
            </w:pPr>
            <w:r w:rsidRPr="00290AD4">
              <w:rPr>
                <w:b w:val="0"/>
                <w:color w:val="auto"/>
                <w:lang w:val="pl-PL"/>
              </w:rPr>
              <w:t>RAZEM</w:t>
            </w:r>
          </w:p>
        </w:tc>
        <w:tc>
          <w:tcPr>
            <w:tcW w:w="3828" w:type="dxa"/>
          </w:tcPr>
          <w:p w14:paraId="17541A8E" w14:textId="77777777" w:rsidR="00881433" w:rsidRPr="00290AD4" w:rsidRDefault="00881433" w:rsidP="005A0B07">
            <w:pPr>
              <w:jc w:val="center"/>
              <w:cnfStyle w:val="000000100000" w:firstRow="0" w:lastRow="0" w:firstColumn="0" w:lastColumn="0" w:oddVBand="0" w:evenVBand="0" w:oddHBand="1" w:evenHBand="0" w:firstRowFirstColumn="0" w:firstRowLastColumn="0" w:lastRowFirstColumn="0" w:lastRowLastColumn="0"/>
              <w:rPr>
                <w:bCs/>
                <w:color w:val="auto"/>
                <w:lang w:val="pl-PL"/>
              </w:rPr>
            </w:pPr>
            <w:r w:rsidRPr="00290AD4">
              <w:rPr>
                <w:bCs/>
                <w:color w:val="auto"/>
                <w:lang w:val="pl-PL"/>
              </w:rPr>
              <w:t>104</w:t>
            </w:r>
          </w:p>
        </w:tc>
      </w:tr>
    </w:tbl>
    <w:p w14:paraId="6A2A185A" w14:textId="77777777" w:rsidR="008427BB" w:rsidRPr="001B538B" w:rsidRDefault="008427BB" w:rsidP="006D41A7">
      <w:pPr>
        <w:pStyle w:val="ReportLevel2"/>
        <w:numPr>
          <w:ilvl w:val="1"/>
          <w:numId w:val="4"/>
        </w:numPr>
        <w:rPr>
          <w:bCs/>
        </w:rPr>
      </w:pPr>
      <w:bookmarkStart w:id="138" w:name="_Toc80608738"/>
      <w:r w:rsidRPr="001B538B">
        <w:rPr>
          <w:bCs/>
        </w:rPr>
        <w:lastRenderedPageBreak/>
        <w:t>Spotkania warsztatowe</w:t>
      </w:r>
      <w:bookmarkEnd w:id="138"/>
    </w:p>
    <w:p w14:paraId="6BF53100" w14:textId="748D4F62" w:rsidR="008427BB" w:rsidRDefault="008427BB" w:rsidP="008427BB">
      <w:pPr>
        <w:pStyle w:val="ReportText"/>
        <w:jc w:val="both"/>
      </w:pPr>
      <w:r w:rsidRPr="009401DA">
        <w:t>Podczas prac nad aPZRPM</w:t>
      </w:r>
      <w:r>
        <w:t xml:space="preserve"> odbywał się szereg spotkań konsultacyjnych</w:t>
      </w:r>
      <w:r>
        <w:br/>
        <w:t>z przedstawicielami Ministerstwa Infrastruktury, Urzędów Morskich w Gdyni i</w:t>
      </w:r>
      <w:r w:rsidR="00290AD4">
        <w:t> </w:t>
      </w:r>
      <w:r>
        <w:t>w</w:t>
      </w:r>
      <w:r w:rsidR="00290AD4">
        <w:t> </w:t>
      </w:r>
      <w:r>
        <w:t>Szczecinie, Regionalnych Zarządów Gospodarki Wodnej w Gdańsku i w Szczecinie. Tematami spotkań było ustalenie celów i działań w planie zarządzania ryzykiem powodziowym od strony morza, w tym morskich wód wewnętrznych, a także opracowanie wstępnych i bazowych list zadań. Przedmiotowe listy były weryfikowane i</w:t>
      </w:r>
      <w:r w:rsidR="00290AD4">
        <w:t> </w:t>
      </w:r>
      <w:r>
        <w:t>aktualizowane przez Interesariuszy. Na spotkaniach o</w:t>
      </w:r>
      <w:r w:rsidRPr="009401DA">
        <w:t>mawiano</w:t>
      </w:r>
      <w:r>
        <w:t xml:space="preserve"> także wyznaczone w</w:t>
      </w:r>
      <w:r w:rsidR="00290AD4">
        <w:t> </w:t>
      </w:r>
      <w:r>
        <w:t xml:space="preserve">toku analiz obszary problemowe. Na dalszym etapie omawiane były warianty planistyczne zaprezentowane dla każdego z wyznaczonych obszarów problemowych wraz z prezentacją działań, które je tworzyły. </w:t>
      </w:r>
    </w:p>
    <w:p w14:paraId="6C2B5816" w14:textId="77777777" w:rsidR="00243F98" w:rsidRDefault="00243F98" w:rsidP="008427BB">
      <w:pPr>
        <w:pStyle w:val="ReportText"/>
        <w:jc w:val="both"/>
      </w:pPr>
    </w:p>
    <w:p w14:paraId="1FD8C008" w14:textId="77777777" w:rsidR="00076156" w:rsidRDefault="00076156" w:rsidP="006D41A7">
      <w:pPr>
        <w:pStyle w:val="ReportLevel2"/>
        <w:numPr>
          <w:ilvl w:val="1"/>
          <w:numId w:val="4"/>
        </w:numPr>
        <w:rPr>
          <w:rFonts w:eastAsiaTheme="minorEastAsia"/>
        </w:rPr>
      </w:pPr>
      <w:bookmarkStart w:id="139" w:name="_Toc80608739"/>
      <w:r>
        <w:t>Ocena postępów w realizacji celów zarządzania ryzykiem powodziowym</w:t>
      </w:r>
      <w:bookmarkEnd w:id="139"/>
      <w:r>
        <w:t xml:space="preserve"> </w:t>
      </w:r>
    </w:p>
    <w:p w14:paraId="594BC1BB" w14:textId="77777777" w:rsidR="00076156" w:rsidRDefault="00076156" w:rsidP="006D41A7">
      <w:pPr>
        <w:pStyle w:val="Nagwek5"/>
      </w:pPr>
      <w:r>
        <w:t>Sposób przeprowadzania oceny postępów w realizacji celów</w:t>
      </w:r>
    </w:p>
    <w:p w14:paraId="4A540012" w14:textId="77777777" w:rsidR="00076156" w:rsidRDefault="00076156" w:rsidP="00076156">
      <w:pPr>
        <w:pStyle w:val="ReportText"/>
        <w:spacing w:before="120"/>
        <w:jc w:val="both"/>
      </w:pPr>
      <w:r>
        <w:t xml:space="preserve">Analiza oceny postępów w realizacji celów pierwszego cyklu obejmowała: </w:t>
      </w:r>
    </w:p>
    <w:p w14:paraId="139383EA" w14:textId="1DF2748F" w:rsidR="00076156" w:rsidRDefault="00076156" w:rsidP="006D41A7">
      <w:pPr>
        <w:pStyle w:val="ReportText"/>
        <w:numPr>
          <w:ilvl w:val="0"/>
          <w:numId w:val="100"/>
        </w:numPr>
        <w:spacing w:before="120" w:after="120"/>
        <w:jc w:val="both"/>
      </w:pPr>
      <w:r>
        <w:t>obliczenie procentowej wartości wskaźników realizacji celów, które</w:t>
      </w:r>
      <w:r w:rsidR="00243F98">
        <w:t xml:space="preserve"> </w:t>
      </w:r>
      <w:r>
        <w:t>w sprawozdaniach Ministerstwa Infrastruktury mają podane wyłącznie wartości bezwzględne,</w:t>
      </w:r>
    </w:p>
    <w:p w14:paraId="1D386587" w14:textId="77777777" w:rsidR="00076156" w:rsidRDefault="00076156" w:rsidP="006D41A7">
      <w:pPr>
        <w:pStyle w:val="ReportText"/>
        <w:numPr>
          <w:ilvl w:val="0"/>
          <w:numId w:val="100"/>
        </w:numPr>
        <w:spacing w:before="120" w:after="120"/>
        <w:jc w:val="both"/>
      </w:pPr>
      <w:r>
        <w:t>obliczenie wartości wskaźników rezultatu (RA) wymienionych w rozporządzeniu</w:t>
      </w:r>
      <w:r>
        <w:rPr>
          <w:vertAlign w:val="superscript"/>
        </w:rPr>
        <w:footnoteReference w:id="3"/>
      </w:r>
      <w:r>
        <w:t xml:space="preserve">, </w:t>
      </w:r>
    </w:p>
    <w:p w14:paraId="179BA464" w14:textId="77777777" w:rsidR="00076156" w:rsidRDefault="00076156" w:rsidP="006D41A7">
      <w:pPr>
        <w:pStyle w:val="ReportText"/>
        <w:numPr>
          <w:ilvl w:val="0"/>
          <w:numId w:val="100"/>
        </w:numPr>
        <w:spacing w:before="120" w:after="120"/>
        <w:jc w:val="both"/>
      </w:pPr>
      <w:r>
        <w:t>obliczenie wartości wskaźników rezultatu (RA) wymienionych w PZRPM, a nieobjętych zakresem Rozporządzenia,</w:t>
      </w:r>
    </w:p>
    <w:p w14:paraId="48FE5A95" w14:textId="77777777" w:rsidR="00076156" w:rsidRDefault="00076156" w:rsidP="006D41A7">
      <w:pPr>
        <w:pStyle w:val="ReportText"/>
        <w:numPr>
          <w:ilvl w:val="0"/>
          <w:numId w:val="100"/>
        </w:numPr>
        <w:spacing w:before="120" w:after="120"/>
        <w:jc w:val="both"/>
      </w:pPr>
      <w:r>
        <w:t>ocenę i opis postępów w realizacji celów na podstawie obliczonych wskaźników,</w:t>
      </w:r>
    </w:p>
    <w:p w14:paraId="60E5E031" w14:textId="77777777" w:rsidR="00076156" w:rsidRDefault="00076156" w:rsidP="006D41A7">
      <w:pPr>
        <w:pStyle w:val="ReportText"/>
        <w:numPr>
          <w:ilvl w:val="0"/>
          <w:numId w:val="100"/>
        </w:numPr>
        <w:spacing w:before="120" w:after="120"/>
        <w:jc w:val="both"/>
      </w:pPr>
      <w:r>
        <w:t>ocenę skuteczności realizowanych celów,</w:t>
      </w:r>
    </w:p>
    <w:p w14:paraId="6DD69E60" w14:textId="77777777" w:rsidR="00076156" w:rsidRDefault="00076156" w:rsidP="006D41A7">
      <w:pPr>
        <w:pStyle w:val="ReportText"/>
        <w:numPr>
          <w:ilvl w:val="0"/>
          <w:numId w:val="100"/>
        </w:numPr>
        <w:spacing w:before="120" w:after="120"/>
        <w:jc w:val="both"/>
      </w:pPr>
      <w:r>
        <w:t>opis i wyjaśnienie przyczyn niezrealizowania poszczególnych celów.</w:t>
      </w:r>
    </w:p>
    <w:p w14:paraId="5D86BC43" w14:textId="77777777" w:rsidR="00076156" w:rsidRDefault="00076156" w:rsidP="00076156">
      <w:pPr>
        <w:pStyle w:val="ReportText"/>
        <w:spacing w:before="120"/>
        <w:jc w:val="both"/>
      </w:pPr>
      <w:r>
        <w:t xml:space="preserve">W poniższej tabeli zestawiono wskaźniki rezultatu (RA), używane w celu monitorowania postępów w realizacji celów I cyklu PZRP. </w:t>
      </w:r>
    </w:p>
    <w:p w14:paraId="14F14C0E" w14:textId="77777777" w:rsidR="00076156" w:rsidRDefault="00076156" w:rsidP="00076156">
      <w:pPr>
        <w:pStyle w:val="ReportText"/>
        <w:spacing w:before="120"/>
        <w:jc w:val="both"/>
      </w:pPr>
      <w:r>
        <w:t xml:space="preserve">Narzędziem pomocnym w przedstawieniu wyników przeprowadzonych analiz była poniższa matryca pokazująca porównanie wartości docelowej wskaźnika określonej w Raporcie dla każdego z dorzeczy z wartościami policzonymi na podstawie otrzymanych sprawozdań i przeprowadzonej ankietyzacji. </w:t>
      </w:r>
    </w:p>
    <w:p w14:paraId="5555A7ED" w14:textId="17088F65" w:rsidR="00076156" w:rsidRPr="00290AD4" w:rsidRDefault="00076156" w:rsidP="00290AD4">
      <w:pPr>
        <w:pStyle w:val="Legenda"/>
        <w:ind w:left="1134" w:hanging="1134"/>
        <w:jc w:val="both"/>
        <w:rPr>
          <w:sz w:val="24"/>
          <w:szCs w:val="28"/>
        </w:rPr>
      </w:pPr>
      <w:bookmarkStart w:id="141" w:name="_Toc80608779"/>
      <w:bookmarkStart w:id="142" w:name="_Toc70672449"/>
      <w:r w:rsidRPr="00290AD4">
        <w:rPr>
          <w:sz w:val="24"/>
          <w:szCs w:val="28"/>
        </w:rPr>
        <w:lastRenderedPageBreak/>
        <w:t xml:space="preserve">Tabela </w:t>
      </w:r>
      <w:r w:rsidR="00290AD4">
        <w:rPr>
          <w:sz w:val="24"/>
          <w:szCs w:val="28"/>
        </w:rPr>
        <w:fldChar w:fldCharType="begin"/>
      </w:r>
      <w:r w:rsidR="00290AD4">
        <w:rPr>
          <w:sz w:val="24"/>
          <w:szCs w:val="28"/>
        </w:rPr>
        <w:instrText xml:space="preserve"> SEQ Tabela \* ARABIC </w:instrText>
      </w:r>
      <w:r w:rsidR="00290AD4">
        <w:rPr>
          <w:sz w:val="24"/>
          <w:szCs w:val="28"/>
        </w:rPr>
        <w:fldChar w:fldCharType="separate"/>
      </w:r>
      <w:r w:rsidR="00AC4DF9">
        <w:rPr>
          <w:noProof/>
          <w:sz w:val="24"/>
          <w:szCs w:val="28"/>
        </w:rPr>
        <w:t>26</w:t>
      </w:r>
      <w:r w:rsidR="00290AD4">
        <w:rPr>
          <w:sz w:val="24"/>
          <w:szCs w:val="28"/>
        </w:rPr>
        <w:fldChar w:fldCharType="end"/>
      </w:r>
      <w:r w:rsidRPr="00290AD4">
        <w:rPr>
          <w:sz w:val="24"/>
          <w:szCs w:val="28"/>
        </w:rPr>
        <w:tab/>
        <w:t>Wskaźniki rezultatów dla monitorowania postępu realizacji PZRP wraz z</w:t>
      </w:r>
      <w:r w:rsidR="00290AD4">
        <w:rPr>
          <w:sz w:val="24"/>
          <w:szCs w:val="28"/>
        </w:rPr>
        <w:t> </w:t>
      </w:r>
      <w:r w:rsidRPr="00290AD4">
        <w:rPr>
          <w:sz w:val="24"/>
          <w:szCs w:val="28"/>
        </w:rPr>
        <w:t>sumaryczną wartością dla obszaru dorzeczy Odry</w:t>
      </w:r>
      <w:bookmarkEnd w:id="141"/>
      <w:r w:rsidRPr="00290AD4">
        <w:rPr>
          <w:sz w:val="24"/>
          <w:szCs w:val="28"/>
        </w:rPr>
        <w:t xml:space="preserve"> </w:t>
      </w:r>
      <w:bookmarkEnd w:id="142"/>
    </w:p>
    <w:tbl>
      <w:tblPr>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1416"/>
        <w:gridCol w:w="1433"/>
        <w:gridCol w:w="1556"/>
      </w:tblGrid>
      <w:tr w:rsidR="00076156" w14:paraId="075E9A94" w14:textId="77777777" w:rsidTr="00076156">
        <w:trPr>
          <w:cantSplit/>
          <w:trHeight w:val="315"/>
          <w:tblHeader/>
        </w:trPr>
        <w:tc>
          <w:tcPr>
            <w:tcW w:w="4531" w:type="dxa"/>
            <w:vMerge w:val="restart"/>
            <w:tcBorders>
              <w:top w:val="single" w:sz="4" w:space="0" w:color="auto"/>
              <w:left w:val="single" w:sz="4" w:space="0" w:color="auto"/>
              <w:bottom w:val="single" w:sz="4" w:space="0" w:color="auto"/>
              <w:right w:val="single" w:sz="4" w:space="0" w:color="auto"/>
            </w:tcBorders>
            <w:shd w:val="clear" w:color="auto" w:fill="A9DCF3"/>
            <w:vAlign w:val="center"/>
            <w:hideMark/>
          </w:tcPr>
          <w:p w14:paraId="52181B85" w14:textId="77777777" w:rsidR="00076156" w:rsidRPr="00290AD4" w:rsidRDefault="00076156">
            <w:r w:rsidRPr="00290AD4">
              <w:t>Wskaźnik monitoringu wdrażania I cyklu planistycznego PZRP</w:t>
            </w:r>
          </w:p>
        </w:tc>
        <w:tc>
          <w:tcPr>
            <w:tcW w:w="2849" w:type="dxa"/>
            <w:gridSpan w:val="2"/>
            <w:tcBorders>
              <w:top w:val="single" w:sz="4" w:space="0" w:color="auto"/>
              <w:left w:val="single" w:sz="4" w:space="0" w:color="auto"/>
              <w:bottom w:val="single" w:sz="4" w:space="0" w:color="auto"/>
              <w:right w:val="single" w:sz="4" w:space="0" w:color="auto"/>
            </w:tcBorders>
            <w:shd w:val="clear" w:color="auto" w:fill="A9DCF3"/>
            <w:vAlign w:val="center"/>
            <w:hideMark/>
          </w:tcPr>
          <w:p w14:paraId="01E490CA" w14:textId="77777777" w:rsidR="00076156" w:rsidRPr="00290AD4" w:rsidRDefault="00076156">
            <w:r w:rsidRPr="00290AD4">
              <w:t>Wartość docelowa wskaźnika rezultatu</w:t>
            </w:r>
          </w:p>
        </w:tc>
        <w:tc>
          <w:tcPr>
            <w:tcW w:w="1556" w:type="dxa"/>
            <w:vMerge w:val="restart"/>
            <w:tcBorders>
              <w:top w:val="single" w:sz="4" w:space="0" w:color="auto"/>
              <w:left w:val="single" w:sz="4" w:space="0" w:color="auto"/>
              <w:bottom w:val="single" w:sz="4" w:space="0" w:color="auto"/>
              <w:right w:val="single" w:sz="4" w:space="0" w:color="auto"/>
            </w:tcBorders>
            <w:shd w:val="clear" w:color="auto" w:fill="A9DCF3"/>
            <w:vAlign w:val="center"/>
            <w:hideMark/>
          </w:tcPr>
          <w:p w14:paraId="38935632" w14:textId="75C5584F" w:rsidR="00076156" w:rsidRPr="00290AD4" w:rsidRDefault="00076156">
            <w:r w:rsidRPr="00290AD4">
              <w:t>Wartość wskaźnika uzyskana z</w:t>
            </w:r>
            <w:r w:rsidR="00290AD4" w:rsidRPr="00290AD4">
              <w:t> </w:t>
            </w:r>
            <w:r w:rsidRPr="00290AD4">
              <w:t>monitoringu</w:t>
            </w:r>
          </w:p>
        </w:tc>
      </w:tr>
      <w:tr w:rsidR="00076156" w14:paraId="0F03C782" w14:textId="77777777" w:rsidTr="00076156">
        <w:trPr>
          <w:cantSplit/>
          <w:trHeight w:val="31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CE526" w14:textId="77777777" w:rsidR="00076156" w:rsidRPr="00290AD4" w:rsidRDefault="00076156">
            <w:pPr>
              <w:rPr>
                <w:rFonts w:eastAsiaTheme="minorEastAsia"/>
              </w:rPr>
            </w:pPr>
          </w:p>
        </w:tc>
        <w:tc>
          <w:tcPr>
            <w:tcW w:w="1416" w:type="dxa"/>
            <w:tcBorders>
              <w:top w:val="single" w:sz="4" w:space="0" w:color="auto"/>
              <w:left w:val="single" w:sz="4" w:space="0" w:color="auto"/>
              <w:bottom w:val="single" w:sz="4" w:space="0" w:color="auto"/>
              <w:right w:val="single" w:sz="4" w:space="0" w:color="auto"/>
            </w:tcBorders>
            <w:shd w:val="clear" w:color="auto" w:fill="A9DCF3"/>
            <w:vAlign w:val="center"/>
            <w:hideMark/>
          </w:tcPr>
          <w:p w14:paraId="2DCFC44A" w14:textId="77777777" w:rsidR="00076156" w:rsidRPr="00290AD4" w:rsidRDefault="00076156">
            <w:r w:rsidRPr="00290AD4">
              <w:t>Względna</w:t>
            </w:r>
          </w:p>
        </w:tc>
        <w:tc>
          <w:tcPr>
            <w:tcW w:w="1433" w:type="dxa"/>
            <w:tcBorders>
              <w:top w:val="single" w:sz="4" w:space="0" w:color="auto"/>
              <w:left w:val="single" w:sz="4" w:space="0" w:color="auto"/>
              <w:bottom w:val="single" w:sz="4" w:space="0" w:color="auto"/>
              <w:right w:val="single" w:sz="4" w:space="0" w:color="auto"/>
            </w:tcBorders>
            <w:shd w:val="clear" w:color="auto" w:fill="A9DCF3"/>
            <w:vAlign w:val="center"/>
            <w:hideMark/>
          </w:tcPr>
          <w:p w14:paraId="16AA0A6D" w14:textId="77777777" w:rsidR="00076156" w:rsidRPr="00290AD4" w:rsidRDefault="00076156">
            <w:r w:rsidRPr="00290AD4">
              <w:t>Bezwzględna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EAC46" w14:textId="77777777" w:rsidR="00076156" w:rsidRPr="00290AD4" w:rsidRDefault="00076156">
            <w:pPr>
              <w:rPr>
                <w:rFonts w:eastAsiaTheme="minorEastAsia"/>
              </w:rPr>
            </w:pPr>
          </w:p>
        </w:tc>
      </w:tr>
      <w:tr w:rsidR="00076156" w14:paraId="4A3C2FB9" w14:textId="77777777" w:rsidTr="00076156">
        <w:trPr>
          <w:cantSplit/>
          <w:trHeight w:val="630"/>
        </w:trPr>
        <w:tc>
          <w:tcPr>
            <w:tcW w:w="4531" w:type="dxa"/>
            <w:tcBorders>
              <w:top w:val="single" w:sz="4" w:space="0" w:color="auto"/>
              <w:left w:val="single" w:sz="4" w:space="0" w:color="auto"/>
              <w:bottom w:val="single" w:sz="4" w:space="0" w:color="auto"/>
              <w:right w:val="single" w:sz="4" w:space="0" w:color="auto"/>
            </w:tcBorders>
            <w:vAlign w:val="bottom"/>
            <w:hideMark/>
          </w:tcPr>
          <w:p w14:paraId="1F09840B" w14:textId="77777777" w:rsidR="00076156" w:rsidRPr="00290AD4" w:rsidRDefault="00076156">
            <w:r w:rsidRPr="00290AD4">
              <w:t>RA1 Względna redukcja wartości średnich rocznych strat powodziowych AAD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1B6E37"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60141C"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F07819" w14:textId="77777777" w:rsidR="00076156" w:rsidRPr="00290AD4" w:rsidRDefault="00076156">
            <w:r w:rsidRPr="00290AD4">
              <w:t> </w:t>
            </w:r>
          </w:p>
        </w:tc>
      </w:tr>
      <w:tr w:rsidR="00076156" w14:paraId="7478D96E" w14:textId="77777777" w:rsidTr="00076156">
        <w:trPr>
          <w:cantSplit/>
          <w:trHeight w:val="630"/>
        </w:trPr>
        <w:tc>
          <w:tcPr>
            <w:tcW w:w="453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01FFA17B" w14:textId="77777777" w:rsidR="00076156" w:rsidRPr="00290AD4" w:rsidRDefault="00076156">
            <w:r w:rsidRPr="00290AD4">
              <w:t>RA2 Względna redukcja liczby mieszkańców na obszarach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46E293EC"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7D518CF7"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3C99D478" w14:textId="77777777" w:rsidR="00076156" w:rsidRPr="00290AD4" w:rsidRDefault="00076156">
            <w:r w:rsidRPr="00290AD4">
              <w:t> </w:t>
            </w:r>
          </w:p>
        </w:tc>
      </w:tr>
      <w:tr w:rsidR="00076156" w14:paraId="6FF5653F" w14:textId="77777777" w:rsidTr="00076156">
        <w:trPr>
          <w:cantSplit/>
          <w:trHeight w:val="945"/>
        </w:trPr>
        <w:tc>
          <w:tcPr>
            <w:tcW w:w="4531" w:type="dxa"/>
            <w:tcBorders>
              <w:top w:val="single" w:sz="4" w:space="0" w:color="auto"/>
              <w:left w:val="single" w:sz="4" w:space="0" w:color="auto"/>
              <w:bottom w:val="single" w:sz="4" w:space="0" w:color="auto"/>
              <w:right w:val="single" w:sz="4" w:space="0" w:color="auto"/>
            </w:tcBorders>
            <w:vAlign w:val="bottom"/>
            <w:hideMark/>
          </w:tcPr>
          <w:p w14:paraId="5B3A48FF" w14:textId="77777777" w:rsidR="00076156" w:rsidRPr="00290AD4" w:rsidRDefault="00076156">
            <w:r w:rsidRPr="00290AD4">
              <w:t>RA3 Względny spadek liczby obiektów cennych kulturowo zlokalizowanych w obszarze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0F382D"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0EAF282"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664F1B" w14:textId="77777777" w:rsidR="00076156" w:rsidRPr="00290AD4" w:rsidRDefault="00076156">
            <w:r w:rsidRPr="00290AD4">
              <w:t> </w:t>
            </w:r>
          </w:p>
        </w:tc>
      </w:tr>
      <w:tr w:rsidR="00076156" w14:paraId="3DDD0BCC" w14:textId="77777777" w:rsidTr="00076156">
        <w:trPr>
          <w:cantSplit/>
          <w:trHeight w:val="945"/>
        </w:trPr>
        <w:tc>
          <w:tcPr>
            <w:tcW w:w="453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343A02B2" w14:textId="77777777" w:rsidR="00076156" w:rsidRPr="00290AD4" w:rsidRDefault="00076156">
            <w:r w:rsidRPr="00290AD4">
              <w:t>RA4 Względny spadek liczby obiektów stanowiących zagrożenie dla środowiska zlokalizowanych w obszarze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3086429A"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29B5E2EA"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41CF0419" w14:textId="77777777" w:rsidR="00076156" w:rsidRPr="00290AD4" w:rsidRDefault="00076156">
            <w:r w:rsidRPr="00290AD4">
              <w:t> </w:t>
            </w:r>
          </w:p>
        </w:tc>
      </w:tr>
      <w:tr w:rsidR="00076156" w14:paraId="6EE84FE4" w14:textId="77777777" w:rsidTr="00076156">
        <w:trPr>
          <w:cantSplit/>
          <w:trHeight w:val="630"/>
        </w:trPr>
        <w:tc>
          <w:tcPr>
            <w:tcW w:w="4531" w:type="dxa"/>
            <w:tcBorders>
              <w:top w:val="single" w:sz="4" w:space="0" w:color="auto"/>
              <w:left w:val="single" w:sz="4" w:space="0" w:color="auto"/>
              <w:bottom w:val="single" w:sz="4" w:space="0" w:color="auto"/>
              <w:right w:val="single" w:sz="4" w:space="0" w:color="auto"/>
            </w:tcBorders>
            <w:vAlign w:val="bottom"/>
            <w:hideMark/>
          </w:tcPr>
          <w:p w14:paraId="641A6D58" w14:textId="77777777" w:rsidR="00076156" w:rsidRPr="00290AD4" w:rsidRDefault="00076156">
            <w:r w:rsidRPr="00290AD4">
              <w:t>RA5 Względny spadek liczby ujęć wody zlokalizowanych w obszarach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E1B9CF"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2292B"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1230D5" w14:textId="77777777" w:rsidR="00076156" w:rsidRPr="00290AD4" w:rsidRDefault="00076156">
            <w:r w:rsidRPr="00290AD4">
              <w:t> </w:t>
            </w:r>
          </w:p>
        </w:tc>
      </w:tr>
      <w:tr w:rsidR="00076156" w14:paraId="2A481369" w14:textId="77777777" w:rsidTr="00076156">
        <w:trPr>
          <w:cantSplit/>
          <w:trHeight w:val="945"/>
        </w:trPr>
        <w:tc>
          <w:tcPr>
            <w:tcW w:w="453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614DC8F9" w14:textId="77777777" w:rsidR="00076156" w:rsidRPr="00290AD4" w:rsidRDefault="00076156">
            <w:r w:rsidRPr="00290AD4">
              <w:t>RA6 Względna redukcja liczby obiektów o szczególnym znaczeniu społecznym zlokalizowanych w obszarach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0023EF13"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7D974D9E"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30899C90" w14:textId="77777777" w:rsidR="00076156" w:rsidRPr="00290AD4" w:rsidRDefault="00076156">
            <w:r w:rsidRPr="00290AD4">
              <w:t> </w:t>
            </w:r>
          </w:p>
        </w:tc>
      </w:tr>
      <w:tr w:rsidR="00076156" w14:paraId="2EDF4988" w14:textId="77777777" w:rsidTr="00076156">
        <w:trPr>
          <w:cantSplit/>
          <w:trHeight w:val="630"/>
        </w:trPr>
        <w:tc>
          <w:tcPr>
            <w:tcW w:w="4531" w:type="dxa"/>
            <w:tcBorders>
              <w:top w:val="single" w:sz="4" w:space="0" w:color="auto"/>
              <w:left w:val="single" w:sz="4" w:space="0" w:color="auto"/>
              <w:bottom w:val="single" w:sz="4" w:space="0" w:color="auto"/>
              <w:right w:val="single" w:sz="4" w:space="0" w:color="auto"/>
            </w:tcBorders>
            <w:vAlign w:val="bottom"/>
            <w:hideMark/>
          </w:tcPr>
          <w:p w14:paraId="2A1D677B" w14:textId="77777777" w:rsidR="00076156" w:rsidRPr="00290AD4" w:rsidRDefault="00076156">
            <w:r w:rsidRPr="00290AD4">
              <w:t>RA7 Względna redukcja potencjalnych strat powodziowych na obszarach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517A656"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55041D"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8BA254" w14:textId="77777777" w:rsidR="00076156" w:rsidRPr="00290AD4" w:rsidRDefault="00076156">
            <w:r w:rsidRPr="00290AD4">
              <w:t> </w:t>
            </w:r>
          </w:p>
        </w:tc>
      </w:tr>
      <w:tr w:rsidR="00076156" w14:paraId="4523CAC8" w14:textId="77777777" w:rsidTr="00076156">
        <w:trPr>
          <w:cantSplit/>
          <w:trHeight w:val="630"/>
        </w:trPr>
        <w:tc>
          <w:tcPr>
            <w:tcW w:w="453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4714B827" w14:textId="77777777" w:rsidR="00076156" w:rsidRPr="00290AD4" w:rsidRDefault="00076156">
            <w:r w:rsidRPr="00290AD4">
              <w:t>RA8 Względna redukcja powierzchni obszarów szczególnego zagrożenia powodzią (Q1%) w wyniku realizacji działań</w:t>
            </w:r>
          </w:p>
        </w:tc>
        <w:tc>
          <w:tcPr>
            <w:tcW w:w="141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00E99088"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1B5A5526"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73815EEE" w14:textId="77777777" w:rsidR="00076156" w:rsidRPr="00290AD4" w:rsidRDefault="00076156">
            <w:r w:rsidRPr="00290AD4">
              <w:t> </w:t>
            </w:r>
          </w:p>
        </w:tc>
      </w:tr>
      <w:tr w:rsidR="00076156" w14:paraId="00E2B94A" w14:textId="77777777" w:rsidTr="00076156">
        <w:trPr>
          <w:cantSplit/>
          <w:trHeight w:val="630"/>
        </w:trPr>
        <w:tc>
          <w:tcPr>
            <w:tcW w:w="4531" w:type="dxa"/>
            <w:tcBorders>
              <w:top w:val="single" w:sz="4" w:space="0" w:color="auto"/>
              <w:left w:val="single" w:sz="4" w:space="0" w:color="auto"/>
              <w:bottom w:val="single" w:sz="4" w:space="0" w:color="auto"/>
              <w:right w:val="single" w:sz="4" w:space="0" w:color="auto"/>
            </w:tcBorders>
            <w:vAlign w:val="bottom"/>
            <w:hideMark/>
          </w:tcPr>
          <w:p w14:paraId="092735B3" w14:textId="77777777" w:rsidR="00076156" w:rsidRPr="00290AD4" w:rsidRDefault="00076156">
            <w:r w:rsidRPr="00290AD4">
              <w:t>RA9 Wzrost powierzchni terenów chronionych przed powodzią od strony morza, w tym morskich wód wewnętrznych [%, ha]</w:t>
            </w:r>
          </w:p>
        </w:tc>
        <w:tc>
          <w:tcPr>
            <w:tcW w:w="14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43BBBD" w14:textId="77777777" w:rsidR="00076156" w:rsidRPr="00290AD4" w:rsidRDefault="00076156">
            <w:r w:rsidRPr="00290AD4">
              <w:t>100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8625D8" w14:textId="77777777" w:rsidR="00076156" w:rsidRPr="00290AD4" w:rsidRDefault="00076156">
            <w:r w:rsidRPr="00290AD4">
              <w:t> </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667D54" w14:textId="77777777" w:rsidR="00076156" w:rsidRPr="00290AD4" w:rsidRDefault="00076156">
            <w:r w:rsidRPr="00290AD4">
              <w:t> </w:t>
            </w:r>
          </w:p>
        </w:tc>
      </w:tr>
    </w:tbl>
    <w:p w14:paraId="184E9746" w14:textId="77777777" w:rsidR="00076156" w:rsidRDefault="00076156" w:rsidP="00076156">
      <w:pPr>
        <w:rPr>
          <w:b/>
          <w:color w:val="28AAE1"/>
          <w:sz w:val="28"/>
          <w:szCs w:val="18"/>
          <w:lang w:eastAsia="en-US"/>
        </w:rPr>
      </w:pPr>
      <w:r>
        <w:br w:type="page"/>
      </w:r>
    </w:p>
    <w:p w14:paraId="1A0E0550" w14:textId="77777777" w:rsidR="00076156" w:rsidRDefault="00076156" w:rsidP="006D41A7">
      <w:pPr>
        <w:pStyle w:val="Nagwek5"/>
      </w:pPr>
      <w:r>
        <w:lastRenderedPageBreak/>
        <w:t xml:space="preserve">Wyniki oceny postępów w realizacji celów dla dorzecza </w:t>
      </w:r>
    </w:p>
    <w:p w14:paraId="26EEA056" w14:textId="77777777" w:rsidR="00076156" w:rsidRDefault="00076156" w:rsidP="00076156">
      <w:pPr>
        <w:pStyle w:val="ReportText"/>
        <w:spacing w:before="120" w:after="0"/>
        <w:jc w:val="both"/>
      </w:pPr>
      <w:r>
        <w:t>Zamieszczona poniżej tabela przedstawia:</w:t>
      </w:r>
    </w:p>
    <w:p w14:paraId="2B89C7A7" w14:textId="4AE79C31" w:rsidR="00076156" w:rsidRDefault="00076156" w:rsidP="006D41A7">
      <w:pPr>
        <w:pStyle w:val="ReportText"/>
        <w:numPr>
          <w:ilvl w:val="0"/>
          <w:numId w:val="101"/>
        </w:numPr>
        <w:spacing w:before="120" w:after="0"/>
        <w:jc w:val="both"/>
      </w:pPr>
      <w:r>
        <w:t xml:space="preserve">względną i bezwzględną wartość docelową wskaźników rezultatu (RA) wyznaczoną w I cyklu PZRP dla obszaru dorzecza Odry; </w:t>
      </w:r>
    </w:p>
    <w:p w14:paraId="5FBD2549" w14:textId="3F28732D" w:rsidR="00076156" w:rsidRDefault="00076156" w:rsidP="006D41A7">
      <w:pPr>
        <w:pStyle w:val="ReportText"/>
        <w:numPr>
          <w:ilvl w:val="0"/>
          <w:numId w:val="101"/>
        </w:numPr>
        <w:spacing w:before="120" w:after="0"/>
        <w:jc w:val="both"/>
      </w:pPr>
      <w:r>
        <w:t>względną i bezwzględną wartość wskaźników rezultatu (RA) obliczoną w ramach przeprowadzanego monitoringu dla obszaru dorzecza Odry</w:t>
      </w:r>
    </w:p>
    <w:p w14:paraId="611D92B8" w14:textId="05BFEC73" w:rsidR="00076156" w:rsidRDefault="00076156" w:rsidP="00290AD4">
      <w:pPr>
        <w:ind w:left="1134" w:hanging="1134"/>
        <w:jc w:val="both"/>
        <w:rPr>
          <w:rFonts w:eastAsiaTheme="minorEastAsia"/>
          <w:sz w:val="22"/>
        </w:rPr>
      </w:pPr>
      <w:bookmarkStart w:id="143" w:name="_Toc80608780"/>
      <w:r>
        <w:t xml:space="preserve">Tabela </w:t>
      </w:r>
      <w:r w:rsidR="002622F2">
        <w:rPr>
          <w:noProof/>
        </w:rPr>
        <w:fldChar w:fldCharType="begin"/>
      </w:r>
      <w:r w:rsidR="002622F2">
        <w:rPr>
          <w:noProof/>
        </w:rPr>
        <w:instrText xml:space="preserve"> SEQ Tabela \* ARABIC </w:instrText>
      </w:r>
      <w:r w:rsidR="002622F2">
        <w:rPr>
          <w:noProof/>
        </w:rPr>
        <w:fldChar w:fldCharType="separate"/>
      </w:r>
      <w:r w:rsidR="00AC4DF9">
        <w:rPr>
          <w:noProof/>
        </w:rPr>
        <w:t>27</w:t>
      </w:r>
      <w:r w:rsidR="002622F2">
        <w:rPr>
          <w:noProof/>
        </w:rPr>
        <w:fldChar w:fldCharType="end"/>
      </w:r>
      <w:r>
        <w:tab/>
        <w:t>Wskaźniki rezultatów dla monitorowania postępu realizacji PZRP wraz z</w:t>
      </w:r>
      <w:r w:rsidR="00290AD4">
        <w:t> </w:t>
      </w:r>
      <w:r>
        <w:t>sumaryczną wartością dla Obszaru Dorzeczy Odry</w:t>
      </w:r>
      <w:bookmarkEnd w:id="143"/>
    </w:p>
    <w:tbl>
      <w:tblPr>
        <w:tblW w:w="8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3"/>
        <w:gridCol w:w="1271"/>
        <w:gridCol w:w="1555"/>
        <w:gridCol w:w="1071"/>
        <w:gridCol w:w="1437"/>
      </w:tblGrid>
      <w:tr w:rsidR="00076156" w14:paraId="0C253AAF" w14:textId="77777777" w:rsidTr="00076156">
        <w:trPr>
          <w:trHeight w:val="315"/>
        </w:trPr>
        <w:tc>
          <w:tcPr>
            <w:tcW w:w="3503" w:type="dxa"/>
            <w:vMerge w:val="restart"/>
            <w:tcBorders>
              <w:top w:val="single" w:sz="4" w:space="0" w:color="auto"/>
              <w:left w:val="single" w:sz="4" w:space="0" w:color="auto"/>
              <w:bottom w:val="single" w:sz="4" w:space="0" w:color="auto"/>
              <w:right w:val="single" w:sz="4" w:space="0" w:color="auto"/>
            </w:tcBorders>
            <w:shd w:val="clear" w:color="auto" w:fill="A9DCF3"/>
            <w:vAlign w:val="center"/>
            <w:hideMark/>
          </w:tcPr>
          <w:p w14:paraId="4692848B" w14:textId="77777777" w:rsidR="00076156" w:rsidRPr="00290AD4" w:rsidRDefault="00076156">
            <w:pPr>
              <w:jc w:val="center"/>
              <w:rPr>
                <w:rFonts w:eastAsia="Times New Roman"/>
                <w:color w:val="000000"/>
                <w:sz w:val="22"/>
                <w:szCs w:val="22"/>
                <w:lang w:eastAsia="pl-PL"/>
              </w:rPr>
            </w:pPr>
            <w:r w:rsidRPr="00290AD4">
              <w:rPr>
                <w:rFonts w:eastAsia="Times New Roman"/>
                <w:color w:val="000000"/>
                <w:sz w:val="22"/>
                <w:szCs w:val="22"/>
                <w:lang w:eastAsia="pl-PL"/>
              </w:rPr>
              <w:t>Wskaźnik monitoringu wdrażania I cyklu planistycznego PZRP</w:t>
            </w:r>
          </w:p>
        </w:tc>
        <w:tc>
          <w:tcPr>
            <w:tcW w:w="2826" w:type="dxa"/>
            <w:gridSpan w:val="2"/>
            <w:tcBorders>
              <w:top w:val="single" w:sz="4" w:space="0" w:color="auto"/>
              <w:left w:val="single" w:sz="4" w:space="0" w:color="auto"/>
              <w:bottom w:val="single" w:sz="4" w:space="0" w:color="auto"/>
              <w:right w:val="single" w:sz="4" w:space="0" w:color="auto"/>
            </w:tcBorders>
            <w:shd w:val="clear" w:color="auto" w:fill="A9DCF3"/>
            <w:vAlign w:val="center"/>
            <w:hideMark/>
          </w:tcPr>
          <w:p w14:paraId="7DF3B151"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Wartość docelowa wskaźnika rezultatu</w:t>
            </w:r>
          </w:p>
        </w:tc>
        <w:tc>
          <w:tcPr>
            <w:tcW w:w="2508" w:type="dxa"/>
            <w:gridSpan w:val="2"/>
            <w:tcBorders>
              <w:top w:val="single" w:sz="4" w:space="0" w:color="auto"/>
              <w:left w:val="single" w:sz="4" w:space="0" w:color="auto"/>
              <w:bottom w:val="single" w:sz="4" w:space="0" w:color="auto"/>
              <w:right w:val="single" w:sz="4" w:space="0" w:color="auto"/>
            </w:tcBorders>
            <w:shd w:val="clear" w:color="auto" w:fill="A9DCF3"/>
            <w:vAlign w:val="center"/>
            <w:hideMark/>
          </w:tcPr>
          <w:p w14:paraId="08E6750D" w14:textId="77777777" w:rsidR="00076156" w:rsidRPr="00290AD4" w:rsidRDefault="00076156">
            <w:pPr>
              <w:jc w:val="center"/>
              <w:rPr>
                <w:rFonts w:eastAsia="Times New Roman"/>
                <w:color w:val="000000"/>
                <w:sz w:val="22"/>
                <w:szCs w:val="22"/>
                <w:lang w:eastAsia="pl-PL"/>
              </w:rPr>
            </w:pPr>
            <w:r w:rsidRPr="00290AD4">
              <w:rPr>
                <w:rFonts w:eastAsia="Times New Roman"/>
                <w:color w:val="000000"/>
                <w:sz w:val="22"/>
                <w:szCs w:val="22"/>
                <w:lang w:eastAsia="pl-PL"/>
              </w:rPr>
              <w:t>Wartość wskaźnika uzyskana z monitoringu</w:t>
            </w:r>
          </w:p>
        </w:tc>
      </w:tr>
      <w:tr w:rsidR="00076156" w14:paraId="0DDF7464" w14:textId="77777777" w:rsidTr="00076156">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48FF94" w14:textId="77777777" w:rsidR="00076156" w:rsidRPr="00290AD4" w:rsidRDefault="00076156">
            <w:pPr>
              <w:rPr>
                <w:rFonts w:eastAsia="Times New Roman"/>
                <w:color w:val="000000"/>
                <w:sz w:val="22"/>
                <w:szCs w:val="22"/>
                <w:lang w:eastAsia="pl-PL"/>
              </w:rPr>
            </w:pPr>
          </w:p>
        </w:tc>
        <w:tc>
          <w:tcPr>
            <w:tcW w:w="1271" w:type="dxa"/>
            <w:tcBorders>
              <w:top w:val="single" w:sz="4" w:space="0" w:color="auto"/>
              <w:left w:val="single" w:sz="4" w:space="0" w:color="auto"/>
              <w:bottom w:val="single" w:sz="4" w:space="0" w:color="auto"/>
              <w:right w:val="single" w:sz="4" w:space="0" w:color="auto"/>
            </w:tcBorders>
            <w:shd w:val="clear" w:color="auto" w:fill="A9DCF3"/>
            <w:vAlign w:val="center"/>
            <w:hideMark/>
          </w:tcPr>
          <w:p w14:paraId="0A81867E"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Względna</w:t>
            </w:r>
          </w:p>
        </w:tc>
        <w:tc>
          <w:tcPr>
            <w:tcW w:w="1555" w:type="dxa"/>
            <w:tcBorders>
              <w:top w:val="single" w:sz="4" w:space="0" w:color="auto"/>
              <w:left w:val="single" w:sz="4" w:space="0" w:color="auto"/>
              <w:bottom w:val="single" w:sz="4" w:space="0" w:color="auto"/>
              <w:right w:val="single" w:sz="4" w:space="0" w:color="auto"/>
            </w:tcBorders>
            <w:shd w:val="clear" w:color="auto" w:fill="A9DCF3"/>
            <w:vAlign w:val="center"/>
            <w:hideMark/>
          </w:tcPr>
          <w:p w14:paraId="26114C51"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Bezwzględna</w:t>
            </w:r>
          </w:p>
        </w:tc>
        <w:tc>
          <w:tcPr>
            <w:tcW w:w="1071" w:type="dxa"/>
            <w:tcBorders>
              <w:top w:val="single" w:sz="4" w:space="0" w:color="auto"/>
              <w:left w:val="single" w:sz="4" w:space="0" w:color="auto"/>
              <w:bottom w:val="single" w:sz="4" w:space="0" w:color="auto"/>
              <w:right w:val="single" w:sz="4" w:space="0" w:color="auto"/>
            </w:tcBorders>
            <w:shd w:val="clear" w:color="auto" w:fill="A9DCF3"/>
            <w:vAlign w:val="center"/>
            <w:hideMark/>
          </w:tcPr>
          <w:p w14:paraId="00A99047"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Względna</w:t>
            </w:r>
          </w:p>
        </w:tc>
        <w:tc>
          <w:tcPr>
            <w:tcW w:w="1437" w:type="dxa"/>
            <w:tcBorders>
              <w:top w:val="single" w:sz="4" w:space="0" w:color="auto"/>
              <w:left w:val="single" w:sz="4" w:space="0" w:color="auto"/>
              <w:bottom w:val="single" w:sz="4" w:space="0" w:color="auto"/>
              <w:right w:val="single" w:sz="4" w:space="0" w:color="auto"/>
            </w:tcBorders>
            <w:shd w:val="clear" w:color="auto" w:fill="A9DCF3"/>
            <w:vAlign w:val="center"/>
            <w:hideMark/>
          </w:tcPr>
          <w:p w14:paraId="0410A6E6"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Bezwzględna</w:t>
            </w:r>
          </w:p>
        </w:tc>
      </w:tr>
      <w:tr w:rsidR="00076156" w14:paraId="5F6C15CF" w14:textId="77777777" w:rsidTr="00243F98">
        <w:trPr>
          <w:trHeight w:val="945"/>
        </w:trPr>
        <w:tc>
          <w:tcPr>
            <w:tcW w:w="3503" w:type="dxa"/>
            <w:tcBorders>
              <w:top w:val="single" w:sz="4" w:space="0" w:color="auto"/>
              <w:left w:val="single" w:sz="4" w:space="0" w:color="auto"/>
              <w:bottom w:val="single" w:sz="4" w:space="0" w:color="auto"/>
              <w:right w:val="single" w:sz="4" w:space="0" w:color="auto"/>
            </w:tcBorders>
            <w:vAlign w:val="center"/>
            <w:hideMark/>
          </w:tcPr>
          <w:p w14:paraId="5080CD18"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RA1 Względna redukcja wartości średnich rocznych strat powodziowych AAD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48E518" w14:textId="77777777" w:rsidR="00076156" w:rsidRPr="00290AD4" w:rsidRDefault="00076156" w:rsidP="00243F98">
            <w:pPr>
              <w:jc w:val="right"/>
              <w:rPr>
                <w:rFonts w:eastAsia="Times New Roman"/>
                <w:color w:val="000000"/>
                <w:sz w:val="22"/>
                <w:szCs w:val="22"/>
                <w:lang w:eastAsia="pl-PL"/>
              </w:rPr>
            </w:pPr>
            <w:bookmarkStart w:id="144" w:name="RANGE!B3"/>
            <w:r w:rsidRPr="00290AD4">
              <w:rPr>
                <w:rFonts w:eastAsia="Times New Roman"/>
                <w:color w:val="000000"/>
                <w:sz w:val="22"/>
                <w:szCs w:val="22"/>
                <w:lang w:eastAsia="pl-PL"/>
              </w:rPr>
              <w:t>100</w:t>
            </w:r>
            <w:bookmarkEnd w:id="144"/>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89B1CC"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 xml:space="preserve">     9 193 641 zł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00769E21"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3.5</w:t>
            </w:r>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9D023F"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 xml:space="preserve">   322 226 zł </w:t>
            </w:r>
          </w:p>
        </w:tc>
      </w:tr>
      <w:tr w:rsidR="00076156" w14:paraId="5171BE4F" w14:textId="77777777" w:rsidTr="00243F98">
        <w:trPr>
          <w:trHeight w:val="1260"/>
        </w:trPr>
        <w:tc>
          <w:tcPr>
            <w:tcW w:w="350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508D9338"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RA2 Względna redukcja liczby mieszkańców na obszarach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6255B032"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0C555ABD"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10 162</w:t>
            </w:r>
          </w:p>
        </w:tc>
        <w:tc>
          <w:tcPr>
            <w:tcW w:w="10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4186BFB4"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0.6</w:t>
            </w:r>
          </w:p>
        </w:tc>
        <w:tc>
          <w:tcPr>
            <w:tcW w:w="1437"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69753B53"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66</w:t>
            </w:r>
          </w:p>
        </w:tc>
      </w:tr>
      <w:tr w:rsidR="00076156" w14:paraId="2CF3C405" w14:textId="77777777" w:rsidTr="00243F98">
        <w:trPr>
          <w:trHeight w:val="1344"/>
        </w:trPr>
        <w:tc>
          <w:tcPr>
            <w:tcW w:w="3503" w:type="dxa"/>
            <w:tcBorders>
              <w:top w:val="single" w:sz="4" w:space="0" w:color="auto"/>
              <w:left w:val="single" w:sz="4" w:space="0" w:color="auto"/>
              <w:bottom w:val="single" w:sz="4" w:space="0" w:color="auto"/>
              <w:right w:val="single" w:sz="4" w:space="0" w:color="auto"/>
            </w:tcBorders>
            <w:vAlign w:val="center"/>
            <w:hideMark/>
          </w:tcPr>
          <w:p w14:paraId="139ED0C4"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RA3 Względny spadek liczby obiektów cennych kulturowo zlokalizowanych w obszarze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BBB08A"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7086F6"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32</w:t>
            </w:r>
          </w:p>
        </w:tc>
        <w:tc>
          <w:tcPr>
            <w:tcW w:w="1071" w:type="dxa"/>
            <w:tcBorders>
              <w:top w:val="single" w:sz="4" w:space="0" w:color="auto"/>
              <w:left w:val="single" w:sz="4" w:space="0" w:color="auto"/>
              <w:bottom w:val="single" w:sz="4" w:space="0" w:color="auto"/>
              <w:right w:val="single" w:sz="4" w:space="0" w:color="auto"/>
            </w:tcBorders>
            <w:vAlign w:val="center"/>
            <w:hideMark/>
          </w:tcPr>
          <w:p w14:paraId="24F64344"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0</w:t>
            </w:r>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7F4E83"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0</w:t>
            </w:r>
          </w:p>
        </w:tc>
      </w:tr>
      <w:tr w:rsidR="00076156" w14:paraId="7EB5EA3A" w14:textId="77777777" w:rsidTr="00243F98">
        <w:trPr>
          <w:trHeight w:val="1575"/>
        </w:trPr>
        <w:tc>
          <w:tcPr>
            <w:tcW w:w="350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1EB3B1C9"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RA4 Względny spadek liczby obiektów stanowiących zagrożenie dla środowiska zlokalizowanych w obszarze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6EB827CF"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29DC2E74"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16</w:t>
            </w:r>
          </w:p>
        </w:tc>
        <w:tc>
          <w:tcPr>
            <w:tcW w:w="10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7EEEF486"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6</w:t>
            </w:r>
          </w:p>
        </w:tc>
        <w:tc>
          <w:tcPr>
            <w:tcW w:w="1437"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3027B776"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w:t>
            </w:r>
          </w:p>
        </w:tc>
      </w:tr>
      <w:tr w:rsidR="00076156" w14:paraId="2D57EF25" w14:textId="77777777" w:rsidTr="00243F98">
        <w:trPr>
          <w:trHeight w:val="1260"/>
        </w:trPr>
        <w:tc>
          <w:tcPr>
            <w:tcW w:w="3503" w:type="dxa"/>
            <w:tcBorders>
              <w:top w:val="single" w:sz="4" w:space="0" w:color="auto"/>
              <w:left w:val="single" w:sz="4" w:space="0" w:color="auto"/>
              <w:bottom w:val="single" w:sz="4" w:space="0" w:color="auto"/>
              <w:right w:val="single" w:sz="4" w:space="0" w:color="auto"/>
            </w:tcBorders>
            <w:vAlign w:val="center"/>
            <w:hideMark/>
          </w:tcPr>
          <w:p w14:paraId="23E7B466"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RA5 Względny spadek liczby ujęć wody zlokalizowanych w obszarach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007451"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AF0F0"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93</w:t>
            </w:r>
          </w:p>
        </w:tc>
        <w:tc>
          <w:tcPr>
            <w:tcW w:w="1071" w:type="dxa"/>
            <w:tcBorders>
              <w:top w:val="single" w:sz="4" w:space="0" w:color="auto"/>
              <w:left w:val="single" w:sz="4" w:space="0" w:color="auto"/>
              <w:bottom w:val="single" w:sz="4" w:space="0" w:color="auto"/>
              <w:right w:val="single" w:sz="4" w:space="0" w:color="auto"/>
            </w:tcBorders>
            <w:vAlign w:val="center"/>
            <w:hideMark/>
          </w:tcPr>
          <w:p w14:paraId="2679F2CB"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w:t>
            </w:r>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6413CA"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w:t>
            </w:r>
          </w:p>
        </w:tc>
      </w:tr>
      <w:tr w:rsidR="00076156" w14:paraId="32D79074" w14:textId="77777777" w:rsidTr="00243F98">
        <w:trPr>
          <w:trHeight w:val="1450"/>
        </w:trPr>
        <w:tc>
          <w:tcPr>
            <w:tcW w:w="350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217E3237"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RA6 Względna redukcja liczby obiektów o szczególnym znaczeniu społecznym zlokalizowanych w obszarach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01591E4F"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52EC6443"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24</w:t>
            </w:r>
          </w:p>
        </w:tc>
        <w:tc>
          <w:tcPr>
            <w:tcW w:w="10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51CF3495"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0</w:t>
            </w:r>
          </w:p>
        </w:tc>
        <w:tc>
          <w:tcPr>
            <w:tcW w:w="1437"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1521200F"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0</w:t>
            </w:r>
          </w:p>
        </w:tc>
      </w:tr>
      <w:tr w:rsidR="00076156" w14:paraId="0BFB9630" w14:textId="77777777" w:rsidTr="00243F98">
        <w:trPr>
          <w:trHeight w:val="1260"/>
        </w:trPr>
        <w:tc>
          <w:tcPr>
            <w:tcW w:w="3503" w:type="dxa"/>
            <w:tcBorders>
              <w:top w:val="single" w:sz="4" w:space="0" w:color="auto"/>
              <w:left w:val="single" w:sz="4" w:space="0" w:color="auto"/>
              <w:bottom w:val="single" w:sz="4" w:space="0" w:color="auto"/>
              <w:right w:val="single" w:sz="4" w:space="0" w:color="auto"/>
            </w:tcBorders>
            <w:vAlign w:val="center"/>
            <w:hideMark/>
          </w:tcPr>
          <w:p w14:paraId="12CD840A"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RA7 Względna redukcja potencjalnych strat powodziowych na obszarach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4F3B90"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ACEB8B"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 xml:space="preserve"> 766 136 765 zł </w:t>
            </w:r>
          </w:p>
        </w:tc>
        <w:tc>
          <w:tcPr>
            <w:tcW w:w="1071" w:type="dxa"/>
            <w:tcBorders>
              <w:top w:val="single" w:sz="4" w:space="0" w:color="auto"/>
              <w:left w:val="single" w:sz="4" w:space="0" w:color="auto"/>
              <w:bottom w:val="single" w:sz="4" w:space="0" w:color="auto"/>
              <w:right w:val="single" w:sz="4" w:space="0" w:color="auto"/>
            </w:tcBorders>
            <w:vAlign w:val="center"/>
            <w:hideMark/>
          </w:tcPr>
          <w:p w14:paraId="0FD4DA16"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3.5</w:t>
            </w:r>
          </w:p>
        </w:tc>
        <w:tc>
          <w:tcPr>
            <w:tcW w:w="143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BF465F"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 xml:space="preserve">26 852 200 zł </w:t>
            </w:r>
          </w:p>
        </w:tc>
      </w:tr>
      <w:tr w:rsidR="00076156" w14:paraId="51A566BE" w14:textId="77777777" w:rsidTr="00243F98">
        <w:trPr>
          <w:trHeight w:val="96"/>
        </w:trPr>
        <w:tc>
          <w:tcPr>
            <w:tcW w:w="3503"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4DBD63A9" w14:textId="77777777" w:rsidR="00076156" w:rsidRPr="00290AD4" w:rsidRDefault="00076156">
            <w:pPr>
              <w:rPr>
                <w:rFonts w:eastAsia="Times New Roman"/>
                <w:color w:val="000000"/>
                <w:sz w:val="22"/>
                <w:szCs w:val="22"/>
                <w:lang w:eastAsia="pl-PL"/>
              </w:rPr>
            </w:pPr>
            <w:r w:rsidRPr="00290AD4">
              <w:rPr>
                <w:rFonts w:eastAsia="Times New Roman"/>
                <w:color w:val="000000"/>
                <w:sz w:val="22"/>
                <w:szCs w:val="22"/>
                <w:lang w:eastAsia="pl-PL"/>
              </w:rPr>
              <w:t>RA8 Względna redukcja powierzchni obszarów szczególnego zagrożenia powodzią (Q1%) w wyniku realizacji działań</w:t>
            </w:r>
          </w:p>
        </w:tc>
        <w:tc>
          <w:tcPr>
            <w:tcW w:w="12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75A53B62"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100</w:t>
            </w:r>
          </w:p>
        </w:tc>
        <w:tc>
          <w:tcPr>
            <w:tcW w:w="1555"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5EE41B81"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44541</w:t>
            </w:r>
          </w:p>
        </w:tc>
        <w:tc>
          <w:tcPr>
            <w:tcW w:w="1071"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70001C45"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1</w:t>
            </w:r>
          </w:p>
        </w:tc>
        <w:tc>
          <w:tcPr>
            <w:tcW w:w="1437" w:type="dxa"/>
            <w:tcBorders>
              <w:top w:val="single" w:sz="4" w:space="0" w:color="auto"/>
              <w:left w:val="single" w:sz="4" w:space="0" w:color="auto"/>
              <w:bottom w:val="single" w:sz="4" w:space="0" w:color="auto"/>
              <w:right w:val="single" w:sz="4" w:space="0" w:color="auto"/>
            </w:tcBorders>
            <w:shd w:val="clear" w:color="auto" w:fill="D4EDF9"/>
            <w:vAlign w:val="center"/>
            <w:hideMark/>
          </w:tcPr>
          <w:p w14:paraId="4F497F4C" w14:textId="77777777" w:rsidR="00076156" w:rsidRPr="00290AD4" w:rsidRDefault="00076156" w:rsidP="00243F98">
            <w:pPr>
              <w:jc w:val="right"/>
              <w:rPr>
                <w:rFonts w:eastAsia="Times New Roman"/>
                <w:color w:val="000000"/>
                <w:sz w:val="22"/>
                <w:szCs w:val="22"/>
                <w:lang w:eastAsia="pl-PL"/>
              </w:rPr>
            </w:pPr>
            <w:r w:rsidRPr="00290AD4">
              <w:rPr>
                <w:rFonts w:eastAsia="Times New Roman"/>
                <w:color w:val="000000"/>
                <w:sz w:val="22"/>
                <w:szCs w:val="22"/>
                <w:lang w:eastAsia="pl-PL"/>
              </w:rPr>
              <w:t>368</w:t>
            </w:r>
          </w:p>
        </w:tc>
      </w:tr>
    </w:tbl>
    <w:p w14:paraId="0808DA3D" w14:textId="77777777" w:rsidR="00076156" w:rsidRDefault="00076156" w:rsidP="00076156">
      <w:pPr>
        <w:pStyle w:val="ReportText"/>
        <w:spacing w:before="120" w:after="120"/>
        <w:jc w:val="both"/>
        <w:rPr>
          <w:rFonts w:eastAsiaTheme="minorEastAsia"/>
        </w:rPr>
      </w:pPr>
      <w:r>
        <w:lastRenderedPageBreak/>
        <w:t>Dzięki realizacji działań ujętych w PZRP w obszarze dorzecza Dolnej Odry udało się osiągnąć względną redukcję potencjalnych strat powodziowych na obszarach szczególnego zagrożenia powodzią pochodzącą od wód morskich, w tym morskich wód wewnętrznych (Q1%) o prawie 27 mln zł co stanowi 3,5% docelowej wartości wskaźnika RA7. Zrealizowane działania pozwoliły na redukcję liczby mieszkańców na obszarach szczególnego zagrożenia powodzią (Q1%) oszacowaną na 66 osób, co przekłada się na realizację docelowej wartości wskaźnika RA2 w 0,6%. Względna redukcja powierzchni obszarów szczególnego zagrożenia powodzią (Q1%) w wyniku realizacji działań I cyklu PZRP wyniosła 1% tj. ok. 368 ha.</w:t>
      </w:r>
    </w:p>
    <w:p w14:paraId="2D708910" w14:textId="77777777" w:rsidR="00076156" w:rsidRDefault="00076156" w:rsidP="00076156">
      <w:pPr>
        <w:pStyle w:val="ReportText"/>
        <w:spacing w:before="120" w:after="120"/>
        <w:jc w:val="both"/>
      </w:pPr>
      <w:r>
        <w:t>Przedstawione powyżej wskaźniki rezultatów są niskie, zidentyfikowano dwa najważniejsze:</w:t>
      </w:r>
    </w:p>
    <w:p w14:paraId="5146E93A" w14:textId="77777777" w:rsidR="00076156" w:rsidRDefault="00076156" w:rsidP="006D41A7">
      <w:pPr>
        <w:pStyle w:val="ReportText"/>
        <w:numPr>
          <w:ilvl w:val="0"/>
          <w:numId w:val="102"/>
        </w:numPr>
        <w:spacing w:before="120" w:after="120"/>
        <w:jc w:val="both"/>
      </w:pPr>
      <w:r>
        <w:t xml:space="preserve">W okresie obowiązywania I cyklu PZRP nie udało się zrealizować większości zaplanowanych działań służących osiągnięciu celów zarządzania ryzykiem powodziowym. Z tego względu większość z zaplanowanych celów szczegółowych zrealizowano jedynie częściowo. Do najczęstszych przyczyn niezrealizowania zaplanowanych w I cyklu PZRP działań należą w szczególności: </w:t>
      </w:r>
    </w:p>
    <w:p w14:paraId="286E3BAD" w14:textId="77777777" w:rsidR="00076156" w:rsidRDefault="00076156" w:rsidP="006D41A7">
      <w:pPr>
        <w:pStyle w:val="ReportText"/>
        <w:numPr>
          <w:ilvl w:val="0"/>
          <w:numId w:val="101"/>
        </w:numPr>
        <w:spacing w:before="120" w:after="120"/>
        <w:jc w:val="both"/>
      </w:pPr>
      <w:r>
        <w:t xml:space="preserve">brak środków finansowych niezbędnych do realizacji inwestycji, </w:t>
      </w:r>
    </w:p>
    <w:p w14:paraId="27F41B04" w14:textId="77777777" w:rsidR="00076156" w:rsidRDefault="00076156" w:rsidP="006D41A7">
      <w:pPr>
        <w:pStyle w:val="ReportText"/>
        <w:numPr>
          <w:ilvl w:val="0"/>
          <w:numId w:val="101"/>
        </w:numPr>
        <w:spacing w:before="120" w:after="120"/>
        <w:jc w:val="both"/>
      </w:pPr>
      <w:r>
        <w:t xml:space="preserve">przyczyny organizacyjne np. trudności w uzyskaniu niezbędnych decyzji administracyjnych potrzebnych do realizacji projektu, </w:t>
      </w:r>
    </w:p>
    <w:p w14:paraId="5ABD20A6" w14:textId="77777777" w:rsidR="00076156" w:rsidRDefault="00076156" w:rsidP="006D41A7">
      <w:pPr>
        <w:pStyle w:val="ReportText"/>
        <w:numPr>
          <w:ilvl w:val="0"/>
          <w:numId w:val="101"/>
        </w:numPr>
        <w:spacing w:before="120" w:after="120"/>
        <w:jc w:val="both"/>
      </w:pPr>
      <w:r>
        <w:t xml:space="preserve">problemy legislacyjne np. postepowania odwoławcze, zmiany w ustawie Prawo wodne i specustawach </w:t>
      </w:r>
    </w:p>
    <w:p w14:paraId="249A62FD" w14:textId="77777777" w:rsidR="00076156" w:rsidRDefault="00076156" w:rsidP="006D41A7">
      <w:pPr>
        <w:pStyle w:val="ReportText"/>
        <w:numPr>
          <w:ilvl w:val="0"/>
          <w:numId w:val="101"/>
        </w:numPr>
        <w:spacing w:before="120" w:after="120"/>
        <w:jc w:val="both"/>
      </w:pPr>
      <w:r>
        <w:t xml:space="preserve">inne np. brak wykonawców do realizacji inwestycji. </w:t>
      </w:r>
    </w:p>
    <w:p w14:paraId="51D43FDA" w14:textId="77777777" w:rsidR="00076156" w:rsidRDefault="00076156" w:rsidP="006D41A7">
      <w:pPr>
        <w:pStyle w:val="ReportText"/>
        <w:numPr>
          <w:ilvl w:val="0"/>
          <w:numId w:val="102"/>
        </w:numPr>
        <w:jc w:val="both"/>
      </w:pPr>
      <w:r>
        <w:t>Duża część zadań, które zostały zrealizowane w pierwszym cyklu planistycznym dotyczyła zadań, których przedmiotem i głównym celem nie była ochrona przeciwpowodziowa. Były to typy zadań: Budowa i przebudowa infrastruktury portowej lub dostępowej do portu lub przystani morskiej oraz Ochrona brzegów morskich przed erozją i powodzią od strony morza, w tym morskich wód wewnętrznych. Ich realizacja wpłynęła na ograniczenie / miejscowe przeciwdziałanie niekorzystnym zjawiskom erozyjnym zachodzącym wzdłuż brzegów morskich oraz zwiększyły bezpieczeństwo portów jak i umożliwiły bezpieczny do nich dostęp jednak nie przekłada się to na redukcję powierzchni obszarów szczególnego zagrożenia powodzią (Q1%) ponieważ nie jest to cel prowadzenia przedmiotowych działań. W związku z powyższym opisane typy zadań nie zostały uwzględnione w aPZRPM.</w:t>
      </w:r>
    </w:p>
    <w:p w14:paraId="36F90DC7" w14:textId="77777777" w:rsidR="00076156" w:rsidRDefault="00076156" w:rsidP="008427BB">
      <w:pPr>
        <w:pStyle w:val="ReportText"/>
        <w:jc w:val="both"/>
      </w:pPr>
    </w:p>
    <w:p w14:paraId="3865B3F4" w14:textId="3816E50E" w:rsidR="008427BB" w:rsidRPr="009401DA" w:rsidRDefault="0048499A" w:rsidP="006D41A7">
      <w:pPr>
        <w:pStyle w:val="ReportLevel1"/>
        <w:numPr>
          <w:ilvl w:val="0"/>
          <w:numId w:val="4"/>
        </w:numPr>
      </w:pPr>
      <w:r>
        <w:br w:type="page"/>
      </w:r>
      <w:bookmarkStart w:id="145" w:name="_Toc80608740"/>
      <w:r w:rsidR="008427BB" w:rsidRPr="00AD283A">
        <w:lastRenderedPageBreak/>
        <w:t>Podsumowanie działań służących informowaniu społeczeństwa i prowadzeniu konsultacji społecznych</w:t>
      </w:r>
      <w:bookmarkEnd w:id="145"/>
    </w:p>
    <w:p w14:paraId="30B5614C" w14:textId="77777777" w:rsidR="008427BB" w:rsidRPr="001B538B" w:rsidRDefault="008427BB" w:rsidP="006D41A7">
      <w:pPr>
        <w:pStyle w:val="ReportLevel2"/>
        <w:numPr>
          <w:ilvl w:val="1"/>
          <w:numId w:val="4"/>
        </w:numPr>
        <w:rPr>
          <w:bCs/>
        </w:rPr>
      </w:pPr>
      <w:bookmarkStart w:id="146" w:name="_Toc80608741"/>
      <w:r w:rsidRPr="001B538B">
        <w:rPr>
          <w:bCs/>
        </w:rPr>
        <w:t>Udział społeczeństwa w opracowaniu planów zarządzania ryzykiem powodziowym</w:t>
      </w:r>
      <w:bookmarkEnd w:id="146"/>
    </w:p>
    <w:p w14:paraId="3962694A" w14:textId="551180DF" w:rsidR="008427BB" w:rsidRDefault="008427BB" w:rsidP="008427BB">
      <w:pPr>
        <w:pStyle w:val="ReportText"/>
        <w:jc w:val="both"/>
      </w:pPr>
      <w:r>
        <w:t>Plany zarządzania ryzykiem powodziowym (w tym aPZRPM) stanowią strategiczny dokument państwa w zakresie planowania i realizacji działań służących minimalizowaniu ryzyka powodziowego. Właściwe zrozumienie założeń planów, prowadzonych analiz i</w:t>
      </w:r>
      <w:r w:rsidR="00243F98">
        <w:t> </w:t>
      </w:r>
      <w:r>
        <w:t>uzyskanych wniosków, w tym finalnie konkretnych rozwiązań nietechnicznych i</w:t>
      </w:r>
      <w:r w:rsidR="00243F98">
        <w:t> </w:t>
      </w:r>
      <w:r>
        <w:t>technicznych, jest kluczowe dla procedowania dokumentu, w tym udziału społeczeństwa w jego współtworzeniu. Planowane w dniach 03.09.2021 r</w:t>
      </w:r>
      <w:r w:rsidR="00243F98">
        <w:t>.</w:t>
      </w:r>
      <w:r>
        <w:t xml:space="preserve"> i 06.09.2021</w:t>
      </w:r>
      <w:r w:rsidR="00243F98">
        <w:t> </w:t>
      </w:r>
      <w:r>
        <w:t>r</w:t>
      </w:r>
      <w:r w:rsidR="00243F98">
        <w:t>.</w:t>
      </w:r>
      <w:r>
        <w:t xml:space="preserve"> konsultacje społeczne oraz towarzysząca im kampania informacyjna stanowią jeden z</w:t>
      </w:r>
      <w:r w:rsidR="00243F98">
        <w:t> </w:t>
      </w:r>
      <w:r>
        <w:t>kluczowych elementów procesu opracowania planów. Włączenie interesariuszy w</w:t>
      </w:r>
      <w:r w:rsidR="00243F98">
        <w:t> </w:t>
      </w:r>
      <w:r>
        <w:t>tworzenie planów zarządzania ryzykiem powodziowym pozwoli na poszerzenie analiz o nowe rozwiązania, zrewidowanie przyjętych działań, zwiększenie przejrzystości podejmowania zawartych w nich decyzji.</w:t>
      </w:r>
    </w:p>
    <w:p w14:paraId="0F6E1D11" w14:textId="42EBB36A" w:rsidR="008427BB" w:rsidRDefault="008427BB" w:rsidP="008427BB">
      <w:pPr>
        <w:pStyle w:val="ReportText"/>
        <w:jc w:val="both"/>
      </w:pPr>
      <w:r>
        <w:t>Proces konsultacji społecznych planów zarządzania ryzykiem powodziowym uregulowany został przepisami kształtującymi zasady udziału społeczeństwa w</w:t>
      </w:r>
      <w:r w:rsidR="00243F98">
        <w:t> </w:t>
      </w:r>
      <w:r>
        <w:t>podejmowaniu decyzji dotyczących środowiska tj. ustawą z dnia 3 października 2008 r. o udostępnianiu informacji o środowisku i jego ochronie, udziale społeczeństwa w ochronie środowiska oraz ocenach oddziaływania na środowisko (</w:t>
      </w:r>
      <w:r w:rsidRPr="00EC74F7">
        <w:t>Dz.U. 2021 poz. 247 ze zm.</w:t>
      </w:r>
      <w:r>
        <w:t>), a także ustawą z dnia 20 lipca 2017 r. Prawo wodne (</w:t>
      </w:r>
      <w:r w:rsidRPr="00EC74F7">
        <w:t>Dz. U. z 2021 r. poz. 624 ze zm</w:t>
      </w:r>
      <w:r>
        <w:t>).</w:t>
      </w:r>
    </w:p>
    <w:p w14:paraId="0E5DDF35" w14:textId="77777777" w:rsidR="008427BB" w:rsidRPr="001B538B" w:rsidRDefault="008427BB" w:rsidP="006D41A7">
      <w:pPr>
        <w:pStyle w:val="ReportLevel2"/>
        <w:numPr>
          <w:ilvl w:val="1"/>
          <w:numId w:val="4"/>
        </w:numPr>
        <w:rPr>
          <w:bCs/>
        </w:rPr>
      </w:pPr>
      <w:bookmarkStart w:id="147" w:name="_Toc80608742"/>
      <w:r w:rsidRPr="001B538B">
        <w:rPr>
          <w:bCs/>
        </w:rPr>
        <w:t>Cele strategiczne konsultacji społecznych i działań informacyjno – promocyjnych</w:t>
      </w:r>
      <w:bookmarkEnd w:id="147"/>
    </w:p>
    <w:p w14:paraId="4248B96A" w14:textId="77777777" w:rsidR="008427BB" w:rsidRDefault="008427BB" w:rsidP="008427BB">
      <w:pPr>
        <w:pStyle w:val="ReportText"/>
        <w:jc w:val="both"/>
      </w:pPr>
      <w:r>
        <w:t>Należyte określenie celów planowanych konsultacji społecznych oraz kampanii informacyjnej dotyczącej aktualizacji planów zarządzania ryzykiem powodziowym jest jednym z kluczowych czynników sukcesu tworzenia tych strategicznych dokumentów.</w:t>
      </w:r>
    </w:p>
    <w:p w14:paraId="7AFDE415" w14:textId="77777777" w:rsidR="008427BB" w:rsidRPr="00EC74F7" w:rsidRDefault="008427BB" w:rsidP="008427BB">
      <w:pPr>
        <w:pStyle w:val="ReportText"/>
        <w:jc w:val="both"/>
        <w:rPr>
          <w:b/>
          <w:bCs/>
        </w:rPr>
      </w:pPr>
      <w:r w:rsidRPr="00EC74F7">
        <w:rPr>
          <w:b/>
          <w:bCs/>
        </w:rPr>
        <w:t>Cel strategiczny 1 - przeprowadzenie konsultacji społecznych</w:t>
      </w:r>
    </w:p>
    <w:p w14:paraId="7923EBE4" w14:textId="77777777" w:rsidR="008427BB" w:rsidRDefault="008427BB" w:rsidP="008427BB">
      <w:pPr>
        <w:pStyle w:val="ReportText"/>
        <w:jc w:val="both"/>
      </w:pPr>
      <w:r>
        <w:t xml:space="preserve">Przeprowadzenie konsultacji społecznych projektów planów oraz zebranie uwag, wniosków i opinii zostało przyjęte jako pierwszy cel strategiczny. Konsultacje społeczne odbywają się w terminie od 22 grudnia 2020 r. do 06 września 2021 r. Dobór lokalizacji spotkań uwzględnia zidentyfikowane obszary problemowe, na których występuje istotne ryzyko powodziowe, co pozwala na dotarcie do grup osób zainteresowanych problemem ryzyka powodziowego. </w:t>
      </w:r>
    </w:p>
    <w:p w14:paraId="721D8A2D" w14:textId="77777777" w:rsidR="008427BB" w:rsidRDefault="008427BB" w:rsidP="008427BB">
      <w:pPr>
        <w:pStyle w:val="ReportText"/>
        <w:jc w:val="both"/>
      </w:pPr>
      <w:r w:rsidRPr="005D03B0">
        <w:rPr>
          <w:b/>
          <w:bCs/>
        </w:rPr>
        <w:t xml:space="preserve">Cel strategiczny 2 - przeprowadzenie kampanii </w:t>
      </w:r>
      <w:r w:rsidRPr="00EC74F7">
        <w:rPr>
          <w:b/>
          <w:bCs/>
        </w:rPr>
        <w:t>informacyjno-promocyjnej</w:t>
      </w:r>
    </w:p>
    <w:p w14:paraId="724AE664" w14:textId="11E11362" w:rsidR="008427BB" w:rsidRDefault="008427BB" w:rsidP="008427BB">
      <w:pPr>
        <w:pStyle w:val="ReportText"/>
        <w:jc w:val="both"/>
      </w:pPr>
      <w:r>
        <w:t>Przeprowadzana kampania informacyjno-promocyjna służy rozpowszechnieniu wiedzy o</w:t>
      </w:r>
      <w:r w:rsidR="00243F98">
        <w:t> </w:t>
      </w:r>
      <w:r>
        <w:t xml:space="preserve">planach zarządzania ryzykiem powodziowym i jest elementem szerokiego informowania społeczeństwa. Działania objęte kampanią dotyczą informowania, zarówno grup interesariuszy bezpośrednio związanych z planami, jak również ogółu </w:t>
      </w:r>
      <w:r>
        <w:lastRenderedPageBreak/>
        <w:t xml:space="preserve">społeczeństwa. Jest to najważniejsze ogniwo wpierające proces konsultacji społecznych w dotarciu z informacją o planach do interesariuszy. </w:t>
      </w:r>
    </w:p>
    <w:p w14:paraId="3E7588E2" w14:textId="77777777" w:rsidR="008427BB" w:rsidRPr="001B538B" w:rsidRDefault="008427BB" w:rsidP="006D41A7">
      <w:pPr>
        <w:pStyle w:val="ReportLevel2"/>
        <w:numPr>
          <w:ilvl w:val="1"/>
          <w:numId w:val="4"/>
        </w:numPr>
        <w:rPr>
          <w:bCs/>
        </w:rPr>
      </w:pPr>
      <w:bookmarkStart w:id="148" w:name="_Toc80608743"/>
      <w:r w:rsidRPr="001B538B">
        <w:rPr>
          <w:bCs/>
        </w:rPr>
        <w:t>Grupy docelowe</w:t>
      </w:r>
      <w:bookmarkEnd w:id="148"/>
    </w:p>
    <w:p w14:paraId="3E111800" w14:textId="77777777" w:rsidR="008427BB" w:rsidRDefault="008427BB" w:rsidP="008427BB">
      <w:pPr>
        <w:pStyle w:val="ReportText"/>
        <w:jc w:val="both"/>
      </w:pPr>
      <w:r>
        <w:t>Interesariusze - inaczej grupy docelowe stanowi szerokie grono odbiorców począwszy od ekspertów, przez pracowników administracji, aż po ogół społeczeństwa. Główny podział tak różnorodnej grupy może zostać dokonany ze względu na poziom zaangażowania we współtworzenie planów zarządzania ryzykiem powodziowym. Wyróżniono dwie podstawowe grupy docelowe interesariuszy: bezpośrednio zainteresowaną planami oraz ogół społeczeństwa.</w:t>
      </w:r>
    </w:p>
    <w:p w14:paraId="30D27FEF" w14:textId="77777777" w:rsidR="008427BB" w:rsidRPr="00EE5488" w:rsidRDefault="008427BB" w:rsidP="008427BB">
      <w:pPr>
        <w:pStyle w:val="ReportText"/>
        <w:jc w:val="both"/>
        <w:rPr>
          <w:b/>
          <w:bCs/>
        </w:rPr>
      </w:pPr>
      <w:r w:rsidRPr="00EE5488">
        <w:rPr>
          <w:b/>
          <w:bCs/>
        </w:rPr>
        <w:t>Grupa bezpośrednio zainteresowana planami</w:t>
      </w:r>
    </w:p>
    <w:p w14:paraId="1682B5B0" w14:textId="77777777" w:rsidR="008427BB" w:rsidRDefault="008427BB" w:rsidP="008427BB">
      <w:pPr>
        <w:pStyle w:val="ReportText"/>
        <w:jc w:val="both"/>
      </w:pPr>
      <w:r>
        <w:t>Są to osoby związane zawodowo z gospodarką wodną, pracujące w organach administracji, eksperci. Typologia potencjalnych interesariuszy wygląda następująco:</w:t>
      </w:r>
    </w:p>
    <w:p w14:paraId="2F80EDD1" w14:textId="77777777" w:rsidR="008427BB" w:rsidRDefault="008427BB" w:rsidP="008427BB">
      <w:pPr>
        <w:pStyle w:val="ReportText"/>
        <w:jc w:val="both"/>
      </w:pPr>
      <w:r>
        <w:t>• Specjaliści - mogą to być m.in. organizacje sektora publicznego i prywatnego, profesjonalne grupy pozarządowe (społeczne, gospodarcze i środowiskowe); znajdą się tu również grupy biznesowe, ubezpieczeniowe czy środowiska akademickie.</w:t>
      </w:r>
    </w:p>
    <w:p w14:paraId="00302C58" w14:textId="77777777" w:rsidR="008427BB" w:rsidRDefault="008427BB" w:rsidP="008427BB">
      <w:pPr>
        <w:pStyle w:val="ReportText"/>
        <w:jc w:val="both"/>
      </w:pPr>
      <w:r>
        <w:t>• Władze – wybrani reprezentanci departamentów organów rządowych i władz samorządowych związanych z ochroną przeciwpowodziową i odpowiedzialnych za nie, a także lokalne autorytety.</w:t>
      </w:r>
    </w:p>
    <w:p w14:paraId="5321CF09" w14:textId="77777777" w:rsidR="008427BB" w:rsidRDefault="008427BB" w:rsidP="008427BB">
      <w:pPr>
        <w:pStyle w:val="ReportText"/>
        <w:jc w:val="both"/>
      </w:pPr>
      <w:r>
        <w:t>• Grupy lokalne - niezorganizowane podmioty działające na poziomie lokalnym np. stowarzyszenia i rady lokalne.</w:t>
      </w:r>
    </w:p>
    <w:p w14:paraId="53106669" w14:textId="77777777" w:rsidR="008427BB" w:rsidRDefault="008427BB" w:rsidP="008427BB">
      <w:pPr>
        <w:pStyle w:val="ReportText"/>
        <w:jc w:val="both"/>
      </w:pPr>
      <w:r>
        <w:t>• Społeczności skoncentrowane na zainteresowaniach – grupy rolników, deweloperów, mieszkańców obszarów zagrożonych powodzią itp.</w:t>
      </w:r>
    </w:p>
    <w:p w14:paraId="37359FB7" w14:textId="77777777" w:rsidR="008427BB" w:rsidRDefault="008427BB" w:rsidP="008427BB">
      <w:pPr>
        <w:pStyle w:val="ReportText"/>
        <w:jc w:val="both"/>
      </w:pPr>
      <w:r>
        <w:t>Do grupy osób bezpośrednio zainteresowanych planami możemy zaliczyć mieszkańców obszarów zagrożonych powodzią lub w przeszłości dotkniętych powodzią, dla których zwiększenie świadomości o opracowywanych dokumentach planistycznych i ich realnych konsekwencjach (np. zakazy/ ograniczenia zabudowy) jest niezwykle istotne.</w:t>
      </w:r>
    </w:p>
    <w:p w14:paraId="1F3CF398" w14:textId="77777777" w:rsidR="008427BB" w:rsidRPr="00EE5488" w:rsidRDefault="008427BB" w:rsidP="008427BB">
      <w:pPr>
        <w:pStyle w:val="ReportText"/>
        <w:jc w:val="both"/>
        <w:rPr>
          <w:b/>
          <w:bCs/>
        </w:rPr>
      </w:pPr>
      <w:r w:rsidRPr="00EE5488">
        <w:rPr>
          <w:b/>
          <w:bCs/>
        </w:rPr>
        <w:t>Społeczeństwo</w:t>
      </w:r>
    </w:p>
    <w:p w14:paraId="0059C5F8" w14:textId="694DD216" w:rsidR="008427BB" w:rsidRDefault="008427BB" w:rsidP="008427BB">
      <w:pPr>
        <w:pStyle w:val="ReportText"/>
        <w:jc w:val="both"/>
      </w:pPr>
      <w:r>
        <w:t>Drugą grupą jest szeroko rozumiane społeczeństwo (w tym dzieci i młodzież oraz studenci), do której będą skierowane działania informacyjno-promocyjne oraz kampania edukacyjna. Ta grupa nie jest bezpośrednio związana z planami, jednak podniesienie świadomości i wiedzy na temat zagrożenia i ryzyka powodziowego oraz podejmowanych w tym kontekście działań jest niezmiernie istotne dla kształtowania właściwych i</w:t>
      </w:r>
      <w:r w:rsidR="00243F98">
        <w:t> </w:t>
      </w:r>
      <w:r>
        <w:t>świadomych postaw obywatelskich w przyszłości.</w:t>
      </w:r>
    </w:p>
    <w:p w14:paraId="130FF83F" w14:textId="1525931E" w:rsidR="001B538B" w:rsidRDefault="001B538B" w:rsidP="006D41A7">
      <w:pPr>
        <w:pStyle w:val="ReportLevel1"/>
        <w:numPr>
          <w:ilvl w:val="0"/>
          <w:numId w:val="4"/>
        </w:numPr>
      </w:pPr>
      <w:r>
        <w:br w:type="page"/>
      </w:r>
      <w:bookmarkStart w:id="149" w:name="_Toc80608744"/>
      <w:r>
        <w:lastRenderedPageBreak/>
        <w:t>Wykaz organów właściwych w sprawach zarządzania ryzykiem powodziowym</w:t>
      </w:r>
      <w:bookmarkEnd w:id="149"/>
      <w:r>
        <w:t xml:space="preserve"> </w:t>
      </w:r>
    </w:p>
    <w:p w14:paraId="66B342E1" w14:textId="77777777" w:rsidR="001B538B" w:rsidRPr="00B6783C" w:rsidRDefault="001B538B" w:rsidP="001B538B">
      <w:pPr>
        <w:pStyle w:val="ReportText"/>
        <w:spacing w:before="120" w:after="120"/>
        <w:jc w:val="both"/>
      </w:pPr>
      <w:r w:rsidRPr="00B6783C">
        <w:t xml:space="preserve">W </w:t>
      </w:r>
      <w:r>
        <w:t>Polsce w</w:t>
      </w:r>
      <w:r w:rsidRPr="00B6783C">
        <w:t xml:space="preserve"> ochronę przed powodzią zaangażowanych</w:t>
      </w:r>
      <w:r>
        <w:t xml:space="preserve"> jest</w:t>
      </w:r>
      <w:r w:rsidRPr="00B6783C">
        <w:t xml:space="preserve"> </w:t>
      </w:r>
      <w:r>
        <w:t>wiele</w:t>
      </w:r>
      <w:r w:rsidRPr="00B6783C">
        <w:t xml:space="preserve"> instytucji</w:t>
      </w:r>
      <w:r>
        <w:t>, zarówno na szczeblu</w:t>
      </w:r>
      <w:r w:rsidRPr="00B6783C">
        <w:t xml:space="preserve"> administracji państwowej </w:t>
      </w:r>
      <w:r>
        <w:t xml:space="preserve">jak </w:t>
      </w:r>
      <w:r w:rsidRPr="00B6783C">
        <w:t xml:space="preserve">i samorządowej. Ustawa Prawo wodne </w:t>
      </w:r>
      <w:r>
        <w:t>definiuje</w:t>
      </w:r>
      <w:r w:rsidRPr="00B6783C">
        <w:t>, ochron</w:t>
      </w:r>
      <w:r>
        <w:t>ę</w:t>
      </w:r>
      <w:r w:rsidRPr="00B6783C">
        <w:t xml:space="preserve"> przed powodzią j</w:t>
      </w:r>
      <w:r>
        <w:t>ako</w:t>
      </w:r>
      <w:r w:rsidRPr="00B6783C">
        <w:t xml:space="preserve"> zadanie Wód Polskich oraz organów administracji rządowej i samorządowej. </w:t>
      </w:r>
      <w:r>
        <w:t>Jednocześnie</w:t>
      </w:r>
      <w:r w:rsidRPr="00B6783C">
        <w:t xml:space="preserve"> podkreś</w:t>
      </w:r>
      <w:r>
        <w:t xml:space="preserve">lana jest </w:t>
      </w:r>
      <w:r w:rsidRPr="00B6783C">
        <w:t>m.in. rol</w:t>
      </w:r>
      <w:r>
        <w:t>a</w:t>
      </w:r>
      <w:r w:rsidRPr="00B6783C">
        <w:t xml:space="preserve"> kształtowania zagospodarowania przestrzennego, ochrony i odtwarzania systemów naturalnej i sztucznej retencji wód czy systemu ostrzegania przed powodzią. Ochrona przed powodzią leży w kompetencjach wielu instytucji, a zakres ich odpowiedzialności definiuje wiele aktów prawnych, z których najważniejsze, to wspomniana wyżej ustawa Prawo wodne, </w:t>
      </w:r>
      <w:r>
        <w:t>a także</w:t>
      </w:r>
      <w:r w:rsidRPr="00B6783C">
        <w:t xml:space="preserve"> ustawa z dnia 26 kwietnia 2007 r.</w:t>
      </w:r>
      <w:r>
        <w:t xml:space="preserve"> </w:t>
      </w:r>
      <w:r w:rsidRPr="00B6783C">
        <w:t>o zarządzaniu kryzysowym (</w:t>
      </w:r>
      <w:r w:rsidRPr="002A3F9C">
        <w:t>Dz.U. 2020 poz. 1856</w:t>
      </w:r>
      <w:r w:rsidRPr="00B6783C">
        <w:t xml:space="preserve">), ustawa o wojewodzie i administracji rządowej w województwie, ustawy o samorządzie wojewódzkim, powiatowym i gminnym, </w:t>
      </w:r>
      <w:r>
        <w:t>oraz</w:t>
      </w:r>
      <w:r w:rsidRPr="00B6783C">
        <w:t xml:space="preserve"> ustawa o obszarach morskich RP i administracji morskiej.</w:t>
      </w:r>
    </w:p>
    <w:p w14:paraId="0619A236" w14:textId="29B6F880" w:rsidR="001B538B" w:rsidRDefault="001B538B" w:rsidP="001B538B">
      <w:pPr>
        <w:pStyle w:val="ReportText"/>
        <w:jc w:val="both"/>
      </w:pPr>
      <w:r w:rsidRPr="00EA67AF">
        <w:t>Poniżej opisano rolę głównych instytucji zaangażowanych w ochronę przed powodzią w</w:t>
      </w:r>
      <w:r w:rsidR="00243F98">
        <w:t> </w:t>
      </w:r>
      <w:r w:rsidRPr="00EA67AF">
        <w:t xml:space="preserve">kraju (stan prawny na </w:t>
      </w:r>
      <w:r>
        <w:t>20</w:t>
      </w:r>
      <w:r w:rsidRPr="00EA67AF">
        <w:t>.</w:t>
      </w:r>
      <w:r>
        <w:t>08</w:t>
      </w:r>
      <w:r w:rsidRPr="00EA67AF">
        <w:t xml:space="preserve">.2020 r.). </w:t>
      </w:r>
    </w:p>
    <w:p w14:paraId="20709762" w14:textId="77777777" w:rsidR="001B538B" w:rsidRPr="00B15681" w:rsidRDefault="001B538B" w:rsidP="001B538B">
      <w:pPr>
        <w:pStyle w:val="ReportText"/>
        <w:spacing w:before="120"/>
        <w:jc w:val="both"/>
        <w:rPr>
          <w:b/>
          <w:bCs/>
        </w:rPr>
      </w:pPr>
      <w:r w:rsidRPr="00B15681">
        <w:rPr>
          <w:b/>
          <w:bCs/>
        </w:rPr>
        <w:t xml:space="preserve">Rada Ministrów </w:t>
      </w:r>
    </w:p>
    <w:p w14:paraId="1A6C530F" w14:textId="0F639831" w:rsidR="001B538B" w:rsidRDefault="001B538B" w:rsidP="001B538B">
      <w:pPr>
        <w:pStyle w:val="ReportText"/>
        <w:jc w:val="both"/>
      </w:pPr>
      <w:r w:rsidRPr="00EA67AF">
        <w:t>Na podstawie Art. 7. ustawy z dnia 26 kwietnia 2007 r. o zarządzaniu kryzysowym (Dz.U. 2020 poz. 1856), Rada Ministrów sprawuje zarządzanie kryzysowe na terytorium Rzeczypospolitej Polskiej. w przypadkach niecierpiących zwłoki zarządzanie kryzysowe sprawuje minister właściwy do spraw wewnętrznych, zawiadamiając niezwłocznie o</w:t>
      </w:r>
      <w:r w:rsidR="00243F98">
        <w:t> </w:t>
      </w:r>
      <w:r w:rsidRPr="00EA67AF">
        <w:t>swoich działaniach Prezesa Rady Ministrów. Decyzje podjęte przez ministra podlegają rozpatrzeniu na najbliższym posiedzeniu Rady Ministrów. Prezesowi Rady Ministrów podlega Rządowe Centrum Bezpieczeństwa</w:t>
      </w:r>
      <w:r>
        <w:t xml:space="preserve"> (Art. 10)</w:t>
      </w:r>
      <w:r w:rsidRPr="00EA67AF">
        <w:t xml:space="preserve">. </w:t>
      </w:r>
    </w:p>
    <w:p w14:paraId="48BB32BA" w14:textId="77777777" w:rsidR="001B538B" w:rsidRPr="00B31864" w:rsidRDefault="001B538B" w:rsidP="001B538B">
      <w:pPr>
        <w:pStyle w:val="ReportText"/>
        <w:spacing w:before="120"/>
        <w:jc w:val="both"/>
        <w:rPr>
          <w:b/>
          <w:bCs/>
        </w:rPr>
      </w:pPr>
      <w:r w:rsidRPr="00B31864">
        <w:rPr>
          <w:b/>
          <w:bCs/>
        </w:rPr>
        <w:t xml:space="preserve">Minister właściwy do spraw gospodarki wodnej </w:t>
      </w:r>
    </w:p>
    <w:p w14:paraId="5095DFF6" w14:textId="0963D3F8" w:rsidR="001B538B" w:rsidRDefault="001B538B" w:rsidP="001B538B">
      <w:pPr>
        <w:pStyle w:val="ReportText"/>
        <w:jc w:val="both"/>
      </w:pPr>
      <w:r w:rsidRPr="00EA67AF">
        <w:t>Sprawuje kontrolę nad działalnością Prezesa Państwowego Gospodarstwa Wodnego Wody Polskie. w zakresie planowania w ochronie przeciwpowodziowej realizuje wskazane poniżej zadania. Minister zatwierdza i przekazuje do publicznej wiadomości oraz udostępnia Komisji Europejskiej wstępną ocenę ryzyka powodziowego i jej przeglądy. Do kompetencji Ministra należy również zatwierdzanie projektów map zagrożenia powodziowego i map ryzyka powodziowego. Są one następnie przekazywane w postaci elektronicznej Głównemu Geodecie Kraju, właściwemu organowi Inspekcji Ochrony Środowiska, dyrektorowi Rządowego Centrum Bezpieczeństwa, Wodom Polskim, Komendantowi Głównemu Państwowej Straży Pożarnej, właściwym wojewodom, właściwym marszałkom województw, właściwym starostom, właściwym wójtom, burmistrzom lub prezydentom miast, właściwym komendantom wojewódzkim i</w:t>
      </w:r>
      <w:r w:rsidR="00243F98">
        <w:t> </w:t>
      </w:r>
      <w:r w:rsidRPr="00EA67AF">
        <w:t xml:space="preserve">powiatowym (miejskim) Państwowej Straży Pożarnej, właściwym dyrektorom urzędów żeglugi śródlądowej oraz właściwym dyrektorom urzędów morskich, właściwym zarządcom infrastruktury kolejowej oraz właściwym zarządcom dróg publicznych. Minister podaje do publicznej wiadomości mapy zagrożenia powodziowego i mapy ryzyka powodziowego przez ich umieszczenie na stronie podmiotowej Biuletynu Informacji Publicznej ministerstwa. Ponadto Minister właściwy do spraw gospodarki wodnej, zapewniając aktywny udział wszystkich zainteresowanych w osiągnięciu celów zarządzania ryzykiem powodziowym, w szczególności w przygotowywaniu, przeglądzie oraz aktualizacji planów zarządzania ryzykiem powodziowym, podaje do publicznej </w:t>
      </w:r>
      <w:r w:rsidRPr="00EA67AF">
        <w:lastRenderedPageBreak/>
        <w:t>wiadomości, na zasadach i w trybie określonych w przepisach ustawy z dnia 3</w:t>
      </w:r>
      <w:r w:rsidR="00243F98">
        <w:t> </w:t>
      </w:r>
      <w:r w:rsidRPr="00EA67AF">
        <w:t>października 2008 r. o udostępnianiu informacji o środowisku i jego ochronie, udziale społeczeństwa w ochronie środowiska oraz o ocenach oddziaływania na środowisko, w</w:t>
      </w:r>
      <w:r w:rsidR="00243F98">
        <w:t> </w:t>
      </w:r>
      <w:r w:rsidRPr="00EA67AF">
        <w:t xml:space="preserve">celu zgłoszenia uwag, projekty planów zarządzania ryzykiem powodziowym co najmniej na rok przed rozpoczęciem okresu, którego dotyczą te plany. Minister w drodze rozporządzenia, przyjmuje plany zarządzania ryzykiem powodziowym oraz ich aktualizacje, kierując się koniecznością zapewnienia skutecznej ochrony przed powodzią. Minister udostępnia plany zarządzania ryzykiem powodziowym Komisji Europejskiej. </w:t>
      </w:r>
    </w:p>
    <w:p w14:paraId="20BDCAC5" w14:textId="77777777" w:rsidR="001B538B" w:rsidRPr="00B31864" w:rsidRDefault="001B538B" w:rsidP="001B538B">
      <w:pPr>
        <w:pStyle w:val="ReportText"/>
        <w:spacing w:before="120"/>
        <w:jc w:val="both"/>
        <w:rPr>
          <w:b/>
          <w:bCs/>
        </w:rPr>
      </w:pPr>
      <w:r w:rsidRPr="00B31864">
        <w:rPr>
          <w:b/>
          <w:bCs/>
        </w:rPr>
        <w:t xml:space="preserve">Minister właściwy do spraw wewnętrznych </w:t>
      </w:r>
    </w:p>
    <w:p w14:paraId="2C189859" w14:textId="77777777" w:rsidR="001B538B" w:rsidRPr="00B6783C" w:rsidRDefault="001B538B" w:rsidP="001B538B">
      <w:pPr>
        <w:pStyle w:val="ReportText"/>
        <w:spacing w:before="0" w:after="120"/>
        <w:jc w:val="both"/>
      </w:pPr>
      <w:r>
        <w:t>W jego kompetencjach leży m.in.</w:t>
      </w:r>
      <w:r w:rsidRPr="00B6783C">
        <w:t xml:space="preserve"> zarządzanie kryzysowe. </w:t>
      </w:r>
      <w:r>
        <w:t>Ministrowi podlegają:</w:t>
      </w:r>
      <w:r w:rsidRPr="00B6783C">
        <w:t xml:space="preserve"> Szef Obrony Cywilnej Kraju, Komendant Główn</w:t>
      </w:r>
      <w:r>
        <w:t>y</w:t>
      </w:r>
      <w:r w:rsidRPr="00B6783C">
        <w:t xml:space="preserve"> Państwowej Straży Pożarnej, Komendant Główn</w:t>
      </w:r>
      <w:r>
        <w:t>y</w:t>
      </w:r>
      <w:r w:rsidRPr="00B6783C">
        <w:t xml:space="preserve"> Policji i Komendant Główn</w:t>
      </w:r>
      <w:r>
        <w:t>y</w:t>
      </w:r>
      <w:r w:rsidRPr="00B6783C">
        <w:t xml:space="preserve"> Straży Granicznej. </w:t>
      </w:r>
      <w:r>
        <w:t>Minister z</w:t>
      </w:r>
      <w:r w:rsidRPr="00B6783C">
        <w:t xml:space="preserve">ajmuje się </w:t>
      </w:r>
      <w:r>
        <w:t xml:space="preserve">oceną </w:t>
      </w:r>
      <w:r w:rsidRPr="00B6783C">
        <w:t xml:space="preserve">bieżącą </w:t>
      </w:r>
      <w:r>
        <w:t xml:space="preserve">zagrożeń </w:t>
      </w:r>
      <w:r w:rsidRPr="00B6783C">
        <w:t xml:space="preserve">występujących na terenie kraju, w tym </w:t>
      </w:r>
      <w:r>
        <w:t xml:space="preserve">także </w:t>
      </w:r>
      <w:r w:rsidRPr="00B6783C">
        <w:t>zagrożeniami powodziowymi. Prowadzi sprawy usuwania skutków klęsk żywiołowych</w:t>
      </w:r>
      <w:r>
        <w:t xml:space="preserve"> (m.in.</w:t>
      </w:r>
      <w:r w:rsidRPr="00B6783C">
        <w:t xml:space="preserve"> zbiera informacje o stratach powodziowych</w:t>
      </w:r>
      <w:r>
        <w:t>).</w:t>
      </w:r>
    </w:p>
    <w:p w14:paraId="46994B53" w14:textId="77777777" w:rsidR="001B538B" w:rsidRPr="00B31864" w:rsidRDefault="001B538B" w:rsidP="001B538B">
      <w:pPr>
        <w:pStyle w:val="ReportText"/>
        <w:spacing w:before="120"/>
        <w:jc w:val="both"/>
        <w:rPr>
          <w:b/>
          <w:bCs/>
        </w:rPr>
      </w:pPr>
      <w:r w:rsidRPr="00B31864">
        <w:rPr>
          <w:b/>
          <w:bCs/>
        </w:rPr>
        <w:t>Prezes Wód Polskich</w:t>
      </w:r>
    </w:p>
    <w:p w14:paraId="01EB8373" w14:textId="5082C5C9" w:rsidR="001B538B" w:rsidRDefault="001B538B" w:rsidP="001B538B">
      <w:pPr>
        <w:pStyle w:val="ReportText"/>
        <w:jc w:val="both"/>
      </w:pPr>
      <w:r w:rsidRPr="00EA67AF">
        <w:t>Jest centralnym organem właściwym w sprawach gospodarowania wodami, nadzorowanym przez ministra właściwego do spraw gospodarki wodnej. Zgodnie z art. 163 ust. 2 ustawy Prawo wodne Wody Polskie zapewniają, w zakresie swojej właściwości, ochronę ludności i mienia przed powodzią wywołaną przez wody publiczne stanowiące własność Skarbu Państwa, o których mowa w art. 212 ust. 1 pkt 1 i 3 ustawy. Wody Polskie przygotowują skoordynowane w obszarze dorzeczy transgranicznych: wstępną ocenę ryzyka powodziowego (WORP), mapy zagrożenia powodziowego, mapy ryzyka powodziowego i plany zarządzania ryzykiem powodziowym dla obszarów dorzeczy, a także okresowe przeglądy i aktualizacje wymienionych dokumentów. Nadzorują również planowanie i realizację zadań związanych z utrzymywaniem wód i</w:t>
      </w:r>
      <w:r w:rsidR="00243F98">
        <w:t> </w:t>
      </w:r>
      <w:r w:rsidRPr="00EA67AF">
        <w:t>pozostałego mienia Skarbu Państwa związanego z gospodarką wodną, w tym obwałowań oraz obszaru międzywala, z wyłączeniem śródlądowych dróg wodnych o</w:t>
      </w:r>
      <w:r w:rsidR="00243F98">
        <w:t> </w:t>
      </w:r>
      <w:r w:rsidRPr="00EA67AF">
        <w:t>szczególnym znaczeniu transportowym. Ponadto realizują zadania obronne oraz zadania z zakresu zarządzania kryzysowego przekazane przez ministra właściwego ds. gospodarki wodnej. Prezes Wód Polskich pełni funkcję organu II stopnia w</w:t>
      </w:r>
      <w:r w:rsidR="00243F98">
        <w:t> </w:t>
      </w:r>
      <w:r w:rsidRPr="00EA67AF">
        <w:t xml:space="preserve">postępowaniach administracyjnych zgodnie z KPA, w tym dotyczących planowania na obszarach zagrożenia powodziowego. w ramach Państwowego Gospodarstwa Wodnego Wody Polskie działają następujące jednostki organizacyjne: Krajowy Zarząd Gospodarki Wodnej, regionalne zarządy gospodarki wodnej, zarządy zlewni, nadzory wodne. </w:t>
      </w:r>
    </w:p>
    <w:p w14:paraId="431E9384" w14:textId="77777777" w:rsidR="001B538B" w:rsidRPr="009741F2" w:rsidRDefault="001B538B" w:rsidP="001B538B">
      <w:pPr>
        <w:pStyle w:val="ReportText"/>
        <w:spacing w:before="120"/>
        <w:jc w:val="both"/>
        <w:rPr>
          <w:b/>
          <w:bCs/>
        </w:rPr>
      </w:pPr>
      <w:r w:rsidRPr="009741F2">
        <w:rPr>
          <w:b/>
          <w:bCs/>
        </w:rPr>
        <w:t xml:space="preserve">Dyrektor urzędu morskiego </w:t>
      </w:r>
    </w:p>
    <w:p w14:paraId="070E0667" w14:textId="68F37634" w:rsidR="001B538B" w:rsidRDefault="001B538B" w:rsidP="001B538B">
      <w:pPr>
        <w:pStyle w:val="ReportText"/>
        <w:jc w:val="both"/>
      </w:pPr>
      <w:r w:rsidRPr="00EA67AF">
        <w:t>Jest odpowiedzialny za zabezpieczenie brzegów morskich i ochronę przed powodziami od strony morza, zgodnie z Ustawą z dnia 21 marca 1991 r. o obszarach morskich RP i</w:t>
      </w:r>
      <w:r w:rsidR="00243F98">
        <w:t> </w:t>
      </w:r>
      <w:r w:rsidRPr="00EA67AF">
        <w:t xml:space="preserve">administracji morskiej </w:t>
      </w:r>
      <w:r w:rsidRPr="00B6783C">
        <w:t>(</w:t>
      </w:r>
      <w:r w:rsidRPr="00CB76B2">
        <w:t>Dz.U. z 2021 r. poz. 234</w:t>
      </w:r>
      <w:r w:rsidRPr="00B6783C">
        <w:t xml:space="preserve">), </w:t>
      </w:r>
      <w:r w:rsidRPr="00EA67AF">
        <w:t>w tym m.in. budowę i utrzymanie umocnień brzegowych w obrębie pasa technicznego, nadzoru nad zapewnieniem ochrony przed powodzią od strony wód morskich w tym poprzez budowę, rozbudowę i</w:t>
      </w:r>
      <w:r w:rsidR="00243F98">
        <w:t> </w:t>
      </w:r>
      <w:r w:rsidRPr="00EA67AF">
        <w:t xml:space="preserve">utrzymywanie budowli hydrotechnicznych oraz umocnień brzegowych w pasie technicznym oraz określanie warunków wykorzystania pasa technicznego (m.in. wydawanie pozwoleń na wykorzystanie pasa technicznego do celów innych niż ochronne oraz zwolnień z zakazu zabudowy, a także uzgadnianie decyzji o pozwoleniu na budowę wydawanych przez wojewodę). Ponadto Dyrektor opracowuje projekty map zagrożenia </w:t>
      </w:r>
      <w:r w:rsidRPr="00EA67AF">
        <w:lastRenderedPageBreak/>
        <w:t xml:space="preserve">powodziowego oraz map ryzyka powodziowego od strony morza, w tym morskich wód wewnętrznych i przekazuje do Wód Polskich. </w:t>
      </w:r>
    </w:p>
    <w:p w14:paraId="4018408F" w14:textId="77777777" w:rsidR="001B538B" w:rsidRPr="009741F2" w:rsidRDefault="001B538B" w:rsidP="001B538B">
      <w:pPr>
        <w:pStyle w:val="ReportText"/>
        <w:jc w:val="both"/>
        <w:rPr>
          <w:b/>
          <w:bCs/>
        </w:rPr>
      </w:pPr>
      <w:r w:rsidRPr="009741F2">
        <w:rPr>
          <w:b/>
          <w:bCs/>
        </w:rPr>
        <w:t>Wojewoda</w:t>
      </w:r>
    </w:p>
    <w:p w14:paraId="7D718F0E" w14:textId="479FC948" w:rsidR="001B538B" w:rsidRDefault="001B538B" w:rsidP="001B538B">
      <w:pPr>
        <w:pStyle w:val="ReportText"/>
        <w:jc w:val="both"/>
      </w:pPr>
      <w:r w:rsidRPr="00EA67AF">
        <w:t>Jest odpowiedzialny za działania z zakresu zarządzania kryzysowego bezpośrednio przed, w trakcie powodzi i w fazie powrotu do normalności, w tym dokonuje oceny stanu zabezpieczenia przeciwpowodziowego województwa oraz ogłasza i odwołuje pogotowie i alarm przeciwpowodziowy, także zapewnia współdziałanie wszystkich organów administracji rządowej i samorządowej działających w województwie i kieruje ich działalnością m.in. w zakresie zapobiegania zagrożeniu życia, zdrowia lub mienia, zagrożeniom środowiska oraz zapobiegania klęskom żywiołowym. Zgodnie z ustawą z</w:t>
      </w:r>
      <w:r w:rsidR="00243F98">
        <w:t> </w:t>
      </w:r>
      <w:r w:rsidRPr="00EA67AF">
        <w:t>dnia 23 stycznia 2009 r. o wojewodzie i administracji rządowej w województwie (Dz. U. 2019, poz. 1464) w zakresie planowania w ochronie powodziowej opiniuje projekty wstępnej oceny ryzyka powodziowego, uzgadnia projekty map zagrożenia powodziowego oraz map ryzyka powodziowego oraz uzgadnia projekty planów zarządzania ryzykiem powodziowym sporządzone przez Państwowe Gospodarstwo Wodne Wody Polskie. Uzgadnia również program realizacji zadań związanych z</w:t>
      </w:r>
      <w:r w:rsidR="00243F98">
        <w:t> </w:t>
      </w:r>
      <w:r w:rsidRPr="00EA67AF">
        <w:t>utrzymywaniem wód oraz pozostałego mienia Skarbu Państwa związanego z</w:t>
      </w:r>
      <w:r w:rsidR="00243F98">
        <w:t> </w:t>
      </w:r>
      <w:r w:rsidRPr="00EA67AF">
        <w:t xml:space="preserve">gospodarką wodną oraz planowanych inwestycji w gospodarce wodnej. Uwzględnia obszary szczególnego zagrożenia powodzią w decyzjach o ustaleniu lokalizacji linii kolejowej. </w:t>
      </w:r>
    </w:p>
    <w:p w14:paraId="0889F584" w14:textId="77777777" w:rsidR="001B538B" w:rsidRPr="009741F2" w:rsidRDefault="001B538B" w:rsidP="001B538B">
      <w:pPr>
        <w:pStyle w:val="ReportText"/>
        <w:jc w:val="both"/>
        <w:rPr>
          <w:b/>
          <w:bCs/>
        </w:rPr>
      </w:pPr>
      <w:r w:rsidRPr="009741F2">
        <w:rPr>
          <w:b/>
          <w:bCs/>
        </w:rPr>
        <w:t xml:space="preserve">Marszałek województwa </w:t>
      </w:r>
    </w:p>
    <w:p w14:paraId="2F9C6BF2" w14:textId="77777777" w:rsidR="001B538B" w:rsidRDefault="001B538B" w:rsidP="001B538B">
      <w:pPr>
        <w:pStyle w:val="ReportText"/>
        <w:jc w:val="both"/>
      </w:pPr>
      <w:r w:rsidRPr="00EA67AF">
        <w:t xml:space="preserve">Uwzględnia w planie zagospodarowania przestrzennego województwa oraz strategii rozwoju województwa ustalenia planów zarządzania ryzykiem powodziowym oraz obszary szczególnego zagrożenia powodzią przedstawione na mapach zagrożenia powodziowego oraz na mapach ryzyka powodziowego. Ponadto marszałek województwa sprawuje nadzór nad uwzględnieniem w dokumentach rangi lokalnej (studiach uwarunkowań i kierunków zagospodarowania przestrzennego gmin) kierunków działań związanych z ochroną przeciwpowodziową na terenach położonych poza obszarami szczególnego zagrożenia powodzią. </w:t>
      </w:r>
    </w:p>
    <w:p w14:paraId="1EE5F616" w14:textId="77777777" w:rsidR="001B538B" w:rsidRPr="009741F2" w:rsidRDefault="001B538B" w:rsidP="001B538B">
      <w:pPr>
        <w:pStyle w:val="ReportText"/>
        <w:jc w:val="both"/>
        <w:rPr>
          <w:b/>
          <w:bCs/>
        </w:rPr>
      </w:pPr>
      <w:r w:rsidRPr="009741F2">
        <w:rPr>
          <w:b/>
          <w:bCs/>
        </w:rPr>
        <w:t xml:space="preserve">Starosta </w:t>
      </w:r>
    </w:p>
    <w:p w14:paraId="771E754B" w14:textId="77777777" w:rsidR="001B538B" w:rsidRDefault="001B538B" w:rsidP="001B538B">
      <w:pPr>
        <w:pStyle w:val="ReportText"/>
        <w:jc w:val="both"/>
      </w:pPr>
      <w:r w:rsidRPr="00EA67AF">
        <w:t xml:space="preserve">Jest odpowiedzialny za realizację zadań z zakresu planowania cywilnego m.in. w zakresie realizacji zaleceń do powiatowych planów zarządzania kryzysowego oraz za kierowanie monitorowaniem, planowaniem, reagowaniem i usuwaniem skutków zagrożeń na terenie powiatu zgodnie z Ustawą z dnia 26 kwietnia 2007 r. o zarządzaniu kryzysowym (Dz. U. z 2020 r. poz. 1856). Starosta opracowuje plan operacyjny ochrony przed powodzią oraz ogłasza lub odwołuje pogotowie i alarm przeciwpowodziowy na obszarze starostwa, bądź jego części. </w:t>
      </w:r>
    </w:p>
    <w:p w14:paraId="6686AD23" w14:textId="77777777" w:rsidR="001B538B" w:rsidRPr="009741F2" w:rsidRDefault="001B538B" w:rsidP="001B538B">
      <w:pPr>
        <w:pStyle w:val="ReportText"/>
        <w:jc w:val="both"/>
        <w:rPr>
          <w:b/>
          <w:bCs/>
        </w:rPr>
      </w:pPr>
      <w:r w:rsidRPr="009741F2">
        <w:rPr>
          <w:b/>
          <w:bCs/>
        </w:rPr>
        <w:t xml:space="preserve">Wójt, burmistrz </w:t>
      </w:r>
    </w:p>
    <w:p w14:paraId="57AD1153" w14:textId="6C36DA75" w:rsidR="001B538B" w:rsidRDefault="001B538B" w:rsidP="001B538B">
      <w:pPr>
        <w:pStyle w:val="ReportText"/>
        <w:jc w:val="both"/>
      </w:pPr>
      <w:r w:rsidRPr="00EA67AF">
        <w:t xml:space="preserve">Jest odpowiedzialny za opracowanie planów zarządzania kryzysowego i planów operacyjnych ochrony przed powodzią oraz za działania z zakresu zarządzania kryzysowego bezpośrednio przed, w trakcie powodzi i w fazie powrotu do normalności Opracowuje plan operacyjny ochrony przed powodzią oraz ogłasza lub odwołuje pogotowie i alarm przeciwpowodziowy w zakresie obszaru gminy, miasta bądź ich części. Jest odpowiedzialny za uwzględnienie obszarów szczególnego zagrożenia powodzią w miejscowym planie zagospodarowania przestrzennego, decyzjach </w:t>
      </w:r>
      <w:r w:rsidRPr="00EA67AF">
        <w:lastRenderedPageBreak/>
        <w:t>o</w:t>
      </w:r>
      <w:r w:rsidR="00243F98">
        <w:t> </w:t>
      </w:r>
      <w:r w:rsidRPr="00EA67AF">
        <w:t>ustaleniu lokalizacji inwestycji celu publicznego lub decyzjach o warunkach zabudowy, a także gminnych programach rewitalizacji. Uwzględnia w studium uwarunkowań i</w:t>
      </w:r>
      <w:r w:rsidR="00243F98">
        <w:t> </w:t>
      </w:r>
      <w:r w:rsidRPr="00EA67AF">
        <w:t xml:space="preserve">kierunków zagospodarowania przestrzennego gminy ustalenia planów zarządzania ryzykiem powodziowym oraz obszary szczególnego zagrożenia powodzią. </w:t>
      </w:r>
    </w:p>
    <w:p w14:paraId="257E6F6D" w14:textId="77777777" w:rsidR="001B538B" w:rsidRDefault="001B538B" w:rsidP="001B538B">
      <w:pPr>
        <w:pStyle w:val="ReportText"/>
        <w:jc w:val="both"/>
      </w:pPr>
      <w:r w:rsidRPr="00EA67AF">
        <w:t xml:space="preserve">Państwowa Służba Hydrologiczno-Meteorologiczna (PSHM) </w:t>
      </w:r>
    </w:p>
    <w:p w14:paraId="7E856D01" w14:textId="77777777" w:rsidR="001B538B" w:rsidRPr="00EA67AF" w:rsidRDefault="001B538B" w:rsidP="001B538B">
      <w:pPr>
        <w:pStyle w:val="ReportText"/>
        <w:jc w:val="both"/>
      </w:pPr>
      <w:r w:rsidRPr="00EA67AF">
        <w:t>Uzupełnieniem wykazu struktur instytucjonalnych jest Państwowa Służba Hydrologiczno</w:t>
      </w:r>
      <w:r>
        <w:t>-</w:t>
      </w:r>
      <w:r w:rsidRPr="00EA67AF">
        <w:t>Meteorologiczna. Zgodnie z art. 370 ustawy Prawo wodne pełni ją Instytut Meteorologii i Gospodarki Wodnej – Państwowy Instytut Badawczy. Zadaniem PSHM jest prowadzenie obserwacji meteorologicznych i hydrologicznych, opracowywanie prognoz meteorologicznych i hydrologicznych oraz ostrzeganie przed nadzwyczajnymi zagrożeniami hydrologiczno</w:t>
      </w:r>
      <w:r>
        <w:t>-</w:t>
      </w:r>
      <w:r w:rsidRPr="00EA67AF">
        <w:t>meteorologicznymi. Wymienione wyżej instytucje nie tworzą kompletnej listy jednostek zaangażowanych w zarządzanie ryzykiem powodziowym. Istotną rolę odgrywają w nim również służby sanitarne, medyczne i mundurowe, organizacje pomocowe oraz zagrożeni ludzie i przedsiębiorcy, w których gestii są działania związane z zabezpieczaniem przed powodzią obiektów będących ich własnością oraz przygotowanie i reagowanie na powódź.</w:t>
      </w:r>
    </w:p>
    <w:p w14:paraId="7CCB7EB7" w14:textId="742399E5" w:rsidR="001B538B" w:rsidRDefault="0048499A" w:rsidP="006D41A7">
      <w:pPr>
        <w:pStyle w:val="ReportLevel1"/>
        <w:numPr>
          <w:ilvl w:val="0"/>
          <w:numId w:val="4"/>
        </w:numPr>
      </w:pPr>
      <w:r>
        <w:br w:type="page"/>
      </w:r>
      <w:bookmarkStart w:id="150" w:name="_Toc80608745"/>
      <w:r w:rsidR="001B538B">
        <w:lastRenderedPageBreak/>
        <w:t>Koordynacja prac nad aPZRPM z innymi dokumentami planistycznymi</w:t>
      </w:r>
      <w:bookmarkEnd w:id="150"/>
    </w:p>
    <w:p w14:paraId="0E34276E" w14:textId="46133E02" w:rsidR="0048499A" w:rsidRDefault="00AF7C5E" w:rsidP="00AF7C5E">
      <w:pPr>
        <w:pStyle w:val="ReportLevel2"/>
      </w:pPr>
      <w:bookmarkStart w:id="151" w:name="_Toc80608746"/>
      <w:r>
        <w:t>13.1</w:t>
      </w:r>
      <w:r>
        <w:tab/>
      </w:r>
      <w:r w:rsidR="0048499A">
        <w:t>Koordynacja z II aPGW</w:t>
      </w:r>
      <w:bookmarkEnd w:id="151"/>
    </w:p>
    <w:p w14:paraId="01D96DFF" w14:textId="18D18ABF" w:rsidR="0048499A" w:rsidRDefault="0048499A" w:rsidP="0048499A">
      <w:pPr>
        <w:pStyle w:val="ReportText"/>
        <w:spacing w:before="120" w:after="120"/>
        <w:jc w:val="both"/>
      </w:pPr>
      <w:r>
        <w:t>Równolegle do aPZRPM trwają prace nad opracowaniem II aktualizacji Planów Gospodarowania Wodami na obszarach dorzeczy (II aPGW). Ramowa Dyrektywa Wodna (RDW) stanowi podstawę systemu ochrony wód powierzchniowych a także podziemnych w Polsce oraz w Unii Europejskiej. Kraje członkowskie na mocy RDW zobligowane są do cyklicznego (co 6 lat) opracowania i aktualizacji Planów Gospodarowania Wodami na obszarach dorzeczy. Celem planów jest dążenie do osiągnięcia lub utrzymania co najmniej dobrego stanu jednolitych części wód i</w:t>
      </w:r>
      <w:r w:rsidR="00243F98">
        <w:t> </w:t>
      </w:r>
      <w:r>
        <w:t>ekosystemów od nich zależnych, poprawy stanu zasobów wodnych, poprawy możliwości korzystania z wód, zmniejszenia presji antropogenicznych i ich wpływu na stan wód.</w:t>
      </w:r>
    </w:p>
    <w:p w14:paraId="0D5D8A9C" w14:textId="41D527AC" w:rsidR="0048499A" w:rsidRDefault="0048499A" w:rsidP="0048499A">
      <w:pPr>
        <w:pStyle w:val="ReportText"/>
        <w:spacing w:before="120" w:after="120"/>
        <w:jc w:val="both"/>
      </w:pPr>
      <w:r>
        <w:t>Plany gospodarowania wodami zawierają szereg informacji przyporządkowanych do jednostek planistycznych (jednolite części wód), jednakże w ramach prac aPZRPM w</w:t>
      </w:r>
      <w:r w:rsidR="00243F98">
        <w:t> </w:t>
      </w:r>
      <w:r>
        <w:t>zakresie zapewnienia koordynacji i spójności główna uwaga skupiła się na aspektach związanych z:</w:t>
      </w:r>
    </w:p>
    <w:p w14:paraId="589B3447" w14:textId="77777777" w:rsidR="0048499A" w:rsidRDefault="0048499A" w:rsidP="006D41A7">
      <w:pPr>
        <w:pStyle w:val="ReportText"/>
        <w:numPr>
          <w:ilvl w:val="0"/>
          <w:numId w:val="106"/>
        </w:numPr>
        <w:spacing w:before="120" w:after="120"/>
        <w:ind w:left="567" w:hanging="425"/>
        <w:jc w:val="both"/>
      </w:pPr>
      <w:r>
        <w:t>osiągnięciem celów środowiskowych;</w:t>
      </w:r>
    </w:p>
    <w:p w14:paraId="55315BB6" w14:textId="77777777" w:rsidR="0048499A" w:rsidRDefault="0048499A" w:rsidP="006D41A7">
      <w:pPr>
        <w:pStyle w:val="ReportText"/>
        <w:numPr>
          <w:ilvl w:val="0"/>
          <w:numId w:val="106"/>
        </w:numPr>
        <w:spacing w:before="120" w:after="120"/>
        <w:ind w:left="567" w:hanging="425"/>
        <w:jc w:val="both"/>
      </w:pPr>
      <w:r>
        <w:t>wskazaniem odstępstw od osiągnięcia celów środowiskowych;</w:t>
      </w:r>
    </w:p>
    <w:p w14:paraId="61983FBD" w14:textId="77777777" w:rsidR="0048499A" w:rsidRDefault="0048499A" w:rsidP="006D41A7">
      <w:pPr>
        <w:pStyle w:val="ReportText"/>
        <w:numPr>
          <w:ilvl w:val="0"/>
          <w:numId w:val="106"/>
        </w:numPr>
        <w:spacing w:before="120" w:after="120"/>
        <w:ind w:left="567" w:hanging="425"/>
        <w:jc w:val="both"/>
      </w:pPr>
      <w:r>
        <w:t>wskazania wybranych jednostek planistycznych tworzących rejestr wykazów obszarów chronionych uwzględniający wykaz: obszarów przeznaczonych do ochrony siedlisk lub gatunków, o których mowa w przepisach ustawy z dnia 16 kwietnia 2004 r. o ochronie przyrody, dla których utrzymanie lub poprawa stanu wód jest ważnym czynnikiem w ich ochronie, jednolitych części wód przeznaczonych do poboru wody na potrzeby zaopatrzenia ludności w wodę przeznaczoną do spożycia przez ludzi, jednolitych części wód przeznaczonych do celów rekreacyjnych, w tym kąpieliskowych;</w:t>
      </w:r>
    </w:p>
    <w:p w14:paraId="28D221B5" w14:textId="77777777" w:rsidR="0048499A" w:rsidRDefault="0048499A" w:rsidP="006D41A7">
      <w:pPr>
        <w:pStyle w:val="ReportText"/>
        <w:numPr>
          <w:ilvl w:val="0"/>
          <w:numId w:val="106"/>
        </w:numPr>
        <w:spacing w:before="120" w:after="120"/>
        <w:ind w:left="567" w:hanging="425"/>
        <w:jc w:val="both"/>
      </w:pPr>
      <w:r>
        <w:t>zestawem działań z uwzględnieniem sposobów osiągania ustanawianych celów środowiskowych.</w:t>
      </w:r>
    </w:p>
    <w:p w14:paraId="2063F3BF" w14:textId="77777777" w:rsidR="0048499A" w:rsidRDefault="0048499A" w:rsidP="0048499A">
      <w:pPr>
        <w:pStyle w:val="ReportText"/>
        <w:spacing w:before="120" w:after="120"/>
        <w:jc w:val="both"/>
      </w:pPr>
      <w:r>
        <w:t>Opracowywany dokument był koordynowany z opracowywanym równolegle II aPGW poprzez:</w:t>
      </w:r>
    </w:p>
    <w:p w14:paraId="358ABBCE" w14:textId="77777777" w:rsidR="0048499A" w:rsidRDefault="0048499A" w:rsidP="006D41A7">
      <w:pPr>
        <w:pStyle w:val="ReportText"/>
        <w:numPr>
          <w:ilvl w:val="0"/>
          <w:numId w:val="107"/>
        </w:numPr>
        <w:spacing w:before="120" w:after="120"/>
        <w:ind w:left="567" w:hanging="425"/>
        <w:jc w:val="both"/>
      </w:pPr>
      <w:r>
        <w:t>analizę celów, zagrożeń oraz presji określonych w III cyklu planistycznym dla poszczególnych jednolitych części wód powierzchniowych;</w:t>
      </w:r>
    </w:p>
    <w:p w14:paraId="2653AA60" w14:textId="77777777" w:rsidR="0048499A" w:rsidRDefault="0048499A" w:rsidP="006D41A7">
      <w:pPr>
        <w:pStyle w:val="ReportText"/>
        <w:numPr>
          <w:ilvl w:val="0"/>
          <w:numId w:val="107"/>
        </w:numPr>
        <w:spacing w:before="120" w:after="120"/>
        <w:ind w:left="567" w:hanging="425"/>
        <w:jc w:val="both"/>
      </w:pPr>
      <w:r>
        <w:t>skrupulatne przeprowadzenie oceny środowiskowej działań; rekomendowane po tej ocenie do realizacji działania nie zagrażają osiągnięciu celów środowiskowych wyznaczonych w III cyklu planistycznym.</w:t>
      </w:r>
    </w:p>
    <w:p w14:paraId="72BBE4DC" w14:textId="77777777" w:rsidR="0048499A" w:rsidRDefault="0048499A" w:rsidP="0048499A">
      <w:pPr>
        <w:pStyle w:val="ReportText"/>
        <w:spacing w:before="120" w:after="120"/>
        <w:jc w:val="both"/>
      </w:pPr>
      <w:r>
        <w:t>Reasumując opracowanie aPZRPM koordynowane było z II aPGW w zakresie aktualizowanych w III cyklu planistycznym celów środowiskowych, zagrożeń oraz presji poszczególnych JCWP.</w:t>
      </w:r>
    </w:p>
    <w:p w14:paraId="2D47D0C5" w14:textId="77777777" w:rsidR="0048499A" w:rsidRDefault="0048499A" w:rsidP="0048499A">
      <w:pPr>
        <w:pStyle w:val="ReportText"/>
        <w:spacing w:before="120" w:after="120"/>
        <w:jc w:val="both"/>
      </w:pPr>
      <w:r>
        <w:t>Zgodnie z zapisami ustawy Prawo wodne PGW ustalają działania zmierzające do poprawy lub utrzymania dobrego stanu wód na obszarach dorzeczy. W PGW określa się dwa typy działań: działania podstawowe oraz działania uzupełniające.</w:t>
      </w:r>
    </w:p>
    <w:p w14:paraId="3720F15B" w14:textId="4F35116C" w:rsidR="0048499A" w:rsidRDefault="0048499A" w:rsidP="0048499A">
      <w:pPr>
        <w:pStyle w:val="ReportText"/>
        <w:spacing w:before="120" w:after="120"/>
        <w:jc w:val="both"/>
      </w:pPr>
      <w:r>
        <w:lastRenderedPageBreak/>
        <w:t>Działania podstawowe są ukierunkowane na spełnienie minimalnych wymogów i</w:t>
      </w:r>
      <w:r w:rsidR="00243F98">
        <w:t> </w:t>
      </w:r>
      <w:r>
        <w:t>obejmują:</w:t>
      </w:r>
    </w:p>
    <w:p w14:paraId="05D7F718" w14:textId="454D6667" w:rsidR="0048499A" w:rsidRDefault="0048499A" w:rsidP="006D41A7">
      <w:pPr>
        <w:pStyle w:val="ReportText"/>
        <w:numPr>
          <w:ilvl w:val="0"/>
          <w:numId w:val="98"/>
        </w:numPr>
        <w:spacing w:before="120" w:after="120"/>
        <w:ind w:left="567" w:hanging="425"/>
        <w:jc w:val="both"/>
      </w:pPr>
      <w:r>
        <w:t>działania umożliwiające wdrożenie przepisów dotyczących ochrony wód, w</w:t>
      </w:r>
      <w:r w:rsidR="00243F98">
        <w:t> </w:t>
      </w:r>
      <w:r>
        <w:t>szczególności działania:</w:t>
      </w:r>
    </w:p>
    <w:p w14:paraId="492F0EB0" w14:textId="77777777" w:rsidR="0048499A" w:rsidRDefault="0048499A" w:rsidP="006D41A7">
      <w:pPr>
        <w:pStyle w:val="ReportText"/>
        <w:numPr>
          <w:ilvl w:val="0"/>
          <w:numId w:val="97"/>
        </w:numPr>
        <w:spacing w:before="120" w:after="120"/>
        <w:ind w:left="1134" w:hanging="283"/>
        <w:jc w:val="both"/>
      </w:pPr>
      <w:r>
        <w:t>służące zaspokajaniu obecnych i przyszłych potrzeb wodnych w zakresie zaopatrzenia ludności w wodę przeznaczoną do spożycia przez ludzi;</w:t>
      </w:r>
    </w:p>
    <w:p w14:paraId="2D534DE8" w14:textId="77777777" w:rsidR="0048499A" w:rsidRDefault="0048499A" w:rsidP="006D41A7">
      <w:pPr>
        <w:pStyle w:val="ReportText"/>
        <w:numPr>
          <w:ilvl w:val="0"/>
          <w:numId w:val="97"/>
        </w:numPr>
        <w:spacing w:before="120" w:after="120"/>
        <w:ind w:left="1134" w:hanging="283"/>
        <w:jc w:val="both"/>
      </w:pPr>
      <w:r>
        <w:t>ochronie siedlisk lub gatunków zgodnie z przepisami ustawy z dnia 16 kwietnia 2004 r. o ochronie przyrody;</w:t>
      </w:r>
    </w:p>
    <w:p w14:paraId="6FE07A32" w14:textId="534E9AA0" w:rsidR="0048499A" w:rsidRDefault="0048499A" w:rsidP="006D41A7">
      <w:pPr>
        <w:pStyle w:val="ReportText"/>
        <w:numPr>
          <w:ilvl w:val="0"/>
          <w:numId w:val="97"/>
        </w:numPr>
        <w:spacing w:before="120" w:after="120"/>
        <w:ind w:left="1134" w:hanging="283"/>
        <w:jc w:val="both"/>
      </w:pPr>
      <w:r>
        <w:t>kontroli zagrożeń wypadkami z udziałem substancji niebezpiecznych w</w:t>
      </w:r>
      <w:r w:rsidR="00243F98">
        <w:t> </w:t>
      </w:r>
      <w:r>
        <w:t>rozumieniu przepisów ustawy z dnia 27 kwietnia 2001 r. – Prawo ochrony środowiska;</w:t>
      </w:r>
    </w:p>
    <w:p w14:paraId="11BCC3DB" w14:textId="77777777" w:rsidR="0048499A" w:rsidRDefault="0048499A" w:rsidP="006D41A7">
      <w:pPr>
        <w:pStyle w:val="ReportText"/>
        <w:numPr>
          <w:ilvl w:val="0"/>
          <w:numId w:val="97"/>
        </w:numPr>
        <w:spacing w:before="120" w:after="120"/>
        <w:ind w:left="1134" w:hanging="283"/>
        <w:jc w:val="both"/>
      </w:pPr>
      <w:r>
        <w:t>właściwemu wykorzystaniu osadów ściekowych;</w:t>
      </w:r>
    </w:p>
    <w:p w14:paraId="11B26D6C" w14:textId="77777777" w:rsidR="0048499A" w:rsidRDefault="0048499A" w:rsidP="006D41A7">
      <w:pPr>
        <w:pStyle w:val="ReportText"/>
        <w:numPr>
          <w:ilvl w:val="0"/>
          <w:numId w:val="97"/>
        </w:numPr>
        <w:spacing w:before="120" w:after="120"/>
        <w:ind w:left="1134" w:hanging="283"/>
        <w:jc w:val="both"/>
      </w:pPr>
      <w:r>
        <w:t>zapobieganiu zanieczyszczeniu wód związkami azotu pochodzącymi ze źródeł rolniczych;</w:t>
      </w:r>
    </w:p>
    <w:p w14:paraId="051C78F1" w14:textId="77777777" w:rsidR="0048499A" w:rsidRDefault="0048499A" w:rsidP="006D41A7">
      <w:pPr>
        <w:pStyle w:val="ReportText"/>
        <w:numPr>
          <w:ilvl w:val="0"/>
          <w:numId w:val="97"/>
        </w:numPr>
        <w:spacing w:before="120" w:after="120"/>
        <w:ind w:left="1134" w:hanging="283"/>
        <w:jc w:val="both"/>
      </w:pPr>
      <w:r>
        <w:t>zapewnieniu, żeby nie wystąpił znaczny wzrost stężeń substancji priorytetowych wykazujących tendencję do akumulowania się w osadach lub faunie i florze;</w:t>
      </w:r>
    </w:p>
    <w:p w14:paraId="30586B93" w14:textId="77777777" w:rsidR="0048499A" w:rsidRDefault="0048499A" w:rsidP="006D41A7">
      <w:pPr>
        <w:pStyle w:val="ReportText"/>
        <w:numPr>
          <w:ilvl w:val="0"/>
          <w:numId w:val="98"/>
        </w:numPr>
        <w:spacing w:before="120" w:after="120"/>
        <w:ind w:left="567" w:hanging="425"/>
        <w:jc w:val="both"/>
      </w:pPr>
      <w:r>
        <w:t>działania umożliwiające wdrożenie przepisów dotyczących ochrony wód związane z ocenami oddziaływania przedsięwzięć na środowisko oraz na obszar Natura 2000;</w:t>
      </w:r>
    </w:p>
    <w:p w14:paraId="4B23BED1" w14:textId="77777777" w:rsidR="0048499A" w:rsidRDefault="0048499A" w:rsidP="006D41A7">
      <w:pPr>
        <w:pStyle w:val="ReportText"/>
        <w:numPr>
          <w:ilvl w:val="0"/>
          <w:numId w:val="98"/>
        </w:numPr>
        <w:spacing w:before="120" w:after="120"/>
        <w:ind w:left="567" w:hanging="425"/>
        <w:jc w:val="both"/>
      </w:pPr>
      <w:r>
        <w:t>działania służące wdrożeniu zasady zwrotu kosztów usług wodnych uwzględniającej wkład wniesiony przez użytkowników wód oraz koszty środowiskowe i koszty zasobowe;</w:t>
      </w:r>
    </w:p>
    <w:p w14:paraId="355C3EA7" w14:textId="77777777" w:rsidR="0048499A" w:rsidRDefault="0048499A" w:rsidP="006D41A7">
      <w:pPr>
        <w:pStyle w:val="ReportText"/>
        <w:numPr>
          <w:ilvl w:val="0"/>
          <w:numId w:val="98"/>
        </w:numPr>
        <w:spacing w:before="120" w:after="120"/>
        <w:ind w:left="567" w:hanging="425"/>
        <w:jc w:val="both"/>
      </w:pPr>
      <w:r>
        <w:t>działania służące propagowaniu skutecznego i zrównoważonego korzystania z wody w celu niedopuszczenia do zagrożenia realizacji celów środowiskowych;</w:t>
      </w:r>
    </w:p>
    <w:p w14:paraId="2EDC67A2" w14:textId="77777777" w:rsidR="0048499A" w:rsidRDefault="0048499A" w:rsidP="006D41A7">
      <w:pPr>
        <w:pStyle w:val="ReportText"/>
        <w:numPr>
          <w:ilvl w:val="0"/>
          <w:numId w:val="98"/>
        </w:numPr>
        <w:spacing w:before="120" w:after="120"/>
        <w:ind w:left="567" w:hanging="425"/>
        <w:jc w:val="both"/>
      </w:pPr>
      <w:r>
        <w:t>działania prewencyjne, ochronne i kontrolne, związane z ochroną wód przed zanieczyszczeniami pochodzącymi ze źródeł punktowych i obszarowych;</w:t>
      </w:r>
    </w:p>
    <w:p w14:paraId="588078F5" w14:textId="77777777" w:rsidR="0048499A" w:rsidRDefault="0048499A" w:rsidP="006D41A7">
      <w:pPr>
        <w:pStyle w:val="ReportText"/>
        <w:numPr>
          <w:ilvl w:val="0"/>
          <w:numId w:val="98"/>
        </w:numPr>
        <w:spacing w:before="120" w:after="120"/>
        <w:ind w:left="567" w:hanging="425"/>
        <w:jc w:val="both"/>
      </w:pPr>
      <w:r>
        <w:t>działania uniemożliwiające znaczny wzrost stężeń substancji priorytetowych, określonych w przepisach wydanych na podstawie art. 114, charakteryzujących się zdolnością do akumulacji, w osadach lub organizmach żywych;</w:t>
      </w:r>
    </w:p>
    <w:p w14:paraId="53AD374E" w14:textId="77777777" w:rsidR="0048499A" w:rsidRDefault="0048499A" w:rsidP="006D41A7">
      <w:pPr>
        <w:pStyle w:val="ReportText"/>
        <w:numPr>
          <w:ilvl w:val="0"/>
          <w:numId w:val="98"/>
        </w:numPr>
        <w:spacing w:before="120" w:after="120"/>
        <w:ind w:left="567" w:hanging="425"/>
        <w:jc w:val="both"/>
      </w:pPr>
      <w:r>
        <w:t>działania podejmowane na rzecz optymalizowania zasad kształtowania zasobów wodnych i warunków korzystania z nich, w tym działania na rzecz kontroli poboru wody;</w:t>
      </w:r>
    </w:p>
    <w:p w14:paraId="372F7F2E" w14:textId="6BA20FA8" w:rsidR="0048499A" w:rsidRDefault="0048499A" w:rsidP="006D41A7">
      <w:pPr>
        <w:pStyle w:val="ReportText"/>
        <w:numPr>
          <w:ilvl w:val="0"/>
          <w:numId w:val="98"/>
        </w:numPr>
        <w:spacing w:before="120" w:after="120"/>
        <w:ind w:left="567" w:hanging="425"/>
        <w:jc w:val="both"/>
      </w:pPr>
      <w:r>
        <w:t>ograniczanie poboru wód powierzchniowych i wód podziemnych z</w:t>
      </w:r>
      <w:r w:rsidR="00243F98">
        <w:t> </w:t>
      </w:r>
      <w:r>
        <w:t>uwzględnieniem potrzeby rejestrowania poboru wód powierzchniowych i wód podziemnych oraz rejestrowania ograniczeń poboru;</w:t>
      </w:r>
    </w:p>
    <w:p w14:paraId="342EEB5E" w14:textId="77777777" w:rsidR="0048499A" w:rsidRDefault="0048499A" w:rsidP="006D41A7">
      <w:pPr>
        <w:pStyle w:val="ReportText"/>
        <w:numPr>
          <w:ilvl w:val="0"/>
          <w:numId w:val="98"/>
        </w:numPr>
        <w:spacing w:before="120" w:after="120"/>
        <w:ind w:left="567" w:hanging="425"/>
        <w:jc w:val="both"/>
      </w:pPr>
      <w:r>
        <w:t>ograniczanie sztucznego zasilania wód podziemnych, które jest dopuszczalne tylko przy założeniu, że dokonywany w tym celu pobór wody powierzchniowej lub wody podziemnej nie zagrozi osiągnięciu celów środowiskowych ustalonych dla wód zasilanych lub zasilających;</w:t>
      </w:r>
    </w:p>
    <w:p w14:paraId="07083EF5" w14:textId="77777777" w:rsidR="0048499A" w:rsidRDefault="0048499A" w:rsidP="006D41A7">
      <w:pPr>
        <w:pStyle w:val="ReportText"/>
        <w:numPr>
          <w:ilvl w:val="0"/>
          <w:numId w:val="98"/>
        </w:numPr>
        <w:spacing w:before="120" w:after="120"/>
        <w:ind w:left="567" w:hanging="425"/>
        <w:jc w:val="both"/>
      </w:pPr>
      <w:r>
        <w:t>działania służące eliminowaniu lub ograniczaniu zanieczyszczeń ze źródeł obszarowych, w tym stanowienie przepisów prawa powszechnie obowiązującego;</w:t>
      </w:r>
    </w:p>
    <w:p w14:paraId="6263ED42" w14:textId="77777777" w:rsidR="0048499A" w:rsidRDefault="0048499A" w:rsidP="006D41A7">
      <w:pPr>
        <w:pStyle w:val="ReportText"/>
        <w:numPr>
          <w:ilvl w:val="0"/>
          <w:numId w:val="98"/>
        </w:numPr>
        <w:spacing w:before="120" w:after="120"/>
        <w:ind w:left="567" w:hanging="425"/>
        <w:jc w:val="both"/>
      </w:pPr>
      <w:r>
        <w:t xml:space="preserve">działania służące temu, aby znaczące oddziaływania na stan wód, nieobjęte działaniami wymienionymi w pkt 1–10, zostały poprzedzone przedsięwzięciami </w:t>
      </w:r>
      <w:r>
        <w:lastRenderedPageBreak/>
        <w:t>zapewniającymi utrzymanie warunków hydromorfologicznych jednolitych części wód na takim poziomie, który umożliwi osiągnięcie wymaganego stanu ekologicznego lub dobrego potencjału ekologicznego, w przypadku sztucznych lub silnie zmienionych jednolitych części wód, z zachowaniem zasady zrównoważonego rozwoju;</w:t>
      </w:r>
    </w:p>
    <w:p w14:paraId="2E91D5EB" w14:textId="77777777" w:rsidR="0048499A" w:rsidRDefault="0048499A" w:rsidP="006D41A7">
      <w:pPr>
        <w:pStyle w:val="ReportText"/>
        <w:numPr>
          <w:ilvl w:val="0"/>
          <w:numId w:val="98"/>
        </w:numPr>
        <w:spacing w:before="120" w:after="120"/>
        <w:ind w:left="567" w:hanging="425"/>
        <w:jc w:val="both"/>
      </w:pPr>
      <w:r>
        <w:t>niewprowadzanie zanieczyszczeń bezpośrednio do wód podziemnych, rozumiane jako wprowadzanie w inny sposób niż przez przesiąkanie przez glebę i podglebie, z zastrzeżeniem wyjątków określonych w odrębnych przepisach, o ile nie zagrożą one osiągnięciu celów środowiskowych dla jednolitych części wód podziemnych;</w:t>
      </w:r>
    </w:p>
    <w:p w14:paraId="2BC86327" w14:textId="77777777" w:rsidR="0048499A" w:rsidRDefault="0048499A" w:rsidP="006D41A7">
      <w:pPr>
        <w:pStyle w:val="ReportText"/>
        <w:numPr>
          <w:ilvl w:val="0"/>
          <w:numId w:val="98"/>
        </w:numPr>
        <w:spacing w:before="120" w:after="120"/>
        <w:ind w:left="567" w:hanging="425"/>
        <w:jc w:val="both"/>
      </w:pPr>
      <w:r>
        <w:t>działania służące eliminowaniu substancji priorytetowych z wód powierzchniowych oraz stopniowemu ograniczaniu innych zanieczyszczeń, jeżeli mogłyby one zagrozić osiągnięciu celów środowiskowych ustalonych dla tych wód;</w:t>
      </w:r>
    </w:p>
    <w:p w14:paraId="41908D49" w14:textId="77777777" w:rsidR="0048499A" w:rsidRDefault="0048499A" w:rsidP="006D41A7">
      <w:pPr>
        <w:pStyle w:val="ReportText"/>
        <w:numPr>
          <w:ilvl w:val="0"/>
          <w:numId w:val="98"/>
        </w:numPr>
        <w:spacing w:before="120" w:after="120"/>
        <w:ind w:left="567" w:hanging="425"/>
        <w:jc w:val="both"/>
      </w:pPr>
      <w:r>
        <w:t>działania zapobiegające uwalnianiu w znaczących ilościach substancji szczególnie szkodliwych dla środowiska wodnego z instalacji technicznych, a także służące zapobieganiu lub łagodzeniu skutków zanieczyszczeń niedających się przewidzieć, w tym przez stosowanie systemów wczesnego ostrzegania, a w przypadku zaistnienia niedających się przewidzieć okoliczności niezbędne środki dla zredukowania zagrożeń dla ekosystemów wodnych.</w:t>
      </w:r>
    </w:p>
    <w:p w14:paraId="6188F33F" w14:textId="74464DAD" w:rsidR="0048499A" w:rsidRDefault="0048499A" w:rsidP="0048499A">
      <w:pPr>
        <w:pStyle w:val="ReportText"/>
        <w:spacing w:before="120" w:after="120"/>
        <w:jc w:val="both"/>
      </w:pPr>
      <w:r>
        <w:t>Należy również pamiętać, że realizacja działań podstawowych nie powinna powodować wzrostu zanieczyszczenia wód morskich, przyczyniać się bezpośrednio ani pośrednio do wzrostu zanieczyszczenia śródlądowych wód powierzchniowych, chyba że byłoby to z</w:t>
      </w:r>
      <w:r w:rsidR="001224FB">
        <w:t> </w:t>
      </w:r>
      <w:r>
        <w:t>korzyścią dla środowiska jako całości.</w:t>
      </w:r>
    </w:p>
    <w:p w14:paraId="5DE8ADE6" w14:textId="77777777" w:rsidR="0048499A" w:rsidRDefault="0048499A" w:rsidP="0048499A">
      <w:pPr>
        <w:pStyle w:val="ReportText"/>
        <w:spacing w:before="120" w:after="120"/>
        <w:jc w:val="both"/>
      </w:pPr>
      <w:r>
        <w:t>Działania uzupełniające działania podstawowe są ukierunkowane w szczególności na osiągnięcie celów środowiskowych i mogą wskazywać:</w:t>
      </w:r>
    </w:p>
    <w:p w14:paraId="42642D9E" w14:textId="77777777" w:rsidR="0048499A" w:rsidRDefault="0048499A" w:rsidP="006D41A7">
      <w:pPr>
        <w:pStyle w:val="ReportText"/>
        <w:numPr>
          <w:ilvl w:val="0"/>
          <w:numId w:val="99"/>
        </w:numPr>
        <w:spacing w:before="120" w:after="120"/>
        <w:ind w:left="567" w:hanging="425"/>
        <w:jc w:val="both"/>
      </w:pPr>
      <w:r>
        <w:t>środki prawne, administracyjne i ekonomiczne niezbędne do zapewnienia optymalnego wdrożenia przyjętych działań;</w:t>
      </w:r>
    </w:p>
    <w:p w14:paraId="1836D0CE" w14:textId="77777777" w:rsidR="0048499A" w:rsidRDefault="0048499A" w:rsidP="006D41A7">
      <w:pPr>
        <w:pStyle w:val="ReportText"/>
        <w:numPr>
          <w:ilvl w:val="0"/>
          <w:numId w:val="99"/>
        </w:numPr>
        <w:spacing w:before="120" w:after="120"/>
        <w:ind w:left="567" w:hanging="425"/>
        <w:jc w:val="both"/>
      </w:pPr>
      <w:r>
        <w:t>wynegocjowane porozumienia dotyczące korzystania ze środowiska;</w:t>
      </w:r>
    </w:p>
    <w:p w14:paraId="09F5307A" w14:textId="77777777" w:rsidR="0048499A" w:rsidRDefault="0048499A" w:rsidP="006D41A7">
      <w:pPr>
        <w:pStyle w:val="ReportText"/>
        <w:numPr>
          <w:ilvl w:val="0"/>
          <w:numId w:val="99"/>
        </w:numPr>
        <w:spacing w:before="120" w:after="120"/>
        <w:ind w:left="567" w:hanging="425"/>
        <w:jc w:val="both"/>
      </w:pPr>
      <w:r>
        <w:t>działania na rzecz ograniczenia emisji;</w:t>
      </w:r>
    </w:p>
    <w:p w14:paraId="1E51704B" w14:textId="77777777" w:rsidR="0048499A" w:rsidRDefault="0048499A" w:rsidP="006D41A7">
      <w:pPr>
        <w:pStyle w:val="ReportText"/>
        <w:numPr>
          <w:ilvl w:val="0"/>
          <w:numId w:val="99"/>
        </w:numPr>
        <w:spacing w:before="120" w:after="120"/>
        <w:ind w:left="567" w:hanging="425"/>
        <w:jc w:val="both"/>
      </w:pPr>
      <w:r>
        <w:t>zasady dobrej praktyki;</w:t>
      </w:r>
    </w:p>
    <w:p w14:paraId="354DBB06" w14:textId="77777777" w:rsidR="0048499A" w:rsidRDefault="0048499A" w:rsidP="006D41A7">
      <w:pPr>
        <w:pStyle w:val="ReportText"/>
        <w:numPr>
          <w:ilvl w:val="0"/>
          <w:numId w:val="99"/>
        </w:numPr>
        <w:spacing w:before="120" w:after="120"/>
        <w:ind w:left="567" w:hanging="425"/>
        <w:jc w:val="both"/>
      </w:pPr>
      <w:r>
        <w:t>przywracanie i tworzenie terenów podmokłych;</w:t>
      </w:r>
    </w:p>
    <w:p w14:paraId="020C9D7D" w14:textId="77777777" w:rsidR="0048499A" w:rsidRDefault="0048499A" w:rsidP="006D41A7">
      <w:pPr>
        <w:pStyle w:val="ReportText"/>
        <w:numPr>
          <w:ilvl w:val="0"/>
          <w:numId w:val="99"/>
        </w:numPr>
        <w:spacing w:before="120" w:after="120"/>
        <w:ind w:left="567" w:hanging="425"/>
        <w:jc w:val="both"/>
      </w:pPr>
      <w:r>
        <w:t>działania służące efektywnemu korzystaniu z wody i ponownemu jej wykorzystaniu, przede wszystkim promowanie technologii polegających na efektywnym wykorzystaniu wody w przemyśle i oszczędzających wodę technik nawadniania;</w:t>
      </w:r>
    </w:p>
    <w:p w14:paraId="390282C0" w14:textId="77777777" w:rsidR="0048499A" w:rsidRDefault="0048499A" w:rsidP="006D41A7">
      <w:pPr>
        <w:pStyle w:val="ReportText"/>
        <w:numPr>
          <w:ilvl w:val="0"/>
          <w:numId w:val="99"/>
        </w:numPr>
        <w:spacing w:before="120" w:after="120"/>
        <w:ind w:left="567" w:hanging="425"/>
        <w:jc w:val="both"/>
      </w:pPr>
      <w:r>
        <w:t>przedsięwzięcia techniczne, badawcze, rozwojowe, demonstracyjne i edukacyjne.</w:t>
      </w:r>
    </w:p>
    <w:p w14:paraId="305EDE63" w14:textId="77777777" w:rsidR="0048499A" w:rsidRDefault="0048499A" w:rsidP="006D41A7">
      <w:pPr>
        <w:pStyle w:val="ReportText"/>
        <w:numPr>
          <w:ilvl w:val="0"/>
          <w:numId w:val="108"/>
        </w:numPr>
        <w:spacing w:before="120" w:after="120"/>
        <w:ind w:left="567" w:hanging="425"/>
        <w:jc w:val="both"/>
      </w:pPr>
      <w:r>
        <w:t>Cele środowiskowe w Planach Gospodarowania Wodami określa się dla:</w:t>
      </w:r>
    </w:p>
    <w:p w14:paraId="42865641" w14:textId="77777777" w:rsidR="0048499A" w:rsidRDefault="0048499A" w:rsidP="006D41A7">
      <w:pPr>
        <w:pStyle w:val="ReportText"/>
        <w:numPr>
          <w:ilvl w:val="0"/>
          <w:numId w:val="108"/>
        </w:numPr>
        <w:spacing w:before="120" w:after="120"/>
        <w:ind w:left="567" w:hanging="425"/>
        <w:jc w:val="both"/>
      </w:pPr>
      <w:r>
        <w:t>jednolitych części wód powierzchniowych niewyznaczonych jako sztuczne lub silnie zmienione;</w:t>
      </w:r>
    </w:p>
    <w:p w14:paraId="36A7D0BC" w14:textId="77777777" w:rsidR="0048499A" w:rsidRDefault="0048499A" w:rsidP="006D41A7">
      <w:pPr>
        <w:pStyle w:val="ReportText"/>
        <w:numPr>
          <w:ilvl w:val="0"/>
          <w:numId w:val="108"/>
        </w:numPr>
        <w:spacing w:before="120" w:after="120"/>
        <w:ind w:left="567" w:hanging="425"/>
        <w:jc w:val="both"/>
      </w:pPr>
      <w:r>
        <w:t>sztucznych i silnie zmienionych jednolitych części wód powierzchniowych;</w:t>
      </w:r>
    </w:p>
    <w:p w14:paraId="5EFF7CF5" w14:textId="77777777" w:rsidR="0048499A" w:rsidRDefault="0048499A" w:rsidP="006D41A7">
      <w:pPr>
        <w:pStyle w:val="ReportText"/>
        <w:numPr>
          <w:ilvl w:val="0"/>
          <w:numId w:val="108"/>
        </w:numPr>
        <w:spacing w:before="120" w:after="120"/>
        <w:ind w:left="567" w:hanging="425"/>
        <w:jc w:val="both"/>
      </w:pPr>
      <w:r>
        <w:t>jednolitych części wód podziemnych;</w:t>
      </w:r>
    </w:p>
    <w:p w14:paraId="0A69B9D8" w14:textId="77777777" w:rsidR="0048499A" w:rsidRDefault="0048499A" w:rsidP="006D41A7">
      <w:pPr>
        <w:pStyle w:val="ReportText"/>
        <w:numPr>
          <w:ilvl w:val="0"/>
          <w:numId w:val="108"/>
        </w:numPr>
        <w:spacing w:before="120" w:after="120"/>
        <w:ind w:left="567" w:hanging="425"/>
        <w:jc w:val="both"/>
      </w:pPr>
      <w:r>
        <w:t>obszarów chronionych.</w:t>
      </w:r>
    </w:p>
    <w:p w14:paraId="150B4A18" w14:textId="77777777" w:rsidR="0048499A" w:rsidRDefault="0048499A" w:rsidP="006D41A7">
      <w:pPr>
        <w:pStyle w:val="ReportText"/>
        <w:numPr>
          <w:ilvl w:val="0"/>
          <w:numId w:val="108"/>
        </w:numPr>
        <w:spacing w:before="120" w:after="120"/>
        <w:ind w:left="567" w:hanging="425"/>
        <w:jc w:val="both"/>
      </w:pPr>
      <w:r>
        <w:lastRenderedPageBreak/>
        <w:t>W myśl art. 56 i 57 ustawy Prawo wodne, celem środowiskowym dla jednolitych części wód powierzchniowych (JCWP):</w:t>
      </w:r>
    </w:p>
    <w:p w14:paraId="6D263E27" w14:textId="77777777" w:rsidR="0048499A" w:rsidRDefault="0048499A" w:rsidP="006D41A7">
      <w:pPr>
        <w:pStyle w:val="ReportText"/>
        <w:numPr>
          <w:ilvl w:val="0"/>
          <w:numId w:val="108"/>
        </w:numPr>
        <w:spacing w:before="120" w:after="120"/>
        <w:ind w:left="567" w:hanging="425"/>
        <w:jc w:val="both"/>
      </w:pPr>
      <w:r>
        <w:t>„niewyznaczonych jako sztuczne lub silnie zmienione jest ochrona oraz poprawa ich stanu ekologicznego i stanu chemicznego, tak aby osiągnąć co najmniej dobry stan ekologiczny i dobry stan chemiczny wód powierzchniowych, a także zapobieganie pogorszeniu ich stanu ekologicznego i stanu chemicznego”;</w:t>
      </w:r>
    </w:p>
    <w:p w14:paraId="6F2B4A49" w14:textId="27DA147F" w:rsidR="0048499A" w:rsidRDefault="0048499A" w:rsidP="006D41A7">
      <w:pPr>
        <w:pStyle w:val="ReportText"/>
        <w:numPr>
          <w:ilvl w:val="0"/>
          <w:numId w:val="108"/>
        </w:numPr>
        <w:spacing w:before="120" w:after="120"/>
        <w:ind w:left="567" w:hanging="425"/>
        <w:jc w:val="both"/>
      </w:pPr>
      <w:r>
        <w:t>„dla sztucznych i silnie zmienionych JCWP jest ochrona tych wód oraz poprawa ich potencjału ekologicznego i stanu chemicznego, tak aby osiągnąć co najmniej dobry potencjał ekologiczny i dobry stan chemiczny wód powierzchniowych, a</w:t>
      </w:r>
      <w:r w:rsidR="001224FB">
        <w:t> </w:t>
      </w:r>
      <w:r>
        <w:t>także zapobieganie pogorszeniu ich potencjału ekologicznego oraz stanu chemicznego”.</w:t>
      </w:r>
    </w:p>
    <w:p w14:paraId="6ACDD6EA" w14:textId="62F215A0" w:rsidR="0048499A" w:rsidRDefault="0048499A" w:rsidP="0048499A">
      <w:pPr>
        <w:pStyle w:val="ReportText"/>
        <w:spacing w:before="120" w:after="120"/>
        <w:jc w:val="both"/>
      </w:pPr>
      <w:r>
        <w:t>Zgodnie z ustawą Prawo wodne ochronę przed powodzią prowadzi się w sposób zapewniający koordynację z działaniami służącymi osiągnięciu celów środowiskowych i</w:t>
      </w:r>
      <w:r w:rsidR="001224FB">
        <w:t> </w:t>
      </w:r>
      <w:r>
        <w:t>ochronie wód, w związku z tym dla potrzeb PZRP przeprowadza się analizę środowiskową przedsięwzięć i wariantów działań, mającą bezpośrednie przełożenie na proces planowania i koordynacji opracowania aktualizacji planów gospodarowania wodami.</w:t>
      </w:r>
    </w:p>
    <w:p w14:paraId="75BACDB5" w14:textId="08E17B12" w:rsidR="0048499A" w:rsidRDefault="0048499A" w:rsidP="0048499A">
      <w:pPr>
        <w:pStyle w:val="ReportText"/>
        <w:spacing w:before="120" w:after="120"/>
        <w:jc w:val="both"/>
      </w:pPr>
      <w:r>
        <w:t>Kluczowym elementem w ramach koordynacji wdrażania Dyrektywy Powodziowej i</w:t>
      </w:r>
      <w:r w:rsidR="001224FB">
        <w:t> </w:t>
      </w:r>
      <w:r>
        <w:t>Ramowej Dyrektywy Wodnej jest zachowanie spójności metodycznej i merytorycznej w opracowaniu analiz środowiskowych we wskazanych dokumentach planistycznych (PZRP i II aPGW).</w:t>
      </w:r>
    </w:p>
    <w:p w14:paraId="1A729EF4" w14:textId="77777777" w:rsidR="0048499A" w:rsidRDefault="0048499A" w:rsidP="0048499A">
      <w:pPr>
        <w:pStyle w:val="ReportText"/>
        <w:spacing w:before="120" w:after="120"/>
        <w:jc w:val="both"/>
      </w:pPr>
      <w:r>
        <w:t>Ponadto w ramach przeprowadzonych na potrzeby aPZRPM analiz środowiskowych zapewniona została spójność z założeniami II aPGW poprzez uwzględnienie:</w:t>
      </w:r>
    </w:p>
    <w:p w14:paraId="3A48B668" w14:textId="77777777" w:rsidR="0048499A" w:rsidRDefault="0048499A" w:rsidP="006D41A7">
      <w:pPr>
        <w:pStyle w:val="ReportText"/>
        <w:numPr>
          <w:ilvl w:val="0"/>
          <w:numId w:val="109"/>
        </w:numPr>
        <w:spacing w:before="120" w:after="120"/>
        <w:ind w:left="567" w:hanging="425"/>
        <w:jc w:val="both"/>
      </w:pPr>
      <w:r>
        <w:t>aktualizacji podziału terytorialnego jednolitych części wód (JCW);</w:t>
      </w:r>
    </w:p>
    <w:p w14:paraId="128A7D5D" w14:textId="77777777" w:rsidR="0048499A" w:rsidRDefault="0048499A" w:rsidP="006D41A7">
      <w:pPr>
        <w:pStyle w:val="ReportText"/>
        <w:numPr>
          <w:ilvl w:val="0"/>
          <w:numId w:val="109"/>
        </w:numPr>
        <w:spacing w:before="120" w:after="120"/>
        <w:ind w:left="567" w:hanging="425"/>
        <w:jc w:val="both"/>
      </w:pPr>
      <w:r>
        <w:t>analizy identyfikacji znaczących oddziaływań antropogenicznych i oceny ich wpływu na stan wód powierzchniowych i podziemnych (Analiza presji);</w:t>
      </w:r>
    </w:p>
    <w:p w14:paraId="65F81A7F" w14:textId="77777777" w:rsidR="0048499A" w:rsidRDefault="0048499A" w:rsidP="006D41A7">
      <w:pPr>
        <w:pStyle w:val="ReportText"/>
        <w:numPr>
          <w:ilvl w:val="0"/>
          <w:numId w:val="109"/>
        </w:numPr>
        <w:spacing w:before="120" w:after="120"/>
        <w:ind w:left="567" w:hanging="425"/>
        <w:jc w:val="both"/>
      </w:pPr>
      <w:r>
        <w:t>aktualizacji celów środowiskowych dla JCW oraz obszarów chronionych;</w:t>
      </w:r>
    </w:p>
    <w:p w14:paraId="7A1D5F70" w14:textId="77777777" w:rsidR="0048499A" w:rsidRDefault="0048499A" w:rsidP="0048499A">
      <w:pPr>
        <w:pStyle w:val="ReportText"/>
        <w:spacing w:before="120" w:after="120"/>
        <w:jc w:val="both"/>
      </w:pPr>
      <w:r>
        <w:t>przeglądu i weryfikacji metodyk wyznaczania silnie zmienionych i sztucznych części wód powierzchniowych wraz ze wstępnym i ostatecznym wyznaczaniem.</w:t>
      </w:r>
    </w:p>
    <w:p w14:paraId="53E33BB4" w14:textId="48CB5932" w:rsidR="0048499A" w:rsidRDefault="0048499A" w:rsidP="0048499A">
      <w:pPr>
        <w:pStyle w:val="ReportText"/>
        <w:spacing w:before="120" w:after="120"/>
        <w:jc w:val="both"/>
      </w:pPr>
      <w:r>
        <w:t>Zgodnie z artykułem 66 ustawy Prawo wodne dopuszczalne są odstępstwa od tej zasady. w myśl tych przepisów dopuszczalne jest nieosiągnięcie dobrego stanu ekologicznego lub dobrego potencjału ekologicznego oraz niezapobieżenie pogorszeniu stanu ekologicznego lub potencjału ekologicznego, jeżeli jest ono skutkiem nowych zmian właściwości fizycznych jednolitych części wód powierzchniowych lub niezapobieżenie pogorszeniu stanu ekologicznego jednolitych części wód powierzchniowych ze stanu bardzo dobrego do dobrego lub niezapobieżenie pogorszeniu potencjału ekologicznego z</w:t>
      </w:r>
      <w:r w:rsidR="001224FB">
        <w:t> </w:t>
      </w:r>
      <w:r>
        <w:t>maksymalnego do dobrego, jeżeli jest ono wynikiem nowych działań człowieka, zgodnych z zasadą zrównoważonego rozwoju i niezbędnych dla rozwoju społeczeństwa.</w:t>
      </w:r>
    </w:p>
    <w:p w14:paraId="0A07FE61" w14:textId="6468D7D5" w:rsidR="0048499A" w:rsidRDefault="001224FB" w:rsidP="00AF7C5E">
      <w:pPr>
        <w:pStyle w:val="ReportLevel2"/>
      </w:pPr>
      <w:r>
        <w:br w:type="column"/>
      </w:r>
      <w:bookmarkStart w:id="152" w:name="_Toc80608747"/>
      <w:r w:rsidR="00AF7C5E">
        <w:lastRenderedPageBreak/>
        <w:t>13.2</w:t>
      </w:r>
      <w:r w:rsidR="00AF7C5E">
        <w:tab/>
      </w:r>
      <w:r w:rsidR="00003CCE">
        <w:t>Koordynacja z</w:t>
      </w:r>
      <w:r w:rsidR="0048499A">
        <w:t xml:space="preserve"> PPSS</w:t>
      </w:r>
      <w:bookmarkEnd w:id="152"/>
    </w:p>
    <w:p w14:paraId="6FB69525" w14:textId="77777777" w:rsidR="0048499A" w:rsidRDefault="0048499A" w:rsidP="0048499A">
      <w:pPr>
        <w:pStyle w:val="ReportText"/>
        <w:spacing w:before="120" w:after="120"/>
        <w:jc w:val="both"/>
      </w:pPr>
      <w:r>
        <w:t>Projekt planu przeciwdziałania skutkom (PPSS) suszy sporządza się na podstawie art. 183-185 ustawy Prawo wodne. Zgodnie z art. 184 ust. 2 ustawy Prawo wodne, plan przeciwdziałania skutkom suszy obejmuje:</w:t>
      </w:r>
    </w:p>
    <w:p w14:paraId="4A849856" w14:textId="77777777" w:rsidR="0048499A" w:rsidRDefault="0048499A" w:rsidP="006D41A7">
      <w:pPr>
        <w:pStyle w:val="ReportText"/>
        <w:numPr>
          <w:ilvl w:val="0"/>
          <w:numId w:val="110"/>
        </w:numPr>
        <w:spacing w:before="120" w:after="120"/>
        <w:ind w:left="567" w:hanging="425"/>
        <w:jc w:val="both"/>
      </w:pPr>
      <w:r>
        <w:t>analizę możliwości powiększenia dyspozycyjnych zasobów wodnych;</w:t>
      </w:r>
    </w:p>
    <w:p w14:paraId="5BD50AA9" w14:textId="77777777" w:rsidR="0048499A" w:rsidRDefault="0048499A" w:rsidP="006D41A7">
      <w:pPr>
        <w:pStyle w:val="ReportText"/>
        <w:numPr>
          <w:ilvl w:val="0"/>
          <w:numId w:val="110"/>
        </w:numPr>
        <w:spacing w:before="120" w:after="120"/>
        <w:ind w:left="567" w:hanging="425"/>
        <w:jc w:val="both"/>
      </w:pPr>
      <w:r>
        <w:t>propozycje budowy lub przebudowy urządzeń wodnych;</w:t>
      </w:r>
    </w:p>
    <w:p w14:paraId="1706D30F" w14:textId="77777777" w:rsidR="0048499A" w:rsidRDefault="0048499A" w:rsidP="006D41A7">
      <w:pPr>
        <w:pStyle w:val="ReportText"/>
        <w:numPr>
          <w:ilvl w:val="0"/>
          <w:numId w:val="110"/>
        </w:numPr>
        <w:spacing w:before="120" w:after="120"/>
        <w:ind w:left="567" w:hanging="425"/>
        <w:jc w:val="both"/>
      </w:pPr>
      <w:r>
        <w:t>propozycje niezbędnych zmian w zakresie korzystania z zasobów wodnych oraz zmian naturalnej i sztucznej retencji;</w:t>
      </w:r>
    </w:p>
    <w:p w14:paraId="7BDB9BDF" w14:textId="77777777" w:rsidR="0048499A" w:rsidRDefault="0048499A" w:rsidP="006D41A7">
      <w:pPr>
        <w:pStyle w:val="ReportText"/>
        <w:numPr>
          <w:ilvl w:val="0"/>
          <w:numId w:val="110"/>
        </w:numPr>
        <w:spacing w:before="120" w:after="120"/>
        <w:ind w:left="567" w:hanging="425"/>
        <w:jc w:val="both"/>
      </w:pPr>
      <w:r>
        <w:t>działania służące przeciwdziałaniu skutkom suszy.</w:t>
      </w:r>
    </w:p>
    <w:p w14:paraId="32F7A768" w14:textId="77777777" w:rsidR="0048499A" w:rsidRDefault="0048499A" w:rsidP="0048499A">
      <w:pPr>
        <w:pStyle w:val="ReportText"/>
        <w:spacing w:before="120" w:after="120"/>
        <w:jc w:val="both"/>
      </w:pPr>
      <w:r>
        <w:t>Cel główny, jakim jest przeciwdziałanie skutkom suszy doprecyzowany jest przez cele szczegółowe:</w:t>
      </w:r>
    </w:p>
    <w:p w14:paraId="61DE221D" w14:textId="77777777" w:rsidR="0048499A" w:rsidRDefault="0048499A" w:rsidP="006D41A7">
      <w:pPr>
        <w:pStyle w:val="ReportText"/>
        <w:numPr>
          <w:ilvl w:val="0"/>
          <w:numId w:val="111"/>
        </w:numPr>
        <w:spacing w:before="120" w:after="120"/>
        <w:ind w:left="567" w:hanging="425"/>
        <w:jc w:val="both"/>
      </w:pPr>
      <w:r>
        <w:t>skuteczne zarządzanie zasobami wodnymi dla zwiększenia dostępnych zasobów wodnych;</w:t>
      </w:r>
    </w:p>
    <w:p w14:paraId="21CF8A81" w14:textId="77777777" w:rsidR="0048499A" w:rsidRDefault="0048499A" w:rsidP="006D41A7">
      <w:pPr>
        <w:pStyle w:val="ReportText"/>
        <w:numPr>
          <w:ilvl w:val="0"/>
          <w:numId w:val="111"/>
        </w:numPr>
        <w:spacing w:before="120" w:after="120"/>
        <w:ind w:left="567" w:hanging="425"/>
        <w:jc w:val="both"/>
      </w:pPr>
      <w:r>
        <w:t>zwiększanie retencjonowania (magazynowania) wód;</w:t>
      </w:r>
    </w:p>
    <w:p w14:paraId="320133C8" w14:textId="77777777" w:rsidR="0048499A" w:rsidRDefault="0048499A" w:rsidP="006D41A7">
      <w:pPr>
        <w:pStyle w:val="ReportText"/>
        <w:numPr>
          <w:ilvl w:val="0"/>
          <w:numId w:val="111"/>
        </w:numPr>
        <w:spacing w:before="120" w:after="120"/>
        <w:ind w:left="567" w:hanging="425"/>
        <w:jc w:val="both"/>
      </w:pPr>
      <w:r>
        <w:t>edukacja w zakresie suszy i koordynacja działań powiązanych z suszą;</w:t>
      </w:r>
    </w:p>
    <w:p w14:paraId="732C4CFB" w14:textId="77777777" w:rsidR="0048499A" w:rsidRDefault="0048499A" w:rsidP="006D41A7">
      <w:pPr>
        <w:pStyle w:val="ReportText"/>
        <w:numPr>
          <w:ilvl w:val="0"/>
          <w:numId w:val="111"/>
        </w:numPr>
        <w:spacing w:before="120" w:after="120"/>
        <w:ind w:left="567" w:hanging="425"/>
        <w:jc w:val="both"/>
      </w:pPr>
      <w:r>
        <w:t>stworzenie mechanizmów realizacji i finansowania działań służących przeciwdziałaniu skutkom suszy.</w:t>
      </w:r>
    </w:p>
    <w:p w14:paraId="05922469" w14:textId="77777777" w:rsidR="0048499A" w:rsidRDefault="0048499A" w:rsidP="0048499A">
      <w:pPr>
        <w:pStyle w:val="ReportText"/>
        <w:spacing w:before="120" w:after="120"/>
        <w:jc w:val="both"/>
      </w:pPr>
      <w:r>
        <w:t xml:space="preserve">Najważniejszym elementem PPSS jest katalog działań, w którym znajdują się konkretne, mierzalne rozwiązania, które należy wdrożyć w celu ograniczenia skutków suszy. Poprzez ten zbiór optymalnych działań realizowane są cele szczegółowe PPSS, a dzięki nim cel główny. </w:t>
      </w:r>
    </w:p>
    <w:p w14:paraId="528B80EC" w14:textId="798ED174" w:rsidR="0048499A" w:rsidRDefault="0048499A" w:rsidP="0048499A">
      <w:pPr>
        <w:pStyle w:val="ReportText"/>
        <w:spacing w:before="120" w:after="120"/>
        <w:jc w:val="both"/>
      </w:pPr>
      <w:r>
        <w:t>PPSS nie stanowi planu inwestycyjnego, prezentuje jedyne plany budowy, przebudowy i</w:t>
      </w:r>
      <w:r w:rsidR="001224FB">
        <w:t> </w:t>
      </w:r>
      <w:r>
        <w:t>remontu urządzeń wodnych, które zostały zawarte w innych dokumentach planistycznych z zakresu gospodarki wodnej. PPSS jest zgodny z celami środowiskowymi, w zakresie dobrego stanu wód, o których jest mowa w Ramowej Dyrektywie Wodnej.</w:t>
      </w:r>
    </w:p>
    <w:p w14:paraId="4CDDC117" w14:textId="77777777" w:rsidR="0048499A" w:rsidRDefault="0048499A" w:rsidP="0048499A">
      <w:pPr>
        <w:pStyle w:val="ReportText"/>
        <w:spacing w:before="120" w:after="120"/>
        <w:jc w:val="both"/>
      </w:pPr>
      <w:r>
        <w:t>PPSS wraz z planami gospodarowania wodami oraz planami zarządzania ryzykiem powodziowym stanowić będzie program przyczyniający się do zintegrowanej ochrony wód i gospodarki wodami, mając na celu zapewnienie dobrej jakość oraz wystarczającej ilość wód służących wszystkim działom gospodarki narodowej oraz środowisku naturalnemu.</w:t>
      </w:r>
    </w:p>
    <w:p w14:paraId="724563A6" w14:textId="37F0C136" w:rsidR="0048499A" w:rsidRDefault="0048499A" w:rsidP="0048499A">
      <w:pPr>
        <w:pStyle w:val="ReportText"/>
        <w:spacing w:before="120" w:after="120"/>
        <w:jc w:val="both"/>
      </w:pPr>
      <w:r>
        <w:t>Podczas prac nad aPZRPM analizowano zaproponowane w PPSS działania, jednak żadne z nich nie znalazło się na liście wstępnej aPZRPM ponieważ nie dotyczą one terenów morskich.</w:t>
      </w:r>
      <w:r w:rsidRPr="00BB1206">
        <w:t xml:space="preserve"> W PPSS zaplanowano wiele działań, które równocześnie mogą posiadać większy lub mniejszy wpływ na ograniczenie ryzyka powodziowego</w:t>
      </w:r>
      <w:r w:rsidR="00003CCE">
        <w:t>,</w:t>
      </w:r>
      <w:r>
        <w:t xml:space="preserve"> jednakże dotyczą one tematyki śródlądowej (rzecznej) i zostały uwzględnione w ramach aPZRP.</w:t>
      </w:r>
    </w:p>
    <w:p w14:paraId="6ADCD809" w14:textId="7A95915C" w:rsidR="00AF7C5E" w:rsidRDefault="00AF7C5E" w:rsidP="00AF7C5E">
      <w:pPr>
        <w:pStyle w:val="ReportLevel2"/>
      </w:pPr>
      <w:r>
        <w:br w:type="column"/>
      </w:r>
      <w:bookmarkStart w:id="153" w:name="_Toc80608748"/>
      <w:r>
        <w:lastRenderedPageBreak/>
        <w:t>13.3</w:t>
      </w:r>
      <w:r>
        <w:tab/>
        <w:t>Koordynacja PZRP z innymi dokumentami planistycznymi</w:t>
      </w:r>
      <w:bookmarkEnd w:id="153"/>
    </w:p>
    <w:p w14:paraId="25C9317C" w14:textId="29B3F45D" w:rsidR="001B538B" w:rsidRDefault="001B538B" w:rsidP="001B538B">
      <w:pPr>
        <w:pStyle w:val="ReportText"/>
        <w:spacing w:before="120" w:after="120"/>
        <w:jc w:val="both"/>
      </w:pPr>
      <w:r>
        <w:t>Koordynacja PZRP z innymi dokumentami planistycznymi została osiągnięta przede wszystkim poprzez uwzględnienie wyników prac zrealizowanych w ramach projektu Wdrożenie instrumentów wspierających realizację działań PZRP.</w:t>
      </w:r>
    </w:p>
    <w:p w14:paraId="327C3764" w14:textId="1041A609" w:rsidR="001B538B" w:rsidRPr="000C6558" w:rsidRDefault="001B538B" w:rsidP="001B538B">
      <w:pPr>
        <w:pStyle w:val="ReportText"/>
        <w:spacing w:before="120" w:after="120"/>
        <w:jc w:val="both"/>
        <w:rPr>
          <w:b/>
          <w:bCs/>
        </w:rPr>
      </w:pPr>
      <w:r w:rsidRPr="000C6558">
        <w:rPr>
          <w:b/>
          <w:bCs/>
        </w:rPr>
        <w:t>Wdrożenie instrumentów wspierających realizację działań PZRP</w:t>
      </w:r>
    </w:p>
    <w:p w14:paraId="6265CCE5" w14:textId="77777777" w:rsidR="001B538B" w:rsidRDefault="001B538B" w:rsidP="001B538B">
      <w:pPr>
        <w:pStyle w:val="ReportText"/>
        <w:spacing w:before="120" w:after="120"/>
        <w:jc w:val="both"/>
      </w:pPr>
      <w:r>
        <w:t>Wdrożenie instrumentów wspierających realizację działań PZRP ma na celu zapewnienie wysokiego stopnia bezpieczeństwa ludności oraz infrastruktury technicznej, a tym samym ograniczenie wielkości strat będących skutkiem wystąpienia powodzi.</w:t>
      </w:r>
    </w:p>
    <w:p w14:paraId="767257A9" w14:textId="77777777" w:rsidR="001B538B" w:rsidRDefault="001B538B" w:rsidP="001B538B">
      <w:pPr>
        <w:pStyle w:val="ReportText"/>
        <w:spacing w:before="120" w:after="120"/>
        <w:jc w:val="both"/>
      </w:pPr>
      <w:r>
        <w:t>Instrumenty prawne stanowić będą element wspierający osiągnięcie celów szczegółowych ustanowionych w PZRP poprzez regulację prawa obowiązującego na terenach zagrożonych powodzią, a także motywowanie do działań administracji państwowej i samorządowej w kierunku redukcji wrażliwości społeczności i obiektów wrażliwych na działanie wód powodziowych.</w:t>
      </w:r>
    </w:p>
    <w:p w14:paraId="1B99F2DF" w14:textId="1489AD1E" w:rsidR="001B538B" w:rsidRDefault="001B538B" w:rsidP="001B538B">
      <w:pPr>
        <w:pStyle w:val="ReportText"/>
        <w:spacing w:before="120" w:after="120"/>
        <w:jc w:val="both"/>
      </w:pPr>
      <w:r>
        <w:t>Planowane jest wprowadzenie nowych zapisów w polskim systemie prawnym oraz w</w:t>
      </w:r>
      <w:r w:rsidR="001224FB">
        <w:t> </w:t>
      </w:r>
      <w:r>
        <w:t>dokumentach prawa miejscowego, pozwalających na prowadzenie działań mających na celu ograniczenie ryzyka powodziowego, w tym poprzez wyeliminowanie lub unikanie wzrostu zagospodarowania w obrębie obszarów szczególnego zagrożenia wystąpieniem powodzi, a także ograniczanie istniejącego zagospodarowania.</w:t>
      </w:r>
    </w:p>
    <w:p w14:paraId="7C070DE1" w14:textId="77777777" w:rsidR="001B538B" w:rsidRDefault="001B538B" w:rsidP="001B538B">
      <w:pPr>
        <w:pStyle w:val="ReportText"/>
        <w:spacing w:before="120" w:after="120"/>
        <w:jc w:val="both"/>
      </w:pPr>
      <w:r>
        <w:t>Istotnym kierunkiem działań będzie stworzenie przepisów prawnych umożliwiających oraz wspomagających prowadzenie działań w celu ochrony obszarów występowania naturalnej retencji, przywracania naturalnej retencji, naturalnych warunków przepływu oraz hydromorfologii cieków wodnych.</w:t>
      </w:r>
    </w:p>
    <w:p w14:paraId="35AC6BC6" w14:textId="77777777" w:rsidR="001B538B" w:rsidRDefault="001B538B" w:rsidP="001B538B">
      <w:pPr>
        <w:pStyle w:val="ReportText"/>
        <w:spacing w:before="120" w:after="120"/>
        <w:jc w:val="both"/>
      </w:pPr>
      <w:r>
        <w:t>Stworzone zostaną także instrumenty pozwalające na realizację infrastruktury przeciwpowodziowej poprzez opracowanie oceny kompletności zestawu obiektów przeciwpowodziowych wraz z obiektami towarzyszącymi przewidzianych do realizacji, a także wskazanie sposobu pozyskiwania praw do nieruchomości, na których obiekty te mają powstać.</w:t>
      </w:r>
    </w:p>
    <w:p w14:paraId="32AF484C" w14:textId="576CBE77" w:rsidR="001B538B" w:rsidRDefault="001B538B" w:rsidP="001B538B">
      <w:pPr>
        <w:pStyle w:val="ReportText"/>
        <w:spacing w:before="120" w:after="120"/>
        <w:jc w:val="both"/>
      </w:pPr>
      <w:r>
        <w:t>W szczególny sposób planowane do wdrożenia instrumenty wspierające wpisują się w</w:t>
      </w:r>
      <w:r w:rsidR="001224FB">
        <w:t> </w:t>
      </w:r>
      <w:r>
        <w:t>realizację celu szczegółowego 3.5 PZRP: Stymulowanie zachowań zwiększających bezpieczeństwo powodziowe poprzez instrumenty prawne i finansowe. Ponadto opracowane Instrumenty prawne stanowić będą element wspierający realizację następujących celów szczegółowych PZRP:</w:t>
      </w:r>
    </w:p>
    <w:p w14:paraId="09755C63" w14:textId="77777777" w:rsidR="001B538B" w:rsidRDefault="001B538B" w:rsidP="006D41A7">
      <w:pPr>
        <w:pStyle w:val="ReportText"/>
        <w:numPr>
          <w:ilvl w:val="0"/>
          <w:numId w:val="97"/>
        </w:numPr>
        <w:spacing w:before="120" w:after="120"/>
        <w:ind w:left="567" w:hanging="425"/>
        <w:jc w:val="both"/>
      </w:pPr>
      <w:r>
        <w:t>1.1. Zapewnienie warunków ograniczających możliwość występowania powodzi;</w:t>
      </w:r>
    </w:p>
    <w:p w14:paraId="7665EE18" w14:textId="77777777" w:rsidR="001B538B" w:rsidRDefault="001B538B" w:rsidP="006D41A7">
      <w:pPr>
        <w:pStyle w:val="ReportText"/>
        <w:numPr>
          <w:ilvl w:val="0"/>
          <w:numId w:val="97"/>
        </w:numPr>
        <w:spacing w:before="120" w:after="120"/>
        <w:ind w:left="567" w:hanging="425"/>
        <w:jc w:val="both"/>
      </w:pPr>
      <w:r>
        <w:t>1.2. Zapewnienie racjonalnego gospodarowania obszarami zagrożenia powodziowego;</w:t>
      </w:r>
    </w:p>
    <w:p w14:paraId="3F6C0E66" w14:textId="77777777" w:rsidR="001B538B" w:rsidRDefault="001B538B" w:rsidP="006D41A7">
      <w:pPr>
        <w:pStyle w:val="ReportText"/>
        <w:numPr>
          <w:ilvl w:val="0"/>
          <w:numId w:val="97"/>
        </w:numPr>
        <w:spacing w:before="120" w:after="120"/>
        <w:ind w:left="567" w:hanging="425"/>
        <w:jc w:val="both"/>
      </w:pPr>
      <w:r>
        <w:t>2.1. Zapewnienie warunków redukujących możliwość występowania powodzi;</w:t>
      </w:r>
    </w:p>
    <w:p w14:paraId="2F712650" w14:textId="77777777" w:rsidR="001B538B" w:rsidRDefault="001B538B" w:rsidP="006D41A7">
      <w:pPr>
        <w:pStyle w:val="ReportText"/>
        <w:numPr>
          <w:ilvl w:val="0"/>
          <w:numId w:val="97"/>
        </w:numPr>
        <w:spacing w:before="120" w:after="120"/>
        <w:ind w:left="567" w:hanging="425"/>
        <w:jc w:val="both"/>
      </w:pPr>
      <w:r>
        <w:t>2.2. Redukcja obszaru zagrożonego powodzią oraz zapewnienie racjonalnego gospodarowania obszarami zagrożenia powodziowego;</w:t>
      </w:r>
    </w:p>
    <w:p w14:paraId="22D79AF0" w14:textId="77777777" w:rsidR="001B538B" w:rsidRDefault="001B538B" w:rsidP="006D41A7">
      <w:pPr>
        <w:pStyle w:val="ReportText"/>
        <w:numPr>
          <w:ilvl w:val="0"/>
          <w:numId w:val="97"/>
        </w:numPr>
        <w:spacing w:before="120" w:after="120"/>
        <w:ind w:left="567" w:hanging="425"/>
        <w:jc w:val="both"/>
      </w:pPr>
      <w:r>
        <w:t>2.3 Redukcja wrażliwości społeczności i obiektów na obszarze zagrożenia powodzią.</w:t>
      </w:r>
    </w:p>
    <w:p w14:paraId="445FB4CA" w14:textId="1F4A41DE" w:rsidR="001B538B" w:rsidRPr="000C6558" w:rsidRDefault="001224FB" w:rsidP="001B538B">
      <w:pPr>
        <w:pStyle w:val="ReportText"/>
        <w:spacing w:before="120" w:after="120"/>
        <w:jc w:val="both"/>
        <w:rPr>
          <w:b/>
          <w:bCs/>
        </w:rPr>
      </w:pPr>
      <w:r>
        <w:rPr>
          <w:b/>
          <w:bCs/>
        </w:rPr>
        <w:br w:type="column"/>
      </w:r>
      <w:r w:rsidR="001B538B" w:rsidRPr="000C6558">
        <w:rPr>
          <w:b/>
          <w:bCs/>
        </w:rPr>
        <w:lastRenderedPageBreak/>
        <w:t>Program przeciwdziałania niedoborowi wody (Program Rozwoju Retencji)</w:t>
      </w:r>
    </w:p>
    <w:p w14:paraId="26A78DCA" w14:textId="77777777" w:rsidR="001B538B" w:rsidRDefault="001B538B" w:rsidP="001B538B">
      <w:pPr>
        <w:pStyle w:val="ReportText"/>
        <w:spacing w:before="120" w:after="120"/>
        <w:jc w:val="both"/>
      </w:pPr>
      <w:r>
        <w:t>Program przeciwdziałania niedoborom wody ma na celu przeciwdziałanie obserwowanemu deficytowi wody oraz zjawisku suszy, będących skutkiem zarówno zmian klimatu jak i zwiększającej się antropopresji.</w:t>
      </w:r>
    </w:p>
    <w:p w14:paraId="04F74126" w14:textId="77777777" w:rsidR="001B538B" w:rsidRDefault="001B538B" w:rsidP="001B538B">
      <w:pPr>
        <w:pStyle w:val="ReportText"/>
        <w:spacing w:before="120" w:after="120"/>
        <w:jc w:val="both"/>
      </w:pPr>
      <w:r>
        <w:t>Urbanizacja oraz związany z nią wzrost uszczelnienia terenu przyczyniają się do zmniejszenia powierzchni retencyjnej zlewni. Równocześnie występowanie suszy przyczynia się do powstawania deficytów wody szczególnie w sektorze rolnictwa, a także występowaniem niżówek na rzekach. Skutki tych niekorzystnych zjawisk mogą być łagodzone poprzez zwiększanie pojemności retencyjnej zlewni rzek.</w:t>
      </w:r>
    </w:p>
    <w:p w14:paraId="1C8AFC37" w14:textId="77777777" w:rsidR="001B538B" w:rsidRDefault="001B538B" w:rsidP="001B538B">
      <w:pPr>
        <w:pStyle w:val="ReportText"/>
        <w:spacing w:before="120" w:after="120"/>
        <w:jc w:val="both"/>
      </w:pPr>
      <w:r>
        <w:t>Podejmowanie działań w zakresie retencji wodnej przyczyni się do zmniejszenia lub spowolnienia odpływu wód ze zlewni, stanowiąc równocześnie jeden ze sposobów przeciwdziałania powstawaniu powodzi lub ograniczania skali ich skutków.</w:t>
      </w:r>
    </w:p>
    <w:p w14:paraId="1AFA804E" w14:textId="77777777" w:rsidR="001B538B" w:rsidRDefault="001B538B" w:rsidP="001B538B">
      <w:pPr>
        <w:pStyle w:val="ReportText"/>
        <w:spacing w:before="120" w:after="120"/>
        <w:jc w:val="both"/>
      </w:pPr>
      <w:r>
        <w:t>Istotne będzie podejmowanie działań w zakresie zmiany sposobu użytkowania terenu, obejmujących zadrzewianie oraz zalesianie terenów. Działania te przyczyniają się do zwiększenia infiltracji wody gruntu, a także powodują spowolnienie i zmniejszenie objętości spływu powierzchniowego – są to działania zaliczane do retencji krajobrazowej.</w:t>
      </w:r>
    </w:p>
    <w:p w14:paraId="1718FE44" w14:textId="388E4210" w:rsidR="001B538B" w:rsidRDefault="001B538B" w:rsidP="001B538B">
      <w:pPr>
        <w:pStyle w:val="ReportText"/>
        <w:spacing w:before="120" w:after="120"/>
        <w:jc w:val="both"/>
      </w:pPr>
      <w:r>
        <w:t>Ważną rolę w ograniczaniu niedoborów wody odgrywa retencja wód powierzchniowych, realizowana poprzez budowę dużych zbiorników retencyjnych (o pojemności powyżej 5 mln m</w:t>
      </w:r>
      <w:r w:rsidRPr="000C6558">
        <w:rPr>
          <w:vertAlign w:val="superscript"/>
        </w:rPr>
        <w:t>3</w:t>
      </w:r>
      <w:r>
        <w:t>), tak zwaną małą retencję obejmującą budowę zbiorników retencyjnych o</w:t>
      </w:r>
      <w:r w:rsidR="001224FB">
        <w:t> </w:t>
      </w:r>
      <w:r>
        <w:t>mniejszej pojemności, w tym stawów hodowlanych, a także mikroretencję obejmującą wykonywanie zbiorników wodnych o pojemności poniżej 0,1 mln m</w:t>
      </w:r>
      <w:r w:rsidRPr="000C6558">
        <w:rPr>
          <w:vertAlign w:val="superscript"/>
        </w:rPr>
        <w:t>3</w:t>
      </w:r>
      <w:r>
        <w:t xml:space="preserve"> i pojemności poniżej 1 ha, w tym oczek wodnych oraz podpiętrzeń cieków. Istotne znaczenie posiadają również działania z zakresu retencji wód opadowych, realizowane w miejscach powstawania opadów, w tym na terenach użytkowanych przez osoby prywatne.</w:t>
      </w:r>
    </w:p>
    <w:p w14:paraId="34DF2695" w14:textId="77777777" w:rsidR="001B538B" w:rsidRDefault="001B538B" w:rsidP="001B538B">
      <w:pPr>
        <w:pStyle w:val="ReportText"/>
        <w:spacing w:before="120" w:after="120"/>
        <w:jc w:val="both"/>
      </w:pPr>
      <w:r>
        <w:t>Opracowanie Programu przeciwdziałania niedoborowi wody przyczyni się do poprawy funkcjonowania gospodarki wodnej w kraju przyczyniając się równocześnie do ograniczenia ryzyka powodziowego jak i łagodzenia skutków zmian klimatu związanych z występowaniem suszy i niedoborów wody.</w:t>
      </w:r>
    </w:p>
    <w:p w14:paraId="6FD7FE96" w14:textId="77777777" w:rsidR="001B538B" w:rsidRDefault="001B538B" w:rsidP="001B538B">
      <w:pPr>
        <w:pStyle w:val="ReportText"/>
        <w:spacing w:before="120" w:after="120"/>
        <w:jc w:val="both"/>
      </w:pPr>
      <w:r>
        <w:t>Efektem realizacji Programu będą między innymi zwiększenie objętości wody retencjonowanej w obrębie zlewni, zwiększenie pojemności zbiorników małej retencji, zwiększenie powierzchni siedlisk hydrogenicznych, zwiększenie roli ekosystemów powiązanych z systemami retencjonowania wód, zwiększenie ilości działań związanych z retencjonowaniem wód, a także zmniejszenie ryzyka powodziowego, w tym wynikającego z występowania powodzi błyskawicznych na terenach silnie zurbanizowanych.</w:t>
      </w:r>
    </w:p>
    <w:p w14:paraId="4C4EC63D" w14:textId="2A30F38F" w:rsidR="001B538B" w:rsidRDefault="001B538B" w:rsidP="001B538B">
      <w:pPr>
        <w:pStyle w:val="ReportText"/>
        <w:spacing w:before="120" w:after="120"/>
        <w:jc w:val="both"/>
      </w:pPr>
      <w:r>
        <w:t>Rząd przyjął w formie uchwały „Założenia do Programu przeciwdziałania niedoborowi wody na lata 2021-2027 z perspektywą do roku 2030”. Zamieszczony w „Założeniach do Programu …” wykaz inwestycji, które zostaną zrealizowane do 2027 r., mających poprawić retencyjność w Polsce (tożsama lista towarzyszy Planom przeciwdziałaniom skutkom suszy na obszarach dorzeczy), został przeanalizowany przez Wykonawcę aPZRPM do budowy listy wstępnej działań aPZRPM. Działania retencyjne nie mają jednak wpływu na ograniczenie ryzyka powodziowego od strony morza</w:t>
      </w:r>
      <w:r w:rsidR="00003CCE">
        <w:t>,</w:t>
      </w:r>
      <w:r>
        <w:t xml:space="preserve"> wobec czego nie znalazły się na listach wstępnych aPZRPM.</w:t>
      </w:r>
    </w:p>
    <w:p w14:paraId="0517F4D8" w14:textId="44893D06" w:rsidR="001B538B" w:rsidRPr="000C6558" w:rsidRDefault="001224FB" w:rsidP="001B538B">
      <w:pPr>
        <w:pStyle w:val="ReportText"/>
        <w:spacing w:before="120" w:after="120"/>
        <w:jc w:val="both"/>
        <w:rPr>
          <w:b/>
          <w:bCs/>
        </w:rPr>
      </w:pPr>
      <w:r>
        <w:rPr>
          <w:b/>
          <w:bCs/>
        </w:rPr>
        <w:br w:type="column"/>
      </w:r>
      <w:r w:rsidR="001B538B" w:rsidRPr="000C6558">
        <w:rPr>
          <w:b/>
          <w:bCs/>
        </w:rPr>
        <w:lastRenderedPageBreak/>
        <w:t>Krajowy program renaturyzacji wód powierzchniowych</w:t>
      </w:r>
    </w:p>
    <w:p w14:paraId="0318BE6A" w14:textId="77777777" w:rsidR="001B538B" w:rsidRDefault="001B538B" w:rsidP="001B538B">
      <w:pPr>
        <w:pStyle w:val="ReportText"/>
        <w:spacing w:before="120" w:after="120"/>
        <w:jc w:val="both"/>
      </w:pPr>
      <w:r>
        <w:t>Opracowanie Programu stanowiło jedno z działań ujętych w aktualizacji planów gospodarowania wodami (aPGW). Realizacja Programu pozwoli na ocenę możliwości przeprowadzenia renaturyzacji cieków wodnych oraz identyfikację koniecznych do podjęcia działań, służących osiągnięciu tego celu.</w:t>
      </w:r>
    </w:p>
    <w:p w14:paraId="674DA7F8" w14:textId="77777777" w:rsidR="001B538B" w:rsidRDefault="001B538B" w:rsidP="001B538B">
      <w:pPr>
        <w:pStyle w:val="ReportText"/>
        <w:spacing w:before="120" w:after="120"/>
        <w:jc w:val="both"/>
      </w:pPr>
      <w:r>
        <w:t>Renaturyzacja wód powierzchniowych ma na celu zwiększenie retencji naturalnej cieków poprzez przywracanie lub utrzymanie naturalnych ekosystemów.</w:t>
      </w:r>
    </w:p>
    <w:p w14:paraId="2931CF88" w14:textId="77777777" w:rsidR="001B538B" w:rsidRDefault="001B538B" w:rsidP="001B538B">
      <w:pPr>
        <w:pStyle w:val="ReportText"/>
        <w:spacing w:before="120" w:after="120"/>
        <w:jc w:val="both"/>
      </w:pPr>
      <w:r>
        <w:t>W ramach renaturyzacji wód powierzchniowych podejmowane będą działania wpływające na normalizację stosunków wodnych w obrębie zlewni, poprawę retencji dolinowej i korytowej, renaturyzację torfowisk i mokradeł, a także przywrócenie ciągłości oraz zwiększenie różnorodności hydromorfologicznej wód powierzchniowych.</w:t>
      </w:r>
    </w:p>
    <w:p w14:paraId="76F3573D" w14:textId="77777777" w:rsidR="001B538B" w:rsidRDefault="001B538B" w:rsidP="001B538B">
      <w:pPr>
        <w:pStyle w:val="ReportText"/>
        <w:spacing w:before="120" w:after="120"/>
        <w:jc w:val="both"/>
      </w:pPr>
      <w:r>
        <w:t>Efektem podejmowanych działań będzie nie tylko tworzenie miejsc atrakcyjnych dla ludności, ograniczenie kosztów prac utrzymaniowych, ale także zmniejszenie ryzyka powodziowego.</w:t>
      </w:r>
    </w:p>
    <w:p w14:paraId="7066C042" w14:textId="77777777" w:rsidR="001B538B" w:rsidRDefault="001B538B" w:rsidP="001B538B">
      <w:pPr>
        <w:pStyle w:val="ReportText"/>
        <w:spacing w:before="120" w:after="120"/>
        <w:jc w:val="both"/>
      </w:pPr>
      <w:r>
        <w:t>Ograniczenie ryzyka powodziowego osiągnięte zostanie w wyniku wzrostu naturalnej retencji cieków, czego skutkiem będzie zmniejszenie możliwych wezbrań wody.</w:t>
      </w:r>
    </w:p>
    <w:p w14:paraId="1E1CB914" w14:textId="77777777" w:rsidR="001224FB" w:rsidRDefault="001224FB" w:rsidP="001B538B">
      <w:pPr>
        <w:pStyle w:val="ReportText"/>
        <w:spacing w:before="120" w:after="120"/>
        <w:jc w:val="both"/>
        <w:rPr>
          <w:b/>
          <w:bCs/>
        </w:rPr>
      </w:pPr>
    </w:p>
    <w:p w14:paraId="30EAA2FB" w14:textId="5FF6E785" w:rsidR="001B538B" w:rsidRPr="000C6558" w:rsidRDefault="001B538B" w:rsidP="001B538B">
      <w:pPr>
        <w:pStyle w:val="ReportText"/>
        <w:spacing w:before="120" w:after="120"/>
        <w:jc w:val="both"/>
        <w:rPr>
          <w:b/>
          <w:bCs/>
        </w:rPr>
      </w:pPr>
      <w:r w:rsidRPr="000C6558">
        <w:rPr>
          <w:b/>
          <w:bCs/>
        </w:rPr>
        <w:t>Podsumowanie</w:t>
      </w:r>
    </w:p>
    <w:p w14:paraId="347B4C87" w14:textId="77777777" w:rsidR="001B538B" w:rsidRDefault="001B538B" w:rsidP="001B538B">
      <w:pPr>
        <w:pStyle w:val="ReportText"/>
        <w:spacing w:before="120" w:after="120"/>
        <w:jc w:val="both"/>
      </w:pPr>
      <w:r>
        <w:t>Podsumowując, w ramach prac nad aPZRPM zostały przeanalizowane zapisy ww. dokumentów pod względem:</w:t>
      </w:r>
    </w:p>
    <w:p w14:paraId="29A99CF5" w14:textId="77777777" w:rsidR="001224FB" w:rsidRDefault="001B538B" w:rsidP="006D41A7">
      <w:pPr>
        <w:pStyle w:val="ReportText"/>
        <w:numPr>
          <w:ilvl w:val="0"/>
          <w:numId w:val="112"/>
        </w:numPr>
        <w:spacing w:before="120" w:after="120"/>
        <w:ind w:left="567" w:hanging="425"/>
        <w:jc w:val="both"/>
      </w:pPr>
      <w:r>
        <w:t>określenia celów zarządzania ryzykiem powodziowym;</w:t>
      </w:r>
    </w:p>
    <w:p w14:paraId="1463FBB2" w14:textId="77777777" w:rsidR="001224FB" w:rsidRDefault="001B538B" w:rsidP="006D41A7">
      <w:pPr>
        <w:pStyle w:val="ReportText"/>
        <w:numPr>
          <w:ilvl w:val="0"/>
          <w:numId w:val="112"/>
        </w:numPr>
        <w:spacing w:before="120" w:after="120"/>
        <w:ind w:left="567" w:hanging="425"/>
        <w:jc w:val="both"/>
      </w:pPr>
      <w:r>
        <w:t>analizy listy działań technicznych i nietechnicznych służących ochronie przeciwpowodziowej, które zostały ujęte w dokumentach dotyczących przeciwdziałaniu skutkom suszy, renaturyzacji wód powierzchniowych czy retencji;</w:t>
      </w:r>
    </w:p>
    <w:p w14:paraId="6E146B8F" w14:textId="77777777" w:rsidR="001224FB" w:rsidRDefault="001B538B" w:rsidP="006D41A7">
      <w:pPr>
        <w:pStyle w:val="ReportText"/>
        <w:numPr>
          <w:ilvl w:val="0"/>
          <w:numId w:val="112"/>
        </w:numPr>
        <w:spacing w:before="120" w:after="120"/>
        <w:ind w:left="567" w:hanging="425"/>
        <w:jc w:val="both"/>
      </w:pPr>
      <w:r>
        <w:t>możliwości zaproponowania działań organizacyjnych związanych z wdrożeniem instrumentów prawnych;</w:t>
      </w:r>
    </w:p>
    <w:p w14:paraId="3CAB4454" w14:textId="582066CB" w:rsidR="001B538B" w:rsidRDefault="001B538B" w:rsidP="006D41A7">
      <w:pPr>
        <w:pStyle w:val="ReportText"/>
        <w:numPr>
          <w:ilvl w:val="0"/>
          <w:numId w:val="112"/>
        </w:numPr>
        <w:spacing w:before="120" w:after="120"/>
        <w:ind w:left="567" w:hanging="425"/>
        <w:jc w:val="both"/>
      </w:pPr>
      <w:r>
        <w:t>pozyskania danych o regionach wodnych i dorzeczach.</w:t>
      </w:r>
    </w:p>
    <w:p w14:paraId="11691B11" w14:textId="77777777" w:rsidR="001B538B" w:rsidRDefault="001B538B" w:rsidP="001B538B">
      <w:pPr>
        <w:pStyle w:val="ReportText"/>
        <w:spacing w:before="120" w:after="120"/>
        <w:jc w:val="both"/>
      </w:pPr>
      <w:r>
        <w:t>Zakres podjętych działań pozwoli na zachowanie spójności zapisów oraz sposobu analizy zagadnień dla omówionych wyżej dokumentów strategicznych i projektowych.</w:t>
      </w:r>
    </w:p>
    <w:p w14:paraId="42E23C32" w14:textId="14311792" w:rsidR="001B538B" w:rsidRPr="00D3630B" w:rsidRDefault="0048499A" w:rsidP="006D41A7">
      <w:pPr>
        <w:pStyle w:val="ReportLevel1"/>
        <w:numPr>
          <w:ilvl w:val="0"/>
          <w:numId w:val="4"/>
        </w:numPr>
      </w:pPr>
      <w:r>
        <w:br w:type="page"/>
      </w:r>
      <w:bookmarkStart w:id="154" w:name="_Toc80608749"/>
      <w:r w:rsidR="001B538B" w:rsidRPr="00D3630B">
        <w:lastRenderedPageBreak/>
        <w:t>Opis uwzględnienia zmian klimatu w opracowaniu aPZR</w:t>
      </w:r>
      <w:r w:rsidR="001B538B">
        <w:t>P</w:t>
      </w:r>
      <w:bookmarkEnd w:id="154"/>
    </w:p>
    <w:p w14:paraId="7C2C1F34" w14:textId="77777777" w:rsidR="001B538B" w:rsidRPr="00D53882" w:rsidRDefault="001B538B" w:rsidP="001B538B">
      <w:r w:rsidRPr="00D53882">
        <w:t>Przewidywane zmiany klimatu i wynikające z nich zmiany zagrożenia powodziowego uwzględniono na etapie:</w:t>
      </w:r>
    </w:p>
    <w:p w14:paraId="43B61450" w14:textId="77777777" w:rsidR="001B538B" w:rsidRPr="00C2449B" w:rsidRDefault="001B538B" w:rsidP="001224FB">
      <w:pPr>
        <w:pStyle w:val="11StopPowodzi-Listawypunktowana"/>
        <w:spacing w:before="0" w:after="0" w:line="240" w:lineRule="auto"/>
        <w:ind w:left="567" w:hanging="425"/>
        <w:rPr>
          <w:lang w:val="pl-PL"/>
        </w:rPr>
      </w:pPr>
      <w:r w:rsidRPr="00D3630B">
        <w:rPr>
          <w:lang w:val="pl-PL"/>
        </w:rPr>
        <w:t xml:space="preserve">ustalania rozkładu przestrzennego ryzyka </w:t>
      </w:r>
      <w:r w:rsidRPr="00C2449B">
        <w:rPr>
          <w:lang w:val="pl-PL"/>
        </w:rPr>
        <w:t>powodziowego w dorzeczu;</w:t>
      </w:r>
    </w:p>
    <w:p w14:paraId="3B3615CF" w14:textId="7F605FB4" w:rsidR="001B538B" w:rsidRPr="00D3630B" w:rsidRDefault="001B538B" w:rsidP="001224FB">
      <w:pPr>
        <w:pStyle w:val="11StopPowodzi-Listawypunktowana"/>
        <w:spacing w:before="0" w:after="0" w:line="240" w:lineRule="auto"/>
        <w:ind w:left="567" w:hanging="425"/>
        <w:rPr>
          <w:lang w:val="pl-PL"/>
        </w:rPr>
      </w:pPr>
      <w:r w:rsidRPr="00D3630B">
        <w:rPr>
          <w:lang w:val="pl-PL"/>
        </w:rPr>
        <w:t>ewaluacji i doboru działań redukujących ryzyko powodziowe z zastosowaniem preferencji dla działań adaptacyjnych;</w:t>
      </w:r>
    </w:p>
    <w:p w14:paraId="24EF6A63" w14:textId="77777777" w:rsidR="001B538B" w:rsidRPr="00D3630B" w:rsidRDefault="001B538B" w:rsidP="001224FB">
      <w:pPr>
        <w:pStyle w:val="11StopPowodzi-Listawypunktowana"/>
        <w:spacing w:before="0" w:after="0" w:line="240" w:lineRule="auto"/>
        <w:ind w:left="567" w:hanging="425"/>
        <w:rPr>
          <w:lang w:val="pl-PL"/>
        </w:rPr>
      </w:pPr>
      <w:r w:rsidRPr="00D3630B">
        <w:rPr>
          <w:lang w:val="pl-PL"/>
        </w:rPr>
        <w:t>analiz kosztów i korzyści oraz analiz wielokryterialnych uwzględniających wzrost strat powodziowych wynikających ze zmian klimatu;</w:t>
      </w:r>
    </w:p>
    <w:p w14:paraId="0FD116AF" w14:textId="77777777" w:rsidR="001B538B" w:rsidRPr="00056C69" w:rsidRDefault="001B538B" w:rsidP="001224FB">
      <w:pPr>
        <w:pStyle w:val="11StopPowodzi-Listawypunktowana"/>
        <w:spacing w:before="0" w:after="0" w:line="240" w:lineRule="auto"/>
        <w:ind w:left="567" w:hanging="425"/>
        <w:rPr>
          <w:lang w:val="pl-PL"/>
        </w:rPr>
      </w:pPr>
      <w:r w:rsidRPr="00056C69">
        <w:rPr>
          <w:lang w:val="pl-PL"/>
        </w:rPr>
        <w:t>priorytetyzacji działań.</w:t>
      </w:r>
    </w:p>
    <w:p w14:paraId="635FEC52" w14:textId="77777777" w:rsidR="001B538B" w:rsidRPr="00D3630B" w:rsidRDefault="001B538B" w:rsidP="001B538B">
      <w:pPr>
        <w:pStyle w:val="11StopPowodzi-Listawypunktowana"/>
        <w:numPr>
          <w:ilvl w:val="0"/>
          <w:numId w:val="0"/>
        </w:numPr>
        <w:rPr>
          <w:rStyle w:val="normaltextrun"/>
          <w:lang w:val="pl-PL"/>
        </w:rPr>
      </w:pPr>
      <w:r w:rsidRPr="00D3630B">
        <w:rPr>
          <w:lang w:val="pl-PL" w:eastAsia="zh-CN"/>
        </w:rPr>
        <w:t xml:space="preserve">W analizie </w:t>
      </w:r>
      <w:r w:rsidRPr="00D3630B">
        <w:rPr>
          <w:rStyle w:val="normaltextrun"/>
          <w:lang w:val="pl-PL"/>
        </w:rPr>
        <w:t xml:space="preserve">przestrzennego rozkładu ryzyka powodziowego, przy identyfikacji obszarów problemowych, uwzględniono nie tylko </w:t>
      </w:r>
      <w:r w:rsidRPr="00D3630B">
        <w:rPr>
          <w:lang w:val="pl-PL" w:eastAsia="zh-CN"/>
        </w:rPr>
        <w:t>stan aktualny ryzyka powodzioweg</w:t>
      </w:r>
      <w:r w:rsidRPr="00D3630B">
        <w:rPr>
          <w:rStyle w:val="normaltextrun"/>
          <w:lang w:val="pl-PL"/>
        </w:rPr>
        <w:t>o, ale również zmiany perspektywiczne wynikające ze zmian antropopresji i zmian klimatu. Przy określaniu tendencji zmian ryzyka powodziowego wykorzystano dwa wskaźniki umożliwiające określenie wpływu zmian klimatu na występowanie powodzi:</w:t>
      </w:r>
    </w:p>
    <w:p w14:paraId="71FA0131" w14:textId="77777777" w:rsidR="001B538B" w:rsidRPr="00D3630B" w:rsidRDefault="001B538B" w:rsidP="001224FB">
      <w:pPr>
        <w:pStyle w:val="11StopPowodzi-Listawypunktowana"/>
        <w:spacing w:before="0" w:after="0" w:line="240" w:lineRule="auto"/>
        <w:ind w:left="567" w:hanging="425"/>
        <w:rPr>
          <w:lang w:val="pl-PL"/>
        </w:rPr>
      </w:pPr>
      <w:r w:rsidRPr="00D3630B">
        <w:rPr>
          <w:lang w:val="pl-PL"/>
        </w:rPr>
        <w:t>zmiana procentowa przepływu wysokiego Q90 w latach 2021-2050 (tzw. bliska przyszłość) dla scenariusza RCP 4,5;</w:t>
      </w:r>
    </w:p>
    <w:p w14:paraId="1F0CBB39" w14:textId="77777777" w:rsidR="001B538B" w:rsidRPr="00D3630B" w:rsidRDefault="001B538B" w:rsidP="001224FB">
      <w:pPr>
        <w:pStyle w:val="11StopPowodzi-Listawypunktowana"/>
        <w:spacing w:before="0" w:after="0" w:line="240" w:lineRule="auto"/>
        <w:ind w:left="567" w:hanging="425"/>
        <w:rPr>
          <w:lang w:val="pl-PL"/>
        </w:rPr>
      </w:pPr>
      <w:r w:rsidRPr="00D3630B">
        <w:rPr>
          <w:lang w:val="pl-PL"/>
        </w:rPr>
        <w:t>zmiana procentowa przepływu wysokiego Q90 w latach 2021-2050 (tzw. bliska przyszłość) dla scenariusza RCP 8,5.</w:t>
      </w:r>
    </w:p>
    <w:p w14:paraId="46774E73" w14:textId="77777777" w:rsidR="001B538B" w:rsidRPr="00D3630B" w:rsidRDefault="001B538B" w:rsidP="001B538B">
      <w:pPr>
        <w:pStyle w:val="11StopPowodzi-Listawypunktowana"/>
        <w:numPr>
          <w:ilvl w:val="0"/>
          <w:numId w:val="0"/>
        </w:numPr>
        <w:rPr>
          <w:lang w:val="pl-PL" w:eastAsia="zh-CN"/>
        </w:rPr>
      </w:pPr>
      <w:r w:rsidRPr="00D3630B">
        <w:rPr>
          <w:rStyle w:val="normaltextrun"/>
          <w:lang w:val="pl-PL"/>
        </w:rPr>
        <w:t>Wskaźniki te określono dla wszystkich przestrzennych jednostek analitycznych stosowanych w </w:t>
      </w:r>
      <w:r w:rsidRPr="00D3630B">
        <w:rPr>
          <w:lang w:val="pl-PL" w:eastAsia="zh-CN"/>
        </w:rPr>
        <w:t xml:space="preserve">analizie </w:t>
      </w:r>
      <w:r w:rsidRPr="00D3630B">
        <w:rPr>
          <w:rStyle w:val="normaltextrun"/>
          <w:lang w:val="pl-PL"/>
        </w:rPr>
        <w:t xml:space="preserve">przestrzennego rozkładu ryzyka powodziowego. Do ich określenia wykorzystano przede wszystkim </w:t>
      </w:r>
      <w:r w:rsidRPr="00D3630B">
        <w:rPr>
          <w:lang w:val="pl-PL" w:eastAsia="zh-CN"/>
        </w:rPr>
        <w:t xml:space="preserve">dane projektu CHASE-PL </w:t>
      </w:r>
      <w:r>
        <w:rPr>
          <w:lang w:val="pl-PL" w:eastAsia="zh-CN"/>
        </w:rPr>
        <w:br/>
      </w:r>
      <w:r w:rsidRPr="00D3630B">
        <w:rPr>
          <w:i/>
          <w:iCs/>
          <w:lang w:val="pl-PL" w:eastAsia="zh-CN"/>
        </w:rPr>
        <w:t>Ocena konsekwencji zmian klimatu dla wybranych sektorów w Polsce</w:t>
      </w:r>
      <w:r w:rsidRPr="00D3630B">
        <w:rPr>
          <w:lang w:val="pl-PL" w:eastAsia="zh-CN"/>
        </w:rPr>
        <w:t xml:space="preserve"> (Norweski Mechanizm Finansowy 2009-2014, nr POL-NOR/200799/90/2014); dla rzek Przymorza, w przypadku których nie dysponowano ww. danymi, wykorzystano wartości wynikające z analizy trendu wielkości maksymalnych rocznych przepływów. Wszystkie ww. dane odpowiadały danym wykorzystanym w aWORP.</w:t>
      </w:r>
    </w:p>
    <w:p w14:paraId="6A097C53" w14:textId="77777777" w:rsidR="001B538B" w:rsidRPr="00D3630B" w:rsidRDefault="001B538B" w:rsidP="001B538B">
      <w:pPr>
        <w:pStyle w:val="11StopPowodzi-Listawypunktowana"/>
        <w:numPr>
          <w:ilvl w:val="0"/>
          <w:numId w:val="0"/>
        </w:numPr>
        <w:rPr>
          <w:rStyle w:val="normaltextrun"/>
          <w:lang w:val="pl-PL"/>
        </w:rPr>
      </w:pPr>
      <w:r w:rsidRPr="00D3630B">
        <w:rPr>
          <w:rStyle w:val="normaltextrun"/>
          <w:lang w:val="pl-PL"/>
        </w:rPr>
        <w:t>Przy analizie ww. przewidywanych zmian procentowych przepływu wysokiego na uwadze trzeba mieć niepewność projekcji zmian klimatu, w tym również w odniesieniu do ich potencjalnego wpływu na zasoby wodne. Przyjmuje się, że niepewność w</w:t>
      </w:r>
      <w:r>
        <w:rPr>
          <w:rStyle w:val="normaltextrun"/>
          <w:lang w:val="pl-PL"/>
        </w:rPr>
        <w:t> </w:t>
      </w:r>
      <w:r w:rsidRPr="00D3630B">
        <w:rPr>
          <w:rStyle w:val="normaltextrun"/>
          <w:lang w:val="pl-PL"/>
        </w:rPr>
        <w:t>ustaleniach co do przyszłych skutków zmian klimatu dotyczy w szczególności zjawisk ekstremalnych, m.in. powodzi (Kundzewicz i in. 2017).</w:t>
      </w:r>
    </w:p>
    <w:p w14:paraId="08F3613C" w14:textId="2199C86F" w:rsidR="001B538B" w:rsidRPr="00D3630B" w:rsidRDefault="001B538B" w:rsidP="001B538B">
      <w:pPr>
        <w:pStyle w:val="11StopPowodzi-Listawypunktowana"/>
        <w:numPr>
          <w:ilvl w:val="0"/>
          <w:numId w:val="0"/>
        </w:numPr>
        <w:rPr>
          <w:lang w:val="pl-PL" w:eastAsia="zh-CN"/>
        </w:rPr>
      </w:pPr>
      <w:r>
        <w:rPr>
          <w:lang w:val="pl-PL" w:eastAsia="zh-CN"/>
        </w:rPr>
        <w:br w:type="column"/>
      </w:r>
      <w:r w:rsidRPr="00D3630B">
        <w:rPr>
          <w:lang w:val="pl-PL" w:eastAsia="zh-CN"/>
        </w:rPr>
        <w:lastRenderedPageBreak/>
        <w:t>Odnośnie do analiz kosztów i korzyści uwzględniających zmiany zagrożenia powodziowego wynikające ze zmian klimatu, p</w:t>
      </w:r>
      <w:r w:rsidRPr="00D3630B">
        <w:rPr>
          <w:lang w:val="pl-PL"/>
        </w:rPr>
        <w:t>rzyrost strat w wariancie zerowym, służący do kalkulacji unikniętych strat dzięki realizacji planowanych działań będzie m.in. obejmował przyrost strat z</w:t>
      </w:r>
      <w:r>
        <w:rPr>
          <w:lang w:val="pl-PL"/>
        </w:rPr>
        <w:t xml:space="preserve"> </w:t>
      </w:r>
      <w:r w:rsidRPr="00D3630B">
        <w:rPr>
          <w:lang w:val="pl-PL"/>
        </w:rPr>
        <w:t>powodu zmian klimatu. Kwota przyrostu strat jest iloczynem kwoty strat z okresu bazowego mnożonej przez czynniki wzrostu, tym samym w okresie analizy występuje coraz wyższa wartość strat z roku na rok. W</w:t>
      </w:r>
      <w:r>
        <w:rPr>
          <w:lang w:val="pl-PL"/>
        </w:rPr>
        <w:t> </w:t>
      </w:r>
      <w:r w:rsidRPr="00D3630B">
        <w:rPr>
          <w:lang w:val="pl-PL"/>
        </w:rPr>
        <w:t>odniesieniu do przyrostu strat z powodu zmian klimatu rekomenduje się wykorzystanie podejścia do przyrostu strat przeciwpowodziowych, spójnego z</w:t>
      </w:r>
      <w:r>
        <w:rPr>
          <w:lang w:val="pl-PL"/>
        </w:rPr>
        <w:t> </w:t>
      </w:r>
      <w:r w:rsidRPr="00D3630B">
        <w:rPr>
          <w:lang w:val="pl-PL"/>
        </w:rPr>
        <w:t>podejściem, jakie jest stosowane w raportach Komisji Europejskiej. Na podstawie Raportu KE z 2020 r.: Dottori F, Mentaschi L, Bianchi A, Alfieri L and Feyen L, Adapting to rising river flood risk in the EU under climate change, EUR 29955 EN, Publications Office of the European Union, Luxembourg, 2020, ISBN 978-92-76-12946-2, doi:10.2760/14505, określono przyrost AAD wg Raportu KE w</w:t>
      </w:r>
      <w:r w:rsidR="001224FB">
        <w:rPr>
          <w:lang w:val="pl-PL"/>
        </w:rPr>
        <w:t> </w:t>
      </w:r>
      <w:r w:rsidRPr="00D3630B">
        <w:rPr>
          <w:lang w:val="pl-PL"/>
        </w:rPr>
        <w:t>oparciu o</w:t>
      </w:r>
      <w:r w:rsidR="001224FB">
        <w:rPr>
          <w:lang w:val="pl-PL"/>
        </w:rPr>
        <w:t xml:space="preserve"> </w:t>
      </w:r>
      <w:r w:rsidRPr="00D3630B">
        <w:rPr>
          <w:lang w:val="pl-PL"/>
        </w:rPr>
        <w:t>projekt PESETA IV - scenariusz 2 stopni Celsjusza, co oznacza przyrost roczny na poziomie 4,2%.</w:t>
      </w:r>
    </w:p>
    <w:p w14:paraId="7BE5EF8B" w14:textId="766C3E60" w:rsidR="001B538B" w:rsidRPr="00843BA5" w:rsidRDefault="001B538B" w:rsidP="001B538B">
      <w:pPr>
        <w:pStyle w:val="11StopPowodzi-Listawypunktowana"/>
        <w:numPr>
          <w:ilvl w:val="0"/>
          <w:numId w:val="0"/>
        </w:numPr>
        <w:rPr>
          <w:lang w:val="pl-PL" w:eastAsia="zh-CN"/>
        </w:rPr>
      </w:pPr>
      <w:r w:rsidRPr="00D3630B">
        <w:rPr>
          <w:lang w:val="pl-PL" w:eastAsia="zh-CN"/>
        </w:rPr>
        <w:t>Ponadto, aspekt zmian klimatu uwzględniono w ramach analiz wielokryterialnych, w</w:t>
      </w:r>
      <w:r>
        <w:rPr>
          <w:lang w:val="pl-PL" w:eastAsia="zh-CN"/>
        </w:rPr>
        <w:t> </w:t>
      </w:r>
      <w:r w:rsidRPr="00D3630B">
        <w:rPr>
          <w:lang w:val="pl-PL" w:eastAsia="zh-CN"/>
        </w:rPr>
        <w:t xml:space="preserve">drodze ocen wariantów zidentyfikowanych w obszarach problemowych w świetle m.in. kryterium pn. </w:t>
      </w:r>
      <w:r>
        <w:rPr>
          <w:lang w:val="pl-PL" w:eastAsia="zh-CN"/>
        </w:rPr>
        <w:t>Z</w:t>
      </w:r>
      <w:r w:rsidRPr="00D3630B">
        <w:rPr>
          <w:lang w:val="pl-PL" w:eastAsia="zh-CN"/>
        </w:rPr>
        <w:t xml:space="preserve">naczenie dla realizacji strategii adaptacji do zmian klimatu. </w:t>
      </w:r>
      <w:r w:rsidRPr="00BB1572">
        <w:rPr>
          <w:lang w:val="pl-PL" w:eastAsia="zh-CN"/>
        </w:rPr>
        <w:t>Zgodnie z</w:t>
      </w:r>
      <w:r w:rsidR="001224FB">
        <w:rPr>
          <w:lang w:val="pl-PL" w:eastAsia="zh-CN"/>
        </w:rPr>
        <w:t> </w:t>
      </w:r>
      <w:r w:rsidRPr="00BB1572">
        <w:rPr>
          <w:lang w:val="pl-PL" w:eastAsia="zh-CN"/>
        </w:rPr>
        <w:t xml:space="preserve">metodyką projektu aPZRP, w II cyklu </w:t>
      </w:r>
      <w:r>
        <w:rPr>
          <w:lang w:val="pl-PL" w:eastAsia="zh-CN"/>
        </w:rPr>
        <w:t xml:space="preserve">planistycznym </w:t>
      </w:r>
      <w:r w:rsidRPr="00BB1572">
        <w:rPr>
          <w:lang w:val="pl-PL" w:eastAsia="zh-CN"/>
        </w:rPr>
        <w:t xml:space="preserve">do analiz wielokryterialnych została zastosowana metoda AHP (the Analytic Hierarchy Process), podobnie zresztąjak w I cyklu planistycznym. </w:t>
      </w:r>
      <w:r w:rsidRPr="00843BA5">
        <w:rPr>
          <w:lang w:val="pl-PL" w:eastAsia="zh-CN"/>
        </w:rPr>
        <w:t>Przeprowadzona została ocena wariantów w świetle ośmiu kryteriów porównawczych.</w:t>
      </w:r>
    </w:p>
    <w:p w14:paraId="3F23A2E7" w14:textId="77777777" w:rsidR="001B538B" w:rsidRPr="00D3630B" w:rsidRDefault="001B538B" w:rsidP="001B538B">
      <w:pPr>
        <w:pStyle w:val="11StopPowodzi-Listawypunktowana"/>
        <w:numPr>
          <w:ilvl w:val="0"/>
          <w:numId w:val="0"/>
        </w:numPr>
        <w:rPr>
          <w:lang w:val="pl-PL" w:eastAsia="zh-CN"/>
        </w:rPr>
      </w:pPr>
      <w:r w:rsidRPr="00D3630B">
        <w:rPr>
          <w:lang w:val="pl-PL" w:eastAsia="zh-CN"/>
        </w:rPr>
        <w:t xml:space="preserve">Znaczenie dla realizacji strategii adaptacji do zmian klimatu to kryterium jakościowe, czyli takie, które nie może być określone np. poprzez koszt w PLN, liczbę sztuk, obszar, kilometry, jednostki czasu itp., natomiast może zostać ocenione w postaci przypisywanej przez ekspertów oceny, określającej stopień realizacji celu przez dany wariant pod kątem danego kryterium. </w:t>
      </w:r>
    </w:p>
    <w:p w14:paraId="4F23EB48" w14:textId="084018C5" w:rsidR="00107FCF" w:rsidRDefault="00107FCF" w:rsidP="001224FB">
      <w:pPr>
        <w:rPr>
          <w:lang w:eastAsia="en-US"/>
        </w:rPr>
      </w:pPr>
    </w:p>
    <w:p w14:paraId="30061B93" w14:textId="4AA5E595" w:rsidR="00107FCF" w:rsidRPr="00576639" w:rsidRDefault="006A3BC1" w:rsidP="006D41A7">
      <w:pPr>
        <w:pStyle w:val="ReportLevel1"/>
        <w:numPr>
          <w:ilvl w:val="0"/>
          <w:numId w:val="4"/>
        </w:numPr>
      </w:pPr>
      <w:r>
        <w:br w:type="column"/>
      </w:r>
      <w:bookmarkStart w:id="155" w:name="_Toc80608750"/>
      <w:r w:rsidR="00107FCF" w:rsidRPr="00576639">
        <w:lastRenderedPageBreak/>
        <w:t>Wykaz skrótów</w:t>
      </w:r>
      <w:bookmarkEnd w:id="123"/>
      <w:bookmarkEnd w:id="124"/>
      <w:bookmarkEnd w:id="125"/>
      <w:bookmarkEnd w:id="155"/>
    </w:p>
    <w:tbl>
      <w:tblPr>
        <w:tblW w:w="8500" w:type="dxa"/>
        <w:tblBorders>
          <w:top w:val="single" w:sz="4" w:space="0" w:color="28AAE1"/>
          <w:left w:val="single" w:sz="4" w:space="0" w:color="28AAE1"/>
          <w:bottom w:val="single" w:sz="4" w:space="0" w:color="28AAE1"/>
          <w:right w:val="single" w:sz="4" w:space="0" w:color="28AAE1"/>
          <w:insideH w:val="single" w:sz="4" w:space="0" w:color="28AAE1"/>
          <w:insideV w:val="single" w:sz="4" w:space="0" w:color="28AAE1"/>
        </w:tblBorders>
        <w:tblLayout w:type="fixed"/>
        <w:tblLook w:val="0000" w:firstRow="0" w:lastRow="0" w:firstColumn="0" w:lastColumn="0" w:noHBand="0" w:noVBand="0"/>
      </w:tblPr>
      <w:tblGrid>
        <w:gridCol w:w="1489"/>
        <w:gridCol w:w="7011"/>
      </w:tblGrid>
      <w:tr w:rsidR="00107FCF" w:rsidRPr="008A23A2" w14:paraId="1E96452A" w14:textId="77777777" w:rsidTr="00C65234">
        <w:trPr>
          <w:trHeight w:val="99"/>
          <w:tblHeader/>
        </w:trPr>
        <w:tc>
          <w:tcPr>
            <w:tcW w:w="1489" w:type="dxa"/>
            <w:shd w:val="clear" w:color="auto" w:fill="D4EDF9"/>
          </w:tcPr>
          <w:p w14:paraId="755C97E3" w14:textId="77777777" w:rsidR="00107FCF" w:rsidRPr="008A23A2" w:rsidRDefault="00107FCF" w:rsidP="00576639">
            <w:pPr>
              <w:rPr>
                <w:b/>
                <w:bCs/>
              </w:rPr>
            </w:pPr>
            <w:r w:rsidRPr="008A23A2">
              <w:rPr>
                <w:b/>
                <w:bCs/>
                <w:sz w:val="22"/>
                <w:szCs w:val="22"/>
              </w:rPr>
              <w:t xml:space="preserve">Nazwa skrótu </w:t>
            </w:r>
          </w:p>
        </w:tc>
        <w:tc>
          <w:tcPr>
            <w:tcW w:w="7011" w:type="dxa"/>
            <w:shd w:val="clear" w:color="auto" w:fill="D4EDF9"/>
          </w:tcPr>
          <w:p w14:paraId="7C3BD639" w14:textId="77777777" w:rsidR="00107FCF" w:rsidRPr="008A23A2" w:rsidRDefault="00107FCF" w:rsidP="00576639">
            <w:pPr>
              <w:rPr>
                <w:b/>
                <w:bCs/>
              </w:rPr>
            </w:pPr>
            <w:r w:rsidRPr="008A23A2">
              <w:rPr>
                <w:b/>
                <w:bCs/>
                <w:sz w:val="22"/>
                <w:szCs w:val="22"/>
              </w:rPr>
              <w:t xml:space="preserve">Rozwinięcie </w:t>
            </w:r>
          </w:p>
        </w:tc>
      </w:tr>
      <w:tr w:rsidR="00107FCF" w:rsidRPr="008A23A2" w14:paraId="257C6FE8" w14:textId="77777777" w:rsidTr="00C65234">
        <w:trPr>
          <w:trHeight w:val="99"/>
          <w:tblHeader/>
        </w:trPr>
        <w:tc>
          <w:tcPr>
            <w:tcW w:w="1489" w:type="dxa"/>
            <w:shd w:val="clear" w:color="auto" w:fill="FFFFFF"/>
          </w:tcPr>
          <w:p w14:paraId="05E82ADD" w14:textId="77777777" w:rsidR="00107FCF" w:rsidRPr="008A23A2" w:rsidRDefault="00107FCF" w:rsidP="00CD4764">
            <w:pPr>
              <w:rPr>
                <w:lang w:val="en-US"/>
              </w:rPr>
            </w:pPr>
            <w:r w:rsidRPr="008A23A2">
              <w:rPr>
                <w:sz w:val="22"/>
                <w:szCs w:val="22"/>
                <w:lang w:val="en-US"/>
              </w:rPr>
              <w:t>IIaPGW</w:t>
            </w:r>
          </w:p>
        </w:tc>
        <w:tc>
          <w:tcPr>
            <w:tcW w:w="7011" w:type="dxa"/>
            <w:shd w:val="clear" w:color="auto" w:fill="FFFFFF"/>
          </w:tcPr>
          <w:p w14:paraId="36C10227" w14:textId="77777777" w:rsidR="00107FCF" w:rsidRPr="008A23A2" w:rsidRDefault="00107FCF" w:rsidP="00276645">
            <w:r w:rsidRPr="008A23A2">
              <w:rPr>
                <w:sz w:val="22"/>
                <w:szCs w:val="22"/>
              </w:rPr>
              <w:t> II aktualizacja Planów Gospodarowania Wodami</w:t>
            </w:r>
          </w:p>
        </w:tc>
      </w:tr>
      <w:tr w:rsidR="008A23A2" w:rsidRPr="008A23A2" w14:paraId="6C7B6A5B" w14:textId="77777777" w:rsidTr="00C65234">
        <w:trPr>
          <w:trHeight w:val="99"/>
          <w:tblHeader/>
        </w:trPr>
        <w:tc>
          <w:tcPr>
            <w:tcW w:w="1489" w:type="dxa"/>
            <w:shd w:val="clear" w:color="auto" w:fill="FFFFFF"/>
          </w:tcPr>
          <w:p w14:paraId="1AECAA3E" w14:textId="659F40FE" w:rsidR="008A23A2" w:rsidRPr="008A23A2" w:rsidRDefault="008A23A2" w:rsidP="008A23A2">
            <w:pPr>
              <w:rPr>
                <w:lang w:val="en-US"/>
              </w:rPr>
            </w:pPr>
            <w:r w:rsidRPr="008A23A2">
              <w:rPr>
                <w:sz w:val="22"/>
                <w:szCs w:val="22"/>
              </w:rPr>
              <w:t>AAD</w:t>
            </w:r>
          </w:p>
        </w:tc>
        <w:tc>
          <w:tcPr>
            <w:tcW w:w="7011" w:type="dxa"/>
            <w:shd w:val="clear" w:color="auto" w:fill="FFFFFF"/>
          </w:tcPr>
          <w:p w14:paraId="044BD6C8" w14:textId="298D4C82" w:rsidR="008A23A2" w:rsidRPr="008A23A2" w:rsidRDefault="008A23A2" w:rsidP="008A23A2">
            <w:r w:rsidRPr="008A23A2">
              <w:rPr>
                <w:sz w:val="22"/>
                <w:szCs w:val="22"/>
              </w:rPr>
              <w:t>Średnia strata roczna (ang. Annual Average Damage)</w:t>
            </w:r>
          </w:p>
        </w:tc>
      </w:tr>
      <w:tr w:rsidR="00107FCF" w:rsidRPr="008A23A2" w14:paraId="0F233230" w14:textId="77777777" w:rsidTr="00C65234">
        <w:trPr>
          <w:trHeight w:val="99"/>
          <w:tblHeader/>
        </w:trPr>
        <w:tc>
          <w:tcPr>
            <w:tcW w:w="1489" w:type="dxa"/>
            <w:shd w:val="clear" w:color="auto" w:fill="FFFFFF"/>
          </w:tcPr>
          <w:p w14:paraId="31DDD3AD" w14:textId="77777777" w:rsidR="00107FCF" w:rsidRPr="008A23A2" w:rsidRDefault="00107FCF" w:rsidP="00CD4764">
            <w:r w:rsidRPr="008A23A2">
              <w:rPr>
                <w:sz w:val="22"/>
                <w:szCs w:val="22"/>
                <w:lang w:val="en-US"/>
              </w:rPr>
              <w:t>AHP</w:t>
            </w:r>
          </w:p>
        </w:tc>
        <w:tc>
          <w:tcPr>
            <w:tcW w:w="7011" w:type="dxa"/>
            <w:shd w:val="clear" w:color="auto" w:fill="FFFFFF"/>
          </w:tcPr>
          <w:p w14:paraId="260E56C3" w14:textId="77777777" w:rsidR="00107FCF" w:rsidRPr="008A23A2" w:rsidRDefault="00107FCF" w:rsidP="00CD4764">
            <w:r w:rsidRPr="008A23A2">
              <w:rPr>
                <w:sz w:val="22"/>
                <w:szCs w:val="22"/>
              </w:rPr>
              <w:t>Analytic Hierarchy Process – metoda analizy wielokryterialnej</w:t>
            </w:r>
          </w:p>
        </w:tc>
      </w:tr>
      <w:tr w:rsidR="00107FCF" w:rsidRPr="008A23A2" w14:paraId="21FC3C7A" w14:textId="77777777" w:rsidTr="00C65234">
        <w:trPr>
          <w:trHeight w:val="99"/>
          <w:tblHeader/>
        </w:trPr>
        <w:tc>
          <w:tcPr>
            <w:tcW w:w="1489" w:type="dxa"/>
            <w:shd w:val="clear" w:color="auto" w:fill="FFFFFF"/>
          </w:tcPr>
          <w:p w14:paraId="54490984" w14:textId="77777777" w:rsidR="00107FCF" w:rsidRPr="008A23A2" w:rsidRDefault="00107FCF" w:rsidP="007A6200">
            <w:pPr>
              <w:rPr>
                <w:b/>
                <w:bCs/>
              </w:rPr>
            </w:pPr>
            <w:r w:rsidRPr="008A23A2">
              <w:rPr>
                <w:sz w:val="22"/>
                <w:szCs w:val="22"/>
              </w:rPr>
              <w:t>aPZRP</w:t>
            </w:r>
          </w:p>
        </w:tc>
        <w:tc>
          <w:tcPr>
            <w:tcW w:w="7011" w:type="dxa"/>
            <w:shd w:val="clear" w:color="auto" w:fill="FFFFFF"/>
          </w:tcPr>
          <w:p w14:paraId="10FF01FF" w14:textId="77777777" w:rsidR="00107FCF" w:rsidRPr="008A23A2" w:rsidRDefault="00107FCF" w:rsidP="007A6200">
            <w:pPr>
              <w:rPr>
                <w:b/>
                <w:bCs/>
              </w:rPr>
            </w:pPr>
            <w:r w:rsidRPr="008A23A2">
              <w:rPr>
                <w:sz w:val="22"/>
                <w:szCs w:val="22"/>
              </w:rPr>
              <w:t>Aktualizacja planów zarządzania ryzykiem powodziowym („rzeczna”) - II cykl planistyczny</w:t>
            </w:r>
          </w:p>
        </w:tc>
      </w:tr>
      <w:tr w:rsidR="00107FCF" w:rsidRPr="008A23A2" w14:paraId="3C3BCA60" w14:textId="77777777" w:rsidTr="00C65234">
        <w:trPr>
          <w:trHeight w:val="99"/>
        </w:trPr>
        <w:tc>
          <w:tcPr>
            <w:tcW w:w="1489" w:type="dxa"/>
          </w:tcPr>
          <w:p w14:paraId="64A8C792" w14:textId="77777777" w:rsidR="00107FCF" w:rsidRPr="008A23A2" w:rsidRDefault="00107FCF" w:rsidP="007A6200">
            <w:r w:rsidRPr="008A23A2">
              <w:rPr>
                <w:sz w:val="22"/>
                <w:szCs w:val="22"/>
              </w:rPr>
              <w:t>aPZRPM</w:t>
            </w:r>
          </w:p>
        </w:tc>
        <w:tc>
          <w:tcPr>
            <w:tcW w:w="7011" w:type="dxa"/>
          </w:tcPr>
          <w:p w14:paraId="39FD0F2B" w14:textId="77777777" w:rsidR="00107FCF" w:rsidRPr="008A23A2" w:rsidRDefault="00107FCF" w:rsidP="007A6200">
            <w:r w:rsidRPr="008A23A2">
              <w:rPr>
                <w:sz w:val="22"/>
                <w:szCs w:val="22"/>
              </w:rPr>
              <w:t>Aktualizacja planów zarządzania ryzykiem powodziowym od strony morza, w tym morskich wód wewnętrznych („morska”) - II cykl planistyczny</w:t>
            </w:r>
          </w:p>
        </w:tc>
      </w:tr>
      <w:tr w:rsidR="00107FCF" w:rsidRPr="008A23A2" w14:paraId="3FCBF425" w14:textId="77777777" w:rsidTr="00C65234">
        <w:trPr>
          <w:trHeight w:val="99"/>
        </w:trPr>
        <w:tc>
          <w:tcPr>
            <w:tcW w:w="1489" w:type="dxa"/>
          </w:tcPr>
          <w:p w14:paraId="5CCF91FA" w14:textId="77777777" w:rsidR="00107FCF" w:rsidRPr="008A23A2" w:rsidRDefault="00107FCF" w:rsidP="007A6200">
            <w:r w:rsidRPr="008A23A2">
              <w:rPr>
                <w:sz w:val="22"/>
                <w:szCs w:val="22"/>
              </w:rPr>
              <w:t>aWORP</w:t>
            </w:r>
          </w:p>
        </w:tc>
        <w:tc>
          <w:tcPr>
            <w:tcW w:w="7011" w:type="dxa"/>
          </w:tcPr>
          <w:p w14:paraId="221FFA24" w14:textId="77777777" w:rsidR="00107FCF" w:rsidRPr="008A23A2" w:rsidRDefault="00107FCF" w:rsidP="007A6200">
            <w:r w:rsidRPr="008A23A2">
              <w:rPr>
                <w:sz w:val="22"/>
                <w:szCs w:val="22"/>
              </w:rPr>
              <w:t>Aktualizacji wstępnej oceny ryzyka powodziowego</w:t>
            </w:r>
          </w:p>
        </w:tc>
      </w:tr>
      <w:tr w:rsidR="00107FCF" w:rsidRPr="008A23A2" w14:paraId="0599DA55" w14:textId="77777777" w:rsidTr="00C65234">
        <w:trPr>
          <w:trHeight w:val="99"/>
        </w:trPr>
        <w:tc>
          <w:tcPr>
            <w:tcW w:w="1489" w:type="dxa"/>
          </w:tcPr>
          <w:p w14:paraId="0E620AB5" w14:textId="77777777" w:rsidR="00107FCF" w:rsidRPr="008A23A2" w:rsidRDefault="00107FCF" w:rsidP="007A6200">
            <w:r w:rsidRPr="008A23A2">
              <w:rPr>
                <w:sz w:val="22"/>
                <w:szCs w:val="22"/>
              </w:rPr>
              <w:t>B/C</w:t>
            </w:r>
          </w:p>
        </w:tc>
        <w:tc>
          <w:tcPr>
            <w:tcW w:w="7011" w:type="dxa"/>
          </w:tcPr>
          <w:p w14:paraId="62417E5E" w14:textId="77777777" w:rsidR="00107FCF" w:rsidRPr="008A23A2" w:rsidRDefault="00107FCF" w:rsidP="007A6200">
            <w:r w:rsidRPr="008A23A2">
              <w:rPr>
                <w:sz w:val="22"/>
                <w:szCs w:val="22"/>
              </w:rPr>
              <w:t>Wskaźnik korzyści do kosztów (ang. Benefits / costs)</w:t>
            </w:r>
          </w:p>
        </w:tc>
      </w:tr>
      <w:tr w:rsidR="00107FCF" w:rsidRPr="008A23A2" w14:paraId="23766409" w14:textId="77777777" w:rsidTr="00C65234">
        <w:trPr>
          <w:trHeight w:val="99"/>
        </w:trPr>
        <w:tc>
          <w:tcPr>
            <w:tcW w:w="1489" w:type="dxa"/>
          </w:tcPr>
          <w:p w14:paraId="7A599DDB" w14:textId="77777777" w:rsidR="00107FCF" w:rsidRPr="008A23A2" w:rsidRDefault="00107FCF" w:rsidP="007A6200">
            <w:r w:rsidRPr="008A23A2">
              <w:rPr>
                <w:sz w:val="22"/>
                <w:szCs w:val="22"/>
              </w:rPr>
              <w:t>ENPV</w:t>
            </w:r>
          </w:p>
        </w:tc>
        <w:tc>
          <w:tcPr>
            <w:tcW w:w="7011" w:type="dxa"/>
          </w:tcPr>
          <w:p w14:paraId="5B09D67D" w14:textId="77777777" w:rsidR="00107FCF" w:rsidRPr="008A23A2" w:rsidRDefault="00107FCF" w:rsidP="007A6200">
            <w:r w:rsidRPr="008A23A2">
              <w:rPr>
                <w:sz w:val="22"/>
                <w:szCs w:val="22"/>
              </w:rPr>
              <w:t xml:space="preserve">Ekonomiczna wartość bieżąca netto (ang. </w:t>
            </w:r>
            <w:r w:rsidRPr="008A23A2">
              <w:rPr>
                <w:sz w:val="22"/>
                <w:szCs w:val="22"/>
                <w:lang w:val="en-US"/>
              </w:rPr>
              <w:t>Economic net present value)</w:t>
            </w:r>
          </w:p>
        </w:tc>
      </w:tr>
      <w:tr w:rsidR="00107FCF" w:rsidRPr="008A23A2" w14:paraId="790D0944" w14:textId="77777777" w:rsidTr="00C65234">
        <w:trPr>
          <w:trHeight w:val="99"/>
        </w:trPr>
        <w:tc>
          <w:tcPr>
            <w:tcW w:w="1489" w:type="dxa"/>
          </w:tcPr>
          <w:p w14:paraId="0FE872F5" w14:textId="77777777" w:rsidR="00107FCF" w:rsidRPr="008A23A2" w:rsidRDefault="00107FCF" w:rsidP="007A6200">
            <w:r w:rsidRPr="008A23A2">
              <w:rPr>
                <w:sz w:val="22"/>
                <w:szCs w:val="22"/>
              </w:rPr>
              <w:t>EIRR</w:t>
            </w:r>
          </w:p>
        </w:tc>
        <w:tc>
          <w:tcPr>
            <w:tcW w:w="7011" w:type="dxa"/>
          </w:tcPr>
          <w:p w14:paraId="638ED1A1" w14:textId="77777777" w:rsidR="00107FCF" w:rsidRPr="008A23A2" w:rsidRDefault="00107FCF" w:rsidP="007A6200">
            <w:r w:rsidRPr="008A23A2">
              <w:rPr>
                <w:sz w:val="22"/>
                <w:szCs w:val="22"/>
              </w:rPr>
              <w:t>Ekonomiczna wewnętrzna stopa zwrotu (ang. Economic rate of return)</w:t>
            </w:r>
          </w:p>
        </w:tc>
      </w:tr>
      <w:tr w:rsidR="008A23A2" w:rsidRPr="008A23A2" w14:paraId="6E23BB0C" w14:textId="77777777" w:rsidTr="00C65234">
        <w:trPr>
          <w:trHeight w:val="99"/>
        </w:trPr>
        <w:tc>
          <w:tcPr>
            <w:tcW w:w="1489" w:type="dxa"/>
          </w:tcPr>
          <w:p w14:paraId="1B1EA07E" w14:textId="66D3963E" w:rsidR="008A23A2" w:rsidRPr="008A23A2" w:rsidRDefault="008A23A2" w:rsidP="008A23A2">
            <w:r w:rsidRPr="008A23A2">
              <w:rPr>
                <w:sz w:val="22"/>
                <w:szCs w:val="22"/>
              </w:rPr>
              <w:t>EPD</w:t>
            </w:r>
          </w:p>
        </w:tc>
        <w:tc>
          <w:tcPr>
            <w:tcW w:w="7011" w:type="dxa"/>
          </w:tcPr>
          <w:p w14:paraId="00FFBDDF" w14:textId="5E37C2BB" w:rsidR="008A23A2" w:rsidRPr="008A23A2" w:rsidRDefault="008A23A2" w:rsidP="008A23A2">
            <w:r w:rsidRPr="008A23A2">
              <w:rPr>
                <w:sz w:val="22"/>
                <w:szCs w:val="22"/>
              </w:rPr>
              <w:t>Krzywa prawdopodobieństwo–straty (ang. exceedance probability vs. damage)</w:t>
            </w:r>
          </w:p>
        </w:tc>
      </w:tr>
      <w:tr w:rsidR="008A23A2" w:rsidRPr="008A23A2" w14:paraId="38702BF7" w14:textId="77777777" w:rsidTr="00C65234">
        <w:trPr>
          <w:trHeight w:val="99"/>
        </w:trPr>
        <w:tc>
          <w:tcPr>
            <w:tcW w:w="1489" w:type="dxa"/>
          </w:tcPr>
          <w:p w14:paraId="0429789B" w14:textId="77777777" w:rsidR="008A23A2" w:rsidRPr="008A23A2" w:rsidRDefault="008A23A2" w:rsidP="008A23A2">
            <w:r w:rsidRPr="008A23A2">
              <w:rPr>
                <w:sz w:val="22"/>
                <w:szCs w:val="22"/>
              </w:rPr>
              <w:t>FEnIKS</w:t>
            </w:r>
          </w:p>
        </w:tc>
        <w:tc>
          <w:tcPr>
            <w:tcW w:w="7011" w:type="dxa"/>
          </w:tcPr>
          <w:p w14:paraId="4604925F" w14:textId="77777777" w:rsidR="008A23A2" w:rsidRPr="008A23A2" w:rsidRDefault="008A23A2" w:rsidP="008A23A2">
            <w:r w:rsidRPr="008A23A2">
              <w:rPr>
                <w:sz w:val="22"/>
                <w:szCs w:val="22"/>
              </w:rPr>
              <w:t xml:space="preserve">Fundusze Europejskie na Infrastrukturę, Klimat, Środowisko </w:t>
            </w:r>
          </w:p>
        </w:tc>
      </w:tr>
      <w:tr w:rsidR="008A23A2" w:rsidRPr="008A23A2" w14:paraId="6B06BCC9" w14:textId="77777777" w:rsidTr="00C65234">
        <w:trPr>
          <w:trHeight w:val="99"/>
        </w:trPr>
        <w:tc>
          <w:tcPr>
            <w:tcW w:w="1489" w:type="dxa"/>
          </w:tcPr>
          <w:p w14:paraId="42537A52" w14:textId="180BD3EB" w:rsidR="008A23A2" w:rsidRPr="008A23A2" w:rsidRDefault="00D408DE" w:rsidP="008A23A2">
            <w:r>
              <w:rPr>
                <w:sz w:val="22"/>
                <w:szCs w:val="22"/>
              </w:rPr>
              <w:t>JCWP</w:t>
            </w:r>
          </w:p>
        </w:tc>
        <w:tc>
          <w:tcPr>
            <w:tcW w:w="7011" w:type="dxa"/>
          </w:tcPr>
          <w:p w14:paraId="17888298" w14:textId="77777777" w:rsidR="008A23A2" w:rsidRPr="008A23A2" w:rsidRDefault="008A23A2" w:rsidP="008A23A2">
            <w:r w:rsidRPr="008A23A2">
              <w:rPr>
                <w:sz w:val="22"/>
                <w:szCs w:val="22"/>
              </w:rPr>
              <w:t>Jednolite części wód powierzchniowych</w:t>
            </w:r>
          </w:p>
        </w:tc>
      </w:tr>
      <w:tr w:rsidR="008A23A2" w:rsidRPr="008A23A2" w14:paraId="556768CA" w14:textId="77777777" w:rsidTr="00C65234">
        <w:trPr>
          <w:trHeight w:val="99"/>
        </w:trPr>
        <w:tc>
          <w:tcPr>
            <w:tcW w:w="1489" w:type="dxa"/>
          </w:tcPr>
          <w:p w14:paraId="7C85545E" w14:textId="77777777" w:rsidR="008A23A2" w:rsidRPr="008A23A2" w:rsidRDefault="008A23A2" w:rsidP="008A23A2">
            <w:r w:rsidRPr="008A23A2">
              <w:rPr>
                <w:sz w:val="22"/>
                <w:szCs w:val="22"/>
              </w:rPr>
              <w:t>JST</w:t>
            </w:r>
          </w:p>
        </w:tc>
        <w:tc>
          <w:tcPr>
            <w:tcW w:w="7011" w:type="dxa"/>
          </w:tcPr>
          <w:p w14:paraId="220282FA" w14:textId="77777777" w:rsidR="008A23A2" w:rsidRPr="008A23A2" w:rsidRDefault="008A23A2" w:rsidP="008A23A2">
            <w:r w:rsidRPr="008A23A2">
              <w:rPr>
                <w:sz w:val="22"/>
                <w:szCs w:val="22"/>
              </w:rPr>
              <w:t>Jednostka samorządu terytorialnego</w:t>
            </w:r>
          </w:p>
        </w:tc>
      </w:tr>
      <w:tr w:rsidR="008A23A2" w:rsidRPr="008A23A2" w14:paraId="48145D53" w14:textId="77777777" w:rsidTr="00C65234">
        <w:trPr>
          <w:trHeight w:val="99"/>
        </w:trPr>
        <w:tc>
          <w:tcPr>
            <w:tcW w:w="1489" w:type="dxa"/>
          </w:tcPr>
          <w:p w14:paraId="7B2C0185" w14:textId="77777777" w:rsidR="008A23A2" w:rsidRPr="008A23A2" w:rsidRDefault="008A23A2" w:rsidP="008A23A2">
            <w:r w:rsidRPr="008A23A2">
              <w:rPr>
                <w:sz w:val="22"/>
                <w:szCs w:val="22"/>
              </w:rPr>
              <w:t>KPO</w:t>
            </w:r>
          </w:p>
        </w:tc>
        <w:tc>
          <w:tcPr>
            <w:tcW w:w="7011" w:type="dxa"/>
          </w:tcPr>
          <w:p w14:paraId="624339FC" w14:textId="77777777" w:rsidR="008A23A2" w:rsidRPr="008A23A2" w:rsidRDefault="008A23A2" w:rsidP="008A23A2">
            <w:r w:rsidRPr="008A23A2">
              <w:rPr>
                <w:sz w:val="22"/>
                <w:szCs w:val="22"/>
              </w:rPr>
              <w:t>Krajowy Plan Odbudowy i Zwiększania Odporności</w:t>
            </w:r>
          </w:p>
        </w:tc>
      </w:tr>
      <w:tr w:rsidR="008A23A2" w:rsidRPr="008A23A2" w14:paraId="0C0EED24" w14:textId="77777777" w:rsidTr="00C65234">
        <w:trPr>
          <w:trHeight w:val="99"/>
        </w:trPr>
        <w:tc>
          <w:tcPr>
            <w:tcW w:w="1489" w:type="dxa"/>
          </w:tcPr>
          <w:p w14:paraId="504D1EC1" w14:textId="77777777" w:rsidR="008A23A2" w:rsidRPr="008A23A2" w:rsidRDefault="008A23A2" w:rsidP="008A23A2">
            <w:r w:rsidRPr="008A23A2">
              <w:rPr>
                <w:sz w:val="22"/>
                <w:szCs w:val="22"/>
              </w:rPr>
              <w:t>LDM</w:t>
            </w:r>
          </w:p>
        </w:tc>
        <w:tc>
          <w:tcPr>
            <w:tcW w:w="7011" w:type="dxa"/>
          </w:tcPr>
          <w:p w14:paraId="39A1B7A4" w14:textId="77777777" w:rsidR="008A23A2" w:rsidRPr="008A23A2" w:rsidRDefault="008A23A2" w:rsidP="008A23A2">
            <w:r w:rsidRPr="008A23A2">
              <w:rPr>
                <w:sz w:val="22"/>
                <w:szCs w:val="22"/>
              </w:rPr>
              <w:t>Lista działań morskich</w:t>
            </w:r>
          </w:p>
        </w:tc>
      </w:tr>
      <w:tr w:rsidR="008A23A2" w:rsidRPr="008A23A2" w14:paraId="1C041A77" w14:textId="77777777" w:rsidTr="00C65234">
        <w:trPr>
          <w:trHeight w:val="99"/>
        </w:trPr>
        <w:tc>
          <w:tcPr>
            <w:tcW w:w="1489" w:type="dxa"/>
          </w:tcPr>
          <w:p w14:paraId="33AC3A65" w14:textId="77777777" w:rsidR="008A23A2" w:rsidRPr="008A23A2" w:rsidRDefault="008A23A2" w:rsidP="008A23A2">
            <w:r w:rsidRPr="008A23A2">
              <w:rPr>
                <w:sz w:val="22"/>
                <w:szCs w:val="22"/>
              </w:rPr>
              <w:t>MRP</w:t>
            </w:r>
          </w:p>
        </w:tc>
        <w:tc>
          <w:tcPr>
            <w:tcW w:w="7011" w:type="dxa"/>
          </w:tcPr>
          <w:p w14:paraId="714916FF" w14:textId="77777777" w:rsidR="008A23A2" w:rsidRPr="008A23A2" w:rsidRDefault="008A23A2" w:rsidP="008A23A2">
            <w:r w:rsidRPr="008A23A2">
              <w:rPr>
                <w:sz w:val="22"/>
                <w:szCs w:val="22"/>
              </w:rPr>
              <w:t>Mapy ryzyka powodziowego</w:t>
            </w:r>
          </w:p>
        </w:tc>
      </w:tr>
      <w:tr w:rsidR="008A23A2" w:rsidRPr="008A23A2" w14:paraId="32175E51" w14:textId="77777777" w:rsidTr="00C65234">
        <w:trPr>
          <w:trHeight w:val="99"/>
        </w:trPr>
        <w:tc>
          <w:tcPr>
            <w:tcW w:w="1489" w:type="dxa"/>
          </w:tcPr>
          <w:p w14:paraId="64781B5F" w14:textId="77777777" w:rsidR="008A23A2" w:rsidRPr="008A23A2" w:rsidRDefault="008A23A2" w:rsidP="008A23A2">
            <w:r w:rsidRPr="008A23A2">
              <w:rPr>
                <w:sz w:val="22"/>
                <w:szCs w:val="22"/>
              </w:rPr>
              <w:t>MZP</w:t>
            </w:r>
          </w:p>
        </w:tc>
        <w:tc>
          <w:tcPr>
            <w:tcW w:w="7011" w:type="dxa"/>
          </w:tcPr>
          <w:p w14:paraId="6EBF0B0A" w14:textId="77777777" w:rsidR="008A23A2" w:rsidRPr="008A23A2" w:rsidRDefault="008A23A2" w:rsidP="008A23A2">
            <w:r w:rsidRPr="008A23A2">
              <w:rPr>
                <w:sz w:val="22"/>
                <w:szCs w:val="22"/>
              </w:rPr>
              <w:t>Mapy zagrożenia powodziowego</w:t>
            </w:r>
          </w:p>
        </w:tc>
      </w:tr>
      <w:tr w:rsidR="008A23A2" w:rsidRPr="008A23A2" w14:paraId="150257AC" w14:textId="77777777" w:rsidTr="00C65234">
        <w:trPr>
          <w:trHeight w:val="99"/>
        </w:trPr>
        <w:tc>
          <w:tcPr>
            <w:tcW w:w="1489" w:type="dxa"/>
          </w:tcPr>
          <w:p w14:paraId="458A219E" w14:textId="77777777" w:rsidR="008A23A2" w:rsidRPr="008A23A2" w:rsidRDefault="008A23A2" w:rsidP="008A23A2">
            <w:r w:rsidRPr="008A23A2">
              <w:rPr>
                <w:sz w:val="22"/>
                <w:szCs w:val="22"/>
              </w:rPr>
              <w:t>NFOŚiGW</w:t>
            </w:r>
          </w:p>
        </w:tc>
        <w:tc>
          <w:tcPr>
            <w:tcW w:w="7011" w:type="dxa"/>
          </w:tcPr>
          <w:p w14:paraId="5F387C38" w14:textId="77777777" w:rsidR="008A23A2" w:rsidRPr="008A23A2" w:rsidRDefault="008A23A2" w:rsidP="008A23A2">
            <w:r w:rsidRPr="008A23A2">
              <w:rPr>
                <w:sz w:val="22"/>
                <w:szCs w:val="22"/>
              </w:rPr>
              <w:t>Narodowy Fundusz Ochrony Środowiska i Gospodarki Wodnej</w:t>
            </w:r>
          </w:p>
        </w:tc>
      </w:tr>
      <w:tr w:rsidR="008A23A2" w:rsidRPr="008A23A2" w14:paraId="3392CB04" w14:textId="77777777" w:rsidTr="00C65234">
        <w:trPr>
          <w:trHeight w:val="99"/>
        </w:trPr>
        <w:tc>
          <w:tcPr>
            <w:tcW w:w="1489" w:type="dxa"/>
          </w:tcPr>
          <w:p w14:paraId="15EA2778" w14:textId="77777777" w:rsidR="008A23A2" w:rsidRPr="008A23A2" w:rsidRDefault="008A23A2" w:rsidP="008A23A2">
            <w:r w:rsidRPr="008A23A2">
              <w:rPr>
                <w:sz w:val="22"/>
                <w:szCs w:val="22"/>
              </w:rPr>
              <w:t>POBM</w:t>
            </w:r>
          </w:p>
        </w:tc>
        <w:tc>
          <w:tcPr>
            <w:tcW w:w="7011" w:type="dxa"/>
          </w:tcPr>
          <w:p w14:paraId="52F8F318" w14:textId="77777777" w:rsidR="008A23A2" w:rsidRPr="008A23A2" w:rsidRDefault="008A23A2" w:rsidP="008A23A2">
            <w:r w:rsidRPr="008A23A2">
              <w:rPr>
                <w:sz w:val="22"/>
                <w:szCs w:val="22"/>
              </w:rPr>
              <w:t>Program ochrony brzegów morskich</w:t>
            </w:r>
          </w:p>
        </w:tc>
      </w:tr>
      <w:tr w:rsidR="008A23A2" w:rsidRPr="008A23A2" w14:paraId="1E5492A4" w14:textId="77777777" w:rsidTr="00C65234">
        <w:trPr>
          <w:trHeight w:val="99"/>
        </w:trPr>
        <w:tc>
          <w:tcPr>
            <w:tcW w:w="1489" w:type="dxa"/>
          </w:tcPr>
          <w:p w14:paraId="2183367E" w14:textId="77777777" w:rsidR="008A23A2" w:rsidRPr="008A23A2" w:rsidRDefault="008A23A2" w:rsidP="008A23A2">
            <w:r w:rsidRPr="008A23A2">
              <w:rPr>
                <w:sz w:val="22"/>
                <w:szCs w:val="22"/>
              </w:rPr>
              <w:t>POWM</w:t>
            </w:r>
          </w:p>
        </w:tc>
        <w:tc>
          <w:tcPr>
            <w:tcW w:w="7011" w:type="dxa"/>
          </w:tcPr>
          <w:p w14:paraId="41CE31AD" w14:textId="77777777" w:rsidR="008A23A2" w:rsidRPr="008A23A2" w:rsidRDefault="008A23A2" w:rsidP="008A23A2">
            <w:r w:rsidRPr="008A23A2">
              <w:rPr>
                <w:sz w:val="22"/>
                <w:szCs w:val="22"/>
              </w:rPr>
              <w:t>Program ochrony wód morskich</w:t>
            </w:r>
          </w:p>
        </w:tc>
      </w:tr>
      <w:tr w:rsidR="008A23A2" w:rsidRPr="008A23A2" w14:paraId="4D193B33" w14:textId="77777777" w:rsidTr="00C65234">
        <w:trPr>
          <w:trHeight w:val="99"/>
        </w:trPr>
        <w:tc>
          <w:tcPr>
            <w:tcW w:w="1489" w:type="dxa"/>
          </w:tcPr>
          <w:p w14:paraId="2D8A5A6C" w14:textId="77777777" w:rsidR="008A23A2" w:rsidRPr="008A23A2" w:rsidRDefault="008A23A2" w:rsidP="008A23A2">
            <w:r w:rsidRPr="008A23A2">
              <w:rPr>
                <w:sz w:val="22"/>
                <w:szCs w:val="22"/>
              </w:rPr>
              <w:t>PZRP</w:t>
            </w:r>
          </w:p>
        </w:tc>
        <w:tc>
          <w:tcPr>
            <w:tcW w:w="7011" w:type="dxa"/>
          </w:tcPr>
          <w:p w14:paraId="2FBBA798" w14:textId="77777777" w:rsidR="008A23A2" w:rsidRPr="008A23A2" w:rsidRDefault="008A23A2" w:rsidP="008A23A2">
            <w:r w:rsidRPr="008A23A2">
              <w:rPr>
                <w:sz w:val="22"/>
                <w:szCs w:val="22"/>
              </w:rPr>
              <w:t>Plan zarządzania ryzykiem powodziowym („rzeczna”) - I cykl planistyczny</w:t>
            </w:r>
          </w:p>
        </w:tc>
      </w:tr>
      <w:tr w:rsidR="008A23A2" w:rsidRPr="008A23A2" w14:paraId="1961F246" w14:textId="77777777" w:rsidTr="00C65234">
        <w:trPr>
          <w:trHeight w:val="99"/>
        </w:trPr>
        <w:tc>
          <w:tcPr>
            <w:tcW w:w="1489" w:type="dxa"/>
          </w:tcPr>
          <w:p w14:paraId="5C00EA38" w14:textId="77777777" w:rsidR="008A23A2" w:rsidRPr="008A23A2" w:rsidRDefault="008A23A2" w:rsidP="008A23A2">
            <w:r w:rsidRPr="008A23A2">
              <w:rPr>
                <w:sz w:val="22"/>
                <w:szCs w:val="22"/>
              </w:rPr>
              <w:t>RDW</w:t>
            </w:r>
          </w:p>
        </w:tc>
        <w:tc>
          <w:tcPr>
            <w:tcW w:w="7011" w:type="dxa"/>
          </w:tcPr>
          <w:p w14:paraId="2A264641" w14:textId="77777777" w:rsidR="008A23A2" w:rsidRPr="008A23A2" w:rsidRDefault="008A23A2" w:rsidP="008A23A2">
            <w:pPr>
              <w:tabs>
                <w:tab w:val="center" w:pos="3397"/>
              </w:tabs>
            </w:pPr>
            <w:r w:rsidRPr="008A23A2">
              <w:rPr>
                <w:sz w:val="22"/>
                <w:szCs w:val="22"/>
              </w:rPr>
              <w:t>Ramowa dyrektywa wodna</w:t>
            </w:r>
            <w:r w:rsidRPr="008A23A2">
              <w:rPr>
                <w:sz w:val="22"/>
                <w:szCs w:val="22"/>
              </w:rPr>
              <w:tab/>
              <w:t xml:space="preserve"> - Dyrektywa 2000/60/WE Parlamentu Europejskiego i Rady z dnia 23 października 2000 r. ustanawiająca ramy wspólnotowego działania w dziedzinie polityki wodnej</w:t>
            </w:r>
          </w:p>
        </w:tc>
      </w:tr>
      <w:tr w:rsidR="008A23A2" w:rsidRPr="008A23A2" w14:paraId="0BA5C2F6" w14:textId="77777777" w:rsidTr="00C65234">
        <w:trPr>
          <w:trHeight w:val="99"/>
        </w:trPr>
        <w:tc>
          <w:tcPr>
            <w:tcW w:w="1489" w:type="dxa"/>
          </w:tcPr>
          <w:p w14:paraId="5D9825EB" w14:textId="77777777" w:rsidR="008A23A2" w:rsidRPr="008A23A2" w:rsidRDefault="008A23A2" w:rsidP="008A23A2">
            <w:r w:rsidRPr="008A23A2">
              <w:rPr>
                <w:sz w:val="22"/>
                <w:szCs w:val="22"/>
              </w:rPr>
              <w:t>RZGW Gdańsk</w:t>
            </w:r>
          </w:p>
        </w:tc>
        <w:tc>
          <w:tcPr>
            <w:tcW w:w="7011" w:type="dxa"/>
          </w:tcPr>
          <w:p w14:paraId="30F394F2" w14:textId="77777777" w:rsidR="008A23A2" w:rsidRPr="008A23A2" w:rsidRDefault="008A23A2" w:rsidP="008A23A2">
            <w:pPr>
              <w:tabs>
                <w:tab w:val="center" w:pos="3397"/>
              </w:tabs>
            </w:pPr>
            <w:r w:rsidRPr="008A23A2">
              <w:rPr>
                <w:sz w:val="22"/>
                <w:szCs w:val="22"/>
              </w:rPr>
              <w:t>Regionalny Zarząd Gospodarki Wodnej Gdańsk</w:t>
            </w:r>
          </w:p>
        </w:tc>
      </w:tr>
      <w:tr w:rsidR="008A23A2" w:rsidRPr="008A23A2" w14:paraId="7B57A92E" w14:textId="77777777" w:rsidTr="00C65234">
        <w:trPr>
          <w:trHeight w:val="99"/>
        </w:trPr>
        <w:tc>
          <w:tcPr>
            <w:tcW w:w="1489" w:type="dxa"/>
          </w:tcPr>
          <w:p w14:paraId="71350FEF" w14:textId="77777777" w:rsidR="008A23A2" w:rsidRPr="008A23A2" w:rsidRDefault="008A23A2" w:rsidP="008A23A2">
            <w:r w:rsidRPr="008A23A2">
              <w:rPr>
                <w:sz w:val="22"/>
                <w:szCs w:val="22"/>
              </w:rPr>
              <w:t>RZGW Szczecin</w:t>
            </w:r>
          </w:p>
        </w:tc>
        <w:tc>
          <w:tcPr>
            <w:tcW w:w="7011" w:type="dxa"/>
          </w:tcPr>
          <w:p w14:paraId="1BB14959" w14:textId="77777777" w:rsidR="008A23A2" w:rsidRPr="008A23A2" w:rsidRDefault="008A23A2" w:rsidP="008A23A2">
            <w:pPr>
              <w:tabs>
                <w:tab w:val="center" w:pos="3397"/>
              </w:tabs>
            </w:pPr>
            <w:r w:rsidRPr="008A23A2">
              <w:rPr>
                <w:sz w:val="22"/>
                <w:szCs w:val="22"/>
              </w:rPr>
              <w:t>Regionalny Zarząd Gospodarki Wodnej Szczecin</w:t>
            </w:r>
          </w:p>
        </w:tc>
      </w:tr>
      <w:tr w:rsidR="008A23A2" w:rsidRPr="008A23A2" w14:paraId="1805C4D6" w14:textId="77777777" w:rsidTr="00C65234">
        <w:trPr>
          <w:trHeight w:val="99"/>
        </w:trPr>
        <w:tc>
          <w:tcPr>
            <w:tcW w:w="1489" w:type="dxa"/>
          </w:tcPr>
          <w:p w14:paraId="6D023F59" w14:textId="77777777" w:rsidR="008A23A2" w:rsidRPr="008A23A2" w:rsidRDefault="008A23A2" w:rsidP="008A23A2">
            <w:r w:rsidRPr="008A23A2">
              <w:rPr>
                <w:sz w:val="22"/>
                <w:szCs w:val="22"/>
              </w:rPr>
              <w:t>S.M.A.R.T.</w:t>
            </w:r>
          </w:p>
        </w:tc>
        <w:tc>
          <w:tcPr>
            <w:tcW w:w="7011" w:type="dxa"/>
          </w:tcPr>
          <w:p w14:paraId="0A451A11" w14:textId="77777777" w:rsidR="008A23A2" w:rsidRPr="008A23A2" w:rsidRDefault="008A23A2" w:rsidP="008A23A2">
            <w:r w:rsidRPr="008A23A2">
              <w:rPr>
                <w:sz w:val="22"/>
                <w:szCs w:val="22"/>
              </w:rPr>
              <w:t>(ang. Specific, Measurable, Achievable, Relevant, Time-bound) metoda oceny działań w zakresie kryteriów: skonkretyzowany, mierzalny, osiągalny, istotny, określony w czasie)</w:t>
            </w:r>
          </w:p>
        </w:tc>
      </w:tr>
      <w:tr w:rsidR="008A23A2" w:rsidRPr="008A23A2" w14:paraId="4E095FC5" w14:textId="77777777" w:rsidTr="00C65234">
        <w:trPr>
          <w:trHeight w:val="99"/>
        </w:trPr>
        <w:tc>
          <w:tcPr>
            <w:tcW w:w="1489" w:type="dxa"/>
          </w:tcPr>
          <w:p w14:paraId="305D043C" w14:textId="77777777" w:rsidR="008A23A2" w:rsidRPr="008A23A2" w:rsidRDefault="008A23A2" w:rsidP="008A23A2">
            <w:r w:rsidRPr="008A23A2">
              <w:rPr>
                <w:sz w:val="22"/>
                <w:szCs w:val="22"/>
              </w:rPr>
              <w:t>SUKZP OM</w:t>
            </w:r>
          </w:p>
        </w:tc>
        <w:tc>
          <w:tcPr>
            <w:tcW w:w="7011" w:type="dxa"/>
          </w:tcPr>
          <w:p w14:paraId="7B783800" w14:textId="77777777" w:rsidR="008A23A2" w:rsidRPr="008A23A2" w:rsidRDefault="008A23A2" w:rsidP="008A23A2">
            <w:r w:rsidRPr="008A23A2">
              <w:rPr>
                <w:sz w:val="22"/>
                <w:szCs w:val="22"/>
              </w:rPr>
              <w:t>Studium Uwarunkowań i Kierunków Zagospodarowania Przestrzennego Obszarów Morskich</w:t>
            </w:r>
          </w:p>
        </w:tc>
      </w:tr>
      <w:tr w:rsidR="008A23A2" w:rsidRPr="008A23A2" w14:paraId="193C3919" w14:textId="77777777" w:rsidTr="00C65234">
        <w:trPr>
          <w:trHeight w:val="99"/>
        </w:trPr>
        <w:tc>
          <w:tcPr>
            <w:tcW w:w="1489" w:type="dxa"/>
          </w:tcPr>
          <w:p w14:paraId="58ABE780" w14:textId="77777777" w:rsidR="008A23A2" w:rsidRPr="008A23A2" w:rsidRDefault="008A23A2" w:rsidP="008A23A2">
            <w:r w:rsidRPr="008A23A2">
              <w:rPr>
                <w:sz w:val="22"/>
                <w:szCs w:val="22"/>
              </w:rPr>
              <w:t>UM Gdynia</w:t>
            </w:r>
          </w:p>
        </w:tc>
        <w:tc>
          <w:tcPr>
            <w:tcW w:w="7011" w:type="dxa"/>
          </w:tcPr>
          <w:p w14:paraId="55DCF8A8" w14:textId="77777777" w:rsidR="008A23A2" w:rsidRPr="008A23A2" w:rsidRDefault="008A23A2" w:rsidP="008A23A2">
            <w:r w:rsidRPr="008A23A2">
              <w:rPr>
                <w:sz w:val="22"/>
                <w:szCs w:val="22"/>
              </w:rPr>
              <w:t>Urząd Morski Gdynia</w:t>
            </w:r>
          </w:p>
        </w:tc>
      </w:tr>
      <w:tr w:rsidR="008A23A2" w:rsidRPr="008A23A2" w14:paraId="349AB4ED" w14:textId="77777777" w:rsidTr="00C65234">
        <w:trPr>
          <w:trHeight w:val="99"/>
        </w:trPr>
        <w:tc>
          <w:tcPr>
            <w:tcW w:w="1489" w:type="dxa"/>
          </w:tcPr>
          <w:p w14:paraId="3667356C" w14:textId="77777777" w:rsidR="008A23A2" w:rsidRPr="008A23A2" w:rsidRDefault="008A23A2" w:rsidP="008A23A2">
            <w:r w:rsidRPr="008A23A2">
              <w:rPr>
                <w:sz w:val="22"/>
                <w:szCs w:val="22"/>
              </w:rPr>
              <w:t>UM Szczecin</w:t>
            </w:r>
          </w:p>
        </w:tc>
        <w:tc>
          <w:tcPr>
            <w:tcW w:w="7011" w:type="dxa"/>
          </w:tcPr>
          <w:p w14:paraId="307932B2" w14:textId="77777777" w:rsidR="008A23A2" w:rsidRPr="008A23A2" w:rsidRDefault="008A23A2" w:rsidP="008A23A2">
            <w:r w:rsidRPr="008A23A2">
              <w:rPr>
                <w:sz w:val="22"/>
                <w:szCs w:val="22"/>
              </w:rPr>
              <w:t>Urząd Morski Szczecin</w:t>
            </w:r>
          </w:p>
        </w:tc>
      </w:tr>
      <w:tr w:rsidR="008A23A2" w:rsidRPr="008A23A2" w14:paraId="0000F216" w14:textId="77777777" w:rsidTr="00C65234">
        <w:trPr>
          <w:trHeight w:val="99"/>
        </w:trPr>
        <w:tc>
          <w:tcPr>
            <w:tcW w:w="1489" w:type="dxa"/>
          </w:tcPr>
          <w:p w14:paraId="2E1BAEE8" w14:textId="77777777" w:rsidR="008A23A2" w:rsidRPr="008A23A2" w:rsidRDefault="008A23A2" w:rsidP="008A23A2">
            <w:r w:rsidRPr="008A23A2">
              <w:rPr>
                <w:sz w:val="22"/>
                <w:szCs w:val="22"/>
              </w:rPr>
              <w:t>WFOŚiGW</w:t>
            </w:r>
          </w:p>
        </w:tc>
        <w:tc>
          <w:tcPr>
            <w:tcW w:w="7011" w:type="dxa"/>
          </w:tcPr>
          <w:p w14:paraId="7711C6B4" w14:textId="77777777" w:rsidR="008A23A2" w:rsidRPr="008A23A2" w:rsidRDefault="008A23A2" w:rsidP="008A23A2">
            <w:r w:rsidRPr="008A23A2">
              <w:rPr>
                <w:sz w:val="22"/>
                <w:szCs w:val="22"/>
              </w:rPr>
              <w:t>Wojewódzki Fundusz Ochrony Środowiska i Gospodarki Wodnej</w:t>
            </w:r>
          </w:p>
        </w:tc>
      </w:tr>
      <w:tr w:rsidR="008A23A2" w:rsidRPr="008A23A2" w14:paraId="496AD5A2" w14:textId="77777777" w:rsidTr="00C65234">
        <w:trPr>
          <w:trHeight w:val="99"/>
        </w:trPr>
        <w:tc>
          <w:tcPr>
            <w:tcW w:w="1489" w:type="dxa"/>
          </w:tcPr>
          <w:p w14:paraId="3F53F1DC" w14:textId="77777777" w:rsidR="008A23A2" w:rsidRPr="008A23A2" w:rsidRDefault="008A23A2" w:rsidP="008A23A2">
            <w:r w:rsidRPr="008A23A2">
              <w:rPr>
                <w:sz w:val="22"/>
                <w:szCs w:val="22"/>
              </w:rPr>
              <w:t>WORP</w:t>
            </w:r>
          </w:p>
        </w:tc>
        <w:tc>
          <w:tcPr>
            <w:tcW w:w="7011" w:type="dxa"/>
          </w:tcPr>
          <w:p w14:paraId="127263C9" w14:textId="77777777" w:rsidR="008A23A2" w:rsidRPr="008A23A2" w:rsidRDefault="008A23A2" w:rsidP="008A23A2">
            <w:r w:rsidRPr="008A23A2">
              <w:rPr>
                <w:sz w:val="22"/>
                <w:szCs w:val="22"/>
              </w:rPr>
              <w:t>Wstępna ocena ryzyka powodziowego</w:t>
            </w:r>
          </w:p>
        </w:tc>
      </w:tr>
    </w:tbl>
    <w:p w14:paraId="229289DC" w14:textId="77777777" w:rsidR="00107FCF" w:rsidRDefault="00107FCF" w:rsidP="00A67656">
      <w:pPr>
        <w:pStyle w:val="ReportText"/>
        <w:spacing w:before="120"/>
        <w:jc w:val="both"/>
      </w:pPr>
    </w:p>
    <w:p w14:paraId="6ABF86E0" w14:textId="77777777" w:rsidR="00107FCF" w:rsidRDefault="00107FCF">
      <w:pPr>
        <w:rPr>
          <w:szCs w:val="20"/>
          <w:lang w:eastAsia="en-US"/>
        </w:rPr>
      </w:pPr>
      <w:r>
        <w:br w:type="page"/>
      </w:r>
    </w:p>
    <w:p w14:paraId="50A623EE" w14:textId="77777777" w:rsidR="00107FCF" w:rsidRPr="00BE0B7D" w:rsidRDefault="00107FCF" w:rsidP="008818C9">
      <w:pPr>
        <w:pStyle w:val="ReportExecSummary"/>
        <w:spacing w:after="0"/>
      </w:pPr>
      <w:bookmarkStart w:id="156" w:name="_Toc80608751"/>
      <w:r w:rsidRPr="00BE0B7D">
        <w:lastRenderedPageBreak/>
        <w:t>Spis Tabel</w:t>
      </w:r>
      <w:bookmarkEnd w:id="156"/>
    </w:p>
    <w:p w14:paraId="54CED2FE" w14:textId="76D0FAD0" w:rsidR="00426706" w:rsidRDefault="00107FCF" w:rsidP="00426706">
      <w:pPr>
        <w:pStyle w:val="Spisilustracji"/>
        <w:tabs>
          <w:tab w:val="left" w:pos="7938"/>
        </w:tabs>
        <w:rPr>
          <w:rFonts w:asciiTheme="minorHAnsi" w:eastAsiaTheme="minorEastAsia" w:hAnsiTheme="minorHAnsi" w:cstheme="minorBidi"/>
          <w:noProof/>
          <w:sz w:val="22"/>
          <w:szCs w:val="22"/>
          <w:lang w:eastAsia="pl-PL"/>
        </w:rPr>
      </w:pPr>
      <w:r w:rsidRPr="00C57EE2">
        <w:rPr>
          <w:rStyle w:val="Hipercze"/>
          <w:sz w:val="22"/>
          <w:szCs w:val="22"/>
        </w:rPr>
        <w:fldChar w:fldCharType="begin"/>
      </w:r>
      <w:r w:rsidRPr="00C57EE2">
        <w:rPr>
          <w:rStyle w:val="Hipercze"/>
          <w:sz w:val="22"/>
          <w:szCs w:val="22"/>
        </w:rPr>
        <w:instrText xml:space="preserve"> TOC \h \z \c "Tabela" </w:instrText>
      </w:r>
      <w:r w:rsidRPr="00C57EE2">
        <w:rPr>
          <w:rStyle w:val="Hipercze"/>
          <w:sz w:val="22"/>
          <w:szCs w:val="22"/>
        </w:rPr>
        <w:fldChar w:fldCharType="separate"/>
      </w:r>
      <w:hyperlink w:anchor="_Toc80608754" w:history="1">
        <w:r w:rsidR="00426706" w:rsidRPr="00956A03">
          <w:rPr>
            <w:rStyle w:val="Hipercze"/>
            <w:noProof/>
          </w:rPr>
          <w:t xml:space="preserve">Tabela 1 </w:t>
        </w:r>
        <w:r w:rsidR="00426706">
          <w:rPr>
            <w:rFonts w:asciiTheme="minorHAnsi" w:eastAsiaTheme="minorEastAsia" w:hAnsiTheme="minorHAnsi" w:cstheme="minorBidi"/>
            <w:noProof/>
            <w:sz w:val="22"/>
            <w:szCs w:val="22"/>
            <w:lang w:eastAsia="pl-PL"/>
          </w:rPr>
          <w:tab/>
        </w:r>
        <w:r w:rsidR="00426706" w:rsidRPr="00956A03">
          <w:rPr>
            <w:rStyle w:val="Hipercze"/>
            <w:noProof/>
          </w:rPr>
          <w:t>Zidentyfikowane obszary problemowe w obszarze zlewni planistycznej Dolnej Odry (II cykl planistyczny)</w:t>
        </w:r>
        <w:r w:rsidR="00426706">
          <w:rPr>
            <w:noProof/>
            <w:webHidden/>
          </w:rPr>
          <w:tab/>
        </w:r>
        <w:r w:rsidR="00426706">
          <w:rPr>
            <w:noProof/>
            <w:webHidden/>
          </w:rPr>
          <w:fldChar w:fldCharType="begin"/>
        </w:r>
        <w:r w:rsidR="00426706">
          <w:rPr>
            <w:noProof/>
            <w:webHidden/>
          </w:rPr>
          <w:instrText xml:space="preserve"> PAGEREF _Toc80608754 \h </w:instrText>
        </w:r>
        <w:r w:rsidR="00426706">
          <w:rPr>
            <w:noProof/>
            <w:webHidden/>
          </w:rPr>
        </w:r>
        <w:r w:rsidR="00426706">
          <w:rPr>
            <w:noProof/>
            <w:webHidden/>
          </w:rPr>
          <w:fldChar w:fldCharType="separate"/>
        </w:r>
        <w:r w:rsidR="00426706">
          <w:rPr>
            <w:noProof/>
            <w:webHidden/>
          </w:rPr>
          <w:t>5</w:t>
        </w:r>
        <w:r w:rsidR="00426706">
          <w:rPr>
            <w:noProof/>
            <w:webHidden/>
          </w:rPr>
          <w:fldChar w:fldCharType="end"/>
        </w:r>
      </w:hyperlink>
    </w:p>
    <w:p w14:paraId="1D814845" w14:textId="64FF2D48"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55" w:history="1">
        <w:r w:rsidR="00426706" w:rsidRPr="00956A03">
          <w:rPr>
            <w:rStyle w:val="Hipercze"/>
            <w:noProof/>
          </w:rPr>
          <w:t>Tabela 2</w:t>
        </w:r>
        <w:r w:rsidR="00426706">
          <w:rPr>
            <w:rFonts w:asciiTheme="minorHAnsi" w:eastAsiaTheme="minorEastAsia" w:hAnsiTheme="minorHAnsi" w:cstheme="minorBidi"/>
            <w:noProof/>
            <w:sz w:val="22"/>
            <w:szCs w:val="22"/>
            <w:lang w:eastAsia="pl-PL"/>
          </w:rPr>
          <w:tab/>
        </w:r>
        <w:r w:rsidR="00426706" w:rsidRPr="00956A03">
          <w:rPr>
            <w:rStyle w:val="Hipercze"/>
            <w:noProof/>
          </w:rPr>
          <w:t>Wartość mienia prywatnego na terenach zabudowy mieszkaniowej uwzględniające wskaźnik straty pośredniej</w:t>
        </w:r>
        <w:r w:rsidR="00426706">
          <w:rPr>
            <w:noProof/>
            <w:webHidden/>
          </w:rPr>
          <w:tab/>
        </w:r>
        <w:r w:rsidR="00426706">
          <w:rPr>
            <w:noProof/>
            <w:webHidden/>
          </w:rPr>
          <w:fldChar w:fldCharType="begin"/>
        </w:r>
        <w:r w:rsidR="00426706">
          <w:rPr>
            <w:noProof/>
            <w:webHidden/>
          </w:rPr>
          <w:instrText xml:space="preserve"> PAGEREF _Toc80608755 \h </w:instrText>
        </w:r>
        <w:r w:rsidR="00426706">
          <w:rPr>
            <w:noProof/>
            <w:webHidden/>
          </w:rPr>
        </w:r>
        <w:r w:rsidR="00426706">
          <w:rPr>
            <w:noProof/>
            <w:webHidden/>
          </w:rPr>
          <w:fldChar w:fldCharType="separate"/>
        </w:r>
        <w:r w:rsidR="00426706">
          <w:rPr>
            <w:noProof/>
            <w:webHidden/>
          </w:rPr>
          <w:t>35</w:t>
        </w:r>
        <w:r w:rsidR="00426706">
          <w:rPr>
            <w:noProof/>
            <w:webHidden/>
          </w:rPr>
          <w:fldChar w:fldCharType="end"/>
        </w:r>
      </w:hyperlink>
    </w:p>
    <w:p w14:paraId="03BE4B6C" w14:textId="1162E1C7"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56" w:history="1">
        <w:r w:rsidR="00426706" w:rsidRPr="00956A03">
          <w:rPr>
            <w:rStyle w:val="Hipercze"/>
            <w:noProof/>
          </w:rPr>
          <w:t xml:space="preserve">Tabela 3 </w:t>
        </w:r>
        <w:r w:rsidR="00426706">
          <w:rPr>
            <w:rFonts w:asciiTheme="minorHAnsi" w:eastAsiaTheme="minorEastAsia" w:hAnsiTheme="minorHAnsi" w:cstheme="minorBidi"/>
            <w:noProof/>
            <w:sz w:val="22"/>
            <w:szCs w:val="22"/>
            <w:lang w:eastAsia="pl-PL"/>
          </w:rPr>
          <w:tab/>
        </w:r>
        <w:r w:rsidR="00426706" w:rsidRPr="00956A03">
          <w:rPr>
            <w:rStyle w:val="Hipercze"/>
            <w:noProof/>
          </w:rPr>
          <w:t>Utrata wartości majątku dla osiedli mieszkaniowych z uwzględnieniem przedziałów głębokości.</w:t>
        </w:r>
        <w:r w:rsidR="00426706">
          <w:rPr>
            <w:noProof/>
            <w:webHidden/>
          </w:rPr>
          <w:tab/>
        </w:r>
        <w:r w:rsidR="00426706">
          <w:rPr>
            <w:noProof/>
            <w:webHidden/>
          </w:rPr>
          <w:fldChar w:fldCharType="begin"/>
        </w:r>
        <w:r w:rsidR="00426706">
          <w:rPr>
            <w:noProof/>
            <w:webHidden/>
          </w:rPr>
          <w:instrText xml:space="preserve"> PAGEREF _Toc80608756 \h </w:instrText>
        </w:r>
        <w:r w:rsidR="00426706">
          <w:rPr>
            <w:noProof/>
            <w:webHidden/>
          </w:rPr>
        </w:r>
        <w:r w:rsidR="00426706">
          <w:rPr>
            <w:noProof/>
            <w:webHidden/>
          </w:rPr>
          <w:fldChar w:fldCharType="separate"/>
        </w:r>
        <w:r w:rsidR="00426706">
          <w:rPr>
            <w:noProof/>
            <w:webHidden/>
          </w:rPr>
          <w:t>35</w:t>
        </w:r>
        <w:r w:rsidR="00426706">
          <w:rPr>
            <w:noProof/>
            <w:webHidden/>
          </w:rPr>
          <w:fldChar w:fldCharType="end"/>
        </w:r>
      </w:hyperlink>
    </w:p>
    <w:p w14:paraId="3660253C" w14:textId="679D5199"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57" w:history="1">
        <w:r w:rsidR="00426706" w:rsidRPr="00956A03">
          <w:rPr>
            <w:rStyle w:val="Hipercze"/>
            <w:noProof/>
          </w:rPr>
          <w:t>Tabela 4</w:t>
        </w:r>
        <w:r w:rsidR="00426706">
          <w:rPr>
            <w:rFonts w:asciiTheme="minorHAnsi" w:eastAsiaTheme="minorEastAsia" w:hAnsiTheme="minorHAnsi" w:cstheme="minorBidi"/>
            <w:noProof/>
            <w:sz w:val="22"/>
            <w:szCs w:val="22"/>
            <w:lang w:eastAsia="pl-PL"/>
          </w:rPr>
          <w:tab/>
        </w:r>
        <w:r w:rsidR="00426706" w:rsidRPr="00956A03">
          <w:rPr>
            <w:rStyle w:val="Hipercze"/>
            <w:noProof/>
          </w:rPr>
          <w:t>Wartość mienia prywatnego na terenach zabudowy przemysłowej uwzględniające wskaźnik straty pośredniej</w:t>
        </w:r>
        <w:r w:rsidR="00426706">
          <w:rPr>
            <w:noProof/>
            <w:webHidden/>
          </w:rPr>
          <w:tab/>
        </w:r>
        <w:r w:rsidR="00426706">
          <w:rPr>
            <w:noProof/>
            <w:webHidden/>
          </w:rPr>
          <w:fldChar w:fldCharType="begin"/>
        </w:r>
        <w:r w:rsidR="00426706">
          <w:rPr>
            <w:noProof/>
            <w:webHidden/>
          </w:rPr>
          <w:instrText xml:space="preserve"> PAGEREF _Toc80608757 \h </w:instrText>
        </w:r>
        <w:r w:rsidR="00426706">
          <w:rPr>
            <w:noProof/>
            <w:webHidden/>
          </w:rPr>
        </w:r>
        <w:r w:rsidR="00426706">
          <w:rPr>
            <w:noProof/>
            <w:webHidden/>
          </w:rPr>
          <w:fldChar w:fldCharType="separate"/>
        </w:r>
        <w:r w:rsidR="00426706">
          <w:rPr>
            <w:noProof/>
            <w:webHidden/>
          </w:rPr>
          <w:t>36</w:t>
        </w:r>
        <w:r w:rsidR="00426706">
          <w:rPr>
            <w:noProof/>
            <w:webHidden/>
          </w:rPr>
          <w:fldChar w:fldCharType="end"/>
        </w:r>
      </w:hyperlink>
    </w:p>
    <w:p w14:paraId="21812EB7" w14:textId="6A68DD21"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58" w:history="1">
        <w:r w:rsidR="00426706" w:rsidRPr="00956A03">
          <w:rPr>
            <w:rStyle w:val="Hipercze"/>
            <w:noProof/>
          </w:rPr>
          <w:t>Tabela 5</w:t>
        </w:r>
        <w:r w:rsidR="00426706">
          <w:rPr>
            <w:rFonts w:asciiTheme="minorHAnsi" w:eastAsiaTheme="minorEastAsia" w:hAnsiTheme="minorHAnsi" w:cstheme="minorBidi"/>
            <w:noProof/>
            <w:sz w:val="22"/>
            <w:szCs w:val="22"/>
            <w:lang w:eastAsia="pl-PL"/>
          </w:rPr>
          <w:tab/>
        </w:r>
        <w:r w:rsidR="00426706" w:rsidRPr="00956A03">
          <w:rPr>
            <w:rStyle w:val="Hipercze"/>
            <w:noProof/>
          </w:rPr>
          <w:t>Utrata wartości majątku dla terenów przemysłowych z uwzględnieniem przedziałów głębokości.</w:t>
        </w:r>
        <w:r w:rsidR="00426706">
          <w:rPr>
            <w:noProof/>
            <w:webHidden/>
          </w:rPr>
          <w:tab/>
        </w:r>
        <w:r w:rsidR="00426706">
          <w:rPr>
            <w:noProof/>
            <w:webHidden/>
          </w:rPr>
          <w:fldChar w:fldCharType="begin"/>
        </w:r>
        <w:r w:rsidR="00426706">
          <w:rPr>
            <w:noProof/>
            <w:webHidden/>
          </w:rPr>
          <w:instrText xml:space="preserve"> PAGEREF _Toc80608758 \h </w:instrText>
        </w:r>
        <w:r w:rsidR="00426706">
          <w:rPr>
            <w:noProof/>
            <w:webHidden/>
          </w:rPr>
        </w:r>
        <w:r w:rsidR="00426706">
          <w:rPr>
            <w:noProof/>
            <w:webHidden/>
          </w:rPr>
          <w:fldChar w:fldCharType="separate"/>
        </w:r>
        <w:r w:rsidR="00426706">
          <w:rPr>
            <w:noProof/>
            <w:webHidden/>
          </w:rPr>
          <w:t>37</w:t>
        </w:r>
        <w:r w:rsidR="00426706">
          <w:rPr>
            <w:noProof/>
            <w:webHidden/>
          </w:rPr>
          <w:fldChar w:fldCharType="end"/>
        </w:r>
      </w:hyperlink>
    </w:p>
    <w:p w14:paraId="73E9D3A1" w14:textId="7504C92A"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59" w:history="1">
        <w:r w:rsidR="00426706" w:rsidRPr="00956A03">
          <w:rPr>
            <w:rStyle w:val="Hipercze"/>
            <w:noProof/>
          </w:rPr>
          <w:t>Tabela 6</w:t>
        </w:r>
        <w:r w:rsidR="00426706">
          <w:rPr>
            <w:rFonts w:asciiTheme="minorHAnsi" w:eastAsiaTheme="minorEastAsia" w:hAnsiTheme="minorHAnsi" w:cstheme="minorBidi"/>
            <w:noProof/>
            <w:sz w:val="22"/>
            <w:szCs w:val="22"/>
            <w:lang w:eastAsia="pl-PL"/>
          </w:rPr>
          <w:tab/>
        </w:r>
        <w:r w:rsidR="00426706" w:rsidRPr="00956A03">
          <w:rPr>
            <w:rStyle w:val="Hipercze"/>
            <w:noProof/>
          </w:rPr>
          <w:t>Utrata wartości majątku dla terenów komunikacyjnych z uwzględnieniem przedziałów głębokości.</w:t>
        </w:r>
        <w:r w:rsidR="00426706">
          <w:rPr>
            <w:noProof/>
            <w:webHidden/>
          </w:rPr>
          <w:tab/>
        </w:r>
        <w:r w:rsidR="00426706">
          <w:rPr>
            <w:noProof/>
            <w:webHidden/>
          </w:rPr>
          <w:fldChar w:fldCharType="begin"/>
        </w:r>
        <w:r w:rsidR="00426706">
          <w:rPr>
            <w:noProof/>
            <w:webHidden/>
          </w:rPr>
          <w:instrText xml:space="preserve"> PAGEREF _Toc80608759 \h </w:instrText>
        </w:r>
        <w:r w:rsidR="00426706">
          <w:rPr>
            <w:noProof/>
            <w:webHidden/>
          </w:rPr>
        </w:r>
        <w:r w:rsidR="00426706">
          <w:rPr>
            <w:noProof/>
            <w:webHidden/>
          </w:rPr>
          <w:fldChar w:fldCharType="separate"/>
        </w:r>
        <w:r w:rsidR="00426706">
          <w:rPr>
            <w:noProof/>
            <w:webHidden/>
          </w:rPr>
          <w:t>37</w:t>
        </w:r>
        <w:r w:rsidR="00426706">
          <w:rPr>
            <w:noProof/>
            <w:webHidden/>
          </w:rPr>
          <w:fldChar w:fldCharType="end"/>
        </w:r>
      </w:hyperlink>
    </w:p>
    <w:p w14:paraId="6C68CDAF" w14:textId="65CB5694"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0" w:history="1">
        <w:r w:rsidR="00426706" w:rsidRPr="00956A03">
          <w:rPr>
            <w:rStyle w:val="Hipercze"/>
            <w:noProof/>
          </w:rPr>
          <w:t>Tabela 7</w:t>
        </w:r>
        <w:r w:rsidR="00426706">
          <w:rPr>
            <w:rFonts w:asciiTheme="minorHAnsi" w:eastAsiaTheme="minorEastAsia" w:hAnsiTheme="minorHAnsi" w:cstheme="minorBidi"/>
            <w:noProof/>
            <w:sz w:val="22"/>
            <w:szCs w:val="22"/>
            <w:lang w:eastAsia="pl-PL"/>
          </w:rPr>
          <w:tab/>
        </w:r>
        <w:r w:rsidR="00426706" w:rsidRPr="00956A03">
          <w:rPr>
            <w:rStyle w:val="Hipercze"/>
            <w:noProof/>
          </w:rPr>
          <w:t>Wartość potencjalnych strat powodziowych dla gruntów ornych i upraw trwałych</w:t>
        </w:r>
        <w:r w:rsidR="00426706">
          <w:rPr>
            <w:noProof/>
            <w:webHidden/>
          </w:rPr>
          <w:tab/>
        </w:r>
        <w:r w:rsidR="00426706">
          <w:rPr>
            <w:noProof/>
            <w:webHidden/>
          </w:rPr>
          <w:fldChar w:fldCharType="begin"/>
        </w:r>
        <w:r w:rsidR="00426706">
          <w:rPr>
            <w:noProof/>
            <w:webHidden/>
          </w:rPr>
          <w:instrText xml:space="preserve"> PAGEREF _Toc80608760 \h </w:instrText>
        </w:r>
        <w:r w:rsidR="00426706">
          <w:rPr>
            <w:noProof/>
            <w:webHidden/>
          </w:rPr>
        </w:r>
        <w:r w:rsidR="00426706">
          <w:rPr>
            <w:noProof/>
            <w:webHidden/>
          </w:rPr>
          <w:fldChar w:fldCharType="separate"/>
        </w:r>
        <w:r w:rsidR="00426706">
          <w:rPr>
            <w:noProof/>
            <w:webHidden/>
          </w:rPr>
          <w:t>39</w:t>
        </w:r>
        <w:r w:rsidR="00426706">
          <w:rPr>
            <w:noProof/>
            <w:webHidden/>
          </w:rPr>
          <w:fldChar w:fldCharType="end"/>
        </w:r>
      </w:hyperlink>
    </w:p>
    <w:p w14:paraId="0BA798B4" w14:textId="11B5A99A"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1" w:history="1">
        <w:r w:rsidR="00426706" w:rsidRPr="00956A03">
          <w:rPr>
            <w:rStyle w:val="Hipercze"/>
            <w:noProof/>
          </w:rPr>
          <w:t>Tabela 8</w:t>
        </w:r>
        <w:r w:rsidR="00426706">
          <w:rPr>
            <w:rFonts w:asciiTheme="minorHAnsi" w:eastAsiaTheme="minorEastAsia" w:hAnsiTheme="minorHAnsi" w:cstheme="minorBidi"/>
            <w:noProof/>
            <w:sz w:val="22"/>
            <w:szCs w:val="22"/>
            <w:lang w:eastAsia="pl-PL"/>
          </w:rPr>
          <w:tab/>
        </w:r>
        <w:r w:rsidR="00426706" w:rsidRPr="00956A03">
          <w:rPr>
            <w:rStyle w:val="Hipercze"/>
            <w:noProof/>
          </w:rPr>
          <w:t>Wartość potencjalnych strat powodziowych dla użytków zielonych</w:t>
        </w:r>
        <w:r w:rsidR="00426706">
          <w:rPr>
            <w:noProof/>
            <w:webHidden/>
          </w:rPr>
          <w:tab/>
        </w:r>
        <w:r w:rsidR="00426706">
          <w:rPr>
            <w:noProof/>
            <w:webHidden/>
          </w:rPr>
          <w:fldChar w:fldCharType="begin"/>
        </w:r>
        <w:r w:rsidR="00426706">
          <w:rPr>
            <w:noProof/>
            <w:webHidden/>
          </w:rPr>
          <w:instrText xml:space="preserve"> PAGEREF _Toc80608761 \h </w:instrText>
        </w:r>
        <w:r w:rsidR="00426706">
          <w:rPr>
            <w:noProof/>
            <w:webHidden/>
          </w:rPr>
        </w:r>
        <w:r w:rsidR="00426706">
          <w:rPr>
            <w:noProof/>
            <w:webHidden/>
          </w:rPr>
          <w:fldChar w:fldCharType="separate"/>
        </w:r>
        <w:r w:rsidR="00426706">
          <w:rPr>
            <w:noProof/>
            <w:webHidden/>
          </w:rPr>
          <w:t>40</w:t>
        </w:r>
        <w:r w:rsidR="00426706">
          <w:rPr>
            <w:noProof/>
            <w:webHidden/>
          </w:rPr>
          <w:fldChar w:fldCharType="end"/>
        </w:r>
      </w:hyperlink>
    </w:p>
    <w:p w14:paraId="3799FB0C" w14:textId="3C2D96C2"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2" w:history="1">
        <w:r w:rsidR="00426706" w:rsidRPr="00956A03">
          <w:rPr>
            <w:rStyle w:val="Hipercze"/>
            <w:noProof/>
          </w:rPr>
          <w:t>Tabela 9</w:t>
        </w:r>
        <w:r w:rsidR="00426706">
          <w:rPr>
            <w:rFonts w:asciiTheme="minorHAnsi" w:eastAsiaTheme="minorEastAsia" w:hAnsiTheme="minorHAnsi" w:cstheme="minorBidi"/>
            <w:noProof/>
            <w:sz w:val="22"/>
            <w:szCs w:val="22"/>
            <w:lang w:eastAsia="pl-PL"/>
          </w:rPr>
          <w:tab/>
        </w:r>
        <w:r w:rsidR="00426706" w:rsidRPr="00956A03">
          <w:rPr>
            <w:rStyle w:val="Hipercze"/>
            <w:noProof/>
          </w:rPr>
          <w:t>Szacunkowe koszty realizacji wariantów (w tys. zł) *</w:t>
        </w:r>
        <w:r w:rsidR="00426706">
          <w:rPr>
            <w:noProof/>
            <w:webHidden/>
          </w:rPr>
          <w:tab/>
        </w:r>
        <w:r w:rsidR="00426706">
          <w:rPr>
            <w:noProof/>
            <w:webHidden/>
          </w:rPr>
          <w:fldChar w:fldCharType="begin"/>
        </w:r>
        <w:r w:rsidR="00426706">
          <w:rPr>
            <w:noProof/>
            <w:webHidden/>
          </w:rPr>
          <w:instrText xml:space="preserve"> PAGEREF _Toc80608762 \h </w:instrText>
        </w:r>
        <w:r w:rsidR="00426706">
          <w:rPr>
            <w:noProof/>
            <w:webHidden/>
          </w:rPr>
        </w:r>
        <w:r w:rsidR="00426706">
          <w:rPr>
            <w:noProof/>
            <w:webHidden/>
          </w:rPr>
          <w:fldChar w:fldCharType="separate"/>
        </w:r>
        <w:r w:rsidR="00426706">
          <w:rPr>
            <w:noProof/>
            <w:webHidden/>
          </w:rPr>
          <w:t>42</w:t>
        </w:r>
        <w:r w:rsidR="00426706">
          <w:rPr>
            <w:noProof/>
            <w:webHidden/>
          </w:rPr>
          <w:fldChar w:fldCharType="end"/>
        </w:r>
      </w:hyperlink>
    </w:p>
    <w:p w14:paraId="2940C40B" w14:textId="2E5D4E6B"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3" w:history="1">
        <w:r w:rsidR="00426706" w:rsidRPr="00956A03">
          <w:rPr>
            <w:rStyle w:val="Hipercze"/>
            <w:noProof/>
          </w:rPr>
          <w:t>Tabela 10</w:t>
        </w:r>
        <w:r w:rsidR="00426706">
          <w:rPr>
            <w:rFonts w:asciiTheme="minorHAnsi" w:eastAsiaTheme="minorEastAsia" w:hAnsiTheme="minorHAnsi" w:cstheme="minorBidi"/>
            <w:noProof/>
            <w:sz w:val="22"/>
            <w:szCs w:val="22"/>
            <w:lang w:eastAsia="pl-PL"/>
          </w:rPr>
          <w:tab/>
        </w:r>
        <w:r w:rsidR="00426706" w:rsidRPr="00956A03">
          <w:rPr>
            <w:rStyle w:val="Hipercze"/>
            <w:noProof/>
          </w:rPr>
          <w:t>Wyniki analizy kosztów i korzyści dla wariantów planistycznych w zlewni planistycznej Dolnej Odry</w:t>
        </w:r>
        <w:r w:rsidR="00426706">
          <w:rPr>
            <w:noProof/>
            <w:webHidden/>
          </w:rPr>
          <w:tab/>
        </w:r>
        <w:r w:rsidR="00426706">
          <w:rPr>
            <w:noProof/>
            <w:webHidden/>
          </w:rPr>
          <w:fldChar w:fldCharType="begin"/>
        </w:r>
        <w:r w:rsidR="00426706">
          <w:rPr>
            <w:noProof/>
            <w:webHidden/>
          </w:rPr>
          <w:instrText xml:space="preserve"> PAGEREF _Toc80608763 \h </w:instrText>
        </w:r>
        <w:r w:rsidR="00426706">
          <w:rPr>
            <w:noProof/>
            <w:webHidden/>
          </w:rPr>
        </w:r>
        <w:r w:rsidR="00426706">
          <w:rPr>
            <w:noProof/>
            <w:webHidden/>
          </w:rPr>
          <w:fldChar w:fldCharType="separate"/>
        </w:r>
        <w:r w:rsidR="00426706">
          <w:rPr>
            <w:noProof/>
            <w:webHidden/>
          </w:rPr>
          <w:t>43</w:t>
        </w:r>
        <w:r w:rsidR="00426706">
          <w:rPr>
            <w:noProof/>
            <w:webHidden/>
          </w:rPr>
          <w:fldChar w:fldCharType="end"/>
        </w:r>
      </w:hyperlink>
    </w:p>
    <w:p w14:paraId="34AD94D1" w14:textId="5DBE4DF1"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4" w:history="1">
        <w:r w:rsidR="00426706" w:rsidRPr="00956A03">
          <w:rPr>
            <w:rStyle w:val="Hipercze"/>
            <w:noProof/>
          </w:rPr>
          <w:t>Tabela 11</w:t>
        </w:r>
        <w:r w:rsidR="00426706">
          <w:rPr>
            <w:rFonts w:asciiTheme="minorHAnsi" w:eastAsiaTheme="minorEastAsia" w:hAnsiTheme="minorHAnsi" w:cstheme="minorBidi"/>
            <w:noProof/>
            <w:sz w:val="22"/>
            <w:szCs w:val="22"/>
            <w:lang w:eastAsia="pl-PL"/>
          </w:rPr>
          <w:tab/>
        </w:r>
        <w:r w:rsidR="00426706" w:rsidRPr="00956A03">
          <w:rPr>
            <w:rStyle w:val="Hipercze"/>
            <w:noProof/>
          </w:rPr>
          <w:t>Kryteria zbiorcze wykorzystywane w analizie wielokryterialnej wraz z przypisanymi do nich wagami</w:t>
        </w:r>
        <w:r w:rsidR="00426706">
          <w:rPr>
            <w:noProof/>
            <w:webHidden/>
          </w:rPr>
          <w:tab/>
        </w:r>
        <w:r w:rsidR="00426706">
          <w:rPr>
            <w:noProof/>
            <w:webHidden/>
          </w:rPr>
          <w:fldChar w:fldCharType="begin"/>
        </w:r>
        <w:r w:rsidR="00426706">
          <w:rPr>
            <w:noProof/>
            <w:webHidden/>
          </w:rPr>
          <w:instrText xml:space="preserve"> PAGEREF _Toc80608764 \h </w:instrText>
        </w:r>
        <w:r w:rsidR="00426706">
          <w:rPr>
            <w:noProof/>
            <w:webHidden/>
          </w:rPr>
        </w:r>
        <w:r w:rsidR="00426706">
          <w:rPr>
            <w:noProof/>
            <w:webHidden/>
          </w:rPr>
          <w:fldChar w:fldCharType="separate"/>
        </w:r>
        <w:r w:rsidR="00426706">
          <w:rPr>
            <w:noProof/>
            <w:webHidden/>
          </w:rPr>
          <w:t>45</w:t>
        </w:r>
        <w:r w:rsidR="00426706">
          <w:rPr>
            <w:noProof/>
            <w:webHidden/>
          </w:rPr>
          <w:fldChar w:fldCharType="end"/>
        </w:r>
      </w:hyperlink>
    </w:p>
    <w:p w14:paraId="0232DFF6" w14:textId="386E165D"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5" w:history="1">
        <w:r w:rsidR="00426706" w:rsidRPr="00956A03">
          <w:rPr>
            <w:rStyle w:val="Hipercze"/>
            <w:noProof/>
          </w:rPr>
          <w:t>Tabela 12</w:t>
        </w:r>
        <w:r w:rsidR="00426706">
          <w:rPr>
            <w:rFonts w:asciiTheme="minorHAnsi" w:eastAsiaTheme="minorEastAsia" w:hAnsiTheme="minorHAnsi" w:cstheme="minorBidi"/>
            <w:noProof/>
            <w:sz w:val="22"/>
            <w:szCs w:val="22"/>
            <w:lang w:eastAsia="pl-PL"/>
          </w:rPr>
          <w:tab/>
        </w:r>
        <w:r w:rsidR="00426706" w:rsidRPr="00956A03">
          <w:rPr>
            <w:rStyle w:val="Hipercze"/>
            <w:noProof/>
          </w:rPr>
          <w:t>Kryteria szczegółowe wykorzystywane w analizie wielokryterialnej wraz z przypisanymi do nich wagami</w:t>
        </w:r>
        <w:r w:rsidR="00426706">
          <w:rPr>
            <w:noProof/>
            <w:webHidden/>
          </w:rPr>
          <w:tab/>
        </w:r>
        <w:r w:rsidR="00426706">
          <w:rPr>
            <w:noProof/>
            <w:webHidden/>
          </w:rPr>
          <w:fldChar w:fldCharType="begin"/>
        </w:r>
        <w:r w:rsidR="00426706">
          <w:rPr>
            <w:noProof/>
            <w:webHidden/>
          </w:rPr>
          <w:instrText xml:space="preserve"> PAGEREF _Toc80608765 \h </w:instrText>
        </w:r>
        <w:r w:rsidR="00426706">
          <w:rPr>
            <w:noProof/>
            <w:webHidden/>
          </w:rPr>
        </w:r>
        <w:r w:rsidR="00426706">
          <w:rPr>
            <w:noProof/>
            <w:webHidden/>
          </w:rPr>
          <w:fldChar w:fldCharType="separate"/>
        </w:r>
        <w:r w:rsidR="00426706">
          <w:rPr>
            <w:noProof/>
            <w:webHidden/>
          </w:rPr>
          <w:t>46</w:t>
        </w:r>
        <w:r w:rsidR="00426706">
          <w:rPr>
            <w:noProof/>
            <w:webHidden/>
          </w:rPr>
          <w:fldChar w:fldCharType="end"/>
        </w:r>
      </w:hyperlink>
    </w:p>
    <w:p w14:paraId="74C67F29" w14:textId="27198020"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6" w:history="1">
        <w:r w:rsidR="00426706" w:rsidRPr="00956A03">
          <w:rPr>
            <w:rStyle w:val="Hipercze"/>
            <w:noProof/>
          </w:rPr>
          <w:t>Tabela 13</w:t>
        </w:r>
        <w:r w:rsidR="00426706">
          <w:rPr>
            <w:rFonts w:asciiTheme="minorHAnsi" w:eastAsiaTheme="minorEastAsia" w:hAnsiTheme="minorHAnsi" w:cstheme="minorBidi"/>
            <w:noProof/>
            <w:sz w:val="22"/>
            <w:szCs w:val="22"/>
            <w:lang w:eastAsia="pl-PL"/>
          </w:rPr>
          <w:tab/>
        </w:r>
        <w:r w:rsidR="00426706" w:rsidRPr="00956A03">
          <w:rPr>
            <w:rStyle w:val="Hipercze"/>
            <w:noProof/>
          </w:rPr>
          <w:t>Kryteria szczegółowe wykorzystywane w analizie wielokryterialnej wraz z przypisanymi do nich wagami</w:t>
        </w:r>
        <w:r w:rsidR="00426706">
          <w:rPr>
            <w:noProof/>
            <w:webHidden/>
          </w:rPr>
          <w:tab/>
        </w:r>
        <w:r w:rsidR="00426706">
          <w:rPr>
            <w:noProof/>
            <w:webHidden/>
          </w:rPr>
          <w:fldChar w:fldCharType="begin"/>
        </w:r>
        <w:r w:rsidR="00426706">
          <w:rPr>
            <w:noProof/>
            <w:webHidden/>
          </w:rPr>
          <w:instrText xml:space="preserve"> PAGEREF _Toc80608766 \h </w:instrText>
        </w:r>
        <w:r w:rsidR="00426706">
          <w:rPr>
            <w:noProof/>
            <w:webHidden/>
          </w:rPr>
        </w:r>
        <w:r w:rsidR="00426706">
          <w:rPr>
            <w:noProof/>
            <w:webHidden/>
          </w:rPr>
          <w:fldChar w:fldCharType="separate"/>
        </w:r>
        <w:r w:rsidR="00426706">
          <w:rPr>
            <w:noProof/>
            <w:webHidden/>
          </w:rPr>
          <w:t>48</w:t>
        </w:r>
        <w:r w:rsidR="00426706">
          <w:rPr>
            <w:noProof/>
            <w:webHidden/>
          </w:rPr>
          <w:fldChar w:fldCharType="end"/>
        </w:r>
      </w:hyperlink>
    </w:p>
    <w:p w14:paraId="7E093AD5" w14:textId="784CA474"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7" w:history="1">
        <w:r w:rsidR="00426706" w:rsidRPr="00956A03">
          <w:rPr>
            <w:rStyle w:val="Hipercze"/>
            <w:noProof/>
          </w:rPr>
          <w:t>Tabela 14</w:t>
        </w:r>
        <w:r w:rsidR="00426706">
          <w:rPr>
            <w:rFonts w:asciiTheme="minorHAnsi" w:eastAsiaTheme="minorEastAsia" w:hAnsiTheme="minorHAnsi" w:cstheme="minorBidi"/>
            <w:noProof/>
            <w:sz w:val="22"/>
            <w:szCs w:val="22"/>
            <w:lang w:eastAsia="pl-PL"/>
          </w:rPr>
          <w:tab/>
        </w:r>
        <w:r w:rsidR="00426706" w:rsidRPr="00956A03">
          <w:rPr>
            <w:rStyle w:val="Hipercze"/>
            <w:noProof/>
          </w:rPr>
          <w:t>Kryteria szczegółowe wykorzystywane w analizie wielokryterialnej wraz z przypisanymi do nich wagami</w:t>
        </w:r>
        <w:r w:rsidR="00426706">
          <w:rPr>
            <w:noProof/>
            <w:webHidden/>
          </w:rPr>
          <w:tab/>
        </w:r>
        <w:r w:rsidR="00426706">
          <w:rPr>
            <w:noProof/>
            <w:webHidden/>
          </w:rPr>
          <w:fldChar w:fldCharType="begin"/>
        </w:r>
        <w:r w:rsidR="00426706">
          <w:rPr>
            <w:noProof/>
            <w:webHidden/>
          </w:rPr>
          <w:instrText xml:space="preserve"> PAGEREF _Toc80608767 \h </w:instrText>
        </w:r>
        <w:r w:rsidR="00426706">
          <w:rPr>
            <w:noProof/>
            <w:webHidden/>
          </w:rPr>
        </w:r>
        <w:r w:rsidR="00426706">
          <w:rPr>
            <w:noProof/>
            <w:webHidden/>
          </w:rPr>
          <w:fldChar w:fldCharType="separate"/>
        </w:r>
        <w:r w:rsidR="00426706">
          <w:rPr>
            <w:noProof/>
            <w:webHidden/>
          </w:rPr>
          <w:t>48</w:t>
        </w:r>
        <w:r w:rsidR="00426706">
          <w:rPr>
            <w:noProof/>
            <w:webHidden/>
          </w:rPr>
          <w:fldChar w:fldCharType="end"/>
        </w:r>
      </w:hyperlink>
    </w:p>
    <w:p w14:paraId="432306B9" w14:textId="2A42C457"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8" w:history="1">
        <w:r w:rsidR="00426706" w:rsidRPr="00956A03">
          <w:rPr>
            <w:rStyle w:val="Hipercze"/>
            <w:noProof/>
          </w:rPr>
          <w:t>Tabela 15</w:t>
        </w:r>
        <w:r w:rsidR="00426706">
          <w:rPr>
            <w:rFonts w:asciiTheme="minorHAnsi" w:eastAsiaTheme="minorEastAsia" w:hAnsiTheme="minorHAnsi" w:cstheme="minorBidi"/>
            <w:noProof/>
            <w:sz w:val="22"/>
            <w:szCs w:val="22"/>
            <w:lang w:eastAsia="pl-PL"/>
          </w:rPr>
          <w:tab/>
        </w:r>
        <w:r w:rsidR="00426706" w:rsidRPr="00956A03">
          <w:rPr>
            <w:rStyle w:val="Hipercze"/>
            <w:noProof/>
          </w:rPr>
          <w:t>Wyniki analizy wielokryterialnej prowadzonej dla oceny wariantów planistycznych na obszarze problemowym IOP 6 Darłowo</w:t>
        </w:r>
        <w:r w:rsidR="00426706">
          <w:rPr>
            <w:noProof/>
            <w:webHidden/>
          </w:rPr>
          <w:tab/>
        </w:r>
        <w:r w:rsidR="00426706">
          <w:rPr>
            <w:noProof/>
            <w:webHidden/>
          </w:rPr>
          <w:fldChar w:fldCharType="begin"/>
        </w:r>
        <w:r w:rsidR="00426706">
          <w:rPr>
            <w:noProof/>
            <w:webHidden/>
          </w:rPr>
          <w:instrText xml:space="preserve"> PAGEREF _Toc80608768 \h </w:instrText>
        </w:r>
        <w:r w:rsidR="00426706">
          <w:rPr>
            <w:noProof/>
            <w:webHidden/>
          </w:rPr>
        </w:r>
        <w:r w:rsidR="00426706">
          <w:rPr>
            <w:noProof/>
            <w:webHidden/>
          </w:rPr>
          <w:fldChar w:fldCharType="separate"/>
        </w:r>
        <w:r w:rsidR="00426706">
          <w:rPr>
            <w:noProof/>
            <w:webHidden/>
          </w:rPr>
          <w:t>49</w:t>
        </w:r>
        <w:r w:rsidR="00426706">
          <w:rPr>
            <w:noProof/>
            <w:webHidden/>
          </w:rPr>
          <w:fldChar w:fldCharType="end"/>
        </w:r>
      </w:hyperlink>
    </w:p>
    <w:p w14:paraId="31C5BF19" w14:textId="56842201"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69" w:history="1">
        <w:r w:rsidR="00426706" w:rsidRPr="00956A03">
          <w:rPr>
            <w:rStyle w:val="Hipercze"/>
            <w:noProof/>
          </w:rPr>
          <w:t>Tabela 16</w:t>
        </w:r>
        <w:r w:rsidR="00426706">
          <w:rPr>
            <w:rFonts w:asciiTheme="minorHAnsi" w:eastAsiaTheme="minorEastAsia" w:hAnsiTheme="minorHAnsi" w:cstheme="minorBidi"/>
            <w:noProof/>
            <w:sz w:val="22"/>
            <w:szCs w:val="22"/>
            <w:lang w:eastAsia="pl-PL"/>
          </w:rPr>
          <w:tab/>
        </w:r>
        <w:r w:rsidR="00426706" w:rsidRPr="00956A03">
          <w:rPr>
            <w:rStyle w:val="Hipercze"/>
            <w:noProof/>
          </w:rPr>
          <w:t>Wyniki analizy wielokryterialnej prowadzonej dla oceny wariantów planistycznych na obszarze problemowym IOP 10 Stepnica północ</w:t>
        </w:r>
        <w:r w:rsidR="00426706">
          <w:rPr>
            <w:noProof/>
            <w:webHidden/>
          </w:rPr>
          <w:tab/>
        </w:r>
        <w:r w:rsidR="00426706">
          <w:rPr>
            <w:noProof/>
            <w:webHidden/>
          </w:rPr>
          <w:fldChar w:fldCharType="begin"/>
        </w:r>
        <w:r w:rsidR="00426706">
          <w:rPr>
            <w:noProof/>
            <w:webHidden/>
          </w:rPr>
          <w:instrText xml:space="preserve"> PAGEREF _Toc80608769 \h </w:instrText>
        </w:r>
        <w:r w:rsidR="00426706">
          <w:rPr>
            <w:noProof/>
            <w:webHidden/>
          </w:rPr>
        </w:r>
        <w:r w:rsidR="00426706">
          <w:rPr>
            <w:noProof/>
            <w:webHidden/>
          </w:rPr>
          <w:fldChar w:fldCharType="separate"/>
        </w:r>
        <w:r w:rsidR="00426706">
          <w:rPr>
            <w:noProof/>
            <w:webHidden/>
          </w:rPr>
          <w:t>50</w:t>
        </w:r>
        <w:r w:rsidR="00426706">
          <w:rPr>
            <w:noProof/>
            <w:webHidden/>
          </w:rPr>
          <w:fldChar w:fldCharType="end"/>
        </w:r>
      </w:hyperlink>
    </w:p>
    <w:p w14:paraId="0A40FE66" w14:textId="2AB1D72D"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0" w:history="1">
        <w:r w:rsidR="00426706" w:rsidRPr="00956A03">
          <w:rPr>
            <w:rStyle w:val="Hipercze"/>
            <w:noProof/>
          </w:rPr>
          <w:t>Tabela 17</w:t>
        </w:r>
        <w:r w:rsidR="00426706">
          <w:rPr>
            <w:rFonts w:asciiTheme="minorHAnsi" w:eastAsiaTheme="minorEastAsia" w:hAnsiTheme="minorHAnsi" w:cstheme="minorBidi"/>
            <w:noProof/>
            <w:sz w:val="22"/>
            <w:szCs w:val="22"/>
            <w:lang w:eastAsia="pl-PL"/>
          </w:rPr>
          <w:tab/>
        </w:r>
        <w:r w:rsidR="00426706" w:rsidRPr="00956A03">
          <w:rPr>
            <w:rStyle w:val="Hipercze"/>
            <w:noProof/>
          </w:rPr>
          <w:t>Wyniki analizy wielokryterialnej prowadzonej dla oceny wariantów planistycznych na obszarze problemowym IOP 11 Nowe Warpno</w:t>
        </w:r>
        <w:r w:rsidR="00426706">
          <w:rPr>
            <w:noProof/>
            <w:webHidden/>
          </w:rPr>
          <w:tab/>
        </w:r>
        <w:r w:rsidR="00426706">
          <w:rPr>
            <w:noProof/>
            <w:webHidden/>
          </w:rPr>
          <w:fldChar w:fldCharType="begin"/>
        </w:r>
        <w:r w:rsidR="00426706">
          <w:rPr>
            <w:noProof/>
            <w:webHidden/>
          </w:rPr>
          <w:instrText xml:space="preserve"> PAGEREF _Toc80608770 \h </w:instrText>
        </w:r>
        <w:r w:rsidR="00426706">
          <w:rPr>
            <w:noProof/>
            <w:webHidden/>
          </w:rPr>
        </w:r>
        <w:r w:rsidR="00426706">
          <w:rPr>
            <w:noProof/>
            <w:webHidden/>
          </w:rPr>
          <w:fldChar w:fldCharType="separate"/>
        </w:r>
        <w:r w:rsidR="00426706">
          <w:rPr>
            <w:noProof/>
            <w:webHidden/>
          </w:rPr>
          <w:t>51</w:t>
        </w:r>
        <w:r w:rsidR="00426706">
          <w:rPr>
            <w:noProof/>
            <w:webHidden/>
          </w:rPr>
          <w:fldChar w:fldCharType="end"/>
        </w:r>
      </w:hyperlink>
    </w:p>
    <w:p w14:paraId="7A6C3A23" w14:textId="43EA9A22"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1" w:history="1">
        <w:r w:rsidR="00426706" w:rsidRPr="00956A03">
          <w:rPr>
            <w:rStyle w:val="Hipercze"/>
            <w:noProof/>
          </w:rPr>
          <w:t>Tabela 18</w:t>
        </w:r>
        <w:r w:rsidR="00426706">
          <w:rPr>
            <w:rFonts w:asciiTheme="minorHAnsi" w:eastAsiaTheme="minorEastAsia" w:hAnsiTheme="minorHAnsi" w:cstheme="minorBidi"/>
            <w:noProof/>
            <w:sz w:val="22"/>
            <w:szCs w:val="22"/>
            <w:lang w:eastAsia="pl-PL"/>
          </w:rPr>
          <w:tab/>
        </w:r>
        <w:r w:rsidR="00426706" w:rsidRPr="00956A03">
          <w:rPr>
            <w:rStyle w:val="Hipercze"/>
            <w:noProof/>
          </w:rPr>
          <w:t>Ostateczna lista działań aPZRPM</w:t>
        </w:r>
        <w:r w:rsidR="00426706">
          <w:rPr>
            <w:noProof/>
            <w:webHidden/>
          </w:rPr>
          <w:tab/>
        </w:r>
        <w:r w:rsidR="00426706">
          <w:rPr>
            <w:noProof/>
            <w:webHidden/>
          </w:rPr>
          <w:fldChar w:fldCharType="begin"/>
        </w:r>
        <w:r w:rsidR="00426706">
          <w:rPr>
            <w:noProof/>
            <w:webHidden/>
          </w:rPr>
          <w:instrText xml:space="preserve"> PAGEREF _Toc80608771 \h </w:instrText>
        </w:r>
        <w:r w:rsidR="00426706">
          <w:rPr>
            <w:noProof/>
            <w:webHidden/>
          </w:rPr>
        </w:r>
        <w:r w:rsidR="00426706">
          <w:rPr>
            <w:noProof/>
            <w:webHidden/>
          </w:rPr>
          <w:fldChar w:fldCharType="separate"/>
        </w:r>
        <w:r w:rsidR="00426706">
          <w:rPr>
            <w:noProof/>
            <w:webHidden/>
          </w:rPr>
          <w:t>52</w:t>
        </w:r>
        <w:r w:rsidR="00426706">
          <w:rPr>
            <w:noProof/>
            <w:webHidden/>
          </w:rPr>
          <w:fldChar w:fldCharType="end"/>
        </w:r>
      </w:hyperlink>
    </w:p>
    <w:p w14:paraId="24FF3B91" w14:textId="0CFDD354"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2" w:history="1">
        <w:r w:rsidR="00426706" w:rsidRPr="00956A03">
          <w:rPr>
            <w:rStyle w:val="Hipercze"/>
            <w:noProof/>
          </w:rPr>
          <w:t>Tabela 19</w:t>
        </w:r>
        <w:r w:rsidR="00426706">
          <w:rPr>
            <w:rFonts w:asciiTheme="minorHAnsi" w:eastAsiaTheme="minorEastAsia" w:hAnsiTheme="minorHAnsi" w:cstheme="minorBidi"/>
            <w:noProof/>
            <w:sz w:val="22"/>
            <w:szCs w:val="22"/>
            <w:lang w:eastAsia="pl-PL"/>
          </w:rPr>
          <w:tab/>
        </w:r>
        <w:r w:rsidR="00426706" w:rsidRPr="00956A03">
          <w:rPr>
            <w:rStyle w:val="Hipercze"/>
            <w:noProof/>
          </w:rPr>
          <w:t>Ocena istotności oddziaływań</w:t>
        </w:r>
        <w:r w:rsidR="00426706">
          <w:rPr>
            <w:noProof/>
            <w:webHidden/>
          </w:rPr>
          <w:tab/>
        </w:r>
        <w:r w:rsidR="00426706">
          <w:rPr>
            <w:noProof/>
            <w:webHidden/>
          </w:rPr>
          <w:fldChar w:fldCharType="begin"/>
        </w:r>
        <w:r w:rsidR="00426706">
          <w:rPr>
            <w:noProof/>
            <w:webHidden/>
          </w:rPr>
          <w:instrText xml:space="preserve"> PAGEREF _Toc80608772 \h </w:instrText>
        </w:r>
        <w:r w:rsidR="00426706">
          <w:rPr>
            <w:noProof/>
            <w:webHidden/>
          </w:rPr>
        </w:r>
        <w:r w:rsidR="00426706">
          <w:rPr>
            <w:noProof/>
            <w:webHidden/>
          </w:rPr>
          <w:fldChar w:fldCharType="separate"/>
        </w:r>
        <w:r w:rsidR="00426706">
          <w:rPr>
            <w:noProof/>
            <w:webHidden/>
          </w:rPr>
          <w:t>59</w:t>
        </w:r>
        <w:r w:rsidR="00426706">
          <w:rPr>
            <w:noProof/>
            <w:webHidden/>
          </w:rPr>
          <w:fldChar w:fldCharType="end"/>
        </w:r>
      </w:hyperlink>
    </w:p>
    <w:p w14:paraId="6E9CDE0C" w14:textId="6F5D935F"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3" w:history="1">
        <w:r w:rsidR="00426706" w:rsidRPr="00956A03">
          <w:rPr>
            <w:rStyle w:val="Hipercze"/>
            <w:noProof/>
          </w:rPr>
          <w:t>Tabela 20</w:t>
        </w:r>
        <w:r w:rsidR="00426706">
          <w:rPr>
            <w:rFonts w:asciiTheme="minorHAnsi" w:eastAsiaTheme="minorEastAsia" w:hAnsiTheme="minorHAnsi" w:cstheme="minorBidi"/>
            <w:noProof/>
            <w:sz w:val="22"/>
            <w:szCs w:val="22"/>
            <w:lang w:eastAsia="pl-PL"/>
          </w:rPr>
          <w:tab/>
        </w:r>
        <w:r w:rsidR="00426706" w:rsidRPr="00956A03">
          <w:rPr>
            <w:rStyle w:val="Hipercze"/>
            <w:noProof/>
          </w:rPr>
          <w:t>Identyfikacja JCWP w obrębie, których zlokalizowane są inwestycje i działania oraz tych, na które mogą one oddziaływać</w:t>
        </w:r>
        <w:r w:rsidR="00426706">
          <w:rPr>
            <w:noProof/>
            <w:webHidden/>
          </w:rPr>
          <w:tab/>
        </w:r>
        <w:r w:rsidR="00426706">
          <w:rPr>
            <w:noProof/>
            <w:webHidden/>
          </w:rPr>
          <w:fldChar w:fldCharType="begin"/>
        </w:r>
        <w:r w:rsidR="00426706">
          <w:rPr>
            <w:noProof/>
            <w:webHidden/>
          </w:rPr>
          <w:instrText xml:space="preserve"> PAGEREF _Toc80608773 \h </w:instrText>
        </w:r>
        <w:r w:rsidR="00426706">
          <w:rPr>
            <w:noProof/>
            <w:webHidden/>
          </w:rPr>
        </w:r>
        <w:r w:rsidR="00426706">
          <w:rPr>
            <w:noProof/>
            <w:webHidden/>
          </w:rPr>
          <w:fldChar w:fldCharType="separate"/>
        </w:r>
        <w:r w:rsidR="00426706">
          <w:rPr>
            <w:noProof/>
            <w:webHidden/>
          </w:rPr>
          <w:t>60</w:t>
        </w:r>
        <w:r w:rsidR="00426706">
          <w:rPr>
            <w:noProof/>
            <w:webHidden/>
          </w:rPr>
          <w:fldChar w:fldCharType="end"/>
        </w:r>
      </w:hyperlink>
    </w:p>
    <w:p w14:paraId="12FF714A" w14:textId="6F6B6001"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4" w:history="1">
        <w:r w:rsidR="00426706" w:rsidRPr="00956A03">
          <w:rPr>
            <w:rStyle w:val="Hipercze"/>
            <w:noProof/>
          </w:rPr>
          <w:t>Tabela 21</w:t>
        </w:r>
        <w:r w:rsidR="00426706">
          <w:rPr>
            <w:rFonts w:asciiTheme="minorHAnsi" w:eastAsiaTheme="minorEastAsia" w:hAnsiTheme="minorHAnsi" w:cstheme="minorBidi"/>
            <w:noProof/>
            <w:sz w:val="22"/>
            <w:szCs w:val="22"/>
            <w:lang w:eastAsia="pl-PL"/>
          </w:rPr>
          <w:tab/>
        </w:r>
        <w:r w:rsidR="00426706" w:rsidRPr="00956A03">
          <w:rPr>
            <w:rStyle w:val="Hipercze"/>
            <w:rFonts w:eastAsia="Times New Roman"/>
            <w:noProof/>
            <w:lang w:eastAsia="pl-PL"/>
          </w:rPr>
          <w:t xml:space="preserve">Ocena </w:t>
        </w:r>
        <w:r w:rsidR="00426706" w:rsidRPr="00956A03">
          <w:rPr>
            <w:rStyle w:val="Hipercze"/>
            <w:noProof/>
          </w:rPr>
          <w:t>zgodności z celami środowiskowymi wynikającymi z</w:t>
        </w:r>
        <w:r w:rsidR="00426706" w:rsidRPr="00956A03">
          <w:rPr>
            <w:rStyle w:val="Hipercze"/>
            <w:b/>
            <w:bCs/>
            <w:noProof/>
          </w:rPr>
          <w:t xml:space="preserve"> </w:t>
        </w:r>
        <w:r w:rsidR="00426706" w:rsidRPr="00956A03">
          <w:rPr>
            <w:rStyle w:val="Hipercze"/>
            <w:noProof/>
          </w:rPr>
          <w:t>Ramowej Dyrektywy Wodnej i wymaganiami</w:t>
        </w:r>
        <w:r w:rsidR="00426706" w:rsidRPr="00956A03">
          <w:rPr>
            <w:rStyle w:val="Hipercze"/>
            <w:b/>
            <w:bCs/>
            <w:noProof/>
          </w:rPr>
          <w:t xml:space="preserve"> </w:t>
        </w:r>
        <w:r w:rsidR="00426706" w:rsidRPr="00956A03">
          <w:rPr>
            <w:rStyle w:val="Hipercze"/>
            <w:noProof/>
          </w:rPr>
          <w:t>Dyrektywy Ptasiej i Siedliskowej oraz wymaganiami ustawy o Ochronie Przyrody</w:t>
        </w:r>
        <w:r w:rsidR="00426706" w:rsidRPr="00956A03">
          <w:rPr>
            <w:rStyle w:val="Hipercze"/>
            <w:b/>
            <w:bCs/>
            <w:noProof/>
          </w:rPr>
          <w:t>-</w:t>
        </w:r>
        <w:r w:rsidR="00426706" w:rsidRPr="00956A03">
          <w:rPr>
            <w:rStyle w:val="Hipercze"/>
            <w:bCs/>
            <w:noProof/>
          </w:rPr>
          <w:t xml:space="preserve"> podsumowanie oceny dla </w:t>
        </w:r>
        <w:r w:rsidR="00426706" w:rsidRPr="00956A03">
          <w:rPr>
            <w:rStyle w:val="Hipercze"/>
            <w:noProof/>
          </w:rPr>
          <w:t>obszaru problemowego IOP_6 Darłowo</w:t>
        </w:r>
        <w:r w:rsidR="00426706">
          <w:rPr>
            <w:noProof/>
            <w:webHidden/>
          </w:rPr>
          <w:tab/>
        </w:r>
        <w:r w:rsidR="00426706">
          <w:rPr>
            <w:noProof/>
            <w:webHidden/>
          </w:rPr>
          <w:fldChar w:fldCharType="begin"/>
        </w:r>
        <w:r w:rsidR="00426706">
          <w:rPr>
            <w:noProof/>
            <w:webHidden/>
          </w:rPr>
          <w:instrText xml:space="preserve"> PAGEREF _Toc80608774 \h </w:instrText>
        </w:r>
        <w:r w:rsidR="00426706">
          <w:rPr>
            <w:noProof/>
            <w:webHidden/>
          </w:rPr>
        </w:r>
        <w:r w:rsidR="00426706">
          <w:rPr>
            <w:noProof/>
            <w:webHidden/>
          </w:rPr>
          <w:fldChar w:fldCharType="separate"/>
        </w:r>
        <w:r w:rsidR="00426706">
          <w:rPr>
            <w:noProof/>
            <w:webHidden/>
          </w:rPr>
          <w:t>69</w:t>
        </w:r>
        <w:r w:rsidR="00426706">
          <w:rPr>
            <w:noProof/>
            <w:webHidden/>
          </w:rPr>
          <w:fldChar w:fldCharType="end"/>
        </w:r>
      </w:hyperlink>
    </w:p>
    <w:p w14:paraId="6CA9F255" w14:textId="58AFD6E8"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5" w:history="1">
        <w:r w:rsidR="00426706" w:rsidRPr="00956A03">
          <w:rPr>
            <w:rStyle w:val="Hipercze"/>
            <w:noProof/>
          </w:rPr>
          <w:t>Tabela 22</w:t>
        </w:r>
        <w:r w:rsidR="00426706">
          <w:rPr>
            <w:rFonts w:asciiTheme="minorHAnsi" w:eastAsiaTheme="minorEastAsia" w:hAnsiTheme="minorHAnsi" w:cstheme="minorBidi"/>
            <w:noProof/>
            <w:sz w:val="22"/>
            <w:szCs w:val="22"/>
            <w:lang w:eastAsia="pl-PL"/>
          </w:rPr>
          <w:tab/>
        </w:r>
        <w:r w:rsidR="00426706" w:rsidRPr="00956A03">
          <w:rPr>
            <w:rStyle w:val="Hipercze"/>
            <w:noProof/>
          </w:rPr>
          <w:t>Ocena zgodności z celami środowiskowymi wynikającymi z Ramowej Dyrektywy Wodnej i wymaganiami Dyrektywy Ptasiej i Siedliskowej oraz wymaganiami ustawy o Ochronie Przyrody – podsumowanie oceny dla obszaru problemowego IOP_10 Stepnica</w:t>
        </w:r>
        <w:r w:rsidR="00426706">
          <w:rPr>
            <w:noProof/>
            <w:webHidden/>
          </w:rPr>
          <w:tab/>
        </w:r>
        <w:r w:rsidR="00426706">
          <w:rPr>
            <w:noProof/>
            <w:webHidden/>
          </w:rPr>
          <w:fldChar w:fldCharType="begin"/>
        </w:r>
        <w:r w:rsidR="00426706">
          <w:rPr>
            <w:noProof/>
            <w:webHidden/>
          </w:rPr>
          <w:instrText xml:space="preserve"> PAGEREF _Toc80608775 \h </w:instrText>
        </w:r>
        <w:r w:rsidR="00426706">
          <w:rPr>
            <w:noProof/>
            <w:webHidden/>
          </w:rPr>
        </w:r>
        <w:r w:rsidR="00426706">
          <w:rPr>
            <w:noProof/>
            <w:webHidden/>
          </w:rPr>
          <w:fldChar w:fldCharType="separate"/>
        </w:r>
        <w:r w:rsidR="00426706">
          <w:rPr>
            <w:noProof/>
            <w:webHidden/>
          </w:rPr>
          <w:t>70</w:t>
        </w:r>
        <w:r w:rsidR="00426706">
          <w:rPr>
            <w:noProof/>
            <w:webHidden/>
          </w:rPr>
          <w:fldChar w:fldCharType="end"/>
        </w:r>
      </w:hyperlink>
    </w:p>
    <w:p w14:paraId="4EC28789" w14:textId="24187459"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6" w:history="1">
        <w:r w:rsidR="00426706" w:rsidRPr="00956A03">
          <w:rPr>
            <w:rStyle w:val="Hipercze"/>
            <w:noProof/>
          </w:rPr>
          <w:t>Tabela 23</w:t>
        </w:r>
        <w:r w:rsidR="00426706">
          <w:rPr>
            <w:rFonts w:asciiTheme="minorHAnsi" w:eastAsiaTheme="minorEastAsia" w:hAnsiTheme="minorHAnsi" w:cstheme="minorBidi"/>
            <w:noProof/>
            <w:sz w:val="22"/>
            <w:szCs w:val="22"/>
            <w:lang w:eastAsia="pl-PL"/>
          </w:rPr>
          <w:tab/>
        </w:r>
        <w:r w:rsidR="00426706" w:rsidRPr="00956A03">
          <w:rPr>
            <w:rStyle w:val="Hipercze"/>
            <w:noProof/>
          </w:rPr>
          <w:t xml:space="preserve">Ocena zgodności z celami środowiskowymi wynikającymi z Ramowej Dyrektywy Wodnej i wymaganiami Dyrektywy Ptasiej i Siedliskowej oraz </w:t>
        </w:r>
        <w:r w:rsidR="00426706" w:rsidRPr="00956A03">
          <w:rPr>
            <w:rStyle w:val="Hipercze"/>
            <w:noProof/>
          </w:rPr>
          <w:lastRenderedPageBreak/>
          <w:t>wymaganiami ustawy o Ochronie Przyrody – podsumowanie oceny dla obszaru problemowego IOP_11 Nowe Warpno</w:t>
        </w:r>
        <w:r w:rsidR="00426706">
          <w:rPr>
            <w:noProof/>
            <w:webHidden/>
          </w:rPr>
          <w:tab/>
        </w:r>
        <w:r w:rsidR="00426706">
          <w:rPr>
            <w:noProof/>
            <w:webHidden/>
          </w:rPr>
          <w:fldChar w:fldCharType="begin"/>
        </w:r>
        <w:r w:rsidR="00426706">
          <w:rPr>
            <w:noProof/>
            <w:webHidden/>
          </w:rPr>
          <w:instrText xml:space="preserve"> PAGEREF _Toc80608776 \h </w:instrText>
        </w:r>
        <w:r w:rsidR="00426706">
          <w:rPr>
            <w:noProof/>
            <w:webHidden/>
          </w:rPr>
        </w:r>
        <w:r w:rsidR="00426706">
          <w:rPr>
            <w:noProof/>
            <w:webHidden/>
          </w:rPr>
          <w:fldChar w:fldCharType="separate"/>
        </w:r>
        <w:r w:rsidR="00426706">
          <w:rPr>
            <w:noProof/>
            <w:webHidden/>
          </w:rPr>
          <w:t>71</w:t>
        </w:r>
        <w:r w:rsidR="00426706">
          <w:rPr>
            <w:noProof/>
            <w:webHidden/>
          </w:rPr>
          <w:fldChar w:fldCharType="end"/>
        </w:r>
      </w:hyperlink>
    </w:p>
    <w:p w14:paraId="17D678E6" w14:textId="1DC1C958"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7" w:history="1">
        <w:r w:rsidR="00426706" w:rsidRPr="00956A03">
          <w:rPr>
            <w:rStyle w:val="Hipercze"/>
            <w:noProof/>
          </w:rPr>
          <w:t>Tabela 24</w:t>
        </w:r>
        <w:r w:rsidR="00426706">
          <w:rPr>
            <w:rFonts w:asciiTheme="minorHAnsi" w:eastAsiaTheme="minorEastAsia" w:hAnsiTheme="minorHAnsi" w:cstheme="minorBidi"/>
            <w:noProof/>
            <w:sz w:val="22"/>
            <w:szCs w:val="22"/>
            <w:lang w:eastAsia="pl-PL"/>
          </w:rPr>
          <w:tab/>
        </w:r>
        <w:r w:rsidR="00426706" w:rsidRPr="00956A03">
          <w:rPr>
            <w:rStyle w:val="Hipercze"/>
            <w:noProof/>
          </w:rPr>
          <w:t>Katalog działań przypisanych celom szczegółowym</w:t>
        </w:r>
        <w:r w:rsidR="00426706">
          <w:rPr>
            <w:noProof/>
            <w:webHidden/>
          </w:rPr>
          <w:tab/>
        </w:r>
        <w:r w:rsidR="00426706">
          <w:rPr>
            <w:noProof/>
            <w:webHidden/>
          </w:rPr>
          <w:fldChar w:fldCharType="begin"/>
        </w:r>
        <w:r w:rsidR="00426706">
          <w:rPr>
            <w:noProof/>
            <w:webHidden/>
          </w:rPr>
          <w:instrText xml:space="preserve"> PAGEREF _Toc80608777 \h </w:instrText>
        </w:r>
        <w:r w:rsidR="00426706">
          <w:rPr>
            <w:noProof/>
            <w:webHidden/>
          </w:rPr>
        </w:r>
        <w:r w:rsidR="00426706">
          <w:rPr>
            <w:noProof/>
            <w:webHidden/>
          </w:rPr>
          <w:fldChar w:fldCharType="separate"/>
        </w:r>
        <w:r w:rsidR="00426706">
          <w:rPr>
            <w:noProof/>
            <w:webHidden/>
          </w:rPr>
          <w:t>83</w:t>
        </w:r>
        <w:r w:rsidR="00426706">
          <w:rPr>
            <w:noProof/>
            <w:webHidden/>
          </w:rPr>
          <w:fldChar w:fldCharType="end"/>
        </w:r>
      </w:hyperlink>
    </w:p>
    <w:p w14:paraId="19E8D923" w14:textId="14D44047"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8" w:history="1">
        <w:r w:rsidR="00426706" w:rsidRPr="00956A03">
          <w:rPr>
            <w:rStyle w:val="Hipercze"/>
            <w:noProof/>
          </w:rPr>
          <w:t>Tabela 25</w:t>
        </w:r>
        <w:r w:rsidR="00426706">
          <w:rPr>
            <w:rFonts w:asciiTheme="minorHAnsi" w:eastAsiaTheme="minorEastAsia" w:hAnsiTheme="minorHAnsi" w:cstheme="minorBidi"/>
            <w:noProof/>
            <w:sz w:val="22"/>
            <w:szCs w:val="22"/>
            <w:lang w:eastAsia="pl-PL"/>
          </w:rPr>
          <w:tab/>
        </w:r>
        <w:r w:rsidR="00426706" w:rsidRPr="00956A03">
          <w:rPr>
            <w:rStyle w:val="Hipercze"/>
            <w:noProof/>
          </w:rPr>
          <w:t>Grupy interesariuszy, do których skierowano ankietę</w:t>
        </w:r>
        <w:r w:rsidR="00426706">
          <w:rPr>
            <w:noProof/>
            <w:webHidden/>
          </w:rPr>
          <w:tab/>
        </w:r>
        <w:r w:rsidR="00426706">
          <w:rPr>
            <w:noProof/>
            <w:webHidden/>
          </w:rPr>
          <w:fldChar w:fldCharType="begin"/>
        </w:r>
        <w:r w:rsidR="00426706">
          <w:rPr>
            <w:noProof/>
            <w:webHidden/>
          </w:rPr>
          <w:instrText xml:space="preserve"> PAGEREF _Toc80608778 \h </w:instrText>
        </w:r>
        <w:r w:rsidR="00426706">
          <w:rPr>
            <w:noProof/>
            <w:webHidden/>
          </w:rPr>
        </w:r>
        <w:r w:rsidR="00426706">
          <w:rPr>
            <w:noProof/>
            <w:webHidden/>
          </w:rPr>
          <w:fldChar w:fldCharType="separate"/>
        </w:r>
        <w:r w:rsidR="00426706">
          <w:rPr>
            <w:noProof/>
            <w:webHidden/>
          </w:rPr>
          <w:t>90</w:t>
        </w:r>
        <w:r w:rsidR="00426706">
          <w:rPr>
            <w:noProof/>
            <w:webHidden/>
          </w:rPr>
          <w:fldChar w:fldCharType="end"/>
        </w:r>
      </w:hyperlink>
    </w:p>
    <w:p w14:paraId="14DED56E" w14:textId="0587B241"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79" w:history="1">
        <w:r w:rsidR="00426706" w:rsidRPr="00956A03">
          <w:rPr>
            <w:rStyle w:val="Hipercze"/>
            <w:noProof/>
          </w:rPr>
          <w:t>Tabela 26</w:t>
        </w:r>
        <w:r w:rsidR="00426706">
          <w:rPr>
            <w:rFonts w:asciiTheme="minorHAnsi" w:eastAsiaTheme="minorEastAsia" w:hAnsiTheme="minorHAnsi" w:cstheme="minorBidi"/>
            <w:noProof/>
            <w:sz w:val="22"/>
            <w:szCs w:val="22"/>
            <w:lang w:eastAsia="pl-PL"/>
          </w:rPr>
          <w:tab/>
        </w:r>
        <w:r w:rsidR="00426706" w:rsidRPr="00956A03">
          <w:rPr>
            <w:rStyle w:val="Hipercze"/>
            <w:noProof/>
          </w:rPr>
          <w:t>Wskaźniki rezultatów dla monitorowania postępu realizacji PZRP wraz z sumaryczną wartością dla obszaru dorzeczy Odry</w:t>
        </w:r>
        <w:r w:rsidR="00426706">
          <w:rPr>
            <w:noProof/>
            <w:webHidden/>
          </w:rPr>
          <w:tab/>
        </w:r>
        <w:r w:rsidR="00426706">
          <w:rPr>
            <w:noProof/>
            <w:webHidden/>
          </w:rPr>
          <w:fldChar w:fldCharType="begin"/>
        </w:r>
        <w:r w:rsidR="00426706">
          <w:rPr>
            <w:noProof/>
            <w:webHidden/>
          </w:rPr>
          <w:instrText xml:space="preserve"> PAGEREF _Toc80608779 \h </w:instrText>
        </w:r>
        <w:r w:rsidR="00426706">
          <w:rPr>
            <w:noProof/>
            <w:webHidden/>
          </w:rPr>
        </w:r>
        <w:r w:rsidR="00426706">
          <w:rPr>
            <w:noProof/>
            <w:webHidden/>
          </w:rPr>
          <w:fldChar w:fldCharType="separate"/>
        </w:r>
        <w:r w:rsidR="00426706">
          <w:rPr>
            <w:noProof/>
            <w:webHidden/>
          </w:rPr>
          <w:t>92</w:t>
        </w:r>
        <w:r w:rsidR="00426706">
          <w:rPr>
            <w:noProof/>
            <w:webHidden/>
          </w:rPr>
          <w:fldChar w:fldCharType="end"/>
        </w:r>
      </w:hyperlink>
    </w:p>
    <w:p w14:paraId="43AE9BE7" w14:textId="76339DC3"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0" w:history="1">
        <w:r w:rsidR="00426706" w:rsidRPr="00956A03">
          <w:rPr>
            <w:rStyle w:val="Hipercze"/>
            <w:noProof/>
          </w:rPr>
          <w:t>Tabela 27</w:t>
        </w:r>
        <w:r w:rsidR="00426706">
          <w:rPr>
            <w:rFonts w:asciiTheme="minorHAnsi" w:eastAsiaTheme="minorEastAsia" w:hAnsiTheme="minorHAnsi" w:cstheme="minorBidi"/>
            <w:noProof/>
            <w:sz w:val="22"/>
            <w:szCs w:val="22"/>
            <w:lang w:eastAsia="pl-PL"/>
          </w:rPr>
          <w:tab/>
        </w:r>
        <w:r w:rsidR="00426706" w:rsidRPr="00956A03">
          <w:rPr>
            <w:rStyle w:val="Hipercze"/>
            <w:noProof/>
          </w:rPr>
          <w:t>Wskaźniki rezultatów dla monitorowania postępu realizacji PZRP wraz z sumaryczną wartością dla Obszaru Dorzeczy Odry</w:t>
        </w:r>
        <w:r w:rsidR="00426706">
          <w:rPr>
            <w:noProof/>
            <w:webHidden/>
          </w:rPr>
          <w:tab/>
        </w:r>
        <w:r w:rsidR="00426706">
          <w:rPr>
            <w:noProof/>
            <w:webHidden/>
          </w:rPr>
          <w:fldChar w:fldCharType="begin"/>
        </w:r>
        <w:r w:rsidR="00426706">
          <w:rPr>
            <w:noProof/>
            <w:webHidden/>
          </w:rPr>
          <w:instrText xml:space="preserve"> PAGEREF _Toc80608780 \h </w:instrText>
        </w:r>
        <w:r w:rsidR="00426706">
          <w:rPr>
            <w:noProof/>
            <w:webHidden/>
          </w:rPr>
        </w:r>
        <w:r w:rsidR="00426706">
          <w:rPr>
            <w:noProof/>
            <w:webHidden/>
          </w:rPr>
          <w:fldChar w:fldCharType="separate"/>
        </w:r>
        <w:r w:rsidR="00426706">
          <w:rPr>
            <w:noProof/>
            <w:webHidden/>
          </w:rPr>
          <w:t>93</w:t>
        </w:r>
        <w:r w:rsidR="00426706">
          <w:rPr>
            <w:noProof/>
            <w:webHidden/>
          </w:rPr>
          <w:fldChar w:fldCharType="end"/>
        </w:r>
      </w:hyperlink>
    </w:p>
    <w:p w14:paraId="590DCCA4" w14:textId="1C9FB693" w:rsidR="00107FCF" w:rsidRPr="00C57EE2" w:rsidRDefault="00107FCF" w:rsidP="00426706">
      <w:pPr>
        <w:pStyle w:val="Spisilustracji"/>
        <w:tabs>
          <w:tab w:val="clear" w:pos="1247"/>
          <w:tab w:val="left" w:pos="1134"/>
          <w:tab w:val="left" w:pos="7938"/>
        </w:tabs>
        <w:ind w:left="851" w:hanging="851"/>
        <w:rPr>
          <w:rStyle w:val="Hipercze"/>
          <w:sz w:val="22"/>
          <w:szCs w:val="22"/>
        </w:rPr>
      </w:pPr>
      <w:r w:rsidRPr="00C57EE2">
        <w:rPr>
          <w:rStyle w:val="Hipercze"/>
          <w:sz w:val="22"/>
          <w:szCs w:val="22"/>
        </w:rPr>
        <w:fldChar w:fldCharType="end"/>
      </w:r>
      <w:bookmarkStart w:id="157" w:name="_Toc50223158"/>
      <w:bookmarkStart w:id="158" w:name="_Toc50223340"/>
      <w:bookmarkStart w:id="159" w:name="_Toc60778967"/>
    </w:p>
    <w:p w14:paraId="01708992" w14:textId="77777777" w:rsidR="00107FCF" w:rsidRDefault="00107FCF">
      <w:pPr>
        <w:rPr>
          <w:b/>
          <w:color w:val="28AAE1"/>
          <w:sz w:val="32"/>
          <w:szCs w:val="32"/>
          <w:lang w:eastAsia="en-US"/>
        </w:rPr>
      </w:pPr>
      <w:r>
        <w:rPr>
          <w:sz w:val="32"/>
          <w:szCs w:val="32"/>
        </w:rPr>
        <w:br w:type="page"/>
      </w:r>
    </w:p>
    <w:p w14:paraId="555A5F49" w14:textId="71BCD15E" w:rsidR="00107FCF" w:rsidRPr="008818C9" w:rsidRDefault="00107FCF" w:rsidP="008818C9">
      <w:pPr>
        <w:pStyle w:val="ReportExecSummary"/>
        <w:spacing w:after="0"/>
        <w:rPr>
          <w:sz w:val="32"/>
          <w:szCs w:val="32"/>
        </w:rPr>
      </w:pPr>
      <w:bookmarkStart w:id="160" w:name="_Toc80608752"/>
      <w:r w:rsidRPr="008818C9">
        <w:rPr>
          <w:sz w:val="32"/>
          <w:szCs w:val="32"/>
        </w:rPr>
        <w:lastRenderedPageBreak/>
        <w:t>Spis Rysunków</w:t>
      </w:r>
      <w:bookmarkEnd w:id="157"/>
      <w:bookmarkEnd w:id="158"/>
      <w:bookmarkEnd w:id="159"/>
      <w:bookmarkEnd w:id="160"/>
    </w:p>
    <w:p w14:paraId="70BB792D" w14:textId="1983B30E" w:rsidR="00426706" w:rsidRDefault="00107FCF" w:rsidP="00426706">
      <w:pPr>
        <w:pStyle w:val="Spisilustracji"/>
        <w:tabs>
          <w:tab w:val="left" w:pos="7938"/>
        </w:tabs>
        <w:rPr>
          <w:rFonts w:asciiTheme="minorHAnsi" w:eastAsiaTheme="minorEastAsia" w:hAnsiTheme="minorHAnsi" w:cstheme="minorBidi"/>
          <w:noProof/>
          <w:sz w:val="22"/>
          <w:szCs w:val="22"/>
          <w:lang w:eastAsia="pl-PL"/>
        </w:rPr>
      </w:pPr>
      <w:r w:rsidRPr="00C57EE2">
        <w:rPr>
          <w:rStyle w:val="Hipercze"/>
          <w:sz w:val="22"/>
          <w:szCs w:val="22"/>
        </w:rPr>
        <w:fldChar w:fldCharType="begin"/>
      </w:r>
      <w:r w:rsidRPr="00C57EE2">
        <w:rPr>
          <w:rStyle w:val="Hipercze"/>
          <w:sz w:val="22"/>
          <w:szCs w:val="22"/>
        </w:rPr>
        <w:instrText xml:space="preserve"> TOC \h \z \c "Rysunek" </w:instrText>
      </w:r>
      <w:r w:rsidRPr="00C57EE2">
        <w:rPr>
          <w:rStyle w:val="Hipercze"/>
          <w:sz w:val="22"/>
          <w:szCs w:val="22"/>
        </w:rPr>
        <w:fldChar w:fldCharType="separate"/>
      </w:r>
      <w:hyperlink w:anchor="_Toc80608781" w:history="1">
        <w:r w:rsidR="00426706" w:rsidRPr="0053293E">
          <w:rPr>
            <w:rStyle w:val="Hipercze"/>
            <w:noProof/>
          </w:rPr>
          <w:t>Rysunek 1</w:t>
        </w:r>
        <w:r w:rsidR="00426706">
          <w:rPr>
            <w:rFonts w:asciiTheme="minorHAnsi" w:eastAsiaTheme="minorEastAsia" w:hAnsiTheme="minorHAnsi" w:cstheme="minorBidi"/>
            <w:noProof/>
            <w:sz w:val="22"/>
            <w:szCs w:val="22"/>
            <w:lang w:eastAsia="pl-PL"/>
          </w:rPr>
          <w:tab/>
        </w:r>
        <w:r w:rsidR="00426706" w:rsidRPr="0053293E">
          <w:rPr>
            <w:rStyle w:val="Hipercze"/>
            <w:noProof/>
          </w:rPr>
          <w:t xml:space="preserve">Lokalizacja obszaru problemowego IOP_3 </w:t>
        </w:r>
        <w:r w:rsidR="00426706" w:rsidRPr="0053293E">
          <w:rPr>
            <w:rStyle w:val="Hipercze"/>
            <w:noProof/>
            <w:kern w:val="24"/>
          </w:rPr>
          <w:t>Świnoujście - Cieśnina Świna</w:t>
        </w:r>
        <w:r w:rsidR="00426706">
          <w:rPr>
            <w:noProof/>
            <w:webHidden/>
          </w:rPr>
          <w:tab/>
        </w:r>
        <w:r w:rsidR="00426706">
          <w:rPr>
            <w:noProof/>
            <w:webHidden/>
          </w:rPr>
          <w:fldChar w:fldCharType="begin"/>
        </w:r>
        <w:r w:rsidR="00426706">
          <w:rPr>
            <w:noProof/>
            <w:webHidden/>
          </w:rPr>
          <w:instrText xml:space="preserve"> PAGEREF _Toc80608781 \h </w:instrText>
        </w:r>
        <w:r w:rsidR="00426706">
          <w:rPr>
            <w:noProof/>
            <w:webHidden/>
          </w:rPr>
        </w:r>
        <w:r w:rsidR="00426706">
          <w:rPr>
            <w:noProof/>
            <w:webHidden/>
          </w:rPr>
          <w:fldChar w:fldCharType="separate"/>
        </w:r>
        <w:r w:rsidR="00426706">
          <w:rPr>
            <w:noProof/>
            <w:webHidden/>
          </w:rPr>
          <w:t>5</w:t>
        </w:r>
        <w:r w:rsidR="00426706">
          <w:rPr>
            <w:noProof/>
            <w:webHidden/>
          </w:rPr>
          <w:fldChar w:fldCharType="end"/>
        </w:r>
      </w:hyperlink>
    </w:p>
    <w:p w14:paraId="63249820" w14:textId="2BF3D461"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2" w:history="1">
        <w:r w:rsidR="00426706" w:rsidRPr="0053293E">
          <w:rPr>
            <w:rStyle w:val="Hipercze"/>
            <w:noProof/>
          </w:rPr>
          <w:t>Rysunek 2</w:t>
        </w:r>
        <w:r w:rsidR="00426706">
          <w:rPr>
            <w:rFonts w:asciiTheme="minorHAnsi" w:eastAsiaTheme="minorEastAsia" w:hAnsiTheme="minorHAnsi" w:cstheme="minorBidi"/>
            <w:noProof/>
            <w:sz w:val="22"/>
            <w:szCs w:val="22"/>
            <w:lang w:eastAsia="pl-PL"/>
          </w:rPr>
          <w:tab/>
        </w:r>
        <w:r w:rsidR="00426706" w:rsidRPr="0053293E">
          <w:rPr>
            <w:rStyle w:val="Hipercze"/>
            <w:noProof/>
          </w:rPr>
          <w:t xml:space="preserve">Lokalizacja obszaru problemowego </w:t>
        </w:r>
        <w:r w:rsidR="00426706" w:rsidRPr="0053293E">
          <w:rPr>
            <w:rStyle w:val="Hipercze"/>
            <w:noProof/>
            <w:kern w:val="24"/>
          </w:rPr>
          <w:t>IOP_4   Kołobrzeg - ujście Parsęty</w:t>
        </w:r>
        <w:r w:rsidR="00426706">
          <w:rPr>
            <w:noProof/>
            <w:webHidden/>
          </w:rPr>
          <w:tab/>
        </w:r>
        <w:r w:rsidR="00426706">
          <w:rPr>
            <w:noProof/>
            <w:webHidden/>
          </w:rPr>
          <w:fldChar w:fldCharType="begin"/>
        </w:r>
        <w:r w:rsidR="00426706">
          <w:rPr>
            <w:noProof/>
            <w:webHidden/>
          </w:rPr>
          <w:instrText xml:space="preserve"> PAGEREF _Toc80608782 \h </w:instrText>
        </w:r>
        <w:r w:rsidR="00426706">
          <w:rPr>
            <w:noProof/>
            <w:webHidden/>
          </w:rPr>
        </w:r>
        <w:r w:rsidR="00426706">
          <w:rPr>
            <w:noProof/>
            <w:webHidden/>
          </w:rPr>
          <w:fldChar w:fldCharType="separate"/>
        </w:r>
        <w:r w:rsidR="00426706">
          <w:rPr>
            <w:noProof/>
            <w:webHidden/>
          </w:rPr>
          <w:t>6</w:t>
        </w:r>
        <w:r w:rsidR="00426706">
          <w:rPr>
            <w:noProof/>
            <w:webHidden/>
          </w:rPr>
          <w:fldChar w:fldCharType="end"/>
        </w:r>
      </w:hyperlink>
    </w:p>
    <w:p w14:paraId="0DECE94E" w14:textId="79C4A8ED"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3" w:history="1">
        <w:r w:rsidR="00426706" w:rsidRPr="0053293E">
          <w:rPr>
            <w:rStyle w:val="Hipercze"/>
            <w:noProof/>
          </w:rPr>
          <w:t>Rysunek 3</w:t>
        </w:r>
        <w:r w:rsidR="00426706">
          <w:rPr>
            <w:rFonts w:asciiTheme="minorHAnsi" w:eastAsiaTheme="minorEastAsia" w:hAnsiTheme="minorHAnsi" w:cstheme="minorBidi"/>
            <w:noProof/>
            <w:sz w:val="22"/>
            <w:szCs w:val="22"/>
            <w:lang w:eastAsia="pl-PL"/>
          </w:rPr>
          <w:tab/>
        </w:r>
        <w:r w:rsidR="00426706" w:rsidRPr="0053293E">
          <w:rPr>
            <w:rStyle w:val="Hipercze"/>
            <w:noProof/>
          </w:rPr>
          <w:t xml:space="preserve">Lokalizacja obszaru problemowego </w:t>
        </w:r>
        <w:r w:rsidR="00426706" w:rsidRPr="0053293E">
          <w:rPr>
            <w:rStyle w:val="Hipercze"/>
            <w:noProof/>
            <w:kern w:val="24"/>
          </w:rPr>
          <w:t>IOP_6   Darłowo - ujście Wieprzy</w:t>
        </w:r>
        <w:r w:rsidR="00426706">
          <w:rPr>
            <w:noProof/>
            <w:webHidden/>
          </w:rPr>
          <w:tab/>
        </w:r>
        <w:r w:rsidR="00426706">
          <w:rPr>
            <w:noProof/>
            <w:webHidden/>
          </w:rPr>
          <w:fldChar w:fldCharType="begin"/>
        </w:r>
        <w:r w:rsidR="00426706">
          <w:rPr>
            <w:noProof/>
            <w:webHidden/>
          </w:rPr>
          <w:instrText xml:space="preserve"> PAGEREF _Toc80608783 \h </w:instrText>
        </w:r>
        <w:r w:rsidR="00426706">
          <w:rPr>
            <w:noProof/>
            <w:webHidden/>
          </w:rPr>
        </w:r>
        <w:r w:rsidR="00426706">
          <w:rPr>
            <w:noProof/>
            <w:webHidden/>
          </w:rPr>
          <w:fldChar w:fldCharType="separate"/>
        </w:r>
        <w:r w:rsidR="00426706">
          <w:rPr>
            <w:noProof/>
            <w:webHidden/>
          </w:rPr>
          <w:t>6</w:t>
        </w:r>
        <w:r w:rsidR="00426706">
          <w:rPr>
            <w:noProof/>
            <w:webHidden/>
          </w:rPr>
          <w:fldChar w:fldCharType="end"/>
        </w:r>
      </w:hyperlink>
    </w:p>
    <w:p w14:paraId="54BF1B78" w14:textId="21EC7F50"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4" w:history="1">
        <w:r w:rsidR="00426706" w:rsidRPr="0053293E">
          <w:rPr>
            <w:rStyle w:val="Hipercze"/>
            <w:noProof/>
          </w:rPr>
          <w:t>Rysunek 4</w:t>
        </w:r>
        <w:r w:rsidR="00426706">
          <w:rPr>
            <w:rFonts w:asciiTheme="minorHAnsi" w:eastAsiaTheme="minorEastAsia" w:hAnsiTheme="minorHAnsi" w:cstheme="minorBidi"/>
            <w:noProof/>
            <w:sz w:val="22"/>
            <w:szCs w:val="22"/>
            <w:lang w:eastAsia="pl-PL"/>
          </w:rPr>
          <w:tab/>
        </w:r>
        <w:r w:rsidR="00426706" w:rsidRPr="0053293E">
          <w:rPr>
            <w:rStyle w:val="Hipercze"/>
            <w:noProof/>
          </w:rPr>
          <w:t xml:space="preserve">Lokalizacja obszaru problemowego </w:t>
        </w:r>
        <w:r w:rsidR="00426706" w:rsidRPr="0053293E">
          <w:rPr>
            <w:rStyle w:val="Hipercze"/>
            <w:noProof/>
            <w:kern w:val="24"/>
          </w:rPr>
          <w:t>IOP_9   Trzebież - polder Trzebież II</w:t>
        </w:r>
        <w:r w:rsidR="00426706">
          <w:rPr>
            <w:noProof/>
            <w:webHidden/>
          </w:rPr>
          <w:tab/>
        </w:r>
        <w:r w:rsidR="00426706">
          <w:rPr>
            <w:noProof/>
            <w:webHidden/>
          </w:rPr>
          <w:fldChar w:fldCharType="begin"/>
        </w:r>
        <w:r w:rsidR="00426706">
          <w:rPr>
            <w:noProof/>
            <w:webHidden/>
          </w:rPr>
          <w:instrText xml:space="preserve"> PAGEREF _Toc80608784 \h </w:instrText>
        </w:r>
        <w:r w:rsidR="00426706">
          <w:rPr>
            <w:noProof/>
            <w:webHidden/>
          </w:rPr>
        </w:r>
        <w:r w:rsidR="00426706">
          <w:rPr>
            <w:noProof/>
            <w:webHidden/>
          </w:rPr>
          <w:fldChar w:fldCharType="separate"/>
        </w:r>
        <w:r w:rsidR="00426706">
          <w:rPr>
            <w:noProof/>
            <w:webHidden/>
          </w:rPr>
          <w:t>7</w:t>
        </w:r>
        <w:r w:rsidR="00426706">
          <w:rPr>
            <w:noProof/>
            <w:webHidden/>
          </w:rPr>
          <w:fldChar w:fldCharType="end"/>
        </w:r>
      </w:hyperlink>
    </w:p>
    <w:p w14:paraId="428DA508" w14:textId="1F945442"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5" w:history="1">
        <w:r w:rsidR="00426706" w:rsidRPr="0053293E">
          <w:rPr>
            <w:rStyle w:val="Hipercze"/>
            <w:noProof/>
          </w:rPr>
          <w:t>Rysunek 5</w:t>
        </w:r>
        <w:r w:rsidR="00426706">
          <w:rPr>
            <w:rFonts w:asciiTheme="minorHAnsi" w:eastAsiaTheme="minorEastAsia" w:hAnsiTheme="minorHAnsi" w:cstheme="minorBidi"/>
            <w:noProof/>
            <w:sz w:val="22"/>
            <w:szCs w:val="22"/>
            <w:lang w:eastAsia="pl-PL"/>
          </w:rPr>
          <w:tab/>
        </w:r>
        <w:r w:rsidR="00426706" w:rsidRPr="0053293E">
          <w:rPr>
            <w:rStyle w:val="Hipercze"/>
            <w:noProof/>
          </w:rPr>
          <w:t xml:space="preserve">Lokalizacja obszaru problemowego </w:t>
        </w:r>
        <w:r w:rsidR="00426706" w:rsidRPr="0053293E">
          <w:rPr>
            <w:rStyle w:val="Hipercze"/>
            <w:noProof/>
            <w:kern w:val="24"/>
          </w:rPr>
          <w:t>IOP_10 Stepnica północ - Kanał Kłosowicza</w:t>
        </w:r>
        <w:r w:rsidR="00426706">
          <w:rPr>
            <w:noProof/>
            <w:webHidden/>
          </w:rPr>
          <w:tab/>
        </w:r>
        <w:r w:rsidR="00426706">
          <w:rPr>
            <w:noProof/>
            <w:webHidden/>
          </w:rPr>
          <w:fldChar w:fldCharType="begin"/>
        </w:r>
        <w:r w:rsidR="00426706">
          <w:rPr>
            <w:noProof/>
            <w:webHidden/>
          </w:rPr>
          <w:instrText xml:space="preserve"> PAGEREF _Toc80608785 \h </w:instrText>
        </w:r>
        <w:r w:rsidR="00426706">
          <w:rPr>
            <w:noProof/>
            <w:webHidden/>
          </w:rPr>
        </w:r>
        <w:r w:rsidR="00426706">
          <w:rPr>
            <w:noProof/>
            <w:webHidden/>
          </w:rPr>
          <w:fldChar w:fldCharType="separate"/>
        </w:r>
        <w:r w:rsidR="00426706">
          <w:rPr>
            <w:noProof/>
            <w:webHidden/>
          </w:rPr>
          <w:t>7</w:t>
        </w:r>
        <w:r w:rsidR="00426706">
          <w:rPr>
            <w:noProof/>
            <w:webHidden/>
          </w:rPr>
          <w:fldChar w:fldCharType="end"/>
        </w:r>
      </w:hyperlink>
    </w:p>
    <w:p w14:paraId="4F0106F6" w14:textId="5DF48688"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6" w:history="1">
        <w:r w:rsidR="00426706" w:rsidRPr="0053293E">
          <w:rPr>
            <w:rStyle w:val="Hipercze"/>
            <w:noProof/>
          </w:rPr>
          <w:t>Rysunek 6</w:t>
        </w:r>
        <w:r w:rsidR="00426706">
          <w:rPr>
            <w:rFonts w:asciiTheme="minorHAnsi" w:eastAsiaTheme="minorEastAsia" w:hAnsiTheme="minorHAnsi" w:cstheme="minorBidi"/>
            <w:noProof/>
            <w:sz w:val="22"/>
            <w:szCs w:val="22"/>
            <w:lang w:eastAsia="pl-PL"/>
          </w:rPr>
          <w:tab/>
        </w:r>
        <w:r w:rsidR="00426706" w:rsidRPr="0053293E">
          <w:rPr>
            <w:rStyle w:val="Hipercze"/>
            <w:noProof/>
          </w:rPr>
          <w:t xml:space="preserve">Lokalizacja obszaru problemowego </w:t>
        </w:r>
        <w:r w:rsidR="00426706" w:rsidRPr="0053293E">
          <w:rPr>
            <w:rStyle w:val="Hipercze"/>
            <w:noProof/>
            <w:kern w:val="24"/>
          </w:rPr>
          <w:t>IOP_11 Nowe Warpno - okolice Jeziora Nowowarpieńskiego</w:t>
        </w:r>
        <w:r w:rsidR="00426706">
          <w:rPr>
            <w:noProof/>
            <w:webHidden/>
          </w:rPr>
          <w:tab/>
        </w:r>
        <w:r w:rsidR="00426706">
          <w:rPr>
            <w:noProof/>
            <w:webHidden/>
          </w:rPr>
          <w:fldChar w:fldCharType="begin"/>
        </w:r>
        <w:r w:rsidR="00426706">
          <w:rPr>
            <w:noProof/>
            <w:webHidden/>
          </w:rPr>
          <w:instrText xml:space="preserve"> PAGEREF _Toc80608786 \h </w:instrText>
        </w:r>
        <w:r w:rsidR="00426706">
          <w:rPr>
            <w:noProof/>
            <w:webHidden/>
          </w:rPr>
        </w:r>
        <w:r w:rsidR="00426706">
          <w:rPr>
            <w:noProof/>
            <w:webHidden/>
          </w:rPr>
          <w:fldChar w:fldCharType="separate"/>
        </w:r>
        <w:r w:rsidR="00426706">
          <w:rPr>
            <w:noProof/>
            <w:webHidden/>
          </w:rPr>
          <w:t>8</w:t>
        </w:r>
        <w:r w:rsidR="00426706">
          <w:rPr>
            <w:noProof/>
            <w:webHidden/>
          </w:rPr>
          <w:fldChar w:fldCharType="end"/>
        </w:r>
      </w:hyperlink>
    </w:p>
    <w:p w14:paraId="7574EA26" w14:textId="7FF2159C"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7" w:history="1">
        <w:r w:rsidR="00426706" w:rsidRPr="0053293E">
          <w:rPr>
            <w:rStyle w:val="Hipercze"/>
            <w:noProof/>
          </w:rPr>
          <w:t xml:space="preserve">Rysunek 7 </w:t>
        </w:r>
        <w:r w:rsidR="00426706">
          <w:rPr>
            <w:rFonts w:asciiTheme="minorHAnsi" w:eastAsiaTheme="minorEastAsia" w:hAnsiTheme="minorHAnsi" w:cstheme="minorBidi"/>
            <w:noProof/>
            <w:sz w:val="22"/>
            <w:szCs w:val="22"/>
            <w:lang w:eastAsia="pl-PL"/>
          </w:rPr>
          <w:tab/>
        </w:r>
        <w:r w:rsidR="00426706" w:rsidRPr="0053293E">
          <w:rPr>
            <w:rStyle w:val="Hipercze"/>
            <w:noProof/>
          </w:rPr>
          <w:t>Schemat opracowania wstępnej listy działań</w:t>
        </w:r>
        <w:r w:rsidR="00426706">
          <w:rPr>
            <w:noProof/>
            <w:webHidden/>
          </w:rPr>
          <w:tab/>
        </w:r>
        <w:r w:rsidR="00426706">
          <w:rPr>
            <w:noProof/>
            <w:webHidden/>
          </w:rPr>
          <w:fldChar w:fldCharType="begin"/>
        </w:r>
        <w:r w:rsidR="00426706">
          <w:rPr>
            <w:noProof/>
            <w:webHidden/>
          </w:rPr>
          <w:instrText xml:space="preserve"> PAGEREF _Toc80608787 \h </w:instrText>
        </w:r>
        <w:r w:rsidR="00426706">
          <w:rPr>
            <w:noProof/>
            <w:webHidden/>
          </w:rPr>
        </w:r>
        <w:r w:rsidR="00426706">
          <w:rPr>
            <w:noProof/>
            <w:webHidden/>
          </w:rPr>
          <w:fldChar w:fldCharType="separate"/>
        </w:r>
        <w:r w:rsidR="00426706">
          <w:rPr>
            <w:noProof/>
            <w:webHidden/>
          </w:rPr>
          <w:t>10</w:t>
        </w:r>
        <w:r w:rsidR="00426706">
          <w:rPr>
            <w:noProof/>
            <w:webHidden/>
          </w:rPr>
          <w:fldChar w:fldCharType="end"/>
        </w:r>
      </w:hyperlink>
    </w:p>
    <w:p w14:paraId="2147AB64" w14:textId="51838C24"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8" w:history="1">
        <w:r w:rsidR="00426706" w:rsidRPr="0053293E">
          <w:rPr>
            <w:rStyle w:val="Hipercze"/>
            <w:noProof/>
          </w:rPr>
          <w:t xml:space="preserve">Rysunek 8 </w:t>
        </w:r>
        <w:r w:rsidR="00426706">
          <w:rPr>
            <w:rFonts w:asciiTheme="minorHAnsi" w:eastAsiaTheme="minorEastAsia" w:hAnsiTheme="minorHAnsi" w:cstheme="minorBidi"/>
            <w:noProof/>
            <w:sz w:val="22"/>
            <w:szCs w:val="22"/>
            <w:lang w:eastAsia="pl-PL"/>
          </w:rPr>
          <w:tab/>
        </w:r>
        <w:r w:rsidR="00426706" w:rsidRPr="0053293E">
          <w:rPr>
            <w:rStyle w:val="Hipercze"/>
            <w:noProof/>
          </w:rPr>
          <w:t>Schemat opracowania wstępnej i bazowej listy działań</w:t>
        </w:r>
        <w:r w:rsidR="00426706">
          <w:rPr>
            <w:noProof/>
            <w:webHidden/>
          </w:rPr>
          <w:tab/>
        </w:r>
        <w:r w:rsidR="00426706">
          <w:rPr>
            <w:noProof/>
            <w:webHidden/>
          </w:rPr>
          <w:fldChar w:fldCharType="begin"/>
        </w:r>
        <w:r w:rsidR="00426706">
          <w:rPr>
            <w:noProof/>
            <w:webHidden/>
          </w:rPr>
          <w:instrText xml:space="preserve"> PAGEREF _Toc80608788 \h </w:instrText>
        </w:r>
        <w:r w:rsidR="00426706">
          <w:rPr>
            <w:noProof/>
            <w:webHidden/>
          </w:rPr>
        </w:r>
        <w:r w:rsidR="00426706">
          <w:rPr>
            <w:noProof/>
            <w:webHidden/>
          </w:rPr>
          <w:fldChar w:fldCharType="separate"/>
        </w:r>
        <w:r w:rsidR="00426706">
          <w:rPr>
            <w:noProof/>
            <w:webHidden/>
          </w:rPr>
          <w:t>13</w:t>
        </w:r>
        <w:r w:rsidR="00426706">
          <w:rPr>
            <w:noProof/>
            <w:webHidden/>
          </w:rPr>
          <w:fldChar w:fldCharType="end"/>
        </w:r>
      </w:hyperlink>
    </w:p>
    <w:p w14:paraId="5586F145" w14:textId="16644C72"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89" w:history="1">
        <w:r w:rsidR="00426706" w:rsidRPr="0053293E">
          <w:rPr>
            <w:rStyle w:val="Hipercze"/>
            <w:noProof/>
          </w:rPr>
          <w:t>Rysunek 9</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„1” dla obszaru problemowego IOP_3 – Świnoujście - Cieśnina Świna</w:t>
        </w:r>
        <w:r w:rsidR="00426706">
          <w:rPr>
            <w:noProof/>
            <w:webHidden/>
          </w:rPr>
          <w:tab/>
        </w:r>
        <w:r w:rsidR="00426706">
          <w:rPr>
            <w:noProof/>
            <w:webHidden/>
          </w:rPr>
          <w:fldChar w:fldCharType="begin"/>
        </w:r>
        <w:r w:rsidR="00426706">
          <w:rPr>
            <w:noProof/>
            <w:webHidden/>
          </w:rPr>
          <w:instrText xml:space="preserve"> PAGEREF _Toc80608789 \h </w:instrText>
        </w:r>
        <w:r w:rsidR="00426706">
          <w:rPr>
            <w:noProof/>
            <w:webHidden/>
          </w:rPr>
        </w:r>
        <w:r w:rsidR="00426706">
          <w:rPr>
            <w:noProof/>
            <w:webHidden/>
          </w:rPr>
          <w:fldChar w:fldCharType="separate"/>
        </w:r>
        <w:r w:rsidR="00426706">
          <w:rPr>
            <w:noProof/>
            <w:webHidden/>
          </w:rPr>
          <w:t>15</w:t>
        </w:r>
        <w:r w:rsidR="00426706">
          <w:rPr>
            <w:noProof/>
            <w:webHidden/>
          </w:rPr>
          <w:fldChar w:fldCharType="end"/>
        </w:r>
      </w:hyperlink>
    </w:p>
    <w:p w14:paraId="34E2CB05" w14:textId="704EE833"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0" w:history="1">
        <w:r w:rsidR="00426706" w:rsidRPr="0053293E">
          <w:rPr>
            <w:rStyle w:val="Hipercze"/>
            <w:noProof/>
          </w:rPr>
          <w:t>Rysunek 10</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„2” dla obszaru problemowego IOP_3 – Świnoujście - Cieśnina Świna</w:t>
        </w:r>
        <w:r w:rsidR="00426706">
          <w:rPr>
            <w:noProof/>
            <w:webHidden/>
          </w:rPr>
          <w:tab/>
        </w:r>
        <w:r w:rsidR="00426706">
          <w:rPr>
            <w:noProof/>
            <w:webHidden/>
          </w:rPr>
          <w:fldChar w:fldCharType="begin"/>
        </w:r>
        <w:r w:rsidR="00426706">
          <w:rPr>
            <w:noProof/>
            <w:webHidden/>
          </w:rPr>
          <w:instrText xml:space="preserve"> PAGEREF _Toc80608790 \h </w:instrText>
        </w:r>
        <w:r w:rsidR="00426706">
          <w:rPr>
            <w:noProof/>
            <w:webHidden/>
          </w:rPr>
        </w:r>
        <w:r w:rsidR="00426706">
          <w:rPr>
            <w:noProof/>
            <w:webHidden/>
          </w:rPr>
          <w:fldChar w:fldCharType="separate"/>
        </w:r>
        <w:r w:rsidR="00426706">
          <w:rPr>
            <w:noProof/>
            <w:webHidden/>
          </w:rPr>
          <w:t>16</w:t>
        </w:r>
        <w:r w:rsidR="00426706">
          <w:rPr>
            <w:noProof/>
            <w:webHidden/>
          </w:rPr>
          <w:fldChar w:fldCharType="end"/>
        </w:r>
      </w:hyperlink>
    </w:p>
    <w:p w14:paraId="7B934851" w14:textId="1344F1A9"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1" w:history="1">
        <w:r w:rsidR="00426706" w:rsidRPr="0053293E">
          <w:rPr>
            <w:rStyle w:val="Hipercze"/>
            <w:noProof/>
          </w:rPr>
          <w:t>Rysunek 11</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„1” dla obszaru problemowego IOP_4 – Kołobrzeg - ujście Parsęty</w:t>
        </w:r>
        <w:r w:rsidR="00426706">
          <w:rPr>
            <w:noProof/>
            <w:webHidden/>
          </w:rPr>
          <w:tab/>
        </w:r>
        <w:r w:rsidR="00426706">
          <w:rPr>
            <w:noProof/>
            <w:webHidden/>
          </w:rPr>
          <w:fldChar w:fldCharType="begin"/>
        </w:r>
        <w:r w:rsidR="00426706">
          <w:rPr>
            <w:noProof/>
            <w:webHidden/>
          </w:rPr>
          <w:instrText xml:space="preserve"> PAGEREF _Toc80608791 \h </w:instrText>
        </w:r>
        <w:r w:rsidR="00426706">
          <w:rPr>
            <w:noProof/>
            <w:webHidden/>
          </w:rPr>
        </w:r>
        <w:r w:rsidR="00426706">
          <w:rPr>
            <w:noProof/>
            <w:webHidden/>
          </w:rPr>
          <w:fldChar w:fldCharType="separate"/>
        </w:r>
        <w:r w:rsidR="00426706">
          <w:rPr>
            <w:noProof/>
            <w:webHidden/>
          </w:rPr>
          <w:t>17</w:t>
        </w:r>
        <w:r w:rsidR="00426706">
          <w:rPr>
            <w:noProof/>
            <w:webHidden/>
          </w:rPr>
          <w:fldChar w:fldCharType="end"/>
        </w:r>
      </w:hyperlink>
    </w:p>
    <w:p w14:paraId="5C4A52E5" w14:textId="490B9828"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2" w:history="1">
        <w:r w:rsidR="00426706" w:rsidRPr="0053293E">
          <w:rPr>
            <w:rStyle w:val="Hipercze"/>
            <w:noProof/>
          </w:rPr>
          <w:t>Rysunek 12 Lokalizacja działań zaproponowanych w wariancie „2” dla obszaru problemowego IOP_4 – Kołobrzeg - ujście Parsęty</w:t>
        </w:r>
        <w:r w:rsidR="00426706">
          <w:rPr>
            <w:noProof/>
            <w:webHidden/>
          </w:rPr>
          <w:tab/>
        </w:r>
        <w:r w:rsidR="00426706">
          <w:rPr>
            <w:noProof/>
            <w:webHidden/>
          </w:rPr>
          <w:fldChar w:fldCharType="begin"/>
        </w:r>
        <w:r w:rsidR="00426706">
          <w:rPr>
            <w:noProof/>
            <w:webHidden/>
          </w:rPr>
          <w:instrText xml:space="preserve"> PAGEREF _Toc80608792 \h </w:instrText>
        </w:r>
        <w:r w:rsidR="00426706">
          <w:rPr>
            <w:noProof/>
            <w:webHidden/>
          </w:rPr>
        </w:r>
        <w:r w:rsidR="00426706">
          <w:rPr>
            <w:noProof/>
            <w:webHidden/>
          </w:rPr>
          <w:fldChar w:fldCharType="separate"/>
        </w:r>
        <w:r w:rsidR="00426706">
          <w:rPr>
            <w:noProof/>
            <w:webHidden/>
          </w:rPr>
          <w:t>18</w:t>
        </w:r>
        <w:r w:rsidR="00426706">
          <w:rPr>
            <w:noProof/>
            <w:webHidden/>
          </w:rPr>
          <w:fldChar w:fldCharType="end"/>
        </w:r>
      </w:hyperlink>
    </w:p>
    <w:p w14:paraId="2A5B049E" w14:textId="352966E2"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3" w:history="1">
        <w:r w:rsidR="00426706" w:rsidRPr="0053293E">
          <w:rPr>
            <w:rStyle w:val="Hipercze"/>
            <w:noProof/>
          </w:rPr>
          <w:t xml:space="preserve">Rysunek 13 </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„1” dla obszaru problemowego IOP_6   Darłowo – ujście Wieprzy</w:t>
        </w:r>
        <w:r w:rsidR="00426706">
          <w:rPr>
            <w:noProof/>
            <w:webHidden/>
          </w:rPr>
          <w:tab/>
        </w:r>
        <w:r w:rsidR="00426706">
          <w:rPr>
            <w:noProof/>
            <w:webHidden/>
          </w:rPr>
          <w:fldChar w:fldCharType="begin"/>
        </w:r>
        <w:r w:rsidR="00426706">
          <w:rPr>
            <w:noProof/>
            <w:webHidden/>
          </w:rPr>
          <w:instrText xml:space="preserve"> PAGEREF _Toc80608793 \h </w:instrText>
        </w:r>
        <w:r w:rsidR="00426706">
          <w:rPr>
            <w:noProof/>
            <w:webHidden/>
          </w:rPr>
        </w:r>
        <w:r w:rsidR="00426706">
          <w:rPr>
            <w:noProof/>
            <w:webHidden/>
          </w:rPr>
          <w:fldChar w:fldCharType="separate"/>
        </w:r>
        <w:r w:rsidR="00426706">
          <w:rPr>
            <w:noProof/>
            <w:webHidden/>
          </w:rPr>
          <w:t>20</w:t>
        </w:r>
        <w:r w:rsidR="00426706">
          <w:rPr>
            <w:noProof/>
            <w:webHidden/>
          </w:rPr>
          <w:fldChar w:fldCharType="end"/>
        </w:r>
      </w:hyperlink>
    </w:p>
    <w:p w14:paraId="00CCEAAF" w14:textId="76DDA99E"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4" w:history="1">
        <w:r w:rsidR="00426706" w:rsidRPr="0053293E">
          <w:rPr>
            <w:rStyle w:val="Hipercze"/>
            <w:noProof/>
          </w:rPr>
          <w:t xml:space="preserve">Rysunek 14 </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„2” dla obszaru problemowego IOP_6 Darłowo – ujście Wieprzy</w:t>
        </w:r>
        <w:r w:rsidR="00426706">
          <w:rPr>
            <w:noProof/>
            <w:webHidden/>
          </w:rPr>
          <w:tab/>
        </w:r>
        <w:r w:rsidR="00426706">
          <w:rPr>
            <w:noProof/>
            <w:webHidden/>
          </w:rPr>
          <w:fldChar w:fldCharType="begin"/>
        </w:r>
        <w:r w:rsidR="00426706">
          <w:rPr>
            <w:noProof/>
            <w:webHidden/>
          </w:rPr>
          <w:instrText xml:space="preserve"> PAGEREF _Toc80608794 \h </w:instrText>
        </w:r>
        <w:r w:rsidR="00426706">
          <w:rPr>
            <w:noProof/>
            <w:webHidden/>
          </w:rPr>
        </w:r>
        <w:r w:rsidR="00426706">
          <w:rPr>
            <w:noProof/>
            <w:webHidden/>
          </w:rPr>
          <w:fldChar w:fldCharType="separate"/>
        </w:r>
        <w:r w:rsidR="00426706">
          <w:rPr>
            <w:noProof/>
            <w:webHidden/>
          </w:rPr>
          <w:t>21</w:t>
        </w:r>
        <w:r w:rsidR="00426706">
          <w:rPr>
            <w:noProof/>
            <w:webHidden/>
          </w:rPr>
          <w:fldChar w:fldCharType="end"/>
        </w:r>
      </w:hyperlink>
    </w:p>
    <w:p w14:paraId="5053E16A" w14:textId="63B11D5F"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5" w:history="1">
        <w:r w:rsidR="00426706" w:rsidRPr="0053293E">
          <w:rPr>
            <w:rStyle w:val="Hipercze"/>
            <w:noProof/>
          </w:rPr>
          <w:t>Rysunek 15 Lokalizacja działań zaproponowanych w wariancie „1” dla obszaru problemowego IOP_9 Trzebież – polder Trzebież II</w:t>
        </w:r>
        <w:r w:rsidR="00426706">
          <w:rPr>
            <w:noProof/>
            <w:webHidden/>
          </w:rPr>
          <w:tab/>
        </w:r>
        <w:r w:rsidR="00426706">
          <w:rPr>
            <w:noProof/>
            <w:webHidden/>
          </w:rPr>
          <w:fldChar w:fldCharType="begin"/>
        </w:r>
        <w:r w:rsidR="00426706">
          <w:rPr>
            <w:noProof/>
            <w:webHidden/>
          </w:rPr>
          <w:instrText xml:space="preserve"> PAGEREF _Toc80608795 \h </w:instrText>
        </w:r>
        <w:r w:rsidR="00426706">
          <w:rPr>
            <w:noProof/>
            <w:webHidden/>
          </w:rPr>
        </w:r>
        <w:r w:rsidR="00426706">
          <w:rPr>
            <w:noProof/>
            <w:webHidden/>
          </w:rPr>
          <w:fldChar w:fldCharType="separate"/>
        </w:r>
        <w:r w:rsidR="00426706">
          <w:rPr>
            <w:noProof/>
            <w:webHidden/>
          </w:rPr>
          <w:t>22</w:t>
        </w:r>
        <w:r w:rsidR="00426706">
          <w:rPr>
            <w:noProof/>
            <w:webHidden/>
          </w:rPr>
          <w:fldChar w:fldCharType="end"/>
        </w:r>
      </w:hyperlink>
    </w:p>
    <w:p w14:paraId="3CFB6EEF" w14:textId="0EA5D77E"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6" w:history="1">
        <w:r w:rsidR="00426706" w:rsidRPr="0053293E">
          <w:rPr>
            <w:rStyle w:val="Hipercze"/>
            <w:noProof/>
          </w:rPr>
          <w:t>Rysunek 16 Lokalizacja działań zaproponowanych w wariancie „2” dla obszaru problemowego IOP_9 Trzebież – polder Trzebież II</w:t>
        </w:r>
        <w:r w:rsidR="00426706">
          <w:rPr>
            <w:noProof/>
            <w:webHidden/>
          </w:rPr>
          <w:tab/>
        </w:r>
        <w:r w:rsidR="00426706">
          <w:rPr>
            <w:noProof/>
            <w:webHidden/>
          </w:rPr>
          <w:fldChar w:fldCharType="begin"/>
        </w:r>
        <w:r w:rsidR="00426706">
          <w:rPr>
            <w:noProof/>
            <w:webHidden/>
          </w:rPr>
          <w:instrText xml:space="preserve"> PAGEREF _Toc80608796 \h </w:instrText>
        </w:r>
        <w:r w:rsidR="00426706">
          <w:rPr>
            <w:noProof/>
            <w:webHidden/>
          </w:rPr>
        </w:r>
        <w:r w:rsidR="00426706">
          <w:rPr>
            <w:noProof/>
            <w:webHidden/>
          </w:rPr>
          <w:fldChar w:fldCharType="separate"/>
        </w:r>
        <w:r w:rsidR="00426706">
          <w:rPr>
            <w:noProof/>
            <w:webHidden/>
          </w:rPr>
          <w:t>23</w:t>
        </w:r>
        <w:r w:rsidR="00426706">
          <w:rPr>
            <w:noProof/>
            <w:webHidden/>
          </w:rPr>
          <w:fldChar w:fldCharType="end"/>
        </w:r>
      </w:hyperlink>
    </w:p>
    <w:p w14:paraId="14DB9A72" w14:textId="79AE50BE"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7" w:history="1">
        <w:r w:rsidR="00426706" w:rsidRPr="0053293E">
          <w:rPr>
            <w:rStyle w:val="Hipercze"/>
            <w:noProof/>
          </w:rPr>
          <w:t>Rysunek 17</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„1” dla obszaru problemowego IOP_10 Stepnica północ – Kanał Kłosowicza</w:t>
        </w:r>
        <w:r w:rsidR="00426706">
          <w:rPr>
            <w:noProof/>
            <w:webHidden/>
          </w:rPr>
          <w:tab/>
        </w:r>
        <w:r w:rsidR="00426706">
          <w:rPr>
            <w:noProof/>
            <w:webHidden/>
          </w:rPr>
          <w:fldChar w:fldCharType="begin"/>
        </w:r>
        <w:r w:rsidR="00426706">
          <w:rPr>
            <w:noProof/>
            <w:webHidden/>
          </w:rPr>
          <w:instrText xml:space="preserve"> PAGEREF _Toc80608797 \h </w:instrText>
        </w:r>
        <w:r w:rsidR="00426706">
          <w:rPr>
            <w:noProof/>
            <w:webHidden/>
          </w:rPr>
        </w:r>
        <w:r w:rsidR="00426706">
          <w:rPr>
            <w:noProof/>
            <w:webHidden/>
          </w:rPr>
          <w:fldChar w:fldCharType="separate"/>
        </w:r>
        <w:r w:rsidR="00426706">
          <w:rPr>
            <w:noProof/>
            <w:webHidden/>
          </w:rPr>
          <w:t>25</w:t>
        </w:r>
        <w:r w:rsidR="00426706">
          <w:rPr>
            <w:noProof/>
            <w:webHidden/>
          </w:rPr>
          <w:fldChar w:fldCharType="end"/>
        </w:r>
      </w:hyperlink>
    </w:p>
    <w:p w14:paraId="47C0D62A" w14:textId="10DC5242"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8" w:history="1">
        <w:r w:rsidR="00426706" w:rsidRPr="0053293E">
          <w:rPr>
            <w:rStyle w:val="Hipercze"/>
            <w:noProof/>
          </w:rPr>
          <w:t xml:space="preserve">Rysunek 18 </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„2” dla obszaru problemowego IOP_10 Stepnica północ - Kanał Kłosowicza</w:t>
        </w:r>
        <w:r w:rsidR="00426706">
          <w:rPr>
            <w:noProof/>
            <w:webHidden/>
          </w:rPr>
          <w:tab/>
        </w:r>
        <w:r w:rsidR="00426706">
          <w:rPr>
            <w:noProof/>
            <w:webHidden/>
          </w:rPr>
          <w:fldChar w:fldCharType="begin"/>
        </w:r>
        <w:r w:rsidR="00426706">
          <w:rPr>
            <w:noProof/>
            <w:webHidden/>
          </w:rPr>
          <w:instrText xml:space="preserve"> PAGEREF _Toc80608798 \h </w:instrText>
        </w:r>
        <w:r w:rsidR="00426706">
          <w:rPr>
            <w:noProof/>
            <w:webHidden/>
          </w:rPr>
        </w:r>
        <w:r w:rsidR="00426706">
          <w:rPr>
            <w:noProof/>
            <w:webHidden/>
          </w:rPr>
          <w:fldChar w:fldCharType="separate"/>
        </w:r>
        <w:r w:rsidR="00426706">
          <w:rPr>
            <w:noProof/>
            <w:webHidden/>
          </w:rPr>
          <w:t>26</w:t>
        </w:r>
        <w:r w:rsidR="00426706">
          <w:rPr>
            <w:noProof/>
            <w:webHidden/>
          </w:rPr>
          <w:fldChar w:fldCharType="end"/>
        </w:r>
      </w:hyperlink>
    </w:p>
    <w:p w14:paraId="4BE4DF6D" w14:textId="2B9067A4"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799" w:history="1">
        <w:r w:rsidR="00426706" w:rsidRPr="0053293E">
          <w:rPr>
            <w:rStyle w:val="Hipercze"/>
            <w:noProof/>
          </w:rPr>
          <w:t>Rysunek 19</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„1” dla obszaru problemowego IOP_11 Nowe Warpno – okolice jeziora Nowowarpieńskiego</w:t>
        </w:r>
        <w:r w:rsidR="00426706">
          <w:rPr>
            <w:noProof/>
            <w:webHidden/>
          </w:rPr>
          <w:tab/>
        </w:r>
        <w:r w:rsidR="00426706">
          <w:rPr>
            <w:noProof/>
            <w:webHidden/>
          </w:rPr>
          <w:fldChar w:fldCharType="begin"/>
        </w:r>
        <w:r w:rsidR="00426706">
          <w:rPr>
            <w:noProof/>
            <w:webHidden/>
          </w:rPr>
          <w:instrText xml:space="preserve"> PAGEREF _Toc80608799 \h </w:instrText>
        </w:r>
        <w:r w:rsidR="00426706">
          <w:rPr>
            <w:noProof/>
            <w:webHidden/>
          </w:rPr>
        </w:r>
        <w:r w:rsidR="00426706">
          <w:rPr>
            <w:noProof/>
            <w:webHidden/>
          </w:rPr>
          <w:fldChar w:fldCharType="separate"/>
        </w:r>
        <w:r w:rsidR="00426706">
          <w:rPr>
            <w:noProof/>
            <w:webHidden/>
          </w:rPr>
          <w:t>27</w:t>
        </w:r>
        <w:r w:rsidR="00426706">
          <w:rPr>
            <w:noProof/>
            <w:webHidden/>
          </w:rPr>
          <w:fldChar w:fldCharType="end"/>
        </w:r>
      </w:hyperlink>
    </w:p>
    <w:p w14:paraId="265C2E18" w14:textId="314DB5CE"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800" w:history="1">
        <w:r w:rsidR="00426706" w:rsidRPr="0053293E">
          <w:rPr>
            <w:rStyle w:val="Hipercze"/>
            <w:noProof/>
          </w:rPr>
          <w:t xml:space="preserve"> Rysunek 20</w:t>
        </w:r>
        <w:r w:rsidR="00426706">
          <w:rPr>
            <w:rFonts w:asciiTheme="minorHAnsi" w:eastAsiaTheme="minorEastAsia" w:hAnsiTheme="minorHAnsi" w:cstheme="minorBidi"/>
            <w:noProof/>
            <w:sz w:val="22"/>
            <w:szCs w:val="22"/>
            <w:lang w:eastAsia="pl-PL"/>
          </w:rPr>
          <w:tab/>
        </w:r>
        <w:r w:rsidR="00426706" w:rsidRPr="0053293E">
          <w:rPr>
            <w:rStyle w:val="Hipercze"/>
            <w:noProof/>
          </w:rPr>
          <w:t>Lokalizacja działań zaproponowanych w wariancie „2” dla obszaru problemowego IOP_11 Nowe Warpno – okolice jeziora Nowowarpieńskiego</w:t>
        </w:r>
        <w:r w:rsidR="00426706">
          <w:rPr>
            <w:noProof/>
            <w:webHidden/>
          </w:rPr>
          <w:tab/>
        </w:r>
        <w:r w:rsidR="00426706">
          <w:rPr>
            <w:noProof/>
            <w:webHidden/>
          </w:rPr>
          <w:fldChar w:fldCharType="begin"/>
        </w:r>
        <w:r w:rsidR="00426706">
          <w:rPr>
            <w:noProof/>
            <w:webHidden/>
          </w:rPr>
          <w:instrText xml:space="preserve"> PAGEREF _Toc80608800 \h </w:instrText>
        </w:r>
        <w:r w:rsidR="00426706">
          <w:rPr>
            <w:noProof/>
            <w:webHidden/>
          </w:rPr>
        </w:r>
        <w:r w:rsidR="00426706">
          <w:rPr>
            <w:noProof/>
            <w:webHidden/>
          </w:rPr>
          <w:fldChar w:fldCharType="separate"/>
        </w:r>
        <w:r w:rsidR="00426706">
          <w:rPr>
            <w:noProof/>
            <w:webHidden/>
          </w:rPr>
          <w:t>28</w:t>
        </w:r>
        <w:r w:rsidR="00426706">
          <w:rPr>
            <w:noProof/>
            <w:webHidden/>
          </w:rPr>
          <w:fldChar w:fldCharType="end"/>
        </w:r>
      </w:hyperlink>
    </w:p>
    <w:p w14:paraId="39610BDC" w14:textId="483C4EE8" w:rsidR="00426706" w:rsidRDefault="00CC00DD" w:rsidP="00426706">
      <w:pPr>
        <w:pStyle w:val="Spisilustracji"/>
        <w:tabs>
          <w:tab w:val="left" w:pos="7938"/>
        </w:tabs>
        <w:rPr>
          <w:rFonts w:asciiTheme="minorHAnsi" w:eastAsiaTheme="minorEastAsia" w:hAnsiTheme="minorHAnsi" w:cstheme="minorBidi"/>
          <w:noProof/>
          <w:sz w:val="22"/>
          <w:szCs w:val="22"/>
          <w:lang w:eastAsia="pl-PL"/>
        </w:rPr>
      </w:pPr>
      <w:hyperlink w:anchor="_Toc80608801" w:history="1">
        <w:r w:rsidR="00426706" w:rsidRPr="0053293E">
          <w:rPr>
            <w:rStyle w:val="Hipercze"/>
            <w:noProof/>
          </w:rPr>
          <w:t>Rysunek 21 Schemat opracowania Ostatecznej Listy Działań II cyklu aPZRPM</w:t>
        </w:r>
        <w:r w:rsidR="00426706">
          <w:rPr>
            <w:noProof/>
            <w:webHidden/>
          </w:rPr>
          <w:tab/>
        </w:r>
        <w:r w:rsidR="00426706">
          <w:rPr>
            <w:noProof/>
            <w:webHidden/>
          </w:rPr>
          <w:fldChar w:fldCharType="begin"/>
        </w:r>
        <w:r w:rsidR="00426706">
          <w:rPr>
            <w:noProof/>
            <w:webHidden/>
          </w:rPr>
          <w:instrText xml:space="preserve"> PAGEREF _Toc80608801 \h </w:instrText>
        </w:r>
        <w:r w:rsidR="00426706">
          <w:rPr>
            <w:noProof/>
            <w:webHidden/>
          </w:rPr>
        </w:r>
        <w:r w:rsidR="00426706">
          <w:rPr>
            <w:noProof/>
            <w:webHidden/>
          </w:rPr>
          <w:fldChar w:fldCharType="separate"/>
        </w:r>
        <w:r w:rsidR="00426706">
          <w:rPr>
            <w:noProof/>
            <w:webHidden/>
          </w:rPr>
          <w:t>29</w:t>
        </w:r>
        <w:r w:rsidR="00426706">
          <w:rPr>
            <w:noProof/>
            <w:webHidden/>
          </w:rPr>
          <w:fldChar w:fldCharType="end"/>
        </w:r>
      </w:hyperlink>
    </w:p>
    <w:p w14:paraId="64DABF0F" w14:textId="5B10D927" w:rsidR="00107FCF" w:rsidRPr="00C57EE2" w:rsidRDefault="00107FCF" w:rsidP="00C57EE2">
      <w:pPr>
        <w:pStyle w:val="Spisilustracji"/>
        <w:tabs>
          <w:tab w:val="clear" w:pos="1247"/>
          <w:tab w:val="left" w:pos="1134"/>
        </w:tabs>
        <w:rPr>
          <w:sz w:val="22"/>
          <w:szCs w:val="22"/>
        </w:rPr>
      </w:pPr>
      <w:r w:rsidRPr="00C57EE2">
        <w:rPr>
          <w:rStyle w:val="Hipercze"/>
          <w:sz w:val="22"/>
          <w:szCs w:val="22"/>
        </w:rPr>
        <w:fldChar w:fldCharType="end"/>
      </w:r>
      <w:r w:rsidRPr="00C57EE2">
        <w:rPr>
          <w:rStyle w:val="Tekstzastpczy"/>
          <w:sz w:val="22"/>
          <w:szCs w:val="22"/>
        </w:rPr>
        <w:t xml:space="preserve"> </w:t>
      </w:r>
    </w:p>
    <w:sectPr w:rsidR="00107FCF" w:rsidRPr="00C57EE2" w:rsidSect="00EE15BD">
      <w:headerReference w:type="default" r:id="rId79"/>
      <w:footerReference w:type="default" r:id="rId80"/>
      <w:pgSz w:w="11907" w:h="16839" w:code="9"/>
      <w:pgMar w:top="1276" w:right="1701" w:bottom="1418" w:left="1701" w:header="567" w:footer="56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231">
      <wne:acd wne:acdName="acd0"/>
    </wne:keymap>
    <wne:keymap wne:kcmPrimary="0232">
      <wne:acd wne:acdName="acd1"/>
    </wne:keymap>
    <wne:keymap wne:kcmPrimary="0233">
      <wne:acd wne:acdName="acd2"/>
    </wne:keymap>
    <wne:keymap wne:kcmPrimary="0234">
      <wne:acd wne:acdName="acd3"/>
    </wne:keymap>
    <wne:keymap wne:kcmPrimary="0331">
      <wne:acd wne:acdName="acd4"/>
    </wne:keymap>
    <wne:keymap wne:kcmPrimary="0332">
      <wne:acd wne:acdName="acd5"/>
    </wne:keymap>
    <wne:keymap wne:kcmPrimary="0333">
      <wne:acd wne:acdName="acd6"/>
    </wne:keymap>
    <wne:keymap wne:kcmPrimary="0349">
      <wne:acd wne:acdName="acd7"/>
    </wne:keymap>
    <wne:keymap wne:kcmPrimary="034B">
      <wne:acd wne:acdName="acd14"/>
    </wne:keymap>
    <wne:keymap wne:kcmPrimary="034C">
      <wne:acd wne:acdName="acd13"/>
    </wne:keymap>
    <wne:keymap wne:kcmPrimary="0350">
      <wne:acd wne:acdName="acd22"/>
    </wne:keymap>
    <wne:keymap wne:kcmPrimary="0352">
      <wne:acd wne:acdName="acd8"/>
    </wne:keymap>
    <wne:keymap wne:kcmPrimary="0353">
      <wne:acd wne:acdName="acd11"/>
    </wne:keymap>
    <wne:keymap wne:kcmPrimary="0354">
      <wne:acd wne:acdName="acd10"/>
    </wne:keymap>
    <wne:keymap wne:kcmPrimary="0355">
      <wne:acd wne:acdName="acd12"/>
    </wne:keymap>
    <wne:keymap wne:kcmPrimary="0431">
      <wne:acd wne:acdName="acd15"/>
    </wne:keymap>
    <wne:keymap wne:kcmPrimary="0432">
      <wne:acd wne:acdName="acd16"/>
    </wne:keymap>
    <wne:keymap wne:kcmPrimary="0433">
      <wne:acd wne:acdName="acd17"/>
    </wne:keymap>
    <wne:keymap wne:kcmPrimary="0434">
      <wne:acd wne:acdName="acd18"/>
    </wne:keymap>
    <wne:keymap wne:kcmPrimary="0531">
      <wne:acd wne:acdName="acd19"/>
    </wne:keymap>
    <wne:keymap wne:kcmPrimary="0532">
      <wne:acd wne:acdName="acd20"/>
    </wne:keymap>
    <wne:keymap wne:kcmPrimary="0533">
      <wne:acd wne:acdName="acd2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Manifest>
  </wne:toolbars>
  <wne:acds>
    <wne:acd wne:argValue="AgBSAGUAcABvAHIAdAAgAEwAZQB2AGUAbAAgADEA" wne:acdName="acd0" wne:fciIndexBasedOn="0065"/>
    <wne:acd wne:argValue="AgBSAGUAcABvAHIAdAAgAEwAZQB2AGUAbAAgADIA" wne:acdName="acd1" wne:fciIndexBasedOn="0065"/>
    <wne:acd wne:argValue="AgBSAGUAcABvAHIAdAAgAEwAZQB2AGUAbAAgADMA" wne:acdName="acd2" wne:fciIndexBasedOn="0065"/>
    <wne:acd wne:argValue="AgBSAGUAcABvAHIAdAAgAEwAZQB2AGUAbAAgADQA" wne:acdName="acd3" wne:fciIndexBasedOn="0065"/>
    <wne:acd wne:argValue="AgBSAGUAcABvAHIAdAAgAEwAZQB2AGUAbAAgADEAIABOAG8AIABOAHUAbQBiAGUAcgA=" wne:acdName="acd4" wne:fciIndexBasedOn="0065"/>
    <wne:acd wne:argValue="AgBSAGUAcABvAHIAdAAgAEwAZQB2AGUAbAAgADIAIABOAG8AIABOAHUAbQBiAGUAcgA=" wne:acdName="acd5" wne:fciIndexBasedOn="0065"/>
    <wne:acd wne:argValue="AgBSAGUAcABvAHIAdAAgAEwAZQB2AGUAbAAgADMAIABOAG8AIABOAHUAbQBiAGUAcgA=" wne:acdName="acd6" wne:fciIndexBasedOn="0065"/>
    <wne:acd wne:argValue="AgBSAGUAcABvAHIAdAAgAEkAbgBzAGUAcgB0ACAAUABpAGMAdAB1AHIAZQA=" wne:acdName="acd7" wne:fciIndexBasedOn="0065"/>
    <wne:acd wne:argValue="AgBSAGUAcABvAHIAdAAgAFIAZQBmAGUAcgBlAG4AYwBlAA==" wne:acdName="acd8" wne:fciIndexBasedOn="0065"/>
    <wne:acd wne:acdName="acd9" wne:fciIndexBasedOn="0065"/>
    <wne:acd wne:argValue="AgBSAGUAcABvAHIAdAAgAFQAYQBiAGwAZQAgAFQAZQB4AHQA" wne:acdName="acd10" wne:fciIndexBasedOn="0065"/>
    <wne:acd wne:argValue="AgBSAGUAcABvAHIAdAAgAEwAaQBzAHQA" wne:acdName="acd11" wne:fciIndexBasedOn="0065"/>
    <wne:acd wne:argValue="AgBSAGUAcABvAHIAdAAgAEwAaQBzAHQAIABOAHUAbQBiAGUAcgA=" wne:acdName="acd12" wne:fciIndexBasedOn="0065"/>
    <wne:acd wne:argValue="AgBSAGUAcABvAHIAdAAgAEwAaQBzAHQAIAAxAA==" wne:acdName="acd13" wne:fciIndexBasedOn="0065"/>
    <wne:acd wne:argValue="AgBSAGUAcABvAHIAdAAgAEwAaQBzAHQAIAAyAA==" wne:acdName="acd14" wne:fciIndexBasedOn="0065"/>
    <wne:acd wne:argValue="AgBBAHAAcABlAG4AZABpAHgAIABMAGUAdgBlAGwAIAAxAA==" wne:acdName="acd15" wne:fciIndexBasedOn="0065"/>
    <wne:acd wne:argValue="AgBBAHAAcABlAG4AZABpAHgAIABMAGUAdgBlAGwAIAAyAA==" wne:acdName="acd16" wne:fciIndexBasedOn="0065"/>
    <wne:acd wne:argValue="AgBBAHAAcABlAG4AZABpAHgAIABMAGUAdgBlAGwAIAAzAA==" wne:acdName="acd17" wne:fciIndexBasedOn="0065"/>
    <wne:acd wne:argValue="AgBBAHAAcABlAG4AZABpAHgAIABMAGUAdgBlAGwAIAA0AA==" wne:acdName="acd18" wne:fciIndexBasedOn="0065"/>
    <wne:acd wne:argValue="AgBBAHAAcABlAG4AZABpAHgAIABMAGUAdgBlAGwAIAAxACAATgBvACAATgB1AG0AYgBlAHIA" wne:acdName="acd19" wne:fciIndexBasedOn="0065"/>
    <wne:acd wne:argValue="AgBBAHAAcABlAG4AZABpAHgAIABMAGUAdgBlAGwAIAAyACAATgBvACAATgB1AG0AYgBlAHIA" wne:acdName="acd20" wne:fciIndexBasedOn="0065"/>
    <wne:acd wne:argValue="AgBBAHAAcABlAG4AZABpAHgAIABMAGUAdgBlAGwAIAAzACAATgBvACAATgB1AG0AYgBlAHIA" wne:acdName="acd21" wne:fciIndexBasedOn="0065"/>
    <wne:acd wne:argValue="AgBSAGUAcABvAHIAdAAgAFQAZQB4AHQALABMAGUAZgB0ADoAIAAgADAAIABjAG0ALABjAGEAZQB4&#10;AHQA" wne:acdName="acd2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06C90" w14:textId="77777777" w:rsidR="00CC00DD" w:rsidRDefault="00CC00DD">
      <w:r>
        <w:separator/>
      </w:r>
    </w:p>
  </w:endnote>
  <w:endnote w:type="continuationSeparator" w:id="0">
    <w:p w14:paraId="414EBFC2" w14:textId="77777777" w:rsidR="00CC00DD" w:rsidRDefault="00CC00DD">
      <w:r>
        <w:continuationSeparator/>
      </w:r>
    </w:p>
  </w:endnote>
  <w:endnote w:type="continuationNotice" w:id="1">
    <w:p w14:paraId="1A80C723" w14:textId="77777777" w:rsidR="00CC00DD" w:rsidRDefault="00CC00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old">
    <w:altName w:val="Arial"/>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1" w:type="pct"/>
      <w:jc w:val="center"/>
      <w:tblLayout w:type="fixed"/>
      <w:tblCellMar>
        <w:left w:w="0" w:type="dxa"/>
        <w:right w:w="0" w:type="dxa"/>
      </w:tblCellMar>
      <w:tblLook w:val="0000" w:firstRow="0" w:lastRow="0" w:firstColumn="0" w:lastColumn="0" w:noHBand="0" w:noVBand="0"/>
    </w:tblPr>
    <w:tblGrid>
      <w:gridCol w:w="6663"/>
      <w:gridCol w:w="1276"/>
    </w:tblGrid>
    <w:tr w:rsidR="005A0B07" w:rsidRPr="00507221" w14:paraId="46EEF028" w14:textId="77777777" w:rsidTr="5C7FCD88">
      <w:trPr>
        <w:cantSplit/>
        <w:trHeight w:val="852"/>
        <w:jc w:val="center"/>
      </w:trPr>
      <w:tc>
        <w:tcPr>
          <w:tcW w:w="6662" w:type="dxa"/>
          <w:noWrap/>
        </w:tcPr>
        <w:p w14:paraId="6A7DAD3E" w14:textId="2C631C51" w:rsidR="005A0B07" w:rsidRPr="00507221" w:rsidRDefault="005A0B07" w:rsidP="009E3EBE">
          <w:pPr>
            <w:pStyle w:val="Stopka"/>
            <w:rPr>
              <w:szCs w:val="20"/>
              <w:lang w:eastAsia="en-US"/>
            </w:rPr>
          </w:pPr>
        </w:p>
        <w:p w14:paraId="726C0740" w14:textId="77777777" w:rsidR="005A0B07" w:rsidRPr="00507221" w:rsidRDefault="005A0B07" w:rsidP="009E3EBE">
          <w:pPr>
            <w:pStyle w:val="Filename"/>
            <w:rPr>
              <w:lang w:eastAsia="en-US"/>
            </w:rPr>
          </w:pPr>
          <w:bookmarkStart w:id="10" w:name="FtrFilename2"/>
          <w:bookmarkEnd w:id="10"/>
        </w:p>
        <w:p w14:paraId="355F1963" w14:textId="77777777" w:rsidR="005A0B07" w:rsidRPr="00507221" w:rsidRDefault="005A0B07" w:rsidP="009E3EBE">
          <w:pPr>
            <w:pStyle w:val="Filename"/>
            <w:rPr>
              <w:lang w:eastAsia="en-US"/>
            </w:rPr>
          </w:pPr>
        </w:p>
        <w:p w14:paraId="1C5DBD9D" w14:textId="77777777" w:rsidR="005A0B07" w:rsidRPr="00507221" w:rsidRDefault="005A0B07" w:rsidP="009E3EBE">
          <w:pPr>
            <w:pStyle w:val="Filename"/>
            <w:rPr>
              <w:lang w:eastAsia="en-US"/>
            </w:rPr>
          </w:pPr>
        </w:p>
        <w:p w14:paraId="533FF0EC" w14:textId="5641F103" w:rsidR="005A0B07" w:rsidRPr="00507221" w:rsidRDefault="005A0B07" w:rsidP="00A75C47">
          <w:pPr>
            <w:pStyle w:val="Filename"/>
            <w:jc w:val="center"/>
            <w:rPr>
              <w:lang w:eastAsia="en-US"/>
            </w:rPr>
          </w:pPr>
          <w:r>
            <w:drawing>
              <wp:inline distT="0" distB="0" distL="0" distR="0" wp14:anchorId="0E7F988A" wp14:editId="734F5D71">
                <wp:extent cx="4029075" cy="518107"/>
                <wp:effectExtent l="0" t="0" r="0" b="0"/>
                <wp:docPr id="2" name="Picture 2" descr="FE_POIS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_POIS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55235" cy="534330"/>
                        </a:xfrm>
                        <a:prstGeom prst="rect">
                          <a:avLst/>
                        </a:prstGeom>
                        <a:noFill/>
                        <a:ln>
                          <a:noFill/>
                        </a:ln>
                      </pic:spPr>
                    </pic:pic>
                  </a:graphicData>
                </a:graphic>
              </wp:inline>
            </w:drawing>
          </w:r>
        </w:p>
      </w:tc>
      <w:tc>
        <w:tcPr>
          <w:tcW w:w="1276" w:type="dxa"/>
          <w:noWrap/>
        </w:tcPr>
        <w:p w14:paraId="570A731C" w14:textId="77777777" w:rsidR="005A0B07" w:rsidRPr="00507221" w:rsidRDefault="005A0B07" w:rsidP="000017D3">
          <w:pPr>
            <w:pStyle w:val="Stopka"/>
            <w:spacing w:line="180" w:lineRule="exact"/>
            <w:jc w:val="right"/>
            <w:rPr>
              <w:rStyle w:val="Numerstrony"/>
              <w:szCs w:val="20"/>
              <w:lang w:eastAsia="en-US"/>
            </w:rPr>
          </w:pPr>
        </w:p>
      </w:tc>
    </w:tr>
  </w:tbl>
  <w:p w14:paraId="57801974" w14:textId="77777777" w:rsidR="005A0B07" w:rsidRPr="001246AB" w:rsidRDefault="005A0B07" w:rsidP="000017D3">
    <w:pPr>
      <w:pStyle w:val="Stopka"/>
      <w:spacing w:line="20" w:lineRule="exac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000" w:firstRow="0" w:lastRow="0" w:firstColumn="0" w:lastColumn="0" w:noHBand="0" w:noVBand="0"/>
    </w:tblPr>
    <w:tblGrid>
      <w:gridCol w:w="7005"/>
      <w:gridCol w:w="1500"/>
    </w:tblGrid>
    <w:tr w:rsidR="005A0B07" w:rsidRPr="00507221" w14:paraId="7C5A14E2" w14:textId="77777777" w:rsidTr="5C7FCD88">
      <w:trPr>
        <w:cantSplit/>
        <w:trHeight w:val="852"/>
        <w:jc w:val="center"/>
      </w:trPr>
      <w:tc>
        <w:tcPr>
          <w:tcW w:w="6537" w:type="dxa"/>
          <w:noWrap/>
        </w:tcPr>
        <w:p w14:paraId="26B1EF75" w14:textId="148A511F" w:rsidR="005A0B07" w:rsidRPr="00507221" w:rsidRDefault="005A0B07" w:rsidP="00F54364">
          <w:pPr>
            <w:pStyle w:val="Stopka"/>
            <w:rPr>
              <w:szCs w:val="20"/>
              <w:lang w:eastAsia="en-US"/>
            </w:rPr>
          </w:pPr>
        </w:p>
        <w:p w14:paraId="133C2C34" w14:textId="77777777" w:rsidR="005A0B07" w:rsidRPr="00507221" w:rsidRDefault="005A0B07" w:rsidP="00F54364">
          <w:pPr>
            <w:pStyle w:val="Filename"/>
            <w:rPr>
              <w:lang w:eastAsia="en-US"/>
            </w:rPr>
          </w:pPr>
        </w:p>
        <w:p w14:paraId="0678926C" w14:textId="77777777" w:rsidR="005A0B07" w:rsidRPr="00507221" w:rsidRDefault="005A0B07" w:rsidP="00F54364">
          <w:pPr>
            <w:pStyle w:val="Filename"/>
            <w:rPr>
              <w:lang w:eastAsia="en-US"/>
            </w:rPr>
          </w:pPr>
        </w:p>
        <w:p w14:paraId="5A95F04E" w14:textId="77777777" w:rsidR="005A0B07" w:rsidRPr="00507221" w:rsidRDefault="005A0B07" w:rsidP="00F54364">
          <w:pPr>
            <w:pStyle w:val="Filename"/>
            <w:rPr>
              <w:lang w:eastAsia="en-US"/>
            </w:rPr>
          </w:pPr>
        </w:p>
        <w:p w14:paraId="4530CD95" w14:textId="28F47054" w:rsidR="005A0B07" w:rsidRPr="00507221" w:rsidRDefault="005A0B07" w:rsidP="00A75C47">
          <w:pPr>
            <w:pStyle w:val="Filename"/>
            <w:jc w:val="center"/>
            <w:rPr>
              <w:lang w:eastAsia="en-US"/>
            </w:rPr>
          </w:pPr>
          <w:r>
            <w:drawing>
              <wp:inline distT="0" distB="0" distL="0" distR="0" wp14:anchorId="500BA4FF" wp14:editId="294D5B40">
                <wp:extent cx="3560106" cy="428625"/>
                <wp:effectExtent l="0" t="0" r="0" b="0"/>
                <wp:docPr id="9" name="Picture 9" descr="FE_POIS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E_POIS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3570" cy="437470"/>
                        </a:xfrm>
                        <a:prstGeom prst="rect">
                          <a:avLst/>
                        </a:prstGeom>
                        <a:noFill/>
                        <a:ln>
                          <a:noFill/>
                        </a:ln>
                      </pic:spPr>
                    </pic:pic>
                  </a:graphicData>
                </a:graphic>
              </wp:inline>
            </w:drawing>
          </w:r>
        </w:p>
      </w:tc>
      <w:tc>
        <w:tcPr>
          <w:tcW w:w="1400" w:type="dxa"/>
          <w:noWrap/>
        </w:tcPr>
        <w:p w14:paraId="7C4BA085" w14:textId="77777777" w:rsidR="005A0B07" w:rsidRPr="00507221" w:rsidRDefault="005A0B07" w:rsidP="000017D3">
          <w:pPr>
            <w:pStyle w:val="Stopka"/>
            <w:spacing w:line="180" w:lineRule="exact"/>
            <w:jc w:val="right"/>
            <w:rPr>
              <w:rStyle w:val="Numerstrony"/>
              <w:szCs w:val="20"/>
              <w:lang w:eastAsia="en-US"/>
            </w:rPr>
          </w:pPr>
          <w:bookmarkStart w:id="161" w:name="P43"/>
          <w:r w:rsidRPr="00507221">
            <w:rPr>
              <w:rStyle w:val="Numerstrony"/>
              <w:szCs w:val="20"/>
              <w:lang w:eastAsia="en-US"/>
            </w:rPr>
            <w:t>Strona</w:t>
          </w:r>
          <w:bookmarkEnd w:id="161"/>
          <w:r w:rsidRPr="00507221">
            <w:rPr>
              <w:rStyle w:val="Numerstrony"/>
              <w:szCs w:val="20"/>
              <w:lang w:eastAsia="en-US"/>
            </w:rPr>
            <w:t xml:space="preserve"> </w:t>
          </w:r>
          <w:r w:rsidRPr="00507221">
            <w:rPr>
              <w:rStyle w:val="Numerstrony"/>
              <w:szCs w:val="20"/>
              <w:lang w:eastAsia="en-US"/>
            </w:rPr>
            <w:fldChar w:fldCharType="begin"/>
          </w:r>
          <w:r w:rsidRPr="00507221">
            <w:rPr>
              <w:rStyle w:val="Numerstrony"/>
              <w:szCs w:val="20"/>
              <w:lang w:eastAsia="en-US"/>
            </w:rPr>
            <w:instrText xml:space="preserve"> PAGE  \* MERGEFORMAT </w:instrText>
          </w:r>
          <w:r w:rsidRPr="00507221">
            <w:rPr>
              <w:rStyle w:val="Numerstrony"/>
              <w:szCs w:val="20"/>
              <w:lang w:eastAsia="en-US"/>
            </w:rPr>
            <w:fldChar w:fldCharType="separate"/>
          </w:r>
          <w:r w:rsidR="008642E6">
            <w:rPr>
              <w:rStyle w:val="Numerstrony"/>
              <w:noProof/>
              <w:szCs w:val="20"/>
              <w:lang w:eastAsia="en-US"/>
            </w:rPr>
            <w:t>21</w:t>
          </w:r>
          <w:r w:rsidRPr="00507221">
            <w:rPr>
              <w:rStyle w:val="Numerstrony"/>
              <w:szCs w:val="20"/>
              <w:lang w:eastAsia="en-US"/>
            </w:rPr>
            <w:fldChar w:fldCharType="end"/>
          </w:r>
        </w:p>
      </w:tc>
    </w:tr>
  </w:tbl>
  <w:p w14:paraId="26E02AFF" w14:textId="77777777" w:rsidR="005A0B07" w:rsidRPr="001246AB" w:rsidRDefault="005A0B07" w:rsidP="00EE15BD">
    <w:pPr>
      <w:pStyle w:val="Stopka"/>
      <w:spacing w:line="20" w:lineRule="exac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D916D" w14:textId="77777777" w:rsidR="00CC00DD" w:rsidRDefault="00CC00DD">
      <w:r>
        <w:separator/>
      </w:r>
    </w:p>
  </w:footnote>
  <w:footnote w:type="continuationSeparator" w:id="0">
    <w:p w14:paraId="0E1B57B8" w14:textId="77777777" w:rsidR="00CC00DD" w:rsidRDefault="00CC00DD">
      <w:r>
        <w:continuationSeparator/>
      </w:r>
    </w:p>
  </w:footnote>
  <w:footnote w:type="continuationNotice" w:id="1">
    <w:p w14:paraId="204687A7" w14:textId="77777777" w:rsidR="00CC00DD" w:rsidRDefault="00CC00DD"/>
  </w:footnote>
  <w:footnote w:id="2">
    <w:p w14:paraId="69C5B3AF" w14:textId="77777777" w:rsidR="005A0B07" w:rsidRDefault="005A0B07" w:rsidP="00926615">
      <w:pPr>
        <w:pStyle w:val="Tekstprzypisudolnego"/>
      </w:pPr>
      <w:r>
        <w:rPr>
          <w:rStyle w:val="Odwoanieprzypisudolnego"/>
        </w:rPr>
        <w:footnoteRef/>
      </w:r>
      <w:r>
        <w:t xml:space="preserve"> https://www.wody.gov.pl/</w:t>
      </w:r>
    </w:p>
  </w:footnote>
  <w:footnote w:id="3">
    <w:p w14:paraId="764C56A1" w14:textId="6AE4A718" w:rsidR="005A0B07" w:rsidRPr="00243F98" w:rsidRDefault="005A0B07" w:rsidP="00243F98">
      <w:pPr>
        <w:pStyle w:val="Tekstprzypisudolnego"/>
        <w:ind w:left="142" w:hanging="142"/>
        <w:jc w:val="both"/>
        <w:rPr>
          <w:sz w:val="16"/>
          <w:szCs w:val="16"/>
        </w:rPr>
      </w:pPr>
      <w:r w:rsidRPr="00243F98">
        <w:rPr>
          <w:sz w:val="16"/>
          <w:szCs w:val="16"/>
        </w:rPr>
        <w:footnoteRef/>
      </w:r>
      <w:bookmarkStart w:id="140" w:name="_Hlk37754754"/>
      <w:r>
        <w:rPr>
          <w:sz w:val="16"/>
          <w:szCs w:val="16"/>
        </w:rPr>
        <w:t xml:space="preserve"> </w:t>
      </w:r>
      <w:r>
        <w:rPr>
          <w:sz w:val="16"/>
          <w:szCs w:val="16"/>
        </w:rPr>
        <w:tab/>
      </w:r>
      <w:r w:rsidRPr="00243F98">
        <w:rPr>
          <w:sz w:val="16"/>
          <w:szCs w:val="16"/>
        </w:rPr>
        <w:t>Rozporządzenie Ministra Gospodarki Morskiej I Żeglugi Śródlądowej z dnia 14 grudnia 2018 r. w sprawie zakresu informacji z</w:t>
      </w:r>
      <w:r>
        <w:rPr>
          <w:sz w:val="16"/>
          <w:szCs w:val="16"/>
        </w:rPr>
        <w:t> </w:t>
      </w:r>
      <w:r w:rsidRPr="00243F98">
        <w:rPr>
          <w:sz w:val="16"/>
          <w:szCs w:val="16"/>
        </w:rPr>
        <w:t>realizacji działań zawartych w planach gospodarowania wodami na obszarach dorzeczy, planach zarządzania ryzykiem powodziowym i programie ochrony wód morskich.</w:t>
      </w:r>
      <w:bookmarkEnd w:id="14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0D795" w14:textId="77777777" w:rsidR="005A0B07" w:rsidRPr="001246AB" w:rsidRDefault="005A0B0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226FC" w14:textId="77777777" w:rsidR="005A0B07" w:rsidRPr="001246AB" w:rsidRDefault="005A0B07">
    <w:pPr>
      <w:rPr>
        <w:sz w:val="2"/>
      </w:rPr>
    </w:pPr>
    <w:r w:rsidRPr="001246AB">
      <w:rPr>
        <w:sz w:val="2"/>
        <w:szCs w:val="2"/>
      </w:rPr>
      <w:t xml:space="preserve"> </w:t>
    </w:r>
  </w:p>
  <w:tbl>
    <w:tblPr>
      <w:tblW w:w="5000" w:type="pct"/>
      <w:jc w:val="center"/>
      <w:tblLayout w:type="fixed"/>
      <w:tblCellMar>
        <w:left w:w="0" w:type="dxa"/>
        <w:right w:w="0" w:type="dxa"/>
      </w:tblCellMar>
      <w:tblLook w:val="0000" w:firstRow="0" w:lastRow="0" w:firstColumn="0" w:lastColumn="0" w:noHBand="0" w:noVBand="0"/>
    </w:tblPr>
    <w:tblGrid>
      <w:gridCol w:w="3730"/>
      <w:gridCol w:w="4207"/>
    </w:tblGrid>
    <w:tr w:rsidR="005A0B07" w:rsidRPr="00D879FB" w14:paraId="70B3789F" w14:textId="77777777">
      <w:trPr>
        <w:cantSplit/>
        <w:jc w:val="center"/>
      </w:trPr>
      <w:tc>
        <w:tcPr>
          <w:tcW w:w="2350" w:type="pct"/>
          <w:noWrap/>
        </w:tcPr>
        <w:p w14:paraId="18DE5835" w14:textId="77777777" w:rsidR="005A0B07" w:rsidRPr="00507221" w:rsidRDefault="005A0B07" w:rsidP="000017D3">
          <w:pPr>
            <w:pStyle w:val="Nagwek"/>
            <w:spacing w:after="72"/>
            <w:rPr>
              <w:szCs w:val="20"/>
              <w:lang w:eastAsia="en-US"/>
            </w:rPr>
          </w:pPr>
          <w:r w:rsidRPr="00507221">
            <w:rPr>
              <w:szCs w:val="20"/>
              <w:lang w:eastAsia="en-US"/>
            </w:rPr>
            <w:t>Ministerstwo Infrastruktury</w:t>
          </w:r>
        </w:p>
      </w:tc>
      <w:tc>
        <w:tcPr>
          <w:tcW w:w="2650" w:type="pct"/>
          <w:noWrap/>
        </w:tcPr>
        <w:p w14:paraId="24EAA7BF" w14:textId="77777777" w:rsidR="005A0B07" w:rsidRPr="00D879FB" w:rsidRDefault="005A0B07">
          <w:pPr>
            <w:pStyle w:val="Nagwek"/>
            <w:jc w:val="right"/>
            <w:rPr>
              <w:szCs w:val="12"/>
              <w:lang w:eastAsia="en-US"/>
            </w:rPr>
          </w:pPr>
          <w:r w:rsidRPr="00D879FB">
            <w:rPr>
              <w:szCs w:val="12"/>
              <w:lang w:eastAsia="en-US"/>
            </w:rPr>
            <w:t>Przegląd i aktualizacja planów zarządzania ryzykiem powodziowym od strony morza, w tym morskich wód wewnętrznych</w:t>
          </w:r>
          <w:r w:rsidRPr="00D879FB">
            <w:rPr>
              <w:szCs w:val="12"/>
              <w:lang w:eastAsia="en-US"/>
            </w:rPr>
            <w:br/>
            <w:t>Nr projektu: POIS.02.01.00-00-0023/18</w:t>
          </w:r>
        </w:p>
        <w:p w14:paraId="59321098" w14:textId="4D3F1B74" w:rsidR="005A0B07" w:rsidRPr="00D879FB" w:rsidRDefault="005A0B07" w:rsidP="000017D3">
          <w:pPr>
            <w:pStyle w:val="Nagwek"/>
            <w:jc w:val="right"/>
            <w:rPr>
              <w:szCs w:val="12"/>
              <w:lang w:eastAsia="en-US"/>
            </w:rPr>
          </w:pPr>
          <w:r w:rsidRPr="00D879FB">
            <w:rPr>
              <w:szCs w:val="12"/>
            </w:rPr>
            <w:t xml:space="preserve">Projekt aktualizacji planu zarządzania ryzykiem powodziowym od strony morza, w tym morskich wód wewnętrznych dla obszaru </w:t>
          </w:r>
          <w:r>
            <w:rPr>
              <w:szCs w:val="12"/>
            </w:rPr>
            <w:t>dorzecza</w:t>
          </w:r>
          <w:r w:rsidRPr="00D879FB">
            <w:rPr>
              <w:szCs w:val="12"/>
            </w:rPr>
            <w:t xml:space="preserve"> Dolnej Odry</w:t>
          </w:r>
        </w:p>
      </w:tc>
    </w:tr>
  </w:tbl>
  <w:p w14:paraId="3027710F" w14:textId="77777777" w:rsidR="005A0B07" w:rsidRPr="001246AB" w:rsidRDefault="005A0B0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209189" w14:textId="77777777" w:rsidR="005A0B07" w:rsidRPr="001246AB" w:rsidRDefault="005A0B07" w:rsidP="00507221">
    <w:pPr>
      <w:jc w:val="center"/>
      <w:rPr>
        <w:sz w:val="2"/>
      </w:rPr>
    </w:pPr>
    <w:r w:rsidRPr="001246AB">
      <w:rPr>
        <w:sz w:val="2"/>
        <w:szCs w:val="2"/>
      </w:rPr>
      <w:t xml:space="preserve"> </w:t>
    </w:r>
  </w:p>
  <w:tbl>
    <w:tblPr>
      <w:tblW w:w="5026" w:type="pct"/>
      <w:jc w:val="center"/>
      <w:tblLayout w:type="fixed"/>
      <w:tblCellMar>
        <w:left w:w="0" w:type="dxa"/>
        <w:right w:w="0" w:type="dxa"/>
      </w:tblCellMar>
      <w:tblLook w:val="0000" w:firstRow="0" w:lastRow="0" w:firstColumn="0" w:lastColumn="0" w:noHBand="0" w:noVBand="0"/>
    </w:tblPr>
    <w:tblGrid>
      <w:gridCol w:w="3396"/>
      <w:gridCol w:w="5153"/>
    </w:tblGrid>
    <w:tr w:rsidR="005A0B07" w:rsidRPr="00507221" w14:paraId="69F72CBD" w14:textId="77777777" w:rsidTr="00B85BC1">
      <w:trPr>
        <w:cantSplit/>
        <w:trHeight w:val="329"/>
        <w:jc w:val="center"/>
      </w:trPr>
      <w:tc>
        <w:tcPr>
          <w:tcW w:w="1986" w:type="pct"/>
          <w:noWrap/>
        </w:tcPr>
        <w:p w14:paraId="12BD7C23" w14:textId="77777777" w:rsidR="005A0B07" w:rsidRDefault="005A0B07" w:rsidP="000017D3">
          <w:pPr>
            <w:pStyle w:val="Nagwek"/>
            <w:spacing w:after="72"/>
            <w:rPr>
              <w:szCs w:val="20"/>
              <w:lang w:eastAsia="en-US"/>
            </w:rPr>
          </w:pPr>
          <w:r w:rsidRPr="00507221">
            <w:rPr>
              <w:szCs w:val="20"/>
              <w:lang w:eastAsia="en-US"/>
            </w:rPr>
            <w:t>Ministerstwo Infrastruktury</w:t>
          </w:r>
        </w:p>
        <w:p w14:paraId="38A99D0D" w14:textId="77777777" w:rsidR="005A0B07" w:rsidRDefault="005A0B07" w:rsidP="008B2692">
          <w:pPr>
            <w:rPr>
              <w:rFonts w:ascii="Arial" w:eastAsia="MS Gothic" w:hAnsi="Arial"/>
              <w:sz w:val="12"/>
              <w:szCs w:val="20"/>
              <w:lang w:eastAsia="en-US"/>
            </w:rPr>
          </w:pPr>
        </w:p>
        <w:p w14:paraId="5C7C0BAF" w14:textId="0A4FF654" w:rsidR="005A0B07" w:rsidRPr="008B2692" w:rsidRDefault="005A0B07" w:rsidP="008B2692">
          <w:pPr>
            <w:jc w:val="center"/>
            <w:rPr>
              <w:lang w:eastAsia="en-US"/>
            </w:rPr>
          </w:pPr>
        </w:p>
      </w:tc>
      <w:tc>
        <w:tcPr>
          <w:tcW w:w="3014" w:type="pct"/>
          <w:noWrap/>
        </w:tcPr>
        <w:p w14:paraId="1DD92D64" w14:textId="2BFF2316" w:rsidR="005A0B07" w:rsidRPr="00507221" w:rsidRDefault="005A0B07">
          <w:pPr>
            <w:pStyle w:val="Nagwek"/>
            <w:jc w:val="right"/>
            <w:rPr>
              <w:szCs w:val="20"/>
              <w:lang w:eastAsia="en-US"/>
            </w:rPr>
          </w:pPr>
          <w:r w:rsidRPr="00507221">
            <w:rPr>
              <w:szCs w:val="20"/>
              <w:lang w:eastAsia="en-US"/>
            </w:rPr>
            <w:t>Przegląd i aktualizacja planów zarządzania ryzykiem powodziowym od strony morza, w tym morskich wód wewnętrznych</w:t>
          </w:r>
          <w:r>
            <w:rPr>
              <w:szCs w:val="20"/>
              <w:lang w:eastAsia="en-US"/>
            </w:rPr>
            <w:t xml:space="preserve">. </w:t>
          </w:r>
          <w:r w:rsidRPr="00507221">
            <w:rPr>
              <w:szCs w:val="20"/>
              <w:lang w:eastAsia="en-US"/>
            </w:rPr>
            <w:t>Nr projektu: POIS.02.01.00-00-0023/18</w:t>
          </w:r>
        </w:p>
        <w:p w14:paraId="2FAF0FA0" w14:textId="0C7021E4" w:rsidR="005A0B07" w:rsidRPr="00507221" w:rsidRDefault="005A0B07" w:rsidP="000017D3">
          <w:pPr>
            <w:pStyle w:val="Nagwek"/>
            <w:jc w:val="right"/>
            <w:rPr>
              <w:sz w:val="16"/>
              <w:szCs w:val="20"/>
              <w:lang w:eastAsia="en-US"/>
            </w:rPr>
          </w:pPr>
          <w:r w:rsidRPr="00D879FB">
            <w:rPr>
              <w:szCs w:val="12"/>
            </w:rPr>
            <w:t xml:space="preserve">Projekt aktualizacji planu zarządzania ryzykiem powodziowym od strony morza, w tym morskich wód wewnętrznych dla obszaru </w:t>
          </w:r>
          <w:r>
            <w:rPr>
              <w:szCs w:val="12"/>
            </w:rPr>
            <w:t>dorzecza</w:t>
          </w:r>
          <w:r w:rsidRPr="00D879FB">
            <w:rPr>
              <w:szCs w:val="12"/>
            </w:rPr>
            <w:t xml:space="preserve"> Dolnej Odry</w:t>
          </w:r>
        </w:p>
      </w:tc>
    </w:tr>
  </w:tbl>
  <w:p w14:paraId="4A7C30AB" w14:textId="77777777" w:rsidR="005A0B07" w:rsidRPr="001246AB" w:rsidRDefault="005A0B0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9E2EBE"/>
    <w:lvl w:ilvl="0">
      <w:start w:val="1"/>
      <w:numFmt w:val="decimal"/>
      <w:pStyle w:val="Listanumerowan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809190"/>
    <w:lvl w:ilvl="0">
      <w:start w:val="1"/>
      <w:numFmt w:val="decimal"/>
      <w:pStyle w:val="Listanumerowan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EE8FC46"/>
    <w:lvl w:ilvl="0">
      <w:start w:val="1"/>
      <w:numFmt w:val="decimal"/>
      <w:pStyle w:val="Listanumerowana3"/>
      <w:lvlText w:val="%1."/>
      <w:lvlJc w:val="left"/>
      <w:pPr>
        <w:tabs>
          <w:tab w:val="num" w:pos="926"/>
        </w:tabs>
        <w:ind w:left="926" w:hanging="360"/>
      </w:pPr>
      <w:rPr>
        <w:rFonts w:cs="Times New Roman"/>
      </w:rPr>
    </w:lvl>
  </w:abstractNum>
  <w:abstractNum w:abstractNumId="3" w15:restartNumberingAfterBreak="0">
    <w:nsid w:val="FFFFFF7F"/>
    <w:multiLevelType w:val="singleLevel"/>
    <w:tmpl w:val="F24876DC"/>
    <w:lvl w:ilvl="0">
      <w:start w:val="1"/>
      <w:numFmt w:val="decimal"/>
      <w:pStyle w:val="Listanumerowana2"/>
      <w:lvlText w:val="%1."/>
      <w:lvlJc w:val="left"/>
      <w:pPr>
        <w:tabs>
          <w:tab w:val="num" w:pos="643"/>
        </w:tabs>
        <w:ind w:left="643" w:hanging="360"/>
      </w:pPr>
      <w:rPr>
        <w:rFonts w:cs="Times New Roman"/>
      </w:rPr>
    </w:lvl>
  </w:abstractNum>
  <w:abstractNum w:abstractNumId="4" w15:restartNumberingAfterBreak="0">
    <w:nsid w:val="FFFFFF80"/>
    <w:multiLevelType w:val="singleLevel"/>
    <w:tmpl w:val="813C3E74"/>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78EFA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7AF3FA"/>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E62DCD0"/>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00CB0E"/>
    <w:lvl w:ilvl="0">
      <w:start w:val="1"/>
      <w:numFmt w:val="decimal"/>
      <w:pStyle w:val="Listanumerowana"/>
      <w:lvlText w:val="%1."/>
      <w:lvlJc w:val="left"/>
      <w:pPr>
        <w:tabs>
          <w:tab w:val="num" w:pos="360"/>
        </w:tabs>
        <w:ind w:left="360" w:hanging="360"/>
      </w:pPr>
      <w:rPr>
        <w:rFonts w:cs="Times New Roman"/>
      </w:rPr>
    </w:lvl>
  </w:abstractNum>
  <w:abstractNum w:abstractNumId="9" w15:restartNumberingAfterBreak="0">
    <w:nsid w:val="FFFFFF89"/>
    <w:multiLevelType w:val="singleLevel"/>
    <w:tmpl w:val="61D004C4"/>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02239AF"/>
    <w:multiLevelType w:val="hybridMultilevel"/>
    <w:tmpl w:val="90CEB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0D52CBF"/>
    <w:multiLevelType w:val="hybridMultilevel"/>
    <w:tmpl w:val="AE14C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1710638"/>
    <w:multiLevelType w:val="hybridMultilevel"/>
    <w:tmpl w:val="58EE3DC6"/>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5B6993"/>
    <w:multiLevelType w:val="hybridMultilevel"/>
    <w:tmpl w:val="028033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37C6CE5"/>
    <w:multiLevelType w:val="hybridMultilevel"/>
    <w:tmpl w:val="A24244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A8F5176"/>
    <w:multiLevelType w:val="hybridMultilevel"/>
    <w:tmpl w:val="F54E3144"/>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6" w15:restartNumberingAfterBreak="0">
    <w:nsid w:val="0B7B2472"/>
    <w:multiLevelType w:val="hybridMultilevel"/>
    <w:tmpl w:val="A4B8ABB8"/>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747"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0BD75985"/>
    <w:multiLevelType w:val="hybridMultilevel"/>
    <w:tmpl w:val="F44EF2E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C0007BF"/>
    <w:multiLevelType w:val="hybridMultilevel"/>
    <w:tmpl w:val="AF9A2A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D7C0877"/>
    <w:multiLevelType w:val="hybridMultilevel"/>
    <w:tmpl w:val="2A405B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ED36D25"/>
    <w:multiLevelType w:val="hybridMultilevel"/>
    <w:tmpl w:val="3558D6A4"/>
    <w:lvl w:ilvl="0" w:tplc="04150001">
      <w:start w:val="1"/>
      <w:numFmt w:val="bullet"/>
      <w:lvlText w:val=""/>
      <w:lvlJc w:val="left"/>
      <w:pPr>
        <w:ind w:left="690" w:hanging="360"/>
      </w:pPr>
      <w:rPr>
        <w:rFonts w:ascii="Symbol" w:hAnsi="Symbol" w:hint="default"/>
      </w:rPr>
    </w:lvl>
    <w:lvl w:ilvl="1" w:tplc="FB081914">
      <w:numFmt w:val="bullet"/>
      <w:lvlText w:val="•"/>
      <w:lvlJc w:val="left"/>
      <w:pPr>
        <w:ind w:left="1410" w:hanging="360"/>
      </w:pPr>
      <w:rPr>
        <w:rFonts w:ascii="Times New Roman" w:eastAsia="Times New Roman" w:hAnsi="Times New Roman" w:hint="default"/>
      </w:rPr>
    </w:lvl>
    <w:lvl w:ilvl="2" w:tplc="04150005" w:tentative="1">
      <w:start w:val="1"/>
      <w:numFmt w:val="bullet"/>
      <w:lvlText w:val=""/>
      <w:lvlJc w:val="left"/>
      <w:pPr>
        <w:ind w:left="2130" w:hanging="360"/>
      </w:pPr>
      <w:rPr>
        <w:rFonts w:ascii="Wingdings" w:hAnsi="Wingdings" w:hint="default"/>
      </w:rPr>
    </w:lvl>
    <w:lvl w:ilvl="3" w:tplc="04150001" w:tentative="1">
      <w:start w:val="1"/>
      <w:numFmt w:val="bullet"/>
      <w:lvlText w:val=""/>
      <w:lvlJc w:val="left"/>
      <w:pPr>
        <w:ind w:left="2850" w:hanging="360"/>
      </w:pPr>
      <w:rPr>
        <w:rFonts w:ascii="Symbol" w:hAnsi="Symbol" w:hint="default"/>
      </w:rPr>
    </w:lvl>
    <w:lvl w:ilvl="4" w:tplc="04150003" w:tentative="1">
      <w:start w:val="1"/>
      <w:numFmt w:val="bullet"/>
      <w:lvlText w:val="o"/>
      <w:lvlJc w:val="left"/>
      <w:pPr>
        <w:ind w:left="3570" w:hanging="360"/>
      </w:pPr>
      <w:rPr>
        <w:rFonts w:ascii="Courier New" w:hAnsi="Courier New" w:hint="default"/>
      </w:rPr>
    </w:lvl>
    <w:lvl w:ilvl="5" w:tplc="04150005" w:tentative="1">
      <w:start w:val="1"/>
      <w:numFmt w:val="bullet"/>
      <w:lvlText w:val=""/>
      <w:lvlJc w:val="left"/>
      <w:pPr>
        <w:ind w:left="4290" w:hanging="360"/>
      </w:pPr>
      <w:rPr>
        <w:rFonts w:ascii="Wingdings" w:hAnsi="Wingdings" w:hint="default"/>
      </w:rPr>
    </w:lvl>
    <w:lvl w:ilvl="6" w:tplc="04150001" w:tentative="1">
      <w:start w:val="1"/>
      <w:numFmt w:val="bullet"/>
      <w:lvlText w:val=""/>
      <w:lvlJc w:val="left"/>
      <w:pPr>
        <w:ind w:left="5010" w:hanging="360"/>
      </w:pPr>
      <w:rPr>
        <w:rFonts w:ascii="Symbol" w:hAnsi="Symbol" w:hint="default"/>
      </w:rPr>
    </w:lvl>
    <w:lvl w:ilvl="7" w:tplc="04150003" w:tentative="1">
      <w:start w:val="1"/>
      <w:numFmt w:val="bullet"/>
      <w:lvlText w:val="o"/>
      <w:lvlJc w:val="left"/>
      <w:pPr>
        <w:ind w:left="5730" w:hanging="360"/>
      </w:pPr>
      <w:rPr>
        <w:rFonts w:ascii="Courier New" w:hAnsi="Courier New" w:hint="default"/>
      </w:rPr>
    </w:lvl>
    <w:lvl w:ilvl="8" w:tplc="04150005" w:tentative="1">
      <w:start w:val="1"/>
      <w:numFmt w:val="bullet"/>
      <w:lvlText w:val=""/>
      <w:lvlJc w:val="left"/>
      <w:pPr>
        <w:ind w:left="6450" w:hanging="360"/>
      </w:pPr>
      <w:rPr>
        <w:rFonts w:ascii="Wingdings" w:hAnsi="Wingdings" w:hint="default"/>
      </w:rPr>
    </w:lvl>
  </w:abstractNum>
  <w:abstractNum w:abstractNumId="21" w15:restartNumberingAfterBreak="0">
    <w:nsid w:val="0F474790"/>
    <w:multiLevelType w:val="hybridMultilevel"/>
    <w:tmpl w:val="45ECC1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FB13AA6"/>
    <w:multiLevelType w:val="hybridMultilevel"/>
    <w:tmpl w:val="01B4BDC4"/>
    <w:lvl w:ilvl="0" w:tplc="90B87C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90B87C5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27C641E"/>
    <w:multiLevelType w:val="hybridMultilevel"/>
    <w:tmpl w:val="56C641F2"/>
    <w:lvl w:ilvl="0" w:tplc="AFE6B476">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2951498"/>
    <w:multiLevelType w:val="hybridMultilevel"/>
    <w:tmpl w:val="CBA0481C"/>
    <w:lvl w:ilvl="0" w:tplc="16F4D1F8">
      <w:numFmt w:val="bullet"/>
      <w:lvlText w:val="•"/>
      <w:lvlJc w:val="left"/>
      <w:pPr>
        <w:ind w:left="720" w:hanging="360"/>
      </w:pPr>
      <w:rPr>
        <w:rFonts w:ascii="Times New Roman" w:eastAsiaTheme="minorEastAsia"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3CB7E06"/>
    <w:multiLevelType w:val="hybridMultilevel"/>
    <w:tmpl w:val="E8AA84C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 w15:restartNumberingAfterBreak="0">
    <w:nsid w:val="1515751D"/>
    <w:multiLevelType w:val="hybridMultilevel"/>
    <w:tmpl w:val="72D004B2"/>
    <w:lvl w:ilvl="0" w:tplc="35009A7E">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7C938FD"/>
    <w:multiLevelType w:val="hybridMultilevel"/>
    <w:tmpl w:val="F41C64A4"/>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889"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18BA41C8"/>
    <w:multiLevelType w:val="hybridMultilevel"/>
    <w:tmpl w:val="9CE441A2"/>
    <w:lvl w:ilvl="0" w:tplc="6DCCCE70">
      <w:start w:val="1"/>
      <w:numFmt w:val="bullet"/>
      <w:lvlText w:val="‒"/>
      <w:lvlJc w:val="left"/>
      <w:pPr>
        <w:tabs>
          <w:tab w:val="num" w:pos="765"/>
        </w:tabs>
        <w:ind w:left="765" w:hanging="360"/>
      </w:pPr>
      <w:rPr>
        <w:rFonts w:ascii="Calibri" w:hAnsi="Calibri" w:hint="default"/>
      </w:rPr>
    </w:lvl>
    <w:lvl w:ilvl="1" w:tplc="04150003" w:tentative="1">
      <w:start w:val="1"/>
      <w:numFmt w:val="bullet"/>
      <w:lvlText w:val="o"/>
      <w:lvlJc w:val="left"/>
      <w:pPr>
        <w:tabs>
          <w:tab w:val="num" w:pos="1485"/>
        </w:tabs>
        <w:ind w:left="1485" w:hanging="360"/>
      </w:pPr>
      <w:rPr>
        <w:rFonts w:ascii="Courier New" w:hAnsi="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9" w15:restartNumberingAfterBreak="0">
    <w:nsid w:val="195462D2"/>
    <w:multiLevelType w:val="hybridMultilevel"/>
    <w:tmpl w:val="DD72EE6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A5B54BA"/>
    <w:multiLevelType w:val="hybridMultilevel"/>
    <w:tmpl w:val="0BBC71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AAC7939"/>
    <w:multiLevelType w:val="hybridMultilevel"/>
    <w:tmpl w:val="C47660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BCD3DA3"/>
    <w:multiLevelType w:val="hybridMultilevel"/>
    <w:tmpl w:val="BE0C75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CCA3625"/>
    <w:multiLevelType w:val="hybridMultilevel"/>
    <w:tmpl w:val="CE3696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E2707FB"/>
    <w:multiLevelType w:val="hybridMultilevel"/>
    <w:tmpl w:val="B9D6F514"/>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889"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1E8F15A0"/>
    <w:multiLevelType w:val="hybridMultilevel"/>
    <w:tmpl w:val="E508240E"/>
    <w:lvl w:ilvl="0" w:tplc="1BCA7E62">
      <w:start w:val="1"/>
      <w:numFmt w:val="decimal"/>
      <w:lvlText w:val="%1."/>
      <w:lvlJc w:val="left"/>
      <w:pPr>
        <w:ind w:left="720" w:hanging="360"/>
      </w:pPr>
      <w:rPr>
        <w:rFonts w:hint="default"/>
      </w:rPr>
    </w:lvl>
    <w:lvl w:ilvl="1" w:tplc="82CC2B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EEC0853"/>
    <w:multiLevelType w:val="hybridMultilevel"/>
    <w:tmpl w:val="37F40842"/>
    <w:lvl w:ilvl="0" w:tplc="6DCCCE70">
      <w:start w:val="1"/>
      <w:numFmt w:val="bullet"/>
      <w:lvlText w:val="‒"/>
      <w:lvlJc w:val="left"/>
      <w:pPr>
        <w:ind w:left="2435" w:hanging="360"/>
      </w:pPr>
      <w:rPr>
        <w:rFonts w:ascii="Calibri" w:hAnsi="Calibri" w:hint="default"/>
      </w:rPr>
    </w:lvl>
    <w:lvl w:ilvl="1" w:tplc="04150003" w:tentative="1">
      <w:start w:val="1"/>
      <w:numFmt w:val="bullet"/>
      <w:lvlText w:val="o"/>
      <w:lvlJc w:val="left"/>
      <w:pPr>
        <w:ind w:left="3155" w:hanging="360"/>
      </w:pPr>
      <w:rPr>
        <w:rFonts w:ascii="Courier New" w:hAnsi="Courier New" w:cs="Courier New" w:hint="default"/>
      </w:rPr>
    </w:lvl>
    <w:lvl w:ilvl="2" w:tplc="04150005" w:tentative="1">
      <w:start w:val="1"/>
      <w:numFmt w:val="bullet"/>
      <w:lvlText w:val=""/>
      <w:lvlJc w:val="left"/>
      <w:pPr>
        <w:ind w:left="3875" w:hanging="360"/>
      </w:pPr>
      <w:rPr>
        <w:rFonts w:ascii="Wingdings" w:hAnsi="Wingdings" w:hint="default"/>
      </w:rPr>
    </w:lvl>
    <w:lvl w:ilvl="3" w:tplc="04150001" w:tentative="1">
      <w:start w:val="1"/>
      <w:numFmt w:val="bullet"/>
      <w:lvlText w:val=""/>
      <w:lvlJc w:val="left"/>
      <w:pPr>
        <w:ind w:left="4595" w:hanging="360"/>
      </w:pPr>
      <w:rPr>
        <w:rFonts w:ascii="Symbol" w:hAnsi="Symbol" w:hint="default"/>
      </w:rPr>
    </w:lvl>
    <w:lvl w:ilvl="4" w:tplc="04150003" w:tentative="1">
      <w:start w:val="1"/>
      <w:numFmt w:val="bullet"/>
      <w:lvlText w:val="o"/>
      <w:lvlJc w:val="left"/>
      <w:pPr>
        <w:ind w:left="5315" w:hanging="360"/>
      </w:pPr>
      <w:rPr>
        <w:rFonts w:ascii="Courier New" w:hAnsi="Courier New" w:cs="Courier New" w:hint="default"/>
      </w:rPr>
    </w:lvl>
    <w:lvl w:ilvl="5" w:tplc="04150005" w:tentative="1">
      <w:start w:val="1"/>
      <w:numFmt w:val="bullet"/>
      <w:lvlText w:val=""/>
      <w:lvlJc w:val="left"/>
      <w:pPr>
        <w:ind w:left="6035" w:hanging="360"/>
      </w:pPr>
      <w:rPr>
        <w:rFonts w:ascii="Wingdings" w:hAnsi="Wingdings" w:hint="default"/>
      </w:rPr>
    </w:lvl>
    <w:lvl w:ilvl="6" w:tplc="04150001" w:tentative="1">
      <w:start w:val="1"/>
      <w:numFmt w:val="bullet"/>
      <w:lvlText w:val=""/>
      <w:lvlJc w:val="left"/>
      <w:pPr>
        <w:ind w:left="6755" w:hanging="360"/>
      </w:pPr>
      <w:rPr>
        <w:rFonts w:ascii="Symbol" w:hAnsi="Symbol" w:hint="default"/>
      </w:rPr>
    </w:lvl>
    <w:lvl w:ilvl="7" w:tplc="04150003" w:tentative="1">
      <w:start w:val="1"/>
      <w:numFmt w:val="bullet"/>
      <w:lvlText w:val="o"/>
      <w:lvlJc w:val="left"/>
      <w:pPr>
        <w:ind w:left="7475" w:hanging="360"/>
      </w:pPr>
      <w:rPr>
        <w:rFonts w:ascii="Courier New" w:hAnsi="Courier New" w:cs="Courier New" w:hint="default"/>
      </w:rPr>
    </w:lvl>
    <w:lvl w:ilvl="8" w:tplc="04150005" w:tentative="1">
      <w:start w:val="1"/>
      <w:numFmt w:val="bullet"/>
      <w:lvlText w:val=""/>
      <w:lvlJc w:val="left"/>
      <w:pPr>
        <w:ind w:left="8195" w:hanging="360"/>
      </w:pPr>
      <w:rPr>
        <w:rFonts w:ascii="Wingdings" w:hAnsi="Wingdings" w:hint="default"/>
      </w:rPr>
    </w:lvl>
  </w:abstractNum>
  <w:abstractNum w:abstractNumId="37" w15:restartNumberingAfterBreak="0">
    <w:nsid w:val="1F0F3A78"/>
    <w:multiLevelType w:val="multilevel"/>
    <w:tmpl w:val="8C36988C"/>
    <w:styleLink w:val="ReportBulletListStyle"/>
    <w:lvl w:ilvl="0">
      <w:start w:val="1"/>
      <w:numFmt w:val="bullet"/>
      <w:lvlText w:val=""/>
      <w:lvlJc w:val="left"/>
      <w:pPr>
        <w:tabs>
          <w:tab w:val="num" w:pos="357"/>
        </w:tabs>
        <w:ind w:left="357" w:hanging="357"/>
      </w:pPr>
      <w:rPr>
        <w:rFonts w:ascii="Symbol" w:hAnsi="Symbol" w:hint="default"/>
        <w:b w:val="0"/>
        <w:i w:val="0"/>
        <w:sz w:val="22"/>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1"/>
        </w:tabs>
        <w:ind w:left="1071" w:hanging="357"/>
      </w:pPr>
      <w:rPr>
        <w:rFonts w:ascii="Symbol" w:hAnsi="Symbol" w:hint="default"/>
      </w:rPr>
    </w:lvl>
    <w:lvl w:ilvl="3">
      <w:start w:val="1"/>
      <w:numFmt w:val="bullet"/>
      <w:lvlText w:val=""/>
      <w:lvlJc w:val="left"/>
      <w:pPr>
        <w:tabs>
          <w:tab w:val="num" w:pos="1428"/>
        </w:tabs>
        <w:ind w:left="1428" w:hanging="357"/>
      </w:pPr>
      <w:rPr>
        <w:rFonts w:ascii="Symbol" w:hAnsi="Symbol" w:hint="default"/>
      </w:rPr>
    </w:lvl>
    <w:lvl w:ilvl="4">
      <w:start w:val="1"/>
      <w:numFmt w:val="bullet"/>
      <w:lvlText w:val=""/>
      <w:lvlJc w:val="left"/>
      <w:pPr>
        <w:tabs>
          <w:tab w:val="num" w:pos="1785"/>
        </w:tabs>
        <w:ind w:left="1785" w:hanging="357"/>
      </w:pPr>
      <w:rPr>
        <w:rFonts w:ascii="Symbol" w:hAnsi="Symbol" w:hint="default"/>
      </w:rPr>
    </w:lvl>
    <w:lvl w:ilvl="5">
      <w:start w:val="1"/>
      <w:numFmt w:val="bullet"/>
      <w:lvlText w:val=""/>
      <w:lvlJc w:val="left"/>
      <w:pPr>
        <w:tabs>
          <w:tab w:val="num" w:pos="2142"/>
        </w:tabs>
        <w:ind w:left="2142" w:hanging="357"/>
      </w:pPr>
      <w:rPr>
        <w:rFonts w:ascii="Wingdings" w:hAnsi="Wingdings" w:hint="default"/>
      </w:rPr>
    </w:lvl>
    <w:lvl w:ilvl="6">
      <w:start w:val="1"/>
      <w:numFmt w:val="bullet"/>
      <w:lvlText w:val=""/>
      <w:lvlJc w:val="left"/>
      <w:pPr>
        <w:tabs>
          <w:tab w:val="num" w:pos="2499"/>
        </w:tabs>
        <w:ind w:left="2499" w:hanging="357"/>
      </w:pPr>
      <w:rPr>
        <w:rFonts w:ascii="Symbol" w:hAnsi="Symbol" w:hint="default"/>
      </w:rPr>
    </w:lvl>
    <w:lvl w:ilvl="7">
      <w:start w:val="1"/>
      <w:numFmt w:val="bullet"/>
      <w:lvlText w:val="o"/>
      <w:lvlJc w:val="left"/>
      <w:pPr>
        <w:tabs>
          <w:tab w:val="num" w:pos="2856"/>
        </w:tabs>
        <w:ind w:left="2856" w:hanging="357"/>
      </w:pPr>
      <w:rPr>
        <w:rFonts w:ascii="Courier New" w:hAnsi="Courier New" w:hint="default"/>
      </w:rPr>
    </w:lvl>
    <w:lvl w:ilvl="8">
      <w:start w:val="1"/>
      <w:numFmt w:val="bullet"/>
      <w:lvlText w:val=""/>
      <w:lvlJc w:val="left"/>
      <w:pPr>
        <w:tabs>
          <w:tab w:val="num" w:pos="3213"/>
        </w:tabs>
        <w:ind w:left="3213" w:hanging="357"/>
      </w:pPr>
      <w:rPr>
        <w:rFonts w:ascii="Wingdings" w:hAnsi="Wingdings" w:hint="default"/>
      </w:rPr>
    </w:lvl>
  </w:abstractNum>
  <w:abstractNum w:abstractNumId="38" w15:restartNumberingAfterBreak="0">
    <w:nsid w:val="20CF6568"/>
    <w:multiLevelType w:val="hybridMultilevel"/>
    <w:tmpl w:val="183C2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1155FFF"/>
    <w:multiLevelType w:val="hybridMultilevel"/>
    <w:tmpl w:val="10DE6A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296050A"/>
    <w:multiLevelType w:val="hybridMultilevel"/>
    <w:tmpl w:val="D228C5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23BC2E74"/>
    <w:multiLevelType w:val="hybridMultilevel"/>
    <w:tmpl w:val="C87A6B60"/>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889"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15:restartNumberingAfterBreak="0">
    <w:nsid w:val="244525E1"/>
    <w:multiLevelType w:val="hybridMultilevel"/>
    <w:tmpl w:val="DBEC8474"/>
    <w:lvl w:ilvl="0" w:tplc="AFE6B476">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4B4338C"/>
    <w:multiLevelType w:val="hybridMultilevel"/>
    <w:tmpl w:val="72664F98"/>
    <w:lvl w:ilvl="0" w:tplc="6DCCCE70">
      <w:start w:val="1"/>
      <w:numFmt w:val="bullet"/>
      <w:lvlText w:val="‒"/>
      <w:lvlJc w:val="left"/>
      <w:pPr>
        <w:ind w:left="1440" w:hanging="360"/>
      </w:pPr>
      <w:rPr>
        <w:rFonts w:ascii="Calibri" w:hAnsi="Calibri"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266246F5"/>
    <w:multiLevelType w:val="hybridMultilevel"/>
    <w:tmpl w:val="DF3A724E"/>
    <w:lvl w:ilvl="0" w:tplc="6DCCCE70">
      <w:start w:val="1"/>
      <w:numFmt w:val="bullet"/>
      <w:lvlText w:val="‒"/>
      <w:lvlJc w:val="left"/>
      <w:pPr>
        <w:ind w:left="862" w:hanging="360"/>
      </w:pPr>
      <w:rPr>
        <w:rFonts w:ascii="Calibri" w:hAnsi="Calibri"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5" w15:restartNumberingAfterBreak="0">
    <w:nsid w:val="2A0831DE"/>
    <w:multiLevelType w:val="hybridMultilevel"/>
    <w:tmpl w:val="20E095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2A3613F5"/>
    <w:multiLevelType w:val="hybridMultilevel"/>
    <w:tmpl w:val="B33EFE8A"/>
    <w:lvl w:ilvl="0" w:tplc="04150001">
      <w:start w:val="1"/>
      <w:numFmt w:val="bullet"/>
      <w:lvlText w:val=""/>
      <w:lvlJc w:val="left"/>
      <w:pPr>
        <w:ind w:left="360" w:hanging="360"/>
      </w:pPr>
      <w:rPr>
        <w:rFonts w:ascii="Symbol" w:hAnsi="Symbol" w:hint="default"/>
      </w:rPr>
    </w:lvl>
    <w:lvl w:ilvl="1" w:tplc="C08C2C72">
      <w:start w:val="1"/>
      <w:numFmt w:val="bullet"/>
      <w:lvlText w:val="o"/>
      <w:lvlJc w:val="center"/>
      <w:pPr>
        <w:ind w:left="927" w:hanging="360"/>
      </w:pPr>
      <w:rPr>
        <w:rFonts w:ascii="Courier New" w:hAnsi="Courier New"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2A4F5C40"/>
    <w:multiLevelType w:val="hybridMultilevel"/>
    <w:tmpl w:val="8E4C885C"/>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747"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2A6775E9"/>
    <w:multiLevelType w:val="hybridMultilevel"/>
    <w:tmpl w:val="99D28616"/>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747"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9" w15:restartNumberingAfterBreak="0">
    <w:nsid w:val="2AAE04A4"/>
    <w:multiLevelType w:val="hybridMultilevel"/>
    <w:tmpl w:val="4A32E0F4"/>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889" w:hanging="180"/>
      </w:pPr>
      <w:rPr>
        <w:rFonts w:ascii="Courier New" w:hAnsi="Courier New" w:hint="default"/>
      </w:rPr>
    </w:lvl>
    <w:lvl w:ilvl="3" w:tplc="0415000F">
      <w:start w:val="1"/>
      <w:numFmt w:val="decimal"/>
      <w:lvlText w:val="%4."/>
      <w:lvlJc w:val="left"/>
      <w:pPr>
        <w:ind w:left="2520" w:hanging="360"/>
      </w:pPr>
      <w:rPr>
        <w:rFonts w:cs="Times New Roman"/>
      </w:rPr>
    </w:lvl>
    <w:lvl w:ilvl="4" w:tplc="7D50F464">
      <w:start w:val="1"/>
      <w:numFmt w:val="lowerLetter"/>
      <w:lvlText w:val="%5)"/>
      <w:lvlJc w:val="left"/>
      <w:pPr>
        <w:ind w:left="3240" w:hanging="360"/>
      </w:pPr>
      <w:rPr>
        <w:rFonts w:hint="default"/>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2AE724BC"/>
    <w:multiLevelType w:val="hybridMultilevel"/>
    <w:tmpl w:val="D6DC5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B0507D8"/>
    <w:multiLevelType w:val="hybridMultilevel"/>
    <w:tmpl w:val="19DC8DA8"/>
    <w:lvl w:ilvl="0" w:tplc="1BCA7E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D1B161E"/>
    <w:multiLevelType w:val="hybridMultilevel"/>
    <w:tmpl w:val="70640990"/>
    <w:lvl w:ilvl="0" w:tplc="8DD49686">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D763A6E"/>
    <w:multiLevelType w:val="multilevel"/>
    <w:tmpl w:val="C9FA1756"/>
    <w:lvl w:ilvl="0">
      <w:start w:val="1"/>
      <w:numFmt w:val="decimal"/>
      <w:lvlText w:val="%1"/>
      <w:lvlJc w:val="left"/>
      <w:pPr>
        <w:tabs>
          <w:tab w:val="num" w:pos="1134"/>
        </w:tabs>
        <w:ind w:left="1134" w:hanging="1134"/>
      </w:pPr>
      <w:rPr>
        <w:rFonts w:ascii="Times New Roman" w:eastAsia="MS Gothic" w:hAnsi="Times New Roman" w:cs="Times New Roman" w:hint="default"/>
        <w:b/>
        <w:i w:val="0"/>
        <w:color w:val="28AAE1"/>
        <w:sz w:val="36"/>
      </w:rPr>
    </w:lvl>
    <w:lvl w:ilvl="1">
      <w:start w:val="1"/>
      <w:numFmt w:val="decimal"/>
      <w:lvlText w:val="%1.%2"/>
      <w:lvlJc w:val="left"/>
      <w:pPr>
        <w:tabs>
          <w:tab w:val="num" w:pos="1134"/>
        </w:tabs>
        <w:ind w:left="1134" w:hanging="1134"/>
      </w:pPr>
      <w:rPr>
        <w:rFonts w:ascii="Times New Roman" w:eastAsia="MS Gothic" w:hAnsi="Times New Roman" w:cs="Times New Roman" w:hint="default"/>
        <w:b/>
        <w:i w:val="0"/>
        <w:color w:val="28AAE1"/>
        <w:sz w:val="32"/>
        <w:szCs w:val="32"/>
        <w:u w:val="none" w:color="008080"/>
      </w:rPr>
    </w:lvl>
    <w:lvl w:ilvl="2">
      <w:start w:val="1"/>
      <w:numFmt w:val="decimal"/>
      <w:pStyle w:val="Nagwek5"/>
      <w:lvlText w:val="%1.%2.%3"/>
      <w:lvlJc w:val="left"/>
      <w:pPr>
        <w:tabs>
          <w:tab w:val="num" w:pos="1134"/>
        </w:tabs>
        <w:ind w:left="1134" w:hanging="1134"/>
      </w:pPr>
      <w:rPr>
        <w:rFonts w:ascii="Times New Roman" w:eastAsia="MS Gothic" w:hAnsi="Times New Roman" w:cs="Times New Roman" w:hint="default"/>
        <w:b/>
        <w:i w:val="0"/>
        <w:color w:val="28AAE1"/>
        <w:sz w:val="28"/>
        <w:szCs w:val="28"/>
      </w:rPr>
    </w:lvl>
    <w:lvl w:ilvl="3">
      <w:start w:val="1"/>
      <w:numFmt w:val="decimal"/>
      <w:lvlText w:val="%1.%2.%3.%4"/>
      <w:lvlJc w:val="left"/>
      <w:pPr>
        <w:tabs>
          <w:tab w:val="num" w:pos="1134"/>
        </w:tabs>
        <w:ind w:left="1134" w:hanging="1134"/>
      </w:pPr>
      <w:rPr>
        <w:rFonts w:ascii="Times New Roman" w:eastAsia="MS Gothic" w:hAnsi="Times New Roman" w:cs="Times New Roman" w:hint="default"/>
        <w:b/>
        <w:i w:val="0"/>
        <w:color w:val="28AAE1"/>
        <w:sz w:val="28"/>
        <w:szCs w:val="28"/>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rPr>
    </w:lvl>
    <w:lvl w:ilvl="6">
      <w:start w:val="1"/>
      <w:numFmt w:val="decimal"/>
      <w:lvlText w:val="%1.%2.%3.%4.%5.%6.%7"/>
      <w:lvlJc w:val="left"/>
      <w:pPr>
        <w:tabs>
          <w:tab w:val="num" w:pos="1134"/>
        </w:tabs>
        <w:ind w:left="1134" w:hanging="1134"/>
      </w:pPr>
      <w:rPr>
        <w:rFonts w:cs="Times New Roman" w:hint="default"/>
      </w:rPr>
    </w:lvl>
    <w:lvl w:ilvl="7">
      <w:start w:val="1"/>
      <w:numFmt w:val="decimal"/>
      <w:lvlText w:val="%1.%2.%3.%4.%5.%6.%7.%8"/>
      <w:lvlJc w:val="left"/>
      <w:pPr>
        <w:tabs>
          <w:tab w:val="num" w:pos="1134"/>
        </w:tabs>
        <w:ind w:left="1134" w:hanging="1134"/>
      </w:pPr>
      <w:rPr>
        <w:rFonts w:cs="Times New Roman" w:hint="default"/>
      </w:rPr>
    </w:lvl>
    <w:lvl w:ilvl="8">
      <w:start w:val="1"/>
      <w:numFmt w:val="decimal"/>
      <w:lvlText w:val="%1.%2.%3.%4.%5.%6.%7.%8.%9"/>
      <w:lvlJc w:val="left"/>
      <w:pPr>
        <w:tabs>
          <w:tab w:val="num" w:pos="1134"/>
        </w:tabs>
        <w:ind w:left="1134" w:hanging="1134"/>
      </w:pPr>
      <w:rPr>
        <w:rFonts w:cs="Times New Roman" w:hint="default"/>
      </w:rPr>
    </w:lvl>
  </w:abstractNum>
  <w:abstractNum w:abstractNumId="54" w15:restartNumberingAfterBreak="0">
    <w:nsid w:val="2F601FDB"/>
    <w:multiLevelType w:val="hybridMultilevel"/>
    <w:tmpl w:val="95382F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09511E2"/>
    <w:multiLevelType w:val="hybridMultilevel"/>
    <w:tmpl w:val="30E893C4"/>
    <w:styleLink w:val="ReportListNumberStyle"/>
    <w:lvl w:ilvl="0" w:tplc="FE6E89C2">
      <w:start w:val="1"/>
      <w:numFmt w:val="bullet"/>
      <w:pStyle w:val="CVBullets"/>
      <w:lvlText w:val=""/>
      <w:lvlJc w:val="left"/>
      <w:pPr>
        <w:ind w:left="720" w:hanging="360"/>
      </w:pPr>
      <w:rPr>
        <w:rFonts w:ascii="Symbol" w:hAnsi="Symbol" w:hint="default"/>
        <w:b w:val="0"/>
        <w:i w:val="0"/>
        <w:sz w:val="18"/>
        <w:u w:color="595959"/>
      </w:rPr>
    </w:lvl>
    <w:lvl w:ilvl="1" w:tplc="4704B624" w:tentative="1">
      <w:start w:val="1"/>
      <w:numFmt w:val="bullet"/>
      <w:lvlText w:val="o"/>
      <w:lvlJc w:val="left"/>
      <w:pPr>
        <w:ind w:left="1440" w:hanging="360"/>
      </w:pPr>
      <w:rPr>
        <w:rFonts w:ascii="Courier New" w:hAnsi="Courier New" w:hint="default"/>
      </w:rPr>
    </w:lvl>
    <w:lvl w:ilvl="2" w:tplc="2A5084C4" w:tentative="1">
      <w:start w:val="1"/>
      <w:numFmt w:val="bullet"/>
      <w:lvlText w:val=""/>
      <w:lvlJc w:val="left"/>
      <w:pPr>
        <w:ind w:left="2160" w:hanging="360"/>
      </w:pPr>
      <w:rPr>
        <w:rFonts w:ascii="Wingdings" w:hAnsi="Wingdings" w:hint="default"/>
      </w:rPr>
    </w:lvl>
    <w:lvl w:ilvl="3" w:tplc="CC521BD2" w:tentative="1">
      <w:start w:val="1"/>
      <w:numFmt w:val="bullet"/>
      <w:lvlText w:val=""/>
      <w:lvlJc w:val="left"/>
      <w:pPr>
        <w:ind w:left="2880" w:hanging="360"/>
      </w:pPr>
      <w:rPr>
        <w:rFonts w:ascii="Symbol" w:hAnsi="Symbol" w:hint="default"/>
      </w:rPr>
    </w:lvl>
    <w:lvl w:ilvl="4" w:tplc="AF086B12" w:tentative="1">
      <w:start w:val="1"/>
      <w:numFmt w:val="bullet"/>
      <w:lvlText w:val="o"/>
      <w:lvlJc w:val="left"/>
      <w:pPr>
        <w:ind w:left="3600" w:hanging="360"/>
      </w:pPr>
      <w:rPr>
        <w:rFonts w:ascii="Courier New" w:hAnsi="Courier New" w:hint="default"/>
      </w:rPr>
    </w:lvl>
    <w:lvl w:ilvl="5" w:tplc="324A9102" w:tentative="1">
      <w:start w:val="1"/>
      <w:numFmt w:val="bullet"/>
      <w:lvlText w:val=""/>
      <w:lvlJc w:val="left"/>
      <w:pPr>
        <w:ind w:left="4320" w:hanging="360"/>
      </w:pPr>
      <w:rPr>
        <w:rFonts w:ascii="Wingdings" w:hAnsi="Wingdings" w:hint="default"/>
      </w:rPr>
    </w:lvl>
    <w:lvl w:ilvl="6" w:tplc="A03CC0BC" w:tentative="1">
      <w:start w:val="1"/>
      <w:numFmt w:val="bullet"/>
      <w:lvlText w:val=""/>
      <w:lvlJc w:val="left"/>
      <w:pPr>
        <w:ind w:left="5040" w:hanging="360"/>
      </w:pPr>
      <w:rPr>
        <w:rFonts w:ascii="Symbol" w:hAnsi="Symbol" w:hint="default"/>
      </w:rPr>
    </w:lvl>
    <w:lvl w:ilvl="7" w:tplc="85A8FA42" w:tentative="1">
      <w:start w:val="1"/>
      <w:numFmt w:val="bullet"/>
      <w:lvlText w:val="o"/>
      <w:lvlJc w:val="left"/>
      <w:pPr>
        <w:ind w:left="5760" w:hanging="360"/>
      </w:pPr>
      <w:rPr>
        <w:rFonts w:ascii="Courier New" w:hAnsi="Courier New" w:hint="default"/>
      </w:rPr>
    </w:lvl>
    <w:lvl w:ilvl="8" w:tplc="737604D6" w:tentative="1">
      <w:start w:val="1"/>
      <w:numFmt w:val="bullet"/>
      <w:lvlText w:val=""/>
      <w:lvlJc w:val="left"/>
      <w:pPr>
        <w:ind w:left="6480" w:hanging="360"/>
      </w:pPr>
      <w:rPr>
        <w:rFonts w:ascii="Wingdings" w:hAnsi="Wingdings" w:hint="default"/>
      </w:rPr>
    </w:lvl>
  </w:abstractNum>
  <w:abstractNum w:abstractNumId="56" w15:restartNumberingAfterBreak="0">
    <w:nsid w:val="315A0FAE"/>
    <w:multiLevelType w:val="hybridMultilevel"/>
    <w:tmpl w:val="5B5099AA"/>
    <w:lvl w:ilvl="0" w:tplc="04150001">
      <w:start w:val="1"/>
      <w:numFmt w:val="bullet"/>
      <w:lvlText w:val=""/>
      <w:lvlJc w:val="left"/>
      <w:pPr>
        <w:ind w:left="180" w:hanging="180"/>
      </w:pPr>
      <w:rPr>
        <w:rFonts w:ascii="Symbol" w:hAnsi="Symbol" w:hint="default"/>
      </w:rPr>
    </w:lvl>
    <w:lvl w:ilvl="1" w:tplc="04150003" w:tentative="1">
      <w:start w:val="1"/>
      <w:numFmt w:val="bullet"/>
      <w:lvlText w:val="o"/>
      <w:lvlJc w:val="left"/>
      <w:pPr>
        <w:ind w:left="731" w:hanging="360"/>
      </w:pPr>
      <w:rPr>
        <w:rFonts w:ascii="Courier New" w:hAnsi="Courier New" w:hint="default"/>
      </w:rPr>
    </w:lvl>
    <w:lvl w:ilvl="2" w:tplc="04150005" w:tentative="1">
      <w:start w:val="1"/>
      <w:numFmt w:val="bullet"/>
      <w:lvlText w:val=""/>
      <w:lvlJc w:val="left"/>
      <w:pPr>
        <w:ind w:left="1451" w:hanging="360"/>
      </w:pPr>
      <w:rPr>
        <w:rFonts w:ascii="Wingdings" w:hAnsi="Wingdings" w:hint="default"/>
      </w:rPr>
    </w:lvl>
    <w:lvl w:ilvl="3" w:tplc="04150001" w:tentative="1">
      <w:start w:val="1"/>
      <w:numFmt w:val="bullet"/>
      <w:lvlText w:val=""/>
      <w:lvlJc w:val="left"/>
      <w:pPr>
        <w:ind w:left="2171" w:hanging="360"/>
      </w:pPr>
      <w:rPr>
        <w:rFonts w:ascii="Symbol" w:hAnsi="Symbol" w:hint="default"/>
      </w:rPr>
    </w:lvl>
    <w:lvl w:ilvl="4" w:tplc="04150003" w:tentative="1">
      <w:start w:val="1"/>
      <w:numFmt w:val="bullet"/>
      <w:lvlText w:val="o"/>
      <w:lvlJc w:val="left"/>
      <w:pPr>
        <w:ind w:left="2891" w:hanging="360"/>
      </w:pPr>
      <w:rPr>
        <w:rFonts w:ascii="Courier New" w:hAnsi="Courier New" w:hint="default"/>
      </w:rPr>
    </w:lvl>
    <w:lvl w:ilvl="5" w:tplc="04150005" w:tentative="1">
      <w:start w:val="1"/>
      <w:numFmt w:val="bullet"/>
      <w:lvlText w:val=""/>
      <w:lvlJc w:val="left"/>
      <w:pPr>
        <w:ind w:left="3611" w:hanging="360"/>
      </w:pPr>
      <w:rPr>
        <w:rFonts w:ascii="Wingdings" w:hAnsi="Wingdings" w:hint="default"/>
      </w:rPr>
    </w:lvl>
    <w:lvl w:ilvl="6" w:tplc="04150001" w:tentative="1">
      <w:start w:val="1"/>
      <w:numFmt w:val="bullet"/>
      <w:lvlText w:val=""/>
      <w:lvlJc w:val="left"/>
      <w:pPr>
        <w:ind w:left="4331" w:hanging="360"/>
      </w:pPr>
      <w:rPr>
        <w:rFonts w:ascii="Symbol" w:hAnsi="Symbol" w:hint="default"/>
      </w:rPr>
    </w:lvl>
    <w:lvl w:ilvl="7" w:tplc="04150003" w:tentative="1">
      <w:start w:val="1"/>
      <w:numFmt w:val="bullet"/>
      <w:lvlText w:val="o"/>
      <w:lvlJc w:val="left"/>
      <w:pPr>
        <w:ind w:left="5051" w:hanging="360"/>
      </w:pPr>
      <w:rPr>
        <w:rFonts w:ascii="Courier New" w:hAnsi="Courier New" w:hint="default"/>
      </w:rPr>
    </w:lvl>
    <w:lvl w:ilvl="8" w:tplc="04150005" w:tentative="1">
      <w:start w:val="1"/>
      <w:numFmt w:val="bullet"/>
      <w:lvlText w:val=""/>
      <w:lvlJc w:val="left"/>
      <w:pPr>
        <w:ind w:left="5771" w:hanging="360"/>
      </w:pPr>
      <w:rPr>
        <w:rFonts w:ascii="Wingdings" w:hAnsi="Wingdings" w:hint="default"/>
      </w:rPr>
    </w:lvl>
  </w:abstractNum>
  <w:abstractNum w:abstractNumId="57" w15:restartNumberingAfterBreak="0">
    <w:nsid w:val="32E24AF6"/>
    <w:multiLevelType w:val="hybridMultilevel"/>
    <w:tmpl w:val="A3C6902E"/>
    <w:lvl w:ilvl="0" w:tplc="BF1AD99C">
      <w:start w:val="1"/>
      <w:numFmt w:val="bullet"/>
      <w:pStyle w:val="11StopPowodzi-Listawypunktowana"/>
      <w:lvlText w:val=""/>
      <w:lvlJc w:val="left"/>
      <w:pPr>
        <w:ind w:left="720" w:hanging="360"/>
      </w:pPr>
      <w:rPr>
        <w:rFonts w:ascii="Symbol" w:hAnsi="Symbol" w:hint="default"/>
      </w:rPr>
    </w:lvl>
    <w:lvl w:ilvl="1" w:tplc="48C05946">
      <w:numFmt w:val="bullet"/>
      <w:lvlText w:val="•"/>
      <w:lvlJc w:val="left"/>
      <w:pPr>
        <w:ind w:left="1785" w:hanging="705"/>
      </w:pPr>
      <w:rPr>
        <w:rFonts w:ascii="Arial" w:eastAsia="Times New Roman" w:hAnsi="Aria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33766951"/>
    <w:multiLevelType w:val="hybridMultilevel"/>
    <w:tmpl w:val="C450E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38A6822"/>
    <w:multiLevelType w:val="multilevel"/>
    <w:tmpl w:val="1F24EFA4"/>
    <w:lvl w:ilvl="0">
      <w:start w:val="1"/>
      <w:numFmt w:val="bullet"/>
      <w:pStyle w:val="ReportList1"/>
      <w:lvlText w:val=""/>
      <w:lvlJc w:val="left"/>
      <w:pPr>
        <w:tabs>
          <w:tab w:val="num" w:pos="357"/>
        </w:tabs>
        <w:ind w:left="357" w:hanging="357"/>
      </w:pPr>
      <w:rPr>
        <w:rFonts w:ascii="Symbol" w:hAnsi="Symbol" w:hint="default"/>
        <w:b w:val="0"/>
        <w:i w:val="0"/>
        <w:sz w:val="24"/>
      </w:rPr>
    </w:lvl>
    <w:lvl w:ilvl="1">
      <w:start w:val="1"/>
      <w:numFmt w:val="bullet"/>
      <w:pStyle w:val="ReportList2"/>
      <w:lvlText w:val=""/>
      <w:lvlJc w:val="left"/>
      <w:pPr>
        <w:tabs>
          <w:tab w:val="num" w:pos="714"/>
        </w:tabs>
        <w:ind w:left="714" w:hanging="357"/>
      </w:pPr>
      <w:rPr>
        <w:rFonts w:ascii="Symbol" w:hAnsi="Symbol" w:hint="default"/>
        <w:sz w:val="24"/>
      </w:rPr>
    </w:lvl>
    <w:lvl w:ilvl="2">
      <w:start w:val="1"/>
      <w:numFmt w:val="bullet"/>
      <w:lvlText w:val=""/>
      <w:lvlJc w:val="left"/>
      <w:pPr>
        <w:tabs>
          <w:tab w:val="num" w:pos="1071"/>
        </w:tabs>
        <w:ind w:left="1071" w:hanging="357"/>
      </w:pPr>
      <w:rPr>
        <w:rFonts w:ascii="Symbol" w:hAnsi="Symbol" w:hint="default"/>
      </w:rPr>
    </w:lvl>
    <w:lvl w:ilvl="3">
      <w:start w:val="1"/>
      <w:numFmt w:val="bullet"/>
      <w:lvlText w:val=""/>
      <w:lvlJc w:val="left"/>
      <w:pPr>
        <w:tabs>
          <w:tab w:val="num" w:pos="1428"/>
        </w:tabs>
        <w:ind w:left="1428" w:hanging="357"/>
      </w:pPr>
      <w:rPr>
        <w:rFonts w:ascii="Symbol" w:hAnsi="Symbol" w:hint="default"/>
      </w:rPr>
    </w:lvl>
    <w:lvl w:ilvl="4">
      <w:start w:val="1"/>
      <w:numFmt w:val="bullet"/>
      <w:lvlText w:val=""/>
      <w:lvlJc w:val="left"/>
      <w:pPr>
        <w:tabs>
          <w:tab w:val="num" w:pos="1785"/>
        </w:tabs>
        <w:ind w:left="1785" w:hanging="357"/>
      </w:pPr>
      <w:rPr>
        <w:rFonts w:ascii="Symbol" w:hAnsi="Symbol" w:hint="default"/>
      </w:rPr>
    </w:lvl>
    <w:lvl w:ilvl="5">
      <w:start w:val="1"/>
      <w:numFmt w:val="bullet"/>
      <w:lvlText w:val=""/>
      <w:lvlJc w:val="left"/>
      <w:pPr>
        <w:tabs>
          <w:tab w:val="num" w:pos="2142"/>
        </w:tabs>
        <w:ind w:left="2142" w:hanging="357"/>
      </w:pPr>
      <w:rPr>
        <w:rFonts w:ascii="Wingdings" w:hAnsi="Wingdings" w:hint="default"/>
      </w:rPr>
    </w:lvl>
    <w:lvl w:ilvl="6">
      <w:start w:val="1"/>
      <w:numFmt w:val="bullet"/>
      <w:lvlText w:val=""/>
      <w:lvlJc w:val="left"/>
      <w:pPr>
        <w:tabs>
          <w:tab w:val="num" w:pos="2499"/>
        </w:tabs>
        <w:ind w:left="2499" w:hanging="357"/>
      </w:pPr>
      <w:rPr>
        <w:rFonts w:ascii="Symbol" w:hAnsi="Symbol" w:hint="default"/>
      </w:rPr>
    </w:lvl>
    <w:lvl w:ilvl="7">
      <w:start w:val="1"/>
      <w:numFmt w:val="bullet"/>
      <w:lvlText w:val="o"/>
      <w:lvlJc w:val="left"/>
      <w:pPr>
        <w:tabs>
          <w:tab w:val="num" w:pos="2856"/>
        </w:tabs>
        <w:ind w:left="2856" w:hanging="357"/>
      </w:pPr>
      <w:rPr>
        <w:rFonts w:ascii="Courier New" w:hAnsi="Courier New" w:hint="default"/>
      </w:rPr>
    </w:lvl>
    <w:lvl w:ilvl="8">
      <w:start w:val="1"/>
      <w:numFmt w:val="bullet"/>
      <w:lvlText w:val=""/>
      <w:lvlJc w:val="left"/>
      <w:pPr>
        <w:tabs>
          <w:tab w:val="num" w:pos="3213"/>
        </w:tabs>
        <w:ind w:left="3213" w:hanging="357"/>
      </w:pPr>
      <w:rPr>
        <w:rFonts w:ascii="Wingdings" w:hAnsi="Wingdings" w:hint="default"/>
      </w:rPr>
    </w:lvl>
  </w:abstractNum>
  <w:abstractNum w:abstractNumId="60" w15:restartNumberingAfterBreak="0">
    <w:nsid w:val="344D3727"/>
    <w:multiLevelType w:val="singleLevel"/>
    <w:tmpl w:val="3A8C6492"/>
    <w:lvl w:ilvl="0">
      <w:start w:val="1"/>
      <w:numFmt w:val="decimal"/>
      <w:pStyle w:val="ReportReference"/>
      <w:lvlText w:val="[%1]"/>
      <w:lvlJc w:val="left"/>
      <w:pPr>
        <w:tabs>
          <w:tab w:val="num" w:pos="1973"/>
        </w:tabs>
        <w:ind w:left="1973" w:hanging="1973"/>
      </w:pPr>
      <w:rPr>
        <w:rFonts w:cs="Times New Roman" w:hint="default"/>
      </w:rPr>
    </w:lvl>
  </w:abstractNum>
  <w:abstractNum w:abstractNumId="61" w15:restartNumberingAfterBreak="0">
    <w:nsid w:val="34F56114"/>
    <w:multiLevelType w:val="hybridMultilevel"/>
    <w:tmpl w:val="203AA95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57B660C"/>
    <w:multiLevelType w:val="hybridMultilevel"/>
    <w:tmpl w:val="4E08ECC8"/>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1031"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3" w15:restartNumberingAfterBreak="0">
    <w:nsid w:val="368C4CC9"/>
    <w:multiLevelType w:val="hybridMultilevel"/>
    <w:tmpl w:val="09BA65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387F1551"/>
    <w:multiLevelType w:val="hybridMultilevel"/>
    <w:tmpl w:val="E3CA8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38AA10C7"/>
    <w:multiLevelType w:val="hybridMultilevel"/>
    <w:tmpl w:val="ADAC22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38CD5B43"/>
    <w:multiLevelType w:val="hybridMultilevel"/>
    <w:tmpl w:val="BD68E3C2"/>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392621B8"/>
    <w:multiLevelType w:val="hybridMultilevel"/>
    <w:tmpl w:val="C17E87F0"/>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68" w15:restartNumberingAfterBreak="0">
    <w:nsid w:val="3A702604"/>
    <w:multiLevelType w:val="hybridMultilevel"/>
    <w:tmpl w:val="5ECE88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3C7A48D3"/>
    <w:multiLevelType w:val="hybridMultilevel"/>
    <w:tmpl w:val="FE7443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3F044E0D"/>
    <w:multiLevelType w:val="hybridMultilevel"/>
    <w:tmpl w:val="20769D10"/>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889"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1" w15:restartNumberingAfterBreak="0">
    <w:nsid w:val="3F67048E"/>
    <w:multiLevelType w:val="hybridMultilevel"/>
    <w:tmpl w:val="EF2AC7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0CD43A9"/>
    <w:multiLevelType w:val="hybridMultilevel"/>
    <w:tmpl w:val="F7ECB6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0F66EFB"/>
    <w:multiLevelType w:val="hybridMultilevel"/>
    <w:tmpl w:val="E528B8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42590E72"/>
    <w:multiLevelType w:val="hybridMultilevel"/>
    <w:tmpl w:val="C024D238"/>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2CC4282"/>
    <w:multiLevelType w:val="hybridMultilevel"/>
    <w:tmpl w:val="67D244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46EF141D"/>
    <w:multiLevelType w:val="hybridMultilevel"/>
    <w:tmpl w:val="87487A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4ACA5DE6"/>
    <w:multiLevelType w:val="hybridMultilevel"/>
    <w:tmpl w:val="DEA8892A"/>
    <w:lvl w:ilvl="0" w:tplc="AE6CF118">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B2D53B7"/>
    <w:multiLevelType w:val="hybridMultilevel"/>
    <w:tmpl w:val="BF607B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4D9B72EA"/>
    <w:multiLevelType w:val="hybridMultilevel"/>
    <w:tmpl w:val="BCDCBC94"/>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F5007C4"/>
    <w:multiLevelType w:val="hybridMultilevel"/>
    <w:tmpl w:val="C16036DA"/>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81" w15:restartNumberingAfterBreak="0">
    <w:nsid w:val="52647A65"/>
    <w:multiLevelType w:val="hybridMultilevel"/>
    <w:tmpl w:val="A3A80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3F47C53"/>
    <w:multiLevelType w:val="hybridMultilevel"/>
    <w:tmpl w:val="88189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4144CFC"/>
    <w:multiLevelType w:val="hybridMultilevel"/>
    <w:tmpl w:val="2E8E4F08"/>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889"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4" w15:restartNumberingAfterBreak="0">
    <w:nsid w:val="5532184A"/>
    <w:multiLevelType w:val="hybridMultilevel"/>
    <w:tmpl w:val="18BA10DC"/>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582D0909"/>
    <w:multiLevelType w:val="hybridMultilevel"/>
    <w:tmpl w:val="B75E4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5A931054"/>
    <w:multiLevelType w:val="hybridMultilevel"/>
    <w:tmpl w:val="0CF459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7D60D4"/>
    <w:multiLevelType w:val="hybridMultilevel"/>
    <w:tmpl w:val="DA9E5D98"/>
    <w:lvl w:ilvl="0" w:tplc="6DCCCE70">
      <w:start w:val="1"/>
      <w:numFmt w:val="bullet"/>
      <w:lvlText w:val="‒"/>
      <w:lvlJc w:val="left"/>
      <w:pPr>
        <w:ind w:left="2160" w:hanging="360"/>
      </w:pPr>
      <w:rPr>
        <w:rFonts w:ascii="Calibri" w:hAnsi="Calibri" w:hint="default"/>
      </w:rPr>
    </w:lvl>
    <w:lvl w:ilvl="1" w:tplc="04150003" w:tentative="1">
      <w:start w:val="1"/>
      <w:numFmt w:val="bullet"/>
      <w:lvlText w:val="o"/>
      <w:lvlJc w:val="left"/>
      <w:pPr>
        <w:ind w:left="2880" w:hanging="360"/>
      </w:pPr>
      <w:rPr>
        <w:rFonts w:ascii="Courier New" w:hAnsi="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8" w15:restartNumberingAfterBreak="0">
    <w:nsid w:val="5EC7378F"/>
    <w:multiLevelType w:val="hybridMultilevel"/>
    <w:tmpl w:val="4192ECE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EF64559"/>
    <w:multiLevelType w:val="hybridMultilevel"/>
    <w:tmpl w:val="A9BE72E4"/>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C08C2C72">
      <w:start w:val="1"/>
      <w:numFmt w:val="bullet"/>
      <w:lvlText w:val="o"/>
      <w:lvlJc w:val="center"/>
      <w:pPr>
        <w:ind w:left="1172" w:hanging="180"/>
      </w:pPr>
      <w:rPr>
        <w:rFonts w:ascii="Courier New" w:hAnsi="Courier New" w:hint="default"/>
      </w:rPr>
    </w:lvl>
    <w:lvl w:ilvl="3" w:tplc="0415000F">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0" w15:restartNumberingAfterBreak="0">
    <w:nsid w:val="5F197C6C"/>
    <w:multiLevelType w:val="hybridMultilevel"/>
    <w:tmpl w:val="02EEE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0C36589"/>
    <w:multiLevelType w:val="hybridMultilevel"/>
    <w:tmpl w:val="261C6D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2AC3A39"/>
    <w:multiLevelType w:val="hybridMultilevel"/>
    <w:tmpl w:val="9AD09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3E81079"/>
    <w:multiLevelType w:val="hybridMultilevel"/>
    <w:tmpl w:val="58725FD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53A2CB0"/>
    <w:multiLevelType w:val="hybridMultilevel"/>
    <w:tmpl w:val="BB9E20F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5886F27"/>
    <w:multiLevelType w:val="hybridMultilevel"/>
    <w:tmpl w:val="FDAC3598"/>
    <w:lvl w:ilvl="0" w:tplc="AE6CF118">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79F13E7"/>
    <w:multiLevelType w:val="hybridMultilevel"/>
    <w:tmpl w:val="4D342A2A"/>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89B4996"/>
    <w:multiLevelType w:val="hybridMultilevel"/>
    <w:tmpl w:val="9A1A75C2"/>
    <w:lvl w:ilvl="0" w:tplc="04150001">
      <w:start w:val="1"/>
      <w:numFmt w:val="bullet"/>
      <w:lvlText w:val=""/>
      <w:lvlJc w:val="left"/>
      <w:pPr>
        <w:ind w:left="360" w:hanging="360"/>
      </w:pPr>
      <w:rPr>
        <w:rFonts w:ascii="Symbol" w:hAnsi="Symbol"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8" w15:restartNumberingAfterBreak="0">
    <w:nsid w:val="6A3F3976"/>
    <w:multiLevelType w:val="hybridMultilevel"/>
    <w:tmpl w:val="28F6D34E"/>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6BB67317"/>
    <w:multiLevelType w:val="hybridMultilevel"/>
    <w:tmpl w:val="F634AD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6E5F09CB"/>
    <w:multiLevelType w:val="hybridMultilevel"/>
    <w:tmpl w:val="BBBED9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ECB3BE4"/>
    <w:multiLevelType w:val="hybridMultilevel"/>
    <w:tmpl w:val="F54E3144"/>
    <w:lvl w:ilvl="0" w:tplc="0415000F">
      <w:start w:val="1"/>
      <w:numFmt w:val="decimal"/>
      <w:lvlText w:val="%1."/>
      <w:lvlJc w:val="left"/>
      <w:pPr>
        <w:ind w:left="360" w:hanging="360"/>
      </w:pPr>
      <w:rPr>
        <w:rFonts w:cs="Times New Roman" w:hint="default"/>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2" w15:restartNumberingAfterBreak="0">
    <w:nsid w:val="6F1B3A19"/>
    <w:multiLevelType w:val="hybridMultilevel"/>
    <w:tmpl w:val="2C007436"/>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03F5F65"/>
    <w:multiLevelType w:val="multilevel"/>
    <w:tmpl w:val="AF2A4D72"/>
    <w:lvl w:ilvl="0">
      <w:start w:val="1"/>
      <w:numFmt w:val="upperLetter"/>
      <w:pStyle w:val="AppendixLetter"/>
      <w:suff w:val="nothing"/>
      <w:lvlText w:val="Appendix %1"/>
      <w:lvlJc w:val="left"/>
      <w:rPr>
        <w:rFonts w:cs="Times New Roman" w:hint="default"/>
        <w:b/>
        <w:i w:val="0"/>
        <w:color w:val="28AAE1"/>
        <w:sz w:val="26"/>
        <w:szCs w:val="26"/>
      </w:rPr>
    </w:lvl>
    <w:lvl w:ilvl="1">
      <w:start w:val="1"/>
      <w:numFmt w:val="decimal"/>
      <w:pStyle w:val="AppendixLevel1"/>
      <w:lvlText w:val="%1%2"/>
      <w:lvlJc w:val="left"/>
      <w:pPr>
        <w:tabs>
          <w:tab w:val="num" w:pos="1134"/>
        </w:tabs>
        <w:ind w:left="1134" w:hanging="1134"/>
      </w:pPr>
      <w:rPr>
        <w:rFonts w:cs="Times New Roman" w:hint="default"/>
        <w:b/>
        <w:i w:val="0"/>
        <w:color w:val="28AAE1"/>
        <w:sz w:val="28"/>
        <w:szCs w:val="28"/>
      </w:rPr>
    </w:lvl>
    <w:lvl w:ilvl="2">
      <w:start w:val="1"/>
      <w:numFmt w:val="decimal"/>
      <w:pStyle w:val="AppendixLevel2"/>
      <w:lvlText w:val="%1%2.%3"/>
      <w:lvlJc w:val="left"/>
      <w:pPr>
        <w:tabs>
          <w:tab w:val="num" w:pos="1134"/>
        </w:tabs>
        <w:ind w:left="1134" w:hanging="1134"/>
      </w:pPr>
      <w:rPr>
        <w:rFonts w:cs="Times New Roman" w:hint="default"/>
        <w:b/>
        <w:i w:val="0"/>
        <w:color w:val="28AAE1"/>
        <w:sz w:val="20"/>
        <w:szCs w:val="20"/>
      </w:rPr>
    </w:lvl>
    <w:lvl w:ilvl="3">
      <w:start w:val="1"/>
      <w:numFmt w:val="decimal"/>
      <w:pStyle w:val="AppendixLevel3"/>
      <w:lvlText w:val="%1%2.%3.%4"/>
      <w:lvlJc w:val="left"/>
      <w:pPr>
        <w:tabs>
          <w:tab w:val="num" w:pos="1134"/>
        </w:tabs>
        <w:ind w:left="1134" w:hanging="1134"/>
      </w:pPr>
      <w:rPr>
        <w:rFonts w:cs="Times New Roman" w:hint="default"/>
        <w:b/>
        <w:i w:val="0"/>
        <w:color w:val="28AAE1"/>
        <w:sz w:val="18"/>
        <w:szCs w:val="18"/>
      </w:rPr>
    </w:lvl>
    <w:lvl w:ilvl="4">
      <w:start w:val="1"/>
      <w:numFmt w:val="decimal"/>
      <w:pStyle w:val="AppendixLevel4"/>
      <w:lvlText w:val="%1%2.%3.%4.%5"/>
      <w:lvlJc w:val="left"/>
      <w:pPr>
        <w:tabs>
          <w:tab w:val="num" w:pos="1134"/>
        </w:tabs>
        <w:ind w:left="1134" w:hanging="1134"/>
      </w:pPr>
      <w:rPr>
        <w:rFonts w:cs="Times New Roman" w:hint="default"/>
        <w:b/>
        <w:i w:val="0"/>
        <w:color w:val="28AAE1"/>
        <w:sz w:val="18"/>
        <w:szCs w:val="18"/>
      </w:rPr>
    </w:lvl>
    <w:lvl w:ilvl="5">
      <w:start w:val="1"/>
      <w:numFmt w:val="lowerLetter"/>
      <w:pStyle w:val="Nagwek6"/>
      <w:lvlText w:val="(%6)"/>
      <w:lvlJc w:val="left"/>
      <w:pPr>
        <w:tabs>
          <w:tab w:val="num" w:pos="3960"/>
        </w:tabs>
        <w:ind w:left="3600"/>
      </w:pPr>
      <w:rPr>
        <w:rFonts w:cs="Times New Roman" w:hint="default"/>
      </w:rPr>
    </w:lvl>
    <w:lvl w:ilvl="6">
      <w:start w:val="1"/>
      <w:numFmt w:val="lowerRoman"/>
      <w:pStyle w:val="Nagwek7"/>
      <w:lvlText w:val="(%7)"/>
      <w:lvlJc w:val="left"/>
      <w:pPr>
        <w:tabs>
          <w:tab w:val="num" w:pos="4680"/>
        </w:tabs>
        <w:ind w:left="4320"/>
      </w:pPr>
      <w:rPr>
        <w:rFonts w:cs="Times New Roman" w:hint="default"/>
      </w:rPr>
    </w:lvl>
    <w:lvl w:ilvl="7">
      <w:start w:val="1"/>
      <w:numFmt w:val="lowerLetter"/>
      <w:pStyle w:val="Nagwek8"/>
      <w:lvlText w:val="(%8)"/>
      <w:lvlJc w:val="left"/>
      <w:pPr>
        <w:tabs>
          <w:tab w:val="num" w:pos="5400"/>
        </w:tabs>
        <w:ind w:left="5040"/>
      </w:pPr>
      <w:rPr>
        <w:rFonts w:cs="Times New Roman" w:hint="default"/>
      </w:rPr>
    </w:lvl>
    <w:lvl w:ilvl="8">
      <w:start w:val="1"/>
      <w:numFmt w:val="lowerRoman"/>
      <w:pStyle w:val="Nagwek9"/>
      <w:lvlText w:val="(%9)"/>
      <w:lvlJc w:val="left"/>
      <w:pPr>
        <w:tabs>
          <w:tab w:val="num" w:pos="6120"/>
        </w:tabs>
        <w:ind w:left="5760"/>
      </w:pPr>
      <w:rPr>
        <w:rFonts w:cs="Times New Roman" w:hint="default"/>
      </w:rPr>
    </w:lvl>
  </w:abstractNum>
  <w:abstractNum w:abstractNumId="104" w15:restartNumberingAfterBreak="0">
    <w:nsid w:val="712D0EAC"/>
    <w:multiLevelType w:val="hybridMultilevel"/>
    <w:tmpl w:val="20281786"/>
    <w:lvl w:ilvl="0" w:tplc="6DCCCE7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159349B"/>
    <w:multiLevelType w:val="hybridMultilevel"/>
    <w:tmpl w:val="80FA8540"/>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6" w15:restartNumberingAfterBreak="0">
    <w:nsid w:val="73803740"/>
    <w:multiLevelType w:val="hybridMultilevel"/>
    <w:tmpl w:val="C360D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45A66E9"/>
    <w:multiLevelType w:val="hybridMultilevel"/>
    <w:tmpl w:val="93E41870"/>
    <w:lvl w:ilvl="0" w:tplc="AFE6B476">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7F37070"/>
    <w:multiLevelType w:val="hybridMultilevel"/>
    <w:tmpl w:val="71D2FB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9976EA5"/>
    <w:multiLevelType w:val="hybridMultilevel"/>
    <w:tmpl w:val="F09E5D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FC277D0"/>
    <w:multiLevelType w:val="hybridMultilevel"/>
    <w:tmpl w:val="8FA412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3"/>
  </w:num>
  <w:num w:numId="2">
    <w:abstractNumId w:val="8"/>
  </w:num>
  <w:num w:numId="3">
    <w:abstractNumId w:val="37"/>
  </w:num>
  <w:num w:numId="4">
    <w:abstractNumId w:val="53"/>
  </w:num>
  <w:num w:numId="5">
    <w:abstractNumId w:val="55"/>
  </w:num>
  <w:num w:numId="6">
    <w:abstractNumId w:val="60"/>
  </w:num>
  <w:num w:numId="7">
    <w:abstractNumId w:val="59"/>
  </w:num>
  <w:num w:numId="8">
    <w:abstractNumId w:val="3"/>
  </w:num>
  <w:num w:numId="9">
    <w:abstractNumId w:val="2"/>
  </w:num>
  <w:num w:numId="10">
    <w:abstractNumId w:val="1"/>
  </w:num>
  <w:num w:numId="11">
    <w:abstractNumId w:val="0"/>
  </w:num>
  <w:num w:numId="12">
    <w:abstractNumId w:val="9"/>
  </w:num>
  <w:num w:numId="13">
    <w:abstractNumId w:val="7"/>
  </w:num>
  <w:num w:numId="14">
    <w:abstractNumId w:val="6"/>
  </w:num>
  <w:num w:numId="15">
    <w:abstractNumId w:val="5"/>
  </w:num>
  <w:num w:numId="16">
    <w:abstractNumId w:val="4"/>
  </w:num>
  <w:num w:numId="17">
    <w:abstractNumId w:val="67"/>
  </w:num>
  <w:num w:numId="18">
    <w:abstractNumId w:val="15"/>
  </w:num>
  <w:num w:numId="19">
    <w:abstractNumId w:val="101"/>
  </w:num>
  <w:num w:numId="20">
    <w:abstractNumId w:val="105"/>
  </w:num>
  <w:num w:numId="21">
    <w:abstractNumId w:val="68"/>
  </w:num>
  <w:num w:numId="22">
    <w:abstractNumId w:val="71"/>
  </w:num>
  <w:num w:numId="23">
    <w:abstractNumId w:val="97"/>
  </w:num>
  <w:num w:numId="24">
    <w:abstractNumId w:val="89"/>
  </w:num>
  <w:num w:numId="25">
    <w:abstractNumId w:val="72"/>
  </w:num>
  <w:num w:numId="26">
    <w:abstractNumId w:val="63"/>
  </w:num>
  <w:num w:numId="27">
    <w:abstractNumId w:val="10"/>
  </w:num>
  <w:num w:numId="28">
    <w:abstractNumId w:val="99"/>
  </w:num>
  <w:num w:numId="29">
    <w:abstractNumId w:val="90"/>
  </w:num>
  <w:num w:numId="30">
    <w:abstractNumId w:val="19"/>
  </w:num>
  <w:num w:numId="31">
    <w:abstractNumId w:val="21"/>
  </w:num>
  <w:num w:numId="32">
    <w:abstractNumId w:val="64"/>
  </w:num>
  <w:num w:numId="33">
    <w:abstractNumId w:val="73"/>
  </w:num>
  <w:num w:numId="34">
    <w:abstractNumId w:val="33"/>
  </w:num>
  <w:num w:numId="35">
    <w:abstractNumId w:val="81"/>
  </w:num>
  <w:num w:numId="36">
    <w:abstractNumId w:val="11"/>
  </w:num>
  <w:num w:numId="37">
    <w:abstractNumId w:val="110"/>
  </w:num>
  <w:num w:numId="38">
    <w:abstractNumId w:val="17"/>
  </w:num>
  <w:num w:numId="39">
    <w:abstractNumId w:val="65"/>
  </w:num>
  <w:num w:numId="40">
    <w:abstractNumId w:val="29"/>
  </w:num>
  <w:num w:numId="41">
    <w:abstractNumId w:val="50"/>
  </w:num>
  <w:num w:numId="42">
    <w:abstractNumId w:val="78"/>
  </w:num>
  <w:num w:numId="43">
    <w:abstractNumId w:val="80"/>
  </w:num>
  <w:num w:numId="44">
    <w:abstractNumId w:val="54"/>
  </w:num>
  <w:num w:numId="45">
    <w:abstractNumId w:val="61"/>
  </w:num>
  <w:num w:numId="46">
    <w:abstractNumId w:val="79"/>
  </w:num>
  <w:num w:numId="47">
    <w:abstractNumId w:val="39"/>
  </w:num>
  <w:num w:numId="48">
    <w:abstractNumId w:val="40"/>
  </w:num>
  <w:num w:numId="49">
    <w:abstractNumId w:val="25"/>
  </w:num>
  <w:num w:numId="50">
    <w:abstractNumId w:val="57"/>
  </w:num>
  <w:num w:numId="51">
    <w:abstractNumId w:val="18"/>
  </w:num>
  <w:num w:numId="52">
    <w:abstractNumId w:val="58"/>
  </w:num>
  <w:num w:numId="53">
    <w:abstractNumId w:val="20"/>
  </w:num>
  <w:num w:numId="54">
    <w:abstractNumId w:val="94"/>
  </w:num>
  <w:num w:numId="55">
    <w:abstractNumId w:val="62"/>
  </w:num>
  <w:num w:numId="56">
    <w:abstractNumId w:val="34"/>
  </w:num>
  <w:num w:numId="57">
    <w:abstractNumId w:val="83"/>
  </w:num>
  <w:num w:numId="58">
    <w:abstractNumId w:val="48"/>
  </w:num>
  <w:num w:numId="59">
    <w:abstractNumId w:val="41"/>
  </w:num>
  <w:num w:numId="60">
    <w:abstractNumId w:val="47"/>
  </w:num>
  <w:num w:numId="61">
    <w:abstractNumId w:val="46"/>
  </w:num>
  <w:num w:numId="62">
    <w:abstractNumId w:val="16"/>
  </w:num>
  <w:num w:numId="63">
    <w:abstractNumId w:val="27"/>
  </w:num>
  <w:num w:numId="64">
    <w:abstractNumId w:val="70"/>
  </w:num>
  <w:num w:numId="65">
    <w:abstractNumId w:val="49"/>
  </w:num>
  <w:num w:numId="66">
    <w:abstractNumId w:val="31"/>
  </w:num>
  <w:num w:numId="67">
    <w:abstractNumId w:val="56"/>
  </w:num>
  <w:num w:numId="68">
    <w:abstractNumId w:val="93"/>
  </w:num>
  <w:num w:numId="69">
    <w:abstractNumId w:val="88"/>
  </w:num>
  <w:num w:numId="70">
    <w:abstractNumId w:val="13"/>
  </w:num>
  <w:num w:numId="71">
    <w:abstractNumId w:val="12"/>
  </w:num>
  <w:num w:numId="72">
    <w:abstractNumId w:val="87"/>
  </w:num>
  <w:num w:numId="73">
    <w:abstractNumId w:val="28"/>
  </w:num>
  <w:num w:numId="74">
    <w:abstractNumId w:val="82"/>
  </w:num>
  <w:num w:numId="75">
    <w:abstractNumId w:val="66"/>
  </w:num>
  <w:num w:numId="76">
    <w:abstractNumId w:val="84"/>
  </w:num>
  <w:num w:numId="77">
    <w:abstractNumId w:val="98"/>
  </w:num>
  <w:num w:numId="78">
    <w:abstractNumId w:val="74"/>
  </w:num>
  <w:num w:numId="79">
    <w:abstractNumId w:val="32"/>
  </w:num>
  <w:num w:numId="80">
    <w:abstractNumId w:val="92"/>
  </w:num>
  <w:num w:numId="81">
    <w:abstractNumId w:val="102"/>
  </w:num>
  <w:num w:numId="82">
    <w:abstractNumId w:val="36"/>
  </w:num>
  <w:num w:numId="83">
    <w:abstractNumId w:val="43"/>
  </w:num>
  <w:num w:numId="84">
    <w:abstractNumId w:val="44"/>
  </w:num>
  <w:num w:numId="85">
    <w:abstractNumId w:val="104"/>
  </w:num>
  <w:num w:numId="86">
    <w:abstractNumId w:val="96"/>
  </w:num>
  <w:num w:numId="87">
    <w:abstractNumId w:val="30"/>
  </w:num>
  <w:num w:numId="88">
    <w:abstractNumId w:val="100"/>
  </w:num>
  <w:num w:numId="89">
    <w:abstractNumId w:val="51"/>
  </w:num>
  <w:num w:numId="90">
    <w:abstractNumId w:val="35"/>
  </w:num>
  <w:num w:numId="91">
    <w:abstractNumId w:val="109"/>
  </w:num>
  <w:num w:numId="92">
    <w:abstractNumId w:val="86"/>
  </w:num>
  <w:num w:numId="93">
    <w:abstractNumId w:val="23"/>
  </w:num>
  <w:num w:numId="94">
    <w:abstractNumId w:val="42"/>
  </w:num>
  <w:num w:numId="95">
    <w:abstractNumId w:val="38"/>
  </w:num>
  <w:num w:numId="96">
    <w:abstractNumId w:val="95"/>
  </w:num>
  <w:num w:numId="97">
    <w:abstractNumId w:val="26"/>
  </w:num>
  <w:num w:numId="98">
    <w:abstractNumId w:val="52"/>
  </w:num>
  <w:num w:numId="99">
    <w:abstractNumId w:val="77"/>
  </w:num>
  <w:num w:numId="100">
    <w:abstractNumId w:val="6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num>
  <w:num w:numId="10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2"/>
  </w:num>
  <w:num w:numId="104">
    <w:abstractNumId w:val="69"/>
  </w:num>
  <w:num w:numId="105">
    <w:abstractNumId w:val="107"/>
  </w:num>
  <w:num w:numId="106">
    <w:abstractNumId w:val="106"/>
  </w:num>
  <w:num w:numId="107">
    <w:abstractNumId w:val="91"/>
  </w:num>
  <w:num w:numId="108">
    <w:abstractNumId w:val="76"/>
  </w:num>
  <w:num w:numId="109">
    <w:abstractNumId w:val="75"/>
  </w:num>
  <w:num w:numId="110">
    <w:abstractNumId w:val="14"/>
  </w:num>
  <w:num w:numId="111">
    <w:abstractNumId w:val="108"/>
  </w:num>
  <w:num w:numId="112">
    <w:abstractNumId w:val="8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E0"/>
    <w:rsid w:val="000013FA"/>
    <w:rsid w:val="000017D3"/>
    <w:rsid w:val="000020B2"/>
    <w:rsid w:val="00002BEF"/>
    <w:rsid w:val="00002D6C"/>
    <w:rsid w:val="000034C7"/>
    <w:rsid w:val="00003CCE"/>
    <w:rsid w:val="00003FFB"/>
    <w:rsid w:val="000045EC"/>
    <w:rsid w:val="000047B7"/>
    <w:rsid w:val="000047F5"/>
    <w:rsid w:val="00004905"/>
    <w:rsid w:val="00004937"/>
    <w:rsid w:val="00004952"/>
    <w:rsid w:val="00004C38"/>
    <w:rsid w:val="00004EA4"/>
    <w:rsid w:val="00004F8D"/>
    <w:rsid w:val="000058B5"/>
    <w:rsid w:val="00005A0F"/>
    <w:rsid w:val="000074F9"/>
    <w:rsid w:val="00007C33"/>
    <w:rsid w:val="00010B93"/>
    <w:rsid w:val="0001107E"/>
    <w:rsid w:val="000111D6"/>
    <w:rsid w:val="000113CD"/>
    <w:rsid w:val="00012173"/>
    <w:rsid w:val="00012FD8"/>
    <w:rsid w:val="00014A6C"/>
    <w:rsid w:val="0001630D"/>
    <w:rsid w:val="00016799"/>
    <w:rsid w:val="000200A8"/>
    <w:rsid w:val="00021178"/>
    <w:rsid w:val="00021A42"/>
    <w:rsid w:val="00021B7D"/>
    <w:rsid w:val="00022E5A"/>
    <w:rsid w:val="000232F1"/>
    <w:rsid w:val="00023730"/>
    <w:rsid w:val="00023772"/>
    <w:rsid w:val="00023D25"/>
    <w:rsid w:val="000248B5"/>
    <w:rsid w:val="00024CE1"/>
    <w:rsid w:val="00025293"/>
    <w:rsid w:val="00025359"/>
    <w:rsid w:val="000253DF"/>
    <w:rsid w:val="00025CAE"/>
    <w:rsid w:val="000263DC"/>
    <w:rsid w:val="00027324"/>
    <w:rsid w:val="0003068B"/>
    <w:rsid w:val="0003099F"/>
    <w:rsid w:val="0003173A"/>
    <w:rsid w:val="00033CCE"/>
    <w:rsid w:val="000342F8"/>
    <w:rsid w:val="00034594"/>
    <w:rsid w:val="000353F3"/>
    <w:rsid w:val="000357B2"/>
    <w:rsid w:val="000358E4"/>
    <w:rsid w:val="0003616A"/>
    <w:rsid w:val="00036C11"/>
    <w:rsid w:val="00036CBE"/>
    <w:rsid w:val="000374E0"/>
    <w:rsid w:val="000377DE"/>
    <w:rsid w:val="00037C5C"/>
    <w:rsid w:val="0004001B"/>
    <w:rsid w:val="00040083"/>
    <w:rsid w:val="000402D4"/>
    <w:rsid w:val="00041523"/>
    <w:rsid w:val="000433E1"/>
    <w:rsid w:val="00043408"/>
    <w:rsid w:val="00043C82"/>
    <w:rsid w:val="00043CBE"/>
    <w:rsid w:val="00044330"/>
    <w:rsid w:val="0004458B"/>
    <w:rsid w:val="000447A7"/>
    <w:rsid w:val="00044A5E"/>
    <w:rsid w:val="00044B8D"/>
    <w:rsid w:val="00044C2E"/>
    <w:rsid w:val="00044F06"/>
    <w:rsid w:val="0004683F"/>
    <w:rsid w:val="00046C5B"/>
    <w:rsid w:val="0004765B"/>
    <w:rsid w:val="00051050"/>
    <w:rsid w:val="00051272"/>
    <w:rsid w:val="00051A75"/>
    <w:rsid w:val="000527EB"/>
    <w:rsid w:val="00052B12"/>
    <w:rsid w:val="000544EF"/>
    <w:rsid w:val="00055450"/>
    <w:rsid w:val="00055762"/>
    <w:rsid w:val="00055ADA"/>
    <w:rsid w:val="00055CA0"/>
    <w:rsid w:val="0005620C"/>
    <w:rsid w:val="0005648D"/>
    <w:rsid w:val="000568EC"/>
    <w:rsid w:val="00056C69"/>
    <w:rsid w:val="00056CC8"/>
    <w:rsid w:val="000575D2"/>
    <w:rsid w:val="00057991"/>
    <w:rsid w:val="00057D85"/>
    <w:rsid w:val="00060F1F"/>
    <w:rsid w:val="00063115"/>
    <w:rsid w:val="000646B7"/>
    <w:rsid w:val="00064E8D"/>
    <w:rsid w:val="00065A14"/>
    <w:rsid w:val="00065E72"/>
    <w:rsid w:val="00067F3E"/>
    <w:rsid w:val="000713CA"/>
    <w:rsid w:val="00071B49"/>
    <w:rsid w:val="00071D6F"/>
    <w:rsid w:val="00072C76"/>
    <w:rsid w:val="0007308C"/>
    <w:rsid w:val="00073BB3"/>
    <w:rsid w:val="0007503E"/>
    <w:rsid w:val="00075FC4"/>
    <w:rsid w:val="00076156"/>
    <w:rsid w:val="00076D9D"/>
    <w:rsid w:val="0007721E"/>
    <w:rsid w:val="00077298"/>
    <w:rsid w:val="0007761B"/>
    <w:rsid w:val="000802AD"/>
    <w:rsid w:val="0008087C"/>
    <w:rsid w:val="000816BF"/>
    <w:rsid w:val="00081F7A"/>
    <w:rsid w:val="00082263"/>
    <w:rsid w:val="0008288A"/>
    <w:rsid w:val="000832AC"/>
    <w:rsid w:val="00083325"/>
    <w:rsid w:val="000834A6"/>
    <w:rsid w:val="00083D6A"/>
    <w:rsid w:val="000856CF"/>
    <w:rsid w:val="00085868"/>
    <w:rsid w:val="00086DF9"/>
    <w:rsid w:val="0008709C"/>
    <w:rsid w:val="000875C7"/>
    <w:rsid w:val="00087650"/>
    <w:rsid w:val="00087CC1"/>
    <w:rsid w:val="00092867"/>
    <w:rsid w:val="00092B43"/>
    <w:rsid w:val="00092D62"/>
    <w:rsid w:val="00092E7A"/>
    <w:rsid w:val="00093732"/>
    <w:rsid w:val="00093FBD"/>
    <w:rsid w:val="00095E96"/>
    <w:rsid w:val="000960AB"/>
    <w:rsid w:val="000963F1"/>
    <w:rsid w:val="000977F0"/>
    <w:rsid w:val="000A12CF"/>
    <w:rsid w:val="000A2C7C"/>
    <w:rsid w:val="000A33D1"/>
    <w:rsid w:val="000A3752"/>
    <w:rsid w:val="000A3C1B"/>
    <w:rsid w:val="000A4B48"/>
    <w:rsid w:val="000A5C19"/>
    <w:rsid w:val="000A6E38"/>
    <w:rsid w:val="000A6EF1"/>
    <w:rsid w:val="000B001F"/>
    <w:rsid w:val="000B0E67"/>
    <w:rsid w:val="000B0FEA"/>
    <w:rsid w:val="000B13F2"/>
    <w:rsid w:val="000B1A88"/>
    <w:rsid w:val="000B1E78"/>
    <w:rsid w:val="000B1FA8"/>
    <w:rsid w:val="000B36E1"/>
    <w:rsid w:val="000B42F3"/>
    <w:rsid w:val="000B4EA5"/>
    <w:rsid w:val="000B539B"/>
    <w:rsid w:val="000B5B5D"/>
    <w:rsid w:val="000B63EC"/>
    <w:rsid w:val="000B79D0"/>
    <w:rsid w:val="000C1BD3"/>
    <w:rsid w:val="000C1D53"/>
    <w:rsid w:val="000C2004"/>
    <w:rsid w:val="000C29A2"/>
    <w:rsid w:val="000C2D21"/>
    <w:rsid w:val="000C40D2"/>
    <w:rsid w:val="000C42D9"/>
    <w:rsid w:val="000C43A1"/>
    <w:rsid w:val="000C4520"/>
    <w:rsid w:val="000C4BE3"/>
    <w:rsid w:val="000C5C4B"/>
    <w:rsid w:val="000C5C88"/>
    <w:rsid w:val="000C7D41"/>
    <w:rsid w:val="000D0AC7"/>
    <w:rsid w:val="000D1132"/>
    <w:rsid w:val="000D113E"/>
    <w:rsid w:val="000D1172"/>
    <w:rsid w:val="000D223E"/>
    <w:rsid w:val="000D246F"/>
    <w:rsid w:val="000D252F"/>
    <w:rsid w:val="000D269C"/>
    <w:rsid w:val="000D2CAE"/>
    <w:rsid w:val="000D3090"/>
    <w:rsid w:val="000D33C9"/>
    <w:rsid w:val="000D4924"/>
    <w:rsid w:val="000D49B8"/>
    <w:rsid w:val="000D4D65"/>
    <w:rsid w:val="000D5652"/>
    <w:rsid w:val="000D5A37"/>
    <w:rsid w:val="000D628C"/>
    <w:rsid w:val="000D6434"/>
    <w:rsid w:val="000D6C8A"/>
    <w:rsid w:val="000D6D88"/>
    <w:rsid w:val="000D7F8A"/>
    <w:rsid w:val="000E15C8"/>
    <w:rsid w:val="000E18ED"/>
    <w:rsid w:val="000E26F4"/>
    <w:rsid w:val="000E2EE4"/>
    <w:rsid w:val="000E3497"/>
    <w:rsid w:val="000E34F2"/>
    <w:rsid w:val="000E3BD5"/>
    <w:rsid w:val="000E4533"/>
    <w:rsid w:val="000E5F2C"/>
    <w:rsid w:val="000E61CE"/>
    <w:rsid w:val="000E702E"/>
    <w:rsid w:val="000E7A61"/>
    <w:rsid w:val="000E7AD8"/>
    <w:rsid w:val="000F028E"/>
    <w:rsid w:val="000F087C"/>
    <w:rsid w:val="000F10AD"/>
    <w:rsid w:val="000F1AEE"/>
    <w:rsid w:val="000F21C5"/>
    <w:rsid w:val="000F2778"/>
    <w:rsid w:val="000F30D7"/>
    <w:rsid w:val="000F3BF1"/>
    <w:rsid w:val="000F3CD7"/>
    <w:rsid w:val="000F3F3F"/>
    <w:rsid w:val="000F43A3"/>
    <w:rsid w:val="000F4722"/>
    <w:rsid w:val="000F639D"/>
    <w:rsid w:val="000F7441"/>
    <w:rsid w:val="00100023"/>
    <w:rsid w:val="0010026B"/>
    <w:rsid w:val="00101113"/>
    <w:rsid w:val="0010113B"/>
    <w:rsid w:val="00101446"/>
    <w:rsid w:val="001019B7"/>
    <w:rsid w:val="00101B49"/>
    <w:rsid w:val="00101BEE"/>
    <w:rsid w:val="00102E3E"/>
    <w:rsid w:val="00102F81"/>
    <w:rsid w:val="0010327B"/>
    <w:rsid w:val="001035CB"/>
    <w:rsid w:val="00103BE5"/>
    <w:rsid w:val="0010491F"/>
    <w:rsid w:val="00105A65"/>
    <w:rsid w:val="00106AB3"/>
    <w:rsid w:val="00106DF3"/>
    <w:rsid w:val="00107141"/>
    <w:rsid w:val="00107463"/>
    <w:rsid w:val="001079DD"/>
    <w:rsid w:val="00107BFB"/>
    <w:rsid w:val="00107E57"/>
    <w:rsid w:val="00107FCF"/>
    <w:rsid w:val="001102CA"/>
    <w:rsid w:val="001106AE"/>
    <w:rsid w:val="00111575"/>
    <w:rsid w:val="00111AB5"/>
    <w:rsid w:val="00111E5B"/>
    <w:rsid w:val="00112DA7"/>
    <w:rsid w:val="00113734"/>
    <w:rsid w:val="0011383B"/>
    <w:rsid w:val="0011386B"/>
    <w:rsid w:val="00114C4C"/>
    <w:rsid w:val="00114FD8"/>
    <w:rsid w:val="001155C6"/>
    <w:rsid w:val="001160CE"/>
    <w:rsid w:val="00116570"/>
    <w:rsid w:val="00117395"/>
    <w:rsid w:val="00117ABD"/>
    <w:rsid w:val="00117B01"/>
    <w:rsid w:val="00120634"/>
    <w:rsid w:val="00120A3D"/>
    <w:rsid w:val="00121A61"/>
    <w:rsid w:val="001224FB"/>
    <w:rsid w:val="00122945"/>
    <w:rsid w:val="0012344F"/>
    <w:rsid w:val="0012397E"/>
    <w:rsid w:val="001246AB"/>
    <w:rsid w:val="0012687D"/>
    <w:rsid w:val="0012739E"/>
    <w:rsid w:val="00127582"/>
    <w:rsid w:val="0012759B"/>
    <w:rsid w:val="00127C1D"/>
    <w:rsid w:val="001301D6"/>
    <w:rsid w:val="0013180B"/>
    <w:rsid w:val="0013253A"/>
    <w:rsid w:val="00133617"/>
    <w:rsid w:val="00133618"/>
    <w:rsid w:val="00134391"/>
    <w:rsid w:val="00134774"/>
    <w:rsid w:val="001347B8"/>
    <w:rsid w:val="00134D92"/>
    <w:rsid w:val="00135A41"/>
    <w:rsid w:val="00135D92"/>
    <w:rsid w:val="00135F78"/>
    <w:rsid w:val="001364E7"/>
    <w:rsid w:val="001371E3"/>
    <w:rsid w:val="00137A3B"/>
    <w:rsid w:val="00140171"/>
    <w:rsid w:val="001409D2"/>
    <w:rsid w:val="00140B7F"/>
    <w:rsid w:val="00140D6B"/>
    <w:rsid w:val="00140EF3"/>
    <w:rsid w:val="0014215F"/>
    <w:rsid w:val="00142215"/>
    <w:rsid w:val="001432B2"/>
    <w:rsid w:val="00143E48"/>
    <w:rsid w:val="001445A7"/>
    <w:rsid w:val="00144A69"/>
    <w:rsid w:val="00144B85"/>
    <w:rsid w:val="00145CFB"/>
    <w:rsid w:val="00146435"/>
    <w:rsid w:val="00146841"/>
    <w:rsid w:val="00147708"/>
    <w:rsid w:val="00147BE0"/>
    <w:rsid w:val="00147E9C"/>
    <w:rsid w:val="00150706"/>
    <w:rsid w:val="00151634"/>
    <w:rsid w:val="00151AD5"/>
    <w:rsid w:val="00151CE2"/>
    <w:rsid w:val="0015220A"/>
    <w:rsid w:val="00152C67"/>
    <w:rsid w:val="00152CAC"/>
    <w:rsid w:val="00152EC3"/>
    <w:rsid w:val="001531C4"/>
    <w:rsid w:val="001535E1"/>
    <w:rsid w:val="001537DF"/>
    <w:rsid w:val="001537FA"/>
    <w:rsid w:val="00153DFA"/>
    <w:rsid w:val="00154F33"/>
    <w:rsid w:val="001551E1"/>
    <w:rsid w:val="0015521F"/>
    <w:rsid w:val="0015763B"/>
    <w:rsid w:val="00157893"/>
    <w:rsid w:val="001607D4"/>
    <w:rsid w:val="001608D6"/>
    <w:rsid w:val="00161402"/>
    <w:rsid w:val="001616E0"/>
    <w:rsid w:val="00161B12"/>
    <w:rsid w:val="001620EA"/>
    <w:rsid w:val="00162293"/>
    <w:rsid w:val="0016436D"/>
    <w:rsid w:val="001648FC"/>
    <w:rsid w:val="001657CF"/>
    <w:rsid w:val="00165FEB"/>
    <w:rsid w:val="001663A4"/>
    <w:rsid w:val="001663F6"/>
    <w:rsid w:val="001668F9"/>
    <w:rsid w:val="00166D63"/>
    <w:rsid w:val="00167FA2"/>
    <w:rsid w:val="001701A1"/>
    <w:rsid w:val="00171235"/>
    <w:rsid w:val="0017127D"/>
    <w:rsid w:val="0017138A"/>
    <w:rsid w:val="00172558"/>
    <w:rsid w:val="001728CF"/>
    <w:rsid w:val="00172926"/>
    <w:rsid w:val="00173090"/>
    <w:rsid w:val="00173157"/>
    <w:rsid w:val="001734D2"/>
    <w:rsid w:val="00173B32"/>
    <w:rsid w:val="00175A36"/>
    <w:rsid w:val="0017606D"/>
    <w:rsid w:val="00176566"/>
    <w:rsid w:val="001776AB"/>
    <w:rsid w:val="001802B6"/>
    <w:rsid w:val="00180E73"/>
    <w:rsid w:val="00181328"/>
    <w:rsid w:val="00181D90"/>
    <w:rsid w:val="00182E67"/>
    <w:rsid w:val="00184355"/>
    <w:rsid w:val="00184677"/>
    <w:rsid w:val="001847AC"/>
    <w:rsid w:val="00185290"/>
    <w:rsid w:val="00185DB7"/>
    <w:rsid w:val="00185F51"/>
    <w:rsid w:val="00186E6B"/>
    <w:rsid w:val="0018739C"/>
    <w:rsid w:val="00187BD0"/>
    <w:rsid w:val="00187F35"/>
    <w:rsid w:val="00190049"/>
    <w:rsid w:val="00191034"/>
    <w:rsid w:val="00191964"/>
    <w:rsid w:val="001919A9"/>
    <w:rsid w:val="001924DC"/>
    <w:rsid w:val="00192971"/>
    <w:rsid w:val="00192A9D"/>
    <w:rsid w:val="00193993"/>
    <w:rsid w:val="00194AC0"/>
    <w:rsid w:val="00194D26"/>
    <w:rsid w:val="00194E9D"/>
    <w:rsid w:val="0019560F"/>
    <w:rsid w:val="00196144"/>
    <w:rsid w:val="00196286"/>
    <w:rsid w:val="001973D5"/>
    <w:rsid w:val="001A02A9"/>
    <w:rsid w:val="001A0A46"/>
    <w:rsid w:val="001A2573"/>
    <w:rsid w:val="001A2C41"/>
    <w:rsid w:val="001A343A"/>
    <w:rsid w:val="001A4013"/>
    <w:rsid w:val="001A511A"/>
    <w:rsid w:val="001A5A8C"/>
    <w:rsid w:val="001A5CB5"/>
    <w:rsid w:val="001A5CDA"/>
    <w:rsid w:val="001A620C"/>
    <w:rsid w:val="001A6303"/>
    <w:rsid w:val="001A669D"/>
    <w:rsid w:val="001A6E12"/>
    <w:rsid w:val="001A7FC6"/>
    <w:rsid w:val="001B0FA9"/>
    <w:rsid w:val="001B2979"/>
    <w:rsid w:val="001B335C"/>
    <w:rsid w:val="001B3B5C"/>
    <w:rsid w:val="001B4874"/>
    <w:rsid w:val="001B538B"/>
    <w:rsid w:val="001B577D"/>
    <w:rsid w:val="001B6156"/>
    <w:rsid w:val="001B621A"/>
    <w:rsid w:val="001B7C17"/>
    <w:rsid w:val="001C1C09"/>
    <w:rsid w:val="001C1F78"/>
    <w:rsid w:val="001C23A2"/>
    <w:rsid w:val="001C28DB"/>
    <w:rsid w:val="001C34AB"/>
    <w:rsid w:val="001C3731"/>
    <w:rsid w:val="001C39F8"/>
    <w:rsid w:val="001C3DE4"/>
    <w:rsid w:val="001C3E71"/>
    <w:rsid w:val="001C5D3B"/>
    <w:rsid w:val="001C6452"/>
    <w:rsid w:val="001C6573"/>
    <w:rsid w:val="001C66BA"/>
    <w:rsid w:val="001C6927"/>
    <w:rsid w:val="001C6FBC"/>
    <w:rsid w:val="001C7340"/>
    <w:rsid w:val="001C7BF7"/>
    <w:rsid w:val="001C7BFE"/>
    <w:rsid w:val="001C7F0E"/>
    <w:rsid w:val="001D0BBF"/>
    <w:rsid w:val="001D1897"/>
    <w:rsid w:val="001D1D14"/>
    <w:rsid w:val="001D2152"/>
    <w:rsid w:val="001D228E"/>
    <w:rsid w:val="001D29DA"/>
    <w:rsid w:val="001D34A2"/>
    <w:rsid w:val="001D3680"/>
    <w:rsid w:val="001D36D1"/>
    <w:rsid w:val="001D3835"/>
    <w:rsid w:val="001D4369"/>
    <w:rsid w:val="001D4456"/>
    <w:rsid w:val="001D4A61"/>
    <w:rsid w:val="001D54C4"/>
    <w:rsid w:val="001D5A1E"/>
    <w:rsid w:val="001D5D3A"/>
    <w:rsid w:val="001D701D"/>
    <w:rsid w:val="001E0663"/>
    <w:rsid w:val="001E0A15"/>
    <w:rsid w:val="001E0E41"/>
    <w:rsid w:val="001E146B"/>
    <w:rsid w:val="001E1A36"/>
    <w:rsid w:val="001E25B7"/>
    <w:rsid w:val="001E2A91"/>
    <w:rsid w:val="001E335E"/>
    <w:rsid w:val="001E37CC"/>
    <w:rsid w:val="001E37DC"/>
    <w:rsid w:val="001E3F09"/>
    <w:rsid w:val="001E424F"/>
    <w:rsid w:val="001E45F3"/>
    <w:rsid w:val="001E4F20"/>
    <w:rsid w:val="001E577D"/>
    <w:rsid w:val="001E5A04"/>
    <w:rsid w:val="001E5A6C"/>
    <w:rsid w:val="001E6F35"/>
    <w:rsid w:val="001E7487"/>
    <w:rsid w:val="001E7C04"/>
    <w:rsid w:val="001E7F5C"/>
    <w:rsid w:val="001F0678"/>
    <w:rsid w:val="001F082C"/>
    <w:rsid w:val="001F0AF2"/>
    <w:rsid w:val="001F19F8"/>
    <w:rsid w:val="001F1D4C"/>
    <w:rsid w:val="001F2356"/>
    <w:rsid w:val="001F2701"/>
    <w:rsid w:val="001F2AC3"/>
    <w:rsid w:val="001F2C1F"/>
    <w:rsid w:val="001F3541"/>
    <w:rsid w:val="001F358B"/>
    <w:rsid w:val="001F4227"/>
    <w:rsid w:val="001F4453"/>
    <w:rsid w:val="001F6167"/>
    <w:rsid w:val="001F64BB"/>
    <w:rsid w:val="001F6B4E"/>
    <w:rsid w:val="001F7E7D"/>
    <w:rsid w:val="00200519"/>
    <w:rsid w:val="00200FAF"/>
    <w:rsid w:val="0020151B"/>
    <w:rsid w:val="00203572"/>
    <w:rsid w:val="00203965"/>
    <w:rsid w:val="00203A6E"/>
    <w:rsid w:val="002040D0"/>
    <w:rsid w:val="00204AE8"/>
    <w:rsid w:val="00205A74"/>
    <w:rsid w:val="00206360"/>
    <w:rsid w:val="0020664C"/>
    <w:rsid w:val="002066B9"/>
    <w:rsid w:val="002067C6"/>
    <w:rsid w:val="00207393"/>
    <w:rsid w:val="002074AA"/>
    <w:rsid w:val="00207724"/>
    <w:rsid w:val="00207788"/>
    <w:rsid w:val="002077C2"/>
    <w:rsid w:val="00207D41"/>
    <w:rsid w:val="00210088"/>
    <w:rsid w:val="0021019F"/>
    <w:rsid w:val="0021195F"/>
    <w:rsid w:val="00211DD9"/>
    <w:rsid w:val="00212262"/>
    <w:rsid w:val="00213952"/>
    <w:rsid w:val="002142FA"/>
    <w:rsid w:val="00214852"/>
    <w:rsid w:val="0021566C"/>
    <w:rsid w:val="00216432"/>
    <w:rsid w:val="0022002F"/>
    <w:rsid w:val="00220620"/>
    <w:rsid w:val="00222091"/>
    <w:rsid w:val="002226A0"/>
    <w:rsid w:val="00222C24"/>
    <w:rsid w:val="00224908"/>
    <w:rsid w:val="00224F7C"/>
    <w:rsid w:val="002250D4"/>
    <w:rsid w:val="0022526B"/>
    <w:rsid w:val="0022561B"/>
    <w:rsid w:val="002271F6"/>
    <w:rsid w:val="00227462"/>
    <w:rsid w:val="002275E0"/>
    <w:rsid w:val="00227AAE"/>
    <w:rsid w:val="00230759"/>
    <w:rsid w:val="00231880"/>
    <w:rsid w:val="00231D6F"/>
    <w:rsid w:val="002322CF"/>
    <w:rsid w:val="00232851"/>
    <w:rsid w:val="00232AFF"/>
    <w:rsid w:val="00232D19"/>
    <w:rsid w:val="00233098"/>
    <w:rsid w:val="002349FB"/>
    <w:rsid w:val="00235405"/>
    <w:rsid w:val="002356DE"/>
    <w:rsid w:val="00235A04"/>
    <w:rsid w:val="00236257"/>
    <w:rsid w:val="00236C6F"/>
    <w:rsid w:val="00236C91"/>
    <w:rsid w:val="00236CEB"/>
    <w:rsid w:val="002374B2"/>
    <w:rsid w:val="00237518"/>
    <w:rsid w:val="00240454"/>
    <w:rsid w:val="00240EE5"/>
    <w:rsid w:val="00241CFE"/>
    <w:rsid w:val="00242607"/>
    <w:rsid w:val="002428FD"/>
    <w:rsid w:val="00242ED0"/>
    <w:rsid w:val="0024315B"/>
    <w:rsid w:val="0024386E"/>
    <w:rsid w:val="0024393C"/>
    <w:rsid w:val="00243D41"/>
    <w:rsid w:val="00243F98"/>
    <w:rsid w:val="00244E22"/>
    <w:rsid w:val="00245437"/>
    <w:rsid w:val="00245451"/>
    <w:rsid w:val="0024701A"/>
    <w:rsid w:val="002502C8"/>
    <w:rsid w:val="002515F2"/>
    <w:rsid w:val="0025191E"/>
    <w:rsid w:val="002519A5"/>
    <w:rsid w:val="00252357"/>
    <w:rsid w:val="00252925"/>
    <w:rsid w:val="0025338E"/>
    <w:rsid w:val="0025465E"/>
    <w:rsid w:val="00254C4A"/>
    <w:rsid w:val="00254D80"/>
    <w:rsid w:val="00255505"/>
    <w:rsid w:val="00256940"/>
    <w:rsid w:val="00256BB9"/>
    <w:rsid w:val="002572D7"/>
    <w:rsid w:val="00257636"/>
    <w:rsid w:val="00257917"/>
    <w:rsid w:val="00260501"/>
    <w:rsid w:val="0026096E"/>
    <w:rsid w:val="00260BC5"/>
    <w:rsid w:val="00261713"/>
    <w:rsid w:val="00261AF6"/>
    <w:rsid w:val="00261DAE"/>
    <w:rsid w:val="002622F2"/>
    <w:rsid w:val="002628EF"/>
    <w:rsid w:val="00264580"/>
    <w:rsid w:val="00264617"/>
    <w:rsid w:val="002650A1"/>
    <w:rsid w:val="002664C1"/>
    <w:rsid w:val="00266E9A"/>
    <w:rsid w:val="002679BB"/>
    <w:rsid w:val="00267E9B"/>
    <w:rsid w:val="00270363"/>
    <w:rsid w:val="00271345"/>
    <w:rsid w:val="002721B6"/>
    <w:rsid w:val="00272C99"/>
    <w:rsid w:val="00272CD5"/>
    <w:rsid w:val="00272F5A"/>
    <w:rsid w:val="00273475"/>
    <w:rsid w:val="00273D3A"/>
    <w:rsid w:val="00274E17"/>
    <w:rsid w:val="0027534C"/>
    <w:rsid w:val="00275DE6"/>
    <w:rsid w:val="00276645"/>
    <w:rsid w:val="002769DA"/>
    <w:rsid w:val="00277219"/>
    <w:rsid w:val="00277BD8"/>
    <w:rsid w:val="00277FEC"/>
    <w:rsid w:val="0028066F"/>
    <w:rsid w:val="00281DBA"/>
    <w:rsid w:val="0028230F"/>
    <w:rsid w:val="0028330C"/>
    <w:rsid w:val="00283D16"/>
    <w:rsid w:val="00283D2C"/>
    <w:rsid w:val="002841DC"/>
    <w:rsid w:val="00284832"/>
    <w:rsid w:val="00285402"/>
    <w:rsid w:val="0028551E"/>
    <w:rsid w:val="00286B1D"/>
    <w:rsid w:val="00286C46"/>
    <w:rsid w:val="00286E1E"/>
    <w:rsid w:val="00286F98"/>
    <w:rsid w:val="0029015F"/>
    <w:rsid w:val="0029058A"/>
    <w:rsid w:val="00290AD4"/>
    <w:rsid w:val="00290F48"/>
    <w:rsid w:val="00291371"/>
    <w:rsid w:val="00292BEE"/>
    <w:rsid w:val="00292D80"/>
    <w:rsid w:val="00292E22"/>
    <w:rsid w:val="00293C4E"/>
    <w:rsid w:val="00293FDD"/>
    <w:rsid w:val="00295392"/>
    <w:rsid w:val="00295562"/>
    <w:rsid w:val="002958B9"/>
    <w:rsid w:val="00295DF4"/>
    <w:rsid w:val="00295EA3"/>
    <w:rsid w:val="00296404"/>
    <w:rsid w:val="0029643A"/>
    <w:rsid w:val="002964EE"/>
    <w:rsid w:val="002966C6"/>
    <w:rsid w:val="0029775F"/>
    <w:rsid w:val="002A0E01"/>
    <w:rsid w:val="002A1E9B"/>
    <w:rsid w:val="002A23CE"/>
    <w:rsid w:val="002A281F"/>
    <w:rsid w:val="002A2AC8"/>
    <w:rsid w:val="002A3383"/>
    <w:rsid w:val="002A3F13"/>
    <w:rsid w:val="002A3F9C"/>
    <w:rsid w:val="002A474E"/>
    <w:rsid w:val="002A55C8"/>
    <w:rsid w:val="002A6230"/>
    <w:rsid w:val="002A7019"/>
    <w:rsid w:val="002A7076"/>
    <w:rsid w:val="002A7A68"/>
    <w:rsid w:val="002A7BB1"/>
    <w:rsid w:val="002A7EE5"/>
    <w:rsid w:val="002B044C"/>
    <w:rsid w:val="002B0BC9"/>
    <w:rsid w:val="002B0D22"/>
    <w:rsid w:val="002B1500"/>
    <w:rsid w:val="002B1BBB"/>
    <w:rsid w:val="002B1C96"/>
    <w:rsid w:val="002B1D32"/>
    <w:rsid w:val="002B2075"/>
    <w:rsid w:val="002B2B7D"/>
    <w:rsid w:val="002B3878"/>
    <w:rsid w:val="002B3D0C"/>
    <w:rsid w:val="002B4080"/>
    <w:rsid w:val="002B4506"/>
    <w:rsid w:val="002B4C18"/>
    <w:rsid w:val="002B5922"/>
    <w:rsid w:val="002B6ACC"/>
    <w:rsid w:val="002B7C34"/>
    <w:rsid w:val="002C0368"/>
    <w:rsid w:val="002C0A34"/>
    <w:rsid w:val="002C1453"/>
    <w:rsid w:val="002C15EE"/>
    <w:rsid w:val="002C1686"/>
    <w:rsid w:val="002C2890"/>
    <w:rsid w:val="002C3A7D"/>
    <w:rsid w:val="002C4849"/>
    <w:rsid w:val="002C4A01"/>
    <w:rsid w:val="002C4A82"/>
    <w:rsid w:val="002C4C38"/>
    <w:rsid w:val="002C52D4"/>
    <w:rsid w:val="002D0378"/>
    <w:rsid w:val="002D25D7"/>
    <w:rsid w:val="002D26C7"/>
    <w:rsid w:val="002D34A9"/>
    <w:rsid w:val="002D374C"/>
    <w:rsid w:val="002D3A96"/>
    <w:rsid w:val="002D4338"/>
    <w:rsid w:val="002D4593"/>
    <w:rsid w:val="002D4C77"/>
    <w:rsid w:val="002D4EFA"/>
    <w:rsid w:val="002D4F94"/>
    <w:rsid w:val="002D50A4"/>
    <w:rsid w:val="002D5ED7"/>
    <w:rsid w:val="002D6021"/>
    <w:rsid w:val="002D68B7"/>
    <w:rsid w:val="002D71D1"/>
    <w:rsid w:val="002D7537"/>
    <w:rsid w:val="002D76EE"/>
    <w:rsid w:val="002D77DA"/>
    <w:rsid w:val="002D7EC1"/>
    <w:rsid w:val="002E0CA6"/>
    <w:rsid w:val="002E111F"/>
    <w:rsid w:val="002E292C"/>
    <w:rsid w:val="002E329B"/>
    <w:rsid w:val="002E3697"/>
    <w:rsid w:val="002E4469"/>
    <w:rsid w:val="002E4B20"/>
    <w:rsid w:val="002E4DBB"/>
    <w:rsid w:val="002E52D2"/>
    <w:rsid w:val="002E578E"/>
    <w:rsid w:val="002E5C73"/>
    <w:rsid w:val="002E6E35"/>
    <w:rsid w:val="002E6E8A"/>
    <w:rsid w:val="002E7208"/>
    <w:rsid w:val="002E7934"/>
    <w:rsid w:val="002E7FE9"/>
    <w:rsid w:val="002F0B0D"/>
    <w:rsid w:val="002F0D45"/>
    <w:rsid w:val="002F0F5F"/>
    <w:rsid w:val="002F15AF"/>
    <w:rsid w:val="002F19EE"/>
    <w:rsid w:val="002F20B9"/>
    <w:rsid w:val="002F2116"/>
    <w:rsid w:val="002F2484"/>
    <w:rsid w:val="002F2514"/>
    <w:rsid w:val="002F2631"/>
    <w:rsid w:val="002F2768"/>
    <w:rsid w:val="002F355D"/>
    <w:rsid w:val="002F40CA"/>
    <w:rsid w:val="002F489F"/>
    <w:rsid w:val="002F4BB2"/>
    <w:rsid w:val="002F4FBB"/>
    <w:rsid w:val="002F5357"/>
    <w:rsid w:val="002F5505"/>
    <w:rsid w:val="002F5D60"/>
    <w:rsid w:val="002F6128"/>
    <w:rsid w:val="002F6671"/>
    <w:rsid w:val="002F701E"/>
    <w:rsid w:val="002F7B9D"/>
    <w:rsid w:val="003000B7"/>
    <w:rsid w:val="00300316"/>
    <w:rsid w:val="00300DC8"/>
    <w:rsid w:val="0030129E"/>
    <w:rsid w:val="00301620"/>
    <w:rsid w:val="00301FD5"/>
    <w:rsid w:val="0030237D"/>
    <w:rsid w:val="00302C05"/>
    <w:rsid w:val="00302E06"/>
    <w:rsid w:val="00304169"/>
    <w:rsid w:val="0030434E"/>
    <w:rsid w:val="00304976"/>
    <w:rsid w:val="00304FC6"/>
    <w:rsid w:val="00306E68"/>
    <w:rsid w:val="003077FB"/>
    <w:rsid w:val="003106FC"/>
    <w:rsid w:val="00310A7D"/>
    <w:rsid w:val="00310AEA"/>
    <w:rsid w:val="00312666"/>
    <w:rsid w:val="003131AB"/>
    <w:rsid w:val="00313310"/>
    <w:rsid w:val="003147A1"/>
    <w:rsid w:val="00314CE6"/>
    <w:rsid w:val="00315E33"/>
    <w:rsid w:val="00316F9D"/>
    <w:rsid w:val="003175B2"/>
    <w:rsid w:val="003176D5"/>
    <w:rsid w:val="00317ABA"/>
    <w:rsid w:val="00320C44"/>
    <w:rsid w:val="00321100"/>
    <w:rsid w:val="0032207E"/>
    <w:rsid w:val="00323F22"/>
    <w:rsid w:val="00324EAD"/>
    <w:rsid w:val="00325ACE"/>
    <w:rsid w:val="00325C51"/>
    <w:rsid w:val="00325DB6"/>
    <w:rsid w:val="00327547"/>
    <w:rsid w:val="00331CF5"/>
    <w:rsid w:val="00331F66"/>
    <w:rsid w:val="00332029"/>
    <w:rsid w:val="003320E4"/>
    <w:rsid w:val="0033235E"/>
    <w:rsid w:val="00333004"/>
    <w:rsid w:val="00333A22"/>
    <w:rsid w:val="00333F29"/>
    <w:rsid w:val="0033403D"/>
    <w:rsid w:val="00334959"/>
    <w:rsid w:val="00334EB7"/>
    <w:rsid w:val="00334FF5"/>
    <w:rsid w:val="0033577D"/>
    <w:rsid w:val="00335ED3"/>
    <w:rsid w:val="00335F33"/>
    <w:rsid w:val="0033613E"/>
    <w:rsid w:val="0033623A"/>
    <w:rsid w:val="00337289"/>
    <w:rsid w:val="00337D7B"/>
    <w:rsid w:val="00337E7D"/>
    <w:rsid w:val="00340498"/>
    <w:rsid w:val="00340DBF"/>
    <w:rsid w:val="003420E9"/>
    <w:rsid w:val="0034218C"/>
    <w:rsid w:val="00342231"/>
    <w:rsid w:val="0034268E"/>
    <w:rsid w:val="003426EA"/>
    <w:rsid w:val="00342FBC"/>
    <w:rsid w:val="00343589"/>
    <w:rsid w:val="0034527F"/>
    <w:rsid w:val="00345317"/>
    <w:rsid w:val="003479BD"/>
    <w:rsid w:val="00347F70"/>
    <w:rsid w:val="00350947"/>
    <w:rsid w:val="0035108A"/>
    <w:rsid w:val="00351178"/>
    <w:rsid w:val="00351702"/>
    <w:rsid w:val="00351A03"/>
    <w:rsid w:val="003520FE"/>
    <w:rsid w:val="0035267D"/>
    <w:rsid w:val="00352DCC"/>
    <w:rsid w:val="003542BE"/>
    <w:rsid w:val="0035487D"/>
    <w:rsid w:val="003548D6"/>
    <w:rsid w:val="00354E4F"/>
    <w:rsid w:val="00355503"/>
    <w:rsid w:val="00355602"/>
    <w:rsid w:val="00355B8D"/>
    <w:rsid w:val="00356F9F"/>
    <w:rsid w:val="00357E90"/>
    <w:rsid w:val="00360161"/>
    <w:rsid w:val="003603C5"/>
    <w:rsid w:val="0036201C"/>
    <w:rsid w:val="00363B31"/>
    <w:rsid w:val="003646E9"/>
    <w:rsid w:val="00364790"/>
    <w:rsid w:val="00364ED9"/>
    <w:rsid w:val="003659DE"/>
    <w:rsid w:val="00366064"/>
    <w:rsid w:val="0036609D"/>
    <w:rsid w:val="0036614B"/>
    <w:rsid w:val="00366162"/>
    <w:rsid w:val="00366A7B"/>
    <w:rsid w:val="00366DC8"/>
    <w:rsid w:val="00367395"/>
    <w:rsid w:val="00367CC1"/>
    <w:rsid w:val="00367EDD"/>
    <w:rsid w:val="00370382"/>
    <w:rsid w:val="00370EF0"/>
    <w:rsid w:val="00371092"/>
    <w:rsid w:val="003719DB"/>
    <w:rsid w:val="003726AD"/>
    <w:rsid w:val="00372F71"/>
    <w:rsid w:val="00374747"/>
    <w:rsid w:val="003749A2"/>
    <w:rsid w:val="003753DA"/>
    <w:rsid w:val="003760FD"/>
    <w:rsid w:val="0037631E"/>
    <w:rsid w:val="00376707"/>
    <w:rsid w:val="0037774F"/>
    <w:rsid w:val="00377A30"/>
    <w:rsid w:val="00380613"/>
    <w:rsid w:val="0038061C"/>
    <w:rsid w:val="0038082A"/>
    <w:rsid w:val="00380984"/>
    <w:rsid w:val="00380CC0"/>
    <w:rsid w:val="00380D1D"/>
    <w:rsid w:val="003810D2"/>
    <w:rsid w:val="0038118F"/>
    <w:rsid w:val="0038143B"/>
    <w:rsid w:val="00381DDD"/>
    <w:rsid w:val="00383234"/>
    <w:rsid w:val="0038325A"/>
    <w:rsid w:val="00383993"/>
    <w:rsid w:val="00383C91"/>
    <w:rsid w:val="0038425B"/>
    <w:rsid w:val="00384286"/>
    <w:rsid w:val="003852CA"/>
    <w:rsid w:val="00385880"/>
    <w:rsid w:val="00386A3F"/>
    <w:rsid w:val="00386CA0"/>
    <w:rsid w:val="00386CE0"/>
    <w:rsid w:val="00386D5B"/>
    <w:rsid w:val="00390CFB"/>
    <w:rsid w:val="00390FCA"/>
    <w:rsid w:val="00391A33"/>
    <w:rsid w:val="00391E81"/>
    <w:rsid w:val="00394157"/>
    <w:rsid w:val="003949D5"/>
    <w:rsid w:val="00394BDE"/>
    <w:rsid w:val="00395DC8"/>
    <w:rsid w:val="00396464"/>
    <w:rsid w:val="00396B80"/>
    <w:rsid w:val="0039795E"/>
    <w:rsid w:val="0039799A"/>
    <w:rsid w:val="00397B9B"/>
    <w:rsid w:val="003A258A"/>
    <w:rsid w:val="003A431D"/>
    <w:rsid w:val="003A434D"/>
    <w:rsid w:val="003A492F"/>
    <w:rsid w:val="003A4CB4"/>
    <w:rsid w:val="003A5080"/>
    <w:rsid w:val="003A5C74"/>
    <w:rsid w:val="003A5F53"/>
    <w:rsid w:val="003A63B7"/>
    <w:rsid w:val="003A65AF"/>
    <w:rsid w:val="003A6B17"/>
    <w:rsid w:val="003A6E1F"/>
    <w:rsid w:val="003A7741"/>
    <w:rsid w:val="003B017E"/>
    <w:rsid w:val="003B0863"/>
    <w:rsid w:val="003B1483"/>
    <w:rsid w:val="003B24A3"/>
    <w:rsid w:val="003B2E60"/>
    <w:rsid w:val="003B37AE"/>
    <w:rsid w:val="003B385F"/>
    <w:rsid w:val="003B3A68"/>
    <w:rsid w:val="003B3D42"/>
    <w:rsid w:val="003B3E22"/>
    <w:rsid w:val="003B4618"/>
    <w:rsid w:val="003B4DBF"/>
    <w:rsid w:val="003B4EE0"/>
    <w:rsid w:val="003B63B7"/>
    <w:rsid w:val="003B7C9B"/>
    <w:rsid w:val="003C011A"/>
    <w:rsid w:val="003C0292"/>
    <w:rsid w:val="003C0316"/>
    <w:rsid w:val="003C0C05"/>
    <w:rsid w:val="003C0C49"/>
    <w:rsid w:val="003C128E"/>
    <w:rsid w:val="003C2275"/>
    <w:rsid w:val="003C301E"/>
    <w:rsid w:val="003C53CA"/>
    <w:rsid w:val="003C54F6"/>
    <w:rsid w:val="003C587D"/>
    <w:rsid w:val="003C5AAD"/>
    <w:rsid w:val="003C5AF5"/>
    <w:rsid w:val="003C60E1"/>
    <w:rsid w:val="003C649E"/>
    <w:rsid w:val="003C65E8"/>
    <w:rsid w:val="003C6739"/>
    <w:rsid w:val="003C7CF3"/>
    <w:rsid w:val="003C7D37"/>
    <w:rsid w:val="003C7ED8"/>
    <w:rsid w:val="003D128F"/>
    <w:rsid w:val="003D1FAD"/>
    <w:rsid w:val="003D2329"/>
    <w:rsid w:val="003D3170"/>
    <w:rsid w:val="003D3241"/>
    <w:rsid w:val="003D3FC2"/>
    <w:rsid w:val="003D45B5"/>
    <w:rsid w:val="003D6B4C"/>
    <w:rsid w:val="003D6E10"/>
    <w:rsid w:val="003E0997"/>
    <w:rsid w:val="003E107C"/>
    <w:rsid w:val="003E11C4"/>
    <w:rsid w:val="003E1259"/>
    <w:rsid w:val="003E167B"/>
    <w:rsid w:val="003E1B5E"/>
    <w:rsid w:val="003E2723"/>
    <w:rsid w:val="003E2E9F"/>
    <w:rsid w:val="003E2EF4"/>
    <w:rsid w:val="003E3601"/>
    <w:rsid w:val="003E3702"/>
    <w:rsid w:val="003E38B4"/>
    <w:rsid w:val="003E3EED"/>
    <w:rsid w:val="003E4495"/>
    <w:rsid w:val="003E515B"/>
    <w:rsid w:val="003E5355"/>
    <w:rsid w:val="003E5DA7"/>
    <w:rsid w:val="003E6D4C"/>
    <w:rsid w:val="003E6D88"/>
    <w:rsid w:val="003E7747"/>
    <w:rsid w:val="003F0047"/>
    <w:rsid w:val="003F0C0F"/>
    <w:rsid w:val="003F1330"/>
    <w:rsid w:val="003F1B60"/>
    <w:rsid w:val="003F1BB3"/>
    <w:rsid w:val="003F1EE7"/>
    <w:rsid w:val="003F3B82"/>
    <w:rsid w:val="003F4404"/>
    <w:rsid w:val="003F4666"/>
    <w:rsid w:val="003F65AD"/>
    <w:rsid w:val="004001A3"/>
    <w:rsid w:val="00400281"/>
    <w:rsid w:val="00400508"/>
    <w:rsid w:val="004006B5"/>
    <w:rsid w:val="00400874"/>
    <w:rsid w:val="00400D75"/>
    <w:rsid w:val="00400FAD"/>
    <w:rsid w:val="004010BC"/>
    <w:rsid w:val="00401BA8"/>
    <w:rsid w:val="00403491"/>
    <w:rsid w:val="00403CED"/>
    <w:rsid w:val="004059C4"/>
    <w:rsid w:val="00407EAE"/>
    <w:rsid w:val="00410007"/>
    <w:rsid w:val="00410969"/>
    <w:rsid w:val="00411786"/>
    <w:rsid w:val="00411A01"/>
    <w:rsid w:val="0041370D"/>
    <w:rsid w:val="00413C76"/>
    <w:rsid w:val="00413D99"/>
    <w:rsid w:val="004146A4"/>
    <w:rsid w:val="004148C9"/>
    <w:rsid w:val="00415148"/>
    <w:rsid w:val="004161B0"/>
    <w:rsid w:val="0041666B"/>
    <w:rsid w:val="00416849"/>
    <w:rsid w:val="0041712F"/>
    <w:rsid w:val="0041776A"/>
    <w:rsid w:val="00420F62"/>
    <w:rsid w:val="00422492"/>
    <w:rsid w:val="004224A7"/>
    <w:rsid w:val="00422DF6"/>
    <w:rsid w:val="004231D0"/>
    <w:rsid w:val="00423BE1"/>
    <w:rsid w:val="00423E6D"/>
    <w:rsid w:val="00424D05"/>
    <w:rsid w:val="00424D2D"/>
    <w:rsid w:val="00425C27"/>
    <w:rsid w:val="00426577"/>
    <w:rsid w:val="00426703"/>
    <w:rsid w:val="00426706"/>
    <w:rsid w:val="00427DD7"/>
    <w:rsid w:val="0043015E"/>
    <w:rsid w:val="00431116"/>
    <w:rsid w:val="0043169F"/>
    <w:rsid w:val="004330F9"/>
    <w:rsid w:val="004341B3"/>
    <w:rsid w:val="0043436B"/>
    <w:rsid w:val="004348C7"/>
    <w:rsid w:val="00434AB5"/>
    <w:rsid w:val="004351C5"/>
    <w:rsid w:val="00435418"/>
    <w:rsid w:val="00435B12"/>
    <w:rsid w:val="00435DEF"/>
    <w:rsid w:val="00435F2C"/>
    <w:rsid w:val="00436445"/>
    <w:rsid w:val="0043712A"/>
    <w:rsid w:val="00437FE4"/>
    <w:rsid w:val="004407EC"/>
    <w:rsid w:val="004413C3"/>
    <w:rsid w:val="00441690"/>
    <w:rsid w:val="004419DD"/>
    <w:rsid w:val="00441F4B"/>
    <w:rsid w:val="00442310"/>
    <w:rsid w:val="004430BD"/>
    <w:rsid w:val="0044392B"/>
    <w:rsid w:val="00443D51"/>
    <w:rsid w:val="0044436D"/>
    <w:rsid w:val="00445E7F"/>
    <w:rsid w:val="00446DF5"/>
    <w:rsid w:val="00447589"/>
    <w:rsid w:val="00447EDA"/>
    <w:rsid w:val="004504D6"/>
    <w:rsid w:val="0045071A"/>
    <w:rsid w:val="00450BDC"/>
    <w:rsid w:val="0045235D"/>
    <w:rsid w:val="004529E5"/>
    <w:rsid w:val="00452A44"/>
    <w:rsid w:val="00452DB5"/>
    <w:rsid w:val="0045367A"/>
    <w:rsid w:val="004538F9"/>
    <w:rsid w:val="004559A8"/>
    <w:rsid w:val="004562C7"/>
    <w:rsid w:val="00456A09"/>
    <w:rsid w:val="0046142D"/>
    <w:rsid w:val="00461499"/>
    <w:rsid w:val="0046150B"/>
    <w:rsid w:val="004624E9"/>
    <w:rsid w:val="004626BB"/>
    <w:rsid w:val="00462ADA"/>
    <w:rsid w:val="00462D75"/>
    <w:rsid w:val="00463787"/>
    <w:rsid w:val="00463982"/>
    <w:rsid w:val="00463A0B"/>
    <w:rsid w:val="0046486A"/>
    <w:rsid w:val="00464984"/>
    <w:rsid w:val="00464AEA"/>
    <w:rsid w:val="004657E9"/>
    <w:rsid w:val="004660E7"/>
    <w:rsid w:val="00466E79"/>
    <w:rsid w:val="0046713F"/>
    <w:rsid w:val="004671C1"/>
    <w:rsid w:val="004674FC"/>
    <w:rsid w:val="004700B1"/>
    <w:rsid w:val="004712E5"/>
    <w:rsid w:val="004712F7"/>
    <w:rsid w:val="00471A0C"/>
    <w:rsid w:val="00471D18"/>
    <w:rsid w:val="0047244E"/>
    <w:rsid w:val="0047327D"/>
    <w:rsid w:val="004733E7"/>
    <w:rsid w:val="00473665"/>
    <w:rsid w:val="004743D3"/>
    <w:rsid w:val="0047478A"/>
    <w:rsid w:val="00474F84"/>
    <w:rsid w:val="00475299"/>
    <w:rsid w:val="00475541"/>
    <w:rsid w:val="004758B4"/>
    <w:rsid w:val="0047704F"/>
    <w:rsid w:val="004772DB"/>
    <w:rsid w:val="00477D70"/>
    <w:rsid w:val="00480185"/>
    <w:rsid w:val="00480BC5"/>
    <w:rsid w:val="004819E4"/>
    <w:rsid w:val="004822AE"/>
    <w:rsid w:val="00482BB7"/>
    <w:rsid w:val="0048423C"/>
    <w:rsid w:val="004843FB"/>
    <w:rsid w:val="0048499A"/>
    <w:rsid w:val="00484B1B"/>
    <w:rsid w:val="00485046"/>
    <w:rsid w:val="004857DF"/>
    <w:rsid w:val="00485B8F"/>
    <w:rsid w:val="004863CF"/>
    <w:rsid w:val="00487511"/>
    <w:rsid w:val="00490439"/>
    <w:rsid w:val="0049062C"/>
    <w:rsid w:val="004908CA"/>
    <w:rsid w:val="00490E55"/>
    <w:rsid w:val="00492363"/>
    <w:rsid w:val="004928C7"/>
    <w:rsid w:val="00494A19"/>
    <w:rsid w:val="00494C06"/>
    <w:rsid w:val="00494C70"/>
    <w:rsid w:val="00495B5A"/>
    <w:rsid w:val="00497719"/>
    <w:rsid w:val="00497B5E"/>
    <w:rsid w:val="00497D92"/>
    <w:rsid w:val="004A0992"/>
    <w:rsid w:val="004A1B00"/>
    <w:rsid w:val="004A2153"/>
    <w:rsid w:val="004A28C4"/>
    <w:rsid w:val="004A2FEB"/>
    <w:rsid w:val="004A3AD6"/>
    <w:rsid w:val="004A3CBC"/>
    <w:rsid w:val="004A43FE"/>
    <w:rsid w:val="004A44EF"/>
    <w:rsid w:val="004A47E1"/>
    <w:rsid w:val="004A49CE"/>
    <w:rsid w:val="004A515F"/>
    <w:rsid w:val="004A5706"/>
    <w:rsid w:val="004A5A0F"/>
    <w:rsid w:val="004A60F5"/>
    <w:rsid w:val="004A62EA"/>
    <w:rsid w:val="004A65C2"/>
    <w:rsid w:val="004A6B24"/>
    <w:rsid w:val="004A6BA7"/>
    <w:rsid w:val="004A7E9C"/>
    <w:rsid w:val="004B12F0"/>
    <w:rsid w:val="004B1308"/>
    <w:rsid w:val="004B2A96"/>
    <w:rsid w:val="004B2FE0"/>
    <w:rsid w:val="004B3572"/>
    <w:rsid w:val="004B3799"/>
    <w:rsid w:val="004B3ED9"/>
    <w:rsid w:val="004B47FF"/>
    <w:rsid w:val="004B6A21"/>
    <w:rsid w:val="004B6CF4"/>
    <w:rsid w:val="004B750D"/>
    <w:rsid w:val="004C00AE"/>
    <w:rsid w:val="004C1095"/>
    <w:rsid w:val="004C1371"/>
    <w:rsid w:val="004C13C3"/>
    <w:rsid w:val="004C1F38"/>
    <w:rsid w:val="004C2217"/>
    <w:rsid w:val="004C3502"/>
    <w:rsid w:val="004C4231"/>
    <w:rsid w:val="004C4712"/>
    <w:rsid w:val="004C4C52"/>
    <w:rsid w:val="004C4D60"/>
    <w:rsid w:val="004C4D89"/>
    <w:rsid w:val="004C4F2A"/>
    <w:rsid w:val="004C593D"/>
    <w:rsid w:val="004C66BB"/>
    <w:rsid w:val="004C6701"/>
    <w:rsid w:val="004D0799"/>
    <w:rsid w:val="004D16F7"/>
    <w:rsid w:val="004D1AED"/>
    <w:rsid w:val="004D1BF8"/>
    <w:rsid w:val="004D25F5"/>
    <w:rsid w:val="004D2CF0"/>
    <w:rsid w:val="004D32D9"/>
    <w:rsid w:val="004D38F5"/>
    <w:rsid w:val="004D3D34"/>
    <w:rsid w:val="004D4CD1"/>
    <w:rsid w:val="004D4D25"/>
    <w:rsid w:val="004D4D4B"/>
    <w:rsid w:val="004D572D"/>
    <w:rsid w:val="004D597D"/>
    <w:rsid w:val="004D5A77"/>
    <w:rsid w:val="004D64F8"/>
    <w:rsid w:val="004D688A"/>
    <w:rsid w:val="004D6A07"/>
    <w:rsid w:val="004D6D17"/>
    <w:rsid w:val="004D7014"/>
    <w:rsid w:val="004D70DF"/>
    <w:rsid w:val="004D731B"/>
    <w:rsid w:val="004D734A"/>
    <w:rsid w:val="004D7A5A"/>
    <w:rsid w:val="004D7D37"/>
    <w:rsid w:val="004E117E"/>
    <w:rsid w:val="004E175C"/>
    <w:rsid w:val="004E2358"/>
    <w:rsid w:val="004E2A4A"/>
    <w:rsid w:val="004E2F6A"/>
    <w:rsid w:val="004E3CA9"/>
    <w:rsid w:val="004E4106"/>
    <w:rsid w:val="004E4438"/>
    <w:rsid w:val="004E45B1"/>
    <w:rsid w:val="004E5748"/>
    <w:rsid w:val="004E5994"/>
    <w:rsid w:val="004E69BC"/>
    <w:rsid w:val="004E722D"/>
    <w:rsid w:val="004E770B"/>
    <w:rsid w:val="004E7A69"/>
    <w:rsid w:val="004F046D"/>
    <w:rsid w:val="004F0AD7"/>
    <w:rsid w:val="004F0F89"/>
    <w:rsid w:val="004F1A03"/>
    <w:rsid w:val="004F2053"/>
    <w:rsid w:val="004F2A50"/>
    <w:rsid w:val="004F3779"/>
    <w:rsid w:val="004F3948"/>
    <w:rsid w:val="004F3B3D"/>
    <w:rsid w:val="004F472C"/>
    <w:rsid w:val="004F5390"/>
    <w:rsid w:val="004F6445"/>
    <w:rsid w:val="004F6F62"/>
    <w:rsid w:val="004F7376"/>
    <w:rsid w:val="004F78AA"/>
    <w:rsid w:val="004F7DA5"/>
    <w:rsid w:val="005000F8"/>
    <w:rsid w:val="00500925"/>
    <w:rsid w:val="00501E85"/>
    <w:rsid w:val="005023B7"/>
    <w:rsid w:val="00502893"/>
    <w:rsid w:val="00502B3F"/>
    <w:rsid w:val="00504938"/>
    <w:rsid w:val="00505D8E"/>
    <w:rsid w:val="00506097"/>
    <w:rsid w:val="00507221"/>
    <w:rsid w:val="005072FE"/>
    <w:rsid w:val="0050735E"/>
    <w:rsid w:val="00507AFE"/>
    <w:rsid w:val="00510453"/>
    <w:rsid w:val="00510CDE"/>
    <w:rsid w:val="005113D1"/>
    <w:rsid w:val="00512431"/>
    <w:rsid w:val="005131A6"/>
    <w:rsid w:val="00513728"/>
    <w:rsid w:val="005139F8"/>
    <w:rsid w:val="00513D1F"/>
    <w:rsid w:val="00514E4E"/>
    <w:rsid w:val="00514F0E"/>
    <w:rsid w:val="005152D1"/>
    <w:rsid w:val="005154AD"/>
    <w:rsid w:val="0051554C"/>
    <w:rsid w:val="005162E4"/>
    <w:rsid w:val="0051634C"/>
    <w:rsid w:val="005163E9"/>
    <w:rsid w:val="005167EC"/>
    <w:rsid w:val="00517637"/>
    <w:rsid w:val="005201DF"/>
    <w:rsid w:val="005207BB"/>
    <w:rsid w:val="00520E4C"/>
    <w:rsid w:val="00521D8A"/>
    <w:rsid w:val="00521E2E"/>
    <w:rsid w:val="00522226"/>
    <w:rsid w:val="005225A6"/>
    <w:rsid w:val="005225E2"/>
    <w:rsid w:val="00522839"/>
    <w:rsid w:val="00522978"/>
    <w:rsid w:val="00522E51"/>
    <w:rsid w:val="005244F1"/>
    <w:rsid w:val="005246C2"/>
    <w:rsid w:val="00524C53"/>
    <w:rsid w:val="00524E78"/>
    <w:rsid w:val="00525DB6"/>
    <w:rsid w:val="005264BD"/>
    <w:rsid w:val="00526D7B"/>
    <w:rsid w:val="00526EA9"/>
    <w:rsid w:val="00527D69"/>
    <w:rsid w:val="00531723"/>
    <w:rsid w:val="00531C03"/>
    <w:rsid w:val="00531C44"/>
    <w:rsid w:val="00531FBE"/>
    <w:rsid w:val="00532D40"/>
    <w:rsid w:val="00533130"/>
    <w:rsid w:val="00533F78"/>
    <w:rsid w:val="0053469C"/>
    <w:rsid w:val="005348CD"/>
    <w:rsid w:val="0053497D"/>
    <w:rsid w:val="005354D9"/>
    <w:rsid w:val="00536331"/>
    <w:rsid w:val="00540042"/>
    <w:rsid w:val="0054082E"/>
    <w:rsid w:val="00540A6C"/>
    <w:rsid w:val="00540DC0"/>
    <w:rsid w:val="00541C7D"/>
    <w:rsid w:val="005420A8"/>
    <w:rsid w:val="00542897"/>
    <w:rsid w:val="0054333B"/>
    <w:rsid w:val="00543EF0"/>
    <w:rsid w:val="0054598A"/>
    <w:rsid w:val="00545A40"/>
    <w:rsid w:val="0054635A"/>
    <w:rsid w:val="00547234"/>
    <w:rsid w:val="00550751"/>
    <w:rsid w:val="005511D5"/>
    <w:rsid w:val="005526BC"/>
    <w:rsid w:val="00552780"/>
    <w:rsid w:val="0055310D"/>
    <w:rsid w:val="00554295"/>
    <w:rsid w:val="00554B90"/>
    <w:rsid w:val="0055594B"/>
    <w:rsid w:val="00555B46"/>
    <w:rsid w:val="00555C86"/>
    <w:rsid w:val="005570E4"/>
    <w:rsid w:val="00557F22"/>
    <w:rsid w:val="00560013"/>
    <w:rsid w:val="0056008D"/>
    <w:rsid w:val="0056031B"/>
    <w:rsid w:val="005605D2"/>
    <w:rsid w:val="00560AC5"/>
    <w:rsid w:val="00560E24"/>
    <w:rsid w:val="00561435"/>
    <w:rsid w:val="00563177"/>
    <w:rsid w:val="00563E7E"/>
    <w:rsid w:val="00564A31"/>
    <w:rsid w:val="00565902"/>
    <w:rsid w:val="00565B82"/>
    <w:rsid w:val="00566276"/>
    <w:rsid w:val="005666A8"/>
    <w:rsid w:val="0056712D"/>
    <w:rsid w:val="005676EA"/>
    <w:rsid w:val="00567879"/>
    <w:rsid w:val="00567A3D"/>
    <w:rsid w:val="00567ACB"/>
    <w:rsid w:val="00570006"/>
    <w:rsid w:val="005707B8"/>
    <w:rsid w:val="005716C3"/>
    <w:rsid w:val="00572025"/>
    <w:rsid w:val="00572B32"/>
    <w:rsid w:val="00572C7B"/>
    <w:rsid w:val="00572EA6"/>
    <w:rsid w:val="0057383B"/>
    <w:rsid w:val="005740F6"/>
    <w:rsid w:val="005741FA"/>
    <w:rsid w:val="0057460E"/>
    <w:rsid w:val="00574CE4"/>
    <w:rsid w:val="005752AA"/>
    <w:rsid w:val="0057564F"/>
    <w:rsid w:val="00575A85"/>
    <w:rsid w:val="00576116"/>
    <w:rsid w:val="00576363"/>
    <w:rsid w:val="00576639"/>
    <w:rsid w:val="005768F3"/>
    <w:rsid w:val="00577AFA"/>
    <w:rsid w:val="00577CEF"/>
    <w:rsid w:val="0058005E"/>
    <w:rsid w:val="00580733"/>
    <w:rsid w:val="00581D93"/>
    <w:rsid w:val="00582C49"/>
    <w:rsid w:val="005836EB"/>
    <w:rsid w:val="00584153"/>
    <w:rsid w:val="00585276"/>
    <w:rsid w:val="00585771"/>
    <w:rsid w:val="00585A3B"/>
    <w:rsid w:val="00586507"/>
    <w:rsid w:val="0058666B"/>
    <w:rsid w:val="00586695"/>
    <w:rsid w:val="00586F7F"/>
    <w:rsid w:val="00587906"/>
    <w:rsid w:val="00587FF8"/>
    <w:rsid w:val="0059163A"/>
    <w:rsid w:val="0059170F"/>
    <w:rsid w:val="005917A2"/>
    <w:rsid w:val="005917D5"/>
    <w:rsid w:val="00591B38"/>
    <w:rsid w:val="00591DE9"/>
    <w:rsid w:val="00591F7A"/>
    <w:rsid w:val="00592063"/>
    <w:rsid w:val="00592296"/>
    <w:rsid w:val="00592693"/>
    <w:rsid w:val="00592B07"/>
    <w:rsid w:val="00594CC9"/>
    <w:rsid w:val="00596544"/>
    <w:rsid w:val="00596772"/>
    <w:rsid w:val="005969F1"/>
    <w:rsid w:val="00596D5F"/>
    <w:rsid w:val="00597175"/>
    <w:rsid w:val="0059745E"/>
    <w:rsid w:val="005976E1"/>
    <w:rsid w:val="00597B7F"/>
    <w:rsid w:val="00597C53"/>
    <w:rsid w:val="005A05A5"/>
    <w:rsid w:val="005A0B07"/>
    <w:rsid w:val="005A0C2C"/>
    <w:rsid w:val="005A0DFF"/>
    <w:rsid w:val="005A131F"/>
    <w:rsid w:val="005A1838"/>
    <w:rsid w:val="005A18F7"/>
    <w:rsid w:val="005A1BEE"/>
    <w:rsid w:val="005A29B1"/>
    <w:rsid w:val="005A4252"/>
    <w:rsid w:val="005A4705"/>
    <w:rsid w:val="005A6696"/>
    <w:rsid w:val="005A6794"/>
    <w:rsid w:val="005A7649"/>
    <w:rsid w:val="005A795A"/>
    <w:rsid w:val="005A7D9A"/>
    <w:rsid w:val="005B0179"/>
    <w:rsid w:val="005B0CDC"/>
    <w:rsid w:val="005B0DFC"/>
    <w:rsid w:val="005B0EA6"/>
    <w:rsid w:val="005B10A3"/>
    <w:rsid w:val="005B1C02"/>
    <w:rsid w:val="005B1D6F"/>
    <w:rsid w:val="005B1ECB"/>
    <w:rsid w:val="005B21E1"/>
    <w:rsid w:val="005B2B19"/>
    <w:rsid w:val="005B3B60"/>
    <w:rsid w:val="005B4119"/>
    <w:rsid w:val="005B45D1"/>
    <w:rsid w:val="005B65E5"/>
    <w:rsid w:val="005B6FDF"/>
    <w:rsid w:val="005B79C7"/>
    <w:rsid w:val="005B7D34"/>
    <w:rsid w:val="005B7F07"/>
    <w:rsid w:val="005C07FA"/>
    <w:rsid w:val="005C1771"/>
    <w:rsid w:val="005C2495"/>
    <w:rsid w:val="005C2E5D"/>
    <w:rsid w:val="005C388C"/>
    <w:rsid w:val="005C4CA3"/>
    <w:rsid w:val="005C4D91"/>
    <w:rsid w:val="005C5365"/>
    <w:rsid w:val="005C54C1"/>
    <w:rsid w:val="005C5C89"/>
    <w:rsid w:val="005C6539"/>
    <w:rsid w:val="005C675B"/>
    <w:rsid w:val="005C677B"/>
    <w:rsid w:val="005C6AFA"/>
    <w:rsid w:val="005C7790"/>
    <w:rsid w:val="005D0202"/>
    <w:rsid w:val="005D0999"/>
    <w:rsid w:val="005D16BE"/>
    <w:rsid w:val="005D1748"/>
    <w:rsid w:val="005D1A3C"/>
    <w:rsid w:val="005D1F5C"/>
    <w:rsid w:val="005D29FF"/>
    <w:rsid w:val="005D37EE"/>
    <w:rsid w:val="005D387E"/>
    <w:rsid w:val="005D3B6B"/>
    <w:rsid w:val="005D42E6"/>
    <w:rsid w:val="005D4F1C"/>
    <w:rsid w:val="005D4F2D"/>
    <w:rsid w:val="005D5C30"/>
    <w:rsid w:val="005D60F2"/>
    <w:rsid w:val="005D7AAA"/>
    <w:rsid w:val="005E01F6"/>
    <w:rsid w:val="005E063A"/>
    <w:rsid w:val="005E0D9B"/>
    <w:rsid w:val="005E149D"/>
    <w:rsid w:val="005E155D"/>
    <w:rsid w:val="005E16C0"/>
    <w:rsid w:val="005E1D11"/>
    <w:rsid w:val="005E2895"/>
    <w:rsid w:val="005E3D3D"/>
    <w:rsid w:val="005E3E96"/>
    <w:rsid w:val="005E4261"/>
    <w:rsid w:val="005E42D6"/>
    <w:rsid w:val="005E4694"/>
    <w:rsid w:val="005E60C7"/>
    <w:rsid w:val="005E699F"/>
    <w:rsid w:val="005E7021"/>
    <w:rsid w:val="005E7DDF"/>
    <w:rsid w:val="005F0074"/>
    <w:rsid w:val="005F01D9"/>
    <w:rsid w:val="005F06E7"/>
    <w:rsid w:val="005F0AE4"/>
    <w:rsid w:val="005F0C07"/>
    <w:rsid w:val="005F0C2A"/>
    <w:rsid w:val="005F0CAF"/>
    <w:rsid w:val="005F0DD3"/>
    <w:rsid w:val="005F164E"/>
    <w:rsid w:val="005F29B6"/>
    <w:rsid w:val="005F30CE"/>
    <w:rsid w:val="005F3BC2"/>
    <w:rsid w:val="005F3C50"/>
    <w:rsid w:val="005F4131"/>
    <w:rsid w:val="005F4E24"/>
    <w:rsid w:val="005F4E78"/>
    <w:rsid w:val="005F5306"/>
    <w:rsid w:val="005F5BF6"/>
    <w:rsid w:val="005F5E63"/>
    <w:rsid w:val="00600518"/>
    <w:rsid w:val="00600569"/>
    <w:rsid w:val="00600819"/>
    <w:rsid w:val="006008B1"/>
    <w:rsid w:val="00600B71"/>
    <w:rsid w:val="0060115A"/>
    <w:rsid w:val="00601421"/>
    <w:rsid w:val="006016B0"/>
    <w:rsid w:val="00601C6B"/>
    <w:rsid w:val="00601CAA"/>
    <w:rsid w:val="00603727"/>
    <w:rsid w:val="00603810"/>
    <w:rsid w:val="00603DD9"/>
    <w:rsid w:val="00603EC2"/>
    <w:rsid w:val="00604E68"/>
    <w:rsid w:val="00605443"/>
    <w:rsid w:val="00605A29"/>
    <w:rsid w:val="00606A6B"/>
    <w:rsid w:val="00606CD3"/>
    <w:rsid w:val="00606E9E"/>
    <w:rsid w:val="0060742F"/>
    <w:rsid w:val="00607A11"/>
    <w:rsid w:val="00607D90"/>
    <w:rsid w:val="0061013A"/>
    <w:rsid w:val="006105A4"/>
    <w:rsid w:val="006107FA"/>
    <w:rsid w:val="00610FDB"/>
    <w:rsid w:val="00612605"/>
    <w:rsid w:val="00612AAF"/>
    <w:rsid w:val="0061312F"/>
    <w:rsid w:val="00613CA2"/>
    <w:rsid w:val="00613E95"/>
    <w:rsid w:val="00615510"/>
    <w:rsid w:val="006155F1"/>
    <w:rsid w:val="00615813"/>
    <w:rsid w:val="00615BD7"/>
    <w:rsid w:val="00616045"/>
    <w:rsid w:val="00616F0B"/>
    <w:rsid w:val="006173CD"/>
    <w:rsid w:val="006175FE"/>
    <w:rsid w:val="0062052E"/>
    <w:rsid w:val="0062118B"/>
    <w:rsid w:val="006222D0"/>
    <w:rsid w:val="00622A3D"/>
    <w:rsid w:val="00622BDB"/>
    <w:rsid w:val="00623A45"/>
    <w:rsid w:val="00623C1D"/>
    <w:rsid w:val="00624B46"/>
    <w:rsid w:val="00624F02"/>
    <w:rsid w:val="00625026"/>
    <w:rsid w:val="00625D73"/>
    <w:rsid w:val="00625FBC"/>
    <w:rsid w:val="00626282"/>
    <w:rsid w:val="006265F7"/>
    <w:rsid w:val="006270AD"/>
    <w:rsid w:val="006274C0"/>
    <w:rsid w:val="00627C6C"/>
    <w:rsid w:val="00627F2B"/>
    <w:rsid w:val="00630A4B"/>
    <w:rsid w:val="006311D6"/>
    <w:rsid w:val="00631593"/>
    <w:rsid w:val="00631EB7"/>
    <w:rsid w:val="00631F3C"/>
    <w:rsid w:val="00632201"/>
    <w:rsid w:val="00632438"/>
    <w:rsid w:val="006328B2"/>
    <w:rsid w:val="00634AED"/>
    <w:rsid w:val="00634E78"/>
    <w:rsid w:val="006359B6"/>
    <w:rsid w:val="00635A88"/>
    <w:rsid w:val="0063660E"/>
    <w:rsid w:val="006369EB"/>
    <w:rsid w:val="00636F8D"/>
    <w:rsid w:val="00637575"/>
    <w:rsid w:val="00637816"/>
    <w:rsid w:val="006403F9"/>
    <w:rsid w:val="00640B43"/>
    <w:rsid w:val="0064107A"/>
    <w:rsid w:val="006414E1"/>
    <w:rsid w:val="00641700"/>
    <w:rsid w:val="006418CB"/>
    <w:rsid w:val="0064236D"/>
    <w:rsid w:val="00642579"/>
    <w:rsid w:val="00643121"/>
    <w:rsid w:val="00643F31"/>
    <w:rsid w:val="006447BD"/>
    <w:rsid w:val="00644B80"/>
    <w:rsid w:val="0064598D"/>
    <w:rsid w:val="006460F9"/>
    <w:rsid w:val="006463C9"/>
    <w:rsid w:val="00647056"/>
    <w:rsid w:val="00647AFF"/>
    <w:rsid w:val="00650036"/>
    <w:rsid w:val="00650442"/>
    <w:rsid w:val="00651380"/>
    <w:rsid w:val="006513E9"/>
    <w:rsid w:val="006521E2"/>
    <w:rsid w:val="00652830"/>
    <w:rsid w:val="006528D6"/>
    <w:rsid w:val="00652C56"/>
    <w:rsid w:val="00652ED4"/>
    <w:rsid w:val="00652F6E"/>
    <w:rsid w:val="00653382"/>
    <w:rsid w:val="00653C9B"/>
    <w:rsid w:val="006542E5"/>
    <w:rsid w:val="00654BC6"/>
    <w:rsid w:val="00655786"/>
    <w:rsid w:val="00655891"/>
    <w:rsid w:val="00655FE5"/>
    <w:rsid w:val="00657BBF"/>
    <w:rsid w:val="0066091E"/>
    <w:rsid w:val="00661908"/>
    <w:rsid w:val="00662C91"/>
    <w:rsid w:val="00663083"/>
    <w:rsid w:val="006638FE"/>
    <w:rsid w:val="00663A13"/>
    <w:rsid w:val="00663C5D"/>
    <w:rsid w:val="00663DDC"/>
    <w:rsid w:val="00664BEA"/>
    <w:rsid w:val="006650FE"/>
    <w:rsid w:val="006652C1"/>
    <w:rsid w:val="00666806"/>
    <w:rsid w:val="006678A1"/>
    <w:rsid w:val="00667AD5"/>
    <w:rsid w:val="006705D2"/>
    <w:rsid w:val="00670D06"/>
    <w:rsid w:val="006710C1"/>
    <w:rsid w:val="00671F48"/>
    <w:rsid w:val="00674829"/>
    <w:rsid w:val="00675454"/>
    <w:rsid w:val="00675D0C"/>
    <w:rsid w:val="006762A9"/>
    <w:rsid w:val="00676AEF"/>
    <w:rsid w:val="0067759A"/>
    <w:rsid w:val="00680528"/>
    <w:rsid w:val="006808F8"/>
    <w:rsid w:val="00681D10"/>
    <w:rsid w:val="00682639"/>
    <w:rsid w:val="00682947"/>
    <w:rsid w:val="00682FB9"/>
    <w:rsid w:val="006834A7"/>
    <w:rsid w:val="0068373C"/>
    <w:rsid w:val="00683803"/>
    <w:rsid w:val="00684042"/>
    <w:rsid w:val="0068480B"/>
    <w:rsid w:val="00685F97"/>
    <w:rsid w:val="00686D4B"/>
    <w:rsid w:val="006871AA"/>
    <w:rsid w:val="00687358"/>
    <w:rsid w:val="0069030A"/>
    <w:rsid w:val="00690474"/>
    <w:rsid w:val="006906B8"/>
    <w:rsid w:val="00691F1C"/>
    <w:rsid w:val="00692432"/>
    <w:rsid w:val="00692A4D"/>
    <w:rsid w:val="00692AD5"/>
    <w:rsid w:val="00693230"/>
    <w:rsid w:val="0069366C"/>
    <w:rsid w:val="00693FBA"/>
    <w:rsid w:val="006948FA"/>
    <w:rsid w:val="00694D80"/>
    <w:rsid w:val="00695129"/>
    <w:rsid w:val="00695B00"/>
    <w:rsid w:val="00695B41"/>
    <w:rsid w:val="00695E6E"/>
    <w:rsid w:val="00696026"/>
    <w:rsid w:val="00696699"/>
    <w:rsid w:val="006A0278"/>
    <w:rsid w:val="006A02E2"/>
    <w:rsid w:val="006A0AC6"/>
    <w:rsid w:val="006A196B"/>
    <w:rsid w:val="006A1A97"/>
    <w:rsid w:val="006A1CD0"/>
    <w:rsid w:val="006A2186"/>
    <w:rsid w:val="006A3188"/>
    <w:rsid w:val="006A37E9"/>
    <w:rsid w:val="006A3BC1"/>
    <w:rsid w:val="006A4B71"/>
    <w:rsid w:val="006A5160"/>
    <w:rsid w:val="006A5266"/>
    <w:rsid w:val="006A5499"/>
    <w:rsid w:val="006A56A3"/>
    <w:rsid w:val="006A57E6"/>
    <w:rsid w:val="006A60BD"/>
    <w:rsid w:val="006A60D9"/>
    <w:rsid w:val="006A60E2"/>
    <w:rsid w:val="006A742A"/>
    <w:rsid w:val="006A7977"/>
    <w:rsid w:val="006A7CA1"/>
    <w:rsid w:val="006A7CE0"/>
    <w:rsid w:val="006A7F73"/>
    <w:rsid w:val="006B01E8"/>
    <w:rsid w:val="006B181F"/>
    <w:rsid w:val="006B18DB"/>
    <w:rsid w:val="006B1FEE"/>
    <w:rsid w:val="006B2400"/>
    <w:rsid w:val="006B2D7A"/>
    <w:rsid w:val="006B46DF"/>
    <w:rsid w:val="006B4C8F"/>
    <w:rsid w:val="006B4CB5"/>
    <w:rsid w:val="006B4F07"/>
    <w:rsid w:val="006B5991"/>
    <w:rsid w:val="006B601B"/>
    <w:rsid w:val="006B6B25"/>
    <w:rsid w:val="006B721A"/>
    <w:rsid w:val="006B7D1E"/>
    <w:rsid w:val="006C0E9E"/>
    <w:rsid w:val="006C1048"/>
    <w:rsid w:val="006C105D"/>
    <w:rsid w:val="006C1DDB"/>
    <w:rsid w:val="006C22C1"/>
    <w:rsid w:val="006C2705"/>
    <w:rsid w:val="006C27BA"/>
    <w:rsid w:val="006C322D"/>
    <w:rsid w:val="006C4A21"/>
    <w:rsid w:val="006C52DD"/>
    <w:rsid w:val="006C5E30"/>
    <w:rsid w:val="006C6A7A"/>
    <w:rsid w:val="006C7BDE"/>
    <w:rsid w:val="006C7DBC"/>
    <w:rsid w:val="006C7FB2"/>
    <w:rsid w:val="006D11CC"/>
    <w:rsid w:val="006D2D8C"/>
    <w:rsid w:val="006D406C"/>
    <w:rsid w:val="006D41A7"/>
    <w:rsid w:val="006D45A7"/>
    <w:rsid w:val="006D46F1"/>
    <w:rsid w:val="006D5116"/>
    <w:rsid w:val="006D5E8B"/>
    <w:rsid w:val="006D6641"/>
    <w:rsid w:val="006D7DD8"/>
    <w:rsid w:val="006E07C2"/>
    <w:rsid w:val="006E148C"/>
    <w:rsid w:val="006E180D"/>
    <w:rsid w:val="006E1A29"/>
    <w:rsid w:val="006E27CD"/>
    <w:rsid w:val="006E292E"/>
    <w:rsid w:val="006E2ED1"/>
    <w:rsid w:val="006E35C0"/>
    <w:rsid w:val="006E3B68"/>
    <w:rsid w:val="006E3D5F"/>
    <w:rsid w:val="006E4AA0"/>
    <w:rsid w:val="006E591B"/>
    <w:rsid w:val="006E61F2"/>
    <w:rsid w:val="006E6ADA"/>
    <w:rsid w:val="006E73F0"/>
    <w:rsid w:val="006E7924"/>
    <w:rsid w:val="006F076C"/>
    <w:rsid w:val="006F0D71"/>
    <w:rsid w:val="006F1DBA"/>
    <w:rsid w:val="006F2787"/>
    <w:rsid w:val="006F2913"/>
    <w:rsid w:val="006F2AD2"/>
    <w:rsid w:val="006F30CB"/>
    <w:rsid w:val="006F34EE"/>
    <w:rsid w:val="006F3B24"/>
    <w:rsid w:val="006F44DF"/>
    <w:rsid w:val="006F4A06"/>
    <w:rsid w:val="006F4BC6"/>
    <w:rsid w:val="006F5535"/>
    <w:rsid w:val="006F6CD4"/>
    <w:rsid w:val="006F6EE7"/>
    <w:rsid w:val="007000C0"/>
    <w:rsid w:val="007002D6"/>
    <w:rsid w:val="0070133B"/>
    <w:rsid w:val="00701498"/>
    <w:rsid w:val="00701BC4"/>
    <w:rsid w:val="00702A2C"/>
    <w:rsid w:val="00703CD6"/>
    <w:rsid w:val="00703FC0"/>
    <w:rsid w:val="00704302"/>
    <w:rsid w:val="00704598"/>
    <w:rsid w:val="00705375"/>
    <w:rsid w:val="00705B0A"/>
    <w:rsid w:val="00705DD2"/>
    <w:rsid w:val="007061E6"/>
    <w:rsid w:val="00706B13"/>
    <w:rsid w:val="00706B2E"/>
    <w:rsid w:val="0071059C"/>
    <w:rsid w:val="007105FF"/>
    <w:rsid w:val="0071084E"/>
    <w:rsid w:val="00710944"/>
    <w:rsid w:val="00711238"/>
    <w:rsid w:val="007126EF"/>
    <w:rsid w:val="00712F9A"/>
    <w:rsid w:val="00713B85"/>
    <w:rsid w:val="0071429A"/>
    <w:rsid w:val="00714340"/>
    <w:rsid w:val="00715029"/>
    <w:rsid w:val="00715387"/>
    <w:rsid w:val="007153E5"/>
    <w:rsid w:val="00716DDD"/>
    <w:rsid w:val="00720614"/>
    <w:rsid w:val="00720903"/>
    <w:rsid w:val="00720E8A"/>
    <w:rsid w:val="007210A8"/>
    <w:rsid w:val="007216AD"/>
    <w:rsid w:val="00721B53"/>
    <w:rsid w:val="00721C63"/>
    <w:rsid w:val="00721CAA"/>
    <w:rsid w:val="00722C66"/>
    <w:rsid w:val="00725707"/>
    <w:rsid w:val="0072632C"/>
    <w:rsid w:val="00726D75"/>
    <w:rsid w:val="00730343"/>
    <w:rsid w:val="00730CBD"/>
    <w:rsid w:val="00730CD1"/>
    <w:rsid w:val="00731A14"/>
    <w:rsid w:val="0073228F"/>
    <w:rsid w:val="00732B99"/>
    <w:rsid w:val="0073391A"/>
    <w:rsid w:val="00733E1F"/>
    <w:rsid w:val="00735683"/>
    <w:rsid w:val="00735A37"/>
    <w:rsid w:val="00736473"/>
    <w:rsid w:val="00736600"/>
    <w:rsid w:val="00736D8B"/>
    <w:rsid w:val="00736F02"/>
    <w:rsid w:val="00737516"/>
    <w:rsid w:val="007376FB"/>
    <w:rsid w:val="00740643"/>
    <w:rsid w:val="007425EB"/>
    <w:rsid w:val="00742DA5"/>
    <w:rsid w:val="007435EC"/>
    <w:rsid w:val="007440E4"/>
    <w:rsid w:val="00744343"/>
    <w:rsid w:val="007443F5"/>
    <w:rsid w:val="00744E8A"/>
    <w:rsid w:val="00745033"/>
    <w:rsid w:val="00745BC6"/>
    <w:rsid w:val="0074657A"/>
    <w:rsid w:val="00746A81"/>
    <w:rsid w:val="00746D78"/>
    <w:rsid w:val="00746E08"/>
    <w:rsid w:val="00746E57"/>
    <w:rsid w:val="00750190"/>
    <w:rsid w:val="0075158A"/>
    <w:rsid w:val="0075212A"/>
    <w:rsid w:val="007526BC"/>
    <w:rsid w:val="00752BAD"/>
    <w:rsid w:val="00752E71"/>
    <w:rsid w:val="007531BD"/>
    <w:rsid w:val="00753502"/>
    <w:rsid w:val="00755617"/>
    <w:rsid w:val="00756342"/>
    <w:rsid w:val="00756EC2"/>
    <w:rsid w:val="00757118"/>
    <w:rsid w:val="007572BD"/>
    <w:rsid w:val="007575B2"/>
    <w:rsid w:val="00757945"/>
    <w:rsid w:val="00760B5E"/>
    <w:rsid w:val="00761A3F"/>
    <w:rsid w:val="00762229"/>
    <w:rsid w:val="0076247B"/>
    <w:rsid w:val="007624D1"/>
    <w:rsid w:val="007629ED"/>
    <w:rsid w:val="00762CE9"/>
    <w:rsid w:val="007631A6"/>
    <w:rsid w:val="0076339E"/>
    <w:rsid w:val="007638E4"/>
    <w:rsid w:val="00763BD4"/>
    <w:rsid w:val="00763CC8"/>
    <w:rsid w:val="00764002"/>
    <w:rsid w:val="00764540"/>
    <w:rsid w:val="007646F6"/>
    <w:rsid w:val="007647FF"/>
    <w:rsid w:val="00764A8A"/>
    <w:rsid w:val="007654F0"/>
    <w:rsid w:val="00765899"/>
    <w:rsid w:val="00766160"/>
    <w:rsid w:val="007662E1"/>
    <w:rsid w:val="0076634A"/>
    <w:rsid w:val="00766D3C"/>
    <w:rsid w:val="00767B32"/>
    <w:rsid w:val="00767B60"/>
    <w:rsid w:val="00770334"/>
    <w:rsid w:val="00770700"/>
    <w:rsid w:val="00770850"/>
    <w:rsid w:val="00771F67"/>
    <w:rsid w:val="0077201E"/>
    <w:rsid w:val="00774B53"/>
    <w:rsid w:val="0077581D"/>
    <w:rsid w:val="00776098"/>
    <w:rsid w:val="007774EB"/>
    <w:rsid w:val="007810D1"/>
    <w:rsid w:val="0078271D"/>
    <w:rsid w:val="00782735"/>
    <w:rsid w:val="00782A49"/>
    <w:rsid w:val="00783F82"/>
    <w:rsid w:val="00785040"/>
    <w:rsid w:val="00785753"/>
    <w:rsid w:val="007857D1"/>
    <w:rsid w:val="0078638D"/>
    <w:rsid w:val="00787088"/>
    <w:rsid w:val="0078777B"/>
    <w:rsid w:val="00787D77"/>
    <w:rsid w:val="007900F0"/>
    <w:rsid w:val="00790269"/>
    <w:rsid w:val="00791072"/>
    <w:rsid w:val="00791779"/>
    <w:rsid w:val="0079184C"/>
    <w:rsid w:val="00791A72"/>
    <w:rsid w:val="00791D61"/>
    <w:rsid w:val="007930A0"/>
    <w:rsid w:val="007949E5"/>
    <w:rsid w:val="00795002"/>
    <w:rsid w:val="00795E64"/>
    <w:rsid w:val="00795FAD"/>
    <w:rsid w:val="0079648F"/>
    <w:rsid w:val="00796DD1"/>
    <w:rsid w:val="00796E9E"/>
    <w:rsid w:val="0079759A"/>
    <w:rsid w:val="007A2E3D"/>
    <w:rsid w:val="007A5B72"/>
    <w:rsid w:val="007A6186"/>
    <w:rsid w:val="007A61D4"/>
    <w:rsid w:val="007A6200"/>
    <w:rsid w:val="007A67A6"/>
    <w:rsid w:val="007B0FB9"/>
    <w:rsid w:val="007B11E0"/>
    <w:rsid w:val="007B12D3"/>
    <w:rsid w:val="007B166E"/>
    <w:rsid w:val="007B245F"/>
    <w:rsid w:val="007B2C72"/>
    <w:rsid w:val="007B3033"/>
    <w:rsid w:val="007B345C"/>
    <w:rsid w:val="007B3DB5"/>
    <w:rsid w:val="007B451B"/>
    <w:rsid w:val="007B4666"/>
    <w:rsid w:val="007B4CEF"/>
    <w:rsid w:val="007B579A"/>
    <w:rsid w:val="007B67F0"/>
    <w:rsid w:val="007B7869"/>
    <w:rsid w:val="007B789E"/>
    <w:rsid w:val="007C0978"/>
    <w:rsid w:val="007C0D63"/>
    <w:rsid w:val="007C1363"/>
    <w:rsid w:val="007C18B0"/>
    <w:rsid w:val="007C190F"/>
    <w:rsid w:val="007C1BB3"/>
    <w:rsid w:val="007C2566"/>
    <w:rsid w:val="007C26D6"/>
    <w:rsid w:val="007C2BB3"/>
    <w:rsid w:val="007C2D64"/>
    <w:rsid w:val="007C2DC3"/>
    <w:rsid w:val="007C3062"/>
    <w:rsid w:val="007C30B5"/>
    <w:rsid w:val="007C358C"/>
    <w:rsid w:val="007C3DB4"/>
    <w:rsid w:val="007C3FE1"/>
    <w:rsid w:val="007C43D8"/>
    <w:rsid w:val="007C46CF"/>
    <w:rsid w:val="007C4E09"/>
    <w:rsid w:val="007C53AF"/>
    <w:rsid w:val="007C5E18"/>
    <w:rsid w:val="007C78E5"/>
    <w:rsid w:val="007C7E00"/>
    <w:rsid w:val="007D08A5"/>
    <w:rsid w:val="007D0F92"/>
    <w:rsid w:val="007D1022"/>
    <w:rsid w:val="007D15D6"/>
    <w:rsid w:val="007D2164"/>
    <w:rsid w:val="007D23C9"/>
    <w:rsid w:val="007D24F4"/>
    <w:rsid w:val="007D2727"/>
    <w:rsid w:val="007D2F3D"/>
    <w:rsid w:val="007D34F2"/>
    <w:rsid w:val="007D47E5"/>
    <w:rsid w:val="007D5884"/>
    <w:rsid w:val="007D5931"/>
    <w:rsid w:val="007D6665"/>
    <w:rsid w:val="007D77CC"/>
    <w:rsid w:val="007D7F99"/>
    <w:rsid w:val="007E01D6"/>
    <w:rsid w:val="007E02A5"/>
    <w:rsid w:val="007E07C7"/>
    <w:rsid w:val="007E0A97"/>
    <w:rsid w:val="007E0EAB"/>
    <w:rsid w:val="007E0EF9"/>
    <w:rsid w:val="007E2A98"/>
    <w:rsid w:val="007E2B83"/>
    <w:rsid w:val="007E2EB1"/>
    <w:rsid w:val="007E36FE"/>
    <w:rsid w:val="007E49C7"/>
    <w:rsid w:val="007E535E"/>
    <w:rsid w:val="007E5FD1"/>
    <w:rsid w:val="007E7611"/>
    <w:rsid w:val="007E795A"/>
    <w:rsid w:val="007F02EF"/>
    <w:rsid w:val="007F1E97"/>
    <w:rsid w:val="007F2659"/>
    <w:rsid w:val="007F294F"/>
    <w:rsid w:val="007F42D2"/>
    <w:rsid w:val="007F4330"/>
    <w:rsid w:val="007F4671"/>
    <w:rsid w:val="007F5B42"/>
    <w:rsid w:val="007F5CD3"/>
    <w:rsid w:val="007F691D"/>
    <w:rsid w:val="007F7335"/>
    <w:rsid w:val="007F7C48"/>
    <w:rsid w:val="0080021F"/>
    <w:rsid w:val="00800241"/>
    <w:rsid w:val="008006C0"/>
    <w:rsid w:val="00800F99"/>
    <w:rsid w:val="00801590"/>
    <w:rsid w:val="00802C9C"/>
    <w:rsid w:val="00803757"/>
    <w:rsid w:val="00803820"/>
    <w:rsid w:val="008053B6"/>
    <w:rsid w:val="00805510"/>
    <w:rsid w:val="00805603"/>
    <w:rsid w:val="00806CCF"/>
    <w:rsid w:val="0080747A"/>
    <w:rsid w:val="00807492"/>
    <w:rsid w:val="00807EFE"/>
    <w:rsid w:val="008103CD"/>
    <w:rsid w:val="0081069F"/>
    <w:rsid w:val="00811105"/>
    <w:rsid w:val="00811C79"/>
    <w:rsid w:val="00811F99"/>
    <w:rsid w:val="00812011"/>
    <w:rsid w:val="00812AA2"/>
    <w:rsid w:val="00813185"/>
    <w:rsid w:val="0081361A"/>
    <w:rsid w:val="00814645"/>
    <w:rsid w:val="008155B6"/>
    <w:rsid w:val="00815C90"/>
    <w:rsid w:val="0081609F"/>
    <w:rsid w:val="0081768C"/>
    <w:rsid w:val="00817E41"/>
    <w:rsid w:val="008209EF"/>
    <w:rsid w:val="00821123"/>
    <w:rsid w:val="008211C1"/>
    <w:rsid w:val="008227EA"/>
    <w:rsid w:val="0082389D"/>
    <w:rsid w:val="008238E5"/>
    <w:rsid w:val="00823D4C"/>
    <w:rsid w:val="00823ED1"/>
    <w:rsid w:val="00823EE3"/>
    <w:rsid w:val="00824146"/>
    <w:rsid w:val="00824581"/>
    <w:rsid w:val="00824D3A"/>
    <w:rsid w:val="00825212"/>
    <w:rsid w:val="00825339"/>
    <w:rsid w:val="00825A8B"/>
    <w:rsid w:val="008276FC"/>
    <w:rsid w:val="00827A7C"/>
    <w:rsid w:val="00830294"/>
    <w:rsid w:val="00830684"/>
    <w:rsid w:val="0083069D"/>
    <w:rsid w:val="00830D37"/>
    <w:rsid w:val="00831070"/>
    <w:rsid w:val="00831F80"/>
    <w:rsid w:val="00831FE7"/>
    <w:rsid w:val="00832E6E"/>
    <w:rsid w:val="0083512D"/>
    <w:rsid w:val="00835833"/>
    <w:rsid w:val="008359D1"/>
    <w:rsid w:val="00836451"/>
    <w:rsid w:val="00837339"/>
    <w:rsid w:val="00837871"/>
    <w:rsid w:val="008404CD"/>
    <w:rsid w:val="00840AB5"/>
    <w:rsid w:val="00840BBA"/>
    <w:rsid w:val="00841E9A"/>
    <w:rsid w:val="008420A5"/>
    <w:rsid w:val="008427BB"/>
    <w:rsid w:val="00842F23"/>
    <w:rsid w:val="00843541"/>
    <w:rsid w:val="00843731"/>
    <w:rsid w:val="00843ABD"/>
    <w:rsid w:val="00843BA5"/>
    <w:rsid w:val="00844DD5"/>
    <w:rsid w:val="008450A1"/>
    <w:rsid w:val="008453C0"/>
    <w:rsid w:val="00845478"/>
    <w:rsid w:val="00845AFF"/>
    <w:rsid w:val="008463E6"/>
    <w:rsid w:val="0084651E"/>
    <w:rsid w:val="00846982"/>
    <w:rsid w:val="00847250"/>
    <w:rsid w:val="0085155B"/>
    <w:rsid w:val="00852414"/>
    <w:rsid w:val="008524C7"/>
    <w:rsid w:val="00853DA2"/>
    <w:rsid w:val="00854319"/>
    <w:rsid w:val="00854AF7"/>
    <w:rsid w:val="00854E9F"/>
    <w:rsid w:val="00854F29"/>
    <w:rsid w:val="00856236"/>
    <w:rsid w:val="0085646F"/>
    <w:rsid w:val="00857840"/>
    <w:rsid w:val="008579B5"/>
    <w:rsid w:val="00861185"/>
    <w:rsid w:val="008612C0"/>
    <w:rsid w:val="00861727"/>
    <w:rsid w:val="00861900"/>
    <w:rsid w:val="0086198E"/>
    <w:rsid w:val="008620BA"/>
    <w:rsid w:val="00862650"/>
    <w:rsid w:val="00863661"/>
    <w:rsid w:val="008641C1"/>
    <w:rsid w:val="008642E6"/>
    <w:rsid w:val="0086461F"/>
    <w:rsid w:val="00864B20"/>
    <w:rsid w:val="00865633"/>
    <w:rsid w:val="00866654"/>
    <w:rsid w:val="00866894"/>
    <w:rsid w:val="00866973"/>
    <w:rsid w:val="00867464"/>
    <w:rsid w:val="008678F4"/>
    <w:rsid w:val="00867C16"/>
    <w:rsid w:val="00870432"/>
    <w:rsid w:val="00870BE1"/>
    <w:rsid w:val="00872296"/>
    <w:rsid w:val="0087285A"/>
    <w:rsid w:val="008728DA"/>
    <w:rsid w:val="00872D14"/>
    <w:rsid w:val="00872E31"/>
    <w:rsid w:val="0087319E"/>
    <w:rsid w:val="00874673"/>
    <w:rsid w:val="00875457"/>
    <w:rsid w:val="00875484"/>
    <w:rsid w:val="00876898"/>
    <w:rsid w:val="00876B21"/>
    <w:rsid w:val="008777E3"/>
    <w:rsid w:val="00877B30"/>
    <w:rsid w:val="00877EBF"/>
    <w:rsid w:val="00880107"/>
    <w:rsid w:val="00880394"/>
    <w:rsid w:val="00880A63"/>
    <w:rsid w:val="00881402"/>
    <w:rsid w:val="00881433"/>
    <w:rsid w:val="008815C6"/>
    <w:rsid w:val="008818C9"/>
    <w:rsid w:val="00881FD0"/>
    <w:rsid w:val="0088223E"/>
    <w:rsid w:val="008831A2"/>
    <w:rsid w:val="00883692"/>
    <w:rsid w:val="008848D3"/>
    <w:rsid w:val="0088492B"/>
    <w:rsid w:val="00884B88"/>
    <w:rsid w:val="00885554"/>
    <w:rsid w:val="00885719"/>
    <w:rsid w:val="0088645A"/>
    <w:rsid w:val="008867B0"/>
    <w:rsid w:val="00886D6D"/>
    <w:rsid w:val="00887582"/>
    <w:rsid w:val="00887979"/>
    <w:rsid w:val="00887E49"/>
    <w:rsid w:val="00887EA0"/>
    <w:rsid w:val="008904D8"/>
    <w:rsid w:val="00890AD9"/>
    <w:rsid w:val="008912ED"/>
    <w:rsid w:val="00894061"/>
    <w:rsid w:val="0089422F"/>
    <w:rsid w:val="008942E1"/>
    <w:rsid w:val="00894343"/>
    <w:rsid w:val="00894722"/>
    <w:rsid w:val="00895051"/>
    <w:rsid w:val="00895067"/>
    <w:rsid w:val="0089602D"/>
    <w:rsid w:val="008963E0"/>
    <w:rsid w:val="008965E8"/>
    <w:rsid w:val="00896A9E"/>
    <w:rsid w:val="00896D64"/>
    <w:rsid w:val="008974D5"/>
    <w:rsid w:val="00897D83"/>
    <w:rsid w:val="008A15D1"/>
    <w:rsid w:val="008A23A2"/>
    <w:rsid w:val="008A2A61"/>
    <w:rsid w:val="008A322E"/>
    <w:rsid w:val="008A37C2"/>
    <w:rsid w:val="008A3EE7"/>
    <w:rsid w:val="008A5957"/>
    <w:rsid w:val="008A5F44"/>
    <w:rsid w:val="008B0BC2"/>
    <w:rsid w:val="008B24DF"/>
    <w:rsid w:val="008B2692"/>
    <w:rsid w:val="008B26A6"/>
    <w:rsid w:val="008B2BEC"/>
    <w:rsid w:val="008B3092"/>
    <w:rsid w:val="008B3290"/>
    <w:rsid w:val="008B3573"/>
    <w:rsid w:val="008B4780"/>
    <w:rsid w:val="008B48F9"/>
    <w:rsid w:val="008B4E4A"/>
    <w:rsid w:val="008B5155"/>
    <w:rsid w:val="008B576B"/>
    <w:rsid w:val="008B5AC7"/>
    <w:rsid w:val="008B7069"/>
    <w:rsid w:val="008B7A08"/>
    <w:rsid w:val="008C1006"/>
    <w:rsid w:val="008C1480"/>
    <w:rsid w:val="008C1A7D"/>
    <w:rsid w:val="008C29F5"/>
    <w:rsid w:val="008C2CB2"/>
    <w:rsid w:val="008C3B9A"/>
    <w:rsid w:val="008C3FBA"/>
    <w:rsid w:val="008C4B9E"/>
    <w:rsid w:val="008C4CC6"/>
    <w:rsid w:val="008C5195"/>
    <w:rsid w:val="008C73BF"/>
    <w:rsid w:val="008C7805"/>
    <w:rsid w:val="008D00BC"/>
    <w:rsid w:val="008D07C3"/>
    <w:rsid w:val="008D2411"/>
    <w:rsid w:val="008D2B7A"/>
    <w:rsid w:val="008D31BD"/>
    <w:rsid w:val="008D378A"/>
    <w:rsid w:val="008D3F54"/>
    <w:rsid w:val="008D4517"/>
    <w:rsid w:val="008D474A"/>
    <w:rsid w:val="008D48EF"/>
    <w:rsid w:val="008D5067"/>
    <w:rsid w:val="008D5624"/>
    <w:rsid w:val="008D5CB0"/>
    <w:rsid w:val="008D62E6"/>
    <w:rsid w:val="008D761D"/>
    <w:rsid w:val="008E07F6"/>
    <w:rsid w:val="008E0A05"/>
    <w:rsid w:val="008E10F6"/>
    <w:rsid w:val="008E2731"/>
    <w:rsid w:val="008E2B5A"/>
    <w:rsid w:val="008E4074"/>
    <w:rsid w:val="008E4A8F"/>
    <w:rsid w:val="008E4CEB"/>
    <w:rsid w:val="008E5436"/>
    <w:rsid w:val="008E59C4"/>
    <w:rsid w:val="008E5FA0"/>
    <w:rsid w:val="008E6280"/>
    <w:rsid w:val="008E6454"/>
    <w:rsid w:val="008E64E0"/>
    <w:rsid w:val="008E6863"/>
    <w:rsid w:val="008E78C2"/>
    <w:rsid w:val="008F0D79"/>
    <w:rsid w:val="008F0F37"/>
    <w:rsid w:val="008F1133"/>
    <w:rsid w:val="008F11A5"/>
    <w:rsid w:val="008F286D"/>
    <w:rsid w:val="008F2FDD"/>
    <w:rsid w:val="008F35F1"/>
    <w:rsid w:val="008F49A9"/>
    <w:rsid w:val="008F4D07"/>
    <w:rsid w:val="008F5A00"/>
    <w:rsid w:val="008F6AB3"/>
    <w:rsid w:val="008F6DA4"/>
    <w:rsid w:val="008F73AE"/>
    <w:rsid w:val="008F7D5D"/>
    <w:rsid w:val="00902316"/>
    <w:rsid w:val="00902428"/>
    <w:rsid w:val="009033AF"/>
    <w:rsid w:val="009043A5"/>
    <w:rsid w:val="009044FB"/>
    <w:rsid w:val="00904910"/>
    <w:rsid w:val="009061FD"/>
    <w:rsid w:val="009070C9"/>
    <w:rsid w:val="0090743D"/>
    <w:rsid w:val="00907503"/>
    <w:rsid w:val="009078D2"/>
    <w:rsid w:val="00907A17"/>
    <w:rsid w:val="0091062B"/>
    <w:rsid w:val="00911739"/>
    <w:rsid w:val="00911888"/>
    <w:rsid w:val="00911D65"/>
    <w:rsid w:val="00911F93"/>
    <w:rsid w:val="00913219"/>
    <w:rsid w:val="00913341"/>
    <w:rsid w:val="00913402"/>
    <w:rsid w:val="009134B6"/>
    <w:rsid w:val="00913EAF"/>
    <w:rsid w:val="00914227"/>
    <w:rsid w:val="00914457"/>
    <w:rsid w:val="009144A1"/>
    <w:rsid w:val="00915673"/>
    <w:rsid w:val="009157A7"/>
    <w:rsid w:val="009159BC"/>
    <w:rsid w:val="00915ACC"/>
    <w:rsid w:val="00916025"/>
    <w:rsid w:val="0091605B"/>
    <w:rsid w:val="009161D3"/>
    <w:rsid w:val="00916388"/>
    <w:rsid w:val="009166BF"/>
    <w:rsid w:val="00916847"/>
    <w:rsid w:val="00916B68"/>
    <w:rsid w:val="00916C43"/>
    <w:rsid w:val="00917DD3"/>
    <w:rsid w:val="00920158"/>
    <w:rsid w:val="0092087D"/>
    <w:rsid w:val="00920BD4"/>
    <w:rsid w:val="00921183"/>
    <w:rsid w:val="0092167B"/>
    <w:rsid w:val="00921B89"/>
    <w:rsid w:val="00921D7B"/>
    <w:rsid w:val="00922662"/>
    <w:rsid w:val="00922852"/>
    <w:rsid w:val="009243F9"/>
    <w:rsid w:val="0092454B"/>
    <w:rsid w:val="00924DC9"/>
    <w:rsid w:val="009254AD"/>
    <w:rsid w:val="00926275"/>
    <w:rsid w:val="00926615"/>
    <w:rsid w:val="00926659"/>
    <w:rsid w:val="00926828"/>
    <w:rsid w:val="00926F26"/>
    <w:rsid w:val="00927781"/>
    <w:rsid w:val="0093035F"/>
    <w:rsid w:val="009306E2"/>
    <w:rsid w:val="00930D1F"/>
    <w:rsid w:val="009315C5"/>
    <w:rsid w:val="00931C2A"/>
    <w:rsid w:val="00931D55"/>
    <w:rsid w:val="00931E55"/>
    <w:rsid w:val="00932629"/>
    <w:rsid w:val="009330EA"/>
    <w:rsid w:val="00933795"/>
    <w:rsid w:val="009342ED"/>
    <w:rsid w:val="0093441F"/>
    <w:rsid w:val="00935897"/>
    <w:rsid w:val="00935CE7"/>
    <w:rsid w:val="009363AB"/>
    <w:rsid w:val="0093712D"/>
    <w:rsid w:val="00940D42"/>
    <w:rsid w:val="00941233"/>
    <w:rsid w:val="00942122"/>
    <w:rsid w:val="00942945"/>
    <w:rsid w:val="0094359C"/>
    <w:rsid w:val="009436C1"/>
    <w:rsid w:val="009437B4"/>
    <w:rsid w:val="00943AFD"/>
    <w:rsid w:val="009445F4"/>
    <w:rsid w:val="00947388"/>
    <w:rsid w:val="00947707"/>
    <w:rsid w:val="00947795"/>
    <w:rsid w:val="00947973"/>
    <w:rsid w:val="00947E92"/>
    <w:rsid w:val="009510F8"/>
    <w:rsid w:val="00951C26"/>
    <w:rsid w:val="00952159"/>
    <w:rsid w:val="00952423"/>
    <w:rsid w:val="00952BF8"/>
    <w:rsid w:val="00953A75"/>
    <w:rsid w:val="00954639"/>
    <w:rsid w:val="00954817"/>
    <w:rsid w:val="0095500B"/>
    <w:rsid w:val="0095512E"/>
    <w:rsid w:val="00955501"/>
    <w:rsid w:val="0095563D"/>
    <w:rsid w:val="009559BE"/>
    <w:rsid w:val="009559E5"/>
    <w:rsid w:val="00956D79"/>
    <w:rsid w:val="00957FD9"/>
    <w:rsid w:val="00960C76"/>
    <w:rsid w:val="009628DF"/>
    <w:rsid w:val="00963250"/>
    <w:rsid w:val="0096443B"/>
    <w:rsid w:val="00964B9D"/>
    <w:rsid w:val="00965AAE"/>
    <w:rsid w:val="00966083"/>
    <w:rsid w:val="00966DEC"/>
    <w:rsid w:val="00967BCB"/>
    <w:rsid w:val="0097075B"/>
    <w:rsid w:val="00971576"/>
    <w:rsid w:val="00971964"/>
    <w:rsid w:val="00971EB0"/>
    <w:rsid w:val="00972373"/>
    <w:rsid w:val="009728E7"/>
    <w:rsid w:val="0097303D"/>
    <w:rsid w:val="0097321D"/>
    <w:rsid w:val="009734E5"/>
    <w:rsid w:val="00973C49"/>
    <w:rsid w:val="00973D75"/>
    <w:rsid w:val="00973DD8"/>
    <w:rsid w:val="009745D2"/>
    <w:rsid w:val="00974825"/>
    <w:rsid w:val="00975133"/>
    <w:rsid w:val="009766C6"/>
    <w:rsid w:val="00980145"/>
    <w:rsid w:val="00981190"/>
    <w:rsid w:val="00983070"/>
    <w:rsid w:val="00983162"/>
    <w:rsid w:val="00983B07"/>
    <w:rsid w:val="009842E4"/>
    <w:rsid w:val="00986565"/>
    <w:rsid w:val="009876D3"/>
    <w:rsid w:val="00987E16"/>
    <w:rsid w:val="0099000E"/>
    <w:rsid w:val="00990DB9"/>
    <w:rsid w:val="009914C8"/>
    <w:rsid w:val="00991FBA"/>
    <w:rsid w:val="00992212"/>
    <w:rsid w:val="009927EE"/>
    <w:rsid w:val="0099339F"/>
    <w:rsid w:val="00993B1F"/>
    <w:rsid w:val="00993D46"/>
    <w:rsid w:val="00993D6A"/>
    <w:rsid w:val="00993F2A"/>
    <w:rsid w:val="00994287"/>
    <w:rsid w:val="00994CB1"/>
    <w:rsid w:val="00994CE7"/>
    <w:rsid w:val="00994F88"/>
    <w:rsid w:val="00995701"/>
    <w:rsid w:val="0099582B"/>
    <w:rsid w:val="00995A73"/>
    <w:rsid w:val="00996BDF"/>
    <w:rsid w:val="009A0A97"/>
    <w:rsid w:val="009A1122"/>
    <w:rsid w:val="009A1CF2"/>
    <w:rsid w:val="009A208D"/>
    <w:rsid w:val="009A3248"/>
    <w:rsid w:val="009A3641"/>
    <w:rsid w:val="009A397E"/>
    <w:rsid w:val="009A3B17"/>
    <w:rsid w:val="009A5C25"/>
    <w:rsid w:val="009A6332"/>
    <w:rsid w:val="009A6D78"/>
    <w:rsid w:val="009A6E41"/>
    <w:rsid w:val="009B05D2"/>
    <w:rsid w:val="009B1075"/>
    <w:rsid w:val="009B160E"/>
    <w:rsid w:val="009B28AF"/>
    <w:rsid w:val="009B2C13"/>
    <w:rsid w:val="009B2C8E"/>
    <w:rsid w:val="009B31FF"/>
    <w:rsid w:val="009B4331"/>
    <w:rsid w:val="009B46A1"/>
    <w:rsid w:val="009B4DDB"/>
    <w:rsid w:val="009B537B"/>
    <w:rsid w:val="009B572E"/>
    <w:rsid w:val="009B6397"/>
    <w:rsid w:val="009C0C80"/>
    <w:rsid w:val="009C169B"/>
    <w:rsid w:val="009C1924"/>
    <w:rsid w:val="009C1B20"/>
    <w:rsid w:val="009C1D2B"/>
    <w:rsid w:val="009C2316"/>
    <w:rsid w:val="009C23CE"/>
    <w:rsid w:val="009C23F5"/>
    <w:rsid w:val="009C283B"/>
    <w:rsid w:val="009C2BD9"/>
    <w:rsid w:val="009C356B"/>
    <w:rsid w:val="009C3C64"/>
    <w:rsid w:val="009C4284"/>
    <w:rsid w:val="009C53BD"/>
    <w:rsid w:val="009C5A38"/>
    <w:rsid w:val="009C5DAB"/>
    <w:rsid w:val="009C602C"/>
    <w:rsid w:val="009C646D"/>
    <w:rsid w:val="009C7584"/>
    <w:rsid w:val="009C7C60"/>
    <w:rsid w:val="009C7CF0"/>
    <w:rsid w:val="009D0CF7"/>
    <w:rsid w:val="009D0F2A"/>
    <w:rsid w:val="009D1011"/>
    <w:rsid w:val="009D176A"/>
    <w:rsid w:val="009D29FC"/>
    <w:rsid w:val="009D29FE"/>
    <w:rsid w:val="009D2B59"/>
    <w:rsid w:val="009D3BA4"/>
    <w:rsid w:val="009D3EB0"/>
    <w:rsid w:val="009D459A"/>
    <w:rsid w:val="009D466C"/>
    <w:rsid w:val="009D4820"/>
    <w:rsid w:val="009D5084"/>
    <w:rsid w:val="009D567A"/>
    <w:rsid w:val="009D5B2F"/>
    <w:rsid w:val="009D5BDA"/>
    <w:rsid w:val="009D7CDD"/>
    <w:rsid w:val="009D7D88"/>
    <w:rsid w:val="009D7DAB"/>
    <w:rsid w:val="009D7F57"/>
    <w:rsid w:val="009E0828"/>
    <w:rsid w:val="009E1263"/>
    <w:rsid w:val="009E28FE"/>
    <w:rsid w:val="009E2F86"/>
    <w:rsid w:val="009E3EBE"/>
    <w:rsid w:val="009E4440"/>
    <w:rsid w:val="009E44B7"/>
    <w:rsid w:val="009E6229"/>
    <w:rsid w:val="009E743D"/>
    <w:rsid w:val="009E77A6"/>
    <w:rsid w:val="009F0056"/>
    <w:rsid w:val="009F010D"/>
    <w:rsid w:val="009F08E8"/>
    <w:rsid w:val="009F11C7"/>
    <w:rsid w:val="009F15D6"/>
    <w:rsid w:val="009F1E08"/>
    <w:rsid w:val="009F25C6"/>
    <w:rsid w:val="009F3479"/>
    <w:rsid w:val="009F34F5"/>
    <w:rsid w:val="009F3EBF"/>
    <w:rsid w:val="009F3F5A"/>
    <w:rsid w:val="009F411A"/>
    <w:rsid w:val="009F44F5"/>
    <w:rsid w:val="009F4600"/>
    <w:rsid w:val="009F520C"/>
    <w:rsid w:val="009F5958"/>
    <w:rsid w:val="009F5AF9"/>
    <w:rsid w:val="009F65A0"/>
    <w:rsid w:val="009F6ACF"/>
    <w:rsid w:val="009F796D"/>
    <w:rsid w:val="00A00B97"/>
    <w:rsid w:val="00A010FD"/>
    <w:rsid w:val="00A014DD"/>
    <w:rsid w:val="00A01737"/>
    <w:rsid w:val="00A022D4"/>
    <w:rsid w:val="00A02428"/>
    <w:rsid w:val="00A02E79"/>
    <w:rsid w:val="00A0313A"/>
    <w:rsid w:val="00A04BD0"/>
    <w:rsid w:val="00A05777"/>
    <w:rsid w:val="00A06BB4"/>
    <w:rsid w:val="00A0719A"/>
    <w:rsid w:val="00A078CF"/>
    <w:rsid w:val="00A1005C"/>
    <w:rsid w:val="00A100C5"/>
    <w:rsid w:val="00A10216"/>
    <w:rsid w:val="00A106AD"/>
    <w:rsid w:val="00A110BE"/>
    <w:rsid w:val="00A1154B"/>
    <w:rsid w:val="00A11A51"/>
    <w:rsid w:val="00A130FF"/>
    <w:rsid w:val="00A1330E"/>
    <w:rsid w:val="00A13D96"/>
    <w:rsid w:val="00A13EA6"/>
    <w:rsid w:val="00A14061"/>
    <w:rsid w:val="00A149D3"/>
    <w:rsid w:val="00A154B2"/>
    <w:rsid w:val="00A157AB"/>
    <w:rsid w:val="00A16A75"/>
    <w:rsid w:val="00A16D44"/>
    <w:rsid w:val="00A17FAB"/>
    <w:rsid w:val="00A20DAD"/>
    <w:rsid w:val="00A21410"/>
    <w:rsid w:val="00A21641"/>
    <w:rsid w:val="00A21647"/>
    <w:rsid w:val="00A217D0"/>
    <w:rsid w:val="00A21B56"/>
    <w:rsid w:val="00A228D9"/>
    <w:rsid w:val="00A22F96"/>
    <w:rsid w:val="00A2341D"/>
    <w:rsid w:val="00A246BE"/>
    <w:rsid w:val="00A24B11"/>
    <w:rsid w:val="00A253A6"/>
    <w:rsid w:val="00A25BB3"/>
    <w:rsid w:val="00A25F46"/>
    <w:rsid w:val="00A26A63"/>
    <w:rsid w:val="00A27B4D"/>
    <w:rsid w:val="00A27D6C"/>
    <w:rsid w:val="00A304EC"/>
    <w:rsid w:val="00A3073D"/>
    <w:rsid w:val="00A3097D"/>
    <w:rsid w:val="00A33631"/>
    <w:rsid w:val="00A33CB7"/>
    <w:rsid w:val="00A34F60"/>
    <w:rsid w:val="00A3706E"/>
    <w:rsid w:val="00A37848"/>
    <w:rsid w:val="00A40509"/>
    <w:rsid w:val="00A407EF"/>
    <w:rsid w:val="00A40CFC"/>
    <w:rsid w:val="00A41DD8"/>
    <w:rsid w:val="00A42C84"/>
    <w:rsid w:val="00A42E6E"/>
    <w:rsid w:val="00A4357D"/>
    <w:rsid w:val="00A43663"/>
    <w:rsid w:val="00A43947"/>
    <w:rsid w:val="00A43C31"/>
    <w:rsid w:val="00A450B7"/>
    <w:rsid w:val="00A45619"/>
    <w:rsid w:val="00A46721"/>
    <w:rsid w:val="00A4736D"/>
    <w:rsid w:val="00A50030"/>
    <w:rsid w:val="00A505BE"/>
    <w:rsid w:val="00A50753"/>
    <w:rsid w:val="00A50EBE"/>
    <w:rsid w:val="00A50F9D"/>
    <w:rsid w:val="00A516BA"/>
    <w:rsid w:val="00A51938"/>
    <w:rsid w:val="00A520A9"/>
    <w:rsid w:val="00A52199"/>
    <w:rsid w:val="00A53C73"/>
    <w:rsid w:val="00A5406B"/>
    <w:rsid w:val="00A54920"/>
    <w:rsid w:val="00A55391"/>
    <w:rsid w:val="00A55993"/>
    <w:rsid w:val="00A565B2"/>
    <w:rsid w:val="00A56B48"/>
    <w:rsid w:val="00A5725D"/>
    <w:rsid w:val="00A5794F"/>
    <w:rsid w:val="00A60291"/>
    <w:rsid w:val="00A6134C"/>
    <w:rsid w:val="00A6137D"/>
    <w:rsid w:val="00A613A5"/>
    <w:rsid w:val="00A6195F"/>
    <w:rsid w:val="00A61F2A"/>
    <w:rsid w:val="00A62ADE"/>
    <w:rsid w:val="00A6312E"/>
    <w:rsid w:val="00A6411F"/>
    <w:rsid w:val="00A646EE"/>
    <w:rsid w:val="00A64837"/>
    <w:rsid w:val="00A65C8A"/>
    <w:rsid w:val="00A65DBD"/>
    <w:rsid w:val="00A66038"/>
    <w:rsid w:val="00A663BC"/>
    <w:rsid w:val="00A664A3"/>
    <w:rsid w:val="00A66DDF"/>
    <w:rsid w:val="00A66FF2"/>
    <w:rsid w:val="00A67656"/>
    <w:rsid w:val="00A6782B"/>
    <w:rsid w:val="00A67A57"/>
    <w:rsid w:val="00A70153"/>
    <w:rsid w:val="00A70806"/>
    <w:rsid w:val="00A71322"/>
    <w:rsid w:val="00A71390"/>
    <w:rsid w:val="00A71412"/>
    <w:rsid w:val="00A7142A"/>
    <w:rsid w:val="00A716C2"/>
    <w:rsid w:val="00A7250E"/>
    <w:rsid w:val="00A73299"/>
    <w:rsid w:val="00A73449"/>
    <w:rsid w:val="00A73BA7"/>
    <w:rsid w:val="00A73BEC"/>
    <w:rsid w:val="00A74B5E"/>
    <w:rsid w:val="00A75992"/>
    <w:rsid w:val="00A75A15"/>
    <w:rsid w:val="00A75C47"/>
    <w:rsid w:val="00A76181"/>
    <w:rsid w:val="00A761EB"/>
    <w:rsid w:val="00A7643E"/>
    <w:rsid w:val="00A76AB5"/>
    <w:rsid w:val="00A76EB3"/>
    <w:rsid w:val="00A77289"/>
    <w:rsid w:val="00A807B0"/>
    <w:rsid w:val="00A80A3A"/>
    <w:rsid w:val="00A80A71"/>
    <w:rsid w:val="00A810A4"/>
    <w:rsid w:val="00A8132C"/>
    <w:rsid w:val="00A8256D"/>
    <w:rsid w:val="00A82B0C"/>
    <w:rsid w:val="00A8483B"/>
    <w:rsid w:val="00A84B15"/>
    <w:rsid w:val="00A852E0"/>
    <w:rsid w:val="00A854E6"/>
    <w:rsid w:val="00A8574E"/>
    <w:rsid w:val="00A85FCF"/>
    <w:rsid w:val="00A86778"/>
    <w:rsid w:val="00A86A82"/>
    <w:rsid w:val="00A87556"/>
    <w:rsid w:val="00A87841"/>
    <w:rsid w:val="00A87C6B"/>
    <w:rsid w:val="00A87F48"/>
    <w:rsid w:val="00A90CA4"/>
    <w:rsid w:val="00A91AB1"/>
    <w:rsid w:val="00A91BAF"/>
    <w:rsid w:val="00A923B6"/>
    <w:rsid w:val="00A924EA"/>
    <w:rsid w:val="00A93944"/>
    <w:rsid w:val="00A941FB"/>
    <w:rsid w:val="00A94BE3"/>
    <w:rsid w:val="00A95599"/>
    <w:rsid w:val="00A96264"/>
    <w:rsid w:val="00A9663E"/>
    <w:rsid w:val="00A96700"/>
    <w:rsid w:val="00A96EFE"/>
    <w:rsid w:val="00A97295"/>
    <w:rsid w:val="00A972F1"/>
    <w:rsid w:val="00A97571"/>
    <w:rsid w:val="00A97716"/>
    <w:rsid w:val="00A97B5A"/>
    <w:rsid w:val="00AA07C2"/>
    <w:rsid w:val="00AA0FD4"/>
    <w:rsid w:val="00AA1FC7"/>
    <w:rsid w:val="00AA2833"/>
    <w:rsid w:val="00AA39D0"/>
    <w:rsid w:val="00AA465F"/>
    <w:rsid w:val="00AA4875"/>
    <w:rsid w:val="00AA4C93"/>
    <w:rsid w:val="00AA4D61"/>
    <w:rsid w:val="00AA4D85"/>
    <w:rsid w:val="00AA5590"/>
    <w:rsid w:val="00AA56AD"/>
    <w:rsid w:val="00AA6801"/>
    <w:rsid w:val="00AA6923"/>
    <w:rsid w:val="00AA6E3E"/>
    <w:rsid w:val="00AA7487"/>
    <w:rsid w:val="00AB0592"/>
    <w:rsid w:val="00AB0B05"/>
    <w:rsid w:val="00AB1A5A"/>
    <w:rsid w:val="00AB297C"/>
    <w:rsid w:val="00AB29D1"/>
    <w:rsid w:val="00AB2B3D"/>
    <w:rsid w:val="00AB3C0F"/>
    <w:rsid w:val="00AB4FDD"/>
    <w:rsid w:val="00AB5A12"/>
    <w:rsid w:val="00AB600D"/>
    <w:rsid w:val="00AB60F9"/>
    <w:rsid w:val="00AB6F73"/>
    <w:rsid w:val="00AB73F6"/>
    <w:rsid w:val="00AC0016"/>
    <w:rsid w:val="00AC011B"/>
    <w:rsid w:val="00AC022C"/>
    <w:rsid w:val="00AC05C0"/>
    <w:rsid w:val="00AC111F"/>
    <w:rsid w:val="00AC2819"/>
    <w:rsid w:val="00AC2CC6"/>
    <w:rsid w:val="00AC2D9C"/>
    <w:rsid w:val="00AC2DD0"/>
    <w:rsid w:val="00AC30DA"/>
    <w:rsid w:val="00AC4CE3"/>
    <w:rsid w:val="00AC4DF9"/>
    <w:rsid w:val="00AC5512"/>
    <w:rsid w:val="00AC5A0B"/>
    <w:rsid w:val="00AC5C62"/>
    <w:rsid w:val="00AC5E88"/>
    <w:rsid w:val="00AC6305"/>
    <w:rsid w:val="00AC6C7F"/>
    <w:rsid w:val="00AC7097"/>
    <w:rsid w:val="00AD0497"/>
    <w:rsid w:val="00AD0607"/>
    <w:rsid w:val="00AD12FF"/>
    <w:rsid w:val="00AD1951"/>
    <w:rsid w:val="00AD26E2"/>
    <w:rsid w:val="00AD302D"/>
    <w:rsid w:val="00AD34F0"/>
    <w:rsid w:val="00AD3A2A"/>
    <w:rsid w:val="00AD3C62"/>
    <w:rsid w:val="00AD471C"/>
    <w:rsid w:val="00AD4883"/>
    <w:rsid w:val="00AD4B6F"/>
    <w:rsid w:val="00AD50B4"/>
    <w:rsid w:val="00AD51C5"/>
    <w:rsid w:val="00AD574A"/>
    <w:rsid w:val="00AD70AD"/>
    <w:rsid w:val="00AD7772"/>
    <w:rsid w:val="00AD793A"/>
    <w:rsid w:val="00AE0393"/>
    <w:rsid w:val="00AE1A3D"/>
    <w:rsid w:val="00AE1A93"/>
    <w:rsid w:val="00AE2BCF"/>
    <w:rsid w:val="00AE2D0E"/>
    <w:rsid w:val="00AE3D21"/>
    <w:rsid w:val="00AE41A9"/>
    <w:rsid w:val="00AE4C55"/>
    <w:rsid w:val="00AE4F9E"/>
    <w:rsid w:val="00AE4FCB"/>
    <w:rsid w:val="00AE5317"/>
    <w:rsid w:val="00AE5491"/>
    <w:rsid w:val="00AE5DBF"/>
    <w:rsid w:val="00AE64C9"/>
    <w:rsid w:val="00AE6D2B"/>
    <w:rsid w:val="00AE6E08"/>
    <w:rsid w:val="00AE721E"/>
    <w:rsid w:val="00AE7259"/>
    <w:rsid w:val="00AE746F"/>
    <w:rsid w:val="00AE75D8"/>
    <w:rsid w:val="00AF0087"/>
    <w:rsid w:val="00AF122E"/>
    <w:rsid w:val="00AF255E"/>
    <w:rsid w:val="00AF273E"/>
    <w:rsid w:val="00AF302D"/>
    <w:rsid w:val="00AF30A6"/>
    <w:rsid w:val="00AF31F1"/>
    <w:rsid w:val="00AF3A09"/>
    <w:rsid w:val="00AF4B11"/>
    <w:rsid w:val="00AF5593"/>
    <w:rsid w:val="00AF5BA8"/>
    <w:rsid w:val="00AF60A5"/>
    <w:rsid w:val="00AF61CC"/>
    <w:rsid w:val="00AF7C5E"/>
    <w:rsid w:val="00AF7F8E"/>
    <w:rsid w:val="00B00140"/>
    <w:rsid w:val="00B00667"/>
    <w:rsid w:val="00B0091D"/>
    <w:rsid w:val="00B00A9C"/>
    <w:rsid w:val="00B0228A"/>
    <w:rsid w:val="00B022D0"/>
    <w:rsid w:val="00B02E0B"/>
    <w:rsid w:val="00B037E8"/>
    <w:rsid w:val="00B046B6"/>
    <w:rsid w:val="00B053EB"/>
    <w:rsid w:val="00B056BF"/>
    <w:rsid w:val="00B05D79"/>
    <w:rsid w:val="00B062A3"/>
    <w:rsid w:val="00B104B1"/>
    <w:rsid w:val="00B1054D"/>
    <w:rsid w:val="00B10858"/>
    <w:rsid w:val="00B10C63"/>
    <w:rsid w:val="00B11317"/>
    <w:rsid w:val="00B118E2"/>
    <w:rsid w:val="00B12EF4"/>
    <w:rsid w:val="00B14866"/>
    <w:rsid w:val="00B15AD4"/>
    <w:rsid w:val="00B15B23"/>
    <w:rsid w:val="00B15E33"/>
    <w:rsid w:val="00B16BF2"/>
    <w:rsid w:val="00B16D1D"/>
    <w:rsid w:val="00B1763F"/>
    <w:rsid w:val="00B17663"/>
    <w:rsid w:val="00B17EF0"/>
    <w:rsid w:val="00B2031F"/>
    <w:rsid w:val="00B2134B"/>
    <w:rsid w:val="00B214ED"/>
    <w:rsid w:val="00B216EE"/>
    <w:rsid w:val="00B21FCB"/>
    <w:rsid w:val="00B22040"/>
    <w:rsid w:val="00B222F4"/>
    <w:rsid w:val="00B23417"/>
    <w:rsid w:val="00B247C4"/>
    <w:rsid w:val="00B25682"/>
    <w:rsid w:val="00B26E85"/>
    <w:rsid w:val="00B27088"/>
    <w:rsid w:val="00B27443"/>
    <w:rsid w:val="00B27541"/>
    <w:rsid w:val="00B30F75"/>
    <w:rsid w:val="00B31818"/>
    <w:rsid w:val="00B31A3F"/>
    <w:rsid w:val="00B31B2D"/>
    <w:rsid w:val="00B327BC"/>
    <w:rsid w:val="00B3288D"/>
    <w:rsid w:val="00B32E88"/>
    <w:rsid w:val="00B331EC"/>
    <w:rsid w:val="00B34399"/>
    <w:rsid w:val="00B348F5"/>
    <w:rsid w:val="00B35423"/>
    <w:rsid w:val="00B359DB"/>
    <w:rsid w:val="00B35BC3"/>
    <w:rsid w:val="00B35E8E"/>
    <w:rsid w:val="00B37454"/>
    <w:rsid w:val="00B37A0B"/>
    <w:rsid w:val="00B37FDF"/>
    <w:rsid w:val="00B40240"/>
    <w:rsid w:val="00B41046"/>
    <w:rsid w:val="00B41195"/>
    <w:rsid w:val="00B41ED1"/>
    <w:rsid w:val="00B421BE"/>
    <w:rsid w:val="00B4225E"/>
    <w:rsid w:val="00B427C0"/>
    <w:rsid w:val="00B43884"/>
    <w:rsid w:val="00B44111"/>
    <w:rsid w:val="00B443E5"/>
    <w:rsid w:val="00B44539"/>
    <w:rsid w:val="00B44780"/>
    <w:rsid w:val="00B44BC8"/>
    <w:rsid w:val="00B45480"/>
    <w:rsid w:val="00B4564E"/>
    <w:rsid w:val="00B45988"/>
    <w:rsid w:val="00B45EA0"/>
    <w:rsid w:val="00B46A8C"/>
    <w:rsid w:val="00B47012"/>
    <w:rsid w:val="00B470FE"/>
    <w:rsid w:val="00B47271"/>
    <w:rsid w:val="00B4763F"/>
    <w:rsid w:val="00B502D7"/>
    <w:rsid w:val="00B50A5C"/>
    <w:rsid w:val="00B51191"/>
    <w:rsid w:val="00B51CB2"/>
    <w:rsid w:val="00B52CA0"/>
    <w:rsid w:val="00B5360A"/>
    <w:rsid w:val="00B5380B"/>
    <w:rsid w:val="00B5384F"/>
    <w:rsid w:val="00B53AA0"/>
    <w:rsid w:val="00B55B91"/>
    <w:rsid w:val="00B55E17"/>
    <w:rsid w:val="00B565A1"/>
    <w:rsid w:val="00B56C31"/>
    <w:rsid w:val="00B57549"/>
    <w:rsid w:val="00B579D6"/>
    <w:rsid w:val="00B601CF"/>
    <w:rsid w:val="00B60580"/>
    <w:rsid w:val="00B60A93"/>
    <w:rsid w:val="00B6167D"/>
    <w:rsid w:val="00B61864"/>
    <w:rsid w:val="00B61EC2"/>
    <w:rsid w:val="00B62A1E"/>
    <w:rsid w:val="00B635B3"/>
    <w:rsid w:val="00B6368C"/>
    <w:rsid w:val="00B63756"/>
    <w:rsid w:val="00B646A8"/>
    <w:rsid w:val="00B64BCD"/>
    <w:rsid w:val="00B6531C"/>
    <w:rsid w:val="00B65E65"/>
    <w:rsid w:val="00B6605F"/>
    <w:rsid w:val="00B661E1"/>
    <w:rsid w:val="00B66620"/>
    <w:rsid w:val="00B6783C"/>
    <w:rsid w:val="00B70F53"/>
    <w:rsid w:val="00B7118C"/>
    <w:rsid w:val="00B756BD"/>
    <w:rsid w:val="00B763CF"/>
    <w:rsid w:val="00B76D16"/>
    <w:rsid w:val="00B77328"/>
    <w:rsid w:val="00B776B8"/>
    <w:rsid w:val="00B777B2"/>
    <w:rsid w:val="00B7798A"/>
    <w:rsid w:val="00B77A81"/>
    <w:rsid w:val="00B814CE"/>
    <w:rsid w:val="00B819C8"/>
    <w:rsid w:val="00B81B24"/>
    <w:rsid w:val="00B82124"/>
    <w:rsid w:val="00B82325"/>
    <w:rsid w:val="00B82A49"/>
    <w:rsid w:val="00B83057"/>
    <w:rsid w:val="00B83BE6"/>
    <w:rsid w:val="00B84AC0"/>
    <w:rsid w:val="00B85BC1"/>
    <w:rsid w:val="00B85EFB"/>
    <w:rsid w:val="00B86983"/>
    <w:rsid w:val="00B870CF"/>
    <w:rsid w:val="00B8762D"/>
    <w:rsid w:val="00B879F5"/>
    <w:rsid w:val="00B87C2D"/>
    <w:rsid w:val="00B908D7"/>
    <w:rsid w:val="00B910DE"/>
    <w:rsid w:val="00B91BEB"/>
    <w:rsid w:val="00B934E2"/>
    <w:rsid w:val="00B94101"/>
    <w:rsid w:val="00B941DB"/>
    <w:rsid w:val="00B94824"/>
    <w:rsid w:val="00B948BE"/>
    <w:rsid w:val="00B94DC6"/>
    <w:rsid w:val="00B94F63"/>
    <w:rsid w:val="00B95662"/>
    <w:rsid w:val="00B95BBE"/>
    <w:rsid w:val="00B95F48"/>
    <w:rsid w:val="00B9621E"/>
    <w:rsid w:val="00B96BDD"/>
    <w:rsid w:val="00B96E01"/>
    <w:rsid w:val="00B96E48"/>
    <w:rsid w:val="00B9707A"/>
    <w:rsid w:val="00BA01A9"/>
    <w:rsid w:val="00BA0822"/>
    <w:rsid w:val="00BA1C9E"/>
    <w:rsid w:val="00BA23CC"/>
    <w:rsid w:val="00BA2854"/>
    <w:rsid w:val="00BA35B4"/>
    <w:rsid w:val="00BA3722"/>
    <w:rsid w:val="00BA43D4"/>
    <w:rsid w:val="00BA4B7E"/>
    <w:rsid w:val="00BA4F59"/>
    <w:rsid w:val="00BA50DC"/>
    <w:rsid w:val="00BA5D68"/>
    <w:rsid w:val="00BA6A8A"/>
    <w:rsid w:val="00BA6EE5"/>
    <w:rsid w:val="00BA7706"/>
    <w:rsid w:val="00BB0410"/>
    <w:rsid w:val="00BB0C58"/>
    <w:rsid w:val="00BB0CC1"/>
    <w:rsid w:val="00BB1572"/>
    <w:rsid w:val="00BB30EF"/>
    <w:rsid w:val="00BB327E"/>
    <w:rsid w:val="00BB34DA"/>
    <w:rsid w:val="00BB4583"/>
    <w:rsid w:val="00BB47F2"/>
    <w:rsid w:val="00BB59A0"/>
    <w:rsid w:val="00BB5D09"/>
    <w:rsid w:val="00BB64E7"/>
    <w:rsid w:val="00BB66DE"/>
    <w:rsid w:val="00BB681F"/>
    <w:rsid w:val="00BB6B4F"/>
    <w:rsid w:val="00BB72D8"/>
    <w:rsid w:val="00BB75CB"/>
    <w:rsid w:val="00BB7683"/>
    <w:rsid w:val="00BB778B"/>
    <w:rsid w:val="00BC04E4"/>
    <w:rsid w:val="00BC184B"/>
    <w:rsid w:val="00BC1D4A"/>
    <w:rsid w:val="00BC204C"/>
    <w:rsid w:val="00BC2660"/>
    <w:rsid w:val="00BC3BA4"/>
    <w:rsid w:val="00BC3C4D"/>
    <w:rsid w:val="00BC5249"/>
    <w:rsid w:val="00BC53F5"/>
    <w:rsid w:val="00BC5536"/>
    <w:rsid w:val="00BC605C"/>
    <w:rsid w:val="00BC6356"/>
    <w:rsid w:val="00BC66BB"/>
    <w:rsid w:val="00BC77D3"/>
    <w:rsid w:val="00BC7EA2"/>
    <w:rsid w:val="00BC7EE1"/>
    <w:rsid w:val="00BD065F"/>
    <w:rsid w:val="00BD0895"/>
    <w:rsid w:val="00BD0E48"/>
    <w:rsid w:val="00BD0ED1"/>
    <w:rsid w:val="00BD297C"/>
    <w:rsid w:val="00BD4D19"/>
    <w:rsid w:val="00BD4ED7"/>
    <w:rsid w:val="00BD500A"/>
    <w:rsid w:val="00BD618A"/>
    <w:rsid w:val="00BD65D5"/>
    <w:rsid w:val="00BD6BC9"/>
    <w:rsid w:val="00BD6D7F"/>
    <w:rsid w:val="00BD71C7"/>
    <w:rsid w:val="00BD74F6"/>
    <w:rsid w:val="00BE002B"/>
    <w:rsid w:val="00BE010A"/>
    <w:rsid w:val="00BE0715"/>
    <w:rsid w:val="00BE0B7D"/>
    <w:rsid w:val="00BE1447"/>
    <w:rsid w:val="00BE158E"/>
    <w:rsid w:val="00BE1766"/>
    <w:rsid w:val="00BE2346"/>
    <w:rsid w:val="00BE2788"/>
    <w:rsid w:val="00BE2971"/>
    <w:rsid w:val="00BE3B9F"/>
    <w:rsid w:val="00BE4E8C"/>
    <w:rsid w:val="00BE52E5"/>
    <w:rsid w:val="00BE67CB"/>
    <w:rsid w:val="00BE6944"/>
    <w:rsid w:val="00BE6B83"/>
    <w:rsid w:val="00BE7211"/>
    <w:rsid w:val="00BE72E3"/>
    <w:rsid w:val="00BE7EEE"/>
    <w:rsid w:val="00BF01A6"/>
    <w:rsid w:val="00BF1F7C"/>
    <w:rsid w:val="00BF2DBB"/>
    <w:rsid w:val="00BF3B77"/>
    <w:rsid w:val="00BF4005"/>
    <w:rsid w:val="00BF4517"/>
    <w:rsid w:val="00BF49C4"/>
    <w:rsid w:val="00BF50D8"/>
    <w:rsid w:val="00BF52F6"/>
    <w:rsid w:val="00BF5737"/>
    <w:rsid w:val="00BF7886"/>
    <w:rsid w:val="00BF7E3C"/>
    <w:rsid w:val="00BF7E53"/>
    <w:rsid w:val="00C005BC"/>
    <w:rsid w:val="00C00E98"/>
    <w:rsid w:val="00C01621"/>
    <w:rsid w:val="00C01E6C"/>
    <w:rsid w:val="00C0231B"/>
    <w:rsid w:val="00C02CE2"/>
    <w:rsid w:val="00C02DDA"/>
    <w:rsid w:val="00C03382"/>
    <w:rsid w:val="00C03B6A"/>
    <w:rsid w:val="00C04E78"/>
    <w:rsid w:val="00C06684"/>
    <w:rsid w:val="00C06E3F"/>
    <w:rsid w:val="00C10192"/>
    <w:rsid w:val="00C105F9"/>
    <w:rsid w:val="00C110CB"/>
    <w:rsid w:val="00C11F48"/>
    <w:rsid w:val="00C131B1"/>
    <w:rsid w:val="00C134C0"/>
    <w:rsid w:val="00C137DC"/>
    <w:rsid w:val="00C14B3B"/>
    <w:rsid w:val="00C1502D"/>
    <w:rsid w:val="00C15BC8"/>
    <w:rsid w:val="00C16155"/>
    <w:rsid w:val="00C16947"/>
    <w:rsid w:val="00C17DF8"/>
    <w:rsid w:val="00C20FC0"/>
    <w:rsid w:val="00C2121C"/>
    <w:rsid w:val="00C215FC"/>
    <w:rsid w:val="00C21B1C"/>
    <w:rsid w:val="00C21E44"/>
    <w:rsid w:val="00C21EC4"/>
    <w:rsid w:val="00C22319"/>
    <w:rsid w:val="00C23B3D"/>
    <w:rsid w:val="00C2449B"/>
    <w:rsid w:val="00C24914"/>
    <w:rsid w:val="00C250A1"/>
    <w:rsid w:val="00C250C8"/>
    <w:rsid w:val="00C257FD"/>
    <w:rsid w:val="00C2593E"/>
    <w:rsid w:val="00C25A87"/>
    <w:rsid w:val="00C25FA6"/>
    <w:rsid w:val="00C262AB"/>
    <w:rsid w:val="00C26FD5"/>
    <w:rsid w:val="00C2712A"/>
    <w:rsid w:val="00C27F91"/>
    <w:rsid w:val="00C30FE9"/>
    <w:rsid w:val="00C313A6"/>
    <w:rsid w:val="00C3145A"/>
    <w:rsid w:val="00C31CA4"/>
    <w:rsid w:val="00C31F99"/>
    <w:rsid w:val="00C3265E"/>
    <w:rsid w:val="00C32B12"/>
    <w:rsid w:val="00C32DA1"/>
    <w:rsid w:val="00C336CD"/>
    <w:rsid w:val="00C337D9"/>
    <w:rsid w:val="00C33A4A"/>
    <w:rsid w:val="00C33B7C"/>
    <w:rsid w:val="00C34B1A"/>
    <w:rsid w:val="00C34C5A"/>
    <w:rsid w:val="00C364AB"/>
    <w:rsid w:val="00C372B9"/>
    <w:rsid w:val="00C372E6"/>
    <w:rsid w:val="00C37385"/>
    <w:rsid w:val="00C420BB"/>
    <w:rsid w:val="00C42442"/>
    <w:rsid w:val="00C42616"/>
    <w:rsid w:val="00C428F2"/>
    <w:rsid w:val="00C4391C"/>
    <w:rsid w:val="00C43AB0"/>
    <w:rsid w:val="00C440EB"/>
    <w:rsid w:val="00C44920"/>
    <w:rsid w:val="00C44E7B"/>
    <w:rsid w:val="00C46538"/>
    <w:rsid w:val="00C469C1"/>
    <w:rsid w:val="00C4743E"/>
    <w:rsid w:val="00C477F8"/>
    <w:rsid w:val="00C52305"/>
    <w:rsid w:val="00C52612"/>
    <w:rsid w:val="00C52DD3"/>
    <w:rsid w:val="00C530CD"/>
    <w:rsid w:val="00C5338E"/>
    <w:rsid w:val="00C5390B"/>
    <w:rsid w:val="00C53A76"/>
    <w:rsid w:val="00C55A44"/>
    <w:rsid w:val="00C561A4"/>
    <w:rsid w:val="00C56421"/>
    <w:rsid w:val="00C567B0"/>
    <w:rsid w:val="00C567EA"/>
    <w:rsid w:val="00C56821"/>
    <w:rsid w:val="00C574A2"/>
    <w:rsid w:val="00C57CFD"/>
    <w:rsid w:val="00C57EE2"/>
    <w:rsid w:val="00C607D7"/>
    <w:rsid w:val="00C60A4D"/>
    <w:rsid w:val="00C60B45"/>
    <w:rsid w:val="00C61517"/>
    <w:rsid w:val="00C61684"/>
    <w:rsid w:val="00C624AE"/>
    <w:rsid w:val="00C62522"/>
    <w:rsid w:val="00C6278D"/>
    <w:rsid w:val="00C64985"/>
    <w:rsid w:val="00C64F02"/>
    <w:rsid w:val="00C65234"/>
    <w:rsid w:val="00C65595"/>
    <w:rsid w:val="00C658CE"/>
    <w:rsid w:val="00C66961"/>
    <w:rsid w:val="00C672E1"/>
    <w:rsid w:val="00C70465"/>
    <w:rsid w:val="00C704C6"/>
    <w:rsid w:val="00C70956"/>
    <w:rsid w:val="00C71DD8"/>
    <w:rsid w:val="00C7244D"/>
    <w:rsid w:val="00C72EB9"/>
    <w:rsid w:val="00C72EBF"/>
    <w:rsid w:val="00C73152"/>
    <w:rsid w:val="00C73EA1"/>
    <w:rsid w:val="00C7451A"/>
    <w:rsid w:val="00C752BA"/>
    <w:rsid w:val="00C757D1"/>
    <w:rsid w:val="00C76A07"/>
    <w:rsid w:val="00C77306"/>
    <w:rsid w:val="00C7773C"/>
    <w:rsid w:val="00C77A0A"/>
    <w:rsid w:val="00C80660"/>
    <w:rsid w:val="00C808BD"/>
    <w:rsid w:val="00C80A95"/>
    <w:rsid w:val="00C80DE0"/>
    <w:rsid w:val="00C81306"/>
    <w:rsid w:val="00C82A60"/>
    <w:rsid w:val="00C82F48"/>
    <w:rsid w:val="00C83034"/>
    <w:rsid w:val="00C83C60"/>
    <w:rsid w:val="00C83CAB"/>
    <w:rsid w:val="00C8408B"/>
    <w:rsid w:val="00C85236"/>
    <w:rsid w:val="00C853A7"/>
    <w:rsid w:val="00C861CA"/>
    <w:rsid w:val="00C86297"/>
    <w:rsid w:val="00C86476"/>
    <w:rsid w:val="00C86A3E"/>
    <w:rsid w:val="00C86F2E"/>
    <w:rsid w:val="00C87057"/>
    <w:rsid w:val="00C90525"/>
    <w:rsid w:val="00C9056B"/>
    <w:rsid w:val="00C90577"/>
    <w:rsid w:val="00C90A0E"/>
    <w:rsid w:val="00C91166"/>
    <w:rsid w:val="00C91400"/>
    <w:rsid w:val="00C91948"/>
    <w:rsid w:val="00C91B34"/>
    <w:rsid w:val="00C91F8C"/>
    <w:rsid w:val="00C9224F"/>
    <w:rsid w:val="00C92441"/>
    <w:rsid w:val="00C92861"/>
    <w:rsid w:val="00C93183"/>
    <w:rsid w:val="00C93677"/>
    <w:rsid w:val="00C94C60"/>
    <w:rsid w:val="00C94D07"/>
    <w:rsid w:val="00C95828"/>
    <w:rsid w:val="00C963B6"/>
    <w:rsid w:val="00C96B1E"/>
    <w:rsid w:val="00C96B4A"/>
    <w:rsid w:val="00C96BDC"/>
    <w:rsid w:val="00C96F68"/>
    <w:rsid w:val="00C973D2"/>
    <w:rsid w:val="00C977FF"/>
    <w:rsid w:val="00C979B8"/>
    <w:rsid w:val="00CA0437"/>
    <w:rsid w:val="00CA0E5F"/>
    <w:rsid w:val="00CA0F4A"/>
    <w:rsid w:val="00CA1095"/>
    <w:rsid w:val="00CA1957"/>
    <w:rsid w:val="00CA238A"/>
    <w:rsid w:val="00CA3E10"/>
    <w:rsid w:val="00CA3FC6"/>
    <w:rsid w:val="00CA4812"/>
    <w:rsid w:val="00CA52C1"/>
    <w:rsid w:val="00CA52D9"/>
    <w:rsid w:val="00CA6398"/>
    <w:rsid w:val="00CA67A8"/>
    <w:rsid w:val="00CA7455"/>
    <w:rsid w:val="00CA7EC6"/>
    <w:rsid w:val="00CB0527"/>
    <w:rsid w:val="00CB0F7A"/>
    <w:rsid w:val="00CB1329"/>
    <w:rsid w:val="00CB182F"/>
    <w:rsid w:val="00CB31B5"/>
    <w:rsid w:val="00CB4BE8"/>
    <w:rsid w:val="00CB665F"/>
    <w:rsid w:val="00CB6D70"/>
    <w:rsid w:val="00CB6D9D"/>
    <w:rsid w:val="00CB74BD"/>
    <w:rsid w:val="00CB76B2"/>
    <w:rsid w:val="00CC0021"/>
    <w:rsid w:val="00CC00DD"/>
    <w:rsid w:val="00CC09B9"/>
    <w:rsid w:val="00CC0CD7"/>
    <w:rsid w:val="00CC1A09"/>
    <w:rsid w:val="00CC23EF"/>
    <w:rsid w:val="00CC3FF0"/>
    <w:rsid w:val="00CC6210"/>
    <w:rsid w:val="00CC6998"/>
    <w:rsid w:val="00CC745B"/>
    <w:rsid w:val="00CC7D6B"/>
    <w:rsid w:val="00CD1101"/>
    <w:rsid w:val="00CD1CF6"/>
    <w:rsid w:val="00CD22EE"/>
    <w:rsid w:val="00CD28AF"/>
    <w:rsid w:val="00CD2931"/>
    <w:rsid w:val="00CD3A73"/>
    <w:rsid w:val="00CD3C4A"/>
    <w:rsid w:val="00CD3C94"/>
    <w:rsid w:val="00CD4295"/>
    <w:rsid w:val="00CD4764"/>
    <w:rsid w:val="00CD742E"/>
    <w:rsid w:val="00CD7C1B"/>
    <w:rsid w:val="00CD7EAB"/>
    <w:rsid w:val="00CE09AF"/>
    <w:rsid w:val="00CE0B3A"/>
    <w:rsid w:val="00CE10A5"/>
    <w:rsid w:val="00CE1501"/>
    <w:rsid w:val="00CE196B"/>
    <w:rsid w:val="00CE2134"/>
    <w:rsid w:val="00CE2508"/>
    <w:rsid w:val="00CE35DA"/>
    <w:rsid w:val="00CE3917"/>
    <w:rsid w:val="00CE3E37"/>
    <w:rsid w:val="00CE42CC"/>
    <w:rsid w:val="00CE49F9"/>
    <w:rsid w:val="00CE4B15"/>
    <w:rsid w:val="00CE5400"/>
    <w:rsid w:val="00CE5AE8"/>
    <w:rsid w:val="00CE6646"/>
    <w:rsid w:val="00CE6AEC"/>
    <w:rsid w:val="00CE6B38"/>
    <w:rsid w:val="00CE6E33"/>
    <w:rsid w:val="00CE7465"/>
    <w:rsid w:val="00CE7DD1"/>
    <w:rsid w:val="00CF192E"/>
    <w:rsid w:val="00CF3C32"/>
    <w:rsid w:val="00CF3C49"/>
    <w:rsid w:val="00CF449B"/>
    <w:rsid w:val="00CF4932"/>
    <w:rsid w:val="00CF581F"/>
    <w:rsid w:val="00CF5D79"/>
    <w:rsid w:val="00CF6F5C"/>
    <w:rsid w:val="00CF73D5"/>
    <w:rsid w:val="00D005EE"/>
    <w:rsid w:val="00D0104D"/>
    <w:rsid w:val="00D01158"/>
    <w:rsid w:val="00D0115C"/>
    <w:rsid w:val="00D013F1"/>
    <w:rsid w:val="00D01860"/>
    <w:rsid w:val="00D01F5E"/>
    <w:rsid w:val="00D02B6C"/>
    <w:rsid w:val="00D02F3D"/>
    <w:rsid w:val="00D03044"/>
    <w:rsid w:val="00D03897"/>
    <w:rsid w:val="00D03DBD"/>
    <w:rsid w:val="00D04057"/>
    <w:rsid w:val="00D05165"/>
    <w:rsid w:val="00D053AC"/>
    <w:rsid w:val="00D058F5"/>
    <w:rsid w:val="00D06464"/>
    <w:rsid w:val="00D07B67"/>
    <w:rsid w:val="00D07C7B"/>
    <w:rsid w:val="00D12095"/>
    <w:rsid w:val="00D12DAB"/>
    <w:rsid w:val="00D130BA"/>
    <w:rsid w:val="00D1537C"/>
    <w:rsid w:val="00D15EEB"/>
    <w:rsid w:val="00D16440"/>
    <w:rsid w:val="00D1649B"/>
    <w:rsid w:val="00D16B28"/>
    <w:rsid w:val="00D16F65"/>
    <w:rsid w:val="00D178B9"/>
    <w:rsid w:val="00D20C2B"/>
    <w:rsid w:val="00D21537"/>
    <w:rsid w:val="00D218DC"/>
    <w:rsid w:val="00D2292A"/>
    <w:rsid w:val="00D2314A"/>
    <w:rsid w:val="00D23333"/>
    <w:rsid w:val="00D23DB8"/>
    <w:rsid w:val="00D24185"/>
    <w:rsid w:val="00D24B7D"/>
    <w:rsid w:val="00D250E2"/>
    <w:rsid w:val="00D260BC"/>
    <w:rsid w:val="00D26137"/>
    <w:rsid w:val="00D27445"/>
    <w:rsid w:val="00D31C0C"/>
    <w:rsid w:val="00D32577"/>
    <w:rsid w:val="00D32979"/>
    <w:rsid w:val="00D35204"/>
    <w:rsid w:val="00D3530A"/>
    <w:rsid w:val="00D35450"/>
    <w:rsid w:val="00D35837"/>
    <w:rsid w:val="00D3621D"/>
    <w:rsid w:val="00D3630B"/>
    <w:rsid w:val="00D408DE"/>
    <w:rsid w:val="00D42203"/>
    <w:rsid w:val="00D4220A"/>
    <w:rsid w:val="00D42D25"/>
    <w:rsid w:val="00D43F46"/>
    <w:rsid w:val="00D445FB"/>
    <w:rsid w:val="00D44734"/>
    <w:rsid w:val="00D44B75"/>
    <w:rsid w:val="00D451A8"/>
    <w:rsid w:val="00D45E9C"/>
    <w:rsid w:val="00D46046"/>
    <w:rsid w:val="00D46062"/>
    <w:rsid w:val="00D4649F"/>
    <w:rsid w:val="00D47B8C"/>
    <w:rsid w:val="00D47E6B"/>
    <w:rsid w:val="00D504E2"/>
    <w:rsid w:val="00D50E4B"/>
    <w:rsid w:val="00D51CDE"/>
    <w:rsid w:val="00D51FB7"/>
    <w:rsid w:val="00D52602"/>
    <w:rsid w:val="00D52E72"/>
    <w:rsid w:val="00D53384"/>
    <w:rsid w:val="00D53882"/>
    <w:rsid w:val="00D53DF4"/>
    <w:rsid w:val="00D54C18"/>
    <w:rsid w:val="00D562C5"/>
    <w:rsid w:val="00D56B55"/>
    <w:rsid w:val="00D57B90"/>
    <w:rsid w:val="00D60C26"/>
    <w:rsid w:val="00D61451"/>
    <w:rsid w:val="00D6162E"/>
    <w:rsid w:val="00D61A0E"/>
    <w:rsid w:val="00D61AF2"/>
    <w:rsid w:val="00D623F6"/>
    <w:rsid w:val="00D62629"/>
    <w:rsid w:val="00D638AB"/>
    <w:rsid w:val="00D6446E"/>
    <w:rsid w:val="00D6463A"/>
    <w:rsid w:val="00D64D57"/>
    <w:rsid w:val="00D650C3"/>
    <w:rsid w:val="00D652D1"/>
    <w:rsid w:val="00D65E47"/>
    <w:rsid w:val="00D6709E"/>
    <w:rsid w:val="00D6762C"/>
    <w:rsid w:val="00D67BD2"/>
    <w:rsid w:val="00D71106"/>
    <w:rsid w:val="00D7128A"/>
    <w:rsid w:val="00D72112"/>
    <w:rsid w:val="00D7220F"/>
    <w:rsid w:val="00D7224F"/>
    <w:rsid w:val="00D72AC9"/>
    <w:rsid w:val="00D73510"/>
    <w:rsid w:val="00D7668F"/>
    <w:rsid w:val="00D76E9D"/>
    <w:rsid w:val="00D77435"/>
    <w:rsid w:val="00D77446"/>
    <w:rsid w:val="00D77540"/>
    <w:rsid w:val="00D77582"/>
    <w:rsid w:val="00D80A83"/>
    <w:rsid w:val="00D80FA0"/>
    <w:rsid w:val="00D80FE8"/>
    <w:rsid w:val="00D81146"/>
    <w:rsid w:val="00D82104"/>
    <w:rsid w:val="00D82F8C"/>
    <w:rsid w:val="00D83BB2"/>
    <w:rsid w:val="00D84262"/>
    <w:rsid w:val="00D84556"/>
    <w:rsid w:val="00D85C20"/>
    <w:rsid w:val="00D85D3D"/>
    <w:rsid w:val="00D869DD"/>
    <w:rsid w:val="00D879FB"/>
    <w:rsid w:val="00D900FB"/>
    <w:rsid w:val="00D908CE"/>
    <w:rsid w:val="00D91A4B"/>
    <w:rsid w:val="00D92D1D"/>
    <w:rsid w:val="00D92D1E"/>
    <w:rsid w:val="00D932D9"/>
    <w:rsid w:val="00D93BFA"/>
    <w:rsid w:val="00D93CE3"/>
    <w:rsid w:val="00D93FA2"/>
    <w:rsid w:val="00D94921"/>
    <w:rsid w:val="00D95150"/>
    <w:rsid w:val="00D952F3"/>
    <w:rsid w:val="00D95CFA"/>
    <w:rsid w:val="00D95D60"/>
    <w:rsid w:val="00D973A2"/>
    <w:rsid w:val="00D9754F"/>
    <w:rsid w:val="00D9783C"/>
    <w:rsid w:val="00DA0A7F"/>
    <w:rsid w:val="00DA15A1"/>
    <w:rsid w:val="00DA1ABF"/>
    <w:rsid w:val="00DA2931"/>
    <w:rsid w:val="00DA2B76"/>
    <w:rsid w:val="00DA3E69"/>
    <w:rsid w:val="00DA3EC1"/>
    <w:rsid w:val="00DA404E"/>
    <w:rsid w:val="00DA4947"/>
    <w:rsid w:val="00DA5448"/>
    <w:rsid w:val="00DA62A8"/>
    <w:rsid w:val="00DA631C"/>
    <w:rsid w:val="00DA647F"/>
    <w:rsid w:val="00DA65FF"/>
    <w:rsid w:val="00DA6ACD"/>
    <w:rsid w:val="00DA6F35"/>
    <w:rsid w:val="00DA6F3C"/>
    <w:rsid w:val="00DA7809"/>
    <w:rsid w:val="00DA78B4"/>
    <w:rsid w:val="00DA78D7"/>
    <w:rsid w:val="00DB0120"/>
    <w:rsid w:val="00DB0912"/>
    <w:rsid w:val="00DB0955"/>
    <w:rsid w:val="00DB0B90"/>
    <w:rsid w:val="00DB0F5D"/>
    <w:rsid w:val="00DB26DC"/>
    <w:rsid w:val="00DB2913"/>
    <w:rsid w:val="00DB3101"/>
    <w:rsid w:val="00DB3645"/>
    <w:rsid w:val="00DB3860"/>
    <w:rsid w:val="00DB396D"/>
    <w:rsid w:val="00DB3C6C"/>
    <w:rsid w:val="00DB3FD9"/>
    <w:rsid w:val="00DB4378"/>
    <w:rsid w:val="00DB43D3"/>
    <w:rsid w:val="00DB51EB"/>
    <w:rsid w:val="00DB5AC4"/>
    <w:rsid w:val="00DB5F98"/>
    <w:rsid w:val="00DB62FD"/>
    <w:rsid w:val="00DB6B44"/>
    <w:rsid w:val="00DB7A67"/>
    <w:rsid w:val="00DC24F8"/>
    <w:rsid w:val="00DC3228"/>
    <w:rsid w:val="00DC4738"/>
    <w:rsid w:val="00DC4E81"/>
    <w:rsid w:val="00DC51F3"/>
    <w:rsid w:val="00DC53AE"/>
    <w:rsid w:val="00DC5749"/>
    <w:rsid w:val="00DC57B9"/>
    <w:rsid w:val="00DC5ED0"/>
    <w:rsid w:val="00DC6554"/>
    <w:rsid w:val="00DD1061"/>
    <w:rsid w:val="00DD28EB"/>
    <w:rsid w:val="00DD4107"/>
    <w:rsid w:val="00DD4324"/>
    <w:rsid w:val="00DD434E"/>
    <w:rsid w:val="00DD438D"/>
    <w:rsid w:val="00DD4623"/>
    <w:rsid w:val="00DD5035"/>
    <w:rsid w:val="00DD59FF"/>
    <w:rsid w:val="00DD5C2F"/>
    <w:rsid w:val="00DD5D2E"/>
    <w:rsid w:val="00DD678C"/>
    <w:rsid w:val="00DD6D36"/>
    <w:rsid w:val="00DE05A1"/>
    <w:rsid w:val="00DE1293"/>
    <w:rsid w:val="00DE2218"/>
    <w:rsid w:val="00DE223C"/>
    <w:rsid w:val="00DE26E7"/>
    <w:rsid w:val="00DE3090"/>
    <w:rsid w:val="00DE30A9"/>
    <w:rsid w:val="00DE32B0"/>
    <w:rsid w:val="00DE3A8A"/>
    <w:rsid w:val="00DE4373"/>
    <w:rsid w:val="00DE514C"/>
    <w:rsid w:val="00DE66F4"/>
    <w:rsid w:val="00DE6957"/>
    <w:rsid w:val="00DE70EF"/>
    <w:rsid w:val="00DE7601"/>
    <w:rsid w:val="00DE7F31"/>
    <w:rsid w:val="00DF05D0"/>
    <w:rsid w:val="00DF1707"/>
    <w:rsid w:val="00DF2260"/>
    <w:rsid w:val="00DF24B8"/>
    <w:rsid w:val="00DF2AAE"/>
    <w:rsid w:val="00DF526B"/>
    <w:rsid w:val="00DF5404"/>
    <w:rsid w:val="00DF5734"/>
    <w:rsid w:val="00DF59F5"/>
    <w:rsid w:val="00DF615E"/>
    <w:rsid w:val="00DF6246"/>
    <w:rsid w:val="00DF63FD"/>
    <w:rsid w:val="00DF67D5"/>
    <w:rsid w:val="00DF72DB"/>
    <w:rsid w:val="00DF7541"/>
    <w:rsid w:val="00E0054C"/>
    <w:rsid w:val="00E019AE"/>
    <w:rsid w:val="00E022E2"/>
    <w:rsid w:val="00E0270D"/>
    <w:rsid w:val="00E03133"/>
    <w:rsid w:val="00E032C0"/>
    <w:rsid w:val="00E03D6C"/>
    <w:rsid w:val="00E0450E"/>
    <w:rsid w:val="00E04A49"/>
    <w:rsid w:val="00E05011"/>
    <w:rsid w:val="00E05118"/>
    <w:rsid w:val="00E053B7"/>
    <w:rsid w:val="00E05464"/>
    <w:rsid w:val="00E05779"/>
    <w:rsid w:val="00E05B6F"/>
    <w:rsid w:val="00E10300"/>
    <w:rsid w:val="00E1080B"/>
    <w:rsid w:val="00E10833"/>
    <w:rsid w:val="00E121D0"/>
    <w:rsid w:val="00E1247D"/>
    <w:rsid w:val="00E13078"/>
    <w:rsid w:val="00E135D8"/>
    <w:rsid w:val="00E13A64"/>
    <w:rsid w:val="00E1555C"/>
    <w:rsid w:val="00E15D56"/>
    <w:rsid w:val="00E15FF4"/>
    <w:rsid w:val="00E163ED"/>
    <w:rsid w:val="00E16BE6"/>
    <w:rsid w:val="00E17163"/>
    <w:rsid w:val="00E17E21"/>
    <w:rsid w:val="00E17E26"/>
    <w:rsid w:val="00E2008A"/>
    <w:rsid w:val="00E210D6"/>
    <w:rsid w:val="00E23669"/>
    <w:rsid w:val="00E237B2"/>
    <w:rsid w:val="00E25FDC"/>
    <w:rsid w:val="00E305D7"/>
    <w:rsid w:val="00E3073A"/>
    <w:rsid w:val="00E3087C"/>
    <w:rsid w:val="00E30ACA"/>
    <w:rsid w:val="00E319CB"/>
    <w:rsid w:val="00E321CD"/>
    <w:rsid w:val="00E335D4"/>
    <w:rsid w:val="00E339D7"/>
    <w:rsid w:val="00E33C56"/>
    <w:rsid w:val="00E33DE3"/>
    <w:rsid w:val="00E34EDA"/>
    <w:rsid w:val="00E35234"/>
    <w:rsid w:val="00E3531E"/>
    <w:rsid w:val="00E35570"/>
    <w:rsid w:val="00E35AE5"/>
    <w:rsid w:val="00E35D3E"/>
    <w:rsid w:val="00E36162"/>
    <w:rsid w:val="00E36EC5"/>
    <w:rsid w:val="00E37066"/>
    <w:rsid w:val="00E374B3"/>
    <w:rsid w:val="00E377C1"/>
    <w:rsid w:val="00E408F2"/>
    <w:rsid w:val="00E44609"/>
    <w:rsid w:val="00E457FE"/>
    <w:rsid w:val="00E46127"/>
    <w:rsid w:val="00E467D0"/>
    <w:rsid w:val="00E46FBD"/>
    <w:rsid w:val="00E47083"/>
    <w:rsid w:val="00E473E1"/>
    <w:rsid w:val="00E50213"/>
    <w:rsid w:val="00E5225D"/>
    <w:rsid w:val="00E52C37"/>
    <w:rsid w:val="00E552B3"/>
    <w:rsid w:val="00E556AA"/>
    <w:rsid w:val="00E558DF"/>
    <w:rsid w:val="00E56297"/>
    <w:rsid w:val="00E575BC"/>
    <w:rsid w:val="00E57CA7"/>
    <w:rsid w:val="00E608EA"/>
    <w:rsid w:val="00E60A3C"/>
    <w:rsid w:val="00E61235"/>
    <w:rsid w:val="00E61BAD"/>
    <w:rsid w:val="00E61E3A"/>
    <w:rsid w:val="00E621EF"/>
    <w:rsid w:val="00E636F7"/>
    <w:rsid w:val="00E63782"/>
    <w:rsid w:val="00E63A9A"/>
    <w:rsid w:val="00E64221"/>
    <w:rsid w:val="00E64277"/>
    <w:rsid w:val="00E64302"/>
    <w:rsid w:val="00E644F5"/>
    <w:rsid w:val="00E6454F"/>
    <w:rsid w:val="00E64ED1"/>
    <w:rsid w:val="00E65683"/>
    <w:rsid w:val="00E65C2E"/>
    <w:rsid w:val="00E66061"/>
    <w:rsid w:val="00E66D70"/>
    <w:rsid w:val="00E672F8"/>
    <w:rsid w:val="00E675E0"/>
    <w:rsid w:val="00E676C0"/>
    <w:rsid w:val="00E700E6"/>
    <w:rsid w:val="00E712BC"/>
    <w:rsid w:val="00E71572"/>
    <w:rsid w:val="00E7177B"/>
    <w:rsid w:val="00E71AB6"/>
    <w:rsid w:val="00E724F4"/>
    <w:rsid w:val="00E733EB"/>
    <w:rsid w:val="00E7442A"/>
    <w:rsid w:val="00E7445C"/>
    <w:rsid w:val="00E74B6A"/>
    <w:rsid w:val="00E761CE"/>
    <w:rsid w:val="00E767E9"/>
    <w:rsid w:val="00E76A2A"/>
    <w:rsid w:val="00E77596"/>
    <w:rsid w:val="00E77A98"/>
    <w:rsid w:val="00E77B74"/>
    <w:rsid w:val="00E81045"/>
    <w:rsid w:val="00E81185"/>
    <w:rsid w:val="00E8149D"/>
    <w:rsid w:val="00E81586"/>
    <w:rsid w:val="00E817CC"/>
    <w:rsid w:val="00E817D6"/>
    <w:rsid w:val="00E822BC"/>
    <w:rsid w:val="00E84106"/>
    <w:rsid w:val="00E845D1"/>
    <w:rsid w:val="00E850A8"/>
    <w:rsid w:val="00E87C07"/>
    <w:rsid w:val="00E9011F"/>
    <w:rsid w:val="00E90389"/>
    <w:rsid w:val="00E926E0"/>
    <w:rsid w:val="00E92814"/>
    <w:rsid w:val="00E9492F"/>
    <w:rsid w:val="00E94E28"/>
    <w:rsid w:val="00E94F7D"/>
    <w:rsid w:val="00E955F4"/>
    <w:rsid w:val="00E9568F"/>
    <w:rsid w:val="00E95A06"/>
    <w:rsid w:val="00E96081"/>
    <w:rsid w:val="00E96277"/>
    <w:rsid w:val="00E97085"/>
    <w:rsid w:val="00E97BCF"/>
    <w:rsid w:val="00E97E9B"/>
    <w:rsid w:val="00E97FD2"/>
    <w:rsid w:val="00EA07FF"/>
    <w:rsid w:val="00EA0837"/>
    <w:rsid w:val="00EA221E"/>
    <w:rsid w:val="00EA2E62"/>
    <w:rsid w:val="00EA35FD"/>
    <w:rsid w:val="00EA37ED"/>
    <w:rsid w:val="00EA3848"/>
    <w:rsid w:val="00EA3FFA"/>
    <w:rsid w:val="00EA401B"/>
    <w:rsid w:val="00EA4A2F"/>
    <w:rsid w:val="00EA50FC"/>
    <w:rsid w:val="00EA59FA"/>
    <w:rsid w:val="00EA5DE3"/>
    <w:rsid w:val="00EA5F6C"/>
    <w:rsid w:val="00EA72F6"/>
    <w:rsid w:val="00EB0B1C"/>
    <w:rsid w:val="00EB0E6C"/>
    <w:rsid w:val="00EB0FFF"/>
    <w:rsid w:val="00EB133A"/>
    <w:rsid w:val="00EB18E9"/>
    <w:rsid w:val="00EB263C"/>
    <w:rsid w:val="00EB4D77"/>
    <w:rsid w:val="00EB7ED6"/>
    <w:rsid w:val="00EC0274"/>
    <w:rsid w:val="00EC09C3"/>
    <w:rsid w:val="00EC0DB9"/>
    <w:rsid w:val="00EC0DC0"/>
    <w:rsid w:val="00EC136D"/>
    <w:rsid w:val="00EC2DDA"/>
    <w:rsid w:val="00EC3577"/>
    <w:rsid w:val="00EC3F82"/>
    <w:rsid w:val="00EC4322"/>
    <w:rsid w:val="00EC49BA"/>
    <w:rsid w:val="00EC5B88"/>
    <w:rsid w:val="00EC5F92"/>
    <w:rsid w:val="00EC612B"/>
    <w:rsid w:val="00EC623D"/>
    <w:rsid w:val="00EC63DC"/>
    <w:rsid w:val="00EC6B0B"/>
    <w:rsid w:val="00EC6ED4"/>
    <w:rsid w:val="00EC7786"/>
    <w:rsid w:val="00EC7A2E"/>
    <w:rsid w:val="00EC7FBA"/>
    <w:rsid w:val="00ED00FF"/>
    <w:rsid w:val="00ED09C3"/>
    <w:rsid w:val="00ED0E30"/>
    <w:rsid w:val="00ED128F"/>
    <w:rsid w:val="00ED1875"/>
    <w:rsid w:val="00ED26D7"/>
    <w:rsid w:val="00ED35D9"/>
    <w:rsid w:val="00ED3C86"/>
    <w:rsid w:val="00ED4165"/>
    <w:rsid w:val="00ED49CE"/>
    <w:rsid w:val="00ED50FA"/>
    <w:rsid w:val="00ED5899"/>
    <w:rsid w:val="00ED5BA3"/>
    <w:rsid w:val="00ED6139"/>
    <w:rsid w:val="00ED660C"/>
    <w:rsid w:val="00ED683F"/>
    <w:rsid w:val="00EE06DB"/>
    <w:rsid w:val="00EE15BD"/>
    <w:rsid w:val="00EE1B6B"/>
    <w:rsid w:val="00EE20E7"/>
    <w:rsid w:val="00EE2397"/>
    <w:rsid w:val="00EE3146"/>
    <w:rsid w:val="00EE3213"/>
    <w:rsid w:val="00EE44B6"/>
    <w:rsid w:val="00EE489E"/>
    <w:rsid w:val="00EE5120"/>
    <w:rsid w:val="00EE5F23"/>
    <w:rsid w:val="00EE6C3C"/>
    <w:rsid w:val="00EE6C56"/>
    <w:rsid w:val="00EF026B"/>
    <w:rsid w:val="00EF0C02"/>
    <w:rsid w:val="00EF1A1A"/>
    <w:rsid w:val="00EF1ECC"/>
    <w:rsid w:val="00EF2518"/>
    <w:rsid w:val="00EF28EF"/>
    <w:rsid w:val="00EF39B0"/>
    <w:rsid w:val="00EF3B45"/>
    <w:rsid w:val="00EF3F3D"/>
    <w:rsid w:val="00EF4484"/>
    <w:rsid w:val="00EF491C"/>
    <w:rsid w:val="00EF5D7D"/>
    <w:rsid w:val="00EF5ECA"/>
    <w:rsid w:val="00EF6AD0"/>
    <w:rsid w:val="00EF6BBB"/>
    <w:rsid w:val="00EF71B3"/>
    <w:rsid w:val="00EF77C5"/>
    <w:rsid w:val="00EF7AC0"/>
    <w:rsid w:val="00F0034E"/>
    <w:rsid w:val="00F00858"/>
    <w:rsid w:val="00F00DE1"/>
    <w:rsid w:val="00F013DB"/>
    <w:rsid w:val="00F01E94"/>
    <w:rsid w:val="00F020DB"/>
    <w:rsid w:val="00F02DAE"/>
    <w:rsid w:val="00F030A7"/>
    <w:rsid w:val="00F03FDF"/>
    <w:rsid w:val="00F0404D"/>
    <w:rsid w:val="00F05204"/>
    <w:rsid w:val="00F0527F"/>
    <w:rsid w:val="00F0547C"/>
    <w:rsid w:val="00F0571F"/>
    <w:rsid w:val="00F06FBA"/>
    <w:rsid w:val="00F07082"/>
    <w:rsid w:val="00F0711E"/>
    <w:rsid w:val="00F07808"/>
    <w:rsid w:val="00F10B48"/>
    <w:rsid w:val="00F10C86"/>
    <w:rsid w:val="00F1128A"/>
    <w:rsid w:val="00F11642"/>
    <w:rsid w:val="00F12D93"/>
    <w:rsid w:val="00F1336E"/>
    <w:rsid w:val="00F14697"/>
    <w:rsid w:val="00F14978"/>
    <w:rsid w:val="00F14B76"/>
    <w:rsid w:val="00F14DC5"/>
    <w:rsid w:val="00F1552A"/>
    <w:rsid w:val="00F16100"/>
    <w:rsid w:val="00F16CBF"/>
    <w:rsid w:val="00F20BA9"/>
    <w:rsid w:val="00F20E03"/>
    <w:rsid w:val="00F21252"/>
    <w:rsid w:val="00F2151E"/>
    <w:rsid w:val="00F21933"/>
    <w:rsid w:val="00F21E7E"/>
    <w:rsid w:val="00F220FA"/>
    <w:rsid w:val="00F22A85"/>
    <w:rsid w:val="00F2410B"/>
    <w:rsid w:val="00F24D5B"/>
    <w:rsid w:val="00F24E6C"/>
    <w:rsid w:val="00F24F73"/>
    <w:rsid w:val="00F25CA5"/>
    <w:rsid w:val="00F25CB0"/>
    <w:rsid w:val="00F26593"/>
    <w:rsid w:val="00F274C3"/>
    <w:rsid w:val="00F277B2"/>
    <w:rsid w:val="00F27AA0"/>
    <w:rsid w:val="00F27FBC"/>
    <w:rsid w:val="00F30666"/>
    <w:rsid w:val="00F309AF"/>
    <w:rsid w:val="00F311FC"/>
    <w:rsid w:val="00F31BDC"/>
    <w:rsid w:val="00F322FE"/>
    <w:rsid w:val="00F32E20"/>
    <w:rsid w:val="00F32FBE"/>
    <w:rsid w:val="00F33163"/>
    <w:rsid w:val="00F33511"/>
    <w:rsid w:val="00F35150"/>
    <w:rsid w:val="00F35653"/>
    <w:rsid w:val="00F35798"/>
    <w:rsid w:val="00F3591E"/>
    <w:rsid w:val="00F35C3A"/>
    <w:rsid w:val="00F35D79"/>
    <w:rsid w:val="00F36E9B"/>
    <w:rsid w:val="00F36F48"/>
    <w:rsid w:val="00F379BC"/>
    <w:rsid w:val="00F40040"/>
    <w:rsid w:val="00F400B5"/>
    <w:rsid w:val="00F404BC"/>
    <w:rsid w:val="00F404EF"/>
    <w:rsid w:val="00F40A46"/>
    <w:rsid w:val="00F40DE0"/>
    <w:rsid w:val="00F41C6C"/>
    <w:rsid w:val="00F4218A"/>
    <w:rsid w:val="00F42E6E"/>
    <w:rsid w:val="00F4390F"/>
    <w:rsid w:val="00F43CB4"/>
    <w:rsid w:val="00F44914"/>
    <w:rsid w:val="00F45209"/>
    <w:rsid w:val="00F454DF"/>
    <w:rsid w:val="00F459E0"/>
    <w:rsid w:val="00F46863"/>
    <w:rsid w:val="00F46E6F"/>
    <w:rsid w:val="00F47700"/>
    <w:rsid w:val="00F5061A"/>
    <w:rsid w:val="00F50C5D"/>
    <w:rsid w:val="00F51104"/>
    <w:rsid w:val="00F511AC"/>
    <w:rsid w:val="00F5148D"/>
    <w:rsid w:val="00F5310E"/>
    <w:rsid w:val="00F53522"/>
    <w:rsid w:val="00F53722"/>
    <w:rsid w:val="00F5420A"/>
    <w:rsid w:val="00F54364"/>
    <w:rsid w:val="00F543D4"/>
    <w:rsid w:val="00F54D13"/>
    <w:rsid w:val="00F5513D"/>
    <w:rsid w:val="00F5523F"/>
    <w:rsid w:val="00F56701"/>
    <w:rsid w:val="00F56F17"/>
    <w:rsid w:val="00F56FA3"/>
    <w:rsid w:val="00F57456"/>
    <w:rsid w:val="00F5763F"/>
    <w:rsid w:val="00F57686"/>
    <w:rsid w:val="00F57B45"/>
    <w:rsid w:val="00F60642"/>
    <w:rsid w:val="00F60C21"/>
    <w:rsid w:val="00F60F8C"/>
    <w:rsid w:val="00F612F5"/>
    <w:rsid w:val="00F6186E"/>
    <w:rsid w:val="00F62183"/>
    <w:rsid w:val="00F622A2"/>
    <w:rsid w:val="00F62E01"/>
    <w:rsid w:val="00F639EA"/>
    <w:rsid w:val="00F6453E"/>
    <w:rsid w:val="00F65B7B"/>
    <w:rsid w:val="00F65FCB"/>
    <w:rsid w:val="00F661A0"/>
    <w:rsid w:val="00F67B37"/>
    <w:rsid w:val="00F67CB5"/>
    <w:rsid w:val="00F70648"/>
    <w:rsid w:val="00F71120"/>
    <w:rsid w:val="00F717CA"/>
    <w:rsid w:val="00F717D6"/>
    <w:rsid w:val="00F72016"/>
    <w:rsid w:val="00F7222C"/>
    <w:rsid w:val="00F72483"/>
    <w:rsid w:val="00F72585"/>
    <w:rsid w:val="00F72818"/>
    <w:rsid w:val="00F72A60"/>
    <w:rsid w:val="00F736C3"/>
    <w:rsid w:val="00F7380B"/>
    <w:rsid w:val="00F73E36"/>
    <w:rsid w:val="00F7404E"/>
    <w:rsid w:val="00F7478E"/>
    <w:rsid w:val="00F7551E"/>
    <w:rsid w:val="00F75520"/>
    <w:rsid w:val="00F75868"/>
    <w:rsid w:val="00F75EAA"/>
    <w:rsid w:val="00F76908"/>
    <w:rsid w:val="00F77172"/>
    <w:rsid w:val="00F77F08"/>
    <w:rsid w:val="00F77F24"/>
    <w:rsid w:val="00F77FAB"/>
    <w:rsid w:val="00F80157"/>
    <w:rsid w:val="00F8099A"/>
    <w:rsid w:val="00F81351"/>
    <w:rsid w:val="00F8204D"/>
    <w:rsid w:val="00F844BD"/>
    <w:rsid w:val="00F8451A"/>
    <w:rsid w:val="00F84FDD"/>
    <w:rsid w:val="00F8568B"/>
    <w:rsid w:val="00F8574E"/>
    <w:rsid w:val="00F85AC8"/>
    <w:rsid w:val="00F85C9C"/>
    <w:rsid w:val="00F85FE8"/>
    <w:rsid w:val="00F86558"/>
    <w:rsid w:val="00F86804"/>
    <w:rsid w:val="00F8680C"/>
    <w:rsid w:val="00F86EB3"/>
    <w:rsid w:val="00F87726"/>
    <w:rsid w:val="00F8772D"/>
    <w:rsid w:val="00F87E3F"/>
    <w:rsid w:val="00F90196"/>
    <w:rsid w:val="00F908E8"/>
    <w:rsid w:val="00F91E89"/>
    <w:rsid w:val="00F92318"/>
    <w:rsid w:val="00F92548"/>
    <w:rsid w:val="00F93027"/>
    <w:rsid w:val="00F93913"/>
    <w:rsid w:val="00F946B2"/>
    <w:rsid w:val="00F951DC"/>
    <w:rsid w:val="00F9588C"/>
    <w:rsid w:val="00F960A1"/>
    <w:rsid w:val="00F96933"/>
    <w:rsid w:val="00F9695B"/>
    <w:rsid w:val="00F97050"/>
    <w:rsid w:val="00F97611"/>
    <w:rsid w:val="00FA0114"/>
    <w:rsid w:val="00FA04EA"/>
    <w:rsid w:val="00FA0730"/>
    <w:rsid w:val="00FA0887"/>
    <w:rsid w:val="00FA0975"/>
    <w:rsid w:val="00FA0B37"/>
    <w:rsid w:val="00FA0C36"/>
    <w:rsid w:val="00FA29C2"/>
    <w:rsid w:val="00FA35CE"/>
    <w:rsid w:val="00FA361A"/>
    <w:rsid w:val="00FA3D74"/>
    <w:rsid w:val="00FA48E5"/>
    <w:rsid w:val="00FA53B1"/>
    <w:rsid w:val="00FA6022"/>
    <w:rsid w:val="00FA756D"/>
    <w:rsid w:val="00FA7E60"/>
    <w:rsid w:val="00FB066A"/>
    <w:rsid w:val="00FB1563"/>
    <w:rsid w:val="00FB1E70"/>
    <w:rsid w:val="00FB265A"/>
    <w:rsid w:val="00FB2E86"/>
    <w:rsid w:val="00FB2F9F"/>
    <w:rsid w:val="00FB30E1"/>
    <w:rsid w:val="00FB4317"/>
    <w:rsid w:val="00FB44DB"/>
    <w:rsid w:val="00FB4BA3"/>
    <w:rsid w:val="00FB505A"/>
    <w:rsid w:val="00FB62EF"/>
    <w:rsid w:val="00FB638A"/>
    <w:rsid w:val="00FB6F8C"/>
    <w:rsid w:val="00FB7497"/>
    <w:rsid w:val="00FB7620"/>
    <w:rsid w:val="00FB7667"/>
    <w:rsid w:val="00FB78D3"/>
    <w:rsid w:val="00FC001E"/>
    <w:rsid w:val="00FC0DE5"/>
    <w:rsid w:val="00FC0FB9"/>
    <w:rsid w:val="00FC1516"/>
    <w:rsid w:val="00FC1840"/>
    <w:rsid w:val="00FC1E5D"/>
    <w:rsid w:val="00FC29CE"/>
    <w:rsid w:val="00FC2C52"/>
    <w:rsid w:val="00FC304A"/>
    <w:rsid w:val="00FC32F3"/>
    <w:rsid w:val="00FC372A"/>
    <w:rsid w:val="00FC3A01"/>
    <w:rsid w:val="00FC449F"/>
    <w:rsid w:val="00FC49E2"/>
    <w:rsid w:val="00FC4E02"/>
    <w:rsid w:val="00FC53B3"/>
    <w:rsid w:val="00FC65F0"/>
    <w:rsid w:val="00FC699E"/>
    <w:rsid w:val="00FC6CAB"/>
    <w:rsid w:val="00FC7EC0"/>
    <w:rsid w:val="00FD05C2"/>
    <w:rsid w:val="00FD0DC9"/>
    <w:rsid w:val="00FD1053"/>
    <w:rsid w:val="00FD1D17"/>
    <w:rsid w:val="00FD273E"/>
    <w:rsid w:val="00FD2C37"/>
    <w:rsid w:val="00FD3886"/>
    <w:rsid w:val="00FD39C9"/>
    <w:rsid w:val="00FD4A3B"/>
    <w:rsid w:val="00FD52BD"/>
    <w:rsid w:val="00FD55C0"/>
    <w:rsid w:val="00FD608E"/>
    <w:rsid w:val="00FD6385"/>
    <w:rsid w:val="00FD6A25"/>
    <w:rsid w:val="00FD7A07"/>
    <w:rsid w:val="00FD7A0D"/>
    <w:rsid w:val="00FE096B"/>
    <w:rsid w:val="00FE0CD4"/>
    <w:rsid w:val="00FE0FFE"/>
    <w:rsid w:val="00FE104B"/>
    <w:rsid w:val="00FE10E7"/>
    <w:rsid w:val="00FE1324"/>
    <w:rsid w:val="00FE1404"/>
    <w:rsid w:val="00FE140B"/>
    <w:rsid w:val="00FE1488"/>
    <w:rsid w:val="00FE260A"/>
    <w:rsid w:val="00FE2FDD"/>
    <w:rsid w:val="00FE3BF8"/>
    <w:rsid w:val="00FE40DA"/>
    <w:rsid w:val="00FE463E"/>
    <w:rsid w:val="00FE4F69"/>
    <w:rsid w:val="00FE5AFA"/>
    <w:rsid w:val="00FE6A68"/>
    <w:rsid w:val="00FE7771"/>
    <w:rsid w:val="00FE7FFC"/>
    <w:rsid w:val="00FF00B2"/>
    <w:rsid w:val="00FF05AE"/>
    <w:rsid w:val="00FF0828"/>
    <w:rsid w:val="00FF115F"/>
    <w:rsid w:val="00FF17B4"/>
    <w:rsid w:val="00FF1824"/>
    <w:rsid w:val="00FF1B75"/>
    <w:rsid w:val="00FF1F7B"/>
    <w:rsid w:val="00FF23A4"/>
    <w:rsid w:val="00FF269E"/>
    <w:rsid w:val="00FF2E22"/>
    <w:rsid w:val="00FF35BE"/>
    <w:rsid w:val="00FF3942"/>
    <w:rsid w:val="00FF4DCB"/>
    <w:rsid w:val="00FF6277"/>
    <w:rsid w:val="00FF66B4"/>
    <w:rsid w:val="00FF697E"/>
    <w:rsid w:val="00FF6D3C"/>
    <w:rsid w:val="00FF72BE"/>
    <w:rsid w:val="00FF7787"/>
    <w:rsid w:val="00FF7CCF"/>
    <w:rsid w:val="027DC2FB"/>
    <w:rsid w:val="0EBC97D3"/>
    <w:rsid w:val="13D11E1F"/>
    <w:rsid w:val="17AF5E5F"/>
    <w:rsid w:val="29DB4871"/>
    <w:rsid w:val="321E349C"/>
    <w:rsid w:val="53937656"/>
    <w:rsid w:val="5C7FCD88"/>
    <w:rsid w:val="5D998B92"/>
    <w:rsid w:val="60245706"/>
    <w:rsid w:val="65595F93"/>
    <w:rsid w:val="660821B5"/>
    <w:rsid w:val="688BA25B"/>
    <w:rsid w:val="6D7AA47D"/>
    <w:rsid w:val="6E042E69"/>
    <w:rsid w:val="74912A2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99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6"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79D0"/>
    <w:rPr>
      <w:rFonts w:eastAsia="MS Mincho"/>
      <w:sz w:val="24"/>
      <w:szCs w:val="24"/>
      <w:lang w:eastAsia="zh-CN"/>
    </w:rPr>
  </w:style>
  <w:style w:type="paragraph" w:styleId="Nagwek1">
    <w:name w:val="heading 1"/>
    <w:aliases w:val="Nagłówek 1 typu 1"/>
    <w:basedOn w:val="Normalny"/>
    <w:next w:val="Normalny"/>
    <w:link w:val="Nagwek1Znak"/>
    <w:uiPriority w:val="99"/>
    <w:qFormat/>
    <w:rsid w:val="002D76EE"/>
    <w:pPr>
      <w:keepNext/>
      <w:spacing w:before="240" w:after="60"/>
      <w:outlineLvl w:val="0"/>
    </w:pPr>
    <w:rPr>
      <w:b/>
      <w:kern w:val="28"/>
      <w:sz w:val="20"/>
      <w:szCs w:val="20"/>
    </w:rPr>
  </w:style>
  <w:style w:type="paragraph" w:styleId="Nagwek2">
    <w:name w:val="heading 2"/>
    <w:aliases w:val="Nagłówek 2 typu 1.1"/>
    <w:basedOn w:val="Nagwek1"/>
    <w:next w:val="Normalny"/>
    <w:link w:val="Nagwek2Znak"/>
    <w:uiPriority w:val="99"/>
    <w:qFormat/>
    <w:rsid w:val="002D76EE"/>
    <w:pPr>
      <w:spacing w:before="120"/>
      <w:outlineLvl w:val="1"/>
    </w:pPr>
  </w:style>
  <w:style w:type="paragraph" w:styleId="Nagwek3">
    <w:name w:val="heading 3"/>
    <w:aliases w:val="Nagłówek 3 typu1.1.1"/>
    <w:basedOn w:val="Nagwek2"/>
    <w:next w:val="Normalny"/>
    <w:link w:val="Nagwek3Znak"/>
    <w:uiPriority w:val="99"/>
    <w:qFormat/>
    <w:rsid w:val="002D76EE"/>
    <w:pPr>
      <w:spacing w:before="60"/>
      <w:outlineLvl w:val="2"/>
    </w:pPr>
    <w:rPr>
      <w:rFonts w:ascii="Arial Bold" w:hAnsi="Arial Bold"/>
      <w:sz w:val="18"/>
      <w:szCs w:val="18"/>
    </w:rPr>
  </w:style>
  <w:style w:type="paragraph" w:styleId="Nagwek4">
    <w:name w:val="heading 4"/>
    <w:aliases w:val="Sub-Clause Sub-paragraph,Nagłówek 4. Nagłówek 4"/>
    <w:basedOn w:val="Nagwek3"/>
    <w:next w:val="Normalny"/>
    <w:link w:val="Nagwek4Znak"/>
    <w:uiPriority w:val="99"/>
    <w:qFormat/>
    <w:rsid w:val="002D76EE"/>
    <w:pPr>
      <w:outlineLvl w:val="3"/>
    </w:pPr>
  </w:style>
  <w:style w:type="paragraph" w:styleId="Nagwek5">
    <w:name w:val="heading 5"/>
    <w:basedOn w:val="ReportLevel3"/>
    <w:next w:val="Normalny"/>
    <w:link w:val="Nagwek5Znak"/>
    <w:uiPriority w:val="99"/>
    <w:qFormat/>
    <w:rsid w:val="00AF7C5E"/>
    <w:pPr>
      <w:numPr>
        <w:numId w:val="4"/>
      </w:numPr>
      <w:outlineLvl w:val="4"/>
    </w:pPr>
  </w:style>
  <w:style w:type="paragraph" w:styleId="Nagwek6">
    <w:name w:val="heading 6"/>
    <w:basedOn w:val="Normalny"/>
    <w:next w:val="Normalny"/>
    <w:link w:val="Nagwek6Znak"/>
    <w:uiPriority w:val="99"/>
    <w:qFormat/>
    <w:rsid w:val="002D76EE"/>
    <w:pPr>
      <w:numPr>
        <w:ilvl w:val="5"/>
        <w:numId w:val="1"/>
      </w:numPr>
      <w:outlineLvl w:val="5"/>
    </w:pPr>
    <w:rPr>
      <w:i/>
      <w:sz w:val="22"/>
      <w:szCs w:val="20"/>
    </w:rPr>
  </w:style>
  <w:style w:type="paragraph" w:styleId="Nagwek7">
    <w:name w:val="heading 7"/>
    <w:basedOn w:val="Normalny"/>
    <w:next w:val="Normalny"/>
    <w:link w:val="Nagwek7Znak"/>
    <w:uiPriority w:val="99"/>
    <w:qFormat/>
    <w:rsid w:val="002D76EE"/>
    <w:pPr>
      <w:numPr>
        <w:ilvl w:val="6"/>
        <w:numId w:val="1"/>
      </w:numPr>
      <w:outlineLvl w:val="6"/>
    </w:pPr>
    <w:rPr>
      <w:sz w:val="20"/>
      <w:szCs w:val="20"/>
    </w:rPr>
  </w:style>
  <w:style w:type="paragraph" w:styleId="Nagwek8">
    <w:name w:val="heading 8"/>
    <w:basedOn w:val="Normalny"/>
    <w:next w:val="Normalny"/>
    <w:link w:val="Nagwek8Znak"/>
    <w:uiPriority w:val="99"/>
    <w:qFormat/>
    <w:rsid w:val="002D76EE"/>
    <w:pPr>
      <w:numPr>
        <w:ilvl w:val="7"/>
        <w:numId w:val="1"/>
      </w:numPr>
      <w:outlineLvl w:val="7"/>
    </w:pPr>
    <w:rPr>
      <w:i/>
      <w:sz w:val="20"/>
      <w:szCs w:val="20"/>
    </w:rPr>
  </w:style>
  <w:style w:type="paragraph" w:styleId="Nagwek9">
    <w:name w:val="heading 9"/>
    <w:basedOn w:val="Normalny"/>
    <w:next w:val="Normalny"/>
    <w:link w:val="Nagwek9Znak"/>
    <w:uiPriority w:val="99"/>
    <w:qFormat/>
    <w:rsid w:val="002D76EE"/>
    <w:pPr>
      <w:numPr>
        <w:ilvl w:val="8"/>
        <w:numId w:val="1"/>
      </w:numPr>
      <w:outlineLvl w:val="8"/>
    </w:pPr>
    <w:rPr>
      <w:b/>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typu 1 Znak"/>
    <w:basedOn w:val="Domylnaczcionkaakapitu"/>
    <w:link w:val="Nagwek1"/>
    <w:uiPriority w:val="99"/>
    <w:semiHidden/>
    <w:locked/>
    <w:rsid w:val="002D76EE"/>
    <w:rPr>
      <w:rFonts w:eastAsia="MS Mincho"/>
      <w:b/>
      <w:kern w:val="28"/>
      <w:lang w:val="pl-PL" w:eastAsia="zh-CN"/>
    </w:rPr>
  </w:style>
  <w:style w:type="character" w:customStyle="1" w:styleId="Nagwek2Znak">
    <w:name w:val="Nagłówek 2 Znak"/>
    <w:aliases w:val="Nagłówek 2 typu 1.1 Znak"/>
    <w:basedOn w:val="Domylnaczcionkaakapitu"/>
    <w:link w:val="Nagwek2"/>
    <w:uiPriority w:val="99"/>
    <w:semiHidden/>
    <w:locked/>
    <w:rsid w:val="002D76EE"/>
    <w:rPr>
      <w:rFonts w:eastAsia="MS Mincho"/>
      <w:b/>
      <w:kern w:val="28"/>
      <w:sz w:val="20"/>
      <w:lang w:val="pl-PL" w:eastAsia="zh-CN"/>
    </w:rPr>
  </w:style>
  <w:style w:type="character" w:customStyle="1" w:styleId="Nagwek3Znak">
    <w:name w:val="Nagłówek 3 Znak"/>
    <w:aliases w:val="Nagłówek 3 typu1.1.1 Znak"/>
    <w:basedOn w:val="Domylnaczcionkaakapitu"/>
    <w:link w:val="Nagwek3"/>
    <w:uiPriority w:val="99"/>
    <w:semiHidden/>
    <w:locked/>
    <w:rsid w:val="002D76EE"/>
    <w:rPr>
      <w:rFonts w:ascii="Arial Bold" w:eastAsia="MS Mincho" w:hAnsi="Arial Bold"/>
      <w:b/>
      <w:kern w:val="28"/>
      <w:sz w:val="18"/>
      <w:lang w:val="pl-PL" w:eastAsia="zh-CN"/>
    </w:rPr>
  </w:style>
  <w:style w:type="character" w:customStyle="1" w:styleId="Nagwek4Znak">
    <w:name w:val="Nagłówek 4 Znak"/>
    <w:aliases w:val="Sub-Clause Sub-paragraph Znak,Nagłówek 4. Nagłówek 4 Znak"/>
    <w:basedOn w:val="Domylnaczcionkaakapitu"/>
    <w:link w:val="Nagwek4"/>
    <w:uiPriority w:val="99"/>
    <w:semiHidden/>
    <w:locked/>
    <w:rsid w:val="002D76EE"/>
    <w:rPr>
      <w:rFonts w:ascii="Arial Bold" w:eastAsia="MS Mincho" w:hAnsi="Arial Bold"/>
      <w:b/>
      <w:kern w:val="28"/>
      <w:sz w:val="18"/>
      <w:lang w:val="pl-PL" w:eastAsia="zh-CN"/>
    </w:rPr>
  </w:style>
  <w:style w:type="character" w:customStyle="1" w:styleId="Nagwek5Znak">
    <w:name w:val="Nagłówek 5 Znak"/>
    <w:basedOn w:val="Domylnaczcionkaakapitu"/>
    <w:link w:val="Nagwek5"/>
    <w:uiPriority w:val="99"/>
    <w:locked/>
    <w:rsid w:val="00AF7C5E"/>
    <w:rPr>
      <w:rFonts w:eastAsia="MS Mincho"/>
      <w:b/>
      <w:color w:val="28AAE1"/>
      <w:sz w:val="28"/>
      <w:szCs w:val="18"/>
      <w:lang w:eastAsia="en-US"/>
    </w:rPr>
  </w:style>
  <w:style w:type="character" w:customStyle="1" w:styleId="Nagwek6Znak">
    <w:name w:val="Nagłówek 6 Znak"/>
    <w:basedOn w:val="Domylnaczcionkaakapitu"/>
    <w:link w:val="Nagwek6"/>
    <w:uiPriority w:val="99"/>
    <w:locked/>
    <w:rsid w:val="002D76EE"/>
    <w:rPr>
      <w:rFonts w:eastAsia="MS Mincho"/>
      <w:i/>
      <w:szCs w:val="20"/>
      <w:lang w:eastAsia="zh-CN"/>
    </w:rPr>
  </w:style>
  <w:style w:type="character" w:customStyle="1" w:styleId="Nagwek7Znak">
    <w:name w:val="Nagłówek 7 Znak"/>
    <w:basedOn w:val="Domylnaczcionkaakapitu"/>
    <w:link w:val="Nagwek7"/>
    <w:uiPriority w:val="99"/>
    <w:locked/>
    <w:rsid w:val="002D76EE"/>
    <w:rPr>
      <w:rFonts w:eastAsia="MS Mincho"/>
      <w:sz w:val="20"/>
      <w:szCs w:val="20"/>
      <w:lang w:eastAsia="zh-CN"/>
    </w:rPr>
  </w:style>
  <w:style w:type="character" w:customStyle="1" w:styleId="Nagwek8Znak">
    <w:name w:val="Nagłówek 8 Znak"/>
    <w:basedOn w:val="Domylnaczcionkaakapitu"/>
    <w:link w:val="Nagwek8"/>
    <w:uiPriority w:val="99"/>
    <w:locked/>
    <w:rsid w:val="002D76EE"/>
    <w:rPr>
      <w:rFonts w:eastAsia="MS Mincho"/>
      <w:i/>
      <w:sz w:val="20"/>
      <w:szCs w:val="20"/>
      <w:lang w:eastAsia="zh-CN"/>
    </w:rPr>
  </w:style>
  <w:style w:type="character" w:customStyle="1" w:styleId="Nagwek9Znak">
    <w:name w:val="Nagłówek 9 Znak"/>
    <w:basedOn w:val="Domylnaczcionkaakapitu"/>
    <w:link w:val="Nagwek9"/>
    <w:uiPriority w:val="99"/>
    <w:locked/>
    <w:rsid w:val="002D76EE"/>
    <w:rPr>
      <w:rFonts w:eastAsia="MS Mincho"/>
      <w:b/>
      <w:i/>
      <w:sz w:val="20"/>
      <w:szCs w:val="20"/>
      <w:lang w:eastAsia="zh-CN"/>
    </w:rPr>
  </w:style>
  <w:style w:type="paragraph" w:styleId="Stopka">
    <w:name w:val="footer"/>
    <w:basedOn w:val="Normalny"/>
    <w:link w:val="StopkaZnak"/>
    <w:uiPriority w:val="99"/>
    <w:semiHidden/>
    <w:rsid w:val="002D76EE"/>
    <w:pPr>
      <w:tabs>
        <w:tab w:val="center" w:pos="4153"/>
        <w:tab w:val="right" w:pos="8306"/>
      </w:tabs>
      <w:spacing w:line="140" w:lineRule="exact"/>
    </w:pPr>
    <w:rPr>
      <w:rFonts w:ascii="Arial" w:hAnsi="Arial"/>
      <w:sz w:val="12"/>
      <w:lang w:eastAsia="pl-PL"/>
    </w:rPr>
  </w:style>
  <w:style w:type="character" w:customStyle="1" w:styleId="StopkaZnak">
    <w:name w:val="Stopka Znak"/>
    <w:basedOn w:val="Domylnaczcionkaakapitu"/>
    <w:link w:val="Stopka"/>
    <w:uiPriority w:val="99"/>
    <w:semiHidden/>
    <w:locked/>
    <w:rsid w:val="00974825"/>
    <w:rPr>
      <w:rFonts w:ascii="Arial" w:eastAsia="MS Mincho" w:hAnsi="Arial"/>
      <w:sz w:val="24"/>
      <w:lang w:val="pl-PL"/>
    </w:rPr>
  </w:style>
  <w:style w:type="paragraph" w:styleId="Nagwek">
    <w:name w:val="header"/>
    <w:basedOn w:val="Normalny"/>
    <w:link w:val="NagwekZnak"/>
    <w:uiPriority w:val="99"/>
    <w:semiHidden/>
    <w:rsid w:val="002D76EE"/>
    <w:pPr>
      <w:tabs>
        <w:tab w:val="center" w:pos="4153"/>
        <w:tab w:val="right" w:pos="8306"/>
      </w:tabs>
      <w:spacing w:line="140" w:lineRule="exact"/>
    </w:pPr>
    <w:rPr>
      <w:rFonts w:ascii="Arial" w:eastAsia="MS Gothic" w:hAnsi="Arial"/>
      <w:sz w:val="12"/>
      <w:lang w:eastAsia="pl-PL"/>
    </w:rPr>
  </w:style>
  <w:style w:type="character" w:customStyle="1" w:styleId="NagwekZnak">
    <w:name w:val="Nagłówek Znak"/>
    <w:basedOn w:val="Domylnaczcionkaakapitu"/>
    <w:link w:val="Nagwek"/>
    <w:uiPriority w:val="99"/>
    <w:semiHidden/>
    <w:locked/>
    <w:rsid w:val="002D76EE"/>
    <w:rPr>
      <w:rFonts w:ascii="Arial" w:eastAsia="MS Gothic" w:hAnsi="Arial"/>
      <w:sz w:val="24"/>
      <w:lang w:val="pl-PL"/>
    </w:rPr>
  </w:style>
  <w:style w:type="character" w:styleId="Numerstrony">
    <w:name w:val="page number"/>
    <w:basedOn w:val="Domylnaczcionkaakapitu"/>
    <w:uiPriority w:val="99"/>
    <w:semiHidden/>
    <w:rsid w:val="002D76EE"/>
    <w:rPr>
      <w:rFonts w:ascii="Arial" w:eastAsia="MS Gothic" w:hAnsi="Arial" w:cs="Times New Roman"/>
      <w:sz w:val="18"/>
      <w:lang w:val="pl-PL"/>
    </w:rPr>
  </w:style>
  <w:style w:type="character" w:customStyle="1" w:styleId="Style10pt">
    <w:name w:val="Style 10 pt"/>
    <w:uiPriority w:val="99"/>
    <w:semiHidden/>
    <w:rsid w:val="002D76EE"/>
    <w:rPr>
      <w:sz w:val="20"/>
      <w:lang w:val="pl-PL"/>
    </w:rPr>
  </w:style>
  <w:style w:type="character" w:styleId="Hipercze">
    <w:name w:val="Hyperlink"/>
    <w:basedOn w:val="Domylnaczcionkaakapitu"/>
    <w:uiPriority w:val="99"/>
    <w:rsid w:val="002D76EE"/>
    <w:rPr>
      <w:rFonts w:ascii="Times New Roman" w:hAnsi="Times New Roman" w:cs="Times New Roman"/>
      <w:color w:val="auto"/>
      <w:u w:val="single"/>
      <w:lang w:val="pl-PL"/>
    </w:rPr>
  </w:style>
  <w:style w:type="paragraph" w:customStyle="1" w:styleId="FormText">
    <w:name w:val="Form Text"/>
    <w:basedOn w:val="Normalny"/>
    <w:next w:val="Normalny"/>
    <w:uiPriority w:val="99"/>
    <w:semiHidden/>
    <w:rsid w:val="002D76EE"/>
    <w:rPr>
      <w:rFonts w:eastAsia="SimSun"/>
      <w:b/>
      <w:sz w:val="20"/>
      <w:szCs w:val="20"/>
      <w:lang w:eastAsia="en-US"/>
    </w:rPr>
  </w:style>
  <w:style w:type="character" w:customStyle="1" w:styleId="HR-8">
    <w:name w:val="HR-8"/>
    <w:uiPriority w:val="99"/>
    <w:semiHidden/>
    <w:rsid w:val="002D76EE"/>
    <w:rPr>
      <w:rFonts w:ascii="Arial" w:hAnsi="Arial"/>
      <w:sz w:val="16"/>
      <w:lang w:val="pl-PL"/>
    </w:rPr>
  </w:style>
  <w:style w:type="paragraph" w:customStyle="1" w:styleId="Filename">
    <w:name w:val="Filename"/>
    <w:basedOn w:val="Stopka"/>
    <w:uiPriority w:val="99"/>
    <w:semiHidden/>
    <w:rsid w:val="002D76EE"/>
    <w:pPr>
      <w:spacing w:before="80" w:line="100" w:lineRule="exact"/>
    </w:pPr>
    <w:rPr>
      <w:rFonts w:eastAsia="MS Gothic"/>
      <w:caps/>
      <w:noProof/>
      <w:sz w:val="8"/>
      <w:szCs w:val="12"/>
    </w:rPr>
  </w:style>
  <w:style w:type="character" w:styleId="Odwoaniedokomentarza">
    <w:name w:val="annotation reference"/>
    <w:basedOn w:val="Domylnaczcionkaakapitu"/>
    <w:uiPriority w:val="99"/>
    <w:semiHidden/>
    <w:rsid w:val="002D76EE"/>
    <w:rPr>
      <w:rFonts w:cs="Times New Roman"/>
      <w:sz w:val="16"/>
      <w:lang w:val="pl-PL"/>
    </w:rPr>
  </w:style>
  <w:style w:type="paragraph" w:styleId="Tekstkomentarza">
    <w:name w:val="annotation text"/>
    <w:basedOn w:val="Normalny"/>
    <w:link w:val="TekstkomentarzaZnak"/>
    <w:uiPriority w:val="99"/>
    <w:semiHidden/>
    <w:rsid w:val="002D76EE"/>
    <w:rPr>
      <w:rFonts w:ascii="Arial" w:hAnsi="Arial"/>
      <w:sz w:val="18"/>
      <w:szCs w:val="20"/>
    </w:rPr>
  </w:style>
  <w:style w:type="character" w:customStyle="1" w:styleId="TekstkomentarzaZnak">
    <w:name w:val="Tekst komentarza Znak"/>
    <w:basedOn w:val="Domylnaczcionkaakapitu"/>
    <w:link w:val="Tekstkomentarza"/>
    <w:uiPriority w:val="99"/>
    <w:semiHidden/>
    <w:locked/>
    <w:rsid w:val="002D76EE"/>
    <w:rPr>
      <w:rFonts w:ascii="Arial" w:eastAsia="MS Mincho" w:hAnsi="Arial"/>
      <w:sz w:val="18"/>
      <w:lang w:val="pl-PL" w:eastAsia="zh-CN"/>
    </w:rPr>
  </w:style>
  <w:style w:type="paragraph" w:customStyle="1" w:styleId="ReportContentsMain">
    <w:name w:val="Report Contents Main"/>
    <w:basedOn w:val="Normalny"/>
    <w:uiPriority w:val="99"/>
    <w:semiHidden/>
    <w:rsid w:val="002D76EE"/>
    <w:pPr>
      <w:pBdr>
        <w:bottom w:val="single" w:sz="8" w:space="1" w:color="28AAE1"/>
      </w:pBdr>
      <w:spacing w:line="380" w:lineRule="exact"/>
      <w:outlineLvl w:val="0"/>
    </w:pPr>
    <w:rPr>
      <w:b/>
      <w:color w:val="28AAE1"/>
      <w:sz w:val="36"/>
    </w:rPr>
  </w:style>
  <w:style w:type="paragraph" w:customStyle="1" w:styleId="ReportContentsSub">
    <w:name w:val="Report Contents Sub"/>
    <w:basedOn w:val="Normalny"/>
    <w:uiPriority w:val="99"/>
    <w:semiHidden/>
    <w:rsid w:val="002D76EE"/>
    <w:pPr>
      <w:keepNext/>
      <w:outlineLvl w:val="1"/>
    </w:pPr>
    <w:rPr>
      <w:rFonts w:cs="Arial"/>
      <w:b/>
      <w:color w:val="28AAE1"/>
    </w:rPr>
  </w:style>
  <w:style w:type="paragraph" w:customStyle="1" w:styleId="FormUserText">
    <w:name w:val="Form User Text"/>
    <w:basedOn w:val="Normalny"/>
    <w:uiPriority w:val="99"/>
    <w:semiHidden/>
    <w:rsid w:val="002D76EE"/>
  </w:style>
  <w:style w:type="paragraph" w:customStyle="1" w:styleId="FormTitle">
    <w:name w:val="Form Title"/>
    <w:basedOn w:val="Normalny"/>
    <w:next w:val="Normalny"/>
    <w:uiPriority w:val="99"/>
    <w:semiHidden/>
    <w:rsid w:val="002D76EE"/>
    <w:pPr>
      <w:keepNext/>
      <w:tabs>
        <w:tab w:val="left" w:pos="720"/>
      </w:tabs>
      <w:spacing w:line="370" w:lineRule="exact"/>
      <w:outlineLvl w:val="1"/>
    </w:pPr>
    <w:rPr>
      <w:b/>
      <w:sz w:val="36"/>
    </w:rPr>
  </w:style>
  <w:style w:type="paragraph" w:styleId="Spistreci1">
    <w:name w:val="toc 1"/>
    <w:aliases w:val="Report Contents Level 1"/>
    <w:basedOn w:val="Normalny"/>
    <w:next w:val="Normalny"/>
    <w:uiPriority w:val="39"/>
    <w:rsid w:val="002D76EE"/>
    <w:pPr>
      <w:tabs>
        <w:tab w:val="right" w:pos="7938"/>
      </w:tabs>
      <w:spacing w:before="240" w:after="120" w:line="260" w:lineRule="exact"/>
      <w:ind w:left="851" w:right="113" w:hanging="851"/>
    </w:pPr>
    <w:rPr>
      <w:b/>
      <w:noProof/>
    </w:rPr>
  </w:style>
  <w:style w:type="paragraph" w:customStyle="1" w:styleId="Cover-AddressBlock">
    <w:name w:val="Cover - Address Block"/>
    <w:basedOn w:val="Normalny"/>
    <w:uiPriority w:val="99"/>
    <w:semiHidden/>
    <w:rsid w:val="002D76EE"/>
    <w:pPr>
      <w:framePr w:wrap="notBeside" w:hAnchor="text" w:xAlign="right" w:yAlign="bottom"/>
      <w:spacing w:line="180" w:lineRule="exact"/>
      <w:suppressOverlap/>
    </w:pPr>
    <w:rPr>
      <w:sz w:val="14"/>
      <w:szCs w:val="14"/>
    </w:rPr>
  </w:style>
  <w:style w:type="paragraph" w:customStyle="1" w:styleId="Cover-TitleBlock">
    <w:name w:val="Cover - Title Block"/>
    <w:basedOn w:val="Normalny"/>
    <w:next w:val="Normalny"/>
    <w:uiPriority w:val="99"/>
    <w:semiHidden/>
    <w:rsid w:val="002D76EE"/>
    <w:pPr>
      <w:spacing w:after="113" w:line="340" w:lineRule="exact"/>
    </w:pPr>
    <w:rPr>
      <w:sz w:val="32"/>
      <w:szCs w:val="32"/>
    </w:rPr>
  </w:style>
  <w:style w:type="paragraph" w:customStyle="1" w:styleId="Cover-Ref">
    <w:name w:val="Cover - Ref"/>
    <w:basedOn w:val="Normalny"/>
    <w:uiPriority w:val="99"/>
    <w:semiHidden/>
    <w:rsid w:val="002D76EE"/>
    <w:pPr>
      <w:spacing w:before="200" w:after="113" w:line="220" w:lineRule="exact"/>
    </w:pPr>
    <w:rPr>
      <w:sz w:val="18"/>
    </w:rPr>
  </w:style>
  <w:style w:type="paragraph" w:customStyle="1" w:styleId="Cover-JobTitle">
    <w:name w:val="Cover - Job Title"/>
    <w:basedOn w:val="Normalny"/>
    <w:uiPriority w:val="99"/>
    <w:semiHidden/>
    <w:rsid w:val="002D76EE"/>
    <w:pPr>
      <w:spacing w:after="113"/>
    </w:pPr>
    <w:rPr>
      <w:b/>
      <w:color w:val="28AAE1"/>
      <w:sz w:val="32"/>
    </w:rPr>
  </w:style>
  <w:style w:type="paragraph" w:customStyle="1" w:styleId="ReportLevel1">
    <w:name w:val="Report Level 1"/>
    <w:next w:val="ReportText"/>
    <w:uiPriority w:val="2"/>
    <w:qFormat/>
    <w:rsid w:val="002D76EE"/>
    <w:pPr>
      <w:keepNext/>
      <w:pBdr>
        <w:bottom w:val="single" w:sz="8" w:space="1" w:color="28AAE1"/>
      </w:pBdr>
      <w:tabs>
        <w:tab w:val="num" w:pos="1134"/>
      </w:tabs>
      <w:spacing w:before="340" w:after="227" w:line="360" w:lineRule="atLeast"/>
      <w:ind w:left="1134" w:hanging="1134"/>
      <w:outlineLvl w:val="0"/>
    </w:pPr>
    <w:rPr>
      <w:rFonts w:eastAsia="MS Mincho"/>
      <w:b/>
      <w:color w:val="28AAE1"/>
      <w:sz w:val="36"/>
      <w:szCs w:val="20"/>
      <w:lang w:eastAsia="en-US"/>
    </w:rPr>
  </w:style>
  <w:style w:type="paragraph" w:customStyle="1" w:styleId="ReportLevel2">
    <w:name w:val="Report Level 2"/>
    <w:basedOn w:val="ReportLevel1"/>
    <w:next w:val="ReportText"/>
    <w:uiPriority w:val="2"/>
    <w:qFormat/>
    <w:rsid w:val="002D76EE"/>
    <w:pPr>
      <w:numPr>
        <w:ilvl w:val="1"/>
      </w:numPr>
      <w:pBdr>
        <w:bottom w:val="none" w:sz="0" w:space="0" w:color="auto"/>
      </w:pBdr>
      <w:tabs>
        <w:tab w:val="num" w:pos="1134"/>
      </w:tabs>
      <w:spacing w:after="170" w:line="320" w:lineRule="atLeast"/>
      <w:ind w:left="1134" w:hanging="1134"/>
      <w:outlineLvl w:val="1"/>
    </w:pPr>
    <w:rPr>
      <w:sz w:val="32"/>
    </w:rPr>
  </w:style>
  <w:style w:type="paragraph" w:customStyle="1" w:styleId="ReportLevel3">
    <w:name w:val="Report Level 3"/>
    <w:basedOn w:val="ReportLevel1"/>
    <w:next w:val="ReportText"/>
    <w:uiPriority w:val="2"/>
    <w:qFormat/>
    <w:rsid w:val="002D76EE"/>
    <w:pPr>
      <w:numPr>
        <w:ilvl w:val="2"/>
      </w:numPr>
      <w:pBdr>
        <w:bottom w:val="none" w:sz="0" w:space="0" w:color="auto"/>
      </w:pBdr>
      <w:tabs>
        <w:tab w:val="num" w:pos="1134"/>
      </w:tabs>
      <w:spacing w:after="113" w:line="320" w:lineRule="exact"/>
      <w:ind w:left="1134" w:hanging="1134"/>
      <w:outlineLvl w:val="2"/>
    </w:pPr>
    <w:rPr>
      <w:sz w:val="28"/>
      <w:szCs w:val="18"/>
    </w:rPr>
  </w:style>
  <w:style w:type="paragraph" w:customStyle="1" w:styleId="ReportLevel4">
    <w:name w:val="Report Level 4"/>
    <w:basedOn w:val="ReportLevel1"/>
    <w:next w:val="ReportText"/>
    <w:uiPriority w:val="2"/>
    <w:rsid w:val="002D76EE"/>
    <w:pPr>
      <w:numPr>
        <w:ilvl w:val="3"/>
      </w:numPr>
      <w:pBdr>
        <w:bottom w:val="none" w:sz="0" w:space="0" w:color="auto"/>
      </w:pBdr>
      <w:tabs>
        <w:tab w:val="num" w:pos="1134"/>
      </w:tabs>
      <w:spacing w:after="113" w:line="320" w:lineRule="atLeast"/>
      <w:ind w:left="1134" w:hanging="1134"/>
      <w:outlineLvl w:val="3"/>
    </w:pPr>
    <w:rPr>
      <w:sz w:val="28"/>
    </w:rPr>
  </w:style>
  <w:style w:type="table" w:customStyle="1" w:styleId="Siatkatabelijasna1">
    <w:name w:val="Siatka tabeli — jasna1"/>
    <w:uiPriority w:val="99"/>
    <w:rsid w:val="002D76EE"/>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character" w:styleId="Tekstzastpczy">
    <w:name w:val="Placeholder Text"/>
    <w:basedOn w:val="Domylnaczcionkaakapitu"/>
    <w:uiPriority w:val="99"/>
    <w:rsid w:val="002D76EE"/>
    <w:rPr>
      <w:rFonts w:cs="Times New Roman"/>
      <w:color w:val="808080"/>
      <w:lang w:val="pl-PL"/>
    </w:rPr>
  </w:style>
  <w:style w:type="paragraph" w:customStyle="1" w:styleId="AppendixContents">
    <w:name w:val="Appendix Contents"/>
    <w:basedOn w:val="Normalny"/>
    <w:uiPriority w:val="99"/>
    <w:semiHidden/>
    <w:rsid w:val="002D76EE"/>
    <w:pPr>
      <w:keepNext/>
      <w:pBdr>
        <w:bottom w:val="single" w:sz="12" w:space="1" w:color="28AAE1"/>
      </w:pBdr>
      <w:spacing w:before="340" w:after="227" w:line="360" w:lineRule="exact"/>
      <w:outlineLvl w:val="0"/>
    </w:pPr>
    <w:rPr>
      <w:b/>
      <w:color w:val="28AAE1"/>
      <w:sz w:val="36"/>
    </w:rPr>
  </w:style>
  <w:style w:type="paragraph" w:customStyle="1" w:styleId="AppendixLetter">
    <w:name w:val="Appendix Letter"/>
    <w:next w:val="Normalny"/>
    <w:uiPriority w:val="99"/>
    <w:semiHidden/>
    <w:rsid w:val="000A4B48"/>
    <w:pPr>
      <w:numPr>
        <w:numId w:val="1"/>
      </w:numPr>
      <w:spacing w:after="113" w:line="360" w:lineRule="exact"/>
      <w:outlineLvl w:val="0"/>
    </w:pPr>
    <w:rPr>
      <w:rFonts w:eastAsia="MS Mincho"/>
      <w:b/>
      <w:color w:val="28AAE1"/>
      <w:sz w:val="36"/>
      <w:szCs w:val="20"/>
      <w:lang w:eastAsia="en-US"/>
    </w:rPr>
  </w:style>
  <w:style w:type="paragraph" w:customStyle="1" w:styleId="AppendixLevel1">
    <w:name w:val="Appendix Level 1"/>
    <w:next w:val="AppendixText"/>
    <w:uiPriority w:val="99"/>
    <w:semiHidden/>
    <w:rsid w:val="000A4B48"/>
    <w:pPr>
      <w:keepNext/>
      <w:numPr>
        <w:ilvl w:val="1"/>
        <w:numId w:val="1"/>
      </w:numPr>
      <w:pBdr>
        <w:bottom w:val="single" w:sz="8" w:space="1" w:color="28AAE1"/>
      </w:pBdr>
      <w:spacing w:before="340" w:after="227" w:line="360" w:lineRule="atLeast"/>
      <w:outlineLvl w:val="0"/>
    </w:pPr>
    <w:rPr>
      <w:rFonts w:eastAsia="MS Mincho"/>
      <w:b/>
      <w:color w:val="28AAE1"/>
      <w:sz w:val="36"/>
      <w:szCs w:val="28"/>
      <w:lang w:eastAsia="en-US"/>
    </w:rPr>
  </w:style>
  <w:style w:type="paragraph" w:customStyle="1" w:styleId="ReportLevel1NoNumber">
    <w:name w:val="Report Level 1 No Number"/>
    <w:basedOn w:val="ReportLevel1"/>
    <w:next w:val="ReportText"/>
    <w:uiPriority w:val="99"/>
    <w:rsid w:val="002D76EE"/>
    <w:pPr>
      <w:tabs>
        <w:tab w:val="clear" w:pos="1134"/>
      </w:tabs>
      <w:ind w:left="0" w:firstLine="0"/>
    </w:pPr>
  </w:style>
  <w:style w:type="paragraph" w:customStyle="1" w:styleId="AppendixLevel1NoNumber">
    <w:name w:val="Appendix Level 1 No Number"/>
    <w:basedOn w:val="ReportLevel1NoNumber"/>
    <w:next w:val="AppendixText"/>
    <w:uiPriority w:val="99"/>
    <w:semiHidden/>
    <w:rsid w:val="002D76EE"/>
  </w:style>
  <w:style w:type="paragraph" w:customStyle="1" w:styleId="AppendixLevel2">
    <w:name w:val="Appendix Level 2"/>
    <w:basedOn w:val="AppendixLevel1"/>
    <w:next w:val="AppendixText"/>
    <w:uiPriority w:val="99"/>
    <w:semiHidden/>
    <w:rsid w:val="000A4B48"/>
    <w:pPr>
      <w:numPr>
        <w:ilvl w:val="2"/>
      </w:numPr>
      <w:pBdr>
        <w:bottom w:val="none" w:sz="0" w:space="0" w:color="auto"/>
      </w:pBdr>
      <w:spacing w:after="170" w:line="320" w:lineRule="atLeast"/>
      <w:outlineLvl w:val="1"/>
    </w:pPr>
    <w:rPr>
      <w:sz w:val="32"/>
      <w:szCs w:val="20"/>
    </w:rPr>
  </w:style>
  <w:style w:type="paragraph" w:customStyle="1" w:styleId="AppendixLevel2NoNumber">
    <w:name w:val="Appendix Level 2 No Number"/>
    <w:basedOn w:val="AppendixLevel2"/>
    <w:next w:val="AppendixText"/>
    <w:uiPriority w:val="99"/>
    <w:semiHidden/>
    <w:rsid w:val="000A4B48"/>
    <w:pPr>
      <w:numPr>
        <w:ilvl w:val="0"/>
        <w:numId w:val="0"/>
      </w:numPr>
    </w:pPr>
  </w:style>
  <w:style w:type="paragraph" w:customStyle="1" w:styleId="AppendixLevel3">
    <w:name w:val="Appendix Level 3"/>
    <w:basedOn w:val="AppendixLevel2"/>
    <w:next w:val="AppendixText"/>
    <w:uiPriority w:val="99"/>
    <w:semiHidden/>
    <w:rsid w:val="000A4B48"/>
    <w:pPr>
      <w:numPr>
        <w:ilvl w:val="3"/>
      </w:numPr>
      <w:spacing w:after="113"/>
      <w:outlineLvl w:val="2"/>
    </w:pPr>
    <w:rPr>
      <w:sz w:val="28"/>
      <w:szCs w:val="18"/>
    </w:rPr>
  </w:style>
  <w:style w:type="paragraph" w:customStyle="1" w:styleId="AppendixLevel3NoNumber">
    <w:name w:val="Appendix Level 3 No Number"/>
    <w:basedOn w:val="AppendixLevel3"/>
    <w:next w:val="AppendixText"/>
    <w:uiPriority w:val="99"/>
    <w:semiHidden/>
    <w:rsid w:val="000A4B48"/>
    <w:pPr>
      <w:numPr>
        <w:ilvl w:val="0"/>
        <w:numId w:val="0"/>
      </w:numPr>
    </w:pPr>
  </w:style>
  <w:style w:type="paragraph" w:customStyle="1" w:styleId="AppendixLevel4">
    <w:name w:val="Appendix Level 4"/>
    <w:basedOn w:val="AppendixLevel3"/>
    <w:next w:val="AppendixText"/>
    <w:uiPriority w:val="99"/>
    <w:semiHidden/>
    <w:rsid w:val="000A4B48"/>
    <w:pPr>
      <w:numPr>
        <w:ilvl w:val="4"/>
      </w:numPr>
      <w:outlineLvl w:val="3"/>
    </w:pPr>
  </w:style>
  <w:style w:type="paragraph" w:customStyle="1" w:styleId="AppendixText">
    <w:name w:val="Appendix Text"/>
    <w:uiPriority w:val="99"/>
    <w:semiHidden/>
    <w:rsid w:val="000A4B48"/>
    <w:pPr>
      <w:spacing w:before="170" w:after="170" w:line="260" w:lineRule="atLeast"/>
    </w:pPr>
    <w:rPr>
      <w:rFonts w:eastAsia="MS Mincho"/>
      <w:sz w:val="24"/>
      <w:szCs w:val="24"/>
      <w:lang w:eastAsia="zh-CN"/>
    </w:rPr>
  </w:style>
  <w:style w:type="paragraph" w:customStyle="1" w:styleId="HR-18">
    <w:name w:val="HR-18"/>
    <w:basedOn w:val="Normalny"/>
    <w:next w:val="Normalny"/>
    <w:uiPriority w:val="99"/>
    <w:semiHidden/>
    <w:rsid w:val="002D76EE"/>
    <w:rPr>
      <w:sz w:val="36"/>
    </w:rPr>
  </w:style>
  <w:style w:type="paragraph" w:customStyle="1" w:styleId="AppendixTitle">
    <w:name w:val="Appendix Title"/>
    <w:basedOn w:val="HR-18"/>
    <w:next w:val="Normalny"/>
    <w:uiPriority w:val="99"/>
    <w:semiHidden/>
    <w:rsid w:val="002D76EE"/>
    <w:pPr>
      <w:spacing w:before="170" w:line="360" w:lineRule="atLeast"/>
      <w:outlineLvl w:val="0"/>
    </w:pPr>
  </w:style>
  <w:style w:type="paragraph" w:styleId="Tekstdymka">
    <w:name w:val="Balloon Text"/>
    <w:basedOn w:val="Normalny"/>
    <w:link w:val="TekstdymkaZnak"/>
    <w:uiPriority w:val="99"/>
    <w:semiHidden/>
    <w:rsid w:val="002D76EE"/>
    <w:rPr>
      <w:rFonts w:ascii="Tahoma" w:hAnsi="Tahoma"/>
      <w:sz w:val="16"/>
      <w:szCs w:val="16"/>
    </w:rPr>
  </w:style>
  <w:style w:type="character" w:customStyle="1" w:styleId="TekstdymkaZnak">
    <w:name w:val="Tekst dymka Znak"/>
    <w:basedOn w:val="Domylnaczcionkaakapitu"/>
    <w:link w:val="Tekstdymka"/>
    <w:uiPriority w:val="99"/>
    <w:semiHidden/>
    <w:locked/>
    <w:rsid w:val="002D76EE"/>
    <w:rPr>
      <w:rFonts w:ascii="Tahoma" w:eastAsia="MS Mincho" w:hAnsi="Tahoma"/>
      <w:sz w:val="16"/>
      <w:lang w:val="pl-PL" w:eastAsia="zh-CN"/>
    </w:rPr>
  </w:style>
  <w:style w:type="paragraph" w:styleId="Tekstpodstawowy">
    <w:name w:val="Body Text"/>
    <w:basedOn w:val="Normalny"/>
    <w:link w:val="TekstpodstawowyZnak"/>
    <w:uiPriority w:val="99"/>
    <w:semiHidden/>
    <w:rsid w:val="002D76EE"/>
    <w:pPr>
      <w:ind w:left="720"/>
    </w:pPr>
    <w:rPr>
      <w:sz w:val="20"/>
      <w:szCs w:val="20"/>
    </w:rPr>
  </w:style>
  <w:style w:type="character" w:customStyle="1" w:styleId="TekstpodstawowyZnak">
    <w:name w:val="Tekst podstawowy Znak"/>
    <w:basedOn w:val="Domylnaczcionkaakapitu"/>
    <w:link w:val="Tekstpodstawowy"/>
    <w:uiPriority w:val="99"/>
    <w:semiHidden/>
    <w:locked/>
    <w:rsid w:val="002D76EE"/>
    <w:rPr>
      <w:rFonts w:eastAsia="MS Mincho"/>
      <w:lang w:val="pl-PL" w:eastAsia="zh-CN"/>
    </w:rPr>
  </w:style>
  <w:style w:type="paragraph" w:styleId="Legenda">
    <w:name w:val="caption"/>
    <w:aliases w:val="Podpis tab.,Caption Char,Znak Char,Znak Char1,Podpis nad obiektem,Legenda Znak Znak Znak,Legenda Znak Znak,Legenda Znak Znak Znak Znak,Legenda Znak Znak Znak Znak Znak Znak,Legenda Znak Znak Znak Znak Znak Znak Znak,Tabela,Podpis pod rysunkiem"/>
    <w:basedOn w:val="Normalny"/>
    <w:next w:val="ReportText"/>
    <w:uiPriority w:val="9"/>
    <w:qFormat/>
    <w:rsid w:val="002D76EE"/>
    <w:pPr>
      <w:keepNext/>
      <w:tabs>
        <w:tab w:val="left" w:pos="1080"/>
      </w:tabs>
      <w:spacing w:before="170" w:after="170" w:line="220" w:lineRule="atLeast"/>
    </w:pPr>
    <w:rPr>
      <w:sz w:val="22"/>
    </w:rPr>
  </w:style>
  <w:style w:type="paragraph" w:styleId="Tematkomentarza">
    <w:name w:val="annotation subject"/>
    <w:basedOn w:val="Tekstkomentarza"/>
    <w:next w:val="Tekstkomentarza"/>
    <w:link w:val="TematkomentarzaZnak"/>
    <w:uiPriority w:val="99"/>
    <w:semiHidden/>
    <w:rsid w:val="002D76EE"/>
    <w:rPr>
      <w:b/>
      <w:bCs/>
    </w:rPr>
  </w:style>
  <w:style w:type="character" w:customStyle="1" w:styleId="TematkomentarzaZnak">
    <w:name w:val="Temat komentarza Znak"/>
    <w:basedOn w:val="TekstkomentarzaZnak"/>
    <w:link w:val="Tematkomentarza"/>
    <w:uiPriority w:val="99"/>
    <w:semiHidden/>
    <w:locked/>
    <w:rsid w:val="002D76EE"/>
    <w:rPr>
      <w:rFonts w:ascii="Arial" w:eastAsia="MS Mincho" w:hAnsi="Arial"/>
      <w:b/>
      <w:sz w:val="18"/>
      <w:lang w:val="pl-PL" w:eastAsia="zh-CN"/>
    </w:rPr>
  </w:style>
  <w:style w:type="character" w:customStyle="1" w:styleId="Copyright">
    <w:name w:val="Copyright"/>
    <w:basedOn w:val="Domylnaczcionkaakapitu"/>
    <w:uiPriority w:val="99"/>
    <w:rsid w:val="002D76EE"/>
    <w:rPr>
      <w:rFonts w:ascii="Times New Roman" w:hAnsi="Times New Roman" w:cs="Times New Roman"/>
      <w:sz w:val="20"/>
      <w:szCs w:val="20"/>
      <w:lang w:val="pl-PL" w:eastAsia="en-GB"/>
    </w:rPr>
  </w:style>
  <w:style w:type="paragraph" w:customStyle="1" w:styleId="CVBullets">
    <w:name w:val="CV Bullets"/>
    <w:uiPriority w:val="99"/>
    <w:rsid w:val="002D76EE"/>
    <w:pPr>
      <w:numPr>
        <w:numId w:val="5"/>
      </w:numPr>
      <w:spacing w:before="113" w:after="113" w:line="260" w:lineRule="atLeast"/>
    </w:pPr>
    <w:rPr>
      <w:rFonts w:eastAsia="MS Mincho"/>
      <w:sz w:val="24"/>
      <w:szCs w:val="24"/>
      <w:lang w:eastAsia="zh-CN"/>
    </w:rPr>
  </w:style>
  <w:style w:type="paragraph" w:customStyle="1" w:styleId="CVProjectHeading">
    <w:name w:val="CV Project Heading"/>
    <w:next w:val="Normalny"/>
    <w:uiPriority w:val="99"/>
    <w:rsid w:val="002D76EE"/>
    <w:pPr>
      <w:spacing w:after="57" w:line="260" w:lineRule="atLeast"/>
    </w:pPr>
    <w:rPr>
      <w:rFonts w:eastAsia="MS Mincho"/>
      <w:b/>
      <w:sz w:val="24"/>
      <w:szCs w:val="24"/>
      <w:lang w:eastAsia="zh-CN"/>
    </w:rPr>
  </w:style>
  <w:style w:type="paragraph" w:styleId="Mapadokumentu">
    <w:name w:val="Document Map"/>
    <w:basedOn w:val="Normalny"/>
    <w:link w:val="MapadokumentuZnak"/>
    <w:uiPriority w:val="99"/>
    <w:semiHidden/>
    <w:rsid w:val="002D76EE"/>
    <w:pPr>
      <w:shd w:val="clear" w:color="auto" w:fill="000080"/>
    </w:pPr>
    <w:rPr>
      <w:rFonts w:ascii="Arial" w:hAnsi="Arial"/>
      <w:sz w:val="18"/>
      <w:szCs w:val="20"/>
    </w:rPr>
  </w:style>
  <w:style w:type="character" w:customStyle="1" w:styleId="MapadokumentuZnak">
    <w:name w:val="Mapa dokumentu Znak"/>
    <w:basedOn w:val="Domylnaczcionkaakapitu"/>
    <w:link w:val="Mapadokumentu"/>
    <w:uiPriority w:val="99"/>
    <w:semiHidden/>
    <w:locked/>
    <w:rsid w:val="002D76EE"/>
    <w:rPr>
      <w:rFonts w:ascii="Arial" w:eastAsia="MS Mincho" w:hAnsi="Arial"/>
      <w:sz w:val="18"/>
      <w:shd w:val="clear" w:color="auto" w:fill="000080"/>
      <w:lang w:val="pl-PL" w:eastAsia="zh-CN"/>
    </w:rPr>
  </w:style>
  <w:style w:type="table" w:customStyle="1" w:styleId="Tabelasiatki1jasna1">
    <w:name w:val="Tabela siatki 1 — jasna1"/>
    <w:uiPriority w:val="99"/>
    <w:rsid w:val="002D76EE"/>
    <w:rPr>
      <w:rFonts w:eastAsia="MS Mincho"/>
      <w:sz w:val="20"/>
      <w:szCs w:val="20"/>
      <w:lang w:val="en-GB" w:eastAsia="zh-C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abelasiatki21">
    <w:name w:val="Tabela siatki 21"/>
    <w:uiPriority w:val="99"/>
    <w:rsid w:val="002D76EE"/>
    <w:rPr>
      <w:rFonts w:eastAsia="MS Mincho"/>
      <w:sz w:val="20"/>
      <w:szCs w:val="20"/>
      <w:lang w:val="en-GB" w:eastAsia="zh-CN"/>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rFonts w:cs="Times New Roman"/>
        <w:b/>
        <w:bCs/>
      </w:rPr>
      <w:tblPr/>
      <w:tcPr>
        <w:tcBorders>
          <w:top w:val="nil"/>
          <w:bottom w:val="single" w:sz="12" w:space="0" w:color="666666"/>
          <w:insideH w:val="nil"/>
          <w:insideV w:val="nil"/>
        </w:tcBorders>
        <w:shd w:val="clear" w:color="auto" w:fill="FFFFFF"/>
      </w:tcPr>
    </w:tblStylePr>
    <w:tblStylePr w:type="lastRow">
      <w:rPr>
        <w:rFonts w:cs="Times New Roman"/>
        <w:b/>
        <w:bCs/>
      </w:rPr>
      <w:tblPr/>
      <w:tcPr>
        <w:tcBorders>
          <w:top w:val="double" w:sz="2" w:space="0" w:color="666666"/>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elasiatki31">
    <w:name w:val="Tabela siatki 31"/>
    <w:uiPriority w:val="99"/>
    <w:rsid w:val="002D76EE"/>
    <w:rPr>
      <w:rFonts w:eastAsia="MS Mincho"/>
      <w:sz w:val="20"/>
      <w:szCs w:val="20"/>
      <w:lang w:val="en-GB"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Tabelasiatki41">
    <w:name w:val="Tabela siatki 41"/>
    <w:uiPriority w:val="99"/>
    <w:rsid w:val="002D76EE"/>
    <w:rPr>
      <w:rFonts w:eastAsia="MS Mincho"/>
      <w:sz w:val="20"/>
      <w:szCs w:val="20"/>
      <w:lang w:val="en-GB"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elasiatki4akcent21">
    <w:name w:val="Tabela siatki 4 — akcent 21"/>
    <w:aliases w:val="Report Table Colour"/>
    <w:uiPriority w:val="99"/>
    <w:rsid w:val="002D76EE"/>
    <w:rPr>
      <w:rFonts w:eastAsia="MS Mincho"/>
      <w:sz w:val="20"/>
      <w:szCs w:val="20"/>
      <w:lang w:val="en-GB" w:eastAsia="zh-CN"/>
    </w:rPr>
    <w:tblPr>
      <w:tblStyleRowBandSize w:val="1"/>
      <w:tblStyleColBandSize w:val="1"/>
      <w:tblInd w:w="0" w:type="dxa"/>
      <w:tblBorders>
        <w:top w:val="single" w:sz="4" w:space="0" w:color="7ECBED"/>
        <w:left w:val="single" w:sz="4" w:space="0" w:color="7ECBED"/>
        <w:bottom w:val="single" w:sz="4" w:space="0" w:color="7ECBED"/>
        <w:right w:val="single" w:sz="4" w:space="0" w:color="7ECBED"/>
        <w:insideH w:val="single" w:sz="4" w:space="0" w:color="7ECBED"/>
        <w:insideV w:val="single" w:sz="4" w:space="0" w:color="7ECBED"/>
      </w:tblBorders>
      <w:tblCellMar>
        <w:top w:w="0" w:type="dxa"/>
        <w:left w:w="108" w:type="dxa"/>
        <w:bottom w:w="0" w:type="dxa"/>
        <w:right w:w="108" w:type="dxa"/>
      </w:tblCellMar>
    </w:tblPr>
    <w:tblStylePr w:type="firstRow">
      <w:rPr>
        <w:rFonts w:cs="Times New Roman"/>
        <w:b/>
        <w:bCs/>
        <w:color w:val="FFFFFF"/>
      </w:rPr>
      <w:tblPr/>
      <w:tcPr>
        <w:tcBorders>
          <w:top w:val="single" w:sz="4" w:space="0" w:color="28AAE1"/>
          <w:left w:val="single" w:sz="4" w:space="0" w:color="28AAE1"/>
          <w:bottom w:val="single" w:sz="4" w:space="0" w:color="28AAE1"/>
          <w:right w:val="single" w:sz="4" w:space="0" w:color="28AAE1"/>
          <w:insideH w:val="nil"/>
          <w:insideV w:val="nil"/>
        </w:tcBorders>
        <w:shd w:val="clear" w:color="auto" w:fill="28AAE1"/>
      </w:tcPr>
    </w:tblStylePr>
    <w:tblStylePr w:type="lastRow">
      <w:rPr>
        <w:rFonts w:cs="Times New Roman"/>
        <w:b w:val="0"/>
        <w:bCs/>
      </w:rPr>
      <w:tblPr/>
      <w:tcPr>
        <w:tcBorders>
          <w:top w:val="double" w:sz="4" w:space="0" w:color="28AAE1"/>
        </w:tcBorders>
      </w:tcPr>
    </w:tblStylePr>
    <w:tblStylePr w:type="firstCol">
      <w:rPr>
        <w:rFonts w:cs="Times New Roman"/>
        <w:b w:val="0"/>
        <w:bCs/>
      </w:rPr>
    </w:tblStylePr>
    <w:tblStylePr w:type="lastCol">
      <w:rPr>
        <w:rFonts w:cs="Times New Roman"/>
        <w:b w:val="0"/>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siatki5ciemna1">
    <w:name w:val="Tabela siatki 5 — ciemna1"/>
    <w:uiPriority w:val="99"/>
    <w:rsid w:val="002D76EE"/>
    <w:rPr>
      <w:rFonts w:eastAsia="MS Mincho"/>
      <w:sz w:val="20"/>
      <w:szCs w:val="20"/>
      <w:lang w:val="en-GB"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Tabelasiatki6kolorowa1">
    <w:name w:val="Tabela siatki 6 — kolorowa1"/>
    <w:uiPriority w:val="99"/>
    <w:rsid w:val="002D76EE"/>
    <w:rPr>
      <w:rFonts w:eastAsia="MS Mincho"/>
      <w:color w:val="000000"/>
      <w:sz w:val="20"/>
      <w:szCs w:val="20"/>
      <w:lang w:val="en-GB" w:eastAsia="zh-CN"/>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paragraph" w:customStyle="1" w:styleId="Headinginput">
    <w:name w:val="Heading input"/>
    <w:next w:val="Normalny"/>
    <w:uiPriority w:val="99"/>
    <w:semiHidden/>
    <w:rsid w:val="002D76EE"/>
    <w:pPr>
      <w:spacing w:before="60"/>
    </w:pPr>
    <w:rPr>
      <w:rFonts w:ascii="Arial" w:hAnsi="Arial"/>
      <w:sz w:val="18"/>
      <w:szCs w:val="18"/>
      <w:lang w:eastAsia="en-US"/>
    </w:rPr>
  </w:style>
  <w:style w:type="character" w:customStyle="1" w:styleId="HR-12">
    <w:name w:val="HR-12"/>
    <w:uiPriority w:val="99"/>
    <w:semiHidden/>
    <w:rsid w:val="002D76EE"/>
    <w:rPr>
      <w:rFonts w:ascii="Arial" w:hAnsi="Arial"/>
      <w:sz w:val="24"/>
      <w:lang w:val="pl-PL"/>
    </w:rPr>
  </w:style>
  <w:style w:type="paragraph" w:customStyle="1" w:styleId="HR-14">
    <w:name w:val="HR-14"/>
    <w:basedOn w:val="Normalny"/>
    <w:next w:val="Normalny"/>
    <w:uiPriority w:val="99"/>
    <w:semiHidden/>
    <w:rsid w:val="002D76EE"/>
    <w:rPr>
      <w:sz w:val="28"/>
    </w:rPr>
  </w:style>
  <w:style w:type="paragraph" w:styleId="Lista">
    <w:name w:val="List"/>
    <w:basedOn w:val="Normalny"/>
    <w:uiPriority w:val="99"/>
    <w:semiHidden/>
    <w:rsid w:val="002D76EE"/>
    <w:pPr>
      <w:spacing w:before="113" w:after="113" w:line="260" w:lineRule="exact"/>
      <w:ind w:left="357" w:hanging="357"/>
    </w:pPr>
  </w:style>
  <w:style w:type="paragraph" w:styleId="Lista2">
    <w:name w:val="List 2"/>
    <w:basedOn w:val="Lista"/>
    <w:uiPriority w:val="99"/>
    <w:semiHidden/>
    <w:rsid w:val="002D76EE"/>
  </w:style>
  <w:style w:type="paragraph" w:styleId="Listanumerowana">
    <w:name w:val="List Number"/>
    <w:basedOn w:val="Normalny"/>
    <w:uiPriority w:val="99"/>
    <w:semiHidden/>
    <w:rsid w:val="002D76EE"/>
    <w:pPr>
      <w:numPr>
        <w:numId w:val="2"/>
      </w:numPr>
      <w:spacing w:before="113" w:after="113" w:line="260" w:lineRule="exact"/>
      <w:contextualSpacing/>
    </w:pPr>
  </w:style>
  <w:style w:type="paragraph" w:styleId="Akapitzlist">
    <w:name w:val="List Paragraph"/>
    <w:aliases w:val="List_Paragraph,Multilevel para_II,List Paragraph1,Akapit z listą BS,Bullet1,Bullets,List Paragraph 1,References,List Paragraph (numbered (a)),IBL List Paragraph,List Paragraph nowy,Numbered List Paragraph,WYPUNKTOWANIE Akapit z listą,Ha"/>
    <w:basedOn w:val="Normalny"/>
    <w:link w:val="AkapitzlistZnak"/>
    <w:uiPriority w:val="36"/>
    <w:qFormat/>
    <w:rsid w:val="002D76EE"/>
    <w:pPr>
      <w:ind w:left="720"/>
      <w:contextualSpacing/>
    </w:pPr>
    <w:rPr>
      <w:sz w:val="20"/>
      <w:szCs w:val="20"/>
    </w:rPr>
  </w:style>
  <w:style w:type="paragraph" w:styleId="NormalnyWeb">
    <w:name w:val="Normal (Web)"/>
    <w:basedOn w:val="Normalny"/>
    <w:uiPriority w:val="99"/>
    <w:rsid w:val="002D76EE"/>
    <w:pPr>
      <w:spacing w:before="100" w:beforeAutospacing="1"/>
    </w:pPr>
  </w:style>
  <w:style w:type="paragraph" w:styleId="Wcicienormalne">
    <w:name w:val="Normal Indent"/>
    <w:basedOn w:val="Normalny"/>
    <w:uiPriority w:val="99"/>
    <w:semiHidden/>
    <w:rsid w:val="002D76EE"/>
    <w:pPr>
      <w:ind w:left="720"/>
    </w:pPr>
  </w:style>
  <w:style w:type="paragraph" w:customStyle="1" w:styleId="ReportExecSummary">
    <w:name w:val="Report Exec Summary"/>
    <w:basedOn w:val="ReportLevel1NoNumber"/>
    <w:next w:val="Normalny"/>
    <w:uiPriority w:val="99"/>
    <w:rsid w:val="002D76EE"/>
    <w:pPr>
      <w:spacing w:before="0"/>
    </w:pPr>
  </w:style>
  <w:style w:type="paragraph" w:customStyle="1" w:styleId="ReportText">
    <w:name w:val="Report Text"/>
    <w:aliases w:val="Left:  0 cm,caext"/>
    <w:link w:val="ReportTextChar"/>
    <w:uiPriority w:val="3"/>
    <w:qFormat/>
    <w:rsid w:val="002D76EE"/>
    <w:pPr>
      <w:spacing w:before="170" w:after="170" w:line="260" w:lineRule="atLeast"/>
    </w:pPr>
    <w:rPr>
      <w:rFonts w:eastAsia="MS Mincho"/>
      <w:sz w:val="24"/>
      <w:szCs w:val="20"/>
      <w:lang w:eastAsia="en-US"/>
    </w:rPr>
  </w:style>
  <w:style w:type="character" w:customStyle="1" w:styleId="ReportTextChar">
    <w:name w:val="Report Text Char"/>
    <w:basedOn w:val="Domylnaczcionkaakapitu"/>
    <w:link w:val="ReportText"/>
    <w:uiPriority w:val="3"/>
    <w:locked/>
    <w:rsid w:val="002D76EE"/>
    <w:rPr>
      <w:rFonts w:eastAsia="MS Mincho" w:cs="Times New Roman"/>
      <w:sz w:val="24"/>
      <w:lang w:val="pl-PL" w:eastAsia="en-US" w:bidi="ar-SA"/>
    </w:rPr>
  </w:style>
  <w:style w:type="paragraph" w:customStyle="1" w:styleId="ReportExecSummaryText">
    <w:name w:val="Report Exec Summary Text"/>
    <w:basedOn w:val="ReportText"/>
    <w:uiPriority w:val="99"/>
    <w:rsid w:val="002D76EE"/>
  </w:style>
  <w:style w:type="table" w:customStyle="1" w:styleId="ReportImageOnly">
    <w:name w:val="Report Image Only"/>
    <w:uiPriority w:val="99"/>
    <w:rsid w:val="002D76EE"/>
    <w:rPr>
      <w:rFonts w:eastAsia="MS Mincho"/>
      <w:sz w:val="20"/>
      <w:szCs w:val="20"/>
      <w:lang w:eastAsia="zh-CN"/>
    </w:rPr>
    <w:tblPr>
      <w:tblInd w:w="0" w:type="dxa"/>
      <w:tblCellMar>
        <w:top w:w="0" w:type="dxa"/>
        <w:left w:w="0" w:type="dxa"/>
        <w:bottom w:w="0" w:type="dxa"/>
        <w:right w:w="0" w:type="dxa"/>
      </w:tblCellMar>
    </w:tblPr>
  </w:style>
  <w:style w:type="paragraph" w:customStyle="1" w:styleId="ReportInsertPicture">
    <w:name w:val="Report Insert Picture"/>
    <w:next w:val="ReportText"/>
    <w:uiPriority w:val="99"/>
    <w:rsid w:val="002D76EE"/>
    <w:rPr>
      <w:rFonts w:eastAsia="MS Mincho"/>
      <w:sz w:val="24"/>
      <w:szCs w:val="20"/>
      <w:lang w:eastAsia="en-US"/>
    </w:rPr>
  </w:style>
  <w:style w:type="paragraph" w:customStyle="1" w:styleId="ReportLevel2NoNumber">
    <w:name w:val="Report Level 2 No Number"/>
    <w:basedOn w:val="ReportLevel2"/>
    <w:next w:val="ReportText"/>
    <w:uiPriority w:val="99"/>
    <w:rsid w:val="002D76EE"/>
    <w:pPr>
      <w:numPr>
        <w:ilvl w:val="0"/>
      </w:numPr>
      <w:tabs>
        <w:tab w:val="num" w:pos="1134"/>
      </w:tabs>
      <w:ind w:left="1134" w:hanging="1134"/>
    </w:pPr>
  </w:style>
  <w:style w:type="paragraph" w:customStyle="1" w:styleId="ReportLevel3NoNumber">
    <w:name w:val="Report Level 3 No Number"/>
    <w:basedOn w:val="ReportLevel3"/>
    <w:next w:val="ReportText"/>
    <w:uiPriority w:val="99"/>
    <w:rsid w:val="002D76EE"/>
    <w:pPr>
      <w:numPr>
        <w:ilvl w:val="0"/>
      </w:numPr>
      <w:tabs>
        <w:tab w:val="num" w:pos="1134"/>
      </w:tabs>
      <w:spacing w:after="80" w:line="320" w:lineRule="atLeast"/>
      <w:ind w:left="1134" w:hanging="1134"/>
    </w:pPr>
  </w:style>
  <w:style w:type="paragraph" w:customStyle="1" w:styleId="ReportLevel4NoNumber">
    <w:name w:val="Report Level 4 No Number"/>
    <w:basedOn w:val="ReportLevel3NoNumber"/>
    <w:next w:val="ReportText"/>
    <w:uiPriority w:val="99"/>
    <w:rsid w:val="002D76EE"/>
    <w:pPr>
      <w:spacing w:before="240" w:line="260" w:lineRule="atLeast"/>
    </w:pPr>
    <w:rPr>
      <w:color w:val="auto"/>
      <w:sz w:val="24"/>
      <w:szCs w:val="24"/>
    </w:rPr>
  </w:style>
  <w:style w:type="paragraph" w:customStyle="1" w:styleId="ReportList">
    <w:name w:val="Report List"/>
    <w:basedOn w:val="ReportText"/>
    <w:uiPriority w:val="99"/>
    <w:rsid w:val="002D76EE"/>
    <w:pPr>
      <w:spacing w:before="0" w:after="0"/>
    </w:pPr>
  </w:style>
  <w:style w:type="paragraph" w:customStyle="1" w:styleId="ReportList1">
    <w:name w:val="Report List 1"/>
    <w:basedOn w:val="Lista"/>
    <w:uiPriority w:val="2"/>
    <w:qFormat/>
    <w:rsid w:val="002D76EE"/>
    <w:pPr>
      <w:numPr>
        <w:numId w:val="7"/>
      </w:numPr>
      <w:spacing w:line="260" w:lineRule="atLeast"/>
    </w:pPr>
  </w:style>
  <w:style w:type="paragraph" w:customStyle="1" w:styleId="ReportList-Colour">
    <w:name w:val="Report List - Colour"/>
    <w:basedOn w:val="ReportList1"/>
    <w:uiPriority w:val="99"/>
    <w:rsid w:val="002D76EE"/>
    <w:pPr>
      <w:numPr>
        <w:numId w:val="0"/>
      </w:numPr>
      <w:spacing w:before="120" w:after="120"/>
    </w:pPr>
    <w:rPr>
      <w:szCs w:val="21"/>
    </w:rPr>
  </w:style>
  <w:style w:type="paragraph" w:customStyle="1" w:styleId="ReportList2">
    <w:name w:val="Report List 2"/>
    <w:basedOn w:val="ReportList1"/>
    <w:uiPriority w:val="2"/>
    <w:rsid w:val="002D76EE"/>
    <w:pPr>
      <w:numPr>
        <w:ilvl w:val="1"/>
      </w:numPr>
      <w:spacing w:before="0" w:after="0"/>
    </w:pPr>
  </w:style>
  <w:style w:type="paragraph" w:customStyle="1" w:styleId="ReportListNumber">
    <w:name w:val="Report List Number"/>
    <w:link w:val="ReportListNumberZnak"/>
    <w:uiPriority w:val="99"/>
    <w:rsid w:val="002D76EE"/>
    <w:pPr>
      <w:spacing w:before="113" w:after="113" w:line="260" w:lineRule="atLeast"/>
      <w:ind w:left="720" w:hanging="360"/>
    </w:pPr>
    <w:rPr>
      <w:rFonts w:eastAsia="MS Mincho"/>
      <w:sz w:val="24"/>
      <w:szCs w:val="24"/>
      <w:lang w:eastAsia="zh-CN"/>
    </w:rPr>
  </w:style>
  <w:style w:type="paragraph" w:customStyle="1" w:styleId="ReportTableText">
    <w:name w:val="Report Table Text"/>
    <w:basedOn w:val="ReportText"/>
    <w:uiPriority w:val="99"/>
    <w:rsid w:val="002D76EE"/>
    <w:pPr>
      <w:spacing w:before="57" w:after="57" w:line="200" w:lineRule="atLeast"/>
    </w:pPr>
    <w:rPr>
      <w:sz w:val="20"/>
    </w:rPr>
  </w:style>
  <w:style w:type="paragraph" w:customStyle="1" w:styleId="ReportPicTextBox">
    <w:name w:val="Report Pic+Text Box"/>
    <w:basedOn w:val="ReportTableText"/>
    <w:uiPriority w:val="99"/>
    <w:rsid w:val="002D76EE"/>
    <w:pPr>
      <w:spacing w:before="170" w:after="113"/>
      <w:ind w:left="170" w:right="113"/>
    </w:pPr>
  </w:style>
  <w:style w:type="paragraph" w:customStyle="1" w:styleId="ReportReference">
    <w:name w:val="Report Reference"/>
    <w:uiPriority w:val="99"/>
    <w:rsid w:val="002D76EE"/>
    <w:pPr>
      <w:numPr>
        <w:numId w:val="6"/>
      </w:numPr>
      <w:tabs>
        <w:tab w:val="left" w:pos="680"/>
        <w:tab w:val="left" w:pos="1247"/>
      </w:tabs>
      <w:spacing w:before="170" w:after="170" w:line="260" w:lineRule="atLeast"/>
    </w:pPr>
    <w:rPr>
      <w:sz w:val="24"/>
      <w:szCs w:val="20"/>
      <w:lang w:eastAsia="en-US"/>
    </w:rPr>
  </w:style>
  <w:style w:type="table" w:customStyle="1" w:styleId="ReportSummaryTable">
    <w:name w:val="Report Summary Table"/>
    <w:uiPriority w:val="99"/>
    <w:rsid w:val="002D76EE"/>
    <w:rPr>
      <w:rFonts w:eastAsia="MS Mincho"/>
      <w:sz w:val="20"/>
      <w:szCs w:val="20"/>
      <w:lang w:eastAsia="zh-CN"/>
    </w:rPr>
    <w:tblPr>
      <w:tblInd w:w="0" w:type="dxa"/>
      <w:tblCellMar>
        <w:top w:w="0" w:type="dxa"/>
        <w:left w:w="0" w:type="dxa"/>
        <w:bottom w:w="170" w:type="dxa"/>
        <w:right w:w="0" w:type="dxa"/>
      </w:tblCellMar>
    </w:tblPr>
    <w:tcPr>
      <w:shd w:val="clear" w:color="auto" w:fill="DADADA"/>
    </w:tcPr>
  </w:style>
  <w:style w:type="table" w:customStyle="1" w:styleId="ReportTable">
    <w:name w:val="Report Table"/>
    <w:uiPriority w:val="99"/>
    <w:rsid w:val="002D76EE"/>
    <w:rPr>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cs="Times New Roman"/>
        <w:b/>
      </w:rPr>
      <w:tblPr/>
      <w:tcPr>
        <w:shd w:val="clear" w:color="auto" w:fill="DADADA"/>
      </w:tcPr>
    </w:tblStylePr>
  </w:style>
  <w:style w:type="table" w:styleId="Tabela-Siatka1">
    <w:name w:val="Table Grid 1"/>
    <w:basedOn w:val="Standardowy"/>
    <w:uiPriority w:val="99"/>
    <w:semiHidden/>
    <w:rsid w:val="002D76EE"/>
    <w:rPr>
      <w:rFonts w:eastAsia="MS Mincho"/>
      <w:sz w:val="20"/>
      <w:szCs w:val="20"/>
      <w:lang w:eastAsia="zh-C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ReportTable-Colour">
    <w:name w:val="Report Table - Colour"/>
    <w:basedOn w:val="Tabela-Siatka1"/>
    <w:uiPriority w:val="99"/>
    <w:rsid w:val="002D76EE"/>
    <w:rPr>
      <w:sz w:val="22"/>
      <w:lang w:eastAsia="en-GB"/>
    </w:rPr>
    <w:tblPr>
      <w:tblBorders>
        <w:top w:val="single" w:sz="4" w:space="0" w:color="28AAE1"/>
        <w:left w:val="single" w:sz="4" w:space="0" w:color="28AAE1"/>
        <w:bottom w:val="single" w:sz="4" w:space="0" w:color="28AAE1"/>
        <w:right w:val="single" w:sz="4" w:space="0" w:color="28AAE1"/>
        <w:insideH w:val="single" w:sz="4" w:space="0" w:color="28AAE1"/>
        <w:insideV w:val="single" w:sz="4" w:space="0" w:color="28AAE1"/>
      </w:tblBorders>
    </w:tblPr>
    <w:tblStylePr w:type="firstRow">
      <w:rPr>
        <w:rFonts w:cs="Times New Roman"/>
        <w:b/>
        <w:color w:val="FFFFFF"/>
      </w:rPr>
      <w:tblPr/>
      <w:tcPr>
        <w:shd w:val="clear" w:color="auto" w:fill="28AAE1"/>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customStyle="1" w:styleId="ReportTableNoSpacing">
    <w:name w:val="Report Table No Spacing"/>
    <w:uiPriority w:val="99"/>
    <w:rsid w:val="007C358C"/>
    <w:rPr>
      <w:rFonts w:eastAsia="MS Mincho"/>
      <w:sz w:val="20"/>
      <w:szCs w:val="20"/>
      <w:lang w:eastAsia="en-US"/>
    </w:rPr>
  </w:style>
  <w:style w:type="table" w:customStyle="1" w:styleId="ReportTablewithoutheader">
    <w:name w:val="Report Table without header"/>
    <w:basedOn w:val="ReportTable"/>
    <w:uiPriority w:val="99"/>
    <w:rsid w:val="002D76EE"/>
    <w:tblPr/>
    <w:tblStylePr w:type="firstRow">
      <w:rPr>
        <w:rFonts w:cs="Times New Roman"/>
        <w:b w:val="0"/>
      </w:rPr>
      <w:tblPr/>
      <w:tcPr>
        <w:shd w:val="clear" w:color="auto" w:fill="FFFFFF"/>
      </w:tcPr>
    </w:tblStylePr>
  </w:style>
  <w:style w:type="character" w:styleId="Pogrubienie">
    <w:name w:val="Strong"/>
    <w:basedOn w:val="Domylnaczcionkaakapitu"/>
    <w:uiPriority w:val="99"/>
    <w:qFormat/>
    <w:rsid w:val="002D76EE"/>
    <w:rPr>
      <w:rFonts w:cs="Times New Roman"/>
      <w:b/>
      <w:bCs/>
      <w:lang w:val="pl-PL"/>
    </w:rPr>
  </w:style>
  <w:style w:type="paragraph" w:customStyle="1" w:styleId="SubmissionCoverTitle">
    <w:name w:val="Submission Cover Title"/>
    <w:next w:val="Normalny"/>
    <w:uiPriority w:val="99"/>
    <w:semiHidden/>
    <w:rsid w:val="002D76EE"/>
    <w:pPr>
      <w:spacing w:before="200" w:after="200" w:line="520" w:lineRule="atLeast"/>
    </w:pPr>
    <w:rPr>
      <w:rFonts w:eastAsia="MS Mincho"/>
      <w:color w:val="28AAE1"/>
      <w:sz w:val="50"/>
      <w:szCs w:val="50"/>
      <w:lang w:eastAsia="zh-CN"/>
    </w:rPr>
  </w:style>
  <w:style w:type="table" w:styleId="Tabela-Siatka">
    <w:name w:val="Table Grid"/>
    <w:basedOn w:val="Standardowy"/>
    <w:uiPriority w:val="99"/>
    <w:rsid w:val="002D76EE"/>
    <w:rPr>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rsid w:val="002D76EE"/>
    <w:pPr>
      <w:tabs>
        <w:tab w:val="left" w:pos="1247"/>
      </w:tabs>
      <w:spacing w:after="60" w:line="260" w:lineRule="exact"/>
      <w:ind w:left="1247" w:hanging="1247"/>
    </w:pPr>
  </w:style>
  <w:style w:type="paragraph" w:styleId="Spistreci2">
    <w:name w:val="toc 2"/>
    <w:aliases w:val="Report Contents Level 2"/>
    <w:basedOn w:val="Spistreci1"/>
    <w:next w:val="Normalny"/>
    <w:uiPriority w:val="39"/>
    <w:rsid w:val="002D76EE"/>
    <w:pPr>
      <w:spacing w:before="0" w:after="60"/>
      <w:ind w:left="1815" w:hanging="964"/>
    </w:pPr>
    <w:rPr>
      <w:b w:val="0"/>
    </w:rPr>
  </w:style>
  <w:style w:type="paragraph" w:styleId="Spistreci3">
    <w:name w:val="toc 3"/>
    <w:aliases w:val="Report Contents Level 3"/>
    <w:basedOn w:val="Spistreci2"/>
    <w:next w:val="Normalny"/>
    <w:uiPriority w:val="99"/>
    <w:rsid w:val="002D76EE"/>
    <w:pPr>
      <w:ind w:left="851" w:firstLine="0"/>
    </w:pPr>
  </w:style>
  <w:style w:type="paragraph" w:styleId="Spistreci4">
    <w:name w:val="toc 4"/>
    <w:aliases w:val="Report Contents Level 4"/>
    <w:basedOn w:val="Spistreci3"/>
    <w:next w:val="Normalny"/>
    <w:uiPriority w:val="99"/>
    <w:rsid w:val="002D76EE"/>
    <w:pPr>
      <w:ind w:left="0"/>
    </w:pPr>
  </w:style>
  <w:style w:type="paragraph" w:styleId="Spistreci8">
    <w:name w:val="toc 8"/>
    <w:aliases w:val="ArupSpec Level 2"/>
    <w:basedOn w:val="Normalny"/>
    <w:next w:val="Normalny"/>
    <w:uiPriority w:val="99"/>
    <w:semiHidden/>
    <w:rsid w:val="002D76EE"/>
    <w:pPr>
      <w:tabs>
        <w:tab w:val="right" w:pos="7938"/>
      </w:tabs>
      <w:spacing w:after="60" w:line="260" w:lineRule="exact"/>
      <w:ind w:left="851" w:right="170" w:hanging="851"/>
    </w:pPr>
    <w:rPr>
      <w:noProof/>
    </w:rPr>
  </w:style>
  <w:style w:type="paragraph" w:styleId="Spistreci9">
    <w:name w:val="toc 9"/>
    <w:aliases w:val="Report Contents Exec Summary"/>
    <w:basedOn w:val="Spistreci1"/>
    <w:next w:val="Normalny"/>
    <w:uiPriority w:val="39"/>
    <w:rsid w:val="002D76EE"/>
  </w:style>
  <w:style w:type="paragraph" w:styleId="Poprawka">
    <w:name w:val="Revision"/>
    <w:hidden/>
    <w:uiPriority w:val="99"/>
    <w:semiHidden/>
    <w:rsid w:val="004419DD"/>
    <w:rPr>
      <w:rFonts w:eastAsia="MS Mincho"/>
      <w:sz w:val="24"/>
      <w:szCs w:val="24"/>
      <w:lang w:val="en-GB" w:eastAsia="zh-CN"/>
    </w:rPr>
  </w:style>
  <w:style w:type="paragraph" w:customStyle="1" w:styleId="ClientsName">
    <w:name w:val="Clients Name"/>
    <w:basedOn w:val="Normalny"/>
    <w:uiPriority w:val="99"/>
    <w:semiHidden/>
    <w:rsid w:val="0089422F"/>
    <w:pPr>
      <w:spacing w:line="260" w:lineRule="atLeast"/>
    </w:pPr>
    <w:rPr>
      <w:szCs w:val="21"/>
    </w:rPr>
  </w:style>
  <w:style w:type="paragraph" w:styleId="Adresnakopercie">
    <w:name w:val="envelope address"/>
    <w:basedOn w:val="Normalny"/>
    <w:uiPriority w:val="99"/>
    <w:semiHidden/>
    <w:rsid w:val="006A7CE0"/>
    <w:pPr>
      <w:framePr w:w="7920" w:h="1980" w:hRule="exact" w:hSpace="141" w:wrap="auto" w:hAnchor="page" w:xAlign="center" w:yAlign="bottom"/>
      <w:ind w:left="2880"/>
    </w:pPr>
    <w:rPr>
      <w:rFonts w:eastAsia="MS Gothic"/>
    </w:rPr>
  </w:style>
  <w:style w:type="paragraph" w:styleId="Adreszwrotnynakopercie">
    <w:name w:val="envelope return"/>
    <w:basedOn w:val="Normalny"/>
    <w:uiPriority w:val="99"/>
    <w:semiHidden/>
    <w:rsid w:val="006A7CE0"/>
    <w:rPr>
      <w:rFonts w:eastAsia="MS Gothic"/>
      <w:sz w:val="20"/>
      <w:szCs w:val="20"/>
    </w:rPr>
  </w:style>
  <w:style w:type="paragraph" w:styleId="Bezodstpw">
    <w:name w:val="No Spacing"/>
    <w:uiPriority w:val="99"/>
    <w:qFormat/>
    <w:rsid w:val="006A7CE0"/>
    <w:rPr>
      <w:rFonts w:eastAsia="MS Mincho"/>
      <w:sz w:val="24"/>
      <w:szCs w:val="24"/>
      <w:lang w:eastAsia="zh-CN"/>
    </w:rPr>
  </w:style>
  <w:style w:type="paragraph" w:styleId="Bibliografia">
    <w:name w:val="Bibliography"/>
    <w:basedOn w:val="Normalny"/>
    <w:next w:val="Normalny"/>
    <w:uiPriority w:val="99"/>
    <w:semiHidden/>
    <w:rsid w:val="006A7CE0"/>
  </w:style>
  <w:style w:type="table" w:styleId="Ciemnalista">
    <w:name w:val="Dark List"/>
    <w:basedOn w:val="Standardowy"/>
    <w:uiPriority w:val="99"/>
    <w:semiHidden/>
    <w:rsid w:val="006A7CE0"/>
    <w:rPr>
      <w:color w:val="FFFFFF"/>
      <w:sz w:val="20"/>
      <w:szCs w:val="20"/>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Ciemnalistaakcent2">
    <w:name w:val="Dark List Accent 2"/>
    <w:basedOn w:val="Standardowy"/>
    <w:uiPriority w:val="99"/>
    <w:semiHidden/>
    <w:rsid w:val="006A7CE0"/>
    <w:rPr>
      <w:color w:val="FFFFFF"/>
      <w:sz w:val="20"/>
      <w:szCs w:val="20"/>
    </w:rPr>
    <w:tblPr>
      <w:tblStyleRowBandSize w:val="1"/>
      <w:tblStyleColBandSize w:val="1"/>
    </w:tblPr>
    <w:tcPr>
      <w:shd w:val="clear" w:color="auto" w:fill="28AAE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05573"/>
      </w:tcPr>
    </w:tblStylePr>
    <w:tblStylePr w:type="firstCol">
      <w:rPr>
        <w:rFonts w:cs="Times New Roman"/>
      </w:rPr>
      <w:tblPr/>
      <w:tcPr>
        <w:tcBorders>
          <w:top w:val="nil"/>
          <w:left w:val="nil"/>
          <w:bottom w:val="nil"/>
          <w:right w:val="single" w:sz="18" w:space="0" w:color="FFFFFF"/>
          <w:insideH w:val="nil"/>
          <w:insideV w:val="nil"/>
        </w:tcBorders>
        <w:shd w:val="clear" w:color="auto" w:fill="1881AE"/>
      </w:tcPr>
    </w:tblStylePr>
    <w:tblStylePr w:type="lastCol">
      <w:rPr>
        <w:rFonts w:cs="Times New Roman"/>
      </w:rPr>
      <w:tblPr/>
      <w:tcPr>
        <w:tcBorders>
          <w:top w:val="nil"/>
          <w:left w:val="single" w:sz="18" w:space="0" w:color="FFFFFF"/>
          <w:bottom w:val="nil"/>
          <w:right w:val="nil"/>
          <w:insideH w:val="nil"/>
          <w:insideV w:val="nil"/>
        </w:tcBorders>
        <w:shd w:val="clear" w:color="auto" w:fill="1881AE"/>
      </w:tcPr>
    </w:tblStylePr>
    <w:tblStylePr w:type="band1Vert">
      <w:rPr>
        <w:rFonts w:cs="Times New Roman"/>
      </w:rPr>
      <w:tblPr/>
      <w:tcPr>
        <w:tcBorders>
          <w:top w:val="nil"/>
          <w:left w:val="nil"/>
          <w:bottom w:val="nil"/>
          <w:right w:val="nil"/>
          <w:insideH w:val="nil"/>
          <w:insideV w:val="nil"/>
        </w:tcBorders>
        <w:shd w:val="clear" w:color="auto" w:fill="1881AE"/>
      </w:tcPr>
    </w:tblStylePr>
    <w:tblStylePr w:type="band1Horz">
      <w:rPr>
        <w:rFonts w:cs="Times New Roman"/>
      </w:rPr>
      <w:tblPr/>
      <w:tcPr>
        <w:tcBorders>
          <w:top w:val="nil"/>
          <w:left w:val="nil"/>
          <w:bottom w:val="nil"/>
          <w:right w:val="nil"/>
          <w:insideH w:val="nil"/>
          <w:insideV w:val="nil"/>
        </w:tcBorders>
        <w:shd w:val="clear" w:color="auto" w:fill="1881AE"/>
      </w:tcPr>
    </w:tblStylePr>
  </w:style>
  <w:style w:type="table" w:styleId="Ciemnalistaakcent3">
    <w:name w:val="Dark List Accent 3"/>
    <w:basedOn w:val="Standardowy"/>
    <w:uiPriority w:val="99"/>
    <w:semiHidden/>
    <w:rsid w:val="006A7CE0"/>
    <w:rPr>
      <w:color w:val="FFFFFF"/>
      <w:sz w:val="20"/>
      <w:szCs w:val="20"/>
    </w:rPr>
    <w:tblPr>
      <w:tblStyleRowBandSize w:val="1"/>
      <w:tblStyleColBandSize w:val="1"/>
    </w:tblPr>
    <w:tcPr>
      <w:shd w:val="clear" w:color="auto" w:fill="F05023"/>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2208"/>
      </w:tcPr>
    </w:tblStylePr>
    <w:tblStylePr w:type="firstCol">
      <w:rPr>
        <w:rFonts w:cs="Times New Roman"/>
      </w:rPr>
      <w:tblPr/>
      <w:tcPr>
        <w:tcBorders>
          <w:top w:val="nil"/>
          <w:left w:val="nil"/>
          <w:bottom w:val="nil"/>
          <w:right w:val="single" w:sz="18" w:space="0" w:color="FFFFFF"/>
          <w:insideH w:val="nil"/>
          <w:insideV w:val="nil"/>
        </w:tcBorders>
        <w:shd w:val="clear" w:color="auto" w:fill="C0330D"/>
      </w:tcPr>
    </w:tblStylePr>
    <w:tblStylePr w:type="lastCol">
      <w:rPr>
        <w:rFonts w:cs="Times New Roman"/>
      </w:rPr>
      <w:tblPr/>
      <w:tcPr>
        <w:tcBorders>
          <w:top w:val="nil"/>
          <w:left w:val="single" w:sz="18" w:space="0" w:color="FFFFFF"/>
          <w:bottom w:val="nil"/>
          <w:right w:val="nil"/>
          <w:insideH w:val="nil"/>
          <w:insideV w:val="nil"/>
        </w:tcBorders>
        <w:shd w:val="clear" w:color="auto" w:fill="C0330D"/>
      </w:tcPr>
    </w:tblStylePr>
    <w:tblStylePr w:type="band1Vert">
      <w:rPr>
        <w:rFonts w:cs="Times New Roman"/>
      </w:rPr>
      <w:tblPr/>
      <w:tcPr>
        <w:tcBorders>
          <w:top w:val="nil"/>
          <w:left w:val="nil"/>
          <w:bottom w:val="nil"/>
          <w:right w:val="nil"/>
          <w:insideH w:val="nil"/>
          <w:insideV w:val="nil"/>
        </w:tcBorders>
        <w:shd w:val="clear" w:color="auto" w:fill="C0330D"/>
      </w:tcPr>
    </w:tblStylePr>
    <w:tblStylePr w:type="band1Horz">
      <w:rPr>
        <w:rFonts w:cs="Times New Roman"/>
      </w:rPr>
      <w:tblPr/>
      <w:tcPr>
        <w:tcBorders>
          <w:top w:val="nil"/>
          <w:left w:val="nil"/>
          <w:bottom w:val="nil"/>
          <w:right w:val="nil"/>
          <w:insideH w:val="nil"/>
          <w:insideV w:val="nil"/>
        </w:tcBorders>
        <w:shd w:val="clear" w:color="auto" w:fill="C0330D"/>
      </w:tcPr>
    </w:tblStylePr>
  </w:style>
  <w:style w:type="table" w:styleId="Ciemnalistaakcent4">
    <w:name w:val="Dark List Accent 4"/>
    <w:basedOn w:val="Standardowy"/>
    <w:uiPriority w:val="99"/>
    <w:semiHidden/>
    <w:rsid w:val="006A7CE0"/>
    <w:rPr>
      <w:color w:val="FFFFFF"/>
      <w:sz w:val="20"/>
      <w:szCs w:val="20"/>
    </w:rPr>
    <w:tblPr>
      <w:tblStyleRowBandSize w:val="1"/>
      <w:tblStyleColBandSize w:val="1"/>
    </w:tblPr>
    <w:tcPr>
      <w:shd w:val="clear" w:color="auto" w:fill="696EB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2F325E"/>
      </w:tcPr>
    </w:tblStylePr>
    <w:tblStylePr w:type="firstCol">
      <w:rPr>
        <w:rFonts w:cs="Times New Roman"/>
      </w:rPr>
      <w:tblPr/>
      <w:tcPr>
        <w:tcBorders>
          <w:top w:val="nil"/>
          <w:left w:val="nil"/>
          <w:bottom w:val="nil"/>
          <w:right w:val="single" w:sz="18" w:space="0" w:color="FFFFFF"/>
          <w:insideH w:val="nil"/>
          <w:insideV w:val="nil"/>
        </w:tcBorders>
        <w:shd w:val="clear" w:color="auto" w:fill="474B8E"/>
      </w:tcPr>
    </w:tblStylePr>
    <w:tblStylePr w:type="lastCol">
      <w:rPr>
        <w:rFonts w:cs="Times New Roman"/>
      </w:rPr>
      <w:tblPr/>
      <w:tcPr>
        <w:tcBorders>
          <w:top w:val="nil"/>
          <w:left w:val="single" w:sz="18" w:space="0" w:color="FFFFFF"/>
          <w:bottom w:val="nil"/>
          <w:right w:val="nil"/>
          <w:insideH w:val="nil"/>
          <w:insideV w:val="nil"/>
        </w:tcBorders>
        <w:shd w:val="clear" w:color="auto" w:fill="474B8E"/>
      </w:tcPr>
    </w:tblStylePr>
    <w:tblStylePr w:type="band1Vert">
      <w:rPr>
        <w:rFonts w:cs="Times New Roman"/>
      </w:rPr>
      <w:tblPr/>
      <w:tcPr>
        <w:tcBorders>
          <w:top w:val="nil"/>
          <w:left w:val="nil"/>
          <w:bottom w:val="nil"/>
          <w:right w:val="nil"/>
          <w:insideH w:val="nil"/>
          <w:insideV w:val="nil"/>
        </w:tcBorders>
        <w:shd w:val="clear" w:color="auto" w:fill="474B8E"/>
      </w:tcPr>
    </w:tblStylePr>
    <w:tblStylePr w:type="band1Horz">
      <w:rPr>
        <w:rFonts w:cs="Times New Roman"/>
      </w:rPr>
      <w:tblPr/>
      <w:tcPr>
        <w:tcBorders>
          <w:top w:val="nil"/>
          <w:left w:val="nil"/>
          <w:bottom w:val="nil"/>
          <w:right w:val="nil"/>
          <w:insideH w:val="nil"/>
          <w:insideV w:val="nil"/>
        </w:tcBorders>
        <w:shd w:val="clear" w:color="auto" w:fill="474B8E"/>
      </w:tcPr>
    </w:tblStylePr>
  </w:style>
  <w:style w:type="table" w:styleId="Ciemnalistaakcent5">
    <w:name w:val="Dark List Accent 5"/>
    <w:basedOn w:val="Standardowy"/>
    <w:uiPriority w:val="99"/>
    <w:semiHidden/>
    <w:rsid w:val="006A7CE0"/>
    <w:rPr>
      <w:color w:val="FFFFFF"/>
      <w:sz w:val="20"/>
      <w:szCs w:val="20"/>
    </w:rPr>
    <w:tblPr>
      <w:tblStyleRowBandSize w:val="1"/>
      <w:tblStyleColBandSize w:val="1"/>
    </w:tblPr>
    <w:tcPr>
      <w:shd w:val="clear" w:color="auto" w:fill="FA9B1E"/>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84E03"/>
      </w:tcPr>
    </w:tblStylePr>
    <w:tblStylePr w:type="firstCol">
      <w:rPr>
        <w:rFonts w:cs="Times New Roman"/>
      </w:rPr>
      <w:tblPr/>
      <w:tcPr>
        <w:tcBorders>
          <w:top w:val="nil"/>
          <w:left w:val="nil"/>
          <w:bottom w:val="nil"/>
          <w:right w:val="single" w:sz="18" w:space="0" w:color="FFFFFF"/>
          <w:insideH w:val="nil"/>
          <w:insideV w:val="nil"/>
        </w:tcBorders>
        <w:shd w:val="clear" w:color="auto" w:fill="CD7504"/>
      </w:tcPr>
    </w:tblStylePr>
    <w:tblStylePr w:type="lastCol">
      <w:rPr>
        <w:rFonts w:cs="Times New Roman"/>
      </w:rPr>
      <w:tblPr/>
      <w:tcPr>
        <w:tcBorders>
          <w:top w:val="nil"/>
          <w:left w:val="single" w:sz="18" w:space="0" w:color="FFFFFF"/>
          <w:bottom w:val="nil"/>
          <w:right w:val="nil"/>
          <w:insideH w:val="nil"/>
          <w:insideV w:val="nil"/>
        </w:tcBorders>
        <w:shd w:val="clear" w:color="auto" w:fill="CD7504"/>
      </w:tcPr>
    </w:tblStylePr>
    <w:tblStylePr w:type="band1Vert">
      <w:rPr>
        <w:rFonts w:cs="Times New Roman"/>
      </w:rPr>
      <w:tblPr/>
      <w:tcPr>
        <w:tcBorders>
          <w:top w:val="nil"/>
          <w:left w:val="nil"/>
          <w:bottom w:val="nil"/>
          <w:right w:val="nil"/>
          <w:insideH w:val="nil"/>
          <w:insideV w:val="nil"/>
        </w:tcBorders>
        <w:shd w:val="clear" w:color="auto" w:fill="CD7504"/>
      </w:tcPr>
    </w:tblStylePr>
    <w:tblStylePr w:type="band1Horz">
      <w:rPr>
        <w:rFonts w:cs="Times New Roman"/>
      </w:rPr>
      <w:tblPr/>
      <w:tcPr>
        <w:tcBorders>
          <w:top w:val="nil"/>
          <w:left w:val="nil"/>
          <w:bottom w:val="nil"/>
          <w:right w:val="nil"/>
          <w:insideH w:val="nil"/>
          <w:insideV w:val="nil"/>
        </w:tcBorders>
        <w:shd w:val="clear" w:color="auto" w:fill="CD7504"/>
      </w:tcPr>
    </w:tblStylePr>
  </w:style>
  <w:style w:type="table" w:styleId="Ciemnalistaakcent6">
    <w:name w:val="Dark List Accent 6"/>
    <w:basedOn w:val="Standardowy"/>
    <w:uiPriority w:val="99"/>
    <w:semiHidden/>
    <w:rsid w:val="006A7CE0"/>
    <w:rPr>
      <w:color w:val="FFFFFF"/>
      <w:sz w:val="20"/>
      <w:szCs w:val="20"/>
    </w:rPr>
    <w:tblPr>
      <w:tblStyleRowBandSize w:val="1"/>
      <w:tblStyleColBandSize w:val="1"/>
    </w:tblPr>
    <w:tcPr>
      <w:shd w:val="clear" w:color="auto" w:fill="28AF73"/>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45739"/>
      </w:tcPr>
    </w:tblStylePr>
    <w:tblStylePr w:type="firstCol">
      <w:rPr>
        <w:rFonts w:cs="Times New Roman"/>
      </w:rPr>
      <w:tblPr/>
      <w:tcPr>
        <w:tcBorders>
          <w:top w:val="nil"/>
          <w:left w:val="nil"/>
          <w:bottom w:val="nil"/>
          <w:right w:val="single" w:sz="18" w:space="0" w:color="FFFFFF"/>
          <w:insideH w:val="nil"/>
          <w:insideV w:val="nil"/>
        </w:tcBorders>
        <w:shd w:val="clear" w:color="auto" w:fill="1E8355"/>
      </w:tcPr>
    </w:tblStylePr>
    <w:tblStylePr w:type="lastCol">
      <w:rPr>
        <w:rFonts w:cs="Times New Roman"/>
      </w:rPr>
      <w:tblPr/>
      <w:tcPr>
        <w:tcBorders>
          <w:top w:val="nil"/>
          <w:left w:val="single" w:sz="18" w:space="0" w:color="FFFFFF"/>
          <w:bottom w:val="nil"/>
          <w:right w:val="nil"/>
          <w:insideH w:val="nil"/>
          <w:insideV w:val="nil"/>
        </w:tcBorders>
        <w:shd w:val="clear" w:color="auto" w:fill="1E8355"/>
      </w:tcPr>
    </w:tblStylePr>
    <w:tblStylePr w:type="band1Vert">
      <w:rPr>
        <w:rFonts w:cs="Times New Roman"/>
      </w:rPr>
      <w:tblPr/>
      <w:tcPr>
        <w:tcBorders>
          <w:top w:val="nil"/>
          <w:left w:val="nil"/>
          <w:bottom w:val="nil"/>
          <w:right w:val="nil"/>
          <w:insideH w:val="nil"/>
          <w:insideV w:val="nil"/>
        </w:tcBorders>
        <w:shd w:val="clear" w:color="auto" w:fill="1E8355"/>
      </w:tcPr>
    </w:tblStylePr>
    <w:tblStylePr w:type="band1Horz">
      <w:rPr>
        <w:rFonts w:cs="Times New Roman"/>
      </w:rPr>
      <w:tblPr/>
      <w:tcPr>
        <w:tcBorders>
          <w:top w:val="nil"/>
          <w:left w:val="nil"/>
          <w:bottom w:val="nil"/>
          <w:right w:val="nil"/>
          <w:insideH w:val="nil"/>
          <w:insideV w:val="nil"/>
        </w:tcBorders>
        <w:shd w:val="clear" w:color="auto" w:fill="1E8355"/>
      </w:tcPr>
    </w:tblStylePr>
  </w:style>
  <w:style w:type="table" w:styleId="Ciemnalista2akcent1">
    <w:name w:val="Dark List Accent 1"/>
    <w:basedOn w:val="Standardowy"/>
    <w:uiPriority w:val="99"/>
    <w:semiHidden/>
    <w:rsid w:val="006A7CE0"/>
    <w:rPr>
      <w:color w:val="FFFFFF"/>
      <w:sz w:val="20"/>
      <w:szCs w:val="20"/>
    </w:rPr>
    <w:tblPr>
      <w:tblStyleRowBandSize w:val="1"/>
      <w:tblStyleColBandSize w:val="1"/>
    </w:tblPr>
    <w:tcPr>
      <w:shd w:val="clear" w:color="auto" w:fill="D22D7D"/>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68163E"/>
      </w:tcPr>
    </w:tblStylePr>
    <w:tblStylePr w:type="firstCol">
      <w:rPr>
        <w:rFonts w:cs="Times New Roman"/>
      </w:rPr>
      <w:tblPr/>
      <w:tcPr>
        <w:tcBorders>
          <w:top w:val="nil"/>
          <w:left w:val="nil"/>
          <w:bottom w:val="nil"/>
          <w:right w:val="single" w:sz="18" w:space="0" w:color="FFFFFF"/>
          <w:insideH w:val="nil"/>
          <w:insideV w:val="nil"/>
        </w:tcBorders>
        <w:shd w:val="clear" w:color="auto" w:fill="9D215D"/>
      </w:tcPr>
    </w:tblStylePr>
    <w:tblStylePr w:type="lastCol">
      <w:rPr>
        <w:rFonts w:cs="Times New Roman"/>
      </w:rPr>
      <w:tblPr/>
      <w:tcPr>
        <w:tcBorders>
          <w:top w:val="nil"/>
          <w:left w:val="single" w:sz="18" w:space="0" w:color="FFFFFF"/>
          <w:bottom w:val="nil"/>
          <w:right w:val="nil"/>
          <w:insideH w:val="nil"/>
          <w:insideV w:val="nil"/>
        </w:tcBorders>
        <w:shd w:val="clear" w:color="auto" w:fill="9D215D"/>
      </w:tcPr>
    </w:tblStylePr>
    <w:tblStylePr w:type="band1Vert">
      <w:rPr>
        <w:rFonts w:cs="Times New Roman"/>
      </w:rPr>
      <w:tblPr/>
      <w:tcPr>
        <w:tcBorders>
          <w:top w:val="nil"/>
          <w:left w:val="nil"/>
          <w:bottom w:val="nil"/>
          <w:right w:val="nil"/>
          <w:insideH w:val="nil"/>
          <w:insideV w:val="nil"/>
        </w:tcBorders>
        <w:shd w:val="clear" w:color="auto" w:fill="9D215D"/>
      </w:tcPr>
    </w:tblStylePr>
    <w:tblStylePr w:type="band1Horz">
      <w:rPr>
        <w:rFonts w:cs="Times New Roman"/>
      </w:rPr>
      <w:tblPr/>
      <w:tcPr>
        <w:tcBorders>
          <w:top w:val="nil"/>
          <w:left w:val="nil"/>
          <w:bottom w:val="nil"/>
          <w:right w:val="nil"/>
          <w:insideH w:val="nil"/>
          <w:insideV w:val="nil"/>
        </w:tcBorders>
        <w:shd w:val="clear" w:color="auto" w:fill="9D215D"/>
      </w:tcPr>
    </w:tblStylePr>
  </w:style>
  <w:style w:type="paragraph" w:styleId="Cytat">
    <w:name w:val="Quote"/>
    <w:basedOn w:val="Normalny"/>
    <w:next w:val="Normalny"/>
    <w:link w:val="CytatZnak"/>
    <w:uiPriority w:val="99"/>
    <w:qFormat/>
    <w:rsid w:val="006A7CE0"/>
    <w:pPr>
      <w:spacing w:before="200" w:after="160"/>
      <w:ind w:left="864" w:right="864"/>
      <w:jc w:val="center"/>
    </w:pPr>
    <w:rPr>
      <w:i/>
      <w:iCs/>
      <w:color w:val="404040"/>
    </w:rPr>
  </w:style>
  <w:style w:type="character" w:customStyle="1" w:styleId="CytatZnak">
    <w:name w:val="Cytat Znak"/>
    <w:basedOn w:val="Domylnaczcionkaakapitu"/>
    <w:link w:val="Cytat"/>
    <w:uiPriority w:val="99"/>
    <w:semiHidden/>
    <w:locked/>
    <w:rsid w:val="006A7CE0"/>
    <w:rPr>
      <w:rFonts w:eastAsia="MS Mincho" w:cs="Times New Roman"/>
      <w:i/>
      <w:iCs/>
      <w:color w:val="404040"/>
      <w:lang w:val="pl-PL" w:eastAsia="zh-CN"/>
    </w:rPr>
  </w:style>
  <w:style w:type="paragraph" w:styleId="Cytatintensywny">
    <w:name w:val="Intense Quote"/>
    <w:basedOn w:val="Normalny"/>
    <w:next w:val="Normalny"/>
    <w:link w:val="CytatintensywnyZnak"/>
    <w:uiPriority w:val="99"/>
    <w:qFormat/>
    <w:rsid w:val="006A7CE0"/>
    <w:pPr>
      <w:pBdr>
        <w:top w:val="single" w:sz="4" w:space="10" w:color="D22D7D"/>
        <w:bottom w:val="single" w:sz="4" w:space="10" w:color="D22D7D"/>
      </w:pBdr>
      <w:spacing w:before="360" w:after="360"/>
      <w:ind w:left="864" w:right="864"/>
      <w:jc w:val="center"/>
    </w:pPr>
    <w:rPr>
      <w:i/>
      <w:iCs/>
      <w:color w:val="D22D7D"/>
    </w:rPr>
  </w:style>
  <w:style w:type="character" w:customStyle="1" w:styleId="CytatintensywnyZnak">
    <w:name w:val="Cytat intensywny Znak"/>
    <w:basedOn w:val="Domylnaczcionkaakapitu"/>
    <w:link w:val="Cytatintensywny"/>
    <w:uiPriority w:val="99"/>
    <w:semiHidden/>
    <w:locked/>
    <w:rsid w:val="006A7CE0"/>
    <w:rPr>
      <w:rFonts w:eastAsia="MS Mincho" w:cs="Times New Roman"/>
      <w:i/>
      <w:iCs/>
      <w:color w:val="D22D7D"/>
      <w:lang w:val="pl-PL" w:eastAsia="zh-CN"/>
    </w:rPr>
  </w:style>
  <w:style w:type="paragraph" w:styleId="Data">
    <w:name w:val="Date"/>
    <w:basedOn w:val="Normalny"/>
    <w:next w:val="Normalny"/>
    <w:link w:val="DataZnak"/>
    <w:uiPriority w:val="99"/>
    <w:semiHidden/>
    <w:rsid w:val="006A7CE0"/>
  </w:style>
  <w:style w:type="character" w:customStyle="1" w:styleId="DataZnak">
    <w:name w:val="Data Znak"/>
    <w:basedOn w:val="Domylnaczcionkaakapitu"/>
    <w:link w:val="Data"/>
    <w:uiPriority w:val="99"/>
    <w:semiHidden/>
    <w:locked/>
    <w:rsid w:val="006A7CE0"/>
    <w:rPr>
      <w:rFonts w:eastAsia="MS Mincho" w:cs="Times New Roman"/>
      <w:lang w:val="pl-PL" w:eastAsia="zh-CN"/>
    </w:rPr>
  </w:style>
  <w:style w:type="character" w:customStyle="1" w:styleId="Hasztag1">
    <w:name w:val="Hasztag1"/>
    <w:basedOn w:val="Domylnaczcionkaakapitu"/>
    <w:uiPriority w:val="99"/>
    <w:semiHidden/>
    <w:rsid w:val="006A7CE0"/>
    <w:rPr>
      <w:rFonts w:cs="Times New Roman"/>
      <w:color w:val="2B579A"/>
      <w:shd w:val="clear" w:color="auto" w:fill="E1DFDD"/>
      <w:lang w:val="pl-PL"/>
    </w:rPr>
  </w:style>
  <w:style w:type="character" w:customStyle="1" w:styleId="Inteligentnyhiperlink1">
    <w:name w:val="Inteligentny hiperlink1"/>
    <w:basedOn w:val="Domylnaczcionkaakapitu"/>
    <w:uiPriority w:val="99"/>
    <w:semiHidden/>
    <w:rsid w:val="006A7CE0"/>
    <w:rPr>
      <w:rFonts w:cs="Times New Roman"/>
      <w:u w:val="dotted"/>
      <w:lang w:val="pl-PL"/>
    </w:rPr>
  </w:style>
  <w:style w:type="paragraph" w:styleId="HTML-adres">
    <w:name w:val="HTML Address"/>
    <w:basedOn w:val="Normalny"/>
    <w:link w:val="HTML-adresZnak"/>
    <w:uiPriority w:val="99"/>
    <w:semiHidden/>
    <w:rsid w:val="006A7CE0"/>
    <w:rPr>
      <w:i/>
      <w:iCs/>
    </w:rPr>
  </w:style>
  <w:style w:type="character" w:customStyle="1" w:styleId="HTML-adresZnak">
    <w:name w:val="HTML - adres Znak"/>
    <w:basedOn w:val="Domylnaczcionkaakapitu"/>
    <w:link w:val="HTML-adres"/>
    <w:uiPriority w:val="99"/>
    <w:semiHidden/>
    <w:locked/>
    <w:rsid w:val="006A7CE0"/>
    <w:rPr>
      <w:rFonts w:eastAsia="MS Mincho" w:cs="Times New Roman"/>
      <w:i/>
      <w:iCs/>
      <w:lang w:val="pl-PL" w:eastAsia="zh-CN"/>
    </w:rPr>
  </w:style>
  <w:style w:type="character" w:styleId="HTML-akronim">
    <w:name w:val="HTML Acronym"/>
    <w:basedOn w:val="Domylnaczcionkaakapitu"/>
    <w:uiPriority w:val="99"/>
    <w:semiHidden/>
    <w:rsid w:val="006A7CE0"/>
    <w:rPr>
      <w:rFonts w:cs="Times New Roman"/>
      <w:lang w:val="pl-PL"/>
    </w:rPr>
  </w:style>
  <w:style w:type="character" w:styleId="HTML-cytat">
    <w:name w:val="HTML Cite"/>
    <w:basedOn w:val="Domylnaczcionkaakapitu"/>
    <w:uiPriority w:val="99"/>
    <w:semiHidden/>
    <w:rsid w:val="006A7CE0"/>
    <w:rPr>
      <w:rFonts w:cs="Times New Roman"/>
      <w:i/>
      <w:iCs/>
      <w:lang w:val="pl-PL"/>
    </w:rPr>
  </w:style>
  <w:style w:type="character" w:styleId="HTML-definicja">
    <w:name w:val="HTML Definition"/>
    <w:basedOn w:val="Domylnaczcionkaakapitu"/>
    <w:uiPriority w:val="99"/>
    <w:semiHidden/>
    <w:rsid w:val="006A7CE0"/>
    <w:rPr>
      <w:rFonts w:cs="Times New Roman"/>
      <w:i/>
      <w:iCs/>
      <w:lang w:val="pl-PL"/>
    </w:rPr>
  </w:style>
  <w:style w:type="character" w:styleId="HTML-klawiatura">
    <w:name w:val="HTML Keyboard"/>
    <w:basedOn w:val="Domylnaczcionkaakapitu"/>
    <w:uiPriority w:val="99"/>
    <w:semiHidden/>
    <w:rsid w:val="006A7CE0"/>
    <w:rPr>
      <w:rFonts w:ascii="Consolas" w:hAnsi="Consolas" w:cs="Times New Roman"/>
      <w:sz w:val="20"/>
      <w:szCs w:val="20"/>
      <w:lang w:val="pl-PL"/>
    </w:rPr>
  </w:style>
  <w:style w:type="character" w:styleId="HTML-kod">
    <w:name w:val="HTML Code"/>
    <w:basedOn w:val="Domylnaczcionkaakapitu"/>
    <w:uiPriority w:val="99"/>
    <w:semiHidden/>
    <w:rsid w:val="006A7CE0"/>
    <w:rPr>
      <w:rFonts w:ascii="Consolas" w:hAnsi="Consolas" w:cs="Times New Roman"/>
      <w:sz w:val="20"/>
      <w:szCs w:val="20"/>
      <w:lang w:val="pl-PL"/>
    </w:rPr>
  </w:style>
  <w:style w:type="character" w:styleId="HTML-przykad">
    <w:name w:val="HTML Sample"/>
    <w:basedOn w:val="Domylnaczcionkaakapitu"/>
    <w:uiPriority w:val="99"/>
    <w:semiHidden/>
    <w:rsid w:val="006A7CE0"/>
    <w:rPr>
      <w:rFonts w:ascii="Consolas" w:hAnsi="Consolas" w:cs="Times New Roman"/>
      <w:sz w:val="24"/>
      <w:szCs w:val="24"/>
      <w:lang w:val="pl-PL"/>
    </w:rPr>
  </w:style>
  <w:style w:type="character" w:styleId="HTML-staaszeroko">
    <w:name w:val="HTML Typewriter"/>
    <w:basedOn w:val="Domylnaczcionkaakapitu"/>
    <w:uiPriority w:val="99"/>
    <w:semiHidden/>
    <w:rsid w:val="006A7CE0"/>
    <w:rPr>
      <w:rFonts w:ascii="Consolas" w:hAnsi="Consolas" w:cs="Times New Roman"/>
      <w:sz w:val="20"/>
      <w:szCs w:val="20"/>
      <w:lang w:val="pl-PL"/>
    </w:rPr>
  </w:style>
  <w:style w:type="paragraph" w:styleId="HTML-wstpniesformatowany">
    <w:name w:val="HTML Preformatted"/>
    <w:basedOn w:val="Normalny"/>
    <w:link w:val="HTML-wstpniesformatowanyZnak"/>
    <w:uiPriority w:val="99"/>
    <w:semiHidden/>
    <w:rsid w:val="006A7CE0"/>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locked/>
    <w:rsid w:val="006A7CE0"/>
    <w:rPr>
      <w:rFonts w:ascii="Consolas" w:eastAsia="MS Mincho" w:hAnsi="Consolas" w:cs="Times New Roman"/>
      <w:sz w:val="20"/>
      <w:szCs w:val="20"/>
      <w:lang w:val="pl-PL" w:eastAsia="zh-CN"/>
    </w:rPr>
  </w:style>
  <w:style w:type="character" w:styleId="HTML-zmienna">
    <w:name w:val="HTML Variable"/>
    <w:basedOn w:val="Domylnaczcionkaakapitu"/>
    <w:uiPriority w:val="99"/>
    <w:semiHidden/>
    <w:rsid w:val="006A7CE0"/>
    <w:rPr>
      <w:rFonts w:cs="Times New Roman"/>
      <w:i/>
      <w:iCs/>
      <w:lang w:val="pl-PL"/>
    </w:rPr>
  </w:style>
  <w:style w:type="paragraph" w:styleId="Indeks1">
    <w:name w:val="index 1"/>
    <w:basedOn w:val="Normalny"/>
    <w:next w:val="Normalny"/>
    <w:autoRedefine/>
    <w:uiPriority w:val="99"/>
    <w:semiHidden/>
    <w:rsid w:val="006A7CE0"/>
    <w:pPr>
      <w:ind w:left="240" w:hanging="240"/>
    </w:pPr>
  </w:style>
  <w:style w:type="paragraph" w:styleId="Indeks2">
    <w:name w:val="index 2"/>
    <w:basedOn w:val="Normalny"/>
    <w:next w:val="Normalny"/>
    <w:autoRedefine/>
    <w:uiPriority w:val="99"/>
    <w:semiHidden/>
    <w:rsid w:val="006A7CE0"/>
    <w:pPr>
      <w:ind w:left="480" w:hanging="240"/>
    </w:pPr>
  </w:style>
  <w:style w:type="paragraph" w:styleId="Indeks3">
    <w:name w:val="index 3"/>
    <w:basedOn w:val="Normalny"/>
    <w:next w:val="Normalny"/>
    <w:autoRedefine/>
    <w:uiPriority w:val="99"/>
    <w:semiHidden/>
    <w:rsid w:val="006A7CE0"/>
    <w:pPr>
      <w:ind w:left="720" w:hanging="240"/>
    </w:pPr>
  </w:style>
  <w:style w:type="paragraph" w:styleId="Indeks4">
    <w:name w:val="index 4"/>
    <w:basedOn w:val="Normalny"/>
    <w:next w:val="Normalny"/>
    <w:autoRedefine/>
    <w:uiPriority w:val="99"/>
    <w:semiHidden/>
    <w:rsid w:val="006A7CE0"/>
    <w:pPr>
      <w:ind w:left="960" w:hanging="240"/>
    </w:pPr>
  </w:style>
  <w:style w:type="paragraph" w:styleId="Indeks5">
    <w:name w:val="index 5"/>
    <w:basedOn w:val="Normalny"/>
    <w:next w:val="Normalny"/>
    <w:autoRedefine/>
    <w:uiPriority w:val="99"/>
    <w:semiHidden/>
    <w:rsid w:val="006A7CE0"/>
    <w:pPr>
      <w:ind w:left="1200" w:hanging="240"/>
    </w:pPr>
  </w:style>
  <w:style w:type="paragraph" w:styleId="Indeks6">
    <w:name w:val="index 6"/>
    <w:basedOn w:val="Normalny"/>
    <w:next w:val="Normalny"/>
    <w:autoRedefine/>
    <w:uiPriority w:val="99"/>
    <w:semiHidden/>
    <w:rsid w:val="006A7CE0"/>
    <w:pPr>
      <w:ind w:left="1440" w:hanging="240"/>
    </w:pPr>
  </w:style>
  <w:style w:type="paragraph" w:styleId="Indeks7">
    <w:name w:val="index 7"/>
    <w:basedOn w:val="Normalny"/>
    <w:next w:val="Normalny"/>
    <w:autoRedefine/>
    <w:uiPriority w:val="99"/>
    <w:semiHidden/>
    <w:rsid w:val="006A7CE0"/>
    <w:pPr>
      <w:ind w:left="1680" w:hanging="240"/>
    </w:pPr>
  </w:style>
  <w:style w:type="paragraph" w:styleId="Indeks8">
    <w:name w:val="index 8"/>
    <w:basedOn w:val="Normalny"/>
    <w:next w:val="Normalny"/>
    <w:autoRedefine/>
    <w:uiPriority w:val="99"/>
    <w:semiHidden/>
    <w:rsid w:val="006A7CE0"/>
    <w:pPr>
      <w:ind w:left="1920" w:hanging="240"/>
    </w:pPr>
  </w:style>
  <w:style w:type="paragraph" w:styleId="Indeks9">
    <w:name w:val="index 9"/>
    <w:basedOn w:val="Normalny"/>
    <w:next w:val="Normalny"/>
    <w:autoRedefine/>
    <w:uiPriority w:val="99"/>
    <w:semiHidden/>
    <w:rsid w:val="006A7CE0"/>
    <w:pPr>
      <w:ind w:left="2160" w:hanging="240"/>
    </w:pPr>
  </w:style>
  <w:style w:type="table" w:styleId="Jasnalista">
    <w:name w:val="Light List"/>
    <w:basedOn w:val="Standardowy"/>
    <w:uiPriority w:val="99"/>
    <w:semiHidden/>
    <w:rsid w:val="006A7CE0"/>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Jasnalistaakcent1">
    <w:name w:val="Light List Accent 1"/>
    <w:basedOn w:val="Standardowy"/>
    <w:uiPriority w:val="99"/>
    <w:semiHidden/>
    <w:rsid w:val="006A7CE0"/>
    <w:rPr>
      <w:sz w:val="20"/>
      <w:szCs w:val="20"/>
    </w:rPr>
    <w:tblPr>
      <w:tblStyleRowBandSize w:val="1"/>
      <w:tblStyleColBandSize w:val="1"/>
      <w:tblBorders>
        <w:top w:val="single" w:sz="8" w:space="0" w:color="D22D7D"/>
        <w:left w:val="single" w:sz="8" w:space="0" w:color="D22D7D"/>
        <w:bottom w:val="single" w:sz="8" w:space="0" w:color="D22D7D"/>
        <w:right w:val="single" w:sz="8" w:space="0" w:color="D22D7D"/>
      </w:tblBorders>
    </w:tblPr>
    <w:tblStylePr w:type="firstRow">
      <w:pPr>
        <w:spacing w:before="0" w:after="0"/>
      </w:pPr>
      <w:rPr>
        <w:rFonts w:cs="Times New Roman"/>
        <w:b/>
        <w:bCs/>
        <w:color w:val="FFFFFF"/>
      </w:rPr>
      <w:tblPr/>
      <w:tcPr>
        <w:shd w:val="clear" w:color="auto" w:fill="D22D7D"/>
      </w:tcPr>
    </w:tblStylePr>
    <w:tblStylePr w:type="lastRow">
      <w:pPr>
        <w:spacing w:before="0" w:after="0"/>
      </w:pPr>
      <w:rPr>
        <w:rFonts w:cs="Times New Roman"/>
        <w:b/>
        <w:bCs/>
      </w:rPr>
      <w:tblPr/>
      <w:tcPr>
        <w:tcBorders>
          <w:top w:val="double" w:sz="6" w:space="0" w:color="D22D7D"/>
          <w:left w:val="single" w:sz="8" w:space="0" w:color="D22D7D"/>
          <w:bottom w:val="single" w:sz="8" w:space="0" w:color="D22D7D"/>
          <w:right w:val="single" w:sz="8" w:space="0" w:color="D22D7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D22D7D"/>
          <w:left w:val="single" w:sz="8" w:space="0" w:color="D22D7D"/>
          <w:bottom w:val="single" w:sz="8" w:space="0" w:color="D22D7D"/>
          <w:right w:val="single" w:sz="8" w:space="0" w:color="D22D7D"/>
        </w:tcBorders>
      </w:tcPr>
    </w:tblStylePr>
    <w:tblStylePr w:type="band1Horz">
      <w:rPr>
        <w:rFonts w:cs="Times New Roman"/>
      </w:rPr>
      <w:tblPr/>
      <w:tcPr>
        <w:tcBorders>
          <w:top w:val="single" w:sz="8" w:space="0" w:color="D22D7D"/>
          <w:left w:val="single" w:sz="8" w:space="0" w:color="D22D7D"/>
          <w:bottom w:val="single" w:sz="8" w:space="0" w:color="D22D7D"/>
          <w:right w:val="single" w:sz="8" w:space="0" w:color="D22D7D"/>
        </w:tcBorders>
      </w:tcPr>
    </w:tblStylePr>
  </w:style>
  <w:style w:type="table" w:styleId="Jasnalistaakcent2">
    <w:name w:val="Light List Accent 2"/>
    <w:basedOn w:val="Standardowy"/>
    <w:uiPriority w:val="99"/>
    <w:semiHidden/>
    <w:rsid w:val="006A7CE0"/>
    <w:rPr>
      <w:sz w:val="20"/>
      <w:szCs w:val="20"/>
    </w:rPr>
    <w:tblPr>
      <w:tblStyleRowBandSize w:val="1"/>
      <w:tblStyleColBandSize w:val="1"/>
      <w:tblBorders>
        <w:top w:val="single" w:sz="8" w:space="0" w:color="28AAE1"/>
        <w:left w:val="single" w:sz="8" w:space="0" w:color="28AAE1"/>
        <w:bottom w:val="single" w:sz="8" w:space="0" w:color="28AAE1"/>
        <w:right w:val="single" w:sz="8" w:space="0" w:color="28AAE1"/>
      </w:tblBorders>
    </w:tblPr>
    <w:tblStylePr w:type="firstRow">
      <w:pPr>
        <w:spacing w:before="0" w:after="0"/>
      </w:pPr>
      <w:rPr>
        <w:rFonts w:cs="Times New Roman"/>
        <w:b/>
        <w:bCs/>
        <w:color w:val="FFFFFF"/>
      </w:rPr>
      <w:tblPr/>
      <w:tcPr>
        <w:shd w:val="clear" w:color="auto" w:fill="28AAE1"/>
      </w:tcPr>
    </w:tblStylePr>
    <w:tblStylePr w:type="lastRow">
      <w:pPr>
        <w:spacing w:before="0" w:after="0"/>
      </w:pPr>
      <w:rPr>
        <w:rFonts w:cs="Times New Roman"/>
        <w:b/>
        <w:bCs/>
      </w:rPr>
      <w:tblPr/>
      <w:tcPr>
        <w:tcBorders>
          <w:top w:val="double" w:sz="6" w:space="0" w:color="28AAE1"/>
          <w:left w:val="single" w:sz="8" w:space="0" w:color="28AAE1"/>
          <w:bottom w:val="single" w:sz="8" w:space="0" w:color="28AAE1"/>
          <w:right w:val="single" w:sz="8" w:space="0" w:color="28AAE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28AAE1"/>
          <w:left w:val="single" w:sz="8" w:space="0" w:color="28AAE1"/>
          <w:bottom w:val="single" w:sz="8" w:space="0" w:color="28AAE1"/>
          <w:right w:val="single" w:sz="8" w:space="0" w:color="28AAE1"/>
        </w:tcBorders>
      </w:tcPr>
    </w:tblStylePr>
    <w:tblStylePr w:type="band1Horz">
      <w:rPr>
        <w:rFonts w:cs="Times New Roman"/>
      </w:rPr>
      <w:tblPr/>
      <w:tcPr>
        <w:tcBorders>
          <w:top w:val="single" w:sz="8" w:space="0" w:color="28AAE1"/>
          <w:left w:val="single" w:sz="8" w:space="0" w:color="28AAE1"/>
          <w:bottom w:val="single" w:sz="8" w:space="0" w:color="28AAE1"/>
          <w:right w:val="single" w:sz="8" w:space="0" w:color="28AAE1"/>
        </w:tcBorders>
      </w:tcPr>
    </w:tblStylePr>
  </w:style>
  <w:style w:type="table" w:styleId="Jasnalistaakcent3">
    <w:name w:val="Light List Accent 3"/>
    <w:basedOn w:val="Standardowy"/>
    <w:uiPriority w:val="99"/>
    <w:semiHidden/>
    <w:rsid w:val="006A7CE0"/>
    <w:rPr>
      <w:sz w:val="20"/>
      <w:szCs w:val="20"/>
    </w:rPr>
    <w:tblPr>
      <w:tblStyleRowBandSize w:val="1"/>
      <w:tblStyleColBandSize w:val="1"/>
      <w:tblBorders>
        <w:top w:val="single" w:sz="8" w:space="0" w:color="F05023"/>
        <w:left w:val="single" w:sz="8" w:space="0" w:color="F05023"/>
        <w:bottom w:val="single" w:sz="8" w:space="0" w:color="F05023"/>
        <w:right w:val="single" w:sz="8" w:space="0" w:color="F05023"/>
      </w:tblBorders>
    </w:tblPr>
    <w:tblStylePr w:type="firstRow">
      <w:pPr>
        <w:spacing w:before="0" w:after="0"/>
      </w:pPr>
      <w:rPr>
        <w:rFonts w:cs="Times New Roman"/>
        <w:b/>
        <w:bCs/>
        <w:color w:val="FFFFFF"/>
      </w:rPr>
      <w:tblPr/>
      <w:tcPr>
        <w:shd w:val="clear" w:color="auto" w:fill="F05023"/>
      </w:tcPr>
    </w:tblStylePr>
    <w:tblStylePr w:type="lastRow">
      <w:pPr>
        <w:spacing w:before="0" w:after="0"/>
      </w:pPr>
      <w:rPr>
        <w:rFonts w:cs="Times New Roman"/>
        <w:b/>
        <w:bCs/>
      </w:rPr>
      <w:tblPr/>
      <w:tcPr>
        <w:tcBorders>
          <w:top w:val="double" w:sz="6" w:space="0" w:color="F05023"/>
          <w:left w:val="single" w:sz="8" w:space="0" w:color="F05023"/>
          <w:bottom w:val="single" w:sz="8" w:space="0" w:color="F05023"/>
          <w:right w:val="single" w:sz="8" w:space="0" w:color="F0502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05023"/>
          <w:left w:val="single" w:sz="8" w:space="0" w:color="F05023"/>
          <w:bottom w:val="single" w:sz="8" w:space="0" w:color="F05023"/>
          <w:right w:val="single" w:sz="8" w:space="0" w:color="F05023"/>
        </w:tcBorders>
      </w:tcPr>
    </w:tblStylePr>
    <w:tblStylePr w:type="band1Horz">
      <w:rPr>
        <w:rFonts w:cs="Times New Roman"/>
      </w:rPr>
      <w:tblPr/>
      <w:tcPr>
        <w:tcBorders>
          <w:top w:val="single" w:sz="8" w:space="0" w:color="F05023"/>
          <w:left w:val="single" w:sz="8" w:space="0" w:color="F05023"/>
          <w:bottom w:val="single" w:sz="8" w:space="0" w:color="F05023"/>
          <w:right w:val="single" w:sz="8" w:space="0" w:color="F05023"/>
        </w:tcBorders>
      </w:tcPr>
    </w:tblStylePr>
  </w:style>
  <w:style w:type="table" w:styleId="Jasnalistaakcent4">
    <w:name w:val="Light List Accent 4"/>
    <w:basedOn w:val="Standardowy"/>
    <w:uiPriority w:val="99"/>
    <w:semiHidden/>
    <w:rsid w:val="006A7CE0"/>
    <w:rPr>
      <w:sz w:val="20"/>
      <w:szCs w:val="20"/>
    </w:rPr>
    <w:tblPr>
      <w:tblStyleRowBandSize w:val="1"/>
      <w:tblStyleColBandSize w:val="1"/>
      <w:tblBorders>
        <w:top w:val="single" w:sz="8" w:space="0" w:color="696EB4"/>
        <w:left w:val="single" w:sz="8" w:space="0" w:color="696EB4"/>
        <w:bottom w:val="single" w:sz="8" w:space="0" w:color="696EB4"/>
        <w:right w:val="single" w:sz="8" w:space="0" w:color="696EB4"/>
      </w:tblBorders>
    </w:tblPr>
    <w:tblStylePr w:type="firstRow">
      <w:pPr>
        <w:spacing w:before="0" w:after="0"/>
      </w:pPr>
      <w:rPr>
        <w:rFonts w:cs="Times New Roman"/>
        <w:b/>
        <w:bCs/>
        <w:color w:val="FFFFFF"/>
      </w:rPr>
      <w:tblPr/>
      <w:tcPr>
        <w:shd w:val="clear" w:color="auto" w:fill="696EB4"/>
      </w:tcPr>
    </w:tblStylePr>
    <w:tblStylePr w:type="lastRow">
      <w:pPr>
        <w:spacing w:before="0" w:after="0"/>
      </w:pPr>
      <w:rPr>
        <w:rFonts w:cs="Times New Roman"/>
        <w:b/>
        <w:bCs/>
      </w:rPr>
      <w:tblPr/>
      <w:tcPr>
        <w:tcBorders>
          <w:top w:val="double" w:sz="6" w:space="0" w:color="696EB4"/>
          <w:left w:val="single" w:sz="8" w:space="0" w:color="696EB4"/>
          <w:bottom w:val="single" w:sz="8" w:space="0" w:color="696EB4"/>
          <w:right w:val="single" w:sz="8" w:space="0" w:color="696EB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696EB4"/>
          <w:left w:val="single" w:sz="8" w:space="0" w:color="696EB4"/>
          <w:bottom w:val="single" w:sz="8" w:space="0" w:color="696EB4"/>
          <w:right w:val="single" w:sz="8" w:space="0" w:color="696EB4"/>
        </w:tcBorders>
      </w:tcPr>
    </w:tblStylePr>
    <w:tblStylePr w:type="band1Horz">
      <w:rPr>
        <w:rFonts w:cs="Times New Roman"/>
      </w:rPr>
      <w:tblPr/>
      <w:tcPr>
        <w:tcBorders>
          <w:top w:val="single" w:sz="8" w:space="0" w:color="696EB4"/>
          <w:left w:val="single" w:sz="8" w:space="0" w:color="696EB4"/>
          <w:bottom w:val="single" w:sz="8" w:space="0" w:color="696EB4"/>
          <w:right w:val="single" w:sz="8" w:space="0" w:color="696EB4"/>
        </w:tcBorders>
      </w:tcPr>
    </w:tblStylePr>
  </w:style>
  <w:style w:type="table" w:styleId="Jasnalistaakcent5">
    <w:name w:val="Light List Accent 5"/>
    <w:basedOn w:val="Standardowy"/>
    <w:uiPriority w:val="99"/>
    <w:semiHidden/>
    <w:rsid w:val="006A7CE0"/>
    <w:rPr>
      <w:sz w:val="20"/>
      <w:szCs w:val="20"/>
    </w:rPr>
    <w:tblPr>
      <w:tblStyleRowBandSize w:val="1"/>
      <w:tblStyleColBandSize w:val="1"/>
      <w:tblBorders>
        <w:top w:val="single" w:sz="8" w:space="0" w:color="FA9B1E"/>
        <w:left w:val="single" w:sz="8" w:space="0" w:color="FA9B1E"/>
        <w:bottom w:val="single" w:sz="8" w:space="0" w:color="FA9B1E"/>
        <w:right w:val="single" w:sz="8" w:space="0" w:color="FA9B1E"/>
      </w:tblBorders>
    </w:tblPr>
    <w:tblStylePr w:type="firstRow">
      <w:pPr>
        <w:spacing w:before="0" w:after="0"/>
      </w:pPr>
      <w:rPr>
        <w:rFonts w:cs="Times New Roman"/>
        <w:b/>
        <w:bCs/>
        <w:color w:val="FFFFFF"/>
      </w:rPr>
      <w:tblPr/>
      <w:tcPr>
        <w:shd w:val="clear" w:color="auto" w:fill="FA9B1E"/>
      </w:tcPr>
    </w:tblStylePr>
    <w:tblStylePr w:type="lastRow">
      <w:pPr>
        <w:spacing w:before="0" w:after="0"/>
      </w:pPr>
      <w:rPr>
        <w:rFonts w:cs="Times New Roman"/>
        <w:b/>
        <w:bCs/>
      </w:rPr>
      <w:tblPr/>
      <w:tcPr>
        <w:tcBorders>
          <w:top w:val="double" w:sz="6" w:space="0" w:color="FA9B1E"/>
          <w:left w:val="single" w:sz="8" w:space="0" w:color="FA9B1E"/>
          <w:bottom w:val="single" w:sz="8" w:space="0" w:color="FA9B1E"/>
          <w:right w:val="single" w:sz="8" w:space="0" w:color="FA9B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A9B1E"/>
          <w:left w:val="single" w:sz="8" w:space="0" w:color="FA9B1E"/>
          <w:bottom w:val="single" w:sz="8" w:space="0" w:color="FA9B1E"/>
          <w:right w:val="single" w:sz="8" w:space="0" w:color="FA9B1E"/>
        </w:tcBorders>
      </w:tcPr>
    </w:tblStylePr>
    <w:tblStylePr w:type="band1Horz">
      <w:rPr>
        <w:rFonts w:cs="Times New Roman"/>
      </w:rPr>
      <w:tblPr/>
      <w:tcPr>
        <w:tcBorders>
          <w:top w:val="single" w:sz="8" w:space="0" w:color="FA9B1E"/>
          <w:left w:val="single" w:sz="8" w:space="0" w:color="FA9B1E"/>
          <w:bottom w:val="single" w:sz="8" w:space="0" w:color="FA9B1E"/>
          <w:right w:val="single" w:sz="8" w:space="0" w:color="FA9B1E"/>
        </w:tcBorders>
      </w:tcPr>
    </w:tblStylePr>
  </w:style>
  <w:style w:type="table" w:styleId="Jasnalistaakcent6">
    <w:name w:val="Light List Accent 6"/>
    <w:basedOn w:val="Standardowy"/>
    <w:uiPriority w:val="99"/>
    <w:semiHidden/>
    <w:rsid w:val="006A7CE0"/>
    <w:rPr>
      <w:sz w:val="20"/>
      <w:szCs w:val="20"/>
    </w:rPr>
    <w:tblPr>
      <w:tblStyleRowBandSize w:val="1"/>
      <w:tblStyleColBandSize w:val="1"/>
      <w:tblBorders>
        <w:top w:val="single" w:sz="8" w:space="0" w:color="28AF73"/>
        <w:left w:val="single" w:sz="8" w:space="0" w:color="28AF73"/>
        <w:bottom w:val="single" w:sz="8" w:space="0" w:color="28AF73"/>
        <w:right w:val="single" w:sz="8" w:space="0" w:color="28AF73"/>
      </w:tblBorders>
    </w:tblPr>
    <w:tblStylePr w:type="firstRow">
      <w:pPr>
        <w:spacing w:before="0" w:after="0"/>
      </w:pPr>
      <w:rPr>
        <w:rFonts w:cs="Times New Roman"/>
        <w:b/>
        <w:bCs/>
        <w:color w:val="FFFFFF"/>
      </w:rPr>
      <w:tblPr/>
      <w:tcPr>
        <w:shd w:val="clear" w:color="auto" w:fill="28AF73"/>
      </w:tcPr>
    </w:tblStylePr>
    <w:tblStylePr w:type="lastRow">
      <w:pPr>
        <w:spacing w:before="0" w:after="0"/>
      </w:pPr>
      <w:rPr>
        <w:rFonts w:cs="Times New Roman"/>
        <w:b/>
        <w:bCs/>
      </w:rPr>
      <w:tblPr/>
      <w:tcPr>
        <w:tcBorders>
          <w:top w:val="double" w:sz="6" w:space="0" w:color="28AF73"/>
          <w:left w:val="single" w:sz="8" w:space="0" w:color="28AF73"/>
          <w:bottom w:val="single" w:sz="8" w:space="0" w:color="28AF73"/>
          <w:right w:val="single" w:sz="8" w:space="0" w:color="28AF7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28AF73"/>
          <w:left w:val="single" w:sz="8" w:space="0" w:color="28AF73"/>
          <w:bottom w:val="single" w:sz="8" w:space="0" w:color="28AF73"/>
          <w:right w:val="single" w:sz="8" w:space="0" w:color="28AF73"/>
        </w:tcBorders>
      </w:tcPr>
    </w:tblStylePr>
    <w:tblStylePr w:type="band1Horz">
      <w:rPr>
        <w:rFonts w:cs="Times New Roman"/>
      </w:rPr>
      <w:tblPr/>
      <w:tcPr>
        <w:tcBorders>
          <w:top w:val="single" w:sz="8" w:space="0" w:color="28AF73"/>
          <w:left w:val="single" w:sz="8" w:space="0" w:color="28AF73"/>
          <w:bottom w:val="single" w:sz="8" w:space="0" w:color="28AF73"/>
          <w:right w:val="single" w:sz="8" w:space="0" w:color="28AF73"/>
        </w:tcBorders>
      </w:tcPr>
    </w:tblStylePr>
  </w:style>
  <w:style w:type="table" w:styleId="Jasnasiatka">
    <w:name w:val="Light Grid"/>
    <w:basedOn w:val="Standardowy"/>
    <w:uiPriority w:val="99"/>
    <w:semiHidden/>
    <w:rsid w:val="006A7CE0"/>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Jasnasiatkaakcent1">
    <w:name w:val="Light Grid Accent 1"/>
    <w:basedOn w:val="Standardowy"/>
    <w:uiPriority w:val="99"/>
    <w:semiHidden/>
    <w:rsid w:val="006A7CE0"/>
    <w:rPr>
      <w:sz w:val="20"/>
      <w:szCs w:val="20"/>
    </w:rPr>
    <w:tblPr>
      <w:tblStyleRowBandSize w:val="1"/>
      <w:tblStyleColBandSize w:val="1"/>
      <w:tblBorders>
        <w:top w:val="single" w:sz="8" w:space="0" w:color="D22D7D"/>
        <w:left w:val="single" w:sz="8" w:space="0" w:color="D22D7D"/>
        <w:bottom w:val="single" w:sz="8" w:space="0" w:color="D22D7D"/>
        <w:right w:val="single" w:sz="8" w:space="0" w:color="D22D7D"/>
        <w:insideH w:val="single" w:sz="8" w:space="0" w:color="D22D7D"/>
        <w:insideV w:val="single" w:sz="8" w:space="0" w:color="D22D7D"/>
      </w:tblBorders>
    </w:tblPr>
    <w:tblStylePr w:type="firstRow">
      <w:pPr>
        <w:spacing w:before="0" w:after="0"/>
      </w:pPr>
      <w:rPr>
        <w:rFonts w:ascii="Times New Roman" w:eastAsia="MS Gothic" w:hAnsi="Times New Roman" w:cs="Times New Roman"/>
        <w:b/>
        <w:bCs/>
      </w:rPr>
      <w:tblPr/>
      <w:tcPr>
        <w:tcBorders>
          <w:top w:val="single" w:sz="8" w:space="0" w:color="D22D7D"/>
          <w:left w:val="single" w:sz="8" w:space="0" w:color="D22D7D"/>
          <w:bottom w:val="single" w:sz="18" w:space="0" w:color="D22D7D"/>
          <w:right w:val="single" w:sz="8" w:space="0" w:color="D22D7D"/>
          <w:insideH w:val="nil"/>
          <w:insideV w:val="single" w:sz="8" w:space="0" w:color="D22D7D"/>
        </w:tcBorders>
      </w:tcPr>
    </w:tblStylePr>
    <w:tblStylePr w:type="lastRow">
      <w:pPr>
        <w:spacing w:before="0" w:after="0"/>
      </w:pPr>
      <w:rPr>
        <w:rFonts w:ascii="Times New Roman" w:eastAsia="MS Gothic" w:hAnsi="Times New Roman" w:cs="Times New Roman"/>
        <w:b/>
        <w:bCs/>
      </w:rPr>
      <w:tblPr/>
      <w:tcPr>
        <w:tcBorders>
          <w:top w:val="double" w:sz="6" w:space="0" w:color="D22D7D"/>
          <w:left w:val="single" w:sz="8" w:space="0" w:color="D22D7D"/>
          <w:bottom w:val="single" w:sz="8" w:space="0" w:color="D22D7D"/>
          <w:right w:val="single" w:sz="8" w:space="0" w:color="D22D7D"/>
          <w:insideH w:val="nil"/>
          <w:insideV w:val="single" w:sz="8" w:space="0" w:color="D22D7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D22D7D"/>
          <w:left w:val="single" w:sz="8" w:space="0" w:color="D22D7D"/>
          <w:bottom w:val="single" w:sz="8" w:space="0" w:color="D22D7D"/>
          <w:right w:val="single" w:sz="8" w:space="0" w:color="D22D7D"/>
        </w:tcBorders>
      </w:tcPr>
    </w:tblStylePr>
    <w:tblStylePr w:type="band1Vert">
      <w:rPr>
        <w:rFonts w:cs="Times New Roman"/>
      </w:rPr>
      <w:tblPr/>
      <w:tcPr>
        <w:tcBorders>
          <w:top w:val="single" w:sz="8" w:space="0" w:color="D22D7D"/>
          <w:left w:val="single" w:sz="8" w:space="0" w:color="D22D7D"/>
          <w:bottom w:val="single" w:sz="8" w:space="0" w:color="D22D7D"/>
          <w:right w:val="single" w:sz="8" w:space="0" w:color="D22D7D"/>
        </w:tcBorders>
        <w:shd w:val="clear" w:color="auto" w:fill="F4CBDE"/>
      </w:tcPr>
    </w:tblStylePr>
    <w:tblStylePr w:type="band1Horz">
      <w:rPr>
        <w:rFonts w:cs="Times New Roman"/>
      </w:rPr>
      <w:tblPr/>
      <w:tcPr>
        <w:tcBorders>
          <w:top w:val="single" w:sz="8" w:space="0" w:color="D22D7D"/>
          <w:left w:val="single" w:sz="8" w:space="0" w:color="D22D7D"/>
          <w:bottom w:val="single" w:sz="8" w:space="0" w:color="D22D7D"/>
          <w:right w:val="single" w:sz="8" w:space="0" w:color="D22D7D"/>
          <w:insideV w:val="single" w:sz="8" w:space="0" w:color="D22D7D"/>
        </w:tcBorders>
        <w:shd w:val="clear" w:color="auto" w:fill="F4CBDE"/>
      </w:tcPr>
    </w:tblStylePr>
    <w:tblStylePr w:type="band2Horz">
      <w:rPr>
        <w:rFonts w:cs="Times New Roman"/>
      </w:rPr>
      <w:tblPr/>
      <w:tcPr>
        <w:tcBorders>
          <w:top w:val="single" w:sz="8" w:space="0" w:color="D22D7D"/>
          <w:left w:val="single" w:sz="8" w:space="0" w:color="D22D7D"/>
          <w:bottom w:val="single" w:sz="8" w:space="0" w:color="D22D7D"/>
          <w:right w:val="single" w:sz="8" w:space="0" w:color="D22D7D"/>
          <w:insideV w:val="single" w:sz="8" w:space="0" w:color="D22D7D"/>
        </w:tcBorders>
      </w:tcPr>
    </w:tblStylePr>
  </w:style>
  <w:style w:type="table" w:styleId="Jasnasiatkaakcent2">
    <w:name w:val="Light Grid Accent 2"/>
    <w:basedOn w:val="Standardowy"/>
    <w:uiPriority w:val="99"/>
    <w:semiHidden/>
    <w:rsid w:val="006A7CE0"/>
    <w:rPr>
      <w:sz w:val="20"/>
      <w:szCs w:val="20"/>
    </w:rPr>
    <w:tblPr>
      <w:tblStyleRowBandSize w:val="1"/>
      <w:tblStyleColBandSize w:val="1"/>
      <w:tblBorders>
        <w:top w:val="single" w:sz="8" w:space="0" w:color="28AAE1"/>
        <w:left w:val="single" w:sz="8" w:space="0" w:color="28AAE1"/>
        <w:bottom w:val="single" w:sz="8" w:space="0" w:color="28AAE1"/>
        <w:right w:val="single" w:sz="8" w:space="0" w:color="28AAE1"/>
        <w:insideH w:val="single" w:sz="8" w:space="0" w:color="28AAE1"/>
        <w:insideV w:val="single" w:sz="8" w:space="0" w:color="28AAE1"/>
      </w:tblBorders>
    </w:tblPr>
    <w:tblStylePr w:type="firstRow">
      <w:pPr>
        <w:spacing w:before="0" w:after="0"/>
      </w:pPr>
      <w:rPr>
        <w:rFonts w:ascii="Times New Roman" w:eastAsia="MS Gothic" w:hAnsi="Times New Roman" w:cs="Times New Roman"/>
        <w:b/>
        <w:bCs/>
      </w:rPr>
      <w:tblPr/>
      <w:tcPr>
        <w:tcBorders>
          <w:top w:val="single" w:sz="8" w:space="0" w:color="28AAE1"/>
          <w:left w:val="single" w:sz="8" w:space="0" w:color="28AAE1"/>
          <w:bottom w:val="single" w:sz="18" w:space="0" w:color="28AAE1"/>
          <w:right w:val="single" w:sz="8" w:space="0" w:color="28AAE1"/>
          <w:insideH w:val="nil"/>
          <w:insideV w:val="single" w:sz="8" w:space="0" w:color="28AAE1"/>
        </w:tcBorders>
      </w:tcPr>
    </w:tblStylePr>
    <w:tblStylePr w:type="lastRow">
      <w:pPr>
        <w:spacing w:before="0" w:after="0"/>
      </w:pPr>
      <w:rPr>
        <w:rFonts w:ascii="Times New Roman" w:eastAsia="MS Gothic" w:hAnsi="Times New Roman" w:cs="Times New Roman"/>
        <w:b/>
        <w:bCs/>
      </w:rPr>
      <w:tblPr/>
      <w:tcPr>
        <w:tcBorders>
          <w:top w:val="double" w:sz="6" w:space="0" w:color="28AAE1"/>
          <w:left w:val="single" w:sz="8" w:space="0" w:color="28AAE1"/>
          <w:bottom w:val="single" w:sz="8" w:space="0" w:color="28AAE1"/>
          <w:right w:val="single" w:sz="8" w:space="0" w:color="28AAE1"/>
          <w:insideH w:val="nil"/>
          <w:insideV w:val="single" w:sz="8" w:space="0" w:color="28AAE1"/>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28AAE1"/>
          <w:left w:val="single" w:sz="8" w:space="0" w:color="28AAE1"/>
          <w:bottom w:val="single" w:sz="8" w:space="0" w:color="28AAE1"/>
          <w:right w:val="single" w:sz="8" w:space="0" w:color="28AAE1"/>
        </w:tcBorders>
      </w:tcPr>
    </w:tblStylePr>
    <w:tblStylePr w:type="band1Vert">
      <w:rPr>
        <w:rFonts w:cs="Times New Roman"/>
      </w:rPr>
      <w:tblPr/>
      <w:tcPr>
        <w:tcBorders>
          <w:top w:val="single" w:sz="8" w:space="0" w:color="28AAE1"/>
          <w:left w:val="single" w:sz="8" w:space="0" w:color="28AAE1"/>
          <w:bottom w:val="single" w:sz="8" w:space="0" w:color="28AAE1"/>
          <w:right w:val="single" w:sz="8" w:space="0" w:color="28AAE1"/>
        </w:tcBorders>
        <w:shd w:val="clear" w:color="auto" w:fill="C9E9F7"/>
      </w:tcPr>
    </w:tblStylePr>
    <w:tblStylePr w:type="band1Horz">
      <w:rPr>
        <w:rFonts w:cs="Times New Roman"/>
      </w:rPr>
      <w:tblPr/>
      <w:tcPr>
        <w:tcBorders>
          <w:top w:val="single" w:sz="8" w:space="0" w:color="28AAE1"/>
          <w:left w:val="single" w:sz="8" w:space="0" w:color="28AAE1"/>
          <w:bottom w:val="single" w:sz="8" w:space="0" w:color="28AAE1"/>
          <w:right w:val="single" w:sz="8" w:space="0" w:color="28AAE1"/>
          <w:insideV w:val="single" w:sz="8" w:space="0" w:color="28AAE1"/>
        </w:tcBorders>
        <w:shd w:val="clear" w:color="auto" w:fill="C9E9F7"/>
      </w:tcPr>
    </w:tblStylePr>
    <w:tblStylePr w:type="band2Horz">
      <w:rPr>
        <w:rFonts w:cs="Times New Roman"/>
      </w:rPr>
      <w:tblPr/>
      <w:tcPr>
        <w:tcBorders>
          <w:top w:val="single" w:sz="8" w:space="0" w:color="28AAE1"/>
          <w:left w:val="single" w:sz="8" w:space="0" w:color="28AAE1"/>
          <w:bottom w:val="single" w:sz="8" w:space="0" w:color="28AAE1"/>
          <w:right w:val="single" w:sz="8" w:space="0" w:color="28AAE1"/>
          <w:insideV w:val="single" w:sz="8" w:space="0" w:color="28AAE1"/>
        </w:tcBorders>
      </w:tcPr>
    </w:tblStylePr>
  </w:style>
  <w:style w:type="table" w:styleId="Jasnasiatkaakcent3">
    <w:name w:val="Light Grid Accent 3"/>
    <w:basedOn w:val="Standardowy"/>
    <w:uiPriority w:val="99"/>
    <w:semiHidden/>
    <w:rsid w:val="006A7CE0"/>
    <w:rPr>
      <w:sz w:val="20"/>
      <w:szCs w:val="20"/>
    </w:rPr>
    <w:tblPr>
      <w:tblStyleRowBandSize w:val="1"/>
      <w:tblStyleColBandSize w:val="1"/>
      <w:tblBorders>
        <w:top w:val="single" w:sz="8" w:space="0" w:color="F05023"/>
        <w:left w:val="single" w:sz="8" w:space="0" w:color="F05023"/>
        <w:bottom w:val="single" w:sz="8" w:space="0" w:color="F05023"/>
        <w:right w:val="single" w:sz="8" w:space="0" w:color="F05023"/>
        <w:insideH w:val="single" w:sz="8" w:space="0" w:color="F05023"/>
        <w:insideV w:val="single" w:sz="8" w:space="0" w:color="F05023"/>
      </w:tblBorders>
    </w:tblPr>
    <w:tblStylePr w:type="firstRow">
      <w:pPr>
        <w:spacing w:before="0" w:after="0"/>
      </w:pPr>
      <w:rPr>
        <w:rFonts w:ascii="Times New Roman" w:eastAsia="MS Gothic" w:hAnsi="Times New Roman" w:cs="Times New Roman"/>
        <w:b/>
        <w:bCs/>
      </w:rPr>
      <w:tblPr/>
      <w:tcPr>
        <w:tcBorders>
          <w:top w:val="single" w:sz="8" w:space="0" w:color="F05023"/>
          <w:left w:val="single" w:sz="8" w:space="0" w:color="F05023"/>
          <w:bottom w:val="single" w:sz="18" w:space="0" w:color="F05023"/>
          <w:right w:val="single" w:sz="8" w:space="0" w:color="F05023"/>
          <w:insideH w:val="nil"/>
          <w:insideV w:val="single" w:sz="8" w:space="0" w:color="F05023"/>
        </w:tcBorders>
      </w:tcPr>
    </w:tblStylePr>
    <w:tblStylePr w:type="lastRow">
      <w:pPr>
        <w:spacing w:before="0" w:after="0"/>
      </w:pPr>
      <w:rPr>
        <w:rFonts w:ascii="Times New Roman" w:eastAsia="MS Gothic" w:hAnsi="Times New Roman" w:cs="Times New Roman"/>
        <w:b/>
        <w:bCs/>
      </w:rPr>
      <w:tblPr/>
      <w:tcPr>
        <w:tcBorders>
          <w:top w:val="double" w:sz="6" w:space="0" w:color="F05023"/>
          <w:left w:val="single" w:sz="8" w:space="0" w:color="F05023"/>
          <w:bottom w:val="single" w:sz="8" w:space="0" w:color="F05023"/>
          <w:right w:val="single" w:sz="8" w:space="0" w:color="F05023"/>
          <w:insideH w:val="nil"/>
          <w:insideV w:val="single" w:sz="8" w:space="0" w:color="F05023"/>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F05023"/>
          <w:left w:val="single" w:sz="8" w:space="0" w:color="F05023"/>
          <w:bottom w:val="single" w:sz="8" w:space="0" w:color="F05023"/>
          <w:right w:val="single" w:sz="8" w:space="0" w:color="F05023"/>
        </w:tcBorders>
      </w:tcPr>
    </w:tblStylePr>
    <w:tblStylePr w:type="band1Vert">
      <w:rPr>
        <w:rFonts w:cs="Times New Roman"/>
      </w:rPr>
      <w:tblPr/>
      <w:tcPr>
        <w:tcBorders>
          <w:top w:val="single" w:sz="8" w:space="0" w:color="F05023"/>
          <w:left w:val="single" w:sz="8" w:space="0" w:color="F05023"/>
          <w:bottom w:val="single" w:sz="8" w:space="0" w:color="F05023"/>
          <w:right w:val="single" w:sz="8" w:space="0" w:color="F05023"/>
        </w:tcBorders>
        <w:shd w:val="clear" w:color="auto" w:fill="FBD3C8"/>
      </w:tcPr>
    </w:tblStylePr>
    <w:tblStylePr w:type="band1Horz">
      <w:rPr>
        <w:rFonts w:cs="Times New Roman"/>
      </w:rPr>
      <w:tblPr/>
      <w:tcPr>
        <w:tcBorders>
          <w:top w:val="single" w:sz="8" w:space="0" w:color="F05023"/>
          <w:left w:val="single" w:sz="8" w:space="0" w:color="F05023"/>
          <w:bottom w:val="single" w:sz="8" w:space="0" w:color="F05023"/>
          <w:right w:val="single" w:sz="8" w:space="0" w:color="F05023"/>
          <w:insideV w:val="single" w:sz="8" w:space="0" w:color="F05023"/>
        </w:tcBorders>
        <w:shd w:val="clear" w:color="auto" w:fill="FBD3C8"/>
      </w:tcPr>
    </w:tblStylePr>
    <w:tblStylePr w:type="band2Horz">
      <w:rPr>
        <w:rFonts w:cs="Times New Roman"/>
      </w:rPr>
      <w:tblPr/>
      <w:tcPr>
        <w:tcBorders>
          <w:top w:val="single" w:sz="8" w:space="0" w:color="F05023"/>
          <w:left w:val="single" w:sz="8" w:space="0" w:color="F05023"/>
          <w:bottom w:val="single" w:sz="8" w:space="0" w:color="F05023"/>
          <w:right w:val="single" w:sz="8" w:space="0" w:color="F05023"/>
          <w:insideV w:val="single" w:sz="8" w:space="0" w:color="F05023"/>
        </w:tcBorders>
      </w:tcPr>
    </w:tblStylePr>
  </w:style>
  <w:style w:type="table" w:styleId="Jasnasiatkaakcent4">
    <w:name w:val="Light Grid Accent 4"/>
    <w:basedOn w:val="Standardowy"/>
    <w:uiPriority w:val="99"/>
    <w:semiHidden/>
    <w:rsid w:val="006A7CE0"/>
    <w:rPr>
      <w:sz w:val="20"/>
      <w:szCs w:val="20"/>
    </w:rPr>
    <w:tblPr>
      <w:tblStyleRowBandSize w:val="1"/>
      <w:tblStyleColBandSize w:val="1"/>
      <w:tblBorders>
        <w:top w:val="single" w:sz="8" w:space="0" w:color="696EB4"/>
        <w:left w:val="single" w:sz="8" w:space="0" w:color="696EB4"/>
        <w:bottom w:val="single" w:sz="8" w:space="0" w:color="696EB4"/>
        <w:right w:val="single" w:sz="8" w:space="0" w:color="696EB4"/>
        <w:insideH w:val="single" w:sz="8" w:space="0" w:color="696EB4"/>
        <w:insideV w:val="single" w:sz="8" w:space="0" w:color="696EB4"/>
      </w:tblBorders>
    </w:tblPr>
    <w:tblStylePr w:type="firstRow">
      <w:pPr>
        <w:spacing w:before="0" w:after="0"/>
      </w:pPr>
      <w:rPr>
        <w:rFonts w:ascii="Times New Roman" w:eastAsia="MS Gothic" w:hAnsi="Times New Roman" w:cs="Times New Roman"/>
        <w:b/>
        <w:bCs/>
      </w:rPr>
      <w:tblPr/>
      <w:tcPr>
        <w:tcBorders>
          <w:top w:val="single" w:sz="8" w:space="0" w:color="696EB4"/>
          <w:left w:val="single" w:sz="8" w:space="0" w:color="696EB4"/>
          <w:bottom w:val="single" w:sz="18" w:space="0" w:color="696EB4"/>
          <w:right w:val="single" w:sz="8" w:space="0" w:color="696EB4"/>
          <w:insideH w:val="nil"/>
          <w:insideV w:val="single" w:sz="8" w:space="0" w:color="696EB4"/>
        </w:tcBorders>
      </w:tcPr>
    </w:tblStylePr>
    <w:tblStylePr w:type="lastRow">
      <w:pPr>
        <w:spacing w:before="0" w:after="0"/>
      </w:pPr>
      <w:rPr>
        <w:rFonts w:ascii="Times New Roman" w:eastAsia="MS Gothic" w:hAnsi="Times New Roman" w:cs="Times New Roman"/>
        <w:b/>
        <w:bCs/>
      </w:rPr>
      <w:tblPr/>
      <w:tcPr>
        <w:tcBorders>
          <w:top w:val="double" w:sz="6" w:space="0" w:color="696EB4"/>
          <w:left w:val="single" w:sz="8" w:space="0" w:color="696EB4"/>
          <w:bottom w:val="single" w:sz="8" w:space="0" w:color="696EB4"/>
          <w:right w:val="single" w:sz="8" w:space="0" w:color="696EB4"/>
          <w:insideH w:val="nil"/>
          <w:insideV w:val="single" w:sz="8" w:space="0" w:color="696EB4"/>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696EB4"/>
          <w:left w:val="single" w:sz="8" w:space="0" w:color="696EB4"/>
          <w:bottom w:val="single" w:sz="8" w:space="0" w:color="696EB4"/>
          <w:right w:val="single" w:sz="8" w:space="0" w:color="696EB4"/>
        </w:tcBorders>
      </w:tcPr>
    </w:tblStylePr>
    <w:tblStylePr w:type="band1Vert">
      <w:rPr>
        <w:rFonts w:cs="Times New Roman"/>
      </w:rPr>
      <w:tblPr/>
      <w:tcPr>
        <w:tcBorders>
          <w:top w:val="single" w:sz="8" w:space="0" w:color="696EB4"/>
          <w:left w:val="single" w:sz="8" w:space="0" w:color="696EB4"/>
          <w:bottom w:val="single" w:sz="8" w:space="0" w:color="696EB4"/>
          <w:right w:val="single" w:sz="8" w:space="0" w:color="696EB4"/>
        </w:tcBorders>
        <w:shd w:val="clear" w:color="auto" w:fill="D9DBEC"/>
      </w:tcPr>
    </w:tblStylePr>
    <w:tblStylePr w:type="band1Horz">
      <w:rPr>
        <w:rFonts w:cs="Times New Roman"/>
      </w:rPr>
      <w:tblPr/>
      <w:tcPr>
        <w:tcBorders>
          <w:top w:val="single" w:sz="8" w:space="0" w:color="696EB4"/>
          <w:left w:val="single" w:sz="8" w:space="0" w:color="696EB4"/>
          <w:bottom w:val="single" w:sz="8" w:space="0" w:color="696EB4"/>
          <w:right w:val="single" w:sz="8" w:space="0" w:color="696EB4"/>
          <w:insideV w:val="single" w:sz="8" w:space="0" w:color="696EB4"/>
        </w:tcBorders>
        <w:shd w:val="clear" w:color="auto" w:fill="D9DBEC"/>
      </w:tcPr>
    </w:tblStylePr>
    <w:tblStylePr w:type="band2Horz">
      <w:rPr>
        <w:rFonts w:cs="Times New Roman"/>
      </w:rPr>
      <w:tblPr/>
      <w:tcPr>
        <w:tcBorders>
          <w:top w:val="single" w:sz="8" w:space="0" w:color="696EB4"/>
          <w:left w:val="single" w:sz="8" w:space="0" w:color="696EB4"/>
          <w:bottom w:val="single" w:sz="8" w:space="0" w:color="696EB4"/>
          <w:right w:val="single" w:sz="8" w:space="0" w:color="696EB4"/>
          <w:insideV w:val="single" w:sz="8" w:space="0" w:color="696EB4"/>
        </w:tcBorders>
      </w:tcPr>
    </w:tblStylePr>
  </w:style>
  <w:style w:type="table" w:styleId="Jasnasiatkaakcent5">
    <w:name w:val="Light Grid Accent 5"/>
    <w:basedOn w:val="Standardowy"/>
    <w:uiPriority w:val="99"/>
    <w:semiHidden/>
    <w:rsid w:val="006A7CE0"/>
    <w:rPr>
      <w:sz w:val="20"/>
      <w:szCs w:val="20"/>
    </w:rPr>
    <w:tblPr>
      <w:tblStyleRowBandSize w:val="1"/>
      <w:tblStyleColBandSize w:val="1"/>
      <w:tblBorders>
        <w:top w:val="single" w:sz="8" w:space="0" w:color="FA9B1E"/>
        <w:left w:val="single" w:sz="8" w:space="0" w:color="FA9B1E"/>
        <w:bottom w:val="single" w:sz="8" w:space="0" w:color="FA9B1E"/>
        <w:right w:val="single" w:sz="8" w:space="0" w:color="FA9B1E"/>
        <w:insideH w:val="single" w:sz="8" w:space="0" w:color="FA9B1E"/>
        <w:insideV w:val="single" w:sz="8" w:space="0" w:color="FA9B1E"/>
      </w:tblBorders>
    </w:tblPr>
    <w:tblStylePr w:type="firstRow">
      <w:pPr>
        <w:spacing w:before="0" w:after="0"/>
      </w:pPr>
      <w:rPr>
        <w:rFonts w:ascii="Times New Roman" w:eastAsia="MS Gothic" w:hAnsi="Times New Roman" w:cs="Times New Roman"/>
        <w:b/>
        <w:bCs/>
      </w:rPr>
      <w:tblPr/>
      <w:tcPr>
        <w:tcBorders>
          <w:top w:val="single" w:sz="8" w:space="0" w:color="FA9B1E"/>
          <w:left w:val="single" w:sz="8" w:space="0" w:color="FA9B1E"/>
          <w:bottom w:val="single" w:sz="18" w:space="0" w:color="FA9B1E"/>
          <w:right w:val="single" w:sz="8" w:space="0" w:color="FA9B1E"/>
          <w:insideH w:val="nil"/>
          <w:insideV w:val="single" w:sz="8" w:space="0" w:color="FA9B1E"/>
        </w:tcBorders>
      </w:tcPr>
    </w:tblStylePr>
    <w:tblStylePr w:type="lastRow">
      <w:pPr>
        <w:spacing w:before="0" w:after="0"/>
      </w:pPr>
      <w:rPr>
        <w:rFonts w:ascii="Times New Roman" w:eastAsia="MS Gothic" w:hAnsi="Times New Roman" w:cs="Times New Roman"/>
        <w:b/>
        <w:bCs/>
      </w:rPr>
      <w:tblPr/>
      <w:tcPr>
        <w:tcBorders>
          <w:top w:val="double" w:sz="6" w:space="0" w:color="FA9B1E"/>
          <w:left w:val="single" w:sz="8" w:space="0" w:color="FA9B1E"/>
          <w:bottom w:val="single" w:sz="8" w:space="0" w:color="FA9B1E"/>
          <w:right w:val="single" w:sz="8" w:space="0" w:color="FA9B1E"/>
          <w:insideH w:val="nil"/>
          <w:insideV w:val="single" w:sz="8" w:space="0" w:color="FA9B1E"/>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FA9B1E"/>
          <w:left w:val="single" w:sz="8" w:space="0" w:color="FA9B1E"/>
          <w:bottom w:val="single" w:sz="8" w:space="0" w:color="FA9B1E"/>
          <w:right w:val="single" w:sz="8" w:space="0" w:color="FA9B1E"/>
        </w:tcBorders>
      </w:tcPr>
    </w:tblStylePr>
    <w:tblStylePr w:type="band1Vert">
      <w:rPr>
        <w:rFonts w:cs="Times New Roman"/>
      </w:rPr>
      <w:tblPr/>
      <w:tcPr>
        <w:tcBorders>
          <w:top w:val="single" w:sz="8" w:space="0" w:color="FA9B1E"/>
          <w:left w:val="single" w:sz="8" w:space="0" w:color="FA9B1E"/>
          <w:bottom w:val="single" w:sz="8" w:space="0" w:color="FA9B1E"/>
          <w:right w:val="single" w:sz="8" w:space="0" w:color="FA9B1E"/>
        </w:tcBorders>
        <w:shd w:val="clear" w:color="auto" w:fill="FDE6C7"/>
      </w:tcPr>
    </w:tblStylePr>
    <w:tblStylePr w:type="band1Horz">
      <w:rPr>
        <w:rFonts w:cs="Times New Roman"/>
      </w:rPr>
      <w:tblPr/>
      <w:tcPr>
        <w:tcBorders>
          <w:top w:val="single" w:sz="8" w:space="0" w:color="FA9B1E"/>
          <w:left w:val="single" w:sz="8" w:space="0" w:color="FA9B1E"/>
          <w:bottom w:val="single" w:sz="8" w:space="0" w:color="FA9B1E"/>
          <w:right w:val="single" w:sz="8" w:space="0" w:color="FA9B1E"/>
          <w:insideV w:val="single" w:sz="8" w:space="0" w:color="FA9B1E"/>
        </w:tcBorders>
        <w:shd w:val="clear" w:color="auto" w:fill="FDE6C7"/>
      </w:tcPr>
    </w:tblStylePr>
    <w:tblStylePr w:type="band2Horz">
      <w:rPr>
        <w:rFonts w:cs="Times New Roman"/>
      </w:rPr>
      <w:tblPr/>
      <w:tcPr>
        <w:tcBorders>
          <w:top w:val="single" w:sz="8" w:space="0" w:color="FA9B1E"/>
          <w:left w:val="single" w:sz="8" w:space="0" w:color="FA9B1E"/>
          <w:bottom w:val="single" w:sz="8" w:space="0" w:color="FA9B1E"/>
          <w:right w:val="single" w:sz="8" w:space="0" w:color="FA9B1E"/>
          <w:insideV w:val="single" w:sz="8" w:space="0" w:color="FA9B1E"/>
        </w:tcBorders>
      </w:tcPr>
    </w:tblStylePr>
  </w:style>
  <w:style w:type="table" w:styleId="Jasnasiatkaakcent6">
    <w:name w:val="Light Grid Accent 6"/>
    <w:basedOn w:val="Standardowy"/>
    <w:uiPriority w:val="99"/>
    <w:semiHidden/>
    <w:rsid w:val="006A7CE0"/>
    <w:rPr>
      <w:sz w:val="20"/>
      <w:szCs w:val="20"/>
    </w:rPr>
    <w:tblPr>
      <w:tblStyleRowBandSize w:val="1"/>
      <w:tblStyleColBandSize w:val="1"/>
      <w:tblBorders>
        <w:top w:val="single" w:sz="8" w:space="0" w:color="28AF73"/>
        <w:left w:val="single" w:sz="8" w:space="0" w:color="28AF73"/>
        <w:bottom w:val="single" w:sz="8" w:space="0" w:color="28AF73"/>
        <w:right w:val="single" w:sz="8" w:space="0" w:color="28AF73"/>
        <w:insideH w:val="single" w:sz="8" w:space="0" w:color="28AF73"/>
        <w:insideV w:val="single" w:sz="8" w:space="0" w:color="28AF73"/>
      </w:tblBorders>
    </w:tblPr>
    <w:tblStylePr w:type="firstRow">
      <w:pPr>
        <w:spacing w:before="0" w:after="0"/>
      </w:pPr>
      <w:rPr>
        <w:rFonts w:ascii="Times New Roman" w:eastAsia="MS Gothic" w:hAnsi="Times New Roman" w:cs="Times New Roman"/>
        <w:b/>
        <w:bCs/>
      </w:rPr>
      <w:tblPr/>
      <w:tcPr>
        <w:tcBorders>
          <w:top w:val="single" w:sz="8" w:space="0" w:color="28AF73"/>
          <w:left w:val="single" w:sz="8" w:space="0" w:color="28AF73"/>
          <w:bottom w:val="single" w:sz="18" w:space="0" w:color="28AF73"/>
          <w:right w:val="single" w:sz="8" w:space="0" w:color="28AF73"/>
          <w:insideH w:val="nil"/>
          <w:insideV w:val="single" w:sz="8" w:space="0" w:color="28AF73"/>
        </w:tcBorders>
      </w:tcPr>
    </w:tblStylePr>
    <w:tblStylePr w:type="lastRow">
      <w:pPr>
        <w:spacing w:before="0" w:after="0"/>
      </w:pPr>
      <w:rPr>
        <w:rFonts w:ascii="Times New Roman" w:eastAsia="MS Gothic" w:hAnsi="Times New Roman" w:cs="Times New Roman"/>
        <w:b/>
        <w:bCs/>
      </w:rPr>
      <w:tblPr/>
      <w:tcPr>
        <w:tcBorders>
          <w:top w:val="double" w:sz="6" w:space="0" w:color="28AF73"/>
          <w:left w:val="single" w:sz="8" w:space="0" w:color="28AF73"/>
          <w:bottom w:val="single" w:sz="8" w:space="0" w:color="28AF73"/>
          <w:right w:val="single" w:sz="8" w:space="0" w:color="28AF73"/>
          <w:insideH w:val="nil"/>
          <w:insideV w:val="single" w:sz="8" w:space="0" w:color="28AF73"/>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28AF73"/>
          <w:left w:val="single" w:sz="8" w:space="0" w:color="28AF73"/>
          <w:bottom w:val="single" w:sz="8" w:space="0" w:color="28AF73"/>
          <w:right w:val="single" w:sz="8" w:space="0" w:color="28AF73"/>
        </w:tcBorders>
      </w:tcPr>
    </w:tblStylePr>
    <w:tblStylePr w:type="band1Vert">
      <w:rPr>
        <w:rFonts w:cs="Times New Roman"/>
      </w:rPr>
      <w:tblPr/>
      <w:tcPr>
        <w:tcBorders>
          <w:top w:val="single" w:sz="8" w:space="0" w:color="28AF73"/>
          <w:left w:val="single" w:sz="8" w:space="0" w:color="28AF73"/>
          <w:bottom w:val="single" w:sz="8" w:space="0" w:color="28AF73"/>
          <w:right w:val="single" w:sz="8" w:space="0" w:color="28AF73"/>
        </w:tcBorders>
        <w:shd w:val="clear" w:color="auto" w:fill="C3F1DC"/>
      </w:tcPr>
    </w:tblStylePr>
    <w:tblStylePr w:type="band1Horz">
      <w:rPr>
        <w:rFonts w:cs="Times New Roman"/>
      </w:rPr>
      <w:tblPr/>
      <w:tcPr>
        <w:tcBorders>
          <w:top w:val="single" w:sz="8" w:space="0" w:color="28AF73"/>
          <w:left w:val="single" w:sz="8" w:space="0" w:color="28AF73"/>
          <w:bottom w:val="single" w:sz="8" w:space="0" w:color="28AF73"/>
          <w:right w:val="single" w:sz="8" w:space="0" w:color="28AF73"/>
          <w:insideV w:val="single" w:sz="8" w:space="0" w:color="28AF73"/>
        </w:tcBorders>
        <w:shd w:val="clear" w:color="auto" w:fill="C3F1DC"/>
      </w:tcPr>
    </w:tblStylePr>
    <w:tblStylePr w:type="band2Horz">
      <w:rPr>
        <w:rFonts w:cs="Times New Roman"/>
      </w:rPr>
      <w:tblPr/>
      <w:tcPr>
        <w:tcBorders>
          <w:top w:val="single" w:sz="8" w:space="0" w:color="28AF73"/>
          <w:left w:val="single" w:sz="8" w:space="0" w:color="28AF73"/>
          <w:bottom w:val="single" w:sz="8" w:space="0" w:color="28AF73"/>
          <w:right w:val="single" w:sz="8" w:space="0" w:color="28AF73"/>
          <w:insideV w:val="single" w:sz="8" w:space="0" w:color="28AF73"/>
        </w:tcBorders>
      </w:tcPr>
    </w:tblStylePr>
  </w:style>
  <w:style w:type="table" w:styleId="Jasnecieniowanie">
    <w:name w:val="Light Shading"/>
    <w:basedOn w:val="Standardowy"/>
    <w:uiPriority w:val="99"/>
    <w:semiHidden/>
    <w:rsid w:val="006A7CE0"/>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Jasnecieniowanieakcent1">
    <w:name w:val="Light Shading Accent 1"/>
    <w:basedOn w:val="Standardowy"/>
    <w:uiPriority w:val="99"/>
    <w:semiHidden/>
    <w:rsid w:val="006A7CE0"/>
    <w:rPr>
      <w:color w:val="9D215D"/>
      <w:sz w:val="20"/>
      <w:szCs w:val="20"/>
    </w:rPr>
    <w:tblPr>
      <w:tblStyleRowBandSize w:val="1"/>
      <w:tblStyleColBandSize w:val="1"/>
      <w:tblBorders>
        <w:top w:val="single" w:sz="8" w:space="0" w:color="D22D7D"/>
        <w:bottom w:val="single" w:sz="8" w:space="0" w:color="D22D7D"/>
      </w:tblBorders>
    </w:tblPr>
    <w:tblStylePr w:type="firstRow">
      <w:pPr>
        <w:spacing w:before="0" w:after="0"/>
      </w:pPr>
      <w:rPr>
        <w:rFonts w:cs="Times New Roman"/>
        <w:b/>
        <w:bCs/>
      </w:rPr>
      <w:tblPr/>
      <w:tcPr>
        <w:tcBorders>
          <w:top w:val="single" w:sz="8" w:space="0" w:color="D22D7D"/>
          <w:left w:val="nil"/>
          <w:bottom w:val="single" w:sz="8" w:space="0" w:color="D22D7D"/>
          <w:right w:val="nil"/>
          <w:insideH w:val="nil"/>
          <w:insideV w:val="nil"/>
        </w:tcBorders>
      </w:tcPr>
    </w:tblStylePr>
    <w:tblStylePr w:type="lastRow">
      <w:pPr>
        <w:spacing w:before="0" w:after="0"/>
      </w:pPr>
      <w:rPr>
        <w:rFonts w:cs="Times New Roman"/>
        <w:b/>
        <w:bCs/>
      </w:rPr>
      <w:tblPr/>
      <w:tcPr>
        <w:tcBorders>
          <w:top w:val="single" w:sz="8" w:space="0" w:color="D22D7D"/>
          <w:left w:val="nil"/>
          <w:bottom w:val="single" w:sz="8" w:space="0" w:color="D22D7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4CBDE"/>
      </w:tcPr>
    </w:tblStylePr>
    <w:tblStylePr w:type="band1Horz">
      <w:rPr>
        <w:rFonts w:cs="Times New Roman"/>
      </w:rPr>
      <w:tblPr/>
      <w:tcPr>
        <w:tcBorders>
          <w:left w:val="nil"/>
          <w:right w:val="nil"/>
          <w:insideH w:val="nil"/>
          <w:insideV w:val="nil"/>
        </w:tcBorders>
        <w:shd w:val="clear" w:color="auto" w:fill="F4CBDE"/>
      </w:tcPr>
    </w:tblStylePr>
  </w:style>
  <w:style w:type="table" w:styleId="Jasnecieniowanieakcent2">
    <w:name w:val="Light Shading Accent 2"/>
    <w:basedOn w:val="Standardowy"/>
    <w:uiPriority w:val="99"/>
    <w:semiHidden/>
    <w:rsid w:val="006A7CE0"/>
    <w:rPr>
      <w:color w:val="1881AE"/>
      <w:sz w:val="20"/>
      <w:szCs w:val="20"/>
    </w:rPr>
    <w:tblPr>
      <w:tblStyleRowBandSize w:val="1"/>
      <w:tblStyleColBandSize w:val="1"/>
      <w:tblBorders>
        <w:top w:val="single" w:sz="8" w:space="0" w:color="28AAE1"/>
        <w:bottom w:val="single" w:sz="8" w:space="0" w:color="28AAE1"/>
      </w:tblBorders>
    </w:tblPr>
    <w:tblStylePr w:type="firstRow">
      <w:pPr>
        <w:spacing w:before="0" w:after="0"/>
      </w:pPr>
      <w:rPr>
        <w:rFonts w:cs="Times New Roman"/>
        <w:b/>
        <w:bCs/>
      </w:rPr>
      <w:tblPr/>
      <w:tcPr>
        <w:tcBorders>
          <w:top w:val="single" w:sz="8" w:space="0" w:color="28AAE1"/>
          <w:left w:val="nil"/>
          <w:bottom w:val="single" w:sz="8" w:space="0" w:color="28AAE1"/>
          <w:right w:val="nil"/>
          <w:insideH w:val="nil"/>
          <w:insideV w:val="nil"/>
        </w:tcBorders>
      </w:tcPr>
    </w:tblStylePr>
    <w:tblStylePr w:type="lastRow">
      <w:pPr>
        <w:spacing w:before="0" w:after="0"/>
      </w:pPr>
      <w:rPr>
        <w:rFonts w:cs="Times New Roman"/>
        <w:b/>
        <w:bCs/>
      </w:rPr>
      <w:tblPr/>
      <w:tcPr>
        <w:tcBorders>
          <w:top w:val="single" w:sz="8" w:space="0" w:color="28AAE1"/>
          <w:left w:val="nil"/>
          <w:bottom w:val="single" w:sz="8" w:space="0" w:color="28AAE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9E9F7"/>
      </w:tcPr>
    </w:tblStylePr>
    <w:tblStylePr w:type="band1Horz">
      <w:rPr>
        <w:rFonts w:cs="Times New Roman"/>
      </w:rPr>
      <w:tblPr/>
      <w:tcPr>
        <w:tcBorders>
          <w:left w:val="nil"/>
          <w:right w:val="nil"/>
          <w:insideH w:val="nil"/>
          <w:insideV w:val="nil"/>
        </w:tcBorders>
        <w:shd w:val="clear" w:color="auto" w:fill="C9E9F7"/>
      </w:tcPr>
    </w:tblStylePr>
  </w:style>
  <w:style w:type="table" w:styleId="Jasnecieniowanieakcent3">
    <w:name w:val="Light Shading Accent 3"/>
    <w:basedOn w:val="Standardowy"/>
    <w:uiPriority w:val="99"/>
    <w:semiHidden/>
    <w:rsid w:val="006A7CE0"/>
    <w:rPr>
      <w:color w:val="C0330D"/>
      <w:sz w:val="20"/>
      <w:szCs w:val="20"/>
    </w:rPr>
    <w:tblPr>
      <w:tblStyleRowBandSize w:val="1"/>
      <w:tblStyleColBandSize w:val="1"/>
      <w:tblBorders>
        <w:top w:val="single" w:sz="8" w:space="0" w:color="F05023"/>
        <w:bottom w:val="single" w:sz="8" w:space="0" w:color="F05023"/>
      </w:tblBorders>
    </w:tblPr>
    <w:tblStylePr w:type="firstRow">
      <w:pPr>
        <w:spacing w:before="0" w:after="0"/>
      </w:pPr>
      <w:rPr>
        <w:rFonts w:cs="Times New Roman"/>
        <w:b/>
        <w:bCs/>
      </w:rPr>
      <w:tblPr/>
      <w:tcPr>
        <w:tcBorders>
          <w:top w:val="single" w:sz="8" w:space="0" w:color="F05023"/>
          <w:left w:val="nil"/>
          <w:bottom w:val="single" w:sz="8" w:space="0" w:color="F05023"/>
          <w:right w:val="nil"/>
          <w:insideH w:val="nil"/>
          <w:insideV w:val="nil"/>
        </w:tcBorders>
      </w:tcPr>
    </w:tblStylePr>
    <w:tblStylePr w:type="lastRow">
      <w:pPr>
        <w:spacing w:before="0" w:after="0"/>
      </w:pPr>
      <w:rPr>
        <w:rFonts w:cs="Times New Roman"/>
        <w:b/>
        <w:bCs/>
      </w:rPr>
      <w:tblPr/>
      <w:tcPr>
        <w:tcBorders>
          <w:top w:val="single" w:sz="8" w:space="0" w:color="F05023"/>
          <w:left w:val="nil"/>
          <w:bottom w:val="single" w:sz="8" w:space="0" w:color="F0502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BD3C8"/>
      </w:tcPr>
    </w:tblStylePr>
    <w:tblStylePr w:type="band1Horz">
      <w:rPr>
        <w:rFonts w:cs="Times New Roman"/>
      </w:rPr>
      <w:tblPr/>
      <w:tcPr>
        <w:tcBorders>
          <w:left w:val="nil"/>
          <w:right w:val="nil"/>
          <w:insideH w:val="nil"/>
          <w:insideV w:val="nil"/>
        </w:tcBorders>
        <w:shd w:val="clear" w:color="auto" w:fill="FBD3C8"/>
      </w:tcPr>
    </w:tblStylePr>
  </w:style>
  <w:style w:type="table" w:styleId="Jasnecieniowanieakcent4">
    <w:name w:val="Light Shading Accent 4"/>
    <w:basedOn w:val="Standardowy"/>
    <w:uiPriority w:val="99"/>
    <w:semiHidden/>
    <w:rsid w:val="006A7CE0"/>
    <w:rPr>
      <w:color w:val="474B8E"/>
      <w:sz w:val="20"/>
      <w:szCs w:val="20"/>
    </w:rPr>
    <w:tblPr>
      <w:tblStyleRowBandSize w:val="1"/>
      <w:tblStyleColBandSize w:val="1"/>
      <w:tblBorders>
        <w:top w:val="single" w:sz="8" w:space="0" w:color="696EB4"/>
        <w:bottom w:val="single" w:sz="8" w:space="0" w:color="696EB4"/>
      </w:tblBorders>
    </w:tblPr>
    <w:tblStylePr w:type="firstRow">
      <w:pPr>
        <w:spacing w:before="0" w:after="0"/>
      </w:pPr>
      <w:rPr>
        <w:rFonts w:cs="Times New Roman"/>
        <w:b/>
        <w:bCs/>
      </w:rPr>
      <w:tblPr/>
      <w:tcPr>
        <w:tcBorders>
          <w:top w:val="single" w:sz="8" w:space="0" w:color="696EB4"/>
          <w:left w:val="nil"/>
          <w:bottom w:val="single" w:sz="8" w:space="0" w:color="696EB4"/>
          <w:right w:val="nil"/>
          <w:insideH w:val="nil"/>
          <w:insideV w:val="nil"/>
        </w:tcBorders>
      </w:tcPr>
    </w:tblStylePr>
    <w:tblStylePr w:type="lastRow">
      <w:pPr>
        <w:spacing w:before="0" w:after="0"/>
      </w:pPr>
      <w:rPr>
        <w:rFonts w:cs="Times New Roman"/>
        <w:b/>
        <w:bCs/>
      </w:rPr>
      <w:tblPr/>
      <w:tcPr>
        <w:tcBorders>
          <w:top w:val="single" w:sz="8" w:space="0" w:color="696EB4"/>
          <w:left w:val="nil"/>
          <w:bottom w:val="single" w:sz="8" w:space="0" w:color="696EB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9DBEC"/>
      </w:tcPr>
    </w:tblStylePr>
    <w:tblStylePr w:type="band1Horz">
      <w:rPr>
        <w:rFonts w:cs="Times New Roman"/>
      </w:rPr>
      <w:tblPr/>
      <w:tcPr>
        <w:tcBorders>
          <w:left w:val="nil"/>
          <w:right w:val="nil"/>
          <w:insideH w:val="nil"/>
          <w:insideV w:val="nil"/>
        </w:tcBorders>
        <w:shd w:val="clear" w:color="auto" w:fill="D9DBEC"/>
      </w:tcPr>
    </w:tblStylePr>
  </w:style>
  <w:style w:type="table" w:styleId="Jasnecieniowanieakcent5">
    <w:name w:val="Light Shading Accent 5"/>
    <w:basedOn w:val="Standardowy"/>
    <w:uiPriority w:val="99"/>
    <w:semiHidden/>
    <w:rsid w:val="006A7CE0"/>
    <w:rPr>
      <w:color w:val="CD7504"/>
      <w:sz w:val="20"/>
      <w:szCs w:val="20"/>
    </w:rPr>
    <w:tblPr>
      <w:tblStyleRowBandSize w:val="1"/>
      <w:tblStyleColBandSize w:val="1"/>
      <w:tblBorders>
        <w:top w:val="single" w:sz="8" w:space="0" w:color="FA9B1E"/>
        <w:bottom w:val="single" w:sz="8" w:space="0" w:color="FA9B1E"/>
      </w:tblBorders>
    </w:tblPr>
    <w:tblStylePr w:type="firstRow">
      <w:pPr>
        <w:spacing w:before="0" w:after="0"/>
      </w:pPr>
      <w:rPr>
        <w:rFonts w:cs="Times New Roman"/>
        <w:b/>
        <w:bCs/>
      </w:rPr>
      <w:tblPr/>
      <w:tcPr>
        <w:tcBorders>
          <w:top w:val="single" w:sz="8" w:space="0" w:color="FA9B1E"/>
          <w:left w:val="nil"/>
          <w:bottom w:val="single" w:sz="8" w:space="0" w:color="FA9B1E"/>
          <w:right w:val="nil"/>
          <w:insideH w:val="nil"/>
          <w:insideV w:val="nil"/>
        </w:tcBorders>
      </w:tcPr>
    </w:tblStylePr>
    <w:tblStylePr w:type="lastRow">
      <w:pPr>
        <w:spacing w:before="0" w:after="0"/>
      </w:pPr>
      <w:rPr>
        <w:rFonts w:cs="Times New Roman"/>
        <w:b/>
        <w:bCs/>
      </w:rPr>
      <w:tblPr/>
      <w:tcPr>
        <w:tcBorders>
          <w:top w:val="single" w:sz="8" w:space="0" w:color="FA9B1E"/>
          <w:left w:val="nil"/>
          <w:bottom w:val="single" w:sz="8" w:space="0" w:color="FA9B1E"/>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6C7"/>
      </w:tcPr>
    </w:tblStylePr>
    <w:tblStylePr w:type="band1Horz">
      <w:rPr>
        <w:rFonts w:cs="Times New Roman"/>
      </w:rPr>
      <w:tblPr/>
      <w:tcPr>
        <w:tcBorders>
          <w:left w:val="nil"/>
          <w:right w:val="nil"/>
          <w:insideH w:val="nil"/>
          <w:insideV w:val="nil"/>
        </w:tcBorders>
        <w:shd w:val="clear" w:color="auto" w:fill="FDE6C7"/>
      </w:tcPr>
    </w:tblStylePr>
  </w:style>
  <w:style w:type="table" w:styleId="Jasnecieniowanieakcent6">
    <w:name w:val="Light Shading Accent 6"/>
    <w:basedOn w:val="Standardowy"/>
    <w:uiPriority w:val="99"/>
    <w:semiHidden/>
    <w:rsid w:val="006A7CE0"/>
    <w:rPr>
      <w:color w:val="1E8355"/>
      <w:sz w:val="20"/>
      <w:szCs w:val="20"/>
    </w:rPr>
    <w:tblPr>
      <w:tblStyleRowBandSize w:val="1"/>
      <w:tblStyleColBandSize w:val="1"/>
      <w:tblBorders>
        <w:top w:val="single" w:sz="8" w:space="0" w:color="28AF73"/>
        <w:bottom w:val="single" w:sz="8" w:space="0" w:color="28AF73"/>
      </w:tblBorders>
    </w:tblPr>
    <w:tblStylePr w:type="firstRow">
      <w:pPr>
        <w:spacing w:before="0" w:after="0"/>
      </w:pPr>
      <w:rPr>
        <w:rFonts w:cs="Times New Roman"/>
        <w:b/>
        <w:bCs/>
      </w:rPr>
      <w:tblPr/>
      <w:tcPr>
        <w:tcBorders>
          <w:top w:val="single" w:sz="8" w:space="0" w:color="28AF73"/>
          <w:left w:val="nil"/>
          <w:bottom w:val="single" w:sz="8" w:space="0" w:color="28AF73"/>
          <w:right w:val="nil"/>
          <w:insideH w:val="nil"/>
          <w:insideV w:val="nil"/>
        </w:tcBorders>
      </w:tcPr>
    </w:tblStylePr>
    <w:tblStylePr w:type="lastRow">
      <w:pPr>
        <w:spacing w:before="0" w:after="0"/>
      </w:pPr>
      <w:rPr>
        <w:rFonts w:cs="Times New Roman"/>
        <w:b/>
        <w:bCs/>
      </w:rPr>
      <w:tblPr/>
      <w:tcPr>
        <w:tcBorders>
          <w:top w:val="single" w:sz="8" w:space="0" w:color="28AF73"/>
          <w:left w:val="nil"/>
          <w:bottom w:val="single" w:sz="8" w:space="0" w:color="28AF7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3F1DC"/>
      </w:tcPr>
    </w:tblStylePr>
    <w:tblStylePr w:type="band1Horz">
      <w:rPr>
        <w:rFonts w:cs="Times New Roman"/>
      </w:rPr>
      <w:tblPr/>
      <w:tcPr>
        <w:tcBorders>
          <w:left w:val="nil"/>
          <w:right w:val="nil"/>
          <w:insideH w:val="nil"/>
          <w:insideV w:val="nil"/>
        </w:tcBorders>
        <w:shd w:val="clear" w:color="auto" w:fill="C3F1DC"/>
      </w:tcPr>
    </w:tblStylePr>
  </w:style>
  <w:style w:type="table" w:styleId="Kolorowalista">
    <w:name w:val="Colorful List"/>
    <w:basedOn w:val="Standardowy"/>
    <w:uiPriority w:val="99"/>
    <w:semiHidden/>
    <w:rsid w:val="006A7CE0"/>
    <w:rPr>
      <w:color w:val="000000"/>
      <w:sz w:val="20"/>
      <w:szCs w:val="2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1A8ABA"/>
      </w:tcPr>
    </w:tblStylePr>
    <w:tblStylePr w:type="lastRow">
      <w:rPr>
        <w:rFonts w:cs="Times New Roman"/>
        <w:b/>
        <w:bCs/>
        <w:color w:val="1A8AB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Kolorowalistaakcent1">
    <w:name w:val="Colorful List Accent 1"/>
    <w:basedOn w:val="Standardowy"/>
    <w:uiPriority w:val="99"/>
    <w:semiHidden/>
    <w:rsid w:val="006A7CE0"/>
    <w:rPr>
      <w:color w:val="000000"/>
      <w:sz w:val="20"/>
      <w:szCs w:val="20"/>
    </w:rPr>
    <w:tblPr>
      <w:tblStyleRowBandSize w:val="1"/>
      <w:tblStyleColBandSize w:val="1"/>
    </w:tblPr>
    <w:tcPr>
      <w:shd w:val="clear" w:color="auto" w:fill="FAEAF2"/>
    </w:tcPr>
    <w:tblStylePr w:type="firstRow">
      <w:rPr>
        <w:rFonts w:cs="Times New Roman"/>
        <w:b/>
        <w:bCs/>
        <w:color w:val="FFFFFF"/>
      </w:rPr>
      <w:tblPr/>
      <w:tcPr>
        <w:tcBorders>
          <w:bottom w:val="single" w:sz="12" w:space="0" w:color="FFFFFF"/>
        </w:tcBorders>
        <w:shd w:val="clear" w:color="auto" w:fill="1A8ABA"/>
      </w:tcPr>
    </w:tblStylePr>
    <w:tblStylePr w:type="lastRow">
      <w:rPr>
        <w:rFonts w:cs="Times New Roman"/>
        <w:b/>
        <w:bCs/>
        <w:color w:val="1A8AB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4CBDE"/>
      </w:tcPr>
    </w:tblStylePr>
    <w:tblStylePr w:type="band1Horz">
      <w:rPr>
        <w:rFonts w:cs="Times New Roman"/>
      </w:rPr>
      <w:tblPr/>
      <w:tcPr>
        <w:shd w:val="clear" w:color="auto" w:fill="F6D5E4"/>
      </w:tcPr>
    </w:tblStylePr>
  </w:style>
  <w:style w:type="table" w:styleId="Kolorowalistaakcent2">
    <w:name w:val="Colorful List Accent 2"/>
    <w:basedOn w:val="Standardowy"/>
    <w:uiPriority w:val="99"/>
    <w:semiHidden/>
    <w:rsid w:val="006A7CE0"/>
    <w:rPr>
      <w:color w:val="000000"/>
      <w:sz w:val="20"/>
      <w:szCs w:val="20"/>
    </w:rPr>
    <w:tblPr>
      <w:tblStyleRowBandSize w:val="1"/>
      <w:tblStyleColBandSize w:val="1"/>
    </w:tblPr>
    <w:tcPr>
      <w:shd w:val="clear" w:color="auto" w:fill="E9F6FC"/>
    </w:tcPr>
    <w:tblStylePr w:type="firstRow">
      <w:rPr>
        <w:rFonts w:cs="Times New Roman"/>
        <w:b/>
        <w:bCs/>
        <w:color w:val="FFFFFF"/>
      </w:rPr>
      <w:tblPr/>
      <w:tcPr>
        <w:tcBorders>
          <w:bottom w:val="single" w:sz="12" w:space="0" w:color="FFFFFF"/>
        </w:tcBorders>
        <w:shd w:val="clear" w:color="auto" w:fill="1A8ABA"/>
      </w:tcPr>
    </w:tblStylePr>
    <w:tblStylePr w:type="lastRow">
      <w:rPr>
        <w:rFonts w:cs="Times New Roman"/>
        <w:b/>
        <w:bCs/>
        <w:color w:val="1A8ABA"/>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9E9F7"/>
      </w:tcPr>
    </w:tblStylePr>
    <w:tblStylePr w:type="band1Horz">
      <w:rPr>
        <w:rFonts w:cs="Times New Roman"/>
      </w:rPr>
      <w:tblPr/>
      <w:tcPr>
        <w:shd w:val="clear" w:color="auto" w:fill="D4EDF9"/>
      </w:tcPr>
    </w:tblStylePr>
  </w:style>
  <w:style w:type="table" w:styleId="Kolorowalistaakcent3">
    <w:name w:val="Colorful List Accent 3"/>
    <w:basedOn w:val="Standardowy"/>
    <w:uiPriority w:val="99"/>
    <w:semiHidden/>
    <w:rsid w:val="006A7CE0"/>
    <w:rPr>
      <w:color w:val="000000"/>
      <w:sz w:val="20"/>
      <w:szCs w:val="20"/>
    </w:rPr>
    <w:tblPr>
      <w:tblStyleRowBandSize w:val="1"/>
      <w:tblStyleColBandSize w:val="1"/>
    </w:tblPr>
    <w:tcPr>
      <w:shd w:val="clear" w:color="auto" w:fill="FDEDE9"/>
    </w:tcPr>
    <w:tblStylePr w:type="firstRow">
      <w:rPr>
        <w:rFonts w:cs="Times New Roman"/>
        <w:b/>
        <w:bCs/>
        <w:color w:val="FFFFFF"/>
      </w:rPr>
      <w:tblPr/>
      <w:tcPr>
        <w:tcBorders>
          <w:bottom w:val="single" w:sz="12" w:space="0" w:color="FFFFFF"/>
        </w:tcBorders>
        <w:shd w:val="clear" w:color="auto" w:fill="4C5198"/>
      </w:tcPr>
    </w:tblStylePr>
    <w:tblStylePr w:type="lastRow">
      <w:rPr>
        <w:rFonts w:cs="Times New Roman"/>
        <w:b/>
        <w:bCs/>
        <w:color w:val="4C519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BD3C8"/>
      </w:tcPr>
    </w:tblStylePr>
    <w:tblStylePr w:type="band1Horz">
      <w:rPr>
        <w:rFonts w:cs="Times New Roman"/>
      </w:rPr>
      <w:tblPr/>
      <w:tcPr>
        <w:shd w:val="clear" w:color="auto" w:fill="FCDBD3"/>
      </w:tcPr>
    </w:tblStylePr>
  </w:style>
  <w:style w:type="table" w:styleId="Kolorowalistaakcent4">
    <w:name w:val="Colorful List Accent 4"/>
    <w:basedOn w:val="Standardowy"/>
    <w:uiPriority w:val="99"/>
    <w:semiHidden/>
    <w:rsid w:val="006A7CE0"/>
    <w:rPr>
      <w:color w:val="000000"/>
      <w:sz w:val="20"/>
      <w:szCs w:val="20"/>
    </w:rPr>
    <w:tblPr>
      <w:tblStyleRowBandSize w:val="1"/>
      <w:tblStyleColBandSize w:val="1"/>
    </w:tblPr>
    <w:tcPr>
      <w:shd w:val="clear" w:color="auto" w:fill="F0F0F7"/>
    </w:tcPr>
    <w:tblStylePr w:type="firstRow">
      <w:rPr>
        <w:rFonts w:cs="Times New Roman"/>
        <w:b/>
        <w:bCs/>
        <w:color w:val="FFFFFF"/>
      </w:rPr>
      <w:tblPr/>
      <w:tcPr>
        <w:tcBorders>
          <w:bottom w:val="single" w:sz="12" w:space="0" w:color="FFFFFF"/>
        </w:tcBorders>
        <w:shd w:val="clear" w:color="auto" w:fill="CD370E"/>
      </w:tcPr>
    </w:tblStylePr>
    <w:tblStylePr w:type="lastRow">
      <w:rPr>
        <w:rFonts w:cs="Times New Roman"/>
        <w:b/>
        <w:bCs/>
        <w:color w:val="CD370E"/>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9DBEC"/>
      </w:tcPr>
    </w:tblStylePr>
    <w:tblStylePr w:type="band1Horz">
      <w:rPr>
        <w:rFonts w:cs="Times New Roman"/>
      </w:rPr>
      <w:tblPr/>
      <w:tcPr>
        <w:shd w:val="clear" w:color="auto" w:fill="E1E2F0"/>
      </w:tcPr>
    </w:tblStylePr>
  </w:style>
  <w:style w:type="table" w:styleId="Kolorowalistaakcent5">
    <w:name w:val="Colorful List Accent 5"/>
    <w:basedOn w:val="Standardowy"/>
    <w:uiPriority w:val="99"/>
    <w:semiHidden/>
    <w:rsid w:val="006A7CE0"/>
    <w:rPr>
      <w:color w:val="000000"/>
      <w:sz w:val="20"/>
      <w:szCs w:val="20"/>
    </w:rPr>
    <w:tblPr>
      <w:tblStyleRowBandSize w:val="1"/>
      <w:tblStyleColBandSize w:val="1"/>
    </w:tblPr>
    <w:tcPr>
      <w:shd w:val="clear" w:color="auto" w:fill="FEF5E8"/>
    </w:tcPr>
    <w:tblStylePr w:type="firstRow">
      <w:rPr>
        <w:rFonts w:cs="Times New Roman"/>
        <w:b/>
        <w:bCs/>
        <w:color w:val="FFFFFF"/>
      </w:rPr>
      <w:tblPr/>
      <w:tcPr>
        <w:tcBorders>
          <w:bottom w:val="single" w:sz="12" w:space="0" w:color="FFFFFF"/>
        </w:tcBorders>
        <w:shd w:val="clear" w:color="auto" w:fill="208B5B"/>
      </w:tcPr>
    </w:tblStylePr>
    <w:tblStylePr w:type="lastRow">
      <w:rPr>
        <w:rFonts w:cs="Times New Roman"/>
        <w:b/>
        <w:bCs/>
        <w:color w:val="208B5B"/>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6C7"/>
      </w:tcPr>
    </w:tblStylePr>
    <w:tblStylePr w:type="band1Horz">
      <w:rPr>
        <w:rFonts w:cs="Times New Roman"/>
      </w:rPr>
      <w:tblPr/>
      <w:tcPr>
        <w:shd w:val="clear" w:color="auto" w:fill="FEEAD2"/>
      </w:tcPr>
    </w:tblStylePr>
  </w:style>
  <w:style w:type="table" w:styleId="Kolorowalistaakcent6">
    <w:name w:val="Colorful List Accent 6"/>
    <w:basedOn w:val="Standardowy"/>
    <w:uiPriority w:val="99"/>
    <w:semiHidden/>
    <w:rsid w:val="006A7CE0"/>
    <w:rPr>
      <w:color w:val="000000"/>
      <w:sz w:val="20"/>
      <w:szCs w:val="20"/>
    </w:rPr>
    <w:tblPr>
      <w:tblStyleRowBandSize w:val="1"/>
      <w:tblStyleColBandSize w:val="1"/>
    </w:tblPr>
    <w:tcPr>
      <w:shd w:val="clear" w:color="auto" w:fill="E7F9F1"/>
    </w:tcPr>
    <w:tblStylePr w:type="firstRow">
      <w:rPr>
        <w:rFonts w:cs="Times New Roman"/>
        <w:b/>
        <w:bCs/>
        <w:color w:val="FFFFFF"/>
      </w:rPr>
      <w:tblPr/>
      <w:tcPr>
        <w:tcBorders>
          <w:bottom w:val="single" w:sz="12" w:space="0" w:color="FFFFFF"/>
        </w:tcBorders>
        <w:shd w:val="clear" w:color="auto" w:fill="DB7D05"/>
      </w:tcPr>
    </w:tblStylePr>
    <w:tblStylePr w:type="lastRow">
      <w:rPr>
        <w:rFonts w:cs="Times New Roman"/>
        <w:b/>
        <w:bCs/>
        <w:color w:val="DB7D0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3F1DC"/>
      </w:tcPr>
    </w:tblStylePr>
    <w:tblStylePr w:type="band1Horz">
      <w:rPr>
        <w:rFonts w:cs="Times New Roman"/>
      </w:rPr>
      <w:tblPr/>
      <w:tcPr>
        <w:shd w:val="clear" w:color="auto" w:fill="CEF4E3"/>
      </w:tcPr>
    </w:tblStylePr>
  </w:style>
  <w:style w:type="table" w:styleId="Kolorowasiatka">
    <w:name w:val="Colorful Grid"/>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Kolorowasiatkaakcent1">
    <w:name w:val="Colorful Grid Accent 1"/>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F6D5E4"/>
    </w:tcPr>
    <w:tblStylePr w:type="firstRow">
      <w:rPr>
        <w:rFonts w:cs="Times New Roman"/>
        <w:b/>
        <w:bCs/>
      </w:rPr>
      <w:tblPr/>
      <w:tcPr>
        <w:shd w:val="clear" w:color="auto" w:fill="EDABCA"/>
      </w:tcPr>
    </w:tblStylePr>
    <w:tblStylePr w:type="lastRow">
      <w:rPr>
        <w:rFonts w:cs="Times New Roman"/>
        <w:b/>
        <w:bCs/>
        <w:color w:val="000000"/>
      </w:rPr>
      <w:tblPr/>
      <w:tcPr>
        <w:shd w:val="clear" w:color="auto" w:fill="EDABCA"/>
      </w:tcPr>
    </w:tblStylePr>
    <w:tblStylePr w:type="firstCol">
      <w:rPr>
        <w:rFonts w:cs="Times New Roman"/>
        <w:color w:val="FFFFFF"/>
      </w:rPr>
      <w:tblPr/>
      <w:tcPr>
        <w:shd w:val="clear" w:color="auto" w:fill="9D215D"/>
      </w:tcPr>
    </w:tblStylePr>
    <w:tblStylePr w:type="lastCol">
      <w:rPr>
        <w:rFonts w:cs="Times New Roman"/>
        <w:color w:val="FFFFFF"/>
      </w:rPr>
      <w:tblPr/>
      <w:tcPr>
        <w:shd w:val="clear" w:color="auto" w:fill="9D215D"/>
      </w:tcPr>
    </w:tblStylePr>
    <w:tblStylePr w:type="band1Vert">
      <w:rPr>
        <w:rFonts w:cs="Times New Roman"/>
      </w:rPr>
      <w:tblPr/>
      <w:tcPr>
        <w:shd w:val="clear" w:color="auto" w:fill="E896BE"/>
      </w:tcPr>
    </w:tblStylePr>
    <w:tblStylePr w:type="band1Horz">
      <w:rPr>
        <w:rFonts w:cs="Times New Roman"/>
      </w:rPr>
      <w:tblPr/>
      <w:tcPr>
        <w:shd w:val="clear" w:color="auto" w:fill="E896BE"/>
      </w:tcPr>
    </w:tblStylePr>
  </w:style>
  <w:style w:type="table" w:styleId="Kolorowasiatkaakcent2">
    <w:name w:val="Colorful Grid Accent 2"/>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D4EDF9"/>
    </w:tcPr>
    <w:tblStylePr w:type="firstRow">
      <w:rPr>
        <w:rFonts w:cs="Times New Roman"/>
        <w:b/>
        <w:bCs/>
      </w:rPr>
      <w:tblPr/>
      <w:tcPr>
        <w:shd w:val="clear" w:color="auto" w:fill="A9DCF3"/>
      </w:tcPr>
    </w:tblStylePr>
    <w:tblStylePr w:type="lastRow">
      <w:rPr>
        <w:rFonts w:cs="Times New Roman"/>
        <w:b/>
        <w:bCs/>
        <w:color w:val="000000"/>
      </w:rPr>
      <w:tblPr/>
      <w:tcPr>
        <w:shd w:val="clear" w:color="auto" w:fill="A9DCF3"/>
      </w:tcPr>
    </w:tblStylePr>
    <w:tblStylePr w:type="firstCol">
      <w:rPr>
        <w:rFonts w:cs="Times New Roman"/>
        <w:color w:val="FFFFFF"/>
      </w:rPr>
      <w:tblPr/>
      <w:tcPr>
        <w:shd w:val="clear" w:color="auto" w:fill="1881AE"/>
      </w:tcPr>
    </w:tblStylePr>
    <w:tblStylePr w:type="lastCol">
      <w:rPr>
        <w:rFonts w:cs="Times New Roman"/>
        <w:color w:val="FFFFFF"/>
      </w:rPr>
      <w:tblPr/>
      <w:tcPr>
        <w:shd w:val="clear" w:color="auto" w:fill="1881AE"/>
      </w:tcPr>
    </w:tblStylePr>
    <w:tblStylePr w:type="band1Vert">
      <w:rPr>
        <w:rFonts w:cs="Times New Roman"/>
      </w:rPr>
      <w:tblPr/>
      <w:tcPr>
        <w:shd w:val="clear" w:color="auto" w:fill="93D4F0"/>
      </w:tcPr>
    </w:tblStylePr>
    <w:tblStylePr w:type="band1Horz">
      <w:rPr>
        <w:rFonts w:cs="Times New Roman"/>
      </w:rPr>
      <w:tblPr/>
      <w:tcPr>
        <w:shd w:val="clear" w:color="auto" w:fill="93D4F0"/>
      </w:tcPr>
    </w:tblStylePr>
  </w:style>
  <w:style w:type="table" w:styleId="Kolorowasiatkaakcent3">
    <w:name w:val="Colorful Grid Accent 3"/>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FCDBD3"/>
    </w:tcPr>
    <w:tblStylePr w:type="firstRow">
      <w:rPr>
        <w:rFonts w:cs="Times New Roman"/>
        <w:b/>
        <w:bCs/>
      </w:rPr>
      <w:tblPr/>
      <w:tcPr>
        <w:shd w:val="clear" w:color="auto" w:fill="F9B8A7"/>
      </w:tcPr>
    </w:tblStylePr>
    <w:tblStylePr w:type="lastRow">
      <w:rPr>
        <w:rFonts w:cs="Times New Roman"/>
        <w:b/>
        <w:bCs/>
        <w:color w:val="000000"/>
      </w:rPr>
      <w:tblPr/>
      <w:tcPr>
        <w:shd w:val="clear" w:color="auto" w:fill="F9B8A7"/>
      </w:tcPr>
    </w:tblStylePr>
    <w:tblStylePr w:type="firstCol">
      <w:rPr>
        <w:rFonts w:cs="Times New Roman"/>
        <w:color w:val="FFFFFF"/>
      </w:rPr>
      <w:tblPr/>
      <w:tcPr>
        <w:shd w:val="clear" w:color="auto" w:fill="C0330D"/>
      </w:tcPr>
    </w:tblStylePr>
    <w:tblStylePr w:type="lastCol">
      <w:rPr>
        <w:rFonts w:cs="Times New Roman"/>
        <w:color w:val="FFFFFF"/>
      </w:rPr>
      <w:tblPr/>
      <w:tcPr>
        <w:shd w:val="clear" w:color="auto" w:fill="C0330D"/>
      </w:tcPr>
    </w:tblStylePr>
    <w:tblStylePr w:type="band1Vert">
      <w:rPr>
        <w:rFonts w:cs="Times New Roman"/>
      </w:rPr>
      <w:tblPr/>
      <w:tcPr>
        <w:shd w:val="clear" w:color="auto" w:fill="F7A791"/>
      </w:tcPr>
    </w:tblStylePr>
    <w:tblStylePr w:type="band1Horz">
      <w:rPr>
        <w:rFonts w:cs="Times New Roman"/>
      </w:rPr>
      <w:tblPr/>
      <w:tcPr>
        <w:shd w:val="clear" w:color="auto" w:fill="F7A791"/>
      </w:tcPr>
    </w:tblStylePr>
  </w:style>
  <w:style w:type="table" w:styleId="Kolorowasiatkaakcent4">
    <w:name w:val="Colorful Grid Accent 4"/>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E1E2F0"/>
    </w:tcPr>
    <w:tblStylePr w:type="firstRow">
      <w:rPr>
        <w:rFonts w:cs="Times New Roman"/>
        <w:b/>
        <w:bCs/>
      </w:rPr>
      <w:tblPr/>
      <w:tcPr>
        <w:shd w:val="clear" w:color="auto" w:fill="C3C5E1"/>
      </w:tcPr>
    </w:tblStylePr>
    <w:tblStylePr w:type="lastRow">
      <w:rPr>
        <w:rFonts w:cs="Times New Roman"/>
        <w:b/>
        <w:bCs/>
        <w:color w:val="000000"/>
      </w:rPr>
      <w:tblPr/>
      <w:tcPr>
        <w:shd w:val="clear" w:color="auto" w:fill="C3C5E1"/>
      </w:tcPr>
    </w:tblStylePr>
    <w:tblStylePr w:type="firstCol">
      <w:rPr>
        <w:rFonts w:cs="Times New Roman"/>
        <w:color w:val="FFFFFF"/>
      </w:rPr>
      <w:tblPr/>
      <w:tcPr>
        <w:shd w:val="clear" w:color="auto" w:fill="474B8E"/>
      </w:tcPr>
    </w:tblStylePr>
    <w:tblStylePr w:type="lastCol">
      <w:rPr>
        <w:rFonts w:cs="Times New Roman"/>
        <w:color w:val="FFFFFF"/>
      </w:rPr>
      <w:tblPr/>
      <w:tcPr>
        <w:shd w:val="clear" w:color="auto" w:fill="474B8E"/>
      </w:tcPr>
    </w:tblStylePr>
    <w:tblStylePr w:type="band1Vert">
      <w:rPr>
        <w:rFonts w:cs="Times New Roman"/>
      </w:rPr>
      <w:tblPr/>
      <w:tcPr>
        <w:shd w:val="clear" w:color="auto" w:fill="B4B6D9"/>
      </w:tcPr>
    </w:tblStylePr>
    <w:tblStylePr w:type="band1Horz">
      <w:rPr>
        <w:rFonts w:cs="Times New Roman"/>
      </w:rPr>
      <w:tblPr/>
      <w:tcPr>
        <w:shd w:val="clear" w:color="auto" w:fill="B4B6D9"/>
      </w:tcPr>
    </w:tblStylePr>
  </w:style>
  <w:style w:type="table" w:styleId="Kolorowasiatkaakcent5">
    <w:name w:val="Colorful Grid Accent 5"/>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FEEAD2"/>
    </w:tcPr>
    <w:tblStylePr w:type="firstRow">
      <w:rPr>
        <w:rFonts w:cs="Times New Roman"/>
        <w:b/>
        <w:bCs/>
      </w:rPr>
      <w:tblPr/>
      <w:tcPr>
        <w:shd w:val="clear" w:color="auto" w:fill="FDD6A5"/>
      </w:tcPr>
    </w:tblStylePr>
    <w:tblStylePr w:type="lastRow">
      <w:rPr>
        <w:rFonts w:cs="Times New Roman"/>
        <w:b/>
        <w:bCs/>
        <w:color w:val="000000"/>
      </w:rPr>
      <w:tblPr/>
      <w:tcPr>
        <w:shd w:val="clear" w:color="auto" w:fill="FDD6A5"/>
      </w:tcPr>
    </w:tblStylePr>
    <w:tblStylePr w:type="firstCol">
      <w:rPr>
        <w:rFonts w:cs="Times New Roman"/>
        <w:color w:val="FFFFFF"/>
      </w:rPr>
      <w:tblPr/>
      <w:tcPr>
        <w:shd w:val="clear" w:color="auto" w:fill="CD7504"/>
      </w:tcPr>
    </w:tblStylePr>
    <w:tblStylePr w:type="lastCol">
      <w:rPr>
        <w:rFonts w:cs="Times New Roman"/>
        <w:color w:val="FFFFFF"/>
      </w:rPr>
      <w:tblPr/>
      <w:tcPr>
        <w:shd w:val="clear" w:color="auto" w:fill="CD7504"/>
      </w:tcPr>
    </w:tblStylePr>
    <w:tblStylePr w:type="band1Vert">
      <w:rPr>
        <w:rFonts w:cs="Times New Roman"/>
      </w:rPr>
      <w:tblPr/>
      <w:tcPr>
        <w:shd w:val="clear" w:color="auto" w:fill="FCCC8E"/>
      </w:tcPr>
    </w:tblStylePr>
    <w:tblStylePr w:type="band1Horz">
      <w:rPr>
        <w:rFonts w:cs="Times New Roman"/>
      </w:rPr>
      <w:tblPr/>
      <w:tcPr>
        <w:shd w:val="clear" w:color="auto" w:fill="FCCC8E"/>
      </w:tcPr>
    </w:tblStylePr>
  </w:style>
  <w:style w:type="table" w:styleId="Kolorowasiatkaakcent6">
    <w:name w:val="Colorful Grid Accent 6"/>
    <w:basedOn w:val="Standardowy"/>
    <w:uiPriority w:val="99"/>
    <w:semiHidden/>
    <w:rsid w:val="006A7CE0"/>
    <w:rPr>
      <w:color w:val="000000"/>
      <w:sz w:val="20"/>
      <w:szCs w:val="20"/>
    </w:rPr>
    <w:tblPr>
      <w:tblStyleRowBandSize w:val="1"/>
      <w:tblStyleColBandSize w:val="1"/>
      <w:tblBorders>
        <w:insideH w:val="single" w:sz="4" w:space="0" w:color="FFFFFF"/>
      </w:tblBorders>
    </w:tblPr>
    <w:tcPr>
      <w:shd w:val="clear" w:color="auto" w:fill="CEF4E3"/>
    </w:tcPr>
    <w:tblStylePr w:type="firstRow">
      <w:rPr>
        <w:rFonts w:cs="Times New Roman"/>
        <w:b/>
        <w:bCs/>
      </w:rPr>
      <w:tblPr/>
      <w:tcPr>
        <w:shd w:val="clear" w:color="auto" w:fill="9EE9C7"/>
      </w:tcPr>
    </w:tblStylePr>
    <w:tblStylePr w:type="lastRow">
      <w:rPr>
        <w:rFonts w:cs="Times New Roman"/>
        <w:b/>
        <w:bCs/>
        <w:color w:val="000000"/>
      </w:rPr>
      <w:tblPr/>
      <w:tcPr>
        <w:shd w:val="clear" w:color="auto" w:fill="9EE9C7"/>
      </w:tcPr>
    </w:tblStylePr>
    <w:tblStylePr w:type="firstCol">
      <w:rPr>
        <w:rFonts w:cs="Times New Roman"/>
        <w:color w:val="FFFFFF"/>
      </w:rPr>
      <w:tblPr/>
      <w:tcPr>
        <w:shd w:val="clear" w:color="auto" w:fill="1E8355"/>
      </w:tcPr>
    </w:tblStylePr>
    <w:tblStylePr w:type="lastCol">
      <w:rPr>
        <w:rFonts w:cs="Times New Roman"/>
        <w:color w:val="FFFFFF"/>
      </w:rPr>
      <w:tblPr/>
      <w:tcPr>
        <w:shd w:val="clear" w:color="auto" w:fill="1E8355"/>
      </w:tcPr>
    </w:tblStylePr>
    <w:tblStylePr w:type="band1Vert">
      <w:rPr>
        <w:rFonts w:cs="Times New Roman"/>
      </w:rPr>
      <w:tblPr/>
      <w:tcPr>
        <w:shd w:val="clear" w:color="auto" w:fill="87E3BA"/>
      </w:tcPr>
    </w:tblStylePr>
    <w:tblStylePr w:type="band1Horz">
      <w:rPr>
        <w:rFonts w:cs="Times New Roman"/>
      </w:rPr>
      <w:tblPr/>
      <w:tcPr>
        <w:shd w:val="clear" w:color="auto" w:fill="87E3BA"/>
      </w:tcPr>
    </w:tblStylePr>
  </w:style>
  <w:style w:type="table" w:styleId="Kolorowecieniowanie">
    <w:name w:val="Colorful Shading"/>
    <w:basedOn w:val="Standardowy"/>
    <w:uiPriority w:val="99"/>
    <w:semiHidden/>
    <w:rsid w:val="006A7CE0"/>
    <w:rPr>
      <w:color w:val="000000"/>
      <w:sz w:val="20"/>
      <w:szCs w:val="20"/>
    </w:rPr>
    <w:tblPr>
      <w:tblStyleRowBandSize w:val="1"/>
      <w:tblStyleColBandSize w:val="1"/>
      <w:tblBorders>
        <w:top w:val="single" w:sz="24" w:space="0" w:color="28AAE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28AAE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Kolorowecieniowanieakcent1">
    <w:name w:val="Colorful Shading Accent 1"/>
    <w:basedOn w:val="Standardowy"/>
    <w:uiPriority w:val="99"/>
    <w:semiHidden/>
    <w:rsid w:val="006A7CE0"/>
    <w:rPr>
      <w:color w:val="000000"/>
      <w:sz w:val="20"/>
      <w:szCs w:val="20"/>
    </w:rPr>
    <w:tblPr>
      <w:tblStyleRowBandSize w:val="1"/>
      <w:tblStyleColBandSize w:val="1"/>
      <w:tblBorders>
        <w:top w:val="single" w:sz="24" w:space="0" w:color="28AAE1"/>
        <w:left w:val="single" w:sz="4" w:space="0" w:color="D22D7D"/>
        <w:bottom w:val="single" w:sz="4" w:space="0" w:color="D22D7D"/>
        <w:right w:val="single" w:sz="4" w:space="0" w:color="D22D7D"/>
        <w:insideH w:val="single" w:sz="4" w:space="0" w:color="FFFFFF"/>
        <w:insideV w:val="single" w:sz="4" w:space="0" w:color="FFFFFF"/>
      </w:tblBorders>
    </w:tblPr>
    <w:tcPr>
      <w:shd w:val="clear" w:color="auto" w:fill="FAEAF2"/>
    </w:tcPr>
    <w:tblStylePr w:type="firstRow">
      <w:rPr>
        <w:rFonts w:cs="Times New Roman"/>
        <w:b/>
        <w:bCs/>
      </w:rPr>
      <w:tblPr/>
      <w:tcPr>
        <w:tcBorders>
          <w:top w:val="nil"/>
          <w:left w:val="nil"/>
          <w:bottom w:val="single" w:sz="24" w:space="0" w:color="28AAE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7E1B4A"/>
      </w:tcPr>
    </w:tblStylePr>
    <w:tblStylePr w:type="firstCol">
      <w:rPr>
        <w:rFonts w:cs="Times New Roman"/>
        <w:color w:val="FFFFFF"/>
      </w:rPr>
      <w:tblPr/>
      <w:tcPr>
        <w:tcBorders>
          <w:top w:val="nil"/>
          <w:left w:val="nil"/>
          <w:bottom w:val="nil"/>
          <w:right w:val="nil"/>
          <w:insideH w:val="single" w:sz="4" w:space="0" w:color="7E1B4A"/>
          <w:insideV w:val="nil"/>
        </w:tcBorders>
        <w:shd w:val="clear" w:color="auto" w:fill="7E1B4A"/>
      </w:tcPr>
    </w:tblStylePr>
    <w:tblStylePr w:type="lastCol">
      <w:rPr>
        <w:rFonts w:cs="Times New Roman"/>
        <w:color w:val="FFFFFF"/>
      </w:rPr>
      <w:tblPr/>
      <w:tcPr>
        <w:tcBorders>
          <w:top w:val="nil"/>
          <w:left w:val="nil"/>
          <w:bottom w:val="nil"/>
          <w:right w:val="nil"/>
          <w:insideH w:val="nil"/>
          <w:insideV w:val="nil"/>
        </w:tcBorders>
        <w:shd w:val="clear" w:color="auto" w:fill="7E1B4A"/>
      </w:tcPr>
    </w:tblStylePr>
    <w:tblStylePr w:type="band1Vert">
      <w:rPr>
        <w:rFonts w:cs="Times New Roman"/>
      </w:rPr>
      <w:tblPr/>
      <w:tcPr>
        <w:shd w:val="clear" w:color="auto" w:fill="EDABCA"/>
      </w:tcPr>
    </w:tblStylePr>
    <w:tblStylePr w:type="band1Horz">
      <w:rPr>
        <w:rFonts w:cs="Times New Roman"/>
      </w:rPr>
      <w:tblPr/>
      <w:tcPr>
        <w:shd w:val="clear" w:color="auto" w:fill="E896BE"/>
      </w:tcPr>
    </w:tblStylePr>
    <w:tblStylePr w:type="neCell">
      <w:rPr>
        <w:rFonts w:cs="Times New Roman"/>
        <w:color w:val="000000"/>
      </w:rPr>
    </w:tblStylePr>
    <w:tblStylePr w:type="nwCell">
      <w:rPr>
        <w:rFonts w:cs="Times New Roman"/>
        <w:color w:val="000000"/>
      </w:rPr>
    </w:tblStylePr>
  </w:style>
  <w:style w:type="table" w:styleId="Kolorowecieniowanieakcent2">
    <w:name w:val="Colorful Shading Accent 2"/>
    <w:basedOn w:val="Standardowy"/>
    <w:uiPriority w:val="99"/>
    <w:semiHidden/>
    <w:rsid w:val="006A7CE0"/>
    <w:rPr>
      <w:color w:val="000000"/>
      <w:sz w:val="20"/>
      <w:szCs w:val="20"/>
    </w:rPr>
    <w:tblPr>
      <w:tblStyleRowBandSize w:val="1"/>
      <w:tblStyleColBandSize w:val="1"/>
      <w:tblBorders>
        <w:top w:val="single" w:sz="24" w:space="0" w:color="28AAE1"/>
        <w:left w:val="single" w:sz="4" w:space="0" w:color="28AAE1"/>
        <w:bottom w:val="single" w:sz="4" w:space="0" w:color="28AAE1"/>
        <w:right w:val="single" w:sz="4" w:space="0" w:color="28AAE1"/>
        <w:insideH w:val="single" w:sz="4" w:space="0" w:color="FFFFFF"/>
        <w:insideV w:val="single" w:sz="4" w:space="0" w:color="FFFFFF"/>
      </w:tblBorders>
    </w:tblPr>
    <w:tcPr>
      <w:shd w:val="clear" w:color="auto" w:fill="E9F6FC"/>
    </w:tcPr>
    <w:tblStylePr w:type="firstRow">
      <w:rPr>
        <w:rFonts w:cs="Times New Roman"/>
        <w:b/>
        <w:bCs/>
      </w:rPr>
      <w:tblPr/>
      <w:tcPr>
        <w:tcBorders>
          <w:top w:val="nil"/>
          <w:left w:val="nil"/>
          <w:bottom w:val="single" w:sz="24" w:space="0" w:color="28AAE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13678B"/>
      </w:tcPr>
    </w:tblStylePr>
    <w:tblStylePr w:type="firstCol">
      <w:rPr>
        <w:rFonts w:cs="Times New Roman"/>
        <w:color w:val="FFFFFF"/>
      </w:rPr>
      <w:tblPr/>
      <w:tcPr>
        <w:tcBorders>
          <w:top w:val="nil"/>
          <w:left w:val="nil"/>
          <w:bottom w:val="nil"/>
          <w:right w:val="nil"/>
          <w:insideH w:val="single" w:sz="4" w:space="0" w:color="13678B"/>
          <w:insideV w:val="nil"/>
        </w:tcBorders>
        <w:shd w:val="clear" w:color="auto" w:fill="13678B"/>
      </w:tcPr>
    </w:tblStylePr>
    <w:tblStylePr w:type="lastCol">
      <w:rPr>
        <w:rFonts w:cs="Times New Roman"/>
        <w:color w:val="FFFFFF"/>
      </w:rPr>
      <w:tblPr/>
      <w:tcPr>
        <w:tcBorders>
          <w:top w:val="nil"/>
          <w:left w:val="nil"/>
          <w:bottom w:val="nil"/>
          <w:right w:val="nil"/>
          <w:insideH w:val="nil"/>
          <w:insideV w:val="nil"/>
        </w:tcBorders>
        <w:shd w:val="clear" w:color="auto" w:fill="13678B"/>
      </w:tcPr>
    </w:tblStylePr>
    <w:tblStylePr w:type="band1Vert">
      <w:rPr>
        <w:rFonts w:cs="Times New Roman"/>
      </w:rPr>
      <w:tblPr/>
      <w:tcPr>
        <w:shd w:val="clear" w:color="auto" w:fill="A9DCF3"/>
      </w:tcPr>
    </w:tblStylePr>
    <w:tblStylePr w:type="band1Horz">
      <w:rPr>
        <w:rFonts w:cs="Times New Roman"/>
      </w:rPr>
      <w:tblPr/>
      <w:tcPr>
        <w:shd w:val="clear" w:color="auto" w:fill="93D4F0"/>
      </w:tcPr>
    </w:tblStylePr>
    <w:tblStylePr w:type="neCell">
      <w:rPr>
        <w:rFonts w:cs="Times New Roman"/>
        <w:color w:val="000000"/>
      </w:rPr>
    </w:tblStylePr>
    <w:tblStylePr w:type="nwCell">
      <w:rPr>
        <w:rFonts w:cs="Times New Roman"/>
        <w:color w:val="000000"/>
      </w:rPr>
    </w:tblStylePr>
  </w:style>
  <w:style w:type="table" w:styleId="Kolorowecieniowanieakcent3">
    <w:name w:val="Colorful Shading Accent 3"/>
    <w:basedOn w:val="Standardowy"/>
    <w:uiPriority w:val="99"/>
    <w:semiHidden/>
    <w:rsid w:val="006A7CE0"/>
    <w:rPr>
      <w:color w:val="000000"/>
      <w:sz w:val="20"/>
      <w:szCs w:val="20"/>
    </w:rPr>
    <w:tblPr>
      <w:tblStyleRowBandSize w:val="1"/>
      <w:tblStyleColBandSize w:val="1"/>
      <w:tblBorders>
        <w:top w:val="single" w:sz="24" w:space="0" w:color="696EB4"/>
        <w:left w:val="single" w:sz="4" w:space="0" w:color="F05023"/>
        <w:bottom w:val="single" w:sz="4" w:space="0" w:color="F05023"/>
        <w:right w:val="single" w:sz="4" w:space="0" w:color="F05023"/>
        <w:insideH w:val="single" w:sz="4" w:space="0" w:color="FFFFFF"/>
        <w:insideV w:val="single" w:sz="4" w:space="0" w:color="FFFFFF"/>
      </w:tblBorders>
    </w:tblPr>
    <w:tcPr>
      <w:shd w:val="clear" w:color="auto" w:fill="FDEDE9"/>
    </w:tcPr>
    <w:tblStylePr w:type="firstRow">
      <w:rPr>
        <w:rFonts w:cs="Times New Roman"/>
        <w:b/>
        <w:bCs/>
      </w:rPr>
      <w:tblPr/>
      <w:tcPr>
        <w:tcBorders>
          <w:top w:val="nil"/>
          <w:left w:val="nil"/>
          <w:bottom w:val="single" w:sz="24" w:space="0" w:color="696EB4"/>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A290A"/>
      </w:tcPr>
    </w:tblStylePr>
    <w:tblStylePr w:type="firstCol">
      <w:rPr>
        <w:rFonts w:cs="Times New Roman"/>
        <w:color w:val="FFFFFF"/>
      </w:rPr>
      <w:tblPr/>
      <w:tcPr>
        <w:tcBorders>
          <w:top w:val="nil"/>
          <w:left w:val="nil"/>
          <w:bottom w:val="nil"/>
          <w:right w:val="nil"/>
          <w:insideH w:val="single" w:sz="4" w:space="0" w:color="9A290A"/>
          <w:insideV w:val="nil"/>
        </w:tcBorders>
        <w:shd w:val="clear" w:color="auto" w:fill="9A290A"/>
      </w:tcPr>
    </w:tblStylePr>
    <w:tblStylePr w:type="lastCol">
      <w:rPr>
        <w:rFonts w:cs="Times New Roman"/>
        <w:color w:val="FFFFFF"/>
      </w:rPr>
      <w:tblPr/>
      <w:tcPr>
        <w:tcBorders>
          <w:top w:val="nil"/>
          <w:left w:val="nil"/>
          <w:bottom w:val="nil"/>
          <w:right w:val="nil"/>
          <w:insideH w:val="nil"/>
          <w:insideV w:val="nil"/>
        </w:tcBorders>
        <w:shd w:val="clear" w:color="auto" w:fill="9A290A"/>
      </w:tcPr>
    </w:tblStylePr>
    <w:tblStylePr w:type="band1Vert">
      <w:rPr>
        <w:rFonts w:cs="Times New Roman"/>
      </w:rPr>
      <w:tblPr/>
      <w:tcPr>
        <w:shd w:val="clear" w:color="auto" w:fill="F9B8A7"/>
      </w:tcPr>
    </w:tblStylePr>
    <w:tblStylePr w:type="band1Horz">
      <w:rPr>
        <w:rFonts w:cs="Times New Roman"/>
      </w:rPr>
      <w:tblPr/>
      <w:tcPr>
        <w:shd w:val="clear" w:color="auto" w:fill="F7A791"/>
      </w:tcPr>
    </w:tblStylePr>
  </w:style>
  <w:style w:type="table" w:styleId="Kolorowecieniowanieakcent4">
    <w:name w:val="Colorful Shading Accent 4"/>
    <w:basedOn w:val="Standardowy"/>
    <w:uiPriority w:val="99"/>
    <w:semiHidden/>
    <w:rsid w:val="006A7CE0"/>
    <w:rPr>
      <w:color w:val="000000"/>
      <w:sz w:val="20"/>
      <w:szCs w:val="20"/>
    </w:rPr>
    <w:tblPr>
      <w:tblStyleRowBandSize w:val="1"/>
      <w:tblStyleColBandSize w:val="1"/>
      <w:tblBorders>
        <w:top w:val="single" w:sz="24" w:space="0" w:color="F05023"/>
        <w:left w:val="single" w:sz="4" w:space="0" w:color="696EB4"/>
        <w:bottom w:val="single" w:sz="4" w:space="0" w:color="696EB4"/>
        <w:right w:val="single" w:sz="4" w:space="0" w:color="696EB4"/>
        <w:insideH w:val="single" w:sz="4" w:space="0" w:color="FFFFFF"/>
        <w:insideV w:val="single" w:sz="4" w:space="0" w:color="FFFFFF"/>
      </w:tblBorders>
    </w:tblPr>
    <w:tcPr>
      <w:shd w:val="clear" w:color="auto" w:fill="F0F0F7"/>
    </w:tcPr>
    <w:tblStylePr w:type="firstRow">
      <w:rPr>
        <w:rFonts w:cs="Times New Roman"/>
        <w:b/>
        <w:bCs/>
      </w:rPr>
      <w:tblPr/>
      <w:tcPr>
        <w:tcBorders>
          <w:top w:val="nil"/>
          <w:left w:val="nil"/>
          <w:bottom w:val="single" w:sz="24" w:space="0" w:color="F05023"/>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393C72"/>
      </w:tcPr>
    </w:tblStylePr>
    <w:tblStylePr w:type="firstCol">
      <w:rPr>
        <w:rFonts w:cs="Times New Roman"/>
        <w:color w:val="FFFFFF"/>
      </w:rPr>
      <w:tblPr/>
      <w:tcPr>
        <w:tcBorders>
          <w:top w:val="nil"/>
          <w:left w:val="nil"/>
          <w:bottom w:val="nil"/>
          <w:right w:val="nil"/>
          <w:insideH w:val="single" w:sz="4" w:space="0" w:color="393C72"/>
          <w:insideV w:val="nil"/>
        </w:tcBorders>
        <w:shd w:val="clear" w:color="auto" w:fill="393C72"/>
      </w:tcPr>
    </w:tblStylePr>
    <w:tblStylePr w:type="lastCol">
      <w:rPr>
        <w:rFonts w:cs="Times New Roman"/>
        <w:color w:val="FFFFFF"/>
      </w:rPr>
      <w:tblPr/>
      <w:tcPr>
        <w:tcBorders>
          <w:top w:val="nil"/>
          <w:left w:val="nil"/>
          <w:bottom w:val="nil"/>
          <w:right w:val="nil"/>
          <w:insideH w:val="nil"/>
          <w:insideV w:val="nil"/>
        </w:tcBorders>
        <w:shd w:val="clear" w:color="auto" w:fill="393C72"/>
      </w:tcPr>
    </w:tblStylePr>
    <w:tblStylePr w:type="band1Vert">
      <w:rPr>
        <w:rFonts w:cs="Times New Roman"/>
      </w:rPr>
      <w:tblPr/>
      <w:tcPr>
        <w:shd w:val="clear" w:color="auto" w:fill="C3C5E1"/>
      </w:tcPr>
    </w:tblStylePr>
    <w:tblStylePr w:type="band1Horz">
      <w:rPr>
        <w:rFonts w:cs="Times New Roman"/>
      </w:rPr>
      <w:tblPr/>
      <w:tcPr>
        <w:shd w:val="clear" w:color="auto" w:fill="B4B6D9"/>
      </w:tcPr>
    </w:tblStylePr>
    <w:tblStylePr w:type="neCell">
      <w:rPr>
        <w:rFonts w:cs="Times New Roman"/>
        <w:color w:val="000000"/>
      </w:rPr>
    </w:tblStylePr>
    <w:tblStylePr w:type="nwCell">
      <w:rPr>
        <w:rFonts w:cs="Times New Roman"/>
        <w:color w:val="000000"/>
      </w:rPr>
    </w:tblStylePr>
  </w:style>
  <w:style w:type="table" w:styleId="Kolorowecieniowanieakcent5">
    <w:name w:val="Colorful Shading Accent 5"/>
    <w:basedOn w:val="Standardowy"/>
    <w:uiPriority w:val="99"/>
    <w:semiHidden/>
    <w:rsid w:val="006A7CE0"/>
    <w:rPr>
      <w:color w:val="000000"/>
      <w:sz w:val="20"/>
      <w:szCs w:val="20"/>
    </w:rPr>
    <w:tblPr>
      <w:tblStyleRowBandSize w:val="1"/>
      <w:tblStyleColBandSize w:val="1"/>
      <w:tblBorders>
        <w:top w:val="single" w:sz="24" w:space="0" w:color="28AF73"/>
        <w:left w:val="single" w:sz="4" w:space="0" w:color="FA9B1E"/>
        <w:bottom w:val="single" w:sz="4" w:space="0" w:color="FA9B1E"/>
        <w:right w:val="single" w:sz="4" w:space="0" w:color="FA9B1E"/>
        <w:insideH w:val="single" w:sz="4" w:space="0" w:color="FFFFFF"/>
        <w:insideV w:val="single" w:sz="4" w:space="0" w:color="FFFFFF"/>
      </w:tblBorders>
    </w:tblPr>
    <w:tcPr>
      <w:shd w:val="clear" w:color="auto" w:fill="FEF5E8"/>
    </w:tcPr>
    <w:tblStylePr w:type="firstRow">
      <w:rPr>
        <w:rFonts w:cs="Times New Roman"/>
        <w:b/>
        <w:bCs/>
      </w:rPr>
      <w:tblPr/>
      <w:tcPr>
        <w:tcBorders>
          <w:top w:val="nil"/>
          <w:left w:val="nil"/>
          <w:bottom w:val="single" w:sz="24" w:space="0" w:color="28AF73"/>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A45E03"/>
      </w:tcPr>
    </w:tblStylePr>
    <w:tblStylePr w:type="firstCol">
      <w:rPr>
        <w:rFonts w:cs="Times New Roman"/>
        <w:color w:val="FFFFFF"/>
      </w:rPr>
      <w:tblPr/>
      <w:tcPr>
        <w:tcBorders>
          <w:top w:val="nil"/>
          <w:left w:val="nil"/>
          <w:bottom w:val="nil"/>
          <w:right w:val="nil"/>
          <w:insideH w:val="single" w:sz="4" w:space="0" w:color="A45E03"/>
          <w:insideV w:val="nil"/>
        </w:tcBorders>
        <w:shd w:val="clear" w:color="auto" w:fill="A45E03"/>
      </w:tcPr>
    </w:tblStylePr>
    <w:tblStylePr w:type="lastCol">
      <w:rPr>
        <w:rFonts w:cs="Times New Roman"/>
        <w:color w:val="FFFFFF"/>
      </w:rPr>
      <w:tblPr/>
      <w:tcPr>
        <w:tcBorders>
          <w:top w:val="nil"/>
          <w:left w:val="nil"/>
          <w:bottom w:val="nil"/>
          <w:right w:val="nil"/>
          <w:insideH w:val="nil"/>
          <w:insideV w:val="nil"/>
        </w:tcBorders>
        <w:shd w:val="clear" w:color="auto" w:fill="A45E03"/>
      </w:tcPr>
    </w:tblStylePr>
    <w:tblStylePr w:type="band1Vert">
      <w:rPr>
        <w:rFonts w:cs="Times New Roman"/>
      </w:rPr>
      <w:tblPr/>
      <w:tcPr>
        <w:shd w:val="clear" w:color="auto" w:fill="FDD6A5"/>
      </w:tcPr>
    </w:tblStylePr>
    <w:tblStylePr w:type="band1Horz">
      <w:rPr>
        <w:rFonts w:cs="Times New Roman"/>
      </w:rPr>
      <w:tblPr/>
      <w:tcPr>
        <w:shd w:val="clear" w:color="auto" w:fill="FCCC8E"/>
      </w:tcPr>
    </w:tblStylePr>
    <w:tblStylePr w:type="neCell">
      <w:rPr>
        <w:rFonts w:cs="Times New Roman"/>
        <w:color w:val="000000"/>
      </w:rPr>
    </w:tblStylePr>
    <w:tblStylePr w:type="nwCell">
      <w:rPr>
        <w:rFonts w:cs="Times New Roman"/>
        <w:color w:val="000000"/>
      </w:rPr>
    </w:tblStylePr>
  </w:style>
  <w:style w:type="table" w:styleId="Kolorowecieniowanieakcent6">
    <w:name w:val="Colorful Shading Accent 6"/>
    <w:basedOn w:val="Standardowy"/>
    <w:uiPriority w:val="99"/>
    <w:semiHidden/>
    <w:rsid w:val="006A7CE0"/>
    <w:rPr>
      <w:color w:val="000000"/>
      <w:sz w:val="20"/>
      <w:szCs w:val="20"/>
    </w:rPr>
    <w:tblPr>
      <w:tblStyleRowBandSize w:val="1"/>
      <w:tblStyleColBandSize w:val="1"/>
      <w:tblBorders>
        <w:top w:val="single" w:sz="24" w:space="0" w:color="FA9B1E"/>
        <w:left w:val="single" w:sz="4" w:space="0" w:color="28AF73"/>
        <w:bottom w:val="single" w:sz="4" w:space="0" w:color="28AF73"/>
        <w:right w:val="single" w:sz="4" w:space="0" w:color="28AF73"/>
        <w:insideH w:val="single" w:sz="4" w:space="0" w:color="FFFFFF"/>
        <w:insideV w:val="single" w:sz="4" w:space="0" w:color="FFFFFF"/>
      </w:tblBorders>
    </w:tblPr>
    <w:tcPr>
      <w:shd w:val="clear" w:color="auto" w:fill="E7F9F1"/>
    </w:tcPr>
    <w:tblStylePr w:type="firstRow">
      <w:rPr>
        <w:rFonts w:cs="Times New Roman"/>
        <w:b/>
        <w:bCs/>
      </w:rPr>
      <w:tblPr/>
      <w:tcPr>
        <w:tcBorders>
          <w:top w:val="nil"/>
          <w:left w:val="nil"/>
          <w:bottom w:val="single" w:sz="24" w:space="0" w:color="FA9B1E"/>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186844"/>
      </w:tcPr>
    </w:tblStylePr>
    <w:tblStylePr w:type="firstCol">
      <w:rPr>
        <w:rFonts w:cs="Times New Roman"/>
        <w:color w:val="FFFFFF"/>
      </w:rPr>
      <w:tblPr/>
      <w:tcPr>
        <w:tcBorders>
          <w:top w:val="nil"/>
          <w:left w:val="nil"/>
          <w:bottom w:val="nil"/>
          <w:right w:val="nil"/>
          <w:insideH w:val="single" w:sz="4" w:space="0" w:color="186844"/>
          <w:insideV w:val="nil"/>
        </w:tcBorders>
        <w:shd w:val="clear" w:color="auto" w:fill="186844"/>
      </w:tcPr>
    </w:tblStylePr>
    <w:tblStylePr w:type="lastCol">
      <w:rPr>
        <w:rFonts w:cs="Times New Roman"/>
        <w:color w:val="FFFFFF"/>
      </w:rPr>
      <w:tblPr/>
      <w:tcPr>
        <w:tcBorders>
          <w:top w:val="nil"/>
          <w:left w:val="nil"/>
          <w:bottom w:val="nil"/>
          <w:right w:val="nil"/>
          <w:insideH w:val="nil"/>
          <w:insideV w:val="nil"/>
        </w:tcBorders>
        <w:shd w:val="clear" w:color="auto" w:fill="186844"/>
      </w:tcPr>
    </w:tblStylePr>
    <w:tblStylePr w:type="band1Vert">
      <w:rPr>
        <w:rFonts w:cs="Times New Roman"/>
      </w:rPr>
      <w:tblPr/>
      <w:tcPr>
        <w:shd w:val="clear" w:color="auto" w:fill="9EE9C7"/>
      </w:tcPr>
    </w:tblStylePr>
    <w:tblStylePr w:type="band1Horz">
      <w:rPr>
        <w:rFonts w:cs="Times New Roman"/>
      </w:rPr>
      <w:tblPr/>
      <w:tcPr>
        <w:shd w:val="clear" w:color="auto" w:fill="87E3BA"/>
      </w:tcPr>
    </w:tblStylePr>
    <w:tblStylePr w:type="neCell">
      <w:rPr>
        <w:rFonts w:cs="Times New Roman"/>
        <w:color w:val="000000"/>
      </w:rPr>
    </w:tblStylePr>
    <w:tblStylePr w:type="nwCell">
      <w:rPr>
        <w:rFonts w:cs="Times New Roman"/>
        <w:color w:val="000000"/>
      </w:rPr>
    </w:tblStylePr>
  </w:style>
  <w:style w:type="paragraph" w:styleId="Lista-kontynuacja">
    <w:name w:val="List Continue"/>
    <w:basedOn w:val="Normalny"/>
    <w:uiPriority w:val="99"/>
    <w:semiHidden/>
    <w:rsid w:val="006A7CE0"/>
    <w:pPr>
      <w:spacing w:after="120"/>
      <w:ind w:left="283"/>
      <w:contextualSpacing/>
    </w:pPr>
  </w:style>
  <w:style w:type="paragraph" w:styleId="Lista-kontynuacja2">
    <w:name w:val="List Continue 2"/>
    <w:basedOn w:val="Normalny"/>
    <w:uiPriority w:val="99"/>
    <w:semiHidden/>
    <w:rsid w:val="006A7CE0"/>
    <w:pPr>
      <w:spacing w:after="120"/>
      <w:ind w:left="566"/>
      <w:contextualSpacing/>
    </w:pPr>
  </w:style>
  <w:style w:type="paragraph" w:styleId="Lista-kontynuacja3">
    <w:name w:val="List Continue 3"/>
    <w:basedOn w:val="Normalny"/>
    <w:uiPriority w:val="99"/>
    <w:semiHidden/>
    <w:rsid w:val="006A7CE0"/>
    <w:pPr>
      <w:spacing w:after="120"/>
      <w:ind w:left="849"/>
      <w:contextualSpacing/>
    </w:pPr>
  </w:style>
  <w:style w:type="paragraph" w:styleId="Lista-kontynuacja4">
    <w:name w:val="List Continue 4"/>
    <w:basedOn w:val="Normalny"/>
    <w:uiPriority w:val="99"/>
    <w:semiHidden/>
    <w:rsid w:val="006A7CE0"/>
    <w:pPr>
      <w:spacing w:after="120"/>
      <w:ind w:left="1132"/>
      <w:contextualSpacing/>
    </w:pPr>
  </w:style>
  <w:style w:type="paragraph" w:styleId="Lista-kontynuacja5">
    <w:name w:val="List Continue 5"/>
    <w:basedOn w:val="Normalny"/>
    <w:uiPriority w:val="99"/>
    <w:semiHidden/>
    <w:rsid w:val="006A7CE0"/>
    <w:pPr>
      <w:spacing w:after="120"/>
      <w:ind w:left="1415"/>
      <w:contextualSpacing/>
    </w:pPr>
  </w:style>
  <w:style w:type="paragraph" w:styleId="Lista3">
    <w:name w:val="List 3"/>
    <w:basedOn w:val="Normalny"/>
    <w:uiPriority w:val="99"/>
    <w:semiHidden/>
    <w:rsid w:val="006A7CE0"/>
    <w:pPr>
      <w:ind w:left="849" w:hanging="283"/>
      <w:contextualSpacing/>
    </w:pPr>
  </w:style>
  <w:style w:type="paragraph" w:styleId="Lista4">
    <w:name w:val="List 4"/>
    <w:basedOn w:val="Normalny"/>
    <w:uiPriority w:val="99"/>
    <w:semiHidden/>
    <w:rsid w:val="006A7CE0"/>
    <w:pPr>
      <w:ind w:left="1132" w:hanging="283"/>
      <w:contextualSpacing/>
    </w:pPr>
  </w:style>
  <w:style w:type="paragraph" w:styleId="Lista5">
    <w:name w:val="List 5"/>
    <w:basedOn w:val="Normalny"/>
    <w:uiPriority w:val="99"/>
    <w:semiHidden/>
    <w:rsid w:val="006A7CE0"/>
    <w:pPr>
      <w:ind w:left="1415" w:hanging="283"/>
      <w:contextualSpacing/>
    </w:pPr>
  </w:style>
  <w:style w:type="paragraph" w:styleId="Listanumerowana2">
    <w:name w:val="List Number 2"/>
    <w:basedOn w:val="Normalny"/>
    <w:uiPriority w:val="99"/>
    <w:semiHidden/>
    <w:rsid w:val="006A7CE0"/>
    <w:pPr>
      <w:numPr>
        <w:numId w:val="8"/>
      </w:numPr>
      <w:contextualSpacing/>
    </w:pPr>
  </w:style>
  <w:style w:type="paragraph" w:styleId="Listanumerowana3">
    <w:name w:val="List Number 3"/>
    <w:basedOn w:val="Normalny"/>
    <w:uiPriority w:val="99"/>
    <w:semiHidden/>
    <w:rsid w:val="006A7CE0"/>
    <w:pPr>
      <w:numPr>
        <w:numId w:val="9"/>
      </w:numPr>
      <w:contextualSpacing/>
    </w:pPr>
  </w:style>
  <w:style w:type="paragraph" w:styleId="Listanumerowana4">
    <w:name w:val="List Number 4"/>
    <w:basedOn w:val="Normalny"/>
    <w:uiPriority w:val="99"/>
    <w:semiHidden/>
    <w:rsid w:val="006A7CE0"/>
    <w:pPr>
      <w:numPr>
        <w:numId w:val="10"/>
      </w:numPr>
      <w:contextualSpacing/>
    </w:pPr>
  </w:style>
  <w:style w:type="paragraph" w:styleId="Listanumerowana5">
    <w:name w:val="List Number 5"/>
    <w:basedOn w:val="Normalny"/>
    <w:uiPriority w:val="99"/>
    <w:semiHidden/>
    <w:rsid w:val="006A7CE0"/>
    <w:pPr>
      <w:numPr>
        <w:numId w:val="11"/>
      </w:numPr>
      <w:contextualSpacing/>
    </w:pPr>
  </w:style>
  <w:style w:type="paragraph" w:styleId="Listapunktowana">
    <w:name w:val="List Bullet"/>
    <w:basedOn w:val="Normalny"/>
    <w:uiPriority w:val="99"/>
    <w:semiHidden/>
    <w:rsid w:val="006A7CE0"/>
    <w:pPr>
      <w:numPr>
        <w:numId w:val="12"/>
      </w:numPr>
      <w:contextualSpacing/>
    </w:pPr>
  </w:style>
  <w:style w:type="paragraph" w:styleId="Listapunktowana2">
    <w:name w:val="List Bullet 2"/>
    <w:basedOn w:val="Normalny"/>
    <w:uiPriority w:val="99"/>
    <w:semiHidden/>
    <w:rsid w:val="006A7CE0"/>
    <w:pPr>
      <w:numPr>
        <w:numId w:val="13"/>
      </w:numPr>
      <w:contextualSpacing/>
    </w:pPr>
  </w:style>
  <w:style w:type="paragraph" w:styleId="Listapunktowana3">
    <w:name w:val="List Bullet 3"/>
    <w:basedOn w:val="Normalny"/>
    <w:uiPriority w:val="99"/>
    <w:semiHidden/>
    <w:rsid w:val="006A7CE0"/>
    <w:pPr>
      <w:numPr>
        <w:numId w:val="14"/>
      </w:numPr>
      <w:contextualSpacing/>
    </w:pPr>
  </w:style>
  <w:style w:type="paragraph" w:styleId="Listapunktowana4">
    <w:name w:val="List Bullet 4"/>
    <w:basedOn w:val="Normalny"/>
    <w:uiPriority w:val="99"/>
    <w:semiHidden/>
    <w:rsid w:val="006A7CE0"/>
    <w:pPr>
      <w:numPr>
        <w:numId w:val="15"/>
      </w:numPr>
      <w:contextualSpacing/>
    </w:pPr>
  </w:style>
  <w:style w:type="paragraph" w:styleId="Listapunktowana5">
    <w:name w:val="List Bullet 5"/>
    <w:basedOn w:val="Normalny"/>
    <w:uiPriority w:val="99"/>
    <w:semiHidden/>
    <w:rsid w:val="006A7CE0"/>
    <w:pPr>
      <w:numPr>
        <w:numId w:val="16"/>
      </w:numPr>
      <w:contextualSpacing/>
    </w:pPr>
  </w:style>
  <w:style w:type="paragraph" w:styleId="Nagwekindeksu">
    <w:name w:val="index heading"/>
    <w:basedOn w:val="Normalny"/>
    <w:next w:val="Indeks1"/>
    <w:uiPriority w:val="99"/>
    <w:semiHidden/>
    <w:rsid w:val="006A7CE0"/>
    <w:rPr>
      <w:rFonts w:eastAsia="MS Gothic"/>
      <w:b/>
      <w:bCs/>
    </w:rPr>
  </w:style>
  <w:style w:type="paragraph" w:styleId="Nagweknotatki">
    <w:name w:val="Note Heading"/>
    <w:basedOn w:val="Normalny"/>
    <w:next w:val="Normalny"/>
    <w:link w:val="NagweknotatkiZnak"/>
    <w:uiPriority w:val="99"/>
    <w:semiHidden/>
    <w:rsid w:val="006A7CE0"/>
  </w:style>
  <w:style w:type="character" w:customStyle="1" w:styleId="NagweknotatkiZnak">
    <w:name w:val="Nagłówek notatki Znak"/>
    <w:basedOn w:val="Domylnaczcionkaakapitu"/>
    <w:link w:val="Nagweknotatki"/>
    <w:uiPriority w:val="99"/>
    <w:semiHidden/>
    <w:locked/>
    <w:rsid w:val="006A7CE0"/>
    <w:rPr>
      <w:rFonts w:eastAsia="MS Mincho" w:cs="Times New Roman"/>
      <w:lang w:val="pl-PL" w:eastAsia="zh-CN"/>
    </w:rPr>
  </w:style>
  <w:style w:type="paragraph" w:styleId="Nagwekspisutreci">
    <w:name w:val="TOC Heading"/>
    <w:basedOn w:val="Nagwek1"/>
    <w:next w:val="Normalny"/>
    <w:uiPriority w:val="99"/>
    <w:qFormat/>
    <w:rsid w:val="006A7CE0"/>
    <w:pPr>
      <w:keepLines/>
      <w:spacing w:after="0"/>
      <w:outlineLvl w:val="9"/>
    </w:pPr>
    <w:rPr>
      <w:rFonts w:eastAsia="MS Gothic"/>
      <w:b w:val="0"/>
      <w:color w:val="9D215D"/>
      <w:kern w:val="0"/>
      <w:sz w:val="32"/>
      <w:szCs w:val="32"/>
    </w:rPr>
  </w:style>
  <w:style w:type="paragraph" w:styleId="Nagwekwiadomoci">
    <w:name w:val="Message Header"/>
    <w:basedOn w:val="Normalny"/>
    <w:link w:val="NagwekwiadomociZnak"/>
    <w:uiPriority w:val="99"/>
    <w:semiHidden/>
    <w:rsid w:val="006A7CE0"/>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rPr>
  </w:style>
  <w:style w:type="character" w:customStyle="1" w:styleId="NagwekwiadomociZnak">
    <w:name w:val="Nagłówek wiadomości Znak"/>
    <w:basedOn w:val="Domylnaczcionkaakapitu"/>
    <w:link w:val="Nagwekwiadomoci"/>
    <w:uiPriority w:val="99"/>
    <w:semiHidden/>
    <w:locked/>
    <w:rsid w:val="006A7CE0"/>
    <w:rPr>
      <w:rFonts w:ascii="Times New Roman" w:eastAsia="MS Gothic" w:hAnsi="Times New Roman" w:cs="Times New Roman"/>
      <w:shd w:val="pct20" w:color="auto" w:fill="auto"/>
      <w:lang w:val="pl-PL" w:eastAsia="zh-CN"/>
    </w:rPr>
  </w:style>
  <w:style w:type="paragraph" w:styleId="Nagwekwykazurde">
    <w:name w:val="toa heading"/>
    <w:basedOn w:val="Normalny"/>
    <w:next w:val="Normalny"/>
    <w:uiPriority w:val="99"/>
    <w:semiHidden/>
    <w:rsid w:val="006A7CE0"/>
    <w:pPr>
      <w:spacing w:before="120"/>
    </w:pPr>
    <w:rPr>
      <w:rFonts w:eastAsia="MS Gothic"/>
      <w:b/>
      <w:bCs/>
    </w:rPr>
  </w:style>
  <w:style w:type="character" w:customStyle="1" w:styleId="Nierozpoznanawzmianka1">
    <w:name w:val="Nierozpoznana wzmianka1"/>
    <w:basedOn w:val="Domylnaczcionkaakapitu"/>
    <w:uiPriority w:val="99"/>
    <w:semiHidden/>
    <w:rsid w:val="006A7CE0"/>
    <w:rPr>
      <w:rFonts w:cs="Times New Roman"/>
      <w:color w:val="605E5C"/>
      <w:shd w:val="clear" w:color="auto" w:fill="E1DFDD"/>
      <w:lang w:val="pl-PL"/>
    </w:rPr>
  </w:style>
  <w:style w:type="character" w:styleId="Numerwiersza">
    <w:name w:val="line number"/>
    <w:basedOn w:val="Domylnaczcionkaakapitu"/>
    <w:uiPriority w:val="99"/>
    <w:semiHidden/>
    <w:rsid w:val="006A7CE0"/>
    <w:rPr>
      <w:rFonts w:cs="Times New Roman"/>
      <w:lang w:val="pl-PL"/>
    </w:rPr>
  </w:style>
  <w:style w:type="character" w:styleId="Odwoaniedelikatne">
    <w:name w:val="Subtle Reference"/>
    <w:basedOn w:val="Domylnaczcionkaakapitu"/>
    <w:uiPriority w:val="99"/>
    <w:qFormat/>
    <w:rsid w:val="006A7CE0"/>
    <w:rPr>
      <w:rFonts w:cs="Times New Roman"/>
      <w:smallCaps/>
      <w:color w:val="5A5A5A"/>
      <w:lang w:val="pl-PL"/>
    </w:rPr>
  </w:style>
  <w:style w:type="character" w:styleId="Odwoanieintensywne">
    <w:name w:val="Intense Reference"/>
    <w:basedOn w:val="Domylnaczcionkaakapitu"/>
    <w:uiPriority w:val="99"/>
    <w:qFormat/>
    <w:rsid w:val="006A7CE0"/>
    <w:rPr>
      <w:rFonts w:cs="Times New Roman"/>
      <w:b/>
      <w:bCs/>
      <w:smallCaps/>
      <w:color w:val="D22D7D"/>
      <w:spacing w:val="5"/>
      <w:lang w:val="pl-PL"/>
    </w:rPr>
  </w:style>
  <w:style w:type="character" w:styleId="Odwoanieprzypisudolnego">
    <w:name w:val="footnote reference"/>
    <w:aliases w:val="Tekst przypisu dolnego Znak2,Tekst przypisu dolnego Znak1 Znak,Tekst przypisu dolnego Znak Znak Znak,Tekst przypisu dolnego Znak1 Znak Znak Znak,Tekst przypisu dolnego Znak Znak Znak Znak Znak,Odwołanie przypisu,Times 10 Point"/>
    <w:basedOn w:val="Domylnaczcionkaakapitu"/>
    <w:uiPriority w:val="99"/>
    <w:rsid w:val="006A7CE0"/>
    <w:rPr>
      <w:rFonts w:cs="Times New Roman"/>
      <w:vertAlign w:val="superscript"/>
      <w:lang w:val="pl-PL"/>
    </w:rPr>
  </w:style>
  <w:style w:type="character" w:styleId="Odwoanieprzypisukocowego">
    <w:name w:val="endnote reference"/>
    <w:basedOn w:val="Domylnaczcionkaakapitu"/>
    <w:uiPriority w:val="99"/>
    <w:semiHidden/>
    <w:rsid w:val="006A7CE0"/>
    <w:rPr>
      <w:rFonts w:cs="Times New Roman"/>
      <w:vertAlign w:val="superscript"/>
      <w:lang w:val="pl-PL"/>
    </w:rPr>
  </w:style>
  <w:style w:type="paragraph" w:styleId="Podpis">
    <w:name w:val="Signature"/>
    <w:basedOn w:val="Normalny"/>
    <w:link w:val="PodpisZnak"/>
    <w:uiPriority w:val="99"/>
    <w:semiHidden/>
    <w:rsid w:val="006A7CE0"/>
    <w:pPr>
      <w:ind w:left="4252"/>
    </w:pPr>
  </w:style>
  <w:style w:type="character" w:customStyle="1" w:styleId="PodpisZnak">
    <w:name w:val="Podpis Znak"/>
    <w:basedOn w:val="Domylnaczcionkaakapitu"/>
    <w:link w:val="Podpis"/>
    <w:uiPriority w:val="99"/>
    <w:semiHidden/>
    <w:locked/>
    <w:rsid w:val="006A7CE0"/>
    <w:rPr>
      <w:rFonts w:eastAsia="MS Mincho" w:cs="Times New Roman"/>
      <w:lang w:val="pl-PL" w:eastAsia="zh-CN"/>
    </w:rPr>
  </w:style>
  <w:style w:type="paragraph" w:styleId="Podpise-mail">
    <w:name w:val="E-mail Signature"/>
    <w:basedOn w:val="Normalny"/>
    <w:link w:val="Podpise-mailZnak"/>
    <w:uiPriority w:val="99"/>
    <w:semiHidden/>
    <w:rsid w:val="006A7CE0"/>
  </w:style>
  <w:style w:type="character" w:customStyle="1" w:styleId="Podpise-mailZnak">
    <w:name w:val="Podpis e-mail Znak"/>
    <w:basedOn w:val="Domylnaczcionkaakapitu"/>
    <w:link w:val="Podpise-mail"/>
    <w:uiPriority w:val="99"/>
    <w:semiHidden/>
    <w:locked/>
    <w:rsid w:val="006A7CE0"/>
    <w:rPr>
      <w:rFonts w:eastAsia="MS Mincho" w:cs="Times New Roman"/>
      <w:lang w:val="pl-PL" w:eastAsia="zh-CN"/>
    </w:rPr>
  </w:style>
  <w:style w:type="paragraph" w:styleId="Podtytu">
    <w:name w:val="Subtitle"/>
    <w:basedOn w:val="Normalny"/>
    <w:next w:val="Normalny"/>
    <w:link w:val="PodtytuZnak"/>
    <w:uiPriority w:val="99"/>
    <w:qFormat/>
    <w:rsid w:val="006A7CE0"/>
    <w:pPr>
      <w:numPr>
        <w:ilvl w:val="1"/>
      </w:numPr>
      <w:spacing w:after="160"/>
    </w:pPr>
    <w:rPr>
      <w:color w:val="5A5A5A"/>
      <w:spacing w:val="15"/>
      <w:sz w:val="22"/>
      <w:szCs w:val="22"/>
    </w:rPr>
  </w:style>
  <w:style w:type="character" w:customStyle="1" w:styleId="PodtytuZnak">
    <w:name w:val="Podtytuł Znak"/>
    <w:basedOn w:val="Domylnaczcionkaakapitu"/>
    <w:link w:val="Podtytu"/>
    <w:uiPriority w:val="99"/>
    <w:semiHidden/>
    <w:locked/>
    <w:rsid w:val="006A7CE0"/>
    <w:rPr>
      <w:rFonts w:eastAsia="MS Mincho" w:cs="Times New Roman"/>
      <w:color w:val="5A5A5A"/>
      <w:spacing w:val="15"/>
      <w:sz w:val="22"/>
      <w:szCs w:val="22"/>
      <w:lang w:val="pl-PL" w:eastAsia="zh-CN"/>
    </w:rPr>
  </w:style>
  <w:style w:type="character" w:customStyle="1" w:styleId="Inteligentnylink1">
    <w:name w:val="Inteligentny link1"/>
    <w:basedOn w:val="Domylnaczcionkaakapitu"/>
    <w:uiPriority w:val="99"/>
    <w:semiHidden/>
    <w:rsid w:val="006A7CE0"/>
    <w:rPr>
      <w:rFonts w:cs="Times New Roman"/>
      <w:color w:val="0000FF"/>
      <w:u w:val="single"/>
      <w:shd w:val="clear" w:color="auto" w:fill="F3F2F1"/>
      <w:lang w:val="pl-PL"/>
    </w:rPr>
  </w:style>
  <w:style w:type="paragraph" w:styleId="Spistreci5">
    <w:name w:val="toc 5"/>
    <w:basedOn w:val="Normalny"/>
    <w:next w:val="Normalny"/>
    <w:autoRedefine/>
    <w:uiPriority w:val="99"/>
    <w:semiHidden/>
    <w:rsid w:val="006A7CE0"/>
    <w:pPr>
      <w:spacing w:after="100"/>
      <w:ind w:left="960"/>
    </w:pPr>
  </w:style>
  <w:style w:type="paragraph" w:styleId="Spistreci6">
    <w:name w:val="toc 6"/>
    <w:basedOn w:val="Normalny"/>
    <w:next w:val="Normalny"/>
    <w:autoRedefine/>
    <w:uiPriority w:val="99"/>
    <w:semiHidden/>
    <w:rsid w:val="006A7CE0"/>
    <w:pPr>
      <w:spacing w:after="100"/>
      <w:ind w:left="1200"/>
    </w:pPr>
  </w:style>
  <w:style w:type="paragraph" w:styleId="Spistreci7">
    <w:name w:val="toc 7"/>
    <w:basedOn w:val="Normalny"/>
    <w:next w:val="Normalny"/>
    <w:autoRedefine/>
    <w:uiPriority w:val="99"/>
    <w:semiHidden/>
    <w:rsid w:val="006A7CE0"/>
    <w:pPr>
      <w:spacing w:after="100"/>
      <w:ind w:left="1440"/>
    </w:pPr>
  </w:style>
  <w:style w:type="table" w:styleId="rednialista1">
    <w:name w:val="Medium List 1"/>
    <w:basedOn w:val="Standardowy"/>
    <w:uiPriority w:val="99"/>
    <w:semiHidden/>
    <w:rsid w:val="006A7CE0"/>
    <w:rPr>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D2D2D2"/>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rednialista1akcent1">
    <w:name w:val="Medium List 1 Accent 1"/>
    <w:basedOn w:val="Standardowy"/>
    <w:uiPriority w:val="99"/>
    <w:semiHidden/>
    <w:rsid w:val="006A7CE0"/>
    <w:rPr>
      <w:color w:val="000000"/>
      <w:sz w:val="20"/>
      <w:szCs w:val="20"/>
    </w:rPr>
    <w:tblPr>
      <w:tblStyleRowBandSize w:val="1"/>
      <w:tblStyleColBandSize w:val="1"/>
      <w:tblBorders>
        <w:top w:val="single" w:sz="8" w:space="0" w:color="D22D7D"/>
        <w:bottom w:val="single" w:sz="8" w:space="0" w:color="D22D7D"/>
      </w:tblBorders>
    </w:tblPr>
    <w:tblStylePr w:type="firstRow">
      <w:rPr>
        <w:rFonts w:ascii="Times New Roman" w:eastAsia="MS Gothic" w:hAnsi="Times New Roman" w:cs="Times New Roman"/>
      </w:rPr>
      <w:tblPr/>
      <w:tcPr>
        <w:tcBorders>
          <w:top w:val="nil"/>
          <w:bottom w:val="single" w:sz="8" w:space="0" w:color="D22D7D"/>
        </w:tcBorders>
      </w:tcPr>
    </w:tblStylePr>
    <w:tblStylePr w:type="lastRow">
      <w:rPr>
        <w:rFonts w:cs="Times New Roman"/>
        <w:b/>
        <w:bCs/>
        <w:color w:val="D2D2D2"/>
      </w:rPr>
      <w:tblPr/>
      <w:tcPr>
        <w:tcBorders>
          <w:top w:val="single" w:sz="8" w:space="0" w:color="D22D7D"/>
          <w:bottom w:val="single" w:sz="8" w:space="0" w:color="D22D7D"/>
        </w:tcBorders>
      </w:tcPr>
    </w:tblStylePr>
    <w:tblStylePr w:type="firstCol">
      <w:rPr>
        <w:rFonts w:cs="Times New Roman"/>
        <w:b/>
        <w:bCs/>
      </w:rPr>
    </w:tblStylePr>
    <w:tblStylePr w:type="lastCol">
      <w:rPr>
        <w:rFonts w:cs="Times New Roman"/>
        <w:b/>
        <w:bCs/>
      </w:rPr>
      <w:tblPr/>
      <w:tcPr>
        <w:tcBorders>
          <w:top w:val="single" w:sz="8" w:space="0" w:color="D22D7D"/>
          <w:bottom w:val="single" w:sz="8" w:space="0" w:color="D22D7D"/>
        </w:tcBorders>
      </w:tcPr>
    </w:tblStylePr>
    <w:tblStylePr w:type="band1Vert">
      <w:rPr>
        <w:rFonts w:cs="Times New Roman"/>
      </w:rPr>
      <w:tblPr/>
      <w:tcPr>
        <w:shd w:val="clear" w:color="auto" w:fill="F4CBDE"/>
      </w:tcPr>
    </w:tblStylePr>
    <w:tblStylePr w:type="band1Horz">
      <w:rPr>
        <w:rFonts w:cs="Times New Roman"/>
      </w:rPr>
      <w:tblPr/>
      <w:tcPr>
        <w:shd w:val="clear" w:color="auto" w:fill="F4CBDE"/>
      </w:tcPr>
    </w:tblStylePr>
  </w:style>
  <w:style w:type="table" w:styleId="rednialista1akcent2">
    <w:name w:val="Medium List 1 Accent 2"/>
    <w:basedOn w:val="Standardowy"/>
    <w:uiPriority w:val="99"/>
    <w:semiHidden/>
    <w:rsid w:val="006A7CE0"/>
    <w:rPr>
      <w:color w:val="000000"/>
      <w:sz w:val="20"/>
      <w:szCs w:val="20"/>
    </w:rPr>
    <w:tblPr>
      <w:tblStyleRowBandSize w:val="1"/>
      <w:tblStyleColBandSize w:val="1"/>
      <w:tblBorders>
        <w:top w:val="single" w:sz="8" w:space="0" w:color="28AAE1"/>
        <w:bottom w:val="single" w:sz="8" w:space="0" w:color="28AAE1"/>
      </w:tblBorders>
    </w:tblPr>
    <w:tblStylePr w:type="firstRow">
      <w:rPr>
        <w:rFonts w:ascii="Times New Roman" w:eastAsia="MS Gothic" w:hAnsi="Times New Roman" w:cs="Times New Roman"/>
      </w:rPr>
      <w:tblPr/>
      <w:tcPr>
        <w:tcBorders>
          <w:top w:val="nil"/>
          <w:bottom w:val="single" w:sz="8" w:space="0" w:color="28AAE1"/>
        </w:tcBorders>
      </w:tcPr>
    </w:tblStylePr>
    <w:tblStylePr w:type="lastRow">
      <w:rPr>
        <w:rFonts w:cs="Times New Roman"/>
        <w:b/>
        <w:bCs/>
        <w:color w:val="D2D2D2"/>
      </w:rPr>
      <w:tblPr/>
      <w:tcPr>
        <w:tcBorders>
          <w:top w:val="single" w:sz="8" w:space="0" w:color="28AAE1"/>
          <w:bottom w:val="single" w:sz="8" w:space="0" w:color="28AAE1"/>
        </w:tcBorders>
      </w:tcPr>
    </w:tblStylePr>
    <w:tblStylePr w:type="firstCol">
      <w:rPr>
        <w:rFonts w:cs="Times New Roman"/>
        <w:b/>
        <w:bCs/>
      </w:rPr>
    </w:tblStylePr>
    <w:tblStylePr w:type="lastCol">
      <w:rPr>
        <w:rFonts w:cs="Times New Roman"/>
        <w:b/>
        <w:bCs/>
      </w:rPr>
      <w:tblPr/>
      <w:tcPr>
        <w:tcBorders>
          <w:top w:val="single" w:sz="8" w:space="0" w:color="28AAE1"/>
          <w:bottom w:val="single" w:sz="8" w:space="0" w:color="28AAE1"/>
        </w:tcBorders>
      </w:tcPr>
    </w:tblStylePr>
    <w:tblStylePr w:type="band1Vert">
      <w:rPr>
        <w:rFonts w:cs="Times New Roman"/>
      </w:rPr>
      <w:tblPr/>
      <w:tcPr>
        <w:shd w:val="clear" w:color="auto" w:fill="C9E9F7"/>
      </w:tcPr>
    </w:tblStylePr>
    <w:tblStylePr w:type="band1Horz">
      <w:rPr>
        <w:rFonts w:cs="Times New Roman"/>
      </w:rPr>
      <w:tblPr/>
      <w:tcPr>
        <w:shd w:val="clear" w:color="auto" w:fill="C9E9F7"/>
      </w:tcPr>
    </w:tblStylePr>
  </w:style>
  <w:style w:type="table" w:styleId="rednialista1akcent3">
    <w:name w:val="Medium List 1 Accent 3"/>
    <w:basedOn w:val="Standardowy"/>
    <w:uiPriority w:val="99"/>
    <w:semiHidden/>
    <w:rsid w:val="006A7CE0"/>
    <w:rPr>
      <w:color w:val="000000"/>
      <w:sz w:val="20"/>
      <w:szCs w:val="20"/>
    </w:rPr>
    <w:tblPr>
      <w:tblStyleRowBandSize w:val="1"/>
      <w:tblStyleColBandSize w:val="1"/>
      <w:tblBorders>
        <w:top w:val="single" w:sz="8" w:space="0" w:color="F05023"/>
        <w:bottom w:val="single" w:sz="8" w:space="0" w:color="F05023"/>
      </w:tblBorders>
    </w:tblPr>
    <w:tblStylePr w:type="firstRow">
      <w:rPr>
        <w:rFonts w:ascii="Times New Roman" w:eastAsia="MS Gothic" w:hAnsi="Times New Roman" w:cs="Times New Roman"/>
      </w:rPr>
      <w:tblPr/>
      <w:tcPr>
        <w:tcBorders>
          <w:top w:val="nil"/>
          <w:bottom w:val="single" w:sz="8" w:space="0" w:color="F05023"/>
        </w:tcBorders>
      </w:tcPr>
    </w:tblStylePr>
    <w:tblStylePr w:type="lastRow">
      <w:rPr>
        <w:rFonts w:cs="Times New Roman"/>
        <w:b/>
        <w:bCs/>
        <w:color w:val="D2D2D2"/>
      </w:rPr>
      <w:tblPr/>
      <w:tcPr>
        <w:tcBorders>
          <w:top w:val="single" w:sz="8" w:space="0" w:color="F05023"/>
          <w:bottom w:val="single" w:sz="8" w:space="0" w:color="F05023"/>
        </w:tcBorders>
      </w:tcPr>
    </w:tblStylePr>
    <w:tblStylePr w:type="firstCol">
      <w:rPr>
        <w:rFonts w:cs="Times New Roman"/>
        <w:b/>
        <w:bCs/>
      </w:rPr>
    </w:tblStylePr>
    <w:tblStylePr w:type="lastCol">
      <w:rPr>
        <w:rFonts w:cs="Times New Roman"/>
        <w:b/>
        <w:bCs/>
      </w:rPr>
      <w:tblPr/>
      <w:tcPr>
        <w:tcBorders>
          <w:top w:val="single" w:sz="8" w:space="0" w:color="F05023"/>
          <w:bottom w:val="single" w:sz="8" w:space="0" w:color="F05023"/>
        </w:tcBorders>
      </w:tcPr>
    </w:tblStylePr>
    <w:tblStylePr w:type="band1Vert">
      <w:rPr>
        <w:rFonts w:cs="Times New Roman"/>
      </w:rPr>
      <w:tblPr/>
      <w:tcPr>
        <w:shd w:val="clear" w:color="auto" w:fill="FBD3C8"/>
      </w:tcPr>
    </w:tblStylePr>
    <w:tblStylePr w:type="band1Horz">
      <w:rPr>
        <w:rFonts w:cs="Times New Roman"/>
      </w:rPr>
      <w:tblPr/>
      <w:tcPr>
        <w:shd w:val="clear" w:color="auto" w:fill="FBD3C8"/>
      </w:tcPr>
    </w:tblStylePr>
  </w:style>
  <w:style w:type="table" w:styleId="rednialista1akcent4">
    <w:name w:val="Medium List 1 Accent 4"/>
    <w:basedOn w:val="Standardowy"/>
    <w:uiPriority w:val="99"/>
    <w:semiHidden/>
    <w:rsid w:val="006A7CE0"/>
    <w:rPr>
      <w:color w:val="000000"/>
      <w:sz w:val="20"/>
      <w:szCs w:val="20"/>
    </w:rPr>
    <w:tblPr>
      <w:tblStyleRowBandSize w:val="1"/>
      <w:tblStyleColBandSize w:val="1"/>
      <w:tblBorders>
        <w:top w:val="single" w:sz="8" w:space="0" w:color="696EB4"/>
        <w:bottom w:val="single" w:sz="8" w:space="0" w:color="696EB4"/>
      </w:tblBorders>
    </w:tblPr>
    <w:tblStylePr w:type="firstRow">
      <w:rPr>
        <w:rFonts w:ascii="Times New Roman" w:eastAsia="MS Gothic" w:hAnsi="Times New Roman" w:cs="Times New Roman"/>
      </w:rPr>
      <w:tblPr/>
      <w:tcPr>
        <w:tcBorders>
          <w:top w:val="nil"/>
          <w:bottom w:val="single" w:sz="8" w:space="0" w:color="696EB4"/>
        </w:tcBorders>
      </w:tcPr>
    </w:tblStylePr>
    <w:tblStylePr w:type="lastRow">
      <w:rPr>
        <w:rFonts w:cs="Times New Roman"/>
        <w:b/>
        <w:bCs/>
        <w:color w:val="D2D2D2"/>
      </w:rPr>
      <w:tblPr/>
      <w:tcPr>
        <w:tcBorders>
          <w:top w:val="single" w:sz="8" w:space="0" w:color="696EB4"/>
          <w:bottom w:val="single" w:sz="8" w:space="0" w:color="696EB4"/>
        </w:tcBorders>
      </w:tcPr>
    </w:tblStylePr>
    <w:tblStylePr w:type="firstCol">
      <w:rPr>
        <w:rFonts w:cs="Times New Roman"/>
        <w:b/>
        <w:bCs/>
      </w:rPr>
    </w:tblStylePr>
    <w:tblStylePr w:type="lastCol">
      <w:rPr>
        <w:rFonts w:cs="Times New Roman"/>
        <w:b/>
        <w:bCs/>
      </w:rPr>
      <w:tblPr/>
      <w:tcPr>
        <w:tcBorders>
          <w:top w:val="single" w:sz="8" w:space="0" w:color="696EB4"/>
          <w:bottom w:val="single" w:sz="8" w:space="0" w:color="696EB4"/>
        </w:tcBorders>
      </w:tcPr>
    </w:tblStylePr>
    <w:tblStylePr w:type="band1Vert">
      <w:rPr>
        <w:rFonts w:cs="Times New Roman"/>
      </w:rPr>
      <w:tblPr/>
      <w:tcPr>
        <w:shd w:val="clear" w:color="auto" w:fill="D9DBEC"/>
      </w:tcPr>
    </w:tblStylePr>
    <w:tblStylePr w:type="band1Horz">
      <w:rPr>
        <w:rFonts w:cs="Times New Roman"/>
      </w:rPr>
      <w:tblPr/>
      <w:tcPr>
        <w:shd w:val="clear" w:color="auto" w:fill="D9DBEC"/>
      </w:tcPr>
    </w:tblStylePr>
  </w:style>
  <w:style w:type="table" w:styleId="rednialista1akcent5">
    <w:name w:val="Medium List 1 Accent 5"/>
    <w:basedOn w:val="Standardowy"/>
    <w:uiPriority w:val="99"/>
    <w:semiHidden/>
    <w:rsid w:val="006A7CE0"/>
    <w:rPr>
      <w:color w:val="000000"/>
      <w:sz w:val="20"/>
      <w:szCs w:val="20"/>
    </w:rPr>
    <w:tblPr>
      <w:tblStyleRowBandSize w:val="1"/>
      <w:tblStyleColBandSize w:val="1"/>
      <w:tblBorders>
        <w:top w:val="single" w:sz="8" w:space="0" w:color="FA9B1E"/>
        <w:bottom w:val="single" w:sz="8" w:space="0" w:color="FA9B1E"/>
      </w:tblBorders>
    </w:tblPr>
    <w:tblStylePr w:type="firstRow">
      <w:rPr>
        <w:rFonts w:ascii="Times New Roman" w:eastAsia="MS Gothic" w:hAnsi="Times New Roman" w:cs="Times New Roman"/>
      </w:rPr>
      <w:tblPr/>
      <w:tcPr>
        <w:tcBorders>
          <w:top w:val="nil"/>
          <w:bottom w:val="single" w:sz="8" w:space="0" w:color="FA9B1E"/>
        </w:tcBorders>
      </w:tcPr>
    </w:tblStylePr>
    <w:tblStylePr w:type="lastRow">
      <w:rPr>
        <w:rFonts w:cs="Times New Roman"/>
        <w:b/>
        <w:bCs/>
        <w:color w:val="D2D2D2"/>
      </w:rPr>
      <w:tblPr/>
      <w:tcPr>
        <w:tcBorders>
          <w:top w:val="single" w:sz="8" w:space="0" w:color="FA9B1E"/>
          <w:bottom w:val="single" w:sz="8" w:space="0" w:color="FA9B1E"/>
        </w:tcBorders>
      </w:tcPr>
    </w:tblStylePr>
    <w:tblStylePr w:type="firstCol">
      <w:rPr>
        <w:rFonts w:cs="Times New Roman"/>
        <w:b/>
        <w:bCs/>
      </w:rPr>
    </w:tblStylePr>
    <w:tblStylePr w:type="lastCol">
      <w:rPr>
        <w:rFonts w:cs="Times New Roman"/>
        <w:b/>
        <w:bCs/>
      </w:rPr>
      <w:tblPr/>
      <w:tcPr>
        <w:tcBorders>
          <w:top w:val="single" w:sz="8" w:space="0" w:color="FA9B1E"/>
          <w:bottom w:val="single" w:sz="8" w:space="0" w:color="FA9B1E"/>
        </w:tcBorders>
      </w:tcPr>
    </w:tblStylePr>
    <w:tblStylePr w:type="band1Vert">
      <w:rPr>
        <w:rFonts w:cs="Times New Roman"/>
      </w:rPr>
      <w:tblPr/>
      <w:tcPr>
        <w:shd w:val="clear" w:color="auto" w:fill="FDE6C7"/>
      </w:tcPr>
    </w:tblStylePr>
    <w:tblStylePr w:type="band1Horz">
      <w:rPr>
        <w:rFonts w:cs="Times New Roman"/>
      </w:rPr>
      <w:tblPr/>
      <w:tcPr>
        <w:shd w:val="clear" w:color="auto" w:fill="FDE6C7"/>
      </w:tcPr>
    </w:tblStylePr>
  </w:style>
  <w:style w:type="table" w:styleId="rednialista1akcent6">
    <w:name w:val="Medium List 1 Accent 6"/>
    <w:basedOn w:val="Standardowy"/>
    <w:uiPriority w:val="99"/>
    <w:semiHidden/>
    <w:rsid w:val="006A7CE0"/>
    <w:rPr>
      <w:color w:val="000000"/>
      <w:sz w:val="20"/>
      <w:szCs w:val="20"/>
    </w:rPr>
    <w:tblPr>
      <w:tblStyleRowBandSize w:val="1"/>
      <w:tblStyleColBandSize w:val="1"/>
      <w:tblBorders>
        <w:top w:val="single" w:sz="8" w:space="0" w:color="28AF73"/>
        <w:bottom w:val="single" w:sz="8" w:space="0" w:color="28AF73"/>
      </w:tblBorders>
    </w:tblPr>
    <w:tblStylePr w:type="firstRow">
      <w:rPr>
        <w:rFonts w:ascii="Times New Roman" w:eastAsia="MS Gothic" w:hAnsi="Times New Roman" w:cs="Times New Roman"/>
      </w:rPr>
      <w:tblPr/>
      <w:tcPr>
        <w:tcBorders>
          <w:top w:val="nil"/>
          <w:bottom w:val="single" w:sz="8" w:space="0" w:color="28AF73"/>
        </w:tcBorders>
      </w:tcPr>
    </w:tblStylePr>
    <w:tblStylePr w:type="lastRow">
      <w:rPr>
        <w:rFonts w:cs="Times New Roman"/>
        <w:b/>
        <w:bCs/>
        <w:color w:val="D2D2D2"/>
      </w:rPr>
      <w:tblPr/>
      <w:tcPr>
        <w:tcBorders>
          <w:top w:val="single" w:sz="8" w:space="0" w:color="28AF73"/>
          <w:bottom w:val="single" w:sz="8" w:space="0" w:color="28AF73"/>
        </w:tcBorders>
      </w:tcPr>
    </w:tblStylePr>
    <w:tblStylePr w:type="firstCol">
      <w:rPr>
        <w:rFonts w:cs="Times New Roman"/>
        <w:b/>
        <w:bCs/>
      </w:rPr>
    </w:tblStylePr>
    <w:tblStylePr w:type="lastCol">
      <w:rPr>
        <w:rFonts w:cs="Times New Roman"/>
        <w:b/>
        <w:bCs/>
      </w:rPr>
      <w:tblPr/>
      <w:tcPr>
        <w:tcBorders>
          <w:top w:val="single" w:sz="8" w:space="0" w:color="28AF73"/>
          <w:bottom w:val="single" w:sz="8" w:space="0" w:color="28AF73"/>
        </w:tcBorders>
      </w:tcPr>
    </w:tblStylePr>
    <w:tblStylePr w:type="band1Vert">
      <w:rPr>
        <w:rFonts w:cs="Times New Roman"/>
      </w:rPr>
      <w:tblPr/>
      <w:tcPr>
        <w:shd w:val="clear" w:color="auto" w:fill="C3F1DC"/>
      </w:tcPr>
    </w:tblStylePr>
    <w:tblStylePr w:type="band1Horz">
      <w:rPr>
        <w:rFonts w:cs="Times New Roman"/>
      </w:rPr>
      <w:tblPr/>
      <w:tcPr>
        <w:shd w:val="clear" w:color="auto" w:fill="C3F1DC"/>
      </w:tcPr>
    </w:tblStylePr>
  </w:style>
  <w:style w:type="table" w:styleId="rednialista2">
    <w:name w:val="Medium List 2"/>
    <w:basedOn w:val="Standardowy"/>
    <w:uiPriority w:val="99"/>
    <w:semiHidden/>
    <w:rsid w:val="006A7CE0"/>
    <w:rPr>
      <w:rFonts w:eastAsia="MS Gothic"/>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lista2akcent1">
    <w:name w:val="Medium List 2 Accent 1"/>
    <w:basedOn w:val="Standardowy"/>
    <w:uiPriority w:val="99"/>
    <w:semiHidden/>
    <w:rsid w:val="006A7CE0"/>
    <w:rPr>
      <w:rFonts w:eastAsia="MS Gothic"/>
      <w:color w:val="000000"/>
      <w:sz w:val="20"/>
      <w:szCs w:val="20"/>
    </w:rPr>
    <w:tblPr>
      <w:tblStyleRowBandSize w:val="1"/>
      <w:tblStyleColBandSize w:val="1"/>
      <w:tblBorders>
        <w:top w:val="single" w:sz="8" w:space="0" w:color="D22D7D"/>
        <w:left w:val="single" w:sz="8" w:space="0" w:color="D22D7D"/>
        <w:bottom w:val="single" w:sz="8" w:space="0" w:color="D22D7D"/>
        <w:right w:val="single" w:sz="8" w:space="0" w:color="D22D7D"/>
      </w:tblBorders>
    </w:tblPr>
    <w:tblStylePr w:type="firstRow">
      <w:rPr>
        <w:rFonts w:cs="Times New Roman"/>
        <w:sz w:val="24"/>
        <w:szCs w:val="24"/>
      </w:rPr>
      <w:tblPr/>
      <w:tcPr>
        <w:tcBorders>
          <w:top w:val="nil"/>
          <w:left w:val="nil"/>
          <w:bottom w:val="single" w:sz="24" w:space="0" w:color="D22D7D"/>
          <w:right w:val="nil"/>
          <w:insideH w:val="nil"/>
          <w:insideV w:val="nil"/>
        </w:tcBorders>
        <w:shd w:val="clear" w:color="auto" w:fill="FFFFFF"/>
      </w:tcPr>
    </w:tblStylePr>
    <w:tblStylePr w:type="lastRow">
      <w:rPr>
        <w:rFonts w:cs="Times New Roman"/>
      </w:rPr>
      <w:tblPr/>
      <w:tcPr>
        <w:tcBorders>
          <w:top w:val="single" w:sz="8" w:space="0" w:color="D22D7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D22D7D"/>
          <w:insideH w:val="nil"/>
          <w:insideV w:val="nil"/>
        </w:tcBorders>
        <w:shd w:val="clear" w:color="auto" w:fill="FFFFFF"/>
      </w:tcPr>
    </w:tblStylePr>
    <w:tblStylePr w:type="lastCol">
      <w:rPr>
        <w:rFonts w:cs="Times New Roman"/>
      </w:rPr>
      <w:tblPr/>
      <w:tcPr>
        <w:tcBorders>
          <w:top w:val="nil"/>
          <w:left w:val="single" w:sz="8" w:space="0" w:color="D22D7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4CBDE"/>
      </w:tcPr>
    </w:tblStylePr>
    <w:tblStylePr w:type="band1Horz">
      <w:rPr>
        <w:rFonts w:cs="Times New Roman"/>
      </w:rPr>
      <w:tblPr/>
      <w:tcPr>
        <w:tcBorders>
          <w:top w:val="nil"/>
          <w:bottom w:val="nil"/>
          <w:insideH w:val="nil"/>
          <w:insideV w:val="nil"/>
        </w:tcBorders>
        <w:shd w:val="clear" w:color="auto" w:fill="F4CBD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lista2akcent2">
    <w:name w:val="Medium List 2 Accent 2"/>
    <w:basedOn w:val="Standardowy"/>
    <w:uiPriority w:val="99"/>
    <w:semiHidden/>
    <w:rsid w:val="006A7CE0"/>
    <w:rPr>
      <w:rFonts w:eastAsia="MS Gothic"/>
      <w:color w:val="000000"/>
      <w:sz w:val="20"/>
      <w:szCs w:val="20"/>
    </w:rPr>
    <w:tblPr>
      <w:tblStyleRowBandSize w:val="1"/>
      <w:tblStyleColBandSize w:val="1"/>
      <w:tblBorders>
        <w:top w:val="single" w:sz="8" w:space="0" w:color="28AAE1"/>
        <w:left w:val="single" w:sz="8" w:space="0" w:color="28AAE1"/>
        <w:bottom w:val="single" w:sz="8" w:space="0" w:color="28AAE1"/>
        <w:right w:val="single" w:sz="8" w:space="0" w:color="28AAE1"/>
      </w:tblBorders>
    </w:tblPr>
    <w:tblStylePr w:type="firstRow">
      <w:rPr>
        <w:rFonts w:cs="Times New Roman"/>
        <w:sz w:val="24"/>
        <w:szCs w:val="24"/>
      </w:rPr>
      <w:tblPr/>
      <w:tcPr>
        <w:tcBorders>
          <w:top w:val="nil"/>
          <w:left w:val="nil"/>
          <w:bottom w:val="single" w:sz="24" w:space="0" w:color="28AAE1"/>
          <w:right w:val="nil"/>
          <w:insideH w:val="nil"/>
          <w:insideV w:val="nil"/>
        </w:tcBorders>
        <w:shd w:val="clear" w:color="auto" w:fill="FFFFFF"/>
      </w:tcPr>
    </w:tblStylePr>
    <w:tblStylePr w:type="lastRow">
      <w:rPr>
        <w:rFonts w:cs="Times New Roman"/>
      </w:rPr>
      <w:tblPr/>
      <w:tcPr>
        <w:tcBorders>
          <w:top w:val="single" w:sz="8" w:space="0" w:color="28AAE1"/>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28AAE1"/>
          <w:insideH w:val="nil"/>
          <w:insideV w:val="nil"/>
        </w:tcBorders>
        <w:shd w:val="clear" w:color="auto" w:fill="FFFFFF"/>
      </w:tcPr>
    </w:tblStylePr>
    <w:tblStylePr w:type="lastCol">
      <w:rPr>
        <w:rFonts w:cs="Times New Roman"/>
      </w:rPr>
      <w:tblPr/>
      <w:tcPr>
        <w:tcBorders>
          <w:top w:val="nil"/>
          <w:left w:val="single" w:sz="8" w:space="0" w:color="28AAE1"/>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9E9F7"/>
      </w:tcPr>
    </w:tblStylePr>
    <w:tblStylePr w:type="band1Horz">
      <w:rPr>
        <w:rFonts w:cs="Times New Roman"/>
      </w:rPr>
      <w:tblPr/>
      <w:tcPr>
        <w:tcBorders>
          <w:top w:val="nil"/>
          <w:bottom w:val="nil"/>
          <w:insideH w:val="nil"/>
          <w:insideV w:val="nil"/>
        </w:tcBorders>
        <w:shd w:val="clear" w:color="auto" w:fill="C9E9F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lista2akcent3">
    <w:name w:val="Medium List 2 Accent 3"/>
    <w:basedOn w:val="Standardowy"/>
    <w:uiPriority w:val="99"/>
    <w:semiHidden/>
    <w:rsid w:val="006A7CE0"/>
    <w:rPr>
      <w:rFonts w:eastAsia="MS Gothic"/>
      <w:color w:val="000000"/>
      <w:sz w:val="20"/>
      <w:szCs w:val="20"/>
    </w:rPr>
    <w:tblPr>
      <w:tblStyleRowBandSize w:val="1"/>
      <w:tblStyleColBandSize w:val="1"/>
      <w:tblBorders>
        <w:top w:val="single" w:sz="8" w:space="0" w:color="F05023"/>
        <w:left w:val="single" w:sz="8" w:space="0" w:color="F05023"/>
        <w:bottom w:val="single" w:sz="8" w:space="0" w:color="F05023"/>
        <w:right w:val="single" w:sz="8" w:space="0" w:color="F05023"/>
      </w:tblBorders>
    </w:tblPr>
    <w:tblStylePr w:type="firstRow">
      <w:rPr>
        <w:rFonts w:cs="Times New Roman"/>
        <w:sz w:val="24"/>
        <w:szCs w:val="24"/>
      </w:rPr>
      <w:tblPr/>
      <w:tcPr>
        <w:tcBorders>
          <w:top w:val="nil"/>
          <w:left w:val="nil"/>
          <w:bottom w:val="single" w:sz="24" w:space="0" w:color="F05023"/>
          <w:right w:val="nil"/>
          <w:insideH w:val="nil"/>
          <w:insideV w:val="nil"/>
        </w:tcBorders>
        <w:shd w:val="clear" w:color="auto" w:fill="FFFFFF"/>
      </w:tcPr>
    </w:tblStylePr>
    <w:tblStylePr w:type="lastRow">
      <w:rPr>
        <w:rFonts w:cs="Times New Roman"/>
      </w:rPr>
      <w:tblPr/>
      <w:tcPr>
        <w:tcBorders>
          <w:top w:val="single" w:sz="8" w:space="0" w:color="F05023"/>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05023"/>
          <w:insideH w:val="nil"/>
          <w:insideV w:val="nil"/>
        </w:tcBorders>
        <w:shd w:val="clear" w:color="auto" w:fill="FFFFFF"/>
      </w:tcPr>
    </w:tblStylePr>
    <w:tblStylePr w:type="lastCol">
      <w:rPr>
        <w:rFonts w:cs="Times New Roman"/>
      </w:rPr>
      <w:tblPr/>
      <w:tcPr>
        <w:tcBorders>
          <w:top w:val="nil"/>
          <w:left w:val="single" w:sz="8" w:space="0" w:color="F05023"/>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BD3C8"/>
      </w:tcPr>
    </w:tblStylePr>
    <w:tblStylePr w:type="band1Horz">
      <w:rPr>
        <w:rFonts w:cs="Times New Roman"/>
      </w:rPr>
      <w:tblPr/>
      <w:tcPr>
        <w:tcBorders>
          <w:top w:val="nil"/>
          <w:bottom w:val="nil"/>
          <w:insideH w:val="nil"/>
          <w:insideV w:val="nil"/>
        </w:tcBorders>
        <w:shd w:val="clear" w:color="auto" w:fill="FBD3C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lista2akcent4">
    <w:name w:val="Medium List 2 Accent 4"/>
    <w:basedOn w:val="Standardowy"/>
    <w:uiPriority w:val="99"/>
    <w:semiHidden/>
    <w:rsid w:val="006A7CE0"/>
    <w:rPr>
      <w:rFonts w:eastAsia="MS Gothic"/>
      <w:color w:val="000000"/>
      <w:sz w:val="20"/>
      <w:szCs w:val="20"/>
    </w:rPr>
    <w:tblPr>
      <w:tblStyleRowBandSize w:val="1"/>
      <w:tblStyleColBandSize w:val="1"/>
      <w:tblBorders>
        <w:top w:val="single" w:sz="8" w:space="0" w:color="696EB4"/>
        <w:left w:val="single" w:sz="8" w:space="0" w:color="696EB4"/>
        <w:bottom w:val="single" w:sz="8" w:space="0" w:color="696EB4"/>
        <w:right w:val="single" w:sz="8" w:space="0" w:color="696EB4"/>
      </w:tblBorders>
    </w:tblPr>
    <w:tblStylePr w:type="firstRow">
      <w:rPr>
        <w:rFonts w:cs="Times New Roman"/>
        <w:sz w:val="24"/>
        <w:szCs w:val="24"/>
      </w:rPr>
      <w:tblPr/>
      <w:tcPr>
        <w:tcBorders>
          <w:top w:val="nil"/>
          <w:left w:val="nil"/>
          <w:bottom w:val="single" w:sz="24" w:space="0" w:color="696EB4"/>
          <w:right w:val="nil"/>
          <w:insideH w:val="nil"/>
          <w:insideV w:val="nil"/>
        </w:tcBorders>
        <w:shd w:val="clear" w:color="auto" w:fill="FFFFFF"/>
      </w:tcPr>
    </w:tblStylePr>
    <w:tblStylePr w:type="lastRow">
      <w:rPr>
        <w:rFonts w:cs="Times New Roman"/>
      </w:rPr>
      <w:tblPr/>
      <w:tcPr>
        <w:tcBorders>
          <w:top w:val="single" w:sz="8" w:space="0" w:color="696EB4"/>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696EB4"/>
          <w:insideH w:val="nil"/>
          <w:insideV w:val="nil"/>
        </w:tcBorders>
        <w:shd w:val="clear" w:color="auto" w:fill="FFFFFF"/>
      </w:tcPr>
    </w:tblStylePr>
    <w:tblStylePr w:type="lastCol">
      <w:rPr>
        <w:rFonts w:cs="Times New Roman"/>
      </w:rPr>
      <w:tblPr/>
      <w:tcPr>
        <w:tcBorders>
          <w:top w:val="nil"/>
          <w:left w:val="single" w:sz="8" w:space="0" w:color="696EB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9DBEC"/>
      </w:tcPr>
    </w:tblStylePr>
    <w:tblStylePr w:type="band1Horz">
      <w:rPr>
        <w:rFonts w:cs="Times New Roman"/>
      </w:rPr>
      <w:tblPr/>
      <w:tcPr>
        <w:tcBorders>
          <w:top w:val="nil"/>
          <w:bottom w:val="nil"/>
          <w:insideH w:val="nil"/>
          <w:insideV w:val="nil"/>
        </w:tcBorders>
        <w:shd w:val="clear" w:color="auto" w:fill="D9DBEC"/>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lista2akcent5">
    <w:name w:val="Medium List 2 Accent 5"/>
    <w:basedOn w:val="Standardowy"/>
    <w:uiPriority w:val="99"/>
    <w:semiHidden/>
    <w:rsid w:val="006A7CE0"/>
    <w:rPr>
      <w:rFonts w:eastAsia="MS Gothic"/>
      <w:color w:val="000000"/>
      <w:sz w:val="20"/>
      <w:szCs w:val="20"/>
    </w:rPr>
    <w:tblPr>
      <w:tblStyleRowBandSize w:val="1"/>
      <w:tblStyleColBandSize w:val="1"/>
      <w:tblBorders>
        <w:top w:val="single" w:sz="8" w:space="0" w:color="FA9B1E"/>
        <w:left w:val="single" w:sz="8" w:space="0" w:color="FA9B1E"/>
        <w:bottom w:val="single" w:sz="8" w:space="0" w:color="FA9B1E"/>
        <w:right w:val="single" w:sz="8" w:space="0" w:color="FA9B1E"/>
      </w:tblBorders>
    </w:tblPr>
    <w:tblStylePr w:type="firstRow">
      <w:rPr>
        <w:rFonts w:cs="Times New Roman"/>
        <w:sz w:val="24"/>
        <w:szCs w:val="24"/>
      </w:rPr>
      <w:tblPr/>
      <w:tcPr>
        <w:tcBorders>
          <w:top w:val="nil"/>
          <w:left w:val="nil"/>
          <w:bottom w:val="single" w:sz="24" w:space="0" w:color="FA9B1E"/>
          <w:right w:val="nil"/>
          <w:insideH w:val="nil"/>
          <w:insideV w:val="nil"/>
        </w:tcBorders>
        <w:shd w:val="clear" w:color="auto" w:fill="FFFFFF"/>
      </w:tcPr>
    </w:tblStylePr>
    <w:tblStylePr w:type="lastRow">
      <w:rPr>
        <w:rFonts w:cs="Times New Roman"/>
      </w:rPr>
      <w:tblPr/>
      <w:tcPr>
        <w:tcBorders>
          <w:top w:val="single" w:sz="8" w:space="0" w:color="FA9B1E"/>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A9B1E"/>
          <w:insideH w:val="nil"/>
          <w:insideV w:val="nil"/>
        </w:tcBorders>
        <w:shd w:val="clear" w:color="auto" w:fill="FFFFFF"/>
      </w:tcPr>
    </w:tblStylePr>
    <w:tblStylePr w:type="lastCol">
      <w:rPr>
        <w:rFonts w:cs="Times New Roman"/>
      </w:rPr>
      <w:tblPr/>
      <w:tcPr>
        <w:tcBorders>
          <w:top w:val="nil"/>
          <w:left w:val="single" w:sz="8" w:space="0" w:color="FA9B1E"/>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6C7"/>
      </w:tcPr>
    </w:tblStylePr>
    <w:tblStylePr w:type="band1Horz">
      <w:rPr>
        <w:rFonts w:cs="Times New Roman"/>
      </w:rPr>
      <w:tblPr/>
      <w:tcPr>
        <w:tcBorders>
          <w:top w:val="nil"/>
          <w:bottom w:val="nil"/>
          <w:insideH w:val="nil"/>
          <w:insideV w:val="nil"/>
        </w:tcBorders>
        <w:shd w:val="clear" w:color="auto" w:fill="FDE6C7"/>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lista2akcent6">
    <w:name w:val="Medium List 2 Accent 6"/>
    <w:basedOn w:val="Standardowy"/>
    <w:uiPriority w:val="99"/>
    <w:semiHidden/>
    <w:rsid w:val="006A7CE0"/>
    <w:rPr>
      <w:rFonts w:eastAsia="MS Gothic"/>
      <w:color w:val="000000"/>
      <w:sz w:val="20"/>
      <w:szCs w:val="20"/>
    </w:rPr>
    <w:tblPr>
      <w:tblStyleRowBandSize w:val="1"/>
      <w:tblStyleColBandSize w:val="1"/>
      <w:tblBorders>
        <w:top w:val="single" w:sz="8" w:space="0" w:color="28AF73"/>
        <w:left w:val="single" w:sz="8" w:space="0" w:color="28AF73"/>
        <w:bottom w:val="single" w:sz="8" w:space="0" w:color="28AF73"/>
        <w:right w:val="single" w:sz="8" w:space="0" w:color="28AF73"/>
      </w:tblBorders>
    </w:tblPr>
    <w:tblStylePr w:type="firstRow">
      <w:rPr>
        <w:rFonts w:cs="Times New Roman"/>
        <w:sz w:val="24"/>
        <w:szCs w:val="24"/>
      </w:rPr>
      <w:tblPr/>
      <w:tcPr>
        <w:tcBorders>
          <w:top w:val="nil"/>
          <w:left w:val="nil"/>
          <w:bottom w:val="single" w:sz="24" w:space="0" w:color="28AF73"/>
          <w:right w:val="nil"/>
          <w:insideH w:val="nil"/>
          <w:insideV w:val="nil"/>
        </w:tcBorders>
        <w:shd w:val="clear" w:color="auto" w:fill="FFFFFF"/>
      </w:tcPr>
    </w:tblStylePr>
    <w:tblStylePr w:type="lastRow">
      <w:rPr>
        <w:rFonts w:cs="Times New Roman"/>
      </w:rPr>
      <w:tblPr/>
      <w:tcPr>
        <w:tcBorders>
          <w:top w:val="single" w:sz="8" w:space="0" w:color="28AF73"/>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28AF73"/>
          <w:insideH w:val="nil"/>
          <w:insideV w:val="nil"/>
        </w:tcBorders>
        <w:shd w:val="clear" w:color="auto" w:fill="FFFFFF"/>
      </w:tcPr>
    </w:tblStylePr>
    <w:tblStylePr w:type="lastCol">
      <w:rPr>
        <w:rFonts w:cs="Times New Roman"/>
      </w:rPr>
      <w:tblPr/>
      <w:tcPr>
        <w:tcBorders>
          <w:top w:val="nil"/>
          <w:left w:val="single" w:sz="8" w:space="0" w:color="28AF73"/>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3F1DC"/>
      </w:tcPr>
    </w:tblStylePr>
    <w:tblStylePr w:type="band1Horz">
      <w:rPr>
        <w:rFonts w:cs="Times New Roman"/>
      </w:rPr>
      <w:tblPr/>
      <w:tcPr>
        <w:tcBorders>
          <w:top w:val="nil"/>
          <w:bottom w:val="nil"/>
          <w:insideH w:val="nil"/>
          <w:insideV w:val="nil"/>
        </w:tcBorders>
        <w:shd w:val="clear" w:color="auto" w:fill="C3F1DC"/>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redniasiatka1">
    <w:name w:val="Medium Grid 1"/>
    <w:basedOn w:val="Standardowy"/>
    <w:uiPriority w:val="99"/>
    <w:semiHidden/>
    <w:rsid w:val="006A7CE0"/>
    <w:rPr>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redniasiatka1akcent1">
    <w:name w:val="Medium Grid 1 Accent 1"/>
    <w:basedOn w:val="Standardowy"/>
    <w:uiPriority w:val="99"/>
    <w:semiHidden/>
    <w:rsid w:val="006A7CE0"/>
    <w:rPr>
      <w:sz w:val="20"/>
      <w:szCs w:val="20"/>
    </w:rPr>
    <w:tblPr>
      <w:tblStyleRowBandSize w:val="1"/>
      <w:tblStyleColBandSize w:val="1"/>
      <w:tblBorders>
        <w:top w:val="single" w:sz="8" w:space="0" w:color="DD619D"/>
        <w:left w:val="single" w:sz="8" w:space="0" w:color="DD619D"/>
        <w:bottom w:val="single" w:sz="8" w:space="0" w:color="DD619D"/>
        <w:right w:val="single" w:sz="8" w:space="0" w:color="DD619D"/>
        <w:insideH w:val="single" w:sz="8" w:space="0" w:color="DD619D"/>
        <w:insideV w:val="single" w:sz="8" w:space="0" w:color="DD619D"/>
      </w:tblBorders>
    </w:tblPr>
    <w:tcPr>
      <w:shd w:val="clear" w:color="auto" w:fill="F4CBDE"/>
    </w:tcPr>
    <w:tblStylePr w:type="firstRow">
      <w:rPr>
        <w:rFonts w:cs="Times New Roman"/>
        <w:b/>
        <w:bCs/>
      </w:rPr>
    </w:tblStylePr>
    <w:tblStylePr w:type="lastRow">
      <w:rPr>
        <w:rFonts w:cs="Times New Roman"/>
        <w:b/>
        <w:bCs/>
      </w:rPr>
      <w:tblPr/>
      <w:tcPr>
        <w:tcBorders>
          <w:top w:val="single" w:sz="18" w:space="0" w:color="DD619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96BE"/>
      </w:tcPr>
    </w:tblStylePr>
    <w:tblStylePr w:type="band1Horz">
      <w:rPr>
        <w:rFonts w:cs="Times New Roman"/>
      </w:rPr>
      <w:tblPr/>
      <w:tcPr>
        <w:shd w:val="clear" w:color="auto" w:fill="E896BE"/>
      </w:tcPr>
    </w:tblStylePr>
  </w:style>
  <w:style w:type="table" w:styleId="redniasiatka1akcent2">
    <w:name w:val="Medium Grid 1 Accent 2"/>
    <w:basedOn w:val="Standardowy"/>
    <w:uiPriority w:val="99"/>
    <w:semiHidden/>
    <w:rsid w:val="006A7CE0"/>
    <w:rPr>
      <w:sz w:val="20"/>
      <w:szCs w:val="20"/>
    </w:rPr>
    <w:tblPr>
      <w:tblStyleRowBandSize w:val="1"/>
      <w:tblStyleColBandSize w:val="1"/>
      <w:tblBorders>
        <w:top w:val="single" w:sz="8" w:space="0" w:color="5DBFE8"/>
        <w:left w:val="single" w:sz="8" w:space="0" w:color="5DBFE8"/>
        <w:bottom w:val="single" w:sz="8" w:space="0" w:color="5DBFE8"/>
        <w:right w:val="single" w:sz="8" w:space="0" w:color="5DBFE8"/>
        <w:insideH w:val="single" w:sz="8" w:space="0" w:color="5DBFE8"/>
        <w:insideV w:val="single" w:sz="8" w:space="0" w:color="5DBFE8"/>
      </w:tblBorders>
    </w:tblPr>
    <w:tcPr>
      <w:shd w:val="clear" w:color="auto" w:fill="C9E9F7"/>
    </w:tcPr>
    <w:tblStylePr w:type="firstRow">
      <w:rPr>
        <w:rFonts w:cs="Times New Roman"/>
        <w:b/>
        <w:bCs/>
      </w:rPr>
    </w:tblStylePr>
    <w:tblStylePr w:type="lastRow">
      <w:rPr>
        <w:rFonts w:cs="Times New Roman"/>
        <w:b/>
        <w:bCs/>
      </w:rPr>
      <w:tblPr/>
      <w:tcPr>
        <w:tcBorders>
          <w:top w:val="single" w:sz="18" w:space="0" w:color="5DBFE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93D4F0"/>
      </w:tcPr>
    </w:tblStylePr>
    <w:tblStylePr w:type="band1Horz">
      <w:rPr>
        <w:rFonts w:cs="Times New Roman"/>
      </w:rPr>
      <w:tblPr/>
      <w:tcPr>
        <w:shd w:val="clear" w:color="auto" w:fill="93D4F0"/>
      </w:tcPr>
    </w:tblStylePr>
  </w:style>
  <w:style w:type="table" w:styleId="redniasiatka1akcent3">
    <w:name w:val="Medium Grid 1 Accent 3"/>
    <w:basedOn w:val="Standardowy"/>
    <w:uiPriority w:val="99"/>
    <w:semiHidden/>
    <w:rsid w:val="006A7CE0"/>
    <w:rPr>
      <w:sz w:val="20"/>
      <w:szCs w:val="20"/>
    </w:rPr>
    <w:tblPr>
      <w:tblStyleRowBandSize w:val="1"/>
      <w:tblStyleColBandSize w:val="1"/>
      <w:tblBorders>
        <w:top w:val="single" w:sz="8" w:space="0" w:color="F37B59"/>
        <w:left w:val="single" w:sz="8" w:space="0" w:color="F37B59"/>
        <w:bottom w:val="single" w:sz="8" w:space="0" w:color="F37B59"/>
        <w:right w:val="single" w:sz="8" w:space="0" w:color="F37B59"/>
        <w:insideH w:val="single" w:sz="8" w:space="0" w:color="F37B59"/>
        <w:insideV w:val="single" w:sz="8" w:space="0" w:color="F37B59"/>
      </w:tblBorders>
    </w:tblPr>
    <w:tcPr>
      <w:shd w:val="clear" w:color="auto" w:fill="FBD3C8"/>
    </w:tcPr>
    <w:tblStylePr w:type="firstRow">
      <w:rPr>
        <w:rFonts w:cs="Times New Roman"/>
        <w:b/>
        <w:bCs/>
      </w:rPr>
    </w:tblStylePr>
    <w:tblStylePr w:type="lastRow">
      <w:rPr>
        <w:rFonts w:cs="Times New Roman"/>
        <w:b/>
        <w:bCs/>
      </w:rPr>
      <w:tblPr/>
      <w:tcPr>
        <w:tcBorders>
          <w:top w:val="single" w:sz="18" w:space="0" w:color="F37B5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7A791"/>
      </w:tcPr>
    </w:tblStylePr>
    <w:tblStylePr w:type="band1Horz">
      <w:rPr>
        <w:rFonts w:cs="Times New Roman"/>
      </w:rPr>
      <w:tblPr/>
      <w:tcPr>
        <w:shd w:val="clear" w:color="auto" w:fill="F7A791"/>
      </w:tcPr>
    </w:tblStylePr>
  </w:style>
  <w:style w:type="table" w:styleId="redniasiatka1akcent4">
    <w:name w:val="Medium Grid 1 Accent 4"/>
    <w:basedOn w:val="Standardowy"/>
    <w:uiPriority w:val="99"/>
    <w:semiHidden/>
    <w:rsid w:val="006A7CE0"/>
    <w:rPr>
      <w:sz w:val="20"/>
      <w:szCs w:val="20"/>
    </w:rPr>
    <w:tblPr>
      <w:tblStyleRowBandSize w:val="1"/>
      <w:tblStyleColBandSize w:val="1"/>
      <w:tblBorders>
        <w:top w:val="single" w:sz="8" w:space="0" w:color="8E92C6"/>
        <w:left w:val="single" w:sz="8" w:space="0" w:color="8E92C6"/>
        <w:bottom w:val="single" w:sz="8" w:space="0" w:color="8E92C6"/>
        <w:right w:val="single" w:sz="8" w:space="0" w:color="8E92C6"/>
        <w:insideH w:val="single" w:sz="8" w:space="0" w:color="8E92C6"/>
        <w:insideV w:val="single" w:sz="8" w:space="0" w:color="8E92C6"/>
      </w:tblBorders>
    </w:tblPr>
    <w:tcPr>
      <w:shd w:val="clear" w:color="auto" w:fill="D9DBEC"/>
    </w:tcPr>
    <w:tblStylePr w:type="firstRow">
      <w:rPr>
        <w:rFonts w:cs="Times New Roman"/>
        <w:b/>
        <w:bCs/>
      </w:rPr>
    </w:tblStylePr>
    <w:tblStylePr w:type="lastRow">
      <w:rPr>
        <w:rFonts w:cs="Times New Roman"/>
        <w:b/>
        <w:bCs/>
      </w:rPr>
      <w:tblPr/>
      <w:tcPr>
        <w:tcBorders>
          <w:top w:val="single" w:sz="18" w:space="0" w:color="8E92C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4B6D9"/>
      </w:tcPr>
    </w:tblStylePr>
    <w:tblStylePr w:type="band1Horz">
      <w:rPr>
        <w:rFonts w:cs="Times New Roman"/>
      </w:rPr>
      <w:tblPr/>
      <w:tcPr>
        <w:shd w:val="clear" w:color="auto" w:fill="B4B6D9"/>
      </w:tcPr>
    </w:tblStylePr>
  </w:style>
  <w:style w:type="table" w:styleId="redniasiatka1akcent5">
    <w:name w:val="Medium Grid 1 Accent 5"/>
    <w:basedOn w:val="Standardowy"/>
    <w:uiPriority w:val="99"/>
    <w:semiHidden/>
    <w:rsid w:val="006A7CE0"/>
    <w:rPr>
      <w:sz w:val="20"/>
      <w:szCs w:val="20"/>
    </w:rPr>
    <w:tblPr>
      <w:tblStyleRowBandSize w:val="1"/>
      <w:tblStyleColBandSize w:val="1"/>
      <w:tblBorders>
        <w:top w:val="single" w:sz="8" w:space="0" w:color="FBB356"/>
        <w:left w:val="single" w:sz="8" w:space="0" w:color="FBB356"/>
        <w:bottom w:val="single" w:sz="8" w:space="0" w:color="FBB356"/>
        <w:right w:val="single" w:sz="8" w:space="0" w:color="FBB356"/>
        <w:insideH w:val="single" w:sz="8" w:space="0" w:color="FBB356"/>
        <w:insideV w:val="single" w:sz="8" w:space="0" w:color="FBB356"/>
      </w:tblBorders>
    </w:tblPr>
    <w:tcPr>
      <w:shd w:val="clear" w:color="auto" w:fill="FDE6C7"/>
    </w:tcPr>
    <w:tblStylePr w:type="firstRow">
      <w:rPr>
        <w:rFonts w:cs="Times New Roman"/>
        <w:b/>
        <w:bCs/>
      </w:rPr>
    </w:tblStylePr>
    <w:tblStylePr w:type="lastRow">
      <w:rPr>
        <w:rFonts w:cs="Times New Roman"/>
        <w:b/>
        <w:bCs/>
      </w:rPr>
      <w:tblPr/>
      <w:tcPr>
        <w:tcBorders>
          <w:top w:val="single" w:sz="18" w:space="0" w:color="FBB35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CC8E"/>
      </w:tcPr>
    </w:tblStylePr>
    <w:tblStylePr w:type="band1Horz">
      <w:rPr>
        <w:rFonts w:cs="Times New Roman"/>
      </w:rPr>
      <w:tblPr/>
      <w:tcPr>
        <w:shd w:val="clear" w:color="auto" w:fill="FCCC8E"/>
      </w:tcPr>
    </w:tblStylePr>
  </w:style>
  <w:style w:type="table" w:styleId="redniasiatka1akcent6">
    <w:name w:val="Medium Grid 1 Accent 6"/>
    <w:basedOn w:val="Standardowy"/>
    <w:uiPriority w:val="99"/>
    <w:semiHidden/>
    <w:rsid w:val="006A7CE0"/>
    <w:rPr>
      <w:sz w:val="20"/>
      <w:szCs w:val="20"/>
    </w:rPr>
    <w:tblPr>
      <w:tblStyleRowBandSize w:val="1"/>
      <w:tblStyleColBandSize w:val="1"/>
      <w:tblBorders>
        <w:top w:val="single" w:sz="8" w:space="0" w:color="4BD597"/>
        <w:left w:val="single" w:sz="8" w:space="0" w:color="4BD597"/>
        <w:bottom w:val="single" w:sz="8" w:space="0" w:color="4BD597"/>
        <w:right w:val="single" w:sz="8" w:space="0" w:color="4BD597"/>
        <w:insideH w:val="single" w:sz="8" w:space="0" w:color="4BD597"/>
        <w:insideV w:val="single" w:sz="8" w:space="0" w:color="4BD597"/>
      </w:tblBorders>
    </w:tblPr>
    <w:tcPr>
      <w:shd w:val="clear" w:color="auto" w:fill="C3F1DC"/>
    </w:tcPr>
    <w:tblStylePr w:type="firstRow">
      <w:rPr>
        <w:rFonts w:cs="Times New Roman"/>
        <w:b/>
        <w:bCs/>
      </w:rPr>
    </w:tblStylePr>
    <w:tblStylePr w:type="lastRow">
      <w:rPr>
        <w:rFonts w:cs="Times New Roman"/>
        <w:b/>
        <w:bCs/>
      </w:rPr>
      <w:tblPr/>
      <w:tcPr>
        <w:tcBorders>
          <w:top w:val="single" w:sz="18" w:space="0" w:color="4BD59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7E3BA"/>
      </w:tcPr>
    </w:tblStylePr>
    <w:tblStylePr w:type="band1Horz">
      <w:rPr>
        <w:rFonts w:cs="Times New Roman"/>
      </w:rPr>
      <w:tblPr/>
      <w:tcPr>
        <w:shd w:val="clear" w:color="auto" w:fill="87E3BA"/>
      </w:tcPr>
    </w:tblStylePr>
  </w:style>
  <w:style w:type="table" w:styleId="redniasiatka2">
    <w:name w:val="Medium Grid 2"/>
    <w:basedOn w:val="Standardowy"/>
    <w:uiPriority w:val="99"/>
    <w:semiHidden/>
    <w:rsid w:val="006A7CE0"/>
    <w:rPr>
      <w:rFonts w:eastAsia="MS Gothic"/>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redniasiatka2akcent1">
    <w:name w:val="Medium Grid 2 Accent 1"/>
    <w:basedOn w:val="Standardowy"/>
    <w:uiPriority w:val="99"/>
    <w:semiHidden/>
    <w:rsid w:val="006A7CE0"/>
    <w:rPr>
      <w:rFonts w:eastAsia="MS Gothic"/>
      <w:color w:val="000000"/>
      <w:sz w:val="20"/>
      <w:szCs w:val="20"/>
    </w:rPr>
    <w:tblPr>
      <w:tblStyleRowBandSize w:val="1"/>
      <w:tblStyleColBandSize w:val="1"/>
      <w:tblBorders>
        <w:top w:val="single" w:sz="8" w:space="0" w:color="D22D7D"/>
        <w:left w:val="single" w:sz="8" w:space="0" w:color="D22D7D"/>
        <w:bottom w:val="single" w:sz="8" w:space="0" w:color="D22D7D"/>
        <w:right w:val="single" w:sz="8" w:space="0" w:color="D22D7D"/>
        <w:insideH w:val="single" w:sz="8" w:space="0" w:color="D22D7D"/>
        <w:insideV w:val="single" w:sz="8" w:space="0" w:color="D22D7D"/>
      </w:tblBorders>
    </w:tblPr>
    <w:tcPr>
      <w:shd w:val="clear" w:color="auto" w:fill="F4CBDE"/>
    </w:tcPr>
    <w:tblStylePr w:type="firstRow">
      <w:rPr>
        <w:rFonts w:cs="Times New Roman"/>
        <w:b/>
        <w:bCs/>
        <w:color w:val="000000"/>
      </w:rPr>
      <w:tblPr/>
      <w:tcPr>
        <w:shd w:val="clear" w:color="auto" w:fill="FAEAF2"/>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6D5E4"/>
      </w:tcPr>
    </w:tblStylePr>
    <w:tblStylePr w:type="band1Vert">
      <w:rPr>
        <w:rFonts w:cs="Times New Roman"/>
      </w:rPr>
      <w:tblPr/>
      <w:tcPr>
        <w:shd w:val="clear" w:color="auto" w:fill="E896BE"/>
      </w:tcPr>
    </w:tblStylePr>
    <w:tblStylePr w:type="band1Horz">
      <w:rPr>
        <w:rFonts w:cs="Times New Roman"/>
      </w:rPr>
      <w:tblPr/>
      <w:tcPr>
        <w:tcBorders>
          <w:insideH w:val="single" w:sz="6" w:space="0" w:color="D22D7D"/>
          <w:insideV w:val="single" w:sz="6" w:space="0" w:color="D22D7D"/>
        </w:tcBorders>
        <w:shd w:val="clear" w:color="auto" w:fill="E896BE"/>
      </w:tcPr>
    </w:tblStylePr>
    <w:tblStylePr w:type="nwCell">
      <w:rPr>
        <w:rFonts w:cs="Times New Roman"/>
      </w:rPr>
      <w:tblPr/>
      <w:tcPr>
        <w:shd w:val="clear" w:color="auto" w:fill="FFFFFF"/>
      </w:tcPr>
    </w:tblStylePr>
  </w:style>
  <w:style w:type="table" w:styleId="redniasiatka2akcent2">
    <w:name w:val="Medium Grid 2 Accent 2"/>
    <w:basedOn w:val="Standardowy"/>
    <w:uiPriority w:val="99"/>
    <w:semiHidden/>
    <w:rsid w:val="006A7CE0"/>
    <w:rPr>
      <w:rFonts w:eastAsia="MS Gothic"/>
      <w:color w:val="000000"/>
      <w:sz w:val="20"/>
      <w:szCs w:val="20"/>
    </w:rPr>
    <w:tblPr>
      <w:tblStyleRowBandSize w:val="1"/>
      <w:tblStyleColBandSize w:val="1"/>
      <w:tblBorders>
        <w:top w:val="single" w:sz="8" w:space="0" w:color="28AAE1"/>
        <w:left w:val="single" w:sz="8" w:space="0" w:color="28AAE1"/>
        <w:bottom w:val="single" w:sz="8" w:space="0" w:color="28AAE1"/>
        <w:right w:val="single" w:sz="8" w:space="0" w:color="28AAE1"/>
        <w:insideH w:val="single" w:sz="8" w:space="0" w:color="28AAE1"/>
        <w:insideV w:val="single" w:sz="8" w:space="0" w:color="28AAE1"/>
      </w:tblBorders>
    </w:tblPr>
    <w:tcPr>
      <w:shd w:val="clear" w:color="auto" w:fill="C9E9F7"/>
    </w:tcPr>
    <w:tblStylePr w:type="firstRow">
      <w:rPr>
        <w:rFonts w:cs="Times New Roman"/>
        <w:b/>
        <w:bCs/>
        <w:color w:val="000000"/>
      </w:rPr>
      <w:tblPr/>
      <w:tcPr>
        <w:shd w:val="clear" w:color="auto" w:fill="E9F6F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4EDF9"/>
      </w:tcPr>
    </w:tblStylePr>
    <w:tblStylePr w:type="band1Vert">
      <w:rPr>
        <w:rFonts w:cs="Times New Roman"/>
      </w:rPr>
      <w:tblPr/>
      <w:tcPr>
        <w:shd w:val="clear" w:color="auto" w:fill="93D4F0"/>
      </w:tcPr>
    </w:tblStylePr>
    <w:tblStylePr w:type="band1Horz">
      <w:rPr>
        <w:rFonts w:cs="Times New Roman"/>
      </w:rPr>
      <w:tblPr/>
      <w:tcPr>
        <w:tcBorders>
          <w:insideH w:val="single" w:sz="6" w:space="0" w:color="28AAE1"/>
          <w:insideV w:val="single" w:sz="6" w:space="0" w:color="28AAE1"/>
        </w:tcBorders>
        <w:shd w:val="clear" w:color="auto" w:fill="93D4F0"/>
      </w:tcPr>
    </w:tblStylePr>
    <w:tblStylePr w:type="nwCell">
      <w:rPr>
        <w:rFonts w:cs="Times New Roman"/>
      </w:rPr>
      <w:tblPr/>
      <w:tcPr>
        <w:shd w:val="clear" w:color="auto" w:fill="FFFFFF"/>
      </w:tcPr>
    </w:tblStylePr>
  </w:style>
  <w:style w:type="table" w:styleId="redniasiatka2akcent3">
    <w:name w:val="Medium Grid 2 Accent 3"/>
    <w:basedOn w:val="Standardowy"/>
    <w:uiPriority w:val="99"/>
    <w:semiHidden/>
    <w:rsid w:val="006A7CE0"/>
    <w:rPr>
      <w:rFonts w:eastAsia="MS Gothic"/>
      <w:color w:val="000000"/>
      <w:sz w:val="20"/>
      <w:szCs w:val="20"/>
    </w:rPr>
    <w:tblPr>
      <w:tblStyleRowBandSize w:val="1"/>
      <w:tblStyleColBandSize w:val="1"/>
      <w:tblBorders>
        <w:top w:val="single" w:sz="8" w:space="0" w:color="F05023"/>
        <w:left w:val="single" w:sz="8" w:space="0" w:color="F05023"/>
        <w:bottom w:val="single" w:sz="8" w:space="0" w:color="F05023"/>
        <w:right w:val="single" w:sz="8" w:space="0" w:color="F05023"/>
        <w:insideH w:val="single" w:sz="8" w:space="0" w:color="F05023"/>
        <w:insideV w:val="single" w:sz="8" w:space="0" w:color="F05023"/>
      </w:tblBorders>
    </w:tblPr>
    <w:tcPr>
      <w:shd w:val="clear" w:color="auto" w:fill="FBD3C8"/>
    </w:tcPr>
    <w:tblStylePr w:type="firstRow">
      <w:rPr>
        <w:rFonts w:cs="Times New Roman"/>
        <w:b/>
        <w:bCs/>
        <w:color w:val="000000"/>
      </w:rPr>
      <w:tblPr/>
      <w:tcPr>
        <w:shd w:val="clear" w:color="auto" w:fill="FDEDE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CDBD3"/>
      </w:tcPr>
    </w:tblStylePr>
    <w:tblStylePr w:type="band1Vert">
      <w:rPr>
        <w:rFonts w:cs="Times New Roman"/>
      </w:rPr>
      <w:tblPr/>
      <w:tcPr>
        <w:shd w:val="clear" w:color="auto" w:fill="F7A791"/>
      </w:tcPr>
    </w:tblStylePr>
    <w:tblStylePr w:type="band1Horz">
      <w:rPr>
        <w:rFonts w:cs="Times New Roman"/>
      </w:rPr>
      <w:tblPr/>
      <w:tcPr>
        <w:tcBorders>
          <w:insideH w:val="single" w:sz="6" w:space="0" w:color="F05023"/>
          <w:insideV w:val="single" w:sz="6" w:space="0" w:color="F05023"/>
        </w:tcBorders>
        <w:shd w:val="clear" w:color="auto" w:fill="F7A791"/>
      </w:tcPr>
    </w:tblStylePr>
    <w:tblStylePr w:type="nwCell">
      <w:rPr>
        <w:rFonts w:cs="Times New Roman"/>
      </w:rPr>
      <w:tblPr/>
      <w:tcPr>
        <w:shd w:val="clear" w:color="auto" w:fill="FFFFFF"/>
      </w:tcPr>
    </w:tblStylePr>
  </w:style>
  <w:style w:type="table" w:styleId="redniasiatka2akcent4">
    <w:name w:val="Medium Grid 2 Accent 4"/>
    <w:basedOn w:val="Standardowy"/>
    <w:uiPriority w:val="99"/>
    <w:semiHidden/>
    <w:rsid w:val="006A7CE0"/>
    <w:rPr>
      <w:rFonts w:eastAsia="MS Gothic"/>
      <w:color w:val="000000"/>
      <w:sz w:val="20"/>
      <w:szCs w:val="20"/>
    </w:rPr>
    <w:tblPr>
      <w:tblStyleRowBandSize w:val="1"/>
      <w:tblStyleColBandSize w:val="1"/>
      <w:tblBorders>
        <w:top w:val="single" w:sz="8" w:space="0" w:color="696EB4"/>
        <w:left w:val="single" w:sz="8" w:space="0" w:color="696EB4"/>
        <w:bottom w:val="single" w:sz="8" w:space="0" w:color="696EB4"/>
        <w:right w:val="single" w:sz="8" w:space="0" w:color="696EB4"/>
        <w:insideH w:val="single" w:sz="8" w:space="0" w:color="696EB4"/>
        <w:insideV w:val="single" w:sz="8" w:space="0" w:color="696EB4"/>
      </w:tblBorders>
    </w:tblPr>
    <w:tcPr>
      <w:shd w:val="clear" w:color="auto" w:fill="D9DBEC"/>
    </w:tcPr>
    <w:tblStylePr w:type="firstRow">
      <w:rPr>
        <w:rFonts w:cs="Times New Roman"/>
        <w:b/>
        <w:bCs/>
        <w:color w:val="000000"/>
      </w:rPr>
      <w:tblPr/>
      <w:tcPr>
        <w:shd w:val="clear" w:color="auto" w:fill="F0F0F7"/>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1E2F0"/>
      </w:tcPr>
    </w:tblStylePr>
    <w:tblStylePr w:type="band1Vert">
      <w:rPr>
        <w:rFonts w:cs="Times New Roman"/>
      </w:rPr>
      <w:tblPr/>
      <w:tcPr>
        <w:shd w:val="clear" w:color="auto" w:fill="B4B6D9"/>
      </w:tcPr>
    </w:tblStylePr>
    <w:tblStylePr w:type="band1Horz">
      <w:rPr>
        <w:rFonts w:cs="Times New Roman"/>
      </w:rPr>
      <w:tblPr/>
      <w:tcPr>
        <w:tcBorders>
          <w:insideH w:val="single" w:sz="6" w:space="0" w:color="696EB4"/>
          <w:insideV w:val="single" w:sz="6" w:space="0" w:color="696EB4"/>
        </w:tcBorders>
        <w:shd w:val="clear" w:color="auto" w:fill="B4B6D9"/>
      </w:tcPr>
    </w:tblStylePr>
    <w:tblStylePr w:type="nwCell">
      <w:rPr>
        <w:rFonts w:cs="Times New Roman"/>
      </w:rPr>
      <w:tblPr/>
      <w:tcPr>
        <w:shd w:val="clear" w:color="auto" w:fill="FFFFFF"/>
      </w:tcPr>
    </w:tblStylePr>
  </w:style>
  <w:style w:type="table" w:styleId="redniasiatka2akcent5">
    <w:name w:val="Medium Grid 2 Accent 5"/>
    <w:basedOn w:val="Standardowy"/>
    <w:uiPriority w:val="99"/>
    <w:semiHidden/>
    <w:rsid w:val="006A7CE0"/>
    <w:rPr>
      <w:rFonts w:eastAsia="MS Gothic"/>
      <w:color w:val="000000"/>
      <w:sz w:val="20"/>
      <w:szCs w:val="20"/>
    </w:rPr>
    <w:tblPr>
      <w:tblStyleRowBandSize w:val="1"/>
      <w:tblStyleColBandSize w:val="1"/>
      <w:tblBorders>
        <w:top w:val="single" w:sz="8" w:space="0" w:color="FA9B1E"/>
        <w:left w:val="single" w:sz="8" w:space="0" w:color="FA9B1E"/>
        <w:bottom w:val="single" w:sz="8" w:space="0" w:color="FA9B1E"/>
        <w:right w:val="single" w:sz="8" w:space="0" w:color="FA9B1E"/>
        <w:insideH w:val="single" w:sz="8" w:space="0" w:color="FA9B1E"/>
        <w:insideV w:val="single" w:sz="8" w:space="0" w:color="FA9B1E"/>
      </w:tblBorders>
    </w:tblPr>
    <w:tcPr>
      <w:shd w:val="clear" w:color="auto" w:fill="FDE6C7"/>
    </w:tcPr>
    <w:tblStylePr w:type="firstRow">
      <w:rPr>
        <w:rFonts w:cs="Times New Roman"/>
        <w:b/>
        <w:bCs/>
        <w:color w:val="000000"/>
      </w:rPr>
      <w:tblPr/>
      <w:tcPr>
        <w:shd w:val="clear" w:color="auto" w:fill="FEF5E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EEAD2"/>
      </w:tcPr>
    </w:tblStylePr>
    <w:tblStylePr w:type="band1Vert">
      <w:rPr>
        <w:rFonts w:cs="Times New Roman"/>
      </w:rPr>
      <w:tblPr/>
      <w:tcPr>
        <w:shd w:val="clear" w:color="auto" w:fill="FCCC8E"/>
      </w:tcPr>
    </w:tblStylePr>
    <w:tblStylePr w:type="band1Horz">
      <w:rPr>
        <w:rFonts w:cs="Times New Roman"/>
      </w:rPr>
      <w:tblPr/>
      <w:tcPr>
        <w:tcBorders>
          <w:insideH w:val="single" w:sz="6" w:space="0" w:color="FA9B1E"/>
          <w:insideV w:val="single" w:sz="6" w:space="0" w:color="FA9B1E"/>
        </w:tcBorders>
        <w:shd w:val="clear" w:color="auto" w:fill="FCCC8E"/>
      </w:tcPr>
    </w:tblStylePr>
    <w:tblStylePr w:type="nwCell">
      <w:rPr>
        <w:rFonts w:cs="Times New Roman"/>
      </w:rPr>
      <w:tblPr/>
      <w:tcPr>
        <w:shd w:val="clear" w:color="auto" w:fill="FFFFFF"/>
      </w:tcPr>
    </w:tblStylePr>
  </w:style>
  <w:style w:type="table" w:styleId="redniasiatka2akcent6">
    <w:name w:val="Medium Grid 2 Accent 6"/>
    <w:basedOn w:val="Standardowy"/>
    <w:uiPriority w:val="99"/>
    <w:semiHidden/>
    <w:rsid w:val="006A7CE0"/>
    <w:rPr>
      <w:rFonts w:eastAsia="MS Gothic"/>
      <w:color w:val="000000"/>
      <w:sz w:val="20"/>
      <w:szCs w:val="20"/>
    </w:rPr>
    <w:tblPr>
      <w:tblStyleRowBandSize w:val="1"/>
      <w:tblStyleColBandSize w:val="1"/>
      <w:tblBorders>
        <w:top w:val="single" w:sz="8" w:space="0" w:color="28AF73"/>
        <w:left w:val="single" w:sz="8" w:space="0" w:color="28AF73"/>
        <w:bottom w:val="single" w:sz="8" w:space="0" w:color="28AF73"/>
        <w:right w:val="single" w:sz="8" w:space="0" w:color="28AF73"/>
        <w:insideH w:val="single" w:sz="8" w:space="0" w:color="28AF73"/>
        <w:insideV w:val="single" w:sz="8" w:space="0" w:color="28AF73"/>
      </w:tblBorders>
    </w:tblPr>
    <w:tcPr>
      <w:shd w:val="clear" w:color="auto" w:fill="C3F1DC"/>
    </w:tcPr>
    <w:tblStylePr w:type="firstRow">
      <w:rPr>
        <w:rFonts w:cs="Times New Roman"/>
        <w:b/>
        <w:bCs/>
        <w:color w:val="000000"/>
      </w:rPr>
      <w:tblPr/>
      <w:tcPr>
        <w:shd w:val="clear" w:color="auto" w:fill="E7F9F1"/>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EF4E3"/>
      </w:tcPr>
    </w:tblStylePr>
    <w:tblStylePr w:type="band1Vert">
      <w:rPr>
        <w:rFonts w:cs="Times New Roman"/>
      </w:rPr>
      <w:tblPr/>
      <w:tcPr>
        <w:shd w:val="clear" w:color="auto" w:fill="87E3BA"/>
      </w:tcPr>
    </w:tblStylePr>
    <w:tblStylePr w:type="band1Horz">
      <w:rPr>
        <w:rFonts w:cs="Times New Roman"/>
      </w:rPr>
      <w:tblPr/>
      <w:tcPr>
        <w:tcBorders>
          <w:insideH w:val="single" w:sz="6" w:space="0" w:color="28AF73"/>
          <w:insideV w:val="single" w:sz="6" w:space="0" w:color="28AF73"/>
        </w:tcBorders>
        <w:shd w:val="clear" w:color="auto" w:fill="87E3BA"/>
      </w:tcPr>
    </w:tblStylePr>
    <w:tblStylePr w:type="nwCell">
      <w:rPr>
        <w:rFonts w:cs="Times New Roman"/>
      </w:rPr>
      <w:tblPr/>
      <w:tcPr>
        <w:shd w:val="clear" w:color="auto" w:fill="FFFFFF"/>
      </w:tcPr>
    </w:tblStylePr>
  </w:style>
  <w:style w:type="table" w:styleId="redniasiatka3">
    <w:name w:val="Medium Grid 3"/>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redniasiatka3akcent1">
    <w:name w:val="Medium Grid 3 Accent 1"/>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4CBD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D22D7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D22D7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D22D7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D22D7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E896B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896BE"/>
      </w:tcPr>
    </w:tblStylePr>
  </w:style>
  <w:style w:type="table" w:styleId="redniasiatka3akcent2">
    <w:name w:val="Medium Grid 3 Accent 2"/>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9E9F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8AAE1"/>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8AAE1"/>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28AAE1"/>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28AAE1"/>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93D4F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3D4F0"/>
      </w:tcPr>
    </w:tblStylePr>
  </w:style>
  <w:style w:type="table" w:styleId="redniasiatka3akcent3">
    <w:name w:val="Medium Grid 3 Accent 3"/>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BD3C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05023"/>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05023"/>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05023"/>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05023"/>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7A791"/>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7A791"/>
      </w:tcPr>
    </w:tblStylePr>
  </w:style>
  <w:style w:type="table" w:styleId="redniasiatka3akcent4">
    <w:name w:val="Medium Grid 3 Accent 4"/>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9DBEC"/>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96EB4"/>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96EB4"/>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696EB4"/>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696EB4"/>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4B6D9"/>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4B6D9"/>
      </w:tcPr>
    </w:tblStylePr>
  </w:style>
  <w:style w:type="table" w:styleId="redniasiatka3akcent5">
    <w:name w:val="Medium Grid 3 Accent 5"/>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6C7"/>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A9B1E"/>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A9B1E"/>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A9B1E"/>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A9B1E"/>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CCC8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CCC8E"/>
      </w:tcPr>
    </w:tblStylePr>
  </w:style>
  <w:style w:type="table" w:styleId="redniasiatka3akcent6">
    <w:name w:val="Medium Grid 3 Accent 6"/>
    <w:basedOn w:val="Standardowy"/>
    <w:uiPriority w:val="99"/>
    <w:semiHidden/>
    <w:rsid w:val="006A7CE0"/>
    <w:rPr>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3F1DC"/>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28AF73"/>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28AF73"/>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28AF73"/>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28AF73"/>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7E3B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7E3BA"/>
      </w:tcPr>
    </w:tblStylePr>
  </w:style>
  <w:style w:type="table" w:styleId="redniecieniowanie1">
    <w:name w:val="Medium Shading 1"/>
    <w:basedOn w:val="Standardowy"/>
    <w:uiPriority w:val="99"/>
    <w:semiHidden/>
    <w:rsid w:val="006A7CE0"/>
    <w:rPr>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redniecieniowanie1akcent1">
    <w:name w:val="Medium Shading 1 Accent 1"/>
    <w:basedOn w:val="Standardowy"/>
    <w:uiPriority w:val="99"/>
    <w:semiHidden/>
    <w:rsid w:val="006A7CE0"/>
    <w:rPr>
      <w:sz w:val="20"/>
      <w:szCs w:val="20"/>
    </w:rPr>
    <w:tblPr>
      <w:tblStyleRowBandSize w:val="1"/>
      <w:tblStyleColBandSize w:val="1"/>
      <w:tblBorders>
        <w:top w:val="single" w:sz="8" w:space="0" w:color="DD619D"/>
        <w:left w:val="single" w:sz="8" w:space="0" w:color="DD619D"/>
        <w:bottom w:val="single" w:sz="8" w:space="0" w:color="DD619D"/>
        <w:right w:val="single" w:sz="8" w:space="0" w:color="DD619D"/>
        <w:insideH w:val="single" w:sz="8" w:space="0" w:color="DD619D"/>
      </w:tblBorders>
    </w:tblPr>
    <w:tblStylePr w:type="firstRow">
      <w:pPr>
        <w:spacing w:before="0" w:after="0"/>
      </w:pPr>
      <w:rPr>
        <w:rFonts w:cs="Times New Roman"/>
        <w:b/>
        <w:bCs/>
        <w:color w:val="FFFFFF"/>
      </w:rPr>
      <w:tblPr/>
      <w:tcPr>
        <w:tcBorders>
          <w:top w:val="single" w:sz="8" w:space="0" w:color="DD619D"/>
          <w:left w:val="single" w:sz="8" w:space="0" w:color="DD619D"/>
          <w:bottom w:val="single" w:sz="8" w:space="0" w:color="DD619D"/>
          <w:right w:val="single" w:sz="8" w:space="0" w:color="DD619D"/>
          <w:insideH w:val="nil"/>
          <w:insideV w:val="nil"/>
        </w:tcBorders>
        <w:shd w:val="clear" w:color="auto" w:fill="D22D7D"/>
      </w:tcPr>
    </w:tblStylePr>
    <w:tblStylePr w:type="lastRow">
      <w:pPr>
        <w:spacing w:before="0" w:after="0"/>
      </w:pPr>
      <w:rPr>
        <w:rFonts w:cs="Times New Roman"/>
        <w:b/>
        <w:bCs/>
      </w:rPr>
      <w:tblPr/>
      <w:tcPr>
        <w:tcBorders>
          <w:top w:val="double" w:sz="6" w:space="0" w:color="DD619D"/>
          <w:left w:val="single" w:sz="8" w:space="0" w:color="DD619D"/>
          <w:bottom w:val="single" w:sz="8" w:space="0" w:color="DD619D"/>
          <w:right w:val="single" w:sz="8" w:space="0" w:color="DD619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4CBDE"/>
      </w:tcPr>
    </w:tblStylePr>
    <w:tblStylePr w:type="band1Horz">
      <w:rPr>
        <w:rFonts w:cs="Times New Roman"/>
      </w:rPr>
      <w:tblPr/>
      <w:tcPr>
        <w:tcBorders>
          <w:insideH w:val="nil"/>
          <w:insideV w:val="nil"/>
        </w:tcBorders>
        <w:shd w:val="clear" w:color="auto" w:fill="F4CBDE"/>
      </w:tcPr>
    </w:tblStylePr>
    <w:tblStylePr w:type="band2Horz">
      <w:rPr>
        <w:rFonts w:cs="Times New Roman"/>
      </w:rPr>
      <w:tblPr/>
      <w:tcPr>
        <w:tcBorders>
          <w:insideH w:val="nil"/>
          <w:insideV w:val="nil"/>
        </w:tcBorders>
      </w:tcPr>
    </w:tblStylePr>
  </w:style>
  <w:style w:type="table" w:styleId="redniecieniowanie1akcent2">
    <w:name w:val="Medium Shading 1 Accent 2"/>
    <w:basedOn w:val="Standardowy"/>
    <w:uiPriority w:val="99"/>
    <w:semiHidden/>
    <w:rsid w:val="006A7CE0"/>
    <w:rPr>
      <w:sz w:val="20"/>
      <w:szCs w:val="20"/>
    </w:rPr>
    <w:tblPr>
      <w:tblStyleRowBandSize w:val="1"/>
      <w:tblStyleColBandSize w:val="1"/>
      <w:tblBorders>
        <w:top w:val="single" w:sz="8" w:space="0" w:color="5DBFE8"/>
        <w:left w:val="single" w:sz="8" w:space="0" w:color="5DBFE8"/>
        <w:bottom w:val="single" w:sz="8" w:space="0" w:color="5DBFE8"/>
        <w:right w:val="single" w:sz="8" w:space="0" w:color="5DBFE8"/>
        <w:insideH w:val="single" w:sz="8" w:space="0" w:color="5DBFE8"/>
      </w:tblBorders>
    </w:tblPr>
    <w:tblStylePr w:type="firstRow">
      <w:pPr>
        <w:spacing w:before="0" w:after="0"/>
      </w:pPr>
      <w:rPr>
        <w:rFonts w:cs="Times New Roman"/>
        <w:b/>
        <w:bCs/>
        <w:color w:val="FFFFFF"/>
      </w:rPr>
      <w:tblPr/>
      <w:tcPr>
        <w:tcBorders>
          <w:top w:val="single" w:sz="8" w:space="0" w:color="5DBFE8"/>
          <w:left w:val="single" w:sz="8" w:space="0" w:color="5DBFE8"/>
          <w:bottom w:val="single" w:sz="8" w:space="0" w:color="5DBFE8"/>
          <w:right w:val="single" w:sz="8" w:space="0" w:color="5DBFE8"/>
          <w:insideH w:val="nil"/>
          <w:insideV w:val="nil"/>
        </w:tcBorders>
        <w:shd w:val="clear" w:color="auto" w:fill="28AAE1"/>
      </w:tcPr>
    </w:tblStylePr>
    <w:tblStylePr w:type="lastRow">
      <w:pPr>
        <w:spacing w:before="0" w:after="0"/>
      </w:pPr>
      <w:rPr>
        <w:rFonts w:cs="Times New Roman"/>
        <w:b/>
        <w:bCs/>
      </w:rPr>
      <w:tblPr/>
      <w:tcPr>
        <w:tcBorders>
          <w:top w:val="double" w:sz="6" w:space="0" w:color="5DBFE8"/>
          <w:left w:val="single" w:sz="8" w:space="0" w:color="5DBFE8"/>
          <w:bottom w:val="single" w:sz="8" w:space="0" w:color="5DBFE8"/>
          <w:right w:val="single" w:sz="8" w:space="0" w:color="5DBFE8"/>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9E9F7"/>
      </w:tcPr>
    </w:tblStylePr>
    <w:tblStylePr w:type="band1Horz">
      <w:rPr>
        <w:rFonts w:cs="Times New Roman"/>
      </w:rPr>
      <w:tblPr/>
      <w:tcPr>
        <w:tcBorders>
          <w:insideH w:val="nil"/>
          <w:insideV w:val="nil"/>
        </w:tcBorders>
        <w:shd w:val="clear" w:color="auto" w:fill="C9E9F7"/>
      </w:tcPr>
    </w:tblStylePr>
    <w:tblStylePr w:type="band2Horz">
      <w:rPr>
        <w:rFonts w:cs="Times New Roman"/>
      </w:rPr>
      <w:tblPr/>
      <w:tcPr>
        <w:tcBorders>
          <w:insideH w:val="nil"/>
          <w:insideV w:val="nil"/>
        </w:tcBorders>
      </w:tcPr>
    </w:tblStylePr>
  </w:style>
  <w:style w:type="table" w:styleId="redniecieniowanie1akcent3">
    <w:name w:val="Medium Shading 1 Accent 3"/>
    <w:basedOn w:val="Standardowy"/>
    <w:uiPriority w:val="99"/>
    <w:semiHidden/>
    <w:rsid w:val="006A7CE0"/>
    <w:rPr>
      <w:sz w:val="20"/>
      <w:szCs w:val="20"/>
    </w:rPr>
    <w:tblPr>
      <w:tblStyleRowBandSize w:val="1"/>
      <w:tblStyleColBandSize w:val="1"/>
      <w:tblBorders>
        <w:top w:val="single" w:sz="8" w:space="0" w:color="F37B59"/>
        <w:left w:val="single" w:sz="8" w:space="0" w:color="F37B59"/>
        <w:bottom w:val="single" w:sz="8" w:space="0" w:color="F37B59"/>
        <w:right w:val="single" w:sz="8" w:space="0" w:color="F37B59"/>
        <w:insideH w:val="single" w:sz="8" w:space="0" w:color="F37B59"/>
      </w:tblBorders>
    </w:tblPr>
    <w:tblStylePr w:type="firstRow">
      <w:pPr>
        <w:spacing w:before="0" w:after="0"/>
      </w:pPr>
      <w:rPr>
        <w:rFonts w:cs="Times New Roman"/>
        <w:b/>
        <w:bCs/>
        <w:color w:val="FFFFFF"/>
      </w:rPr>
      <w:tblPr/>
      <w:tcPr>
        <w:tcBorders>
          <w:top w:val="single" w:sz="8" w:space="0" w:color="F37B59"/>
          <w:left w:val="single" w:sz="8" w:space="0" w:color="F37B59"/>
          <w:bottom w:val="single" w:sz="8" w:space="0" w:color="F37B59"/>
          <w:right w:val="single" w:sz="8" w:space="0" w:color="F37B59"/>
          <w:insideH w:val="nil"/>
          <w:insideV w:val="nil"/>
        </w:tcBorders>
        <w:shd w:val="clear" w:color="auto" w:fill="F05023"/>
      </w:tcPr>
    </w:tblStylePr>
    <w:tblStylePr w:type="lastRow">
      <w:pPr>
        <w:spacing w:before="0" w:after="0"/>
      </w:pPr>
      <w:rPr>
        <w:rFonts w:cs="Times New Roman"/>
        <w:b/>
        <w:bCs/>
      </w:rPr>
      <w:tblPr/>
      <w:tcPr>
        <w:tcBorders>
          <w:top w:val="double" w:sz="6" w:space="0" w:color="F37B59"/>
          <w:left w:val="single" w:sz="8" w:space="0" w:color="F37B59"/>
          <w:bottom w:val="single" w:sz="8" w:space="0" w:color="F37B59"/>
          <w:right w:val="single" w:sz="8" w:space="0" w:color="F37B5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D3C8"/>
      </w:tcPr>
    </w:tblStylePr>
    <w:tblStylePr w:type="band1Horz">
      <w:rPr>
        <w:rFonts w:cs="Times New Roman"/>
      </w:rPr>
      <w:tblPr/>
      <w:tcPr>
        <w:tcBorders>
          <w:insideH w:val="nil"/>
          <w:insideV w:val="nil"/>
        </w:tcBorders>
        <w:shd w:val="clear" w:color="auto" w:fill="FBD3C8"/>
      </w:tcPr>
    </w:tblStylePr>
    <w:tblStylePr w:type="band2Horz">
      <w:rPr>
        <w:rFonts w:cs="Times New Roman"/>
      </w:rPr>
      <w:tblPr/>
      <w:tcPr>
        <w:tcBorders>
          <w:insideH w:val="nil"/>
          <w:insideV w:val="nil"/>
        </w:tcBorders>
      </w:tcPr>
    </w:tblStylePr>
  </w:style>
  <w:style w:type="table" w:styleId="redniecieniowanie1akcent4">
    <w:name w:val="Medium Shading 1 Accent 4"/>
    <w:basedOn w:val="Standardowy"/>
    <w:uiPriority w:val="99"/>
    <w:semiHidden/>
    <w:rsid w:val="006A7CE0"/>
    <w:rPr>
      <w:sz w:val="20"/>
      <w:szCs w:val="20"/>
    </w:rPr>
    <w:tblPr>
      <w:tblStyleRowBandSize w:val="1"/>
      <w:tblStyleColBandSize w:val="1"/>
      <w:tblBorders>
        <w:top w:val="single" w:sz="8" w:space="0" w:color="8E92C6"/>
        <w:left w:val="single" w:sz="8" w:space="0" w:color="8E92C6"/>
        <w:bottom w:val="single" w:sz="8" w:space="0" w:color="8E92C6"/>
        <w:right w:val="single" w:sz="8" w:space="0" w:color="8E92C6"/>
        <w:insideH w:val="single" w:sz="8" w:space="0" w:color="8E92C6"/>
      </w:tblBorders>
    </w:tblPr>
    <w:tblStylePr w:type="firstRow">
      <w:pPr>
        <w:spacing w:before="0" w:after="0"/>
      </w:pPr>
      <w:rPr>
        <w:rFonts w:cs="Times New Roman"/>
        <w:b/>
        <w:bCs/>
        <w:color w:val="FFFFFF"/>
      </w:rPr>
      <w:tblPr/>
      <w:tcPr>
        <w:tcBorders>
          <w:top w:val="single" w:sz="8" w:space="0" w:color="8E92C6"/>
          <w:left w:val="single" w:sz="8" w:space="0" w:color="8E92C6"/>
          <w:bottom w:val="single" w:sz="8" w:space="0" w:color="8E92C6"/>
          <w:right w:val="single" w:sz="8" w:space="0" w:color="8E92C6"/>
          <w:insideH w:val="nil"/>
          <w:insideV w:val="nil"/>
        </w:tcBorders>
        <w:shd w:val="clear" w:color="auto" w:fill="696EB4"/>
      </w:tcPr>
    </w:tblStylePr>
    <w:tblStylePr w:type="lastRow">
      <w:pPr>
        <w:spacing w:before="0" w:after="0"/>
      </w:pPr>
      <w:rPr>
        <w:rFonts w:cs="Times New Roman"/>
        <w:b/>
        <w:bCs/>
      </w:rPr>
      <w:tblPr/>
      <w:tcPr>
        <w:tcBorders>
          <w:top w:val="double" w:sz="6" w:space="0" w:color="8E92C6"/>
          <w:left w:val="single" w:sz="8" w:space="0" w:color="8E92C6"/>
          <w:bottom w:val="single" w:sz="8" w:space="0" w:color="8E92C6"/>
          <w:right w:val="single" w:sz="8" w:space="0" w:color="8E92C6"/>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DBEC"/>
      </w:tcPr>
    </w:tblStylePr>
    <w:tblStylePr w:type="band1Horz">
      <w:rPr>
        <w:rFonts w:cs="Times New Roman"/>
      </w:rPr>
      <w:tblPr/>
      <w:tcPr>
        <w:tcBorders>
          <w:insideH w:val="nil"/>
          <w:insideV w:val="nil"/>
        </w:tcBorders>
        <w:shd w:val="clear" w:color="auto" w:fill="D9DBEC"/>
      </w:tcPr>
    </w:tblStylePr>
    <w:tblStylePr w:type="band2Horz">
      <w:rPr>
        <w:rFonts w:cs="Times New Roman"/>
      </w:rPr>
      <w:tblPr/>
      <w:tcPr>
        <w:tcBorders>
          <w:insideH w:val="nil"/>
          <w:insideV w:val="nil"/>
        </w:tcBorders>
      </w:tcPr>
    </w:tblStylePr>
  </w:style>
  <w:style w:type="table" w:styleId="redniecieniowanie1akcent5">
    <w:name w:val="Medium Shading 1 Accent 5"/>
    <w:basedOn w:val="Standardowy"/>
    <w:uiPriority w:val="99"/>
    <w:semiHidden/>
    <w:rsid w:val="006A7CE0"/>
    <w:rPr>
      <w:sz w:val="20"/>
      <w:szCs w:val="20"/>
    </w:rPr>
    <w:tblPr>
      <w:tblStyleRowBandSize w:val="1"/>
      <w:tblStyleColBandSize w:val="1"/>
      <w:tblBorders>
        <w:top w:val="single" w:sz="8" w:space="0" w:color="FBB356"/>
        <w:left w:val="single" w:sz="8" w:space="0" w:color="FBB356"/>
        <w:bottom w:val="single" w:sz="8" w:space="0" w:color="FBB356"/>
        <w:right w:val="single" w:sz="8" w:space="0" w:color="FBB356"/>
        <w:insideH w:val="single" w:sz="8" w:space="0" w:color="FBB356"/>
      </w:tblBorders>
    </w:tblPr>
    <w:tblStylePr w:type="firstRow">
      <w:pPr>
        <w:spacing w:before="0" w:after="0"/>
      </w:pPr>
      <w:rPr>
        <w:rFonts w:cs="Times New Roman"/>
        <w:b/>
        <w:bCs/>
        <w:color w:val="FFFFFF"/>
      </w:rPr>
      <w:tblPr/>
      <w:tcPr>
        <w:tcBorders>
          <w:top w:val="single" w:sz="8" w:space="0" w:color="FBB356"/>
          <w:left w:val="single" w:sz="8" w:space="0" w:color="FBB356"/>
          <w:bottom w:val="single" w:sz="8" w:space="0" w:color="FBB356"/>
          <w:right w:val="single" w:sz="8" w:space="0" w:color="FBB356"/>
          <w:insideH w:val="nil"/>
          <w:insideV w:val="nil"/>
        </w:tcBorders>
        <w:shd w:val="clear" w:color="auto" w:fill="FA9B1E"/>
      </w:tcPr>
    </w:tblStylePr>
    <w:tblStylePr w:type="lastRow">
      <w:pPr>
        <w:spacing w:before="0" w:after="0"/>
      </w:pPr>
      <w:rPr>
        <w:rFonts w:cs="Times New Roman"/>
        <w:b/>
        <w:bCs/>
      </w:rPr>
      <w:tblPr/>
      <w:tcPr>
        <w:tcBorders>
          <w:top w:val="double" w:sz="6" w:space="0" w:color="FBB356"/>
          <w:left w:val="single" w:sz="8" w:space="0" w:color="FBB356"/>
          <w:bottom w:val="single" w:sz="8" w:space="0" w:color="FBB356"/>
          <w:right w:val="single" w:sz="8" w:space="0" w:color="FBB356"/>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6C7"/>
      </w:tcPr>
    </w:tblStylePr>
    <w:tblStylePr w:type="band1Horz">
      <w:rPr>
        <w:rFonts w:cs="Times New Roman"/>
      </w:rPr>
      <w:tblPr/>
      <w:tcPr>
        <w:tcBorders>
          <w:insideH w:val="nil"/>
          <w:insideV w:val="nil"/>
        </w:tcBorders>
        <w:shd w:val="clear" w:color="auto" w:fill="FDE6C7"/>
      </w:tcPr>
    </w:tblStylePr>
    <w:tblStylePr w:type="band2Horz">
      <w:rPr>
        <w:rFonts w:cs="Times New Roman"/>
      </w:rPr>
      <w:tblPr/>
      <w:tcPr>
        <w:tcBorders>
          <w:insideH w:val="nil"/>
          <w:insideV w:val="nil"/>
        </w:tcBorders>
      </w:tcPr>
    </w:tblStylePr>
  </w:style>
  <w:style w:type="table" w:styleId="redniecieniowanie1akcent6">
    <w:name w:val="Medium Shading 1 Accent 6"/>
    <w:basedOn w:val="Standardowy"/>
    <w:uiPriority w:val="99"/>
    <w:semiHidden/>
    <w:rsid w:val="006A7CE0"/>
    <w:rPr>
      <w:sz w:val="20"/>
      <w:szCs w:val="20"/>
    </w:rPr>
    <w:tblPr>
      <w:tblStyleRowBandSize w:val="1"/>
      <w:tblStyleColBandSize w:val="1"/>
      <w:tblBorders>
        <w:top w:val="single" w:sz="8" w:space="0" w:color="4BD597"/>
        <w:left w:val="single" w:sz="8" w:space="0" w:color="4BD597"/>
        <w:bottom w:val="single" w:sz="8" w:space="0" w:color="4BD597"/>
        <w:right w:val="single" w:sz="8" w:space="0" w:color="4BD597"/>
        <w:insideH w:val="single" w:sz="8" w:space="0" w:color="4BD597"/>
      </w:tblBorders>
    </w:tblPr>
    <w:tblStylePr w:type="firstRow">
      <w:pPr>
        <w:spacing w:before="0" w:after="0"/>
      </w:pPr>
      <w:rPr>
        <w:rFonts w:cs="Times New Roman"/>
        <w:b/>
        <w:bCs/>
        <w:color w:val="FFFFFF"/>
      </w:rPr>
      <w:tblPr/>
      <w:tcPr>
        <w:tcBorders>
          <w:top w:val="single" w:sz="8" w:space="0" w:color="4BD597"/>
          <w:left w:val="single" w:sz="8" w:space="0" w:color="4BD597"/>
          <w:bottom w:val="single" w:sz="8" w:space="0" w:color="4BD597"/>
          <w:right w:val="single" w:sz="8" w:space="0" w:color="4BD597"/>
          <w:insideH w:val="nil"/>
          <w:insideV w:val="nil"/>
        </w:tcBorders>
        <w:shd w:val="clear" w:color="auto" w:fill="28AF73"/>
      </w:tcPr>
    </w:tblStylePr>
    <w:tblStylePr w:type="lastRow">
      <w:pPr>
        <w:spacing w:before="0" w:after="0"/>
      </w:pPr>
      <w:rPr>
        <w:rFonts w:cs="Times New Roman"/>
        <w:b/>
        <w:bCs/>
      </w:rPr>
      <w:tblPr/>
      <w:tcPr>
        <w:tcBorders>
          <w:top w:val="double" w:sz="6" w:space="0" w:color="4BD597"/>
          <w:left w:val="single" w:sz="8" w:space="0" w:color="4BD597"/>
          <w:bottom w:val="single" w:sz="8" w:space="0" w:color="4BD597"/>
          <w:right w:val="single" w:sz="8" w:space="0" w:color="4BD59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3F1DC"/>
      </w:tcPr>
    </w:tblStylePr>
    <w:tblStylePr w:type="band1Horz">
      <w:rPr>
        <w:rFonts w:cs="Times New Roman"/>
      </w:rPr>
      <w:tblPr/>
      <w:tcPr>
        <w:tcBorders>
          <w:insideH w:val="nil"/>
          <w:insideV w:val="nil"/>
        </w:tcBorders>
        <w:shd w:val="clear" w:color="auto" w:fill="C3F1DC"/>
      </w:tcPr>
    </w:tblStylePr>
    <w:tblStylePr w:type="band2Horz">
      <w:rPr>
        <w:rFonts w:cs="Times New Roman"/>
      </w:rPr>
      <w:tblPr/>
      <w:tcPr>
        <w:tcBorders>
          <w:insideH w:val="nil"/>
          <w:insideV w:val="nil"/>
        </w:tcBorders>
      </w:tcPr>
    </w:tblStylePr>
  </w:style>
  <w:style w:type="table" w:styleId="redniecieniowanie2">
    <w:name w:val="Medium Shading 2"/>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D22D7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D22D7D"/>
      </w:tcPr>
    </w:tblStylePr>
    <w:tblStylePr w:type="lastCol">
      <w:rPr>
        <w:rFonts w:cs="Times New Roman"/>
        <w:b/>
        <w:bCs/>
        <w:color w:val="FFFFFF"/>
      </w:rPr>
      <w:tblPr/>
      <w:tcPr>
        <w:tcBorders>
          <w:left w:val="nil"/>
          <w:right w:val="nil"/>
          <w:insideH w:val="nil"/>
          <w:insideV w:val="nil"/>
        </w:tcBorders>
        <w:shd w:val="clear" w:color="auto" w:fill="D22D7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28AAE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28AAE1"/>
      </w:tcPr>
    </w:tblStylePr>
    <w:tblStylePr w:type="lastCol">
      <w:rPr>
        <w:rFonts w:cs="Times New Roman"/>
        <w:b/>
        <w:bCs/>
        <w:color w:val="FFFFFF"/>
      </w:rPr>
      <w:tblPr/>
      <w:tcPr>
        <w:tcBorders>
          <w:left w:val="nil"/>
          <w:right w:val="nil"/>
          <w:insideH w:val="nil"/>
          <w:insideV w:val="nil"/>
        </w:tcBorders>
        <w:shd w:val="clear" w:color="auto" w:fill="28AAE1"/>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0502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05023"/>
      </w:tcPr>
    </w:tblStylePr>
    <w:tblStylePr w:type="lastCol">
      <w:rPr>
        <w:rFonts w:cs="Times New Roman"/>
        <w:b/>
        <w:bCs/>
        <w:color w:val="FFFFFF"/>
      </w:rPr>
      <w:tblPr/>
      <w:tcPr>
        <w:tcBorders>
          <w:left w:val="nil"/>
          <w:right w:val="nil"/>
          <w:insideH w:val="nil"/>
          <w:insideV w:val="nil"/>
        </w:tcBorders>
        <w:shd w:val="clear" w:color="auto" w:fill="F05023"/>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96EB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96EB4"/>
      </w:tcPr>
    </w:tblStylePr>
    <w:tblStylePr w:type="lastCol">
      <w:rPr>
        <w:rFonts w:cs="Times New Roman"/>
        <w:b/>
        <w:bCs/>
        <w:color w:val="FFFFFF"/>
      </w:rPr>
      <w:tblPr/>
      <w:tcPr>
        <w:tcBorders>
          <w:left w:val="nil"/>
          <w:right w:val="nil"/>
          <w:insideH w:val="nil"/>
          <w:insideV w:val="nil"/>
        </w:tcBorders>
        <w:shd w:val="clear" w:color="auto" w:fill="696EB4"/>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A9B1E"/>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A9B1E"/>
      </w:tcPr>
    </w:tblStylePr>
    <w:tblStylePr w:type="lastCol">
      <w:rPr>
        <w:rFonts w:cs="Times New Roman"/>
        <w:b/>
        <w:bCs/>
        <w:color w:val="FFFFFF"/>
      </w:rPr>
      <w:tblPr/>
      <w:tcPr>
        <w:tcBorders>
          <w:left w:val="nil"/>
          <w:right w:val="nil"/>
          <w:insideH w:val="nil"/>
          <w:insideV w:val="nil"/>
        </w:tcBorders>
        <w:shd w:val="clear" w:color="auto" w:fill="FA9B1E"/>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6A7CE0"/>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28AF7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28AF73"/>
      </w:tcPr>
    </w:tblStylePr>
    <w:tblStylePr w:type="lastCol">
      <w:rPr>
        <w:rFonts w:cs="Times New Roman"/>
        <w:b/>
        <w:bCs/>
        <w:color w:val="FFFFFF"/>
      </w:rPr>
      <w:tblPr/>
      <w:tcPr>
        <w:tcBorders>
          <w:left w:val="nil"/>
          <w:right w:val="nil"/>
          <w:insideH w:val="nil"/>
          <w:insideV w:val="nil"/>
        </w:tcBorders>
        <w:shd w:val="clear" w:color="auto" w:fill="28AF73"/>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uiPriority w:val="99"/>
    <w:semiHidden/>
    <w:rsid w:val="006A7CE0"/>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6A7CE0"/>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W1">
    <w:name w:val="Table 3D effects 1"/>
    <w:basedOn w:val="Standardowy"/>
    <w:uiPriority w:val="99"/>
    <w:semiHidden/>
    <w:rsid w:val="006A7CE0"/>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6A7CE0"/>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6A7CE0"/>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uiPriority w:val="99"/>
    <w:semiHidden/>
    <w:rsid w:val="006A7CE0"/>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6A7CE0"/>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6A7CE0"/>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6A7CE0"/>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6A7CE0"/>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6A7CE0"/>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6A7CE0"/>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6A7CE0"/>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6A7CE0"/>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6A7CE0"/>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6A7CE0"/>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6A7CE0"/>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uiPriority w:val="99"/>
    <w:semiHidden/>
    <w:rsid w:val="006A7CE0"/>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Lista1">
    <w:name w:val="Table List 1"/>
    <w:basedOn w:val="Standardowy"/>
    <w:uiPriority w:val="99"/>
    <w:semiHidden/>
    <w:rsid w:val="006A7CE0"/>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6A7CE0"/>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6A7CE0"/>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6A7CE0"/>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6A7CE0"/>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6A7CE0"/>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6A7CE0"/>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6A7CE0"/>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rsid w:val="006A7C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rsid w:val="006A7CE0"/>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6A7CE0"/>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6A7CE0"/>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6A7CE0"/>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Siatka2">
    <w:name w:val="Table Grid 2"/>
    <w:basedOn w:val="Standardowy"/>
    <w:uiPriority w:val="99"/>
    <w:semiHidden/>
    <w:rsid w:val="006A7CE0"/>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6A7CE0"/>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6A7CE0"/>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6A7CE0"/>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
    <w:name w:val="Table Grid 6"/>
    <w:basedOn w:val="Standardowy"/>
    <w:uiPriority w:val="99"/>
    <w:semiHidden/>
    <w:rsid w:val="006A7CE0"/>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
    <w:name w:val="Table Grid 7"/>
    <w:basedOn w:val="Standardowy"/>
    <w:uiPriority w:val="99"/>
    <w:semiHidden/>
    <w:rsid w:val="006A7CE0"/>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
    <w:name w:val="Table Grid 8"/>
    <w:basedOn w:val="Standardowy"/>
    <w:uiPriority w:val="99"/>
    <w:semiHidden/>
    <w:rsid w:val="006A7CE0"/>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rsid w:val="006A7CE0"/>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6A7CE0"/>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6A7CE0"/>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rsid w:val="006A7CE0"/>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Tabelalisty1jasna1">
    <w:name w:val="Tabela listy 1 — jasna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elalisty1jasnaakcent11">
    <w:name w:val="Tabela listy 1 — jasna — akcent 1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E481B0"/>
        </w:tcBorders>
      </w:tcPr>
    </w:tblStylePr>
    <w:tblStylePr w:type="lastRow">
      <w:rPr>
        <w:rFonts w:cs="Times New Roman"/>
        <w:b/>
        <w:bCs/>
      </w:rPr>
      <w:tblPr/>
      <w:tcPr>
        <w:tcBorders>
          <w:top w:val="single" w:sz="4" w:space="0" w:color="E481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listy1jasnaakcent21">
    <w:name w:val="Tabela listy 1 — jasna — akcent 2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7ECBED"/>
        </w:tcBorders>
      </w:tcPr>
    </w:tblStylePr>
    <w:tblStylePr w:type="lastRow">
      <w:rPr>
        <w:rFonts w:cs="Times New Roman"/>
        <w:b/>
        <w:bCs/>
      </w:rPr>
      <w:tblPr/>
      <w:tcPr>
        <w:tcBorders>
          <w:top w:val="single" w:sz="4" w:space="0" w:color="7ECBE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listy1jasnaakcent31">
    <w:name w:val="Tabela listy 1 — jasna — akcent 3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F6957B"/>
        </w:tcBorders>
      </w:tcPr>
    </w:tblStylePr>
    <w:tblStylePr w:type="lastRow">
      <w:rPr>
        <w:rFonts w:cs="Times New Roman"/>
        <w:b/>
        <w:bCs/>
      </w:rPr>
      <w:tblPr/>
      <w:tcPr>
        <w:tcBorders>
          <w:top w:val="single" w:sz="4" w:space="0" w:color="F6957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listy1jasnaakcent41">
    <w:name w:val="Tabela listy 1 — jasna — akcent 4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A5A8D2"/>
        </w:tcBorders>
      </w:tcPr>
    </w:tblStylePr>
    <w:tblStylePr w:type="lastRow">
      <w:rPr>
        <w:rFonts w:cs="Times New Roman"/>
        <w:b/>
        <w:bCs/>
      </w:rPr>
      <w:tblPr/>
      <w:tcPr>
        <w:tcBorders>
          <w:top w:val="single" w:sz="4" w:space="0" w:color="A5A8D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listy1jasnaakcent51">
    <w:name w:val="Tabela listy 1 — jasna — akcent 5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FCC278"/>
        </w:tcBorders>
      </w:tcPr>
    </w:tblStylePr>
    <w:tblStylePr w:type="lastRow">
      <w:rPr>
        <w:rFonts w:cs="Times New Roman"/>
        <w:b/>
        <w:bCs/>
      </w:rPr>
      <w:tblPr/>
      <w:tcPr>
        <w:tcBorders>
          <w:top w:val="single" w:sz="4" w:space="0" w:color="FCC27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listy1jasnaakcent61">
    <w:name w:val="Tabela listy 1 — jasna — akcent 6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bottom w:val="single" w:sz="4" w:space="0" w:color="6EDEAC"/>
        </w:tcBorders>
      </w:tcPr>
    </w:tblStylePr>
    <w:tblStylePr w:type="lastRow">
      <w:rPr>
        <w:rFonts w:cs="Times New Roman"/>
        <w:b/>
        <w:bCs/>
      </w:rPr>
      <w:tblPr/>
      <w:tcPr>
        <w:tcBorders>
          <w:top w:val="single" w:sz="4" w:space="0" w:color="6EDEA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listy21">
    <w:name w:val="Tabela listy 21"/>
    <w:uiPriority w:val="99"/>
    <w:rsid w:val="006A7CE0"/>
    <w:rPr>
      <w:sz w:val="20"/>
      <w:szCs w:val="20"/>
      <w:lang w:val="en-GB" w:eastAsia="en-GB"/>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elalisty2akcent11">
    <w:name w:val="Tabela listy 2 — akcent 11"/>
    <w:uiPriority w:val="99"/>
    <w:rsid w:val="006A7CE0"/>
    <w:rPr>
      <w:sz w:val="20"/>
      <w:szCs w:val="20"/>
      <w:lang w:val="en-GB" w:eastAsia="en-GB"/>
    </w:rPr>
    <w:tblPr>
      <w:tblStyleRowBandSize w:val="1"/>
      <w:tblStyleColBandSize w:val="1"/>
      <w:tblInd w:w="0" w:type="dxa"/>
      <w:tblBorders>
        <w:top w:val="single" w:sz="4" w:space="0" w:color="E481B0"/>
        <w:bottom w:val="single" w:sz="4" w:space="0" w:color="E481B0"/>
        <w:insideH w:val="single" w:sz="4" w:space="0" w:color="E481B0"/>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listy2akcent21">
    <w:name w:val="Tabela listy 2 — akcent 21"/>
    <w:uiPriority w:val="99"/>
    <w:rsid w:val="006A7CE0"/>
    <w:rPr>
      <w:sz w:val="20"/>
      <w:szCs w:val="20"/>
      <w:lang w:val="en-GB" w:eastAsia="en-GB"/>
    </w:rPr>
    <w:tblPr>
      <w:tblStyleRowBandSize w:val="1"/>
      <w:tblStyleColBandSize w:val="1"/>
      <w:tblInd w:w="0" w:type="dxa"/>
      <w:tblBorders>
        <w:top w:val="single" w:sz="4" w:space="0" w:color="7ECBED"/>
        <w:bottom w:val="single" w:sz="4" w:space="0" w:color="7ECBED"/>
        <w:insideH w:val="single" w:sz="4" w:space="0" w:color="7ECBED"/>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listy2akcent31">
    <w:name w:val="Tabela listy 2 — akcent 31"/>
    <w:uiPriority w:val="99"/>
    <w:rsid w:val="006A7CE0"/>
    <w:rPr>
      <w:sz w:val="20"/>
      <w:szCs w:val="20"/>
      <w:lang w:val="en-GB" w:eastAsia="en-GB"/>
    </w:rPr>
    <w:tblPr>
      <w:tblStyleRowBandSize w:val="1"/>
      <w:tblStyleColBandSize w:val="1"/>
      <w:tblInd w:w="0" w:type="dxa"/>
      <w:tblBorders>
        <w:top w:val="single" w:sz="4" w:space="0" w:color="F6957B"/>
        <w:bottom w:val="single" w:sz="4" w:space="0" w:color="F6957B"/>
        <w:insideH w:val="single" w:sz="4" w:space="0" w:color="F6957B"/>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listy2akcent41">
    <w:name w:val="Tabela listy 2 — akcent 41"/>
    <w:uiPriority w:val="99"/>
    <w:rsid w:val="006A7CE0"/>
    <w:rPr>
      <w:sz w:val="20"/>
      <w:szCs w:val="20"/>
      <w:lang w:val="en-GB" w:eastAsia="en-GB"/>
    </w:rPr>
    <w:tblPr>
      <w:tblStyleRowBandSize w:val="1"/>
      <w:tblStyleColBandSize w:val="1"/>
      <w:tblInd w:w="0" w:type="dxa"/>
      <w:tblBorders>
        <w:top w:val="single" w:sz="4" w:space="0" w:color="A5A8D2"/>
        <w:bottom w:val="single" w:sz="4" w:space="0" w:color="A5A8D2"/>
        <w:insideH w:val="single" w:sz="4" w:space="0" w:color="A5A8D2"/>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listy2akcent51">
    <w:name w:val="Tabela listy 2 — akcent 51"/>
    <w:uiPriority w:val="99"/>
    <w:rsid w:val="006A7CE0"/>
    <w:rPr>
      <w:sz w:val="20"/>
      <w:szCs w:val="20"/>
      <w:lang w:val="en-GB" w:eastAsia="en-GB"/>
    </w:rPr>
    <w:tblPr>
      <w:tblStyleRowBandSize w:val="1"/>
      <w:tblStyleColBandSize w:val="1"/>
      <w:tblInd w:w="0" w:type="dxa"/>
      <w:tblBorders>
        <w:top w:val="single" w:sz="4" w:space="0" w:color="FCC278"/>
        <w:bottom w:val="single" w:sz="4" w:space="0" w:color="FCC278"/>
        <w:insideH w:val="single" w:sz="4" w:space="0" w:color="FCC278"/>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listy2akcent61">
    <w:name w:val="Tabela listy 2 — akcent 61"/>
    <w:uiPriority w:val="99"/>
    <w:rsid w:val="006A7CE0"/>
    <w:rPr>
      <w:sz w:val="20"/>
      <w:szCs w:val="20"/>
      <w:lang w:val="en-GB" w:eastAsia="en-GB"/>
    </w:rPr>
    <w:tblPr>
      <w:tblStyleRowBandSize w:val="1"/>
      <w:tblStyleColBandSize w:val="1"/>
      <w:tblInd w:w="0" w:type="dxa"/>
      <w:tblBorders>
        <w:top w:val="single" w:sz="4" w:space="0" w:color="6EDEAC"/>
        <w:bottom w:val="single" w:sz="4" w:space="0" w:color="6EDEAC"/>
        <w:insideH w:val="single" w:sz="4" w:space="0" w:color="6EDEAC"/>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listy31">
    <w:name w:val="Tabela listy 31"/>
    <w:uiPriority w:val="99"/>
    <w:rsid w:val="006A7CE0"/>
    <w:rPr>
      <w:sz w:val="20"/>
      <w:szCs w:val="20"/>
      <w:lang w:val="en-GB" w:eastAsia="en-GB"/>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cs="Times New Roman"/>
        <w:b/>
        <w:bCs/>
        <w:color w:val="FFFFFF"/>
      </w:rPr>
      <w:tblPr/>
      <w:tcPr>
        <w:shd w:val="clear" w:color="auto" w:fill="000000"/>
      </w:tcPr>
    </w:tblStylePr>
    <w:tblStylePr w:type="lastRow">
      <w:rPr>
        <w:rFonts w:cs="Times New Roman"/>
        <w:b/>
        <w:bCs/>
      </w:rPr>
      <w:tblPr/>
      <w:tcPr>
        <w:tcBorders>
          <w:top w:val="double" w:sz="4" w:space="0" w:color="000000"/>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left w:val="nil"/>
        </w:tcBorders>
      </w:tcPr>
    </w:tblStylePr>
    <w:tblStylePr w:type="swCell">
      <w:rPr>
        <w:rFonts w:cs="Times New Roman"/>
      </w:rPr>
      <w:tblPr/>
      <w:tcPr>
        <w:tcBorders>
          <w:top w:val="double" w:sz="4" w:space="0" w:color="000000"/>
          <w:right w:val="nil"/>
        </w:tcBorders>
      </w:tcPr>
    </w:tblStylePr>
  </w:style>
  <w:style w:type="table" w:customStyle="1" w:styleId="Tabelalisty3akcent11">
    <w:name w:val="Tabela listy 3 — akcent 11"/>
    <w:uiPriority w:val="99"/>
    <w:rsid w:val="006A7CE0"/>
    <w:rPr>
      <w:sz w:val="20"/>
      <w:szCs w:val="20"/>
      <w:lang w:val="en-GB" w:eastAsia="en-GB"/>
    </w:rPr>
    <w:tblPr>
      <w:tblStyleRowBandSize w:val="1"/>
      <w:tblStyleColBandSize w:val="1"/>
      <w:tblInd w:w="0" w:type="dxa"/>
      <w:tblBorders>
        <w:top w:val="single" w:sz="4" w:space="0" w:color="D22D7D"/>
        <w:left w:val="single" w:sz="4" w:space="0" w:color="D22D7D"/>
        <w:bottom w:val="single" w:sz="4" w:space="0" w:color="D22D7D"/>
        <w:right w:val="single" w:sz="4" w:space="0" w:color="D22D7D"/>
      </w:tblBorders>
      <w:tblCellMar>
        <w:top w:w="0" w:type="dxa"/>
        <w:left w:w="108" w:type="dxa"/>
        <w:bottom w:w="0" w:type="dxa"/>
        <w:right w:w="108" w:type="dxa"/>
      </w:tblCellMar>
    </w:tblPr>
    <w:tblStylePr w:type="firstRow">
      <w:rPr>
        <w:rFonts w:cs="Times New Roman"/>
        <w:b/>
        <w:bCs/>
        <w:color w:val="FFFFFF"/>
      </w:rPr>
      <w:tblPr/>
      <w:tcPr>
        <w:shd w:val="clear" w:color="auto" w:fill="D22D7D"/>
      </w:tcPr>
    </w:tblStylePr>
    <w:tblStylePr w:type="lastRow">
      <w:rPr>
        <w:rFonts w:cs="Times New Roman"/>
        <w:b/>
        <w:bCs/>
      </w:rPr>
      <w:tblPr/>
      <w:tcPr>
        <w:tcBorders>
          <w:top w:val="double" w:sz="4" w:space="0" w:color="D22D7D"/>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D22D7D"/>
          <w:right w:val="single" w:sz="4" w:space="0" w:color="D22D7D"/>
        </w:tcBorders>
      </w:tcPr>
    </w:tblStylePr>
    <w:tblStylePr w:type="band1Horz">
      <w:rPr>
        <w:rFonts w:cs="Times New Roman"/>
      </w:rPr>
      <w:tblPr/>
      <w:tcPr>
        <w:tcBorders>
          <w:top w:val="single" w:sz="4" w:space="0" w:color="D22D7D"/>
          <w:bottom w:val="single" w:sz="4" w:space="0" w:color="D22D7D"/>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D22D7D"/>
          <w:left w:val="nil"/>
        </w:tcBorders>
      </w:tcPr>
    </w:tblStylePr>
    <w:tblStylePr w:type="swCell">
      <w:rPr>
        <w:rFonts w:cs="Times New Roman"/>
      </w:rPr>
      <w:tblPr/>
      <w:tcPr>
        <w:tcBorders>
          <w:top w:val="double" w:sz="4" w:space="0" w:color="D22D7D"/>
          <w:right w:val="nil"/>
        </w:tcBorders>
      </w:tcPr>
    </w:tblStylePr>
  </w:style>
  <w:style w:type="table" w:customStyle="1" w:styleId="Tabelalisty3akcent21">
    <w:name w:val="Tabela listy 3 — akcent 21"/>
    <w:uiPriority w:val="99"/>
    <w:rsid w:val="006A7CE0"/>
    <w:rPr>
      <w:sz w:val="20"/>
      <w:szCs w:val="20"/>
      <w:lang w:val="en-GB" w:eastAsia="en-GB"/>
    </w:rPr>
    <w:tblPr>
      <w:tblStyleRowBandSize w:val="1"/>
      <w:tblStyleColBandSize w:val="1"/>
      <w:tblInd w:w="0" w:type="dxa"/>
      <w:tblBorders>
        <w:top w:val="single" w:sz="4" w:space="0" w:color="28AAE1"/>
        <w:left w:val="single" w:sz="4" w:space="0" w:color="28AAE1"/>
        <w:bottom w:val="single" w:sz="4" w:space="0" w:color="28AAE1"/>
        <w:right w:val="single" w:sz="4" w:space="0" w:color="28AAE1"/>
      </w:tblBorders>
      <w:tblCellMar>
        <w:top w:w="0" w:type="dxa"/>
        <w:left w:w="108" w:type="dxa"/>
        <w:bottom w:w="0" w:type="dxa"/>
        <w:right w:w="108" w:type="dxa"/>
      </w:tblCellMar>
    </w:tblPr>
    <w:tblStylePr w:type="firstRow">
      <w:rPr>
        <w:rFonts w:cs="Times New Roman"/>
        <w:b/>
        <w:bCs/>
        <w:color w:val="FFFFFF"/>
      </w:rPr>
      <w:tblPr/>
      <w:tcPr>
        <w:shd w:val="clear" w:color="auto" w:fill="28AAE1"/>
      </w:tcPr>
    </w:tblStylePr>
    <w:tblStylePr w:type="lastRow">
      <w:rPr>
        <w:rFonts w:cs="Times New Roman"/>
        <w:b/>
        <w:bCs/>
      </w:rPr>
      <w:tblPr/>
      <w:tcPr>
        <w:tcBorders>
          <w:top w:val="double" w:sz="4" w:space="0" w:color="28AAE1"/>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28AAE1"/>
          <w:right w:val="single" w:sz="4" w:space="0" w:color="28AAE1"/>
        </w:tcBorders>
      </w:tcPr>
    </w:tblStylePr>
    <w:tblStylePr w:type="band1Horz">
      <w:rPr>
        <w:rFonts w:cs="Times New Roman"/>
      </w:rPr>
      <w:tblPr/>
      <w:tcPr>
        <w:tcBorders>
          <w:top w:val="single" w:sz="4" w:space="0" w:color="28AAE1"/>
          <w:bottom w:val="single" w:sz="4" w:space="0" w:color="28AAE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28AAE1"/>
          <w:left w:val="nil"/>
        </w:tcBorders>
      </w:tcPr>
    </w:tblStylePr>
    <w:tblStylePr w:type="swCell">
      <w:rPr>
        <w:rFonts w:cs="Times New Roman"/>
      </w:rPr>
      <w:tblPr/>
      <w:tcPr>
        <w:tcBorders>
          <w:top w:val="double" w:sz="4" w:space="0" w:color="28AAE1"/>
          <w:right w:val="nil"/>
        </w:tcBorders>
      </w:tcPr>
    </w:tblStylePr>
  </w:style>
  <w:style w:type="table" w:customStyle="1" w:styleId="Tabelalisty3akcent31">
    <w:name w:val="Tabela listy 3 — akcent 31"/>
    <w:uiPriority w:val="99"/>
    <w:rsid w:val="006A7CE0"/>
    <w:rPr>
      <w:sz w:val="20"/>
      <w:szCs w:val="20"/>
      <w:lang w:val="en-GB" w:eastAsia="en-GB"/>
    </w:rPr>
    <w:tblPr>
      <w:tblStyleRowBandSize w:val="1"/>
      <w:tblStyleColBandSize w:val="1"/>
      <w:tblInd w:w="0" w:type="dxa"/>
      <w:tblBorders>
        <w:top w:val="single" w:sz="4" w:space="0" w:color="F05023"/>
        <w:left w:val="single" w:sz="4" w:space="0" w:color="F05023"/>
        <w:bottom w:val="single" w:sz="4" w:space="0" w:color="F05023"/>
        <w:right w:val="single" w:sz="4" w:space="0" w:color="F05023"/>
      </w:tblBorders>
      <w:tblCellMar>
        <w:top w:w="0" w:type="dxa"/>
        <w:left w:w="108" w:type="dxa"/>
        <w:bottom w:w="0" w:type="dxa"/>
        <w:right w:w="108" w:type="dxa"/>
      </w:tblCellMar>
    </w:tblPr>
    <w:tblStylePr w:type="firstRow">
      <w:rPr>
        <w:rFonts w:cs="Times New Roman"/>
        <w:b/>
        <w:bCs/>
        <w:color w:val="FFFFFF"/>
      </w:rPr>
      <w:tblPr/>
      <w:tcPr>
        <w:shd w:val="clear" w:color="auto" w:fill="F05023"/>
      </w:tcPr>
    </w:tblStylePr>
    <w:tblStylePr w:type="lastRow">
      <w:rPr>
        <w:rFonts w:cs="Times New Roman"/>
        <w:b/>
        <w:bCs/>
      </w:rPr>
      <w:tblPr/>
      <w:tcPr>
        <w:tcBorders>
          <w:top w:val="double" w:sz="4" w:space="0" w:color="F05023"/>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F05023"/>
          <w:right w:val="single" w:sz="4" w:space="0" w:color="F05023"/>
        </w:tcBorders>
      </w:tcPr>
    </w:tblStylePr>
    <w:tblStylePr w:type="band1Horz">
      <w:rPr>
        <w:rFonts w:cs="Times New Roman"/>
      </w:rPr>
      <w:tblPr/>
      <w:tcPr>
        <w:tcBorders>
          <w:top w:val="single" w:sz="4" w:space="0" w:color="F05023"/>
          <w:bottom w:val="single" w:sz="4" w:space="0" w:color="F0502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05023"/>
          <w:left w:val="nil"/>
        </w:tcBorders>
      </w:tcPr>
    </w:tblStylePr>
    <w:tblStylePr w:type="swCell">
      <w:rPr>
        <w:rFonts w:cs="Times New Roman"/>
      </w:rPr>
      <w:tblPr/>
      <w:tcPr>
        <w:tcBorders>
          <w:top w:val="double" w:sz="4" w:space="0" w:color="F05023"/>
          <w:right w:val="nil"/>
        </w:tcBorders>
      </w:tcPr>
    </w:tblStylePr>
  </w:style>
  <w:style w:type="table" w:customStyle="1" w:styleId="Tabelalisty3akcent41">
    <w:name w:val="Tabela listy 3 — akcent 41"/>
    <w:uiPriority w:val="99"/>
    <w:rsid w:val="006A7CE0"/>
    <w:rPr>
      <w:sz w:val="20"/>
      <w:szCs w:val="20"/>
      <w:lang w:val="en-GB" w:eastAsia="en-GB"/>
    </w:rPr>
    <w:tblPr>
      <w:tblStyleRowBandSize w:val="1"/>
      <w:tblStyleColBandSize w:val="1"/>
      <w:tblInd w:w="0" w:type="dxa"/>
      <w:tblBorders>
        <w:top w:val="single" w:sz="4" w:space="0" w:color="696EB4"/>
        <w:left w:val="single" w:sz="4" w:space="0" w:color="696EB4"/>
        <w:bottom w:val="single" w:sz="4" w:space="0" w:color="696EB4"/>
        <w:right w:val="single" w:sz="4" w:space="0" w:color="696EB4"/>
      </w:tblBorders>
      <w:tblCellMar>
        <w:top w:w="0" w:type="dxa"/>
        <w:left w:w="108" w:type="dxa"/>
        <w:bottom w:w="0" w:type="dxa"/>
        <w:right w:w="108" w:type="dxa"/>
      </w:tblCellMar>
    </w:tblPr>
    <w:tblStylePr w:type="firstRow">
      <w:rPr>
        <w:rFonts w:cs="Times New Roman"/>
        <w:b/>
        <w:bCs/>
        <w:color w:val="FFFFFF"/>
      </w:rPr>
      <w:tblPr/>
      <w:tcPr>
        <w:shd w:val="clear" w:color="auto" w:fill="696EB4"/>
      </w:tcPr>
    </w:tblStylePr>
    <w:tblStylePr w:type="lastRow">
      <w:rPr>
        <w:rFonts w:cs="Times New Roman"/>
        <w:b/>
        <w:bCs/>
      </w:rPr>
      <w:tblPr/>
      <w:tcPr>
        <w:tcBorders>
          <w:top w:val="double" w:sz="4" w:space="0" w:color="696EB4"/>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696EB4"/>
          <w:right w:val="single" w:sz="4" w:space="0" w:color="696EB4"/>
        </w:tcBorders>
      </w:tcPr>
    </w:tblStylePr>
    <w:tblStylePr w:type="band1Horz">
      <w:rPr>
        <w:rFonts w:cs="Times New Roman"/>
      </w:rPr>
      <w:tblPr/>
      <w:tcPr>
        <w:tcBorders>
          <w:top w:val="single" w:sz="4" w:space="0" w:color="696EB4"/>
          <w:bottom w:val="single" w:sz="4" w:space="0" w:color="696EB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696EB4"/>
          <w:left w:val="nil"/>
        </w:tcBorders>
      </w:tcPr>
    </w:tblStylePr>
    <w:tblStylePr w:type="swCell">
      <w:rPr>
        <w:rFonts w:cs="Times New Roman"/>
      </w:rPr>
      <w:tblPr/>
      <w:tcPr>
        <w:tcBorders>
          <w:top w:val="double" w:sz="4" w:space="0" w:color="696EB4"/>
          <w:right w:val="nil"/>
        </w:tcBorders>
      </w:tcPr>
    </w:tblStylePr>
  </w:style>
  <w:style w:type="table" w:customStyle="1" w:styleId="Tabelalisty3akcent51">
    <w:name w:val="Tabela listy 3 — akcent 51"/>
    <w:uiPriority w:val="99"/>
    <w:rsid w:val="006A7CE0"/>
    <w:rPr>
      <w:sz w:val="20"/>
      <w:szCs w:val="20"/>
      <w:lang w:val="en-GB" w:eastAsia="en-GB"/>
    </w:rPr>
    <w:tblPr>
      <w:tblStyleRowBandSize w:val="1"/>
      <w:tblStyleColBandSize w:val="1"/>
      <w:tblInd w:w="0" w:type="dxa"/>
      <w:tblBorders>
        <w:top w:val="single" w:sz="4" w:space="0" w:color="FA9B1E"/>
        <w:left w:val="single" w:sz="4" w:space="0" w:color="FA9B1E"/>
        <w:bottom w:val="single" w:sz="4" w:space="0" w:color="FA9B1E"/>
        <w:right w:val="single" w:sz="4" w:space="0" w:color="FA9B1E"/>
      </w:tblBorders>
      <w:tblCellMar>
        <w:top w:w="0" w:type="dxa"/>
        <w:left w:w="108" w:type="dxa"/>
        <w:bottom w:w="0" w:type="dxa"/>
        <w:right w:w="108" w:type="dxa"/>
      </w:tblCellMar>
    </w:tblPr>
    <w:tblStylePr w:type="firstRow">
      <w:rPr>
        <w:rFonts w:cs="Times New Roman"/>
        <w:b/>
        <w:bCs/>
        <w:color w:val="FFFFFF"/>
      </w:rPr>
      <w:tblPr/>
      <w:tcPr>
        <w:shd w:val="clear" w:color="auto" w:fill="FA9B1E"/>
      </w:tcPr>
    </w:tblStylePr>
    <w:tblStylePr w:type="lastRow">
      <w:rPr>
        <w:rFonts w:cs="Times New Roman"/>
        <w:b/>
        <w:bCs/>
      </w:rPr>
      <w:tblPr/>
      <w:tcPr>
        <w:tcBorders>
          <w:top w:val="double" w:sz="4" w:space="0" w:color="FA9B1E"/>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FA9B1E"/>
          <w:right w:val="single" w:sz="4" w:space="0" w:color="FA9B1E"/>
        </w:tcBorders>
      </w:tcPr>
    </w:tblStylePr>
    <w:tblStylePr w:type="band1Horz">
      <w:rPr>
        <w:rFonts w:cs="Times New Roman"/>
      </w:rPr>
      <w:tblPr/>
      <w:tcPr>
        <w:tcBorders>
          <w:top w:val="single" w:sz="4" w:space="0" w:color="FA9B1E"/>
          <w:bottom w:val="single" w:sz="4" w:space="0" w:color="FA9B1E"/>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A9B1E"/>
          <w:left w:val="nil"/>
        </w:tcBorders>
      </w:tcPr>
    </w:tblStylePr>
    <w:tblStylePr w:type="swCell">
      <w:rPr>
        <w:rFonts w:cs="Times New Roman"/>
      </w:rPr>
      <w:tblPr/>
      <w:tcPr>
        <w:tcBorders>
          <w:top w:val="double" w:sz="4" w:space="0" w:color="FA9B1E"/>
          <w:right w:val="nil"/>
        </w:tcBorders>
      </w:tcPr>
    </w:tblStylePr>
  </w:style>
  <w:style w:type="table" w:customStyle="1" w:styleId="Tabelalisty3akcent61">
    <w:name w:val="Tabela listy 3 — akcent 61"/>
    <w:uiPriority w:val="99"/>
    <w:rsid w:val="006A7CE0"/>
    <w:rPr>
      <w:sz w:val="20"/>
      <w:szCs w:val="20"/>
      <w:lang w:val="en-GB" w:eastAsia="en-GB"/>
    </w:rPr>
    <w:tblPr>
      <w:tblStyleRowBandSize w:val="1"/>
      <w:tblStyleColBandSize w:val="1"/>
      <w:tblInd w:w="0" w:type="dxa"/>
      <w:tblBorders>
        <w:top w:val="single" w:sz="4" w:space="0" w:color="28AF73"/>
        <w:left w:val="single" w:sz="4" w:space="0" w:color="28AF73"/>
        <w:bottom w:val="single" w:sz="4" w:space="0" w:color="28AF73"/>
        <w:right w:val="single" w:sz="4" w:space="0" w:color="28AF73"/>
      </w:tblBorders>
      <w:tblCellMar>
        <w:top w:w="0" w:type="dxa"/>
        <w:left w:w="108" w:type="dxa"/>
        <w:bottom w:w="0" w:type="dxa"/>
        <w:right w:w="108" w:type="dxa"/>
      </w:tblCellMar>
    </w:tblPr>
    <w:tblStylePr w:type="firstRow">
      <w:rPr>
        <w:rFonts w:cs="Times New Roman"/>
        <w:b/>
        <w:bCs/>
        <w:color w:val="FFFFFF"/>
      </w:rPr>
      <w:tblPr/>
      <w:tcPr>
        <w:shd w:val="clear" w:color="auto" w:fill="28AF73"/>
      </w:tcPr>
    </w:tblStylePr>
    <w:tblStylePr w:type="lastRow">
      <w:rPr>
        <w:rFonts w:cs="Times New Roman"/>
        <w:b/>
        <w:bCs/>
      </w:rPr>
      <w:tblPr/>
      <w:tcPr>
        <w:tcBorders>
          <w:top w:val="double" w:sz="4" w:space="0" w:color="28AF73"/>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28AF73"/>
          <w:right w:val="single" w:sz="4" w:space="0" w:color="28AF73"/>
        </w:tcBorders>
      </w:tcPr>
    </w:tblStylePr>
    <w:tblStylePr w:type="band1Horz">
      <w:rPr>
        <w:rFonts w:cs="Times New Roman"/>
      </w:rPr>
      <w:tblPr/>
      <w:tcPr>
        <w:tcBorders>
          <w:top w:val="single" w:sz="4" w:space="0" w:color="28AF73"/>
          <w:bottom w:val="single" w:sz="4" w:space="0" w:color="28AF7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28AF73"/>
          <w:left w:val="nil"/>
        </w:tcBorders>
      </w:tcPr>
    </w:tblStylePr>
    <w:tblStylePr w:type="swCell">
      <w:rPr>
        <w:rFonts w:cs="Times New Roman"/>
      </w:rPr>
      <w:tblPr/>
      <w:tcPr>
        <w:tcBorders>
          <w:top w:val="double" w:sz="4" w:space="0" w:color="28AF73"/>
          <w:right w:val="nil"/>
        </w:tcBorders>
      </w:tcPr>
    </w:tblStylePr>
  </w:style>
  <w:style w:type="table" w:customStyle="1" w:styleId="Tabelalisty41">
    <w:name w:val="Tabela listy 41"/>
    <w:uiPriority w:val="99"/>
    <w:rsid w:val="006A7CE0"/>
    <w:rPr>
      <w:sz w:val="20"/>
      <w:szCs w:val="20"/>
      <w:lang w:val="en-GB" w:eastAsia="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rFonts w:cs="Times New Roman"/>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rFonts w:cs="Times New Roman"/>
        <w:b/>
        <w:bCs/>
      </w:rPr>
      <w:tblPr/>
      <w:tcPr>
        <w:tcBorders>
          <w:top w:val="doub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elalisty4akcent11">
    <w:name w:val="Tabela listy 4 — akcent 11"/>
    <w:uiPriority w:val="99"/>
    <w:rsid w:val="006A7CE0"/>
    <w:rPr>
      <w:sz w:val="20"/>
      <w:szCs w:val="20"/>
      <w:lang w:val="en-GB" w:eastAsia="en-GB"/>
    </w:rPr>
    <w:tblPr>
      <w:tblStyleRowBandSize w:val="1"/>
      <w:tblStyleColBandSize w:val="1"/>
      <w:tblInd w:w="0" w:type="dxa"/>
      <w:tblBorders>
        <w:top w:val="single" w:sz="4" w:space="0" w:color="E481B0"/>
        <w:left w:val="single" w:sz="4" w:space="0" w:color="E481B0"/>
        <w:bottom w:val="single" w:sz="4" w:space="0" w:color="E481B0"/>
        <w:right w:val="single" w:sz="4" w:space="0" w:color="E481B0"/>
        <w:insideH w:val="single" w:sz="4" w:space="0" w:color="E481B0"/>
      </w:tblBorders>
      <w:tblCellMar>
        <w:top w:w="0" w:type="dxa"/>
        <w:left w:w="108" w:type="dxa"/>
        <w:bottom w:w="0" w:type="dxa"/>
        <w:right w:w="108" w:type="dxa"/>
      </w:tblCellMar>
    </w:tblPr>
    <w:tblStylePr w:type="firstRow">
      <w:rPr>
        <w:rFonts w:cs="Times New Roman"/>
        <w:b/>
        <w:bCs/>
        <w:color w:val="FFFFFF"/>
      </w:rPr>
      <w:tblPr/>
      <w:tcPr>
        <w:tcBorders>
          <w:top w:val="single" w:sz="4" w:space="0" w:color="D22D7D"/>
          <w:left w:val="single" w:sz="4" w:space="0" w:color="D22D7D"/>
          <w:bottom w:val="single" w:sz="4" w:space="0" w:color="D22D7D"/>
          <w:right w:val="single" w:sz="4" w:space="0" w:color="D22D7D"/>
          <w:insideH w:val="nil"/>
        </w:tcBorders>
        <w:shd w:val="clear" w:color="auto" w:fill="D22D7D"/>
      </w:tcPr>
    </w:tblStylePr>
    <w:tblStylePr w:type="lastRow">
      <w:rPr>
        <w:rFonts w:cs="Times New Roman"/>
        <w:b/>
        <w:bCs/>
      </w:rPr>
      <w:tblPr/>
      <w:tcPr>
        <w:tcBorders>
          <w:top w:val="double" w:sz="4" w:space="0" w:color="E481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listy4akcent21">
    <w:name w:val="Tabela listy 4 — akcent 21"/>
    <w:uiPriority w:val="99"/>
    <w:rsid w:val="006A7CE0"/>
    <w:rPr>
      <w:sz w:val="20"/>
      <w:szCs w:val="20"/>
      <w:lang w:val="en-GB" w:eastAsia="en-GB"/>
    </w:rPr>
    <w:tblPr>
      <w:tblStyleRowBandSize w:val="1"/>
      <w:tblStyleColBandSize w:val="1"/>
      <w:tblInd w:w="0" w:type="dxa"/>
      <w:tblBorders>
        <w:top w:val="single" w:sz="4" w:space="0" w:color="7ECBED"/>
        <w:left w:val="single" w:sz="4" w:space="0" w:color="7ECBED"/>
        <w:bottom w:val="single" w:sz="4" w:space="0" w:color="7ECBED"/>
        <w:right w:val="single" w:sz="4" w:space="0" w:color="7ECBED"/>
        <w:insideH w:val="single" w:sz="4" w:space="0" w:color="7ECBED"/>
      </w:tblBorders>
      <w:tblCellMar>
        <w:top w:w="0" w:type="dxa"/>
        <w:left w:w="108" w:type="dxa"/>
        <w:bottom w:w="0" w:type="dxa"/>
        <w:right w:w="108" w:type="dxa"/>
      </w:tblCellMar>
    </w:tblPr>
    <w:tblStylePr w:type="firstRow">
      <w:rPr>
        <w:rFonts w:cs="Times New Roman"/>
        <w:b/>
        <w:bCs/>
        <w:color w:val="FFFFFF"/>
      </w:rPr>
      <w:tblPr/>
      <w:tcPr>
        <w:tcBorders>
          <w:top w:val="single" w:sz="4" w:space="0" w:color="28AAE1"/>
          <w:left w:val="single" w:sz="4" w:space="0" w:color="28AAE1"/>
          <w:bottom w:val="single" w:sz="4" w:space="0" w:color="28AAE1"/>
          <w:right w:val="single" w:sz="4" w:space="0" w:color="28AAE1"/>
          <w:insideH w:val="nil"/>
        </w:tcBorders>
        <w:shd w:val="clear" w:color="auto" w:fill="28AAE1"/>
      </w:tcPr>
    </w:tblStylePr>
    <w:tblStylePr w:type="lastRow">
      <w:rPr>
        <w:rFonts w:cs="Times New Roman"/>
        <w:b/>
        <w:bCs/>
      </w:rPr>
      <w:tblPr/>
      <w:tcPr>
        <w:tcBorders>
          <w:top w:val="double" w:sz="4" w:space="0" w:color="7ECBE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listy4akcent31">
    <w:name w:val="Tabela listy 4 — akcent 31"/>
    <w:uiPriority w:val="99"/>
    <w:rsid w:val="006A7CE0"/>
    <w:rPr>
      <w:sz w:val="20"/>
      <w:szCs w:val="20"/>
      <w:lang w:val="en-GB" w:eastAsia="en-GB"/>
    </w:rPr>
    <w:tblPr>
      <w:tblStyleRowBandSize w:val="1"/>
      <w:tblStyleColBandSize w:val="1"/>
      <w:tblInd w:w="0" w:type="dxa"/>
      <w:tblBorders>
        <w:top w:val="single" w:sz="4" w:space="0" w:color="F6957B"/>
        <w:left w:val="single" w:sz="4" w:space="0" w:color="F6957B"/>
        <w:bottom w:val="single" w:sz="4" w:space="0" w:color="F6957B"/>
        <w:right w:val="single" w:sz="4" w:space="0" w:color="F6957B"/>
        <w:insideH w:val="single" w:sz="4" w:space="0" w:color="F6957B"/>
      </w:tblBorders>
      <w:tblCellMar>
        <w:top w:w="0" w:type="dxa"/>
        <w:left w:w="108" w:type="dxa"/>
        <w:bottom w:w="0" w:type="dxa"/>
        <w:right w:w="108" w:type="dxa"/>
      </w:tblCellMar>
    </w:tblPr>
    <w:tblStylePr w:type="firstRow">
      <w:rPr>
        <w:rFonts w:cs="Times New Roman"/>
        <w:b/>
        <w:bCs/>
        <w:color w:val="FFFFFF"/>
      </w:rPr>
      <w:tblPr/>
      <w:tcPr>
        <w:tcBorders>
          <w:top w:val="single" w:sz="4" w:space="0" w:color="F05023"/>
          <w:left w:val="single" w:sz="4" w:space="0" w:color="F05023"/>
          <w:bottom w:val="single" w:sz="4" w:space="0" w:color="F05023"/>
          <w:right w:val="single" w:sz="4" w:space="0" w:color="F05023"/>
          <w:insideH w:val="nil"/>
        </w:tcBorders>
        <w:shd w:val="clear" w:color="auto" w:fill="F05023"/>
      </w:tcPr>
    </w:tblStylePr>
    <w:tblStylePr w:type="lastRow">
      <w:rPr>
        <w:rFonts w:cs="Times New Roman"/>
        <w:b/>
        <w:bCs/>
      </w:rPr>
      <w:tblPr/>
      <w:tcPr>
        <w:tcBorders>
          <w:top w:val="double" w:sz="4" w:space="0" w:color="F6957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listy4akcent41">
    <w:name w:val="Tabela listy 4 — akcent 41"/>
    <w:uiPriority w:val="99"/>
    <w:rsid w:val="006A7CE0"/>
    <w:rPr>
      <w:sz w:val="20"/>
      <w:szCs w:val="20"/>
      <w:lang w:val="en-GB" w:eastAsia="en-GB"/>
    </w:rPr>
    <w:tblPr>
      <w:tblStyleRowBandSize w:val="1"/>
      <w:tblStyleColBandSize w:val="1"/>
      <w:tblInd w:w="0" w:type="dxa"/>
      <w:tblBorders>
        <w:top w:val="single" w:sz="4" w:space="0" w:color="A5A8D2"/>
        <w:left w:val="single" w:sz="4" w:space="0" w:color="A5A8D2"/>
        <w:bottom w:val="single" w:sz="4" w:space="0" w:color="A5A8D2"/>
        <w:right w:val="single" w:sz="4" w:space="0" w:color="A5A8D2"/>
        <w:insideH w:val="single" w:sz="4" w:space="0" w:color="A5A8D2"/>
      </w:tblBorders>
      <w:tblCellMar>
        <w:top w:w="0" w:type="dxa"/>
        <w:left w:w="108" w:type="dxa"/>
        <w:bottom w:w="0" w:type="dxa"/>
        <w:right w:w="108" w:type="dxa"/>
      </w:tblCellMar>
    </w:tblPr>
    <w:tblStylePr w:type="firstRow">
      <w:rPr>
        <w:rFonts w:cs="Times New Roman"/>
        <w:b/>
        <w:bCs/>
        <w:color w:val="FFFFFF"/>
      </w:rPr>
      <w:tblPr/>
      <w:tcPr>
        <w:tcBorders>
          <w:top w:val="single" w:sz="4" w:space="0" w:color="696EB4"/>
          <w:left w:val="single" w:sz="4" w:space="0" w:color="696EB4"/>
          <w:bottom w:val="single" w:sz="4" w:space="0" w:color="696EB4"/>
          <w:right w:val="single" w:sz="4" w:space="0" w:color="696EB4"/>
          <w:insideH w:val="nil"/>
        </w:tcBorders>
        <w:shd w:val="clear" w:color="auto" w:fill="696EB4"/>
      </w:tcPr>
    </w:tblStylePr>
    <w:tblStylePr w:type="lastRow">
      <w:rPr>
        <w:rFonts w:cs="Times New Roman"/>
        <w:b/>
        <w:bCs/>
      </w:rPr>
      <w:tblPr/>
      <w:tcPr>
        <w:tcBorders>
          <w:top w:val="double" w:sz="4" w:space="0" w:color="A5A8D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listy4akcent51">
    <w:name w:val="Tabela listy 4 — akcent 51"/>
    <w:uiPriority w:val="99"/>
    <w:rsid w:val="006A7CE0"/>
    <w:rPr>
      <w:sz w:val="20"/>
      <w:szCs w:val="20"/>
      <w:lang w:val="en-GB" w:eastAsia="en-GB"/>
    </w:rPr>
    <w:tblPr>
      <w:tblStyleRowBandSize w:val="1"/>
      <w:tblStyleColBandSize w:val="1"/>
      <w:tblInd w:w="0" w:type="dxa"/>
      <w:tblBorders>
        <w:top w:val="single" w:sz="4" w:space="0" w:color="FCC278"/>
        <w:left w:val="single" w:sz="4" w:space="0" w:color="FCC278"/>
        <w:bottom w:val="single" w:sz="4" w:space="0" w:color="FCC278"/>
        <w:right w:val="single" w:sz="4" w:space="0" w:color="FCC278"/>
        <w:insideH w:val="single" w:sz="4" w:space="0" w:color="FCC278"/>
      </w:tblBorders>
      <w:tblCellMar>
        <w:top w:w="0" w:type="dxa"/>
        <w:left w:w="108" w:type="dxa"/>
        <w:bottom w:w="0" w:type="dxa"/>
        <w:right w:w="108" w:type="dxa"/>
      </w:tblCellMar>
    </w:tblPr>
    <w:tblStylePr w:type="firstRow">
      <w:rPr>
        <w:rFonts w:cs="Times New Roman"/>
        <w:b/>
        <w:bCs/>
        <w:color w:val="FFFFFF"/>
      </w:rPr>
      <w:tblPr/>
      <w:tcPr>
        <w:tcBorders>
          <w:top w:val="single" w:sz="4" w:space="0" w:color="FA9B1E"/>
          <w:left w:val="single" w:sz="4" w:space="0" w:color="FA9B1E"/>
          <w:bottom w:val="single" w:sz="4" w:space="0" w:color="FA9B1E"/>
          <w:right w:val="single" w:sz="4" w:space="0" w:color="FA9B1E"/>
          <w:insideH w:val="nil"/>
        </w:tcBorders>
        <w:shd w:val="clear" w:color="auto" w:fill="FA9B1E"/>
      </w:tcPr>
    </w:tblStylePr>
    <w:tblStylePr w:type="lastRow">
      <w:rPr>
        <w:rFonts w:cs="Times New Roman"/>
        <w:b/>
        <w:bCs/>
      </w:rPr>
      <w:tblPr/>
      <w:tcPr>
        <w:tcBorders>
          <w:top w:val="double" w:sz="4" w:space="0" w:color="FCC27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listy4akcent61">
    <w:name w:val="Tabela listy 4 — akcent 61"/>
    <w:uiPriority w:val="99"/>
    <w:rsid w:val="006A7CE0"/>
    <w:rPr>
      <w:sz w:val="20"/>
      <w:szCs w:val="20"/>
      <w:lang w:val="en-GB" w:eastAsia="en-GB"/>
    </w:rPr>
    <w:tblPr>
      <w:tblStyleRowBandSize w:val="1"/>
      <w:tblStyleColBandSize w:val="1"/>
      <w:tblInd w:w="0" w:type="dxa"/>
      <w:tblBorders>
        <w:top w:val="single" w:sz="4" w:space="0" w:color="6EDEAC"/>
        <w:left w:val="single" w:sz="4" w:space="0" w:color="6EDEAC"/>
        <w:bottom w:val="single" w:sz="4" w:space="0" w:color="6EDEAC"/>
        <w:right w:val="single" w:sz="4" w:space="0" w:color="6EDEAC"/>
        <w:insideH w:val="single" w:sz="4" w:space="0" w:color="6EDEAC"/>
      </w:tblBorders>
      <w:tblCellMar>
        <w:top w:w="0" w:type="dxa"/>
        <w:left w:w="108" w:type="dxa"/>
        <w:bottom w:w="0" w:type="dxa"/>
        <w:right w:w="108" w:type="dxa"/>
      </w:tblCellMar>
    </w:tblPr>
    <w:tblStylePr w:type="firstRow">
      <w:rPr>
        <w:rFonts w:cs="Times New Roman"/>
        <w:b/>
        <w:bCs/>
        <w:color w:val="FFFFFF"/>
      </w:rPr>
      <w:tblPr/>
      <w:tcPr>
        <w:tcBorders>
          <w:top w:val="single" w:sz="4" w:space="0" w:color="28AF73"/>
          <w:left w:val="single" w:sz="4" w:space="0" w:color="28AF73"/>
          <w:bottom w:val="single" w:sz="4" w:space="0" w:color="28AF73"/>
          <w:right w:val="single" w:sz="4" w:space="0" w:color="28AF73"/>
          <w:insideH w:val="nil"/>
        </w:tcBorders>
        <w:shd w:val="clear" w:color="auto" w:fill="28AF73"/>
      </w:tcPr>
    </w:tblStylePr>
    <w:tblStylePr w:type="lastRow">
      <w:rPr>
        <w:rFonts w:cs="Times New Roman"/>
        <w:b/>
        <w:bCs/>
      </w:rPr>
      <w:tblPr/>
      <w:tcPr>
        <w:tcBorders>
          <w:top w:val="double" w:sz="4" w:space="0" w:color="6EDEA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listy5ciemna1">
    <w:name w:val="Tabela listy 5 — ciemna1"/>
    <w:uiPriority w:val="99"/>
    <w:rsid w:val="006A7CE0"/>
    <w:rPr>
      <w:color w:val="FFFFFF"/>
      <w:sz w:val="20"/>
      <w:szCs w:val="20"/>
      <w:lang w:val="en-GB" w:eastAsia="en-GB"/>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5ciemnaakcent11">
    <w:name w:val="Tabela listy 5 — ciemna — akcent 11"/>
    <w:uiPriority w:val="99"/>
    <w:rsid w:val="006A7CE0"/>
    <w:rPr>
      <w:color w:val="FFFFFF"/>
      <w:sz w:val="20"/>
      <w:szCs w:val="20"/>
      <w:lang w:val="en-GB" w:eastAsia="en-GB"/>
    </w:rPr>
    <w:tblPr>
      <w:tblStyleRowBandSize w:val="1"/>
      <w:tblStyleColBandSize w:val="1"/>
      <w:tblInd w:w="0" w:type="dxa"/>
      <w:tblBorders>
        <w:top w:val="single" w:sz="24" w:space="0" w:color="D22D7D"/>
        <w:left w:val="single" w:sz="24" w:space="0" w:color="D22D7D"/>
        <w:bottom w:val="single" w:sz="24" w:space="0" w:color="D22D7D"/>
        <w:right w:val="single" w:sz="24" w:space="0" w:color="D22D7D"/>
      </w:tblBorders>
      <w:tblCellMar>
        <w:top w:w="0" w:type="dxa"/>
        <w:left w:w="108" w:type="dxa"/>
        <w:bottom w:w="0" w:type="dxa"/>
        <w:right w:w="108" w:type="dxa"/>
      </w:tblCellMar>
    </w:tblPr>
    <w:tcPr>
      <w:shd w:val="clear" w:color="auto" w:fill="D22D7D"/>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5ciemnaakcent21">
    <w:name w:val="Tabela listy 5 — ciemna — akcent 21"/>
    <w:uiPriority w:val="99"/>
    <w:rsid w:val="006A7CE0"/>
    <w:rPr>
      <w:color w:val="FFFFFF"/>
      <w:sz w:val="20"/>
      <w:szCs w:val="20"/>
      <w:lang w:val="en-GB" w:eastAsia="en-GB"/>
    </w:rPr>
    <w:tblPr>
      <w:tblStyleRowBandSize w:val="1"/>
      <w:tblStyleColBandSize w:val="1"/>
      <w:tblInd w:w="0" w:type="dxa"/>
      <w:tblBorders>
        <w:top w:val="single" w:sz="24" w:space="0" w:color="28AAE1"/>
        <w:left w:val="single" w:sz="24" w:space="0" w:color="28AAE1"/>
        <w:bottom w:val="single" w:sz="24" w:space="0" w:color="28AAE1"/>
        <w:right w:val="single" w:sz="24" w:space="0" w:color="28AAE1"/>
      </w:tblBorders>
      <w:tblCellMar>
        <w:top w:w="0" w:type="dxa"/>
        <w:left w:w="108" w:type="dxa"/>
        <w:bottom w:w="0" w:type="dxa"/>
        <w:right w:w="108" w:type="dxa"/>
      </w:tblCellMar>
    </w:tblPr>
    <w:tcPr>
      <w:shd w:val="clear" w:color="auto" w:fill="28AAE1"/>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5ciemnaakcent31">
    <w:name w:val="Tabela listy 5 — ciemna — akcent 31"/>
    <w:uiPriority w:val="99"/>
    <w:rsid w:val="006A7CE0"/>
    <w:rPr>
      <w:color w:val="FFFFFF"/>
      <w:sz w:val="20"/>
      <w:szCs w:val="20"/>
      <w:lang w:val="en-GB" w:eastAsia="en-GB"/>
    </w:rPr>
    <w:tblPr>
      <w:tblStyleRowBandSize w:val="1"/>
      <w:tblStyleColBandSize w:val="1"/>
      <w:tblInd w:w="0" w:type="dxa"/>
      <w:tblBorders>
        <w:top w:val="single" w:sz="24" w:space="0" w:color="F05023"/>
        <w:left w:val="single" w:sz="24" w:space="0" w:color="F05023"/>
        <w:bottom w:val="single" w:sz="24" w:space="0" w:color="F05023"/>
        <w:right w:val="single" w:sz="24" w:space="0" w:color="F05023"/>
      </w:tblBorders>
      <w:tblCellMar>
        <w:top w:w="0" w:type="dxa"/>
        <w:left w:w="108" w:type="dxa"/>
        <w:bottom w:w="0" w:type="dxa"/>
        <w:right w:w="108" w:type="dxa"/>
      </w:tblCellMar>
    </w:tblPr>
    <w:tcPr>
      <w:shd w:val="clear" w:color="auto" w:fill="F05023"/>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5ciemnaakcent41">
    <w:name w:val="Tabela listy 5 — ciemna — akcent 41"/>
    <w:uiPriority w:val="99"/>
    <w:rsid w:val="006A7CE0"/>
    <w:rPr>
      <w:color w:val="FFFFFF"/>
      <w:sz w:val="20"/>
      <w:szCs w:val="20"/>
      <w:lang w:val="en-GB" w:eastAsia="en-GB"/>
    </w:rPr>
    <w:tblPr>
      <w:tblStyleRowBandSize w:val="1"/>
      <w:tblStyleColBandSize w:val="1"/>
      <w:tblInd w:w="0" w:type="dxa"/>
      <w:tblBorders>
        <w:top w:val="single" w:sz="24" w:space="0" w:color="696EB4"/>
        <w:left w:val="single" w:sz="24" w:space="0" w:color="696EB4"/>
        <w:bottom w:val="single" w:sz="24" w:space="0" w:color="696EB4"/>
        <w:right w:val="single" w:sz="24" w:space="0" w:color="696EB4"/>
      </w:tblBorders>
      <w:tblCellMar>
        <w:top w:w="0" w:type="dxa"/>
        <w:left w:w="108" w:type="dxa"/>
        <w:bottom w:w="0" w:type="dxa"/>
        <w:right w:w="108" w:type="dxa"/>
      </w:tblCellMar>
    </w:tblPr>
    <w:tcPr>
      <w:shd w:val="clear" w:color="auto" w:fill="696EB4"/>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5ciemnaakcent51">
    <w:name w:val="Tabela listy 5 — ciemna — akcent 51"/>
    <w:uiPriority w:val="99"/>
    <w:rsid w:val="006A7CE0"/>
    <w:rPr>
      <w:color w:val="FFFFFF"/>
      <w:sz w:val="20"/>
      <w:szCs w:val="20"/>
      <w:lang w:val="en-GB" w:eastAsia="en-GB"/>
    </w:rPr>
    <w:tblPr>
      <w:tblStyleRowBandSize w:val="1"/>
      <w:tblStyleColBandSize w:val="1"/>
      <w:tblInd w:w="0" w:type="dxa"/>
      <w:tblBorders>
        <w:top w:val="single" w:sz="24" w:space="0" w:color="FA9B1E"/>
        <w:left w:val="single" w:sz="24" w:space="0" w:color="FA9B1E"/>
        <w:bottom w:val="single" w:sz="24" w:space="0" w:color="FA9B1E"/>
        <w:right w:val="single" w:sz="24" w:space="0" w:color="FA9B1E"/>
      </w:tblBorders>
      <w:tblCellMar>
        <w:top w:w="0" w:type="dxa"/>
        <w:left w:w="108" w:type="dxa"/>
        <w:bottom w:w="0" w:type="dxa"/>
        <w:right w:w="108" w:type="dxa"/>
      </w:tblCellMar>
    </w:tblPr>
    <w:tcPr>
      <w:shd w:val="clear" w:color="auto" w:fill="FA9B1E"/>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5ciemnaakcent61">
    <w:name w:val="Tabela listy 5 — ciemna — akcent 61"/>
    <w:uiPriority w:val="99"/>
    <w:rsid w:val="006A7CE0"/>
    <w:rPr>
      <w:color w:val="FFFFFF"/>
      <w:sz w:val="20"/>
      <w:szCs w:val="20"/>
      <w:lang w:val="en-GB" w:eastAsia="en-GB"/>
    </w:rPr>
    <w:tblPr>
      <w:tblStyleRowBandSize w:val="1"/>
      <w:tblStyleColBandSize w:val="1"/>
      <w:tblInd w:w="0" w:type="dxa"/>
      <w:tblBorders>
        <w:top w:val="single" w:sz="24" w:space="0" w:color="28AF73"/>
        <w:left w:val="single" w:sz="24" w:space="0" w:color="28AF73"/>
        <w:bottom w:val="single" w:sz="24" w:space="0" w:color="28AF73"/>
        <w:right w:val="single" w:sz="24" w:space="0" w:color="28AF73"/>
      </w:tblBorders>
      <w:tblCellMar>
        <w:top w:w="0" w:type="dxa"/>
        <w:left w:w="108" w:type="dxa"/>
        <w:bottom w:w="0" w:type="dxa"/>
        <w:right w:w="108" w:type="dxa"/>
      </w:tblCellMar>
    </w:tblPr>
    <w:tcPr>
      <w:shd w:val="clear" w:color="auto" w:fill="28AF73"/>
    </w:tcPr>
    <w:tblStylePr w:type="firstRow">
      <w:rPr>
        <w:rFonts w:cs="Times New Roman"/>
        <w:b/>
        <w:bCs/>
      </w:rPr>
      <w:tblPr/>
      <w:tcPr>
        <w:tcBorders>
          <w:bottom w:val="single" w:sz="18" w:space="0" w:color="FFFFFF"/>
        </w:tcBorders>
      </w:tcPr>
    </w:tblStylePr>
    <w:tblStylePr w:type="lastRow">
      <w:rPr>
        <w:rFonts w:cs="Times New Roman"/>
        <w:b/>
        <w:bCs/>
      </w:rPr>
      <w:tblPr/>
      <w:tcPr>
        <w:tcBorders>
          <w:top w:val="single" w:sz="4" w:space="0" w:color="FFFFFF"/>
        </w:tcBorders>
      </w:tcPr>
    </w:tblStylePr>
    <w:tblStylePr w:type="firstCol">
      <w:rPr>
        <w:rFonts w:cs="Times New Roman"/>
        <w:b/>
        <w:bCs/>
      </w:rPr>
      <w:tblPr/>
      <w:tcPr>
        <w:tcBorders>
          <w:right w:val="single" w:sz="4" w:space="0" w:color="FFFFFF"/>
        </w:tcBorders>
      </w:tcPr>
    </w:tblStylePr>
    <w:tblStylePr w:type="lastCol">
      <w:rPr>
        <w:rFonts w:cs="Times New Roman"/>
        <w:b/>
        <w:bCs/>
      </w:rPr>
      <w:tblPr/>
      <w:tcPr>
        <w:tcBorders>
          <w:left w:val="single" w:sz="4" w:space="0" w:color="FFFFFF"/>
        </w:tcBorders>
      </w:tcPr>
    </w:tblStylePr>
    <w:tblStylePr w:type="band1Vert">
      <w:rPr>
        <w:rFonts w:cs="Times New Roman"/>
      </w:rPr>
      <w:tblPr/>
      <w:tcPr>
        <w:tcBorders>
          <w:left w:val="single" w:sz="4" w:space="0" w:color="FFFFFF"/>
          <w:right w:val="single" w:sz="4" w:space="0" w:color="FFFFFF"/>
        </w:tcBorders>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Tabelalisty6kolorowa1">
    <w:name w:val="Tabela listy 6 — kolorowa1"/>
    <w:uiPriority w:val="99"/>
    <w:rsid w:val="006A7CE0"/>
    <w:rPr>
      <w:color w:val="000000"/>
      <w:sz w:val="20"/>
      <w:szCs w:val="20"/>
      <w:lang w:val="en-GB" w:eastAsia="en-GB"/>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rFonts w:cs="Times New Roman"/>
        <w:b/>
        <w:bCs/>
      </w:rPr>
      <w:tblPr/>
      <w:tcPr>
        <w:tcBorders>
          <w:bottom w:val="single" w:sz="4" w:space="0" w:color="000000"/>
        </w:tcBorders>
      </w:tcPr>
    </w:tblStylePr>
    <w:tblStylePr w:type="lastRow">
      <w:rPr>
        <w:rFonts w:cs="Times New Roman"/>
        <w:b/>
        <w:bCs/>
      </w:rPr>
      <w:tblPr/>
      <w:tcPr>
        <w:tcBorders>
          <w:top w:val="double" w:sz="4"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table" w:customStyle="1" w:styleId="Tabelalisty6kolorowaakcent11">
    <w:name w:val="Tabela listy 6 — kolorowa — akcent 11"/>
    <w:uiPriority w:val="99"/>
    <w:rsid w:val="006A7CE0"/>
    <w:rPr>
      <w:color w:val="9D215D"/>
      <w:sz w:val="20"/>
      <w:szCs w:val="20"/>
      <w:lang w:val="en-GB" w:eastAsia="en-GB"/>
    </w:rPr>
    <w:tblPr>
      <w:tblStyleRowBandSize w:val="1"/>
      <w:tblStyleColBandSize w:val="1"/>
      <w:tblInd w:w="0" w:type="dxa"/>
      <w:tblBorders>
        <w:top w:val="single" w:sz="4" w:space="0" w:color="D22D7D"/>
        <w:bottom w:val="single" w:sz="4" w:space="0" w:color="D22D7D"/>
      </w:tblBorders>
      <w:tblCellMar>
        <w:top w:w="0" w:type="dxa"/>
        <w:left w:w="108" w:type="dxa"/>
        <w:bottom w:w="0" w:type="dxa"/>
        <w:right w:w="108" w:type="dxa"/>
      </w:tblCellMar>
    </w:tblPr>
    <w:tblStylePr w:type="firstRow">
      <w:rPr>
        <w:rFonts w:cs="Times New Roman"/>
        <w:b/>
        <w:bCs/>
      </w:rPr>
      <w:tblPr/>
      <w:tcPr>
        <w:tcBorders>
          <w:bottom w:val="single" w:sz="4" w:space="0" w:color="D22D7D"/>
        </w:tcBorders>
      </w:tcPr>
    </w:tblStylePr>
    <w:tblStylePr w:type="lastRow">
      <w:rPr>
        <w:rFonts w:cs="Times New Roman"/>
        <w:b/>
        <w:bCs/>
      </w:rPr>
      <w:tblPr/>
      <w:tcPr>
        <w:tcBorders>
          <w:top w:val="double" w:sz="4" w:space="0" w:color="D22D7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listy6kolorowaakcent21">
    <w:name w:val="Tabela listy 6 — kolorowa — akcent 21"/>
    <w:uiPriority w:val="99"/>
    <w:rsid w:val="006A7CE0"/>
    <w:rPr>
      <w:color w:val="1881AE"/>
      <w:sz w:val="20"/>
      <w:szCs w:val="20"/>
      <w:lang w:val="en-GB" w:eastAsia="en-GB"/>
    </w:rPr>
    <w:tblPr>
      <w:tblStyleRowBandSize w:val="1"/>
      <w:tblStyleColBandSize w:val="1"/>
      <w:tblInd w:w="0" w:type="dxa"/>
      <w:tblBorders>
        <w:top w:val="single" w:sz="4" w:space="0" w:color="28AAE1"/>
        <w:bottom w:val="single" w:sz="4" w:space="0" w:color="28AAE1"/>
      </w:tblBorders>
      <w:tblCellMar>
        <w:top w:w="0" w:type="dxa"/>
        <w:left w:w="108" w:type="dxa"/>
        <w:bottom w:w="0" w:type="dxa"/>
        <w:right w:w="108" w:type="dxa"/>
      </w:tblCellMar>
    </w:tblPr>
    <w:tblStylePr w:type="firstRow">
      <w:rPr>
        <w:rFonts w:cs="Times New Roman"/>
        <w:b/>
        <w:bCs/>
      </w:rPr>
      <w:tblPr/>
      <w:tcPr>
        <w:tcBorders>
          <w:bottom w:val="single" w:sz="4" w:space="0" w:color="28AAE1"/>
        </w:tcBorders>
      </w:tcPr>
    </w:tblStylePr>
    <w:tblStylePr w:type="lastRow">
      <w:rPr>
        <w:rFonts w:cs="Times New Roman"/>
        <w:b/>
        <w:bCs/>
      </w:rPr>
      <w:tblPr/>
      <w:tcPr>
        <w:tcBorders>
          <w:top w:val="double" w:sz="4" w:space="0" w:color="28AAE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listy6kolorowaakcent31">
    <w:name w:val="Tabela listy 6 — kolorowa — akcent 31"/>
    <w:uiPriority w:val="99"/>
    <w:rsid w:val="006A7CE0"/>
    <w:rPr>
      <w:color w:val="C0330D"/>
      <w:sz w:val="20"/>
      <w:szCs w:val="20"/>
      <w:lang w:val="en-GB" w:eastAsia="en-GB"/>
    </w:rPr>
    <w:tblPr>
      <w:tblStyleRowBandSize w:val="1"/>
      <w:tblStyleColBandSize w:val="1"/>
      <w:tblInd w:w="0" w:type="dxa"/>
      <w:tblBorders>
        <w:top w:val="single" w:sz="4" w:space="0" w:color="F05023"/>
        <w:bottom w:val="single" w:sz="4" w:space="0" w:color="F05023"/>
      </w:tblBorders>
      <w:tblCellMar>
        <w:top w:w="0" w:type="dxa"/>
        <w:left w:w="108" w:type="dxa"/>
        <w:bottom w:w="0" w:type="dxa"/>
        <w:right w:w="108" w:type="dxa"/>
      </w:tblCellMar>
    </w:tblPr>
    <w:tblStylePr w:type="firstRow">
      <w:rPr>
        <w:rFonts w:cs="Times New Roman"/>
        <w:b/>
        <w:bCs/>
      </w:rPr>
      <w:tblPr/>
      <w:tcPr>
        <w:tcBorders>
          <w:bottom w:val="single" w:sz="4" w:space="0" w:color="F05023"/>
        </w:tcBorders>
      </w:tcPr>
    </w:tblStylePr>
    <w:tblStylePr w:type="lastRow">
      <w:rPr>
        <w:rFonts w:cs="Times New Roman"/>
        <w:b/>
        <w:bCs/>
      </w:rPr>
      <w:tblPr/>
      <w:tcPr>
        <w:tcBorders>
          <w:top w:val="double" w:sz="4" w:space="0" w:color="F0502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listy6kolorowaakcent41">
    <w:name w:val="Tabela listy 6 — kolorowa — akcent 41"/>
    <w:uiPriority w:val="99"/>
    <w:rsid w:val="006A7CE0"/>
    <w:rPr>
      <w:color w:val="474B8E"/>
      <w:sz w:val="20"/>
      <w:szCs w:val="20"/>
      <w:lang w:val="en-GB" w:eastAsia="en-GB"/>
    </w:rPr>
    <w:tblPr>
      <w:tblStyleRowBandSize w:val="1"/>
      <w:tblStyleColBandSize w:val="1"/>
      <w:tblInd w:w="0" w:type="dxa"/>
      <w:tblBorders>
        <w:top w:val="single" w:sz="4" w:space="0" w:color="696EB4"/>
        <w:bottom w:val="single" w:sz="4" w:space="0" w:color="696EB4"/>
      </w:tblBorders>
      <w:tblCellMar>
        <w:top w:w="0" w:type="dxa"/>
        <w:left w:w="108" w:type="dxa"/>
        <w:bottom w:w="0" w:type="dxa"/>
        <w:right w:w="108" w:type="dxa"/>
      </w:tblCellMar>
    </w:tblPr>
    <w:tblStylePr w:type="firstRow">
      <w:rPr>
        <w:rFonts w:cs="Times New Roman"/>
        <w:b/>
        <w:bCs/>
      </w:rPr>
      <w:tblPr/>
      <w:tcPr>
        <w:tcBorders>
          <w:bottom w:val="single" w:sz="4" w:space="0" w:color="696EB4"/>
        </w:tcBorders>
      </w:tcPr>
    </w:tblStylePr>
    <w:tblStylePr w:type="lastRow">
      <w:rPr>
        <w:rFonts w:cs="Times New Roman"/>
        <w:b/>
        <w:bCs/>
      </w:rPr>
      <w:tblPr/>
      <w:tcPr>
        <w:tcBorders>
          <w:top w:val="double" w:sz="4" w:space="0" w:color="696EB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listy6kolorowaakcent51">
    <w:name w:val="Tabela listy 6 — kolorowa — akcent 51"/>
    <w:uiPriority w:val="99"/>
    <w:rsid w:val="006A7CE0"/>
    <w:rPr>
      <w:color w:val="CD7504"/>
      <w:sz w:val="20"/>
      <w:szCs w:val="20"/>
      <w:lang w:val="en-GB" w:eastAsia="en-GB"/>
    </w:rPr>
    <w:tblPr>
      <w:tblStyleRowBandSize w:val="1"/>
      <w:tblStyleColBandSize w:val="1"/>
      <w:tblInd w:w="0" w:type="dxa"/>
      <w:tblBorders>
        <w:top w:val="single" w:sz="4" w:space="0" w:color="FA9B1E"/>
        <w:bottom w:val="single" w:sz="4" w:space="0" w:color="FA9B1E"/>
      </w:tblBorders>
      <w:tblCellMar>
        <w:top w:w="0" w:type="dxa"/>
        <w:left w:w="108" w:type="dxa"/>
        <w:bottom w:w="0" w:type="dxa"/>
        <w:right w:w="108" w:type="dxa"/>
      </w:tblCellMar>
    </w:tblPr>
    <w:tblStylePr w:type="firstRow">
      <w:rPr>
        <w:rFonts w:cs="Times New Roman"/>
        <w:b/>
        <w:bCs/>
      </w:rPr>
      <w:tblPr/>
      <w:tcPr>
        <w:tcBorders>
          <w:bottom w:val="single" w:sz="4" w:space="0" w:color="FA9B1E"/>
        </w:tcBorders>
      </w:tcPr>
    </w:tblStylePr>
    <w:tblStylePr w:type="lastRow">
      <w:rPr>
        <w:rFonts w:cs="Times New Roman"/>
        <w:b/>
        <w:bCs/>
      </w:rPr>
      <w:tblPr/>
      <w:tcPr>
        <w:tcBorders>
          <w:top w:val="double" w:sz="4" w:space="0" w:color="FA9B1E"/>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listy6kolorowaakcent61">
    <w:name w:val="Tabela listy 6 — kolorowa — akcent 61"/>
    <w:uiPriority w:val="99"/>
    <w:rsid w:val="006A7CE0"/>
    <w:rPr>
      <w:color w:val="1E8355"/>
      <w:sz w:val="20"/>
      <w:szCs w:val="20"/>
      <w:lang w:val="en-GB" w:eastAsia="en-GB"/>
    </w:rPr>
    <w:tblPr>
      <w:tblStyleRowBandSize w:val="1"/>
      <w:tblStyleColBandSize w:val="1"/>
      <w:tblInd w:w="0" w:type="dxa"/>
      <w:tblBorders>
        <w:top w:val="single" w:sz="4" w:space="0" w:color="28AF73"/>
        <w:bottom w:val="single" w:sz="4" w:space="0" w:color="28AF73"/>
      </w:tblBorders>
      <w:tblCellMar>
        <w:top w:w="0" w:type="dxa"/>
        <w:left w:w="108" w:type="dxa"/>
        <w:bottom w:w="0" w:type="dxa"/>
        <w:right w:w="108" w:type="dxa"/>
      </w:tblCellMar>
    </w:tblPr>
    <w:tblStylePr w:type="firstRow">
      <w:rPr>
        <w:rFonts w:cs="Times New Roman"/>
        <w:b/>
        <w:bCs/>
      </w:rPr>
      <w:tblPr/>
      <w:tcPr>
        <w:tcBorders>
          <w:bottom w:val="single" w:sz="4" w:space="0" w:color="28AF73"/>
        </w:tcBorders>
      </w:tcPr>
    </w:tblStylePr>
    <w:tblStylePr w:type="lastRow">
      <w:rPr>
        <w:rFonts w:cs="Times New Roman"/>
        <w:b/>
        <w:bCs/>
      </w:rPr>
      <w:tblPr/>
      <w:tcPr>
        <w:tcBorders>
          <w:top w:val="double" w:sz="4" w:space="0" w:color="28AF7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listy7kolorowa1">
    <w:name w:val="Tabela listy 7 — kolorowa1"/>
    <w:uiPriority w:val="99"/>
    <w:rsid w:val="006A7CE0"/>
    <w:rPr>
      <w:color w:val="000000"/>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000000"/>
        </w:tcBorders>
        <w:shd w:val="clear" w:color="auto" w:fill="FFFFFF"/>
      </w:tcPr>
    </w:tblStylePr>
    <w:tblStylePr w:type="lastRow">
      <w:rPr>
        <w:rFonts w:ascii="Times New Roman" w:eastAsia="MS Gothic" w:hAnsi="Times New Roman" w:cs="Times New Roman"/>
        <w:i/>
        <w:iCs/>
        <w:sz w:val="26"/>
      </w:rPr>
      <w:tblPr/>
      <w:tcPr>
        <w:tcBorders>
          <w:top w:val="single" w:sz="4" w:space="0" w:color="000000"/>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000000"/>
        </w:tcBorders>
        <w:shd w:val="clear" w:color="auto" w:fill="FFFFFF"/>
      </w:tcPr>
    </w:tblStylePr>
    <w:tblStylePr w:type="lastCol">
      <w:rPr>
        <w:rFonts w:ascii="Times New Roman" w:eastAsia="MS Gothic" w:hAnsi="Times New Roman" w:cs="Times New Roman"/>
        <w:i/>
        <w:iCs/>
        <w:sz w:val="26"/>
      </w:rPr>
      <w:tblPr/>
      <w:tcPr>
        <w:tcBorders>
          <w:left w:val="single" w:sz="4" w:space="0" w:color="000000"/>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listy7kolorowaakcent11">
    <w:name w:val="Tabela listy 7 — kolorowa — akcent 11"/>
    <w:uiPriority w:val="99"/>
    <w:rsid w:val="006A7CE0"/>
    <w:rPr>
      <w:color w:val="9D215D"/>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D22D7D"/>
        </w:tcBorders>
        <w:shd w:val="clear" w:color="auto" w:fill="FFFFFF"/>
      </w:tcPr>
    </w:tblStylePr>
    <w:tblStylePr w:type="lastRow">
      <w:rPr>
        <w:rFonts w:ascii="Times New Roman" w:eastAsia="MS Gothic" w:hAnsi="Times New Roman" w:cs="Times New Roman"/>
        <w:i/>
        <w:iCs/>
        <w:sz w:val="26"/>
      </w:rPr>
      <w:tblPr/>
      <w:tcPr>
        <w:tcBorders>
          <w:top w:val="single" w:sz="4" w:space="0" w:color="D22D7D"/>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D22D7D"/>
        </w:tcBorders>
        <w:shd w:val="clear" w:color="auto" w:fill="FFFFFF"/>
      </w:tcPr>
    </w:tblStylePr>
    <w:tblStylePr w:type="lastCol">
      <w:rPr>
        <w:rFonts w:ascii="Times New Roman" w:eastAsia="MS Gothic" w:hAnsi="Times New Roman" w:cs="Times New Roman"/>
        <w:i/>
        <w:iCs/>
        <w:sz w:val="26"/>
      </w:rPr>
      <w:tblPr/>
      <w:tcPr>
        <w:tcBorders>
          <w:left w:val="single" w:sz="4" w:space="0" w:color="D22D7D"/>
        </w:tcBorders>
        <w:shd w:val="clear" w:color="auto" w:fill="FFFFFF"/>
      </w:tc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listy7kolorowaakcent21">
    <w:name w:val="Tabela listy 7 — kolorowa — akcent 21"/>
    <w:uiPriority w:val="99"/>
    <w:rsid w:val="006A7CE0"/>
    <w:rPr>
      <w:color w:val="1881AE"/>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28AAE1"/>
        </w:tcBorders>
        <w:shd w:val="clear" w:color="auto" w:fill="FFFFFF"/>
      </w:tcPr>
    </w:tblStylePr>
    <w:tblStylePr w:type="lastRow">
      <w:rPr>
        <w:rFonts w:ascii="Times New Roman" w:eastAsia="MS Gothic" w:hAnsi="Times New Roman" w:cs="Times New Roman"/>
        <w:i/>
        <w:iCs/>
        <w:sz w:val="26"/>
      </w:rPr>
      <w:tblPr/>
      <w:tcPr>
        <w:tcBorders>
          <w:top w:val="single" w:sz="4" w:space="0" w:color="28AAE1"/>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28AAE1"/>
        </w:tcBorders>
        <w:shd w:val="clear" w:color="auto" w:fill="FFFFFF"/>
      </w:tcPr>
    </w:tblStylePr>
    <w:tblStylePr w:type="lastCol">
      <w:rPr>
        <w:rFonts w:ascii="Times New Roman" w:eastAsia="MS Gothic" w:hAnsi="Times New Roman" w:cs="Times New Roman"/>
        <w:i/>
        <w:iCs/>
        <w:sz w:val="26"/>
      </w:rPr>
      <w:tblPr/>
      <w:tcPr>
        <w:tcBorders>
          <w:left w:val="single" w:sz="4" w:space="0" w:color="28AAE1"/>
        </w:tcBorders>
        <w:shd w:val="clear" w:color="auto" w:fill="FFFFFF"/>
      </w:tc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listy7kolorowaakcent31">
    <w:name w:val="Tabela listy 7 — kolorowa — akcent 31"/>
    <w:uiPriority w:val="99"/>
    <w:rsid w:val="006A7CE0"/>
    <w:rPr>
      <w:color w:val="C0330D"/>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F05023"/>
        </w:tcBorders>
        <w:shd w:val="clear" w:color="auto" w:fill="FFFFFF"/>
      </w:tcPr>
    </w:tblStylePr>
    <w:tblStylePr w:type="lastRow">
      <w:rPr>
        <w:rFonts w:ascii="Times New Roman" w:eastAsia="MS Gothic" w:hAnsi="Times New Roman" w:cs="Times New Roman"/>
        <w:i/>
        <w:iCs/>
        <w:sz w:val="26"/>
      </w:rPr>
      <w:tblPr/>
      <w:tcPr>
        <w:tcBorders>
          <w:top w:val="single" w:sz="4" w:space="0" w:color="F05023"/>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F05023"/>
        </w:tcBorders>
        <w:shd w:val="clear" w:color="auto" w:fill="FFFFFF"/>
      </w:tcPr>
    </w:tblStylePr>
    <w:tblStylePr w:type="lastCol">
      <w:rPr>
        <w:rFonts w:ascii="Times New Roman" w:eastAsia="MS Gothic" w:hAnsi="Times New Roman" w:cs="Times New Roman"/>
        <w:i/>
        <w:iCs/>
        <w:sz w:val="26"/>
      </w:rPr>
      <w:tblPr/>
      <w:tcPr>
        <w:tcBorders>
          <w:left w:val="single" w:sz="4" w:space="0" w:color="F05023"/>
        </w:tcBorders>
        <w:shd w:val="clear" w:color="auto" w:fill="FFFFFF"/>
      </w:tc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listy7kolorowaakcent41">
    <w:name w:val="Tabela listy 7 — kolorowa — akcent 41"/>
    <w:uiPriority w:val="99"/>
    <w:rsid w:val="006A7CE0"/>
    <w:rPr>
      <w:color w:val="474B8E"/>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696EB4"/>
        </w:tcBorders>
        <w:shd w:val="clear" w:color="auto" w:fill="FFFFFF"/>
      </w:tcPr>
    </w:tblStylePr>
    <w:tblStylePr w:type="lastRow">
      <w:rPr>
        <w:rFonts w:ascii="Times New Roman" w:eastAsia="MS Gothic" w:hAnsi="Times New Roman" w:cs="Times New Roman"/>
        <w:i/>
        <w:iCs/>
        <w:sz w:val="26"/>
      </w:rPr>
      <w:tblPr/>
      <w:tcPr>
        <w:tcBorders>
          <w:top w:val="single" w:sz="4" w:space="0" w:color="696EB4"/>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696EB4"/>
        </w:tcBorders>
        <w:shd w:val="clear" w:color="auto" w:fill="FFFFFF"/>
      </w:tcPr>
    </w:tblStylePr>
    <w:tblStylePr w:type="lastCol">
      <w:rPr>
        <w:rFonts w:ascii="Times New Roman" w:eastAsia="MS Gothic" w:hAnsi="Times New Roman" w:cs="Times New Roman"/>
        <w:i/>
        <w:iCs/>
        <w:sz w:val="26"/>
      </w:rPr>
      <w:tblPr/>
      <w:tcPr>
        <w:tcBorders>
          <w:left w:val="single" w:sz="4" w:space="0" w:color="696EB4"/>
        </w:tcBorders>
        <w:shd w:val="clear" w:color="auto" w:fill="FFFFFF"/>
      </w:tc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listy7kolorowaakcent51">
    <w:name w:val="Tabela listy 7 — kolorowa — akcent 51"/>
    <w:uiPriority w:val="99"/>
    <w:rsid w:val="006A7CE0"/>
    <w:rPr>
      <w:color w:val="CD7504"/>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FA9B1E"/>
        </w:tcBorders>
        <w:shd w:val="clear" w:color="auto" w:fill="FFFFFF"/>
      </w:tcPr>
    </w:tblStylePr>
    <w:tblStylePr w:type="lastRow">
      <w:rPr>
        <w:rFonts w:ascii="Times New Roman" w:eastAsia="MS Gothic" w:hAnsi="Times New Roman" w:cs="Times New Roman"/>
        <w:i/>
        <w:iCs/>
        <w:sz w:val="26"/>
      </w:rPr>
      <w:tblPr/>
      <w:tcPr>
        <w:tcBorders>
          <w:top w:val="single" w:sz="4" w:space="0" w:color="FA9B1E"/>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FA9B1E"/>
        </w:tcBorders>
        <w:shd w:val="clear" w:color="auto" w:fill="FFFFFF"/>
      </w:tcPr>
    </w:tblStylePr>
    <w:tblStylePr w:type="lastCol">
      <w:rPr>
        <w:rFonts w:ascii="Times New Roman" w:eastAsia="MS Gothic" w:hAnsi="Times New Roman" w:cs="Times New Roman"/>
        <w:i/>
        <w:iCs/>
        <w:sz w:val="26"/>
      </w:rPr>
      <w:tblPr/>
      <w:tcPr>
        <w:tcBorders>
          <w:left w:val="single" w:sz="4" w:space="0" w:color="FA9B1E"/>
        </w:tcBorders>
        <w:shd w:val="clear" w:color="auto" w:fill="FFFFFF"/>
      </w:tc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listy7kolorowaakcent61">
    <w:name w:val="Tabela listy 7 — kolorowa — akcent 61"/>
    <w:uiPriority w:val="99"/>
    <w:rsid w:val="006A7CE0"/>
    <w:rPr>
      <w:color w:val="1E8355"/>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28AF73"/>
        </w:tcBorders>
        <w:shd w:val="clear" w:color="auto" w:fill="FFFFFF"/>
      </w:tcPr>
    </w:tblStylePr>
    <w:tblStylePr w:type="lastRow">
      <w:rPr>
        <w:rFonts w:ascii="Times New Roman" w:eastAsia="MS Gothic" w:hAnsi="Times New Roman" w:cs="Times New Roman"/>
        <w:i/>
        <w:iCs/>
        <w:sz w:val="26"/>
      </w:rPr>
      <w:tblPr/>
      <w:tcPr>
        <w:tcBorders>
          <w:top w:val="single" w:sz="4" w:space="0" w:color="28AF73"/>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28AF73"/>
        </w:tcBorders>
        <w:shd w:val="clear" w:color="auto" w:fill="FFFFFF"/>
      </w:tcPr>
    </w:tblStylePr>
    <w:tblStylePr w:type="lastCol">
      <w:rPr>
        <w:rFonts w:ascii="Times New Roman" w:eastAsia="MS Gothic" w:hAnsi="Times New Roman" w:cs="Times New Roman"/>
        <w:i/>
        <w:iCs/>
        <w:sz w:val="26"/>
      </w:rPr>
      <w:tblPr/>
      <w:tcPr>
        <w:tcBorders>
          <w:left w:val="single" w:sz="4" w:space="0" w:color="28AF73"/>
        </w:tcBorders>
        <w:shd w:val="clear" w:color="auto" w:fill="FFFFFF"/>
      </w:tc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Tabelasiatki1jasnaakcent11">
    <w:name w:val="Tabela siatki 1 — jasna — akcent 11"/>
    <w:uiPriority w:val="99"/>
    <w:rsid w:val="006A7CE0"/>
    <w:rPr>
      <w:sz w:val="20"/>
      <w:szCs w:val="20"/>
      <w:lang w:val="en-GB" w:eastAsia="en-GB"/>
    </w:rPr>
    <w:tblPr>
      <w:tblStyleRowBandSize w:val="1"/>
      <w:tblStyleColBandSize w:val="1"/>
      <w:tblInd w:w="0" w:type="dxa"/>
      <w:tblBorders>
        <w:top w:val="single" w:sz="4" w:space="0" w:color="EDABCA"/>
        <w:left w:val="single" w:sz="4" w:space="0" w:color="EDABCA"/>
        <w:bottom w:val="single" w:sz="4" w:space="0" w:color="EDABCA"/>
        <w:right w:val="single" w:sz="4" w:space="0" w:color="EDABCA"/>
        <w:insideH w:val="single" w:sz="4" w:space="0" w:color="EDABCA"/>
        <w:insideV w:val="single" w:sz="4" w:space="0" w:color="EDABCA"/>
      </w:tblBorders>
      <w:tblCellMar>
        <w:top w:w="0" w:type="dxa"/>
        <w:left w:w="108" w:type="dxa"/>
        <w:bottom w:w="0" w:type="dxa"/>
        <w:right w:w="108" w:type="dxa"/>
      </w:tblCellMar>
    </w:tblPr>
    <w:tblStylePr w:type="firstRow">
      <w:rPr>
        <w:rFonts w:cs="Times New Roman"/>
        <w:b/>
        <w:bCs/>
      </w:rPr>
      <w:tblPr/>
      <w:tcPr>
        <w:tcBorders>
          <w:bottom w:val="single" w:sz="12" w:space="0" w:color="E481B0"/>
        </w:tcBorders>
      </w:tcPr>
    </w:tblStylePr>
    <w:tblStylePr w:type="lastRow">
      <w:rPr>
        <w:rFonts w:cs="Times New Roman"/>
        <w:b/>
        <w:bCs/>
      </w:rPr>
      <w:tblPr/>
      <w:tcPr>
        <w:tcBorders>
          <w:top w:val="double" w:sz="2" w:space="0" w:color="E481B0"/>
        </w:tcBorders>
      </w:tcPr>
    </w:tblStylePr>
    <w:tblStylePr w:type="firstCol">
      <w:rPr>
        <w:rFonts w:cs="Times New Roman"/>
        <w:b/>
        <w:bCs/>
      </w:rPr>
    </w:tblStylePr>
    <w:tblStylePr w:type="lastCol">
      <w:rPr>
        <w:rFonts w:cs="Times New Roman"/>
        <w:b/>
        <w:bCs/>
      </w:rPr>
    </w:tblStylePr>
  </w:style>
  <w:style w:type="table" w:customStyle="1" w:styleId="Tabelasiatki1jasnaakcent21">
    <w:name w:val="Tabela siatki 1 — jasna — akcent 21"/>
    <w:uiPriority w:val="99"/>
    <w:rsid w:val="006A7CE0"/>
    <w:rPr>
      <w:sz w:val="20"/>
      <w:szCs w:val="20"/>
      <w:lang w:val="en-GB" w:eastAsia="en-GB"/>
    </w:rPr>
    <w:tblPr>
      <w:tblStyleRowBandSize w:val="1"/>
      <w:tblStyleColBandSize w:val="1"/>
      <w:tblInd w:w="0" w:type="dxa"/>
      <w:tblBorders>
        <w:top w:val="single" w:sz="4" w:space="0" w:color="A9DCF3"/>
        <w:left w:val="single" w:sz="4" w:space="0" w:color="A9DCF3"/>
        <w:bottom w:val="single" w:sz="4" w:space="0" w:color="A9DCF3"/>
        <w:right w:val="single" w:sz="4" w:space="0" w:color="A9DCF3"/>
        <w:insideH w:val="single" w:sz="4" w:space="0" w:color="A9DCF3"/>
        <w:insideV w:val="single" w:sz="4" w:space="0" w:color="A9DCF3"/>
      </w:tblBorders>
      <w:tblCellMar>
        <w:top w:w="0" w:type="dxa"/>
        <w:left w:w="108" w:type="dxa"/>
        <w:bottom w:w="0" w:type="dxa"/>
        <w:right w:w="108" w:type="dxa"/>
      </w:tblCellMar>
    </w:tblPr>
    <w:tblStylePr w:type="firstRow">
      <w:rPr>
        <w:rFonts w:cs="Times New Roman"/>
        <w:b/>
        <w:bCs/>
      </w:rPr>
      <w:tblPr/>
      <w:tcPr>
        <w:tcBorders>
          <w:bottom w:val="single" w:sz="12" w:space="0" w:color="7ECBED"/>
        </w:tcBorders>
      </w:tcPr>
    </w:tblStylePr>
    <w:tblStylePr w:type="lastRow">
      <w:rPr>
        <w:rFonts w:cs="Times New Roman"/>
        <w:b/>
        <w:bCs/>
      </w:rPr>
      <w:tblPr/>
      <w:tcPr>
        <w:tcBorders>
          <w:top w:val="double" w:sz="2" w:space="0" w:color="7ECBED"/>
        </w:tcBorders>
      </w:tcPr>
    </w:tblStylePr>
    <w:tblStylePr w:type="firstCol">
      <w:rPr>
        <w:rFonts w:cs="Times New Roman"/>
        <w:b/>
        <w:bCs/>
      </w:rPr>
    </w:tblStylePr>
    <w:tblStylePr w:type="lastCol">
      <w:rPr>
        <w:rFonts w:cs="Times New Roman"/>
        <w:b/>
        <w:bCs/>
      </w:rPr>
    </w:tblStylePr>
  </w:style>
  <w:style w:type="table" w:customStyle="1" w:styleId="Tabelasiatki1jasnaakcent31">
    <w:name w:val="Tabela siatki 1 — jasna — akcent 31"/>
    <w:uiPriority w:val="99"/>
    <w:rsid w:val="006A7CE0"/>
    <w:rPr>
      <w:sz w:val="20"/>
      <w:szCs w:val="20"/>
      <w:lang w:val="en-GB" w:eastAsia="en-GB"/>
    </w:rPr>
    <w:tblPr>
      <w:tblStyleRowBandSize w:val="1"/>
      <w:tblStyleColBandSize w:val="1"/>
      <w:tblInd w:w="0" w:type="dxa"/>
      <w:tblBorders>
        <w:top w:val="single" w:sz="4" w:space="0" w:color="F9B8A7"/>
        <w:left w:val="single" w:sz="4" w:space="0" w:color="F9B8A7"/>
        <w:bottom w:val="single" w:sz="4" w:space="0" w:color="F9B8A7"/>
        <w:right w:val="single" w:sz="4" w:space="0" w:color="F9B8A7"/>
        <w:insideH w:val="single" w:sz="4" w:space="0" w:color="F9B8A7"/>
        <w:insideV w:val="single" w:sz="4" w:space="0" w:color="F9B8A7"/>
      </w:tblBorders>
      <w:tblCellMar>
        <w:top w:w="0" w:type="dxa"/>
        <w:left w:w="108" w:type="dxa"/>
        <w:bottom w:w="0" w:type="dxa"/>
        <w:right w:w="108" w:type="dxa"/>
      </w:tblCellMar>
    </w:tblPr>
    <w:tblStylePr w:type="firstRow">
      <w:rPr>
        <w:rFonts w:cs="Times New Roman"/>
        <w:b/>
        <w:bCs/>
      </w:rPr>
      <w:tblPr/>
      <w:tcPr>
        <w:tcBorders>
          <w:bottom w:val="single" w:sz="12" w:space="0" w:color="F6957B"/>
        </w:tcBorders>
      </w:tcPr>
    </w:tblStylePr>
    <w:tblStylePr w:type="lastRow">
      <w:rPr>
        <w:rFonts w:cs="Times New Roman"/>
        <w:b/>
        <w:bCs/>
      </w:rPr>
      <w:tblPr/>
      <w:tcPr>
        <w:tcBorders>
          <w:top w:val="double" w:sz="2" w:space="0" w:color="F6957B"/>
        </w:tcBorders>
      </w:tcPr>
    </w:tblStylePr>
    <w:tblStylePr w:type="firstCol">
      <w:rPr>
        <w:rFonts w:cs="Times New Roman"/>
        <w:b/>
        <w:bCs/>
      </w:rPr>
    </w:tblStylePr>
    <w:tblStylePr w:type="lastCol">
      <w:rPr>
        <w:rFonts w:cs="Times New Roman"/>
        <w:b/>
        <w:bCs/>
      </w:rPr>
    </w:tblStylePr>
  </w:style>
  <w:style w:type="table" w:customStyle="1" w:styleId="Tabelasiatki1jasnaakcent41">
    <w:name w:val="Tabela siatki 1 — jasna — akcent 41"/>
    <w:uiPriority w:val="99"/>
    <w:rsid w:val="006A7CE0"/>
    <w:rPr>
      <w:sz w:val="20"/>
      <w:szCs w:val="20"/>
      <w:lang w:val="en-GB" w:eastAsia="en-GB"/>
    </w:rPr>
    <w:tblPr>
      <w:tblStyleRowBandSize w:val="1"/>
      <w:tblStyleColBandSize w:val="1"/>
      <w:tblInd w:w="0" w:type="dxa"/>
      <w:tblBorders>
        <w:top w:val="single" w:sz="4" w:space="0" w:color="C3C5E1"/>
        <w:left w:val="single" w:sz="4" w:space="0" w:color="C3C5E1"/>
        <w:bottom w:val="single" w:sz="4" w:space="0" w:color="C3C5E1"/>
        <w:right w:val="single" w:sz="4" w:space="0" w:color="C3C5E1"/>
        <w:insideH w:val="single" w:sz="4" w:space="0" w:color="C3C5E1"/>
        <w:insideV w:val="single" w:sz="4" w:space="0" w:color="C3C5E1"/>
      </w:tblBorders>
      <w:tblCellMar>
        <w:top w:w="0" w:type="dxa"/>
        <w:left w:w="108" w:type="dxa"/>
        <w:bottom w:w="0" w:type="dxa"/>
        <w:right w:w="108" w:type="dxa"/>
      </w:tblCellMar>
    </w:tblPr>
    <w:tblStylePr w:type="firstRow">
      <w:rPr>
        <w:rFonts w:cs="Times New Roman"/>
        <w:b/>
        <w:bCs/>
      </w:rPr>
      <w:tblPr/>
      <w:tcPr>
        <w:tcBorders>
          <w:bottom w:val="single" w:sz="12" w:space="0" w:color="A5A8D2"/>
        </w:tcBorders>
      </w:tcPr>
    </w:tblStylePr>
    <w:tblStylePr w:type="lastRow">
      <w:rPr>
        <w:rFonts w:cs="Times New Roman"/>
        <w:b/>
        <w:bCs/>
      </w:rPr>
      <w:tblPr/>
      <w:tcPr>
        <w:tcBorders>
          <w:top w:val="double" w:sz="2" w:space="0" w:color="A5A8D2"/>
        </w:tcBorders>
      </w:tcPr>
    </w:tblStylePr>
    <w:tblStylePr w:type="firstCol">
      <w:rPr>
        <w:rFonts w:cs="Times New Roman"/>
        <w:b/>
        <w:bCs/>
      </w:rPr>
    </w:tblStylePr>
    <w:tblStylePr w:type="lastCol">
      <w:rPr>
        <w:rFonts w:cs="Times New Roman"/>
        <w:b/>
        <w:bCs/>
      </w:rPr>
    </w:tblStylePr>
  </w:style>
  <w:style w:type="table" w:customStyle="1" w:styleId="Tabelasiatki1jasnaakcent51">
    <w:name w:val="Tabela siatki 1 — jasna — akcent 51"/>
    <w:uiPriority w:val="99"/>
    <w:rsid w:val="006A7CE0"/>
    <w:rPr>
      <w:sz w:val="20"/>
      <w:szCs w:val="20"/>
      <w:lang w:val="en-GB" w:eastAsia="en-GB"/>
    </w:rPr>
    <w:tblPr>
      <w:tblStyleRowBandSize w:val="1"/>
      <w:tblStyleColBandSize w:val="1"/>
      <w:tblInd w:w="0" w:type="dxa"/>
      <w:tblBorders>
        <w:top w:val="single" w:sz="4" w:space="0" w:color="FDD6A5"/>
        <w:left w:val="single" w:sz="4" w:space="0" w:color="FDD6A5"/>
        <w:bottom w:val="single" w:sz="4" w:space="0" w:color="FDD6A5"/>
        <w:right w:val="single" w:sz="4" w:space="0" w:color="FDD6A5"/>
        <w:insideH w:val="single" w:sz="4" w:space="0" w:color="FDD6A5"/>
        <w:insideV w:val="single" w:sz="4" w:space="0" w:color="FDD6A5"/>
      </w:tblBorders>
      <w:tblCellMar>
        <w:top w:w="0" w:type="dxa"/>
        <w:left w:w="108" w:type="dxa"/>
        <w:bottom w:w="0" w:type="dxa"/>
        <w:right w:w="108" w:type="dxa"/>
      </w:tblCellMar>
    </w:tblPr>
    <w:tblStylePr w:type="firstRow">
      <w:rPr>
        <w:rFonts w:cs="Times New Roman"/>
        <w:b/>
        <w:bCs/>
      </w:rPr>
      <w:tblPr/>
      <w:tcPr>
        <w:tcBorders>
          <w:bottom w:val="single" w:sz="12" w:space="0" w:color="FCC278"/>
        </w:tcBorders>
      </w:tcPr>
    </w:tblStylePr>
    <w:tblStylePr w:type="lastRow">
      <w:rPr>
        <w:rFonts w:cs="Times New Roman"/>
        <w:b/>
        <w:bCs/>
      </w:rPr>
      <w:tblPr/>
      <w:tcPr>
        <w:tcBorders>
          <w:top w:val="double" w:sz="2" w:space="0" w:color="FCC278"/>
        </w:tcBorders>
      </w:tcPr>
    </w:tblStylePr>
    <w:tblStylePr w:type="firstCol">
      <w:rPr>
        <w:rFonts w:cs="Times New Roman"/>
        <w:b/>
        <w:bCs/>
      </w:rPr>
    </w:tblStylePr>
    <w:tblStylePr w:type="lastCol">
      <w:rPr>
        <w:rFonts w:cs="Times New Roman"/>
        <w:b/>
        <w:bCs/>
      </w:rPr>
    </w:tblStylePr>
  </w:style>
  <w:style w:type="table" w:customStyle="1" w:styleId="Tabelasiatki1jasnaakcent61">
    <w:name w:val="Tabela siatki 1 — jasna — akcent 61"/>
    <w:uiPriority w:val="99"/>
    <w:rsid w:val="006A7CE0"/>
    <w:rPr>
      <w:sz w:val="20"/>
      <w:szCs w:val="20"/>
      <w:lang w:val="en-GB" w:eastAsia="en-GB"/>
    </w:rPr>
    <w:tblPr>
      <w:tblStyleRowBandSize w:val="1"/>
      <w:tblStyleColBandSize w:val="1"/>
      <w:tblInd w:w="0" w:type="dxa"/>
      <w:tblBorders>
        <w:top w:val="single" w:sz="4" w:space="0" w:color="9EE9C7"/>
        <w:left w:val="single" w:sz="4" w:space="0" w:color="9EE9C7"/>
        <w:bottom w:val="single" w:sz="4" w:space="0" w:color="9EE9C7"/>
        <w:right w:val="single" w:sz="4" w:space="0" w:color="9EE9C7"/>
        <w:insideH w:val="single" w:sz="4" w:space="0" w:color="9EE9C7"/>
        <w:insideV w:val="single" w:sz="4" w:space="0" w:color="9EE9C7"/>
      </w:tblBorders>
      <w:tblCellMar>
        <w:top w:w="0" w:type="dxa"/>
        <w:left w:w="108" w:type="dxa"/>
        <w:bottom w:w="0" w:type="dxa"/>
        <w:right w:w="108" w:type="dxa"/>
      </w:tblCellMar>
    </w:tblPr>
    <w:tblStylePr w:type="firstRow">
      <w:rPr>
        <w:rFonts w:cs="Times New Roman"/>
        <w:b/>
        <w:bCs/>
      </w:rPr>
      <w:tblPr/>
      <w:tcPr>
        <w:tcBorders>
          <w:bottom w:val="single" w:sz="12" w:space="0" w:color="6EDEAC"/>
        </w:tcBorders>
      </w:tcPr>
    </w:tblStylePr>
    <w:tblStylePr w:type="lastRow">
      <w:rPr>
        <w:rFonts w:cs="Times New Roman"/>
        <w:b/>
        <w:bCs/>
      </w:rPr>
      <w:tblPr/>
      <w:tcPr>
        <w:tcBorders>
          <w:top w:val="double" w:sz="2" w:space="0" w:color="6EDEAC"/>
        </w:tcBorders>
      </w:tcPr>
    </w:tblStylePr>
    <w:tblStylePr w:type="firstCol">
      <w:rPr>
        <w:rFonts w:cs="Times New Roman"/>
        <w:b/>
        <w:bCs/>
      </w:rPr>
    </w:tblStylePr>
    <w:tblStylePr w:type="lastCol">
      <w:rPr>
        <w:rFonts w:cs="Times New Roman"/>
        <w:b/>
        <w:bCs/>
      </w:rPr>
    </w:tblStylePr>
  </w:style>
  <w:style w:type="table" w:customStyle="1" w:styleId="Tabelasiatki2akcent11">
    <w:name w:val="Tabela siatki 2 — akcent 11"/>
    <w:uiPriority w:val="99"/>
    <w:rsid w:val="006A7CE0"/>
    <w:rPr>
      <w:sz w:val="20"/>
      <w:szCs w:val="20"/>
      <w:lang w:val="en-GB" w:eastAsia="en-GB"/>
    </w:rPr>
    <w:tblPr>
      <w:tblStyleRowBandSize w:val="1"/>
      <w:tblStyleColBandSize w:val="1"/>
      <w:tblInd w:w="0" w:type="dxa"/>
      <w:tblBorders>
        <w:top w:val="single" w:sz="2" w:space="0" w:color="E481B0"/>
        <w:bottom w:val="single" w:sz="2" w:space="0" w:color="E481B0"/>
        <w:insideH w:val="single" w:sz="2" w:space="0" w:color="E481B0"/>
        <w:insideV w:val="single" w:sz="2" w:space="0" w:color="E481B0"/>
      </w:tblBorders>
      <w:tblCellMar>
        <w:top w:w="0" w:type="dxa"/>
        <w:left w:w="108" w:type="dxa"/>
        <w:bottom w:w="0" w:type="dxa"/>
        <w:right w:w="108" w:type="dxa"/>
      </w:tblCellMar>
    </w:tblPr>
    <w:tblStylePr w:type="firstRow">
      <w:rPr>
        <w:rFonts w:cs="Times New Roman"/>
        <w:b/>
        <w:bCs/>
      </w:rPr>
      <w:tblPr/>
      <w:tcPr>
        <w:tcBorders>
          <w:top w:val="nil"/>
          <w:bottom w:val="single" w:sz="12" w:space="0" w:color="E481B0"/>
          <w:insideH w:val="nil"/>
          <w:insideV w:val="nil"/>
        </w:tcBorders>
        <w:shd w:val="clear" w:color="auto" w:fill="FFFFFF"/>
      </w:tcPr>
    </w:tblStylePr>
    <w:tblStylePr w:type="lastRow">
      <w:rPr>
        <w:rFonts w:cs="Times New Roman"/>
        <w:b/>
        <w:bCs/>
      </w:rPr>
      <w:tblPr/>
      <w:tcPr>
        <w:tcBorders>
          <w:top w:val="double" w:sz="2" w:space="0" w:color="E481B0"/>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siatki2akcent21">
    <w:name w:val="Tabela siatki 2 — akcent 21"/>
    <w:uiPriority w:val="99"/>
    <w:rsid w:val="006A7CE0"/>
    <w:rPr>
      <w:sz w:val="20"/>
      <w:szCs w:val="20"/>
      <w:lang w:val="en-GB" w:eastAsia="en-GB"/>
    </w:rPr>
    <w:tblPr>
      <w:tblStyleRowBandSize w:val="1"/>
      <w:tblStyleColBandSize w:val="1"/>
      <w:tblInd w:w="0" w:type="dxa"/>
      <w:tblBorders>
        <w:top w:val="single" w:sz="2" w:space="0" w:color="7ECBED"/>
        <w:bottom w:val="single" w:sz="2" w:space="0" w:color="7ECBED"/>
        <w:insideH w:val="single" w:sz="2" w:space="0" w:color="7ECBED"/>
        <w:insideV w:val="single" w:sz="2" w:space="0" w:color="7ECBED"/>
      </w:tblBorders>
      <w:tblCellMar>
        <w:top w:w="0" w:type="dxa"/>
        <w:left w:w="108" w:type="dxa"/>
        <w:bottom w:w="0" w:type="dxa"/>
        <w:right w:w="108" w:type="dxa"/>
      </w:tblCellMar>
    </w:tblPr>
    <w:tblStylePr w:type="firstRow">
      <w:rPr>
        <w:rFonts w:cs="Times New Roman"/>
        <w:b/>
        <w:bCs/>
      </w:rPr>
      <w:tblPr/>
      <w:tcPr>
        <w:tcBorders>
          <w:top w:val="nil"/>
          <w:bottom w:val="single" w:sz="12" w:space="0" w:color="7ECBED"/>
          <w:insideH w:val="nil"/>
          <w:insideV w:val="nil"/>
        </w:tcBorders>
        <w:shd w:val="clear" w:color="auto" w:fill="FFFFFF"/>
      </w:tcPr>
    </w:tblStylePr>
    <w:tblStylePr w:type="lastRow">
      <w:rPr>
        <w:rFonts w:cs="Times New Roman"/>
        <w:b/>
        <w:bCs/>
      </w:rPr>
      <w:tblPr/>
      <w:tcPr>
        <w:tcBorders>
          <w:top w:val="double" w:sz="2" w:space="0" w:color="7ECBED"/>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siatki2akcent31">
    <w:name w:val="Tabela siatki 2 — akcent 31"/>
    <w:uiPriority w:val="99"/>
    <w:rsid w:val="006A7CE0"/>
    <w:rPr>
      <w:sz w:val="20"/>
      <w:szCs w:val="20"/>
      <w:lang w:val="en-GB" w:eastAsia="en-GB"/>
    </w:rPr>
    <w:tblPr>
      <w:tblStyleRowBandSize w:val="1"/>
      <w:tblStyleColBandSize w:val="1"/>
      <w:tblInd w:w="0" w:type="dxa"/>
      <w:tblBorders>
        <w:top w:val="single" w:sz="2" w:space="0" w:color="F6957B"/>
        <w:bottom w:val="single" w:sz="2" w:space="0" w:color="F6957B"/>
        <w:insideH w:val="single" w:sz="2" w:space="0" w:color="F6957B"/>
        <w:insideV w:val="single" w:sz="2" w:space="0" w:color="F6957B"/>
      </w:tblBorders>
      <w:tblCellMar>
        <w:top w:w="0" w:type="dxa"/>
        <w:left w:w="108" w:type="dxa"/>
        <w:bottom w:w="0" w:type="dxa"/>
        <w:right w:w="108" w:type="dxa"/>
      </w:tblCellMar>
    </w:tblPr>
    <w:tblStylePr w:type="firstRow">
      <w:rPr>
        <w:rFonts w:cs="Times New Roman"/>
        <w:b/>
        <w:bCs/>
      </w:rPr>
      <w:tblPr/>
      <w:tcPr>
        <w:tcBorders>
          <w:top w:val="nil"/>
          <w:bottom w:val="single" w:sz="12" w:space="0" w:color="F6957B"/>
          <w:insideH w:val="nil"/>
          <w:insideV w:val="nil"/>
        </w:tcBorders>
        <w:shd w:val="clear" w:color="auto" w:fill="FFFFFF"/>
      </w:tcPr>
    </w:tblStylePr>
    <w:tblStylePr w:type="lastRow">
      <w:rPr>
        <w:rFonts w:cs="Times New Roman"/>
        <w:b/>
        <w:bCs/>
      </w:rPr>
      <w:tblPr/>
      <w:tcPr>
        <w:tcBorders>
          <w:top w:val="double" w:sz="2" w:space="0" w:color="F6957B"/>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siatki2akcent41">
    <w:name w:val="Tabela siatki 2 — akcent 41"/>
    <w:uiPriority w:val="99"/>
    <w:rsid w:val="006A7CE0"/>
    <w:rPr>
      <w:sz w:val="20"/>
      <w:szCs w:val="20"/>
      <w:lang w:val="en-GB" w:eastAsia="en-GB"/>
    </w:rPr>
    <w:tblPr>
      <w:tblStyleRowBandSize w:val="1"/>
      <w:tblStyleColBandSize w:val="1"/>
      <w:tblInd w:w="0" w:type="dxa"/>
      <w:tblBorders>
        <w:top w:val="single" w:sz="2" w:space="0" w:color="A5A8D2"/>
        <w:bottom w:val="single" w:sz="2" w:space="0" w:color="A5A8D2"/>
        <w:insideH w:val="single" w:sz="2" w:space="0" w:color="A5A8D2"/>
        <w:insideV w:val="single" w:sz="2" w:space="0" w:color="A5A8D2"/>
      </w:tblBorders>
      <w:tblCellMar>
        <w:top w:w="0" w:type="dxa"/>
        <w:left w:w="108" w:type="dxa"/>
        <w:bottom w:w="0" w:type="dxa"/>
        <w:right w:w="108" w:type="dxa"/>
      </w:tblCellMar>
    </w:tblPr>
    <w:tblStylePr w:type="firstRow">
      <w:rPr>
        <w:rFonts w:cs="Times New Roman"/>
        <w:b/>
        <w:bCs/>
      </w:rPr>
      <w:tblPr/>
      <w:tcPr>
        <w:tcBorders>
          <w:top w:val="nil"/>
          <w:bottom w:val="single" w:sz="12" w:space="0" w:color="A5A8D2"/>
          <w:insideH w:val="nil"/>
          <w:insideV w:val="nil"/>
        </w:tcBorders>
        <w:shd w:val="clear" w:color="auto" w:fill="FFFFFF"/>
      </w:tcPr>
    </w:tblStylePr>
    <w:tblStylePr w:type="lastRow">
      <w:rPr>
        <w:rFonts w:cs="Times New Roman"/>
        <w:b/>
        <w:bCs/>
      </w:rPr>
      <w:tblPr/>
      <w:tcPr>
        <w:tcBorders>
          <w:top w:val="double" w:sz="2" w:space="0" w:color="A5A8D2"/>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siatki2akcent51">
    <w:name w:val="Tabela siatki 2 — akcent 51"/>
    <w:uiPriority w:val="99"/>
    <w:rsid w:val="006A7CE0"/>
    <w:rPr>
      <w:sz w:val="20"/>
      <w:szCs w:val="20"/>
      <w:lang w:val="en-GB" w:eastAsia="en-GB"/>
    </w:rPr>
    <w:tblPr>
      <w:tblStyleRowBandSize w:val="1"/>
      <w:tblStyleColBandSize w:val="1"/>
      <w:tblInd w:w="0" w:type="dxa"/>
      <w:tblBorders>
        <w:top w:val="single" w:sz="2" w:space="0" w:color="FCC278"/>
        <w:bottom w:val="single" w:sz="2" w:space="0" w:color="FCC278"/>
        <w:insideH w:val="single" w:sz="2" w:space="0" w:color="FCC278"/>
        <w:insideV w:val="single" w:sz="2" w:space="0" w:color="FCC278"/>
      </w:tblBorders>
      <w:tblCellMar>
        <w:top w:w="0" w:type="dxa"/>
        <w:left w:w="108" w:type="dxa"/>
        <w:bottom w:w="0" w:type="dxa"/>
        <w:right w:w="108" w:type="dxa"/>
      </w:tblCellMar>
    </w:tblPr>
    <w:tblStylePr w:type="firstRow">
      <w:rPr>
        <w:rFonts w:cs="Times New Roman"/>
        <w:b/>
        <w:bCs/>
      </w:rPr>
      <w:tblPr/>
      <w:tcPr>
        <w:tcBorders>
          <w:top w:val="nil"/>
          <w:bottom w:val="single" w:sz="12" w:space="0" w:color="FCC278"/>
          <w:insideH w:val="nil"/>
          <w:insideV w:val="nil"/>
        </w:tcBorders>
        <w:shd w:val="clear" w:color="auto" w:fill="FFFFFF"/>
      </w:tcPr>
    </w:tblStylePr>
    <w:tblStylePr w:type="lastRow">
      <w:rPr>
        <w:rFonts w:cs="Times New Roman"/>
        <w:b/>
        <w:bCs/>
      </w:rPr>
      <w:tblPr/>
      <w:tcPr>
        <w:tcBorders>
          <w:top w:val="double" w:sz="2" w:space="0" w:color="FCC278"/>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siatki2akcent61">
    <w:name w:val="Tabela siatki 2 — akcent 61"/>
    <w:uiPriority w:val="99"/>
    <w:rsid w:val="006A7CE0"/>
    <w:rPr>
      <w:sz w:val="20"/>
      <w:szCs w:val="20"/>
      <w:lang w:val="en-GB" w:eastAsia="en-GB"/>
    </w:rPr>
    <w:tblPr>
      <w:tblStyleRowBandSize w:val="1"/>
      <w:tblStyleColBandSize w:val="1"/>
      <w:tblInd w:w="0" w:type="dxa"/>
      <w:tblBorders>
        <w:top w:val="single" w:sz="2" w:space="0" w:color="6EDEAC"/>
        <w:bottom w:val="single" w:sz="2" w:space="0" w:color="6EDEAC"/>
        <w:insideH w:val="single" w:sz="2" w:space="0" w:color="6EDEAC"/>
        <w:insideV w:val="single" w:sz="2" w:space="0" w:color="6EDEAC"/>
      </w:tblBorders>
      <w:tblCellMar>
        <w:top w:w="0" w:type="dxa"/>
        <w:left w:w="108" w:type="dxa"/>
        <w:bottom w:w="0" w:type="dxa"/>
        <w:right w:w="108" w:type="dxa"/>
      </w:tblCellMar>
    </w:tblPr>
    <w:tblStylePr w:type="firstRow">
      <w:rPr>
        <w:rFonts w:cs="Times New Roman"/>
        <w:b/>
        <w:bCs/>
      </w:rPr>
      <w:tblPr/>
      <w:tcPr>
        <w:tcBorders>
          <w:top w:val="nil"/>
          <w:bottom w:val="single" w:sz="12" w:space="0" w:color="6EDEAC"/>
          <w:insideH w:val="nil"/>
          <w:insideV w:val="nil"/>
        </w:tcBorders>
        <w:shd w:val="clear" w:color="auto" w:fill="FFFFFF"/>
      </w:tcPr>
    </w:tblStylePr>
    <w:tblStylePr w:type="lastRow">
      <w:rPr>
        <w:rFonts w:cs="Times New Roman"/>
        <w:b/>
        <w:bCs/>
      </w:rPr>
      <w:tblPr/>
      <w:tcPr>
        <w:tcBorders>
          <w:top w:val="double" w:sz="2" w:space="0" w:color="6EDEAC"/>
          <w:bottom w:val="nil"/>
          <w:insideH w:val="nil"/>
          <w:insideV w:val="nil"/>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siatki3akcent11">
    <w:name w:val="Tabela siatki 3 — akcent 11"/>
    <w:uiPriority w:val="99"/>
    <w:rsid w:val="006A7CE0"/>
    <w:rPr>
      <w:sz w:val="20"/>
      <w:szCs w:val="20"/>
      <w:lang w:val="en-GB" w:eastAsia="en-GB"/>
    </w:rPr>
    <w:tblPr>
      <w:tblStyleRowBandSize w:val="1"/>
      <w:tblStyleColBandSize w:val="1"/>
      <w:tblInd w:w="0" w:type="dxa"/>
      <w:tblBorders>
        <w:top w:val="single" w:sz="4" w:space="0" w:color="E481B0"/>
        <w:left w:val="single" w:sz="4" w:space="0" w:color="E481B0"/>
        <w:bottom w:val="single" w:sz="4" w:space="0" w:color="E481B0"/>
        <w:right w:val="single" w:sz="4" w:space="0" w:color="E481B0"/>
        <w:insideH w:val="single" w:sz="4" w:space="0" w:color="E481B0"/>
        <w:insideV w:val="single" w:sz="4" w:space="0" w:color="E481B0"/>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tblStylePr w:type="neCell">
      <w:rPr>
        <w:rFonts w:cs="Times New Roman"/>
      </w:rPr>
      <w:tblPr/>
      <w:tcPr>
        <w:tcBorders>
          <w:bottom w:val="single" w:sz="4" w:space="0" w:color="E481B0"/>
        </w:tcBorders>
      </w:tcPr>
    </w:tblStylePr>
    <w:tblStylePr w:type="nwCell">
      <w:rPr>
        <w:rFonts w:cs="Times New Roman"/>
      </w:rPr>
      <w:tblPr/>
      <w:tcPr>
        <w:tcBorders>
          <w:bottom w:val="single" w:sz="4" w:space="0" w:color="E481B0"/>
        </w:tcBorders>
      </w:tcPr>
    </w:tblStylePr>
    <w:tblStylePr w:type="seCell">
      <w:rPr>
        <w:rFonts w:cs="Times New Roman"/>
      </w:rPr>
      <w:tblPr/>
      <w:tcPr>
        <w:tcBorders>
          <w:top w:val="single" w:sz="4" w:space="0" w:color="E481B0"/>
        </w:tcBorders>
      </w:tcPr>
    </w:tblStylePr>
    <w:tblStylePr w:type="swCell">
      <w:rPr>
        <w:rFonts w:cs="Times New Roman"/>
      </w:rPr>
      <w:tblPr/>
      <w:tcPr>
        <w:tcBorders>
          <w:top w:val="single" w:sz="4" w:space="0" w:color="E481B0"/>
        </w:tcBorders>
      </w:tcPr>
    </w:tblStylePr>
  </w:style>
  <w:style w:type="table" w:customStyle="1" w:styleId="Tabelasiatki3akcent21">
    <w:name w:val="Tabela siatki 3 — akcent 21"/>
    <w:uiPriority w:val="99"/>
    <w:rsid w:val="006A7CE0"/>
    <w:rPr>
      <w:sz w:val="20"/>
      <w:szCs w:val="20"/>
      <w:lang w:val="en-GB" w:eastAsia="en-GB"/>
    </w:rPr>
    <w:tblPr>
      <w:tblStyleRowBandSize w:val="1"/>
      <w:tblStyleColBandSize w:val="1"/>
      <w:tblInd w:w="0" w:type="dxa"/>
      <w:tblBorders>
        <w:top w:val="single" w:sz="4" w:space="0" w:color="7ECBED"/>
        <w:left w:val="single" w:sz="4" w:space="0" w:color="7ECBED"/>
        <w:bottom w:val="single" w:sz="4" w:space="0" w:color="7ECBED"/>
        <w:right w:val="single" w:sz="4" w:space="0" w:color="7ECBED"/>
        <w:insideH w:val="single" w:sz="4" w:space="0" w:color="7ECBED"/>
        <w:insideV w:val="single" w:sz="4" w:space="0" w:color="7ECBED"/>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tblStylePr w:type="neCell">
      <w:rPr>
        <w:rFonts w:cs="Times New Roman"/>
      </w:rPr>
      <w:tblPr/>
      <w:tcPr>
        <w:tcBorders>
          <w:bottom w:val="single" w:sz="4" w:space="0" w:color="7ECBED"/>
        </w:tcBorders>
      </w:tcPr>
    </w:tblStylePr>
    <w:tblStylePr w:type="nwCell">
      <w:rPr>
        <w:rFonts w:cs="Times New Roman"/>
      </w:rPr>
      <w:tblPr/>
      <w:tcPr>
        <w:tcBorders>
          <w:bottom w:val="single" w:sz="4" w:space="0" w:color="7ECBED"/>
        </w:tcBorders>
      </w:tcPr>
    </w:tblStylePr>
    <w:tblStylePr w:type="seCell">
      <w:rPr>
        <w:rFonts w:cs="Times New Roman"/>
      </w:rPr>
      <w:tblPr/>
      <w:tcPr>
        <w:tcBorders>
          <w:top w:val="single" w:sz="4" w:space="0" w:color="7ECBED"/>
        </w:tcBorders>
      </w:tcPr>
    </w:tblStylePr>
    <w:tblStylePr w:type="swCell">
      <w:rPr>
        <w:rFonts w:cs="Times New Roman"/>
      </w:rPr>
      <w:tblPr/>
      <w:tcPr>
        <w:tcBorders>
          <w:top w:val="single" w:sz="4" w:space="0" w:color="7ECBED"/>
        </w:tcBorders>
      </w:tcPr>
    </w:tblStylePr>
  </w:style>
  <w:style w:type="table" w:customStyle="1" w:styleId="Tabelasiatki3akcent31">
    <w:name w:val="Tabela siatki 3 — akcent 31"/>
    <w:uiPriority w:val="99"/>
    <w:rsid w:val="006A7CE0"/>
    <w:rPr>
      <w:sz w:val="20"/>
      <w:szCs w:val="20"/>
      <w:lang w:val="en-GB" w:eastAsia="en-GB"/>
    </w:rPr>
    <w:tblPr>
      <w:tblStyleRowBandSize w:val="1"/>
      <w:tblStyleColBandSize w:val="1"/>
      <w:tblInd w:w="0" w:type="dxa"/>
      <w:tblBorders>
        <w:top w:val="single" w:sz="4" w:space="0" w:color="F6957B"/>
        <w:left w:val="single" w:sz="4" w:space="0" w:color="F6957B"/>
        <w:bottom w:val="single" w:sz="4" w:space="0" w:color="F6957B"/>
        <w:right w:val="single" w:sz="4" w:space="0" w:color="F6957B"/>
        <w:insideH w:val="single" w:sz="4" w:space="0" w:color="F6957B"/>
        <w:insideV w:val="single" w:sz="4" w:space="0" w:color="F6957B"/>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tblStylePr w:type="neCell">
      <w:rPr>
        <w:rFonts w:cs="Times New Roman"/>
      </w:rPr>
      <w:tblPr/>
      <w:tcPr>
        <w:tcBorders>
          <w:bottom w:val="single" w:sz="4" w:space="0" w:color="F6957B"/>
        </w:tcBorders>
      </w:tcPr>
    </w:tblStylePr>
    <w:tblStylePr w:type="nwCell">
      <w:rPr>
        <w:rFonts w:cs="Times New Roman"/>
      </w:rPr>
      <w:tblPr/>
      <w:tcPr>
        <w:tcBorders>
          <w:bottom w:val="single" w:sz="4" w:space="0" w:color="F6957B"/>
        </w:tcBorders>
      </w:tcPr>
    </w:tblStylePr>
    <w:tblStylePr w:type="seCell">
      <w:rPr>
        <w:rFonts w:cs="Times New Roman"/>
      </w:rPr>
      <w:tblPr/>
      <w:tcPr>
        <w:tcBorders>
          <w:top w:val="single" w:sz="4" w:space="0" w:color="F6957B"/>
        </w:tcBorders>
      </w:tcPr>
    </w:tblStylePr>
    <w:tblStylePr w:type="swCell">
      <w:rPr>
        <w:rFonts w:cs="Times New Roman"/>
      </w:rPr>
      <w:tblPr/>
      <w:tcPr>
        <w:tcBorders>
          <w:top w:val="single" w:sz="4" w:space="0" w:color="F6957B"/>
        </w:tcBorders>
      </w:tcPr>
    </w:tblStylePr>
  </w:style>
  <w:style w:type="table" w:customStyle="1" w:styleId="Tabelasiatki3akcent41">
    <w:name w:val="Tabela siatki 3 — akcent 41"/>
    <w:uiPriority w:val="99"/>
    <w:rsid w:val="006A7CE0"/>
    <w:rPr>
      <w:sz w:val="20"/>
      <w:szCs w:val="20"/>
      <w:lang w:val="en-GB" w:eastAsia="en-GB"/>
    </w:rPr>
    <w:tblPr>
      <w:tblStyleRowBandSize w:val="1"/>
      <w:tblStyleColBandSize w:val="1"/>
      <w:tblInd w:w="0" w:type="dxa"/>
      <w:tblBorders>
        <w:top w:val="single" w:sz="4" w:space="0" w:color="A5A8D2"/>
        <w:left w:val="single" w:sz="4" w:space="0" w:color="A5A8D2"/>
        <w:bottom w:val="single" w:sz="4" w:space="0" w:color="A5A8D2"/>
        <w:right w:val="single" w:sz="4" w:space="0" w:color="A5A8D2"/>
        <w:insideH w:val="single" w:sz="4" w:space="0" w:color="A5A8D2"/>
        <w:insideV w:val="single" w:sz="4" w:space="0" w:color="A5A8D2"/>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tblStylePr w:type="neCell">
      <w:rPr>
        <w:rFonts w:cs="Times New Roman"/>
      </w:rPr>
      <w:tblPr/>
      <w:tcPr>
        <w:tcBorders>
          <w:bottom w:val="single" w:sz="4" w:space="0" w:color="A5A8D2"/>
        </w:tcBorders>
      </w:tcPr>
    </w:tblStylePr>
    <w:tblStylePr w:type="nwCell">
      <w:rPr>
        <w:rFonts w:cs="Times New Roman"/>
      </w:rPr>
      <w:tblPr/>
      <w:tcPr>
        <w:tcBorders>
          <w:bottom w:val="single" w:sz="4" w:space="0" w:color="A5A8D2"/>
        </w:tcBorders>
      </w:tcPr>
    </w:tblStylePr>
    <w:tblStylePr w:type="seCell">
      <w:rPr>
        <w:rFonts w:cs="Times New Roman"/>
      </w:rPr>
      <w:tblPr/>
      <w:tcPr>
        <w:tcBorders>
          <w:top w:val="single" w:sz="4" w:space="0" w:color="A5A8D2"/>
        </w:tcBorders>
      </w:tcPr>
    </w:tblStylePr>
    <w:tblStylePr w:type="swCell">
      <w:rPr>
        <w:rFonts w:cs="Times New Roman"/>
      </w:rPr>
      <w:tblPr/>
      <w:tcPr>
        <w:tcBorders>
          <w:top w:val="single" w:sz="4" w:space="0" w:color="A5A8D2"/>
        </w:tcBorders>
      </w:tcPr>
    </w:tblStylePr>
  </w:style>
  <w:style w:type="table" w:customStyle="1" w:styleId="Tabelasiatki3akcent51">
    <w:name w:val="Tabela siatki 3 — akcent 51"/>
    <w:uiPriority w:val="99"/>
    <w:rsid w:val="006A7CE0"/>
    <w:rPr>
      <w:sz w:val="20"/>
      <w:szCs w:val="20"/>
      <w:lang w:val="en-GB" w:eastAsia="en-GB"/>
    </w:rPr>
    <w:tblPr>
      <w:tblStyleRowBandSize w:val="1"/>
      <w:tblStyleColBandSize w:val="1"/>
      <w:tblInd w:w="0" w:type="dxa"/>
      <w:tblBorders>
        <w:top w:val="single" w:sz="4" w:space="0" w:color="FCC278"/>
        <w:left w:val="single" w:sz="4" w:space="0" w:color="FCC278"/>
        <w:bottom w:val="single" w:sz="4" w:space="0" w:color="FCC278"/>
        <w:right w:val="single" w:sz="4" w:space="0" w:color="FCC278"/>
        <w:insideH w:val="single" w:sz="4" w:space="0" w:color="FCC278"/>
        <w:insideV w:val="single" w:sz="4" w:space="0" w:color="FCC278"/>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tblStylePr w:type="neCell">
      <w:rPr>
        <w:rFonts w:cs="Times New Roman"/>
      </w:rPr>
      <w:tblPr/>
      <w:tcPr>
        <w:tcBorders>
          <w:bottom w:val="single" w:sz="4" w:space="0" w:color="FCC278"/>
        </w:tcBorders>
      </w:tcPr>
    </w:tblStylePr>
    <w:tblStylePr w:type="nwCell">
      <w:rPr>
        <w:rFonts w:cs="Times New Roman"/>
      </w:rPr>
      <w:tblPr/>
      <w:tcPr>
        <w:tcBorders>
          <w:bottom w:val="single" w:sz="4" w:space="0" w:color="FCC278"/>
        </w:tcBorders>
      </w:tcPr>
    </w:tblStylePr>
    <w:tblStylePr w:type="seCell">
      <w:rPr>
        <w:rFonts w:cs="Times New Roman"/>
      </w:rPr>
      <w:tblPr/>
      <w:tcPr>
        <w:tcBorders>
          <w:top w:val="single" w:sz="4" w:space="0" w:color="FCC278"/>
        </w:tcBorders>
      </w:tcPr>
    </w:tblStylePr>
    <w:tblStylePr w:type="swCell">
      <w:rPr>
        <w:rFonts w:cs="Times New Roman"/>
      </w:rPr>
      <w:tblPr/>
      <w:tcPr>
        <w:tcBorders>
          <w:top w:val="single" w:sz="4" w:space="0" w:color="FCC278"/>
        </w:tcBorders>
      </w:tcPr>
    </w:tblStylePr>
  </w:style>
  <w:style w:type="table" w:customStyle="1" w:styleId="Tabelasiatki3akcent61">
    <w:name w:val="Tabela siatki 3 — akcent 61"/>
    <w:uiPriority w:val="99"/>
    <w:rsid w:val="006A7CE0"/>
    <w:rPr>
      <w:sz w:val="20"/>
      <w:szCs w:val="20"/>
      <w:lang w:val="en-GB" w:eastAsia="en-GB"/>
    </w:rPr>
    <w:tblPr>
      <w:tblStyleRowBandSize w:val="1"/>
      <w:tblStyleColBandSize w:val="1"/>
      <w:tblInd w:w="0" w:type="dxa"/>
      <w:tblBorders>
        <w:top w:val="single" w:sz="4" w:space="0" w:color="6EDEAC"/>
        <w:left w:val="single" w:sz="4" w:space="0" w:color="6EDEAC"/>
        <w:bottom w:val="single" w:sz="4" w:space="0" w:color="6EDEAC"/>
        <w:right w:val="single" w:sz="4" w:space="0" w:color="6EDEAC"/>
        <w:insideH w:val="single" w:sz="4" w:space="0" w:color="6EDEAC"/>
        <w:insideV w:val="single" w:sz="4" w:space="0" w:color="6EDEAC"/>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tblStylePr w:type="neCell">
      <w:rPr>
        <w:rFonts w:cs="Times New Roman"/>
      </w:rPr>
      <w:tblPr/>
      <w:tcPr>
        <w:tcBorders>
          <w:bottom w:val="single" w:sz="4" w:space="0" w:color="6EDEAC"/>
        </w:tcBorders>
      </w:tcPr>
    </w:tblStylePr>
    <w:tblStylePr w:type="nwCell">
      <w:rPr>
        <w:rFonts w:cs="Times New Roman"/>
      </w:rPr>
      <w:tblPr/>
      <w:tcPr>
        <w:tcBorders>
          <w:bottom w:val="single" w:sz="4" w:space="0" w:color="6EDEAC"/>
        </w:tcBorders>
      </w:tcPr>
    </w:tblStylePr>
    <w:tblStylePr w:type="seCell">
      <w:rPr>
        <w:rFonts w:cs="Times New Roman"/>
      </w:rPr>
      <w:tblPr/>
      <w:tcPr>
        <w:tcBorders>
          <w:top w:val="single" w:sz="4" w:space="0" w:color="6EDEAC"/>
        </w:tcBorders>
      </w:tcPr>
    </w:tblStylePr>
    <w:tblStylePr w:type="swCell">
      <w:rPr>
        <w:rFonts w:cs="Times New Roman"/>
      </w:rPr>
      <w:tblPr/>
      <w:tcPr>
        <w:tcBorders>
          <w:top w:val="single" w:sz="4" w:space="0" w:color="6EDEAC"/>
        </w:tcBorders>
      </w:tcPr>
    </w:tblStylePr>
  </w:style>
  <w:style w:type="table" w:customStyle="1" w:styleId="Tabelasiatki4akcent11">
    <w:name w:val="Tabela siatki 4 — akcent 11"/>
    <w:uiPriority w:val="99"/>
    <w:rsid w:val="006A7CE0"/>
    <w:rPr>
      <w:sz w:val="20"/>
      <w:szCs w:val="20"/>
      <w:lang w:val="en-GB" w:eastAsia="en-GB"/>
    </w:rPr>
    <w:tblPr>
      <w:tblStyleRowBandSize w:val="1"/>
      <w:tblStyleColBandSize w:val="1"/>
      <w:tblInd w:w="0" w:type="dxa"/>
      <w:tblBorders>
        <w:top w:val="single" w:sz="4" w:space="0" w:color="E481B0"/>
        <w:left w:val="single" w:sz="4" w:space="0" w:color="E481B0"/>
        <w:bottom w:val="single" w:sz="4" w:space="0" w:color="E481B0"/>
        <w:right w:val="single" w:sz="4" w:space="0" w:color="E481B0"/>
        <w:insideH w:val="single" w:sz="4" w:space="0" w:color="E481B0"/>
        <w:insideV w:val="single" w:sz="4" w:space="0" w:color="E481B0"/>
      </w:tblBorders>
      <w:tblCellMar>
        <w:top w:w="0" w:type="dxa"/>
        <w:left w:w="108" w:type="dxa"/>
        <w:bottom w:w="0" w:type="dxa"/>
        <w:right w:w="108" w:type="dxa"/>
      </w:tblCellMar>
    </w:tblPr>
    <w:tblStylePr w:type="firstRow">
      <w:rPr>
        <w:rFonts w:cs="Times New Roman"/>
        <w:b/>
        <w:bCs/>
        <w:color w:val="FFFFFF"/>
      </w:rPr>
      <w:tblPr/>
      <w:tcPr>
        <w:tcBorders>
          <w:top w:val="single" w:sz="4" w:space="0" w:color="D22D7D"/>
          <w:left w:val="single" w:sz="4" w:space="0" w:color="D22D7D"/>
          <w:bottom w:val="single" w:sz="4" w:space="0" w:color="D22D7D"/>
          <w:right w:val="single" w:sz="4" w:space="0" w:color="D22D7D"/>
          <w:insideH w:val="nil"/>
          <w:insideV w:val="nil"/>
        </w:tcBorders>
        <w:shd w:val="clear" w:color="auto" w:fill="D22D7D"/>
      </w:tcPr>
    </w:tblStylePr>
    <w:tblStylePr w:type="lastRow">
      <w:rPr>
        <w:rFonts w:cs="Times New Roman"/>
        <w:b/>
        <w:bCs/>
      </w:rPr>
      <w:tblPr/>
      <w:tcPr>
        <w:tcBorders>
          <w:top w:val="double" w:sz="4" w:space="0" w:color="D22D7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siatki4akcent31">
    <w:name w:val="Tabela siatki 4 — akcent 31"/>
    <w:uiPriority w:val="99"/>
    <w:rsid w:val="006A7CE0"/>
    <w:rPr>
      <w:sz w:val="20"/>
      <w:szCs w:val="20"/>
      <w:lang w:val="en-GB" w:eastAsia="en-GB"/>
    </w:rPr>
    <w:tblPr>
      <w:tblStyleRowBandSize w:val="1"/>
      <w:tblStyleColBandSize w:val="1"/>
      <w:tblInd w:w="0" w:type="dxa"/>
      <w:tblBorders>
        <w:top w:val="single" w:sz="4" w:space="0" w:color="F6957B"/>
        <w:left w:val="single" w:sz="4" w:space="0" w:color="F6957B"/>
        <w:bottom w:val="single" w:sz="4" w:space="0" w:color="F6957B"/>
        <w:right w:val="single" w:sz="4" w:space="0" w:color="F6957B"/>
        <w:insideH w:val="single" w:sz="4" w:space="0" w:color="F6957B"/>
        <w:insideV w:val="single" w:sz="4" w:space="0" w:color="F6957B"/>
      </w:tblBorders>
      <w:tblCellMar>
        <w:top w:w="0" w:type="dxa"/>
        <w:left w:w="108" w:type="dxa"/>
        <w:bottom w:w="0" w:type="dxa"/>
        <w:right w:w="108" w:type="dxa"/>
      </w:tblCellMar>
    </w:tblPr>
    <w:tblStylePr w:type="firstRow">
      <w:rPr>
        <w:rFonts w:cs="Times New Roman"/>
        <w:b/>
        <w:bCs/>
        <w:color w:val="FFFFFF"/>
      </w:rPr>
      <w:tblPr/>
      <w:tcPr>
        <w:tcBorders>
          <w:top w:val="single" w:sz="4" w:space="0" w:color="F05023"/>
          <w:left w:val="single" w:sz="4" w:space="0" w:color="F05023"/>
          <w:bottom w:val="single" w:sz="4" w:space="0" w:color="F05023"/>
          <w:right w:val="single" w:sz="4" w:space="0" w:color="F05023"/>
          <w:insideH w:val="nil"/>
          <w:insideV w:val="nil"/>
        </w:tcBorders>
        <w:shd w:val="clear" w:color="auto" w:fill="F05023"/>
      </w:tcPr>
    </w:tblStylePr>
    <w:tblStylePr w:type="lastRow">
      <w:rPr>
        <w:rFonts w:cs="Times New Roman"/>
        <w:b/>
        <w:bCs/>
      </w:rPr>
      <w:tblPr/>
      <w:tcPr>
        <w:tcBorders>
          <w:top w:val="double" w:sz="4" w:space="0" w:color="F0502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siatki4akcent41">
    <w:name w:val="Tabela siatki 4 — akcent 41"/>
    <w:uiPriority w:val="99"/>
    <w:rsid w:val="006A7CE0"/>
    <w:rPr>
      <w:sz w:val="20"/>
      <w:szCs w:val="20"/>
      <w:lang w:val="en-GB" w:eastAsia="en-GB"/>
    </w:rPr>
    <w:tblPr>
      <w:tblStyleRowBandSize w:val="1"/>
      <w:tblStyleColBandSize w:val="1"/>
      <w:tblInd w:w="0" w:type="dxa"/>
      <w:tblBorders>
        <w:top w:val="single" w:sz="4" w:space="0" w:color="A5A8D2"/>
        <w:left w:val="single" w:sz="4" w:space="0" w:color="A5A8D2"/>
        <w:bottom w:val="single" w:sz="4" w:space="0" w:color="A5A8D2"/>
        <w:right w:val="single" w:sz="4" w:space="0" w:color="A5A8D2"/>
        <w:insideH w:val="single" w:sz="4" w:space="0" w:color="A5A8D2"/>
        <w:insideV w:val="single" w:sz="4" w:space="0" w:color="A5A8D2"/>
      </w:tblBorders>
      <w:tblCellMar>
        <w:top w:w="0" w:type="dxa"/>
        <w:left w:w="108" w:type="dxa"/>
        <w:bottom w:w="0" w:type="dxa"/>
        <w:right w:w="108" w:type="dxa"/>
      </w:tblCellMar>
    </w:tblPr>
    <w:tblStylePr w:type="firstRow">
      <w:rPr>
        <w:rFonts w:cs="Times New Roman"/>
        <w:b/>
        <w:bCs/>
        <w:color w:val="FFFFFF"/>
      </w:rPr>
      <w:tblPr/>
      <w:tcPr>
        <w:tcBorders>
          <w:top w:val="single" w:sz="4" w:space="0" w:color="696EB4"/>
          <w:left w:val="single" w:sz="4" w:space="0" w:color="696EB4"/>
          <w:bottom w:val="single" w:sz="4" w:space="0" w:color="696EB4"/>
          <w:right w:val="single" w:sz="4" w:space="0" w:color="696EB4"/>
          <w:insideH w:val="nil"/>
          <w:insideV w:val="nil"/>
        </w:tcBorders>
        <w:shd w:val="clear" w:color="auto" w:fill="696EB4"/>
      </w:tcPr>
    </w:tblStylePr>
    <w:tblStylePr w:type="lastRow">
      <w:rPr>
        <w:rFonts w:cs="Times New Roman"/>
        <w:b/>
        <w:bCs/>
      </w:rPr>
      <w:tblPr/>
      <w:tcPr>
        <w:tcBorders>
          <w:top w:val="double" w:sz="4" w:space="0" w:color="696EB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siatki4akcent51">
    <w:name w:val="Tabela siatki 4 — akcent 51"/>
    <w:uiPriority w:val="99"/>
    <w:rsid w:val="006A7CE0"/>
    <w:rPr>
      <w:sz w:val="20"/>
      <w:szCs w:val="20"/>
      <w:lang w:val="en-GB" w:eastAsia="en-GB"/>
    </w:rPr>
    <w:tblPr>
      <w:tblStyleRowBandSize w:val="1"/>
      <w:tblStyleColBandSize w:val="1"/>
      <w:tblInd w:w="0" w:type="dxa"/>
      <w:tblBorders>
        <w:top w:val="single" w:sz="4" w:space="0" w:color="FCC278"/>
        <w:left w:val="single" w:sz="4" w:space="0" w:color="FCC278"/>
        <w:bottom w:val="single" w:sz="4" w:space="0" w:color="FCC278"/>
        <w:right w:val="single" w:sz="4" w:space="0" w:color="FCC278"/>
        <w:insideH w:val="single" w:sz="4" w:space="0" w:color="FCC278"/>
        <w:insideV w:val="single" w:sz="4" w:space="0" w:color="FCC278"/>
      </w:tblBorders>
      <w:tblCellMar>
        <w:top w:w="0" w:type="dxa"/>
        <w:left w:w="108" w:type="dxa"/>
        <w:bottom w:w="0" w:type="dxa"/>
        <w:right w:w="108" w:type="dxa"/>
      </w:tblCellMar>
    </w:tblPr>
    <w:tblStylePr w:type="firstRow">
      <w:rPr>
        <w:rFonts w:cs="Times New Roman"/>
        <w:b/>
        <w:bCs/>
        <w:color w:val="FFFFFF"/>
      </w:rPr>
      <w:tblPr/>
      <w:tcPr>
        <w:tcBorders>
          <w:top w:val="single" w:sz="4" w:space="0" w:color="FA9B1E"/>
          <w:left w:val="single" w:sz="4" w:space="0" w:color="FA9B1E"/>
          <w:bottom w:val="single" w:sz="4" w:space="0" w:color="FA9B1E"/>
          <w:right w:val="single" w:sz="4" w:space="0" w:color="FA9B1E"/>
          <w:insideH w:val="nil"/>
          <w:insideV w:val="nil"/>
        </w:tcBorders>
        <w:shd w:val="clear" w:color="auto" w:fill="FA9B1E"/>
      </w:tcPr>
    </w:tblStylePr>
    <w:tblStylePr w:type="lastRow">
      <w:rPr>
        <w:rFonts w:cs="Times New Roman"/>
        <w:b/>
        <w:bCs/>
      </w:rPr>
      <w:tblPr/>
      <w:tcPr>
        <w:tcBorders>
          <w:top w:val="double" w:sz="4" w:space="0" w:color="FA9B1E"/>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siatki4akcent61">
    <w:name w:val="Tabela siatki 4 — akcent 61"/>
    <w:uiPriority w:val="99"/>
    <w:rsid w:val="006A7CE0"/>
    <w:rPr>
      <w:sz w:val="20"/>
      <w:szCs w:val="20"/>
      <w:lang w:val="en-GB" w:eastAsia="en-GB"/>
    </w:rPr>
    <w:tblPr>
      <w:tblStyleRowBandSize w:val="1"/>
      <w:tblStyleColBandSize w:val="1"/>
      <w:tblInd w:w="0" w:type="dxa"/>
      <w:tblBorders>
        <w:top w:val="single" w:sz="4" w:space="0" w:color="6EDEAC"/>
        <w:left w:val="single" w:sz="4" w:space="0" w:color="6EDEAC"/>
        <w:bottom w:val="single" w:sz="4" w:space="0" w:color="6EDEAC"/>
        <w:right w:val="single" w:sz="4" w:space="0" w:color="6EDEAC"/>
        <w:insideH w:val="single" w:sz="4" w:space="0" w:color="6EDEAC"/>
        <w:insideV w:val="single" w:sz="4" w:space="0" w:color="6EDEAC"/>
      </w:tblBorders>
      <w:tblCellMar>
        <w:top w:w="0" w:type="dxa"/>
        <w:left w:w="108" w:type="dxa"/>
        <w:bottom w:w="0" w:type="dxa"/>
        <w:right w:w="108" w:type="dxa"/>
      </w:tblCellMar>
    </w:tblPr>
    <w:tblStylePr w:type="firstRow">
      <w:rPr>
        <w:rFonts w:cs="Times New Roman"/>
        <w:b/>
        <w:bCs/>
        <w:color w:val="FFFFFF"/>
      </w:rPr>
      <w:tblPr/>
      <w:tcPr>
        <w:tcBorders>
          <w:top w:val="single" w:sz="4" w:space="0" w:color="28AF73"/>
          <w:left w:val="single" w:sz="4" w:space="0" w:color="28AF73"/>
          <w:bottom w:val="single" w:sz="4" w:space="0" w:color="28AF73"/>
          <w:right w:val="single" w:sz="4" w:space="0" w:color="28AF73"/>
          <w:insideH w:val="nil"/>
          <w:insideV w:val="nil"/>
        </w:tcBorders>
        <w:shd w:val="clear" w:color="auto" w:fill="28AF73"/>
      </w:tcPr>
    </w:tblStylePr>
    <w:tblStylePr w:type="lastRow">
      <w:rPr>
        <w:rFonts w:cs="Times New Roman"/>
        <w:b/>
        <w:bCs/>
      </w:rPr>
      <w:tblPr/>
      <w:tcPr>
        <w:tcBorders>
          <w:top w:val="double" w:sz="4" w:space="0" w:color="28AF7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siatki5ciemnaakcent11">
    <w:name w:val="Tabela siatki 5 — ciemna — akcent 11"/>
    <w:uiPriority w:val="99"/>
    <w:rsid w:val="006A7CE0"/>
    <w:rPr>
      <w:sz w:val="20"/>
      <w:szCs w:val="20"/>
      <w:lang w:val="en-GB" w:eastAsia="en-GB"/>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6D5E4"/>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D22D7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D22D7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D22D7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D22D7D"/>
      </w:tcPr>
    </w:tblStylePr>
    <w:tblStylePr w:type="band1Vert">
      <w:rPr>
        <w:rFonts w:cs="Times New Roman"/>
      </w:rPr>
      <w:tblPr/>
      <w:tcPr>
        <w:shd w:val="clear" w:color="auto" w:fill="EDABCA"/>
      </w:tcPr>
    </w:tblStylePr>
    <w:tblStylePr w:type="band1Horz">
      <w:rPr>
        <w:rFonts w:cs="Times New Roman"/>
      </w:rPr>
      <w:tblPr/>
      <w:tcPr>
        <w:shd w:val="clear" w:color="auto" w:fill="EDABCA"/>
      </w:tcPr>
    </w:tblStylePr>
  </w:style>
  <w:style w:type="table" w:customStyle="1" w:styleId="Tabelasiatki5ciemnaakcent21">
    <w:name w:val="Tabela siatki 5 — ciemna — akcent 21"/>
    <w:uiPriority w:val="99"/>
    <w:rsid w:val="006A7CE0"/>
    <w:rPr>
      <w:sz w:val="20"/>
      <w:szCs w:val="20"/>
      <w:lang w:val="en-GB" w:eastAsia="en-GB"/>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4EDF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28AAE1"/>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28AAE1"/>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28AAE1"/>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28AAE1"/>
      </w:tcPr>
    </w:tblStylePr>
    <w:tblStylePr w:type="band1Vert">
      <w:rPr>
        <w:rFonts w:cs="Times New Roman"/>
      </w:rPr>
      <w:tblPr/>
      <w:tcPr>
        <w:shd w:val="clear" w:color="auto" w:fill="A9DCF3"/>
      </w:tcPr>
    </w:tblStylePr>
    <w:tblStylePr w:type="band1Horz">
      <w:rPr>
        <w:rFonts w:cs="Times New Roman"/>
      </w:rPr>
      <w:tblPr/>
      <w:tcPr>
        <w:shd w:val="clear" w:color="auto" w:fill="A9DCF3"/>
      </w:tcPr>
    </w:tblStylePr>
  </w:style>
  <w:style w:type="table" w:customStyle="1" w:styleId="Tabelasiatki5ciemnaakcent31">
    <w:name w:val="Tabela siatki 5 — ciemna — akcent 31"/>
    <w:uiPriority w:val="99"/>
    <w:rsid w:val="006A7CE0"/>
    <w:rPr>
      <w:sz w:val="20"/>
      <w:szCs w:val="20"/>
      <w:lang w:val="en-GB" w:eastAsia="en-GB"/>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CDBD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05023"/>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05023"/>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05023"/>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05023"/>
      </w:tcPr>
    </w:tblStylePr>
    <w:tblStylePr w:type="band1Vert">
      <w:rPr>
        <w:rFonts w:cs="Times New Roman"/>
      </w:rPr>
      <w:tblPr/>
      <w:tcPr>
        <w:shd w:val="clear" w:color="auto" w:fill="F9B8A7"/>
      </w:tcPr>
    </w:tblStylePr>
    <w:tblStylePr w:type="band1Horz">
      <w:rPr>
        <w:rFonts w:cs="Times New Roman"/>
      </w:rPr>
      <w:tblPr/>
      <w:tcPr>
        <w:shd w:val="clear" w:color="auto" w:fill="F9B8A7"/>
      </w:tcPr>
    </w:tblStylePr>
  </w:style>
  <w:style w:type="table" w:customStyle="1" w:styleId="Tabelasiatki5ciemnaakcent41">
    <w:name w:val="Tabela siatki 5 — ciemna — akcent 41"/>
    <w:uiPriority w:val="99"/>
    <w:rsid w:val="006A7CE0"/>
    <w:rPr>
      <w:sz w:val="20"/>
      <w:szCs w:val="20"/>
      <w:lang w:val="en-GB" w:eastAsia="en-GB"/>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1E2F0"/>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696EB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696EB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696EB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696EB4"/>
      </w:tcPr>
    </w:tblStylePr>
    <w:tblStylePr w:type="band1Vert">
      <w:rPr>
        <w:rFonts w:cs="Times New Roman"/>
      </w:rPr>
      <w:tblPr/>
      <w:tcPr>
        <w:shd w:val="clear" w:color="auto" w:fill="C3C5E1"/>
      </w:tcPr>
    </w:tblStylePr>
    <w:tblStylePr w:type="band1Horz">
      <w:rPr>
        <w:rFonts w:cs="Times New Roman"/>
      </w:rPr>
      <w:tblPr/>
      <w:tcPr>
        <w:shd w:val="clear" w:color="auto" w:fill="C3C5E1"/>
      </w:tcPr>
    </w:tblStylePr>
  </w:style>
  <w:style w:type="table" w:customStyle="1" w:styleId="Tabelasiatki5ciemnaakcent51">
    <w:name w:val="Tabela siatki 5 — ciemna — akcent 51"/>
    <w:uiPriority w:val="99"/>
    <w:rsid w:val="006A7CE0"/>
    <w:rPr>
      <w:sz w:val="20"/>
      <w:szCs w:val="20"/>
      <w:lang w:val="en-GB" w:eastAsia="en-GB"/>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AD2"/>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A9B1E"/>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A9B1E"/>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A9B1E"/>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A9B1E"/>
      </w:tcPr>
    </w:tblStylePr>
    <w:tblStylePr w:type="band1Vert">
      <w:rPr>
        <w:rFonts w:cs="Times New Roman"/>
      </w:rPr>
      <w:tblPr/>
      <w:tcPr>
        <w:shd w:val="clear" w:color="auto" w:fill="FDD6A5"/>
      </w:tcPr>
    </w:tblStylePr>
    <w:tblStylePr w:type="band1Horz">
      <w:rPr>
        <w:rFonts w:cs="Times New Roman"/>
      </w:rPr>
      <w:tblPr/>
      <w:tcPr>
        <w:shd w:val="clear" w:color="auto" w:fill="FDD6A5"/>
      </w:tcPr>
    </w:tblStylePr>
  </w:style>
  <w:style w:type="table" w:customStyle="1" w:styleId="Tabelasiatki5ciemnaakcent61">
    <w:name w:val="Tabela siatki 5 — ciemna — akcent 61"/>
    <w:uiPriority w:val="99"/>
    <w:rsid w:val="006A7CE0"/>
    <w:rPr>
      <w:sz w:val="20"/>
      <w:szCs w:val="20"/>
      <w:lang w:val="en-GB" w:eastAsia="en-GB"/>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EF4E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28AF73"/>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28AF73"/>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28AF73"/>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28AF73"/>
      </w:tcPr>
    </w:tblStylePr>
    <w:tblStylePr w:type="band1Vert">
      <w:rPr>
        <w:rFonts w:cs="Times New Roman"/>
      </w:rPr>
      <w:tblPr/>
      <w:tcPr>
        <w:shd w:val="clear" w:color="auto" w:fill="9EE9C7"/>
      </w:tcPr>
    </w:tblStylePr>
    <w:tblStylePr w:type="band1Horz">
      <w:rPr>
        <w:rFonts w:cs="Times New Roman"/>
      </w:rPr>
      <w:tblPr/>
      <w:tcPr>
        <w:shd w:val="clear" w:color="auto" w:fill="9EE9C7"/>
      </w:tcPr>
    </w:tblStylePr>
  </w:style>
  <w:style w:type="table" w:customStyle="1" w:styleId="Tabelasiatki6kolorowaakcent11">
    <w:name w:val="Tabela siatki 6 — kolorowa — akcent 11"/>
    <w:uiPriority w:val="99"/>
    <w:rsid w:val="006A7CE0"/>
    <w:rPr>
      <w:color w:val="9D215D"/>
      <w:sz w:val="20"/>
      <w:szCs w:val="20"/>
      <w:lang w:val="en-GB" w:eastAsia="en-GB"/>
    </w:rPr>
    <w:tblPr>
      <w:tblStyleRowBandSize w:val="1"/>
      <w:tblStyleColBandSize w:val="1"/>
      <w:tblInd w:w="0" w:type="dxa"/>
      <w:tblBorders>
        <w:top w:val="single" w:sz="4" w:space="0" w:color="E481B0"/>
        <w:left w:val="single" w:sz="4" w:space="0" w:color="E481B0"/>
        <w:bottom w:val="single" w:sz="4" w:space="0" w:color="E481B0"/>
        <w:right w:val="single" w:sz="4" w:space="0" w:color="E481B0"/>
        <w:insideH w:val="single" w:sz="4" w:space="0" w:color="E481B0"/>
        <w:insideV w:val="single" w:sz="4" w:space="0" w:color="E481B0"/>
      </w:tblBorders>
      <w:tblCellMar>
        <w:top w:w="0" w:type="dxa"/>
        <w:left w:w="108" w:type="dxa"/>
        <w:bottom w:w="0" w:type="dxa"/>
        <w:right w:w="108" w:type="dxa"/>
      </w:tblCellMar>
    </w:tblPr>
    <w:tblStylePr w:type="firstRow">
      <w:rPr>
        <w:rFonts w:cs="Times New Roman"/>
        <w:b/>
        <w:bCs/>
      </w:rPr>
      <w:tblPr/>
      <w:tcPr>
        <w:tcBorders>
          <w:bottom w:val="single" w:sz="12" w:space="0" w:color="E481B0"/>
        </w:tcBorders>
      </w:tcPr>
    </w:tblStylePr>
    <w:tblStylePr w:type="lastRow">
      <w:rPr>
        <w:rFonts w:cs="Times New Roman"/>
        <w:b/>
        <w:bCs/>
      </w:rPr>
      <w:tblPr/>
      <w:tcPr>
        <w:tcBorders>
          <w:top w:val="double" w:sz="4" w:space="0" w:color="E481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style>
  <w:style w:type="table" w:customStyle="1" w:styleId="Tabelasiatki6kolorowaakcent21">
    <w:name w:val="Tabela siatki 6 — kolorowa — akcent 21"/>
    <w:uiPriority w:val="99"/>
    <w:rsid w:val="006A7CE0"/>
    <w:rPr>
      <w:color w:val="1881AE"/>
      <w:sz w:val="20"/>
      <w:szCs w:val="20"/>
      <w:lang w:val="en-GB" w:eastAsia="en-GB"/>
    </w:rPr>
    <w:tblPr>
      <w:tblStyleRowBandSize w:val="1"/>
      <w:tblStyleColBandSize w:val="1"/>
      <w:tblInd w:w="0" w:type="dxa"/>
      <w:tblBorders>
        <w:top w:val="single" w:sz="4" w:space="0" w:color="7ECBED"/>
        <w:left w:val="single" w:sz="4" w:space="0" w:color="7ECBED"/>
        <w:bottom w:val="single" w:sz="4" w:space="0" w:color="7ECBED"/>
        <w:right w:val="single" w:sz="4" w:space="0" w:color="7ECBED"/>
        <w:insideH w:val="single" w:sz="4" w:space="0" w:color="7ECBED"/>
        <w:insideV w:val="single" w:sz="4" w:space="0" w:color="7ECBED"/>
      </w:tblBorders>
      <w:tblCellMar>
        <w:top w:w="0" w:type="dxa"/>
        <w:left w:w="108" w:type="dxa"/>
        <w:bottom w:w="0" w:type="dxa"/>
        <w:right w:w="108" w:type="dxa"/>
      </w:tblCellMar>
    </w:tblPr>
    <w:tblStylePr w:type="firstRow">
      <w:rPr>
        <w:rFonts w:cs="Times New Roman"/>
        <w:b/>
        <w:bCs/>
      </w:rPr>
      <w:tblPr/>
      <w:tcPr>
        <w:tcBorders>
          <w:bottom w:val="single" w:sz="12" w:space="0" w:color="7ECBED"/>
        </w:tcBorders>
      </w:tcPr>
    </w:tblStylePr>
    <w:tblStylePr w:type="lastRow">
      <w:rPr>
        <w:rFonts w:cs="Times New Roman"/>
        <w:b/>
        <w:bCs/>
      </w:rPr>
      <w:tblPr/>
      <w:tcPr>
        <w:tcBorders>
          <w:top w:val="double" w:sz="4" w:space="0" w:color="7ECBE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style>
  <w:style w:type="table" w:customStyle="1" w:styleId="Tabelasiatki6kolorowaakcent31">
    <w:name w:val="Tabela siatki 6 — kolorowa — akcent 31"/>
    <w:uiPriority w:val="99"/>
    <w:rsid w:val="006A7CE0"/>
    <w:rPr>
      <w:color w:val="C0330D"/>
      <w:sz w:val="20"/>
      <w:szCs w:val="20"/>
      <w:lang w:val="en-GB" w:eastAsia="en-GB"/>
    </w:rPr>
    <w:tblPr>
      <w:tblStyleRowBandSize w:val="1"/>
      <w:tblStyleColBandSize w:val="1"/>
      <w:tblInd w:w="0" w:type="dxa"/>
      <w:tblBorders>
        <w:top w:val="single" w:sz="4" w:space="0" w:color="F6957B"/>
        <w:left w:val="single" w:sz="4" w:space="0" w:color="F6957B"/>
        <w:bottom w:val="single" w:sz="4" w:space="0" w:color="F6957B"/>
        <w:right w:val="single" w:sz="4" w:space="0" w:color="F6957B"/>
        <w:insideH w:val="single" w:sz="4" w:space="0" w:color="F6957B"/>
        <w:insideV w:val="single" w:sz="4" w:space="0" w:color="F6957B"/>
      </w:tblBorders>
      <w:tblCellMar>
        <w:top w:w="0" w:type="dxa"/>
        <w:left w:w="108" w:type="dxa"/>
        <w:bottom w:w="0" w:type="dxa"/>
        <w:right w:w="108" w:type="dxa"/>
      </w:tblCellMar>
    </w:tblPr>
    <w:tblStylePr w:type="firstRow">
      <w:rPr>
        <w:rFonts w:cs="Times New Roman"/>
        <w:b/>
        <w:bCs/>
      </w:rPr>
      <w:tblPr/>
      <w:tcPr>
        <w:tcBorders>
          <w:bottom w:val="single" w:sz="12" w:space="0" w:color="F6957B"/>
        </w:tcBorders>
      </w:tcPr>
    </w:tblStylePr>
    <w:tblStylePr w:type="lastRow">
      <w:rPr>
        <w:rFonts w:cs="Times New Roman"/>
        <w:b/>
        <w:bCs/>
      </w:rPr>
      <w:tblPr/>
      <w:tcPr>
        <w:tcBorders>
          <w:top w:val="double" w:sz="4" w:space="0" w:color="F6957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style>
  <w:style w:type="table" w:customStyle="1" w:styleId="Tabelasiatki6kolorowaakcent41">
    <w:name w:val="Tabela siatki 6 — kolorowa — akcent 41"/>
    <w:uiPriority w:val="99"/>
    <w:rsid w:val="006A7CE0"/>
    <w:rPr>
      <w:color w:val="474B8E"/>
      <w:sz w:val="20"/>
      <w:szCs w:val="20"/>
      <w:lang w:val="en-GB" w:eastAsia="en-GB"/>
    </w:rPr>
    <w:tblPr>
      <w:tblStyleRowBandSize w:val="1"/>
      <w:tblStyleColBandSize w:val="1"/>
      <w:tblInd w:w="0" w:type="dxa"/>
      <w:tblBorders>
        <w:top w:val="single" w:sz="4" w:space="0" w:color="A5A8D2"/>
        <w:left w:val="single" w:sz="4" w:space="0" w:color="A5A8D2"/>
        <w:bottom w:val="single" w:sz="4" w:space="0" w:color="A5A8D2"/>
        <w:right w:val="single" w:sz="4" w:space="0" w:color="A5A8D2"/>
        <w:insideH w:val="single" w:sz="4" w:space="0" w:color="A5A8D2"/>
        <w:insideV w:val="single" w:sz="4" w:space="0" w:color="A5A8D2"/>
      </w:tblBorders>
      <w:tblCellMar>
        <w:top w:w="0" w:type="dxa"/>
        <w:left w:w="108" w:type="dxa"/>
        <w:bottom w:w="0" w:type="dxa"/>
        <w:right w:w="108" w:type="dxa"/>
      </w:tblCellMar>
    </w:tblPr>
    <w:tblStylePr w:type="firstRow">
      <w:rPr>
        <w:rFonts w:cs="Times New Roman"/>
        <w:b/>
        <w:bCs/>
      </w:rPr>
      <w:tblPr/>
      <w:tcPr>
        <w:tcBorders>
          <w:bottom w:val="single" w:sz="12" w:space="0" w:color="A5A8D2"/>
        </w:tcBorders>
      </w:tcPr>
    </w:tblStylePr>
    <w:tblStylePr w:type="lastRow">
      <w:rPr>
        <w:rFonts w:cs="Times New Roman"/>
        <w:b/>
        <w:bCs/>
      </w:rPr>
      <w:tblPr/>
      <w:tcPr>
        <w:tcBorders>
          <w:top w:val="double" w:sz="4" w:space="0" w:color="A5A8D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style>
  <w:style w:type="table" w:customStyle="1" w:styleId="Tabelasiatki6kolorowaakcent51">
    <w:name w:val="Tabela siatki 6 — kolorowa — akcent 51"/>
    <w:uiPriority w:val="99"/>
    <w:rsid w:val="006A7CE0"/>
    <w:rPr>
      <w:color w:val="CD7504"/>
      <w:sz w:val="20"/>
      <w:szCs w:val="20"/>
      <w:lang w:val="en-GB" w:eastAsia="en-GB"/>
    </w:rPr>
    <w:tblPr>
      <w:tblStyleRowBandSize w:val="1"/>
      <w:tblStyleColBandSize w:val="1"/>
      <w:tblInd w:w="0" w:type="dxa"/>
      <w:tblBorders>
        <w:top w:val="single" w:sz="4" w:space="0" w:color="FCC278"/>
        <w:left w:val="single" w:sz="4" w:space="0" w:color="FCC278"/>
        <w:bottom w:val="single" w:sz="4" w:space="0" w:color="FCC278"/>
        <w:right w:val="single" w:sz="4" w:space="0" w:color="FCC278"/>
        <w:insideH w:val="single" w:sz="4" w:space="0" w:color="FCC278"/>
        <w:insideV w:val="single" w:sz="4" w:space="0" w:color="FCC278"/>
      </w:tblBorders>
      <w:tblCellMar>
        <w:top w:w="0" w:type="dxa"/>
        <w:left w:w="108" w:type="dxa"/>
        <w:bottom w:w="0" w:type="dxa"/>
        <w:right w:w="108" w:type="dxa"/>
      </w:tblCellMar>
    </w:tblPr>
    <w:tblStylePr w:type="firstRow">
      <w:rPr>
        <w:rFonts w:cs="Times New Roman"/>
        <w:b/>
        <w:bCs/>
      </w:rPr>
      <w:tblPr/>
      <w:tcPr>
        <w:tcBorders>
          <w:bottom w:val="single" w:sz="12" w:space="0" w:color="FCC278"/>
        </w:tcBorders>
      </w:tcPr>
    </w:tblStylePr>
    <w:tblStylePr w:type="lastRow">
      <w:rPr>
        <w:rFonts w:cs="Times New Roman"/>
        <w:b/>
        <w:bCs/>
      </w:rPr>
      <w:tblPr/>
      <w:tcPr>
        <w:tcBorders>
          <w:top w:val="double" w:sz="4" w:space="0" w:color="FCC278"/>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style>
  <w:style w:type="table" w:customStyle="1" w:styleId="Tabelasiatki6kolorowaakcent61">
    <w:name w:val="Tabela siatki 6 — kolorowa — akcent 61"/>
    <w:uiPriority w:val="99"/>
    <w:rsid w:val="006A7CE0"/>
    <w:rPr>
      <w:color w:val="1E8355"/>
      <w:sz w:val="20"/>
      <w:szCs w:val="20"/>
      <w:lang w:val="en-GB" w:eastAsia="en-GB"/>
    </w:rPr>
    <w:tblPr>
      <w:tblStyleRowBandSize w:val="1"/>
      <w:tblStyleColBandSize w:val="1"/>
      <w:tblInd w:w="0" w:type="dxa"/>
      <w:tblBorders>
        <w:top w:val="single" w:sz="4" w:space="0" w:color="6EDEAC"/>
        <w:left w:val="single" w:sz="4" w:space="0" w:color="6EDEAC"/>
        <w:bottom w:val="single" w:sz="4" w:space="0" w:color="6EDEAC"/>
        <w:right w:val="single" w:sz="4" w:space="0" w:color="6EDEAC"/>
        <w:insideH w:val="single" w:sz="4" w:space="0" w:color="6EDEAC"/>
        <w:insideV w:val="single" w:sz="4" w:space="0" w:color="6EDEAC"/>
      </w:tblBorders>
      <w:tblCellMar>
        <w:top w:w="0" w:type="dxa"/>
        <w:left w:w="108" w:type="dxa"/>
        <w:bottom w:w="0" w:type="dxa"/>
        <w:right w:w="108" w:type="dxa"/>
      </w:tblCellMar>
    </w:tblPr>
    <w:tblStylePr w:type="firstRow">
      <w:rPr>
        <w:rFonts w:cs="Times New Roman"/>
        <w:b/>
        <w:bCs/>
      </w:rPr>
      <w:tblPr/>
      <w:tcPr>
        <w:tcBorders>
          <w:bottom w:val="single" w:sz="12" w:space="0" w:color="6EDEAC"/>
        </w:tcBorders>
      </w:tcPr>
    </w:tblStylePr>
    <w:tblStylePr w:type="lastRow">
      <w:rPr>
        <w:rFonts w:cs="Times New Roman"/>
        <w:b/>
        <w:bCs/>
      </w:rPr>
      <w:tblPr/>
      <w:tcPr>
        <w:tcBorders>
          <w:top w:val="double" w:sz="4" w:space="0" w:color="6EDEAC"/>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style>
  <w:style w:type="table" w:customStyle="1" w:styleId="Tabelasiatki7kolorowa1">
    <w:name w:val="Tabela siatki 7 — kolorowa1"/>
    <w:uiPriority w:val="99"/>
    <w:rsid w:val="006A7CE0"/>
    <w:rPr>
      <w:color w:val="000000"/>
      <w:sz w:val="20"/>
      <w:szCs w:val="20"/>
      <w:lang w:val="en-GB" w:eastAsia="en-GB"/>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table" w:customStyle="1" w:styleId="Tabelasiatki7kolorowaakcent11">
    <w:name w:val="Tabela siatki 7 — kolorowa — akcent 11"/>
    <w:uiPriority w:val="99"/>
    <w:rsid w:val="006A7CE0"/>
    <w:rPr>
      <w:color w:val="9D215D"/>
      <w:sz w:val="20"/>
      <w:szCs w:val="20"/>
      <w:lang w:val="en-GB" w:eastAsia="en-GB"/>
    </w:rPr>
    <w:tblPr>
      <w:tblStyleRowBandSize w:val="1"/>
      <w:tblStyleColBandSize w:val="1"/>
      <w:tblInd w:w="0" w:type="dxa"/>
      <w:tblBorders>
        <w:top w:val="single" w:sz="4" w:space="0" w:color="E481B0"/>
        <w:left w:val="single" w:sz="4" w:space="0" w:color="E481B0"/>
        <w:bottom w:val="single" w:sz="4" w:space="0" w:color="E481B0"/>
        <w:right w:val="single" w:sz="4" w:space="0" w:color="E481B0"/>
        <w:insideH w:val="single" w:sz="4" w:space="0" w:color="E481B0"/>
        <w:insideV w:val="single" w:sz="4" w:space="0" w:color="E481B0"/>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6D5E4"/>
      </w:tcPr>
    </w:tblStylePr>
    <w:tblStylePr w:type="band1Horz">
      <w:rPr>
        <w:rFonts w:cs="Times New Roman"/>
      </w:rPr>
      <w:tblPr/>
      <w:tcPr>
        <w:shd w:val="clear" w:color="auto" w:fill="F6D5E4"/>
      </w:tcPr>
    </w:tblStylePr>
    <w:tblStylePr w:type="neCell">
      <w:rPr>
        <w:rFonts w:cs="Times New Roman"/>
      </w:rPr>
      <w:tblPr/>
      <w:tcPr>
        <w:tcBorders>
          <w:bottom w:val="single" w:sz="4" w:space="0" w:color="E481B0"/>
        </w:tcBorders>
      </w:tcPr>
    </w:tblStylePr>
    <w:tblStylePr w:type="nwCell">
      <w:rPr>
        <w:rFonts w:cs="Times New Roman"/>
      </w:rPr>
      <w:tblPr/>
      <w:tcPr>
        <w:tcBorders>
          <w:bottom w:val="single" w:sz="4" w:space="0" w:color="E481B0"/>
        </w:tcBorders>
      </w:tcPr>
    </w:tblStylePr>
    <w:tblStylePr w:type="seCell">
      <w:rPr>
        <w:rFonts w:cs="Times New Roman"/>
      </w:rPr>
      <w:tblPr/>
      <w:tcPr>
        <w:tcBorders>
          <w:top w:val="single" w:sz="4" w:space="0" w:color="E481B0"/>
        </w:tcBorders>
      </w:tcPr>
    </w:tblStylePr>
    <w:tblStylePr w:type="swCell">
      <w:rPr>
        <w:rFonts w:cs="Times New Roman"/>
      </w:rPr>
      <w:tblPr/>
      <w:tcPr>
        <w:tcBorders>
          <w:top w:val="single" w:sz="4" w:space="0" w:color="E481B0"/>
        </w:tcBorders>
      </w:tcPr>
    </w:tblStylePr>
  </w:style>
  <w:style w:type="table" w:customStyle="1" w:styleId="Tabelasiatki7kolorowaakcent21">
    <w:name w:val="Tabela siatki 7 — kolorowa — akcent 21"/>
    <w:uiPriority w:val="99"/>
    <w:rsid w:val="006A7CE0"/>
    <w:rPr>
      <w:color w:val="1881AE"/>
      <w:sz w:val="20"/>
      <w:szCs w:val="20"/>
      <w:lang w:val="en-GB" w:eastAsia="en-GB"/>
    </w:rPr>
    <w:tblPr>
      <w:tblStyleRowBandSize w:val="1"/>
      <w:tblStyleColBandSize w:val="1"/>
      <w:tblInd w:w="0" w:type="dxa"/>
      <w:tblBorders>
        <w:top w:val="single" w:sz="4" w:space="0" w:color="7ECBED"/>
        <w:left w:val="single" w:sz="4" w:space="0" w:color="7ECBED"/>
        <w:bottom w:val="single" w:sz="4" w:space="0" w:color="7ECBED"/>
        <w:right w:val="single" w:sz="4" w:space="0" w:color="7ECBED"/>
        <w:insideH w:val="single" w:sz="4" w:space="0" w:color="7ECBED"/>
        <w:insideV w:val="single" w:sz="4" w:space="0" w:color="7ECBED"/>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4EDF9"/>
      </w:tcPr>
    </w:tblStylePr>
    <w:tblStylePr w:type="band1Horz">
      <w:rPr>
        <w:rFonts w:cs="Times New Roman"/>
      </w:rPr>
      <w:tblPr/>
      <w:tcPr>
        <w:shd w:val="clear" w:color="auto" w:fill="D4EDF9"/>
      </w:tcPr>
    </w:tblStylePr>
    <w:tblStylePr w:type="neCell">
      <w:rPr>
        <w:rFonts w:cs="Times New Roman"/>
      </w:rPr>
      <w:tblPr/>
      <w:tcPr>
        <w:tcBorders>
          <w:bottom w:val="single" w:sz="4" w:space="0" w:color="7ECBED"/>
        </w:tcBorders>
      </w:tcPr>
    </w:tblStylePr>
    <w:tblStylePr w:type="nwCell">
      <w:rPr>
        <w:rFonts w:cs="Times New Roman"/>
      </w:rPr>
      <w:tblPr/>
      <w:tcPr>
        <w:tcBorders>
          <w:bottom w:val="single" w:sz="4" w:space="0" w:color="7ECBED"/>
        </w:tcBorders>
      </w:tcPr>
    </w:tblStylePr>
    <w:tblStylePr w:type="seCell">
      <w:rPr>
        <w:rFonts w:cs="Times New Roman"/>
      </w:rPr>
      <w:tblPr/>
      <w:tcPr>
        <w:tcBorders>
          <w:top w:val="single" w:sz="4" w:space="0" w:color="7ECBED"/>
        </w:tcBorders>
      </w:tcPr>
    </w:tblStylePr>
    <w:tblStylePr w:type="swCell">
      <w:rPr>
        <w:rFonts w:cs="Times New Roman"/>
      </w:rPr>
      <w:tblPr/>
      <w:tcPr>
        <w:tcBorders>
          <w:top w:val="single" w:sz="4" w:space="0" w:color="7ECBED"/>
        </w:tcBorders>
      </w:tcPr>
    </w:tblStylePr>
  </w:style>
  <w:style w:type="table" w:customStyle="1" w:styleId="Tabelasiatki7kolorowaakcent31">
    <w:name w:val="Tabela siatki 7 — kolorowa — akcent 31"/>
    <w:uiPriority w:val="99"/>
    <w:rsid w:val="006A7CE0"/>
    <w:rPr>
      <w:color w:val="C0330D"/>
      <w:sz w:val="20"/>
      <w:szCs w:val="20"/>
      <w:lang w:val="en-GB" w:eastAsia="en-GB"/>
    </w:rPr>
    <w:tblPr>
      <w:tblStyleRowBandSize w:val="1"/>
      <w:tblStyleColBandSize w:val="1"/>
      <w:tblInd w:w="0" w:type="dxa"/>
      <w:tblBorders>
        <w:top w:val="single" w:sz="4" w:space="0" w:color="F6957B"/>
        <w:left w:val="single" w:sz="4" w:space="0" w:color="F6957B"/>
        <w:bottom w:val="single" w:sz="4" w:space="0" w:color="F6957B"/>
        <w:right w:val="single" w:sz="4" w:space="0" w:color="F6957B"/>
        <w:insideH w:val="single" w:sz="4" w:space="0" w:color="F6957B"/>
        <w:insideV w:val="single" w:sz="4" w:space="0" w:color="F6957B"/>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CDBD3"/>
      </w:tcPr>
    </w:tblStylePr>
    <w:tblStylePr w:type="band1Horz">
      <w:rPr>
        <w:rFonts w:cs="Times New Roman"/>
      </w:rPr>
      <w:tblPr/>
      <w:tcPr>
        <w:shd w:val="clear" w:color="auto" w:fill="FCDBD3"/>
      </w:tcPr>
    </w:tblStylePr>
    <w:tblStylePr w:type="neCell">
      <w:rPr>
        <w:rFonts w:cs="Times New Roman"/>
      </w:rPr>
      <w:tblPr/>
      <w:tcPr>
        <w:tcBorders>
          <w:bottom w:val="single" w:sz="4" w:space="0" w:color="F6957B"/>
        </w:tcBorders>
      </w:tcPr>
    </w:tblStylePr>
    <w:tblStylePr w:type="nwCell">
      <w:rPr>
        <w:rFonts w:cs="Times New Roman"/>
      </w:rPr>
      <w:tblPr/>
      <w:tcPr>
        <w:tcBorders>
          <w:bottom w:val="single" w:sz="4" w:space="0" w:color="F6957B"/>
        </w:tcBorders>
      </w:tcPr>
    </w:tblStylePr>
    <w:tblStylePr w:type="seCell">
      <w:rPr>
        <w:rFonts w:cs="Times New Roman"/>
      </w:rPr>
      <w:tblPr/>
      <w:tcPr>
        <w:tcBorders>
          <w:top w:val="single" w:sz="4" w:space="0" w:color="F6957B"/>
        </w:tcBorders>
      </w:tcPr>
    </w:tblStylePr>
    <w:tblStylePr w:type="swCell">
      <w:rPr>
        <w:rFonts w:cs="Times New Roman"/>
      </w:rPr>
      <w:tblPr/>
      <w:tcPr>
        <w:tcBorders>
          <w:top w:val="single" w:sz="4" w:space="0" w:color="F6957B"/>
        </w:tcBorders>
      </w:tcPr>
    </w:tblStylePr>
  </w:style>
  <w:style w:type="table" w:customStyle="1" w:styleId="Tabelasiatki7kolorowaakcent41">
    <w:name w:val="Tabela siatki 7 — kolorowa — akcent 41"/>
    <w:uiPriority w:val="99"/>
    <w:rsid w:val="006A7CE0"/>
    <w:rPr>
      <w:color w:val="474B8E"/>
      <w:sz w:val="20"/>
      <w:szCs w:val="20"/>
      <w:lang w:val="en-GB" w:eastAsia="en-GB"/>
    </w:rPr>
    <w:tblPr>
      <w:tblStyleRowBandSize w:val="1"/>
      <w:tblStyleColBandSize w:val="1"/>
      <w:tblInd w:w="0" w:type="dxa"/>
      <w:tblBorders>
        <w:top w:val="single" w:sz="4" w:space="0" w:color="A5A8D2"/>
        <w:left w:val="single" w:sz="4" w:space="0" w:color="A5A8D2"/>
        <w:bottom w:val="single" w:sz="4" w:space="0" w:color="A5A8D2"/>
        <w:right w:val="single" w:sz="4" w:space="0" w:color="A5A8D2"/>
        <w:insideH w:val="single" w:sz="4" w:space="0" w:color="A5A8D2"/>
        <w:insideV w:val="single" w:sz="4" w:space="0" w:color="A5A8D2"/>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E1E2F0"/>
      </w:tcPr>
    </w:tblStylePr>
    <w:tblStylePr w:type="band1Horz">
      <w:rPr>
        <w:rFonts w:cs="Times New Roman"/>
      </w:rPr>
      <w:tblPr/>
      <w:tcPr>
        <w:shd w:val="clear" w:color="auto" w:fill="E1E2F0"/>
      </w:tcPr>
    </w:tblStylePr>
    <w:tblStylePr w:type="neCell">
      <w:rPr>
        <w:rFonts w:cs="Times New Roman"/>
      </w:rPr>
      <w:tblPr/>
      <w:tcPr>
        <w:tcBorders>
          <w:bottom w:val="single" w:sz="4" w:space="0" w:color="A5A8D2"/>
        </w:tcBorders>
      </w:tcPr>
    </w:tblStylePr>
    <w:tblStylePr w:type="nwCell">
      <w:rPr>
        <w:rFonts w:cs="Times New Roman"/>
      </w:rPr>
      <w:tblPr/>
      <w:tcPr>
        <w:tcBorders>
          <w:bottom w:val="single" w:sz="4" w:space="0" w:color="A5A8D2"/>
        </w:tcBorders>
      </w:tcPr>
    </w:tblStylePr>
    <w:tblStylePr w:type="seCell">
      <w:rPr>
        <w:rFonts w:cs="Times New Roman"/>
      </w:rPr>
      <w:tblPr/>
      <w:tcPr>
        <w:tcBorders>
          <w:top w:val="single" w:sz="4" w:space="0" w:color="A5A8D2"/>
        </w:tcBorders>
      </w:tcPr>
    </w:tblStylePr>
    <w:tblStylePr w:type="swCell">
      <w:rPr>
        <w:rFonts w:cs="Times New Roman"/>
      </w:rPr>
      <w:tblPr/>
      <w:tcPr>
        <w:tcBorders>
          <w:top w:val="single" w:sz="4" w:space="0" w:color="A5A8D2"/>
        </w:tcBorders>
      </w:tcPr>
    </w:tblStylePr>
  </w:style>
  <w:style w:type="table" w:customStyle="1" w:styleId="Tabelasiatki7kolorowaakcent51">
    <w:name w:val="Tabela siatki 7 — kolorowa — akcent 51"/>
    <w:uiPriority w:val="99"/>
    <w:rsid w:val="006A7CE0"/>
    <w:rPr>
      <w:color w:val="CD7504"/>
      <w:sz w:val="20"/>
      <w:szCs w:val="20"/>
      <w:lang w:val="en-GB" w:eastAsia="en-GB"/>
    </w:rPr>
    <w:tblPr>
      <w:tblStyleRowBandSize w:val="1"/>
      <w:tblStyleColBandSize w:val="1"/>
      <w:tblInd w:w="0" w:type="dxa"/>
      <w:tblBorders>
        <w:top w:val="single" w:sz="4" w:space="0" w:color="FCC278"/>
        <w:left w:val="single" w:sz="4" w:space="0" w:color="FCC278"/>
        <w:bottom w:val="single" w:sz="4" w:space="0" w:color="FCC278"/>
        <w:right w:val="single" w:sz="4" w:space="0" w:color="FCC278"/>
        <w:insideH w:val="single" w:sz="4" w:space="0" w:color="FCC278"/>
        <w:insideV w:val="single" w:sz="4" w:space="0" w:color="FCC278"/>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EEAD2"/>
      </w:tcPr>
    </w:tblStylePr>
    <w:tblStylePr w:type="band1Horz">
      <w:rPr>
        <w:rFonts w:cs="Times New Roman"/>
      </w:rPr>
      <w:tblPr/>
      <w:tcPr>
        <w:shd w:val="clear" w:color="auto" w:fill="FEEAD2"/>
      </w:tcPr>
    </w:tblStylePr>
    <w:tblStylePr w:type="neCell">
      <w:rPr>
        <w:rFonts w:cs="Times New Roman"/>
      </w:rPr>
      <w:tblPr/>
      <w:tcPr>
        <w:tcBorders>
          <w:bottom w:val="single" w:sz="4" w:space="0" w:color="FCC278"/>
        </w:tcBorders>
      </w:tcPr>
    </w:tblStylePr>
    <w:tblStylePr w:type="nwCell">
      <w:rPr>
        <w:rFonts w:cs="Times New Roman"/>
      </w:rPr>
      <w:tblPr/>
      <w:tcPr>
        <w:tcBorders>
          <w:bottom w:val="single" w:sz="4" w:space="0" w:color="FCC278"/>
        </w:tcBorders>
      </w:tcPr>
    </w:tblStylePr>
    <w:tblStylePr w:type="seCell">
      <w:rPr>
        <w:rFonts w:cs="Times New Roman"/>
      </w:rPr>
      <w:tblPr/>
      <w:tcPr>
        <w:tcBorders>
          <w:top w:val="single" w:sz="4" w:space="0" w:color="FCC278"/>
        </w:tcBorders>
      </w:tcPr>
    </w:tblStylePr>
    <w:tblStylePr w:type="swCell">
      <w:rPr>
        <w:rFonts w:cs="Times New Roman"/>
      </w:rPr>
      <w:tblPr/>
      <w:tcPr>
        <w:tcBorders>
          <w:top w:val="single" w:sz="4" w:space="0" w:color="FCC278"/>
        </w:tcBorders>
      </w:tcPr>
    </w:tblStylePr>
  </w:style>
  <w:style w:type="table" w:customStyle="1" w:styleId="Tabelasiatki7kolorowaakcent61">
    <w:name w:val="Tabela siatki 7 — kolorowa — akcent 61"/>
    <w:uiPriority w:val="99"/>
    <w:rsid w:val="006A7CE0"/>
    <w:rPr>
      <w:color w:val="1E8355"/>
      <w:sz w:val="20"/>
      <w:szCs w:val="20"/>
      <w:lang w:val="en-GB" w:eastAsia="en-GB"/>
    </w:rPr>
    <w:tblPr>
      <w:tblStyleRowBandSize w:val="1"/>
      <w:tblStyleColBandSize w:val="1"/>
      <w:tblInd w:w="0" w:type="dxa"/>
      <w:tblBorders>
        <w:top w:val="single" w:sz="4" w:space="0" w:color="6EDEAC"/>
        <w:left w:val="single" w:sz="4" w:space="0" w:color="6EDEAC"/>
        <w:bottom w:val="single" w:sz="4" w:space="0" w:color="6EDEAC"/>
        <w:right w:val="single" w:sz="4" w:space="0" w:color="6EDEAC"/>
        <w:insideH w:val="single" w:sz="4" w:space="0" w:color="6EDEAC"/>
        <w:insideV w:val="single" w:sz="4" w:space="0" w:color="6EDEAC"/>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EF4E3"/>
      </w:tcPr>
    </w:tblStylePr>
    <w:tblStylePr w:type="band1Horz">
      <w:rPr>
        <w:rFonts w:cs="Times New Roman"/>
      </w:rPr>
      <w:tblPr/>
      <w:tcPr>
        <w:shd w:val="clear" w:color="auto" w:fill="CEF4E3"/>
      </w:tcPr>
    </w:tblStylePr>
    <w:tblStylePr w:type="neCell">
      <w:rPr>
        <w:rFonts w:cs="Times New Roman"/>
      </w:rPr>
      <w:tblPr/>
      <w:tcPr>
        <w:tcBorders>
          <w:bottom w:val="single" w:sz="4" w:space="0" w:color="6EDEAC"/>
        </w:tcBorders>
      </w:tcPr>
    </w:tblStylePr>
    <w:tblStylePr w:type="nwCell">
      <w:rPr>
        <w:rFonts w:cs="Times New Roman"/>
      </w:rPr>
      <w:tblPr/>
      <w:tcPr>
        <w:tcBorders>
          <w:bottom w:val="single" w:sz="4" w:space="0" w:color="6EDEAC"/>
        </w:tcBorders>
      </w:tcPr>
    </w:tblStylePr>
    <w:tblStylePr w:type="seCell">
      <w:rPr>
        <w:rFonts w:cs="Times New Roman"/>
      </w:rPr>
      <w:tblPr/>
      <w:tcPr>
        <w:tcBorders>
          <w:top w:val="single" w:sz="4" w:space="0" w:color="6EDEAC"/>
        </w:tcBorders>
      </w:tcPr>
    </w:tblStylePr>
    <w:tblStylePr w:type="swCell">
      <w:rPr>
        <w:rFonts w:cs="Times New Roman"/>
      </w:rPr>
      <w:tblPr/>
      <w:tcPr>
        <w:tcBorders>
          <w:top w:val="single" w:sz="4" w:space="0" w:color="6EDEAC"/>
        </w:tcBorders>
      </w:tcPr>
    </w:tblStylePr>
  </w:style>
  <w:style w:type="paragraph" w:styleId="Tekstblokowy">
    <w:name w:val="Block Text"/>
    <w:basedOn w:val="Normalny"/>
    <w:uiPriority w:val="99"/>
    <w:semiHidden/>
    <w:rsid w:val="006A7CE0"/>
    <w:pPr>
      <w:pBdr>
        <w:top w:val="single" w:sz="2" w:space="10" w:color="D22D7D"/>
        <w:left w:val="single" w:sz="2" w:space="10" w:color="D22D7D"/>
        <w:bottom w:val="single" w:sz="2" w:space="10" w:color="D22D7D"/>
        <w:right w:val="single" w:sz="2" w:space="10" w:color="D22D7D"/>
      </w:pBdr>
      <w:ind w:left="1152" w:right="1152"/>
    </w:pPr>
    <w:rPr>
      <w:i/>
      <w:iCs/>
      <w:color w:val="D22D7D"/>
    </w:rPr>
  </w:style>
  <w:style w:type="paragraph" w:styleId="Tekstmakra">
    <w:name w:val="macro"/>
    <w:link w:val="TekstmakraZnak"/>
    <w:uiPriority w:val="99"/>
    <w:semiHidden/>
    <w:rsid w:val="006A7CE0"/>
    <w:pPr>
      <w:tabs>
        <w:tab w:val="left" w:pos="480"/>
        <w:tab w:val="left" w:pos="960"/>
        <w:tab w:val="left" w:pos="1440"/>
        <w:tab w:val="left" w:pos="1920"/>
        <w:tab w:val="left" w:pos="2400"/>
        <w:tab w:val="left" w:pos="2880"/>
        <w:tab w:val="left" w:pos="3360"/>
        <w:tab w:val="left" w:pos="3840"/>
        <w:tab w:val="left" w:pos="4320"/>
      </w:tabs>
    </w:pPr>
    <w:rPr>
      <w:rFonts w:ascii="Consolas" w:eastAsia="MS Mincho" w:hAnsi="Consolas"/>
      <w:sz w:val="20"/>
      <w:szCs w:val="20"/>
      <w:lang w:eastAsia="zh-CN"/>
    </w:rPr>
  </w:style>
  <w:style w:type="character" w:customStyle="1" w:styleId="TekstmakraZnak">
    <w:name w:val="Tekst makra Znak"/>
    <w:basedOn w:val="Domylnaczcionkaakapitu"/>
    <w:link w:val="Tekstmakra"/>
    <w:uiPriority w:val="99"/>
    <w:semiHidden/>
    <w:locked/>
    <w:rsid w:val="006A7CE0"/>
    <w:rPr>
      <w:rFonts w:ascii="Consolas" w:eastAsia="MS Mincho" w:hAnsi="Consolas" w:cs="Times New Roman"/>
      <w:lang w:val="pl-PL" w:eastAsia="zh-CN" w:bidi="ar-SA"/>
    </w:rPr>
  </w:style>
  <w:style w:type="paragraph" w:styleId="Tekstpodstawowy2">
    <w:name w:val="Body Text 2"/>
    <w:basedOn w:val="Normalny"/>
    <w:link w:val="Tekstpodstawowy2Znak"/>
    <w:uiPriority w:val="99"/>
    <w:semiHidden/>
    <w:rsid w:val="006A7CE0"/>
    <w:pPr>
      <w:spacing w:after="120" w:line="480" w:lineRule="auto"/>
    </w:pPr>
  </w:style>
  <w:style w:type="character" w:customStyle="1" w:styleId="Tekstpodstawowy2Znak">
    <w:name w:val="Tekst podstawowy 2 Znak"/>
    <w:basedOn w:val="Domylnaczcionkaakapitu"/>
    <w:link w:val="Tekstpodstawowy2"/>
    <w:uiPriority w:val="99"/>
    <w:semiHidden/>
    <w:locked/>
    <w:rsid w:val="006A7CE0"/>
    <w:rPr>
      <w:rFonts w:eastAsia="MS Mincho" w:cs="Times New Roman"/>
      <w:lang w:val="pl-PL" w:eastAsia="zh-CN"/>
    </w:rPr>
  </w:style>
  <w:style w:type="paragraph" w:styleId="Tekstpodstawowy3">
    <w:name w:val="Body Text 3"/>
    <w:basedOn w:val="Normalny"/>
    <w:link w:val="Tekstpodstawowy3Znak"/>
    <w:uiPriority w:val="99"/>
    <w:semiHidden/>
    <w:rsid w:val="006A7CE0"/>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6A7CE0"/>
    <w:rPr>
      <w:rFonts w:eastAsia="MS Mincho" w:cs="Times New Roman"/>
      <w:sz w:val="16"/>
      <w:szCs w:val="16"/>
      <w:lang w:val="pl-PL" w:eastAsia="zh-CN"/>
    </w:rPr>
  </w:style>
  <w:style w:type="paragraph" w:styleId="Tekstpodstawowywcity">
    <w:name w:val="Body Text Indent"/>
    <w:basedOn w:val="Normalny"/>
    <w:link w:val="TekstpodstawowywcityZnak"/>
    <w:uiPriority w:val="99"/>
    <w:semiHidden/>
    <w:rsid w:val="006A7CE0"/>
    <w:pPr>
      <w:spacing w:after="120"/>
      <w:ind w:left="283"/>
    </w:pPr>
  </w:style>
  <w:style w:type="character" w:customStyle="1" w:styleId="TekstpodstawowywcityZnak">
    <w:name w:val="Tekst podstawowy wcięty Znak"/>
    <w:basedOn w:val="Domylnaczcionkaakapitu"/>
    <w:link w:val="Tekstpodstawowywcity"/>
    <w:uiPriority w:val="99"/>
    <w:semiHidden/>
    <w:locked/>
    <w:rsid w:val="006A7CE0"/>
    <w:rPr>
      <w:rFonts w:eastAsia="MS Mincho" w:cs="Times New Roman"/>
      <w:lang w:val="pl-PL" w:eastAsia="zh-CN"/>
    </w:rPr>
  </w:style>
  <w:style w:type="paragraph" w:styleId="Tekstpodstawowywcity2">
    <w:name w:val="Body Text Indent 2"/>
    <w:basedOn w:val="Normalny"/>
    <w:link w:val="Tekstpodstawowywcity2Znak"/>
    <w:uiPriority w:val="99"/>
    <w:semiHidden/>
    <w:rsid w:val="006A7CE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locked/>
    <w:rsid w:val="006A7CE0"/>
    <w:rPr>
      <w:rFonts w:eastAsia="MS Mincho" w:cs="Times New Roman"/>
      <w:lang w:val="pl-PL" w:eastAsia="zh-CN"/>
    </w:rPr>
  </w:style>
  <w:style w:type="paragraph" w:styleId="Tekstpodstawowywcity3">
    <w:name w:val="Body Text Indent 3"/>
    <w:basedOn w:val="Normalny"/>
    <w:link w:val="Tekstpodstawowywcity3Znak"/>
    <w:uiPriority w:val="99"/>
    <w:semiHidden/>
    <w:rsid w:val="006A7CE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sid w:val="006A7CE0"/>
    <w:rPr>
      <w:rFonts w:eastAsia="MS Mincho" w:cs="Times New Roman"/>
      <w:sz w:val="16"/>
      <w:szCs w:val="16"/>
      <w:lang w:val="pl-PL" w:eastAsia="zh-CN"/>
    </w:rPr>
  </w:style>
  <w:style w:type="paragraph" w:styleId="Tekstpodstawowyzwciciem">
    <w:name w:val="Body Text First Indent"/>
    <w:basedOn w:val="Tekstpodstawowy"/>
    <w:link w:val="TekstpodstawowyzwciciemZnak"/>
    <w:uiPriority w:val="99"/>
    <w:semiHidden/>
    <w:rsid w:val="006A7CE0"/>
    <w:pPr>
      <w:ind w:left="0" w:firstLine="360"/>
    </w:pPr>
  </w:style>
  <w:style w:type="character" w:customStyle="1" w:styleId="TekstpodstawowyzwciciemZnak">
    <w:name w:val="Tekst podstawowy z wcięciem Znak"/>
    <w:basedOn w:val="TekstpodstawowyZnak"/>
    <w:link w:val="Tekstpodstawowyzwciciem"/>
    <w:uiPriority w:val="99"/>
    <w:semiHidden/>
    <w:locked/>
    <w:rsid w:val="006A7CE0"/>
    <w:rPr>
      <w:rFonts w:eastAsia="MS Mincho" w:cs="Times New Roman"/>
      <w:lang w:val="pl-PL" w:eastAsia="zh-CN"/>
    </w:rPr>
  </w:style>
  <w:style w:type="paragraph" w:styleId="Tekstpodstawowyzwciciem2">
    <w:name w:val="Body Text First Indent 2"/>
    <w:basedOn w:val="Tekstpodstawowywcity"/>
    <w:link w:val="Tekstpodstawowyzwciciem2Znak"/>
    <w:uiPriority w:val="99"/>
    <w:semiHidden/>
    <w:rsid w:val="006A7CE0"/>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locked/>
    <w:rsid w:val="006A7CE0"/>
    <w:rPr>
      <w:rFonts w:eastAsia="MS Mincho" w:cs="Times New Roman"/>
      <w:lang w:val="pl-PL" w:eastAsia="zh-CN"/>
    </w:rPr>
  </w:style>
  <w:style w:type="paragraph" w:styleId="Tekstprzypisudolnego">
    <w:name w:val="footnote text"/>
    <w:aliases w:val="Tekst przypisu dolnego Znak1,Tekst przypisu dolnego Znak Znak,Tekst przypisu dolnego Znak1 Znak Znak,Tekst przypisu dolnego Znak Znak Znak Znak,Tekst przypisu dolnego Znak1 Znak Znak Znak Znak,Podrozdział,Tekst przypisu1,Znak,fn"/>
    <w:basedOn w:val="Normalny"/>
    <w:link w:val="TekstprzypisudolnegoZnak"/>
    <w:uiPriority w:val="99"/>
    <w:qFormat/>
    <w:rsid w:val="006A7CE0"/>
    <w:rPr>
      <w:sz w:val="20"/>
      <w:szCs w:val="20"/>
    </w:rPr>
  </w:style>
  <w:style w:type="character" w:customStyle="1" w:styleId="FootnoteTextChar">
    <w:name w:val="Footnote Text Char"/>
    <w:aliases w:val="Tekst przypisu dolnego Znak1 Char,Tekst przypisu dolnego Znak Znak Char,Tekst przypisu dolnego Znak1 Znak Znak Char,Tekst przypisu dolnego Znak Znak Znak Znak Char,Tekst przypisu dolnego Znak1 Znak Znak Znak Znak Char,Podrozdział Char"/>
    <w:basedOn w:val="Domylnaczcionkaakapitu"/>
    <w:uiPriority w:val="99"/>
    <w:semiHidden/>
    <w:rsid w:val="001547B8"/>
    <w:rPr>
      <w:rFonts w:eastAsia="MS Mincho"/>
      <w:sz w:val="20"/>
      <w:szCs w:val="20"/>
      <w:lang w:eastAsia="zh-CN"/>
    </w:rPr>
  </w:style>
  <w:style w:type="character" w:customStyle="1" w:styleId="TekstprzypisudolnegoZnak">
    <w:name w:val="Tekst przypisu dolnego Znak"/>
    <w:aliases w:val="Tekst przypisu dolnego Znak1 Znak1,Tekst przypisu dolnego Znak Znak Znak1,Tekst przypisu dolnego Znak1 Znak Znak Znak1,Tekst przypisu dolnego Znak Znak Znak Znak Znak1,Tekst przypisu dolnego Znak1 Znak Znak Znak Znak Znak"/>
    <w:basedOn w:val="Domylnaczcionkaakapitu"/>
    <w:link w:val="Tekstprzypisudolnego"/>
    <w:uiPriority w:val="99"/>
    <w:locked/>
    <w:rsid w:val="006A7CE0"/>
    <w:rPr>
      <w:rFonts w:eastAsia="MS Mincho" w:cs="Times New Roman"/>
      <w:sz w:val="20"/>
      <w:szCs w:val="20"/>
      <w:lang w:val="pl-PL" w:eastAsia="zh-CN"/>
    </w:rPr>
  </w:style>
  <w:style w:type="paragraph" w:styleId="Tekstprzypisukocowego">
    <w:name w:val="endnote text"/>
    <w:basedOn w:val="Normalny"/>
    <w:link w:val="TekstprzypisukocowegoZnak"/>
    <w:uiPriority w:val="99"/>
    <w:semiHidden/>
    <w:rsid w:val="006A7CE0"/>
    <w:rPr>
      <w:sz w:val="20"/>
      <w:szCs w:val="20"/>
    </w:rPr>
  </w:style>
  <w:style w:type="character" w:customStyle="1" w:styleId="TekstprzypisukocowegoZnak">
    <w:name w:val="Tekst przypisu końcowego Znak"/>
    <w:basedOn w:val="Domylnaczcionkaakapitu"/>
    <w:link w:val="Tekstprzypisukocowego"/>
    <w:uiPriority w:val="99"/>
    <w:semiHidden/>
    <w:locked/>
    <w:rsid w:val="006A7CE0"/>
    <w:rPr>
      <w:rFonts w:eastAsia="MS Mincho" w:cs="Times New Roman"/>
      <w:sz w:val="20"/>
      <w:szCs w:val="20"/>
      <w:lang w:val="pl-PL" w:eastAsia="zh-CN"/>
    </w:rPr>
  </w:style>
  <w:style w:type="paragraph" w:styleId="Tytu">
    <w:name w:val="Title"/>
    <w:basedOn w:val="Normalny"/>
    <w:next w:val="Normalny"/>
    <w:link w:val="TytuZnak"/>
    <w:uiPriority w:val="99"/>
    <w:qFormat/>
    <w:rsid w:val="006A7CE0"/>
    <w:pPr>
      <w:contextualSpacing/>
    </w:pPr>
    <w:rPr>
      <w:rFonts w:eastAsia="MS Gothic"/>
      <w:spacing w:val="-10"/>
      <w:kern w:val="28"/>
      <w:sz w:val="56"/>
      <w:szCs w:val="56"/>
    </w:rPr>
  </w:style>
  <w:style w:type="character" w:customStyle="1" w:styleId="TytuZnak">
    <w:name w:val="Tytuł Znak"/>
    <w:basedOn w:val="Domylnaczcionkaakapitu"/>
    <w:link w:val="Tytu"/>
    <w:uiPriority w:val="99"/>
    <w:locked/>
    <w:rsid w:val="006A7CE0"/>
    <w:rPr>
      <w:rFonts w:ascii="Times New Roman" w:eastAsia="MS Gothic" w:hAnsi="Times New Roman" w:cs="Times New Roman"/>
      <w:spacing w:val="-10"/>
      <w:kern w:val="28"/>
      <w:sz w:val="56"/>
      <w:szCs w:val="56"/>
      <w:lang w:val="pl-PL" w:eastAsia="zh-CN"/>
    </w:rPr>
  </w:style>
  <w:style w:type="character" w:styleId="Tytuksiki">
    <w:name w:val="Book Title"/>
    <w:basedOn w:val="Domylnaczcionkaakapitu"/>
    <w:uiPriority w:val="99"/>
    <w:qFormat/>
    <w:rsid w:val="006A7CE0"/>
    <w:rPr>
      <w:rFonts w:cs="Times New Roman"/>
      <w:b/>
      <w:bCs/>
      <w:i/>
      <w:iCs/>
      <w:spacing w:val="5"/>
      <w:lang w:val="pl-PL"/>
    </w:rPr>
  </w:style>
  <w:style w:type="character" w:styleId="Uwydatnienie">
    <w:name w:val="Emphasis"/>
    <w:basedOn w:val="Domylnaczcionkaakapitu"/>
    <w:uiPriority w:val="99"/>
    <w:qFormat/>
    <w:rsid w:val="006A7CE0"/>
    <w:rPr>
      <w:rFonts w:cs="Times New Roman"/>
      <w:i/>
      <w:iCs/>
      <w:lang w:val="pl-PL"/>
    </w:rPr>
  </w:style>
  <w:style w:type="character" w:styleId="UyteHipercze">
    <w:name w:val="FollowedHyperlink"/>
    <w:basedOn w:val="Domylnaczcionkaakapitu"/>
    <w:uiPriority w:val="99"/>
    <w:semiHidden/>
    <w:rsid w:val="006A7CE0"/>
    <w:rPr>
      <w:rFonts w:cs="Times New Roman"/>
      <w:color w:val="7F7F7F"/>
      <w:u w:val="single"/>
      <w:lang w:val="pl-PL"/>
    </w:rPr>
  </w:style>
  <w:style w:type="paragraph" w:styleId="Wykazrde">
    <w:name w:val="table of authorities"/>
    <w:basedOn w:val="Normalny"/>
    <w:next w:val="Normalny"/>
    <w:uiPriority w:val="99"/>
    <w:semiHidden/>
    <w:rsid w:val="006A7CE0"/>
    <w:pPr>
      <w:ind w:left="240" w:hanging="240"/>
    </w:pPr>
  </w:style>
  <w:style w:type="character" w:styleId="Wyrnieniedelikatne">
    <w:name w:val="Subtle Emphasis"/>
    <w:basedOn w:val="Domylnaczcionkaakapitu"/>
    <w:uiPriority w:val="99"/>
    <w:qFormat/>
    <w:rsid w:val="006A7CE0"/>
    <w:rPr>
      <w:rFonts w:cs="Times New Roman"/>
      <w:i/>
      <w:iCs/>
      <w:color w:val="404040"/>
      <w:lang w:val="pl-PL"/>
    </w:rPr>
  </w:style>
  <w:style w:type="character" w:styleId="Wyrnienieintensywne">
    <w:name w:val="Intense Emphasis"/>
    <w:basedOn w:val="Domylnaczcionkaakapitu"/>
    <w:uiPriority w:val="99"/>
    <w:qFormat/>
    <w:rsid w:val="006A7CE0"/>
    <w:rPr>
      <w:rFonts w:cs="Times New Roman"/>
      <w:i/>
      <w:iCs/>
      <w:color w:val="D22D7D"/>
      <w:lang w:val="pl-PL"/>
    </w:rPr>
  </w:style>
  <w:style w:type="character" w:customStyle="1" w:styleId="Wzmianka1">
    <w:name w:val="Wzmianka1"/>
    <w:basedOn w:val="Domylnaczcionkaakapitu"/>
    <w:uiPriority w:val="99"/>
    <w:semiHidden/>
    <w:rsid w:val="006A7CE0"/>
    <w:rPr>
      <w:rFonts w:cs="Times New Roman"/>
      <w:color w:val="2B579A"/>
      <w:shd w:val="clear" w:color="auto" w:fill="E1DFDD"/>
      <w:lang w:val="pl-PL"/>
    </w:rPr>
  </w:style>
  <w:style w:type="paragraph" w:styleId="Zwrotgrzecznociowy">
    <w:name w:val="Salutation"/>
    <w:basedOn w:val="Normalny"/>
    <w:next w:val="Normalny"/>
    <w:link w:val="ZwrotgrzecznociowyZnak"/>
    <w:uiPriority w:val="99"/>
    <w:semiHidden/>
    <w:rsid w:val="006A7CE0"/>
  </w:style>
  <w:style w:type="character" w:customStyle="1" w:styleId="ZwrotgrzecznociowyZnak">
    <w:name w:val="Zwrot grzecznościowy Znak"/>
    <w:basedOn w:val="Domylnaczcionkaakapitu"/>
    <w:link w:val="Zwrotgrzecznociowy"/>
    <w:uiPriority w:val="99"/>
    <w:semiHidden/>
    <w:locked/>
    <w:rsid w:val="006A7CE0"/>
    <w:rPr>
      <w:rFonts w:eastAsia="MS Mincho" w:cs="Times New Roman"/>
      <w:lang w:val="pl-PL" w:eastAsia="zh-CN"/>
    </w:rPr>
  </w:style>
  <w:style w:type="paragraph" w:styleId="Zwrotpoegnalny">
    <w:name w:val="Closing"/>
    <w:basedOn w:val="Normalny"/>
    <w:link w:val="ZwrotpoegnalnyZnak"/>
    <w:uiPriority w:val="99"/>
    <w:semiHidden/>
    <w:rsid w:val="006A7CE0"/>
    <w:pPr>
      <w:ind w:left="4252"/>
    </w:pPr>
  </w:style>
  <w:style w:type="character" w:customStyle="1" w:styleId="ZwrotpoegnalnyZnak">
    <w:name w:val="Zwrot pożegnalny Znak"/>
    <w:basedOn w:val="Domylnaczcionkaakapitu"/>
    <w:link w:val="Zwrotpoegnalny"/>
    <w:uiPriority w:val="99"/>
    <w:semiHidden/>
    <w:locked/>
    <w:rsid w:val="006A7CE0"/>
    <w:rPr>
      <w:rFonts w:eastAsia="MS Mincho" w:cs="Times New Roman"/>
      <w:lang w:val="pl-PL" w:eastAsia="zh-CN"/>
    </w:rPr>
  </w:style>
  <w:style w:type="table" w:customStyle="1" w:styleId="Zwykatabela11">
    <w:name w:val="Zwykła tabela 11"/>
    <w:uiPriority w:val="99"/>
    <w:rsid w:val="006A7CE0"/>
    <w:rPr>
      <w:sz w:val="20"/>
      <w:szCs w:val="20"/>
      <w:lang w:val="en-GB" w:eastAsia="en-GB"/>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Zwykatabela21">
    <w:name w:val="Zwykła tabela 21"/>
    <w:uiPriority w:val="99"/>
    <w:rsid w:val="006A7CE0"/>
    <w:rPr>
      <w:sz w:val="20"/>
      <w:szCs w:val="20"/>
      <w:lang w:val="en-GB" w:eastAsia="en-GB"/>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table" w:customStyle="1" w:styleId="Zwykatabela31">
    <w:name w:val="Zwykła tabela 3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Zwykatabela41">
    <w:name w:val="Zwykła tabela 4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Zwykatabela51">
    <w:name w:val="Zwykła tabela 51"/>
    <w:uiPriority w:val="99"/>
    <w:rsid w:val="006A7CE0"/>
    <w:rPr>
      <w:sz w:val="20"/>
      <w:szCs w:val="20"/>
      <w:lang w:val="en-GB" w:eastAsia="en-GB"/>
    </w:rPr>
    <w:tblPr>
      <w:tblStyleRowBandSize w:val="1"/>
      <w:tblStyleColBandSize w:val="1"/>
      <w:tblInd w:w="0" w:type="dxa"/>
      <w:tblCellMar>
        <w:top w:w="0" w:type="dxa"/>
        <w:left w:w="108" w:type="dxa"/>
        <w:bottom w:w="0" w:type="dxa"/>
        <w:right w:w="108" w:type="dxa"/>
      </w:tblCellMar>
    </w:tblPr>
    <w:tblStylePr w:type="firstRow">
      <w:rPr>
        <w:rFonts w:ascii="Times New Roman" w:eastAsia="MS Gothic" w:hAnsi="Times New Roman" w:cs="Times New Roman"/>
        <w:i/>
        <w:iCs/>
        <w:sz w:val="26"/>
      </w:rPr>
      <w:tblPr/>
      <w:tcPr>
        <w:tcBorders>
          <w:bottom w:val="single" w:sz="4" w:space="0" w:color="7F7F7F"/>
        </w:tcBorders>
        <w:shd w:val="clear" w:color="auto" w:fill="FFFFFF"/>
      </w:tcPr>
    </w:tblStylePr>
    <w:tblStylePr w:type="lastRow">
      <w:rPr>
        <w:rFonts w:ascii="Times New Roman" w:eastAsia="MS Gothic" w:hAnsi="Times New Roman" w:cs="Times New Roman"/>
        <w:i/>
        <w:iCs/>
        <w:sz w:val="26"/>
      </w:rPr>
      <w:tblPr/>
      <w:tcPr>
        <w:tcBorders>
          <w:top w:val="single" w:sz="4" w:space="0" w:color="7F7F7F"/>
        </w:tcBorders>
        <w:shd w:val="clear" w:color="auto" w:fill="FFFFFF"/>
      </w:tcPr>
    </w:tblStylePr>
    <w:tblStylePr w:type="firstCol">
      <w:pPr>
        <w:jc w:val="right"/>
      </w:pPr>
      <w:rPr>
        <w:rFonts w:ascii="Times New Roman" w:eastAsia="MS Gothic" w:hAnsi="Times New Roman" w:cs="Times New Roman"/>
        <w:i/>
        <w:iCs/>
        <w:sz w:val="26"/>
      </w:rPr>
      <w:tblPr/>
      <w:tcPr>
        <w:tcBorders>
          <w:right w:val="single" w:sz="4" w:space="0" w:color="7F7F7F"/>
        </w:tcBorders>
        <w:shd w:val="clear" w:color="auto" w:fill="FFFFFF"/>
      </w:tcPr>
    </w:tblStylePr>
    <w:tblStylePr w:type="lastCol">
      <w:rPr>
        <w:rFonts w:ascii="Times New Roman" w:eastAsia="MS Gothic" w:hAnsi="Times New Roman" w:cs="Times New Roman"/>
        <w:i/>
        <w:iCs/>
        <w:sz w:val="26"/>
      </w:rPr>
      <w:tblPr/>
      <w:tcPr>
        <w:tcBorders>
          <w:left w:val="single" w:sz="4" w:space="0" w:color="7F7F7F"/>
        </w:tcBorders>
        <w:shd w:val="clear" w:color="auto" w:fill="FFFFFF"/>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paragraph" w:styleId="Zwykytekst">
    <w:name w:val="Plain Text"/>
    <w:basedOn w:val="Normalny"/>
    <w:link w:val="ZwykytekstZnak"/>
    <w:uiPriority w:val="99"/>
    <w:semiHidden/>
    <w:rsid w:val="006A7CE0"/>
    <w:rPr>
      <w:rFonts w:ascii="Consolas" w:hAnsi="Consolas"/>
      <w:sz w:val="21"/>
      <w:szCs w:val="21"/>
    </w:rPr>
  </w:style>
  <w:style w:type="character" w:customStyle="1" w:styleId="ZwykytekstZnak">
    <w:name w:val="Zwykły tekst Znak"/>
    <w:basedOn w:val="Domylnaczcionkaakapitu"/>
    <w:link w:val="Zwykytekst"/>
    <w:uiPriority w:val="99"/>
    <w:semiHidden/>
    <w:locked/>
    <w:rsid w:val="006A7CE0"/>
    <w:rPr>
      <w:rFonts w:ascii="Consolas" w:eastAsia="MS Mincho" w:hAnsi="Consolas" w:cs="Times New Roman"/>
      <w:sz w:val="21"/>
      <w:szCs w:val="21"/>
      <w:lang w:val="pl-PL" w:eastAsia="zh-CN"/>
    </w:rPr>
  </w:style>
  <w:style w:type="paragraph" w:customStyle="1" w:styleId="Nrlist">
    <w:name w:val="Nr list"/>
    <w:basedOn w:val="ReportListNumber"/>
    <w:link w:val="NrlistZnak"/>
    <w:uiPriority w:val="99"/>
    <w:rsid w:val="00C53A76"/>
    <w:pPr>
      <w:ind w:left="0" w:firstLine="0"/>
    </w:pPr>
  </w:style>
  <w:style w:type="character" w:customStyle="1" w:styleId="ReportListNumberZnak">
    <w:name w:val="Report List Number Znak"/>
    <w:basedOn w:val="Domylnaczcionkaakapitu"/>
    <w:link w:val="ReportListNumber"/>
    <w:uiPriority w:val="99"/>
    <w:locked/>
    <w:rsid w:val="00C53A76"/>
    <w:rPr>
      <w:rFonts w:eastAsia="MS Mincho" w:cs="Times New Roman"/>
      <w:sz w:val="24"/>
      <w:szCs w:val="24"/>
      <w:lang w:val="pl-PL" w:eastAsia="zh-CN" w:bidi="ar-SA"/>
    </w:rPr>
  </w:style>
  <w:style w:type="character" w:customStyle="1" w:styleId="NrlistZnak">
    <w:name w:val="Nr list Znak"/>
    <w:basedOn w:val="ReportListNumberZnak"/>
    <w:link w:val="Nrlist"/>
    <w:uiPriority w:val="99"/>
    <w:locked/>
    <w:rsid w:val="00C53A76"/>
    <w:rPr>
      <w:rFonts w:eastAsia="MS Mincho" w:cs="Times New Roman"/>
      <w:sz w:val="24"/>
      <w:szCs w:val="24"/>
      <w:lang w:val="pl-PL" w:eastAsia="zh-CN" w:bidi="ar-SA"/>
    </w:rPr>
  </w:style>
  <w:style w:type="character" w:customStyle="1" w:styleId="AkapitzlistZnak">
    <w:name w:val="Akapit z listą Znak"/>
    <w:aliases w:val="List_Paragraph Znak,Multilevel para_II Znak,List Paragraph1 Znak,Akapit z listą BS Znak,Bullet1 Znak,Bullets Znak,List Paragraph 1 Znak,References Znak,List Paragraph (numbered (a)) Znak,IBL List Paragraph Znak,Ha Znak"/>
    <w:link w:val="Akapitzlist"/>
    <w:locked/>
    <w:rsid w:val="00242607"/>
    <w:rPr>
      <w:rFonts w:eastAsia="MS Mincho"/>
      <w:lang w:val="pl-PL" w:eastAsia="zh-CN"/>
    </w:rPr>
  </w:style>
  <w:style w:type="paragraph" w:customStyle="1" w:styleId="Default">
    <w:name w:val="Default"/>
    <w:uiPriority w:val="99"/>
    <w:rsid w:val="004E5748"/>
    <w:pPr>
      <w:autoSpaceDE w:val="0"/>
      <w:autoSpaceDN w:val="0"/>
      <w:adjustRightInd w:val="0"/>
    </w:pPr>
    <w:rPr>
      <w:rFonts w:ascii="Verdana" w:hAnsi="Verdana" w:cs="Verdana"/>
      <w:color w:val="000000"/>
      <w:sz w:val="24"/>
      <w:szCs w:val="24"/>
      <w:lang w:eastAsia="en-US"/>
    </w:rPr>
  </w:style>
  <w:style w:type="character" w:customStyle="1" w:styleId="gmail-fontstyle0">
    <w:name w:val="gmail-fontstyle0"/>
    <w:basedOn w:val="Domylnaczcionkaakapitu"/>
    <w:uiPriority w:val="99"/>
    <w:rsid w:val="007A67A6"/>
    <w:rPr>
      <w:rFonts w:cs="Times New Roman"/>
    </w:rPr>
  </w:style>
  <w:style w:type="character" w:customStyle="1" w:styleId="gmail-fontstyle01">
    <w:name w:val="gmail-fontstyle01"/>
    <w:basedOn w:val="Domylnaczcionkaakapitu"/>
    <w:uiPriority w:val="99"/>
    <w:rsid w:val="007A67A6"/>
    <w:rPr>
      <w:rFonts w:cs="Times New Roman"/>
    </w:rPr>
  </w:style>
  <w:style w:type="character" w:customStyle="1" w:styleId="fontstyle01">
    <w:name w:val="fontstyle01"/>
    <w:basedOn w:val="Domylnaczcionkaakapitu"/>
    <w:uiPriority w:val="99"/>
    <w:rsid w:val="00C5390B"/>
    <w:rPr>
      <w:rFonts w:ascii="TimesNewRomanPSMT" w:hAnsi="TimesNewRomanPSMT" w:cs="Times New Roman"/>
      <w:color w:val="2C2C2D"/>
      <w:sz w:val="36"/>
      <w:szCs w:val="36"/>
    </w:rPr>
  </w:style>
  <w:style w:type="paragraph" w:customStyle="1" w:styleId="Akapitzlist1">
    <w:name w:val="Akapit z listą1"/>
    <w:basedOn w:val="Normalny"/>
    <w:link w:val="ListParagraphChar"/>
    <w:uiPriority w:val="99"/>
    <w:rsid w:val="003E2E9F"/>
    <w:pPr>
      <w:spacing w:after="160" w:line="259" w:lineRule="auto"/>
      <w:ind w:left="720"/>
      <w:contextualSpacing/>
    </w:pPr>
    <w:rPr>
      <w:rFonts w:ascii="Calibri" w:eastAsia="SimSun" w:hAnsi="Calibri"/>
      <w:sz w:val="22"/>
      <w:szCs w:val="22"/>
      <w:lang w:eastAsia="en-US"/>
    </w:rPr>
  </w:style>
  <w:style w:type="character" w:customStyle="1" w:styleId="ListParagraphChar">
    <w:name w:val="List Paragraph Char"/>
    <w:basedOn w:val="Domylnaczcionkaakapitu"/>
    <w:link w:val="Akapitzlist1"/>
    <w:uiPriority w:val="99"/>
    <w:locked/>
    <w:rsid w:val="003E2E9F"/>
    <w:rPr>
      <w:rFonts w:ascii="Calibri" w:hAnsi="Calibri" w:cs="Times New Roman"/>
      <w:sz w:val="22"/>
      <w:szCs w:val="22"/>
      <w:lang w:val="pl-PL"/>
    </w:rPr>
  </w:style>
  <w:style w:type="character" w:customStyle="1" w:styleId="markedcontent">
    <w:name w:val="markedcontent"/>
    <w:basedOn w:val="Domylnaczcionkaakapitu"/>
    <w:uiPriority w:val="99"/>
    <w:rsid w:val="00AA0FD4"/>
    <w:rPr>
      <w:rFonts w:cs="Times New Roman"/>
    </w:rPr>
  </w:style>
  <w:style w:type="character" w:customStyle="1" w:styleId="11StopPowodzi-ListawypunktowanaZnak">
    <w:name w:val="_11Stop Powodzi - Lista wypunktowana Znak"/>
    <w:basedOn w:val="Domylnaczcionkaakapitu"/>
    <w:link w:val="11StopPowodzi-Listawypunktowana"/>
    <w:locked/>
    <w:rsid w:val="00D3630B"/>
    <w:rPr>
      <w:sz w:val="24"/>
      <w:szCs w:val="24"/>
      <w:lang w:val="en-GB" w:eastAsia="en-US"/>
    </w:rPr>
  </w:style>
  <w:style w:type="paragraph" w:customStyle="1" w:styleId="11StopPowodzi-Listawypunktowana">
    <w:name w:val="_11Stop Powodzi - Lista wypunktowana"/>
    <w:basedOn w:val="Normalny"/>
    <w:link w:val="11StopPowodzi-ListawypunktowanaZnak"/>
    <w:qFormat/>
    <w:rsid w:val="00D3630B"/>
    <w:pPr>
      <w:numPr>
        <w:numId w:val="50"/>
      </w:numPr>
      <w:spacing w:before="120" w:after="120" w:line="276" w:lineRule="auto"/>
      <w:jc w:val="both"/>
    </w:pPr>
    <w:rPr>
      <w:rFonts w:eastAsia="SimSun"/>
      <w:lang w:val="en-GB" w:eastAsia="en-US"/>
    </w:rPr>
  </w:style>
  <w:style w:type="character" w:customStyle="1" w:styleId="normaltextrun">
    <w:name w:val="normaltextrun"/>
    <w:basedOn w:val="Domylnaczcionkaakapitu"/>
    <w:uiPriority w:val="99"/>
    <w:rsid w:val="00D3630B"/>
    <w:rPr>
      <w:rFonts w:cs="Times New Roman"/>
    </w:rPr>
  </w:style>
  <w:style w:type="numbering" w:customStyle="1" w:styleId="ReportBulletListStyle">
    <w:name w:val="Report Bullet List Style"/>
    <w:rsid w:val="001547B8"/>
    <w:pPr>
      <w:numPr>
        <w:numId w:val="3"/>
      </w:numPr>
    </w:pPr>
  </w:style>
  <w:style w:type="numbering" w:customStyle="1" w:styleId="ReportListNumberStyle">
    <w:name w:val="Report List Number Style"/>
    <w:rsid w:val="001547B8"/>
    <w:pPr>
      <w:numPr>
        <w:numId w:val="5"/>
      </w:numPr>
    </w:pPr>
  </w:style>
  <w:style w:type="table" w:styleId="Tabelasiatki4akcent2">
    <w:name w:val="Grid Table 4 Accent 2"/>
    <w:basedOn w:val="Standardowy"/>
    <w:uiPriority w:val="49"/>
    <w:rsid w:val="00881433"/>
    <w:rPr>
      <w:rFonts w:asciiTheme="minorHAnsi" w:eastAsiaTheme="minorEastAsia" w:hAnsiTheme="minorHAnsi" w:cstheme="minorBidi"/>
      <w:sz w:val="24"/>
      <w:szCs w:val="24"/>
      <w:lang w:val="en-GB" w:eastAsia="zh-CN"/>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val="0"/>
        <w:bCs/>
      </w:rPr>
      <w:tblPr/>
      <w:tcPr>
        <w:tcBorders>
          <w:top w:val="double" w:sz="4" w:space="0" w:color="C0504D" w:themeColor="accent2"/>
        </w:tcBorders>
      </w:tcPr>
    </w:tblStylePr>
    <w:tblStylePr w:type="firstCol">
      <w:rPr>
        <w:b w:val="0"/>
        <w:bCs/>
      </w:rPr>
    </w:tblStylePr>
    <w:tblStylePr w:type="lastCol">
      <w:rPr>
        <w:b w:val="0"/>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1">
    <w:name w:val="Grid Table 4 Accent 1"/>
    <w:basedOn w:val="Standardowy"/>
    <w:uiPriority w:val="49"/>
    <w:rsid w:val="0088143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393586">
      <w:marLeft w:val="0"/>
      <w:marRight w:val="0"/>
      <w:marTop w:val="0"/>
      <w:marBottom w:val="0"/>
      <w:divBdr>
        <w:top w:val="none" w:sz="0" w:space="0" w:color="auto"/>
        <w:left w:val="none" w:sz="0" w:space="0" w:color="auto"/>
        <w:bottom w:val="none" w:sz="0" w:space="0" w:color="auto"/>
        <w:right w:val="none" w:sz="0" w:space="0" w:color="auto"/>
      </w:divBdr>
    </w:div>
    <w:div w:id="228393587">
      <w:marLeft w:val="0"/>
      <w:marRight w:val="0"/>
      <w:marTop w:val="0"/>
      <w:marBottom w:val="0"/>
      <w:divBdr>
        <w:top w:val="none" w:sz="0" w:space="0" w:color="auto"/>
        <w:left w:val="none" w:sz="0" w:space="0" w:color="auto"/>
        <w:bottom w:val="none" w:sz="0" w:space="0" w:color="auto"/>
        <w:right w:val="none" w:sz="0" w:space="0" w:color="auto"/>
      </w:divBdr>
    </w:div>
    <w:div w:id="228393588">
      <w:marLeft w:val="0"/>
      <w:marRight w:val="0"/>
      <w:marTop w:val="0"/>
      <w:marBottom w:val="0"/>
      <w:divBdr>
        <w:top w:val="none" w:sz="0" w:space="0" w:color="auto"/>
        <w:left w:val="none" w:sz="0" w:space="0" w:color="auto"/>
        <w:bottom w:val="none" w:sz="0" w:space="0" w:color="auto"/>
        <w:right w:val="none" w:sz="0" w:space="0" w:color="auto"/>
      </w:divBdr>
    </w:div>
    <w:div w:id="228393589">
      <w:marLeft w:val="0"/>
      <w:marRight w:val="0"/>
      <w:marTop w:val="0"/>
      <w:marBottom w:val="0"/>
      <w:divBdr>
        <w:top w:val="none" w:sz="0" w:space="0" w:color="auto"/>
        <w:left w:val="none" w:sz="0" w:space="0" w:color="auto"/>
        <w:bottom w:val="none" w:sz="0" w:space="0" w:color="auto"/>
        <w:right w:val="none" w:sz="0" w:space="0" w:color="auto"/>
      </w:divBdr>
    </w:div>
    <w:div w:id="228393590">
      <w:marLeft w:val="0"/>
      <w:marRight w:val="0"/>
      <w:marTop w:val="0"/>
      <w:marBottom w:val="0"/>
      <w:divBdr>
        <w:top w:val="none" w:sz="0" w:space="0" w:color="auto"/>
        <w:left w:val="none" w:sz="0" w:space="0" w:color="auto"/>
        <w:bottom w:val="none" w:sz="0" w:space="0" w:color="auto"/>
        <w:right w:val="none" w:sz="0" w:space="0" w:color="auto"/>
      </w:divBdr>
    </w:div>
    <w:div w:id="228393591">
      <w:marLeft w:val="0"/>
      <w:marRight w:val="0"/>
      <w:marTop w:val="0"/>
      <w:marBottom w:val="0"/>
      <w:divBdr>
        <w:top w:val="none" w:sz="0" w:space="0" w:color="auto"/>
        <w:left w:val="none" w:sz="0" w:space="0" w:color="auto"/>
        <w:bottom w:val="none" w:sz="0" w:space="0" w:color="auto"/>
        <w:right w:val="none" w:sz="0" w:space="0" w:color="auto"/>
      </w:divBdr>
    </w:div>
    <w:div w:id="228393592">
      <w:marLeft w:val="0"/>
      <w:marRight w:val="0"/>
      <w:marTop w:val="0"/>
      <w:marBottom w:val="0"/>
      <w:divBdr>
        <w:top w:val="none" w:sz="0" w:space="0" w:color="auto"/>
        <w:left w:val="none" w:sz="0" w:space="0" w:color="auto"/>
        <w:bottom w:val="none" w:sz="0" w:space="0" w:color="auto"/>
        <w:right w:val="none" w:sz="0" w:space="0" w:color="auto"/>
      </w:divBdr>
    </w:div>
    <w:div w:id="228393593">
      <w:marLeft w:val="0"/>
      <w:marRight w:val="0"/>
      <w:marTop w:val="0"/>
      <w:marBottom w:val="0"/>
      <w:divBdr>
        <w:top w:val="none" w:sz="0" w:space="0" w:color="auto"/>
        <w:left w:val="none" w:sz="0" w:space="0" w:color="auto"/>
        <w:bottom w:val="none" w:sz="0" w:space="0" w:color="auto"/>
        <w:right w:val="none" w:sz="0" w:space="0" w:color="auto"/>
      </w:divBdr>
    </w:div>
    <w:div w:id="228393594">
      <w:marLeft w:val="0"/>
      <w:marRight w:val="0"/>
      <w:marTop w:val="0"/>
      <w:marBottom w:val="0"/>
      <w:divBdr>
        <w:top w:val="none" w:sz="0" w:space="0" w:color="auto"/>
        <w:left w:val="none" w:sz="0" w:space="0" w:color="auto"/>
        <w:bottom w:val="none" w:sz="0" w:space="0" w:color="auto"/>
        <w:right w:val="none" w:sz="0" w:space="0" w:color="auto"/>
      </w:divBdr>
    </w:div>
    <w:div w:id="228393595">
      <w:marLeft w:val="0"/>
      <w:marRight w:val="0"/>
      <w:marTop w:val="0"/>
      <w:marBottom w:val="0"/>
      <w:divBdr>
        <w:top w:val="none" w:sz="0" w:space="0" w:color="auto"/>
        <w:left w:val="none" w:sz="0" w:space="0" w:color="auto"/>
        <w:bottom w:val="none" w:sz="0" w:space="0" w:color="auto"/>
        <w:right w:val="none" w:sz="0" w:space="0" w:color="auto"/>
      </w:divBdr>
    </w:div>
    <w:div w:id="228393596">
      <w:marLeft w:val="0"/>
      <w:marRight w:val="0"/>
      <w:marTop w:val="0"/>
      <w:marBottom w:val="0"/>
      <w:divBdr>
        <w:top w:val="none" w:sz="0" w:space="0" w:color="auto"/>
        <w:left w:val="none" w:sz="0" w:space="0" w:color="auto"/>
        <w:bottom w:val="none" w:sz="0" w:space="0" w:color="auto"/>
        <w:right w:val="none" w:sz="0" w:space="0" w:color="auto"/>
      </w:divBdr>
    </w:div>
    <w:div w:id="228393597">
      <w:marLeft w:val="0"/>
      <w:marRight w:val="0"/>
      <w:marTop w:val="0"/>
      <w:marBottom w:val="0"/>
      <w:divBdr>
        <w:top w:val="none" w:sz="0" w:space="0" w:color="auto"/>
        <w:left w:val="none" w:sz="0" w:space="0" w:color="auto"/>
        <w:bottom w:val="none" w:sz="0" w:space="0" w:color="auto"/>
        <w:right w:val="none" w:sz="0" w:space="0" w:color="auto"/>
      </w:divBdr>
    </w:div>
    <w:div w:id="228393598">
      <w:marLeft w:val="0"/>
      <w:marRight w:val="0"/>
      <w:marTop w:val="0"/>
      <w:marBottom w:val="0"/>
      <w:divBdr>
        <w:top w:val="none" w:sz="0" w:space="0" w:color="auto"/>
        <w:left w:val="none" w:sz="0" w:space="0" w:color="auto"/>
        <w:bottom w:val="none" w:sz="0" w:space="0" w:color="auto"/>
        <w:right w:val="none" w:sz="0" w:space="0" w:color="auto"/>
      </w:divBdr>
    </w:div>
    <w:div w:id="228393599">
      <w:marLeft w:val="0"/>
      <w:marRight w:val="0"/>
      <w:marTop w:val="0"/>
      <w:marBottom w:val="0"/>
      <w:divBdr>
        <w:top w:val="none" w:sz="0" w:space="0" w:color="auto"/>
        <w:left w:val="none" w:sz="0" w:space="0" w:color="auto"/>
        <w:bottom w:val="none" w:sz="0" w:space="0" w:color="auto"/>
        <w:right w:val="none" w:sz="0" w:space="0" w:color="auto"/>
      </w:divBdr>
    </w:div>
    <w:div w:id="228393600">
      <w:marLeft w:val="0"/>
      <w:marRight w:val="0"/>
      <w:marTop w:val="0"/>
      <w:marBottom w:val="0"/>
      <w:divBdr>
        <w:top w:val="none" w:sz="0" w:space="0" w:color="auto"/>
        <w:left w:val="none" w:sz="0" w:space="0" w:color="auto"/>
        <w:bottom w:val="none" w:sz="0" w:space="0" w:color="auto"/>
        <w:right w:val="none" w:sz="0" w:space="0" w:color="auto"/>
      </w:divBdr>
    </w:div>
    <w:div w:id="228393601">
      <w:marLeft w:val="0"/>
      <w:marRight w:val="0"/>
      <w:marTop w:val="0"/>
      <w:marBottom w:val="0"/>
      <w:divBdr>
        <w:top w:val="none" w:sz="0" w:space="0" w:color="auto"/>
        <w:left w:val="none" w:sz="0" w:space="0" w:color="auto"/>
        <w:bottom w:val="none" w:sz="0" w:space="0" w:color="auto"/>
        <w:right w:val="none" w:sz="0" w:space="0" w:color="auto"/>
      </w:divBdr>
    </w:div>
    <w:div w:id="228393602">
      <w:marLeft w:val="0"/>
      <w:marRight w:val="0"/>
      <w:marTop w:val="0"/>
      <w:marBottom w:val="0"/>
      <w:divBdr>
        <w:top w:val="none" w:sz="0" w:space="0" w:color="auto"/>
        <w:left w:val="none" w:sz="0" w:space="0" w:color="auto"/>
        <w:bottom w:val="none" w:sz="0" w:space="0" w:color="auto"/>
        <w:right w:val="none" w:sz="0" w:space="0" w:color="auto"/>
      </w:divBdr>
    </w:div>
    <w:div w:id="228393603">
      <w:marLeft w:val="0"/>
      <w:marRight w:val="0"/>
      <w:marTop w:val="0"/>
      <w:marBottom w:val="0"/>
      <w:divBdr>
        <w:top w:val="none" w:sz="0" w:space="0" w:color="auto"/>
        <w:left w:val="none" w:sz="0" w:space="0" w:color="auto"/>
        <w:bottom w:val="none" w:sz="0" w:space="0" w:color="auto"/>
        <w:right w:val="none" w:sz="0" w:space="0" w:color="auto"/>
      </w:divBdr>
    </w:div>
    <w:div w:id="228393604">
      <w:marLeft w:val="0"/>
      <w:marRight w:val="0"/>
      <w:marTop w:val="0"/>
      <w:marBottom w:val="0"/>
      <w:divBdr>
        <w:top w:val="none" w:sz="0" w:space="0" w:color="auto"/>
        <w:left w:val="none" w:sz="0" w:space="0" w:color="auto"/>
        <w:bottom w:val="none" w:sz="0" w:space="0" w:color="auto"/>
        <w:right w:val="none" w:sz="0" w:space="0" w:color="auto"/>
      </w:divBdr>
    </w:div>
    <w:div w:id="228393605">
      <w:marLeft w:val="0"/>
      <w:marRight w:val="0"/>
      <w:marTop w:val="0"/>
      <w:marBottom w:val="0"/>
      <w:divBdr>
        <w:top w:val="none" w:sz="0" w:space="0" w:color="auto"/>
        <w:left w:val="none" w:sz="0" w:space="0" w:color="auto"/>
        <w:bottom w:val="none" w:sz="0" w:space="0" w:color="auto"/>
        <w:right w:val="none" w:sz="0" w:space="0" w:color="auto"/>
      </w:divBdr>
    </w:div>
    <w:div w:id="228393606">
      <w:marLeft w:val="0"/>
      <w:marRight w:val="0"/>
      <w:marTop w:val="0"/>
      <w:marBottom w:val="0"/>
      <w:divBdr>
        <w:top w:val="none" w:sz="0" w:space="0" w:color="auto"/>
        <w:left w:val="none" w:sz="0" w:space="0" w:color="auto"/>
        <w:bottom w:val="none" w:sz="0" w:space="0" w:color="auto"/>
        <w:right w:val="none" w:sz="0" w:space="0" w:color="auto"/>
      </w:divBdr>
    </w:div>
    <w:div w:id="228393607">
      <w:marLeft w:val="0"/>
      <w:marRight w:val="0"/>
      <w:marTop w:val="0"/>
      <w:marBottom w:val="0"/>
      <w:divBdr>
        <w:top w:val="none" w:sz="0" w:space="0" w:color="auto"/>
        <w:left w:val="none" w:sz="0" w:space="0" w:color="auto"/>
        <w:bottom w:val="none" w:sz="0" w:space="0" w:color="auto"/>
        <w:right w:val="none" w:sz="0" w:space="0" w:color="auto"/>
      </w:divBdr>
    </w:div>
    <w:div w:id="228393608">
      <w:marLeft w:val="0"/>
      <w:marRight w:val="0"/>
      <w:marTop w:val="0"/>
      <w:marBottom w:val="0"/>
      <w:divBdr>
        <w:top w:val="none" w:sz="0" w:space="0" w:color="auto"/>
        <w:left w:val="none" w:sz="0" w:space="0" w:color="auto"/>
        <w:bottom w:val="none" w:sz="0" w:space="0" w:color="auto"/>
        <w:right w:val="none" w:sz="0" w:space="0" w:color="auto"/>
      </w:divBdr>
    </w:div>
    <w:div w:id="228393609">
      <w:marLeft w:val="0"/>
      <w:marRight w:val="0"/>
      <w:marTop w:val="0"/>
      <w:marBottom w:val="0"/>
      <w:divBdr>
        <w:top w:val="none" w:sz="0" w:space="0" w:color="auto"/>
        <w:left w:val="none" w:sz="0" w:space="0" w:color="auto"/>
        <w:bottom w:val="none" w:sz="0" w:space="0" w:color="auto"/>
        <w:right w:val="none" w:sz="0" w:space="0" w:color="auto"/>
      </w:divBdr>
    </w:div>
    <w:div w:id="228393610">
      <w:marLeft w:val="0"/>
      <w:marRight w:val="0"/>
      <w:marTop w:val="0"/>
      <w:marBottom w:val="0"/>
      <w:divBdr>
        <w:top w:val="none" w:sz="0" w:space="0" w:color="auto"/>
        <w:left w:val="none" w:sz="0" w:space="0" w:color="auto"/>
        <w:bottom w:val="none" w:sz="0" w:space="0" w:color="auto"/>
        <w:right w:val="none" w:sz="0" w:space="0" w:color="auto"/>
      </w:divBdr>
    </w:div>
    <w:div w:id="228393611">
      <w:marLeft w:val="0"/>
      <w:marRight w:val="0"/>
      <w:marTop w:val="0"/>
      <w:marBottom w:val="0"/>
      <w:divBdr>
        <w:top w:val="none" w:sz="0" w:space="0" w:color="auto"/>
        <w:left w:val="none" w:sz="0" w:space="0" w:color="auto"/>
        <w:bottom w:val="none" w:sz="0" w:space="0" w:color="auto"/>
        <w:right w:val="none" w:sz="0" w:space="0" w:color="auto"/>
      </w:divBdr>
    </w:div>
    <w:div w:id="228393612">
      <w:marLeft w:val="0"/>
      <w:marRight w:val="0"/>
      <w:marTop w:val="0"/>
      <w:marBottom w:val="0"/>
      <w:divBdr>
        <w:top w:val="none" w:sz="0" w:space="0" w:color="auto"/>
        <w:left w:val="none" w:sz="0" w:space="0" w:color="auto"/>
        <w:bottom w:val="none" w:sz="0" w:space="0" w:color="auto"/>
        <w:right w:val="none" w:sz="0" w:space="0" w:color="auto"/>
      </w:divBdr>
    </w:div>
    <w:div w:id="228393613">
      <w:marLeft w:val="0"/>
      <w:marRight w:val="0"/>
      <w:marTop w:val="0"/>
      <w:marBottom w:val="0"/>
      <w:divBdr>
        <w:top w:val="none" w:sz="0" w:space="0" w:color="auto"/>
        <w:left w:val="none" w:sz="0" w:space="0" w:color="auto"/>
        <w:bottom w:val="none" w:sz="0" w:space="0" w:color="auto"/>
        <w:right w:val="none" w:sz="0" w:space="0" w:color="auto"/>
      </w:divBdr>
    </w:div>
    <w:div w:id="228393614">
      <w:marLeft w:val="0"/>
      <w:marRight w:val="0"/>
      <w:marTop w:val="0"/>
      <w:marBottom w:val="0"/>
      <w:divBdr>
        <w:top w:val="none" w:sz="0" w:space="0" w:color="auto"/>
        <w:left w:val="none" w:sz="0" w:space="0" w:color="auto"/>
        <w:bottom w:val="none" w:sz="0" w:space="0" w:color="auto"/>
        <w:right w:val="none" w:sz="0" w:space="0" w:color="auto"/>
      </w:divBdr>
    </w:div>
    <w:div w:id="228393615">
      <w:marLeft w:val="0"/>
      <w:marRight w:val="0"/>
      <w:marTop w:val="0"/>
      <w:marBottom w:val="0"/>
      <w:divBdr>
        <w:top w:val="none" w:sz="0" w:space="0" w:color="auto"/>
        <w:left w:val="none" w:sz="0" w:space="0" w:color="auto"/>
        <w:bottom w:val="none" w:sz="0" w:space="0" w:color="auto"/>
        <w:right w:val="none" w:sz="0" w:space="0" w:color="auto"/>
      </w:divBdr>
    </w:div>
    <w:div w:id="228393616">
      <w:marLeft w:val="0"/>
      <w:marRight w:val="0"/>
      <w:marTop w:val="0"/>
      <w:marBottom w:val="0"/>
      <w:divBdr>
        <w:top w:val="none" w:sz="0" w:space="0" w:color="auto"/>
        <w:left w:val="none" w:sz="0" w:space="0" w:color="auto"/>
        <w:bottom w:val="none" w:sz="0" w:space="0" w:color="auto"/>
        <w:right w:val="none" w:sz="0" w:space="0" w:color="auto"/>
      </w:divBdr>
    </w:div>
    <w:div w:id="228393617">
      <w:marLeft w:val="0"/>
      <w:marRight w:val="0"/>
      <w:marTop w:val="0"/>
      <w:marBottom w:val="0"/>
      <w:divBdr>
        <w:top w:val="none" w:sz="0" w:space="0" w:color="auto"/>
        <w:left w:val="none" w:sz="0" w:space="0" w:color="auto"/>
        <w:bottom w:val="none" w:sz="0" w:space="0" w:color="auto"/>
        <w:right w:val="none" w:sz="0" w:space="0" w:color="auto"/>
      </w:divBdr>
    </w:div>
    <w:div w:id="228393618">
      <w:marLeft w:val="0"/>
      <w:marRight w:val="0"/>
      <w:marTop w:val="0"/>
      <w:marBottom w:val="0"/>
      <w:divBdr>
        <w:top w:val="none" w:sz="0" w:space="0" w:color="auto"/>
        <w:left w:val="none" w:sz="0" w:space="0" w:color="auto"/>
        <w:bottom w:val="none" w:sz="0" w:space="0" w:color="auto"/>
        <w:right w:val="none" w:sz="0" w:space="0" w:color="auto"/>
      </w:divBdr>
    </w:div>
    <w:div w:id="228393619">
      <w:marLeft w:val="0"/>
      <w:marRight w:val="0"/>
      <w:marTop w:val="0"/>
      <w:marBottom w:val="0"/>
      <w:divBdr>
        <w:top w:val="none" w:sz="0" w:space="0" w:color="auto"/>
        <w:left w:val="none" w:sz="0" w:space="0" w:color="auto"/>
        <w:bottom w:val="none" w:sz="0" w:space="0" w:color="auto"/>
        <w:right w:val="none" w:sz="0" w:space="0" w:color="auto"/>
      </w:divBdr>
    </w:div>
    <w:div w:id="228393620">
      <w:marLeft w:val="0"/>
      <w:marRight w:val="0"/>
      <w:marTop w:val="0"/>
      <w:marBottom w:val="0"/>
      <w:divBdr>
        <w:top w:val="none" w:sz="0" w:space="0" w:color="auto"/>
        <w:left w:val="none" w:sz="0" w:space="0" w:color="auto"/>
        <w:bottom w:val="none" w:sz="0" w:space="0" w:color="auto"/>
        <w:right w:val="none" w:sz="0" w:space="0" w:color="auto"/>
      </w:divBdr>
    </w:div>
    <w:div w:id="228393621">
      <w:marLeft w:val="0"/>
      <w:marRight w:val="0"/>
      <w:marTop w:val="0"/>
      <w:marBottom w:val="0"/>
      <w:divBdr>
        <w:top w:val="none" w:sz="0" w:space="0" w:color="auto"/>
        <w:left w:val="none" w:sz="0" w:space="0" w:color="auto"/>
        <w:bottom w:val="none" w:sz="0" w:space="0" w:color="auto"/>
        <w:right w:val="none" w:sz="0" w:space="0" w:color="auto"/>
      </w:divBdr>
    </w:div>
    <w:div w:id="228393622">
      <w:marLeft w:val="0"/>
      <w:marRight w:val="0"/>
      <w:marTop w:val="0"/>
      <w:marBottom w:val="0"/>
      <w:divBdr>
        <w:top w:val="none" w:sz="0" w:space="0" w:color="auto"/>
        <w:left w:val="none" w:sz="0" w:space="0" w:color="auto"/>
        <w:bottom w:val="none" w:sz="0" w:space="0" w:color="auto"/>
        <w:right w:val="none" w:sz="0" w:space="0" w:color="auto"/>
      </w:divBdr>
    </w:div>
    <w:div w:id="228393623">
      <w:marLeft w:val="0"/>
      <w:marRight w:val="0"/>
      <w:marTop w:val="0"/>
      <w:marBottom w:val="0"/>
      <w:divBdr>
        <w:top w:val="none" w:sz="0" w:space="0" w:color="auto"/>
        <w:left w:val="none" w:sz="0" w:space="0" w:color="auto"/>
        <w:bottom w:val="none" w:sz="0" w:space="0" w:color="auto"/>
        <w:right w:val="none" w:sz="0" w:space="0" w:color="auto"/>
      </w:divBdr>
    </w:div>
    <w:div w:id="228393624">
      <w:marLeft w:val="0"/>
      <w:marRight w:val="0"/>
      <w:marTop w:val="0"/>
      <w:marBottom w:val="0"/>
      <w:divBdr>
        <w:top w:val="none" w:sz="0" w:space="0" w:color="auto"/>
        <w:left w:val="none" w:sz="0" w:space="0" w:color="auto"/>
        <w:bottom w:val="none" w:sz="0" w:space="0" w:color="auto"/>
        <w:right w:val="none" w:sz="0" w:space="0" w:color="auto"/>
      </w:divBdr>
    </w:div>
    <w:div w:id="228393625">
      <w:marLeft w:val="0"/>
      <w:marRight w:val="0"/>
      <w:marTop w:val="0"/>
      <w:marBottom w:val="0"/>
      <w:divBdr>
        <w:top w:val="none" w:sz="0" w:space="0" w:color="auto"/>
        <w:left w:val="none" w:sz="0" w:space="0" w:color="auto"/>
        <w:bottom w:val="none" w:sz="0" w:space="0" w:color="auto"/>
        <w:right w:val="none" w:sz="0" w:space="0" w:color="auto"/>
      </w:divBdr>
    </w:div>
    <w:div w:id="228393626">
      <w:marLeft w:val="0"/>
      <w:marRight w:val="0"/>
      <w:marTop w:val="0"/>
      <w:marBottom w:val="0"/>
      <w:divBdr>
        <w:top w:val="none" w:sz="0" w:space="0" w:color="auto"/>
        <w:left w:val="none" w:sz="0" w:space="0" w:color="auto"/>
        <w:bottom w:val="none" w:sz="0" w:space="0" w:color="auto"/>
        <w:right w:val="none" w:sz="0" w:space="0" w:color="auto"/>
      </w:divBdr>
    </w:div>
    <w:div w:id="228393627">
      <w:marLeft w:val="0"/>
      <w:marRight w:val="0"/>
      <w:marTop w:val="0"/>
      <w:marBottom w:val="0"/>
      <w:divBdr>
        <w:top w:val="none" w:sz="0" w:space="0" w:color="auto"/>
        <w:left w:val="none" w:sz="0" w:space="0" w:color="auto"/>
        <w:bottom w:val="none" w:sz="0" w:space="0" w:color="auto"/>
        <w:right w:val="none" w:sz="0" w:space="0" w:color="auto"/>
      </w:divBdr>
    </w:div>
    <w:div w:id="228393628">
      <w:marLeft w:val="0"/>
      <w:marRight w:val="0"/>
      <w:marTop w:val="0"/>
      <w:marBottom w:val="0"/>
      <w:divBdr>
        <w:top w:val="none" w:sz="0" w:space="0" w:color="auto"/>
        <w:left w:val="none" w:sz="0" w:space="0" w:color="auto"/>
        <w:bottom w:val="none" w:sz="0" w:space="0" w:color="auto"/>
        <w:right w:val="none" w:sz="0" w:space="0" w:color="auto"/>
      </w:divBdr>
    </w:div>
    <w:div w:id="228393629">
      <w:marLeft w:val="0"/>
      <w:marRight w:val="0"/>
      <w:marTop w:val="0"/>
      <w:marBottom w:val="0"/>
      <w:divBdr>
        <w:top w:val="none" w:sz="0" w:space="0" w:color="auto"/>
        <w:left w:val="none" w:sz="0" w:space="0" w:color="auto"/>
        <w:bottom w:val="none" w:sz="0" w:space="0" w:color="auto"/>
        <w:right w:val="none" w:sz="0" w:space="0" w:color="auto"/>
      </w:divBdr>
    </w:div>
    <w:div w:id="228393630">
      <w:marLeft w:val="0"/>
      <w:marRight w:val="0"/>
      <w:marTop w:val="0"/>
      <w:marBottom w:val="0"/>
      <w:divBdr>
        <w:top w:val="none" w:sz="0" w:space="0" w:color="auto"/>
        <w:left w:val="none" w:sz="0" w:space="0" w:color="auto"/>
        <w:bottom w:val="none" w:sz="0" w:space="0" w:color="auto"/>
        <w:right w:val="none" w:sz="0" w:space="0" w:color="auto"/>
      </w:divBdr>
    </w:div>
    <w:div w:id="228393631">
      <w:marLeft w:val="0"/>
      <w:marRight w:val="0"/>
      <w:marTop w:val="0"/>
      <w:marBottom w:val="0"/>
      <w:divBdr>
        <w:top w:val="none" w:sz="0" w:space="0" w:color="auto"/>
        <w:left w:val="none" w:sz="0" w:space="0" w:color="auto"/>
        <w:bottom w:val="none" w:sz="0" w:space="0" w:color="auto"/>
        <w:right w:val="none" w:sz="0" w:space="0" w:color="auto"/>
      </w:divBdr>
    </w:div>
    <w:div w:id="228393632">
      <w:marLeft w:val="0"/>
      <w:marRight w:val="0"/>
      <w:marTop w:val="0"/>
      <w:marBottom w:val="0"/>
      <w:divBdr>
        <w:top w:val="none" w:sz="0" w:space="0" w:color="auto"/>
        <w:left w:val="none" w:sz="0" w:space="0" w:color="auto"/>
        <w:bottom w:val="none" w:sz="0" w:space="0" w:color="auto"/>
        <w:right w:val="none" w:sz="0" w:space="0" w:color="auto"/>
      </w:divBdr>
    </w:div>
    <w:div w:id="228393633">
      <w:marLeft w:val="0"/>
      <w:marRight w:val="0"/>
      <w:marTop w:val="0"/>
      <w:marBottom w:val="0"/>
      <w:divBdr>
        <w:top w:val="none" w:sz="0" w:space="0" w:color="auto"/>
        <w:left w:val="none" w:sz="0" w:space="0" w:color="auto"/>
        <w:bottom w:val="none" w:sz="0" w:space="0" w:color="auto"/>
        <w:right w:val="none" w:sz="0" w:space="0" w:color="auto"/>
      </w:divBdr>
    </w:div>
    <w:div w:id="228393634">
      <w:marLeft w:val="0"/>
      <w:marRight w:val="0"/>
      <w:marTop w:val="0"/>
      <w:marBottom w:val="0"/>
      <w:divBdr>
        <w:top w:val="none" w:sz="0" w:space="0" w:color="auto"/>
        <w:left w:val="none" w:sz="0" w:space="0" w:color="auto"/>
        <w:bottom w:val="none" w:sz="0" w:space="0" w:color="auto"/>
        <w:right w:val="none" w:sz="0" w:space="0" w:color="auto"/>
      </w:divBdr>
    </w:div>
    <w:div w:id="228393635">
      <w:marLeft w:val="0"/>
      <w:marRight w:val="0"/>
      <w:marTop w:val="0"/>
      <w:marBottom w:val="0"/>
      <w:divBdr>
        <w:top w:val="none" w:sz="0" w:space="0" w:color="auto"/>
        <w:left w:val="none" w:sz="0" w:space="0" w:color="auto"/>
        <w:bottom w:val="none" w:sz="0" w:space="0" w:color="auto"/>
        <w:right w:val="none" w:sz="0" w:space="0" w:color="auto"/>
      </w:divBdr>
    </w:div>
    <w:div w:id="228393636">
      <w:marLeft w:val="0"/>
      <w:marRight w:val="0"/>
      <w:marTop w:val="0"/>
      <w:marBottom w:val="0"/>
      <w:divBdr>
        <w:top w:val="none" w:sz="0" w:space="0" w:color="auto"/>
        <w:left w:val="none" w:sz="0" w:space="0" w:color="auto"/>
        <w:bottom w:val="none" w:sz="0" w:space="0" w:color="auto"/>
        <w:right w:val="none" w:sz="0" w:space="0" w:color="auto"/>
      </w:divBdr>
    </w:div>
    <w:div w:id="228393637">
      <w:marLeft w:val="0"/>
      <w:marRight w:val="0"/>
      <w:marTop w:val="0"/>
      <w:marBottom w:val="0"/>
      <w:divBdr>
        <w:top w:val="none" w:sz="0" w:space="0" w:color="auto"/>
        <w:left w:val="none" w:sz="0" w:space="0" w:color="auto"/>
        <w:bottom w:val="none" w:sz="0" w:space="0" w:color="auto"/>
        <w:right w:val="none" w:sz="0" w:space="0" w:color="auto"/>
      </w:divBdr>
    </w:div>
    <w:div w:id="228393638">
      <w:marLeft w:val="0"/>
      <w:marRight w:val="0"/>
      <w:marTop w:val="0"/>
      <w:marBottom w:val="0"/>
      <w:divBdr>
        <w:top w:val="none" w:sz="0" w:space="0" w:color="auto"/>
        <w:left w:val="none" w:sz="0" w:space="0" w:color="auto"/>
        <w:bottom w:val="none" w:sz="0" w:space="0" w:color="auto"/>
        <w:right w:val="none" w:sz="0" w:space="0" w:color="auto"/>
      </w:divBdr>
    </w:div>
    <w:div w:id="228393639">
      <w:marLeft w:val="0"/>
      <w:marRight w:val="0"/>
      <w:marTop w:val="0"/>
      <w:marBottom w:val="0"/>
      <w:divBdr>
        <w:top w:val="none" w:sz="0" w:space="0" w:color="auto"/>
        <w:left w:val="none" w:sz="0" w:space="0" w:color="auto"/>
        <w:bottom w:val="none" w:sz="0" w:space="0" w:color="auto"/>
        <w:right w:val="none" w:sz="0" w:space="0" w:color="auto"/>
      </w:divBdr>
    </w:div>
    <w:div w:id="228393640">
      <w:marLeft w:val="0"/>
      <w:marRight w:val="0"/>
      <w:marTop w:val="0"/>
      <w:marBottom w:val="0"/>
      <w:divBdr>
        <w:top w:val="none" w:sz="0" w:space="0" w:color="auto"/>
        <w:left w:val="none" w:sz="0" w:space="0" w:color="auto"/>
        <w:bottom w:val="none" w:sz="0" w:space="0" w:color="auto"/>
        <w:right w:val="none" w:sz="0" w:space="0" w:color="auto"/>
      </w:divBdr>
    </w:div>
    <w:div w:id="228393641">
      <w:marLeft w:val="0"/>
      <w:marRight w:val="0"/>
      <w:marTop w:val="0"/>
      <w:marBottom w:val="0"/>
      <w:divBdr>
        <w:top w:val="none" w:sz="0" w:space="0" w:color="auto"/>
        <w:left w:val="none" w:sz="0" w:space="0" w:color="auto"/>
        <w:bottom w:val="none" w:sz="0" w:space="0" w:color="auto"/>
        <w:right w:val="none" w:sz="0" w:space="0" w:color="auto"/>
      </w:divBdr>
    </w:div>
    <w:div w:id="228393642">
      <w:marLeft w:val="0"/>
      <w:marRight w:val="0"/>
      <w:marTop w:val="0"/>
      <w:marBottom w:val="0"/>
      <w:divBdr>
        <w:top w:val="none" w:sz="0" w:space="0" w:color="auto"/>
        <w:left w:val="none" w:sz="0" w:space="0" w:color="auto"/>
        <w:bottom w:val="none" w:sz="0" w:space="0" w:color="auto"/>
        <w:right w:val="none" w:sz="0" w:space="0" w:color="auto"/>
      </w:divBdr>
    </w:div>
    <w:div w:id="228393643">
      <w:marLeft w:val="0"/>
      <w:marRight w:val="0"/>
      <w:marTop w:val="0"/>
      <w:marBottom w:val="0"/>
      <w:divBdr>
        <w:top w:val="none" w:sz="0" w:space="0" w:color="auto"/>
        <w:left w:val="none" w:sz="0" w:space="0" w:color="auto"/>
        <w:bottom w:val="none" w:sz="0" w:space="0" w:color="auto"/>
        <w:right w:val="none" w:sz="0" w:space="0" w:color="auto"/>
      </w:divBdr>
    </w:div>
    <w:div w:id="228393644">
      <w:marLeft w:val="0"/>
      <w:marRight w:val="0"/>
      <w:marTop w:val="0"/>
      <w:marBottom w:val="0"/>
      <w:divBdr>
        <w:top w:val="none" w:sz="0" w:space="0" w:color="auto"/>
        <w:left w:val="none" w:sz="0" w:space="0" w:color="auto"/>
        <w:bottom w:val="none" w:sz="0" w:space="0" w:color="auto"/>
        <w:right w:val="none" w:sz="0" w:space="0" w:color="auto"/>
      </w:divBdr>
    </w:div>
    <w:div w:id="228393645">
      <w:marLeft w:val="0"/>
      <w:marRight w:val="0"/>
      <w:marTop w:val="0"/>
      <w:marBottom w:val="0"/>
      <w:divBdr>
        <w:top w:val="none" w:sz="0" w:space="0" w:color="auto"/>
        <w:left w:val="none" w:sz="0" w:space="0" w:color="auto"/>
        <w:bottom w:val="none" w:sz="0" w:space="0" w:color="auto"/>
        <w:right w:val="none" w:sz="0" w:space="0" w:color="auto"/>
      </w:divBdr>
    </w:div>
    <w:div w:id="228393646">
      <w:marLeft w:val="0"/>
      <w:marRight w:val="0"/>
      <w:marTop w:val="0"/>
      <w:marBottom w:val="0"/>
      <w:divBdr>
        <w:top w:val="none" w:sz="0" w:space="0" w:color="auto"/>
        <w:left w:val="none" w:sz="0" w:space="0" w:color="auto"/>
        <w:bottom w:val="none" w:sz="0" w:space="0" w:color="auto"/>
        <w:right w:val="none" w:sz="0" w:space="0" w:color="auto"/>
      </w:divBdr>
    </w:div>
    <w:div w:id="228393647">
      <w:marLeft w:val="0"/>
      <w:marRight w:val="0"/>
      <w:marTop w:val="0"/>
      <w:marBottom w:val="0"/>
      <w:divBdr>
        <w:top w:val="none" w:sz="0" w:space="0" w:color="auto"/>
        <w:left w:val="none" w:sz="0" w:space="0" w:color="auto"/>
        <w:bottom w:val="none" w:sz="0" w:space="0" w:color="auto"/>
        <w:right w:val="none" w:sz="0" w:space="0" w:color="auto"/>
      </w:divBdr>
    </w:div>
    <w:div w:id="228393648">
      <w:marLeft w:val="0"/>
      <w:marRight w:val="0"/>
      <w:marTop w:val="0"/>
      <w:marBottom w:val="0"/>
      <w:divBdr>
        <w:top w:val="none" w:sz="0" w:space="0" w:color="auto"/>
        <w:left w:val="none" w:sz="0" w:space="0" w:color="auto"/>
        <w:bottom w:val="none" w:sz="0" w:space="0" w:color="auto"/>
        <w:right w:val="none" w:sz="0" w:space="0" w:color="auto"/>
      </w:divBdr>
    </w:div>
    <w:div w:id="330063123">
      <w:bodyDiv w:val="1"/>
      <w:marLeft w:val="0"/>
      <w:marRight w:val="0"/>
      <w:marTop w:val="0"/>
      <w:marBottom w:val="0"/>
      <w:divBdr>
        <w:top w:val="none" w:sz="0" w:space="0" w:color="auto"/>
        <w:left w:val="none" w:sz="0" w:space="0" w:color="auto"/>
        <w:bottom w:val="none" w:sz="0" w:space="0" w:color="auto"/>
        <w:right w:val="none" w:sz="0" w:space="0" w:color="auto"/>
      </w:divBdr>
    </w:div>
    <w:div w:id="1039933832">
      <w:bodyDiv w:val="1"/>
      <w:marLeft w:val="0"/>
      <w:marRight w:val="0"/>
      <w:marTop w:val="0"/>
      <w:marBottom w:val="0"/>
      <w:divBdr>
        <w:top w:val="none" w:sz="0" w:space="0" w:color="auto"/>
        <w:left w:val="none" w:sz="0" w:space="0" w:color="auto"/>
        <w:bottom w:val="none" w:sz="0" w:space="0" w:color="auto"/>
        <w:right w:val="none" w:sz="0" w:space="0" w:color="auto"/>
      </w:divBdr>
    </w:div>
    <w:div w:id="173481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jpeg"/><Relationship Id="rId42" Type="http://schemas.openxmlformats.org/officeDocument/2006/relationships/hyperlink" Target="http://n2k-ws.gdos.gov.pl/wyszukiwarkaN2k/webresources/pdf/PLB320007" TargetMode="External"/><Relationship Id="rId47" Type="http://schemas.openxmlformats.org/officeDocument/2006/relationships/hyperlink" Target="http://crfop.gdos.gov.pl/CRFOP/widok/viewfop.jsf?fop=PL.ZIPOP.1393.N2K.PLB320009.B" TargetMode="External"/><Relationship Id="rId63" Type="http://schemas.openxmlformats.org/officeDocument/2006/relationships/hyperlink" Target="http://crfop.gdos.gov.pl/CRFOP/widok/viewfop.jsf?fop=PL.ZIPOP.1393.N2K.PLH220038.H" TargetMode="External"/><Relationship Id="rId68" Type="http://schemas.openxmlformats.org/officeDocument/2006/relationships/hyperlink" Target="http://crfop.gdos.gov.pl/CRFOP/widok/viewfop.jsf?fop=PL.ZIPOP.1393.N2K.PLB320009.B" TargetMode="External"/><Relationship Id="rId16" Type="http://schemas.openxmlformats.org/officeDocument/2006/relationships/image" Target="media/image7.png"/><Relationship Id="rId11" Type="http://schemas.openxmlformats.org/officeDocument/2006/relationships/image" Target="media/image2.jpeg"/><Relationship Id="rId32" Type="http://schemas.openxmlformats.org/officeDocument/2006/relationships/image" Target="media/image23.png"/><Relationship Id="rId37" Type="http://schemas.openxmlformats.org/officeDocument/2006/relationships/hyperlink" Target="http://n2k-ws.gdos.gov.pl/wyszukiwarkaN2k/webresources/pdf/PLH220038" TargetMode="External"/><Relationship Id="rId53" Type="http://schemas.openxmlformats.org/officeDocument/2006/relationships/hyperlink" Target="http://crfop.gdos.gov.pl/CRFOP/widok/viewfop.jsf?fop=PL.ZIPOP.1393.N2K.PLB990002.B" TargetMode="External"/><Relationship Id="rId58" Type="http://schemas.openxmlformats.org/officeDocument/2006/relationships/hyperlink" Target="http://crfop.gdos.gov.pl/CRFOP/widok/viewfop.jsf?fop=PL.ZIPOP.1393.N2K.PLB320009.B" TargetMode="External"/><Relationship Id="rId74" Type="http://schemas.openxmlformats.org/officeDocument/2006/relationships/hyperlink" Target="http://crfop.gdos.gov.pl/CRFOP/widok/viewfop.jsf?fop=PL.ZIPOP.1393.OCHK.14" TargetMode="External"/><Relationship Id="rId79"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n2k-ws.gdos.gov.pl/wyszukiwarkaN2k/webresources/pdf/PLH320018" TargetMode="External"/><Relationship Id="rId82"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crfop.gdos.gov.pl/CRFOP/widok/viewfop.jsf?fop=PL.ZIPOP.1393.N2K.PLB320007.B" TargetMode="External"/><Relationship Id="rId48" Type="http://schemas.openxmlformats.org/officeDocument/2006/relationships/hyperlink" Target="http://n2k-ws.gdos.gov.pl/wyszukiwarkaN2k/webresources/pdf/PLH320018" TargetMode="External"/><Relationship Id="rId56" Type="http://schemas.openxmlformats.org/officeDocument/2006/relationships/hyperlink" Target="http://crfop.gdos.gov.pl/CRFOP/widok/viewfop.jsf?fop=PL.ZIPOP.1393.N2K.PLB320007.B" TargetMode="External"/><Relationship Id="rId64" Type="http://schemas.openxmlformats.org/officeDocument/2006/relationships/hyperlink" Target="http://crfop.gdos.gov.pl/CRFOP/widok/viewfop.jsf?fop=PL.ZIPOP.1393.N2K.PLB990002.B" TargetMode="External"/><Relationship Id="rId69" Type="http://schemas.openxmlformats.org/officeDocument/2006/relationships/hyperlink" Target="http://crfop.gdos.gov.pl/CRFOP/widok/viewfop.jsf?fop=PL.ZIPOP.1393.N2K.PLH320018.H" TargetMode="External"/><Relationship Id="rId77" Type="http://schemas.openxmlformats.org/officeDocument/2006/relationships/hyperlink" Target="http://n2k-ws.gdos.gov.pl/wyszukiwarkaN2k/webresources/pdf/PLB320009" TargetMode="External"/><Relationship Id="rId8" Type="http://schemas.openxmlformats.org/officeDocument/2006/relationships/header" Target="header1.xml"/><Relationship Id="rId51" Type="http://schemas.openxmlformats.org/officeDocument/2006/relationships/hyperlink" Target="http://crfop.gdos.gov.pl/CRFOP/widok/viewfop.jsf?fop=PL.ZIPOP.1393.N2K.PLH220038.H" TargetMode="External"/><Relationship Id="rId72" Type="http://schemas.openxmlformats.org/officeDocument/2006/relationships/hyperlink" Target="http://n2k-ws.gdos.gov.pl/wyszukiwarkaN2k/webresources/pdf/PLB990002" TargetMode="External"/><Relationship Id="rId80"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hyperlink" Target="http://crfop.gdos.gov.pl/CRFOP/widok/viewfop.jsf?fop=PL.ZIPOP.1393.N2K.PLH220038.H" TargetMode="External"/><Relationship Id="rId46" Type="http://schemas.openxmlformats.org/officeDocument/2006/relationships/hyperlink" Target="http://n2k-ws.gdos.gov.pl/wyszukiwarkaN2k/webresources/pdf/PLB320009" TargetMode="External"/><Relationship Id="rId59" Type="http://schemas.openxmlformats.org/officeDocument/2006/relationships/hyperlink" Target="http://n2k-ws.gdos.gov.pl/wyszukiwarkaN2k/webresources/pdf/PLB320009" TargetMode="External"/><Relationship Id="rId67" Type="http://schemas.openxmlformats.org/officeDocument/2006/relationships/hyperlink" Target="http://crfop.gdos.gov.pl/CRFOP/widok/viewfop.jsf?fop=PL.ZIPOP.1393.N2K.PLB320009.B" TargetMode="External"/><Relationship Id="rId20" Type="http://schemas.openxmlformats.org/officeDocument/2006/relationships/image" Target="media/image11.jpeg"/><Relationship Id="rId41" Type="http://schemas.openxmlformats.org/officeDocument/2006/relationships/hyperlink" Target="http://crfop.gdos.gov.pl/CRFOP/widok/viewfop.jsf?fop=PL.ZIPOP.1393.OCHK.14" TargetMode="External"/><Relationship Id="rId54" Type="http://schemas.openxmlformats.org/officeDocument/2006/relationships/hyperlink" Target="http://crfop.gdos.gov.pl/CRFOP/widok/viewfop.jsf?fop=PL.ZIPOP.1393.OCHK.14" TargetMode="External"/><Relationship Id="rId62" Type="http://schemas.openxmlformats.org/officeDocument/2006/relationships/hyperlink" Target="http://crfop.gdos.gov.pl/CRFOP/widok/viewfop.jsf?fop=PL.ZIPOP.1393.N2K.PLH320018.H" TargetMode="External"/><Relationship Id="rId70" Type="http://schemas.openxmlformats.org/officeDocument/2006/relationships/hyperlink" Target="http://n2k-ws.gdos.gov.pl/wyszukiwarkaN2k/webresources/pdf/PLH220038" TargetMode="External"/><Relationship Id="rId75" Type="http://schemas.openxmlformats.org/officeDocument/2006/relationships/hyperlink" Target="http://n2k-ws.gdos.gov.pl/wyszukiwarkaN2k/webresources/pdf/PLB320007" TargetMode="External"/><Relationship Id="rId1" Type="http://schemas.microsoft.com/office/2006/relationships/keyMapCustomizations" Target="customizations.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hyperlink" Target="http://crfop.gdos.gov.pl/CRFOP/widok/viewfop.jsf?fop=PL.ZIPOP.1393.N2K.PLH320018.H" TargetMode="External"/><Relationship Id="rId57" Type="http://schemas.openxmlformats.org/officeDocument/2006/relationships/hyperlink" Target="http://n2k-ws.gdos.gov.pl/wyszukiwarkaN2k/webresources/pdf/PLB320009" TargetMode="External"/><Relationship Id="rId10" Type="http://schemas.openxmlformats.org/officeDocument/2006/relationships/footer" Target="footer1.xml"/><Relationship Id="rId31" Type="http://schemas.openxmlformats.org/officeDocument/2006/relationships/image" Target="media/image22.png"/><Relationship Id="rId44" Type="http://schemas.openxmlformats.org/officeDocument/2006/relationships/hyperlink" Target="http://n2k-ws.gdos.gov.pl/wyszukiwarkaN2k/webresources/pdf/PLB320009" TargetMode="External"/><Relationship Id="rId52" Type="http://schemas.openxmlformats.org/officeDocument/2006/relationships/hyperlink" Target="http://n2k-ws.gdos.gov.pl/wyszukiwarkaN2k/webresources/pdf/PLB990002" TargetMode="External"/><Relationship Id="rId60" Type="http://schemas.openxmlformats.org/officeDocument/2006/relationships/hyperlink" Target="http://crfop.gdos.gov.pl/CRFOP/widok/viewfop.jsf?fop=PL.ZIPOP.1393.N2K.PLB320009.B" TargetMode="External"/><Relationship Id="rId65" Type="http://schemas.openxmlformats.org/officeDocument/2006/relationships/hyperlink" Target="http://crfop.gdos.gov.pl/CRFOP/widok/viewfop.jsf?fop=PL.ZIPOP.1393.OCHK.14" TargetMode="External"/><Relationship Id="rId73" Type="http://schemas.openxmlformats.org/officeDocument/2006/relationships/hyperlink" Target="http://crfop.gdos.gov.pl/CRFOP/widok/viewfop.jsf?fop=PL.ZIPOP.1393.N2K.PLB990002.B" TargetMode="External"/><Relationship Id="rId78" Type="http://schemas.openxmlformats.org/officeDocument/2006/relationships/hyperlink" Target="http://crfop.gdos.gov.pl/CRFOP/widok/viewfop.jsf?fop=PL.ZIPOP.1393.N2K.PLB320009.B"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hyperlink" Target="http://n2k-ws.gdos.gov.pl/wyszukiwarkaN2k/webresources/pdf/PLB990002" TargetMode="External"/><Relationship Id="rId34" Type="http://schemas.openxmlformats.org/officeDocument/2006/relationships/image" Target="media/image25.png"/><Relationship Id="rId50" Type="http://schemas.openxmlformats.org/officeDocument/2006/relationships/hyperlink" Target="http://n2k-ws.gdos.gov.pl/wyszukiwarkaN2k/webresources/pdf/PLH220038" TargetMode="External"/><Relationship Id="rId55" Type="http://schemas.openxmlformats.org/officeDocument/2006/relationships/hyperlink" Target="http://n2k-ws.gdos.gov.pl/wyszukiwarkaN2k/webresources/pdf/PLB320007" TargetMode="External"/><Relationship Id="rId76" Type="http://schemas.openxmlformats.org/officeDocument/2006/relationships/hyperlink" Target="http://crfop.gdos.gov.pl/CRFOP/widok/viewfop.jsf?fop=PL.ZIPOP.1393.N2K.PLB320007.B" TargetMode="External"/><Relationship Id="rId7" Type="http://schemas.openxmlformats.org/officeDocument/2006/relationships/endnotes" Target="endnotes.xml"/><Relationship Id="rId71" Type="http://schemas.openxmlformats.org/officeDocument/2006/relationships/hyperlink" Target="http://crfop.gdos.gov.pl/CRFOP/widok/viewfop.jsf?fop=PL.ZIPOP.1393.N2K.PLH220038.H" TargetMode="External"/><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hyperlink" Target="http://crfop.gdos.gov.pl/CRFOP/widok/viewfop.jsf?fop=PL.ZIPOP.1393.N2K.PLB990002.B" TargetMode="External"/><Relationship Id="rId45" Type="http://schemas.openxmlformats.org/officeDocument/2006/relationships/hyperlink" Target="http://crfop.gdos.gov.pl/CRFOP/widok/viewfop.jsf?fop=PL.ZIPOP.1393.N2K.PLB320009.B" TargetMode="External"/><Relationship Id="rId66" Type="http://schemas.openxmlformats.org/officeDocument/2006/relationships/hyperlink" Target="http://crfop.gdos.gov.pl/CRFOP/widok/viewfop.jsf?fop=PL.ZIPOP.1393.N2K.PLB320007.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Oasys\OvaWord\Report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report</Template>
  <TotalTime>0</TotalTime>
  <Pages>115</Pages>
  <Words>32185</Words>
  <Characters>193110</Characters>
  <Application>Microsoft Office Word</Application>
  <DocSecurity>0</DocSecurity>
  <Lines>1609</Lines>
  <Paragraphs>449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Ministerstwo Infrastruktury</vt:lpstr>
      <vt:lpstr>Ministerstwo Infrastruktury</vt:lpstr>
    </vt:vector>
  </TitlesOfParts>
  <Company/>
  <LinksUpToDate>false</LinksUpToDate>
  <CharactersWithSpaces>224846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Infrastruktury</dc:title>
  <dc:subject/>
  <dc:creator/>
  <cp:keywords/>
  <dc:description/>
  <cp:lastModifiedBy/>
  <cp:revision>1</cp:revision>
  <dcterms:created xsi:type="dcterms:W3CDTF">2021-08-31T13:24:00Z</dcterms:created>
  <dcterms:modified xsi:type="dcterms:W3CDTF">2021-08-31T13:24:00Z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fa3fd3-029b-403d-91b4-1dc930cb0e60_Enabled">
    <vt:lpwstr>true</vt:lpwstr>
  </property>
  <property fmtid="{D5CDD505-2E9C-101B-9397-08002B2CF9AE}" pid="3" name="MSIP_Label_82fa3fd3-029b-403d-91b4-1dc930cb0e60_SetDate">
    <vt:lpwstr>2021-08-18T10:17:41Z</vt:lpwstr>
  </property>
  <property fmtid="{D5CDD505-2E9C-101B-9397-08002B2CF9AE}" pid="4" name="MSIP_Label_82fa3fd3-029b-403d-91b4-1dc930cb0e60_Method">
    <vt:lpwstr>Standard</vt:lpwstr>
  </property>
  <property fmtid="{D5CDD505-2E9C-101B-9397-08002B2CF9AE}" pid="5" name="MSIP_Label_82fa3fd3-029b-403d-91b4-1dc930cb0e60_Name">
    <vt:lpwstr>82fa3fd3-029b-403d-91b4-1dc930cb0e60</vt:lpwstr>
  </property>
  <property fmtid="{D5CDD505-2E9C-101B-9397-08002B2CF9AE}" pid="6" name="MSIP_Label_82fa3fd3-029b-403d-91b4-1dc930cb0e60_SiteId">
    <vt:lpwstr>4ae48b41-0137-4599-8661-fc641fe77bea</vt:lpwstr>
  </property>
  <property fmtid="{D5CDD505-2E9C-101B-9397-08002B2CF9AE}" pid="7" name="MSIP_Label_82fa3fd3-029b-403d-91b4-1dc930cb0e60_ActionId">
    <vt:lpwstr>44d65a38-7472-468f-a6cb-adbb6ef8c6e3</vt:lpwstr>
  </property>
  <property fmtid="{D5CDD505-2E9C-101B-9397-08002B2CF9AE}" pid="8" name="MSIP_Label_82fa3fd3-029b-403d-91b4-1dc930cb0e60_ContentBits">
    <vt:lpwstr>0</vt:lpwstr>
  </property>
  <property fmtid="{D5CDD505-2E9C-101B-9397-08002B2CF9AE}" pid="9" name="Client">
    <vt:lpwstr/>
  </property>
  <property fmtid="{D5CDD505-2E9C-101B-9397-08002B2CF9AE}" pid="10" name="Project Title">
    <vt:lpwstr/>
  </property>
  <property fmtid="{D5CDD505-2E9C-101B-9397-08002B2CF9AE}" pid="11" name="Report Title">
    <vt:lpwstr/>
  </property>
  <property fmtid="{D5CDD505-2E9C-101B-9397-08002B2CF9AE}" pid="12" name="Job Number">
    <vt:lpwstr/>
  </property>
  <property fmtid="{D5CDD505-2E9C-101B-9397-08002B2CF9AE}" pid="13" name="Document Ref (e.g. REP/12345/S001)">
    <vt:lpwstr/>
  </property>
  <property fmtid="{D5CDD505-2E9C-101B-9397-08002B2CF9AE}" pid="14" name="Date">
    <vt:lpwstr/>
  </property>
  <property fmtid="{D5CDD505-2E9C-101B-9397-08002B2CF9AE}" pid="15" name="Status">
    <vt:lpwstr/>
  </property>
  <property fmtid="{D5CDD505-2E9C-101B-9397-08002B2CF9AE}" pid="16" name="Prepared By">
    <vt:lpwstr/>
  </property>
  <property fmtid="{D5CDD505-2E9C-101B-9397-08002B2CF9AE}" pid="17" name="To Be Checked By">
    <vt:lpwstr/>
  </property>
  <property fmtid="{D5CDD505-2E9C-101B-9397-08002B2CF9AE}" pid="18" name="To Be Approved By">
    <vt:lpwstr/>
  </property>
</Properties>
</file>