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62E40" w14:textId="77777777" w:rsidR="00A93F9F" w:rsidRDefault="00A70BD0">
      <w:pPr>
        <w:spacing w:line="1" w:lineRule="exact"/>
      </w:pPr>
      <w:r>
        <w:rPr>
          <w:noProof/>
        </w:rPr>
        <mc:AlternateContent>
          <mc:Choice Requires="wps">
            <w:drawing>
              <wp:anchor distT="0" distB="0" distL="114300" distR="114300" simplePos="0" relativeHeight="251654656" behindDoc="1" locked="0" layoutInCell="1" allowOverlap="1" wp14:anchorId="6049BE94" wp14:editId="6326AF75">
                <wp:simplePos x="0" y="0"/>
                <wp:positionH relativeFrom="page">
                  <wp:align>right</wp:align>
                </wp:positionH>
                <wp:positionV relativeFrom="page">
                  <wp:align>top</wp:align>
                </wp:positionV>
                <wp:extent cx="7556500" cy="10693400"/>
                <wp:effectExtent l="0" t="0" r="6350" b="0"/>
                <wp:wrapNone/>
                <wp:docPr id="1" name="Shape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w14:anchorId="054967C8" id="Shape 1" o:spid="_x0000_s1026" style="position:absolute;margin-left:543.8pt;margin-top:0;width:595pt;height:842pt;z-index:-251661824;visibility:visible;mso-wrap-style:square;mso-wrap-distance-left:9pt;mso-wrap-distance-top:0;mso-wrap-distance-right:9pt;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tJFjAEAAAcDAAAOAAAAZHJzL2Uyb0RvYy54bWysUk2P0zAQvSPxHyzfadKFliVqugeWcllg&#10;tcv+ANexG4vYY82YpOXXM3Y/FsFthSKNZjzjl/feeHWz94MYDZKD0Mr5rJbCBA2dC7tWPn3fvLmW&#10;gpIKnRogmFYeDMmb9etXqyk25gp6GDqDgkECNVNsZZ9SbKqKdG+8ohlEE7hpAb1KXOKu6lBNjO6H&#10;6qqul9UE2EUEbYj49PbYlOuCb63R6Zu1ZJIYWsncUolY4jbHar1SzQ5V7J0+0VAvYOGVC/zTC9St&#10;Skr8RPcPlHcagcCmmQZfgbVOm6KB1czrv9Q89iqaooXNoXixif4frP46PsZ7zNQp3oH+QSLAA7BP&#10;c8nZFxh5aSV9MOR+lYI9q6ZIzeVuLuiEsrfoMxpLE/vi8+His9knofnw/WKxXNS8Ds29eb388PYd&#10;VxlWNef7ESl9NuBFTlqJvMlisBrvKB1HzyOFPAyu27hhKAXuth8HFKPirW8+5e+ETs9jRcKRdea/&#10;he5wj2dp7HZhc3oZeZ1/1sWA5/e7/g0AAP//AwBQSwMEFAAGAAgAAAAhAHri+M/dAAAABwEAAA8A&#10;AABkcnMvZG93bnJldi54bWxMj09LxDAQxe+C3yGM4EXcZBdZ19p0cQURBEFXDx5nm7EpbSa1Sf/4&#10;7c160cswjze8+b18O7tWjNSH2rOG5UKBIC69qbnS8P72cLkBESKywdYzafimANvi9CTHzPiJX2nc&#10;x0qkEA4ZarAxdpmUobTkMCx8R5y8T987jEn2lTQ9TinctXKl1Fo6rDl9sNjRvaWy2Q9Ow/VUfjXD&#10;+LzamY/GP108TnaHL1qfn813tyAizfHvGI74CR2KxHTwA5sgWg2pSPydR295o5I+pG29uVIgi1z+&#10;5y9+AAAA//8DAFBLAQItABQABgAIAAAAIQC2gziS/gAAAOEBAAATAAAAAAAAAAAAAAAAAAAAAABb&#10;Q29udGVudF9UeXBlc10ueG1sUEsBAi0AFAAGAAgAAAAhADj9If/WAAAAlAEAAAsAAAAAAAAAAAAA&#10;AAAALwEAAF9yZWxzLy5yZWxzUEsBAi0AFAAGAAgAAAAhAGC20kWMAQAABwMAAA4AAAAAAAAAAAAA&#10;AAAALgIAAGRycy9lMm9Eb2MueG1sUEsBAi0AFAAGAAgAAAAhAHri+M/dAAAABwEAAA8AAAAAAAAA&#10;AAAAAAAA5gMAAGRycy9kb3ducmV2LnhtbFBLBQYAAAAABAAEAPMAAADwBAAAAAA=&#10;" fillcolor="#fefefe" stroked="f">
                <o:lock v:ext="edit" rotation="t" position="t"/>
                <w10:wrap anchorx="page" anchory="page"/>
              </v:rect>
            </w:pict>
          </mc:Fallback>
        </mc:AlternateContent>
      </w:r>
    </w:p>
    <w:p w14:paraId="4D39419D" w14:textId="77777777" w:rsidR="00A93F9F" w:rsidRDefault="00A70BD0">
      <w:pPr>
        <w:spacing w:line="1" w:lineRule="exact"/>
      </w:pPr>
      <w:r>
        <w:rPr>
          <w:noProof/>
        </w:rPr>
        <mc:AlternateContent>
          <mc:Choice Requires="wps">
            <w:drawing>
              <wp:anchor distT="0" distB="0" distL="114300" distR="114300" simplePos="0" relativeHeight="251657728" behindDoc="0" locked="0" layoutInCell="1" allowOverlap="1" wp14:anchorId="7BCB0EA9" wp14:editId="37FE64A7">
                <wp:simplePos x="0" y="0"/>
                <wp:positionH relativeFrom="page">
                  <wp:posOffset>5110480</wp:posOffset>
                </wp:positionH>
                <wp:positionV relativeFrom="paragraph">
                  <wp:posOffset>12700</wp:posOffset>
                </wp:positionV>
                <wp:extent cx="1456690" cy="368935"/>
                <wp:effectExtent l="0" t="0" r="0" b="0"/>
                <wp:wrapTopAndBottom/>
                <wp:docPr id="2" name="Shape 2"/>
                <wp:cNvGraphicFramePr/>
                <a:graphic xmlns:a="http://schemas.openxmlformats.org/drawingml/2006/main">
                  <a:graphicData uri="http://schemas.microsoft.com/office/word/2010/wordprocessingShape">
                    <wps:wsp>
                      <wps:cNvSpPr txBox="1"/>
                      <wps:spPr>
                        <a:xfrm>
                          <a:off x="0" y="0"/>
                          <a:ext cx="1456690" cy="368935"/>
                        </a:xfrm>
                        <a:prstGeom prst="rect">
                          <a:avLst/>
                        </a:prstGeom>
                        <a:noFill/>
                      </wps:spPr>
                      <wps:txbx>
                        <w:txbxContent>
                          <w:p w14:paraId="067C3993" w14:textId="77777777" w:rsidR="00A93F9F" w:rsidRDefault="00A70BD0">
                            <w:pPr>
                              <w:pStyle w:val="Teksttreci30"/>
                            </w:pPr>
                            <w:r>
                              <w:rPr>
                                <w:rStyle w:val="Teksttreci3"/>
                              </w:rPr>
                              <w:t>Lubin, 14 maja 2025 r.</w:t>
                            </w:r>
                          </w:p>
                          <w:p w14:paraId="66B975CC" w14:textId="77777777" w:rsidR="00A93F9F" w:rsidRDefault="00A70BD0">
                            <w:pPr>
                              <w:pStyle w:val="Teksttreci40"/>
                            </w:pPr>
                            <w:r>
                              <w:rPr>
                                <w:rStyle w:val="Teksttreci4"/>
                                <w:i/>
                                <w:iCs/>
                              </w:rPr>
                              <w:t>PTW/2025</w:t>
                            </w:r>
                          </w:p>
                        </w:txbxContent>
                      </wps:txbx>
                      <wps:bodyPr lIns="0" tIns="0" rIns="0" bIns="0"/>
                    </wps:wsp>
                  </a:graphicData>
                </a:graphic>
              </wp:anchor>
            </w:drawing>
          </mc:Choice>
          <mc:Fallback>
            <w:pict>
              <v:shapetype w14:anchorId="7BCB0EA9" id="_x0000_t202" coordsize="21600,21600" o:spt="202" path="m,l,21600r21600,l21600,xe">
                <v:stroke joinstyle="miter"/>
                <v:path gradientshapeok="t" o:connecttype="rect"/>
              </v:shapetype>
              <v:shape id="Shape 2" o:spid="_x0000_s1026" type="#_x0000_t202" style="position:absolute;margin-left:402.4pt;margin-top:1pt;width:114.7pt;height:29.05pt;z-index:25165772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mXDbgEAANoCAAAOAAAAZHJzL2Uyb0RvYy54bWysUlFLwzAQfhf8DyHvrt3mylbWDmRMBFFh&#10;+gPSNFkLTS4kce3+vZeu3UTfxJfrl7vku+++63rTqYYchXU16IxOJzElQnMoa33I6Mf77m5JifNM&#10;l6wBLTJ6Eo5u8tubdWtSMYMKmlJYgiTapa3JaOW9SaPI8Uoo5iZghMaiBKuYx6M9RKVlLbKrJprF&#10;cRK1YEtjgQvnMLs9F2ne80spuH+V0glPmoyiNt9H28cixChfs/RgmalqPshgf1ChWK2x6YVqyzwj&#10;n7b+RaVqbsGB9BMOKgIpay76GXCaafxjmn3FjOhnQXOcudjk/o+Wvxz35s0S3z1AhwsMhrTGpQ6T&#10;YZ5OWhW+qJRgHS08XWwTnSc8PLpfJMkKSxxr82S5mi8CTXR9bazzjwIUCSCjFtfSu8WOz86fr45X&#10;QjMNu7ppQv4qJSDfFd2gr4DyhLKbJ41mhMWOwI6gGMBIgwb2moZlhw19P/fNrr9k/gUAAP//AwBQ&#10;SwMEFAAGAAgAAAAhAPlF/hveAAAACQEAAA8AAABkcnMvZG93bnJldi54bWxMj8FOwzAQRO9I/IO1&#10;SNyo3VBFJWRTVQhOSIg0HDg6yTaxGq9D7Lbh73FP9Dia0cybfDPbQZxo8sYxwnKhQBA3rjXcIXxV&#10;bw9rED5obvXgmBB+ycOmuL3Jdda6M5d02oVOxBL2mUboQxgzKX3Tk9V+4Ubi6O3dZHWIcupkO+lz&#10;LLeDTJRKpdWG40KvR3rpqTnsjhZh+83lq/n5qD/LfWmq6knxe3pAvL+bt88gAs3hPwwX/IgORWSq&#10;3ZFbLwaEtVpF9ICQxEsXXz2uEhA1QqqWIItcXj8o/gAAAP//AwBQSwECLQAUAAYACAAAACEAtoM4&#10;kv4AAADhAQAAEwAAAAAAAAAAAAAAAAAAAAAAW0NvbnRlbnRfVHlwZXNdLnhtbFBLAQItABQABgAI&#10;AAAAIQA4/SH/1gAAAJQBAAALAAAAAAAAAAAAAAAAAC8BAABfcmVscy8ucmVsc1BLAQItABQABgAI&#10;AAAAIQCCWmXDbgEAANoCAAAOAAAAAAAAAAAAAAAAAC4CAABkcnMvZTJvRG9jLnhtbFBLAQItABQA&#10;BgAIAAAAIQD5Rf4b3gAAAAkBAAAPAAAAAAAAAAAAAAAAAMgDAABkcnMvZG93bnJldi54bWxQSwUG&#10;AAAAAAQABADzAAAA0wQAAAAA&#10;" filled="f" stroked="f">
                <v:textbox inset="0,0,0,0">
                  <w:txbxContent>
                    <w:p w14:paraId="067C3993" w14:textId="77777777" w:rsidR="00A93F9F" w:rsidRDefault="00A70BD0">
                      <w:pPr>
                        <w:pStyle w:val="Teksttreci30"/>
                      </w:pPr>
                      <w:r>
                        <w:rPr>
                          <w:rStyle w:val="Teksttreci3"/>
                        </w:rPr>
                        <w:t>Lubin, 14 maja 2025 r.</w:t>
                      </w:r>
                    </w:p>
                    <w:p w14:paraId="66B975CC" w14:textId="77777777" w:rsidR="00A93F9F" w:rsidRDefault="00A70BD0">
                      <w:pPr>
                        <w:pStyle w:val="Teksttreci40"/>
                      </w:pPr>
                      <w:r>
                        <w:rPr>
                          <w:rStyle w:val="Teksttreci4"/>
                          <w:i/>
                          <w:iCs/>
                        </w:rPr>
                        <w:t>PTW/2025</w:t>
                      </w:r>
                    </w:p>
                  </w:txbxContent>
                </v:textbox>
                <w10:wrap type="topAndBottom" anchorx="page"/>
              </v:shape>
            </w:pict>
          </mc:Fallback>
        </mc:AlternateContent>
      </w:r>
      <w:r>
        <w:rPr>
          <w:noProof/>
        </w:rPr>
        <w:drawing>
          <wp:anchor distT="887095" distB="0" distL="114300" distR="114300" simplePos="0" relativeHeight="251656704" behindDoc="1" locked="0" layoutInCell="1" allowOverlap="1" wp14:anchorId="35682CDE" wp14:editId="788DFE16">
            <wp:simplePos x="0" y="0"/>
            <wp:positionH relativeFrom="page">
              <wp:posOffset>1708785</wp:posOffset>
            </wp:positionH>
            <wp:positionV relativeFrom="paragraph">
              <wp:posOffset>1106805</wp:posOffset>
            </wp:positionV>
            <wp:extent cx="1835150" cy="1256030"/>
            <wp:effectExtent l="0" t="0" r="0" b="0"/>
            <wp:wrapNone/>
            <wp:docPr id="4" name="Shape 4"/>
            <wp:cNvGraphicFramePr/>
            <a:graphic xmlns:a="http://schemas.openxmlformats.org/drawingml/2006/main">
              <a:graphicData uri="http://schemas.openxmlformats.org/drawingml/2006/picture">
                <pic:pic xmlns:pic="http://schemas.openxmlformats.org/drawingml/2006/picture">
                  <pic:nvPicPr>
                    <pic:cNvPr id="5" name="Picture box 5"/>
                    <pic:cNvPicPr/>
                  </pic:nvPicPr>
                  <pic:blipFill>
                    <a:blip r:embed="rId7"/>
                    <a:stretch/>
                  </pic:blipFill>
                  <pic:spPr>
                    <a:xfrm>
                      <a:off x="0" y="0"/>
                      <a:ext cx="1835150" cy="1256030"/>
                    </a:xfrm>
                    <a:prstGeom prst="rect">
                      <a:avLst/>
                    </a:prstGeom>
                  </pic:spPr>
                </pic:pic>
              </a:graphicData>
            </a:graphic>
          </wp:anchor>
        </w:drawing>
      </w:r>
      <w:r>
        <w:rPr>
          <w:noProof/>
        </w:rPr>
        <mc:AlternateContent>
          <mc:Choice Requires="wps">
            <w:drawing>
              <wp:anchor distT="0" distB="0" distL="0" distR="0" simplePos="0" relativeHeight="251658752" behindDoc="0" locked="0" layoutInCell="1" allowOverlap="1" wp14:anchorId="7A599018" wp14:editId="58F9DD88">
                <wp:simplePos x="0" y="0"/>
                <wp:positionH relativeFrom="page">
                  <wp:posOffset>2303145</wp:posOffset>
                </wp:positionH>
                <wp:positionV relativeFrom="paragraph">
                  <wp:posOffset>219710</wp:posOffset>
                </wp:positionV>
                <wp:extent cx="1005840" cy="408305"/>
                <wp:effectExtent l="0" t="0" r="0" b="0"/>
                <wp:wrapNone/>
                <wp:docPr id="6" name="Shape 6"/>
                <wp:cNvGraphicFramePr/>
                <a:graphic xmlns:a="http://schemas.openxmlformats.org/drawingml/2006/main">
                  <a:graphicData uri="http://schemas.microsoft.com/office/word/2010/wordprocessingShape">
                    <wps:wsp>
                      <wps:cNvSpPr txBox="1"/>
                      <wps:spPr>
                        <a:xfrm>
                          <a:off x="0" y="0"/>
                          <a:ext cx="1005840" cy="408305"/>
                        </a:xfrm>
                        <a:prstGeom prst="rect">
                          <a:avLst/>
                        </a:prstGeom>
                        <a:noFill/>
                      </wps:spPr>
                      <wps:txbx>
                        <w:txbxContent>
                          <w:p w14:paraId="4AA02EE5" w14:textId="77777777" w:rsidR="00A93F9F" w:rsidRDefault="00A70BD0">
                            <w:pPr>
                              <w:pStyle w:val="Podpisobrazu0"/>
                              <w:rPr>
                                <w:sz w:val="16"/>
                                <w:szCs w:val="16"/>
                              </w:rPr>
                            </w:pPr>
                            <w:r>
                              <w:rPr>
                                <w:rStyle w:val="Podpisobrazu"/>
                                <w:rFonts w:ascii="Arial" w:eastAsia="Arial" w:hAnsi="Arial" w:cs="Arial"/>
                                <w:b/>
                                <w:bCs/>
                                <w:sz w:val="16"/>
                                <w:szCs w:val="16"/>
                              </w:rPr>
                              <w:t>RPW/41588/2025 P</w:t>
                            </w:r>
                          </w:p>
                          <w:p w14:paraId="7E33F302" w14:textId="77777777" w:rsidR="00A93F9F" w:rsidRDefault="00A70BD0">
                            <w:pPr>
                              <w:pStyle w:val="Podpisobrazu0"/>
                              <w:rPr>
                                <w:sz w:val="16"/>
                                <w:szCs w:val="16"/>
                              </w:rPr>
                            </w:pPr>
                            <w:r>
                              <w:rPr>
                                <w:rStyle w:val="Podpisobrazu"/>
                                <w:rFonts w:ascii="Arial" w:eastAsia="Arial" w:hAnsi="Arial" w:cs="Arial"/>
                                <w:b/>
                                <w:bCs/>
                                <w:sz w:val="16"/>
                                <w:szCs w:val="16"/>
                              </w:rPr>
                              <w:t>Data:2025-05-16</w:t>
                            </w:r>
                          </w:p>
                          <w:p w14:paraId="29FEA28B" w14:textId="77777777" w:rsidR="00A93F9F" w:rsidRDefault="00A70BD0">
                            <w:pPr>
                              <w:pStyle w:val="Podpisobrazu0"/>
                              <w:rPr>
                                <w:sz w:val="16"/>
                                <w:szCs w:val="16"/>
                              </w:rPr>
                            </w:pPr>
                            <w:proofErr w:type="spellStart"/>
                            <w:r>
                              <w:rPr>
                                <w:rStyle w:val="Podpisobrazu"/>
                                <w:rFonts w:ascii="Arial" w:eastAsia="Arial" w:hAnsi="Arial" w:cs="Arial"/>
                                <w:b/>
                                <w:bCs/>
                                <w:sz w:val="16"/>
                                <w:szCs w:val="16"/>
                              </w:rPr>
                              <w:t>MKiS</w:t>
                            </w:r>
                            <w:proofErr w:type="spellEnd"/>
                          </w:p>
                        </w:txbxContent>
                      </wps:txbx>
                      <wps:bodyPr lIns="0" tIns="0" rIns="0" bIns="0"/>
                    </wps:wsp>
                  </a:graphicData>
                </a:graphic>
              </wp:anchor>
            </w:drawing>
          </mc:Choice>
          <mc:Fallback>
            <w:pict>
              <v:shape w14:anchorId="7A599018" id="Shape 6" o:spid="_x0000_s1027" type="#_x0000_t202" style="position:absolute;margin-left:181.35pt;margin-top:17.3pt;width:79.2pt;height:32.1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Er8bwEAAOECAAAOAAAAZHJzL2Uyb0RvYy54bWysUlFrwjAQfh/sP4S8z1SnQ4pVGOIYjG3g&#10;9gPSNLGBJheSzNZ/v0u1Ktvb2Mv1y13y3XffdbHqTEP20gcNtqDjUUaJtAIqbXcF/fzY3M0pCZHb&#10;ijdgZUEPMtDV8vZm0bpcTqCGppKeIIkNeesKWsfocsaCqKXhYQROWiwq8IZHPPodqzxvkd00bJJl&#10;D6wFXzkPQoaA2fWxSJc9v1JSxDelgoykKShqi330fSxTZMsFz3eeu1qLkwz+BxWGa4tNz1RrHjn5&#10;8voXldHCQwAVRwIMA6W0kP0MOM04+zHNtuZO9rOgOcGdbQr/Ryte91v37knsHqHDBSZDWhfygMk0&#10;T6e8SV9USrCOFh7OtskuEpEeZdlsPsWSwNo0m99ns0TDLq+dD/FJgiEJFNTjWnq3+P4lxOPV4Upq&#10;ZmGjmyblL1ISil3ZEV1dySyhOqD65tmiJ2m/A/ADKE9gYEMfe2mnnadFXZ/7npc/c/kNAAD//wMA&#10;UEsDBBQABgAIAAAAIQA4/w1l3wAAAAkBAAAPAAAAZHJzL2Rvd25yZXYueG1sTI/BToNAEIbvJr7D&#10;Zky82QVULMjSNEZPJkaKB48LOwVSdhbZbYtv73jS20zmyz/fX2wWO4oTzn5wpCBeRSCQWmcG6hR8&#10;1C83axA+aDJ6dIQKvtHDpry8KHRu3JkqPO1CJziEfK4V9CFMuZS+7dFqv3ITEt/2brY68Dp30sz6&#10;zOF2lEkUpdLqgfhDryd86rE97I5WwfaTqufh6615r/bVUNdZRK/pQanrq2X7CCLgEv5g+NVndSjZ&#10;qXFHMl6MCm7T5IFRHu5SEAzcJ3EMolGQrTOQZSH/Nyh/AAAA//8DAFBLAQItABQABgAIAAAAIQC2&#10;gziS/gAAAOEBAAATAAAAAAAAAAAAAAAAAAAAAABbQ29udGVudF9UeXBlc10ueG1sUEsBAi0AFAAG&#10;AAgAAAAhADj9If/WAAAAlAEAAAsAAAAAAAAAAAAAAAAALwEAAF9yZWxzLy5yZWxzUEsBAi0AFAAG&#10;AAgAAAAhAEW4SvxvAQAA4QIAAA4AAAAAAAAAAAAAAAAALgIAAGRycy9lMm9Eb2MueG1sUEsBAi0A&#10;FAAGAAgAAAAhADj/DWXfAAAACQEAAA8AAAAAAAAAAAAAAAAAyQMAAGRycy9kb3ducmV2LnhtbFBL&#10;BQYAAAAABAAEAPMAAADVBAAAAAA=&#10;" filled="f" stroked="f">
                <v:textbox inset="0,0,0,0">
                  <w:txbxContent>
                    <w:p w14:paraId="4AA02EE5" w14:textId="77777777" w:rsidR="00A93F9F" w:rsidRDefault="00A70BD0">
                      <w:pPr>
                        <w:pStyle w:val="Podpisobrazu0"/>
                        <w:rPr>
                          <w:sz w:val="16"/>
                          <w:szCs w:val="16"/>
                        </w:rPr>
                      </w:pPr>
                      <w:r>
                        <w:rPr>
                          <w:rStyle w:val="Podpisobrazu"/>
                          <w:rFonts w:ascii="Arial" w:eastAsia="Arial" w:hAnsi="Arial" w:cs="Arial"/>
                          <w:b/>
                          <w:bCs/>
                          <w:sz w:val="16"/>
                          <w:szCs w:val="16"/>
                        </w:rPr>
                        <w:t>RPW/41588/2025 P</w:t>
                      </w:r>
                    </w:p>
                    <w:p w14:paraId="7E33F302" w14:textId="77777777" w:rsidR="00A93F9F" w:rsidRDefault="00A70BD0">
                      <w:pPr>
                        <w:pStyle w:val="Podpisobrazu0"/>
                        <w:rPr>
                          <w:sz w:val="16"/>
                          <w:szCs w:val="16"/>
                        </w:rPr>
                      </w:pPr>
                      <w:r>
                        <w:rPr>
                          <w:rStyle w:val="Podpisobrazu"/>
                          <w:rFonts w:ascii="Arial" w:eastAsia="Arial" w:hAnsi="Arial" w:cs="Arial"/>
                          <w:b/>
                          <w:bCs/>
                          <w:sz w:val="16"/>
                          <w:szCs w:val="16"/>
                        </w:rPr>
                        <w:t>Data:2025-05-16</w:t>
                      </w:r>
                    </w:p>
                    <w:p w14:paraId="29FEA28B" w14:textId="77777777" w:rsidR="00A93F9F" w:rsidRDefault="00A70BD0">
                      <w:pPr>
                        <w:pStyle w:val="Podpisobrazu0"/>
                        <w:rPr>
                          <w:sz w:val="16"/>
                          <w:szCs w:val="16"/>
                        </w:rPr>
                      </w:pPr>
                      <w:proofErr w:type="spellStart"/>
                      <w:r>
                        <w:rPr>
                          <w:rStyle w:val="Podpisobrazu"/>
                          <w:rFonts w:ascii="Arial" w:eastAsia="Arial" w:hAnsi="Arial" w:cs="Arial"/>
                          <w:b/>
                          <w:bCs/>
                          <w:sz w:val="16"/>
                          <w:szCs w:val="16"/>
                        </w:rPr>
                        <w:t>MKiS</w:t>
                      </w:r>
                      <w:proofErr w:type="spellEnd"/>
                    </w:p>
                  </w:txbxContent>
                </v:textbox>
                <w10:wrap anchorx="page"/>
              </v:shape>
            </w:pict>
          </mc:Fallback>
        </mc:AlternateContent>
      </w:r>
      <w:r>
        <w:rPr>
          <w:noProof/>
        </w:rPr>
        <mc:AlternateContent>
          <mc:Choice Requires="wps">
            <w:drawing>
              <wp:anchor distT="0" distB="0" distL="0" distR="0" simplePos="0" relativeHeight="251659776" behindDoc="0" locked="0" layoutInCell="1" allowOverlap="1" wp14:anchorId="04B48B25" wp14:editId="1D4AAAAA">
                <wp:simplePos x="0" y="0"/>
                <wp:positionH relativeFrom="page">
                  <wp:posOffset>1757680</wp:posOffset>
                </wp:positionH>
                <wp:positionV relativeFrom="paragraph">
                  <wp:posOffset>1207135</wp:posOffset>
                </wp:positionV>
                <wp:extent cx="1734185" cy="274320"/>
                <wp:effectExtent l="0" t="0" r="0" b="0"/>
                <wp:wrapNone/>
                <wp:docPr id="8" name="Shape 8"/>
                <wp:cNvGraphicFramePr/>
                <a:graphic xmlns:a="http://schemas.openxmlformats.org/drawingml/2006/main">
                  <a:graphicData uri="http://schemas.microsoft.com/office/word/2010/wordprocessingShape">
                    <wps:wsp>
                      <wps:cNvSpPr txBox="1"/>
                      <wps:spPr>
                        <a:xfrm>
                          <a:off x="0" y="0"/>
                          <a:ext cx="1734185" cy="274320"/>
                        </a:xfrm>
                        <a:prstGeom prst="rect">
                          <a:avLst/>
                        </a:prstGeom>
                        <a:noFill/>
                      </wps:spPr>
                      <wps:txbx>
                        <w:txbxContent>
                          <w:p w14:paraId="4627D129" w14:textId="17BA5A4B" w:rsidR="00A93F9F" w:rsidRDefault="00A70BD0">
                            <w:pPr>
                              <w:pStyle w:val="Podpisobrazu0"/>
                              <w:spacing w:line="202" w:lineRule="auto"/>
                              <w:jc w:val="center"/>
                            </w:pPr>
                            <w:r>
                              <w:rPr>
                                <w:rStyle w:val="Podpisobrazu"/>
                              </w:rPr>
                              <w:t xml:space="preserve">MINISTERSTWO </w:t>
                            </w:r>
                            <w:r w:rsidR="00013049">
                              <w:rPr>
                                <w:rStyle w:val="Podpisobrazu"/>
                              </w:rPr>
                              <w:t>Klimatu</w:t>
                            </w:r>
                            <w:r>
                              <w:rPr>
                                <w:rStyle w:val="Podpisobrazu"/>
                              </w:rPr>
                              <w:t xml:space="preserve"> I ŚRODOWISKA KANCELARIA OGÓLNA</w:t>
                            </w:r>
                          </w:p>
                        </w:txbxContent>
                      </wps:txbx>
                      <wps:bodyPr lIns="0" tIns="0" rIns="0" bIns="0"/>
                    </wps:wsp>
                  </a:graphicData>
                </a:graphic>
              </wp:anchor>
            </w:drawing>
          </mc:Choice>
          <mc:Fallback>
            <w:pict>
              <v:shapetype w14:anchorId="04B48B25" id="_x0000_t202" coordsize="21600,21600" o:spt="202" path="m,l,21600r21600,l21600,xe">
                <v:stroke joinstyle="miter"/>
                <v:path gradientshapeok="t" o:connecttype="rect"/>
              </v:shapetype>
              <v:shape id="Shape 8" o:spid="_x0000_s1028" type="#_x0000_t202" style="position:absolute;margin-left:138.4pt;margin-top:95.05pt;width:136.55pt;height:21.6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9u5cwEAAOECAAAOAAAAZHJzL2Uyb0RvYy54bWysUlFLwzAQfhf8DyHvrls33ShrBzImgqgw&#10;/QFZmqyBJheSuHb/3ktcN9E38eV6uUu+77vvulz1uiUH4bwCU9LJaEyJMBxqZfYlfX/b3Cwo8YGZ&#10;mrVgREmPwtNVdX217GwhcmigrYUjCGJ80dmSNiHYIss8b4RmfgRWGGxKcJoFPLp9VjvWIbpus3w8&#10;vss6cLV1wIX3WF1/NWmV8KUUPLxI6UUgbUlRW0jRpbiLMauWrNg7ZhvFTzLYH1RopgySnqHWLDDy&#10;4dQvKK24Aw8yjDjoDKRUXKQZcJrJ+Mc024ZZkWZBc7w92+T/D5Y/H7b21ZHQ30OPC4yGdNYXHotx&#10;nl46Hb+olGAfLTyebRN9IDw+mk9nk8UtJRx7+Xw2zZOv2eW1dT48CNAkJiV1uJbkFjs8+YCMeHW4&#10;EskMbFTbxvpFSsxCv+uJqpFkkLmD+ojq20eDnsT9Dokbkt0pGdDQx8R32nlc1Pdz4rz8mdUnAAAA&#10;//8DAFBLAwQUAAYACAAAACEAplSwauAAAAALAQAADwAAAGRycy9kb3ducmV2LnhtbEyPwU7DMBBE&#10;70j8g7VI3KjdBgIJcaoKwakSIg0Hjk7sJlbjdYjdNvx9lxMcV28087ZYz25gJzMF61HCciGAGWy9&#10;tthJ+Kzf7p6AhahQq8GjkfBjAqzL66tC5dqfsTKnXewYlWDIlYQ+xjHnPLS9cSos/GiQ2N5PTkU6&#10;p47rSZ2p3A18JUTKnbJIC70azUtv2sPu6CRsvrB6td/vzUe1r2xdZwK36UHK25t58wwsmjn+heFX&#10;n9ShJKfGH1EHNkhYPaakHglkYgmMEg/3WQasIZQkCfCy4P9/KC8AAAD//wMAUEsBAi0AFAAGAAgA&#10;AAAhALaDOJL+AAAA4QEAABMAAAAAAAAAAAAAAAAAAAAAAFtDb250ZW50X1R5cGVzXS54bWxQSwEC&#10;LQAUAAYACAAAACEAOP0h/9YAAACUAQAACwAAAAAAAAAAAAAAAAAvAQAAX3JlbHMvLnJlbHNQSwEC&#10;LQAUAAYACAAAACEAAcPbuXMBAADhAgAADgAAAAAAAAAAAAAAAAAuAgAAZHJzL2Uyb0RvYy54bWxQ&#10;SwECLQAUAAYACAAAACEAplSwauAAAAALAQAADwAAAAAAAAAAAAAAAADNAwAAZHJzL2Rvd25yZXYu&#10;eG1sUEsFBgAAAAAEAAQA8wAAANoEAAAAAA==&#10;" filled="f" stroked="f">
                <v:textbox inset="0,0,0,0">
                  <w:txbxContent>
                    <w:p w14:paraId="4627D129" w14:textId="17BA5A4B" w:rsidR="00A93F9F" w:rsidRDefault="00A70BD0">
                      <w:pPr>
                        <w:pStyle w:val="Podpisobrazu0"/>
                        <w:spacing w:line="202" w:lineRule="auto"/>
                        <w:jc w:val="center"/>
                      </w:pPr>
                      <w:r>
                        <w:rPr>
                          <w:rStyle w:val="Podpisobrazu"/>
                        </w:rPr>
                        <w:t xml:space="preserve">MINISTERSTWO </w:t>
                      </w:r>
                      <w:r w:rsidR="00013049">
                        <w:rPr>
                          <w:rStyle w:val="Podpisobrazu"/>
                        </w:rPr>
                        <w:t>Klimatu</w:t>
                      </w:r>
                      <w:r>
                        <w:rPr>
                          <w:rStyle w:val="Podpisobrazu"/>
                        </w:rPr>
                        <w:t xml:space="preserve"> I ŚRODOWISKA KANCELARIA OGÓLNA</w:t>
                      </w:r>
                    </w:p>
                  </w:txbxContent>
                </v:textbox>
                <w10:wrap anchorx="page"/>
              </v:shape>
            </w:pict>
          </mc:Fallback>
        </mc:AlternateContent>
      </w:r>
      <w:r>
        <w:rPr>
          <w:noProof/>
        </w:rPr>
        <mc:AlternateContent>
          <mc:Choice Requires="wps">
            <w:drawing>
              <wp:anchor distT="0" distB="0" distL="0" distR="0" simplePos="0" relativeHeight="251660800" behindDoc="0" locked="0" layoutInCell="1" allowOverlap="1" wp14:anchorId="5481F347" wp14:editId="185EDB7D">
                <wp:simplePos x="0" y="0"/>
                <wp:positionH relativeFrom="page">
                  <wp:posOffset>1778635</wp:posOffset>
                </wp:positionH>
                <wp:positionV relativeFrom="paragraph">
                  <wp:posOffset>1997075</wp:posOffset>
                </wp:positionV>
                <wp:extent cx="316865" cy="204470"/>
                <wp:effectExtent l="0" t="0" r="0" b="0"/>
                <wp:wrapNone/>
                <wp:docPr id="10" name="Shape 10"/>
                <wp:cNvGraphicFramePr/>
                <a:graphic xmlns:a="http://schemas.openxmlformats.org/drawingml/2006/main">
                  <a:graphicData uri="http://schemas.microsoft.com/office/word/2010/wordprocessingShape">
                    <wps:wsp>
                      <wps:cNvSpPr txBox="1"/>
                      <wps:spPr>
                        <a:xfrm>
                          <a:off x="0" y="0"/>
                          <a:ext cx="316865" cy="204470"/>
                        </a:xfrm>
                        <a:prstGeom prst="rect">
                          <a:avLst/>
                        </a:prstGeom>
                        <a:noFill/>
                      </wps:spPr>
                      <wps:txbx>
                        <w:txbxContent>
                          <w:p w14:paraId="2E8C835D" w14:textId="77777777" w:rsidR="00A93F9F" w:rsidRDefault="00A70BD0">
                            <w:pPr>
                              <w:pStyle w:val="Podpisobrazu0"/>
                              <w:rPr>
                                <w:sz w:val="22"/>
                                <w:szCs w:val="22"/>
                              </w:rPr>
                            </w:pPr>
                            <w:r>
                              <w:rPr>
                                <w:rStyle w:val="Podpisobrazu"/>
                                <w:b/>
                                <w:bCs/>
                                <w:sz w:val="22"/>
                                <w:szCs w:val="22"/>
                              </w:rPr>
                              <w:t xml:space="preserve">L. </w:t>
                            </w:r>
                            <w:proofErr w:type="spellStart"/>
                            <w:r>
                              <w:rPr>
                                <w:rStyle w:val="Podpisobrazu"/>
                                <w:b/>
                                <w:bCs/>
                                <w:sz w:val="22"/>
                                <w:szCs w:val="22"/>
                              </w:rPr>
                              <w:t>dz</w:t>
                            </w:r>
                            <w:proofErr w:type="spellEnd"/>
                          </w:p>
                        </w:txbxContent>
                      </wps:txbx>
                      <wps:bodyPr lIns="0" tIns="0" rIns="0" bIns="0"/>
                    </wps:wsp>
                  </a:graphicData>
                </a:graphic>
              </wp:anchor>
            </w:drawing>
          </mc:Choice>
          <mc:Fallback>
            <w:pict>
              <v:shape w14:anchorId="5481F347" id="Shape 10" o:spid="_x0000_s1029" type="#_x0000_t202" style="position:absolute;margin-left:140.05pt;margin-top:157.25pt;width:24.95pt;height:16.1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QQmcgEAAOACAAAOAAAAZHJzL2Uyb0RvYy54bWysUlFLwzAQfhf8DyHvrt2cU8ragYyJICpM&#10;f0CaJmugyYUkrt2/9xLXTfRNfLle7pLv++67LleD7sheOK/AlHQ6ySkRhkOjzK6k72+bqztKfGCm&#10;YR0YUdKD8HRVXV4se1uIGbTQNcIRBDG+6G1J2xBskWWet0IzPwErDDYlOM0CHt0uaxzrEV132SzP&#10;F1kPrrEOuPAeq+uvJq0SvpSChxcpvQikKylqCym6FOsYs2rJip1jtlX8KIP9QYVmyiDpCWrNAiMf&#10;Tv2C0oo78CDDhIPOQErFRZoBp5nmP6bZtsyKNAua4+3JJv9/sPx5v7WvjoThHgZcYDSkt77wWIzz&#10;DNLp+EWlBPto4eFkmxgC4Vi8ni7uFjeUcGzN8vn8NtmanR9b58ODAE1iUlKHW0lmsf2TD0iIV8cr&#10;kcvARnVdrJ+VxCwM9UBUg4SjyhqaA4rvHg1aEtc7Jm5M6mMyoqGNie+48rin7+fEef4xq08AAAD/&#10;/wMAUEsDBBQABgAIAAAAIQD99wUw4QAAAAsBAAAPAAAAZHJzL2Rvd25yZXYueG1sTI/BTsMwDIbv&#10;SLxDZCRuLOk6yihNpwnBCQmtKweOaZO10RqnNNlW3h5zgpstf/r9/cVmdgM7mylYjxKShQBmsPXa&#10;Yifho369WwMLUaFWg0cj4dsE2JTXV4XKtb9gZc772DEKwZArCX2MY855aHvjVFj40SDdDn5yKtI6&#10;dVxP6kLhbuBLITLulEX60KvRPPemPe5PTsL2E6sX+/Xe7KpDZev6UeBbdpTy9mbePgGLZo5/MPzq&#10;kzqU5NT4E+rABgnLtUgIlZAmq3tgRKSpoHYNDavsAXhZ8P8dyh8AAAD//wMAUEsBAi0AFAAGAAgA&#10;AAAhALaDOJL+AAAA4QEAABMAAAAAAAAAAAAAAAAAAAAAAFtDb250ZW50X1R5cGVzXS54bWxQSwEC&#10;LQAUAAYACAAAACEAOP0h/9YAAACUAQAACwAAAAAAAAAAAAAAAAAvAQAAX3JlbHMvLnJlbHNQSwEC&#10;LQAUAAYACAAAACEAbm0EJnIBAADgAgAADgAAAAAAAAAAAAAAAAAuAgAAZHJzL2Uyb0RvYy54bWxQ&#10;SwECLQAUAAYACAAAACEA/fcFMOEAAAALAQAADwAAAAAAAAAAAAAAAADMAwAAZHJzL2Rvd25yZXYu&#10;eG1sUEsFBgAAAAAEAAQA8wAAANoEAAAAAA==&#10;" filled="f" stroked="f">
                <v:textbox inset="0,0,0,0">
                  <w:txbxContent>
                    <w:p w14:paraId="2E8C835D" w14:textId="77777777" w:rsidR="00A93F9F" w:rsidRDefault="00A70BD0">
                      <w:pPr>
                        <w:pStyle w:val="Podpisobrazu0"/>
                        <w:rPr>
                          <w:sz w:val="22"/>
                          <w:szCs w:val="22"/>
                        </w:rPr>
                      </w:pPr>
                      <w:r>
                        <w:rPr>
                          <w:rStyle w:val="Podpisobrazu"/>
                          <w:b/>
                          <w:bCs/>
                          <w:sz w:val="22"/>
                          <w:szCs w:val="22"/>
                        </w:rPr>
                        <w:t xml:space="preserve">L. </w:t>
                      </w:r>
                      <w:proofErr w:type="spellStart"/>
                      <w:r>
                        <w:rPr>
                          <w:rStyle w:val="Podpisobrazu"/>
                          <w:b/>
                          <w:bCs/>
                          <w:sz w:val="22"/>
                          <w:szCs w:val="22"/>
                        </w:rPr>
                        <w:t>dz</w:t>
                      </w:r>
                      <w:proofErr w:type="spellEnd"/>
                    </w:p>
                  </w:txbxContent>
                </v:textbox>
                <w10:wrap anchorx="page"/>
              </v:shape>
            </w:pict>
          </mc:Fallback>
        </mc:AlternateContent>
      </w:r>
    </w:p>
    <w:p w14:paraId="662115C7" w14:textId="77777777" w:rsidR="00A70BD0" w:rsidRDefault="00A70BD0">
      <w:pPr>
        <w:pStyle w:val="Teksttreci20"/>
        <w:rPr>
          <w:rStyle w:val="Teksttreci2"/>
        </w:rPr>
      </w:pPr>
    </w:p>
    <w:p w14:paraId="1C1563A8" w14:textId="77777777" w:rsidR="00A70BD0" w:rsidRDefault="00A70BD0" w:rsidP="00A70BD0">
      <w:pPr>
        <w:pStyle w:val="Teksttreci20"/>
        <w:ind w:left="4880" w:firstLine="76"/>
        <w:rPr>
          <w:rStyle w:val="Teksttreci2"/>
        </w:rPr>
      </w:pPr>
    </w:p>
    <w:p w14:paraId="2897013F" w14:textId="1E4D71D9" w:rsidR="00A93F9F" w:rsidRDefault="00A70BD0" w:rsidP="00A70BD0">
      <w:pPr>
        <w:pStyle w:val="Teksttreci20"/>
        <w:ind w:left="4880" w:firstLine="76"/>
      </w:pPr>
      <w:r>
        <w:rPr>
          <w:rStyle w:val="Teksttreci2"/>
        </w:rPr>
        <w:t>Podsekretarz Stanu Główny Geolog Kraju Ministerstwo Klimatu i Środowiska</w:t>
      </w:r>
    </w:p>
    <w:p w14:paraId="4417A63A" w14:textId="77777777" w:rsidR="00A93F9F" w:rsidRDefault="00A70BD0">
      <w:pPr>
        <w:pStyle w:val="Teksttreci20"/>
        <w:spacing w:after="1360"/>
        <w:ind w:left="4880"/>
      </w:pPr>
      <w:r>
        <w:rPr>
          <w:rStyle w:val="Teksttreci2"/>
        </w:rPr>
        <w:t>ul. Wawelska 52/54 00-922 Warszawa</w:t>
      </w:r>
    </w:p>
    <w:p w14:paraId="5A50DED4" w14:textId="77777777" w:rsidR="00A93F9F" w:rsidRPr="00013049" w:rsidRDefault="00A70BD0">
      <w:pPr>
        <w:pStyle w:val="Teksttreci0"/>
        <w:spacing w:line="240" w:lineRule="auto"/>
        <w:ind w:left="4460"/>
        <w:rPr>
          <w:b/>
          <w:bCs/>
        </w:rPr>
      </w:pPr>
      <w:r w:rsidRPr="00013049">
        <w:rPr>
          <w:rStyle w:val="Teksttreci"/>
          <w:b/>
          <w:bCs/>
        </w:rPr>
        <w:t>WYSTĄPIENIE</w:t>
      </w:r>
    </w:p>
    <w:p w14:paraId="6B814A19" w14:textId="77777777" w:rsidR="00A93F9F" w:rsidRDefault="00A70BD0">
      <w:pPr>
        <w:pStyle w:val="Teksttreci0"/>
        <w:spacing w:after="640" w:line="240" w:lineRule="auto"/>
        <w:jc w:val="center"/>
      </w:pPr>
      <w:r>
        <w:rPr>
          <w:rStyle w:val="Teksttreci"/>
          <w:b/>
          <w:bCs/>
        </w:rPr>
        <w:t>W PRZEDMIOCIE WSKAZANIA KIERUNKÓW OCZEKIWANYCH</w:t>
      </w:r>
      <w:r>
        <w:rPr>
          <w:rStyle w:val="Teksttreci"/>
          <w:b/>
          <w:bCs/>
        </w:rPr>
        <w:br/>
        <w:t>PRZEZ BRANŻĘ DZIAŁAŃ LEGISLACYJNYCH</w:t>
      </w:r>
    </w:p>
    <w:p w14:paraId="5A048E2D" w14:textId="77777777" w:rsidR="00A93F9F" w:rsidRDefault="00A70BD0">
      <w:pPr>
        <w:pStyle w:val="Teksttreci0"/>
        <w:spacing w:after="240" w:line="240" w:lineRule="auto"/>
        <w:ind w:left="1480"/>
      </w:pPr>
      <w:r>
        <w:rPr>
          <w:rStyle w:val="Teksttreci"/>
          <w:i/>
          <w:iCs/>
        </w:rPr>
        <w:t>Szanowny Panie Ministrze,</w:t>
      </w:r>
    </w:p>
    <w:p w14:paraId="7BCF402B" w14:textId="77777777" w:rsidR="00A93F9F" w:rsidRDefault="00A70BD0">
      <w:pPr>
        <w:pStyle w:val="Teksttreci0"/>
        <w:spacing w:line="240" w:lineRule="auto"/>
        <w:ind w:left="1480" w:firstLine="340"/>
        <w:jc w:val="both"/>
      </w:pPr>
      <w:r>
        <w:rPr>
          <w:rStyle w:val="Teksttreci"/>
        </w:rPr>
        <w:t xml:space="preserve">Mając na uwadze, iż opracowanie projektu ustawy transponującego przepisy </w:t>
      </w:r>
      <w:proofErr w:type="spellStart"/>
      <w:r>
        <w:rPr>
          <w:rStyle w:val="Teksttreci"/>
          <w:i/>
          <w:iCs/>
        </w:rPr>
        <w:t>Critcal</w:t>
      </w:r>
      <w:proofErr w:type="spellEnd"/>
      <w:r>
        <w:rPr>
          <w:rStyle w:val="Teksttreci"/>
          <w:i/>
          <w:iCs/>
        </w:rPr>
        <w:t xml:space="preserve"> Raw Materials </w:t>
      </w:r>
      <w:proofErr w:type="spellStart"/>
      <w:r>
        <w:rPr>
          <w:rStyle w:val="Teksttreci"/>
          <w:i/>
          <w:iCs/>
        </w:rPr>
        <w:t>Act</w:t>
      </w:r>
      <w:proofErr w:type="spellEnd"/>
      <w:r>
        <w:rPr>
          <w:rStyle w:val="Teksttreci"/>
          <w:i/>
          <w:iCs/>
          <w:vertAlign w:val="superscript"/>
        </w:rPr>
        <w:footnoteReference w:id="1"/>
      </w:r>
      <w:r>
        <w:rPr>
          <w:rStyle w:val="Teksttreci"/>
        </w:rPr>
        <w:t xml:space="preserve"> oraz nowelizacji ustawy Prawo geologiczne i górnicze („</w:t>
      </w:r>
      <w:proofErr w:type="spellStart"/>
      <w:r>
        <w:rPr>
          <w:rStyle w:val="Teksttreci"/>
        </w:rPr>
        <w:t>p.g.g</w:t>
      </w:r>
      <w:proofErr w:type="spellEnd"/>
      <w:r>
        <w:rPr>
          <w:rStyle w:val="Teksttreci"/>
        </w:rPr>
        <w:t>.)2zostało powierzone Panu Ministrowi, działając w imieniu</w:t>
      </w:r>
    </w:p>
    <w:p w14:paraId="58DD9A12" w14:textId="77777777" w:rsidR="00A93F9F" w:rsidRDefault="00A70BD0">
      <w:pPr>
        <w:pStyle w:val="Teksttreci0"/>
        <w:spacing w:after="440" w:line="240" w:lineRule="auto"/>
        <w:ind w:left="1480" w:firstLine="20"/>
        <w:jc w:val="both"/>
        <w:sectPr w:rsidR="00A93F9F">
          <w:pgSz w:w="11900" w:h="16840"/>
          <w:pgMar w:top="822" w:right="1154" w:bottom="822" w:left="1476" w:header="394" w:footer="394" w:gutter="0"/>
          <w:pgNumType w:start="1"/>
          <w:cols w:space="720"/>
          <w:noEndnote/>
          <w:docGrid w:linePitch="360"/>
          <w15:footnoteColumns w:val="1"/>
        </w:sectPr>
      </w:pPr>
      <w:r>
        <w:rPr>
          <w:rStyle w:val="Teksttreci"/>
        </w:rPr>
        <w:t>niniejszym pismem chcielibyśmy zwrócić uwagę Pana Ministra na obowiązujące regulacje prawne, które utrudniają faktyczne wykorzystywanie wód kopalnianych, co w konsekwencji może negatywnie wpłynąć na wydobywanie rud miedzi potrzebnych do produkcji surowca strategicznego i krytycznego. Jako podmiot bezpośrednio zainteresowany, dla którego kwestia korzystania z wód kopalnianych ma kluczowe znaczenie w organizacji procesu wydobycia i przetwórstwa miedzi wskazujemy na konieczność</w:t>
      </w:r>
    </w:p>
    <w:p w14:paraId="486C8678" w14:textId="77777777" w:rsidR="00A93F9F" w:rsidRDefault="00A70BD0">
      <w:pPr>
        <w:pStyle w:val="Teksttreci0"/>
        <w:spacing w:after="260" w:line="240" w:lineRule="auto"/>
      </w:pPr>
      <w:r>
        <w:rPr>
          <w:rStyle w:val="Teksttreci"/>
        </w:rPr>
        <w:lastRenderedPageBreak/>
        <w:t>podjęcia niezbędnych działań legislacyjnych, które pozwolą na usunięcie trudności opisanych w dalszej części pisma.</w:t>
      </w:r>
    </w:p>
    <w:p w14:paraId="066F92F2" w14:textId="77777777" w:rsidR="00A93F9F" w:rsidRDefault="00A70BD0">
      <w:pPr>
        <w:pStyle w:val="Teksttreci0"/>
        <w:numPr>
          <w:ilvl w:val="0"/>
          <w:numId w:val="1"/>
        </w:numPr>
        <w:tabs>
          <w:tab w:val="left" w:pos="712"/>
        </w:tabs>
        <w:spacing w:line="271" w:lineRule="auto"/>
        <w:ind w:left="680" w:hanging="340"/>
        <w:jc w:val="both"/>
      </w:pPr>
      <w:r>
        <w:rPr>
          <w:rStyle w:val="Teksttreci"/>
        </w:rPr>
        <w:t xml:space="preserve">W przepisie art. 20 </w:t>
      </w:r>
      <w:proofErr w:type="spellStart"/>
      <w:r>
        <w:rPr>
          <w:rStyle w:val="Teksttreci"/>
        </w:rPr>
        <w:t>p.g.g</w:t>
      </w:r>
      <w:proofErr w:type="spellEnd"/>
      <w:r>
        <w:rPr>
          <w:rStyle w:val="Teksttreci"/>
        </w:rPr>
        <w:t>. ustawodawca posłużył się pojęciem „wody kopalniane" stanowiąc, że korzystanie z tych wód na potrzeby zakładu górniczego jest bezpłatne.</w:t>
      </w:r>
    </w:p>
    <w:p w14:paraId="0165103B" w14:textId="77777777" w:rsidR="00A93F9F" w:rsidRDefault="00A70BD0">
      <w:pPr>
        <w:pStyle w:val="Teksttreci0"/>
        <w:numPr>
          <w:ilvl w:val="0"/>
          <w:numId w:val="1"/>
        </w:numPr>
        <w:tabs>
          <w:tab w:val="left" w:pos="733"/>
        </w:tabs>
        <w:spacing w:line="271" w:lineRule="auto"/>
        <w:ind w:left="680" w:hanging="260"/>
        <w:jc w:val="both"/>
      </w:pPr>
      <w:r>
        <w:rPr>
          <w:rStyle w:val="Teksttreci"/>
        </w:rPr>
        <w:t xml:space="preserve">Pojęciem „wody kopalniane" prawodawca posługuje się tylko w </w:t>
      </w:r>
      <w:proofErr w:type="spellStart"/>
      <w:r>
        <w:rPr>
          <w:rStyle w:val="Teksttreci"/>
        </w:rPr>
        <w:t>p.g.g</w:t>
      </w:r>
      <w:proofErr w:type="spellEnd"/>
      <w:r>
        <w:rPr>
          <w:rStyle w:val="Teksttreci"/>
        </w:rPr>
        <w:t>. Nie jest ono znane prawu wodnemu</w:t>
      </w:r>
      <w:r>
        <w:rPr>
          <w:rStyle w:val="Teksttreci"/>
          <w:vertAlign w:val="superscript"/>
        </w:rPr>
        <w:footnoteReference w:id="2"/>
      </w:r>
      <w:r>
        <w:rPr>
          <w:rStyle w:val="Teksttreci"/>
        </w:rPr>
        <w:t xml:space="preserve"> </w:t>
      </w:r>
      <w:r>
        <w:rPr>
          <w:rStyle w:val="Teksttreci"/>
          <w:b/>
          <w:bCs/>
        </w:rPr>
        <w:t xml:space="preserve">(„p.w."). </w:t>
      </w:r>
      <w:r>
        <w:rPr>
          <w:rStyle w:val="Teksttreci"/>
        </w:rPr>
        <w:t xml:space="preserve">Nastręcza to trudności w określeniu wzajemnej relacji pomiędzy pojęciem </w:t>
      </w:r>
      <w:r>
        <w:rPr>
          <w:rStyle w:val="Teksttreci"/>
          <w:b/>
          <w:bCs/>
        </w:rPr>
        <w:t xml:space="preserve">„wody kopalniane" </w:t>
      </w:r>
      <w:r>
        <w:rPr>
          <w:rStyle w:val="Teksttreci"/>
        </w:rPr>
        <w:t xml:space="preserve">a pojęciem </w:t>
      </w:r>
      <w:r>
        <w:rPr>
          <w:rStyle w:val="Teksttreci"/>
          <w:b/>
          <w:bCs/>
        </w:rPr>
        <w:t xml:space="preserve">„ścieki" </w:t>
      </w:r>
      <w:r>
        <w:rPr>
          <w:rStyle w:val="Teksttreci"/>
        </w:rPr>
        <w:t xml:space="preserve">(art. 16 pkt 61 lit. e p.w.) i </w:t>
      </w:r>
      <w:r>
        <w:rPr>
          <w:rStyle w:val="Teksttreci"/>
          <w:b/>
          <w:bCs/>
        </w:rPr>
        <w:t xml:space="preserve">„ścieki przemysłowe" </w:t>
      </w:r>
      <w:r>
        <w:rPr>
          <w:rStyle w:val="Teksttreci"/>
        </w:rPr>
        <w:t>(art. 16 pkt 64 p.w.) oraz w stosowaniu do wód kopalnianych instytucji prawa wodnego, w tym instrumentów fiskalnych o istotnej wysokości dla zakładów górniczych.</w:t>
      </w:r>
    </w:p>
    <w:p w14:paraId="1D2C5165" w14:textId="77777777" w:rsidR="00A93F9F" w:rsidRDefault="00A70BD0">
      <w:pPr>
        <w:pStyle w:val="Teksttreci0"/>
        <w:numPr>
          <w:ilvl w:val="0"/>
          <w:numId w:val="1"/>
        </w:numPr>
        <w:tabs>
          <w:tab w:val="left" w:pos="712"/>
        </w:tabs>
        <w:spacing w:line="271" w:lineRule="auto"/>
        <w:ind w:left="680" w:hanging="340"/>
        <w:jc w:val="both"/>
      </w:pPr>
      <w:r>
        <w:rPr>
          <w:rStyle w:val="Teksttreci"/>
        </w:rPr>
        <w:t xml:space="preserve">Powyższy problem ilustruje praktyka organów władzy publicznej, uznająca wody kopalniane za ścieki, jeszcze zanim zostaną odprowadzone do odbiornika (ziemi lub wody), tj. już od momentu ujęcia ich z górotworu. Wody z odwodnienia zakładu górniczego powinny być zaś uznawane za ścieki dopiero w </w:t>
      </w:r>
      <w:proofErr w:type="gramStart"/>
      <w:r>
        <w:rPr>
          <w:rStyle w:val="Teksttreci"/>
        </w:rPr>
        <w:t>momencie</w:t>
      </w:r>
      <w:proofErr w:type="gramEnd"/>
      <w:r>
        <w:rPr>
          <w:rStyle w:val="Teksttreci"/>
        </w:rPr>
        <w:t xml:space="preserve"> kiedy są odprowadzane do odbiornika celem wprowadzenia ich do wód lub ziemi. Rozszerzająca wykładania pojęcia „ścieki", obejmująca wody pobierane z górotworu wyklucza wykorzystywanie tych wód w procesach w zakładach górniczych, np. podsadzania czy flotacji. Pozbawia to zakład górniczy także możliwości pomniejszania wysokości opłat za wprowadzanie ścieków do wód lub ziemi.</w:t>
      </w:r>
    </w:p>
    <w:p w14:paraId="483B5EBE" w14:textId="77777777" w:rsidR="00A93F9F" w:rsidRDefault="00A70BD0">
      <w:pPr>
        <w:pStyle w:val="Teksttreci0"/>
        <w:numPr>
          <w:ilvl w:val="0"/>
          <w:numId w:val="1"/>
        </w:numPr>
        <w:tabs>
          <w:tab w:val="left" w:pos="712"/>
        </w:tabs>
        <w:spacing w:line="271" w:lineRule="auto"/>
        <w:ind w:left="680" w:hanging="340"/>
        <w:jc w:val="both"/>
      </w:pPr>
      <w:r>
        <w:rPr>
          <w:rStyle w:val="Teksttreci"/>
        </w:rPr>
        <w:t xml:space="preserve">Otóż, ustawodawca umożliwił podmiotowi wprowadzającemu ścieki do środowiska pomniejszenie ilości substancji zawartych w ściekach o ilość substancji zawartych w wodach pobranych, których zużycie spowodowało powstanie tych ścieków (art. 278 ust. 4 p.w.) </w:t>
      </w:r>
      <w:r>
        <w:rPr>
          <w:rStyle w:val="Teksttreci"/>
          <w:b/>
          <w:bCs/>
        </w:rPr>
        <w:t>(„mechanizm redukcji").</w:t>
      </w:r>
    </w:p>
    <w:p w14:paraId="28AE7634" w14:textId="77777777" w:rsidR="00A93F9F" w:rsidRDefault="00A70BD0">
      <w:pPr>
        <w:pStyle w:val="Teksttreci0"/>
        <w:numPr>
          <w:ilvl w:val="0"/>
          <w:numId w:val="1"/>
        </w:numPr>
        <w:tabs>
          <w:tab w:val="left" w:pos="733"/>
        </w:tabs>
        <w:spacing w:line="271" w:lineRule="auto"/>
        <w:ind w:left="680" w:hanging="260"/>
        <w:jc w:val="both"/>
      </w:pPr>
      <w:r>
        <w:rPr>
          <w:rStyle w:val="Teksttreci"/>
        </w:rPr>
        <w:t>Sens tego przepisu sprowadza się do tego, aby odpowiedzialność podmiotu korzystającego ze środowiska, w świetle jednej z głównych zasad prawa ochrony środowiska, tj. zasady „zanieczyszczający płaci", była adekwatna do faktycznie wygenerowanego przez niego zanieczyszczenia. Innymi słowy podmiot ten nie powinien ponosić odpowiedzialności za substancje, które już pierwotnie znajdowały się w wodzie przez niego pobranej (w tym wodach kopalnianych).</w:t>
      </w:r>
    </w:p>
    <w:p w14:paraId="47F97C83" w14:textId="77777777" w:rsidR="00A93F9F" w:rsidRDefault="00A70BD0">
      <w:pPr>
        <w:pStyle w:val="Teksttreci0"/>
        <w:numPr>
          <w:ilvl w:val="0"/>
          <w:numId w:val="1"/>
        </w:numPr>
        <w:tabs>
          <w:tab w:val="left" w:pos="712"/>
        </w:tabs>
        <w:spacing w:line="271" w:lineRule="auto"/>
        <w:ind w:left="680" w:hanging="340"/>
        <w:jc w:val="both"/>
        <w:sectPr w:rsidR="00A93F9F">
          <w:footnotePr>
            <w:numStart w:val="2"/>
          </w:footnotePr>
          <w:pgSz w:w="11900" w:h="16840"/>
          <w:pgMar w:top="1176" w:right="1235" w:bottom="982" w:left="1397" w:header="748" w:footer="554" w:gutter="0"/>
          <w:cols w:space="720"/>
          <w:noEndnote/>
          <w:docGrid w:linePitch="360"/>
          <w15:footnoteColumns w:val="1"/>
        </w:sectPr>
      </w:pPr>
      <w:r>
        <w:rPr>
          <w:rStyle w:val="Teksttreci"/>
        </w:rPr>
        <w:t>Mechanizm redukcji został wprowadzony do porządku prawnego już w 2001 r. Od tego czasu zakłady górnicze w ramach pozwoleń wodnoprawnych na odwadnianie korzystały z tego mechanizmu. Jednym z założeń wprowadzenia przedmiotowej regulacji było bowiem właśnie to,</w:t>
      </w:r>
    </w:p>
    <w:p w14:paraId="492A7C57" w14:textId="77777777" w:rsidR="00A93F9F" w:rsidRDefault="00A70BD0">
      <w:pPr>
        <w:pStyle w:val="Teksttreci0"/>
        <w:ind w:left="600" w:firstLine="20"/>
        <w:jc w:val="both"/>
      </w:pPr>
      <w:r>
        <w:rPr>
          <w:rStyle w:val="Teksttreci"/>
        </w:rPr>
        <w:lastRenderedPageBreak/>
        <w:t>aby wody pochodzące z odwadniania kopalń mogły zostać bezpośrednio objęte mechanizmem redukcji w przypadku ich pobrania, zużycia (podczyszczenia/oczyszczenia), a następnie zrzutu jako ścieki.</w:t>
      </w:r>
    </w:p>
    <w:p w14:paraId="7DF0EBC5" w14:textId="77777777" w:rsidR="00A93F9F" w:rsidRDefault="00A70BD0">
      <w:pPr>
        <w:pStyle w:val="Teksttreci0"/>
        <w:numPr>
          <w:ilvl w:val="0"/>
          <w:numId w:val="1"/>
        </w:numPr>
        <w:tabs>
          <w:tab w:val="left" w:pos="606"/>
        </w:tabs>
        <w:ind w:left="600" w:hanging="340"/>
        <w:jc w:val="both"/>
      </w:pPr>
      <w:r>
        <w:rPr>
          <w:rStyle w:val="Teksttreci"/>
        </w:rPr>
        <w:t>Ukształtowana niedawno linia orzecznicza</w:t>
      </w:r>
      <w:r>
        <w:rPr>
          <w:rStyle w:val="Teksttreci"/>
          <w:vertAlign w:val="superscript"/>
        </w:rPr>
        <w:footnoteReference w:id="3"/>
      </w:r>
      <w:r>
        <w:rPr>
          <w:rStyle w:val="Teksttreci"/>
        </w:rPr>
        <w:t>, aprobuje praktykę organów administracji publicznej, wedle której wody kopalniane pochodzące z odwodnienia są - niejako „od razu", od momentu ujęcia - ściekami, pierwotnie zawierającymi zanieczyszczenia. Co za tym idzie, niedopuszczalne jest stosowanie mechanizmu redukcji, gdyż zdaniem organów byłoby to pomniejszanie ilości substancji zawartych w ściekach (wodach pobieranych w ramach odwodnienia) o ilość tych substancji zawartych w ściekach (czyli wodach z odwodnienia po użyciu w procesie technologicznym oprowadzanych do środowiska).</w:t>
      </w:r>
    </w:p>
    <w:p w14:paraId="1E91E06D" w14:textId="77777777" w:rsidR="00A93F9F" w:rsidRDefault="00A70BD0">
      <w:pPr>
        <w:pStyle w:val="Teksttreci0"/>
        <w:numPr>
          <w:ilvl w:val="0"/>
          <w:numId w:val="1"/>
        </w:numPr>
        <w:tabs>
          <w:tab w:val="left" w:pos="606"/>
        </w:tabs>
        <w:ind w:left="600" w:hanging="340"/>
        <w:jc w:val="both"/>
      </w:pPr>
      <w:r>
        <w:rPr>
          <w:rStyle w:val="Teksttreci"/>
        </w:rPr>
        <w:t>Skutkiem ww. linii orzeczniczej jest to, że zakłady górnicze, które dysponują pozwoleniem na odwadnianie i w jego ramach prawidłowo pobierają wody nie mogą odliczyć ilości substancji pierwotnie występujących w tych wodach od ilości substancji w ściekach wprowadzanych do środowiska. Powoduje to konieczność uiszczania opłat zmiennych za zrzut ścieków (oczyszczonych wód kopalnianych) nawet na poziomie 25 razy wyższym niż dotychczas, co stanowi kolejne uderzające w ich rentowność obciążenie fiskalne. Jednocześnie nastąpiło to bez zmiany tak stanu faktycznego, jak i prawnego w tym zakresie, wbrew wieloletniej praktyce tak zakładów górniczych, jak i organów.</w:t>
      </w:r>
    </w:p>
    <w:p w14:paraId="5D5B72D0" w14:textId="77777777" w:rsidR="00A93F9F" w:rsidRDefault="00A70BD0">
      <w:pPr>
        <w:pStyle w:val="Teksttreci0"/>
        <w:numPr>
          <w:ilvl w:val="0"/>
          <w:numId w:val="1"/>
        </w:numPr>
        <w:tabs>
          <w:tab w:val="left" w:pos="606"/>
        </w:tabs>
        <w:ind w:left="600" w:hanging="340"/>
        <w:jc w:val="both"/>
      </w:pPr>
      <w:r>
        <w:rPr>
          <w:rStyle w:val="Teksttreci"/>
        </w:rPr>
        <w:t xml:space="preserve">Kontrowersyjne i ryzykowne staje się też użycie wód kopalnianych na potrzeby kopalni, gdyż </w:t>
      </w:r>
      <w:r>
        <w:rPr>
          <w:rStyle w:val="Teksttreci"/>
          <w:i/>
          <w:iCs/>
        </w:rPr>
        <w:t xml:space="preserve">per </w:t>
      </w:r>
      <w:proofErr w:type="spellStart"/>
      <w:r>
        <w:rPr>
          <w:rStyle w:val="Teksttreci"/>
          <w:i/>
          <w:iCs/>
        </w:rPr>
        <w:t>se</w:t>
      </w:r>
      <w:proofErr w:type="spellEnd"/>
      <w:r>
        <w:rPr>
          <w:rStyle w:val="Teksttreci"/>
        </w:rPr>
        <w:t xml:space="preserve"> uznawane są one za ścieki. Ich użycie stanowiłoby więc w istocie użycie w procesach technologicznych ścieków, a nie wód (istotna sprzeczność pomiędzy </w:t>
      </w:r>
      <w:proofErr w:type="spellStart"/>
      <w:r>
        <w:rPr>
          <w:rStyle w:val="Teksttreci"/>
        </w:rPr>
        <w:t>p.g.g</w:t>
      </w:r>
      <w:proofErr w:type="spellEnd"/>
      <w:r>
        <w:rPr>
          <w:rStyle w:val="Teksttreci"/>
        </w:rPr>
        <w:t>. a p.w.).</w:t>
      </w:r>
    </w:p>
    <w:p w14:paraId="18507EC4" w14:textId="77777777" w:rsidR="00A93F9F" w:rsidRDefault="00A70BD0">
      <w:pPr>
        <w:pStyle w:val="Teksttreci0"/>
        <w:numPr>
          <w:ilvl w:val="0"/>
          <w:numId w:val="1"/>
        </w:numPr>
        <w:tabs>
          <w:tab w:val="left" w:pos="688"/>
        </w:tabs>
        <w:ind w:left="600" w:hanging="340"/>
        <w:jc w:val="both"/>
      </w:pPr>
      <w:r>
        <w:rPr>
          <w:rStyle w:val="Teksttreci"/>
        </w:rPr>
        <w:t>Z powyższego wywieść można wniosek, iż mamy do czynienia z dysonansem uchwalonego i stosowanego prawa w zakresie wód pochodzących z odwadniania zakładów górniczych i dokonywania rozliczenia w sytuacji ich wykorzystywania w procesach technologicznych.</w:t>
      </w:r>
    </w:p>
    <w:p w14:paraId="631BD994" w14:textId="77777777" w:rsidR="00A93F9F" w:rsidRDefault="00A70BD0">
      <w:pPr>
        <w:pStyle w:val="Teksttreci0"/>
        <w:numPr>
          <w:ilvl w:val="0"/>
          <w:numId w:val="1"/>
        </w:numPr>
        <w:tabs>
          <w:tab w:val="left" w:pos="606"/>
        </w:tabs>
        <w:ind w:left="600" w:hanging="340"/>
        <w:jc w:val="both"/>
      </w:pPr>
      <w:proofErr w:type="gramStart"/>
      <w:r>
        <w:rPr>
          <w:rStyle w:val="Teksttreci"/>
        </w:rPr>
        <w:t>.W</w:t>
      </w:r>
      <w:proofErr w:type="gramEnd"/>
      <w:r>
        <w:rPr>
          <w:rStyle w:val="Teksttreci"/>
        </w:rPr>
        <w:t xml:space="preserve"> tej sytuacji jedynym, skutecznym sposobem przywrócenia sensu przepisu i zgodności z intencją ustawodawcy jest:</w:t>
      </w:r>
    </w:p>
    <w:p w14:paraId="3E76DB55" w14:textId="77777777" w:rsidR="00A93F9F" w:rsidRDefault="00A70BD0">
      <w:pPr>
        <w:pStyle w:val="Teksttreci0"/>
        <w:numPr>
          <w:ilvl w:val="0"/>
          <w:numId w:val="2"/>
        </w:numPr>
        <w:tabs>
          <w:tab w:val="left" w:pos="1341"/>
        </w:tabs>
        <w:ind w:left="1340" w:hanging="340"/>
        <w:jc w:val="both"/>
      </w:pPr>
      <w:r>
        <w:rPr>
          <w:rStyle w:val="Teksttreci"/>
        </w:rPr>
        <w:t xml:space="preserve">wprowadzenie przepisów </w:t>
      </w:r>
      <w:proofErr w:type="spellStart"/>
      <w:r>
        <w:rPr>
          <w:rStyle w:val="Teksttreci"/>
        </w:rPr>
        <w:t>p.g.g</w:t>
      </w:r>
      <w:proofErr w:type="spellEnd"/>
      <w:r>
        <w:rPr>
          <w:rStyle w:val="Teksttreci"/>
        </w:rPr>
        <w:t xml:space="preserve">. jednoznacznie określających, iż wody kopalniane do czasu wprowadzenia do odbiornika nie są ściekami (a zatem mogą być używane jako wody na potrzeby zakładu górniczego) - jako </w:t>
      </w:r>
      <w:r>
        <w:rPr>
          <w:rStyle w:val="Teksttreci"/>
          <w:i/>
          <w:iCs/>
        </w:rPr>
        <w:t xml:space="preserve">lex </w:t>
      </w:r>
      <w:proofErr w:type="spellStart"/>
      <w:r>
        <w:rPr>
          <w:rStyle w:val="Teksttreci"/>
          <w:i/>
          <w:iCs/>
        </w:rPr>
        <w:t>specialis</w:t>
      </w:r>
      <w:proofErr w:type="spellEnd"/>
      <w:r>
        <w:rPr>
          <w:rStyle w:val="Teksttreci"/>
          <w:i/>
          <w:iCs/>
        </w:rPr>
        <w:t xml:space="preserve"> </w:t>
      </w:r>
      <w:r>
        <w:rPr>
          <w:rStyle w:val="Teksttreci"/>
          <w:i/>
          <w:iCs/>
          <w:smallCaps/>
        </w:rPr>
        <w:t>\n</w:t>
      </w:r>
      <w:r>
        <w:rPr>
          <w:rStyle w:val="Teksttreci"/>
        </w:rPr>
        <w:t xml:space="preserve"> stosunku do regulacji art. 278 ust. 4 p.w.;</w:t>
      </w:r>
      <w:r>
        <w:br w:type="page"/>
      </w:r>
    </w:p>
    <w:p w14:paraId="70C91A2D" w14:textId="77777777" w:rsidR="00A93F9F" w:rsidRDefault="00A70BD0">
      <w:pPr>
        <w:pStyle w:val="Teksttreci0"/>
        <w:numPr>
          <w:ilvl w:val="0"/>
          <w:numId w:val="2"/>
        </w:numPr>
        <w:tabs>
          <w:tab w:val="left" w:pos="1421"/>
        </w:tabs>
        <w:ind w:left="1440" w:hanging="360"/>
        <w:jc w:val="both"/>
      </w:pPr>
      <w:r>
        <w:rPr>
          <w:rStyle w:val="Teksttreci"/>
        </w:rPr>
        <w:lastRenderedPageBreak/>
        <w:t>wprowadzenie kompatybilnej z ww. zmianami zmiany prawa wodnego;</w:t>
      </w:r>
    </w:p>
    <w:p w14:paraId="6DFE296E" w14:textId="77777777" w:rsidR="00A93F9F" w:rsidRDefault="00A70BD0">
      <w:pPr>
        <w:pStyle w:val="Teksttreci0"/>
        <w:ind w:left="1440"/>
        <w:jc w:val="both"/>
      </w:pPr>
      <w:r>
        <w:rPr>
          <w:rStyle w:val="Teksttreci"/>
        </w:rPr>
        <w:t>tj. uzupełnienie przepisu art. 278 ust. 4 p.w. o wyrażenie: „lub ujmowane". Wówczas przepis uzyskałby brzmienie: „</w:t>
      </w:r>
      <w:r>
        <w:rPr>
          <w:rStyle w:val="Teksttreci"/>
          <w:i/>
          <w:iCs/>
        </w:rPr>
        <w:t>Podstawę ustalenia opłaty za wprowadzanie ścieków do wód lub do ziemi jest ilość substancji zawartych w ściekach pomniejszona o ilość tych substancji zawartych w pobranych wodach lub ujmowanych, których zużycie spowodowało powstanie tych ścieków";</w:t>
      </w:r>
    </w:p>
    <w:p w14:paraId="4A884F2E" w14:textId="77777777" w:rsidR="00A93F9F" w:rsidRDefault="00A70BD0">
      <w:pPr>
        <w:pStyle w:val="Teksttreci0"/>
        <w:numPr>
          <w:ilvl w:val="0"/>
          <w:numId w:val="2"/>
        </w:numPr>
        <w:tabs>
          <w:tab w:val="left" w:pos="1421"/>
        </w:tabs>
        <w:spacing w:after="120"/>
        <w:ind w:left="1440" w:hanging="360"/>
        <w:jc w:val="both"/>
      </w:pPr>
      <w:r>
        <w:rPr>
          <w:rStyle w:val="Teksttreci"/>
        </w:rPr>
        <w:t xml:space="preserve">wprowadzenie przepisu na wzór art. 101 a </w:t>
      </w:r>
      <w:proofErr w:type="spellStart"/>
      <w:r>
        <w:rPr>
          <w:rStyle w:val="Teksttreci"/>
        </w:rPr>
        <w:t>p.o.ś</w:t>
      </w:r>
      <w:proofErr w:type="spellEnd"/>
      <w:r>
        <w:rPr>
          <w:rStyle w:val="Teksttreci"/>
        </w:rPr>
        <w:t>., który powinien otrzymać brzmienie, iż wód pochodzących z odwodnienia zakładu górniczego nie uznaje się za zanieczyszczone, jeżeli substancje w nich zawarte są pochodzenia naturalnego.</w:t>
      </w:r>
    </w:p>
    <w:p w14:paraId="6A52790A" w14:textId="77777777" w:rsidR="00A93F9F" w:rsidRDefault="00A70BD0">
      <w:pPr>
        <w:pStyle w:val="Teksttreci0"/>
        <w:tabs>
          <w:tab w:val="left" w:pos="2415"/>
        </w:tabs>
        <w:spacing w:line="240" w:lineRule="auto"/>
        <w:ind w:left="260" w:firstLine="460"/>
        <w:jc w:val="both"/>
      </w:pPr>
      <w:r>
        <w:rPr>
          <w:rStyle w:val="Teksttreci"/>
        </w:rPr>
        <w:t>Mając na uwadze powyższe, wskazane regulacje prawne i stosowanie prawa implikują istotne, kolejne obciążenia fiskalne dla przedsiębiorcy górniczego i w ocenie</w:t>
      </w:r>
      <w:r>
        <w:rPr>
          <w:rStyle w:val="Teksttreci"/>
        </w:rPr>
        <w:tab/>
        <w:t>stanowią realne przeszkody wprowadzeniu działalności</w:t>
      </w:r>
    </w:p>
    <w:p w14:paraId="78FA72F5" w14:textId="77777777" w:rsidR="00A93F9F" w:rsidRDefault="00A70BD0">
      <w:pPr>
        <w:spacing w:line="1" w:lineRule="exact"/>
      </w:pPr>
      <w:r>
        <w:rPr>
          <w:noProof/>
        </w:rPr>
        <mc:AlternateContent>
          <mc:Choice Requires="wps">
            <w:drawing>
              <wp:anchor distT="0" distB="0" distL="114300" distR="114300" simplePos="0" relativeHeight="251655680" behindDoc="1" locked="0" layoutInCell="1" allowOverlap="1" wp14:anchorId="0A170515" wp14:editId="302AB2B9">
                <wp:simplePos x="0" y="0"/>
                <wp:positionH relativeFrom="page">
                  <wp:posOffset>0</wp:posOffset>
                </wp:positionH>
                <wp:positionV relativeFrom="page">
                  <wp:posOffset>0</wp:posOffset>
                </wp:positionV>
                <wp:extent cx="7556500" cy="10693400"/>
                <wp:effectExtent l="0" t="0" r="0" b="0"/>
                <wp:wrapNone/>
                <wp:docPr id="12" name="Shape 1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style="position:absolute;margin-left:0;margin-top:0;width:595.pt;height:842.pt;z-index:-251658240;mso-position-horizontal-relative:page;mso-position-vertical-relative:page;z-index:-251658750" fillcolor="#FEFEFE" stroked="f"/>
            </w:pict>
          </mc:Fallback>
        </mc:AlternateContent>
      </w:r>
    </w:p>
    <w:p w14:paraId="3B192AA6" w14:textId="77777777" w:rsidR="00A93F9F" w:rsidRDefault="00A70BD0">
      <w:pPr>
        <w:pStyle w:val="Teksttreci0"/>
        <w:spacing w:after="60" w:line="240" w:lineRule="auto"/>
        <w:ind w:left="260" w:firstLine="20"/>
        <w:jc w:val="both"/>
        <w:sectPr w:rsidR="00A93F9F">
          <w:footnotePr>
            <w:numStart w:val="2"/>
          </w:footnotePr>
          <w:pgSz w:w="11900" w:h="16840"/>
          <w:pgMar w:top="1397" w:right="1154" w:bottom="1184" w:left="1476" w:header="969" w:footer="756" w:gutter="0"/>
          <w:cols w:space="720"/>
          <w:noEndnote/>
          <w:docGrid w:linePitch="360"/>
          <w15:footnoteColumns w:val="1"/>
        </w:sectPr>
      </w:pPr>
      <w:r>
        <w:rPr>
          <w:rStyle w:val="Teksttreci"/>
        </w:rPr>
        <w:t>mającej za przedmiot pozyskanie surowca strategicznego i krytycznego. Zatem z uzasadnionej konieczności pozwalamy sobie zwrócić się do Pana Ministra z prośbą o rozważenie wskazanych wyżej propozycji zmian legislacyjnych, których wprowadzenie przyczyniłoby się do usunięcia barier w realizacji projektów dotyczących surowców krytycznych i dążenia do poprawy zdalności wydobywczej Unii Europejskiej.</w:t>
      </w:r>
    </w:p>
    <w:p w14:paraId="4F85EFB4" w14:textId="77777777" w:rsidR="00A93F9F" w:rsidRDefault="00A70BD0">
      <w:pPr>
        <w:pStyle w:val="Stopka1"/>
      </w:pPr>
      <w:r>
        <w:rPr>
          <w:rStyle w:val="Stopka"/>
          <w:vertAlign w:val="superscript"/>
        </w:rPr>
        <w:t>2</w:t>
      </w:r>
      <w:r>
        <w:rPr>
          <w:rStyle w:val="Stopka"/>
        </w:rPr>
        <w:t xml:space="preserve"> Ustawa z dnia 9 czerwca 2011 r. - Prawo geologiczne i górnicze (</w:t>
      </w:r>
      <w:proofErr w:type="spellStart"/>
      <w:r>
        <w:rPr>
          <w:rStyle w:val="Stopka"/>
        </w:rPr>
        <w:t>t.j</w:t>
      </w:r>
      <w:proofErr w:type="spellEnd"/>
      <w:r>
        <w:rPr>
          <w:rStyle w:val="Stopka"/>
        </w:rPr>
        <w:t>. Dz. U. z 2024 r. poz. 1290).</w:t>
      </w:r>
    </w:p>
    <w:sectPr w:rsidR="00A93F9F">
      <w:footnotePr>
        <w:numStart w:val="2"/>
      </w:footnotePr>
      <w:type w:val="continuous"/>
      <w:pgSz w:w="11900" w:h="16840"/>
      <w:pgMar w:top="1397" w:right="1154" w:bottom="1184" w:left="1476"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CE6B8" w14:textId="77777777" w:rsidR="00A70BD0" w:rsidRDefault="00A70BD0">
      <w:r>
        <w:separator/>
      </w:r>
    </w:p>
  </w:endnote>
  <w:endnote w:type="continuationSeparator" w:id="0">
    <w:p w14:paraId="00CB2C0D" w14:textId="77777777" w:rsidR="00A70BD0" w:rsidRDefault="00A70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09C80" w14:textId="77777777" w:rsidR="00A93F9F" w:rsidRDefault="00A93F9F"/>
  </w:footnote>
  <w:footnote w:type="continuationSeparator" w:id="0">
    <w:p w14:paraId="70BACB2C" w14:textId="77777777" w:rsidR="00A93F9F" w:rsidRDefault="00A93F9F"/>
  </w:footnote>
  <w:footnote w:id="1">
    <w:p w14:paraId="7E585025" w14:textId="77777777" w:rsidR="00A93F9F" w:rsidRDefault="00A70BD0">
      <w:pPr>
        <w:pStyle w:val="Stopka1"/>
      </w:pPr>
      <w:r>
        <w:rPr>
          <w:rStyle w:val="Stopka"/>
          <w:vertAlign w:val="superscript"/>
        </w:rPr>
        <w:footnoteRef/>
      </w:r>
      <w:r>
        <w:rPr>
          <w:rStyle w:val="Stopka"/>
        </w:rPr>
        <w:t xml:space="preserve"> Rozporządzenie Parlamentu Europejskiego i Rady (UE) 2024/1252 z dnia 11 kwietnia 2024 r. w sprawie ustanowienia ram na potrzeby zapewnienia bezpiecznych i zrównoważonych dostaw surowców krytycznych oraz zmiany rozporządzeń (UE) nr 168/2013, (UE) 2018/858, (UE) 2018/1724 i (UE) 2019/1020 Tekst mający znaczenie dla EOG (Dz. U. UE L z 2024 r. poz. 1252, z </w:t>
      </w:r>
      <w:proofErr w:type="spellStart"/>
      <w:r>
        <w:rPr>
          <w:rStyle w:val="Stopka"/>
        </w:rPr>
        <w:t>późn</w:t>
      </w:r>
      <w:proofErr w:type="spellEnd"/>
      <w:r>
        <w:rPr>
          <w:rStyle w:val="Stopka"/>
        </w:rPr>
        <w:t>. zm.).</w:t>
      </w:r>
    </w:p>
  </w:footnote>
  <w:footnote w:id="2">
    <w:p w14:paraId="1D078BB9" w14:textId="77777777" w:rsidR="00A93F9F" w:rsidRDefault="00A70BD0">
      <w:pPr>
        <w:pStyle w:val="Stopka1"/>
        <w:ind w:left="0"/>
      </w:pPr>
      <w:r>
        <w:rPr>
          <w:rStyle w:val="Stopka"/>
          <w:color w:val="000000"/>
          <w:vertAlign w:val="superscript"/>
        </w:rPr>
        <w:footnoteRef/>
      </w:r>
      <w:r>
        <w:rPr>
          <w:rStyle w:val="Stopka"/>
          <w:color w:val="000000"/>
        </w:rPr>
        <w:t xml:space="preserve"> Ustawa z dnia 20 lipca 2017 r. Prawo wodne (</w:t>
      </w:r>
      <w:proofErr w:type="spellStart"/>
      <w:r>
        <w:rPr>
          <w:rStyle w:val="Stopka"/>
          <w:color w:val="000000"/>
        </w:rPr>
        <w:t>t.j</w:t>
      </w:r>
      <w:proofErr w:type="spellEnd"/>
      <w:r>
        <w:rPr>
          <w:rStyle w:val="Stopka"/>
          <w:color w:val="000000"/>
        </w:rPr>
        <w:t xml:space="preserve">. Dz. U. z 2024 r. poz. 1087, z </w:t>
      </w:r>
      <w:proofErr w:type="spellStart"/>
      <w:r>
        <w:rPr>
          <w:rStyle w:val="Stopka"/>
          <w:color w:val="000000"/>
        </w:rPr>
        <w:t>późn</w:t>
      </w:r>
      <w:proofErr w:type="spellEnd"/>
      <w:r>
        <w:rPr>
          <w:rStyle w:val="Stopka"/>
          <w:color w:val="000000"/>
        </w:rPr>
        <w:t>. zm.).</w:t>
      </w:r>
    </w:p>
  </w:footnote>
  <w:footnote w:id="3">
    <w:p w14:paraId="45880635" w14:textId="77777777" w:rsidR="00A93F9F" w:rsidRDefault="00A70BD0">
      <w:pPr>
        <w:pStyle w:val="Stopka1"/>
        <w:ind w:left="0"/>
        <w:rPr>
          <w:sz w:val="20"/>
          <w:szCs w:val="20"/>
        </w:rPr>
      </w:pPr>
      <w:r>
        <w:rPr>
          <w:rStyle w:val="Stopka"/>
          <w:sz w:val="20"/>
          <w:szCs w:val="20"/>
          <w:vertAlign w:val="superscript"/>
        </w:rPr>
        <w:footnoteRef/>
      </w:r>
      <w:r>
        <w:rPr>
          <w:rStyle w:val="Stopka"/>
          <w:sz w:val="20"/>
          <w:szCs w:val="20"/>
        </w:rPr>
        <w:t xml:space="preserve"> Wyroki NSA z 12.12.2024 </w:t>
      </w:r>
      <w:proofErr w:type="gramStart"/>
      <w:r>
        <w:rPr>
          <w:rStyle w:val="Stopka"/>
          <w:sz w:val="20"/>
          <w:szCs w:val="20"/>
        </w:rPr>
        <w:t>r„ III</w:t>
      </w:r>
      <w:proofErr w:type="gramEnd"/>
      <w:r>
        <w:rPr>
          <w:rStyle w:val="Stopka"/>
          <w:sz w:val="20"/>
          <w:szCs w:val="20"/>
        </w:rPr>
        <w:t xml:space="preserve"> OSK 256/24, III OSK 265/24.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E25147"/>
    <w:multiLevelType w:val="multilevel"/>
    <w:tmpl w:val="A11405C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FEB3E18"/>
    <w:multiLevelType w:val="multilevel"/>
    <w:tmpl w:val="B80A03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38182828">
    <w:abstractNumId w:val="1"/>
  </w:num>
  <w:num w:numId="2" w16cid:durableId="43262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F9F"/>
    <w:rsid w:val="00013049"/>
    <w:rsid w:val="005C687C"/>
    <w:rsid w:val="008A3400"/>
    <w:rsid w:val="00A70BD0"/>
    <w:rsid w:val="00A93F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E0FCF"/>
  <w15:docId w15:val="{C2DC5BF4-66DE-481F-AADC-A7B4498CC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Calibri" w:eastAsia="Calibri" w:hAnsi="Calibri" w:cs="Calibri"/>
      <w:b w:val="0"/>
      <w:bCs w:val="0"/>
      <w:i w:val="0"/>
      <w:iCs w:val="0"/>
      <w:smallCaps w:val="0"/>
      <w:strike w:val="0"/>
      <w:color w:val="393939"/>
      <w:sz w:val="22"/>
      <w:szCs w:val="22"/>
      <w:u w:val="none"/>
    </w:rPr>
  </w:style>
  <w:style w:type="character" w:customStyle="1" w:styleId="Teksttreci3">
    <w:name w:val="Tekst treści (3)_"/>
    <w:basedOn w:val="Domylnaczcionkaakapitu"/>
    <w:link w:val="Teksttreci30"/>
    <w:rPr>
      <w:rFonts w:ascii="Verdana" w:eastAsia="Verdana" w:hAnsi="Verdana" w:cs="Verdana"/>
      <w:b w:val="0"/>
      <w:bCs w:val="0"/>
      <w:i w:val="0"/>
      <w:iCs w:val="0"/>
      <w:smallCaps w:val="0"/>
      <w:strike w:val="0"/>
      <w:sz w:val="19"/>
      <w:szCs w:val="19"/>
      <w:u w:val="none"/>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iCs/>
      <w:smallCaps w:val="0"/>
      <w:strike w:val="0"/>
      <w:sz w:val="28"/>
      <w:szCs w:val="28"/>
      <w:u w:val="none"/>
    </w:rPr>
  </w:style>
  <w:style w:type="character" w:customStyle="1" w:styleId="Podpisobrazu">
    <w:name w:val="Podpis obrazu_"/>
    <w:basedOn w:val="Domylnaczcionkaakapitu"/>
    <w:link w:val="Podpisobrazu0"/>
    <w:rPr>
      <w:rFonts w:ascii="Times New Roman" w:eastAsia="Times New Roman" w:hAnsi="Times New Roman" w:cs="Times New Roman"/>
      <w:b w:val="0"/>
      <w:bCs w:val="0"/>
      <w:i w:val="0"/>
      <w:iCs w:val="0"/>
      <w:smallCaps w:val="0"/>
      <w:strike w:val="0"/>
      <w:sz w:val="18"/>
      <w:szCs w:val="18"/>
      <w:u w:val="none"/>
    </w:rPr>
  </w:style>
  <w:style w:type="character" w:customStyle="1" w:styleId="Teksttreci2">
    <w:name w:val="Tekst treści (2)_"/>
    <w:basedOn w:val="Domylnaczcionkaakapitu"/>
    <w:link w:val="Teksttreci20"/>
    <w:rPr>
      <w:rFonts w:ascii="Arial" w:eastAsia="Arial" w:hAnsi="Arial" w:cs="Arial"/>
      <w:b w:val="0"/>
      <w:bCs w:val="0"/>
      <w:i w:val="0"/>
      <w:iCs w:val="0"/>
      <w:smallCaps w:val="0"/>
      <w:strike w:val="0"/>
      <w:sz w:val="28"/>
      <w:szCs w:val="28"/>
      <w:u w:val="none"/>
    </w:rPr>
  </w:style>
  <w:style w:type="character" w:customStyle="1" w:styleId="Teksttreci">
    <w:name w:val="Tekst treści_"/>
    <w:basedOn w:val="Domylnaczcionkaakapitu"/>
    <w:link w:val="Teksttreci0"/>
    <w:rPr>
      <w:rFonts w:ascii="Calibri" w:eastAsia="Calibri" w:hAnsi="Calibri" w:cs="Calibri"/>
      <w:b w:val="0"/>
      <w:bCs w:val="0"/>
      <w:i w:val="0"/>
      <w:iCs w:val="0"/>
      <w:smallCaps w:val="0"/>
      <w:strike w:val="0"/>
      <w:sz w:val="26"/>
      <w:szCs w:val="26"/>
      <w:u w:val="none"/>
    </w:rPr>
  </w:style>
  <w:style w:type="paragraph" w:customStyle="1" w:styleId="Stopka1">
    <w:name w:val="Stopka1"/>
    <w:basedOn w:val="Normalny"/>
    <w:link w:val="Stopka"/>
    <w:pPr>
      <w:ind w:left="1480"/>
    </w:pPr>
    <w:rPr>
      <w:rFonts w:ascii="Calibri" w:eastAsia="Calibri" w:hAnsi="Calibri" w:cs="Calibri"/>
      <w:color w:val="393939"/>
      <w:sz w:val="22"/>
      <w:szCs w:val="22"/>
    </w:rPr>
  </w:style>
  <w:style w:type="paragraph" w:customStyle="1" w:styleId="Teksttreci30">
    <w:name w:val="Tekst treści (3)"/>
    <w:basedOn w:val="Normalny"/>
    <w:link w:val="Teksttreci3"/>
    <w:rPr>
      <w:rFonts w:ascii="Verdana" w:eastAsia="Verdana" w:hAnsi="Verdana" w:cs="Verdana"/>
      <w:sz w:val="19"/>
      <w:szCs w:val="19"/>
    </w:rPr>
  </w:style>
  <w:style w:type="paragraph" w:customStyle="1" w:styleId="Teksttreci40">
    <w:name w:val="Tekst treści (4)"/>
    <w:basedOn w:val="Normalny"/>
    <w:link w:val="Teksttreci4"/>
    <w:pPr>
      <w:spacing w:line="223" w:lineRule="auto"/>
    </w:pPr>
    <w:rPr>
      <w:rFonts w:ascii="Times New Roman" w:eastAsia="Times New Roman" w:hAnsi="Times New Roman" w:cs="Times New Roman"/>
      <w:i/>
      <w:iCs/>
      <w:sz w:val="28"/>
      <w:szCs w:val="28"/>
    </w:rPr>
  </w:style>
  <w:style w:type="paragraph" w:customStyle="1" w:styleId="Podpisobrazu0">
    <w:name w:val="Podpis obrazu"/>
    <w:basedOn w:val="Normalny"/>
    <w:link w:val="Podpisobrazu"/>
    <w:rPr>
      <w:rFonts w:ascii="Times New Roman" w:eastAsia="Times New Roman" w:hAnsi="Times New Roman" w:cs="Times New Roman"/>
      <w:sz w:val="18"/>
      <w:szCs w:val="18"/>
    </w:rPr>
  </w:style>
  <w:style w:type="paragraph" w:customStyle="1" w:styleId="Teksttreci20">
    <w:name w:val="Tekst treści (2)"/>
    <w:basedOn w:val="Normalny"/>
    <w:link w:val="Teksttreci2"/>
    <w:pPr>
      <w:spacing w:line="286" w:lineRule="auto"/>
      <w:ind w:left="620"/>
    </w:pPr>
    <w:rPr>
      <w:rFonts w:ascii="Arial" w:eastAsia="Arial" w:hAnsi="Arial" w:cs="Arial"/>
      <w:sz w:val="28"/>
      <w:szCs w:val="28"/>
    </w:rPr>
  </w:style>
  <w:style w:type="paragraph" w:customStyle="1" w:styleId="Teksttreci0">
    <w:name w:val="Tekst treści"/>
    <w:basedOn w:val="Normalny"/>
    <w:link w:val="Teksttreci"/>
    <w:pPr>
      <w:spacing w:line="264" w:lineRule="auto"/>
    </w:pPr>
    <w:rPr>
      <w:rFonts w:ascii="Calibri" w:eastAsia="Calibri" w:hAnsi="Calibri" w:cs="Calibr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1001</Words>
  <Characters>6012</Characters>
  <Application>Microsoft Office Word</Application>
  <DocSecurity>0</DocSecurity>
  <Lines>50</Lines>
  <Paragraphs>13</Paragraphs>
  <ScaleCrop>false</ScaleCrop>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Kodak Capture Pro Software</dc:title>
  <dc:subject/>
  <dc:creator>Kodak Capture Pro ( Software )</dc:creator>
  <cp:keywords/>
  <cp:lastModifiedBy>Zygadlewicz Małgorzata</cp:lastModifiedBy>
  <cp:revision>3</cp:revision>
  <dcterms:created xsi:type="dcterms:W3CDTF">2025-05-19T12:52:00Z</dcterms:created>
  <dcterms:modified xsi:type="dcterms:W3CDTF">2025-05-19T12:54:00Z</dcterms:modified>
</cp:coreProperties>
</file>