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156"/>
        <w:gridCol w:w="3696"/>
      </w:tblGrid>
      <w:tr w:rsidR="006337D2" w14:paraId="1E5F3174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871A" w14:textId="77777777" w:rsidR="006337D2" w:rsidRDefault="006337D2" w:rsidP="007D6744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E41E604" wp14:editId="1121F1B6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BDC6" w14:textId="17881A75" w:rsidR="006337D2" w:rsidRDefault="0088391A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CB7ADD" wp14:editId="4BB5C65F">
                  <wp:extent cx="1865630" cy="658495"/>
                  <wp:effectExtent l="0" t="0" r="127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19C9" w14:textId="77777777"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A9AFE4" wp14:editId="3FCD8D2D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F8E550" w14:textId="77777777" w:rsidR="006460F1" w:rsidRDefault="006460F1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14:paraId="1B82146B" w14:textId="77777777" w:rsidR="006C3509" w:rsidRDefault="006C3509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14:paraId="685604FE" w14:textId="77777777"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70A5FFC" w14:textId="77777777"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4112CF9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14:paraId="51F731E9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14:paraId="13428F63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14:paraId="7B839756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</w:t>
      </w:r>
      <w:r w:rsidR="006460F1">
        <w:t xml:space="preserve"> </w:t>
      </w:r>
      <w:r w:rsidR="009562E5">
        <w:t>……………………………………………….,</w:t>
      </w:r>
    </w:p>
    <w:p w14:paraId="0251BE4C" w14:textId="77777777"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14:paraId="14FE2D6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14:paraId="76214A7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14:paraId="7632E45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14:paraId="196DC1AF" w14:textId="77777777"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14:paraId="22AC0A5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  <w:r w:rsidRPr="00773779">
        <w:t>..................................</w:t>
      </w:r>
    </w:p>
    <w:p w14:paraId="3D15E5E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</w:p>
    <w:p w14:paraId="0C20B1A6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</w:t>
      </w:r>
      <w:r w:rsidR="006460F1">
        <w:t xml:space="preserve"> </w:t>
      </w:r>
      <w:r w:rsidRPr="00773779">
        <w:t>................................................................................................................</w:t>
      </w:r>
    </w:p>
    <w:p w14:paraId="5D4BD6A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="006460F1">
        <w:t xml:space="preserve"> </w:t>
      </w:r>
      <w:r w:rsidRPr="00773779">
        <w:t>.........................................................................................................</w:t>
      </w:r>
      <w:r w:rsidR="005F7BA6">
        <w:t>,</w:t>
      </w:r>
    </w:p>
    <w:p w14:paraId="41771BC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</w:t>
      </w:r>
      <w:r w:rsidR="006460F1">
        <w:t xml:space="preserve"> </w:t>
      </w:r>
      <w:r w:rsidRPr="00773779">
        <w:t>…………………...........………………………………………………………………….</w:t>
      </w:r>
    </w:p>
    <w:p w14:paraId="1171DAAB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14:paraId="57DE942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14:paraId="10E5B72B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14:paraId="57B0A5C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</w:t>
      </w:r>
      <w:r w:rsidRPr="00773779">
        <w:t>.</w:t>
      </w:r>
      <w:r w:rsidR="005F7BA6">
        <w:t>,</w:t>
      </w:r>
    </w:p>
    <w:p w14:paraId="2ED526ED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5F7BA6" w:rsidRPr="00773779">
        <w:t>o</w:t>
      </w:r>
      <w:r w:rsidR="00A0022D">
        <w:t> </w:t>
      </w:r>
      <w:r w:rsidR="005F7BA6" w:rsidRPr="00773779">
        <w:t>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14:paraId="42432531" w14:textId="77777777"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14:paraId="24F6B380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14:paraId="27510227" w14:textId="77777777" w:rsidR="006C3509" w:rsidRPr="00773779" w:rsidRDefault="006C3509" w:rsidP="00DD0C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9CC6509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14:paraId="614D066D" w14:textId="77777777" w:rsidR="006C3509" w:rsidRDefault="006C3509" w:rsidP="00DD0C5F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14:paraId="62FC5C9C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1303/2013 – rozporządzenie Parlamentu Europejskiego i Rady (UE)</w:t>
      </w:r>
      <w:r>
        <w:t xml:space="preserve"> </w:t>
      </w:r>
      <w:r w:rsidRPr="0061425F">
        <w:t>nr</w:t>
      </w:r>
      <w:r w:rsidR="00A0022D">
        <w:t> </w:t>
      </w:r>
      <w:r w:rsidRPr="0061425F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0679C4C9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508/2014 – rozporządzenie Parlamentu Europejskiego i Rady (UE) nr</w:t>
      </w:r>
      <w:r w:rsidR="00A0022D">
        <w:t> </w:t>
      </w:r>
      <w:r w:rsidRPr="0061425F">
        <w:t>508/2014 z dnia 15 maja 2014 r. w sprawie Europejskiego Funduszu Morskiego i</w:t>
      </w:r>
      <w:r w:rsidR="00A0022D">
        <w:t> </w:t>
      </w:r>
      <w:r w:rsidRPr="0061425F">
        <w:t>Rybackiego oraz uchylające rozporządzenia Rady (WE) nr 2328/2003, (WE) nr</w:t>
      </w:r>
      <w:r w:rsidR="00A0022D">
        <w:t> </w:t>
      </w:r>
      <w:r w:rsidRPr="0061425F">
        <w:t>861/2006, (WE) nr 1198/2006 i (WE) nr 791/2007 oraz rozporządzenie Parlamentu Europejskiego i Rady (UE) nr 1255/2011 (Dz. Urz. UE L 149 z 20.05.2014, str. 1, z</w:t>
      </w:r>
      <w:r w:rsidR="00A0022D">
        <w:t> </w:t>
      </w:r>
      <w:r w:rsidRPr="0061425F">
        <w:t>późn. zm.)</w:t>
      </w:r>
      <w:r>
        <w:t>;</w:t>
      </w:r>
    </w:p>
    <w:p w14:paraId="087F0D05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 xml:space="preserve">2140 z </w:t>
      </w:r>
      <w:r w:rsidR="00AC3DE9">
        <w:t>późń</w:t>
      </w:r>
      <w:r w:rsidR="00384544">
        <w:t>. zm.</w:t>
      </w:r>
      <w:r w:rsidRPr="003B48D4">
        <w:t>);</w:t>
      </w:r>
    </w:p>
    <w:p w14:paraId="0D231C90" w14:textId="04D6B86C" w:rsidR="00236320" w:rsidRPr="003B48D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z</w:t>
      </w:r>
      <w:r w:rsidR="00A0022D">
        <w:t> </w:t>
      </w:r>
      <w:r w:rsidRPr="003B48D4">
        <w:t xml:space="preserve">udziałem lokalnej społeczności (Dz. U. </w:t>
      </w:r>
      <w:r w:rsidR="00D907A3">
        <w:t xml:space="preserve">z </w:t>
      </w:r>
      <w:r w:rsidR="003D1ECF">
        <w:t>2023</w:t>
      </w:r>
      <w:r w:rsidR="00A8065A">
        <w:t xml:space="preserve"> </w:t>
      </w:r>
      <w:r w:rsidR="00D907A3">
        <w:t xml:space="preserve">r., poz. </w:t>
      </w:r>
      <w:r w:rsidR="003D1ECF">
        <w:t>1554</w:t>
      </w:r>
      <w:r w:rsidR="00AC3DE9">
        <w:t xml:space="preserve"> </w:t>
      </w:r>
      <w:r w:rsidR="00D907A3">
        <w:t>z późn. zm.)</w:t>
      </w:r>
      <w:r w:rsidRPr="003B48D4">
        <w:t>;</w:t>
      </w:r>
    </w:p>
    <w:p w14:paraId="170B6614" w14:textId="49895480" w:rsidR="00236320" w:rsidRDefault="00236320" w:rsidP="00A806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finansach publicznych – ustawę z dnia 27 sierpnia 2009 r. o finansach publicznych (Dz. U. z </w:t>
      </w:r>
      <w:r w:rsidR="003D1ECF">
        <w:t>2023</w:t>
      </w:r>
      <w:r w:rsidRPr="003B48D4">
        <w:t xml:space="preserve"> r. poz. </w:t>
      </w:r>
      <w:r w:rsidR="003D1ECF">
        <w:t>1270</w:t>
      </w:r>
      <w:r w:rsidR="00B00A71" w:rsidRPr="00A8065A">
        <w:t>,</w:t>
      </w:r>
      <w:r w:rsidR="00B00A71">
        <w:t xml:space="preserve"> </w:t>
      </w:r>
      <w:r w:rsidR="00DE3FF2">
        <w:t>z późn. zm.</w:t>
      </w:r>
      <w:r w:rsidRPr="003B48D4">
        <w:t>);</w:t>
      </w:r>
    </w:p>
    <w:p w14:paraId="2B57D5B9" w14:textId="77777777" w:rsidR="00032501" w:rsidRPr="003B48D4" w:rsidRDefault="00032501" w:rsidP="0003250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przepisy prawa podatkowego – ustawę z dnia 26 lipca 1991 r. o podatku dochodowym od osób fizycznych (Dz. U. z </w:t>
      </w:r>
      <w:r w:rsidRPr="00032501">
        <w:t xml:space="preserve"> 2022 r. poz. 2647</w:t>
      </w:r>
      <w:r>
        <w:t xml:space="preserve"> z późn. zm.), ustawę z dnia 15 lutego 1992 r. o podatku dochodowym od osób prawnych (Dz. U. z </w:t>
      </w:r>
      <w:r w:rsidRPr="00032501">
        <w:t xml:space="preserve"> 2022 r. poz. 2587</w:t>
      </w:r>
      <w:r>
        <w:t xml:space="preserve"> </w:t>
      </w:r>
      <w:r w:rsidRPr="00032501">
        <w:t>z późn. zm.</w:t>
      </w:r>
      <w:r>
        <w:t xml:space="preserve">) ustawę z dnia 11 marca 2004 r. o podatku od towarów i usług (Dz.U. z </w:t>
      </w:r>
      <w:r w:rsidRPr="00032501">
        <w:t>2023 r. poz. 1570</w:t>
      </w:r>
      <w:r>
        <w:t xml:space="preserve"> z </w:t>
      </w:r>
      <w:r w:rsidRPr="00032501">
        <w:t>późn. zm</w:t>
      </w:r>
      <w:r>
        <w:t xml:space="preserve">.).  </w:t>
      </w:r>
    </w:p>
    <w:p w14:paraId="63AEE67B" w14:textId="1D0E4A6D" w:rsidR="00236320" w:rsidRDefault="00236320" w:rsidP="003D1EC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>rozporządzenie Ministra Gospodarki Morskiej i</w:t>
      </w:r>
      <w:r w:rsidR="00A0022D">
        <w:t> </w:t>
      </w:r>
      <w:r w:rsidRPr="00E91F2E">
        <w:t>Żeglugi Śródlądowej z dnia 6 września 2016 r. w sprawie szczegółowych warunków i</w:t>
      </w:r>
      <w:r w:rsidR="00A0022D">
        <w:t> </w:t>
      </w:r>
      <w:r w:rsidRPr="00E91F2E">
        <w:t>trybu przyznawania, wypłaty i zwrotu pomocy finansowej na realizację operacji w</w:t>
      </w:r>
      <w:r w:rsidR="00A0022D">
        <w:t> </w:t>
      </w:r>
      <w:r w:rsidRPr="00E91F2E">
        <w:t xml:space="preserve">ramach działań wsparcie przygotowawcze i </w:t>
      </w:r>
      <w:r w:rsidRPr="00FB5345">
        <w:t>realizacja l</w:t>
      </w:r>
      <w:r w:rsidRPr="00E91F2E">
        <w:t>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="003D1ECF">
        <w:t xml:space="preserve"> z</w:t>
      </w:r>
      <w:r w:rsidR="003D1ECF" w:rsidRPr="003D1ECF">
        <w:t xml:space="preserve"> </w:t>
      </w:r>
      <w:r w:rsidR="003D1ECF">
        <w:t>późn. zm.</w:t>
      </w:r>
      <w:r w:rsidRPr="00E91F2E">
        <w:t>);</w:t>
      </w:r>
      <w:r w:rsidRPr="00000E7C">
        <w:t xml:space="preserve"> </w:t>
      </w:r>
    </w:p>
    <w:p w14:paraId="47CCF970" w14:textId="35AC6D1C" w:rsidR="00031266" w:rsidRDefault="00031266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>Ministra Gospodarki Morskiej i</w:t>
      </w:r>
      <w:r w:rsidR="00A0022D">
        <w:t> </w:t>
      </w:r>
      <w:r w:rsidRPr="00E91F2E">
        <w:t>Żeglugi Śródlądowej</w:t>
      </w:r>
      <w:r>
        <w:t xml:space="preserve"> z dnia</w:t>
      </w:r>
      <w:r w:rsidR="00ED60CE">
        <w:t xml:space="preserve"> </w:t>
      </w:r>
      <w:r w:rsidR="003D1ECF">
        <w:t xml:space="preserve">15 czerwca 2023 </w:t>
      </w:r>
      <w:r>
        <w:t>r. w sprawie warunków i trybu udzielania i rozliczania zaliczek oraz zakresu i terminów składania wniosków o płatność w ramach programu finansowanego z udziałem środków Europejskiego Funduszu Morskiego i</w:t>
      </w:r>
      <w:r w:rsidR="00A0022D">
        <w:t> </w:t>
      </w:r>
      <w:r>
        <w:t xml:space="preserve">Rybackiego (Dz. U. </w:t>
      </w:r>
      <w:r w:rsidR="003D1ECF">
        <w:t>z 2023 r., poz. 1125</w:t>
      </w:r>
      <w:r>
        <w:t>);</w:t>
      </w:r>
    </w:p>
    <w:p w14:paraId="1D8A2817" w14:textId="26DB56BC" w:rsidR="00CC5E3A" w:rsidRDefault="00CC5E3A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>rozporządzenie Ministra Gospodarki Morskiej i</w:t>
      </w:r>
      <w:r w:rsidR="00A0022D">
        <w:t> </w:t>
      </w:r>
      <w:r w:rsidRPr="00E91F2E">
        <w:t>Żeglugi Śródlądowej</w:t>
      </w:r>
      <w:r>
        <w:t xml:space="preserve"> z dnia 6 grudnia 2016 r. w sprawie zakresu i rodzaju sprawozdań oraz trybu i terminów ich przekazywania w ramach realizacji Programu Operacyjnego „Rybactwo i Morze” (Dz. U. </w:t>
      </w:r>
      <w:r w:rsidR="003D1ECF">
        <w:t xml:space="preserve">z 2016 r. </w:t>
      </w:r>
      <w:r>
        <w:t>poz. 2076)</w:t>
      </w:r>
      <w:r w:rsidR="00C86FCF">
        <w:t>;</w:t>
      </w:r>
    </w:p>
    <w:p w14:paraId="5830AB22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14:paraId="5E221AB4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w</w:t>
      </w:r>
      <w:r w:rsidR="00A0022D">
        <w:t> </w:t>
      </w:r>
      <w:r w:rsidRPr="00A74F10">
        <w:t>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14:paraId="5D67660C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62C2C175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14:paraId="6484A34E" w14:textId="77777777"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</w:t>
      </w:r>
      <w:r w:rsidR="00A0022D">
        <w:t> </w:t>
      </w:r>
      <w:r w:rsidRPr="0061425F">
        <w:t>…………….</w:t>
      </w:r>
      <w:r>
        <w:t>;</w:t>
      </w:r>
      <w:r w:rsidRPr="00386E1D">
        <w:t xml:space="preserve"> </w:t>
      </w:r>
    </w:p>
    <w:p w14:paraId="4F79E690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14:paraId="128F0C7D" w14:textId="77777777" w:rsidR="00236320" w:rsidRPr="00F553F8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</w:t>
      </w:r>
      <w:r w:rsidR="00A0022D">
        <w:t xml:space="preserve"> </w:t>
      </w:r>
      <w:r>
        <w:t>………………….;</w:t>
      </w:r>
    </w:p>
    <w:p w14:paraId="14DED9A6" w14:textId="77777777"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lastRenderedPageBreak/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nr</w:t>
      </w:r>
      <w:r w:rsidR="00A0022D">
        <w:t> </w:t>
      </w:r>
      <w:r w:rsidRPr="00F553F8">
        <w:t xml:space="preserve">1303/2013; </w:t>
      </w:r>
    </w:p>
    <w:p w14:paraId="44507EA9" w14:textId="77777777" w:rsidR="00236320" w:rsidRPr="00364A8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>, zgodnie z kryteriami ustanowionymi w Programie oraz w sposób pozwalający na osiągnięcie celów działania określonych w tym Programie;</w:t>
      </w:r>
    </w:p>
    <w:p w14:paraId="5F17EC90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14:paraId="33DB41FB" w14:textId="130A4053" w:rsidR="00717DBE" w:rsidRDefault="00256841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 xml:space="preserve">(Dz. U. </w:t>
      </w:r>
      <w:r w:rsidR="00AC3DE9">
        <w:t xml:space="preserve">z </w:t>
      </w:r>
      <w:r w:rsidR="003D1ECF">
        <w:t>2023</w:t>
      </w:r>
      <w:r w:rsidR="00AC3DE9">
        <w:t xml:space="preserve"> r., </w:t>
      </w:r>
      <w:r w:rsidR="003D1ECF">
        <w:t>poz. 221</w:t>
      </w:r>
      <w:r w:rsidR="00717DBE">
        <w:t>);</w:t>
      </w:r>
    </w:p>
    <w:p w14:paraId="7D7F02B6" w14:textId="77777777" w:rsidR="008959EC" w:rsidRPr="004078B0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4078B0">
        <w:t>utworzenie miejsca pracy – zatrudnienie na podstawie umowy o pracę, spółdzielczej umowy o pracę, umowy zlecenia lub umowy o dzieło, bezpośrednio związane z</w:t>
      </w:r>
      <w:r w:rsidR="004C1ACE">
        <w:t> </w:t>
      </w:r>
      <w:r w:rsidRPr="004078B0">
        <w:t xml:space="preserve">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</w:t>
      </w:r>
      <w:r w:rsidR="004C1ACE">
        <w:t> </w:t>
      </w:r>
      <w:r w:rsidRPr="004078B0">
        <w:t>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14:paraId="0C97F9BB" w14:textId="77777777" w:rsidR="00D97722" w:rsidRPr="00D97722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14:paraId="3D5426EB" w14:textId="77777777" w:rsidR="00D97722" w:rsidRPr="00D97722" w:rsidRDefault="00D97722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z</w:t>
      </w:r>
      <w:r w:rsidRPr="00D97722">
        <w:t>adanie – to jedna lub kilka pozycji w zestawieniu rzeczowo</w:t>
      </w:r>
      <w:r w:rsidR="00A0022D">
        <w:t>-</w:t>
      </w:r>
      <w:r w:rsidRPr="00D97722">
        <w:t>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</w:t>
      </w:r>
      <w:r w:rsidR="00EE4053">
        <w:t> </w:t>
      </w:r>
      <w:r w:rsidRPr="00D97722">
        <w:t>całą partię, robota budowlana może składać się z jednej roboty budowlanej bądź kilku robót budowlanych, a usługa może składać się z jednej usługi bądź kilku rodzajów usług.</w:t>
      </w:r>
    </w:p>
    <w:p w14:paraId="6065D0BF" w14:textId="77777777"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D062540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14:paraId="2FCFD760" w14:textId="77777777"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0109E2" w:rsidRPr="000109E2">
        <w:t xml:space="preserve"> </w:t>
      </w:r>
      <w:r w:rsidR="005A67F9">
        <w:t>w</w:t>
      </w:r>
      <w:r w:rsidR="00A0022D">
        <w:t> </w:t>
      </w:r>
      <w:r w:rsidR="005A67F9">
        <w:t>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0022D">
        <w:t xml:space="preserve"> </w:t>
      </w:r>
      <w:r w:rsidR="00A4759F">
        <w:t>…</w:t>
      </w:r>
      <w:r w:rsidR="00A0022D">
        <w:t>………………………………</w:t>
      </w:r>
      <w:r w:rsidR="00A4759F">
        <w:t>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14:paraId="53865085" w14:textId="77777777" w:rsidR="004C1ACE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4C1ACE">
        <w:t xml:space="preserve"> </w:t>
      </w:r>
      <w:r w:rsidR="000109E2">
        <w:t>………………………………………………………………………</w:t>
      </w:r>
      <w:r w:rsidR="004C1ACE">
        <w:t>.</w:t>
      </w:r>
      <w:r w:rsidR="000109E2">
        <w:t>……………</w:t>
      </w:r>
      <w:r w:rsidR="004C1ACE">
        <w:t xml:space="preserve"> </w:t>
      </w:r>
    </w:p>
    <w:p w14:paraId="62CBE591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…..……………………………………………………………………………………….…….... </w:t>
      </w:r>
    </w:p>
    <w:p w14:paraId="4332D10E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>…..…………………………………………………………………………………….…….... .</w:t>
      </w:r>
    </w:p>
    <w:p w14:paraId="0F8AD6B6" w14:textId="77777777"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C5BC8AD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482E7667" w14:textId="77777777" w:rsidR="00D91017" w:rsidRDefault="006C3509" w:rsidP="006460F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14:paraId="39813A4A" w14:textId="77777777" w:rsidR="006C3509" w:rsidRDefault="006C3509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której zakres rzeczowy i finansowy określono w zestawieniu rzeczowo-finansowym operacji, stanowiącym załącznik nr 1 do umowy.</w:t>
      </w:r>
    </w:p>
    <w:p w14:paraId="2DA5FFCD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14:paraId="545329EC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14:paraId="157C2365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</w:t>
      </w:r>
      <w:r w:rsidR="004C1ACE">
        <w:t xml:space="preserve"> </w:t>
      </w:r>
      <w:r>
        <w:t>…………………………………………………. ………………………………………..…………………………………………………….........</w:t>
      </w:r>
    </w:p>
    <w:p w14:paraId="5666994E" w14:textId="77777777" w:rsidR="00364C4D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14:paraId="39142758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14:paraId="553624EC" w14:textId="77777777"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14:paraId="1933564A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14:paraId="61822594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14:paraId="58E890A8" w14:textId="77777777"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wykonanie zakresu rzeczowego zgodnie z zestawieniem rzeczowo-finansowym operacji stanowiącym załącznik nr 1 do umowy,</w:t>
      </w:r>
    </w:p>
    <w:p w14:paraId="6D025A77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14:paraId="0E55747B" w14:textId="77777777"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DD0C5F">
        <w:t>z </w:t>
      </w:r>
      <w:r>
        <w:t>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14:paraId="7F623FDD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>do dnia złożenia wniosku o</w:t>
      </w:r>
      <w:r w:rsidR="004C1ACE">
        <w:t> </w:t>
      </w:r>
      <w:r w:rsidRPr="00773779">
        <w:t>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14:paraId="7738EF6D" w14:textId="77777777"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>a gdy Beneficjent został wezwany do usunięcia braków w</w:t>
      </w:r>
      <w:r w:rsidR="004C1ACE">
        <w:t> </w:t>
      </w:r>
      <w:r w:rsidR="005E0CF8">
        <w:t>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14:paraId="5E462966" w14:textId="77777777"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>zgodnie z warunkami określonymi w rozporządzeniu nr 508/2014, rozporządzeniu nr</w:t>
      </w:r>
      <w:r w:rsidR="004C1ACE">
        <w:t> </w:t>
      </w:r>
      <w:r w:rsidR="007C460D">
        <w:t>1303/2013, ustawie o EFMR, rozporządzeniu w sprawie Priorytetu 4 i w umowie, oraz określonymi w innych przepisach dotyczących realizowanej operacji.</w:t>
      </w:r>
    </w:p>
    <w:p w14:paraId="44AF112F" w14:textId="77777777" w:rsidR="00353133" w:rsidRPr="006460F1" w:rsidRDefault="00353133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B331DD5" w14:textId="77777777"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14:paraId="430C1B1E" w14:textId="77777777"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>, 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14:paraId="42792437" w14:textId="77777777"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14:paraId="3C6F3569" w14:textId="77777777"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lastRenderedPageBreak/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14:paraId="1160D869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1)</w:t>
      </w:r>
      <w:r w:rsidR="006460F1">
        <w:tab/>
      </w:r>
      <w:r w:rsidRPr="00CB79DC">
        <w:t xml:space="preserve">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14:paraId="4B5AF0C3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14:paraId="7AD340A7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2)</w:t>
      </w:r>
      <w:r w:rsidR="006460F1">
        <w:tab/>
      </w:r>
      <w:r w:rsidRPr="00CB79DC">
        <w:t>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14:paraId="15644261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a)</w:t>
      </w:r>
      <w:r w:rsidR="006460F1">
        <w:tab/>
      </w:r>
      <w:r w:rsidRPr="00CB79DC">
        <w:t>pierwsza transza w wysokości: ............................... zł (słownie złotych: ....................................................................................................................),</w:t>
      </w:r>
    </w:p>
    <w:p w14:paraId="42533285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b)</w:t>
      </w:r>
      <w:r w:rsidR="006460F1">
        <w:tab/>
      </w:r>
      <w:r w:rsidRPr="00CB79DC">
        <w:t>druga transza w wysokości: ................................ zł (słownie złotych: ....................................................................................................................),</w:t>
      </w:r>
    </w:p>
    <w:p w14:paraId="0CC5E366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c)</w:t>
      </w:r>
      <w:r w:rsidR="006460F1">
        <w:tab/>
      </w:r>
      <w:r w:rsidRPr="00CB79DC">
        <w:t>trzecia transza w wysokości: ................................ zł (słownie złotych: ....................................................................................................................),</w:t>
      </w:r>
    </w:p>
    <w:p w14:paraId="1EB173AF" w14:textId="77777777" w:rsidR="006C3509" w:rsidRPr="00353133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d)</w:t>
      </w:r>
      <w:r w:rsidR="006460F1">
        <w:tab/>
      </w:r>
      <w:r w:rsidRPr="00CB79DC">
        <w:t>……</w:t>
      </w:r>
    </w:p>
    <w:p w14:paraId="18AFB9D2" w14:textId="77777777" w:rsidR="006460F1" w:rsidRDefault="006460F1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8787E70" w14:textId="77777777"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31975DAA" w14:textId="77777777"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14:paraId="16F10778" w14:textId="77777777"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14:paraId="37B84FB9" w14:textId="77777777"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34D750D6" w14:textId="77777777"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14:paraId="4344F969" w14:textId="77777777"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14:paraId="4820F88D" w14:textId="77777777" w:rsidR="002C2090" w:rsidRDefault="002C2090" w:rsidP="006460F1">
      <w:pPr>
        <w:pStyle w:val="PKTpunkt"/>
        <w:ind w:left="426" w:hanging="426"/>
      </w:pPr>
      <w:r>
        <w:t>1)</w:t>
      </w:r>
      <w:r w:rsidR="006460F1">
        <w:tab/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14:paraId="33EC1709" w14:textId="77777777" w:rsidR="002C2090" w:rsidRDefault="002C2090" w:rsidP="006460F1">
      <w:pPr>
        <w:pStyle w:val="PKTpunkt"/>
        <w:ind w:left="426" w:hanging="426"/>
      </w:pPr>
      <w:r>
        <w:t>2)</w:t>
      </w:r>
      <w:r w:rsidR="006460F1">
        <w:tab/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</w:t>
      </w:r>
      <w:r>
        <w:lastRenderedPageBreak/>
        <w:t xml:space="preserve">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>z tym że jeżeli przewidywany termin przekazania środków z rachunku bankowego przeznaczonego do obsługi zleceń płatności przypada wcześniej niż 21 dni od dnia złożenia tego wniosku, zaliczka lub jej transza może zostać wypłacona w</w:t>
      </w:r>
      <w:r w:rsidR="004C1ACE">
        <w:t> </w:t>
      </w:r>
      <w:r w:rsidR="00CF2769">
        <w:t xml:space="preserve">terminie krótszym niż 21 dni od dnia złożenia tego wniosku. </w:t>
      </w:r>
    </w:p>
    <w:p w14:paraId="033C77A2" w14:textId="77777777"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14:paraId="41C640A4" w14:textId="77777777"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14:paraId="6DAAB5A9" w14:textId="77777777"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907FC52" w14:textId="77777777"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14:paraId="5267AD3B" w14:textId="77777777"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14:paraId="6E6D894C" w14:textId="77777777" w:rsidR="002C2090" w:rsidRDefault="002C2090" w:rsidP="006460F1">
      <w:pPr>
        <w:pStyle w:val="PKTpunkt"/>
        <w:ind w:left="426" w:hanging="426"/>
      </w:pPr>
      <w:r>
        <w:t>1)</w:t>
      </w:r>
      <w:r>
        <w:tab/>
        <w:t xml:space="preserve">spełnieniu </w:t>
      </w:r>
      <w:r w:rsidR="00C44243">
        <w:t xml:space="preserve">przez tego Beneficjenta </w:t>
      </w:r>
      <w:r>
        <w:t>warunku, o którym mowa w ust. 9;</w:t>
      </w:r>
    </w:p>
    <w:p w14:paraId="7B3912C8" w14:textId="77777777" w:rsidR="002C2090" w:rsidRDefault="002C2090" w:rsidP="006460F1">
      <w:pPr>
        <w:pStyle w:val="PKTpunkt"/>
        <w:ind w:left="426" w:hanging="426"/>
      </w:pPr>
      <w:r>
        <w:t>2)</w:t>
      </w:r>
      <w:r>
        <w:tab/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14:paraId="57926B54" w14:textId="77777777" w:rsidR="002C2090" w:rsidRDefault="002C2090" w:rsidP="006460F1">
      <w:pPr>
        <w:pStyle w:val="PKTpunkt"/>
        <w:ind w:left="426" w:hanging="426"/>
      </w:pPr>
      <w:r>
        <w:t>3)</w:t>
      </w:r>
      <w:r>
        <w:tab/>
        <w:t xml:space="preserve">zgodzie na wypłatę </w:t>
      </w:r>
      <w:r w:rsidR="00C44243">
        <w:t xml:space="preserve">temu Beneficjentowi </w:t>
      </w:r>
      <w:r>
        <w:t>kolejnej transzy zaliczki.</w:t>
      </w:r>
    </w:p>
    <w:p w14:paraId="272C6C47" w14:textId="77777777"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14:paraId="6E42B5CF" w14:textId="77777777"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="004C1ACE">
        <w:t xml:space="preserve"> </w:t>
      </w:r>
      <w:r w:rsidRPr="00647A5D">
        <w:t>w banku: ………………………………………………………………………………………...</w:t>
      </w:r>
    </w:p>
    <w:p w14:paraId="1045B41F" w14:textId="77777777" w:rsidR="002C2090" w:rsidRDefault="002C2090" w:rsidP="00B83F00">
      <w:pPr>
        <w:pStyle w:val="USTustnpkodeksu"/>
        <w:ind w:firstLine="0"/>
      </w:pPr>
      <w:r>
        <w:t>13. Beneficjent jest zobowiązany do zwrotu odsetek bankowych zgromadzonych na rachunku, o którym mowa w ust. 12, chyba że wyrazi zgodę na pomniejszenie kolejnych płatności w</w:t>
      </w:r>
      <w:r w:rsidR="004C1ACE">
        <w:t> </w:t>
      </w:r>
      <w:r>
        <w:t>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14:paraId="5D1BCEB8" w14:textId="77777777"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ED6514C" w14:textId="77777777" w:rsidR="002C2090" w:rsidRDefault="002C2090" w:rsidP="006460F1">
      <w:pPr>
        <w:pStyle w:val="PKTpunkt"/>
        <w:ind w:left="426" w:hanging="426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14:paraId="4EF98C07" w14:textId="77777777" w:rsidR="002C2090" w:rsidRDefault="002C2090" w:rsidP="006460F1">
      <w:pPr>
        <w:pStyle w:val="PKTpunkt"/>
        <w:ind w:left="426" w:hanging="426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14:paraId="567DC3F4" w14:textId="77777777"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14:paraId="31D3588F" w14:textId="77777777"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14:paraId="13F93587" w14:textId="77777777" w:rsidR="007D6234" w:rsidRPr="006460F1" w:rsidRDefault="007D6234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A872BC5" w14:textId="77777777"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14:paraId="0EA71975" w14:textId="77777777"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2233CC" w:rsidRPr="00CF2345">
        <w:t>z</w:t>
      </w:r>
      <w:r w:rsidR="004C1ACE">
        <w:t> </w:t>
      </w:r>
      <w:r w:rsidR="002233CC" w:rsidRPr="00CF2345">
        <w:t>postanowieniami umowy, a w szczególności do</w:t>
      </w:r>
      <w:r w:rsidRPr="00773779">
        <w:t>:</w:t>
      </w:r>
    </w:p>
    <w:p w14:paraId="3B885EC4" w14:textId="414C400A" w:rsidR="006C3509" w:rsidRDefault="006C3509" w:rsidP="00884B7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="00884B7F">
        <w:t xml:space="preserve">, w tym </w:t>
      </w:r>
      <w:r w:rsidR="00884B7F" w:rsidRPr="00884B7F">
        <w:t>wydatków na podatek od towarów i usług (VAT), gdy Beneficjentowi, zgodnie z obowiązującym</w:t>
      </w:r>
      <w:r w:rsidR="00202CAC">
        <w:t>i</w:t>
      </w:r>
      <w:r w:rsidR="00884B7F" w:rsidRPr="00884B7F">
        <w:t xml:space="preserve"> przepisami prawa</w:t>
      </w:r>
      <w:r w:rsidR="00FB6C5F">
        <w:t xml:space="preserve"> podatkowego</w:t>
      </w:r>
      <w:r w:rsidR="00884B7F" w:rsidRPr="00884B7F">
        <w:t>, nie przysługuje prawo do obniżenia kwoty podatku należnego o kwotę podatku naliczoneg</w:t>
      </w:r>
      <w:r w:rsidR="00AD19E5">
        <w:t>o lub ubiegania się o zwrot VAT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79A8670E" w14:textId="77777777" w:rsidR="002233CC" w:rsidRPr="00773779" w:rsidRDefault="002233C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t>z</w:t>
      </w:r>
      <w:r w:rsidR="004C1ACE">
        <w:t> </w:t>
      </w:r>
      <w:r>
        <w:t>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14:paraId="4C868CD4" w14:textId="77777777" w:rsidR="006C3509" w:rsidRPr="0077377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 xml:space="preserve">w odniesieniu do realizowanej operacji, nie </w:t>
      </w:r>
      <w:r w:rsidRPr="00773779">
        <w:lastRenderedPageBreak/>
        <w:t>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>eneficjent został wezwany do usunięcia braków w tym wniosku lub złożenia wyjaśnień, nie później niż w</w:t>
      </w:r>
      <w:r w:rsidR="004C1ACE">
        <w:t> </w:t>
      </w:r>
      <w:r w:rsidR="007C169B">
        <w:t>terminie 14 dni od dnia doręczenia tego wezwania</w:t>
      </w:r>
      <w:r w:rsidR="003E3826">
        <w:t>;</w:t>
      </w:r>
    </w:p>
    <w:p w14:paraId="60D58DE2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o</w:t>
      </w:r>
      <w:r w:rsidR="004C1ACE">
        <w:t> </w:t>
      </w:r>
      <w:r w:rsidR="00A12133">
        <w:t>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7BB11461" w14:textId="77777777" w:rsidR="00982987" w:rsidRDefault="00982987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5367C20D" w14:textId="77777777" w:rsidR="0030777D" w:rsidRDefault="00A1213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>, z wyjątkiem</w:t>
      </w:r>
      <w:r w:rsidR="0030777D">
        <w:t>:</w:t>
      </w:r>
    </w:p>
    <w:p w14:paraId="4E8C4D74" w14:textId="00D6FAC2" w:rsidR="00A12133" w:rsidRDefault="00A12133" w:rsidP="00AD19E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</w:pPr>
      <w:r>
        <w:t xml:space="preserve">współfinansowania tej operacji ze środków, o których mowa w </w:t>
      </w:r>
      <w:r w:rsidRPr="00AD19E5">
        <w:rPr>
          <w:bCs/>
        </w:rPr>
        <w:t xml:space="preserve">§ 3 pkt 3 rozporządzenia </w:t>
      </w:r>
      <w:r w:rsidR="00AD19E5" w:rsidRPr="00AD19E5">
        <w:rPr>
          <w:bCs/>
        </w:rPr>
        <w:t xml:space="preserve">       </w:t>
      </w:r>
      <w:r w:rsidRPr="00AD19E5">
        <w:rPr>
          <w:bCs/>
        </w:rPr>
        <w:t>w sprawie Priorytetu 4</w:t>
      </w:r>
      <w:r w:rsidR="002F7A9F">
        <w:t>;</w:t>
      </w:r>
    </w:p>
    <w:p w14:paraId="525E84D8" w14:textId="7A15E1E6" w:rsidR="004C3E13" w:rsidRDefault="004C3E13" w:rsidP="004C3E1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</w:pPr>
      <w:r w:rsidRPr="004C3E13">
        <w:t>dokonania odpisów amortyzacyjnych na podstawie obowiązujących przepisów prawa podatkowego od części kosztów kwalifikowa</w:t>
      </w:r>
      <w:r w:rsidR="003C49E9">
        <w:t>l</w:t>
      </w:r>
      <w:r w:rsidRPr="004C3E13">
        <w:t>nych operacji, w zakresie nieobjętym pomocą finansową, o której mowa w § 4 ust. 1.</w:t>
      </w:r>
    </w:p>
    <w:p w14:paraId="0E27EF25" w14:textId="77777777" w:rsidR="002C684C" w:rsidRDefault="002C684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14:paraId="2D0E2014" w14:textId="77777777" w:rsidR="002C684C" w:rsidRDefault="00FE723D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</w:t>
      </w:r>
      <w:r w:rsidR="004C1ACE">
        <w:t> </w:t>
      </w:r>
      <w:r w:rsidR="00A4759F">
        <w:t>4</w:t>
      </w:r>
      <w:r w:rsidR="002C684C">
        <w:t>,</w:t>
      </w:r>
    </w:p>
    <w:p w14:paraId="11F17D9A" w14:textId="77777777" w:rsidR="002C684C" w:rsidRPr="00773779" w:rsidRDefault="00D11C24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14:paraId="786C4AB8" w14:textId="77777777" w:rsidR="00F7680C" w:rsidRDefault="00E963FD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14:paraId="6D7B6383" w14:textId="5024ED71" w:rsidR="00F7680C" w:rsidRDefault="008D30A9" w:rsidP="008B382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</w:t>
      </w:r>
      <w:r w:rsidR="008B382F" w:rsidRPr="008B382F">
        <w:t xml:space="preserve"> w tym również dla wydatków tylko częściowo odnoszących się do współfinansowanych operacji oraz określonych rodzajów wydatków, które mogą być uznane za kwalifikowalne jedynie do pewnych limitów lub w proporcji do poniesionych kosztów, tak aby możliwa była identyfikacja poszczególnych operacji</w:t>
      </w:r>
      <w:r w:rsidR="008B382F">
        <w:t xml:space="preserve">. </w:t>
      </w:r>
    </w:p>
    <w:p w14:paraId="31A57D5F" w14:textId="77777777" w:rsidR="006C3509" w:rsidRPr="00773779" w:rsidRDefault="00B83F00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 xml:space="preserve">w trakcie realizacji operacji i </w:t>
      </w:r>
      <w:r w:rsidR="006C3509" w:rsidRPr="00773779">
        <w:t>przez 5 lat od dnia dokonania przez Agencję płatności końcowej:</w:t>
      </w:r>
    </w:p>
    <w:p w14:paraId="34C764D4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14:paraId="6073DF26" w14:textId="77777777" w:rsidR="001B1EAD" w:rsidRDefault="00CB7657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14:paraId="58448F3E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14:paraId="59382094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14:paraId="5946AC8C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14:paraId="07566E73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6460F1">
        <w:t>w </w:t>
      </w:r>
      <w:r w:rsidRPr="00773779">
        <w:t xml:space="preserve">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6460F1">
        <w:t>w </w:t>
      </w:r>
      <w:r w:rsidRPr="00773779">
        <w:t>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6460F1">
        <w:t>o </w:t>
      </w:r>
      <w:r w:rsidR="00AC2965">
        <w:t>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14:paraId="19D7E15C" w14:textId="77777777" w:rsidR="002A69FB" w:rsidRDefault="006A702E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14:paraId="09ED4704" w14:textId="77777777" w:rsidR="00436E5E" w:rsidRPr="00DD48CC" w:rsidRDefault="00C534F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14:paraId="6ECA0798" w14:textId="77777777" w:rsidR="006C3509" w:rsidRPr="00737846" w:rsidRDefault="00EE0E9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lastRenderedPageBreak/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D071F">
        <w:t xml:space="preserve"> wraz z aktualnymi dokumentami potwierdzającymi</w:t>
      </w:r>
      <w:r w:rsidR="006D071F" w:rsidRPr="006D071F">
        <w:t xml:space="preserve"> osiągnięcie wskaźnik</w:t>
      </w:r>
      <w:r w:rsidR="006D071F">
        <w:t>a, o którym mowa w § 3 ust. 3</w:t>
      </w:r>
      <w:r w:rsidR="006C3509" w:rsidRPr="00737846">
        <w:t>;</w:t>
      </w:r>
    </w:p>
    <w:p w14:paraId="57923353" w14:textId="77777777" w:rsidR="00EE1421" w:rsidRPr="00737846" w:rsidRDefault="00EE1421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>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</w:t>
      </w:r>
      <w:r w:rsidR="006460F1">
        <w:t>kiego i Rady (UE) nr 508/2014 w </w:t>
      </w:r>
      <w:r w:rsidRPr="00737846">
        <w:t>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14:paraId="1EC7E094" w14:textId="77777777" w:rsidR="00F57D89" w:rsidRPr="00737846" w:rsidRDefault="00E85B26" w:rsidP="00891B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891BDE">
        <w:t>w </w:t>
      </w:r>
      <w:r w:rsidR="00F02189" w:rsidRPr="0061425F">
        <w:t>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14:paraId="74FF570B" w14:textId="77777777"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14:paraId="02BB3391" w14:textId="77777777" w:rsidR="006C3509" w:rsidRPr="00737846" w:rsidRDefault="00891BDE" w:rsidP="00891BDE">
      <w:pPr>
        <w:pStyle w:val="Akapitzlist1"/>
        <w:spacing w:line="360" w:lineRule="auto"/>
        <w:ind w:left="426" w:hanging="426"/>
        <w:jc w:val="both"/>
      </w:pPr>
      <w:r>
        <w:t>1)</w:t>
      </w:r>
      <w:r>
        <w:tab/>
      </w:r>
      <w:r w:rsidR="006C3509" w:rsidRPr="00737846">
        <w:t>przeniesienie posiadania rzeczy nabytych w ramach realizacji operacji;</w:t>
      </w:r>
    </w:p>
    <w:p w14:paraId="62B5EACF" w14:textId="77777777" w:rsidR="006C3509" w:rsidRPr="00737846" w:rsidRDefault="004F7877" w:rsidP="00891BDE">
      <w:pPr>
        <w:pStyle w:val="Akapitzlist1"/>
        <w:spacing w:line="360" w:lineRule="auto"/>
        <w:ind w:left="426" w:hanging="426"/>
        <w:jc w:val="both"/>
      </w:pPr>
      <w:r>
        <w:t>2)</w:t>
      </w:r>
      <w:r w:rsidR="00891BDE">
        <w:tab/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14:paraId="77FDFCB0" w14:textId="77777777"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14:paraId="65D3D596" w14:textId="77777777"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>działań informacyjnych, szkoleniowych i</w:t>
      </w:r>
      <w:r w:rsidR="004C1ACE">
        <w:t> </w:t>
      </w:r>
      <w:r w:rsidR="00143D5F" w:rsidRPr="00143D5F">
        <w:t>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14:paraId="0AB5B9D5" w14:textId="77777777"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154685">
        <w:t>14</w:t>
      </w:r>
      <w:r w:rsidR="004C1ACE">
        <w:t> </w:t>
      </w:r>
      <w:r w:rsidR="006C3509" w:rsidRPr="00773779">
        <w:t xml:space="preserve">dni przed planowanym rozpoczęciem tych szkoleń, seminariów, targów, wystaw tematycznych, kampanii informacyjnych lub kampanii promocyjnych. Zmiana harmonogramu nie wymaga zmiany umowy. </w:t>
      </w:r>
    </w:p>
    <w:p w14:paraId="78A6C7CA" w14:textId="77777777"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>Beneficjent nie może dokonać przelewu wierzytelności wynikających z tytułu realizacji niniejszej umowy.</w:t>
      </w:r>
    </w:p>
    <w:p w14:paraId="314B7F0E" w14:textId="77777777" w:rsidR="00353133" w:rsidRPr="00891BDE" w:rsidRDefault="00353133" w:rsidP="00891BD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855FA81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14:paraId="5577E61A" w14:textId="77777777"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14:paraId="73C358F8" w14:textId="77777777" w:rsidR="00646192" w:rsidRP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14:paraId="28392705" w14:textId="77777777" w:rsid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14:paraId="339AA749" w14:textId="77777777"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14:paraId="4F106566" w14:textId="77777777"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14:paraId="430ED7A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1. Beneficjent zobowiązuje się do realizacji operacji zgodnie z przepisami o zamówieniach publicznych, w przypadku gdy przepisy te mają zastosowanie.</w:t>
      </w:r>
    </w:p>
    <w:p w14:paraId="2B738366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</w:t>
      </w:r>
      <w:r w:rsidR="004C1ACE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udzielenie zamówienia publicznego:</w:t>
      </w:r>
    </w:p>
    <w:p w14:paraId="0984AB36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41A8F136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093A801C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 xml:space="preserve">nie później niż w dniu złożenia wniosku o płatność, w którym zostały ujęte poniesione wydatki wynikające z przeprowadzonego postępowania o udzielenie zamówienia </w:t>
      </w:r>
      <w:r w:rsidRPr="0061425F">
        <w:rPr>
          <w:rFonts w:ascii="Times New Roman" w:hAnsi="Times New Roman" w:cs="Times New Roman"/>
          <w:szCs w:val="24"/>
        </w:rPr>
        <w:lastRenderedPageBreak/>
        <w:t>publicznego, w przypadku gdy umowa z wykonawcą została zawarta w terminie krótszym niż 30 dni przed upływem terminu złożenia tego wniosku o płatność.</w:t>
      </w:r>
    </w:p>
    <w:p w14:paraId="24515D5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3. Beneficjent przedkłada Zarządowi Województwa dokumentację, o której mowa w ust. 2,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formie kopii potwierdzonych za zgodność z oryginałem przez osobę pełniącą funkcję kierownika zamawiającego lub osobę upoważnioną przez zamawiającego.</w:t>
      </w:r>
    </w:p>
    <w:p w14:paraId="6076515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361B0059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44E92156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3EB0B343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1BD9F512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4)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wyjaśnieniami dotyczącymi Specyfikacji Warunków Zamówienia, jeżeli miały miejsce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danym postępowaniu;</w:t>
      </w:r>
    </w:p>
    <w:p w14:paraId="139B8451" w14:textId="77777777" w:rsidR="001B2B39" w:rsidRPr="001B2B39" w:rsidRDefault="001B2B39" w:rsidP="00891BDE">
      <w:pPr>
        <w:pStyle w:val="PKTpunkt"/>
        <w:ind w:left="426" w:hanging="426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>5)</w:t>
      </w:r>
      <w:r w:rsidRPr="001B2B39">
        <w:rPr>
          <w:rFonts w:ascii="Times New Roman" w:hAnsi="Times New Roman" w:cs="Times New Roman"/>
          <w:szCs w:val="24"/>
        </w:rPr>
        <w:tab/>
        <w:t>upoważnienie do potwierdzenia za zgodność z oryginałem dokumentacji z</w:t>
      </w:r>
      <w:r w:rsidR="004C1ACE">
        <w:rPr>
          <w:rFonts w:ascii="Times New Roman" w:hAnsi="Times New Roman" w:cs="Times New Roman"/>
          <w:szCs w:val="24"/>
        </w:rPr>
        <w:t> </w:t>
      </w:r>
      <w:r w:rsidRPr="001B2B39">
        <w:rPr>
          <w:rFonts w:ascii="Times New Roman" w:hAnsi="Times New Roman" w:cs="Times New Roman"/>
          <w:szCs w:val="24"/>
        </w:rPr>
        <w:t>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502FC38F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14:paraId="536E1E43" w14:textId="3293EAC3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B045F1">
        <w:rPr>
          <w:rFonts w:ascii="Times New Roman" w:hAnsi="Times New Roman" w:cs="Times New Roman"/>
          <w:szCs w:val="24"/>
        </w:rPr>
        <w:t>23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B045F1">
        <w:rPr>
          <w:rFonts w:ascii="Times New Roman" w:hAnsi="Times New Roman" w:cs="Times New Roman"/>
          <w:szCs w:val="24"/>
        </w:rPr>
        <w:t>1605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</w:t>
      </w:r>
      <w:r w:rsidR="004C1ACE">
        <w:rPr>
          <w:rFonts w:ascii="Times New Roman" w:eastAsia="Times New Roman" w:hAnsi="Times New Roman"/>
          <w:bCs w:val="0"/>
        </w:rPr>
        <w:t> </w:t>
      </w:r>
      <w:r w:rsidR="00DC193A" w:rsidRPr="00DC193A">
        <w:rPr>
          <w:rFonts w:ascii="Times New Roman" w:eastAsia="Times New Roman" w:hAnsi="Times New Roman"/>
          <w:bCs w:val="0"/>
        </w:rPr>
        <w:t>szczególności</w:t>
      </w:r>
      <w:r w:rsidRPr="001B2B39">
        <w:rPr>
          <w:rFonts w:ascii="Times New Roman" w:hAnsi="Times New Roman" w:cs="Times New Roman"/>
          <w:szCs w:val="24"/>
        </w:rPr>
        <w:t>:</w:t>
      </w:r>
      <w:r w:rsidR="004C1ACE">
        <w:rPr>
          <w:rFonts w:ascii="Times New Roman" w:hAnsi="Times New Roman" w:cs="Times New Roman"/>
          <w:szCs w:val="24"/>
        </w:rPr>
        <w:t xml:space="preserve"> </w:t>
      </w:r>
    </w:p>
    <w:p w14:paraId="428BDDF6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 w:rsidR="001B2B39" w:rsidRPr="0061425F">
        <w:rPr>
          <w:rFonts w:ascii="Times New Roman" w:hAnsi="Times New Roman" w:cs="Times New Roman"/>
          <w:szCs w:val="24"/>
        </w:rPr>
        <w:tab/>
        <w:t>protokołów z kolejno unieważnionych postępowań, zawierających podstawę prawną i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 xml:space="preserve">odpowiednie uzasadnienie faktyczne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w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>postępowaniu;</w:t>
      </w:r>
    </w:p>
    <w:p w14:paraId="0ACEF63F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 w:rsidR="001B2B39"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</w:t>
      </w:r>
      <w:r w:rsidR="001B2B39" w:rsidRPr="0061425F">
        <w:rPr>
          <w:rFonts w:ascii="Times New Roman" w:hAnsi="Times New Roman" w:cs="Times New Roman"/>
          <w:szCs w:val="24"/>
        </w:rPr>
        <w:lastRenderedPageBreak/>
        <w:t>odrzucenie wszystkich złożonych ofert, ze względu na ich niezgodność z opisem przedmiotu zamówienia.</w:t>
      </w:r>
    </w:p>
    <w:p w14:paraId="40C97420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 dokona oceny postępowania o udzielenie zamówienia publicznego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 xml:space="preserve">terminie 60 dni roboczych od dnia złożenia dokumentacji, o której mowa w ust. 4 lub 6. </w:t>
      </w:r>
    </w:p>
    <w:p w14:paraId="0B78D408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8. W przypadku gdy złożona dokumentacja, o której mowa w ust. 4 lub 6, zawiera braki, Zarząd Województwa wzywa Beneficjenta w formie pisemnej do ich usunięcia w terminie 7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dni od dnia doręczenia wezwania.</w:t>
      </w:r>
    </w:p>
    <w:p w14:paraId="356AF9AB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14:paraId="63F8E8E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14:paraId="5F0B4F83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11. Jeżeli Beneficjent nie złożył wymaganych dokumentów w terminie, o którym mowa w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ust. 8, lub nie złożył wyjaśnień w terminie określonym w ust. 9, Zarząd Województwa dokonuje oceny postępowania o udzielenie zamówienia publicznego w oparciu o posiadane dokumenty.</w:t>
      </w:r>
    </w:p>
    <w:p w14:paraId="4FF648E1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14:paraId="3656B5FB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14:paraId="37903AA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Ponowna ocena przeprowadzonego postępowania o udzielenie zamówienia publicznego, o której mowa w ust. 13, jest ostateczna.</w:t>
      </w:r>
    </w:p>
    <w:p w14:paraId="3326AB54" w14:textId="22B43C78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A838F7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A838F7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A838F7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</w:t>
      </w:r>
      <w:r w:rsidR="00B045F1" w:rsidRPr="00B045F1">
        <w:t xml:space="preserve"> </w:t>
      </w:r>
      <w:r w:rsidR="00B045F1" w:rsidRPr="00B045F1">
        <w:rPr>
          <w:rFonts w:ascii="Times New Roman" w:hAnsi="Times New Roman" w:cs="Times New Roman"/>
          <w:szCs w:val="24"/>
        </w:rPr>
        <w:t>ustanawiająca wytyczne dotyczące określania korekt finansowych w odniesieniu do wydatków finansowanych przez Unię w przypadku nieprzestrzegania obowiązujących przepisów dotyczących zamówień publicznych</w:t>
      </w:r>
      <w:r w:rsidRPr="0061425F">
        <w:rPr>
          <w:rFonts w:ascii="Times New Roman" w:hAnsi="Times New Roman" w:cs="Times New Roman"/>
          <w:szCs w:val="24"/>
        </w:rPr>
        <w:t>.</w:t>
      </w:r>
    </w:p>
    <w:p w14:paraId="6D8771C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023FAD2" w14:textId="77777777"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14:paraId="7F59E795" w14:textId="77777777"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>w siedzibie Instytucji Pośredniczącej albo jednostce samorządowej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14:paraId="37164028" w14:textId="77777777" w:rsidR="006C3509" w:rsidRPr="00737846" w:rsidRDefault="00401FFE" w:rsidP="00891BD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14:paraId="6BA81E83" w14:textId="77777777"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14:paraId="2BA77B95" w14:textId="77777777"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14:paraId="533CBD7F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14:paraId="5C3E9E15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14:paraId="69436983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14:paraId="5A33B748" w14:textId="77777777" w:rsidR="006C3509" w:rsidRPr="00737846" w:rsidRDefault="006C3509" w:rsidP="00891B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737846">
        <w:t>……</w:t>
      </w:r>
    </w:p>
    <w:p w14:paraId="0D0B2631" w14:textId="77777777"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14:paraId="7FC4E1E4" w14:textId="77777777"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14:paraId="3F1ADB98" w14:textId="77777777"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14:paraId="04672220" w14:textId="77777777"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14:paraId="0394D92E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>2. Wysokość pomocy finansowej wypłaconej Beneficjentowi nie może przekroczyć kwoty, o</w:t>
      </w:r>
      <w:r w:rsidR="001250AF">
        <w:t> </w:t>
      </w:r>
      <w:r w:rsidRPr="00B02388">
        <w:t>której mowa w § 4 ust. 1.</w:t>
      </w:r>
    </w:p>
    <w:p w14:paraId="005C6BFE" w14:textId="77777777"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14:paraId="74A79E2D" w14:textId="77777777"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>W przypadku gdy wartości kosztów kwalifikowalnych wpisane we wniosku o płatność w</w:t>
      </w:r>
      <w:r w:rsidR="001250AF">
        <w:rPr>
          <w:bCs/>
        </w:rPr>
        <w:t> </w:t>
      </w:r>
      <w:r w:rsidRPr="006A7262">
        <w:rPr>
          <w:bCs/>
        </w:rPr>
        <w:t xml:space="preserve">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 xml:space="preserve">operacji lub jej etapu </w:t>
      </w:r>
      <w:r w:rsidRPr="006A7262">
        <w:rPr>
          <w:bCs/>
        </w:rPr>
        <w:lastRenderedPageBreak/>
        <w:t>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14:paraId="5D6C1950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w wysokości faktycznie poniesionej, pod warunkiem, że są one uzasadnione </w:t>
      </w:r>
      <w:r w:rsidR="001250AF">
        <w:t>i racjonalne oraz nie </w:t>
      </w:r>
      <w:r w:rsidRPr="00B02388">
        <w:t xml:space="preserve">doprowadzi to do wypłaty pomocy finansowej w wysokości wyższej niż określona w </w:t>
      </w:r>
      <w:r w:rsidR="00A17025">
        <w:t>§ 4 ust. 1.</w:t>
      </w:r>
    </w:p>
    <w:p w14:paraId="1713E8C2" w14:textId="77777777" w:rsidR="008D19B3" w:rsidRPr="00FD50DC" w:rsidRDefault="008D19B3" w:rsidP="008D19B3">
      <w:pPr>
        <w:autoSpaceDE w:val="0"/>
        <w:autoSpaceDN w:val="0"/>
        <w:adjustRightInd w:val="0"/>
        <w:spacing w:line="360" w:lineRule="auto"/>
        <w:jc w:val="both"/>
      </w:pPr>
      <w:r>
        <w:t xml:space="preserve">6. </w:t>
      </w:r>
      <w:r w:rsidRPr="00B15B83">
        <w:t xml:space="preserve">W przypadku gdy Beneficjent nie spełnił któregokolwiek z warunków, </w:t>
      </w:r>
      <w:r w:rsidR="001250AF">
        <w:t>o których mowa w </w:t>
      </w:r>
      <w:r w:rsidRPr="00B15B83">
        <w:t>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 xml:space="preserve">, a gdy Beneficjent został wezwany do usunięcia braków w tym wniosku lub złożenia wyjaśnień, nie później niż w terminie 14 dni od dnia doręczenia tego </w:t>
      </w:r>
      <w:r w:rsidR="0034342A" w:rsidRPr="00FD50DC">
        <w:t>wezwania</w:t>
      </w:r>
      <w:r w:rsidRPr="00FD50DC">
        <w:t>.</w:t>
      </w:r>
    </w:p>
    <w:p w14:paraId="71D51405" w14:textId="77777777" w:rsidR="006C3509" w:rsidRPr="00891BDE" w:rsidRDefault="006C3509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66DF0D7" w14:textId="77777777"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14:paraId="12BD26AC" w14:textId="77777777"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14:paraId="7D8161A8" w14:textId="77777777" w:rsidR="006C3509" w:rsidRPr="00773779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14:paraId="678C6DAE" w14:textId="77777777" w:rsidR="006C3509" w:rsidRPr="00353133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14:paraId="11588B99" w14:textId="77777777" w:rsidR="00891BDE" w:rsidRDefault="00891BDE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CF028D4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14:paraId="745B01FD" w14:textId="77777777"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14:paraId="626830DB" w14:textId="77777777" w:rsidR="006C3509" w:rsidRPr="0077377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14:paraId="52273BC4" w14:textId="77777777" w:rsidR="006C350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1250AF">
        <w:t>z </w:t>
      </w:r>
      <w:r w:rsidRPr="00773779">
        <w:t xml:space="preserve">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14:paraId="462CB1DC" w14:textId="77777777" w:rsidR="00921833" w:rsidRDefault="00921833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odstąpienia przez Beneficjenta</w:t>
      </w:r>
      <w:r>
        <w:t xml:space="preserve"> od realizacji operacji;</w:t>
      </w:r>
    </w:p>
    <w:p w14:paraId="3BB00EBA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1250AF">
        <w:t>a </w:t>
      </w:r>
      <w:r w:rsidR="00E97F7A">
        <w:t>gdy Beneficjent został wezwany do usunięcia braków w tym wniosku lub złożenia wyjaśnień, nie później niż w terminie 14 dni od dnia doręczenia tego wezwania</w:t>
      </w:r>
      <w:r>
        <w:t>;</w:t>
      </w:r>
    </w:p>
    <w:p w14:paraId="6C31CC2F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1250AF">
        <w:t>o </w:t>
      </w:r>
      <w:r w:rsidR="00EF709E">
        <w:t>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4D732660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14:paraId="55942217" w14:textId="77777777" w:rsidR="00416997" w:rsidRDefault="00416997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w miejscu realizacji operacji;</w:t>
      </w:r>
    </w:p>
    <w:p w14:paraId="2EECB7CE" w14:textId="77777777" w:rsidR="0061742E" w:rsidRPr="00666654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14:paraId="4A541F72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>z wyjątkiem współfinansowania tej operac</w:t>
      </w:r>
      <w:r w:rsidR="00891BDE">
        <w:t>ji ze środków, o których mowa w 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14:paraId="18472871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14:paraId="7CE72A39" w14:textId="77777777"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14:paraId="4B4BCF3B" w14:textId="77777777"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1250AF">
        <w:rPr>
          <w:bCs/>
        </w:rPr>
        <w:t>o </w:t>
      </w:r>
      <w:r w:rsidR="00A8537F">
        <w:rPr>
          <w:bCs/>
        </w:rPr>
        <w:t>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14:paraId="3659F475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2DD5236" w14:textId="77777777" w:rsidR="00FD6BEC" w:rsidRDefault="00FD6BEC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E1E14C0" w14:textId="77777777" w:rsidR="00FD6BEC" w:rsidRDefault="00FD6BEC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76B8E00" w14:textId="77777777" w:rsidR="00FD6BEC" w:rsidRDefault="00FD6BEC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404072B" w14:textId="3058BD86"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14:paraId="1993CE38" w14:textId="77777777"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14:paraId="565B0CC4" w14:textId="77777777"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>
        <w:t>.</w:t>
      </w:r>
    </w:p>
    <w:p w14:paraId="7E058D8C" w14:textId="77777777"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14:paraId="3614259A" w14:textId="77777777"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14:paraId="3DF35498" w14:textId="77777777"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1250AF">
        <w:rPr>
          <w:iCs/>
        </w:rPr>
        <w:t>i </w:t>
      </w:r>
      <w:r w:rsidR="00034FCB" w:rsidRPr="00B02388">
        <w:rPr>
          <w:iCs/>
        </w:rPr>
        <w:t>spójności terytorialnej, zawartym w Programie.</w:t>
      </w:r>
    </w:p>
    <w:p w14:paraId="3B01284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6731C90" w14:textId="77777777"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14:paraId="791B81F2" w14:textId="77777777" w:rsidR="00DC0ED2" w:rsidRPr="0061425F" w:rsidRDefault="001250AF" w:rsidP="001250AF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DC0ED2" w:rsidRPr="0061425F">
        <w:t xml:space="preserve">Umowa może zostać zmieniona na wniosek każdej ze </w:t>
      </w:r>
      <w:r w:rsidR="00DC0ED2">
        <w:t>S</w:t>
      </w:r>
      <w:r w:rsidR="00DC0ED2" w:rsidRPr="0061425F">
        <w:t>tron, przy czym zmiana ta nie może powodować:</w:t>
      </w:r>
      <w:r w:rsidR="00543F56">
        <w:t xml:space="preserve"> </w:t>
      </w:r>
    </w:p>
    <w:p w14:paraId="2F55259D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14:paraId="7090C5E2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14:paraId="7D0464BC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 w:rsidR="00543F56">
        <w:t>z 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14:paraId="2C998765" w14:textId="77777777"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 w:rsidR="00543F56">
        <w:t>z </w:t>
      </w:r>
      <w:r w:rsidRPr="00CD753A">
        <w:t xml:space="preserve">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14:paraId="18EBF45A" w14:textId="77777777"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 xml:space="preserve">3. </w:t>
      </w:r>
      <w:r w:rsidR="00891BDE">
        <w:t xml:space="preserve"> </w:t>
      </w:r>
      <w:r w:rsidRPr="0061425F">
        <w:t>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14:paraId="2F09DF30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543F56">
        <w:t>z </w:t>
      </w:r>
      <w:r w:rsidRPr="0061425F">
        <w:t>postanowieniami zawartej umowy;</w:t>
      </w:r>
    </w:p>
    <w:p w14:paraId="28C3FAA6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14:paraId="01736D5A" w14:textId="77777777" w:rsidR="00DC0ED2" w:rsidRPr="0061425F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891BDE">
        <w:t xml:space="preserve">  </w:t>
      </w:r>
      <w:r w:rsidR="00DC0ED2"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14:paraId="4436CE44" w14:textId="77777777" w:rsidR="00DC0ED2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5.</w:t>
      </w:r>
      <w:r w:rsidR="00891BDE">
        <w:t xml:space="preserve"> </w:t>
      </w:r>
      <w:r w:rsidR="00DC0ED2" w:rsidRPr="0061425F">
        <w:t xml:space="preserve">Zawarcie aneksu do umowy w wyniku pozytywnego rozpatrzenia wniosku o zmianę umowy nie wymaga osobistego stawiennictwa Beneficjenta w </w:t>
      </w:r>
      <w:r w:rsidR="00DC0ED2">
        <w:t>siedzibie Instytucji Pośredniczącej albo w jednostce samorządowej</w:t>
      </w:r>
      <w:r w:rsidR="00DC0ED2" w:rsidRPr="0061425F">
        <w:t xml:space="preserve"> i może zostać dokonane poprzez korespondencyjny obieg dokumentów.</w:t>
      </w:r>
    </w:p>
    <w:p w14:paraId="0593E5DE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5E6287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14:paraId="39AAA376" w14:textId="77777777" w:rsidR="006C3509" w:rsidRPr="00773779" w:rsidRDefault="00891BDE" w:rsidP="00891BDE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6C3509" w:rsidRPr="00773779">
        <w:t>Zabezpieczeniem należytego wykonania przez Beneficjenta zobowiązań określonych w umowie</w:t>
      </w:r>
      <w:r w:rsidR="006C3509" w:rsidRPr="00773779">
        <w:rPr>
          <w:rStyle w:val="Odwoanieprzypisudolnego"/>
        </w:rPr>
        <w:footnoteReference w:id="17"/>
      </w:r>
      <w:r w:rsidR="006C3509" w:rsidRPr="00773779">
        <w:rPr>
          <w:rStyle w:val="Odwoanieprzypisudolnego"/>
        </w:rPr>
        <w:t>)</w:t>
      </w:r>
      <w:r w:rsidR="006C3509"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="006C3509"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="006C3509" w:rsidRPr="00773779">
        <w:t xml:space="preserve"> i złożony </w:t>
      </w:r>
      <w:r w:rsidR="00DC0ED2">
        <w:t>w siedzibie Instytucji Pośredniczącej albo w samorządowej jednostce</w:t>
      </w:r>
      <w:r w:rsidR="00543F56">
        <w:t xml:space="preserve"> w </w:t>
      </w:r>
      <w:r w:rsidR="006C3509" w:rsidRPr="00773779">
        <w:t>dniu zawarcia umowy.</w:t>
      </w:r>
    </w:p>
    <w:p w14:paraId="624DBDFB" w14:textId="77777777"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543F56">
        <w:t>w </w:t>
      </w:r>
      <w:r w:rsidR="006C3509" w:rsidRPr="00773779">
        <w:t>ust. 1:</w:t>
      </w:r>
    </w:p>
    <w:p w14:paraId="5B7E3766" w14:textId="77777777" w:rsidR="006C3509" w:rsidRPr="00773779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 upływie 5 lat od dnia dokonania płatności końcowej przez Agencję;</w:t>
      </w:r>
    </w:p>
    <w:p w14:paraId="14202F81" w14:textId="77777777" w:rsidR="00DC0ED2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w przypadku</w:t>
      </w:r>
      <w:r w:rsidR="00DC0ED2">
        <w:t>:</w:t>
      </w:r>
    </w:p>
    <w:p w14:paraId="31CB2D79" w14:textId="77777777" w:rsidR="006C3509" w:rsidRPr="0077377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wypowiedzenia umowy;</w:t>
      </w:r>
    </w:p>
    <w:p w14:paraId="5A9C4AFB" w14:textId="77777777" w:rsidR="006C350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14:paraId="38F558B9" w14:textId="77777777" w:rsidR="00AB6A3F" w:rsidRDefault="00AB6A3F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>
        <w:t>rozliczenia zaliczki;</w:t>
      </w:r>
    </w:p>
    <w:p w14:paraId="37598D5F" w14:textId="77777777" w:rsidR="00DC0ED2" w:rsidRPr="00773779" w:rsidRDefault="00DC0ED2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61425F">
        <w:lastRenderedPageBreak/>
        <w:t>zwrotu przez Beneficjenta całości otrzymanej pomocy</w:t>
      </w:r>
      <w:r>
        <w:t xml:space="preserve"> finansowej</w:t>
      </w:r>
      <w:r w:rsidRPr="0061425F">
        <w:t xml:space="preserve"> wraz z należnymi odsetkami, zgodnie z postanowieniami § </w:t>
      </w:r>
      <w:r w:rsidR="00730A45">
        <w:t>1</w:t>
      </w:r>
      <w:r w:rsidR="008D492C">
        <w:t>3</w:t>
      </w:r>
      <w:r>
        <w:t>.</w:t>
      </w:r>
    </w:p>
    <w:p w14:paraId="01913907" w14:textId="77777777" w:rsidR="007D6234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14:paraId="3B4567E8" w14:textId="77777777" w:rsidR="007D6234" w:rsidRDefault="00891BDE" w:rsidP="00D53AFF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7D6234"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 w:rsidR="007D6234">
        <w:t>.</w:t>
      </w:r>
      <w:r>
        <w:t xml:space="preserve"> </w:t>
      </w:r>
    </w:p>
    <w:p w14:paraId="70B0091E" w14:textId="77777777" w:rsidR="007D6234" w:rsidRPr="00891BDE" w:rsidRDefault="007D6234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C5AC766" w14:textId="77777777"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14:paraId="31A06581" w14:textId="77777777"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14:paraId="7162CA58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14:paraId="75F992EB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Beneficjenta na adres: ……………………………….....................</w:t>
      </w:r>
      <w:r w:rsidR="00891BDE">
        <w:t>......................</w:t>
      </w:r>
      <w:r w:rsidRPr="0061425F">
        <w:t>................</w:t>
      </w:r>
      <w:r w:rsidR="00891BDE">
        <w:t xml:space="preserve"> </w:t>
      </w:r>
      <w:r w:rsidRPr="0061425F">
        <w:t>……………………………………………………………………………………………</w:t>
      </w:r>
      <w:r w:rsidR="00891BDE">
        <w:t xml:space="preserve">… </w:t>
      </w:r>
    </w:p>
    <w:p w14:paraId="02863271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Zarząd Województwa na adres: …………………………………………</w:t>
      </w:r>
      <w:r w:rsidR="00891BDE">
        <w:t>…………</w:t>
      </w:r>
      <w:r w:rsidRPr="0061425F">
        <w:t>………</w:t>
      </w:r>
      <w:r w:rsidR="00891BDE">
        <w:t xml:space="preserve"> </w:t>
      </w:r>
      <w:r w:rsidRPr="0061425F">
        <w:t>………………………………………………………………………………</w:t>
      </w:r>
      <w:r w:rsidR="00891BDE">
        <w:t>…</w:t>
      </w:r>
      <w:r w:rsidRPr="0061425F">
        <w:t xml:space="preserve">…………… </w:t>
      </w:r>
    </w:p>
    <w:p w14:paraId="7149D045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14:paraId="37C7E240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14:paraId="0A3F937C" w14:textId="77777777"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 w:rsidR="00411D85">
        <w:t>z </w:t>
      </w:r>
      <w:r w:rsidRPr="0061425F">
        <w:t xml:space="preserve">posiadanymi przez </w:t>
      </w:r>
      <w:r w:rsidR="00416997">
        <w:t xml:space="preserve">Zarząd Województwa </w:t>
      </w:r>
      <w:r w:rsidRPr="0061425F">
        <w:t>danymi.</w:t>
      </w:r>
    </w:p>
    <w:p w14:paraId="4409B48B" w14:textId="77777777" w:rsidR="004078B0" w:rsidRPr="00773779" w:rsidRDefault="004078B0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36010B0" w14:textId="77777777"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14:paraId="576D01C2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lastRenderedPageBreak/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0BE956CE" w14:textId="77777777"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411D85">
        <w:t>w terminie o </w:t>
      </w:r>
      <w:r>
        <w:t xml:space="preserve">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11B3E2D2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3D115ECB" w14:textId="77777777"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E6E56AE" w14:textId="77777777"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A002F3F" w14:textId="77777777"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4215C28" w14:textId="77777777"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14:paraId="0ED91CF6" w14:textId="77777777"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14:paraId="3A38C636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14:paraId="2F18CBFA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6555FECC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14:paraId="2F1CD52B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14:paraId="002A8C2C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7B501446" w14:textId="77777777" w:rsidR="00FB6C5F" w:rsidRPr="0061425F" w:rsidRDefault="00FB6C5F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prawa podatkowego;</w:t>
      </w:r>
    </w:p>
    <w:p w14:paraId="4A26CCA6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14:paraId="4D85D0E6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14:paraId="21ABE42B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14:paraId="5A5D0C94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14:paraId="3EB86421" w14:textId="77777777"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14:paraId="42E62213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14:paraId="11B615D0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</w:t>
      </w:r>
      <w:r w:rsidR="00802244">
        <w:t xml:space="preserve"> warunków i sposobu wykonywania przez samorząd województwa zadań instytucji zarządzającej Programem Operacyjnym „Rybactwo i</w:t>
      </w:r>
      <w:r w:rsidR="00411D85">
        <w:t> </w:t>
      </w:r>
      <w:r w:rsidR="00802244">
        <w:t>Morze” oraz warunków finansowania samorządu województwa w związku z</w:t>
      </w:r>
      <w:r w:rsidR="00411D85">
        <w:t> </w:t>
      </w:r>
      <w:r w:rsidR="00802244">
        <w:t>wykonywaniem tych zadań</w:t>
      </w:r>
      <w:r w:rsidR="008D492C">
        <w:t>.</w:t>
      </w:r>
    </w:p>
    <w:p w14:paraId="116F770D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EC2CC15" w14:textId="77777777" w:rsidR="00FD6BEC" w:rsidRDefault="00FD6BEC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6063F4E" w14:textId="77777777" w:rsidR="00FD6BEC" w:rsidRDefault="00FD6BEC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C36E0D2" w14:textId="082D1EE0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lastRenderedPageBreak/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14:paraId="605BD3D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14:paraId="3DDAF38A" w14:textId="77777777"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14:paraId="13BDC875" w14:textId="77777777"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14:paraId="72BFE361" w14:textId="77777777"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14:paraId="4682E6E4" w14:textId="77777777"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>działań informacyjnych, szkoleniowych i</w:t>
      </w:r>
      <w:r w:rsidR="00257AA3">
        <w:t xml:space="preserve"> </w:t>
      </w:r>
      <w:r w:rsidR="008D492C" w:rsidRPr="00257AA3">
        <w:t>promocyjnych.</w:t>
      </w:r>
    </w:p>
    <w:p w14:paraId="26E08CF9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F8D05A0" w14:textId="77777777"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01D8472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14:paraId="776EE187" w14:textId="77777777"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14:paraId="73CEE942" w14:textId="77777777"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63D7747F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B9D1F26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5C0EE0A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578CB6D" w14:textId="77777777"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620ED9D" w14:textId="77777777"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14:paraId="784871C7" w14:textId="77777777"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 w:rsidSect="006B02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9DBE3" w14:textId="77777777" w:rsidR="00137AA2" w:rsidRDefault="00137AA2">
      <w:r>
        <w:separator/>
      </w:r>
    </w:p>
  </w:endnote>
  <w:endnote w:type="continuationSeparator" w:id="0">
    <w:p w14:paraId="50A19F9B" w14:textId="77777777" w:rsidR="00137AA2" w:rsidRDefault="0013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9863" w14:textId="77777777" w:rsidR="001C6C97" w:rsidRDefault="001C6C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4115C" w14:textId="0B162EE1" w:rsidR="00874639" w:rsidRDefault="00874639">
    <w:pPr>
      <w:pStyle w:val="Stopka"/>
      <w:jc w:val="right"/>
    </w:pPr>
    <w:r>
      <w:t xml:space="preserve">Strona </w:t>
    </w:r>
    <w:r w:rsidR="00345109">
      <w:rPr>
        <w:b/>
      </w:rPr>
      <w:fldChar w:fldCharType="begin"/>
    </w:r>
    <w:r>
      <w:rPr>
        <w:b/>
      </w:rPr>
      <w:instrText>PAGE</w:instrText>
    </w:r>
    <w:r w:rsidR="00345109">
      <w:rPr>
        <w:b/>
      </w:rPr>
      <w:fldChar w:fldCharType="separate"/>
    </w:r>
    <w:r w:rsidR="009629B6">
      <w:rPr>
        <w:b/>
        <w:noProof/>
      </w:rPr>
      <w:t>1</w:t>
    </w:r>
    <w:r w:rsidR="00345109">
      <w:rPr>
        <w:b/>
      </w:rPr>
      <w:fldChar w:fldCharType="end"/>
    </w:r>
    <w:r>
      <w:t xml:space="preserve"> z </w:t>
    </w:r>
    <w:r w:rsidR="00345109">
      <w:rPr>
        <w:b/>
      </w:rPr>
      <w:fldChar w:fldCharType="begin"/>
    </w:r>
    <w:r>
      <w:rPr>
        <w:b/>
      </w:rPr>
      <w:instrText>NUMPAGES</w:instrText>
    </w:r>
    <w:r w:rsidR="00345109">
      <w:rPr>
        <w:b/>
      </w:rPr>
      <w:fldChar w:fldCharType="separate"/>
    </w:r>
    <w:r w:rsidR="009629B6">
      <w:rPr>
        <w:b/>
        <w:noProof/>
      </w:rPr>
      <w:t>23</w:t>
    </w:r>
    <w:r w:rsidR="00345109">
      <w:rPr>
        <w:b/>
      </w:rPr>
      <w:fldChar w:fldCharType="end"/>
    </w:r>
  </w:p>
  <w:p w14:paraId="2F5AC699" w14:textId="77777777" w:rsidR="00874639" w:rsidRDefault="008746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41E8" w14:textId="77777777" w:rsidR="001C6C97" w:rsidRDefault="001C6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0A2B6" w14:textId="77777777" w:rsidR="00137AA2" w:rsidRDefault="00137AA2">
      <w:r>
        <w:separator/>
      </w:r>
    </w:p>
  </w:footnote>
  <w:footnote w:type="continuationSeparator" w:id="0">
    <w:p w14:paraId="50E0614C" w14:textId="77777777" w:rsidR="00137AA2" w:rsidRDefault="00137AA2">
      <w:r>
        <w:continuationSeparator/>
      </w:r>
    </w:p>
  </w:footnote>
  <w:footnote w:id="1">
    <w:p w14:paraId="576C3AC0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14:paraId="6E16C3CB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14:paraId="7A624019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14:paraId="2641FAF1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7E341B">
        <w:rPr>
          <w:sz w:val="18"/>
          <w:szCs w:val="18"/>
        </w:rPr>
        <w:t>o </w:t>
      </w:r>
      <w:r w:rsidRPr="000109E2">
        <w:rPr>
          <w:sz w:val="18"/>
          <w:szCs w:val="18"/>
        </w:rPr>
        <w:t>dofinansowanie.</w:t>
      </w:r>
    </w:p>
  </w:footnote>
  <w:footnote w:id="5">
    <w:p w14:paraId="4C44ACC4" w14:textId="77777777"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14:paraId="01A4C468" w14:textId="77777777"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14:paraId="290F7E28" w14:textId="77777777"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14:paraId="52679D19" w14:textId="77777777"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14:paraId="6C02A1E2" w14:textId="77777777"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14:paraId="3C093C82" w14:textId="77777777"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14:paraId="49632629" w14:textId="77777777"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14:paraId="7BBBD20D" w14:textId="77777777"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14:paraId="6F7630C9" w14:textId="77777777"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14:paraId="243A76CC" w14:textId="77777777"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="00A838F7" w:rsidRPr="00A838F7">
        <w:rPr>
          <w:sz w:val="16"/>
          <w:szCs w:val="16"/>
        </w:rPr>
        <w:t>https://ec.europa.eu/regional_policy/sources/docgener/informat/2014/GL_corrections_pp_irregularities_PL.pdf</w:t>
      </w:r>
    </w:p>
  </w:footnote>
  <w:footnote w:id="15">
    <w:p w14:paraId="71EC399C" w14:textId="63B974A1"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</w:t>
      </w:r>
      <w:r w:rsidR="000B4C42" w:rsidRPr="000B4C42">
        <w:rPr>
          <w:sz w:val="16"/>
          <w:szCs w:val="16"/>
        </w:rPr>
        <w:t xml:space="preserve">w terminie określnym w umowie, z tym, że koszty kwalifikowalne beneficjent może ponosić nie później niż </w:t>
      </w:r>
      <w:r w:rsidRPr="00061F2C">
        <w:rPr>
          <w:sz w:val="16"/>
          <w:szCs w:val="16"/>
        </w:rPr>
        <w:t xml:space="preserve">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="002B382E">
        <w:rPr>
          <w:sz w:val="16"/>
          <w:szCs w:val="16"/>
        </w:rPr>
        <w:t xml:space="preserve"> </w:t>
      </w:r>
      <w:r w:rsidR="000B4C42">
        <w:rPr>
          <w:sz w:val="16"/>
          <w:szCs w:val="16"/>
        </w:rPr>
        <w:t xml:space="preserve">31 grudnia </w:t>
      </w:r>
      <w:r w:rsidR="002B382E" w:rsidRPr="002B382E">
        <w:rPr>
          <w:sz w:val="16"/>
          <w:szCs w:val="16"/>
        </w:rPr>
        <w:t xml:space="preserve">2023 r. </w:t>
      </w:r>
      <w:r w:rsidR="002B382E">
        <w:rPr>
          <w:sz w:val="16"/>
          <w:szCs w:val="16"/>
        </w:rPr>
        <w:t xml:space="preserve"> </w:t>
      </w:r>
    </w:p>
  </w:footnote>
  <w:footnote w:id="16">
    <w:p w14:paraId="0E6B1D25" w14:textId="77777777"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14:paraId="3E49D781" w14:textId="77777777"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14:paraId="31DD3925" w14:textId="77777777"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4633" w14:textId="77777777" w:rsidR="001C6C97" w:rsidRDefault="001C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4887" w14:textId="1B07A42D" w:rsidR="00DB3E44" w:rsidRDefault="00DB3E44" w:rsidP="00DB3E44">
    <w:pPr>
      <w:pStyle w:val="Nagwek"/>
      <w:jc w:val="right"/>
    </w:pPr>
    <w:r>
      <w:tab/>
      <w:t>Wzór umowy o dofinansowanie zatwierdzony w dniu</w:t>
    </w:r>
    <w:r w:rsidR="001C6C97">
      <w:t xml:space="preserve"> 06.10.</w:t>
    </w:r>
    <w:r w:rsidR="003D1ECF">
      <w:t>2023</w:t>
    </w:r>
    <w:r>
      <w:t xml:space="preserve">r. </w:t>
    </w:r>
  </w:p>
  <w:p w14:paraId="5C8C4C9E" w14:textId="77777777" w:rsidR="00DB3E44" w:rsidRDefault="00DB3E44" w:rsidP="00DB3E4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7931" w14:textId="77777777" w:rsidR="001C6C97" w:rsidRDefault="001C6C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B71FD0"/>
    <w:multiLevelType w:val="hybridMultilevel"/>
    <w:tmpl w:val="5BB6E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7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33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0"/>
  </w:num>
  <w:num w:numId="15">
    <w:abstractNumId w:val="11"/>
  </w:num>
  <w:num w:numId="16">
    <w:abstractNumId w:val="25"/>
  </w:num>
  <w:num w:numId="17">
    <w:abstractNumId w:val="37"/>
  </w:num>
  <w:num w:numId="18">
    <w:abstractNumId w:val="24"/>
  </w:num>
  <w:num w:numId="19">
    <w:abstractNumId w:val="22"/>
  </w:num>
  <w:num w:numId="20">
    <w:abstractNumId w:val="13"/>
  </w:num>
  <w:num w:numId="21">
    <w:abstractNumId w:val="19"/>
  </w:num>
  <w:num w:numId="22">
    <w:abstractNumId w:val="7"/>
  </w:num>
  <w:num w:numId="23">
    <w:abstractNumId w:val="23"/>
  </w:num>
  <w:num w:numId="24">
    <w:abstractNumId w:val="40"/>
  </w:num>
  <w:num w:numId="25">
    <w:abstractNumId w:val="21"/>
  </w:num>
  <w:num w:numId="26">
    <w:abstractNumId w:val="2"/>
  </w:num>
  <w:num w:numId="27">
    <w:abstractNumId w:val="9"/>
  </w:num>
  <w:num w:numId="28">
    <w:abstractNumId w:val="18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3"/>
  </w:num>
  <w:num w:numId="34">
    <w:abstractNumId w:val="8"/>
  </w:num>
  <w:num w:numId="35">
    <w:abstractNumId w:val="45"/>
  </w:num>
  <w:num w:numId="36">
    <w:abstractNumId w:val="30"/>
  </w:num>
  <w:num w:numId="37">
    <w:abstractNumId w:val="35"/>
  </w:num>
  <w:num w:numId="38">
    <w:abstractNumId w:val="12"/>
  </w:num>
  <w:num w:numId="39">
    <w:abstractNumId w:val="34"/>
  </w:num>
  <w:num w:numId="40">
    <w:abstractNumId w:val="39"/>
  </w:num>
  <w:num w:numId="41">
    <w:abstractNumId w:val="5"/>
  </w:num>
  <w:num w:numId="42">
    <w:abstractNumId w:val="38"/>
  </w:num>
  <w:num w:numId="43">
    <w:abstractNumId w:val="28"/>
  </w:num>
  <w:num w:numId="44">
    <w:abstractNumId w:val="10"/>
  </w:num>
  <w:num w:numId="45">
    <w:abstractNumId w:val="33"/>
  </w:num>
  <w:num w:numId="46">
    <w:abstractNumId w:val="41"/>
  </w:num>
  <w:num w:numId="4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07F57"/>
    <w:rsid w:val="000109E2"/>
    <w:rsid w:val="00010B08"/>
    <w:rsid w:val="00015439"/>
    <w:rsid w:val="00031266"/>
    <w:rsid w:val="00032501"/>
    <w:rsid w:val="00032A2B"/>
    <w:rsid w:val="00034FCB"/>
    <w:rsid w:val="00037B16"/>
    <w:rsid w:val="0004198E"/>
    <w:rsid w:val="00050BB3"/>
    <w:rsid w:val="00053C21"/>
    <w:rsid w:val="00054AA1"/>
    <w:rsid w:val="00055148"/>
    <w:rsid w:val="00055C30"/>
    <w:rsid w:val="00061F2C"/>
    <w:rsid w:val="00066415"/>
    <w:rsid w:val="000749E0"/>
    <w:rsid w:val="00083E6E"/>
    <w:rsid w:val="0008630C"/>
    <w:rsid w:val="00086EE9"/>
    <w:rsid w:val="000873E4"/>
    <w:rsid w:val="00091257"/>
    <w:rsid w:val="00095A61"/>
    <w:rsid w:val="000A0893"/>
    <w:rsid w:val="000A4BA8"/>
    <w:rsid w:val="000B4C42"/>
    <w:rsid w:val="000B6445"/>
    <w:rsid w:val="000C0814"/>
    <w:rsid w:val="000C29DC"/>
    <w:rsid w:val="000D2CD1"/>
    <w:rsid w:val="000E043D"/>
    <w:rsid w:val="000E3512"/>
    <w:rsid w:val="000E6515"/>
    <w:rsid w:val="0011302F"/>
    <w:rsid w:val="001250AF"/>
    <w:rsid w:val="00134802"/>
    <w:rsid w:val="001353B8"/>
    <w:rsid w:val="00137AA2"/>
    <w:rsid w:val="001414AF"/>
    <w:rsid w:val="00143D5F"/>
    <w:rsid w:val="00147254"/>
    <w:rsid w:val="00154685"/>
    <w:rsid w:val="00156D57"/>
    <w:rsid w:val="001634A7"/>
    <w:rsid w:val="00165258"/>
    <w:rsid w:val="00170BCA"/>
    <w:rsid w:val="00171331"/>
    <w:rsid w:val="001716C3"/>
    <w:rsid w:val="00173060"/>
    <w:rsid w:val="00177DF3"/>
    <w:rsid w:val="00182C99"/>
    <w:rsid w:val="00183FA9"/>
    <w:rsid w:val="001842B5"/>
    <w:rsid w:val="00185AA5"/>
    <w:rsid w:val="00187EC8"/>
    <w:rsid w:val="00194951"/>
    <w:rsid w:val="0019591A"/>
    <w:rsid w:val="00196434"/>
    <w:rsid w:val="001A130A"/>
    <w:rsid w:val="001A78F5"/>
    <w:rsid w:val="001A7DF4"/>
    <w:rsid w:val="001B1EAD"/>
    <w:rsid w:val="001B2B39"/>
    <w:rsid w:val="001C0BF3"/>
    <w:rsid w:val="001C5E5E"/>
    <w:rsid w:val="001C6C97"/>
    <w:rsid w:val="001D3AE0"/>
    <w:rsid w:val="001E12F9"/>
    <w:rsid w:val="001E1EF2"/>
    <w:rsid w:val="001F42D1"/>
    <w:rsid w:val="001F4A9F"/>
    <w:rsid w:val="001F5673"/>
    <w:rsid w:val="00202054"/>
    <w:rsid w:val="00202CAC"/>
    <w:rsid w:val="002031A7"/>
    <w:rsid w:val="00213AC7"/>
    <w:rsid w:val="00215FD5"/>
    <w:rsid w:val="002166F1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6358E"/>
    <w:rsid w:val="002750E8"/>
    <w:rsid w:val="002800CF"/>
    <w:rsid w:val="00283035"/>
    <w:rsid w:val="00286E79"/>
    <w:rsid w:val="002917F9"/>
    <w:rsid w:val="002A039C"/>
    <w:rsid w:val="002A4712"/>
    <w:rsid w:val="002A69FB"/>
    <w:rsid w:val="002B382E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0777D"/>
    <w:rsid w:val="003122B4"/>
    <w:rsid w:val="00315F3C"/>
    <w:rsid w:val="00323B48"/>
    <w:rsid w:val="00325AF0"/>
    <w:rsid w:val="00326E84"/>
    <w:rsid w:val="00337872"/>
    <w:rsid w:val="003431B7"/>
    <w:rsid w:val="0034342A"/>
    <w:rsid w:val="00343E27"/>
    <w:rsid w:val="00344D64"/>
    <w:rsid w:val="00345109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9E9"/>
    <w:rsid w:val="003C4C7A"/>
    <w:rsid w:val="003C6944"/>
    <w:rsid w:val="003C789F"/>
    <w:rsid w:val="003D1042"/>
    <w:rsid w:val="003D1953"/>
    <w:rsid w:val="003D1ECF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1D85"/>
    <w:rsid w:val="00416997"/>
    <w:rsid w:val="00423934"/>
    <w:rsid w:val="00424CBA"/>
    <w:rsid w:val="00424CDD"/>
    <w:rsid w:val="00431DB1"/>
    <w:rsid w:val="00436E5E"/>
    <w:rsid w:val="004436ED"/>
    <w:rsid w:val="0044670A"/>
    <w:rsid w:val="004561D1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02C7"/>
    <w:rsid w:val="004B2099"/>
    <w:rsid w:val="004B28F5"/>
    <w:rsid w:val="004B750C"/>
    <w:rsid w:val="004C1ACE"/>
    <w:rsid w:val="004C3E13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36087"/>
    <w:rsid w:val="0054249D"/>
    <w:rsid w:val="00543F56"/>
    <w:rsid w:val="005510DF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B3C4E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1C12"/>
    <w:rsid w:val="006139A2"/>
    <w:rsid w:val="006172C5"/>
    <w:rsid w:val="0061742E"/>
    <w:rsid w:val="00623F09"/>
    <w:rsid w:val="00632936"/>
    <w:rsid w:val="00632ABF"/>
    <w:rsid w:val="006337D2"/>
    <w:rsid w:val="006403F3"/>
    <w:rsid w:val="00640790"/>
    <w:rsid w:val="0064303E"/>
    <w:rsid w:val="006460F1"/>
    <w:rsid w:val="00646192"/>
    <w:rsid w:val="00652DDA"/>
    <w:rsid w:val="006534FC"/>
    <w:rsid w:val="00664946"/>
    <w:rsid w:val="00665375"/>
    <w:rsid w:val="006675B9"/>
    <w:rsid w:val="00670A72"/>
    <w:rsid w:val="00672881"/>
    <w:rsid w:val="0067313F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02A2"/>
    <w:rsid w:val="006B4591"/>
    <w:rsid w:val="006B4A26"/>
    <w:rsid w:val="006B516D"/>
    <w:rsid w:val="006C02D1"/>
    <w:rsid w:val="006C3509"/>
    <w:rsid w:val="006D071F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275D"/>
    <w:rsid w:val="0071364B"/>
    <w:rsid w:val="0071655F"/>
    <w:rsid w:val="007173BF"/>
    <w:rsid w:val="00717DBE"/>
    <w:rsid w:val="0072278D"/>
    <w:rsid w:val="007238E8"/>
    <w:rsid w:val="00730A45"/>
    <w:rsid w:val="00737846"/>
    <w:rsid w:val="00737BD4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E341B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391A"/>
    <w:rsid w:val="00884B7F"/>
    <w:rsid w:val="00887104"/>
    <w:rsid w:val="00891BDE"/>
    <w:rsid w:val="00892D15"/>
    <w:rsid w:val="008936B8"/>
    <w:rsid w:val="008959EC"/>
    <w:rsid w:val="00896A8D"/>
    <w:rsid w:val="008A3C95"/>
    <w:rsid w:val="008B2137"/>
    <w:rsid w:val="008B382F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42C8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29B6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0022D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065A"/>
    <w:rsid w:val="00A838F7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C3DE9"/>
    <w:rsid w:val="00AD19E5"/>
    <w:rsid w:val="00AD20B3"/>
    <w:rsid w:val="00AD4B5A"/>
    <w:rsid w:val="00AE2CA4"/>
    <w:rsid w:val="00AF0A4F"/>
    <w:rsid w:val="00B00A71"/>
    <w:rsid w:val="00B02289"/>
    <w:rsid w:val="00B045F1"/>
    <w:rsid w:val="00B05C59"/>
    <w:rsid w:val="00B22078"/>
    <w:rsid w:val="00B224F7"/>
    <w:rsid w:val="00B2365A"/>
    <w:rsid w:val="00B255E5"/>
    <w:rsid w:val="00B26FB4"/>
    <w:rsid w:val="00B30DEA"/>
    <w:rsid w:val="00B457D8"/>
    <w:rsid w:val="00B45AE6"/>
    <w:rsid w:val="00B466D2"/>
    <w:rsid w:val="00B55008"/>
    <w:rsid w:val="00B579CD"/>
    <w:rsid w:val="00B61444"/>
    <w:rsid w:val="00B6172D"/>
    <w:rsid w:val="00B63DED"/>
    <w:rsid w:val="00B674D0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C650C"/>
    <w:rsid w:val="00BD26AF"/>
    <w:rsid w:val="00BD4A61"/>
    <w:rsid w:val="00BD57E1"/>
    <w:rsid w:val="00BD7269"/>
    <w:rsid w:val="00BE0ECB"/>
    <w:rsid w:val="00BE3DAC"/>
    <w:rsid w:val="00BE40A0"/>
    <w:rsid w:val="00BE6CDB"/>
    <w:rsid w:val="00C03D81"/>
    <w:rsid w:val="00C052B4"/>
    <w:rsid w:val="00C06BBC"/>
    <w:rsid w:val="00C10966"/>
    <w:rsid w:val="00C11913"/>
    <w:rsid w:val="00C119D3"/>
    <w:rsid w:val="00C15E1F"/>
    <w:rsid w:val="00C23875"/>
    <w:rsid w:val="00C3457C"/>
    <w:rsid w:val="00C36E11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2463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C7EEF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B3E44"/>
    <w:rsid w:val="00DC0ED2"/>
    <w:rsid w:val="00DC193A"/>
    <w:rsid w:val="00DC5FF9"/>
    <w:rsid w:val="00DD0C5F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5DED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E4053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5345"/>
    <w:rsid w:val="00FB6C5F"/>
    <w:rsid w:val="00FB6E1C"/>
    <w:rsid w:val="00FC3B04"/>
    <w:rsid w:val="00FD4181"/>
    <w:rsid w:val="00FD4521"/>
    <w:rsid w:val="00FD50DC"/>
    <w:rsid w:val="00FD6BEC"/>
    <w:rsid w:val="00FE0831"/>
    <w:rsid w:val="00FE0E41"/>
    <w:rsid w:val="00FE24EF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B98B0"/>
  <w15:docId w15:val="{6A7572B3-51E9-4216-A2BB-513C53A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2A2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80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02A2"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B02A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B02A2"/>
    <w:rPr>
      <w:sz w:val="20"/>
      <w:szCs w:val="20"/>
    </w:rPr>
  </w:style>
  <w:style w:type="character" w:customStyle="1" w:styleId="NagwekZnak">
    <w:name w:val="Nagłówek Znak"/>
    <w:link w:val="Nagwek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B02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2A2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B02A2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02A2"/>
    <w:pPr>
      <w:jc w:val="both"/>
    </w:pPr>
  </w:style>
  <w:style w:type="character" w:customStyle="1" w:styleId="TematkomentarzaZnak">
    <w:name w:val="Temat komentarza Znak"/>
    <w:link w:val="Tematkomentarza"/>
    <w:semiHidden/>
    <w:locked/>
    <w:rsid w:val="006B02A2"/>
    <w:rPr>
      <w:rFonts w:ascii="Times New Roman" w:hAnsi="Times New Roman" w:cs="Times New Roman" w:hint="default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B02A2"/>
    <w:rPr>
      <w:b/>
      <w:bCs/>
    </w:rPr>
  </w:style>
  <w:style w:type="character" w:customStyle="1" w:styleId="TekstdymkaZnak">
    <w:name w:val="Tekst dymka Znak"/>
    <w:link w:val="Tekstdymka"/>
    <w:locked/>
    <w:rsid w:val="006B02A2"/>
    <w:rPr>
      <w:rFonts w:ascii="Tahoma" w:hAnsi="Tahoma" w:cs="Tahoma" w:hint="default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B02A2"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sid w:val="006B02A2"/>
    <w:rPr>
      <w:rFonts w:eastAsia="Calibri"/>
      <w:sz w:val="24"/>
      <w:szCs w:val="24"/>
    </w:rPr>
  </w:style>
  <w:style w:type="paragraph" w:customStyle="1" w:styleId="Default">
    <w:name w:val="Default"/>
    <w:rsid w:val="006B02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B02A2"/>
    <w:pPr>
      <w:ind w:left="720"/>
    </w:pPr>
  </w:style>
  <w:style w:type="character" w:styleId="Odwoanieprzypisudolnego">
    <w:name w:val="footnote reference"/>
    <w:semiHidden/>
    <w:rsid w:val="006B02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sid w:val="006B02A2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sid w:val="006B02A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80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8238-D841-4173-B6EB-286120D0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6834</Words>
  <Characters>41004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Kosiński Mariusz</cp:lastModifiedBy>
  <cp:revision>2</cp:revision>
  <cp:lastPrinted>2023-09-14T09:54:00Z</cp:lastPrinted>
  <dcterms:created xsi:type="dcterms:W3CDTF">2023-10-11T14:21:00Z</dcterms:created>
  <dcterms:modified xsi:type="dcterms:W3CDTF">2023-10-11T14:21:00Z</dcterms:modified>
</cp:coreProperties>
</file>