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D4E77" w14:textId="77777777" w:rsidR="00C64B1B" w:rsidRDefault="00C64B1B" w:rsidP="00C64B1B">
      <w:pPr>
        <w:jc w:val="cente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134"/>
        <w:gridCol w:w="4110"/>
        <w:gridCol w:w="4820"/>
        <w:gridCol w:w="4111"/>
        <w:gridCol w:w="1134"/>
      </w:tblGrid>
      <w:tr w:rsidR="00A06425" w:rsidRPr="008624A0" w14:paraId="12BEB2B1" w14:textId="77777777" w:rsidTr="000469CF">
        <w:trPr>
          <w:trHeight w:val="697"/>
        </w:trPr>
        <w:tc>
          <w:tcPr>
            <w:tcW w:w="15730" w:type="dxa"/>
            <w:gridSpan w:val="6"/>
            <w:vAlign w:val="center"/>
          </w:tcPr>
          <w:p w14:paraId="2C3FBB92" w14:textId="61DEFC2F" w:rsidR="00A06425" w:rsidRPr="008624A0" w:rsidRDefault="07CDAA3C" w:rsidP="07CDAA3C">
            <w:pPr>
              <w:autoSpaceDE w:val="0"/>
              <w:autoSpaceDN w:val="0"/>
              <w:adjustRightInd w:val="0"/>
              <w:spacing w:line="276" w:lineRule="auto"/>
              <w:rPr>
                <w:rFonts w:ascii="Arial" w:eastAsia="Arial" w:hAnsi="Arial" w:cs="Arial"/>
                <w:sz w:val="18"/>
                <w:szCs w:val="18"/>
              </w:rPr>
            </w:pPr>
            <w:r w:rsidRPr="008624A0">
              <w:rPr>
                <w:rFonts w:ascii="Arial" w:eastAsia="Arial" w:hAnsi="Arial" w:cs="Arial"/>
                <w:b/>
                <w:bCs/>
                <w:i/>
                <w:iCs/>
                <w:sz w:val="18"/>
                <w:szCs w:val="18"/>
              </w:rPr>
              <w:t>Nazwa dokumentu:</w:t>
            </w:r>
            <w:r w:rsidRPr="008624A0">
              <w:rPr>
                <w:rFonts w:ascii="Arial" w:eastAsia="Arial" w:hAnsi="Arial" w:cs="Arial"/>
                <w:sz w:val="18"/>
                <w:szCs w:val="18"/>
              </w:rPr>
              <w:t xml:space="preserve"> Projekt ustawy o zmianie ustawy – Prawo geodezyjne i kartograficzne oraz ustawy o infrastrukturze informacji przestrzennej (UD60)</w:t>
            </w:r>
          </w:p>
          <w:p w14:paraId="0228FB77" w14:textId="6CC84CE6" w:rsidR="00A06425" w:rsidRPr="008624A0" w:rsidRDefault="07CDAA3C" w:rsidP="07CDAA3C">
            <w:pPr>
              <w:autoSpaceDE w:val="0"/>
              <w:autoSpaceDN w:val="0"/>
              <w:adjustRightInd w:val="0"/>
              <w:spacing w:line="276" w:lineRule="auto"/>
              <w:rPr>
                <w:rFonts w:ascii="Arial" w:eastAsia="Arial" w:hAnsi="Arial" w:cs="Arial"/>
                <w:sz w:val="18"/>
                <w:szCs w:val="18"/>
              </w:rPr>
            </w:pPr>
            <w:r w:rsidRPr="008624A0">
              <w:rPr>
                <w:rFonts w:ascii="Arial" w:eastAsia="Arial" w:hAnsi="Arial" w:cs="Arial"/>
                <w:sz w:val="18"/>
                <w:szCs w:val="18"/>
              </w:rPr>
              <w:t>Kolorem czarnym naniesiono obowiązujący tekst ustawy Pgik</w:t>
            </w:r>
          </w:p>
          <w:p w14:paraId="2E27FF12" w14:textId="72C58C00" w:rsidR="00A06425" w:rsidRPr="008624A0" w:rsidRDefault="07CDAA3C" w:rsidP="07CDAA3C">
            <w:pPr>
              <w:autoSpaceDE w:val="0"/>
              <w:autoSpaceDN w:val="0"/>
              <w:adjustRightInd w:val="0"/>
              <w:spacing w:line="276" w:lineRule="auto"/>
              <w:rPr>
                <w:rFonts w:ascii="Arial" w:eastAsia="Arial" w:hAnsi="Arial" w:cs="Arial"/>
                <w:color w:val="FF0000"/>
                <w:sz w:val="18"/>
                <w:szCs w:val="18"/>
              </w:rPr>
            </w:pPr>
            <w:r w:rsidRPr="008624A0">
              <w:rPr>
                <w:rFonts w:ascii="Arial" w:eastAsia="Arial" w:hAnsi="Arial" w:cs="Arial"/>
                <w:color w:val="00B0F0"/>
                <w:sz w:val="18"/>
                <w:szCs w:val="18"/>
              </w:rPr>
              <w:t>Kolorem niebieskim naniesiono propozycje projektu UD60</w:t>
            </w:r>
            <w:r w:rsidRPr="008624A0">
              <w:rPr>
                <w:rFonts w:ascii="Arial" w:eastAsia="Arial" w:hAnsi="Arial" w:cs="Arial"/>
                <w:color w:val="FF0000"/>
                <w:sz w:val="18"/>
                <w:szCs w:val="18"/>
              </w:rPr>
              <w:t xml:space="preserve"> </w:t>
            </w:r>
          </w:p>
          <w:p w14:paraId="314081C2" w14:textId="0973508C" w:rsidR="00A06425" w:rsidRPr="008624A0" w:rsidRDefault="07CDAA3C" w:rsidP="07CDAA3C">
            <w:pPr>
              <w:autoSpaceDE w:val="0"/>
              <w:autoSpaceDN w:val="0"/>
              <w:adjustRightInd w:val="0"/>
              <w:spacing w:line="276" w:lineRule="auto"/>
              <w:rPr>
                <w:rFonts w:ascii="Arial" w:eastAsia="Arial" w:hAnsi="Arial" w:cs="Arial"/>
                <w:color w:val="00B0F0"/>
                <w:sz w:val="18"/>
                <w:szCs w:val="18"/>
              </w:rPr>
            </w:pPr>
            <w:r w:rsidRPr="008624A0">
              <w:rPr>
                <w:rFonts w:ascii="Arial" w:eastAsia="Arial" w:hAnsi="Arial" w:cs="Arial"/>
                <w:color w:val="FF0000"/>
                <w:sz w:val="18"/>
                <w:szCs w:val="18"/>
              </w:rPr>
              <w:t>Kolorem czerwonym – propozycje zapisów GUGiK</w:t>
            </w:r>
          </w:p>
        </w:tc>
      </w:tr>
      <w:tr w:rsidR="00A06425" w:rsidRPr="008624A0" w14:paraId="58B8B146" w14:textId="77777777" w:rsidTr="000469CF">
        <w:tc>
          <w:tcPr>
            <w:tcW w:w="421" w:type="dxa"/>
            <w:vAlign w:val="center"/>
          </w:tcPr>
          <w:p w14:paraId="38D9E128" w14:textId="77777777" w:rsidR="00A06425" w:rsidRPr="008624A0" w:rsidRDefault="07CDAA3C" w:rsidP="07CDAA3C">
            <w:pPr>
              <w:spacing w:line="276" w:lineRule="auto"/>
              <w:jc w:val="center"/>
              <w:rPr>
                <w:rFonts w:ascii="Arial" w:eastAsia="Arial" w:hAnsi="Arial" w:cs="Arial"/>
                <w:b/>
                <w:bCs/>
                <w:sz w:val="18"/>
                <w:szCs w:val="18"/>
              </w:rPr>
            </w:pPr>
            <w:r w:rsidRPr="008624A0">
              <w:rPr>
                <w:rFonts w:ascii="Arial" w:eastAsia="Arial" w:hAnsi="Arial" w:cs="Arial"/>
                <w:b/>
                <w:bCs/>
                <w:sz w:val="18"/>
                <w:szCs w:val="18"/>
              </w:rPr>
              <w:t>Lp.</w:t>
            </w:r>
          </w:p>
        </w:tc>
        <w:tc>
          <w:tcPr>
            <w:tcW w:w="1134" w:type="dxa"/>
            <w:vAlign w:val="center"/>
          </w:tcPr>
          <w:p w14:paraId="199F7F7E" w14:textId="77777777" w:rsidR="00A06425" w:rsidRPr="008624A0" w:rsidRDefault="07CDAA3C" w:rsidP="07CDAA3C">
            <w:pPr>
              <w:spacing w:line="276" w:lineRule="auto"/>
              <w:jc w:val="center"/>
              <w:rPr>
                <w:rFonts w:ascii="Arial" w:eastAsia="Arial" w:hAnsi="Arial" w:cs="Arial"/>
                <w:b/>
                <w:bCs/>
                <w:sz w:val="18"/>
                <w:szCs w:val="18"/>
              </w:rPr>
            </w:pPr>
            <w:r w:rsidRPr="008624A0">
              <w:rPr>
                <w:rFonts w:ascii="Arial" w:eastAsia="Arial" w:hAnsi="Arial" w:cs="Arial"/>
                <w:b/>
                <w:bCs/>
                <w:sz w:val="18"/>
                <w:szCs w:val="18"/>
              </w:rPr>
              <w:t>Organ wnoszący uwagi</w:t>
            </w:r>
          </w:p>
        </w:tc>
        <w:tc>
          <w:tcPr>
            <w:tcW w:w="4110" w:type="dxa"/>
            <w:vAlign w:val="center"/>
          </w:tcPr>
          <w:p w14:paraId="16EAD4F3" w14:textId="77777777" w:rsidR="00A06425" w:rsidRPr="008624A0" w:rsidRDefault="07CDAA3C" w:rsidP="07CDAA3C">
            <w:pPr>
              <w:spacing w:line="276" w:lineRule="auto"/>
              <w:jc w:val="center"/>
              <w:rPr>
                <w:rFonts w:ascii="Arial" w:eastAsia="Arial" w:hAnsi="Arial" w:cs="Arial"/>
                <w:b/>
                <w:bCs/>
                <w:sz w:val="18"/>
                <w:szCs w:val="18"/>
              </w:rPr>
            </w:pPr>
            <w:r w:rsidRPr="008624A0">
              <w:rPr>
                <w:rFonts w:ascii="Arial" w:eastAsia="Arial" w:hAnsi="Arial" w:cs="Arial"/>
                <w:b/>
                <w:bCs/>
                <w:sz w:val="18"/>
                <w:szCs w:val="18"/>
              </w:rPr>
              <w:t>Jednostka redakcyjna, do której wnoszone są uwagi</w:t>
            </w:r>
          </w:p>
        </w:tc>
        <w:tc>
          <w:tcPr>
            <w:tcW w:w="4820" w:type="dxa"/>
            <w:vAlign w:val="center"/>
          </w:tcPr>
          <w:p w14:paraId="49F82F64" w14:textId="0410C75B" w:rsidR="00A06425" w:rsidRPr="008624A0" w:rsidRDefault="07CDAA3C" w:rsidP="07CDAA3C">
            <w:pPr>
              <w:spacing w:line="276" w:lineRule="auto"/>
              <w:jc w:val="center"/>
              <w:rPr>
                <w:rFonts w:ascii="Arial" w:eastAsia="Arial" w:hAnsi="Arial" w:cs="Arial"/>
                <w:b/>
                <w:bCs/>
                <w:sz w:val="18"/>
                <w:szCs w:val="18"/>
              </w:rPr>
            </w:pPr>
            <w:r w:rsidRPr="008624A0">
              <w:rPr>
                <w:rFonts w:ascii="Arial" w:eastAsia="Arial" w:hAnsi="Arial" w:cs="Arial"/>
                <w:b/>
                <w:bCs/>
                <w:sz w:val="18"/>
                <w:szCs w:val="18"/>
              </w:rPr>
              <w:t xml:space="preserve">Treść </w:t>
            </w:r>
            <w:r w:rsidR="000469CF">
              <w:rPr>
                <w:rFonts w:ascii="Arial" w:eastAsia="Arial" w:hAnsi="Arial" w:cs="Arial"/>
                <w:b/>
                <w:bCs/>
                <w:sz w:val="18"/>
                <w:szCs w:val="18"/>
              </w:rPr>
              <w:t>uwagi</w:t>
            </w:r>
          </w:p>
        </w:tc>
        <w:tc>
          <w:tcPr>
            <w:tcW w:w="4111" w:type="dxa"/>
            <w:vAlign w:val="center"/>
          </w:tcPr>
          <w:p w14:paraId="513EE33F" w14:textId="77777777" w:rsidR="00A06425" w:rsidRPr="008624A0" w:rsidRDefault="07CDAA3C" w:rsidP="07CDAA3C">
            <w:pPr>
              <w:spacing w:line="276" w:lineRule="auto"/>
              <w:jc w:val="center"/>
              <w:rPr>
                <w:rFonts w:ascii="Arial" w:eastAsia="Arial" w:hAnsi="Arial" w:cs="Arial"/>
                <w:b/>
                <w:bCs/>
                <w:sz w:val="18"/>
                <w:szCs w:val="18"/>
              </w:rPr>
            </w:pPr>
            <w:r w:rsidRPr="008624A0">
              <w:rPr>
                <w:rFonts w:ascii="Arial" w:eastAsia="Arial" w:hAnsi="Arial" w:cs="Arial"/>
                <w:b/>
                <w:bCs/>
                <w:sz w:val="18"/>
                <w:szCs w:val="18"/>
              </w:rPr>
              <w:t>Propozycja zmian zapisu</w:t>
            </w:r>
          </w:p>
        </w:tc>
        <w:tc>
          <w:tcPr>
            <w:tcW w:w="1134" w:type="dxa"/>
            <w:vAlign w:val="center"/>
          </w:tcPr>
          <w:p w14:paraId="74A0D282" w14:textId="732B2941" w:rsidR="00A06425" w:rsidRPr="008624A0" w:rsidRDefault="000469CF" w:rsidP="07CDAA3C">
            <w:pPr>
              <w:spacing w:line="276" w:lineRule="auto"/>
              <w:jc w:val="center"/>
              <w:rPr>
                <w:rFonts w:ascii="Arial" w:eastAsia="Arial" w:hAnsi="Arial" w:cs="Arial"/>
                <w:b/>
                <w:bCs/>
                <w:sz w:val="18"/>
                <w:szCs w:val="18"/>
              </w:rPr>
            </w:pPr>
            <w:r>
              <w:rPr>
                <w:rFonts w:ascii="Arial" w:eastAsia="Arial" w:hAnsi="Arial" w:cs="Arial"/>
                <w:b/>
                <w:bCs/>
                <w:sz w:val="18"/>
                <w:szCs w:val="18"/>
              </w:rPr>
              <w:t>Odniesienie do uwagi</w:t>
            </w:r>
          </w:p>
        </w:tc>
      </w:tr>
      <w:tr w:rsidR="00D56357" w:rsidRPr="008624A0" w14:paraId="08A9A29F" w14:textId="77777777" w:rsidTr="000469CF">
        <w:trPr>
          <w:trHeight w:val="2145"/>
        </w:trPr>
        <w:tc>
          <w:tcPr>
            <w:tcW w:w="421" w:type="dxa"/>
          </w:tcPr>
          <w:p w14:paraId="58B71011" w14:textId="77777777" w:rsidR="00D56357" w:rsidRPr="008624A0" w:rsidRDefault="00D56357" w:rsidP="07CDAA3C">
            <w:pPr>
              <w:pStyle w:val="Akapitzlist"/>
              <w:numPr>
                <w:ilvl w:val="0"/>
                <w:numId w:val="9"/>
              </w:numPr>
              <w:spacing w:before="120" w:after="120" w:line="276" w:lineRule="auto"/>
              <w:ind w:left="454"/>
              <w:rPr>
                <w:rFonts w:ascii="Arial" w:eastAsia="Arial" w:hAnsi="Arial" w:cs="Arial"/>
                <w:b/>
                <w:bCs/>
                <w:sz w:val="18"/>
                <w:szCs w:val="18"/>
              </w:rPr>
            </w:pPr>
          </w:p>
        </w:tc>
        <w:tc>
          <w:tcPr>
            <w:tcW w:w="1134" w:type="dxa"/>
          </w:tcPr>
          <w:p w14:paraId="01F044DB" w14:textId="50146F33" w:rsidR="00D56357" w:rsidRPr="008624A0" w:rsidRDefault="07CDAA3C" w:rsidP="07CDAA3C">
            <w:pPr>
              <w:spacing w:before="60" w:after="60"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608D204A" w14:textId="77777777" w:rsidR="00EA71CB" w:rsidRDefault="07CDAA3C" w:rsidP="00EA71CB">
            <w:pPr>
              <w:spacing w:before="130" w:after="130" w:line="276" w:lineRule="auto"/>
              <w:rPr>
                <w:rFonts w:ascii="Arial" w:eastAsia="Arial" w:hAnsi="Arial" w:cs="Arial"/>
                <w:color w:val="00B0F0"/>
                <w:sz w:val="18"/>
                <w:szCs w:val="18"/>
              </w:rPr>
            </w:pPr>
            <w:r w:rsidRPr="008624A0">
              <w:rPr>
                <w:rFonts w:ascii="Arial" w:eastAsia="Arial" w:hAnsi="Arial" w:cs="Arial"/>
                <w:sz w:val="18"/>
                <w:szCs w:val="18"/>
              </w:rPr>
              <w:t>Art. 4a</w:t>
            </w:r>
            <w:r w:rsidR="00592BAB">
              <w:rPr>
                <w:rFonts w:ascii="Arial" w:eastAsia="Arial" w:hAnsi="Arial" w:cs="Arial"/>
                <w:sz w:val="18"/>
                <w:szCs w:val="18"/>
              </w:rPr>
              <w:t xml:space="preserve"> ustawy zmienianej</w:t>
            </w:r>
            <w:r w:rsidR="000469CF" w:rsidRPr="008624A0">
              <w:rPr>
                <w:rFonts w:ascii="Arial" w:eastAsia="Arial" w:hAnsi="Arial" w:cs="Arial"/>
                <w:color w:val="00B0F0"/>
                <w:sz w:val="18"/>
                <w:szCs w:val="18"/>
              </w:rPr>
              <w:t xml:space="preserve"> </w:t>
            </w:r>
          </w:p>
          <w:p w14:paraId="1F0020C6" w14:textId="5B121A70" w:rsidR="000469CF" w:rsidRPr="008624A0" w:rsidRDefault="000469CF" w:rsidP="00EA71CB">
            <w:pPr>
              <w:spacing w:before="130" w:after="130" w:line="276" w:lineRule="auto"/>
              <w:rPr>
                <w:rFonts w:ascii="Arial" w:eastAsia="Arial" w:hAnsi="Arial" w:cs="Arial"/>
                <w:color w:val="00B0F0"/>
                <w:sz w:val="18"/>
                <w:szCs w:val="18"/>
              </w:rPr>
            </w:pPr>
            <w:r w:rsidRPr="008624A0">
              <w:rPr>
                <w:rFonts w:ascii="Arial" w:eastAsia="Arial" w:hAnsi="Arial" w:cs="Arial"/>
                <w:color w:val="00B0F0"/>
                <w:sz w:val="18"/>
                <w:szCs w:val="18"/>
              </w:rPr>
              <w:t>Art. 4a. 1. Prezes Rady Ministrów oraz właściwi ministrowie, uwzględniając potrzeby obronności i bezpieczeństwa państwa, mogą nałożyć w drodze decyzji ograniczenia w upublicznianiu w usługach sieciowych oraz portalach internetowych danych zawartych w bazach danych, o których mowa w art. 4 ust. 1a pkt 3, 8, 11 i 12, dotyczących obiektów lub obszarów:</w:t>
            </w:r>
          </w:p>
          <w:p w14:paraId="62F60E17"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1) o których mowa w:</w:t>
            </w:r>
          </w:p>
          <w:p w14:paraId="1487711C"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a) art. 5 ust. 2 pkt 1, 3 i 5 ustawy z dnia 22 sierpnia 1997 r. o ochronie osób i mienia (Dz. U. z 2025 r. poz. 532),</w:t>
            </w:r>
          </w:p>
          <w:p w14:paraId="2B0AF01A"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b) art. 3 pkt 2 ustawy z dnia 26 kwietnia 2007 r. o zarządzaniu kryzysowym (Dz. U. z 2023 r. poz. 122, z 2024 r. poz. 834, 1222, 1473, 1572 i 1907 oraz z 2025 r. poz. 1795),</w:t>
            </w:r>
          </w:p>
          <w:p w14:paraId="5DA9E05F"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c) art. 613 ust. 1 ustawy z dnia 11 marca 2022 r. o obronie Ojczyzny (Dz. U. z 2025 r. poz. 825, 1014 i 1080 oraz z 2026 r. poz. 26 i 426),</w:t>
            </w:r>
          </w:p>
          <w:p w14:paraId="59118EED"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d) przepisach wydanych na podstawie art. 91 ustawy z dnia 21 sierpnia 1997 r. o gospodarce nieruchomościami (Dz. U. z 2026 r. poz. 399);</w:t>
            </w:r>
          </w:p>
          <w:p w14:paraId="11A501F4"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2) na których ustalono teren zamknięty.</w:t>
            </w:r>
          </w:p>
          <w:p w14:paraId="024897AE"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2. Szef właściwej służby specjalnej, uwzględniając potrzeby obronności i bezpieczeństwa państwa, może nałożyć w drodze decyzji ograniczenia w upublicznianiu w usługach sieciowych oraz portalach internetowych danych zawartych w bazach </w:t>
            </w:r>
            <w:r w:rsidRPr="008624A0">
              <w:rPr>
                <w:rFonts w:ascii="Arial" w:eastAsia="Arial" w:hAnsi="Arial" w:cs="Arial"/>
                <w:color w:val="00B0F0"/>
                <w:sz w:val="18"/>
                <w:szCs w:val="18"/>
              </w:rPr>
              <w:lastRenderedPageBreak/>
              <w:t>danych, o których mowa w art. 4 ust. 1a pkt 3, 8, 11 i 12, dotyczących obiektów lub obszarów wykorzystywanych przez podmioty, o których mowa w art. 11 ustawy z dnia 24 maja 2002 r. o Agencji Bezpieczeństwa Wewnętrznego oraz Agencji Wywiadu (Dz. U. z 2025 r. poz. 902 i 1366 oraz z 2026 r. poz. 26).</w:t>
            </w:r>
          </w:p>
          <w:p w14:paraId="35EF9DDE"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3. Ograniczenia w upublicznianiu danych, o których mowa w ust. 1 i 2, nie obejmują udostępniania danych państwowego zasobu geodezyjnego i kartograficznego na podstawie wniosku, zgłoszenia prac geodezyjnych lub jego uzupełnienia oraz w przypadku prac realizowanych na zlecenie Służby Geodezyjnej i Kartograficznej.</w:t>
            </w:r>
          </w:p>
          <w:p w14:paraId="44881535"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4. Zniesienie ograniczeń w upublicznianiu danych nałożonych zgodnie z ust. 1 lub 2 następuje w drodze decyzji.</w:t>
            </w:r>
          </w:p>
          <w:p w14:paraId="33A26EA4"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5. Do decyzji, o których mowa w ust. 1, 2 i 4, nie stosuje się przepisów ustawy z 14 czerwca 1960 r. – Kodeks postępowania administracyjnego.</w:t>
            </w:r>
          </w:p>
          <w:p w14:paraId="797B61FE"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6. Podmioty, o których mowa w ust. 1 i 2, przekazują niezwłocznie decyzje, o których mowa w ust. 1, 2 i 4, do Głównego Geodety Kraju, właściwych organów Służby Geodezyjnej i Kartograficznej odpowiedzialnych za prowadzenie baz danych, o których mowa w art. 4 ust. 1a pkt 3, 8, 11 i 12, oraz do właściwych ministrów i kierowników urzędów centralnych, przez których zostały ustalone tereny zamknięte, na których wprowadzone zostały ograniczenia w upublicznianiu danych.</w:t>
            </w:r>
          </w:p>
          <w:p w14:paraId="0D6B3401"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7. Główny Geodeta Kraju na podstawie decyzji, o których mowa w ust. 1, 2 i 4, prowadzi i aktualizuje wykaz obiektów i obszarów, w stosunku do których nałożone zostały ograniczenia w upublicznianiu danych.</w:t>
            </w:r>
          </w:p>
          <w:p w14:paraId="64B6BF09"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8. Dane z wykazu, o którym mowa w ust. 7, nie stanowią informacji publicznej w rozumieniu ustawy z dnia 6 września 2001 r. o dostępie do </w:t>
            </w:r>
            <w:r w:rsidRPr="008624A0">
              <w:rPr>
                <w:rFonts w:ascii="Arial" w:eastAsia="Arial" w:hAnsi="Arial" w:cs="Arial"/>
                <w:color w:val="00B0F0"/>
                <w:sz w:val="18"/>
                <w:szCs w:val="18"/>
              </w:rPr>
              <w:lastRenderedPageBreak/>
              <w:t>informacji publicznej (Dz. U. z 2022 r. poz. 902 oraz z 2025 r. poz. 1844). Główny Geodeta Kraju udostępnia podmiotowi, który posiada odpowiednią zdolność do ochrony informacji niejawnych, na jego wniosek, informacje z wykazu oraz przekazuje wytyczne dotyczące zasad przetwarzania tych informacji.</w:t>
            </w:r>
          </w:p>
          <w:p w14:paraId="51CBB0B5"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9. Niezwłocznie po otrzymaniu decyzji, o których mowa w ust. 1, 2 i 4, właściwe organy Służby Geodezyjnej i Kartograficznej dokonują zmian w upublicznianiu danych, w zakresie określonym w tych decyzjach, zgodnie z obowiązującymi standardami dotyczącymi ograniczania upubliczniania danych.</w:t>
            </w:r>
          </w:p>
          <w:p w14:paraId="0E46F3F0"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10. Podmioty, o których mowa w ust. 1, mogą powierzyć realizację zadań, o których mowa w ust. 1 i 3−6, kierownikom komórek organizacyjnych lub jednostek organizacyjnych podległych tym podmiotom lub przez nich nadzorowanym właściwym w sprawach rozpoznania geoprzestrzennego.</w:t>
            </w:r>
          </w:p>
          <w:p w14:paraId="5308EC0B" w14:textId="77777777" w:rsidR="000469CF" w:rsidRPr="008624A0" w:rsidRDefault="000469CF"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11. Minister Obrony Narodowej, w porozumieniu z ministrem właściwym do spraw budownictwa, planowania i zagospodarowania przestrzennego oraz mieszkalnictwa, określi, w drodze rozporządzenia standardy dotyczące ograniczenia w upublicznianiu danych zawartych w bazach danych, o których mowa w art. 4 ust. 1a pkt 3, 8, 11 i 12, mając na względzie potrzeby obronności i bezpieczeństwa państwa.</w:t>
            </w:r>
          </w:p>
          <w:p w14:paraId="798E2F84" w14:textId="18544222" w:rsidR="00D56357" w:rsidRPr="008624A0" w:rsidRDefault="00D56357" w:rsidP="00EA71CB">
            <w:pPr>
              <w:spacing w:line="276" w:lineRule="auto"/>
              <w:rPr>
                <w:rFonts w:ascii="Arial" w:eastAsia="Arial" w:hAnsi="Arial" w:cs="Arial"/>
                <w:sz w:val="18"/>
                <w:szCs w:val="18"/>
              </w:rPr>
            </w:pPr>
          </w:p>
        </w:tc>
        <w:tc>
          <w:tcPr>
            <w:tcW w:w="4820" w:type="dxa"/>
          </w:tcPr>
          <w:p w14:paraId="74AD1F76" w14:textId="179BC1C2"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lastRenderedPageBreak/>
              <w:t xml:space="preserve">Lokowanie rejestru obiektów wrażliwych w strukturze Głównego Geodety Kraju stanowi błąd systemowy, polegający na powierzeniu zarządzania informacjami o wysokim znaczeniu dla bezpieczeństwa państwa organowi, którego podstawową funkcją jest zapewnianie powszechnego dostępu do informacji przestrzennej, a nie jej ograniczanie. </w:t>
            </w:r>
            <w:r w:rsidRPr="008624A0">
              <w:rPr>
                <w:rFonts w:ascii="Arial" w:eastAsia="Arial" w:hAnsi="Arial" w:cs="Arial"/>
                <w:b/>
                <w:bCs/>
                <w:sz w:val="18"/>
                <w:szCs w:val="18"/>
              </w:rPr>
              <w:t>Rejestr obiektów wrażliwych</w:t>
            </w:r>
            <w:r w:rsidRPr="008624A0">
              <w:rPr>
                <w:rFonts w:ascii="Arial" w:eastAsia="Arial" w:hAnsi="Arial" w:cs="Arial"/>
                <w:sz w:val="18"/>
                <w:szCs w:val="18"/>
              </w:rPr>
              <w:t xml:space="preserve"> obejmuje infrastrukturę o znaczeniu strategicznym (wojskową, krytyczną, obronną), której ujawnienie, agregacja lub niewłaściwe zarządzanie może prowadzić do zagrożeń dla bezpieczeństwa państwa. Rejestr obiektów wrażliwych nie jest klasycznym rejestrem referencyjnym (jak EGiB), tylko </w:t>
            </w:r>
            <w:r w:rsidRPr="008624A0">
              <w:rPr>
                <w:rFonts w:ascii="Arial" w:eastAsia="Arial" w:hAnsi="Arial" w:cs="Arial"/>
                <w:b/>
                <w:bCs/>
                <w:sz w:val="18"/>
                <w:szCs w:val="18"/>
              </w:rPr>
              <w:t>narzędziem systemu bezpieczeństwa narodowego</w:t>
            </w:r>
            <w:r w:rsidRPr="008624A0">
              <w:rPr>
                <w:rFonts w:ascii="Arial" w:eastAsia="Arial" w:hAnsi="Arial" w:cs="Arial"/>
                <w:sz w:val="18"/>
                <w:szCs w:val="18"/>
              </w:rPr>
              <w:t>.  Właściwym resortem do prowadzenia takich danych rejestrów jest resort obrony narodowej, a nie administracja geodezyjna</w:t>
            </w:r>
            <w:r>
              <w:rPr>
                <w:rFonts w:ascii="Arial" w:eastAsia="Arial" w:hAnsi="Arial" w:cs="Arial"/>
                <w:sz w:val="18"/>
                <w:szCs w:val="18"/>
              </w:rPr>
              <w:t>. R</w:t>
            </w:r>
            <w:r w:rsidRPr="008624A0">
              <w:rPr>
                <w:rFonts w:ascii="Arial" w:eastAsia="Arial" w:hAnsi="Arial" w:cs="Arial"/>
                <w:sz w:val="18"/>
                <w:szCs w:val="18"/>
              </w:rPr>
              <w:t>ejestr</w:t>
            </w:r>
            <w:r>
              <w:rPr>
                <w:rFonts w:ascii="Arial" w:eastAsia="Arial" w:hAnsi="Arial" w:cs="Arial"/>
                <w:sz w:val="18"/>
                <w:szCs w:val="18"/>
              </w:rPr>
              <w:t xml:space="preserve"> (wykaz)</w:t>
            </w:r>
            <w:r w:rsidRPr="008624A0">
              <w:rPr>
                <w:rFonts w:ascii="Arial" w:eastAsia="Arial" w:hAnsi="Arial" w:cs="Arial"/>
                <w:sz w:val="18"/>
                <w:szCs w:val="18"/>
              </w:rPr>
              <w:t xml:space="preserve"> </w:t>
            </w:r>
            <w:r>
              <w:rPr>
                <w:rFonts w:ascii="Arial" w:eastAsia="Arial" w:hAnsi="Arial" w:cs="Arial"/>
                <w:sz w:val="18"/>
                <w:szCs w:val="18"/>
              </w:rPr>
              <w:t xml:space="preserve">obiektów wrażliwych </w:t>
            </w:r>
            <w:r w:rsidRPr="008624A0">
              <w:rPr>
                <w:rFonts w:ascii="Arial" w:eastAsia="Arial" w:hAnsi="Arial" w:cs="Arial"/>
                <w:sz w:val="18"/>
                <w:szCs w:val="18"/>
              </w:rPr>
              <w:t>powinien pozostać w kompetencji MON, zgodnie z pierwotnym założeniem</w:t>
            </w:r>
            <w:r>
              <w:rPr>
                <w:rFonts w:ascii="Arial" w:eastAsia="Arial" w:hAnsi="Arial" w:cs="Arial"/>
                <w:sz w:val="18"/>
                <w:szCs w:val="18"/>
              </w:rPr>
              <w:t xml:space="preserve"> i postulatem MON</w:t>
            </w:r>
            <w:r w:rsidRPr="008624A0">
              <w:rPr>
                <w:rFonts w:ascii="Arial" w:eastAsia="Arial" w:hAnsi="Arial" w:cs="Arial"/>
                <w:sz w:val="18"/>
                <w:szCs w:val="18"/>
              </w:rPr>
              <w:t>. MON dysponuje odpowiednimi instrumentami analitycznymi, organizacyjnymi oraz doświadczeniem w zarządzaniu informacją o znaczeniu strategicznym.</w:t>
            </w:r>
          </w:p>
          <w:p w14:paraId="309CE6E8"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 xml:space="preserve">Ponadto, w większości państw europejskich dane o obiektach strategicznych </w:t>
            </w:r>
            <w:r>
              <w:rPr>
                <w:rFonts w:ascii="Arial" w:eastAsia="Arial" w:hAnsi="Arial" w:cs="Arial"/>
                <w:sz w:val="18"/>
                <w:szCs w:val="18"/>
              </w:rPr>
              <w:t xml:space="preserve">(wykazy) </w:t>
            </w:r>
            <w:r w:rsidRPr="008624A0">
              <w:rPr>
                <w:rFonts w:ascii="Arial" w:eastAsia="Arial" w:hAnsi="Arial" w:cs="Arial"/>
                <w:sz w:val="18"/>
                <w:szCs w:val="18"/>
              </w:rPr>
              <w:t>są zarządzane przez resorty obronne, wywiadowcze lub bezpieczeństwa wewnętrznego, a nie przez służby katastralne czy geodezyjne.</w:t>
            </w:r>
          </w:p>
          <w:p w14:paraId="0E5321A2"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Z projektowanych przepisów wynika, że rejestr obiektów wrażliwych zawiera informacje o charakterze zastrzeżonym. Zgodnie z zasadami ochrony informacji niejawnych, dane posiadające klauzulę co najmniej „zastrzeżone” muszą być:</w:t>
            </w:r>
          </w:p>
          <w:p w14:paraId="263E050B" w14:textId="77777777" w:rsidR="000469CF" w:rsidRPr="008624A0" w:rsidRDefault="000469CF" w:rsidP="00EA71CB">
            <w:pPr>
              <w:pStyle w:val="Akapitzlist"/>
              <w:numPr>
                <w:ilvl w:val="0"/>
                <w:numId w:val="3"/>
              </w:numPr>
              <w:spacing w:after="160" w:line="276" w:lineRule="auto"/>
              <w:rPr>
                <w:rFonts w:ascii="Arial" w:eastAsia="Arial" w:hAnsi="Arial" w:cs="Arial"/>
                <w:sz w:val="18"/>
                <w:szCs w:val="18"/>
              </w:rPr>
            </w:pPr>
            <w:r w:rsidRPr="008624A0">
              <w:rPr>
                <w:rFonts w:ascii="Arial" w:eastAsia="Arial" w:hAnsi="Arial" w:cs="Arial"/>
                <w:sz w:val="18"/>
                <w:szCs w:val="18"/>
              </w:rPr>
              <w:lastRenderedPageBreak/>
              <w:t>przetwarzane w systemach teleinformatycznych spełniających wymagania dla informacji niejawnych,</w:t>
            </w:r>
          </w:p>
          <w:p w14:paraId="34542B86" w14:textId="77777777" w:rsidR="000469CF" w:rsidRPr="008624A0" w:rsidRDefault="000469CF" w:rsidP="00EA71CB">
            <w:pPr>
              <w:pStyle w:val="Akapitzlist"/>
              <w:numPr>
                <w:ilvl w:val="0"/>
                <w:numId w:val="3"/>
              </w:numPr>
              <w:spacing w:after="160" w:line="276" w:lineRule="auto"/>
              <w:rPr>
                <w:rFonts w:ascii="Arial" w:eastAsia="Arial" w:hAnsi="Arial" w:cs="Arial"/>
                <w:sz w:val="18"/>
                <w:szCs w:val="18"/>
              </w:rPr>
            </w:pPr>
            <w:r w:rsidRPr="008624A0">
              <w:rPr>
                <w:rFonts w:ascii="Arial" w:eastAsia="Arial" w:hAnsi="Arial" w:cs="Arial"/>
                <w:sz w:val="18"/>
                <w:szCs w:val="18"/>
              </w:rPr>
              <w:t>objęte kontrolą dostępu, ewidencją operacji oraz odpowiednimi procedurami bezpieczeństwa.</w:t>
            </w:r>
          </w:p>
          <w:p w14:paraId="1C1673D2"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Są to istotne koszty inwestycyjne i operacyjne, które znacząco wykraczają poza standardowe koszty utrzymania rejestrów publicznych i nie zostały uwzględnione w OSR.</w:t>
            </w:r>
          </w:p>
          <w:p w14:paraId="24660559" w14:textId="77777777" w:rsidR="000469CF" w:rsidRPr="008624A0" w:rsidRDefault="000469CF" w:rsidP="00EA71CB">
            <w:pPr>
              <w:spacing w:after="160" w:line="276" w:lineRule="auto"/>
              <w:rPr>
                <w:rFonts w:ascii="Arial" w:eastAsia="Arial" w:hAnsi="Arial" w:cs="Arial"/>
                <w:sz w:val="18"/>
                <w:szCs w:val="18"/>
              </w:rPr>
            </w:pPr>
          </w:p>
          <w:p w14:paraId="78E7FACD"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Uzasadnienie do ust. 10</w:t>
            </w:r>
          </w:p>
          <w:p w14:paraId="768D71A5" w14:textId="77777777" w:rsidR="000469CF" w:rsidRPr="008624A0" w:rsidRDefault="000469CF" w:rsidP="00EA71CB">
            <w:pPr>
              <w:spacing w:after="160" w:line="276" w:lineRule="auto"/>
              <w:rPr>
                <w:rFonts w:ascii="Arial" w:hAnsi="Arial" w:cs="Arial"/>
                <w:sz w:val="18"/>
                <w:szCs w:val="18"/>
              </w:rPr>
            </w:pPr>
            <w:r w:rsidRPr="008624A0">
              <w:rPr>
                <w:rFonts w:ascii="Arial" w:hAnsi="Arial" w:cs="Arial"/>
                <w:sz w:val="18"/>
                <w:szCs w:val="18"/>
              </w:rPr>
              <w:t>Jednostka właściwa ds. rozpoznania geoprzestrzennego jest tylko jedna – Agencja Rozpoznania Geoprzestrzennego i Usług Satelitarnych (ARGUS) będąca w podporządkowaniu Ministra Obrony Narodowej. W podporządkowaniu innych ministrów funkcjonują struktury odpowiedzialne za gospodaro</w:t>
            </w:r>
            <w:r>
              <w:rPr>
                <w:rFonts w:ascii="Arial" w:hAnsi="Arial" w:cs="Arial"/>
                <w:sz w:val="18"/>
                <w:szCs w:val="18"/>
              </w:rPr>
              <w:t>wanie dokumentacją geodezyjną i </w:t>
            </w:r>
            <w:r w:rsidRPr="008624A0">
              <w:rPr>
                <w:rFonts w:ascii="Arial" w:hAnsi="Arial" w:cs="Arial"/>
                <w:sz w:val="18"/>
                <w:szCs w:val="18"/>
              </w:rPr>
              <w:t xml:space="preserve">kartograficzną, np. dla kolejowych terenów zamkniętych Kolejowy Ośrodek Dokumentacji Geodezyjnej i Kartograficznej, dla terenów ORLEN S.A. – Dział Dokumentacji Geodezyjnej i Kartograficznej. </w:t>
            </w:r>
          </w:p>
          <w:p w14:paraId="5EC1D05E" w14:textId="2837C51B" w:rsidR="00D56357" w:rsidRPr="008624A0" w:rsidRDefault="00D56357" w:rsidP="00EA71CB">
            <w:pPr>
              <w:spacing w:before="130" w:after="130" w:line="276" w:lineRule="auto"/>
              <w:rPr>
                <w:rFonts w:ascii="Arial" w:eastAsia="Arial" w:hAnsi="Arial" w:cs="Arial"/>
                <w:sz w:val="18"/>
                <w:szCs w:val="18"/>
              </w:rPr>
            </w:pPr>
          </w:p>
        </w:tc>
        <w:tc>
          <w:tcPr>
            <w:tcW w:w="4111" w:type="dxa"/>
          </w:tcPr>
          <w:p w14:paraId="154A1697" w14:textId="17515DC8" w:rsidR="00D56357" w:rsidRPr="008624A0" w:rsidRDefault="07CDAA3C" w:rsidP="00EA71CB">
            <w:pPr>
              <w:spacing w:before="130" w:after="130" w:line="276" w:lineRule="auto"/>
              <w:rPr>
                <w:rFonts w:ascii="Arial" w:eastAsia="Arial" w:hAnsi="Arial" w:cs="Arial"/>
                <w:strike/>
                <w:color w:val="00B0F0"/>
                <w:sz w:val="18"/>
                <w:szCs w:val="18"/>
              </w:rPr>
            </w:pPr>
            <w:r w:rsidRPr="008624A0">
              <w:rPr>
                <w:rFonts w:ascii="Arial" w:eastAsia="Arial" w:hAnsi="Arial" w:cs="Arial"/>
                <w:color w:val="00B0F0"/>
                <w:sz w:val="18"/>
                <w:szCs w:val="18"/>
              </w:rPr>
              <w:lastRenderedPageBreak/>
              <w:t>Art. 4a. 1. Prezes Rady Ministrów oraz właściwi ministrowie, uwzględniając potrzeby obronności i bezpieczeństwa państwa, mogą nałożyć w drodze decyzji ograniczenia w upublicznianiu w usługach sieciowych oraz portalach internetowych danych zawartych w bazach danych, o których mowa w art. 4 ust. 1a pkt 3, 8, 11 i 12, dotyczących obiektów lub obszarów:</w:t>
            </w:r>
          </w:p>
          <w:p w14:paraId="065912E3" w14:textId="6FE70C3A"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1) o których mowa w:</w:t>
            </w:r>
          </w:p>
          <w:p w14:paraId="54D1C701" w14:textId="3D1F551E"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a) art. 5 ust. 2 pkt 1, 3 i 5 ustawy z dnia 22 sierpnia 1997 r. o ochronie osób i mienia (Dz. U. z 2025 r. poz. 532),</w:t>
            </w:r>
          </w:p>
          <w:p w14:paraId="011447F6" w14:textId="5AD1D97E"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b) art. 3 pkt 2 ustawy z dnia 26 kwietnia 2007 r. o zarządzaniu kryzysowym (Dz. U. z 2023 r. poz. 122, z 2024 r. poz. 834, 1222, 1473, 1572 i 1907 oraz z 2025 r. poz. 1795),</w:t>
            </w:r>
          </w:p>
          <w:p w14:paraId="5D0BC0E6" w14:textId="4AB08C75"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c) art. 613 ust. 1 ustawy z dnia 11 marca 2022 r. o obronie Ojczyzny (Dz. U. z 2025 r. poz. 825, 1014 i 1080 oraz z 2026 r. poz. 26 i 426),</w:t>
            </w:r>
          </w:p>
          <w:p w14:paraId="4294A95C" w14:textId="29FCD4AD"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d) przepisach wydanych na podstawie art. 91 ustawy z dnia 21 sierpnia 1997 r. o gospodarce nieruchomościami (Dz. U. z 2026 r. poz. 399);</w:t>
            </w:r>
          </w:p>
          <w:p w14:paraId="6FED227E" w14:textId="10839232"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2) na których ustalono teren zamknięty.</w:t>
            </w:r>
          </w:p>
          <w:p w14:paraId="37D22D61" w14:textId="069CB5F9"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2. Szef właściwej służby specjalnej, uwzględniając potrzeby obronności i bezpieczeństwa państwa, może nałożyć w drodze decyzji ograniczenia w upublicznianiu w usługach sieciowych oraz portalach internetowych danych zawartych w bazach danych, o których mowa w art. 4 ust. 1a pkt 3, 8, 11 i 12, dotyczących obiektów lub obszarów </w:t>
            </w:r>
            <w:r w:rsidRPr="008624A0">
              <w:rPr>
                <w:rFonts w:ascii="Arial" w:eastAsia="Arial" w:hAnsi="Arial" w:cs="Arial"/>
                <w:color w:val="00B0F0"/>
                <w:sz w:val="18"/>
                <w:szCs w:val="18"/>
              </w:rPr>
              <w:lastRenderedPageBreak/>
              <w:t>wykorzystywanych przez podmioty, o których mowa w art. 11 ustawy z dnia 24 maja 2002 r. o Agencji Bezpieczeństwa Wewnętrznego oraz Agencji Wywiadu (Dz. U. z 2025 r. poz. 902 i 1366 oraz z 2026 r. poz. 26).</w:t>
            </w:r>
          </w:p>
          <w:p w14:paraId="78BC7965" w14:textId="6F3636CD"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3. Ograniczenia w upublicznianiu danych, o których mowa w ust. 1 i 2, nie obejmują udostępniania danych państwowego zasobu geodezyjnego i kartograficznego na podstawie wniosku, zgłoszenia prac geodezyjnych lub jego uzupełnienia oraz w przypadku prac realizowanych na zlecenie Służby Geodezyjnej i Kartograficznej.</w:t>
            </w:r>
          </w:p>
          <w:p w14:paraId="3DAB82F1" w14:textId="741E7ACA"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4. Zniesienie ograniczeń w upublicznianiu danych nałożonych zgodnie z ust. 1 lub 2 następuje w drodze decyzji.</w:t>
            </w:r>
          </w:p>
          <w:p w14:paraId="2EBBBF63" w14:textId="77777777" w:rsidR="00AF55AD" w:rsidRPr="008624A0" w:rsidRDefault="07CDAA3C" w:rsidP="00EA71CB">
            <w:pPr>
              <w:spacing w:before="130" w:after="130" w:line="276" w:lineRule="auto"/>
              <w:rPr>
                <w:rFonts w:ascii="Arial" w:eastAsia="Arial" w:hAnsi="Arial" w:cs="Arial"/>
                <w:color w:val="00B0F0"/>
                <w:sz w:val="18"/>
                <w:szCs w:val="18"/>
              </w:rPr>
            </w:pPr>
            <w:r w:rsidRPr="008624A0">
              <w:rPr>
                <w:rFonts w:ascii="Arial" w:eastAsia="Arial" w:hAnsi="Arial" w:cs="Arial"/>
                <w:color w:val="00B0F0"/>
                <w:sz w:val="18"/>
                <w:szCs w:val="18"/>
              </w:rPr>
              <w:t xml:space="preserve">5. Do decyzji, o których mowa w ust. 1, 2 i 4, nie stosuje się przepisów ustawy z 14 czerwca 1960 r. – Kodeks postępowania administracyjnego. </w:t>
            </w:r>
          </w:p>
          <w:p w14:paraId="579C3293" w14:textId="5BD5A8DB" w:rsidR="00D56357" w:rsidRPr="008624A0" w:rsidRDefault="07CDAA3C" w:rsidP="00EA71CB">
            <w:pPr>
              <w:spacing w:before="130" w:after="130" w:line="276" w:lineRule="auto"/>
              <w:rPr>
                <w:rFonts w:ascii="Arial" w:eastAsia="Arial" w:hAnsi="Arial" w:cs="Arial"/>
                <w:strike/>
                <w:color w:val="00B0F0"/>
                <w:sz w:val="18"/>
                <w:szCs w:val="18"/>
              </w:rPr>
            </w:pPr>
            <w:r w:rsidRPr="008624A0">
              <w:rPr>
                <w:rFonts w:ascii="Arial" w:eastAsia="Arial" w:hAnsi="Arial" w:cs="Arial"/>
                <w:color w:val="00B0F0"/>
                <w:sz w:val="18"/>
                <w:szCs w:val="18"/>
              </w:rPr>
              <w:t xml:space="preserve">6. Podmioty, o których mowa w ust. 1 i 2, przekazują niezwłocznie decyzje, o których mowa w ust. 1, 2 i 4, do </w:t>
            </w:r>
            <w:r w:rsidRPr="008624A0">
              <w:rPr>
                <w:rFonts w:ascii="Arial" w:eastAsia="Arial" w:hAnsi="Arial" w:cs="Arial"/>
                <w:color w:val="FF0000"/>
                <w:sz w:val="18"/>
                <w:szCs w:val="18"/>
              </w:rPr>
              <w:t>Ministra Obrony Narodowej</w:t>
            </w:r>
            <w:r w:rsidRPr="008624A0">
              <w:rPr>
                <w:rFonts w:ascii="Arial" w:eastAsia="Arial" w:hAnsi="Arial" w:cs="Arial"/>
                <w:color w:val="00B0F0"/>
                <w:sz w:val="18"/>
                <w:szCs w:val="18"/>
              </w:rPr>
              <w:t xml:space="preserve"> </w:t>
            </w:r>
            <w:r w:rsidRPr="008624A0">
              <w:rPr>
                <w:rFonts w:ascii="Arial" w:eastAsia="Arial" w:hAnsi="Arial" w:cs="Arial"/>
                <w:strike/>
                <w:color w:val="00B0F0"/>
                <w:sz w:val="18"/>
                <w:szCs w:val="18"/>
              </w:rPr>
              <w:t>Głównego Geodety Kraju, właściwych organów Służby Geodezyjnej i Kartograficznej odpowiedzialnych za prowadzenie baz danych, o których mowa w art. 4 ust. 1a pkt 3, 8, 11 i 12, oraz do właściwych ministrów i kierowników urzędów centralnych, przez których zostały ustalone tereny zamknięte, na których wprowadzone zostały ograniczenia w upublicznianiu danych.</w:t>
            </w:r>
          </w:p>
          <w:p w14:paraId="518D1F85" w14:textId="1C117820"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7. </w:t>
            </w:r>
            <w:r w:rsidRPr="008624A0">
              <w:rPr>
                <w:rFonts w:ascii="Arial" w:eastAsia="Arial" w:hAnsi="Arial" w:cs="Arial"/>
                <w:strike/>
                <w:color w:val="00B0F0"/>
                <w:sz w:val="18"/>
                <w:szCs w:val="18"/>
              </w:rPr>
              <w:t>Główny Geodeta Kraju</w:t>
            </w:r>
            <w:r w:rsidRPr="008624A0">
              <w:rPr>
                <w:rFonts w:ascii="Arial" w:eastAsia="Arial" w:hAnsi="Arial" w:cs="Arial"/>
                <w:color w:val="00B0F0"/>
                <w:sz w:val="18"/>
                <w:szCs w:val="18"/>
              </w:rPr>
              <w:t xml:space="preserve"> </w:t>
            </w:r>
            <w:r w:rsidRPr="008624A0">
              <w:rPr>
                <w:rFonts w:ascii="Arial" w:eastAsia="Arial" w:hAnsi="Arial" w:cs="Arial"/>
                <w:color w:val="FF0000"/>
                <w:sz w:val="18"/>
                <w:szCs w:val="18"/>
              </w:rPr>
              <w:t>Minister Obrony Narodowej</w:t>
            </w:r>
            <w:r w:rsidRPr="008624A0">
              <w:rPr>
                <w:rFonts w:ascii="Arial" w:eastAsia="Arial" w:hAnsi="Arial" w:cs="Arial"/>
                <w:color w:val="00B0F0"/>
                <w:sz w:val="18"/>
                <w:szCs w:val="18"/>
              </w:rPr>
              <w:t xml:space="preserve"> na podstawie decyzji, o których mowa w ust. 1, 2 i 4, prowadzi i aktualizuje wykaz obiektów i obszarów, w stosunku do których nałożone zostały ograniczenia w upublicznianiu danych.</w:t>
            </w:r>
          </w:p>
          <w:p w14:paraId="6893AC90" w14:textId="7A58CFE3"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8. Dane z wykazu, o którym mowa w ust. 7, nie stanowią informacji publicznej w rozumieniu ustawy z dnia 6 września 2001 r. o dostępie do </w:t>
            </w:r>
            <w:r w:rsidRPr="008624A0">
              <w:rPr>
                <w:rFonts w:ascii="Arial" w:eastAsia="Arial" w:hAnsi="Arial" w:cs="Arial"/>
                <w:color w:val="00B0F0"/>
                <w:sz w:val="18"/>
                <w:szCs w:val="18"/>
              </w:rPr>
              <w:lastRenderedPageBreak/>
              <w:t xml:space="preserve">informacji publicznej (Dz. U. z 2022 r. poz. 902 oraz z 2025 r. poz. 1844). </w:t>
            </w:r>
            <w:r w:rsidRPr="008624A0">
              <w:rPr>
                <w:rFonts w:ascii="Arial" w:eastAsia="Arial" w:hAnsi="Arial" w:cs="Arial"/>
                <w:strike/>
                <w:color w:val="00B0F0"/>
                <w:sz w:val="18"/>
                <w:szCs w:val="18"/>
              </w:rPr>
              <w:t>Główny Geodeta Kraju</w:t>
            </w:r>
            <w:r w:rsidRPr="008624A0">
              <w:rPr>
                <w:rFonts w:ascii="Arial" w:eastAsia="Arial" w:hAnsi="Arial" w:cs="Arial"/>
                <w:color w:val="00B0F0"/>
                <w:sz w:val="18"/>
                <w:szCs w:val="18"/>
              </w:rPr>
              <w:t xml:space="preserve"> </w:t>
            </w:r>
            <w:r w:rsidRPr="008624A0">
              <w:rPr>
                <w:rFonts w:ascii="Arial" w:eastAsia="Arial" w:hAnsi="Arial" w:cs="Arial"/>
                <w:color w:val="FF0000"/>
                <w:sz w:val="18"/>
                <w:szCs w:val="18"/>
              </w:rPr>
              <w:t>Minister Obrony Narodowej</w:t>
            </w:r>
            <w:r w:rsidRPr="008624A0">
              <w:rPr>
                <w:rFonts w:ascii="Arial" w:eastAsia="Arial" w:hAnsi="Arial" w:cs="Arial"/>
                <w:color w:val="00B0F0"/>
                <w:sz w:val="18"/>
                <w:szCs w:val="18"/>
              </w:rPr>
              <w:t xml:space="preserve"> udostępnia podmiotowi, który posiada odpowiednią zdolność do ochrony informacji niejawnych, na jego wniosek, informacje z wykazu oraz przekazuje wytyczne dotyczące zasad przetwarzania tych informacji.</w:t>
            </w:r>
          </w:p>
          <w:p w14:paraId="6DDC0515" w14:textId="10AA4390" w:rsidR="00D56357" w:rsidRPr="008624A0" w:rsidRDefault="07CDAA3C" w:rsidP="00EA71CB">
            <w:pPr>
              <w:spacing w:before="130" w:after="130" w:line="276" w:lineRule="auto"/>
              <w:rPr>
                <w:rFonts w:ascii="Arial" w:eastAsia="Arial" w:hAnsi="Arial" w:cs="Arial"/>
                <w:strike/>
                <w:color w:val="00B0F0"/>
                <w:sz w:val="18"/>
                <w:szCs w:val="18"/>
              </w:rPr>
            </w:pPr>
            <w:r w:rsidRPr="008624A0">
              <w:rPr>
                <w:rFonts w:ascii="Arial" w:eastAsia="Arial" w:hAnsi="Arial" w:cs="Arial"/>
                <w:color w:val="FF0000"/>
                <w:sz w:val="18"/>
                <w:szCs w:val="18"/>
              </w:rPr>
              <w:t>8a. Minister Obrony Narodowej, po każdorazowej aktualizacji</w:t>
            </w:r>
            <w:r w:rsidR="008624A0">
              <w:rPr>
                <w:rFonts w:ascii="Arial" w:eastAsia="Arial" w:hAnsi="Arial" w:cs="Arial"/>
                <w:color w:val="FF0000"/>
                <w:sz w:val="18"/>
                <w:szCs w:val="18"/>
              </w:rPr>
              <w:t>,</w:t>
            </w:r>
            <w:r w:rsidRPr="008624A0">
              <w:rPr>
                <w:rFonts w:ascii="Arial" w:eastAsia="Arial" w:hAnsi="Arial" w:cs="Arial"/>
                <w:color w:val="FF0000"/>
                <w:sz w:val="18"/>
                <w:szCs w:val="18"/>
              </w:rPr>
              <w:t xml:space="preserve"> </w:t>
            </w:r>
            <w:r w:rsidR="008624A0" w:rsidRPr="008624A0">
              <w:rPr>
                <w:rFonts w:ascii="Arial" w:eastAsia="Arial" w:hAnsi="Arial" w:cs="Arial"/>
                <w:color w:val="FF0000"/>
                <w:sz w:val="18"/>
                <w:szCs w:val="18"/>
              </w:rPr>
              <w:t xml:space="preserve">niezwłocznie </w:t>
            </w:r>
            <w:r w:rsidRPr="008624A0">
              <w:rPr>
                <w:rFonts w:ascii="Arial" w:eastAsia="Arial" w:hAnsi="Arial" w:cs="Arial"/>
                <w:color w:val="FF0000"/>
                <w:sz w:val="18"/>
                <w:szCs w:val="18"/>
              </w:rPr>
              <w:t>przekazuje wykaz, o którym mowa w ust. 7, Głównemu Geodecie Kraju oraz właściwym organom Służby Geodezyjnej i Kartograficznej.</w:t>
            </w:r>
            <w:r w:rsidRPr="008624A0">
              <w:rPr>
                <w:rFonts w:ascii="Arial" w:eastAsia="Arial" w:hAnsi="Arial" w:cs="Arial"/>
                <w:color w:val="00B0F0"/>
                <w:sz w:val="18"/>
                <w:szCs w:val="18"/>
              </w:rPr>
              <w:t xml:space="preserve"> </w:t>
            </w:r>
          </w:p>
          <w:p w14:paraId="4F202E9F" w14:textId="04B59601"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9. Niezwłocznie po otrzymaniu </w:t>
            </w:r>
            <w:r w:rsidRPr="008624A0">
              <w:rPr>
                <w:rFonts w:ascii="Arial" w:eastAsia="Arial" w:hAnsi="Arial" w:cs="Arial"/>
                <w:strike/>
                <w:color w:val="00B0F0"/>
                <w:sz w:val="18"/>
                <w:szCs w:val="18"/>
              </w:rPr>
              <w:t xml:space="preserve">decyzji, o których mowa w ust. 1, 2 i 4 </w:t>
            </w:r>
            <w:r w:rsidRPr="008624A0">
              <w:rPr>
                <w:rFonts w:ascii="Arial" w:eastAsia="Arial" w:hAnsi="Arial" w:cs="Arial"/>
                <w:color w:val="FF0000"/>
                <w:sz w:val="18"/>
                <w:szCs w:val="18"/>
              </w:rPr>
              <w:t>wykazu, o którym mowa w ust. 7</w:t>
            </w:r>
            <w:r w:rsidRPr="008624A0">
              <w:rPr>
                <w:rFonts w:ascii="Arial" w:eastAsia="Arial" w:hAnsi="Arial" w:cs="Arial"/>
                <w:color w:val="00B0F0"/>
                <w:sz w:val="18"/>
                <w:szCs w:val="18"/>
              </w:rPr>
              <w:t xml:space="preserve">, właściwe organy Służby Geodezyjnej i Kartograficznej dokonują zmian w upublicznianiu danych, w zakresie określonym w </w:t>
            </w:r>
            <w:r w:rsidRPr="008624A0">
              <w:rPr>
                <w:rFonts w:ascii="Arial" w:eastAsia="Arial" w:hAnsi="Arial" w:cs="Arial"/>
                <w:strike/>
                <w:color w:val="00B0F0"/>
                <w:sz w:val="18"/>
                <w:szCs w:val="18"/>
              </w:rPr>
              <w:t xml:space="preserve">tych decyzjach </w:t>
            </w:r>
            <w:r w:rsidRPr="008624A0">
              <w:rPr>
                <w:rFonts w:ascii="Arial" w:eastAsia="Arial" w:hAnsi="Arial" w:cs="Arial"/>
                <w:color w:val="FF0000"/>
                <w:sz w:val="18"/>
                <w:szCs w:val="18"/>
              </w:rPr>
              <w:t>tym wykazie</w:t>
            </w:r>
            <w:r w:rsidRPr="008624A0">
              <w:rPr>
                <w:rFonts w:ascii="Arial" w:eastAsia="Arial" w:hAnsi="Arial" w:cs="Arial"/>
                <w:color w:val="00B0F0"/>
                <w:sz w:val="18"/>
                <w:szCs w:val="18"/>
              </w:rPr>
              <w:t>, zgodnie z obowiązującymi standardami dotyczącymi ograniczania upubliczniania danych.</w:t>
            </w:r>
          </w:p>
          <w:p w14:paraId="488A967B" w14:textId="67D839D9"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 xml:space="preserve">10. Podmioty, o których mowa w ust. 1, mogą powierzyć realizację zadań, o których mowa w ust. 1 i 3−6, kierownikom komórek organizacyjnych lub jednostek organizacyjnych podległych tym podmiotom lub przez nich nadzorowanym właściwym w sprawach </w:t>
            </w:r>
            <w:r w:rsidRPr="008624A0">
              <w:rPr>
                <w:rFonts w:ascii="Arial" w:eastAsia="Arial" w:hAnsi="Arial" w:cs="Arial"/>
                <w:strike/>
                <w:color w:val="00B0F0"/>
                <w:sz w:val="18"/>
                <w:szCs w:val="18"/>
              </w:rPr>
              <w:t>rozpoznania geoprzestrzennego</w:t>
            </w:r>
            <w:r w:rsidR="00744EFB" w:rsidRPr="008624A0">
              <w:rPr>
                <w:rFonts w:ascii="Arial" w:eastAsia="Arial" w:hAnsi="Arial" w:cs="Arial"/>
                <w:color w:val="00B0F0"/>
                <w:sz w:val="18"/>
                <w:szCs w:val="18"/>
              </w:rPr>
              <w:t xml:space="preserve"> </w:t>
            </w:r>
            <w:r w:rsidR="00744EFB" w:rsidRPr="008624A0">
              <w:rPr>
                <w:rFonts w:ascii="Arial" w:eastAsia="Arial" w:hAnsi="Arial" w:cs="Arial"/>
                <w:color w:val="FF0000"/>
                <w:sz w:val="18"/>
                <w:szCs w:val="18"/>
              </w:rPr>
              <w:t>geodezji i kartografii</w:t>
            </w:r>
            <w:r w:rsidRPr="008624A0">
              <w:rPr>
                <w:rFonts w:ascii="Arial" w:eastAsia="Arial" w:hAnsi="Arial" w:cs="Arial"/>
                <w:color w:val="FF0000"/>
                <w:sz w:val="18"/>
                <w:szCs w:val="18"/>
              </w:rPr>
              <w:t>.</w:t>
            </w:r>
          </w:p>
          <w:p w14:paraId="4C6388D4" w14:textId="4620CC68" w:rsidR="00D56357" w:rsidRPr="008624A0" w:rsidRDefault="07CDAA3C" w:rsidP="00EA71CB">
            <w:pPr>
              <w:spacing w:before="130" w:after="130" w:line="276" w:lineRule="auto"/>
              <w:rPr>
                <w:rFonts w:ascii="Arial" w:hAnsi="Arial" w:cs="Arial"/>
                <w:sz w:val="18"/>
                <w:szCs w:val="18"/>
              </w:rPr>
            </w:pPr>
            <w:r w:rsidRPr="008624A0">
              <w:rPr>
                <w:rFonts w:ascii="Arial" w:eastAsia="Arial" w:hAnsi="Arial" w:cs="Arial"/>
                <w:color w:val="00B0F0"/>
                <w:sz w:val="18"/>
                <w:szCs w:val="18"/>
              </w:rPr>
              <w:t>11. Minister Obrony Narodowej, w porozumieniu z ministrem właściwym do spraw budownictwa, planowania i zagospodarowania przestrzennego oraz mieszkalnictwa, określi, w drodze rozporządzenia standardy dotyczące ograniczenia w upublicznianiu danych zawartych w bazach danych, o których mowa w art. 4 ust. 1a pkt 3, 8, 11 i 12, mając na względzie potrzeby obronności i bezpieczeństwa państwa.</w:t>
            </w:r>
          </w:p>
        </w:tc>
        <w:tc>
          <w:tcPr>
            <w:tcW w:w="1134" w:type="dxa"/>
          </w:tcPr>
          <w:p w14:paraId="42BA12F9" w14:textId="77777777" w:rsidR="00F43BC4" w:rsidRPr="008624A0" w:rsidRDefault="00F43BC4" w:rsidP="07CDAA3C">
            <w:pPr>
              <w:spacing w:after="160" w:line="276" w:lineRule="auto"/>
              <w:jc w:val="both"/>
              <w:rPr>
                <w:rFonts w:ascii="Arial" w:hAnsi="Arial" w:cs="Arial"/>
                <w:sz w:val="18"/>
                <w:szCs w:val="18"/>
              </w:rPr>
            </w:pPr>
          </w:p>
          <w:p w14:paraId="21850F53" w14:textId="2258C683" w:rsidR="00D56357" w:rsidRPr="008624A0" w:rsidRDefault="00D56357" w:rsidP="07CDAA3C">
            <w:pPr>
              <w:spacing w:after="160" w:line="276" w:lineRule="auto"/>
              <w:jc w:val="both"/>
              <w:rPr>
                <w:rFonts w:ascii="Arial" w:eastAsia="Arial" w:hAnsi="Arial" w:cs="Arial"/>
                <w:sz w:val="18"/>
                <w:szCs w:val="18"/>
              </w:rPr>
            </w:pPr>
          </w:p>
        </w:tc>
      </w:tr>
      <w:tr w:rsidR="000469CF" w:rsidRPr="008624A0" w14:paraId="0E8203D1" w14:textId="77777777" w:rsidTr="000469CF">
        <w:trPr>
          <w:trHeight w:val="300"/>
        </w:trPr>
        <w:tc>
          <w:tcPr>
            <w:tcW w:w="421" w:type="dxa"/>
          </w:tcPr>
          <w:p w14:paraId="3728CEEC" w14:textId="54106571"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lastRenderedPageBreak/>
              <w:t>2.</w:t>
            </w:r>
          </w:p>
        </w:tc>
        <w:tc>
          <w:tcPr>
            <w:tcW w:w="1134" w:type="dxa"/>
          </w:tcPr>
          <w:p w14:paraId="3417AEEB" w14:textId="575971EE"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6B5EBAB6" w14:textId="77777777" w:rsidR="000469CF" w:rsidRDefault="000469CF" w:rsidP="00EA71CB">
            <w:pPr>
              <w:spacing w:before="130" w:after="130"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Art. 11 ust. 5</w:t>
            </w:r>
            <w:r>
              <w:rPr>
                <w:rFonts w:ascii="Arial" w:eastAsia="Arial" w:hAnsi="Arial" w:cs="Arial"/>
                <w:color w:val="000000" w:themeColor="text1"/>
                <w:sz w:val="18"/>
                <w:szCs w:val="18"/>
              </w:rPr>
              <w:t xml:space="preserve"> ustawy zmienianej</w:t>
            </w:r>
          </w:p>
          <w:p w14:paraId="27F8A1A9" w14:textId="2DD8A5D5" w:rsidR="000469CF" w:rsidRPr="008624A0" w:rsidRDefault="000469CF" w:rsidP="00EA71CB">
            <w:pPr>
              <w:spacing w:before="130" w:after="130" w:line="276" w:lineRule="auto"/>
              <w:rPr>
                <w:rFonts w:ascii="Arial" w:eastAsia="Arial" w:hAnsi="Arial" w:cs="Arial"/>
                <w:color w:val="FF0000"/>
                <w:sz w:val="18"/>
                <w:szCs w:val="18"/>
              </w:rPr>
            </w:pPr>
            <w:r w:rsidRPr="008624A0">
              <w:rPr>
                <w:rFonts w:ascii="Arial" w:eastAsia="Arial" w:hAnsi="Arial" w:cs="Arial"/>
                <w:color w:val="00B0F0"/>
                <w:sz w:val="18"/>
                <w:szCs w:val="18"/>
              </w:rPr>
              <w:lastRenderedPageBreak/>
              <w:t>5.  Nie mogą wykonywać prac geodezyjnych lub prac kartograficznych, ani sprawować nad nimi nadzoru, osoby posiadające uprawnienia zawodowe w dziedzinie geodezji i kartografii, o których mowa w art. 43, które w ramach obowiązków służbowych realizują zadania organów Służby Geodezyjnej i Kartograficznej, zatrudnione na stanowiskach kierowniczych oraz związanych z weryfikacją wyników zgłoszonych prac geodezyjnych w urzędach obsługujących te organy, na terenie objętym właściwością miejscową tych organów.</w:t>
            </w:r>
          </w:p>
          <w:p w14:paraId="43A389EC" w14:textId="085E934F" w:rsidR="000469CF" w:rsidRPr="008624A0" w:rsidRDefault="000469CF" w:rsidP="00EA71CB">
            <w:pPr>
              <w:spacing w:line="276" w:lineRule="auto"/>
              <w:rPr>
                <w:rFonts w:ascii="Arial" w:eastAsia="Arial" w:hAnsi="Arial" w:cs="Arial"/>
                <w:color w:val="000000" w:themeColor="text1"/>
                <w:sz w:val="18"/>
                <w:szCs w:val="18"/>
              </w:rPr>
            </w:pPr>
          </w:p>
        </w:tc>
        <w:tc>
          <w:tcPr>
            <w:tcW w:w="4820" w:type="dxa"/>
          </w:tcPr>
          <w:p w14:paraId="56E885AA" w14:textId="77777777" w:rsidR="000469CF" w:rsidRPr="008624A0" w:rsidRDefault="000469CF" w:rsidP="00EA71CB">
            <w:pPr>
              <w:spacing w:after="160" w:line="276" w:lineRule="auto"/>
              <w:rPr>
                <w:rFonts w:ascii="Arial" w:eastAsia="Arial" w:hAnsi="Arial" w:cs="Arial"/>
                <w:sz w:val="18"/>
                <w:szCs w:val="18"/>
              </w:rPr>
            </w:pPr>
            <w:r>
              <w:rPr>
                <w:rFonts w:ascii="Arial" w:eastAsia="Arial" w:hAnsi="Arial" w:cs="Arial"/>
                <w:sz w:val="18"/>
                <w:szCs w:val="18"/>
              </w:rPr>
              <w:lastRenderedPageBreak/>
              <w:t>M</w:t>
            </w:r>
            <w:r w:rsidRPr="008624A0">
              <w:rPr>
                <w:rFonts w:ascii="Arial" w:eastAsia="Arial" w:hAnsi="Arial" w:cs="Arial"/>
                <w:sz w:val="18"/>
                <w:szCs w:val="18"/>
              </w:rPr>
              <w:t>odyfikacj</w:t>
            </w:r>
            <w:r>
              <w:rPr>
                <w:rFonts w:ascii="Arial" w:eastAsia="Arial" w:hAnsi="Arial" w:cs="Arial"/>
                <w:sz w:val="18"/>
                <w:szCs w:val="18"/>
              </w:rPr>
              <w:t>a</w:t>
            </w:r>
            <w:r w:rsidRPr="008624A0">
              <w:rPr>
                <w:rFonts w:ascii="Arial" w:eastAsia="Arial" w:hAnsi="Arial" w:cs="Arial"/>
                <w:sz w:val="18"/>
                <w:szCs w:val="18"/>
              </w:rPr>
              <w:t xml:space="preserve"> (na skutek </w:t>
            </w:r>
            <w:r>
              <w:rPr>
                <w:rFonts w:ascii="Arial" w:eastAsia="Arial" w:hAnsi="Arial" w:cs="Arial"/>
                <w:sz w:val="18"/>
                <w:szCs w:val="18"/>
              </w:rPr>
              <w:t>uwag strony samorządowej</w:t>
            </w:r>
            <w:r w:rsidRPr="008624A0">
              <w:rPr>
                <w:rFonts w:ascii="Arial" w:eastAsia="Arial" w:hAnsi="Arial" w:cs="Arial"/>
                <w:sz w:val="18"/>
                <w:szCs w:val="18"/>
              </w:rPr>
              <w:t xml:space="preserve"> w ramach KWRiST) pierwotnie zaproponowanego rozwiązania</w:t>
            </w:r>
            <w:r>
              <w:rPr>
                <w:rFonts w:ascii="Arial" w:eastAsia="Arial" w:hAnsi="Arial" w:cs="Arial"/>
                <w:sz w:val="18"/>
                <w:szCs w:val="18"/>
              </w:rPr>
              <w:t xml:space="preserve">, poprzez ograniczenie zakazu dotyczącego </w:t>
            </w:r>
            <w:r>
              <w:rPr>
                <w:rFonts w:ascii="Arial" w:eastAsia="Arial" w:hAnsi="Arial" w:cs="Arial"/>
                <w:sz w:val="18"/>
                <w:szCs w:val="18"/>
              </w:rPr>
              <w:lastRenderedPageBreak/>
              <w:t>obszaru całego kraju tylko do terenu powiatu,</w:t>
            </w:r>
            <w:r w:rsidRPr="008624A0">
              <w:rPr>
                <w:rFonts w:ascii="Arial" w:eastAsia="Arial" w:hAnsi="Arial" w:cs="Arial"/>
                <w:sz w:val="18"/>
                <w:szCs w:val="18"/>
              </w:rPr>
              <w:t xml:space="preserve"> powoduje, że przedmiotowa regulacja nie będzie spełniała swoich celów</w:t>
            </w:r>
            <w:r>
              <w:rPr>
                <w:rFonts w:ascii="Arial" w:eastAsia="Arial" w:hAnsi="Arial" w:cs="Arial"/>
                <w:sz w:val="18"/>
                <w:szCs w:val="18"/>
              </w:rPr>
              <w:t>. Zatem</w:t>
            </w:r>
            <w:r w:rsidRPr="008624A0">
              <w:rPr>
                <w:rFonts w:ascii="Arial" w:eastAsia="Arial" w:hAnsi="Arial" w:cs="Arial"/>
                <w:sz w:val="18"/>
                <w:szCs w:val="18"/>
              </w:rPr>
              <w:t xml:space="preserve"> postuluję wykreślenie ust. 5</w:t>
            </w:r>
            <w:r>
              <w:rPr>
                <w:rFonts w:ascii="Arial" w:eastAsia="Arial" w:hAnsi="Arial" w:cs="Arial"/>
                <w:sz w:val="18"/>
                <w:szCs w:val="18"/>
              </w:rPr>
              <w:t xml:space="preserve"> w takim brzmieniu,</w:t>
            </w:r>
            <w:r w:rsidRPr="008624A0">
              <w:rPr>
                <w:rFonts w:ascii="Arial" w:eastAsia="Arial" w:hAnsi="Arial" w:cs="Arial"/>
                <w:sz w:val="18"/>
                <w:szCs w:val="18"/>
              </w:rPr>
              <w:t xml:space="preserve"> w całości.</w:t>
            </w:r>
          </w:p>
          <w:p w14:paraId="315CA6FF"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 xml:space="preserve">Łączenie funkcji urzędnika odpowiedzialnego za wykonywanie zadań z zakresu administracji geodezyjnej i kartograficznej z działalnością zarobkową na rynku usług geodezyjnych stwarza obiektywną możliwość powstania podejrzenia stronniczości. Dla przykładu, nawet jeśli pracownik formalnie, bądź faktycznie nie uczestniczy w procesie weryfikacji wyników zgłoszonych przez siebie prac, czy też nie aktualizuje baz danych w oparciu o operat, który sam sporządził (ponieważ nie wykonuje tych prac lub nie jest ich kierownikiem na terenie powiatu, w którym jest zatrudniony) to sam fakt funkcjonowania na wspólnym rynku usług geodezyjnych prowadzi w szczególności do nierównej konkurencji. </w:t>
            </w:r>
          </w:p>
          <w:p w14:paraId="4A7F4F1D"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Podobnie w przypadku osób zatrudnionych na stanowiskach związanych z weryfikacją wyników zgłoszonych prac geodezyjnych, które wykonują lub zgodnie z procedowanym obecnie projektem ustawy o zmianie ustawy – Prawo geodezyjne i kartograficzne oraz ustawy o infrastrukturze informacji przestrzennej, pod numerem z Wykazu prac legislacyjnych i programowych Rady Ministrów – UD60</w:t>
            </w:r>
            <w:hyperlink r:id="rId8" w:anchor="_ftn1">
              <w:r w:rsidRPr="008624A0">
                <w:rPr>
                  <w:rStyle w:val="Hipercze"/>
                  <w:rFonts w:ascii="Arial" w:eastAsia="Arial" w:hAnsi="Arial" w:cs="Arial"/>
                  <w:sz w:val="18"/>
                  <w:szCs w:val="18"/>
                  <w:vertAlign w:val="superscript"/>
                </w:rPr>
                <w:t>[1]</w:t>
              </w:r>
            </w:hyperlink>
            <w:r w:rsidRPr="008624A0">
              <w:rPr>
                <w:rFonts w:ascii="Arial" w:eastAsia="Arial" w:hAnsi="Arial" w:cs="Arial"/>
                <w:sz w:val="18"/>
                <w:szCs w:val="18"/>
              </w:rPr>
              <w:t xml:space="preserve"> – będą mogły za aprobatą Ustawodawcy wykonywać prace geodezyjne w sąsiednich powiatach, i weryfikować prace innym osobom wykonującym prace geodezyjne, czyt. Osobom prowadzącym działalność konkurencyjną w stosunku do pracowników urzędu, m.in. zajmującymi się przedmiotową weryfikacją. </w:t>
            </w:r>
          </w:p>
          <w:p w14:paraId="110AFA82"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Analogicznie wypowiedział się w tym względzie Naczelny Sąd Administracyjny w wyroku z 9 grudnia 1999 r.: </w:t>
            </w:r>
            <w:r w:rsidRPr="008624A0">
              <w:rPr>
                <w:rFonts w:ascii="Arial" w:eastAsia="Arial" w:hAnsi="Arial" w:cs="Arial"/>
                <w:i/>
                <w:iCs/>
                <w:sz w:val="18"/>
                <w:szCs w:val="18"/>
              </w:rPr>
              <w:t>O sprzeczności z obowiązkami możemy mówić, np. jeżeli pracownik zajmujący się w urzędzie podatkami i opłatami lokalnymi jednocześnie świadczy usługi doradztwa podatkowego</w:t>
            </w:r>
            <w:r w:rsidRPr="008624A0">
              <w:rPr>
                <w:rFonts w:ascii="Arial" w:eastAsia="Arial" w:hAnsi="Arial" w:cs="Arial"/>
                <w:sz w:val="18"/>
                <w:szCs w:val="18"/>
              </w:rPr>
              <w:t xml:space="preserve"> (wyr. NSA z 9.12.1999 r., II SA 1613/99, niepubl.). </w:t>
            </w:r>
          </w:p>
          <w:p w14:paraId="6D390113"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Również w glosie do wyroku WSA w Lublinie z 5.2.2015 r. (III SA/Lu 532/14, Legalis), za r. pr. A. Rzetecka-Gil: </w:t>
            </w:r>
            <w:r w:rsidRPr="008624A0">
              <w:rPr>
                <w:rFonts w:ascii="Arial" w:eastAsia="Arial" w:hAnsi="Arial" w:cs="Arial"/>
                <w:i/>
                <w:iCs/>
                <w:sz w:val="18"/>
                <w:szCs w:val="18"/>
              </w:rPr>
              <w:t xml:space="preserve">w wyroku WSA w Lublinie orzekł, że ocena, czy doszło do naruszenia zakazu w konkretnej sytuacji, powinna </w:t>
            </w:r>
            <w:r w:rsidRPr="008624A0">
              <w:rPr>
                <w:rFonts w:ascii="Arial" w:eastAsia="Arial" w:hAnsi="Arial" w:cs="Arial"/>
                <w:i/>
                <w:iCs/>
                <w:sz w:val="18"/>
                <w:szCs w:val="18"/>
              </w:rPr>
              <w:lastRenderedPageBreak/>
              <w:t xml:space="preserve">opierać się na rozważeniu relacji pomiędzy obowiązkami pracownika samorządowego na stanowisku, na którym jest zatrudniony w urzędzie, oraz rodzajem dodatkowych zajęć, które podjął. Najczęściej do naruszenia zakazu z art. 30 ust. 1 PracSamU będzie dochodzić w sytuacjach, </w:t>
            </w:r>
            <w:r w:rsidRPr="008624A0">
              <w:rPr>
                <w:rFonts w:ascii="Arial" w:eastAsia="Arial" w:hAnsi="Arial" w:cs="Arial"/>
                <w:i/>
                <w:iCs/>
                <w:sz w:val="18"/>
                <w:szCs w:val="18"/>
                <w:u w:val="single"/>
              </w:rPr>
              <w:t>w których istnieje ryzyko</w:t>
            </w:r>
            <w:r w:rsidRPr="008624A0">
              <w:rPr>
                <w:rFonts w:ascii="Arial" w:eastAsia="Arial" w:hAnsi="Arial" w:cs="Arial"/>
                <w:i/>
                <w:iCs/>
                <w:sz w:val="18"/>
                <w:szCs w:val="18"/>
              </w:rPr>
              <w:t xml:space="preserve">, że pracownik mógłby wykorzystać swoje kompetencje urzędowe w działalności, którą podejmuje dodatkowo. Sąd stwierdził, że użyte w art. 30 ust. 1 PracSamU terminy „stronniczość” i „interesowność” mają charakter pojęć niedookreślonych. Nie jest możliwe ich abstrakcyjne zdefiniowanie, można jedynie zarysować pewne ogólne kierunki ich interpretacji. Nadanie tym pojęciom konkretnej treści, czyli wyjaśnienie, czy dany rodzaj zajęcia może wzbudzać podejrzenia stronniczości lub interesowności, wymaga odniesienia się do całokształtu okoliczności danego, konkretnego przypadku. Jak wskazuje się w literaturze przedmiotu, sposób sformułowania ustawowych przesłanek zakazu („wywołujących uzasadnione podejrzenie”) wskazuje, że nie jest konieczne wykazanie, że pracownik rzeczywiście działa w sposób stronniczy lub interesowny, chodzi </w:t>
            </w:r>
            <w:r w:rsidRPr="008624A0">
              <w:rPr>
                <w:rFonts w:ascii="Arial" w:eastAsia="Arial" w:hAnsi="Arial" w:cs="Arial"/>
                <w:i/>
                <w:iCs/>
                <w:sz w:val="18"/>
                <w:szCs w:val="18"/>
                <w:u w:val="single"/>
              </w:rPr>
              <w:t>tylko o możliwość zaistnienia takiej sytuacji</w:t>
            </w:r>
            <w:r w:rsidRPr="008624A0">
              <w:rPr>
                <w:rFonts w:ascii="Arial" w:eastAsia="Arial" w:hAnsi="Arial" w:cs="Arial"/>
                <w:i/>
                <w:iCs/>
                <w:sz w:val="18"/>
                <w:szCs w:val="18"/>
              </w:rPr>
              <w:t xml:space="preserve"> (por. A. Szewc (red.), A. Jochymczyk, R. Majewska, Ustawa o pracownikach…, Legalis/el. 2011, komentarz do art. 30 PracSamU, pkt 3; podobnie A. Rzetecka-Gil, w: Ustawa o pracownikach…, LexPolonica /el. 2009, komentarz do art. 30, pkt 17). Omawiany zakaz ma przede wszystkim charakter profilaktyczny, a zatem może i powinien wyprzedzać realne wydarzenia (por. S. Płażek, w: Prawo urzędnicze…, komentarz do art. 30 PracSamU, pkt 7). </w:t>
            </w:r>
            <w:r w:rsidRPr="008624A0">
              <w:rPr>
                <w:rFonts w:ascii="Arial" w:hAnsi="Arial" w:cs="Arial"/>
                <w:sz w:val="18"/>
                <w:szCs w:val="18"/>
              </w:rPr>
              <w:br/>
            </w:r>
            <w:r w:rsidRPr="008624A0">
              <w:rPr>
                <w:rFonts w:ascii="Arial" w:eastAsia="Arial" w:hAnsi="Arial" w:cs="Arial"/>
                <w:sz w:val="18"/>
                <w:szCs w:val="18"/>
              </w:rPr>
              <w:t xml:space="preserve">Jak również podkreśla doktryna, nie chodzi o wykazanie konkretnych zdarzeń, które miały stronniczy/interesowny charakter, lecz o wykazanie, że takie niebezpieczeństwo racjonalnie istnieje. </w:t>
            </w:r>
          </w:p>
          <w:p w14:paraId="3EEB2A6B" w14:textId="77777777" w:rsidR="000469CF" w:rsidRPr="008624A0" w:rsidRDefault="000469CF" w:rsidP="00EA71CB">
            <w:pPr>
              <w:spacing w:after="160" w:line="276" w:lineRule="auto"/>
              <w:rPr>
                <w:rFonts w:ascii="Arial" w:eastAsia="Arial" w:hAnsi="Arial" w:cs="Arial"/>
                <w:sz w:val="18"/>
                <w:szCs w:val="18"/>
              </w:rPr>
            </w:pPr>
            <w:r>
              <w:rPr>
                <w:rFonts w:ascii="Arial" w:eastAsia="Arial" w:hAnsi="Arial" w:cs="Arial"/>
                <w:sz w:val="18"/>
                <w:szCs w:val="18"/>
              </w:rPr>
              <w:t>Z dorobku</w:t>
            </w:r>
            <w:r w:rsidRPr="008624A0">
              <w:rPr>
                <w:rFonts w:ascii="Arial" w:eastAsia="Arial" w:hAnsi="Arial" w:cs="Arial"/>
                <w:sz w:val="18"/>
                <w:szCs w:val="18"/>
              </w:rPr>
              <w:t xml:space="preserve"> judykatury i doktryny, generalnie przyjmuje się, że zakazy łączenia pewnych funkcji z innymi funkcjami lub prowadzeniem działalności gospodarczej mieszczą się w pojęciu zasady incompatibilitas. Owa łacińska niepołączalność to prawna zasada zakazująca łączenia m.in. określonych funkcji publicznych z innymi stanowiskami państwowymi lub zawodowymi. Ma na celu zapobieganie konfliktom interesów, zapewnia </w:t>
            </w:r>
            <w:r w:rsidRPr="008624A0">
              <w:rPr>
                <w:rFonts w:ascii="Arial" w:eastAsia="Arial" w:hAnsi="Arial" w:cs="Arial"/>
                <w:sz w:val="18"/>
                <w:szCs w:val="18"/>
              </w:rPr>
              <w:lastRenderedPageBreak/>
              <w:t xml:space="preserve">niezależność władzy i jest gwarancją demokratycznego państwa prawa. </w:t>
            </w:r>
            <w:r w:rsidRPr="008624A0">
              <w:rPr>
                <w:rFonts w:ascii="Arial" w:hAnsi="Arial" w:cs="Arial"/>
                <w:sz w:val="18"/>
                <w:szCs w:val="18"/>
              </w:rPr>
              <w:br/>
            </w:r>
            <w:r w:rsidRPr="008624A0">
              <w:rPr>
                <w:rFonts w:ascii="Arial" w:eastAsia="Arial" w:hAnsi="Arial" w:cs="Arial"/>
                <w:sz w:val="18"/>
                <w:szCs w:val="18"/>
              </w:rPr>
              <w:t>W literaturze podkreśla się również, że: "Instytucja incompatibilitas stanowi wyraz powszechnie akceptowanych wymagań stawianych funkcjonariuszom władzy publicznej; ma powszechne zastosowanie w systemach demokratycznych wobec osób sprawujących władzę zarówno na szczeblu ogólnopaństwowym, jak i lokalnym; traktowana jest jako gwarancja należytego wywiązywania się z obowiązków mandatariusza; chroni przed uwikłaniem w powiązania i sprzeczności interesów wynikające z jednoczesnego łączenia różnych ról społecznych, które mogłyby rzutować na niezależność wykonywania mandatu, podważać autorytet sprawowanej władzy lub budzić zastrzeżenia co do bezstronności i uczciwości jej piastuna. We współczesnych demokracjach szczególną uwagę przywiązuje się bowiem do etycznych aspektów życia publicznego, domagając się przestrzegania w nim reguł jawności, bezinteresowności, uczciwości" (K.W. Czaplicki, B. Dauter, A. Kisielewicz, F. Rymarz, Samorządowe prawo wyborcze. Komentarz, Warszawa 2006, s. 598). Przedstawiciele doktryny podkreślają również, że: "Osoby pełniące służbę publiczną w jednostkach samorządu terytorialnego w zamian za swoją działalność otrzymują wynagrodzenie lub uposażenie i inne świadczenia, jakie przysługują im z mocy prawa. Są one wyraźnie, enumeratywnie wyliczone w ustawach i aktach wewnętrznych urzędów. Świadczenia te powinny stanowić wystarczający ekwiwalent za ich zaangażowanie w działalność publiczną lub pracę - bez względu na to, jak oni oceniają ich wysokość i zakres" (R. Suwaj, Analiza stanu prawnego w zakresie problematyki antykorupcyjnej na poziomie gminy, ST 2000, Nr 4, s. 25).</w:t>
            </w:r>
            <w:hyperlink r:id="rId9" w:anchor="_ftn2">
              <w:r w:rsidRPr="008624A0">
                <w:rPr>
                  <w:rStyle w:val="Hipercze"/>
                  <w:rFonts w:ascii="Arial" w:eastAsia="Arial" w:hAnsi="Arial" w:cs="Arial"/>
                  <w:sz w:val="18"/>
                  <w:szCs w:val="18"/>
                  <w:vertAlign w:val="superscript"/>
                </w:rPr>
                <w:t>[2]</w:t>
              </w:r>
            </w:hyperlink>
            <w:r w:rsidRPr="008624A0">
              <w:rPr>
                <w:rFonts w:ascii="Arial" w:eastAsia="Arial" w:hAnsi="Arial" w:cs="Arial"/>
                <w:sz w:val="18"/>
                <w:szCs w:val="18"/>
              </w:rPr>
              <w:t xml:space="preserve"> </w:t>
            </w:r>
          </w:p>
          <w:p w14:paraId="5EC70FBB"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Zasadnym jest w tym miejscu zauważyć również, iż projektowany obecnie art. 11 ust. 5 ustawy o zmianie ustawy Pgik w brzmieniu:</w:t>
            </w:r>
          </w:p>
          <w:p w14:paraId="15B35001" w14:textId="77777777" w:rsidR="000469CF" w:rsidRDefault="000469CF" w:rsidP="00EA71CB">
            <w:pPr>
              <w:spacing w:after="160" w:line="276" w:lineRule="auto"/>
              <w:rPr>
                <w:rFonts w:ascii="Arial" w:eastAsia="Arial" w:hAnsi="Arial" w:cs="Arial"/>
                <w:b/>
                <w:bCs/>
                <w:i/>
                <w:iCs/>
                <w:sz w:val="18"/>
                <w:szCs w:val="18"/>
              </w:rPr>
            </w:pPr>
            <w:r w:rsidRPr="008624A0">
              <w:rPr>
                <w:rFonts w:ascii="Arial" w:eastAsia="Arial" w:hAnsi="Arial" w:cs="Arial"/>
                <w:i/>
                <w:iCs/>
                <w:sz w:val="18"/>
                <w:szCs w:val="18"/>
              </w:rPr>
              <w:t xml:space="preserve">Nie mogą wykonywać prac geodezyjnych lub prac kartograficznych, ani sprawować nad nimi nadzoru, osoby posiadające uprawnie-nia zawodowe w dziedzinie geodezji i kartografii, o których mowa w art. 43, które w ramach obowiązków służbowych realizują zada-nia </w:t>
            </w:r>
            <w:r w:rsidRPr="008624A0">
              <w:rPr>
                <w:rFonts w:ascii="Arial" w:eastAsia="Arial" w:hAnsi="Arial" w:cs="Arial"/>
                <w:i/>
                <w:iCs/>
                <w:sz w:val="18"/>
                <w:szCs w:val="18"/>
              </w:rPr>
              <w:lastRenderedPageBreak/>
              <w:t xml:space="preserve">organów Służby Geodezyjnej i Kartograficznej, zatrudnione na stanowiskach kierowniczych oraz związanych z weryfikacją wyników zgłoszonych prac geodezyjnych w urzędach obsługujących te organy, </w:t>
            </w:r>
            <w:r w:rsidRPr="008624A0">
              <w:rPr>
                <w:rFonts w:ascii="Arial" w:eastAsia="Arial" w:hAnsi="Arial" w:cs="Arial"/>
                <w:b/>
                <w:bCs/>
                <w:i/>
                <w:iCs/>
                <w:sz w:val="18"/>
                <w:szCs w:val="18"/>
              </w:rPr>
              <w:t>na terenie objętym właściwością miejscową tych organów</w:t>
            </w:r>
            <w:r>
              <w:rPr>
                <w:rFonts w:ascii="Arial" w:eastAsia="Arial" w:hAnsi="Arial" w:cs="Arial"/>
                <w:b/>
                <w:bCs/>
                <w:i/>
                <w:iCs/>
                <w:sz w:val="18"/>
                <w:szCs w:val="18"/>
              </w:rPr>
              <w:t xml:space="preserve">, </w:t>
            </w:r>
          </w:p>
          <w:p w14:paraId="1B10EC64" w14:textId="17C74C63" w:rsidR="000469CF" w:rsidRPr="008624A0" w:rsidRDefault="00EA71CB" w:rsidP="00EA71CB">
            <w:pPr>
              <w:spacing w:after="160" w:line="276" w:lineRule="auto"/>
              <w:rPr>
                <w:rFonts w:ascii="Arial" w:eastAsia="Arial" w:hAnsi="Arial" w:cs="Arial"/>
                <w:sz w:val="18"/>
                <w:szCs w:val="18"/>
              </w:rPr>
            </w:pPr>
            <w:r>
              <w:rPr>
                <w:rFonts w:ascii="Arial" w:eastAsia="Arial" w:hAnsi="Arial" w:cs="Arial"/>
                <w:sz w:val="18"/>
                <w:szCs w:val="18"/>
              </w:rPr>
              <w:t>P</w:t>
            </w:r>
            <w:r w:rsidR="000469CF" w:rsidRPr="009E7A1A">
              <w:rPr>
                <w:rFonts w:ascii="Arial" w:eastAsia="Arial" w:hAnsi="Arial" w:cs="Arial"/>
                <w:sz w:val="18"/>
                <w:szCs w:val="18"/>
              </w:rPr>
              <w:t>o</w:t>
            </w:r>
            <w:r w:rsidR="000469CF" w:rsidRPr="008624A0">
              <w:rPr>
                <w:rFonts w:ascii="Arial" w:eastAsia="Arial" w:hAnsi="Arial" w:cs="Arial"/>
                <w:sz w:val="18"/>
                <w:szCs w:val="18"/>
              </w:rPr>
              <w:t xml:space="preserve">za wątpliwościami natury demokratyczno-etycznej wskazanymi powyżej, budzi wątpliwości dotyczące konkurencyjności między podmiotami, prowadzącymi działalność gospodarczą w zakresie świadczenia usług geodezyjnymi a podmiotami, które będąc pracownikami organów administracji publicznej wykonują biznesowo działalność tego samego rodzaju w pozostałych/sąsiednich powiatach i weryfikują w ramach pracy w urzędzie – wyniki prac geodezyjnych konkurentom gospodarczym. Prowadzi to do wątpliwości w zakresie legislacyjnego wprowadzenia mechanizmów umożlwiających stosowanie praktyk mogących skutkować podziałem rynku zbytu usług geodezyjnych między de facto pracowników administracji, którzy mogą mniej rygorystycznie weryfikować prace osób zatrudnionych w strukturach służby geodezyjnej i kartograficznej, a większy nacisk, skutkujący nawet nieprzyjęciem wyników prac geodezyjnych do zasobu dla osób, które są konkurencją na rynku usług, tudzież ograniczaniu dostępu do rynku lub eliminowaniu z rynku przedsiębiorców nieobjętych porozumieniem. </w:t>
            </w:r>
          </w:p>
          <w:p w14:paraId="73496A61"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Główny Geodeta Kraju nie przesądza, że powyższe zaistnieje, ale stoi na stanowisku, iż przepisy nie powinny wprowadzać mechanizmów, które przyzwalają na powyższe.</w:t>
            </w:r>
          </w:p>
          <w:p w14:paraId="6282F1F7" w14:textId="77777777" w:rsidR="000469CF" w:rsidRPr="008624A0" w:rsidRDefault="000469CF" w:rsidP="00EA71CB">
            <w:pPr>
              <w:spacing w:after="160" w:line="276" w:lineRule="auto"/>
              <w:rPr>
                <w:rFonts w:ascii="Arial" w:eastAsia="Arial" w:hAnsi="Arial" w:cs="Arial"/>
                <w:sz w:val="18"/>
                <w:szCs w:val="18"/>
              </w:rPr>
            </w:pPr>
            <w:r w:rsidRPr="008624A0">
              <w:rPr>
                <w:rFonts w:ascii="Arial" w:eastAsia="Arial" w:hAnsi="Arial" w:cs="Arial"/>
                <w:sz w:val="18"/>
                <w:szCs w:val="18"/>
              </w:rPr>
              <w:t>Kolejnym aspektem jest fakt, że urzędnik wykonujący prace geodezyjne może wykorzystywać swoją pozycję do zdobywania klientów.</w:t>
            </w:r>
          </w:p>
          <w:p w14:paraId="54896BC4" w14:textId="77777777" w:rsidR="000469CF" w:rsidRPr="008624A0" w:rsidRDefault="000469CF" w:rsidP="00EA71CB">
            <w:pPr>
              <w:spacing w:line="276" w:lineRule="auto"/>
              <w:rPr>
                <w:rFonts w:ascii="Arial" w:eastAsia="Arial" w:hAnsi="Arial" w:cs="Arial"/>
                <w:sz w:val="18"/>
                <w:szCs w:val="18"/>
              </w:rPr>
            </w:pPr>
            <w:hyperlink r:id="rId10" w:anchor="_ftnref1">
              <w:r w:rsidRPr="008624A0">
                <w:rPr>
                  <w:rStyle w:val="Hipercze"/>
                  <w:rFonts w:ascii="Arial" w:eastAsia="Arial" w:hAnsi="Arial" w:cs="Arial"/>
                  <w:sz w:val="18"/>
                  <w:szCs w:val="18"/>
                  <w:vertAlign w:val="superscript"/>
                </w:rPr>
                <w:t>[1]</w:t>
              </w:r>
            </w:hyperlink>
            <w:r w:rsidRPr="008624A0">
              <w:rPr>
                <w:rFonts w:ascii="Arial" w:eastAsia="Arial" w:hAnsi="Arial" w:cs="Arial"/>
                <w:sz w:val="18"/>
                <w:szCs w:val="18"/>
              </w:rPr>
              <w:t xml:space="preserve"> Dalej: ustawa o zmianie ustawy Pgik</w:t>
            </w:r>
          </w:p>
          <w:p w14:paraId="418FCAAE" w14:textId="36F832A4" w:rsidR="000469CF" w:rsidRPr="008624A0" w:rsidRDefault="000469CF" w:rsidP="00EA71CB">
            <w:pPr>
              <w:spacing w:before="130" w:after="130" w:line="276" w:lineRule="auto"/>
              <w:rPr>
                <w:rFonts w:ascii="Arial" w:eastAsia="Arial" w:hAnsi="Arial" w:cs="Arial"/>
                <w:color w:val="FF0000"/>
                <w:sz w:val="18"/>
                <w:szCs w:val="18"/>
              </w:rPr>
            </w:pPr>
            <w:hyperlink r:id="rId11" w:anchor="_ftnref2">
              <w:r w:rsidRPr="008624A0">
                <w:rPr>
                  <w:rStyle w:val="Hipercze"/>
                  <w:rFonts w:ascii="Arial" w:eastAsia="Arial" w:hAnsi="Arial" w:cs="Arial"/>
                  <w:sz w:val="18"/>
                  <w:szCs w:val="18"/>
                  <w:vertAlign w:val="superscript"/>
                </w:rPr>
                <w:t>[2]</w:t>
              </w:r>
            </w:hyperlink>
            <w:r w:rsidRPr="008624A0">
              <w:rPr>
                <w:rFonts w:ascii="Arial" w:eastAsia="Arial" w:hAnsi="Arial" w:cs="Arial"/>
                <w:sz w:val="18"/>
                <w:szCs w:val="18"/>
              </w:rPr>
              <w:t xml:space="preserve"> A. Wierzbica, Ustawa o ograniczeniu prowadzenia działalności gospodarczej przez osoby pełniące funkcje publiczne. Komentarz, wyd. 1, 2017.</w:t>
            </w:r>
          </w:p>
        </w:tc>
        <w:tc>
          <w:tcPr>
            <w:tcW w:w="4111" w:type="dxa"/>
          </w:tcPr>
          <w:p w14:paraId="101AAF8D" w14:textId="20AD809E"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lastRenderedPageBreak/>
              <w:t xml:space="preserve">Wykreślenie </w:t>
            </w:r>
            <w:r>
              <w:rPr>
                <w:rFonts w:ascii="Arial" w:eastAsia="Arial" w:hAnsi="Arial" w:cs="Arial"/>
                <w:sz w:val="18"/>
                <w:szCs w:val="18"/>
              </w:rPr>
              <w:t>ust. 5 w całości</w:t>
            </w:r>
          </w:p>
        </w:tc>
        <w:tc>
          <w:tcPr>
            <w:tcW w:w="1134" w:type="dxa"/>
          </w:tcPr>
          <w:p w14:paraId="3F676391" w14:textId="68CBFC89" w:rsidR="000469CF" w:rsidRPr="008624A0" w:rsidRDefault="000469CF" w:rsidP="000469CF">
            <w:pPr>
              <w:spacing w:line="276" w:lineRule="auto"/>
              <w:jc w:val="both"/>
              <w:rPr>
                <w:rFonts w:ascii="Arial" w:eastAsia="Arial" w:hAnsi="Arial" w:cs="Arial"/>
                <w:sz w:val="18"/>
                <w:szCs w:val="18"/>
              </w:rPr>
            </w:pPr>
          </w:p>
        </w:tc>
      </w:tr>
      <w:tr w:rsidR="000469CF" w:rsidRPr="008624A0" w14:paraId="3311047E" w14:textId="77777777" w:rsidTr="000469CF">
        <w:trPr>
          <w:trHeight w:val="300"/>
        </w:trPr>
        <w:tc>
          <w:tcPr>
            <w:tcW w:w="421" w:type="dxa"/>
          </w:tcPr>
          <w:p w14:paraId="6443E062" w14:textId="0776615C"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lastRenderedPageBreak/>
              <w:t>3.</w:t>
            </w:r>
          </w:p>
        </w:tc>
        <w:tc>
          <w:tcPr>
            <w:tcW w:w="1134" w:type="dxa"/>
          </w:tcPr>
          <w:p w14:paraId="711A00A4" w14:textId="1D748BE8"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2082DEA0" w14:textId="77777777" w:rsidR="000469CF" w:rsidRDefault="000469CF" w:rsidP="00EA71CB">
            <w:pPr>
              <w:spacing w:before="130" w:after="130"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Art 24 ust 2d</w:t>
            </w:r>
            <w:r>
              <w:rPr>
                <w:rFonts w:ascii="Arial" w:eastAsia="Arial" w:hAnsi="Arial" w:cs="Arial"/>
                <w:color w:val="000000" w:themeColor="text1"/>
                <w:sz w:val="18"/>
                <w:szCs w:val="18"/>
              </w:rPr>
              <w:t xml:space="preserve"> ustawy zmienianej</w:t>
            </w:r>
          </w:p>
          <w:p w14:paraId="612685D1" w14:textId="2D2FDECB" w:rsidR="000469CF" w:rsidRPr="008624A0" w:rsidRDefault="000469CF" w:rsidP="00EA71CB">
            <w:pPr>
              <w:spacing w:before="130" w:after="130" w:line="276" w:lineRule="auto"/>
              <w:rPr>
                <w:rFonts w:ascii="Arial" w:eastAsia="Arial" w:hAnsi="Arial" w:cs="Arial"/>
                <w:color w:val="00B0F0"/>
                <w:sz w:val="18"/>
                <w:szCs w:val="18"/>
              </w:rPr>
            </w:pPr>
            <w:r w:rsidRPr="008624A0">
              <w:rPr>
                <w:rFonts w:ascii="Arial" w:eastAsia="Arial" w:hAnsi="Arial" w:cs="Arial"/>
                <w:color w:val="00B0F0"/>
                <w:sz w:val="18"/>
                <w:szCs w:val="18"/>
              </w:rPr>
              <w:t>2d. Aktualizacja informacji zawartych w ewidencji gruntów i budynków, dotycząca zmiany lasu na inny użytek gruntowy, jest dokonywana w uzgodnieniu z dyrektorem regionalnej dyrekcji Lasów Państwowych. Dyrektor regionalnej dyrekcji Lasów Państwowych, nie później niż w terminie 14 dni od dnia otrzymania wniosku o uzgodnienie, może wnieść sprzeciw wobec zmiany informacji zawartych w ewidencji gruntów i budynków. Brak wniesienia sprzeciwu w tym terminie uznaje się za równoznaczne z uzgodnieniem zmiany.</w:t>
            </w:r>
          </w:p>
          <w:p w14:paraId="4714E14E" w14:textId="1DE8842F" w:rsidR="000469CF" w:rsidRPr="008624A0" w:rsidRDefault="000469CF" w:rsidP="00EA71CB">
            <w:pPr>
              <w:spacing w:line="276" w:lineRule="auto"/>
              <w:rPr>
                <w:rFonts w:ascii="Arial" w:eastAsia="Arial" w:hAnsi="Arial" w:cs="Arial"/>
                <w:color w:val="00B0F0"/>
                <w:sz w:val="18"/>
                <w:szCs w:val="18"/>
              </w:rPr>
            </w:pPr>
          </w:p>
        </w:tc>
        <w:tc>
          <w:tcPr>
            <w:tcW w:w="4820" w:type="dxa"/>
          </w:tcPr>
          <w:p w14:paraId="795BD7DB"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GGK wyraża stanowczą dezaprobatę dla zaproponowanego rozwiązania i wnioskuje o wykreślenie w całości wskazanego zapisu art 24 ust. 2d.</w:t>
            </w:r>
          </w:p>
          <w:p w14:paraId="5374F2C1"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Przedmiotowa regulacja zaburza rozwiązania systemowe przyjęte w ustawie Pgik i kłóci się z generalnymi zasadami prowadzenia ewidencji gruntów i budynków. Ewidencja służy do rejestrowania stanów prawnych oraz faktycznych. Jej podstawową cechą - w założeniu - jest aktualność informacji w niej zawartych. Zmiany w EGiB są pochodną pewnych zdarzeń i wynikają z określonych ustawowo dokumentów.</w:t>
            </w:r>
          </w:p>
          <w:p w14:paraId="4891BC3E" w14:textId="53CA3420"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Zaproponowana konstrukcja uzgodnienia zmiany dotyczącej rodzaju użytku gruntowego i możliwości wniesienia sprzeciwu stanowi wyłom od powyższych zasad, jakimi cechuje się ten rejestr. W ocenie tut. Organu dokonanie zmian w EGiB nie powinno być uzależnione od zgody innego organu, gdyż czynność ta nie mieści się w sferze uznaniowości</w:t>
            </w:r>
            <w:r w:rsidR="00EA71CB">
              <w:rPr>
                <w:rFonts w:ascii="Arial" w:eastAsia="Arial" w:hAnsi="Arial" w:cs="Arial"/>
                <w:sz w:val="18"/>
                <w:szCs w:val="18"/>
              </w:rPr>
              <w:t>,</w:t>
            </w:r>
            <w:r w:rsidRPr="008624A0">
              <w:rPr>
                <w:rFonts w:ascii="Arial" w:eastAsia="Arial" w:hAnsi="Arial" w:cs="Arial"/>
                <w:sz w:val="18"/>
                <w:szCs w:val="18"/>
              </w:rPr>
              <w:t xml:space="preserve"> lecz jest konsekwencją określonego stanu faktycznego lub prawnego.</w:t>
            </w:r>
          </w:p>
          <w:p w14:paraId="19EF601B" w14:textId="77777777" w:rsidR="000469CF" w:rsidRPr="008624A0" w:rsidRDefault="000469CF" w:rsidP="00EA71CB">
            <w:pPr>
              <w:spacing w:line="276" w:lineRule="auto"/>
              <w:rPr>
                <w:rFonts w:ascii="Arial" w:eastAsia="Arial" w:hAnsi="Arial" w:cs="Arial"/>
                <w:sz w:val="18"/>
                <w:szCs w:val="18"/>
              </w:rPr>
            </w:pPr>
          </w:p>
          <w:p w14:paraId="0F46AD86"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Dodatkowo należy zauważyć, że przepis art 24 ust. 2d w zaproponowanej formie, ma też inne istotne wady, które m.in. będą powodowały trudności w jego stosowaniu.</w:t>
            </w:r>
          </w:p>
          <w:p w14:paraId="257BAC9F"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Uwagi:</w:t>
            </w:r>
          </w:p>
          <w:p w14:paraId="149A196B"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przepis odnosi się tylko do aktualizacji bieżących (zamieszczono go w art 24), nie odnosi się do modernizacji egib. Zatem wprowadzony zostanie pewien dualizm w zakresie tego samego rodzaju zmian - część zmian egib dot. Ls będzie podlegać uzgodnieniu, a część nie.</w:t>
            </w:r>
          </w:p>
          <w:p w14:paraId="76CDE68C" w14:textId="77777777" w:rsidR="000469CF" w:rsidRPr="008624A0" w:rsidRDefault="000469CF" w:rsidP="00EA71CB">
            <w:pPr>
              <w:spacing w:line="276" w:lineRule="auto"/>
              <w:rPr>
                <w:rFonts w:ascii="Arial" w:eastAsia="Arial" w:hAnsi="Arial" w:cs="Arial"/>
                <w:sz w:val="18"/>
                <w:szCs w:val="18"/>
              </w:rPr>
            </w:pPr>
          </w:p>
          <w:p w14:paraId="54129067"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nie zostało określone w jakiej procedurze ma być kierowany wniosek do RDLP, czy nadal aktualizacja będzie następować w drodze czynności materialno-technicznej (w przypadku braku sprzeciwu), skoro organ podejmuje dodatkowe czynności.</w:t>
            </w:r>
          </w:p>
          <w:p w14:paraId="673AAFE2" w14:textId="77777777" w:rsidR="000469CF" w:rsidRPr="008624A0" w:rsidRDefault="000469CF" w:rsidP="00EA71CB">
            <w:pPr>
              <w:spacing w:line="276" w:lineRule="auto"/>
              <w:rPr>
                <w:rFonts w:ascii="Arial" w:eastAsia="Arial" w:hAnsi="Arial" w:cs="Arial"/>
                <w:sz w:val="18"/>
                <w:szCs w:val="18"/>
              </w:rPr>
            </w:pPr>
          </w:p>
          <w:p w14:paraId="517A6397"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 z uwagi na dodatkowe czynności organu (wniosek do RDLP), a także dla zapewnienia odpowiedniej informacji właścicielom nieruchomości (np. w przypadku nie wprowadzenia zmian wynikających z dokumentacji geodezyjnej) aktualizacja z zastosowaniem trybu </w:t>
            </w:r>
            <w:r w:rsidRPr="008624A0">
              <w:rPr>
                <w:rFonts w:ascii="Arial" w:eastAsia="Arial" w:hAnsi="Arial" w:cs="Arial"/>
                <w:sz w:val="18"/>
                <w:szCs w:val="18"/>
              </w:rPr>
              <w:lastRenderedPageBreak/>
              <w:t>uzgodnienia powinna odbywać się w drodze decyzji administracyjnej. Nie zostały w tym zakresie oszacowane koszty prowadzenia takich uzgodnień oraz ewentualnych postepowań administracyjnych w zakresie aktualizacji</w:t>
            </w:r>
          </w:p>
          <w:p w14:paraId="5F4B86AC" w14:textId="77777777" w:rsidR="000469CF" w:rsidRPr="008624A0" w:rsidRDefault="000469CF" w:rsidP="00EA71CB">
            <w:pPr>
              <w:spacing w:line="276" w:lineRule="auto"/>
              <w:rPr>
                <w:rFonts w:ascii="Arial" w:eastAsia="Arial" w:hAnsi="Arial" w:cs="Arial"/>
                <w:sz w:val="18"/>
                <w:szCs w:val="18"/>
              </w:rPr>
            </w:pPr>
          </w:p>
          <w:p w14:paraId="10401303" w14:textId="0F3E9861"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przy tej konstrukcji zapisu uzgodnienie będzie musiało być wykonane przy każdej zmianie użytku Ls na inny. Nieracjonalnym jest uzgadnianie tego rodzaju zmiany, w sytuacji, gdy zmiana jest skutkiem albo konsekwencją uprzednio wydanych decyzji np. decyzji zezwalającej na wyłączenie gruntów z produkcji.</w:t>
            </w:r>
          </w:p>
        </w:tc>
        <w:tc>
          <w:tcPr>
            <w:tcW w:w="4111" w:type="dxa"/>
          </w:tcPr>
          <w:p w14:paraId="6D33394B" w14:textId="5D3A233E" w:rsidR="000469CF" w:rsidRPr="008624A0" w:rsidRDefault="000469CF" w:rsidP="00EA71CB">
            <w:pPr>
              <w:spacing w:line="276" w:lineRule="auto"/>
              <w:rPr>
                <w:rFonts w:ascii="Arial" w:eastAsia="Arial" w:hAnsi="Arial" w:cs="Arial"/>
                <w:sz w:val="18"/>
                <w:szCs w:val="18"/>
              </w:rPr>
            </w:pPr>
            <w:r>
              <w:rPr>
                <w:rFonts w:ascii="Arial" w:eastAsia="Arial" w:hAnsi="Arial" w:cs="Arial"/>
                <w:sz w:val="18"/>
                <w:szCs w:val="18"/>
              </w:rPr>
              <w:lastRenderedPageBreak/>
              <w:t>Wykreślenie</w:t>
            </w:r>
            <w:r w:rsidRPr="008624A0">
              <w:rPr>
                <w:rFonts w:ascii="Arial" w:eastAsia="Arial" w:hAnsi="Arial" w:cs="Arial"/>
                <w:sz w:val="18"/>
                <w:szCs w:val="18"/>
              </w:rPr>
              <w:t xml:space="preserve"> zapisu</w:t>
            </w:r>
          </w:p>
        </w:tc>
        <w:tc>
          <w:tcPr>
            <w:tcW w:w="1134" w:type="dxa"/>
          </w:tcPr>
          <w:p w14:paraId="57B396D7" w14:textId="3B43A333" w:rsidR="000469CF" w:rsidRPr="008624A0" w:rsidRDefault="000469CF" w:rsidP="000469CF">
            <w:pPr>
              <w:spacing w:line="276" w:lineRule="auto"/>
              <w:jc w:val="both"/>
              <w:rPr>
                <w:rFonts w:ascii="Arial" w:eastAsia="Arial" w:hAnsi="Arial" w:cs="Arial"/>
                <w:sz w:val="18"/>
                <w:szCs w:val="18"/>
              </w:rPr>
            </w:pPr>
          </w:p>
        </w:tc>
      </w:tr>
      <w:tr w:rsidR="000469CF" w:rsidRPr="008624A0" w14:paraId="296BAB8F" w14:textId="77777777" w:rsidTr="000469CF">
        <w:trPr>
          <w:trHeight w:val="300"/>
        </w:trPr>
        <w:tc>
          <w:tcPr>
            <w:tcW w:w="421" w:type="dxa"/>
          </w:tcPr>
          <w:p w14:paraId="0F92E664" w14:textId="06A4C69B"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4.</w:t>
            </w:r>
          </w:p>
        </w:tc>
        <w:tc>
          <w:tcPr>
            <w:tcW w:w="1134" w:type="dxa"/>
          </w:tcPr>
          <w:p w14:paraId="7EA66221" w14:textId="10BB4058"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1B3F60BF" w14:textId="023E0396" w:rsidR="000469CF" w:rsidRPr="008624A0"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Art. 24 a ust. 3a</w:t>
            </w:r>
            <w:r>
              <w:rPr>
                <w:rFonts w:ascii="Arial" w:eastAsia="Arial" w:hAnsi="Arial" w:cs="Arial"/>
                <w:color w:val="000000" w:themeColor="text1"/>
                <w:sz w:val="18"/>
                <w:szCs w:val="18"/>
              </w:rPr>
              <w:t xml:space="preserve"> ustawy zmienianej</w:t>
            </w:r>
          </w:p>
          <w:p w14:paraId="03ADC5E9" w14:textId="77777777" w:rsidR="000469CF" w:rsidRDefault="000469CF" w:rsidP="00EA71CB">
            <w:pPr>
              <w:spacing w:before="130" w:after="130"/>
              <w:rPr>
                <w:rFonts w:ascii="Arial" w:eastAsia="Arial" w:hAnsi="Arial" w:cs="Arial"/>
                <w:color w:val="00B0F0"/>
                <w:sz w:val="18"/>
                <w:szCs w:val="18"/>
              </w:rPr>
            </w:pPr>
            <w:r w:rsidRPr="008624A0">
              <w:rPr>
                <w:rFonts w:ascii="Arial" w:eastAsia="Arial" w:hAnsi="Arial" w:cs="Arial"/>
                <w:color w:val="000000" w:themeColor="text1"/>
                <w:sz w:val="18"/>
                <w:szCs w:val="18"/>
              </w:rPr>
              <w:t>Art. 40 b ust. 1 pkt 5 i ust. 1ab</w:t>
            </w:r>
            <w:r>
              <w:rPr>
                <w:rFonts w:ascii="Arial" w:eastAsia="Arial" w:hAnsi="Arial" w:cs="Arial"/>
                <w:color w:val="000000" w:themeColor="text1"/>
                <w:sz w:val="18"/>
                <w:szCs w:val="18"/>
              </w:rPr>
              <w:t xml:space="preserve"> ustawy zmienianej</w:t>
            </w:r>
            <w:r w:rsidRPr="008624A0">
              <w:rPr>
                <w:rFonts w:ascii="Arial" w:eastAsia="Arial" w:hAnsi="Arial" w:cs="Arial"/>
                <w:color w:val="00B0F0"/>
                <w:sz w:val="18"/>
                <w:szCs w:val="18"/>
              </w:rPr>
              <w:t xml:space="preserve"> </w:t>
            </w:r>
          </w:p>
          <w:p w14:paraId="7F21F251" w14:textId="7B04D6B5" w:rsidR="000469CF" w:rsidRPr="008624A0" w:rsidRDefault="000469CF" w:rsidP="00EA71CB">
            <w:pPr>
              <w:spacing w:before="130" w:after="130"/>
              <w:rPr>
                <w:rFonts w:ascii="Arial" w:hAnsi="Arial" w:cs="Arial"/>
                <w:sz w:val="18"/>
                <w:szCs w:val="18"/>
              </w:rPr>
            </w:pPr>
            <w:r w:rsidRPr="008624A0">
              <w:rPr>
                <w:rFonts w:ascii="Arial" w:eastAsia="Arial" w:hAnsi="Arial" w:cs="Arial"/>
                <w:color w:val="00B0F0"/>
                <w:sz w:val="18"/>
                <w:szCs w:val="18"/>
              </w:rPr>
              <w:t>Art. 24a ust. 3a. Wgląd, o którym mowa w ust. 3 pkt 6, przysługuje podmiotom na podstawie odrębnych przepisów, które posiadają uprawnienia do wglądu do dokumentów będących podstawą wpisów do bazy danych.</w:t>
            </w:r>
          </w:p>
          <w:p w14:paraId="545A17E4" w14:textId="77777777" w:rsidR="000469CF" w:rsidRPr="008624A0" w:rsidRDefault="000469CF" w:rsidP="00EA71CB">
            <w:pPr>
              <w:spacing w:before="130" w:after="130"/>
              <w:rPr>
                <w:rFonts w:ascii="Arial" w:eastAsia="Arial" w:hAnsi="Arial" w:cs="Arial"/>
                <w:color w:val="00B0F0"/>
                <w:sz w:val="18"/>
                <w:szCs w:val="18"/>
              </w:rPr>
            </w:pPr>
            <w:r w:rsidRPr="008624A0">
              <w:rPr>
                <w:rFonts w:ascii="Arial" w:eastAsia="Arial" w:hAnsi="Arial" w:cs="Arial"/>
                <w:color w:val="00B0F0"/>
                <w:sz w:val="18"/>
                <w:szCs w:val="18"/>
              </w:rPr>
              <w:t>Art. 40 b ust. 1 pkt 5</w:t>
            </w:r>
          </w:p>
          <w:p w14:paraId="1F537972" w14:textId="77777777" w:rsidR="000469CF" w:rsidRPr="008624A0" w:rsidRDefault="000469CF" w:rsidP="00EA71CB">
            <w:pPr>
              <w:spacing w:before="130" w:after="130"/>
              <w:rPr>
                <w:rFonts w:ascii="Arial" w:hAnsi="Arial" w:cs="Arial"/>
                <w:sz w:val="18"/>
                <w:szCs w:val="18"/>
              </w:rPr>
            </w:pPr>
            <w:r w:rsidRPr="008624A0">
              <w:rPr>
                <w:rFonts w:ascii="Arial" w:eastAsia="Arial" w:hAnsi="Arial" w:cs="Arial"/>
                <w:sz w:val="18"/>
                <w:szCs w:val="18"/>
              </w:rPr>
              <w:t>1. Organy prowadzące państwowy zasób geodezyjny i kartograficzny pobierają opłaty za:</w:t>
            </w:r>
          </w:p>
          <w:p w14:paraId="6066C84E" w14:textId="77777777" w:rsidR="000469CF" w:rsidRPr="008624A0" w:rsidRDefault="000469CF" w:rsidP="00EA71CB">
            <w:pPr>
              <w:rPr>
                <w:rFonts w:ascii="Arial" w:eastAsia="Arial" w:hAnsi="Arial" w:cs="Arial"/>
                <w:color w:val="00B0F0"/>
                <w:sz w:val="18"/>
                <w:szCs w:val="18"/>
              </w:rPr>
            </w:pPr>
            <w:r w:rsidRPr="008624A0">
              <w:rPr>
                <w:rFonts w:ascii="Arial" w:eastAsia="Arial" w:hAnsi="Arial" w:cs="Arial"/>
                <w:color w:val="00B0F0"/>
                <w:sz w:val="18"/>
                <w:szCs w:val="18"/>
              </w:rPr>
              <w:t>5) udostępnianie do wglądu zbiorów dokumentów uzasadniających wpisy do bazy danych podmiotom które posiadają uprawnienia do wglądu do takich zbiorów na podstawie odrębnych przepisów;</w:t>
            </w:r>
          </w:p>
          <w:p w14:paraId="621F3386" w14:textId="77777777" w:rsidR="000469CF" w:rsidRPr="008624A0" w:rsidRDefault="000469CF" w:rsidP="00EA71CB">
            <w:pPr>
              <w:spacing w:before="130" w:after="130"/>
              <w:rPr>
                <w:rFonts w:ascii="Arial" w:eastAsia="Arial" w:hAnsi="Arial" w:cs="Arial"/>
                <w:color w:val="00B0F0"/>
                <w:sz w:val="18"/>
                <w:szCs w:val="18"/>
              </w:rPr>
            </w:pPr>
            <w:r w:rsidRPr="008624A0">
              <w:rPr>
                <w:rFonts w:ascii="Arial" w:eastAsia="Arial" w:hAnsi="Arial" w:cs="Arial"/>
                <w:color w:val="00B0F0"/>
                <w:sz w:val="18"/>
                <w:szCs w:val="18"/>
              </w:rPr>
              <w:t>1ab. Przez wgląd do dokumentów, o którym mowa w ust. 1 pkt 5, rozumie się również możliwość ich kopiowania, utrwalania lub sporządzania z nich odpisów w dowolnej formie przez uprawniony podmiot.</w:t>
            </w:r>
          </w:p>
          <w:p w14:paraId="5855939F" w14:textId="620877B1" w:rsidR="000469CF" w:rsidRPr="008624A0" w:rsidRDefault="000469CF" w:rsidP="00EA71CB">
            <w:pPr>
              <w:spacing w:line="276" w:lineRule="auto"/>
              <w:rPr>
                <w:rFonts w:ascii="Arial" w:eastAsia="Arial" w:hAnsi="Arial" w:cs="Arial"/>
                <w:color w:val="000000" w:themeColor="text1"/>
                <w:sz w:val="18"/>
                <w:szCs w:val="18"/>
              </w:rPr>
            </w:pPr>
          </w:p>
        </w:tc>
        <w:tc>
          <w:tcPr>
            <w:tcW w:w="4820" w:type="dxa"/>
          </w:tcPr>
          <w:p w14:paraId="6C3FAC16" w14:textId="71650596"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Pismo Głównego Geodety Kraju dotyczące wglądu przez rzeczoznawców majątkowych do aktów notarialnych został</w:t>
            </w:r>
            <w:r>
              <w:rPr>
                <w:rFonts w:ascii="Arial" w:eastAsia="Arial" w:hAnsi="Arial" w:cs="Arial"/>
                <w:sz w:val="18"/>
                <w:szCs w:val="18"/>
              </w:rPr>
              <w:t>o</w:t>
            </w:r>
            <w:r w:rsidRPr="008624A0">
              <w:rPr>
                <w:rFonts w:ascii="Arial" w:eastAsia="Arial" w:hAnsi="Arial" w:cs="Arial"/>
                <w:sz w:val="18"/>
                <w:szCs w:val="18"/>
              </w:rPr>
              <w:t xml:space="preserve"> przekazane do Ministerstwa Rozwoju i Technologii w dniu 17 grudnia 2026 r. znak: NK-OL.053.14.2025</w:t>
            </w:r>
            <w:r w:rsidR="00564CBC">
              <w:rPr>
                <w:rFonts w:ascii="Arial" w:eastAsia="Arial" w:hAnsi="Arial" w:cs="Arial"/>
                <w:sz w:val="18"/>
                <w:szCs w:val="18"/>
              </w:rPr>
              <w:t xml:space="preserve"> (pismo w załączeniu)</w:t>
            </w:r>
            <w:r w:rsidRPr="008624A0">
              <w:rPr>
                <w:rFonts w:ascii="Arial" w:eastAsia="Arial" w:hAnsi="Arial" w:cs="Arial"/>
                <w:sz w:val="18"/>
                <w:szCs w:val="18"/>
              </w:rPr>
              <w:t>.</w:t>
            </w:r>
          </w:p>
          <w:p w14:paraId="3F8DECD5" w14:textId="37A333B5" w:rsidR="000469CF" w:rsidRPr="008624A0" w:rsidRDefault="000469CF" w:rsidP="00EA71CB">
            <w:pPr>
              <w:spacing w:before="130" w:after="130"/>
              <w:rPr>
                <w:rFonts w:ascii="Arial" w:eastAsia="Arial" w:hAnsi="Arial" w:cs="Arial"/>
                <w:color w:val="00B0F0"/>
                <w:sz w:val="18"/>
                <w:szCs w:val="18"/>
              </w:rPr>
            </w:pPr>
            <w:r w:rsidRPr="008624A0">
              <w:rPr>
                <w:rFonts w:ascii="Arial" w:eastAsia="Arial" w:hAnsi="Arial" w:cs="Arial"/>
                <w:sz w:val="18"/>
                <w:szCs w:val="18"/>
              </w:rPr>
              <w:t>Postuluje o przyjęcie kierunku zaproponowanego w przedmiotowym piśmie.</w:t>
            </w:r>
          </w:p>
        </w:tc>
        <w:tc>
          <w:tcPr>
            <w:tcW w:w="4111" w:type="dxa"/>
          </w:tcPr>
          <w:p w14:paraId="4E15364C" w14:textId="3B655BAD" w:rsidR="000469CF" w:rsidRPr="008624A0" w:rsidRDefault="000469CF" w:rsidP="00EA71CB">
            <w:pPr>
              <w:spacing w:line="276" w:lineRule="auto"/>
              <w:rPr>
                <w:rFonts w:ascii="Arial" w:eastAsia="Arial" w:hAnsi="Arial" w:cs="Arial"/>
                <w:sz w:val="18"/>
                <w:szCs w:val="18"/>
              </w:rPr>
            </w:pPr>
          </w:p>
        </w:tc>
        <w:tc>
          <w:tcPr>
            <w:tcW w:w="1134" w:type="dxa"/>
          </w:tcPr>
          <w:p w14:paraId="162F919D" w14:textId="36469373" w:rsidR="000469CF" w:rsidRPr="008624A0" w:rsidRDefault="000469CF" w:rsidP="000469CF">
            <w:pPr>
              <w:spacing w:line="276" w:lineRule="auto"/>
              <w:jc w:val="both"/>
              <w:rPr>
                <w:rFonts w:ascii="Arial" w:eastAsia="Arial" w:hAnsi="Arial" w:cs="Arial"/>
                <w:sz w:val="18"/>
                <w:szCs w:val="18"/>
              </w:rPr>
            </w:pPr>
          </w:p>
        </w:tc>
      </w:tr>
      <w:tr w:rsidR="000469CF" w:rsidRPr="008624A0" w14:paraId="6C2D6205" w14:textId="77777777" w:rsidTr="000469CF">
        <w:trPr>
          <w:trHeight w:val="300"/>
        </w:trPr>
        <w:tc>
          <w:tcPr>
            <w:tcW w:w="421" w:type="dxa"/>
          </w:tcPr>
          <w:p w14:paraId="3F0B4687" w14:textId="126F9299"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5.</w:t>
            </w:r>
          </w:p>
        </w:tc>
        <w:tc>
          <w:tcPr>
            <w:tcW w:w="1134" w:type="dxa"/>
          </w:tcPr>
          <w:p w14:paraId="6D452634" w14:textId="7AA01DF9"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5FA2B32A" w14:textId="77777777" w:rsidR="000469CF"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Art 26e ust 2</w:t>
            </w:r>
            <w:r>
              <w:rPr>
                <w:rFonts w:ascii="Arial" w:eastAsia="Arial" w:hAnsi="Arial" w:cs="Arial"/>
                <w:color w:val="000000" w:themeColor="text1"/>
                <w:sz w:val="18"/>
                <w:szCs w:val="18"/>
              </w:rPr>
              <w:t xml:space="preserve"> ustawy zmienianej</w:t>
            </w:r>
          </w:p>
          <w:p w14:paraId="084CAD90" w14:textId="162D36F9" w:rsidR="000469CF" w:rsidRPr="008624A0"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B0F0"/>
                <w:sz w:val="18"/>
                <w:szCs w:val="18"/>
              </w:rPr>
              <w:t>2. Starosta po stwierdzeniu wadliwego wykonania operatu klasyfikacyjnego, o którym mowa w art. 26c ust. 1 pkt 1, przesyła do ministra właściwego do spraw rozwoju wsi przedmiotowy operat wraz z ostateczną decyzją administracyjną, o której mowa w art. 26c ust. 5, w terminie 30 dni od uprawomocnienia się decyzji.</w:t>
            </w:r>
          </w:p>
        </w:tc>
        <w:tc>
          <w:tcPr>
            <w:tcW w:w="4820" w:type="dxa"/>
          </w:tcPr>
          <w:p w14:paraId="1D1094A5"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Skoro przepis art. 26c ust. 5 brzmi: </w:t>
            </w:r>
            <w:r w:rsidRPr="008624A0">
              <w:rPr>
                <w:rFonts w:ascii="Arial" w:eastAsia="Arial" w:hAnsi="Arial" w:cs="Arial"/>
                <w:i/>
                <w:iCs/>
                <w:sz w:val="18"/>
                <w:szCs w:val="18"/>
              </w:rPr>
              <w:t xml:space="preserve">Starosta </w:t>
            </w:r>
            <w:r w:rsidRPr="008624A0">
              <w:rPr>
                <w:rFonts w:ascii="Arial" w:eastAsia="Arial" w:hAnsi="Arial" w:cs="Arial"/>
                <w:i/>
                <w:iCs/>
                <w:sz w:val="18"/>
                <w:szCs w:val="18"/>
                <w:u w:val="single"/>
              </w:rPr>
              <w:t>po odebraniu operatu klasyfikacyjnego, o którym mowa w ust. 1 pkt 1, potwierdzonego protokołem odbioru</w:t>
            </w:r>
            <w:r w:rsidRPr="008624A0">
              <w:rPr>
                <w:rFonts w:ascii="Arial" w:eastAsia="Arial" w:hAnsi="Arial" w:cs="Arial"/>
                <w:i/>
                <w:iCs/>
                <w:sz w:val="18"/>
                <w:szCs w:val="18"/>
              </w:rPr>
              <w:t>, wydaje decyzję w sprawie o ustaleniu gleboznawczej klasyfikacji gruntów, decyzję o odmowie ustalenia gleboznawczej klasyfikacji lub decyzję o umorzeniu postępowania administracyjnego. Protokół odbioru operatu klasyfikacyjnego stanowi podstawę jego przyjęcia do państwowego zasobu geodezyjnego i kartograficznego</w:t>
            </w:r>
            <w:r w:rsidRPr="008624A0">
              <w:rPr>
                <w:rFonts w:ascii="Arial" w:eastAsia="Arial" w:hAnsi="Arial" w:cs="Arial"/>
                <w:sz w:val="18"/>
                <w:szCs w:val="18"/>
              </w:rPr>
              <w:t xml:space="preserve">, </w:t>
            </w:r>
            <w:r w:rsidRPr="008624A0">
              <w:rPr>
                <w:rFonts w:ascii="Arial" w:eastAsia="Arial" w:hAnsi="Arial" w:cs="Arial"/>
                <w:sz w:val="18"/>
                <w:szCs w:val="18"/>
              </w:rPr>
              <w:lastRenderedPageBreak/>
              <w:t>to w jakim przypadku zaistnieje wadliwy operat (w zasobie) i jednocześnie wydana decyzja (na jego podstawie)?</w:t>
            </w:r>
          </w:p>
          <w:p w14:paraId="6DBCCBAB" w14:textId="42DE4429" w:rsidR="000469CF" w:rsidRPr="008624A0" w:rsidRDefault="000469CF" w:rsidP="00EA71CB">
            <w:pPr>
              <w:spacing w:line="276" w:lineRule="auto"/>
              <w:rPr>
                <w:rFonts w:ascii="Arial" w:eastAsia="Arial" w:hAnsi="Arial" w:cs="Arial"/>
                <w:color w:val="00B0F0"/>
                <w:sz w:val="18"/>
                <w:szCs w:val="18"/>
              </w:rPr>
            </w:pPr>
          </w:p>
        </w:tc>
        <w:tc>
          <w:tcPr>
            <w:tcW w:w="4111" w:type="dxa"/>
          </w:tcPr>
          <w:p w14:paraId="0FFAC290" w14:textId="3169B9D0"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lastRenderedPageBreak/>
              <w:t>Niejasny przepis</w:t>
            </w:r>
          </w:p>
        </w:tc>
        <w:tc>
          <w:tcPr>
            <w:tcW w:w="1134" w:type="dxa"/>
          </w:tcPr>
          <w:p w14:paraId="7F9A2F46" w14:textId="2323BE4E" w:rsidR="000469CF" w:rsidRPr="008624A0" w:rsidRDefault="000469CF" w:rsidP="000469CF">
            <w:pPr>
              <w:spacing w:line="276" w:lineRule="auto"/>
              <w:jc w:val="both"/>
              <w:rPr>
                <w:rFonts w:ascii="Arial" w:eastAsia="Arial" w:hAnsi="Arial" w:cs="Arial"/>
                <w:sz w:val="18"/>
                <w:szCs w:val="18"/>
              </w:rPr>
            </w:pPr>
          </w:p>
        </w:tc>
      </w:tr>
      <w:tr w:rsidR="000469CF" w:rsidRPr="008624A0" w14:paraId="029FC806" w14:textId="77777777" w:rsidTr="000469CF">
        <w:trPr>
          <w:trHeight w:val="300"/>
        </w:trPr>
        <w:tc>
          <w:tcPr>
            <w:tcW w:w="421" w:type="dxa"/>
          </w:tcPr>
          <w:p w14:paraId="34927E7A" w14:textId="5F5BD47D"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6.</w:t>
            </w:r>
          </w:p>
        </w:tc>
        <w:tc>
          <w:tcPr>
            <w:tcW w:w="1134" w:type="dxa"/>
          </w:tcPr>
          <w:p w14:paraId="4657648B" w14:textId="3A8B0783" w:rsidR="000469CF" w:rsidRPr="008624A0" w:rsidRDefault="000469CF" w:rsidP="000469CF">
            <w:pPr>
              <w:spacing w:line="276" w:lineRule="auto"/>
              <w:jc w:val="center"/>
              <w:rPr>
                <w:rFonts w:ascii="Arial" w:eastAsia="Arial" w:hAnsi="Arial" w:cs="Arial"/>
                <w:b/>
                <w:bCs/>
                <w:sz w:val="18"/>
                <w:szCs w:val="18"/>
              </w:rPr>
            </w:pPr>
          </w:p>
        </w:tc>
        <w:tc>
          <w:tcPr>
            <w:tcW w:w="4110" w:type="dxa"/>
          </w:tcPr>
          <w:p w14:paraId="59E7737F" w14:textId="77777777" w:rsidR="000469CF"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art. 44 ust. 1 pkt 3</w:t>
            </w:r>
            <w:r>
              <w:rPr>
                <w:rFonts w:ascii="Arial" w:eastAsia="Arial" w:hAnsi="Arial" w:cs="Arial"/>
                <w:color w:val="000000" w:themeColor="text1"/>
                <w:sz w:val="18"/>
                <w:szCs w:val="18"/>
              </w:rPr>
              <w:t xml:space="preserve"> ustawy zmienianej</w:t>
            </w:r>
          </w:p>
          <w:p w14:paraId="609F49DC" w14:textId="7AC537CE" w:rsidR="000469CF" w:rsidRPr="008624A0"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3) posiadają wyższe, średnie lub średnie branżowe wykształcenie geodezyjne</w:t>
            </w:r>
            <w:r w:rsidRPr="008624A0">
              <w:rPr>
                <w:rFonts w:ascii="Arial" w:eastAsia="Arial" w:hAnsi="Arial" w:cs="Arial"/>
                <w:color w:val="FF0000"/>
                <w:sz w:val="18"/>
                <w:szCs w:val="18"/>
              </w:rPr>
              <w:t xml:space="preserve"> </w:t>
            </w:r>
            <w:r w:rsidRPr="008624A0">
              <w:rPr>
                <w:rFonts w:ascii="Arial" w:eastAsia="Arial" w:hAnsi="Arial" w:cs="Arial"/>
                <w:color w:val="00B0F0"/>
                <w:sz w:val="18"/>
                <w:szCs w:val="18"/>
              </w:rPr>
              <w:t>wyższe uzyskane po ukończeniu studiów w zakresie geodezji lub wykształcenie lub wykształcenie geodezyjne: średnie lub średnie branżowe;</w:t>
            </w:r>
          </w:p>
        </w:tc>
        <w:tc>
          <w:tcPr>
            <w:tcW w:w="4820" w:type="dxa"/>
          </w:tcPr>
          <w:p w14:paraId="2CBC24C5"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Redakcja – podwójnie wpisane „lub wykształcenie”.</w:t>
            </w:r>
          </w:p>
          <w:p w14:paraId="48DB7487"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Ponadto zmiana proponowana przez GUGiK była czysto redakcyjna – z uzasadnienia: „doprecyzowanie zapisu w celu wyeliminowania wątpliwości co do wykształcenia niezbędnego do uzyskania uprawnień zawodowych w dziedzinie geodezji i kartografii”.  </w:t>
            </w:r>
          </w:p>
          <w:p w14:paraId="26124C84"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Wątpliwość budzi czy nowo zaproponowany zapis, który mówi o „studiach w zakresie geodezji” to to samo co wykształcenie geodezyjne. Czy przy takiej zmianie nie będzie można dopatrywać się rozszerzenia katalogu studiów spełniających obecne wymagania. </w:t>
            </w:r>
          </w:p>
          <w:p w14:paraId="270E25E4"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Czy studia np. na kierunku geoinformacja czy gospodarka przestrzenna będą uznawane za studia w zakresie geodezji? (obecnie nie są)</w:t>
            </w:r>
          </w:p>
          <w:p w14:paraId="49BF304A" w14:textId="735ABB02" w:rsidR="000469CF" w:rsidRPr="008624A0" w:rsidRDefault="000469CF" w:rsidP="00EA71CB">
            <w:pPr>
              <w:spacing w:before="130" w:after="130" w:line="276" w:lineRule="auto"/>
              <w:rPr>
                <w:rFonts w:ascii="Arial" w:eastAsia="Arial" w:hAnsi="Arial" w:cs="Arial"/>
                <w:color w:val="00B0F0"/>
                <w:sz w:val="18"/>
                <w:szCs w:val="18"/>
              </w:rPr>
            </w:pPr>
          </w:p>
        </w:tc>
        <w:tc>
          <w:tcPr>
            <w:tcW w:w="4111" w:type="dxa"/>
          </w:tcPr>
          <w:p w14:paraId="163C7DB8" w14:textId="77EE7E5C" w:rsidR="000469CF" w:rsidRPr="008624A0" w:rsidRDefault="000469CF" w:rsidP="00EA71CB">
            <w:pPr>
              <w:spacing w:line="276" w:lineRule="auto"/>
              <w:rPr>
                <w:rFonts w:ascii="Arial" w:eastAsia="Arial" w:hAnsi="Arial" w:cs="Arial"/>
                <w:color w:val="FF0000"/>
                <w:sz w:val="18"/>
                <w:szCs w:val="18"/>
              </w:rPr>
            </w:pPr>
            <w:r w:rsidRPr="008624A0">
              <w:rPr>
                <w:rFonts w:ascii="Arial" w:eastAsia="Arial" w:hAnsi="Arial" w:cs="Arial"/>
                <w:sz w:val="18"/>
                <w:szCs w:val="18"/>
              </w:rPr>
              <w:t xml:space="preserve">Pozostawienie zapisu pierwotnie proponowanego przez GUGiK: </w:t>
            </w:r>
            <w:r w:rsidRPr="008624A0">
              <w:rPr>
                <w:rFonts w:ascii="Arial" w:eastAsia="Arial" w:hAnsi="Arial" w:cs="Arial"/>
                <w:color w:val="FF0000"/>
                <w:sz w:val="18"/>
                <w:szCs w:val="18"/>
              </w:rPr>
              <w:t>3) posiadają wykształcenie geodezyjne: wyższe, średnie lub średnie branżowe</w:t>
            </w:r>
          </w:p>
        </w:tc>
        <w:tc>
          <w:tcPr>
            <w:tcW w:w="1134" w:type="dxa"/>
          </w:tcPr>
          <w:p w14:paraId="0F253793" w14:textId="7A88815A" w:rsidR="000469CF" w:rsidRPr="008624A0" w:rsidRDefault="000469CF" w:rsidP="000469CF">
            <w:pPr>
              <w:spacing w:line="276" w:lineRule="auto"/>
              <w:jc w:val="both"/>
              <w:rPr>
                <w:rFonts w:ascii="Arial" w:eastAsia="Arial" w:hAnsi="Arial" w:cs="Arial"/>
                <w:sz w:val="18"/>
                <w:szCs w:val="18"/>
              </w:rPr>
            </w:pPr>
          </w:p>
        </w:tc>
      </w:tr>
      <w:tr w:rsidR="000469CF" w:rsidRPr="008624A0" w14:paraId="3CD68472" w14:textId="77777777" w:rsidTr="000469CF">
        <w:trPr>
          <w:trHeight w:val="570"/>
        </w:trPr>
        <w:tc>
          <w:tcPr>
            <w:tcW w:w="421" w:type="dxa"/>
          </w:tcPr>
          <w:p w14:paraId="2E88931F" w14:textId="7EA62C96" w:rsidR="000469CF" w:rsidRPr="008624A0" w:rsidRDefault="000469CF" w:rsidP="000469CF">
            <w:pPr>
              <w:spacing w:line="276" w:lineRule="auto"/>
              <w:jc w:val="both"/>
              <w:rPr>
                <w:rFonts w:ascii="Arial" w:eastAsia="Arial" w:hAnsi="Arial" w:cs="Arial"/>
                <w:b/>
                <w:bCs/>
                <w:sz w:val="18"/>
                <w:szCs w:val="18"/>
              </w:rPr>
            </w:pPr>
            <w:r w:rsidRPr="008624A0">
              <w:rPr>
                <w:rFonts w:ascii="Arial" w:eastAsia="Arial" w:hAnsi="Arial" w:cs="Arial"/>
                <w:b/>
                <w:bCs/>
                <w:sz w:val="18"/>
                <w:szCs w:val="18"/>
              </w:rPr>
              <w:t>7.</w:t>
            </w:r>
          </w:p>
        </w:tc>
        <w:tc>
          <w:tcPr>
            <w:tcW w:w="1134" w:type="dxa"/>
          </w:tcPr>
          <w:p w14:paraId="6F6E594A" w14:textId="6BAAC786"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722F5E10" w14:textId="77777777" w:rsidR="000469CF" w:rsidRDefault="000469CF" w:rsidP="00EA71CB">
            <w:pPr>
              <w:spacing w:before="130" w:after="130" w:line="276" w:lineRule="auto"/>
              <w:rPr>
                <w:rFonts w:ascii="Arial" w:eastAsia="Arial" w:hAnsi="Arial" w:cs="Arial"/>
                <w:color w:val="000000" w:themeColor="text1"/>
                <w:sz w:val="18"/>
                <w:szCs w:val="18"/>
              </w:rPr>
            </w:pPr>
            <w:r w:rsidRPr="008624A0">
              <w:rPr>
                <w:rFonts w:ascii="Arial" w:eastAsia="Arial" w:hAnsi="Arial" w:cs="Arial"/>
                <w:sz w:val="18"/>
                <w:szCs w:val="18"/>
              </w:rPr>
              <w:t>art. 44a ust. 2 pkt 3</w:t>
            </w:r>
            <w:r>
              <w:rPr>
                <w:rFonts w:ascii="Arial" w:eastAsia="Arial" w:hAnsi="Arial" w:cs="Arial"/>
                <w:color w:val="000000" w:themeColor="text1"/>
                <w:sz w:val="18"/>
                <w:szCs w:val="18"/>
              </w:rPr>
              <w:t xml:space="preserve"> ustawy zmienianej</w:t>
            </w:r>
          </w:p>
          <w:p w14:paraId="2721CB0A" w14:textId="73F9402B" w:rsidR="000469CF" w:rsidRPr="00A844BC" w:rsidRDefault="000469CF" w:rsidP="00EA71CB">
            <w:pPr>
              <w:spacing w:before="130" w:after="130"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3) posiadają średnie lub średnie branżowe wykształcenie geodezyjne;</w:t>
            </w:r>
          </w:p>
        </w:tc>
        <w:tc>
          <w:tcPr>
            <w:tcW w:w="4820" w:type="dxa"/>
          </w:tcPr>
          <w:p w14:paraId="24564803" w14:textId="70B1BF50"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Zapis powinien być analogiczny jak w art. 44 ust. 1 pkt 3 Patrz uwaga lp. 6.</w:t>
            </w:r>
          </w:p>
        </w:tc>
        <w:tc>
          <w:tcPr>
            <w:tcW w:w="4111" w:type="dxa"/>
          </w:tcPr>
          <w:p w14:paraId="2914B841" w14:textId="3ACB3BDB"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color w:val="FF0000"/>
                <w:sz w:val="18"/>
                <w:szCs w:val="18"/>
              </w:rPr>
              <w:t>3) posiadają wykształcenie geodezyjne: wyższe, średnie lub średnie branżowe</w:t>
            </w:r>
          </w:p>
        </w:tc>
        <w:tc>
          <w:tcPr>
            <w:tcW w:w="1134" w:type="dxa"/>
          </w:tcPr>
          <w:p w14:paraId="77F4384D" w14:textId="3F6A1C89" w:rsidR="000469CF" w:rsidRPr="008624A0" w:rsidRDefault="000469CF" w:rsidP="000469CF">
            <w:pPr>
              <w:spacing w:line="276" w:lineRule="auto"/>
              <w:rPr>
                <w:rFonts w:ascii="Arial" w:eastAsia="Arial" w:hAnsi="Arial" w:cs="Arial"/>
                <w:sz w:val="18"/>
                <w:szCs w:val="18"/>
              </w:rPr>
            </w:pPr>
          </w:p>
        </w:tc>
      </w:tr>
      <w:tr w:rsidR="000469CF" w:rsidRPr="008624A0" w14:paraId="709F624A" w14:textId="77777777" w:rsidTr="000469CF">
        <w:trPr>
          <w:trHeight w:val="300"/>
        </w:trPr>
        <w:tc>
          <w:tcPr>
            <w:tcW w:w="421" w:type="dxa"/>
          </w:tcPr>
          <w:p w14:paraId="2E2F03AF" w14:textId="78BFF396"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8.</w:t>
            </w:r>
          </w:p>
        </w:tc>
        <w:tc>
          <w:tcPr>
            <w:tcW w:w="1134" w:type="dxa"/>
          </w:tcPr>
          <w:p w14:paraId="3E953DBC" w14:textId="11B55971"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67B0401F" w14:textId="77777777" w:rsidR="000469CF"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 xml:space="preserve">art. 44 ust. 1 pkt 5, </w:t>
            </w:r>
            <w:r w:rsidRPr="008624A0">
              <w:rPr>
                <w:rFonts w:ascii="Arial" w:hAnsi="Arial" w:cs="Arial"/>
                <w:sz w:val="18"/>
                <w:szCs w:val="18"/>
              </w:rPr>
              <w:br/>
            </w:r>
            <w:r w:rsidRPr="008624A0">
              <w:rPr>
                <w:rFonts w:ascii="Arial" w:eastAsia="Arial" w:hAnsi="Arial" w:cs="Arial"/>
                <w:sz w:val="18"/>
                <w:szCs w:val="18"/>
              </w:rPr>
              <w:t xml:space="preserve">44a ust. 2 pkt 5, </w:t>
            </w:r>
            <w:r w:rsidRPr="008624A0">
              <w:rPr>
                <w:rFonts w:ascii="Arial" w:hAnsi="Arial" w:cs="Arial"/>
                <w:sz w:val="18"/>
                <w:szCs w:val="18"/>
              </w:rPr>
              <w:br/>
            </w:r>
            <w:r w:rsidRPr="008624A0">
              <w:rPr>
                <w:rFonts w:ascii="Arial" w:eastAsia="Arial" w:hAnsi="Arial" w:cs="Arial"/>
                <w:sz w:val="18"/>
                <w:szCs w:val="18"/>
              </w:rPr>
              <w:t>art. 45a ust. 2 pkt 2</w:t>
            </w:r>
            <w:r>
              <w:rPr>
                <w:rFonts w:ascii="Arial" w:eastAsia="Arial" w:hAnsi="Arial" w:cs="Arial"/>
                <w:color w:val="000000" w:themeColor="text1"/>
                <w:sz w:val="18"/>
                <w:szCs w:val="18"/>
              </w:rPr>
              <w:t xml:space="preserve"> ustawy zmienianej</w:t>
            </w:r>
            <w:r w:rsidRPr="008624A0">
              <w:rPr>
                <w:rFonts w:ascii="Arial" w:eastAsia="Arial" w:hAnsi="Arial" w:cs="Arial"/>
                <w:sz w:val="18"/>
                <w:szCs w:val="18"/>
              </w:rPr>
              <w:t xml:space="preserve"> </w:t>
            </w:r>
          </w:p>
          <w:p w14:paraId="497AC31B" w14:textId="2E72082C"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Art. 44 ust. 1 pkt 5) wykażą się znajomością przepisów w </w:t>
            </w:r>
            <w:r w:rsidRPr="008624A0">
              <w:rPr>
                <w:rFonts w:ascii="Arial" w:eastAsia="Arial" w:hAnsi="Arial" w:cs="Arial"/>
                <w:strike/>
                <w:sz w:val="18"/>
                <w:szCs w:val="18"/>
              </w:rPr>
              <w:t>dziedzinie</w:t>
            </w:r>
            <w:r w:rsidRPr="008624A0">
              <w:rPr>
                <w:rFonts w:ascii="Arial" w:eastAsia="Arial" w:hAnsi="Arial" w:cs="Arial"/>
                <w:sz w:val="18"/>
                <w:szCs w:val="18"/>
              </w:rPr>
              <w:t xml:space="preserve"> </w:t>
            </w:r>
            <w:r w:rsidRPr="008624A0">
              <w:rPr>
                <w:rFonts w:ascii="Arial" w:eastAsia="Arial" w:hAnsi="Arial" w:cs="Arial"/>
                <w:color w:val="00B0F0"/>
                <w:sz w:val="18"/>
                <w:szCs w:val="18"/>
              </w:rPr>
              <w:t>obszarze</w:t>
            </w:r>
            <w:r w:rsidRPr="008624A0">
              <w:rPr>
                <w:rFonts w:ascii="Arial" w:eastAsia="Arial" w:hAnsi="Arial" w:cs="Arial"/>
                <w:sz w:val="18"/>
                <w:szCs w:val="18"/>
              </w:rPr>
              <w:t xml:space="preserve"> geodezji i kartografii.</w:t>
            </w:r>
          </w:p>
          <w:p w14:paraId="059BAFD7" w14:textId="77777777"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Art. 44a ust. 2 pkt 5) wykażą się znajomością przepisów w </w:t>
            </w:r>
            <w:r w:rsidRPr="008624A0">
              <w:rPr>
                <w:rFonts w:ascii="Arial" w:eastAsia="Arial" w:hAnsi="Arial" w:cs="Arial"/>
                <w:strike/>
                <w:sz w:val="18"/>
                <w:szCs w:val="18"/>
              </w:rPr>
              <w:t>dziedzinie</w:t>
            </w:r>
            <w:r w:rsidRPr="008624A0">
              <w:rPr>
                <w:rFonts w:ascii="Arial" w:eastAsia="Arial" w:hAnsi="Arial" w:cs="Arial"/>
                <w:sz w:val="18"/>
                <w:szCs w:val="18"/>
              </w:rPr>
              <w:t xml:space="preserve"> </w:t>
            </w:r>
            <w:r w:rsidRPr="008624A0">
              <w:rPr>
                <w:rFonts w:ascii="Arial" w:eastAsia="Arial" w:hAnsi="Arial" w:cs="Arial"/>
                <w:color w:val="00B0F0"/>
                <w:sz w:val="18"/>
                <w:szCs w:val="18"/>
              </w:rPr>
              <w:t>obszarze</w:t>
            </w:r>
            <w:r w:rsidRPr="008624A0">
              <w:rPr>
                <w:rFonts w:ascii="Arial" w:eastAsia="Arial" w:hAnsi="Arial" w:cs="Arial"/>
                <w:sz w:val="18"/>
                <w:szCs w:val="18"/>
              </w:rPr>
              <w:t xml:space="preserve"> geodezji i kartografii.</w:t>
            </w:r>
          </w:p>
          <w:p w14:paraId="688F45B3" w14:textId="40B5741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Art. 45a ust. 2 pkt 2) część sprawdzającą, polegającą na przeprowadzeniu egzaminu ze znajomości przepisów w </w:t>
            </w:r>
            <w:r w:rsidRPr="008624A0">
              <w:rPr>
                <w:rFonts w:ascii="Arial" w:eastAsia="Arial" w:hAnsi="Arial" w:cs="Arial"/>
                <w:strike/>
                <w:sz w:val="18"/>
                <w:szCs w:val="18"/>
              </w:rPr>
              <w:t>dziedzinie</w:t>
            </w:r>
            <w:r w:rsidRPr="008624A0">
              <w:rPr>
                <w:rFonts w:ascii="Arial" w:eastAsia="Arial" w:hAnsi="Arial" w:cs="Arial"/>
                <w:sz w:val="18"/>
                <w:szCs w:val="18"/>
              </w:rPr>
              <w:t xml:space="preserve"> </w:t>
            </w:r>
            <w:r w:rsidRPr="008624A0">
              <w:rPr>
                <w:rFonts w:ascii="Arial" w:eastAsia="Arial" w:hAnsi="Arial" w:cs="Arial"/>
                <w:color w:val="00B0F0"/>
                <w:sz w:val="18"/>
                <w:szCs w:val="18"/>
              </w:rPr>
              <w:t>obszarze</w:t>
            </w:r>
            <w:r w:rsidRPr="008624A0">
              <w:rPr>
                <w:rFonts w:ascii="Arial" w:eastAsia="Arial" w:hAnsi="Arial" w:cs="Arial"/>
                <w:sz w:val="18"/>
                <w:szCs w:val="18"/>
              </w:rPr>
              <w:t xml:space="preserve"> geodezji i kartografii.</w:t>
            </w:r>
          </w:p>
        </w:tc>
        <w:tc>
          <w:tcPr>
            <w:tcW w:w="4820" w:type="dxa"/>
          </w:tcPr>
          <w:p w14:paraId="00F8E18A" w14:textId="77777777"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Wymaga ujednolicenia zapisów (nazewnictwa) z uwagi na zapis w art. 7b, w którym jest mowa, że WINGiK „nadzoruje działania organów administracji geodezyjnej i kartograficznej w przedmiocie przestrzegania przepisów z zakresu geodezji i kartografii;” oraz art. 12b ust. 1 pkt 1: “zgodności z obowiązującymi przepisami prawa z zakresu geodezji i kartografii ..”</w:t>
            </w:r>
          </w:p>
          <w:p w14:paraId="2C5D79EA" w14:textId="66F118E9"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 xml:space="preserve">Wprowadzenie w ustawie dwóch różnych określeń: „przepisów z zakresu geodezji i kartografii” oraz „przepisów z obszaru geodezji i kartografii” wskazywałaby, że zbiór przepisów z zakresu geodezji i kartografii zawiera inne przepisy niż zbiór w obszarze geodezji i kartografii.  </w:t>
            </w:r>
          </w:p>
        </w:tc>
        <w:tc>
          <w:tcPr>
            <w:tcW w:w="4111" w:type="dxa"/>
          </w:tcPr>
          <w:p w14:paraId="273ACDD4" w14:textId="7B9C5D9F"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Art. 44 ust. 1 pkt 5 i art. 44a ust. 2 pkt 5:</w:t>
            </w:r>
          </w:p>
          <w:p w14:paraId="0D16F508" w14:textId="121FBC2C"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 xml:space="preserve">5) wykażą się znajomością przepisów </w:t>
            </w:r>
            <w:r w:rsidRPr="008624A0">
              <w:rPr>
                <w:rFonts w:ascii="Arial" w:eastAsia="Arial" w:hAnsi="Arial" w:cs="Arial"/>
                <w:strike/>
                <w:sz w:val="18"/>
                <w:szCs w:val="18"/>
              </w:rPr>
              <w:t>w dziedzinie</w:t>
            </w:r>
            <w:r w:rsidRPr="008624A0">
              <w:rPr>
                <w:rFonts w:ascii="Arial" w:eastAsia="Arial" w:hAnsi="Arial" w:cs="Arial"/>
                <w:sz w:val="18"/>
                <w:szCs w:val="18"/>
              </w:rPr>
              <w:t xml:space="preserve"> </w:t>
            </w:r>
            <w:r w:rsidRPr="008624A0">
              <w:rPr>
                <w:rFonts w:ascii="Arial" w:eastAsia="Arial" w:hAnsi="Arial" w:cs="Arial"/>
                <w:color w:val="FF0000"/>
                <w:sz w:val="18"/>
                <w:szCs w:val="18"/>
              </w:rPr>
              <w:t>z zakresu</w:t>
            </w:r>
            <w:r w:rsidRPr="008624A0">
              <w:rPr>
                <w:rFonts w:ascii="Arial" w:eastAsia="Arial" w:hAnsi="Arial" w:cs="Arial"/>
                <w:color w:val="FFC000" w:themeColor="accent4"/>
                <w:sz w:val="18"/>
                <w:szCs w:val="18"/>
              </w:rPr>
              <w:t xml:space="preserve"> </w:t>
            </w:r>
            <w:r w:rsidRPr="008624A0">
              <w:rPr>
                <w:rFonts w:ascii="Arial" w:eastAsia="Arial" w:hAnsi="Arial" w:cs="Arial"/>
                <w:sz w:val="18"/>
                <w:szCs w:val="18"/>
              </w:rPr>
              <w:t>geodezji i kartografii.</w:t>
            </w:r>
          </w:p>
          <w:p w14:paraId="2BD52BC6" w14:textId="61C62489"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Art. 45a ust. 2 pkt 2</w:t>
            </w:r>
          </w:p>
          <w:p w14:paraId="725DE7A8" w14:textId="23AE11F2"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 xml:space="preserve">2) część sprawdzającą, polegającą na przeprowadzeniu egzaminu ze znajomości przepisów w </w:t>
            </w:r>
            <w:r w:rsidRPr="008624A0">
              <w:rPr>
                <w:rFonts w:ascii="Arial" w:eastAsia="Arial" w:hAnsi="Arial" w:cs="Arial"/>
                <w:strike/>
                <w:sz w:val="18"/>
                <w:szCs w:val="18"/>
              </w:rPr>
              <w:t>dziedzinie</w:t>
            </w:r>
            <w:r w:rsidRPr="008624A0">
              <w:rPr>
                <w:rFonts w:ascii="Arial" w:eastAsia="Arial" w:hAnsi="Arial" w:cs="Arial"/>
                <w:sz w:val="18"/>
                <w:szCs w:val="18"/>
              </w:rPr>
              <w:t xml:space="preserve"> </w:t>
            </w:r>
            <w:r w:rsidRPr="008624A0">
              <w:rPr>
                <w:rFonts w:ascii="Arial" w:eastAsia="Arial" w:hAnsi="Arial" w:cs="Arial"/>
                <w:color w:val="FF0000"/>
                <w:sz w:val="18"/>
                <w:szCs w:val="18"/>
              </w:rPr>
              <w:t>zakresie</w:t>
            </w:r>
            <w:r w:rsidRPr="008624A0">
              <w:rPr>
                <w:rFonts w:ascii="Arial" w:eastAsia="Arial" w:hAnsi="Arial" w:cs="Arial"/>
                <w:sz w:val="18"/>
                <w:szCs w:val="18"/>
              </w:rPr>
              <w:t xml:space="preserve"> geodezji i kartografii.</w:t>
            </w:r>
          </w:p>
        </w:tc>
        <w:tc>
          <w:tcPr>
            <w:tcW w:w="1134" w:type="dxa"/>
          </w:tcPr>
          <w:p w14:paraId="3F29AFC0" w14:textId="4F621628" w:rsidR="000469CF" w:rsidRPr="008624A0" w:rsidRDefault="000469CF" w:rsidP="000469CF">
            <w:pPr>
              <w:spacing w:before="130" w:after="130" w:line="276" w:lineRule="auto"/>
              <w:jc w:val="both"/>
              <w:rPr>
                <w:rFonts w:ascii="Arial" w:eastAsia="Arial" w:hAnsi="Arial" w:cs="Arial"/>
                <w:sz w:val="18"/>
                <w:szCs w:val="18"/>
              </w:rPr>
            </w:pPr>
            <w:r w:rsidRPr="008624A0">
              <w:rPr>
                <w:rFonts w:ascii="Arial" w:eastAsia="Arial" w:hAnsi="Arial" w:cs="Arial"/>
                <w:sz w:val="18"/>
                <w:szCs w:val="18"/>
              </w:rPr>
              <w:t xml:space="preserve"> </w:t>
            </w:r>
          </w:p>
        </w:tc>
      </w:tr>
      <w:tr w:rsidR="000469CF" w:rsidRPr="008624A0" w14:paraId="728E3F75" w14:textId="77777777" w:rsidTr="000469CF">
        <w:trPr>
          <w:trHeight w:val="300"/>
        </w:trPr>
        <w:tc>
          <w:tcPr>
            <w:tcW w:w="421" w:type="dxa"/>
          </w:tcPr>
          <w:p w14:paraId="343D1F4D" w14:textId="260681E2"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9.</w:t>
            </w:r>
          </w:p>
        </w:tc>
        <w:tc>
          <w:tcPr>
            <w:tcW w:w="1134" w:type="dxa"/>
          </w:tcPr>
          <w:p w14:paraId="715AC248" w14:textId="7534FDF8"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1BF2FCFF" w14:textId="77777777" w:rsidR="000469CF" w:rsidRDefault="000469CF" w:rsidP="00EA71CB">
            <w:pPr>
              <w:spacing w:before="130" w:after="130" w:line="276" w:lineRule="auto"/>
              <w:rPr>
                <w:rFonts w:ascii="Arial" w:eastAsia="Arial" w:hAnsi="Arial" w:cs="Arial"/>
                <w:sz w:val="18"/>
                <w:szCs w:val="18"/>
              </w:rPr>
            </w:pPr>
            <w:r w:rsidRPr="00592BAB">
              <w:rPr>
                <w:rFonts w:ascii="Arial" w:eastAsia="Arial" w:hAnsi="Arial" w:cs="Arial"/>
                <w:sz w:val="18"/>
                <w:szCs w:val="18"/>
              </w:rPr>
              <w:t>art. 44 ust. 3 i art. 44a ust. 3</w:t>
            </w:r>
            <w:r>
              <w:rPr>
                <w:rFonts w:ascii="Arial" w:eastAsia="Arial" w:hAnsi="Arial" w:cs="Arial"/>
                <w:color w:val="000000" w:themeColor="text1"/>
                <w:sz w:val="18"/>
                <w:szCs w:val="18"/>
              </w:rPr>
              <w:t xml:space="preserve"> ustawy zmienianej</w:t>
            </w:r>
            <w:r w:rsidRPr="008624A0">
              <w:rPr>
                <w:rFonts w:ascii="Arial" w:eastAsia="Arial" w:hAnsi="Arial" w:cs="Arial"/>
                <w:sz w:val="18"/>
                <w:szCs w:val="18"/>
              </w:rPr>
              <w:t xml:space="preserve"> </w:t>
            </w:r>
          </w:p>
          <w:p w14:paraId="31ABFC3D" w14:textId="1707A934"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lastRenderedPageBreak/>
              <w:t>Art. 44</w:t>
            </w:r>
            <w:r w:rsidRPr="008624A0">
              <w:rPr>
                <w:rFonts w:ascii="Arial" w:hAnsi="Arial" w:cs="Arial"/>
                <w:sz w:val="18"/>
                <w:szCs w:val="18"/>
              </w:rPr>
              <w:br/>
            </w:r>
            <w:r w:rsidRPr="008624A0">
              <w:rPr>
                <w:rFonts w:ascii="Arial" w:eastAsia="Arial" w:hAnsi="Arial" w:cs="Arial"/>
                <w:color w:val="0F9ED5"/>
                <w:sz w:val="18"/>
                <w:szCs w:val="18"/>
              </w:rPr>
              <w:t>3. O</w:t>
            </w:r>
            <w:r w:rsidRPr="008624A0">
              <w:rPr>
                <w:rFonts w:ascii="Arial" w:eastAsia="Arial" w:hAnsi="Arial" w:cs="Arial"/>
                <w:color w:val="00B0F0"/>
                <w:sz w:val="18"/>
                <w:szCs w:val="18"/>
              </w:rPr>
              <w:t>soby posiadające tytuł naukowy profesora, zgodnie z art. 177 ust. 1 pkt 2 ustawy z dnia 20 lipca 2018 r. o szkolnictwie wyższym i nauce, w obszarze nauk geodezyjnych oraz dorobek naukowy zg</w:t>
            </w:r>
            <w:r w:rsidRPr="008624A0">
              <w:rPr>
                <w:rFonts w:ascii="Arial" w:eastAsia="Arial" w:hAnsi="Arial" w:cs="Arial"/>
                <w:color w:val="0F9ED5"/>
                <w:sz w:val="18"/>
                <w:szCs w:val="18"/>
              </w:rPr>
              <w:t>odny z zakresem uprawnień, o których nadanie się ubiegają, są zwolnione z obowiązku spełnienia wymagań określonych w ust. 1 pkt 4 i 5.</w:t>
            </w:r>
          </w:p>
          <w:p w14:paraId="651364B2" w14:textId="2DF889C7" w:rsidR="000469CF" w:rsidRPr="00592BAB"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Art 44a</w:t>
            </w:r>
            <w:r w:rsidRPr="008624A0">
              <w:rPr>
                <w:rFonts w:ascii="Arial" w:hAnsi="Arial" w:cs="Arial"/>
                <w:sz w:val="18"/>
                <w:szCs w:val="18"/>
              </w:rPr>
              <w:br/>
            </w:r>
            <w:r w:rsidRPr="008624A0">
              <w:rPr>
                <w:rFonts w:ascii="Arial" w:eastAsia="Arial" w:hAnsi="Arial" w:cs="Arial"/>
                <w:color w:val="0F9ED5"/>
                <w:sz w:val="18"/>
                <w:szCs w:val="18"/>
              </w:rPr>
              <w:t>3. Osoby posiadające tytuł naukowy profesora w obszarze nauk geodezyjnych oraz dorobek naukowy zgodny z zakresem uprawnień, o których nadanie się ubiegają, są zwolnione z obowiązku spełnienia wymagań określonych w ust. 1 pkt 3 lit. b.</w:t>
            </w:r>
          </w:p>
        </w:tc>
        <w:tc>
          <w:tcPr>
            <w:tcW w:w="4820" w:type="dxa"/>
          </w:tcPr>
          <w:p w14:paraId="71F3BC21"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lastRenderedPageBreak/>
              <w:t xml:space="preserve">Odwołanie do ustawy z 2018 r. spowoduje wykluczenie osób, które tytuł profesora uzyskały wcześniej. W </w:t>
            </w:r>
            <w:r w:rsidRPr="008624A0">
              <w:rPr>
                <w:rFonts w:ascii="Arial" w:eastAsia="Arial" w:hAnsi="Arial" w:cs="Arial"/>
                <w:sz w:val="18"/>
                <w:szCs w:val="18"/>
              </w:rPr>
              <w:lastRenderedPageBreak/>
              <w:t xml:space="preserve">związku z tym proponujemy pozostawienie ogólnego zapisu. </w:t>
            </w:r>
          </w:p>
          <w:p w14:paraId="2E853BB8" w14:textId="77777777"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W zależności od ostatecznego zapisu art. 44 ust. 3, analogiczny zapis powinien być w art. 44a ust. 3, z tym że art. 44a dotyczy również kartografii.</w:t>
            </w:r>
          </w:p>
          <w:p w14:paraId="4850D3E4" w14:textId="77777777" w:rsidR="000469CF" w:rsidRPr="008624A0"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 xml:space="preserve">Art. 44a dotyczy nadawania uprawnień zawodowych w zakresach 3, 6, 7, tj. m.in. w zakresie 6 – redakcja map. </w:t>
            </w:r>
          </w:p>
          <w:p w14:paraId="2D7DC090" w14:textId="5FDDA7B2" w:rsidR="000469CF" w:rsidRPr="008624A0" w:rsidRDefault="000469CF" w:rsidP="00EA71CB">
            <w:pPr>
              <w:spacing w:before="130" w:after="130" w:line="276" w:lineRule="auto"/>
              <w:rPr>
                <w:rFonts w:ascii="Arial" w:eastAsia="Arial" w:hAnsi="Arial" w:cs="Arial"/>
                <w:color w:val="0F9ED5"/>
                <w:sz w:val="18"/>
                <w:szCs w:val="18"/>
              </w:rPr>
            </w:pPr>
            <w:r w:rsidRPr="008624A0">
              <w:rPr>
                <w:rFonts w:ascii="Arial" w:eastAsia="Arial" w:hAnsi="Arial" w:cs="Arial"/>
                <w:sz w:val="18"/>
                <w:szCs w:val="18"/>
              </w:rPr>
              <w:t>Obecny zapis art 44a ust. 3, nie będzie dotyczył kartografów, którzy kończą studia na wydziałach m.in. geograficznych. W związku z tym proponujemy dodanie: “lub kartograficznych”.</w:t>
            </w:r>
          </w:p>
        </w:tc>
        <w:tc>
          <w:tcPr>
            <w:tcW w:w="4111" w:type="dxa"/>
          </w:tcPr>
          <w:p w14:paraId="76015B69" w14:textId="09B952A3" w:rsidR="000469CF" w:rsidRPr="008624A0" w:rsidRDefault="000469CF" w:rsidP="00EA71CB">
            <w:pPr>
              <w:spacing w:before="130" w:after="130" w:line="276" w:lineRule="auto"/>
              <w:rPr>
                <w:rFonts w:ascii="Arial" w:eastAsia="Arial" w:hAnsi="Arial" w:cs="Arial"/>
                <w:color w:val="0F9ED5"/>
                <w:sz w:val="18"/>
                <w:szCs w:val="18"/>
              </w:rPr>
            </w:pPr>
            <w:r w:rsidRPr="008624A0">
              <w:rPr>
                <w:rFonts w:ascii="Arial" w:eastAsia="Arial" w:hAnsi="Arial" w:cs="Arial"/>
                <w:sz w:val="18"/>
                <w:szCs w:val="18"/>
              </w:rPr>
              <w:lastRenderedPageBreak/>
              <w:t>Art. 44</w:t>
            </w:r>
            <w:r w:rsidRPr="008624A0">
              <w:rPr>
                <w:rFonts w:ascii="Arial" w:hAnsi="Arial" w:cs="Arial"/>
                <w:sz w:val="18"/>
                <w:szCs w:val="18"/>
              </w:rPr>
              <w:br/>
            </w:r>
            <w:r w:rsidRPr="008624A0">
              <w:rPr>
                <w:rFonts w:ascii="Arial" w:eastAsia="Arial" w:hAnsi="Arial" w:cs="Arial"/>
                <w:color w:val="0F9ED5"/>
                <w:sz w:val="18"/>
                <w:szCs w:val="18"/>
              </w:rPr>
              <w:t>3. O</w:t>
            </w:r>
            <w:r w:rsidRPr="008624A0">
              <w:rPr>
                <w:rFonts w:ascii="Arial" w:eastAsia="Arial" w:hAnsi="Arial" w:cs="Arial"/>
                <w:color w:val="00B0F0"/>
                <w:sz w:val="18"/>
                <w:szCs w:val="18"/>
              </w:rPr>
              <w:t xml:space="preserve">soby posiadające tytuł naukowy profesora, </w:t>
            </w:r>
            <w:r w:rsidRPr="008624A0">
              <w:rPr>
                <w:rFonts w:ascii="Arial" w:eastAsia="Arial" w:hAnsi="Arial" w:cs="Arial"/>
                <w:strike/>
                <w:color w:val="FF0000"/>
                <w:sz w:val="18"/>
                <w:szCs w:val="18"/>
              </w:rPr>
              <w:t xml:space="preserve">zgodnie z art. 177 ust. 1 pkt 2 ustawy z dnia 20 </w:t>
            </w:r>
            <w:r w:rsidRPr="008624A0">
              <w:rPr>
                <w:rFonts w:ascii="Arial" w:eastAsia="Arial" w:hAnsi="Arial" w:cs="Arial"/>
                <w:strike/>
                <w:color w:val="FF0000"/>
                <w:sz w:val="18"/>
                <w:szCs w:val="18"/>
              </w:rPr>
              <w:lastRenderedPageBreak/>
              <w:t>lipca 2018 r. o szkolnictwie wyższym i nauce,</w:t>
            </w:r>
            <w:r w:rsidRPr="008624A0">
              <w:rPr>
                <w:rFonts w:ascii="Arial" w:eastAsia="Arial" w:hAnsi="Arial" w:cs="Arial"/>
                <w:color w:val="00B0F0"/>
                <w:sz w:val="18"/>
                <w:szCs w:val="18"/>
              </w:rPr>
              <w:t xml:space="preserve"> w obszarze nauk geodezyjnych oraz dor</w:t>
            </w:r>
            <w:r w:rsidRPr="008624A0">
              <w:rPr>
                <w:rFonts w:ascii="Arial" w:eastAsia="Arial" w:hAnsi="Arial" w:cs="Arial"/>
                <w:color w:val="0F9ED5"/>
                <w:sz w:val="18"/>
                <w:szCs w:val="18"/>
              </w:rPr>
              <w:t>obek naukowy zgodny z zakresem uprawnień, o których nadanie się ubiegają, są zwolnione z obowiązku spełnienia wymagań określonych w ust. 1 pkt 4 i 5.</w:t>
            </w:r>
          </w:p>
          <w:p w14:paraId="4B17AB9E" w14:textId="5E8A8D8F" w:rsidR="000469CF" w:rsidRPr="008624A0" w:rsidRDefault="000469CF" w:rsidP="00EA71CB">
            <w:pPr>
              <w:spacing w:line="276" w:lineRule="auto"/>
              <w:rPr>
                <w:rFonts w:ascii="Arial" w:eastAsia="Arial" w:hAnsi="Arial" w:cs="Arial"/>
                <w:color w:val="0F9ED5"/>
                <w:sz w:val="18"/>
                <w:szCs w:val="18"/>
              </w:rPr>
            </w:pPr>
            <w:r w:rsidRPr="008624A0">
              <w:rPr>
                <w:rFonts w:ascii="Arial" w:eastAsia="Arial" w:hAnsi="Arial" w:cs="Arial"/>
                <w:sz w:val="18"/>
                <w:szCs w:val="18"/>
              </w:rPr>
              <w:t>Art. 44a</w:t>
            </w:r>
            <w:r w:rsidRPr="008624A0">
              <w:rPr>
                <w:rFonts w:ascii="Arial" w:hAnsi="Arial" w:cs="Arial"/>
                <w:sz w:val="18"/>
                <w:szCs w:val="18"/>
              </w:rPr>
              <w:br/>
            </w:r>
            <w:r w:rsidRPr="008624A0">
              <w:rPr>
                <w:rFonts w:ascii="Arial" w:eastAsia="Arial" w:hAnsi="Arial" w:cs="Arial"/>
                <w:color w:val="0F9ED5"/>
                <w:sz w:val="18"/>
                <w:szCs w:val="18"/>
              </w:rPr>
              <w:t xml:space="preserve">3. Osoby posiadające tytuł naukowy profesora, w obszarze nauk geodezyjnych </w:t>
            </w:r>
            <w:r w:rsidRPr="008624A0">
              <w:rPr>
                <w:rFonts w:ascii="Arial" w:eastAsia="Arial" w:hAnsi="Arial" w:cs="Arial"/>
                <w:color w:val="FF0000"/>
                <w:sz w:val="18"/>
                <w:szCs w:val="18"/>
              </w:rPr>
              <w:t>lub kartograficznych</w:t>
            </w:r>
            <w:r w:rsidRPr="008624A0">
              <w:rPr>
                <w:rFonts w:ascii="Arial" w:eastAsia="Arial" w:hAnsi="Arial" w:cs="Arial"/>
                <w:color w:val="0F9ED5"/>
                <w:sz w:val="18"/>
                <w:szCs w:val="18"/>
              </w:rPr>
              <w:t xml:space="preserve"> oraz dorobek naukowy zgodny z zakresem uprawnień, o których nadanie się ubiegają, są zwolnione z obowiązku spełnienia wymagań określonych w ust. 1 pkt 3 lit. b.</w:t>
            </w:r>
          </w:p>
        </w:tc>
        <w:tc>
          <w:tcPr>
            <w:tcW w:w="1134" w:type="dxa"/>
          </w:tcPr>
          <w:p w14:paraId="67424183" w14:textId="21AFD7BA" w:rsidR="000469CF" w:rsidRPr="008624A0" w:rsidRDefault="000469CF" w:rsidP="000469CF">
            <w:pPr>
              <w:spacing w:before="130" w:after="130" w:line="276" w:lineRule="auto"/>
              <w:jc w:val="both"/>
              <w:rPr>
                <w:rFonts w:ascii="Arial" w:eastAsia="Arial" w:hAnsi="Arial" w:cs="Arial"/>
                <w:sz w:val="18"/>
                <w:szCs w:val="18"/>
              </w:rPr>
            </w:pPr>
          </w:p>
        </w:tc>
      </w:tr>
      <w:tr w:rsidR="000469CF" w:rsidRPr="008624A0" w14:paraId="3B6CACB5" w14:textId="77777777" w:rsidTr="000469CF">
        <w:trPr>
          <w:trHeight w:val="300"/>
        </w:trPr>
        <w:tc>
          <w:tcPr>
            <w:tcW w:w="421" w:type="dxa"/>
          </w:tcPr>
          <w:p w14:paraId="6A0E45A3" w14:textId="1A426D68"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10</w:t>
            </w:r>
          </w:p>
        </w:tc>
        <w:tc>
          <w:tcPr>
            <w:tcW w:w="1134" w:type="dxa"/>
          </w:tcPr>
          <w:p w14:paraId="00EBA893" w14:textId="0CFFFC99"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7ABC1D52" w14:textId="77777777" w:rsidR="000469CF"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0000" w:themeColor="text1"/>
                <w:sz w:val="18"/>
                <w:szCs w:val="18"/>
              </w:rPr>
              <w:t xml:space="preserve">Art. </w:t>
            </w:r>
            <w:r>
              <w:rPr>
                <w:rFonts w:ascii="Arial" w:eastAsia="Arial" w:hAnsi="Arial" w:cs="Arial"/>
                <w:color w:val="000000" w:themeColor="text1"/>
                <w:sz w:val="18"/>
                <w:szCs w:val="18"/>
              </w:rPr>
              <w:t>9</w:t>
            </w:r>
            <w:r w:rsidRPr="008624A0">
              <w:rPr>
                <w:rFonts w:ascii="Arial" w:eastAsia="Arial" w:hAnsi="Arial" w:cs="Arial"/>
                <w:color w:val="000000" w:themeColor="text1"/>
                <w:sz w:val="18"/>
                <w:szCs w:val="18"/>
              </w:rPr>
              <w:t xml:space="preserve"> ust. 4 zmienianej ustawy o IIP</w:t>
            </w:r>
          </w:p>
          <w:p w14:paraId="31834B07" w14:textId="5E76482F" w:rsidR="000469CF" w:rsidRPr="008624A0" w:rsidRDefault="000469CF" w:rsidP="00EA71CB">
            <w:pPr>
              <w:spacing w:line="276" w:lineRule="auto"/>
              <w:rPr>
                <w:rFonts w:ascii="Arial" w:eastAsia="Arial" w:hAnsi="Arial" w:cs="Arial"/>
                <w:color w:val="000000" w:themeColor="text1"/>
                <w:sz w:val="18"/>
                <w:szCs w:val="18"/>
              </w:rPr>
            </w:pPr>
            <w:r w:rsidRPr="008624A0">
              <w:rPr>
                <w:rFonts w:ascii="Arial" w:eastAsia="Arial" w:hAnsi="Arial" w:cs="Arial"/>
                <w:color w:val="00B0F0"/>
                <w:sz w:val="18"/>
                <w:szCs w:val="18"/>
              </w:rPr>
              <w:t>4. W odniesieniu do rejestrów publicznych prowadzonych przez organy administracji geodezyjnej i kartograficznej, które zawierają zbiory związane z wymienionymi w załączniku do ustawy tematami danych przestrzennych, w przypadku braku utworzenia i obsługiwania przez te organy usług, o których mowa w ust. 1, zgodnie z obowiązującymi przepisami – sieć usług tworzy i obsługuje Główny Geodeta Kraju</w:t>
            </w:r>
          </w:p>
        </w:tc>
        <w:tc>
          <w:tcPr>
            <w:tcW w:w="4820" w:type="dxa"/>
          </w:tcPr>
          <w:p w14:paraId="4B833049"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 xml:space="preserve">Obecny zapis będzie generować niepotrzebne koszty po stronie powiatów i po stronie GUGiK. </w:t>
            </w:r>
          </w:p>
          <w:p w14:paraId="02E0392A"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Poprzednia wersja zapisu generowała koszty jedynie po stronie GUGiK. W związku z tym proponujemy powrót do wcześniejszej wersji zapisu.</w:t>
            </w:r>
          </w:p>
          <w:p w14:paraId="0D17A986" w14:textId="6EFDAF29" w:rsidR="000469CF" w:rsidRPr="008624A0" w:rsidRDefault="000469CF" w:rsidP="00EA71CB">
            <w:pPr>
              <w:spacing w:line="276" w:lineRule="auto"/>
              <w:rPr>
                <w:rFonts w:ascii="Arial" w:eastAsia="Arial" w:hAnsi="Arial" w:cs="Arial"/>
                <w:color w:val="00B0F0"/>
                <w:sz w:val="18"/>
                <w:szCs w:val="18"/>
                <w:highlight w:val="yellow"/>
              </w:rPr>
            </w:pPr>
            <w:r w:rsidRPr="008624A0">
              <w:rPr>
                <w:rFonts w:ascii="Arial" w:eastAsia="Arial" w:hAnsi="Arial" w:cs="Arial"/>
                <w:sz w:val="18"/>
                <w:szCs w:val="18"/>
              </w:rPr>
              <w:t>Ewentualnie proponujemy nowe brzmienie przepisu, który uwzględnia argumenty podnoszone w uwadze: “</w:t>
            </w:r>
            <w:r w:rsidRPr="00EA71CB">
              <w:rPr>
                <w:rFonts w:ascii="Arial" w:eastAsia="Arial" w:hAnsi="Arial" w:cs="Arial"/>
                <w:color w:val="00B0F0"/>
                <w:sz w:val="18"/>
                <w:szCs w:val="18"/>
                <w:lang w:val="pl"/>
              </w:rPr>
              <w:t xml:space="preserve">W odniesieniu do rejestrów publicznych prowadzonych przez organy administracji geodezyjnej i kartograficznej, które zawierają zbiory związane z wymienionymi w załączniku do ustawy tematami danych przestrzennych, </w:t>
            </w:r>
            <w:r w:rsidRPr="00EA71CB">
              <w:rPr>
                <w:rFonts w:ascii="Arial" w:eastAsia="Arial" w:hAnsi="Arial" w:cs="Arial"/>
                <w:color w:val="FF0000"/>
                <w:sz w:val="18"/>
                <w:szCs w:val="18"/>
                <w:lang w:val="pl"/>
              </w:rPr>
              <w:t xml:space="preserve">sieć usług, o których mowa w ust. 1, tworzy i obsługuje Główny Geodeta Kraju. </w:t>
            </w:r>
            <w:r w:rsidRPr="008624A0">
              <w:rPr>
                <w:rFonts w:ascii="Arial" w:eastAsia="Arial" w:hAnsi="Arial" w:cs="Arial"/>
                <w:color w:val="FF0000"/>
                <w:sz w:val="18"/>
                <w:szCs w:val="18"/>
                <w:lang w:val="pl"/>
              </w:rPr>
              <w:t>W uzasadnionych przypadkach sieć usług może być dodatkowo tworzona przez pozostałe organy administracji geodezyjnej i kartograficznej.</w:t>
            </w:r>
            <w:r w:rsidRPr="008624A0">
              <w:rPr>
                <w:rFonts w:ascii="Arial" w:eastAsia="Arial" w:hAnsi="Arial" w:cs="Arial"/>
                <w:sz w:val="18"/>
                <w:szCs w:val="18"/>
              </w:rPr>
              <w:t>”</w:t>
            </w:r>
          </w:p>
        </w:tc>
        <w:tc>
          <w:tcPr>
            <w:tcW w:w="4111" w:type="dxa"/>
          </w:tcPr>
          <w:p w14:paraId="4729A75D" w14:textId="03729405"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Uwzględnienie poprzedniej wersji projektu:</w:t>
            </w:r>
          </w:p>
          <w:p w14:paraId="1BE2A4E5" w14:textId="58EC8F68" w:rsidR="000469CF" w:rsidRPr="008624A0" w:rsidRDefault="000469CF" w:rsidP="00EA71CB">
            <w:pPr>
              <w:spacing w:line="276" w:lineRule="auto"/>
              <w:rPr>
                <w:rFonts w:ascii="Arial" w:eastAsia="Arial" w:hAnsi="Arial" w:cs="Arial"/>
                <w:color w:val="FF0000"/>
                <w:sz w:val="18"/>
                <w:szCs w:val="18"/>
                <w:highlight w:val="yellow"/>
              </w:rPr>
            </w:pPr>
            <w:r w:rsidRPr="00A844BC">
              <w:rPr>
                <w:rFonts w:ascii="Arial" w:eastAsia="Arial" w:hAnsi="Arial" w:cs="Arial"/>
                <w:color w:val="00B0F0"/>
                <w:sz w:val="18"/>
                <w:szCs w:val="18"/>
              </w:rPr>
              <w:t xml:space="preserve">4. W odniesieniu do rejestrów publicznych prowadzonych przez organy administracji geodezyjnej i kartograficznej, które zawierają zbiory związane z wymienionymi w załączniku do ustawy tematami danych przestrzennych, </w:t>
            </w:r>
            <w:r w:rsidRPr="008624A0">
              <w:rPr>
                <w:rFonts w:ascii="Arial" w:eastAsia="Arial" w:hAnsi="Arial" w:cs="Arial"/>
                <w:color w:val="FF0000"/>
                <w:sz w:val="18"/>
                <w:szCs w:val="18"/>
              </w:rPr>
              <w:t>sieć usług, o których mowa w ust. 1, tworzy i obsługuje Główny Geodeta Kraju</w:t>
            </w:r>
          </w:p>
        </w:tc>
        <w:tc>
          <w:tcPr>
            <w:tcW w:w="1134" w:type="dxa"/>
          </w:tcPr>
          <w:p w14:paraId="3E2F5382" w14:textId="79FBCA0C" w:rsidR="000469CF" w:rsidRPr="008624A0" w:rsidRDefault="000469CF" w:rsidP="000469CF">
            <w:pPr>
              <w:spacing w:line="276" w:lineRule="auto"/>
              <w:jc w:val="both"/>
              <w:rPr>
                <w:rFonts w:ascii="Arial" w:eastAsia="Arial" w:hAnsi="Arial" w:cs="Arial"/>
                <w:sz w:val="18"/>
                <w:szCs w:val="18"/>
              </w:rPr>
            </w:pPr>
          </w:p>
        </w:tc>
      </w:tr>
      <w:tr w:rsidR="000469CF" w:rsidRPr="008624A0" w14:paraId="681454AF" w14:textId="77777777" w:rsidTr="000469CF">
        <w:trPr>
          <w:trHeight w:val="300"/>
        </w:trPr>
        <w:tc>
          <w:tcPr>
            <w:tcW w:w="421" w:type="dxa"/>
          </w:tcPr>
          <w:p w14:paraId="384995B7" w14:textId="09244355" w:rsidR="000469CF" w:rsidRPr="008624A0" w:rsidRDefault="000469CF" w:rsidP="000469CF">
            <w:pPr>
              <w:spacing w:line="276" w:lineRule="auto"/>
              <w:rPr>
                <w:rFonts w:ascii="Arial" w:eastAsia="Arial" w:hAnsi="Arial" w:cs="Arial"/>
                <w:b/>
                <w:bCs/>
                <w:sz w:val="18"/>
                <w:szCs w:val="18"/>
              </w:rPr>
            </w:pPr>
            <w:r w:rsidRPr="008624A0">
              <w:rPr>
                <w:rFonts w:ascii="Arial" w:eastAsia="Arial" w:hAnsi="Arial" w:cs="Arial"/>
                <w:b/>
                <w:bCs/>
                <w:sz w:val="18"/>
                <w:szCs w:val="18"/>
              </w:rPr>
              <w:t>11</w:t>
            </w:r>
          </w:p>
        </w:tc>
        <w:tc>
          <w:tcPr>
            <w:tcW w:w="1134" w:type="dxa"/>
          </w:tcPr>
          <w:p w14:paraId="489FF0F9" w14:textId="4F37DBBC" w:rsidR="000469CF" w:rsidRPr="008624A0" w:rsidRDefault="000469CF" w:rsidP="000469CF">
            <w:pPr>
              <w:spacing w:line="276" w:lineRule="auto"/>
              <w:jc w:val="center"/>
              <w:rPr>
                <w:rFonts w:ascii="Arial" w:eastAsia="Arial" w:hAnsi="Arial" w:cs="Arial"/>
                <w:b/>
                <w:bCs/>
                <w:sz w:val="18"/>
                <w:szCs w:val="18"/>
              </w:rPr>
            </w:pPr>
            <w:r w:rsidRPr="008624A0">
              <w:rPr>
                <w:rFonts w:ascii="Arial" w:eastAsia="Arial" w:hAnsi="Arial" w:cs="Arial"/>
                <w:b/>
                <w:bCs/>
                <w:sz w:val="18"/>
                <w:szCs w:val="18"/>
              </w:rPr>
              <w:t>GUGiK</w:t>
            </w:r>
          </w:p>
        </w:tc>
        <w:tc>
          <w:tcPr>
            <w:tcW w:w="4110" w:type="dxa"/>
          </w:tcPr>
          <w:p w14:paraId="2FC6C3A3" w14:textId="77777777" w:rsidR="000469CF" w:rsidRDefault="000469CF" w:rsidP="00EA71CB">
            <w:pPr>
              <w:spacing w:before="130" w:after="130" w:line="276" w:lineRule="auto"/>
              <w:rPr>
                <w:rFonts w:ascii="Arial" w:eastAsia="Arial" w:hAnsi="Arial" w:cs="Arial"/>
                <w:sz w:val="18"/>
                <w:szCs w:val="18"/>
              </w:rPr>
            </w:pPr>
            <w:r w:rsidRPr="008624A0">
              <w:rPr>
                <w:rFonts w:ascii="Arial" w:eastAsia="Arial" w:hAnsi="Arial" w:cs="Arial"/>
                <w:sz w:val="18"/>
                <w:szCs w:val="18"/>
              </w:rPr>
              <w:t>Art. 9 ust. 3 ustawy zmieniającej</w:t>
            </w:r>
          </w:p>
          <w:p w14:paraId="62CA6F23" w14:textId="156A72E7" w:rsidR="000469CF" w:rsidRPr="008624A0" w:rsidRDefault="000469CF" w:rsidP="00EA71CB">
            <w:pPr>
              <w:spacing w:before="130" w:after="130" w:line="276" w:lineRule="auto"/>
              <w:rPr>
                <w:rFonts w:ascii="Arial" w:eastAsia="Arial" w:hAnsi="Arial" w:cs="Arial"/>
                <w:color w:val="00B0F0"/>
                <w:sz w:val="18"/>
                <w:szCs w:val="18"/>
              </w:rPr>
            </w:pPr>
            <w:r w:rsidRPr="008624A0">
              <w:rPr>
                <w:rFonts w:ascii="Arial" w:eastAsia="Arial" w:hAnsi="Arial" w:cs="Arial"/>
                <w:color w:val="00B0F0"/>
                <w:sz w:val="18"/>
                <w:szCs w:val="18"/>
              </w:rPr>
              <w:t>3. Organy administracji geodezyjnej i kartograficznej zapewnią Głównemu Geodecie Kraju bezpośredni dostęp do prowadzonych przez siebie baz danych, o których mowa w art. 4 ust. 1a pkt 2, 3, 7, 10 i 12 ustawy zmienianej w art. 1, w terminie 6 miesięcy od dnia wejścia w życie niniejszej ustawy.</w:t>
            </w:r>
          </w:p>
          <w:p w14:paraId="180C99A4" w14:textId="0B1674A0" w:rsidR="000469CF" w:rsidRPr="008624A0" w:rsidRDefault="000469CF" w:rsidP="00EA71CB">
            <w:pPr>
              <w:spacing w:line="276" w:lineRule="auto"/>
              <w:rPr>
                <w:rFonts w:ascii="Arial" w:eastAsia="Arial" w:hAnsi="Arial" w:cs="Arial"/>
                <w:sz w:val="18"/>
                <w:szCs w:val="18"/>
              </w:rPr>
            </w:pPr>
          </w:p>
        </w:tc>
        <w:tc>
          <w:tcPr>
            <w:tcW w:w="4820" w:type="dxa"/>
          </w:tcPr>
          <w:p w14:paraId="020E9EC5"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Skrócony został termin na zapewnienie przez starostę dostępu do prowadzonych baz danych z 12 miesięcy na 6 miesięcy.</w:t>
            </w:r>
          </w:p>
          <w:p w14:paraId="05ED92C2" w14:textId="77777777" w:rsidR="000469CF" w:rsidRPr="008624A0" w:rsidRDefault="000469CF" w:rsidP="00EA71CB">
            <w:pPr>
              <w:spacing w:line="276" w:lineRule="auto"/>
              <w:rPr>
                <w:rFonts w:ascii="Arial" w:eastAsia="Arial" w:hAnsi="Arial" w:cs="Arial"/>
                <w:sz w:val="18"/>
                <w:szCs w:val="18"/>
              </w:rPr>
            </w:pPr>
            <w:r w:rsidRPr="008624A0">
              <w:rPr>
                <w:rFonts w:ascii="Arial" w:eastAsia="Arial" w:hAnsi="Arial" w:cs="Arial"/>
                <w:sz w:val="18"/>
                <w:szCs w:val="18"/>
              </w:rPr>
              <w:t>Termin ten jest zbyt krótki na zapewnienie GGK bezpośredniego dostępu do baz danych prowadzonych przez starostę, gdyż może się to wiązać z koniecznością zapewnienia w budżecie powiatów środków finansowych na ten cel.</w:t>
            </w:r>
          </w:p>
          <w:p w14:paraId="467107AA" w14:textId="0623CFE2" w:rsidR="000469CF" w:rsidRPr="008624A0" w:rsidRDefault="000469CF" w:rsidP="00EA71CB">
            <w:pPr>
              <w:spacing w:before="130" w:after="130" w:line="276" w:lineRule="auto"/>
              <w:rPr>
                <w:rFonts w:ascii="Arial" w:eastAsia="Arial" w:hAnsi="Arial" w:cs="Arial"/>
                <w:color w:val="FF0000"/>
                <w:sz w:val="18"/>
                <w:szCs w:val="18"/>
              </w:rPr>
            </w:pPr>
            <w:r w:rsidRPr="008624A0">
              <w:rPr>
                <w:rFonts w:ascii="Arial" w:eastAsia="Arial" w:hAnsi="Arial" w:cs="Arial"/>
                <w:sz w:val="18"/>
                <w:szCs w:val="18"/>
              </w:rPr>
              <w:t>W związku z tym proponuje się termin 12 miesięcy</w:t>
            </w:r>
            <w:r>
              <w:rPr>
                <w:rFonts w:ascii="Arial" w:eastAsia="Arial" w:hAnsi="Arial" w:cs="Arial"/>
                <w:sz w:val="18"/>
                <w:szCs w:val="18"/>
              </w:rPr>
              <w:t>.</w:t>
            </w:r>
          </w:p>
        </w:tc>
        <w:tc>
          <w:tcPr>
            <w:tcW w:w="4111" w:type="dxa"/>
          </w:tcPr>
          <w:p w14:paraId="2F50DC36" w14:textId="50081C61" w:rsidR="000469CF" w:rsidRPr="00A844BC" w:rsidRDefault="000469CF" w:rsidP="00EA71CB">
            <w:pPr>
              <w:spacing w:line="276" w:lineRule="auto"/>
              <w:rPr>
                <w:rFonts w:ascii="Arial" w:eastAsia="Arial" w:hAnsi="Arial" w:cs="Arial"/>
                <w:color w:val="00B0F0"/>
                <w:sz w:val="18"/>
                <w:szCs w:val="18"/>
              </w:rPr>
            </w:pPr>
            <w:r w:rsidRPr="00A844BC">
              <w:rPr>
                <w:rFonts w:ascii="Arial" w:eastAsia="Arial" w:hAnsi="Arial" w:cs="Arial"/>
                <w:color w:val="00B0F0"/>
                <w:sz w:val="18"/>
                <w:szCs w:val="18"/>
              </w:rPr>
              <w:t xml:space="preserve">3. Organy administracji geodezyjnej i kartograficznej zapewnią Głównemu Geodecie Kraju bezpośredni dostęp do prowadzonych przez siebie baz danych, o których mowa w art. 4 ust. 1a pkt 2, 3, 7, 10 i 12 ustawy zmienianej w art. 1, w terminie </w:t>
            </w:r>
            <w:r>
              <w:rPr>
                <w:rFonts w:ascii="Arial" w:eastAsia="Arial" w:hAnsi="Arial" w:cs="Arial"/>
                <w:color w:val="FF0000"/>
                <w:sz w:val="18"/>
                <w:szCs w:val="18"/>
              </w:rPr>
              <w:t xml:space="preserve">12 </w:t>
            </w:r>
            <w:r w:rsidRPr="008624A0">
              <w:rPr>
                <w:rFonts w:ascii="Arial" w:eastAsia="Arial" w:hAnsi="Arial" w:cs="Arial"/>
                <w:color w:val="FF0000"/>
                <w:sz w:val="18"/>
                <w:szCs w:val="18"/>
              </w:rPr>
              <w:t xml:space="preserve">miesięcy </w:t>
            </w:r>
            <w:r w:rsidRPr="00A844BC">
              <w:rPr>
                <w:rFonts w:ascii="Arial" w:eastAsia="Arial" w:hAnsi="Arial" w:cs="Arial"/>
                <w:color w:val="00B0F0"/>
                <w:sz w:val="18"/>
                <w:szCs w:val="18"/>
              </w:rPr>
              <w:t xml:space="preserve">od dnia wejścia w życie niniejszej ustawy. </w:t>
            </w:r>
          </w:p>
          <w:p w14:paraId="1D6336BA" w14:textId="7988FAE7" w:rsidR="000469CF" w:rsidRPr="008624A0" w:rsidRDefault="000469CF" w:rsidP="00EA71CB">
            <w:pPr>
              <w:spacing w:line="276" w:lineRule="auto"/>
              <w:rPr>
                <w:rFonts w:ascii="Arial" w:eastAsia="Arial" w:hAnsi="Arial" w:cs="Arial"/>
                <w:sz w:val="18"/>
                <w:szCs w:val="18"/>
              </w:rPr>
            </w:pPr>
          </w:p>
        </w:tc>
        <w:tc>
          <w:tcPr>
            <w:tcW w:w="1134" w:type="dxa"/>
          </w:tcPr>
          <w:p w14:paraId="4916D634" w14:textId="78FC4C78" w:rsidR="000469CF" w:rsidRPr="008624A0" w:rsidRDefault="000469CF" w:rsidP="000469CF">
            <w:pPr>
              <w:spacing w:line="276" w:lineRule="auto"/>
              <w:jc w:val="both"/>
              <w:rPr>
                <w:rFonts w:ascii="Arial" w:eastAsia="Arial" w:hAnsi="Arial" w:cs="Arial"/>
                <w:sz w:val="18"/>
                <w:szCs w:val="18"/>
              </w:rPr>
            </w:pPr>
          </w:p>
        </w:tc>
      </w:tr>
    </w:tbl>
    <w:p w14:paraId="15302092" w14:textId="77777777" w:rsidR="00C64B1B" w:rsidRDefault="00C64B1B" w:rsidP="00EA71CB"/>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ECB88"/>
    <w:multiLevelType w:val="hybridMultilevel"/>
    <w:tmpl w:val="B824B37A"/>
    <w:lvl w:ilvl="0" w:tplc="0310C3CA">
      <w:start w:val="4"/>
      <w:numFmt w:val="decimal"/>
      <w:lvlText w:val="%1."/>
      <w:lvlJc w:val="left"/>
      <w:pPr>
        <w:ind w:left="720" w:hanging="360"/>
      </w:pPr>
    </w:lvl>
    <w:lvl w:ilvl="1" w:tplc="B4689A24">
      <w:start w:val="1"/>
      <w:numFmt w:val="lowerLetter"/>
      <w:lvlText w:val="%2."/>
      <w:lvlJc w:val="left"/>
      <w:pPr>
        <w:ind w:left="1440" w:hanging="360"/>
      </w:pPr>
    </w:lvl>
    <w:lvl w:ilvl="2" w:tplc="D19AAED2">
      <w:start w:val="1"/>
      <w:numFmt w:val="lowerRoman"/>
      <w:lvlText w:val="%3."/>
      <w:lvlJc w:val="right"/>
      <w:pPr>
        <w:ind w:left="2160" w:hanging="180"/>
      </w:pPr>
    </w:lvl>
    <w:lvl w:ilvl="3" w:tplc="33222A66">
      <w:start w:val="1"/>
      <w:numFmt w:val="decimal"/>
      <w:lvlText w:val="%4."/>
      <w:lvlJc w:val="left"/>
      <w:pPr>
        <w:ind w:left="2880" w:hanging="360"/>
      </w:pPr>
    </w:lvl>
    <w:lvl w:ilvl="4" w:tplc="E90E51A4">
      <w:start w:val="1"/>
      <w:numFmt w:val="lowerLetter"/>
      <w:lvlText w:val="%5."/>
      <w:lvlJc w:val="left"/>
      <w:pPr>
        <w:ind w:left="3600" w:hanging="360"/>
      </w:pPr>
    </w:lvl>
    <w:lvl w:ilvl="5" w:tplc="6E7C0E00">
      <w:start w:val="1"/>
      <w:numFmt w:val="lowerRoman"/>
      <w:lvlText w:val="%6."/>
      <w:lvlJc w:val="right"/>
      <w:pPr>
        <w:ind w:left="4320" w:hanging="180"/>
      </w:pPr>
    </w:lvl>
    <w:lvl w:ilvl="6" w:tplc="7A162784">
      <w:start w:val="1"/>
      <w:numFmt w:val="decimal"/>
      <w:lvlText w:val="%7."/>
      <w:lvlJc w:val="left"/>
      <w:pPr>
        <w:ind w:left="5040" w:hanging="360"/>
      </w:pPr>
    </w:lvl>
    <w:lvl w:ilvl="7" w:tplc="64B8672E">
      <w:start w:val="1"/>
      <w:numFmt w:val="lowerLetter"/>
      <w:lvlText w:val="%8."/>
      <w:lvlJc w:val="left"/>
      <w:pPr>
        <w:ind w:left="5760" w:hanging="360"/>
      </w:pPr>
    </w:lvl>
    <w:lvl w:ilvl="8" w:tplc="AD726C88">
      <w:start w:val="1"/>
      <w:numFmt w:val="lowerRoman"/>
      <w:lvlText w:val="%9."/>
      <w:lvlJc w:val="right"/>
      <w:pPr>
        <w:ind w:left="6480" w:hanging="180"/>
      </w:pPr>
    </w:lvl>
  </w:abstractNum>
  <w:abstractNum w:abstractNumId="1" w15:restartNumberingAfterBreak="0">
    <w:nsid w:val="28C373C2"/>
    <w:multiLevelType w:val="hybridMultilevel"/>
    <w:tmpl w:val="DDE2A11A"/>
    <w:lvl w:ilvl="0" w:tplc="D0D06C28">
      <w:start w:val="1"/>
      <w:numFmt w:val="decimal"/>
      <w:lvlText w:val="%1."/>
      <w:lvlJc w:val="left"/>
      <w:pPr>
        <w:ind w:left="1080" w:hanging="360"/>
      </w:pPr>
    </w:lvl>
    <w:lvl w:ilvl="1" w:tplc="CFAED9D4">
      <w:start w:val="1"/>
      <w:numFmt w:val="lowerLetter"/>
      <w:lvlText w:val="%2."/>
      <w:lvlJc w:val="left"/>
      <w:pPr>
        <w:ind w:left="1800" w:hanging="360"/>
      </w:pPr>
    </w:lvl>
    <w:lvl w:ilvl="2" w:tplc="5A3636C0">
      <w:start w:val="1"/>
      <w:numFmt w:val="lowerRoman"/>
      <w:lvlText w:val="%3."/>
      <w:lvlJc w:val="right"/>
      <w:pPr>
        <w:ind w:left="2520" w:hanging="180"/>
      </w:pPr>
    </w:lvl>
    <w:lvl w:ilvl="3" w:tplc="F4842194">
      <w:start w:val="1"/>
      <w:numFmt w:val="decimal"/>
      <w:lvlText w:val="%4."/>
      <w:lvlJc w:val="left"/>
      <w:pPr>
        <w:ind w:left="3240" w:hanging="360"/>
      </w:pPr>
    </w:lvl>
    <w:lvl w:ilvl="4" w:tplc="6FB6FDD4">
      <w:start w:val="1"/>
      <w:numFmt w:val="lowerLetter"/>
      <w:lvlText w:val="%5."/>
      <w:lvlJc w:val="left"/>
      <w:pPr>
        <w:ind w:left="3960" w:hanging="360"/>
      </w:pPr>
    </w:lvl>
    <w:lvl w:ilvl="5" w:tplc="514C3FC4">
      <w:start w:val="1"/>
      <w:numFmt w:val="lowerRoman"/>
      <w:lvlText w:val="%6."/>
      <w:lvlJc w:val="right"/>
      <w:pPr>
        <w:ind w:left="4680" w:hanging="180"/>
      </w:pPr>
    </w:lvl>
    <w:lvl w:ilvl="6" w:tplc="A21EED3C">
      <w:start w:val="1"/>
      <w:numFmt w:val="decimal"/>
      <w:lvlText w:val="%7."/>
      <w:lvlJc w:val="left"/>
      <w:pPr>
        <w:ind w:left="5400" w:hanging="360"/>
      </w:pPr>
    </w:lvl>
    <w:lvl w:ilvl="7" w:tplc="A0986BEA">
      <w:start w:val="1"/>
      <w:numFmt w:val="lowerLetter"/>
      <w:lvlText w:val="%8."/>
      <w:lvlJc w:val="left"/>
      <w:pPr>
        <w:ind w:left="6120" w:hanging="360"/>
      </w:pPr>
    </w:lvl>
    <w:lvl w:ilvl="8" w:tplc="7CF2DDF6">
      <w:start w:val="1"/>
      <w:numFmt w:val="lowerRoman"/>
      <w:lvlText w:val="%9."/>
      <w:lvlJc w:val="right"/>
      <w:pPr>
        <w:ind w:left="6840" w:hanging="180"/>
      </w:pPr>
    </w:lvl>
  </w:abstractNum>
  <w:abstractNum w:abstractNumId="2" w15:restartNumberingAfterBreak="0">
    <w:nsid w:val="2D9B859C"/>
    <w:multiLevelType w:val="hybridMultilevel"/>
    <w:tmpl w:val="51523E1C"/>
    <w:lvl w:ilvl="0" w:tplc="121E8A80">
      <w:start w:val="1"/>
      <w:numFmt w:val="decimal"/>
      <w:lvlText w:val="%1."/>
      <w:lvlJc w:val="left"/>
      <w:pPr>
        <w:ind w:left="720" w:hanging="360"/>
      </w:pPr>
    </w:lvl>
    <w:lvl w:ilvl="1" w:tplc="C3CE6616">
      <w:start w:val="1"/>
      <w:numFmt w:val="lowerLetter"/>
      <w:lvlText w:val="%2."/>
      <w:lvlJc w:val="left"/>
      <w:pPr>
        <w:ind w:left="1440" w:hanging="360"/>
      </w:pPr>
    </w:lvl>
    <w:lvl w:ilvl="2" w:tplc="D67E3344">
      <w:start w:val="1"/>
      <w:numFmt w:val="lowerRoman"/>
      <w:lvlText w:val="%3."/>
      <w:lvlJc w:val="right"/>
      <w:pPr>
        <w:ind w:left="2160" w:hanging="180"/>
      </w:pPr>
    </w:lvl>
    <w:lvl w:ilvl="3" w:tplc="2C923BA2">
      <w:start w:val="1"/>
      <w:numFmt w:val="decimal"/>
      <w:lvlText w:val="%4."/>
      <w:lvlJc w:val="left"/>
      <w:pPr>
        <w:ind w:left="2880" w:hanging="360"/>
      </w:pPr>
    </w:lvl>
    <w:lvl w:ilvl="4" w:tplc="3CEED93E">
      <w:start w:val="1"/>
      <w:numFmt w:val="lowerLetter"/>
      <w:lvlText w:val="%5."/>
      <w:lvlJc w:val="left"/>
      <w:pPr>
        <w:ind w:left="3600" w:hanging="360"/>
      </w:pPr>
    </w:lvl>
    <w:lvl w:ilvl="5" w:tplc="C24459C2">
      <w:start w:val="1"/>
      <w:numFmt w:val="lowerRoman"/>
      <w:lvlText w:val="%6."/>
      <w:lvlJc w:val="right"/>
      <w:pPr>
        <w:ind w:left="4320" w:hanging="180"/>
      </w:pPr>
    </w:lvl>
    <w:lvl w:ilvl="6" w:tplc="D360B65A">
      <w:start w:val="1"/>
      <w:numFmt w:val="decimal"/>
      <w:lvlText w:val="%7."/>
      <w:lvlJc w:val="left"/>
      <w:pPr>
        <w:ind w:left="5040" w:hanging="360"/>
      </w:pPr>
    </w:lvl>
    <w:lvl w:ilvl="7" w:tplc="39FCE58A">
      <w:start w:val="1"/>
      <w:numFmt w:val="lowerLetter"/>
      <w:lvlText w:val="%8."/>
      <w:lvlJc w:val="left"/>
      <w:pPr>
        <w:ind w:left="5760" w:hanging="360"/>
      </w:pPr>
    </w:lvl>
    <w:lvl w:ilvl="8" w:tplc="5E46099C">
      <w:start w:val="1"/>
      <w:numFmt w:val="lowerRoman"/>
      <w:lvlText w:val="%9."/>
      <w:lvlJc w:val="right"/>
      <w:pPr>
        <w:ind w:left="6480" w:hanging="180"/>
      </w:pPr>
    </w:lvl>
  </w:abstractNum>
  <w:abstractNum w:abstractNumId="3" w15:restartNumberingAfterBreak="0">
    <w:nsid w:val="38E31B47"/>
    <w:multiLevelType w:val="hybridMultilevel"/>
    <w:tmpl w:val="3A86A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4F6A91"/>
    <w:multiLevelType w:val="hybridMultilevel"/>
    <w:tmpl w:val="41DC29B2"/>
    <w:lvl w:ilvl="0" w:tplc="E780C590">
      <w:start w:val="1"/>
      <w:numFmt w:val="bullet"/>
      <w:lvlText w:val=""/>
      <w:lvlJc w:val="left"/>
      <w:pPr>
        <w:ind w:left="720" w:hanging="360"/>
      </w:pPr>
      <w:rPr>
        <w:rFonts w:ascii="Symbol" w:hAnsi="Symbol" w:hint="default"/>
      </w:rPr>
    </w:lvl>
    <w:lvl w:ilvl="1" w:tplc="9BF23134">
      <w:start w:val="1"/>
      <w:numFmt w:val="bullet"/>
      <w:lvlText w:val="o"/>
      <w:lvlJc w:val="left"/>
      <w:pPr>
        <w:ind w:left="1440" w:hanging="360"/>
      </w:pPr>
      <w:rPr>
        <w:rFonts w:ascii="Courier New" w:hAnsi="Courier New" w:hint="default"/>
      </w:rPr>
    </w:lvl>
    <w:lvl w:ilvl="2" w:tplc="1E5E8346">
      <w:start w:val="1"/>
      <w:numFmt w:val="bullet"/>
      <w:lvlText w:val=""/>
      <w:lvlJc w:val="left"/>
      <w:pPr>
        <w:ind w:left="2160" w:hanging="360"/>
      </w:pPr>
      <w:rPr>
        <w:rFonts w:ascii="Wingdings" w:hAnsi="Wingdings" w:hint="default"/>
      </w:rPr>
    </w:lvl>
    <w:lvl w:ilvl="3" w:tplc="9744B220">
      <w:start w:val="1"/>
      <w:numFmt w:val="bullet"/>
      <w:lvlText w:val=""/>
      <w:lvlJc w:val="left"/>
      <w:pPr>
        <w:ind w:left="2880" w:hanging="360"/>
      </w:pPr>
      <w:rPr>
        <w:rFonts w:ascii="Symbol" w:hAnsi="Symbol" w:hint="default"/>
      </w:rPr>
    </w:lvl>
    <w:lvl w:ilvl="4" w:tplc="14124046">
      <w:start w:val="1"/>
      <w:numFmt w:val="bullet"/>
      <w:lvlText w:val="o"/>
      <w:lvlJc w:val="left"/>
      <w:pPr>
        <w:ind w:left="3600" w:hanging="360"/>
      </w:pPr>
      <w:rPr>
        <w:rFonts w:ascii="Courier New" w:hAnsi="Courier New" w:hint="default"/>
      </w:rPr>
    </w:lvl>
    <w:lvl w:ilvl="5" w:tplc="1C042D7C">
      <w:start w:val="1"/>
      <w:numFmt w:val="bullet"/>
      <w:lvlText w:val=""/>
      <w:lvlJc w:val="left"/>
      <w:pPr>
        <w:ind w:left="4320" w:hanging="360"/>
      </w:pPr>
      <w:rPr>
        <w:rFonts w:ascii="Wingdings" w:hAnsi="Wingdings" w:hint="default"/>
      </w:rPr>
    </w:lvl>
    <w:lvl w:ilvl="6" w:tplc="67CC9D12">
      <w:start w:val="1"/>
      <w:numFmt w:val="bullet"/>
      <w:lvlText w:val=""/>
      <w:lvlJc w:val="left"/>
      <w:pPr>
        <w:ind w:left="5040" w:hanging="360"/>
      </w:pPr>
      <w:rPr>
        <w:rFonts w:ascii="Symbol" w:hAnsi="Symbol" w:hint="default"/>
      </w:rPr>
    </w:lvl>
    <w:lvl w:ilvl="7" w:tplc="451C95EE">
      <w:start w:val="1"/>
      <w:numFmt w:val="bullet"/>
      <w:lvlText w:val="o"/>
      <w:lvlJc w:val="left"/>
      <w:pPr>
        <w:ind w:left="5760" w:hanging="360"/>
      </w:pPr>
      <w:rPr>
        <w:rFonts w:ascii="Courier New" w:hAnsi="Courier New" w:hint="default"/>
      </w:rPr>
    </w:lvl>
    <w:lvl w:ilvl="8" w:tplc="6F9641E2">
      <w:start w:val="1"/>
      <w:numFmt w:val="bullet"/>
      <w:lvlText w:val=""/>
      <w:lvlJc w:val="left"/>
      <w:pPr>
        <w:ind w:left="6480" w:hanging="360"/>
      </w:pPr>
      <w:rPr>
        <w:rFonts w:ascii="Wingdings" w:hAnsi="Wingdings" w:hint="default"/>
      </w:rPr>
    </w:lvl>
  </w:abstractNum>
  <w:abstractNum w:abstractNumId="5" w15:restartNumberingAfterBreak="0">
    <w:nsid w:val="45F096E5"/>
    <w:multiLevelType w:val="hybridMultilevel"/>
    <w:tmpl w:val="C096C414"/>
    <w:lvl w:ilvl="0" w:tplc="B4A49210">
      <w:start w:val="5"/>
      <w:numFmt w:val="decimal"/>
      <w:lvlText w:val="%1."/>
      <w:lvlJc w:val="left"/>
      <w:pPr>
        <w:ind w:left="720" w:hanging="360"/>
      </w:pPr>
    </w:lvl>
    <w:lvl w:ilvl="1" w:tplc="EA2A1440">
      <w:start w:val="1"/>
      <w:numFmt w:val="lowerLetter"/>
      <w:lvlText w:val="%2."/>
      <w:lvlJc w:val="left"/>
      <w:pPr>
        <w:ind w:left="1440" w:hanging="360"/>
      </w:pPr>
    </w:lvl>
    <w:lvl w:ilvl="2" w:tplc="2902996C">
      <w:start w:val="1"/>
      <w:numFmt w:val="lowerRoman"/>
      <w:lvlText w:val="%3."/>
      <w:lvlJc w:val="right"/>
      <w:pPr>
        <w:ind w:left="2160" w:hanging="180"/>
      </w:pPr>
    </w:lvl>
    <w:lvl w:ilvl="3" w:tplc="551EC24A">
      <w:start w:val="1"/>
      <w:numFmt w:val="decimal"/>
      <w:lvlText w:val="%4."/>
      <w:lvlJc w:val="left"/>
      <w:pPr>
        <w:ind w:left="2880" w:hanging="360"/>
      </w:pPr>
    </w:lvl>
    <w:lvl w:ilvl="4" w:tplc="2AC8C340">
      <w:start w:val="1"/>
      <w:numFmt w:val="lowerLetter"/>
      <w:lvlText w:val="%5."/>
      <w:lvlJc w:val="left"/>
      <w:pPr>
        <w:ind w:left="3600" w:hanging="360"/>
      </w:pPr>
    </w:lvl>
    <w:lvl w:ilvl="5" w:tplc="0F36EADC">
      <w:start w:val="1"/>
      <w:numFmt w:val="lowerRoman"/>
      <w:lvlText w:val="%6."/>
      <w:lvlJc w:val="right"/>
      <w:pPr>
        <w:ind w:left="4320" w:hanging="180"/>
      </w:pPr>
    </w:lvl>
    <w:lvl w:ilvl="6" w:tplc="B656A666">
      <w:start w:val="1"/>
      <w:numFmt w:val="decimal"/>
      <w:lvlText w:val="%7."/>
      <w:lvlJc w:val="left"/>
      <w:pPr>
        <w:ind w:left="5040" w:hanging="360"/>
      </w:pPr>
    </w:lvl>
    <w:lvl w:ilvl="7" w:tplc="0ACA5368">
      <w:start w:val="1"/>
      <w:numFmt w:val="lowerLetter"/>
      <w:lvlText w:val="%8."/>
      <w:lvlJc w:val="left"/>
      <w:pPr>
        <w:ind w:left="5760" w:hanging="360"/>
      </w:pPr>
    </w:lvl>
    <w:lvl w:ilvl="8" w:tplc="4AEE1412">
      <w:start w:val="1"/>
      <w:numFmt w:val="lowerRoman"/>
      <w:lvlText w:val="%9."/>
      <w:lvlJc w:val="right"/>
      <w:pPr>
        <w:ind w:left="6480" w:hanging="180"/>
      </w:pPr>
    </w:lvl>
  </w:abstractNum>
  <w:abstractNum w:abstractNumId="6" w15:restartNumberingAfterBreak="0">
    <w:nsid w:val="5557F674"/>
    <w:multiLevelType w:val="hybridMultilevel"/>
    <w:tmpl w:val="1C8A4FD4"/>
    <w:lvl w:ilvl="0" w:tplc="0AEC7684">
      <w:start w:val="1"/>
      <w:numFmt w:val="bullet"/>
      <w:lvlText w:val=""/>
      <w:lvlJc w:val="left"/>
      <w:pPr>
        <w:ind w:left="720" w:hanging="360"/>
      </w:pPr>
      <w:rPr>
        <w:rFonts w:ascii="Symbol" w:hAnsi="Symbol" w:hint="default"/>
      </w:rPr>
    </w:lvl>
    <w:lvl w:ilvl="1" w:tplc="454E1776">
      <w:start w:val="1"/>
      <w:numFmt w:val="bullet"/>
      <w:lvlText w:val="o"/>
      <w:lvlJc w:val="left"/>
      <w:pPr>
        <w:ind w:left="1440" w:hanging="360"/>
      </w:pPr>
      <w:rPr>
        <w:rFonts w:ascii="Courier New" w:hAnsi="Courier New" w:hint="default"/>
      </w:rPr>
    </w:lvl>
    <w:lvl w:ilvl="2" w:tplc="80E2C7CE">
      <w:start w:val="1"/>
      <w:numFmt w:val="bullet"/>
      <w:lvlText w:val=""/>
      <w:lvlJc w:val="left"/>
      <w:pPr>
        <w:ind w:left="2160" w:hanging="360"/>
      </w:pPr>
      <w:rPr>
        <w:rFonts w:ascii="Wingdings" w:hAnsi="Wingdings" w:hint="default"/>
      </w:rPr>
    </w:lvl>
    <w:lvl w:ilvl="3" w:tplc="DF0A3994">
      <w:start w:val="1"/>
      <w:numFmt w:val="bullet"/>
      <w:lvlText w:val=""/>
      <w:lvlJc w:val="left"/>
      <w:pPr>
        <w:ind w:left="2880" w:hanging="360"/>
      </w:pPr>
      <w:rPr>
        <w:rFonts w:ascii="Symbol" w:hAnsi="Symbol" w:hint="default"/>
      </w:rPr>
    </w:lvl>
    <w:lvl w:ilvl="4" w:tplc="5224B862">
      <w:start w:val="1"/>
      <w:numFmt w:val="bullet"/>
      <w:lvlText w:val="o"/>
      <w:lvlJc w:val="left"/>
      <w:pPr>
        <w:ind w:left="3600" w:hanging="360"/>
      </w:pPr>
      <w:rPr>
        <w:rFonts w:ascii="Courier New" w:hAnsi="Courier New" w:hint="default"/>
      </w:rPr>
    </w:lvl>
    <w:lvl w:ilvl="5" w:tplc="2E6EA968">
      <w:start w:val="1"/>
      <w:numFmt w:val="bullet"/>
      <w:lvlText w:val=""/>
      <w:lvlJc w:val="left"/>
      <w:pPr>
        <w:ind w:left="4320" w:hanging="360"/>
      </w:pPr>
      <w:rPr>
        <w:rFonts w:ascii="Wingdings" w:hAnsi="Wingdings" w:hint="default"/>
      </w:rPr>
    </w:lvl>
    <w:lvl w:ilvl="6" w:tplc="A47238C2">
      <w:start w:val="1"/>
      <w:numFmt w:val="bullet"/>
      <w:lvlText w:val=""/>
      <w:lvlJc w:val="left"/>
      <w:pPr>
        <w:ind w:left="5040" w:hanging="360"/>
      </w:pPr>
      <w:rPr>
        <w:rFonts w:ascii="Symbol" w:hAnsi="Symbol" w:hint="default"/>
      </w:rPr>
    </w:lvl>
    <w:lvl w:ilvl="7" w:tplc="FB4AFAC4">
      <w:start w:val="1"/>
      <w:numFmt w:val="bullet"/>
      <w:lvlText w:val="o"/>
      <w:lvlJc w:val="left"/>
      <w:pPr>
        <w:ind w:left="5760" w:hanging="360"/>
      </w:pPr>
      <w:rPr>
        <w:rFonts w:ascii="Courier New" w:hAnsi="Courier New" w:hint="default"/>
      </w:rPr>
    </w:lvl>
    <w:lvl w:ilvl="8" w:tplc="D8C6CBD0">
      <w:start w:val="1"/>
      <w:numFmt w:val="bullet"/>
      <w:lvlText w:val=""/>
      <w:lvlJc w:val="left"/>
      <w:pPr>
        <w:ind w:left="6480" w:hanging="360"/>
      </w:pPr>
      <w:rPr>
        <w:rFonts w:ascii="Wingdings" w:hAnsi="Wingdings" w:hint="default"/>
      </w:rPr>
    </w:lvl>
  </w:abstractNum>
  <w:abstractNum w:abstractNumId="7" w15:restartNumberingAfterBreak="0">
    <w:nsid w:val="5A432B45"/>
    <w:multiLevelType w:val="hybridMultilevel"/>
    <w:tmpl w:val="E5A2178E"/>
    <w:lvl w:ilvl="0" w:tplc="20FEF652">
      <w:start w:val="4"/>
      <w:numFmt w:val="decimal"/>
      <w:lvlText w:val="%1."/>
      <w:lvlJc w:val="left"/>
      <w:pPr>
        <w:ind w:left="454" w:hanging="360"/>
      </w:pPr>
    </w:lvl>
    <w:lvl w:ilvl="1" w:tplc="3774B70A">
      <w:start w:val="1"/>
      <w:numFmt w:val="lowerLetter"/>
      <w:lvlText w:val="%2."/>
      <w:lvlJc w:val="left"/>
      <w:pPr>
        <w:ind w:left="1174" w:hanging="360"/>
      </w:pPr>
    </w:lvl>
    <w:lvl w:ilvl="2" w:tplc="6A1408DC">
      <w:start w:val="1"/>
      <w:numFmt w:val="lowerRoman"/>
      <w:lvlText w:val="%3."/>
      <w:lvlJc w:val="right"/>
      <w:pPr>
        <w:ind w:left="1894" w:hanging="180"/>
      </w:pPr>
    </w:lvl>
    <w:lvl w:ilvl="3" w:tplc="5726E5EA">
      <w:start w:val="1"/>
      <w:numFmt w:val="decimal"/>
      <w:lvlText w:val="%4."/>
      <w:lvlJc w:val="left"/>
      <w:pPr>
        <w:ind w:left="2614" w:hanging="360"/>
      </w:pPr>
    </w:lvl>
    <w:lvl w:ilvl="4" w:tplc="CD8AA276">
      <w:start w:val="1"/>
      <w:numFmt w:val="lowerLetter"/>
      <w:lvlText w:val="%5."/>
      <w:lvlJc w:val="left"/>
      <w:pPr>
        <w:ind w:left="3334" w:hanging="360"/>
      </w:pPr>
    </w:lvl>
    <w:lvl w:ilvl="5" w:tplc="F27E9456">
      <w:start w:val="1"/>
      <w:numFmt w:val="lowerRoman"/>
      <w:lvlText w:val="%6."/>
      <w:lvlJc w:val="right"/>
      <w:pPr>
        <w:ind w:left="4054" w:hanging="180"/>
      </w:pPr>
    </w:lvl>
    <w:lvl w:ilvl="6" w:tplc="50B8283A">
      <w:start w:val="1"/>
      <w:numFmt w:val="decimal"/>
      <w:lvlText w:val="%7."/>
      <w:lvlJc w:val="left"/>
      <w:pPr>
        <w:ind w:left="4774" w:hanging="360"/>
      </w:pPr>
    </w:lvl>
    <w:lvl w:ilvl="7" w:tplc="C20E4D5A">
      <w:start w:val="1"/>
      <w:numFmt w:val="lowerLetter"/>
      <w:lvlText w:val="%8."/>
      <w:lvlJc w:val="left"/>
      <w:pPr>
        <w:ind w:left="5494" w:hanging="360"/>
      </w:pPr>
    </w:lvl>
    <w:lvl w:ilvl="8" w:tplc="FCC234C4">
      <w:start w:val="1"/>
      <w:numFmt w:val="lowerRoman"/>
      <w:lvlText w:val="%9."/>
      <w:lvlJc w:val="right"/>
      <w:pPr>
        <w:ind w:left="6214" w:hanging="180"/>
      </w:pPr>
    </w:lvl>
  </w:abstractNum>
  <w:abstractNum w:abstractNumId="8" w15:restartNumberingAfterBreak="0">
    <w:nsid w:val="793B6501"/>
    <w:multiLevelType w:val="hybridMultilevel"/>
    <w:tmpl w:val="EE2CA01C"/>
    <w:lvl w:ilvl="0" w:tplc="D73A5F38">
      <w:start w:val="1"/>
      <w:numFmt w:val="decimal"/>
      <w:lvlText w:val="%1."/>
      <w:lvlJc w:val="left"/>
      <w:pPr>
        <w:ind w:left="1080" w:hanging="360"/>
      </w:pPr>
    </w:lvl>
    <w:lvl w:ilvl="1" w:tplc="4C52485C">
      <w:start w:val="1"/>
      <w:numFmt w:val="lowerLetter"/>
      <w:lvlText w:val="%2."/>
      <w:lvlJc w:val="left"/>
      <w:pPr>
        <w:ind w:left="1800" w:hanging="360"/>
      </w:pPr>
    </w:lvl>
    <w:lvl w:ilvl="2" w:tplc="7F045E48">
      <w:start w:val="1"/>
      <w:numFmt w:val="lowerRoman"/>
      <w:lvlText w:val="%3."/>
      <w:lvlJc w:val="right"/>
      <w:pPr>
        <w:ind w:left="2520" w:hanging="180"/>
      </w:pPr>
    </w:lvl>
    <w:lvl w:ilvl="3" w:tplc="7458D562">
      <w:start w:val="1"/>
      <w:numFmt w:val="decimal"/>
      <w:lvlText w:val="%4."/>
      <w:lvlJc w:val="left"/>
      <w:pPr>
        <w:ind w:left="3240" w:hanging="360"/>
      </w:pPr>
    </w:lvl>
    <w:lvl w:ilvl="4" w:tplc="C1183014">
      <w:start w:val="1"/>
      <w:numFmt w:val="lowerLetter"/>
      <w:lvlText w:val="%5."/>
      <w:lvlJc w:val="left"/>
      <w:pPr>
        <w:ind w:left="3960" w:hanging="360"/>
      </w:pPr>
    </w:lvl>
    <w:lvl w:ilvl="5" w:tplc="C2E0A56E">
      <w:start w:val="1"/>
      <w:numFmt w:val="lowerRoman"/>
      <w:lvlText w:val="%6."/>
      <w:lvlJc w:val="right"/>
      <w:pPr>
        <w:ind w:left="4680" w:hanging="180"/>
      </w:pPr>
    </w:lvl>
    <w:lvl w:ilvl="6" w:tplc="DEE6A0F6">
      <w:start w:val="1"/>
      <w:numFmt w:val="decimal"/>
      <w:lvlText w:val="%7."/>
      <w:lvlJc w:val="left"/>
      <w:pPr>
        <w:ind w:left="5400" w:hanging="360"/>
      </w:pPr>
    </w:lvl>
    <w:lvl w:ilvl="7" w:tplc="6B24A170">
      <w:start w:val="1"/>
      <w:numFmt w:val="lowerLetter"/>
      <w:lvlText w:val="%8."/>
      <w:lvlJc w:val="left"/>
      <w:pPr>
        <w:ind w:left="6120" w:hanging="360"/>
      </w:pPr>
    </w:lvl>
    <w:lvl w:ilvl="8" w:tplc="DE863514">
      <w:start w:val="1"/>
      <w:numFmt w:val="lowerRoman"/>
      <w:lvlText w:val="%9."/>
      <w:lvlJc w:val="right"/>
      <w:pPr>
        <w:ind w:left="6840" w:hanging="180"/>
      </w:pPr>
    </w:lvl>
  </w:abstractNum>
  <w:num w:numId="1" w16cid:durableId="1557549629">
    <w:abstractNumId w:val="5"/>
  </w:num>
  <w:num w:numId="2" w16cid:durableId="1728454482">
    <w:abstractNumId w:val="7"/>
  </w:num>
  <w:num w:numId="3" w16cid:durableId="505563331">
    <w:abstractNumId w:val="4"/>
  </w:num>
  <w:num w:numId="4" w16cid:durableId="1901557293">
    <w:abstractNumId w:val="2"/>
  </w:num>
  <w:num w:numId="5" w16cid:durableId="1031610565">
    <w:abstractNumId w:val="6"/>
  </w:num>
  <w:num w:numId="6" w16cid:durableId="1827747850">
    <w:abstractNumId w:val="0"/>
  </w:num>
  <w:num w:numId="7" w16cid:durableId="1688601594">
    <w:abstractNumId w:val="8"/>
  </w:num>
  <w:num w:numId="8" w16cid:durableId="2129229339">
    <w:abstractNumId w:val="1"/>
  </w:num>
  <w:num w:numId="9" w16cid:durableId="1201281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0469CF"/>
    <w:rsid w:val="000D4AFB"/>
    <w:rsid w:val="000E1D46"/>
    <w:rsid w:val="001103DE"/>
    <w:rsid w:val="0011501F"/>
    <w:rsid w:val="00140BE8"/>
    <w:rsid w:val="0019648E"/>
    <w:rsid w:val="00233891"/>
    <w:rsid w:val="00234E54"/>
    <w:rsid w:val="00263375"/>
    <w:rsid w:val="002715B2"/>
    <w:rsid w:val="002726CE"/>
    <w:rsid w:val="003124D1"/>
    <w:rsid w:val="003715B6"/>
    <w:rsid w:val="003B4105"/>
    <w:rsid w:val="00404249"/>
    <w:rsid w:val="0046557F"/>
    <w:rsid w:val="004D086F"/>
    <w:rsid w:val="00514E99"/>
    <w:rsid w:val="00515788"/>
    <w:rsid w:val="00564CBC"/>
    <w:rsid w:val="00592BAB"/>
    <w:rsid w:val="005B4F52"/>
    <w:rsid w:val="005F6527"/>
    <w:rsid w:val="0060389F"/>
    <w:rsid w:val="00643FE8"/>
    <w:rsid w:val="006705EC"/>
    <w:rsid w:val="006E16E9"/>
    <w:rsid w:val="007234F8"/>
    <w:rsid w:val="00743719"/>
    <w:rsid w:val="00744EFB"/>
    <w:rsid w:val="007C0A9B"/>
    <w:rsid w:val="007E0C3E"/>
    <w:rsid w:val="00807385"/>
    <w:rsid w:val="00815E0F"/>
    <w:rsid w:val="008624A0"/>
    <w:rsid w:val="008A005D"/>
    <w:rsid w:val="008B49E5"/>
    <w:rsid w:val="00944932"/>
    <w:rsid w:val="009A4C6C"/>
    <w:rsid w:val="009E5FDB"/>
    <w:rsid w:val="009E7A1A"/>
    <w:rsid w:val="00A06425"/>
    <w:rsid w:val="00A844BC"/>
    <w:rsid w:val="00AC00E1"/>
    <w:rsid w:val="00AC7796"/>
    <w:rsid w:val="00AE0D50"/>
    <w:rsid w:val="00AF55AD"/>
    <w:rsid w:val="00B871B6"/>
    <w:rsid w:val="00C62962"/>
    <w:rsid w:val="00C64B1B"/>
    <w:rsid w:val="00C70927"/>
    <w:rsid w:val="00CD5EB0"/>
    <w:rsid w:val="00D56357"/>
    <w:rsid w:val="00DA49F4"/>
    <w:rsid w:val="00DB6902"/>
    <w:rsid w:val="00DD1248"/>
    <w:rsid w:val="00E14C33"/>
    <w:rsid w:val="00EA71CB"/>
    <w:rsid w:val="00F43BC4"/>
    <w:rsid w:val="00F7139B"/>
    <w:rsid w:val="00FF3B1F"/>
    <w:rsid w:val="07CDAA3C"/>
    <w:rsid w:val="1F49F4DC"/>
    <w:rsid w:val="2419B433"/>
    <w:rsid w:val="618B0C9D"/>
    <w:rsid w:val="6FE021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5DDB36"/>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link w:val="Tekstdymka"/>
    <w:uiPriority w:val="1"/>
    <w:rsid w:val="07CDAA3C"/>
    <w:rPr>
      <w:rFonts w:ascii="Segoe UI" w:hAnsi="Segoe UI" w:cs="Segoe UI"/>
      <w:sz w:val="18"/>
      <w:szCs w:val="18"/>
    </w:rPr>
  </w:style>
  <w:style w:type="paragraph" w:styleId="Akapitzlist">
    <w:name w:val="List Paragraph"/>
    <w:basedOn w:val="Normalny"/>
    <w:uiPriority w:val="34"/>
    <w:qFormat/>
    <w:rsid w:val="00D56357"/>
    <w:pPr>
      <w:ind w:left="720"/>
      <w:contextualSpacing/>
    </w:pPr>
  </w:style>
  <w:style w:type="character" w:styleId="Odwoaniedokomentarza">
    <w:name w:val="annotation reference"/>
    <w:uiPriority w:val="1"/>
    <w:rsid w:val="07CDAA3C"/>
    <w:rPr>
      <w:sz w:val="16"/>
      <w:szCs w:val="16"/>
    </w:rPr>
  </w:style>
  <w:style w:type="paragraph" w:styleId="Tekstkomentarza">
    <w:name w:val="annotation text"/>
    <w:basedOn w:val="Normalny"/>
    <w:link w:val="TekstkomentarzaZnak"/>
    <w:rsid w:val="00D56357"/>
    <w:rPr>
      <w:sz w:val="20"/>
      <w:szCs w:val="20"/>
    </w:rPr>
  </w:style>
  <w:style w:type="character" w:customStyle="1" w:styleId="TekstkomentarzaZnak">
    <w:name w:val="Tekst komentarza Znak"/>
    <w:link w:val="Tekstkomentarza"/>
    <w:uiPriority w:val="1"/>
    <w:rsid w:val="07CDAA3C"/>
  </w:style>
  <w:style w:type="character" w:styleId="Hipercze">
    <w:name w:val="Hyperlink"/>
    <w:uiPriority w:val="99"/>
    <w:unhideWhenUsed/>
    <w:rsid w:val="07CDAA3C"/>
    <w:rPr>
      <w:color w:val="0563C1"/>
      <w:u w:val="single"/>
    </w:rPr>
  </w:style>
  <w:style w:type="paragraph" w:styleId="Tematkomentarza">
    <w:name w:val="annotation subject"/>
    <w:basedOn w:val="Tekstkomentarza"/>
    <w:next w:val="Tekstkomentarza"/>
    <w:link w:val="TematkomentarzaZnak"/>
    <w:rsid w:val="00404249"/>
    <w:rPr>
      <w:b/>
      <w:bCs/>
    </w:rPr>
  </w:style>
  <w:style w:type="character" w:customStyle="1" w:styleId="TematkomentarzaZnak">
    <w:name w:val="Temat komentarza Znak"/>
    <w:basedOn w:val="TekstkomentarzaZnak"/>
    <w:link w:val="Tematkomentarza"/>
    <w:rsid w:val="00404249"/>
    <w:rPr>
      <w:b/>
      <w:bCs/>
    </w:rPr>
  </w:style>
  <w:style w:type="paragraph" w:styleId="Poprawka">
    <w:name w:val="Revision"/>
    <w:hidden/>
    <w:uiPriority w:val="99"/>
    <w:semiHidden/>
    <w:rsid w:val="001150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c-word-edit.officeapps.live.com/we/wordeditorframe.aspx?ui=pl&amp;rs=pl-PL&amp;wopisrc=https%3A%2F%2Fgugikgovpl-my.sharepoint.com%2Fpersonal%2Fjkwasniak_gugik_gov_pl%2F_vti_bin%2Fwopi.ashx%2Ffiles%2F10b397fa9ef74ed781ba19385cd246f5&amp;wdenableroaming=1&amp;mscc=1&amp;wdodb=1&amp;hid=4CC5345F-C870-4446-9504-8FF2B42E8D23.0&amp;uih=sharepointcom&amp;wdlcid=pl&amp;jsapi=1&amp;jsapiver=v2&amp;corrid=3f6045b4-7e09-7d55-57a6-0523733d1fb7&amp;usid=3f6045b4-7e09-7d55-57a6-0523733d1fb7&amp;newsession=1&amp;sftc=1&amp;uihit=docaspx&amp;muv=1&amp;ats=PairwiseBroker&amp;cac=1&amp;sams=1&amp;mtf=1&amp;sfp=1&amp;sdp=1&amp;hch=1&amp;hwfh=1&amp;dchat=1&amp;sc=%7B%22pmo%22%3A%22https%3A%2F%2Fgugikgovpl-my.sharepoint.com%22%2C%22pmshare%22%3Atrue%7D&amp;ctp=LeastProtected&amp;rct=Normal&amp;wdorigin=Sharing.ServerTransfer&amp;afdflight=88&amp;csiro=1&amp;instantedit=1&amp;wopicomplete=1&amp;wdredirectionreason=Unified_SingleFlush"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c-word-edit.officeapps.live.com/we/wordeditorframe.aspx?ui=pl&amp;rs=pl-PL&amp;wopisrc=https%3A%2F%2Fgugikgovpl-my.sharepoint.com%2Fpersonal%2Fjkwasniak_gugik_gov_pl%2F_vti_bin%2Fwopi.ashx%2Ffiles%2F10b397fa9ef74ed781ba19385cd246f5&amp;wdenableroaming=1&amp;mscc=1&amp;wdodb=1&amp;hid=4CC5345F-C870-4446-9504-8FF2B42E8D23.0&amp;uih=sharepointcom&amp;wdlcid=pl&amp;jsapi=1&amp;jsapiver=v2&amp;corrid=3f6045b4-7e09-7d55-57a6-0523733d1fb7&amp;usid=3f6045b4-7e09-7d55-57a6-0523733d1fb7&amp;newsession=1&amp;sftc=1&amp;uihit=docaspx&amp;muv=1&amp;ats=PairwiseBroker&amp;cac=1&amp;sams=1&amp;mtf=1&amp;sfp=1&amp;sdp=1&amp;hch=1&amp;hwfh=1&amp;dchat=1&amp;sc=%7B%22pmo%22%3A%22https%3A%2F%2Fgugikgovpl-my.sharepoint.com%22%2C%22pmshare%22%3Atrue%7D&amp;ctp=LeastProtected&amp;rct=Normal&amp;wdorigin=Sharing.ServerTransfer&amp;afdflight=88&amp;csiro=1&amp;instantedit=1&amp;wopicomplete=1&amp;wdredirectionreason=Unified_SingleFlush" TargetMode="External"/><Relationship Id="rId5" Type="http://schemas.openxmlformats.org/officeDocument/2006/relationships/styles" Target="styles.xml"/><Relationship Id="rId10" Type="http://schemas.openxmlformats.org/officeDocument/2006/relationships/hyperlink" Target="https://plc-word-edit.officeapps.live.com/we/wordeditorframe.aspx?ui=pl&amp;rs=pl-PL&amp;wopisrc=https%3A%2F%2Fgugikgovpl-my.sharepoint.com%2Fpersonal%2Fjkwasniak_gugik_gov_pl%2F_vti_bin%2Fwopi.ashx%2Ffiles%2F10b397fa9ef74ed781ba19385cd246f5&amp;wdenableroaming=1&amp;mscc=1&amp;wdodb=1&amp;hid=4CC5345F-C870-4446-9504-8FF2B42E8D23.0&amp;uih=sharepointcom&amp;wdlcid=pl&amp;jsapi=1&amp;jsapiver=v2&amp;corrid=3f6045b4-7e09-7d55-57a6-0523733d1fb7&amp;usid=3f6045b4-7e09-7d55-57a6-0523733d1fb7&amp;newsession=1&amp;sftc=1&amp;uihit=docaspx&amp;muv=1&amp;ats=PairwiseBroker&amp;cac=1&amp;sams=1&amp;mtf=1&amp;sfp=1&amp;sdp=1&amp;hch=1&amp;hwfh=1&amp;dchat=1&amp;sc=%7B%22pmo%22%3A%22https%3A%2F%2Fgugikgovpl-my.sharepoint.com%22%2C%22pmshare%22%3Atrue%7D&amp;ctp=LeastProtected&amp;rct=Normal&amp;wdorigin=Sharing.ServerTransfer&amp;afdflight=88&amp;csiro=1&amp;instantedit=1&amp;wopicomplete=1&amp;wdredirectionreason=Unified_SingleFlush" TargetMode="External"/><Relationship Id="rId4" Type="http://schemas.openxmlformats.org/officeDocument/2006/relationships/numbering" Target="numbering.xml"/><Relationship Id="rId9" Type="http://schemas.openxmlformats.org/officeDocument/2006/relationships/hyperlink" Target="https://plc-word-edit.officeapps.live.com/we/wordeditorframe.aspx?ui=pl&amp;rs=pl-PL&amp;wopisrc=https%3A%2F%2Fgugikgovpl-my.sharepoint.com%2Fpersonal%2Fjkwasniak_gugik_gov_pl%2F_vti_bin%2Fwopi.ashx%2Ffiles%2F10b397fa9ef74ed781ba19385cd246f5&amp;wdenableroaming=1&amp;mscc=1&amp;wdodb=1&amp;hid=4CC5345F-C870-4446-9504-8FF2B42E8D23.0&amp;uih=sharepointcom&amp;wdlcid=pl&amp;jsapi=1&amp;jsapiver=v2&amp;corrid=3f6045b4-7e09-7d55-57a6-0523733d1fb7&amp;usid=3f6045b4-7e09-7d55-57a6-0523733d1fb7&amp;newsession=1&amp;sftc=1&amp;uihit=docaspx&amp;muv=1&amp;ats=PairwiseBroker&amp;cac=1&amp;sams=1&amp;mtf=1&amp;sfp=1&amp;sdp=1&amp;hch=1&amp;hwfh=1&amp;dchat=1&amp;sc=%7B%22pmo%22%3A%22https%3A%2F%2Fgugikgovpl-my.sharepoint.com%22%2C%22pmshare%22%3Atrue%7D&amp;ctp=LeastProtected&amp;rct=Normal&amp;wdorigin=Sharing.ServerTransfer&amp;afdflight=88&amp;csiro=1&amp;instantedit=1&amp;wopicomplete=1&amp;wdredirectionreason=Unified_SingleFlus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F73A2C28F21746A7D983358B330435" ma:contentTypeVersion="8" ma:contentTypeDescription="Utwórz nowy dokument." ma:contentTypeScope="" ma:versionID="c468486c47168eb9b16613b05f7824c6">
  <xsd:schema xmlns:xsd="http://www.w3.org/2001/XMLSchema" xmlns:xs="http://www.w3.org/2001/XMLSchema" xmlns:p="http://schemas.microsoft.com/office/2006/metadata/properties" xmlns:ns3="9577ecf1-782e-4064-ac78-5a31080d4852" targetNamespace="http://schemas.microsoft.com/office/2006/metadata/properties" ma:root="true" ma:fieldsID="2170f32e753fc5d59d368ffde00a86a2" ns3:_="">
    <xsd:import namespace="9577ecf1-782e-4064-ac78-5a31080d485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7ecf1-782e-4064-ac78-5a31080d485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DD2663-E304-4307-9AD2-0A614736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7ecf1-782e-4064-ac78-5a31080d48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08742-CB44-4388-AA03-11A5F70C386D}">
  <ds:schemaRefs>
    <ds:schemaRef ds:uri="http://schemas.microsoft.com/sharepoint/v3/contenttype/forms"/>
  </ds:schemaRefs>
</ds:datastoreItem>
</file>

<file path=customXml/itemProps3.xml><?xml version="1.0" encoding="utf-8"?>
<ds:datastoreItem xmlns:ds="http://schemas.openxmlformats.org/officeDocument/2006/customXml" ds:itemID="{1F713CF9-B61B-4027-9988-4CE87D3C06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5102</Words>
  <Characters>30616</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35647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Michalec Marek</cp:lastModifiedBy>
  <cp:revision>8</cp:revision>
  <dcterms:created xsi:type="dcterms:W3CDTF">2026-05-07T08:53:00Z</dcterms:created>
  <dcterms:modified xsi:type="dcterms:W3CDTF">2026-05-12T09:54:00Z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0x01010013F73A2C28F21746A7D983358B330435</vt:lpwstr>
  </property>
</Properties>
</file>