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D" w:rsidRPr="001D1B59" w:rsidRDefault="00CB7ABD" w:rsidP="00CB7ABD">
      <w:pPr>
        <w:pStyle w:val="Nagwek2"/>
        <w:numPr>
          <w:ilvl w:val="0"/>
          <w:numId w:val="0"/>
        </w:numPr>
        <w:spacing w:before="0" w:line="360" w:lineRule="auto"/>
        <w:ind w:left="576"/>
        <w:jc w:val="right"/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</w:pPr>
      <w:r w:rsidRPr="001D1B59"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>Załącznik nr 7c do Umowy Koncesji</w:t>
      </w:r>
    </w:p>
    <w:p w:rsidR="00CB7ABD" w:rsidRPr="001D1B59" w:rsidRDefault="00CB7ABD" w:rsidP="00CB7ABD">
      <w:pPr>
        <w:rPr>
          <w:rFonts w:ascii="Arial" w:hAnsi="Arial" w:cs="Arial"/>
          <w:sz w:val="20"/>
          <w:szCs w:val="20"/>
          <w:lang w:eastAsia="ar-SA"/>
        </w:rPr>
      </w:pPr>
    </w:p>
    <w:p w:rsidR="00CB7ABD" w:rsidRPr="001D1B59" w:rsidRDefault="00CB7ABD" w:rsidP="00CB7ABD">
      <w:pPr>
        <w:pStyle w:val="Style5"/>
        <w:widowControl/>
        <w:spacing w:before="115"/>
        <w:ind w:left="1416"/>
        <w:jc w:val="both"/>
        <w:rPr>
          <w:rStyle w:val="FontStyle19"/>
          <w:rFonts w:ascii="Arial" w:hAnsi="Arial" w:cs="Arial"/>
          <w:sz w:val="20"/>
          <w:szCs w:val="20"/>
        </w:rPr>
      </w:pPr>
    </w:p>
    <w:p w:rsidR="00CB7ABD" w:rsidRPr="001D1B59" w:rsidRDefault="00BC628B" w:rsidP="00BC628B">
      <w:pPr>
        <w:pStyle w:val="Style5"/>
        <w:widowControl/>
        <w:tabs>
          <w:tab w:val="left" w:pos="2205"/>
          <w:tab w:val="center" w:pos="4536"/>
        </w:tabs>
        <w:spacing w:before="115"/>
        <w:rPr>
          <w:rStyle w:val="FontStyle19"/>
          <w:rFonts w:ascii="Arial" w:hAnsi="Arial" w:cs="Arial"/>
          <w:b/>
          <w:sz w:val="22"/>
          <w:szCs w:val="22"/>
        </w:rPr>
      </w:pPr>
      <w:r w:rsidRPr="001D1B59">
        <w:rPr>
          <w:rStyle w:val="FontStyle19"/>
          <w:rFonts w:ascii="Arial" w:hAnsi="Arial" w:cs="Arial"/>
          <w:sz w:val="20"/>
          <w:szCs w:val="20"/>
        </w:rPr>
        <w:tab/>
      </w:r>
      <w:bookmarkStart w:id="0" w:name="_GoBack"/>
      <w:r w:rsidRPr="001D1B59">
        <w:rPr>
          <w:rStyle w:val="FontStyle19"/>
          <w:rFonts w:ascii="Arial" w:hAnsi="Arial" w:cs="Arial"/>
          <w:b/>
          <w:sz w:val="22"/>
          <w:szCs w:val="22"/>
        </w:rPr>
        <w:tab/>
      </w:r>
      <w:r w:rsidR="00CB7ABD" w:rsidRPr="001D1B59">
        <w:rPr>
          <w:rStyle w:val="FontStyle19"/>
          <w:rFonts w:ascii="Arial" w:hAnsi="Arial" w:cs="Arial"/>
          <w:b/>
          <w:sz w:val="22"/>
          <w:szCs w:val="22"/>
        </w:rPr>
        <w:t>OPIS PROCESU PŁATNOŚCI</w:t>
      </w:r>
    </w:p>
    <w:p w:rsidR="00CB7ABD" w:rsidRPr="001D1B59" w:rsidRDefault="00CB7ABD" w:rsidP="00CB7ABD">
      <w:pPr>
        <w:rPr>
          <w:rFonts w:ascii="Arial" w:hAnsi="Arial" w:cs="Arial"/>
          <w:lang w:eastAsia="ar-SA"/>
        </w:rPr>
      </w:pPr>
    </w:p>
    <w:bookmarkEnd w:id="0"/>
    <w:p w:rsidR="00CB7ABD" w:rsidRPr="001D1B59" w:rsidRDefault="00CB7ABD" w:rsidP="00CB7ABD">
      <w:pPr>
        <w:pStyle w:val="Style14"/>
        <w:widowControl/>
        <w:spacing w:before="53"/>
        <w:rPr>
          <w:rStyle w:val="FontStyle21"/>
          <w:rFonts w:ascii="Arial" w:hAnsi="Arial" w:cs="Arial"/>
          <w:b/>
          <w:sz w:val="20"/>
          <w:szCs w:val="20"/>
        </w:rPr>
      </w:pPr>
      <w:r w:rsidRPr="001D1B59">
        <w:rPr>
          <w:rStyle w:val="FontStyle21"/>
          <w:rFonts w:ascii="Arial" w:hAnsi="Arial" w:cs="Arial"/>
          <w:b/>
          <w:sz w:val="20"/>
          <w:szCs w:val="20"/>
        </w:rPr>
        <w:t>WSTĘP</w:t>
      </w:r>
    </w:p>
    <w:p w:rsidR="00CB7ABD" w:rsidRPr="001D1B59" w:rsidRDefault="00CB7ABD" w:rsidP="00CB7ABD">
      <w:pPr>
        <w:pStyle w:val="Style1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B7ABD" w:rsidRPr="001D1B59" w:rsidRDefault="00CB7ABD" w:rsidP="00CB7ABD">
      <w:pPr>
        <w:pStyle w:val="Style13"/>
        <w:widowControl/>
        <w:spacing w:before="19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Niniejszy dokument opisuje przebieg procesu płatności widziany od strony osoby płacącej. Poniżej zostały przedstawione etapy procesu w odniesieniu do poszczególnych metod płatności.</w:t>
      </w:r>
    </w:p>
    <w:p w:rsidR="00BC628B" w:rsidRPr="001D1B59" w:rsidRDefault="00BC628B" w:rsidP="00CB7ABD">
      <w:pPr>
        <w:pStyle w:val="Style14"/>
        <w:widowControl/>
        <w:spacing w:before="53"/>
        <w:rPr>
          <w:rStyle w:val="FontStyle21"/>
          <w:rFonts w:ascii="Arial" w:hAnsi="Arial" w:cs="Arial"/>
          <w:sz w:val="20"/>
          <w:szCs w:val="20"/>
        </w:rPr>
      </w:pPr>
    </w:p>
    <w:p w:rsidR="00BC628B" w:rsidRPr="001D1B59" w:rsidRDefault="00BC628B" w:rsidP="00CB7ABD">
      <w:pPr>
        <w:pStyle w:val="Style14"/>
        <w:widowControl/>
        <w:spacing w:before="53"/>
        <w:rPr>
          <w:rStyle w:val="FontStyle21"/>
          <w:rFonts w:ascii="Arial" w:hAnsi="Arial" w:cs="Arial"/>
          <w:sz w:val="20"/>
          <w:szCs w:val="20"/>
        </w:rPr>
      </w:pPr>
    </w:p>
    <w:p w:rsidR="00CB7ABD" w:rsidRPr="001D1B59" w:rsidRDefault="00CB7ABD" w:rsidP="00CB7ABD">
      <w:pPr>
        <w:pStyle w:val="Style14"/>
        <w:widowControl/>
        <w:spacing w:before="53"/>
        <w:rPr>
          <w:rStyle w:val="FontStyle21"/>
          <w:rFonts w:ascii="Arial" w:hAnsi="Arial" w:cs="Arial"/>
          <w:b/>
          <w:sz w:val="20"/>
          <w:szCs w:val="20"/>
        </w:rPr>
      </w:pPr>
      <w:r w:rsidRPr="001D1B59">
        <w:rPr>
          <w:rStyle w:val="FontStyle21"/>
          <w:rFonts w:ascii="Arial" w:hAnsi="Arial" w:cs="Arial"/>
          <w:b/>
          <w:sz w:val="20"/>
          <w:szCs w:val="20"/>
        </w:rPr>
        <w:t>I. PŁATNOŚĆ KARTĄ</w:t>
      </w:r>
    </w:p>
    <w:p w:rsidR="00CB7ABD" w:rsidRPr="001D1B59" w:rsidRDefault="00CB7ABD" w:rsidP="00CB7ABD">
      <w:pPr>
        <w:pStyle w:val="Style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B7ABD" w:rsidRPr="001D1B59" w:rsidRDefault="00CB7ABD" w:rsidP="00CB7ABD">
      <w:pPr>
        <w:pStyle w:val="Style9"/>
        <w:widowControl/>
        <w:spacing w:before="19" w:line="283" w:lineRule="exac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Punktem wyjścia jest moment, w którym Użytkownik zakończył składanie zamówienia i na etapie wyboru metody płatności wybrał kartę płatniczą.</w:t>
      </w:r>
    </w:p>
    <w:p w:rsidR="00CB7ABD" w:rsidRPr="001D1B59" w:rsidRDefault="00556F57" w:rsidP="00556F57">
      <w:pPr>
        <w:pStyle w:val="Style12"/>
        <w:widowControl/>
        <w:spacing w:before="29" w:line="442" w:lineRule="exact"/>
        <w:ind w:left="284" w:hanging="284"/>
        <w:jc w:val="lef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1.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Użytkownik zostaje przekierowany do formularza danych karty płatniczej i podaje:</w:t>
      </w:r>
    </w:p>
    <w:p w:rsidR="00CB7ABD" w:rsidRPr="001D1B59" w:rsidRDefault="00CB7ABD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numer karty (bez spacji)</w:t>
      </w:r>
    </w:p>
    <w:p w:rsidR="00CB7ABD" w:rsidRPr="001D1B59" w:rsidRDefault="00CB7ABD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datę ważności karty (miesiąc / rok)</w:t>
      </w:r>
    </w:p>
    <w:p w:rsidR="00CB7ABD" w:rsidRPr="001D1B59" w:rsidRDefault="00CB7ABD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kod CVC/CW2</w:t>
      </w:r>
    </w:p>
    <w:p w:rsidR="00CB7ABD" w:rsidRPr="001D1B59" w:rsidRDefault="00556F57" w:rsidP="00556F57">
      <w:pPr>
        <w:pStyle w:val="Style12"/>
        <w:widowControl/>
        <w:spacing w:before="125" w:line="278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2.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Jeżeli karta użyta do płatności jest zapisana do programu 3D </w:t>
      </w:r>
      <w:proofErr w:type="spellStart"/>
      <w:r w:rsidR="00CB7ABD" w:rsidRPr="001D1B59">
        <w:rPr>
          <w:rStyle w:val="FontStyle22"/>
          <w:rFonts w:ascii="Arial" w:hAnsi="Arial" w:cs="Arial"/>
          <w:sz w:val="20"/>
          <w:szCs w:val="20"/>
        </w:rPr>
        <w:t>Secure</w:t>
      </w:r>
      <w:proofErr w:type="spellEnd"/>
      <w:r w:rsidR="00CB7ABD" w:rsidRPr="001D1B59">
        <w:rPr>
          <w:rStyle w:val="FontStyle22"/>
          <w:rFonts w:ascii="Arial" w:hAnsi="Arial" w:cs="Arial"/>
          <w:sz w:val="20"/>
          <w:szCs w:val="20"/>
        </w:rPr>
        <w:t>, użytkownik zostanie poproszony o podanie odpowiedniego hasła / kodu itp. (w zależności od rozwiązan</w:t>
      </w:r>
      <w:r w:rsidR="00C87A55" w:rsidRPr="001D1B59">
        <w:rPr>
          <w:rStyle w:val="FontStyle22"/>
          <w:rFonts w:ascii="Arial" w:hAnsi="Arial" w:cs="Arial"/>
          <w:sz w:val="20"/>
          <w:szCs w:val="20"/>
        </w:rPr>
        <w:t>i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a zastosowanego przez bank - wydawcę karty). Jeżeli karta nie uczestniczy w programie 3D </w:t>
      </w:r>
      <w:proofErr w:type="spellStart"/>
      <w:r w:rsidR="00CB7ABD" w:rsidRPr="001D1B59">
        <w:rPr>
          <w:rStyle w:val="FontStyle22"/>
          <w:rFonts w:ascii="Arial" w:hAnsi="Arial" w:cs="Arial"/>
          <w:sz w:val="20"/>
          <w:szCs w:val="20"/>
        </w:rPr>
        <w:t>Secure</w:t>
      </w:r>
      <w:proofErr w:type="spellEnd"/>
      <w:r w:rsidR="00CB7ABD" w:rsidRPr="001D1B59">
        <w:rPr>
          <w:rStyle w:val="FontStyle22"/>
          <w:rFonts w:ascii="Arial" w:hAnsi="Arial" w:cs="Arial"/>
          <w:sz w:val="20"/>
          <w:szCs w:val="20"/>
        </w:rPr>
        <w:t>, ten krok zostanie pominięty.</w:t>
      </w:r>
    </w:p>
    <w:p w:rsidR="00CB7AB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3.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Po przesłaniu danych karty i ewentualnej autentykacji 3D </w:t>
      </w:r>
      <w:proofErr w:type="spellStart"/>
      <w:r w:rsidR="00CB7ABD" w:rsidRPr="001D1B59">
        <w:rPr>
          <w:rStyle w:val="FontStyle22"/>
          <w:rFonts w:ascii="Arial" w:hAnsi="Arial" w:cs="Arial"/>
          <w:sz w:val="20"/>
          <w:szCs w:val="20"/>
        </w:rPr>
        <w:t>Secure</w:t>
      </w:r>
      <w:proofErr w:type="spellEnd"/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 użytkownik oczekuje na wynik autoryzacji płatności. Czas oczekiwania wynosi zwykle kilkanaście - kilkadziesiąt sekund.</w:t>
      </w:r>
    </w:p>
    <w:p w:rsidR="00CB7AB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4.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Wynik autoryzacji jest prezentowany Użytkownikowi. Wynik pozytywny oznacza, że płatność została autoryzowana, rachunek karty zostanie obciążony kwotą płatności. Wynik negatywny oznacza, że płatność nie uzyskała autoryzacji - rachunek karty nie zostanie obciążony.</w:t>
      </w:r>
    </w:p>
    <w:p w:rsidR="00CB7AB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5.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Użytkownik 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>zostaje przekierowany do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  strony </w:t>
      </w:r>
      <w:r w:rsidR="001921D1" w:rsidRPr="001D1B59">
        <w:rPr>
          <w:rFonts w:ascii="Arial" w:hAnsi="Arial" w:cs="Arial"/>
          <w:sz w:val="20"/>
          <w:szCs w:val="20"/>
        </w:rPr>
        <w:t xml:space="preserve"> </w:t>
      </w:r>
      <w:r w:rsidR="0062752B" w:rsidRPr="001D1B59">
        <w:rPr>
          <w:rFonts w:ascii="Arial" w:hAnsi="Arial" w:cs="Arial"/>
          <w:sz w:val="20"/>
          <w:szCs w:val="20"/>
        </w:rPr>
        <w:t>K</w:t>
      </w:r>
      <w:r w:rsidR="001921D1" w:rsidRPr="001D1B59">
        <w:rPr>
          <w:rFonts w:ascii="Arial" w:hAnsi="Arial" w:cs="Arial"/>
          <w:sz w:val="20"/>
          <w:szCs w:val="20"/>
        </w:rPr>
        <w:t>oncesjonariusza</w:t>
      </w:r>
      <w:r w:rsidR="00614CBF" w:rsidRPr="001D1B59">
        <w:rPr>
          <w:rFonts w:ascii="Arial" w:hAnsi="Arial" w:cs="Arial"/>
          <w:sz w:val="20"/>
          <w:szCs w:val="20"/>
        </w:rPr>
        <w:t>.</w:t>
      </w:r>
    </w:p>
    <w:p w:rsidR="00EF445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br w:type="page"/>
      </w:r>
    </w:p>
    <w:p w:rsidR="00CB7ABD" w:rsidRPr="001D1B59" w:rsidRDefault="00CB7ABD" w:rsidP="00DA0143">
      <w:pPr>
        <w:pStyle w:val="Style8"/>
        <w:widowControl/>
        <w:spacing w:before="53"/>
        <w:ind w:left="284" w:hanging="284"/>
        <w:rPr>
          <w:rStyle w:val="FontStyle24"/>
          <w:rFonts w:ascii="Arial" w:hAnsi="Arial" w:cs="Arial"/>
          <w:b/>
          <w:sz w:val="20"/>
          <w:szCs w:val="20"/>
        </w:rPr>
      </w:pPr>
      <w:bookmarkStart w:id="1" w:name="bookmark0"/>
      <w:r w:rsidRPr="001D1B59">
        <w:rPr>
          <w:rStyle w:val="FontStyle24"/>
          <w:rFonts w:ascii="Arial" w:hAnsi="Arial" w:cs="Arial"/>
          <w:b/>
          <w:sz w:val="20"/>
          <w:szCs w:val="20"/>
        </w:rPr>
        <w:lastRenderedPageBreak/>
        <w:t>I</w:t>
      </w:r>
      <w:bookmarkEnd w:id="1"/>
      <w:r w:rsidRPr="001D1B59">
        <w:rPr>
          <w:rStyle w:val="FontStyle24"/>
          <w:rFonts w:ascii="Arial" w:hAnsi="Arial" w:cs="Arial"/>
          <w:b/>
          <w:sz w:val="20"/>
          <w:szCs w:val="20"/>
        </w:rPr>
        <w:t>I. PŁATNOŚĆ PRZELEWEM PAY BY LINK</w:t>
      </w:r>
      <w:r w:rsidR="004A5CD8" w:rsidRPr="001D1B59">
        <w:rPr>
          <w:rStyle w:val="FontStyle24"/>
          <w:rFonts w:ascii="Arial" w:hAnsi="Arial" w:cs="Arial"/>
          <w:b/>
          <w:sz w:val="20"/>
          <w:szCs w:val="20"/>
        </w:rPr>
        <w:t xml:space="preserve"> ORAZ PŁATNOŚCI MOBILNYCH </w:t>
      </w:r>
    </w:p>
    <w:p w:rsidR="00CB7ABD" w:rsidRPr="001D1B59" w:rsidRDefault="00CB7ABD" w:rsidP="00CB7ABD">
      <w:pPr>
        <w:pStyle w:val="Style9"/>
        <w:widowControl/>
        <w:spacing w:line="240" w:lineRule="exact"/>
        <w:ind w:left="240"/>
        <w:rPr>
          <w:rFonts w:ascii="Arial" w:hAnsi="Arial" w:cs="Arial"/>
          <w:sz w:val="20"/>
          <w:szCs w:val="20"/>
        </w:rPr>
      </w:pPr>
    </w:p>
    <w:p w:rsidR="00CB7ABD" w:rsidRPr="001D1B59" w:rsidRDefault="00CB7ABD" w:rsidP="00706D65">
      <w:pPr>
        <w:pStyle w:val="Style9"/>
        <w:widowControl/>
        <w:spacing w:before="19" w:line="283" w:lineRule="exac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Punktem wyjścia jest moment, w którym Użytkownik zakończył składanie zamówienia i na etapie wyboru metody płatności wybrał przelew z banku</w:t>
      </w:r>
      <w:r w:rsidR="00EC0C11" w:rsidRPr="001D1B59">
        <w:rPr>
          <w:rStyle w:val="FontStyle22"/>
          <w:rFonts w:ascii="Arial" w:hAnsi="Arial" w:cs="Arial"/>
          <w:sz w:val="20"/>
          <w:szCs w:val="20"/>
        </w:rPr>
        <w:t xml:space="preserve"> lub innych dostawców usług płatniczych w rozumieniu ustawy o usługach płatniczych,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1D1B59">
        <w:rPr>
          <w:rStyle w:val="FontStyle22"/>
          <w:rFonts w:ascii="Arial" w:hAnsi="Arial" w:cs="Arial"/>
          <w:sz w:val="20"/>
          <w:szCs w:val="20"/>
        </w:rPr>
        <w:t>w którym posiada rachunek.</w:t>
      </w:r>
    </w:p>
    <w:p w:rsidR="00CB7ABD" w:rsidRPr="001D1B59" w:rsidRDefault="00DA0143" w:rsidP="00DA0143">
      <w:pPr>
        <w:pStyle w:val="Style12"/>
        <w:widowControl/>
        <w:spacing w:before="216" w:line="240" w:lineRule="auto"/>
        <w:ind w:left="284" w:hanging="284"/>
        <w:jc w:val="lef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 xml:space="preserve">1. 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Użytkownik zostaje przekierowany do strony logowania systemu bankowości internetowej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 xml:space="preserve"> banku podmiotu prowadzącego rachunek płatniczy</w:t>
      </w:r>
      <w:r w:rsidR="00E3740F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U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 xml:space="preserve">żytkownika. Dane do autoryzacji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U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 xml:space="preserve">żytkownika podawane są bezpośrednio na stronie banku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U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>żytkownika.</w:t>
      </w:r>
    </w:p>
    <w:p w:rsidR="00CB7ABD" w:rsidRPr="001D1B59" w:rsidRDefault="00DA0143" w:rsidP="00DA0143">
      <w:pPr>
        <w:pStyle w:val="Style12"/>
        <w:widowControl/>
        <w:spacing w:before="216" w:line="240" w:lineRule="auto"/>
        <w:ind w:left="284" w:hanging="284"/>
        <w:jc w:val="lef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2.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Po zalogowaniu prezentowany jest formularz dyspozycji przelewu z danymi wypełnionymi zgodnie z zamówieniem.</w:t>
      </w:r>
    </w:p>
    <w:p w:rsidR="00CB7ABD" w:rsidRPr="001D1B59" w:rsidRDefault="00CB7ABD" w:rsidP="00DA0143">
      <w:pPr>
        <w:pStyle w:val="Style9"/>
        <w:widowControl/>
        <w:spacing w:before="163" w:line="278" w:lineRule="exact"/>
        <w:ind w:left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b/>
          <w:sz w:val="20"/>
          <w:szCs w:val="20"/>
        </w:rPr>
        <w:t>Uwaga: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Użytkownik nie powinien 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>mieć możliwości z</w:t>
      </w:r>
      <w:r w:rsidRPr="001D1B59">
        <w:rPr>
          <w:rStyle w:val="FontStyle22"/>
          <w:rFonts w:ascii="Arial" w:hAnsi="Arial" w:cs="Arial"/>
          <w:sz w:val="20"/>
          <w:szCs w:val="20"/>
        </w:rPr>
        <w:t>modyfikowa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>nia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tych danych, w szczególności numeru rachunku odbiorcy, tytułu i kwoty przelewu. (Niektóre banki dopuszczają dopisanie dodatkowej treści tytułu przelewu, jednak bez możliwości modyfikacji istniejącej treści).</w:t>
      </w:r>
    </w:p>
    <w:p w:rsidR="00CB7ABD" w:rsidRPr="001D1B59" w:rsidRDefault="00CB7ABD" w:rsidP="00052EB8">
      <w:pPr>
        <w:pStyle w:val="Style12"/>
        <w:widowControl/>
        <w:numPr>
          <w:ilvl w:val="0"/>
          <w:numId w:val="11"/>
        </w:numPr>
        <w:spacing w:before="154" w:line="283" w:lineRule="exact"/>
        <w:ind w:left="284" w:hanging="284"/>
        <w:jc w:val="lef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Użytkownik zatwierdza dyspozycję przelewu w sposób wynikający z umowy zawartej</w:t>
      </w:r>
      <w:r w:rsidR="00052EB8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z bankiem (np. kodem </w:t>
      </w:r>
      <w:r w:rsidR="00E7601E" w:rsidRPr="001D1B59">
        <w:rPr>
          <w:rStyle w:val="FontStyle22"/>
          <w:rFonts w:ascii="Arial" w:hAnsi="Arial" w:cs="Arial"/>
          <w:sz w:val="20"/>
          <w:szCs w:val="20"/>
        </w:rPr>
        <w:t xml:space="preserve">otrzymanym za pomocą 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sms, „zdrapką", </w:t>
      </w:r>
      <w:proofErr w:type="spellStart"/>
      <w:r w:rsidRPr="001D1B59">
        <w:rPr>
          <w:rStyle w:val="FontStyle22"/>
          <w:rFonts w:ascii="Arial" w:hAnsi="Arial" w:cs="Arial"/>
          <w:sz w:val="20"/>
          <w:szCs w:val="20"/>
        </w:rPr>
        <w:t>tokenem</w:t>
      </w:r>
      <w:proofErr w:type="spellEnd"/>
      <w:r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proofErr w:type="spellStart"/>
      <w:r w:rsidRPr="001D1B59">
        <w:rPr>
          <w:rStyle w:val="FontStyle22"/>
          <w:rFonts w:ascii="Arial" w:hAnsi="Arial" w:cs="Arial"/>
          <w:sz w:val="20"/>
          <w:szCs w:val="20"/>
        </w:rPr>
        <w:t>itp</w:t>
      </w:r>
      <w:proofErr w:type="spellEnd"/>
      <w:r w:rsidRPr="001D1B59">
        <w:rPr>
          <w:rStyle w:val="FontStyle22"/>
          <w:rFonts w:ascii="Arial" w:hAnsi="Arial" w:cs="Arial"/>
          <w:sz w:val="20"/>
          <w:szCs w:val="20"/>
        </w:rPr>
        <w:t>).</w:t>
      </w:r>
    </w:p>
    <w:p w:rsidR="00CB7ABD" w:rsidRPr="001D1B59" w:rsidRDefault="00CB7ABD" w:rsidP="00052EB8">
      <w:pPr>
        <w:pStyle w:val="Style9"/>
        <w:widowControl/>
        <w:spacing w:before="154" w:line="283" w:lineRule="exact"/>
        <w:ind w:left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b/>
          <w:sz w:val="20"/>
          <w:szCs w:val="20"/>
        </w:rPr>
        <w:t>Uwaga: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Jeżeli bieżące saldo rachunku (z uwzględnieniem ewentualnego dopuszczalnego debetu) jest mniejsze niż kwota płatności, zatwierdzenie przelewu będzie niemożliwe i proces zakończy się.</w:t>
      </w:r>
    </w:p>
    <w:p w:rsidR="00CB7ABD" w:rsidRPr="001D1B59" w:rsidRDefault="00052EB8" w:rsidP="00052EB8">
      <w:pPr>
        <w:pStyle w:val="Style9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4.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omunikat potwierdzający wysłanie przelewu oraz przyci</w:t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 xml:space="preserve">sk powrotu do strony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oncesjonariusza  </w:t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>prezentowany jest (w różnej formie zależnie od bank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)  lub powrót do strony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9D2426" w:rsidRPr="001D1B59">
        <w:rPr>
          <w:rStyle w:val="FontStyle22"/>
          <w:rFonts w:ascii="Arial" w:hAnsi="Arial" w:cs="Arial"/>
          <w:sz w:val="20"/>
          <w:szCs w:val="20"/>
        </w:rPr>
        <w:t>oncesjonariusza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 może być zrealizowany automatyczne </w:t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>)</w:t>
      </w:r>
      <w:r w:rsidR="003D6EFD" w:rsidRPr="001D1B59">
        <w:rPr>
          <w:rStyle w:val="FontStyle22"/>
          <w:rFonts w:ascii="Arial" w:hAnsi="Arial" w:cs="Arial"/>
          <w:sz w:val="20"/>
          <w:szCs w:val="20"/>
        </w:rPr>
        <w:t>.</w:t>
      </w:r>
    </w:p>
    <w:p w:rsidR="00CB7ABD" w:rsidRPr="001D1B59" w:rsidRDefault="00CB7ABD" w:rsidP="003D6EFD">
      <w:pPr>
        <w:pStyle w:val="Style9"/>
        <w:widowControl/>
        <w:spacing w:before="154" w:line="283" w:lineRule="exact"/>
        <w:ind w:left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b/>
          <w:sz w:val="20"/>
          <w:szCs w:val="20"/>
        </w:rPr>
        <w:t>Uwaga: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Zamknięcie okna przeglądarki na tym etapie może spowodować zakłócenie procesu i opóźnienie rozliczenia. Stanowczo zaleca się, aby Użytkownik nie zamykał okna lecz korzystał z przycisku powrotu.</w:t>
      </w:r>
    </w:p>
    <w:p w:rsidR="00CB7ABD" w:rsidRPr="001D1B59" w:rsidRDefault="00573E1A" w:rsidP="00573E1A">
      <w:pPr>
        <w:pStyle w:val="Style9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5.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Użytkownik  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zostaje przekierowany do 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 strony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>oncesjonariusza</w:t>
      </w:r>
      <w:r w:rsidR="00B56932" w:rsidRPr="001D1B59">
        <w:rPr>
          <w:rStyle w:val="FontStyle22"/>
          <w:rFonts w:ascii="Arial" w:hAnsi="Arial" w:cs="Arial"/>
          <w:sz w:val="20"/>
          <w:szCs w:val="20"/>
        </w:rPr>
        <w:t>.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ED1F02" w:rsidRPr="001D1B59" w:rsidDel="00ED1F02">
        <w:rPr>
          <w:rStyle w:val="FontStyle22"/>
          <w:rFonts w:ascii="Arial" w:hAnsi="Arial" w:cs="Arial"/>
          <w:sz w:val="20"/>
          <w:szCs w:val="20"/>
        </w:rPr>
        <w:t xml:space="preserve"> </w:t>
      </w:r>
    </w:p>
    <w:p w:rsidR="00CB7ABD" w:rsidRPr="001D1B59" w:rsidRDefault="00CB7ABD" w:rsidP="00E3740F">
      <w:pPr>
        <w:pStyle w:val="Style9"/>
        <w:widowControl/>
        <w:spacing w:before="154" w:line="283" w:lineRule="exact"/>
        <w:ind w:left="284" w:hanging="284"/>
        <w:rPr>
          <w:rFonts w:ascii="Arial" w:hAnsi="Arial" w:cs="Arial"/>
          <w:sz w:val="20"/>
          <w:szCs w:val="20"/>
        </w:rPr>
      </w:pPr>
    </w:p>
    <w:sectPr w:rsidR="00CB7ABD" w:rsidRPr="001D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Lola 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6A1A0"/>
    <w:lvl w:ilvl="0">
      <w:numFmt w:val="bullet"/>
      <w:lvlText w:val="*"/>
      <w:lvlJc w:val="left"/>
    </w:lvl>
  </w:abstractNum>
  <w:abstractNum w:abstractNumId="1">
    <w:nsid w:val="1CFD5967"/>
    <w:multiLevelType w:val="singleLevel"/>
    <w:tmpl w:val="0546B864"/>
    <w:lvl w:ilvl="0">
      <w:start w:val="4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2">
    <w:nsid w:val="1EC92D52"/>
    <w:multiLevelType w:val="hybridMultilevel"/>
    <w:tmpl w:val="C4D018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DCE"/>
    <w:multiLevelType w:val="singleLevel"/>
    <w:tmpl w:val="44DE621C"/>
    <w:lvl w:ilvl="0">
      <w:start w:val="5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4">
    <w:nsid w:val="37FE3A7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AE93EAC"/>
    <w:multiLevelType w:val="hybridMultilevel"/>
    <w:tmpl w:val="D812CB3C"/>
    <w:lvl w:ilvl="0" w:tplc="02664CB2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6790E"/>
    <w:multiLevelType w:val="singleLevel"/>
    <w:tmpl w:val="BA141ABE"/>
    <w:lvl w:ilvl="0">
      <w:start w:val="1"/>
      <w:numFmt w:val="decimal"/>
      <w:lvlText w:val="%1."/>
      <w:legacy w:legacy="1" w:legacySpace="0" w:legacyIndent="336"/>
      <w:lvlJc w:val="left"/>
      <w:rPr>
        <w:rFonts w:ascii="Segoe UI" w:hAnsi="Segoe UI" w:cs="Segoe UI" w:hint="default"/>
      </w:rPr>
    </w:lvl>
  </w:abstractNum>
  <w:abstractNum w:abstractNumId="7">
    <w:nsid w:val="67767913"/>
    <w:multiLevelType w:val="singleLevel"/>
    <w:tmpl w:val="5B66D93A"/>
    <w:lvl w:ilvl="0">
      <w:start w:val="1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8">
    <w:nsid w:val="69AE1561"/>
    <w:multiLevelType w:val="singleLevel"/>
    <w:tmpl w:val="7DFA68E6"/>
    <w:lvl w:ilvl="0">
      <w:start w:val="1"/>
      <w:numFmt w:val="upperRoman"/>
      <w:lvlText w:val="%1."/>
      <w:legacy w:legacy="1" w:legacySpace="0" w:legacyIndent="164"/>
      <w:lvlJc w:val="left"/>
      <w:rPr>
        <w:rFonts w:ascii="Segoe UI" w:hAnsi="Segoe UI" w:cs="Segoe UI" w:hint="default"/>
      </w:rPr>
    </w:lvl>
  </w:abstractNum>
  <w:abstractNum w:abstractNumId="9">
    <w:nsid w:val="7BC749AE"/>
    <w:multiLevelType w:val="singleLevel"/>
    <w:tmpl w:val="B944168E"/>
    <w:lvl w:ilvl="0">
      <w:start w:val="2"/>
      <w:numFmt w:val="decimal"/>
      <w:lvlText w:val="%1."/>
      <w:legacy w:legacy="1" w:legacySpace="0" w:legacyIndent="336"/>
      <w:lvlJc w:val="left"/>
      <w:rPr>
        <w:rFonts w:ascii="Segoe UI" w:hAnsi="Segoe UI" w:cs="Segoe UI" w:hint="default"/>
      </w:rPr>
    </w:lvl>
  </w:abstractNum>
  <w:abstractNum w:abstractNumId="10">
    <w:nsid w:val="7FF231EE"/>
    <w:multiLevelType w:val="singleLevel"/>
    <w:tmpl w:val="43E6250A"/>
    <w:lvl w:ilvl="0">
      <w:start w:val="3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Segoe UI" w:hAnsi="Segoe UI" w:cs="Segoe UI" w:hint="default"/>
        </w:rPr>
      </w:lvl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D"/>
    <w:rsid w:val="00052EB8"/>
    <w:rsid w:val="000A0396"/>
    <w:rsid w:val="000E2FDF"/>
    <w:rsid w:val="001921D1"/>
    <w:rsid w:val="001D1B59"/>
    <w:rsid w:val="001D6124"/>
    <w:rsid w:val="0028168C"/>
    <w:rsid w:val="00393532"/>
    <w:rsid w:val="003D6EFD"/>
    <w:rsid w:val="004A5CD8"/>
    <w:rsid w:val="0051204B"/>
    <w:rsid w:val="00554A87"/>
    <w:rsid w:val="00556F57"/>
    <w:rsid w:val="00573E1A"/>
    <w:rsid w:val="00614CBF"/>
    <w:rsid w:val="0062752B"/>
    <w:rsid w:val="00706D65"/>
    <w:rsid w:val="0078118A"/>
    <w:rsid w:val="00835129"/>
    <w:rsid w:val="00885C95"/>
    <w:rsid w:val="009D2426"/>
    <w:rsid w:val="00B56932"/>
    <w:rsid w:val="00B6501D"/>
    <w:rsid w:val="00BC628B"/>
    <w:rsid w:val="00C4589C"/>
    <w:rsid w:val="00C87A55"/>
    <w:rsid w:val="00CA10CF"/>
    <w:rsid w:val="00CB7ABD"/>
    <w:rsid w:val="00D64834"/>
    <w:rsid w:val="00DA0143"/>
    <w:rsid w:val="00DE480A"/>
    <w:rsid w:val="00E3740F"/>
    <w:rsid w:val="00E7601E"/>
    <w:rsid w:val="00EC0C11"/>
    <w:rsid w:val="00ED0804"/>
    <w:rsid w:val="00ED1F02"/>
    <w:rsid w:val="00E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7A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A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A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A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A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A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A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A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A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A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A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A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A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CB7ABD"/>
    <w:rPr>
      <w:rFonts w:ascii="Segoe UI" w:hAnsi="Segoe UI" w:cs="Segoe UI"/>
      <w:sz w:val="30"/>
      <w:szCs w:val="30"/>
    </w:rPr>
  </w:style>
  <w:style w:type="paragraph" w:customStyle="1" w:styleId="Style11">
    <w:name w:val="Style11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B7ABD"/>
    <w:rPr>
      <w:rFonts w:ascii="Segoe UI" w:hAnsi="Segoe UI" w:cs="Segoe UI"/>
      <w:sz w:val="20"/>
      <w:szCs w:val="20"/>
    </w:rPr>
  </w:style>
  <w:style w:type="paragraph" w:styleId="Akapitzlist">
    <w:name w:val="List Paragraph"/>
    <w:basedOn w:val="Normalny"/>
    <w:uiPriority w:val="34"/>
    <w:qFormat/>
    <w:rsid w:val="00CB7AB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2" w:lineRule="exact"/>
      <w:ind w:hanging="33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3" w:lineRule="exact"/>
      <w:ind w:firstLine="45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B7ABD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4A87"/>
    <w:rPr>
      <w:rFonts w:ascii="FS Lola Bold" w:hAnsi="FS Lola Bol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7A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A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A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A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A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A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A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A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A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A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A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A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A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CB7ABD"/>
    <w:rPr>
      <w:rFonts w:ascii="Segoe UI" w:hAnsi="Segoe UI" w:cs="Segoe UI"/>
      <w:sz w:val="30"/>
      <w:szCs w:val="30"/>
    </w:rPr>
  </w:style>
  <w:style w:type="paragraph" w:customStyle="1" w:styleId="Style11">
    <w:name w:val="Style11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B7ABD"/>
    <w:rPr>
      <w:rFonts w:ascii="Segoe UI" w:hAnsi="Segoe UI" w:cs="Segoe UI"/>
      <w:sz w:val="20"/>
      <w:szCs w:val="20"/>
    </w:rPr>
  </w:style>
  <w:style w:type="paragraph" w:styleId="Akapitzlist">
    <w:name w:val="List Paragraph"/>
    <w:basedOn w:val="Normalny"/>
    <w:uiPriority w:val="34"/>
    <w:qFormat/>
    <w:rsid w:val="00CB7AB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2" w:lineRule="exact"/>
      <w:ind w:hanging="33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3" w:lineRule="exact"/>
      <w:ind w:firstLine="45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B7ABD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4A87"/>
    <w:rPr>
      <w:rFonts w:ascii="FS Lola Bold" w:hAnsi="FS Lola 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4F58-776B-4CAE-AA5C-35ABE752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17</cp:revision>
  <cp:lastPrinted>2017-11-14T08:46:00Z</cp:lastPrinted>
  <dcterms:created xsi:type="dcterms:W3CDTF">2017-11-14T14:57:00Z</dcterms:created>
  <dcterms:modified xsi:type="dcterms:W3CDTF">2017-11-17T12:55:00Z</dcterms:modified>
</cp:coreProperties>
</file>