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69E" w:rsidRDefault="0049056E" w:rsidP="00F228AB">
      <w:pPr>
        <w:tabs>
          <w:tab w:val="center" w:pos="4536"/>
        </w:tabs>
        <w:ind w:right="-2"/>
        <w:jc w:val="right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962150" cy="685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BE4" w:rsidRDefault="0049056E" w:rsidP="00AB3BE4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4669" cy="368319"/>
                                  <wp:effectExtent l="0" t="0" r="6350" b="0"/>
                                  <wp:docPr id="1604239720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odło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669" cy="3683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3BE4" w:rsidRPr="00EB0165" w:rsidRDefault="0049056E" w:rsidP="00AB3BE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EB0165">
                              <w:rPr>
                                <w:rFonts w:ascii="Calibri" w:hAnsi="Calibri" w:cs="Calibri"/>
                                <w:b/>
                              </w:rPr>
                              <w:t>WOJEWODA MAZOWIECKI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54pt;margin-left:0;margin-top:0.6pt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-text-anchor:top;visibility:visible;width:154.5pt;z-index:-251656192" stroked="f">
                <v:textbox>
                  <w:txbxContent>
                    <w:p w:rsidR="00AB3BE4" w:rsidP="00AB3BE4">
                      <w:pPr>
                        <w:spacing w:line="276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74669" cy="368319"/>
                            <wp:effectExtent l="0" t="0" r="6350" b="0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odło.png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Id6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669" cy="3683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3BE4" w:rsidRPr="00EB0165" w:rsidP="00AB3BE4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EB0165">
                        <w:rPr>
                          <w:rFonts w:ascii="Calibri" w:hAnsi="Calibri" w:cs="Calibri"/>
                          <w:b/>
                        </w:rPr>
                        <w:t>WOJEWODA MAZOWIECKI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010D">
        <w:rPr>
          <w:rFonts w:ascii="Calibri" w:hAnsi="Calibri" w:cs="Calibri"/>
        </w:rPr>
        <w:t>Warszawa,</w:t>
      </w:r>
      <w:r>
        <w:rPr>
          <w:rFonts w:ascii="Calibri" w:hAnsi="Calibri" w:cs="Calibri"/>
        </w:rPr>
        <w:t xml:space="preserve"> </w:t>
      </w:r>
      <w:bookmarkStart w:id="0" w:name="ezdDataPodpisu"/>
      <w:r>
        <w:rPr>
          <w:rFonts w:ascii="Calibri" w:hAnsi="Calibri" w:cs="Calibri"/>
        </w:rPr>
        <w:t>27 stycznia 2022 r.</w:t>
      </w:r>
      <w:bookmarkEnd w:id="0"/>
    </w:p>
    <w:p w:rsidR="004824F3" w:rsidRPr="00870E84" w:rsidRDefault="0049056E" w:rsidP="00691727">
      <w:pPr>
        <w:spacing w:before="840"/>
        <w:ind w:right="6660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br/>
      </w:r>
      <w:bookmarkStart w:id="1" w:name="ezdSprawaZnak"/>
      <w:bookmarkStart w:id="2" w:name="_GoBack"/>
      <w:r w:rsidRPr="00870E84">
        <w:rPr>
          <w:rFonts w:ascii="Calibri" w:hAnsi="Calibri" w:cs="Calibri"/>
          <w:bCs/>
        </w:rPr>
        <w:t>WNP-O.4131.1.2022</w:t>
      </w:r>
      <w:bookmarkEnd w:id="1"/>
      <w:bookmarkEnd w:id="2"/>
    </w:p>
    <w:p w:rsidR="00C409C0" w:rsidRPr="001D2400" w:rsidRDefault="0049056E" w:rsidP="00C409C0">
      <w:pPr>
        <w:spacing w:line="360" w:lineRule="auto"/>
        <w:ind w:left="5664"/>
        <w:rPr>
          <w:rFonts w:asciiTheme="minorHAnsi" w:eastAsia="Lucida Sans Unicode" w:hAnsiTheme="minorHAnsi" w:cstheme="minorHAnsi"/>
          <w:b/>
          <w:sz w:val="28"/>
          <w:szCs w:val="28"/>
          <w:lang w:eastAsia="ar-SA"/>
        </w:rPr>
      </w:pPr>
      <w:r w:rsidRPr="0036010D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-5403215</wp:posOffset>
            </wp:positionH>
            <wp:positionV relativeFrom="paragraph">
              <wp:posOffset>292735</wp:posOffset>
            </wp:positionV>
            <wp:extent cx="2448560" cy="82677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560" cy="826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09C0">
        <w:rPr>
          <w:rFonts w:asciiTheme="minorHAnsi" w:eastAsia="Lucida Sans Unicode" w:hAnsiTheme="minorHAnsi" w:cstheme="minorHAnsi"/>
          <w:b/>
          <w:sz w:val="28"/>
          <w:szCs w:val="28"/>
          <w:lang w:eastAsia="ar-SA"/>
        </w:rPr>
        <w:t xml:space="preserve"> </w:t>
      </w:r>
      <w:r w:rsidRPr="001D2400">
        <w:rPr>
          <w:rFonts w:asciiTheme="minorHAnsi" w:eastAsia="Lucida Sans Unicode" w:hAnsiTheme="minorHAnsi" w:cstheme="minorHAnsi"/>
          <w:b/>
          <w:sz w:val="28"/>
          <w:szCs w:val="28"/>
          <w:lang w:eastAsia="ar-SA"/>
        </w:rPr>
        <w:t>Rada Miasta Mława</w:t>
      </w:r>
    </w:p>
    <w:p w:rsidR="00C409C0" w:rsidRPr="00947EE8" w:rsidRDefault="0049056E" w:rsidP="00C409C0">
      <w:pPr>
        <w:spacing w:line="360" w:lineRule="auto"/>
        <w:ind w:left="5664"/>
        <w:rPr>
          <w:rFonts w:asciiTheme="minorHAnsi" w:eastAsia="Lucida Sans Unicode" w:hAnsiTheme="minorHAnsi" w:cstheme="minorHAnsi"/>
          <w:bCs/>
          <w:sz w:val="28"/>
          <w:szCs w:val="28"/>
          <w:lang w:eastAsia="ar-SA"/>
        </w:rPr>
      </w:pPr>
      <w:r w:rsidRPr="00947EE8">
        <w:rPr>
          <w:rFonts w:asciiTheme="minorHAnsi" w:eastAsia="Lucida Sans Unicode" w:hAnsiTheme="minorHAnsi" w:cstheme="minorHAnsi"/>
          <w:bCs/>
          <w:sz w:val="28"/>
          <w:szCs w:val="28"/>
          <w:lang w:eastAsia="ar-SA"/>
        </w:rPr>
        <w:t>ul. Stary Rynek 19</w:t>
      </w:r>
    </w:p>
    <w:p w:rsidR="00C409C0" w:rsidRPr="00947EE8" w:rsidRDefault="0049056E" w:rsidP="00C409C0">
      <w:pPr>
        <w:spacing w:line="360" w:lineRule="auto"/>
        <w:ind w:left="5664"/>
        <w:rPr>
          <w:rFonts w:asciiTheme="minorHAnsi" w:eastAsia="Lucida Sans Unicode" w:hAnsiTheme="minorHAnsi" w:cstheme="minorHAnsi"/>
          <w:bCs/>
          <w:sz w:val="28"/>
          <w:szCs w:val="28"/>
          <w:lang w:eastAsia="ar-SA"/>
        </w:rPr>
      </w:pPr>
      <w:r w:rsidRPr="00947EE8">
        <w:rPr>
          <w:rFonts w:asciiTheme="minorHAnsi" w:eastAsia="Lucida Sans Unicode" w:hAnsiTheme="minorHAnsi" w:cstheme="minorHAnsi"/>
          <w:bCs/>
          <w:sz w:val="28"/>
          <w:szCs w:val="28"/>
          <w:lang w:eastAsia="ar-SA"/>
        </w:rPr>
        <w:t>06-500 Mława</w:t>
      </w:r>
    </w:p>
    <w:p w:rsidR="00C409C0" w:rsidRPr="001D2400" w:rsidRDefault="0049056E" w:rsidP="00C409C0">
      <w:pPr>
        <w:spacing w:line="360" w:lineRule="auto"/>
        <w:rPr>
          <w:rFonts w:asciiTheme="minorHAnsi" w:hAnsiTheme="minorHAnsi" w:cstheme="minorHAnsi"/>
          <w:b/>
        </w:rPr>
      </w:pPr>
    </w:p>
    <w:p w:rsidR="00C409C0" w:rsidRPr="001D2400" w:rsidRDefault="0049056E" w:rsidP="00C409C0">
      <w:pPr>
        <w:spacing w:line="360" w:lineRule="auto"/>
        <w:ind w:left="2124" w:firstLine="708"/>
        <w:rPr>
          <w:rFonts w:asciiTheme="minorHAnsi" w:hAnsiTheme="minorHAnsi" w:cstheme="minorHAnsi"/>
          <w:b/>
        </w:rPr>
      </w:pPr>
      <w:r w:rsidRPr="001D2400">
        <w:rPr>
          <w:rFonts w:asciiTheme="minorHAnsi" w:hAnsiTheme="minorHAnsi" w:cstheme="minorHAnsi"/>
          <w:b/>
        </w:rPr>
        <w:t xml:space="preserve">  </w:t>
      </w:r>
      <w:r>
        <w:rPr>
          <w:rFonts w:asciiTheme="minorHAnsi" w:hAnsiTheme="minorHAnsi" w:cstheme="minorHAnsi"/>
          <w:b/>
        </w:rPr>
        <w:t xml:space="preserve"> </w:t>
      </w:r>
      <w:r w:rsidRPr="001D2400">
        <w:rPr>
          <w:rFonts w:asciiTheme="minorHAnsi" w:hAnsiTheme="minorHAnsi" w:cstheme="minorHAnsi"/>
          <w:b/>
        </w:rPr>
        <w:t>Rozstrzygnięcie nadzorcze</w:t>
      </w:r>
    </w:p>
    <w:p w:rsidR="00C409C0" w:rsidRPr="001D2400" w:rsidRDefault="0049056E" w:rsidP="00C409C0">
      <w:pPr>
        <w:spacing w:line="360" w:lineRule="auto"/>
        <w:rPr>
          <w:rFonts w:asciiTheme="minorHAnsi" w:hAnsiTheme="minorHAnsi" w:cstheme="minorHAnsi"/>
          <w:b/>
        </w:rPr>
      </w:pPr>
    </w:p>
    <w:p w:rsidR="00C409C0" w:rsidRPr="001D2400" w:rsidRDefault="0049056E" w:rsidP="00C409C0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1D2400">
        <w:rPr>
          <w:rFonts w:asciiTheme="minorHAnsi" w:hAnsiTheme="minorHAnsi" w:cstheme="minorHAnsi"/>
        </w:rPr>
        <w:t>Na podstawie art. 91 ust. 1 oraz art. 92 ustawy z dnia 8 marca 1990</w:t>
      </w:r>
      <w:r>
        <w:rPr>
          <w:rFonts w:asciiTheme="minorHAnsi" w:hAnsiTheme="minorHAnsi" w:cstheme="minorHAnsi"/>
        </w:rPr>
        <w:t xml:space="preserve"> </w:t>
      </w:r>
      <w:r w:rsidRPr="001D2400">
        <w:rPr>
          <w:rFonts w:asciiTheme="minorHAnsi" w:hAnsiTheme="minorHAnsi" w:cstheme="minorHAnsi"/>
        </w:rPr>
        <w:t xml:space="preserve">r. </w:t>
      </w:r>
      <w:r w:rsidRPr="001D2400">
        <w:rPr>
          <w:rFonts w:asciiTheme="minorHAnsi" w:hAnsiTheme="minorHAnsi" w:cstheme="minorHAnsi"/>
        </w:rPr>
        <w:br/>
      </w:r>
      <w:r w:rsidRPr="001D2400">
        <w:rPr>
          <w:rFonts w:asciiTheme="minorHAnsi" w:hAnsiTheme="minorHAnsi" w:cstheme="minorHAnsi"/>
          <w:i/>
        </w:rPr>
        <w:t>o samorządzie gminnym</w:t>
      </w:r>
      <w:r w:rsidRPr="001D2400">
        <w:rPr>
          <w:rFonts w:asciiTheme="minorHAnsi" w:hAnsiTheme="minorHAnsi" w:cstheme="minorHAnsi"/>
        </w:rPr>
        <w:t xml:space="preserve"> (Dz. U. z 2021 r. poz. 1372, 1834)</w:t>
      </w:r>
    </w:p>
    <w:p w:rsidR="00C409C0" w:rsidRPr="001D2400" w:rsidRDefault="0049056E" w:rsidP="00C409C0">
      <w:pPr>
        <w:spacing w:line="360" w:lineRule="auto"/>
        <w:jc w:val="both"/>
        <w:rPr>
          <w:rFonts w:asciiTheme="minorHAnsi" w:hAnsiTheme="minorHAnsi" w:cstheme="minorHAnsi"/>
        </w:rPr>
      </w:pPr>
      <w:r w:rsidRPr="001D2400">
        <w:rPr>
          <w:rFonts w:asciiTheme="minorHAnsi" w:hAnsiTheme="minorHAnsi" w:cstheme="minorHAnsi"/>
        </w:rPr>
        <w:t xml:space="preserve">    </w:t>
      </w:r>
    </w:p>
    <w:p w:rsidR="00C409C0" w:rsidRPr="001D2400" w:rsidRDefault="0049056E" w:rsidP="00C409C0">
      <w:pPr>
        <w:spacing w:line="360" w:lineRule="auto"/>
        <w:rPr>
          <w:rFonts w:asciiTheme="minorHAnsi" w:hAnsiTheme="minorHAnsi" w:cstheme="minorHAnsi"/>
        </w:rPr>
      </w:pPr>
      <w:r w:rsidRPr="001D2400">
        <w:rPr>
          <w:rFonts w:asciiTheme="minorHAnsi" w:hAnsiTheme="minorHAnsi" w:cstheme="minorHAnsi"/>
        </w:rPr>
        <w:t xml:space="preserve">                                                    </w:t>
      </w:r>
      <w:r>
        <w:rPr>
          <w:rFonts w:asciiTheme="minorHAnsi" w:hAnsiTheme="minorHAnsi" w:cstheme="minorHAnsi"/>
        </w:rPr>
        <w:t xml:space="preserve">     </w:t>
      </w:r>
      <w:r w:rsidRPr="001D2400">
        <w:rPr>
          <w:rFonts w:asciiTheme="minorHAnsi" w:hAnsiTheme="minorHAnsi" w:cstheme="minorHAnsi"/>
          <w:b/>
        </w:rPr>
        <w:t>stwierdzam nieważność</w:t>
      </w:r>
    </w:p>
    <w:p w:rsidR="00C409C0" w:rsidRPr="001D2400" w:rsidRDefault="0049056E" w:rsidP="00C409C0">
      <w:pPr>
        <w:spacing w:line="360" w:lineRule="auto"/>
        <w:jc w:val="both"/>
        <w:rPr>
          <w:rFonts w:asciiTheme="minorHAnsi" w:hAnsiTheme="minorHAnsi" w:cstheme="minorHAnsi"/>
        </w:rPr>
      </w:pPr>
    </w:p>
    <w:p w:rsidR="00C409C0" w:rsidRPr="001D2400" w:rsidRDefault="0049056E" w:rsidP="00C409C0">
      <w:pPr>
        <w:widowControl w:val="0"/>
        <w:suppressAutoHyphens/>
        <w:spacing w:line="360" w:lineRule="auto"/>
        <w:jc w:val="both"/>
        <w:rPr>
          <w:rFonts w:asciiTheme="minorHAnsi" w:eastAsia="Lucida Sans Unicode" w:hAnsiTheme="minorHAnsi" w:cstheme="minorHAnsi"/>
          <w:i/>
          <w:lang w:eastAsia="ar-SA"/>
        </w:rPr>
      </w:pPr>
      <w:r w:rsidRPr="001D2400">
        <w:rPr>
          <w:rFonts w:asciiTheme="minorHAnsi" w:eastAsia="Lucida Sans Unicode" w:hAnsiTheme="minorHAnsi" w:cstheme="minorHAnsi"/>
          <w:lang w:eastAsia="ar-SA"/>
        </w:rPr>
        <w:t xml:space="preserve">uchwały Rady Miasta Mława nr XXXV/476/2021 z dnia 21 grudnia 2021 r. </w:t>
      </w:r>
      <w:r w:rsidRPr="001D2400">
        <w:rPr>
          <w:rFonts w:asciiTheme="minorHAnsi" w:eastAsia="Lucida Sans Unicode" w:hAnsiTheme="minorHAnsi" w:cstheme="minorHAnsi"/>
          <w:i/>
          <w:lang w:eastAsia="ar-SA"/>
        </w:rPr>
        <w:t xml:space="preserve">w sprawie ustalenia zasad przyznawania diet oraz zwrotu kosztów podróży służbowych dla Radnych Miasta Mława, </w:t>
      </w:r>
      <w:r w:rsidRPr="001D2400">
        <w:rPr>
          <w:rFonts w:asciiTheme="minorHAnsi" w:eastAsia="Lucida Sans Unicode" w:hAnsiTheme="minorHAnsi" w:cstheme="minorHAnsi"/>
          <w:b/>
          <w:lang w:eastAsia="ar-SA"/>
        </w:rPr>
        <w:t xml:space="preserve">w części, </w:t>
      </w:r>
      <w:r w:rsidRPr="001D2400">
        <w:rPr>
          <w:rFonts w:asciiTheme="minorHAnsi" w:eastAsia="Lucida Sans Unicode" w:hAnsiTheme="minorHAnsi" w:cstheme="minorHAnsi"/>
          <w:lang w:eastAsia="ar-SA"/>
        </w:rPr>
        <w:t xml:space="preserve">to jest w zakresie </w:t>
      </w:r>
      <w:r w:rsidRPr="001D2400">
        <w:rPr>
          <w:rFonts w:asciiTheme="minorHAnsi" w:eastAsia="Lucida Sans Unicode" w:hAnsiTheme="minorHAnsi" w:cstheme="minorHAnsi"/>
          <w:b/>
          <w:lang w:eastAsia="ar-SA"/>
        </w:rPr>
        <w:t>§ 1, 2, 3 i 4</w:t>
      </w:r>
      <w:r w:rsidRPr="001D2400">
        <w:rPr>
          <w:rFonts w:asciiTheme="minorHAnsi" w:eastAsia="Lucida Sans Unicode" w:hAnsiTheme="minorHAnsi" w:cstheme="minorHAnsi"/>
          <w:lang w:eastAsia="ar-SA"/>
        </w:rPr>
        <w:t xml:space="preserve"> tej uchwały. </w:t>
      </w:r>
    </w:p>
    <w:p w:rsidR="00C409C0" w:rsidRPr="001D2400" w:rsidRDefault="0049056E" w:rsidP="00C409C0">
      <w:pPr>
        <w:widowControl w:val="0"/>
        <w:suppressAutoHyphens/>
        <w:spacing w:line="360" w:lineRule="auto"/>
        <w:rPr>
          <w:rFonts w:asciiTheme="minorHAnsi" w:eastAsia="Lucida Sans Unicode" w:hAnsiTheme="minorHAnsi" w:cstheme="minorHAnsi"/>
          <w:b/>
          <w:lang w:eastAsia="ar-SA"/>
        </w:rPr>
      </w:pPr>
    </w:p>
    <w:p w:rsidR="00C409C0" w:rsidRPr="001D2400" w:rsidRDefault="0049056E" w:rsidP="00C409C0">
      <w:pPr>
        <w:widowControl w:val="0"/>
        <w:suppressAutoHyphens/>
        <w:spacing w:line="360" w:lineRule="auto"/>
        <w:ind w:firstLine="709"/>
        <w:rPr>
          <w:rFonts w:asciiTheme="minorHAnsi" w:eastAsia="Lucida Sans Unicode" w:hAnsiTheme="minorHAnsi" w:cstheme="minorHAnsi"/>
          <w:b/>
          <w:lang w:eastAsia="ar-SA"/>
        </w:rPr>
      </w:pPr>
      <w:r w:rsidRPr="001D2400">
        <w:rPr>
          <w:rFonts w:asciiTheme="minorHAnsi" w:eastAsia="Lucida Sans Unicode" w:hAnsiTheme="minorHAnsi" w:cstheme="minorHAnsi"/>
          <w:b/>
          <w:lang w:eastAsia="ar-SA"/>
        </w:rPr>
        <w:t xml:space="preserve">                                                  </w:t>
      </w:r>
      <w:r>
        <w:rPr>
          <w:rFonts w:asciiTheme="minorHAnsi" w:eastAsia="Lucida Sans Unicode" w:hAnsiTheme="minorHAnsi" w:cstheme="minorHAnsi"/>
          <w:b/>
          <w:lang w:eastAsia="ar-SA"/>
        </w:rPr>
        <w:t xml:space="preserve">    </w:t>
      </w:r>
      <w:r w:rsidRPr="001D2400">
        <w:rPr>
          <w:rFonts w:asciiTheme="minorHAnsi" w:eastAsia="Lucida Sans Unicode" w:hAnsiTheme="minorHAnsi" w:cstheme="minorHAnsi"/>
          <w:b/>
          <w:lang w:eastAsia="ar-SA"/>
        </w:rPr>
        <w:t>Uzasadnienie</w:t>
      </w:r>
    </w:p>
    <w:p w:rsidR="00C409C0" w:rsidRPr="001D2400" w:rsidRDefault="0049056E" w:rsidP="00C409C0">
      <w:pPr>
        <w:widowControl w:val="0"/>
        <w:suppressAutoHyphens/>
        <w:spacing w:line="360" w:lineRule="auto"/>
        <w:ind w:firstLine="709"/>
        <w:jc w:val="center"/>
        <w:rPr>
          <w:rFonts w:asciiTheme="minorHAnsi" w:hAnsiTheme="minorHAnsi" w:cstheme="minorHAnsi"/>
          <w:b/>
          <w:lang w:eastAsia="ar-SA"/>
        </w:rPr>
      </w:pPr>
    </w:p>
    <w:p w:rsidR="00C409C0" w:rsidRPr="001D2400" w:rsidRDefault="0049056E" w:rsidP="00C409C0">
      <w:pPr>
        <w:widowControl w:val="0"/>
        <w:suppressAutoHyphens/>
        <w:spacing w:line="360" w:lineRule="auto"/>
        <w:jc w:val="both"/>
        <w:rPr>
          <w:rFonts w:asciiTheme="minorHAnsi" w:eastAsia="Lucida Sans Unicode" w:hAnsiTheme="minorHAnsi" w:cstheme="minorHAnsi"/>
          <w:i/>
          <w:lang w:eastAsia="ar-SA"/>
        </w:rPr>
      </w:pPr>
      <w:r w:rsidRPr="001D2400">
        <w:rPr>
          <w:rFonts w:asciiTheme="minorHAnsi" w:eastAsia="Lucida Sans Unicode" w:hAnsiTheme="minorHAnsi" w:cstheme="minorHAnsi"/>
          <w:spacing w:val="-1"/>
          <w:lang w:eastAsia="ar-SA"/>
        </w:rPr>
        <w:t xml:space="preserve">            W </w:t>
      </w:r>
      <w:r w:rsidRPr="001D2400">
        <w:rPr>
          <w:rFonts w:asciiTheme="minorHAnsi" w:eastAsia="Lucida Sans Unicode" w:hAnsiTheme="minorHAnsi" w:cstheme="minorHAnsi"/>
          <w:lang w:eastAsia="ar-SA"/>
        </w:rPr>
        <w:t>dniu 21</w:t>
      </w:r>
      <w:r w:rsidRPr="001D2400">
        <w:rPr>
          <w:rFonts w:asciiTheme="minorHAnsi" w:eastAsia="Lucida Sans Unicode" w:hAnsiTheme="minorHAnsi" w:cstheme="minorHAnsi"/>
          <w:lang w:eastAsia="ar-SA"/>
        </w:rPr>
        <w:t xml:space="preserve"> grudnia 2021 r. Rada Miasta Mława podjęła uchwałę nr XXXV/476/2021</w:t>
      </w:r>
      <w:r w:rsidRPr="001D2400">
        <w:rPr>
          <w:rFonts w:asciiTheme="minorHAnsi" w:eastAsia="Lucida Sans Unicode" w:hAnsiTheme="minorHAnsi" w:cstheme="minorHAnsi"/>
          <w:i/>
          <w:lang w:eastAsia="ar-SA"/>
        </w:rPr>
        <w:t xml:space="preserve"> w sprawie ustalenia zasad przyznawania diet oraz zwrotu kosztów podróży służbowych dla Radnych Miasta Mława.</w:t>
      </w:r>
    </w:p>
    <w:p w:rsidR="00C409C0" w:rsidRPr="001D2400" w:rsidRDefault="0049056E" w:rsidP="00C409C0">
      <w:pPr>
        <w:widowControl w:val="0"/>
        <w:suppressAutoHyphens/>
        <w:spacing w:line="360" w:lineRule="auto"/>
        <w:jc w:val="both"/>
        <w:rPr>
          <w:rFonts w:asciiTheme="minorHAnsi" w:eastAsia="Lucida Sans Unicode" w:hAnsiTheme="minorHAnsi" w:cstheme="minorHAnsi"/>
          <w:i/>
          <w:lang w:eastAsia="ar-SA"/>
        </w:rPr>
      </w:pPr>
      <w:r w:rsidRPr="001D2400">
        <w:rPr>
          <w:rFonts w:asciiTheme="minorHAnsi" w:eastAsia="Lucida Sans Unicode" w:hAnsiTheme="minorHAnsi" w:cstheme="minorHAnsi"/>
          <w:i/>
          <w:lang w:eastAsia="ar-SA"/>
        </w:rPr>
        <w:t xml:space="preserve"> </w:t>
      </w:r>
    </w:p>
    <w:p w:rsidR="00C409C0" w:rsidRPr="001D2400" w:rsidRDefault="0049056E" w:rsidP="00C409C0">
      <w:pPr>
        <w:widowControl w:val="0"/>
        <w:suppressAutoHyphens/>
        <w:spacing w:line="360" w:lineRule="auto"/>
        <w:ind w:firstLine="709"/>
        <w:jc w:val="both"/>
        <w:rPr>
          <w:rFonts w:asciiTheme="minorHAnsi" w:eastAsia="Lucida Sans Unicode" w:hAnsiTheme="minorHAnsi" w:cstheme="minorHAnsi"/>
          <w:lang w:eastAsia="ar-SA"/>
        </w:rPr>
      </w:pPr>
      <w:r w:rsidRPr="001D2400">
        <w:rPr>
          <w:rFonts w:asciiTheme="minorHAnsi" w:eastAsia="Lucida Sans Unicode" w:hAnsiTheme="minorHAnsi" w:cstheme="minorHAnsi"/>
          <w:lang w:eastAsia="ar-SA"/>
        </w:rPr>
        <w:t>Uchwała powyższa została doręczona Wojewodzie Mazowieckiemu, jako organowi na</w:t>
      </w:r>
      <w:r w:rsidRPr="001D2400">
        <w:rPr>
          <w:rFonts w:asciiTheme="minorHAnsi" w:eastAsia="Lucida Sans Unicode" w:hAnsiTheme="minorHAnsi" w:cstheme="minorHAnsi"/>
          <w:lang w:eastAsia="ar-SA"/>
        </w:rPr>
        <w:t xml:space="preserve">dzoru nad działalnością gminną, w dniu 30 grudnia 2021 r. Jako podstawę prawną uchwały Rada Gminy wskazała art. 25 ust. 4, 6 i 8 ustawy </w:t>
      </w:r>
      <w:r w:rsidRPr="001D2400">
        <w:rPr>
          <w:rFonts w:asciiTheme="minorHAnsi" w:eastAsia="Lucida Sans Unicode" w:hAnsiTheme="minorHAnsi" w:cstheme="minorHAnsi"/>
          <w:i/>
          <w:lang w:eastAsia="ar-SA"/>
        </w:rPr>
        <w:t>o samorządzie gminnym</w:t>
      </w:r>
      <w:r w:rsidRPr="001D2400">
        <w:rPr>
          <w:rFonts w:asciiTheme="minorHAnsi" w:eastAsia="Lucida Sans Unicode" w:hAnsiTheme="minorHAnsi" w:cstheme="minorHAnsi"/>
          <w:lang w:eastAsia="ar-SA"/>
        </w:rPr>
        <w:t xml:space="preserve"> oraz § 3 pkt 2 rozporządzenia Rady Ministrów z dnia 27 października 2021 r. </w:t>
      </w:r>
      <w:r w:rsidRPr="001D2400">
        <w:rPr>
          <w:rFonts w:asciiTheme="minorHAnsi" w:eastAsia="Lucida Sans Unicode" w:hAnsiTheme="minorHAnsi" w:cstheme="minorHAnsi"/>
          <w:i/>
          <w:lang w:eastAsia="ar-SA"/>
        </w:rPr>
        <w:t xml:space="preserve">w sprawie maksymalnej </w:t>
      </w:r>
      <w:r w:rsidRPr="001D2400">
        <w:rPr>
          <w:rFonts w:asciiTheme="minorHAnsi" w:eastAsia="Lucida Sans Unicode" w:hAnsiTheme="minorHAnsi" w:cstheme="minorHAnsi"/>
          <w:i/>
          <w:lang w:eastAsia="ar-SA"/>
        </w:rPr>
        <w:t>wysokości diet przysługujących radnemu gminy</w:t>
      </w:r>
      <w:r w:rsidRPr="001D2400">
        <w:rPr>
          <w:rFonts w:asciiTheme="minorHAnsi" w:eastAsia="Lucida Sans Unicode" w:hAnsiTheme="minorHAnsi" w:cstheme="minorHAnsi"/>
          <w:lang w:eastAsia="ar-SA"/>
        </w:rPr>
        <w:t xml:space="preserve"> (Dz. U. z 2021 r. poz. 1974). </w:t>
      </w:r>
    </w:p>
    <w:p w:rsidR="00C409C0" w:rsidRPr="001D2400" w:rsidRDefault="0049056E" w:rsidP="00C409C0">
      <w:pPr>
        <w:widowControl w:val="0"/>
        <w:suppressAutoHyphens/>
        <w:spacing w:line="360" w:lineRule="auto"/>
        <w:ind w:firstLine="709"/>
        <w:jc w:val="both"/>
        <w:rPr>
          <w:rFonts w:asciiTheme="minorHAnsi" w:eastAsia="Lucida Sans Unicode" w:hAnsiTheme="minorHAnsi" w:cstheme="minorHAnsi"/>
          <w:lang w:eastAsia="ar-SA"/>
        </w:rPr>
      </w:pPr>
    </w:p>
    <w:p w:rsidR="00C409C0" w:rsidRPr="001D2400" w:rsidRDefault="0049056E" w:rsidP="00C409C0">
      <w:pPr>
        <w:widowControl w:val="0"/>
        <w:suppressAutoHyphens/>
        <w:spacing w:after="240" w:line="360" w:lineRule="auto"/>
        <w:ind w:firstLine="709"/>
        <w:jc w:val="both"/>
        <w:rPr>
          <w:rFonts w:asciiTheme="minorHAnsi" w:eastAsia="Lucida Sans Unicode" w:hAnsiTheme="minorHAnsi" w:cstheme="minorHAnsi"/>
          <w:lang w:eastAsia="ar-SA"/>
        </w:rPr>
      </w:pPr>
      <w:r w:rsidRPr="001D2400">
        <w:rPr>
          <w:rFonts w:asciiTheme="minorHAnsi" w:hAnsiTheme="minorHAnsi" w:cstheme="minorHAnsi"/>
        </w:rPr>
        <w:lastRenderedPageBreak/>
        <w:t xml:space="preserve">Pismem z dnia 24 stycznia 2022 r. Wojewoda Mazowiecki zawiadomił Radę Miasta Mława </w:t>
      </w:r>
      <w:r>
        <w:rPr>
          <w:rFonts w:asciiTheme="minorHAnsi" w:hAnsiTheme="minorHAnsi" w:cstheme="minorHAnsi"/>
        </w:rPr>
        <w:br/>
      </w:r>
      <w:r w:rsidRPr="001D2400">
        <w:rPr>
          <w:rFonts w:asciiTheme="minorHAnsi" w:hAnsiTheme="minorHAnsi" w:cstheme="minorHAnsi"/>
        </w:rPr>
        <w:t>o wszczęciu postępowania nadzorczego w sprawie stwierdzenia nieważności uchwały</w:t>
      </w:r>
      <w:r w:rsidRPr="001D2400">
        <w:rPr>
          <w:rFonts w:asciiTheme="minorHAnsi" w:eastAsia="Lucida Sans Unicode" w:hAnsiTheme="minorHAnsi" w:cstheme="minorHAnsi"/>
          <w:lang w:eastAsia="ar-SA"/>
        </w:rPr>
        <w:t xml:space="preserve"> </w:t>
      </w:r>
      <w:r>
        <w:rPr>
          <w:rFonts w:asciiTheme="minorHAnsi" w:eastAsia="Lucida Sans Unicode" w:hAnsiTheme="minorHAnsi" w:cstheme="minorHAnsi"/>
          <w:lang w:eastAsia="ar-SA"/>
        </w:rPr>
        <w:br/>
      </w:r>
      <w:r w:rsidRPr="001D2400">
        <w:rPr>
          <w:rFonts w:asciiTheme="minorHAnsi" w:eastAsia="Lucida Sans Unicode" w:hAnsiTheme="minorHAnsi" w:cstheme="minorHAnsi"/>
          <w:lang w:eastAsia="ar-SA"/>
        </w:rPr>
        <w:t>nr XXXV/476/20</w:t>
      </w:r>
      <w:r w:rsidRPr="001D2400">
        <w:rPr>
          <w:rFonts w:asciiTheme="minorHAnsi" w:eastAsia="Lucida Sans Unicode" w:hAnsiTheme="minorHAnsi" w:cstheme="minorHAnsi"/>
          <w:lang w:eastAsia="ar-SA"/>
        </w:rPr>
        <w:t>21.</w:t>
      </w:r>
    </w:p>
    <w:p w:rsidR="00C409C0" w:rsidRPr="001D2400" w:rsidRDefault="0049056E" w:rsidP="00C409C0">
      <w:pPr>
        <w:widowControl w:val="0"/>
        <w:suppressAutoHyphens/>
        <w:spacing w:after="240" w:line="360" w:lineRule="auto"/>
        <w:ind w:firstLine="709"/>
        <w:jc w:val="both"/>
        <w:rPr>
          <w:rFonts w:asciiTheme="minorHAnsi" w:eastAsia="Lucida Sans Unicode" w:hAnsiTheme="minorHAnsi" w:cstheme="minorHAnsi"/>
          <w:spacing w:val="-1"/>
          <w:lang w:eastAsia="ar-SA"/>
        </w:rPr>
      </w:pPr>
      <w:r w:rsidRPr="001D2400">
        <w:rPr>
          <w:rFonts w:asciiTheme="minorHAnsi" w:eastAsia="Lucida Sans Unicode" w:hAnsiTheme="minorHAnsi" w:cstheme="minorHAnsi"/>
          <w:spacing w:val="-1"/>
          <w:lang w:eastAsia="ar-SA"/>
        </w:rPr>
        <w:t>W ocenie organu nadzoru uchwała nr XXXV/476/2021 została podjęta z istotnym naruszeniem prawa, zgodnie z argumentacją określoną poniżej.</w:t>
      </w:r>
    </w:p>
    <w:p w:rsidR="00C409C0" w:rsidRPr="001D2400" w:rsidRDefault="0049056E" w:rsidP="00C409C0">
      <w:pPr>
        <w:widowControl w:val="0"/>
        <w:suppressAutoHyphens/>
        <w:spacing w:after="240" w:line="360" w:lineRule="auto"/>
        <w:ind w:firstLine="709"/>
        <w:jc w:val="both"/>
        <w:rPr>
          <w:rFonts w:asciiTheme="minorHAnsi" w:eastAsia="Lucida Sans Unicode" w:hAnsiTheme="minorHAnsi" w:cstheme="minorHAnsi"/>
          <w:spacing w:val="-1"/>
          <w:lang w:eastAsia="ar-SA"/>
        </w:rPr>
      </w:pPr>
      <w:r w:rsidRPr="001D2400">
        <w:rPr>
          <w:rFonts w:asciiTheme="minorHAnsi" w:eastAsia="Lucida Sans Unicode" w:hAnsiTheme="minorHAnsi" w:cstheme="minorHAnsi"/>
          <w:spacing w:val="-1"/>
          <w:lang w:eastAsia="ar-SA"/>
        </w:rPr>
        <w:t xml:space="preserve">W § 1 ww. uchwały Rada Miasta unormowała prawo radnego do diety oraz termin i podstawę wypłacania diety. W § 2 </w:t>
      </w:r>
      <w:r w:rsidRPr="001D2400">
        <w:rPr>
          <w:rFonts w:asciiTheme="minorHAnsi" w:eastAsia="Lucida Sans Unicode" w:hAnsiTheme="minorHAnsi" w:cstheme="minorHAnsi"/>
          <w:spacing w:val="-1"/>
          <w:lang w:eastAsia="ar-SA"/>
        </w:rPr>
        <w:t>określono podstawę ustalenia wysokości diety (75% z 2,4 krotności kwoty bazowej). W § 3 określono maksymalną wysokość miesięcznej diety radnego, z uwzględnieniem pełnionych funkcji (Przewodniczący i Wiceprzewodniczący Rady Miasta, Przewodniczący</w:t>
      </w:r>
      <w:r>
        <w:rPr>
          <w:rFonts w:asciiTheme="minorHAnsi" w:eastAsia="Lucida Sans Unicode" w:hAnsiTheme="minorHAnsi" w:cstheme="minorHAnsi"/>
          <w:spacing w:val="-1"/>
          <w:lang w:eastAsia="ar-SA"/>
        </w:rPr>
        <w:t xml:space="preserve"> </w:t>
      </w:r>
      <w:r>
        <w:rPr>
          <w:rFonts w:asciiTheme="minorHAnsi" w:eastAsia="Lucida Sans Unicode" w:hAnsiTheme="minorHAnsi" w:cstheme="minorHAnsi"/>
          <w:spacing w:val="-1"/>
          <w:lang w:eastAsia="ar-SA"/>
        </w:rPr>
        <w:br/>
        <w:t>i</w:t>
      </w:r>
      <w:r w:rsidRPr="001D2400">
        <w:rPr>
          <w:rFonts w:asciiTheme="minorHAnsi" w:eastAsia="Lucida Sans Unicode" w:hAnsiTheme="minorHAnsi" w:cstheme="minorHAnsi"/>
          <w:spacing w:val="-1"/>
          <w:lang w:eastAsia="ar-SA"/>
        </w:rPr>
        <w:t xml:space="preserve"> Wiceprz</w:t>
      </w:r>
      <w:r w:rsidRPr="001D2400">
        <w:rPr>
          <w:rFonts w:asciiTheme="minorHAnsi" w:eastAsia="Lucida Sans Unicode" w:hAnsiTheme="minorHAnsi" w:cstheme="minorHAnsi"/>
          <w:spacing w:val="-1"/>
          <w:lang w:eastAsia="ar-SA"/>
        </w:rPr>
        <w:t xml:space="preserve">ewodniczący </w:t>
      </w:r>
      <w:r>
        <w:rPr>
          <w:rFonts w:asciiTheme="minorHAnsi" w:eastAsia="Lucida Sans Unicode" w:hAnsiTheme="minorHAnsi" w:cstheme="minorHAnsi"/>
          <w:spacing w:val="-1"/>
          <w:lang w:eastAsia="ar-SA"/>
        </w:rPr>
        <w:t xml:space="preserve">Komisji stałej, </w:t>
      </w:r>
      <w:r w:rsidRPr="001D2400">
        <w:rPr>
          <w:rFonts w:asciiTheme="minorHAnsi" w:eastAsia="Lucida Sans Unicode" w:hAnsiTheme="minorHAnsi" w:cstheme="minorHAnsi"/>
          <w:spacing w:val="-1"/>
          <w:lang w:eastAsia="ar-SA"/>
        </w:rPr>
        <w:t xml:space="preserve">radny nie pełniący ww. funkcji). Ponadto określono wysokość diety w sytuacji pełnienia kilku ww. funkcji oraz kwestie przysługiwania diety w związku </w:t>
      </w:r>
      <w:r>
        <w:rPr>
          <w:rFonts w:asciiTheme="minorHAnsi" w:eastAsia="Lucida Sans Unicode" w:hAnsiTheme="minorHAnsi" w:cstheme="minorHAnsi"/>
          <w:spacing w:val="-1"/>
          <w:lang w:eastAsia="ar-SA"/>
        </w:rPr>
        <w:br/>
      </w:r>
      <w:r w:rsidRPr="001D2400">
        <w:rPr>
          <w:rFonts w:asciiTheme="minorHAnsi" w:eastAsia="Lucida Sans Unicode" w:hAnsiTheme="minorHAnsi" w:cstheme="minorHAnsi"/>
          <w:spacing w:val="-1"/>
          <w:lang w:eastAsia="ar-SA"/>
        </w:rPr>
        <w:t xml:space="preserve">z rozpoczęciem pełnienia funkcji w danym miesiącu. </w:t>
      </w:r>
    </w:p>
    <w:p w:rsidR="00C409C0" w:rsidRPr="001D2400" w:rsidRDefault="0049056E" w:rsidP="00C409C0">
      <w:pPr>
        <w:widowControl w:val="0"/>
        <w:suppressAutoHyphens/>
        <w:spacing w:after="240" w:line="360" w:lineRule="auto"/>
        <w:ind w:firstLine="709"/>
        <w:jc w:val="both"/>
        <w:rPr>
          <w:rFonts w:asciiTheme="minorHAnsi" w:eastAsia="Lucida Sans Unicode" w:hAnsiTheme="minorHAnsi" w:cstheme="minorHAnsi"/>
          <w:spacing w:val="-1"/>
          <w:lang w:eastAsia="ar-SA"/>
        </w:rPr>
      </w:pPr>
      <w:r w:rsidRPr="001D2400">
        <w:rPr>
          <w:rFonts w:asciiTheme="minorHAnsi" w:eastAsia="Lucida Sans Unicode" w:hAnsiTheme="minorHAnsi" w:cstheme="minorHAnsi"/>
          <w:spacing w:val="-1"/>
          <w:lang w:eastAsia="ar-SA"/>
        </w:rPr>
        <w:t xml:space="preserve">W § 4 uchwały Rada Miasta </w:t>
      </w:r>
      <w:r w:rsidRPr="001D2400">
        <w:rPr>
          <w:rFonts w:asciiTheme="minorHAnsi" w:eastAsia="Lucida Sans Unicode" w:hAnsiTheme="minorHAnsi" w:cstheme="minorHAnsi"/>
          <w:spacing w:val="-1"/>
          <w:lang w:eastAsia="ar-SA"/>
        </w:rPr>
        <w:t xml:space="preserve">określiła, co następuje: </w:t>
      </w:r>
      <w:r w:rsidRPr="001D2400">
        <w:rPr>
          <w:rFonts w:asciiTheme="minorHAnsi" w:eastAsia="Lucida Sans Unicode" w:hAnsiTheme="minorHAnsi" w:cstheme="minorHAnsi"/>
          <w:i/>
          <w:spacing w:val="-1"/>
          <w:lang w:eastAsia="ar-SA"/>
        </w:rPr>
        <w:t xml:space="preserve">Diety ulegają zmniejszeniu o 10% maksymalnej wysokości diety, określonej w § 3 ust. 1 za każdą nieusprawiedliwioną nieobecność radnego na sesji Rady Miasta Mława oraz na posiedzeniu komisji stałej, której jest członkiem </w:t>
      </w:r>
      <w:r w:rsidRPr="001D2400">
        <w:rPr>
          <w:rFonts w:asciiTheme="minorHAnsi" w:eastAsia="Lucida Sans Unicode" w:hAnsiTheme="minorHAnsi" w:cstheme="minorHAnsi"/>
          <w:spacing w:val="-1"/>
          <w:lang w:eastAsia="ar-SA"/>
        </w:rPr>
        <w:t xml:space="preserve">(ust. 1). </w:t>
      </w:r>
      <w:r w:rsidRPr="001D2400">
        <w:rPr>
          <w:rFonts w:asciiTheme="minorHAnsi" w:eastAsia="Lucida Sans Unicode" w:hAnsiTheme="minorHAnsi" w:cstheme="minorHAnsi"/>
          <w:i/>
          <w:spacing w:val="-1"/>
          <w:lang w:eastAsia="ar-SA"/>
        </w:rPr>
        <w:t>Z</w:t>
      </w:r>
      <w:r w:rsidRPr="001D2400">
        <w:rPr>
          <w:rFonts w:asciiTheme="minorHAnsi" w:eastAsia="Lucida Sans Unicode" w:hAnsiTheme="minorHAnsi" w:cstheme="minorHAnsi"/>
          <w:i/>
          <w:spacing w:val="-1"/>
          <w:lang w:eastAsia="ar-SA"/>
        </w:rPr>
        <w:t>mniejszeń, o których mowa w § 4 ust. 1 nie stosuje się do ustalenia diety radnych pełniących funkcję Przewodniczącego i Wiceprzewodniczącego Rady Miasta Mława jeżeli nieobecność na sesji Rady Miasta lub komisji spowodowana jest wykonywaniem mandatu radnego</w:t>
      </w:r>
      <w:r w:rsidRPr="001D2400">
        <w:rPr>
          <w:rFonts w:asciiTheme="minorHAnsi" w:eastAsia="Lucida Sans Unicode" w:hAnsiTheme="minorHAnsi" w:cstheme="minorHAnsi"/>
          <w:i/>
          <w:spacing w:val="-1"/>
          <w:lang w:eastAsia="ar-SA"/>
        </w:rPr>
        <w:t xml:space="preserve"> </w:t>
      </w:r>
      <w:r w:rsidRPr="001D2400">
        <w:rPr>
          <w:rFonts w:asciiTheme="minorHAnsi" w:eastAsia="Lucida Sans Unicode" w:hAnsiTheme="minorHAnsi" w:cstheme="minorHAnsi"/>
          <w:spacing w:val="-1"/>
          <w:lang w:eastAsia="ar-SA"/>
        </w:rPr>
        <w:t xml:space="preserve">(ust. 2). </w:t>
      </w:r>
      <w:r w:rsidRPr="001D2400">
        <w:rPr>
          <w:rFonts w:asciiTheme="minorHAnsi" w:eastAsia="Lucida Sans Unicode" w:hAnsiTheme="minorHAnsi" w:cstheme="minorHAnsi"/>
          <w:i/>
          <w:spacing w:val="-1"/>
          <w:lang w:eastAsia="ar-SA"/>
        </w:rPr>
        <w:t xml:space="preserve">Zmniejszenia, </w:t>
      </w:r>
      <w:r>
        <w:rPr>
          <w:rFonts w:asciiTheme="minorHAnsi" w:eastAsia="Lucida Sans Unicode" w:hAnsiTheme="minorHAnsi" w:cstheme="minorHAnsi"/>
          <w:i/>
          <w:spacing w:val="-1"/>
          <w:lang w:eastAsia="ar-SA"/>
        </w:rPr>
        <w:br/>
      </w:r>
      <w:r w:rsidRPr="001D2400">
        <w:rPr>
          <w:rFonts w:asciiTheme="minorHAnsi" w:eastAsia="Lucida Sans Unicode" w:hAnsiTheme="minorHAnsi" w:cstheme="minorHAnsi"/>
          <w:i/>
          <w:spacing w:val="-1"/>
          <w:lang w:eastAsia="ar-SA"/>
        </w:rPr>
        <w:t xml:space="preserve">o których mowa w § 4 ust. 1 nie następują w razie nieobecności spowodowanej podróżą służbową zleconą przez Przewodniczącego Rady Miasta Mława lub reprezentowaniem Rady Miasta Mława </w:t>
      </w:r>
      <w:r>
        <w:rPr>
          <w:rFonts w:asciiTheme="minorHAnsi" w:eastAsia="Lucida Sans Unicode" w:hAnsiTheme="minorHAnsi" w:cstheme="minorHAnsi"/>
          <w:i/>
          <w:spacing w:val="-1"/>
          <w:lang w:eastAsia="ar-SA"/>
        </w:rPr>
        <w:br/>
      </w:r>
      <w:r w:rsidRPr="001D2400">
        <w:rPr>
          <w:rFonts w:asciiTheme="minorHAnsi" w:eastAsia="Lucida Sans Unicode" w:hAnsiTheme="minorHAnsi" w:cstheme="minorHAnsi"/>
          <w:i/>
          <w:spacing w:val="-1"/>
          <w:lang w:eastAsia="ar-SA"/>
        </w:rPr>
        <w:t>w miejscu i sytuacjach innych niż podróż służbow</w:t>
      </w:r>
      <w:r w:rsidRPr="001D2400">
        <w:rPr>
          <w:rFonts w:asciiTheme="minorHAnsi" w:eastAsia="Lucida Sans Unicode" w:hAnsiTheme="minorHAnsi" w:cstheme="minorHAnsi"/>
          <w:i/>
          <w:spacing w:val="-1"/>
          <w:lang w:eastAsia="ar-SA"/>
        </w:rPr>
        <w:t>a, za wiedzą Przewodniczącego Rady Miasta Mława</w:t>
      </w:r>
      <w:r w:rsidRPr="001D2400">
        <w:rPr>
          <w:rFonts w:asciiTheme="minorHAnsi" w:eastAsia="Lucida Sans Unicode" w:hAnsiTheme="minorHAnsi" w:cstheme="minorHAnsi"/>
          <w:spacing w:val="-1"/>
          <w:lang w:eastAsia="ar-SA"/>
        </w:rPr>
        <w:t xml:space="preserve"> (ust. 3). </w:t>
      </w:r>
      <w:r w:rsidRPr="001D2400">
        <w:rPr>
          <w:rFonts w:asciiTheme="minorHAnsi" w:eastAsia="Lucida Sans Unicode" w:hAnsiTheme="minorHAnsi" w:cstheme="minorHAnsi"/>
          <w:i/>
          <w:spacing w:val="-1"/>
          <w:lang w:eastAsia="ar-SA"/>
        </w:rPr>
        <w:t xml:space="preserve">Dieta płatna w ciągu miesiąca ulega proporcjonalnemu obniżeniu za każdy dzień niewykonywania mandatu z zastrzeżeniem zapisów § 4 ust. 1, 2 i 3 niniejszej uchwały </w:t>
      </w:r>
      <w:r w:rsidRPr="001D2400">
        <w:rPr>
          <w:rFonts w:asciiTheme="minorHAnsi" w:eastAsia="Lucida Sans Unicode" w:hAnsiTheme="minorHAnsi" w:cstheme="minorHAnsi"/>
          <w:spacing w:val="-1"/>
          <w:lang w:eastAsia="ar-SA"/>
        </w:rPr>
        <w:t>(ust. 4). Natomiast w § 5 uchwały Ra</w:t>
      </w:r>
      <w:r w:rsidRPr="001D2400">
        <w:rPr>
          <w:rFonts w:asciiTheme="minorHAnsi" w:eastAsia="Lucida Sans Unicode" w:hAnsiTheme="minorHAnsi" w:cstheme="minorHAnsi"/>
          <w:spacing w:val="-1"/>
          <w:lang w:eastAsia="ar-SA"/>
        </w:rPr>
        <w:t>da Miasta określiła kwestie związane z podróżą służbową radnego.</w:t>
      </w:r>
    </w:p>
    <w:p w:rsidR="00C409C0" w:rsidRPr="001D2400" w:rsidRDefault="0049056E" w:rsidP="00C409C0">
      <w:pPr>
        <w:widowControl w:val="0"/>
        <w:suppressAutoHyphens/>
        <w:spacing w:after="240" w:line="360" w:lineRule="auto"/>
        <w:ind w:firstLine="709"/>
        <w:jc w:val="both"/>
        <w:rPr>
          <w:rFonts w:asciiTheme="minorHAnsi" w:eastAsia="Lucida Sans Unicode" w:hAnsiTheme="minorHAnsi" w:cstheme="minorHAnsi"/>
          <w:spacing w:val="-1"/>
          <w:lang w:eastAsia="ar-SA"/>
        </w:rPr>
      </w:pPr>
      <w:r w:rsidRPr="001D2400">
        <w:rPr>
          <w:rFonts w:asciiTheme="minorHAnsi" w:eastAsia="Lucida Sans Unicode" w:hAnsiTheme="minorHAnsi" w:cstheme="minorHAnsi"/>
          <w:spacing w:val="-1"/>
          <w:lang w:eastAsia="ar-SA"/>
        </w:rPr>
        <w:t xml:space="preserve">W ocenie Wojewody Mazowieckiego, jako organu nadzoru nad działalnością gminną, opisane powyżej unormowania § 4 uchwały nr XXXV/476/2021 istotnie naruszają art. 25 ust. 4 ustawy </w:t>
      </w:r>
      <w:r>
        <w:rPr>
          <w:rFonts w:asciiTheme="minorHAnsi" w:eastAsia="Lucida Sans Unicode" w:hAnsiTheme="minorHAnsi" w:cstheme="minorHAnsi"/>
          <w:spacing w:val="-1"/>
          <w:lang w:eastAsia="ar-SA"/>
        </w:rPr>
        <w:br/>
      </w:r>
      <w:r>
        <w:rPr>
          <w:rFonts w:asciiTheme="minorHAnsi" w:eastAsia="Lucida Sans Unicode" w:hAnsiTheme="minorHAnsi" w:cstheme="minorHAnsi"/>
          <w:i/>
          <w:spacing w:val="-1"/>
          <w:lang w:eastAsia="ar-SA"/>
        </w:rPr>
        <w:t>o samorządzie</w:t>
      </w:r>
      <w:r>
        <w:rPr>
          <w:rFonts w:asciiTheme="minorHAnsi" w:eastAsia="Lucida Sans Unicode" w:hAnsiTheme="minorHAnsi" w:cstheme="minorHAnsi"/>
          <w:i/>
          <w:spacing w:val="-1"/>
          <w:lang w:eastAsia="ar-SA"/>
        </w:rPr>
        <w:t xml:space="preserve"> gminnym.</w:t>
      </w:r>
      <w:r w:rsidRPr="001D2400">
        <w:rPr>
          <w:rFonts w:asciiTheme="minorHAnsi" w:eastAsia="Lucida Sans Unicode" w:hAnsiTheme="minorHAnsi" w:cstheme="minorHAnsi"/>
          <w:i/>
          <w:spacing w:val="-1"/>
          <w:lang w:eastAsia="ar-SA"/>
        </w:rPr>
        <w:t xml:space="preserve"> </w:t>
      </w:r>
    </w:p>
    <w:p w:rsidR="00C409C0" w:rsidRDefault="0049056E" w:rsidP="00C409C0">
      <w:pPr>
        <w:widowControl w:val="0"/>
        <w:suppressAutoHyphens/>
        <w:spacing w:line="360" w:lineRule="auto"/>
        <w:ind w:firstLine="709"/>
        <w:jc w:val="both"/>
        <w:rPr>
          <w:rFonts w:asciiTheme="minorHAnsi" w:eastAsia="Lucida Sans Unicode" w:hAnsiTheme="minorHAnsi" w:cstheme="minorHAnsi"/>
          <w:lang w:eastAsia="ar-SA"/>
        </w:rPr>
      </w:pPr>
      <w:r w:rsidRPr="001D2400">
        <w:rPr>
          <w:rFonts w:asciiTheme="minorHAnsi" w:eastAsia="Lucida Sans Unicode" w:hAnsiTheme="minorHAnsi" w:cstheme="minorHAnsi"/>
          <w:lang w:eastAsia="ar-SA"/>
        </w:rPr>
        <w:t xml:space="preserve">Zgodnie z brzmieniem art. 25 ustawy </w:t>
      </w:r>
      <w:r w:rsidRPr="001D2400">
        <w:rPr>
          <w:rFonts w:asciiTheme="minorHAnsi" w:eastAsia="Lucida Sans Unicode" w:hAnsiTheme="minorHAnsi" w:cstheme="minorHAnsi"/>
          <w:i/>
          <w:lang w:eastAsia="ar-SA"/>
        </w:rPr>
        <w:t>o samorządzie gminnym,</w:t>
      </w:r>
      <w:r w:rsidRPr="001D2400">
        <w:rPr>
          <w:rFonts w:asciiTheme="minorHAnsi" w:eastAsia="Lucida Sans Unicode" w:hAnsiTheme="minorHAnsi" w:cstheme="minorHAnsi"/>
          <w:lang w:eastAsia="ar-SA"/>
        </w:rPr>
        <w:t xml:space="preserve"> radnemu przysługują diety oraz zwrot kosztów podróży służbowych na zasadach ustalonych przez radę gminy (ust. 4), </w:t>
      </w:r>
      <w:r w:rsidRPr="001D2400">
        <w:rPr>
          <w:rFonts w:asciiTheme="minorHAnsi" w:eastAsia="Lucida Sans Unicode" w:hAnsiTheme="minorHAnsi" w:cstheme="minorHAnsi"/>
          <w:lang w:eastAsia="ar-SA"/>
        </w:rPr>
        <w:lastRenderedPageBreak/>
        <w:t>a</w:t>
      </w:r>
      <w:r>
        <w:rPr>
          <w:rFonts w:asciiTheme="minorHAnsi" w:eastAsia="Lucida Sans Unicode" w:hAnsiTheme="minorHAnsi" w:cstheme="minorHAnsi"/>
          <w:lang w:eastAsia="ar-SA"/>
        </w:rPr>
        <w:t> </w:t>
      </w:r>
      <w:r w:rsidRPr="001D2400">
        <w:rPr>
          <w:rFonts w:asciiTheme="minorHAnsi" w:eastAsia="Lucida Sans Unicode" w:hAnsiTheme="minorHAnsi" w:cstheme="minorHAnsi"/>
          <w:lang w:eastAsia="ar-SA"/>
        </w:rPr>
        <w:t>rada</w:t>
      </w:r>
      <w:r>
        <w:rPr>
          <w:rFonts w:asciiTheme="minorHAnsi" w:eastAsia="Lucida Sans Unicode" w:hAnsiTheme="minorHAnsi" w:cstheme="minorHAnsi"/>
          <w:lang w:eastAsia="ar-SA"/>
        </w:rPr>
        <w:t> </w:t>
      </w:r>
      <w:r w:rsidRPr="001D2400">
        <w:rPr>
          <w:rFonts w:asciiTheme="minorHAnsi" w:eastAsia="Lucida Sans Unicode" w:hAnsiTheme="minorHAnsi" w:cstheme="minorHAnsi"/>
          <w:lang w:eastAsia="ar-SA"/>
        </w:rPr>
        <w:t>gminy przy ustalaniu wysokości diet radnych bierze pod uwagę funk</w:t>
      </w:r>
      <w:r w:rsidRPr="001D2400">
        <w:rPr>
          <w:rFonts w:asciiTheme="minorHAnsi" w:eastAsia="Lucida Sans Unicode" w:hAnsiTheme="minorHAnsi" w:cstheme="minorHAnsi"/>
          <w:lang w:eastAsia="ar-SA"/>
        </w:rPr>
        <w:t xml:space="preserve">cje pełnione przez radnego (ust. 8). </w:t>
      </w:r>
    </w:p>
    <w:p w:rsidR="00C409C0" w:rsidRPr="001D2400" w:rsidRDefault="0049056E" w:rsidP="00C409C0">
      <w:pPr>
        <w:suppressAutoHyphens/>
        <w:spacing w:line="360" w:lineRule="auto"/>
        <w:ind w:firstLine="709"/>
        <w:jc w:val="both"/>
        <w:rPr>
          <w:rFonts w:asciiTheme="minorHAnsi" w:eastAsia="Lucida Sans Unicode" w:hAnsiTheme="minorHAnsi" w:cstheme="minorHAnsi"/>
          <w:lang w:eastAsia="ar-SA"/>
        </w:rPr>
      </w:pPr>
    </w:p>
    <w:p w:rsidR="00C409C0" w:rsidRPr="001D2400" w:rsidRDefault="0049056E" w:rsidP="00C409C0">
      <w:pPr>
        <w:widowControl w:val="0"/>
        <w:suppressAutoHyphens/>
        <w:spacing w:line="360" w:lineRule="auto"/>
        <w:ind w:firstLine="709"/>
        <w:jc w:val="both"/>
        <w:rPr>
          <w:rFonts w:asciiTheme="minorHAnsi" w:eastAsia="Lucida Sans Unicode" w:hAnsiTheme="minorHAnsi" w:cstheme="minorHAnsi"/>
          <w:lang w:eastAsia="ar-SA"/>
        </w:rPr>
      </w:pPr>
      <w:r w:rsidRPr="001D2400">
        <w:rPr>
          <w:rFonts w:asciiTheme="minorHAnsi" w:eastAsia="Lucida Sans Unicode" w:hAnsiTheme="minorHAnsi" w:cstheme="minorHAnsi"/>
          <w:lang w:eastAsia="ar-SA"/>
        </w:rPr>
        <w:t>Zarówno w doktrynie prawa, jak i orzecznictwie sądów administracyjnych przyjęto, że dieta radnego, o której mowa w wyżej przytoczonych przepisach, stanowi jedynie rekompensatę utraconych przez radnego korzyści i nie p</w:t>
      </w:r>
      <w:r w:rsidRPr="001D2400">
        <w:rPr>
          <w:rFonts w:asciiTheme="minorHAnsi" w:eastAsia="Lucida Sans Unicode" w:hAnsiTheme="minorHAnsi" w:cstheme="minorHAnsi"/>
          <w:lang w:eastAsia="ar-SA"/>
        </w:rPr>
        <w:t xml:space="preserve">osiada charakteru świadczenia pracowniczego. W wyroku Wojewódzkiego Sądu Administracyjnego w Opolu z dnia 7 listopada 2013 r. (sygn. akt II SA/Op 316/13, źródło: </w:t>
      </w:r>
      <w:r w:rsidRPr="001D2400">
        <w:rPr>
          <w:rFonts w:asciiTheme="minorHAnsi" w:eastAsia="Lucida Sans Unicode" w:hAnsiTheme="minorHAnsi" w:cstheme="minorHAnsi"/>
          <w:i/>
          <w:lang w:eastAsia="ar-SA"/>
        </w:rPr>
        <w:t>orzeczenia.nsa.gov.pl</w:t>
      </w:r>
      <w:r w:rsidRPr="001D2400">
        <w:rPr>
          <w:rFonts w:asciiTheme="minorHAnsi" w:eastAsia="Lucida Sans Unicode" w:hAnsiTheme="minorHAnsi" w:cstheme="minorHAnsi"/>
          <w:lang w:eastAsia="ar-SA"/>
        </w:rPr>
        <w:t xml:space="preserve">) stwierdzono, że użyte przez ustawodawcę określenie „dieta” należy </w:t>
      </w:r>
      <w:r w:rsidRPr="001D2400">
        <w:rPr>
          <w:rFonts w:asciiTheme="minorHAnsi" w:eastAsia="Lucida Sans Unicode" w:hAnsiTheme="minorHAnsi" w:cstheme="minorHAnsi"/>
          <w:lang w:eastAsia="ar-SA"/>
        </w:rPr>
        <w:t>rozumieć jako zwrot kosztów związanych z pełnieniem funkcji radnego. Istota diety sprowadza się do wyrównania wydatków i strat spowodowanych pełnieniem wskazanej funkcji. Osoba pełniąca daną funkcję zachowuje prawo do zwrotu kosztów i wydatków (strat) poni</w:t>
      </w:r>
      <w:r w:rsidRPr="001D2400">
        <w:rPr>
          <w:rFonts w:asciiTheme="minorHAnsi" w:eastAsia="Lucida Sans Unicode" w:hAnsiTheme="minorHAnsi" w:cstheme="minorHAnsi"/>
          <w:lang w:eastAsia="ar-SA"/>
        </w:rPr>
        <w:t xml:space="preserve">esionych w związku ze sprawowaniem funkcji, a nie jedynie z powodu uzyskania danej funkcji. Dieta powinna być zatem ściśle powiązana z aktywnością radnych w pracach rady i zależna od rzeczywistego wykonywania obowiązków związanych z pełnioną funkcją (por. </w:t>
      </w:r>
      <w:r w:rsidRPr="001D2400">
        <w:rPr>
          <w:rFonts w:asciiTheme="minorHAnsi" w:eastAsia="Lucida Sans Unicode" w:hAnsiTheme="minorHAnsi" w:cstheme="minorHAnsi"/>
          <w:lang w:eastAsia="ar-SA"/>
        </w:rPr>
        <w:t xml:space="preserve">również wyroki Wojewódzkiego Sądu Administracyjnego w Opolu: z dnia 9 lipca 2015 r., sygn. akt II SA/Op 161/15, z dnia 21 lipca 2015 r., sygn. akt II SA/Op 177/15, z dnia 4 sierpnia 2015 r., sygn. akt II SA/Op 252/15, źródło: </w:t>
      </w:r>
      <w:r w:rsidRPr="001D2400">
        <w:rPr>
          <w:rFonts w:asciiTheme="minorHAnsi" w:eastAsia="Lucida Sans Unicode" w:hAnsiTheme="minorHAnsi" w:cstheme="minorHAnsi"/>
          <w:i/>
          <w:lang w:eastAsia="ar-SA"/>
        </w:rPr>
        <w:t>orzeczenia.nsa.gov.pl</w:t>
      </w:r>
      <w:r w:rsidRPr="001D2400">
        <w:rPr>
          <w:rFonts w:asciiTheme="minorHAnsi" w:eastAsia="Lucida Sans Unicode" w:hAnsiTheme="minorHAnsi" w:cstheme="minorHAnsi"/>
          <w:lang w:eastAsia="ar-SA"/>
        </w:rPr>
        <w:t>).</w:t>
      </w:r>
    </w:p>
    <w:p w:rsidR="00C409C0" w:rsidRPr="001D2400" w:rsidRDefault="0049056E" w:rsidP="00C409C0">
      <w:pPr>
        <w:widowControl w:val="0"/>
        <w:suppressAutoHyphens/>
        <w:spacing w:line="360" w:lineRule="auto"/>
        <w:ind w:firstLine="709"/>
        <w:jc w:val="both"/>
        <w:rPr>
          <w:rFonts w:asciiTheme="minorHAnsi" w:eastAsia="Lucida Sans Unicode" w:hAnsiTheme="minorHAnsi" w:cstheme="minorHAnsi"/>
          <w:lang w:eastAsia="ar-SA"/>
        </w:rPr>
      </w:pPr>
    </w:p>
    <w:p w:rsidR="00C409C0" w:rsidRPr="001D2400" w:rsidRDefault="0049056E" w:rsidP="00C409C0">
      <w:pPr>
        <w:widowControl w:val="0"/>
        <w:suppressAutoHyphens/>
        <w:spacing w:line="360" w:lineRule="auto"/>
        <w:ind w:firstLine="709"/>
        <w:jc w:val="both"/>
        <w:rPr>
          <w:rFonts w:asciiTheme="minorHAnsi" w:eastAsia="Lucida Sans Unicode" w:hAnsiTheme="minorHAnsi" w:cstheme="minorHAnsi"/>
          <w:lang w:eastAsia="ar-SA"/>
        </w:rPr>
      </w:pPr>
      <w:r w:rsidRPr="001D2400">
        <w:rPr>
          <w:rFonts w:asciiTheme="minorHAnsi" w:eastAsia="Lucida Sans Unicode" w:hAnsiTheme="minorHAnsi" w:cstheme="minorHAnsi"/>
          <w:lang w:eastAsia="ar-SA"/>
        </w:rPr>
        <w:t xml:space="preserve">W orzecznictwie podkreślono ponadto, że dopuszczalność wprowadzenia diety </w:t>
      </w:r>
      <w:r>
        <w:rPr>
          <w:rFonts w:asciiTheme="minorHAnsi" w:eastAsia="Lucida Sans Unicode" w:hAnsiTheme="minorHAnsi" w:cstheme="minorHAnsi"/>
          <w:lang w:eastAsia="ar-SA"/>
        </w:rPr>
        <w:br/>
      </w:r>
      <w:r w:rsidRPr="001D2400">
        <w:rPr>
          <w:rFonts w:asciiTheme="minorHAnsi" w:eastAsia="Lucida Sans Unicode" w:hAnsiTheme="minorHAnsi" w:cstheme="minorHAnsi"/>
          <w:lang w:eastAsia="ar-SA"/>
        </w:rPr>
        <w:t xml:space="preserve">o charakterze ryczałtowym nie może prowadzić do sytuacji powstania stałego miesięcznego wynagrodzenia niezależnego od udziału w pracach organów gminy (patrz: </w:t>
      </w:r>
      <w:r w:rsidRPr="001D2400">
        <w:rPr>
          <w:rFonts w:asciiTheme="minorHAnsi" w:eastAsia="Lucida Sans Unicode" w:hAnsiTheme="minorHAnsi" w:cstheme="minorHAnsi"/>
          <w:i/>
          <w:lang w:eastAsia="ar-SA"/>
        </w:rPr>
        <w:t>Ustawa o samorządzie gm</w:t>
      </w:r>
      <w:r w:rsidRPr="001D2400">
        <w:rPr>
          <w:rFonts w:asciiTheme="minorHAnsi" w:eastAsia="Lucida Sans Unicode" w:hAnsiTheme="minorHAnsi" w:cstheme="minorHAnsi"/>
          <w:i/>
          <w:lang w:eastAsia="ar-SA"/>
        </w:rPr>
        <w:t>innym. Komentarz,</w:t>
      </w:r>
      <w:r w:rsidRPr="001D2400">
        <w:rPr>
          <w:rFonts w:asciiTheme="minorHAnsi" w:eastAsia="Lucida Sans Unicode" w:hAnsiTheme="minorHAnsi" w:cstheme="minorHAnsi"/>
          <w:lang w:eastAsia="ar-SA"/>
        </w:rPr>
        <w:t xml:space="preserve"> pod red. B. Dolnickiego, WKP 2018). </w:t>
      </w:r>
      <w:r>
        <w:rPr>
          <w:rFonts w:asciiTheme="minorHAnsi" w:eastAsia="Lucida Sans Unicode" w:hAnsiTheme="minorHAnsi" w:cstheme="minorHAnsi"/>
          <w:lang w:eastAsia="ar-SA"/>
        </w:rPr>
        <w:t xml:space="preserve">W wyroku z dnia 26 czerwca 2014 </w:t>
      </w:r>
      <w:r w:rsidRPr="001D2400">
        <w:rPr>
          <w:rFonts w:asciiTheme="minorHAnsi" w:eastAsia="Lucida Sans Unicode" w:hAnsiTheme="minorHAnsi" w:cstheme="minorHAnsi"/>
          <w:lang w:eastAsia="ar-SA"/>
        </w:rPr>
        <w:t xml:space="preserve">r. Naczelny Sąd Administracyjny orzekł, co następuje: </w:t>
      </w:r>
      <w:r w:rsidRPr="001D2400">
        <w:rPr>
          <w:rFonts w:asciiTheme="minorHAnsi" w:eastAsia="Lucida Sans Unicode" w:hAnsiTheme="minorHAnsi" w:cstheme="minorHAnsi"/>
          <w:i/>
          <w:lang w:eastAsia="ar-SA"/>
        </w:rPr>
        <w:t>w sytuacji, gdy ustalenie świadczenia następuje w formie ryczałtu, brak przewidzianych potrąceń diety za przypadki n</w:t>
      </w:r>
      <w:r w:rsidRPr="001D2400">
        <w:rPr>
          <w:rFonts w:asciiTheme="minorHAnsi" w:eastAsia="Lucida Sans Unicode" w:hAnsiTheme="minorHAnsi" w:cstheme="minorHAnsi"/>
          <w:i/>
          <w:lang w:eastAsia="ar-SA"/>
        </w:rPr>
        <w:t xml:space="preserve">ieobecności przewodniczącego na posiedzeniach, czy innych obowiązkowych czynnościach, sprawia, że nie mamy już do czynienia ze świadczeniem wyrównawczym (kompensacyjnym) </w:t>
      </w:r>
      <w:r w:rsidRPr="001D2400">
        <w:rPr>
          <w:rFonts w:asciiTheme="minorHAnsi" w:eastAsia="Lucida Sans Unicode" w:hAnsiTheme="minorHAnsi" w:cstheme="minorHAnsi"/>
          <w:lang w:eastAsia="ar-SA"/>
        </w:rPr>
        <w:t xml:space="preserve">(sygn. akt II OSK 406/14, źródło: </w:t>
      </w:r>
      <w:r w:rsidRPr="001D2400">
        <w:rPr>
          <w:rFonts w:asciiTheme="minorHAnsi" w:eastAsia="Lucida Sans Unicode" w:hAnsiTheme="minorHAnsi" w:cstheme="minorHAnsi"/>
          <w:i/>
          <w:lang w:eastAsia="ar-SA"/>
        </w:rPr>
        <w:t>orzeczenia.nsa.gov.pl</w:t>
      </w:r>
      <w:r w:rsidRPr="001D2400">
        <w:rPr>
          <w:rFonts w:asciiTheme="minorHAnsi" w:eastAsia="Lucida Sans Unicode" w:hAnsiTheme="minorHAnsi" w:cstheme="minorHAnsi"/>
          <w:lang w:eastAsia="ar-SA"/>
        </w:rPr>
        <w:t>)</w:t>
      </w:r>
      <w:r w:rsidRPr="001D2400">
        <w:rPr>
          <w:rFonts w:asciiTheme="minorHAnsi" w:eastAsia="Lucida Sans Unicode" w:hAnsiTheme="minorHAnsi" w:cstheme="minorHAnsi"/>
          <w:i/>
          <w:lang w:eastAsia="ar-SA"/>
        </w:rPr>
        <w:t>.</w:t>
      </w:r>
    </w:p>
    <w:p w:rsidR="00C409C0" w:rsidRPr="001D2400" w:rsidRDefault="0049056E" w:rsidP="00C409C0">
      <w:pPr>
        <w:widowControl w:val="0"/>
        <w:suppressAutoHyphens/>
        <w:spacing w:line="360" w:lineRule="auto"/>
        <w:ind w:firstLine="709"/>
        <w:jc w:val="both"/>
        <w:rPr>
          <w:rFonts w:asciiTheme="minorHAnsi" w:eastAsia="Lucida Sans Unicode" w:hAnsiTheme="minorHAnsi" w:cstheme="minorHAnsi"/>
          <w:lang w:eastAsia="ar-SA"/>
        </w:rPr>
      </w:pPr>
    </w:p>
    <w:p w:rsidR="00C409C0" w:rsidRPr="001D2400" w:rsidRDefault="0049056E" w:rsidP="00C409C0">
      <w:pPr>
        <w:widowControl w:val="0"/>
        <w:suppressAutoHyphens/>
        <w:spacing w:line="360" w:lineRule="auto"/>
        <w:ind w:firstLine="709"/>
        <w:jc w:val="both"/>
        <w:rPr>
          <w:rFonts w:asciiTheme="minorHAnsi" w:eastAsia="Lucida Sans Unicode" w:hAnsiTheme="minorHAnsi" w:cstheme="minorHAnsi"/>
          <w:lang w:eastAsia="ar-SA"/>
        </w:rPr>
      </w:pPr>
      <w:r w:rsidRPr="001D2400">
        <w:rPr>
          <w:rFonts w:asciiTheme="minorHAnsi" w:eastAsia="Lucida Sans Unicode" w:hAnsiTheme="minorHAnsi" w:cstheme="minorHAnsi"/>
          <w:lang w:eastAsia="ar-SA"/>
        </w:rPr>
        <w:t>Wprawdzie w uchwale nr XXXV</w:t>
      </w:r>
      <w:r w:rsidRPr="001D2400">
        <w:rPr>
          <w:rFonts w:asciiTheme="minorHAnsi" w:eastAsia="Lucida Sans Unicode" w:hAnsiTheme="minorHAnsi" w:cstheme="minorHAnsi"/>
          <w:lang w:eastAsia="ar-SA"/>
        </w:rPr>
        <w:t>/476/2021 Rada Miasta Mława wskazała przypadki potrąceń w stosunku do miesięcznej wysokości diety (§ 4 ust. 1), nie zmienia to jednak faktu, że wypłata nadal będzie miała formę miesięczną a więc ryczałtową (§ 3 ust. 1 uchwały), niezależnie od faktycznej ob</w:t>
      </w:r>
      <w:r w:rsidRPr="001D2400">
        <w:rPr>
          <w:rFonts w:asciiTheme="minorHAnsi" w:eastAsia="Lucida Sans Unicode" w:hAnsiTheme="minorHAnsi" w:cstheme="minorHAnsi"/>
          <w:lang w:eastAsia="ar-SA"/>
        </w:rPr>
        <w:t xml:space="preserve">ecności radnych na sesji Rady Miasta czy na posiedzeniu komisji. Świadczy o tym obniżanie, </w:t>
      </w:r>
      <w:r w:rsidRPr="001D2400">
        <w:rPr>
          <w:rFonts w:asciiTheme="minorHAnsi" w:eastAsia="Lucida Sans Unicode" w:hAnsiTheme="minorHAnsi" w:cstheme="minorHAnsi"/>
          <w:lang w:eastAsia="ar-SA"/>
        </w:rPr>
        <w:lastRenderedPageBreak/>
        <w:t>ale</w:t>
      </w:r>
      <w:r>
        <w:rPr>
          <w:rFonts w:asciiTheme="minorHAnsi" w:eastAsia="Lucida Sans Unicode" w:hAnsiTheme="minorHAnsi" w:cstheme="minorHAnsi"/>
          <w:lang w:eastAsia="ar-SA"/>
        </w:rPr>
        <w:t> </w:t>
      </w:r>
      <w:r w:rsidRPr="001D2400">
        <w:rPr>
          <w:rFonts w:asciiTheme="minorHAnsi" w:eastAsia="Lucida Sans Unicode" w:hAnsiTheme="minorHAnsi" w:cstheme="minorHAnsi"/>
          <w:lang w:eastAsia="ar-SA"/>
        </w:rPr>
        <w:t xml:space="preserve">tylko o charakterze procentowym (10%), kwoty diety za każdą nieobecność na sesji Rady Miasta lub posiedzeniu komisji, co w świetle opisanej powyżej argumentacji </w:t>
      </w:r>
      <w:r w:rsidRPr="001D2400">
        <w:rPr>
          <w:rFonts w:asciiTheme="minorHAnsi" w:eastAsia="Lucida Sans Unicode" w:hAnsiTheme="minorHAnsi" w:cstheme="minorHAnsi"/>
          <w:lang w:eastAsia="ar-SA"/>
        </w:rPr>
        <w:t xml:space="preserve">prawnej stanowi istotne naruszenie art. 25 ust. 4 ustawy </w:t>
      </w:r>
      <w:r w:rsidRPr="001D2400">
        <w:rPr>
          <w:rFonts w:asciiTheme="minorHAnsi" w:eastAsia="Lucida Sans Unicode" w:hAnsiTheme="minorHAnsi" w:cstheme="minorHAnsi"/>
          <w:i/>
          <w:lang w:eastAsia="ar-SA"/>
        </w:rPr>
        <w:t>o samorządzie gminnym.</w:t>
      </w:r>
    </w:p>
    <w:p w:rsidR="00C409C0" w:rsidRPr="001D2400" w:rsidRDefault="0049056E" w:rsidP="00C409C0">
      <w:pPr>
        <w:widowControl w:val="0"/>
        <w:suppressAutoHyphens/>
        <w:spacing w:line="360" w:lineRule="auto"/>
        <w:ind w:firstLine="709"/>
        <w:jc w:val="both"/>
        <w:rPr>
          <w:rFonts w:asciiTheme="minorHAnsi" w:eastAsia="Lucida Sans Unicode" w:hAnsiTheme="minorHAnsi" w:cstheme="minorHAnsi"/>
          <w:lang w:eastAsia="ar-SA"/>
        </w:rPr>
      </w:pPr>
    </w:p>
    <w:p w:rsidR="00C409C0" w:rsidRPr="001D2400" w:rsidRDefault="0049056E" w:rsidP="00C409C0">
      <w:pPr>
        <w:widowControl w:val="0"/>
        <w:suppressAutoHyphens/>
        <w:spacing w:line="360" w:lineRule="auto"/>
        <w:ind w:firstLine="709"/>
        <w:jc w:val="both"/>
        <w:rPr>
          <w:rFonts w:asciiTheme="minorHAnsi" w:eastAsia="Lucida Sans Unicode" w:hAnsiTheme="minorHAnsi" w:cstheme="minorHAnsi"/>
          <w:lang w:eastAsia="ar-SA"/>
        </w:rPr>
      </w:pPr>
      <w:r w:rsidRPr="001D2400">
        <w:rPr>
          <w:rFonts w:asciiTheme="minorHAnsi" w:eastAsia="Lucida Sans Unicode" w:hAnsiTheme="minorHAnsi" w:cstheme="minorHAnsi"/>
          <w:lang w:eastAsia="ar-SA"/>
        </w:rPr>
        <w:t xml:space="preserve">Powyższej argumentacji nie zmienia również fakt wprowadzenia proporcjonalnych obniżeń za każdy dzień niewykonywania mandatu, określonych w § 4 ust. 4 uchwały. Zauważyć bowiem </w:t>
      </w:r>
      <w:r w:rsidRPr="001D2400">
        <w:rPr>
          <w:rFonts w:asciiTheme="minorHAnsi" w:eastAsia="Lucida Sans Unicode" w:hAnsiTheme="minorHAnsi" w:cstheme="minorHAnsi"/>
          <w:lang w:eastAsia="ar-SA"/>
        </w:rPr>
        <w:t>należy, że z potrąceń określonych w § 4 ust. 4 zostały wyłączone okoliczności procentowych potrąceń określone w § 4 ust. 1 (i powiązanych z nim ustępach 2 i 3), co powoduje obowiązywanie niezgodnych z prawem potrąceń procentowych</w:t>
      </w:r>
      <w:r>
        <w:rPr>
          <w:rFonts w:asciiTheme="minorHAnsi" w:eastAsia="Lucida Sans Unicode" w:hAnsiTheme="minorHAnsi" w:cstheme="minorHAnsi"/>
          <w:lang w:eastAsia="ar-SA"/>
        </w:rPr>
        <w:t>,</w:t>
      </w:r>
      <w:r w:rsidRPr="001D2400">
        <w:rPr>
          <w:rFonts w:asciiTheme="minorHAnsi" w:eastAsia="Lucida Sans Unicode" w:hAnsiTheme="minorHAnsi" w:cstheme="minorHAnsi"/>
          <w:lang w:eastAsia="ar-SA"/>
        </w:rPr>
        <w:t xml:space="preserve"> określonych w § 4 ust. 1 </w:t>
      </w:r>
      <w:r w:rsidRPr="001D2400">
        <w:rPr>
          <w:rFonts w:asciiTheme="minorHAnsi" w:eastAsia="Lucida Sans Unicode" w:hAnsiTheme="minorHAnsi" w:cstheme="minorHAnsi"/>
          <w:lang w:eastAsia="ar-SA"/>
        </w:rPr>
        <w:t xml:space="preserve">uchwały. </w:t>
      </w:r>
    </w:p>
    <w:p w:rsidR="00C409C0" w:rsidRPr="001D2400" w:rsidRDefault="0049056E" w:rsidP="00C409C0">
      <w:pPr>
        <w:widowControl w:val="0"/>
        <w:suppressAutoHyphens/>
        <w:spacing w:line="360" w:lineRule="auto"/>
        <w:ind w:firstLine="709"/>
        <w:jc w:val="both"/>
        <w:rPr>
          <w:rFonts w:asciiTheme="minorHAnsi" w:eastAsia="Lucida Sans Unicode" w:hAnsiTheme="minorHAnsi" w:cstheme="minorHAnsi"/>
          <w:lang w:eastAsia="ar-SA"/>
        </w:rPr>
      </w:pPr>
    </w:p>
    <w:p w:rsidR="00C409C0" w:rsidRPr="001D2400" w:rsidRDefault="0049056E" w:rsidP="00C409C0">
      <w:pPr>
        <w:widowControl w:val="0"/>
        <w:suppressAutoHyphens/>
        <w:spacing w:line="360" w:lineRule="auto"/>
        <w:ind w:firstLine="709"/>
        <w:jc w:val="both"/>
        <w:rPr>
          <w:rFonts w:asciiTheme="minorHAnsi" w:eastAsia="Lucida Sans Unicode" w:hAnsiTheme="minorHAnsi" w:cstheme="minorHAnsi"/>
          <w:lang w:eastAsia="ar-SA"/>
        </w:rPr>
      </w:pPr>
      <w:r w:rsidRPr="001D2400">
        <w:rPr>
          <w:rFonts w:asciiTheme="minorHAnsi" w:eastAsia="Lucida Sans Unicode" w:hAnsiTheme="minorHAnsi" w:cstheme="minorHAnsi"/>
          <w:lang w:eastAsia="ar-SA"/>
        </w:rPr>
        <w:t>Ponadto</w:t>
      </w:r>
      <w:r>
        <w:rPr>
          <w:rFonts w:asciiTheme="minorHAnsi" w:eastAsia="Lucida Sans Unicode" w:hAnsiTheme="minorHAnsi" w:cstheme="minorHAnsi"/>
          <w:lang w:eastAsia="ar-SA"/>
        </w:rPr>
        <w:t>,</w:t>
      </w:r>
      <w:r w:rsidRPr="001D2400">
        <w:rPr>
          <w:rFonts w:asciiTheme="minorHAnsi" w:eastAsia="Lucida Sans Unicode" w:hAnsiTheme="minorHAnsi" w:cstheme="minorHAnsi"/>
          <w:lang w:eastAsia="ar-SA"/>
        </w:rPr>
        <w:t xml:space="preserve"> w ocenie Wojewody Mazowieckiego, jako organu nadzoru nad działalnością gmin</w:t>
      </w:r>
      <w:r>
        <w:rPr>
          <w:rFonts w:asciiTheme="minorHAnsi" w:eastAsia="Lucida Sans Unicode" w:hAnsiTheme="minorHAnsi" w:cstheme="minorHAnsi"/>
          <w:lang w:eastAsia="ar-SA"/>
        </w:rPr>
        <w:t>ną, nie sposób na podstawie brz</w:t>
      </w:r>
      <w:r w:rsidRPr="001D2400">
        <w:rPr>
          <w:rFonts w:asciiTheme="minorHAnsi" w:eastAsia="Lucida Sans Unicode" w:hAnsiTheme="minorHAnsi" w:cstheme="minorHAnsi"/>
          <w:lang w:eastAsia="ar-SA"/>
        </w:rPr>
        <w:t>mienia § 4 ust. 1 i ust. 4 uchwały (z uwzględnieniem ust. 2 i 3) dokonać nie budzącej wątpliwości rekonstrukcji normy prawnej, obe</w:t>
      </w:r>
      <w:r w:rsidRPr="001D2400">
        <w:rPr>
          <w:rFonts w:asciiTheme="minorHAnsi" w:eastAsia="Lucida Sans Unicode" w:hAnsiTheme="minorHAnsi" w:cstheme="minorHAnsi"/>
          <w:lang w:eastAsia="ar-SA"/>
        </w:rPr>
        <w:t>jmującej hipotezę i dyspozycję, to jest wskazania właściwej normy postępowania przy obniżeniu diety radnego, przy spełnieniu okoliczności określonych w § 4 ust. 1 i ust. 4. Ponadto Rada Miasta wprowadzając w § 4 ust. 1 pojęcie nieobecności nieusprawiedliwi</w:t>
      </w:r>
      <w:r w:rsidRPr="001D2400">
        <w:rPr>
          <w:rFonts w:asciiTheme="minorHAnsi" w:eastAsia="Lucida Sans Unicode" w:hAnsiTheme="minorHAnsi" w:cstheme="minorHAnsi"/>
          <w:lang w:eastAsia="ar-SA"/>
        </w:rPr>
        <w:t>onej nie sprecyzowała okoliczności usprawiedliwienia, co również budzi wątpliwości interpretacyjne. Nie wiadomo bowiem, czy chodzi o okoliczności określone w § 4 ust. 2 i ust. 3 (nieobecność związana z wykonywaniem mandatu radnego)</w:t>
      </w:r>
      <w:r>
        <w:rPr>
          <w:rFonts w:asciiTheme="minorHAnsi" w:eastAsia="Lucida Sans Unicode" w:hAnsiTheme="minorHAnsi" w:cstheme="minorHAnsi"/>
          <w:lang w:eastAsia="ar-SA"/>
        </w:rPr>
        <w:t>,</w:t>
      </w:r>
      <w:r w:rsidRPr="001D2400">
        <w:rPr>
          <w:rFonts w:asciiTheme="minorHAnsi" w:eastAsia="Lucida Sans Unicode" w:hAnsiTheme="minorHAnsi" w:cstheme="minorHAnsi"/>
          <w:lang w:eastAsia="ar-SA"/>
        </w:rPr>
        <w:t xml:space="preserve"> czy o jakiekolwiek inne</w:t>
      </w:r>
      <w:r w:rsidRPr="001D2400">
        <w:rPr>
          <w:rFonts w:asciiTheme="minorHAnsi" w:eastAsia="Lucida Sans Unicode" w:hAnsiTheme="minorHAnsi" w:cstheme="minorHAnsi"/>
          <w:lang w:eastAsia="ar-SA"/>
        </w:rPr>
        <w:t xml:space="preserve"> okoliczności. W tym drugim wypadku oznaczałoby to bowiem możliwość dowolnego usprawiedliwiania każdej nieobecności radnego, a to wiązałoby się z wypłatą diety również </w:t>
      </w:r>
      <w:r>
        <w:rPr>
          <w:rFonts w:asciiTheme="minorHAnsi" w:eastAsia="Lucida Sans Unicode" w:hAnsiTheme="minorHAnsi" w:cstheme="minorHAnsi"/>
          <w:lang w:eastAsia="ar-SA"/>
        </w:rPr>
        <w:br/>
      </w:r>
      <w:r w:rsidRPr="001D2400">
        <w:rPr>
          <w:rFonts w:asciiTheme="minorHAnsi" w:eastAsia="Lucida Sans Unicode" w:hAnsiTheme="minorHAnsi" w:cstheme="minorHAnsi"/>
          <w:lang w:eastAsia="ar-SA"/>
        </w:rPr>
        <w:t>w przypadku nieobecności na sesji Rady Miasta lub posiedzeniu komisji, co przeczy istoc</w:t>
      </w:r>
      <w:r w:rsidRPr="001D2400">
        <w:rPr>
          <w:rFonts w:asciiTheme="minorHAnsi" w:eastAsia="Lucida Sans Unicode" w:hAnsiTheme="minorHAnsi" w:cstheme="minorHAnsi"/>
          <w:lang w:eastAsia="ar-SA"/>
        </w:rPr>
        <w:t>ie diety, zgodnie z argumentacją określoną powyżej.</w:t>
      </w:r>
    </w:p>
    <w:p w:rsidR="00C409C0" w:rsidRPr="001D2400" w:rsidRDefault="0049056E" w:rsidP="00C409C0">
      <w:pPr>
        <w:widowControl w:val="0"/>
        <w:suppressAutoHyphens/>
        <w:spacing w:line="360" w:lineRule="auto"/>
        <w:ind w:firstLine="709"/>
        <w:jc w:val="both"/>
        <w:rPr>
          <w:rFonts w:asciiTheme="minorHAnsi" w:eastAsia="Lucida Sans Unicode" w:hAnsiTheme="minorHAnsi" w:cstheme="minorHAnsi"/>
          <w:lang w:eastAsia="ar-SA"/>
        </w:rPr>
      </w:pPr>
    </w:p>
    <w:p w:rsidR="00C409C0" w:rsidRPr="001D2400" w:rsidRDefault="0049056E" w:rsidP="00C409C0">
      <w:pPr>
        <w:suppressAutoHyphens/>
        <w:spacing w:line="360" w:lineRule="auto"/>
        <w:ind w:firstLine="709"/>
        <w:jc w:val="both"/>
        <w:rPr>
          <w:rFonts w:asciiTheme="minorHAnsi" w:eastAsia="Lucida Sans Unicode" w:hAnsiTheme="minorHAnsi" w:cstheme="minorHAnsi"/>
          <w:i/>
          <w:lang w:eastAsia="ar-SA"/>
        </w:rPr>
      </w:pPr>
      <w:r w:rsidRPr="001D2400">
        <w:rPr>
          <w:rFonts w:asciiTheme="minorHAnsi" w:eastAsia="Lucida Sans Unicode" w:hAnsiTheme="minorHAnsi" w:cstheme="minorHAnsi"/>
          <w:lang w:eastAsia="ar-SA"/>
        </w:rPr>
        <w:t xml:space="preserve">Uchwalenie normy prawnej trudnej do jednoznacznej interpretacji (wykładni) stanowi </w:t>
      </w:r>
      <w:r>
        <w:rPr>
          <w:rFonts w:asciiTheme="minorHAnsi" w:eastAsia="Lucida Sans Unicode" w:hAnsiTheme="minorHAnsi" w:cstheme="minorHAnsi"/>
          <w:lang w:eastAsia="ar-SA"/>
        </w:rPr>
        <w:br/>
      </w:r>
      <w:r w:rsidRPr="001D2400">
        <w:rPr>
          <w:rFonts w:asciiTheme="minorHAnsi" w:eastAsia="Lucida Sans Unicode" w:hAnsiTheme="minorHAnsi" w:cstheme="minorHAnsi"/>
          <w:lang w:eastAsia="ar-SA"/>
        </w:rPr>
        <w:t xml:space="preserve">w świetle orzecznictwa i piśmiennictwa prawniczego istotne naruszenie prawa. Podkreślić bowiem należy </w:t>
      </w:r>
      <w:r w:rsidRPr="001D2400">
        <w:rPr>
          <w:rFonts w:asciiTheme="minorHAnsi" w:eastAsia="Lucida Sans Unicode" w:hAnsiTheme="minorHAnsi" w:cstheme="minorHAnsi"/>
          <w:bCs/>
          <w:lang w:eastAsia="ar-SA"/>
        </w:rPr>
        <w:t xml:space="preserve">wymóg jasności i </w:t>
      </w:r>
      <w:r w:rsidRPr="001D2400">
        <w:rPr>
          <w:rFonts w:asciiTheme="minorHAnsi" w:eastAsia="Lucida Sans Unicode" w:hAnsiTheme="minorHAnsi" w:cstheme="minorHAnsi"/>
          <w:bCs/>
          <w:lang w:eastAsia="ar-SA"/>
        </w:rPr>
        <w:t xml:space="preserve">klarowności przepisów prawa, który jest jednym z głównych postulatów wynikających z zasady przyzwoitej (poprawnej) legislacji wywiedzionej przez Trybunał Konstytucyjny z zasady demokratycznego państwa prawnego, określonej w art. 2 </w:t>
      </w:r>
      <w:r w:rsidRPr="001D2400">
        <w:rPr>
          <w:rFonts w:asciiTheme="minorHAnsi" w:eastAsia="Lucida Sans Unicode" w:hAnsiTheme="minorHAnsi" w:cstheme="minorHAnsi"/>
          <w:bCs/>
          <w:i/>
          <w:lang w:eastAsia="ar-SA"/>
        </w:rPr>
        <w:t>Konstytucji Rzeczpospolit</w:t>
      </w:r>
      <w:r w:rsidRPr="001D2400">
        <w:rPr>
          <w:rFonts w:asciiTheme="minorHAnsi" w:eastAsia="Lucida Sans Unicode" w:hAnsiTheme="minorHAnsi" w:cstheme="minorHAnsi"/>
          <w:bCs/>
          <w:i/>
          <w:lang w:eastAsia="ar-SA"/>
        </w:rPr>
        <w:t xml:space="preserve">ej Polskiej </w:t>
      </w:r>
      <w:r w:rsidRPr="001D2400">
        <w:rPr>
          <w:rFonts w:asciiTheme="minorHAnsi" w:eastAsia="Lucida Sans Unicode" w:hAnsiTheme="minorHAnsi" w:cstheme="minorHAnsi"/>
          <w:bCs/>
          <w:lang w:eastAsia="ar-SA"/>
        </w:rPr>
        <w:t xml:space="preserve">z dnia 2 kwietnia 1997 roku (Dz. U. Nr 78, poz. 483, z późn. zm.). W  zakresie tych zagadnień </w:t>
      </w:r>
      <w:r w:rsidRPr="001D2400">
        <w:rPr>
          <w:rFonts w:asciiTheme="minorHAnsi" w:eastAsia="Lucida Sans Unicode" w:hAnsiTheme="minorHAnsi" w:cstheme="minorHAnsi"/>
          <w:lang w:eastAsia="ar-SA"/>
        </w:rPr>
        <w:t>por. także wyrok Wojewódzkiego Sądu Administracyjnego we Wr</w:t>
      </w:r>
      <w:r>
        <w:rPr>
          <w:rFonts w:asciiTheme="minorHAnsi" w:eastAsia="Lucida Sans Unicode" w:hAnsiTheme="minorHAnsi" w:cstheme="minorHAnsi"/>
          <w:lang w:eastAsia="ar-SA"/>
        </w:rPr>
        <w:t>ocławiu z dnia 24 września 2008  </w:t>
      </w:r>
      <w:r w:rsidRPr="001D2400">
        <w:rPr>
          <w:rFonts w:asciiTheme="minorHAnsi" w:eastAsia="Lucida Sans Unicode" w:hAnsiTheme="minorHAnsi" w:cstheme="minorHAnsi"/>
          <w:lang w:eastAsia="ar-SA"/>
        </w:rPr>
        <w:t xml:space="preserve">r., sygn. akt </w:t>
      </w:r>
      <w:r w:rsidRPr="001D2400">
        <w:rPr>
          <w:rFonts w:asciiTheme="minorHAnsi" w:eastAsia="Lucida Sans Unicode" w:hAnsiTheme="minorHAnsi" w:cstheme="minorHAnsi"/>
          <w:bCs/>
          <w:lang w:eastAsia="ar-SA"/>
        </w:rPr>
        <w:t xml:space="preserve">III SA/Wr 358/08, jak również </w:t>
      </w:r>
      <w:r w:rsidRPr="001D2400">
        <w:rPr>
          <w:rFonts w:asciiTheme="minorHAnsi" w:eastAsia="Lucida Sans Unicode" w:hAnsiTheme="minorHAnsi" w:cstheme="minorHAnsi"/>
          <w:lang w:eastAsia="ar-SA"/>
        </w:rPr>
        <w:t>wyroki Trybuna</w:t>
      </w:r>
      <w:r w:rsidRPr="001D2400">
        <w:rPr>
          <w:rFonts w:asciiTheme="minorHAnsi" w:eastAsia="Lucida Sans Unicode" w:hAnsiTheme="minorHAnsi" w:cstheme="minorHAnsi"/>
          <w:lang w:eastAsia="ar-SA"/>
        </w:rPr>
        <w:t>łu Konst</w:t>
      </w:r>
      <w:r>
        <w:rPr>
          <w:rFonts w:asciiTheme="minorHAnsi" w:eastAsia="Lucida Sans Unicode" w:hAnsiTheme="minorHAnsi" w:cstheme="minorHAnsi"/>
          <w:lang w:eastAsia="ar-SA"/>
        </w:rPr>
        <w:t>ytucyjnego z dnia 14 lipca 2000 </w:t>
      </w:r>
      <w:r w:rsidRPr="001D2400">
        <w:rPr>
          <w:rFonts w:asciiTheme="minorHAnsi" w:eastAsia="Lucida Sans Unicode" w:hAnsiTheme="minorHAnsi" w:cstheme="minorHAnsi"/>
          <w:lang w:eastAsia="ar-SA"/>
        </w:rPr>
        <w:t xml:space="preserve">r. </w:t>
      </w:r>
      <w:r w:rsidRPr="001D2400">
        <w:rPr>
          <w:rFonts w:asciiTheme="minorHAnsi" w:eastAsia="Lucida Sans Unicode" w:hAnsiTheme="minorHAnsi" w:cstheme="minorHAnsi"/>
          <w:lang w:eastAsia="ar-SA"/>
        </w:rPr>
        <w:lastRenderedPageBreak/>
        <w:t>sygn. Kp 9/09, z dnia 11 stycznia 2000 r. sygn. K 7/99, z dnia 21 marca 2001 r. sygn. K 24/00,</w:t>
      </w:r>
      <w:r>
        <w:rPr>
          <w:rFonts w:asciiTheme="minorHAnsi" w:eastAsia="Lucida Sans Unicode" w:hAnsiTheme="minorHAnsi" w:cstheme="minorHAnsi"/>
          <w:lang w:eastAsia="ar-SA"/>
        </w:rPr>
        <w:t xml:space="preserve"> z dnia 29 października 2003 r. </w:t>
      </w:r>
      <w:r w:rsidRPr="001D2400">
        <w:rPr>
          <w:rFonts w:asciiTheme="minorHAnsi" w:eastAsia="Lucida Sans Unicode" w:hAnsiTheme="minorHAnsi" w:cstheme="minorHAnsi"/>
          <w:lang w:eastAsia="ar-SA"/>
        </w:rPr>
        <w:t>sygn. K 53/02, oraz z dnia 21 lutego 2006 r.</w:t>
      </w:r>
      <w:r>
        <w:rPr>
          <w:rFonts w:asciiTheme="minorHAnsi" w:eastAsia="Lucida Sans Unicode" w:hAnsiTheme="minorHAnsi" w:cstheme="minorHAnsi"/>
          <w:lang w:eastAsia="ar-SA"/>
        </w:rPr>
        <w:t xml:space="preserve"> </w:t>
      </w:r>
      <w:r w:rsidRPr="001D2400">
        <w:rPr>
          <w:rFonts w:asciiTheme="minorHAnsi" w:eastAsia="Lucida Sans Unicode" w:hAnsiTheme="minorHAnsi" w:cstheme="minorHAnsi"/>
          <w:lang w:eastAsia="ar-SA"/>
        </w:rPr>
        <w:t>sygn. K 1/05</w:t>
      </w:r>
      <w:r w:rsidRPr="001D2400">
        <w:rPr>
          <w:rFonts w:asciiTheme="minorHAnsi" w:eastAsia="Lucida Sans Unicode" w:hAnsiTheme="minorHAnsi" w:cstheme="minorHAnsi"/>
          <w:i/>
          <w:lang w:eastAsia="ar-SA"/>
        </w:rPr>
        <w:t>.</w:t>
      </w:r>
    </w:p>
    <w:p w:rsidR="00C409C0" w:rsidRPr="001D2400" w:rsidRDefault="0049056E" w:rsidP="00C409C0">
      <w:pPr>
        <w:widowControl w:val="0"/>
        <w:suppressAutoHyphens/>
        <w:spacing w:line="360" w:lineRule="auto"/>
        <w:ind w:firstLine="709"/>
        <w:jc w:val="both"/>
        <w:rPr>
          <w:rFonts w:asciiTheme="minorHAnsi" w:eastAsia="Lucida Sans Unicode" w:hAnsiTheme="minorHAnsi" w:cstheme="minorHAnsi"/>
          <w:lang w:eastAsia="ar-SA"/>
        </w:rPr>
      </w:pPr>
    </w:p>
    <w:p w:rsidR="00C409C0" w:rsidRPr="001D2400" w:rsidRDefault="0049056E" w:rsidP="00C409C0">
      <w:pPr>
        <w:widowControl w:val="0"/>
        <w:suppressAutoHyphens/>
        <w:spacing w:line="360" w:lineRule="auto"/>
        <w:ind w:firstLine="709"/>
        <w:jc w:val="both"/>
        <w:rPr>
          <w:rFonts w:asciiTheme="minorHAnsi" w:eastAsia="Lucida Sans Unicode" w:hAnsiTheme="minorHAnsi" w:cstheme="minorHAnsi"/>
          <w:lang w:eastAsia="ar-SA"/>
        </w:rPr>
      </w:pPr>
      <w:r w:rsidRPr="001D2400">
        <w:rPr>
          <w:rFonts w:asciiTheme="minorHAnsi" w:eastAsia="Lucida Sans Unicode" w:hAnsiTheme="minorHAnsi" w:cstheme="minorHAnsi"/>
          <w:lang w:eastAsia="ar-SA"/>
        </w:rPr>
        <w:t xml:space="preserve">W orzecznictwie </w:t>
      </w:r>
      <w:r w:rsidRPr="001D2400">
        <w:rPr>
          <w:rFonts w:asciiTheme="minorHAnsi" w:eastAsia="Lucida Sans Unicode" w:hAnsiTheme="minorHAnsi" w:cstheme="minorHAnsi"/>
          <w:lang w:eastAsia="ar-SA"/>
        </w:rPr>
        <w:t xml:space="preserve">sądowoadministracyjnym wskazuje się, że skoro dieta radnego sprowadza się do wyrównania wydatków i strat spowodowanych pełnieniem funkcji, to osoba pełniąca </w:t>
      </w:r>
      <w:r>
        <w:rPr>
          <w:rFonts w:asciiTheme="minorHAnsi" w:eastAsia="Lucida Sans Unicode" w:hAnsiTheme="minorHAnsi" w:cstheme="minorHAnsi"/>
          <w:lang w:eastAsia="ar-SA"/>
        </w:rPr>
        <w:br/>
      </w:r>
      <w:r w:rsidRPr="001D2400">
        <w:rPr>
          <w:rFonts w:asciiTheme="minorHAnsi" w:eastAsia="Lucida Sans Unicode" w:hAnsiTheme="minorHAnsi" w:cstheme="minorHAnsi"/>
          <w:lang w:eastAsia="ar-SA"/>
        </w:rPr>
        <w:t xml:space="preserve">tę funkcję zachowuje prawo do zwrotu kosztów i wydatków poniesionych w związku </w:t>
      </w:r>
      <w:r>
        <w:rPr>
          <w:rFonts w:asciiTheme="minorHAnsi" w:eastAsia="Lucida Sans Unicode" w:hAnsiTheme="minorHAnsi" w:cstheme="minorHAnsi"/>
          <w:lang w:eastAsia="ar-SA"/>
        </w:rPr>
        <w:br/>
      </w:r>
      <w:r w:rsidRPr="001D2400">
        <w:rPr>
          <w:rFonts w:asciiTheme="minorHAnsi" w:eastAsia="Lucida Sans Unicode" w:hAnsiTheme="minorHAnsi" w:cstheme="minorHAnsi"/>
          <w:lang w:eastAsia="ar-SA"/>
        </w:rPr>
        <w:t>ze sprawowaniem fu</w:t>
      </w:r>
      <w:r w:rsidRPr="001D2400">
        <w:rPr>
          <w:rFonts w:asciiTheme="minorHAnsi" w:eastAsia="Lucida Sans Unicode" w:hAnsiTheme="minorHAnsi" w:cstheme="minorHAnsi"/>
          <w:lang w:eastAsia="ar-SA"/>
        </w:rPr>
        <w:t xml:space="preserve">nkcji, a nie z tytułu samego faktu bycia taką osobą. Zakresem regulacji uchwały podjętej na podstawie delegacji ustawowej zawartej w art. 25 ust. 4 ustawy </w:t>
      </w:r>
      <w:r w:rsidRPr="001D2400">
        <w:rPr>
          <w:rFonts w:asciiTheme="minorHAnsi" w:eastAsia="Lucida Sans Unicode" w:hAnsiTheme="minorHAnsi" w:cstheme="minorHAnsi"/>
          <w:i/>
          <w:lang w:eastAsia="ar-SA"/>
        </w:rPr>
        <w:t>o samorządzie gminnym</w:t>
      </w:r>
      <w:r w:rsidRPr="001D2400">
        <w:rPr>
          <w:rFonts w:asciiTheme="minorHAnsi" w:eastAsia="Lucida Sans Unicode" w:hAnsiTheme="minorHAnsi" w:cstheme="minorHAnsi"/>
          <w:lang w:eastAsia="ar-SA"/>
        </w:rPr>
        <w:t xml:space="preserve"> winna być objęta m.in. sytuacja, gdy radny, przez dłuższy okres czasu nie wykon</w:t>
      </w:r>
      <w:r w:rsidRPr="001D2400">
        <w:rPr>
          <w:rFonts w:asciiTheme="minorHAnsi" w:eastAsia="Lucida Sans Unicode" w:hAnsiTheme="minorHAnsi" w:cstheme="minorHAnsi"/>
          <w:lang w:eastAsia="ar-SA"/>
        </w:rPr>
        <w:t>uje obowiązków wynikających z pełnionej funkcji, a tym samym nie ponosi żadnych kosztów związanych z pełnieniem funkcji. W przeciwnym razie dieta ustalona w stałej kwocie ma charakter ryczałtu miesięcznego, przez co traci charakter rekompensacyjny, a przyj</w:t>
      </w:r>
      <w:r w:rsidRPr="001D2400">
        <w:rPr>
          <w:rFonts w:asciiTheme="minorHAnsi" w:eastAsia="Lucida Sans Unicode" w:hAnsiTheme="minorHAnsi" w:cstheme="minorHAnsi"/>
          <w:lang w:eastAsia="ar-SA"/>
        </w:rPr>
        <w:t xml:space="preserve">muje charakter stałego, miesięcznego wynagrodzenia, niezależnego od kosztów związanych z pełnieniem funkcji (por. wyrok Wojewódzkiego Sądu Administracyjnego w Opolu z dnia 21 lipca 2015 r. sygn. akt II SA/Op 177/15; źródło: </w:t>
      </w:r>
      <w:r w:rsidRPr="001D2400">
        <w:rPr>
          <w:rFonts w:asciiTheme="minorHAnsi" w:eastAsia="Lucida Sans Unicode" w:hAnsiTheme="minorHAnsi" w:cstheme="minorHAnsi"/>
          <w:i/>
          <w:lang w:eastAsia="ar-SA"/>
        </w:rPr>
        <w:t>orzeczenia.nsa.gov.pl</w:t>
      </w:r>
      <w:r w:rsidRPr="001D2400">
        <w:rPr>
          <w:rFonts w:asciiTheme="minorHAnsi" w:eastAsia="Lucida Sans Unicode" w:hAnsiTheme="minorHAnsi" w:cstheme="minorHAnsi"/>
          <w:lang w:eastAsia="ar-SA"/>
        </w:rPr>
        <w:t>).</w:t>
      </w:r>
    </w:p>
    <w:p w:rsidR="00C409C0" w:rsidRPr="001D2400" w:rsidRDefault="0049056E" w:rsidP="00C409C0">
      <w:pPr>
        <w:widowControl w:val="0"/>
        <w:suppressAutoHyphens/>
        <w:spacing w:line="360" w:lineRule="auto"/>
        <w:ind w:firstLine="709"/>
        <w:jc w:val="both"/>
        <w:rPr>
          <w:rFonts w:asciiTheme="minorHAnsi" w:eastAsia="Lucida Sans Unicode" w:hAnsiTheme="minorHAnsi" w:cstheme="minorHAnsi"/>
          <w:lang w:eastAsia="ar-SA"/>
        </w:rPr>
      </w:pPr>
    </w:p>
    <w:p w:rsidR="00C409C0" w:rsidRPr="001D2400" w:rsidRDefault="0049056E" w:rsidP="00C409C0">
      <w:pPr>
        <w:widowControl w:val="0"/>
        <w:suppressAutoHyphens/>
        <w:spacing w:line="360" w:lineRule="auto"/>
        <w:ind w:firstLine="709"/>
        <w:jc w:val="both"/>
        <w:rPr>
          <w:rFonts w:asciiTheme="minorHAnsi" w:eastAsia="Lucida Sans Unicode" w:hAnsiTheme="minorHAnsi" w:cstheme="minorHAnsi"/>
          <w:lang w:eastAsia="ar-SA"/>
        </w:rPr>
      </w:pPr>
      <w:r w:rsidRPr="001D2400">
        <w:rPr>
          <w:rFonts w:asciiTheme="minorHAnsi" w:eastAsia="Lucida Sans Unicode" w:hAnsiTheme="minorHAnsi" w:cstheme="minorHAnsi"/>
          <w:lang w:eastAsia="ar-SA"/>
        </w:rPr>
        <w:t>Z uwagi</w:t>
      </w:r>
      <w:r w:rsidRPr="001D2400">
        <w:rPr>
          <w:rFonts w:asciiTheme="minorHAnsi" w:eastAsia="Lucida Sans Unicode" w:hAnsiTheme="minorHAnsi" w:cstheme="minorHAnsi"/>
          <w:lang w:eastAsia="ar-SA"/>
        </w:rPr>
        <w:t xml:space="preserve"> na fakt, że dieta ma stanowić rekompensatę za utracone zarobki związane z pełnieniem funkcji radnego, sformułowania zawarte w § 4 ust. 1 uchwały, wprowadzające procentowe obniżenia kwoty miesięcznej diety spowodują, że w przypadku</w:t>
      </w:r>
      <w:r>
        <w:rPr>
          <w:rFonts w:asciiTheme="minorHAnsi" w:eastAsia="Lucida Sans Unicode" w:hAnsiTheme="minorHAnsi" w:cstheme="minorHAnsi"/>
          <w:lang w:eastAsia="ar-SA"/>
        </w:rPr>
        <w:t>,</w:t>
      </w:r>
      <w:r w:rsidRPr="001D2400">
        <w:rPr>
          <w:rFonts w:asciiTheme="minorHAnsi" w:eastAsia="Lucida Sans Unicode" w:hAnsiTheme="minorHAnsi" w:cstheme="minorHAnsi"/>
          <w:lang w:eastAsia="ar-SA"/>
        </w:rPr>
        <w:t xml:space="preserve"> gdyby sesje Rady Miasta</w:t>
      </w:r>
      <w:r w:rsidRPr="001D2400">
        <w:rPr>
          <w:rFonts w:asciiTheme="minorHAnsi" w:eastAsia="Lucida Sans Unicode" w:hAnsiTheme="minorHAnsi" w:cstheme="minorHAnsi"/>
          <w:lang w:eastAsia="ar-SA"/>
        </w:rPr>
        <w:t xml:space="preserve"> lub posiedzenia komisji się odbywały, to i tak jakaś część diety, mimo nieobecności radnego, będzie wypłacana, z uwagi na potrącenie procentowe a nie proporcjonalne. Zapisy te powodują, że dieta traci charakter rekompensaty a zbliża się do formy wynagrodz</w:t>
      </w:r>
      <w:r w:rsidRPr="001D2400">
        <w:rPr>
          <w:rFonts w:asciiTheme="minorHAnsi" w:eastAsia="Lucida Sans Unicode" w:hAnsiTheme="minorHAnsi" w:cstheme="minorHAnsi"/>
          <w:lang w:eastAsia="ar-SA"/>
        </w:rPr>
        <w:t xml:space="preserve">enia za pracę. </w:t>
      </w:r>
    </w:p>
    <w:p w:rsidR="00C409C0" w:rsidRPr="001D2400" w:rsidRDefault="0049056E" w:rsidP="00C409C0">
      <w:pPr>
        <w:widowControl w:val="0"/>
        <w:suppressAutoHyphens/>
        <w:spacing w:line="360" w:lineRule="auto"/>
        <w:ind w:firstLine="709"/>
        <w:jc w:val="both"/>
        <w:rPr>
          <w:rFonts w:asciiTheme="minorHAnsi" w:eastAsia="Lucida Sans Unicode" w:hAnsiTheme="minorHAnsi" w:cstheme="minorHAnsi"/>
          <w:lang w:eastAsia="ar-SA"/>
        </w:rPr>
      </w:pPr>
    </w:p>
    <w:p w:rsidR="00C409C0" w:rsidRPr="001D2400" w:rsidRDefault="0049056E" w:rsidP="00C409C0">
      <w:pPr>
        <w:widowControl w:val="0"/>
        <w:suppressAutoHyphens/>
        <w:spacing w:line="360" w:lineRule="auto"/>
        <w:ind w:firstLine="709"/>
        <w:jc w:val="both"/>
        <w:rPr>
          <w:rFonts w:asciiTheme="minorHAnsi" w:eastAsia="Lucida Sans Unicode" w:hAnsiTheme="minorHAnsi" w:cstheme="minorHAnsi"/>
          <w:lang w:eastAsia="ar-SA"/>
        </w:rPr>
      </w:pPr>
      <w:r w:rsidRPr="001D2400">
        <w:rPr>
          <w:rFonts w:asciiTheme="minorHAnsi" w:eastAsia="Lucida Sans Unicode" w:hAnsiTheme="minorHAnsi" w:cstheme="minorHAnsi"/>
          <w:lang w:eastAsia="ar-SA"/>
        </w:rPr>
        <w:t>Stanowisko organu nadzoru znajduje oparcie w wyrokach sądów administracyjnych zapadłych w następstwie rozpoznania skarg Wojewody Mazowieckiego na uchwały w sprawie zasad ustalania diet dla radnych (zob. wyroki Wojewódzkiego Sądu Administra</w:t>
      </w:r>
      <w:r w:rsidRPr="001D2400">
        <w:rPr>
          <w:rFonts w:asciiTheme="minorHAnsi" w:eastAsia="Lucida Sans Unicode" w:hAnsiTheme="minorHAnsi" w:cstheme="minorHAnsi"/>
          <w:lang w:eastAsia="ar-SA"/>
        </w:rPr>
        <w:t xml:space="preserve">cyjnego w Warszawie </w:t>
      </w:r>
      <w:r>
        <w:rPr>
          <w:rFonts w:asciiTheme="minorHAnsi" w:eastAsia="Lucida Sans Unicode" w:hAnsiTheme="minorHAnsi" w:cstheme="minorHAnsi"/>
          <w:lang w:eastAsia="ar-SA"/>
        </w:rPr>
        <w:br/>
      </w:r>
      <w:r w:rsidRPr="001D2400">
        <w:rPr>
          <w:rFonts w:asciiTheme="minorHAnsi" w:eastAsia="Lucida Sans Unicode" w:hAnsiTheme="minorHAnsi" w:cstheme="minorHAnsi"/>
          <w:lang w:eastAsia="ar-SA"/>
        </w:rPr>
        <w:t xml:space="preserve">z dnia 23 października 2019 r. sygn. akt II SA/Wa 978/19, z dnia 24 października 2019 r. sygn. akt </w:t>
      </w:r>
      <w:r>
        <w:rPr>
          <w:rFonts w:asciiTheme="minorHAnsi" w:eastAsia="Lucida Sans Unicode" w:hAnsiTheme="minorHAnsi" w:cstheme="minorHAnsi"/>
          <w:lang w:eastAsia="ar-SA"/>
        </w:rPr>
        <w:br/>
      </w:r>
      <w:r w:rsidRPr="001D2400">
        <w:rPr>
          <w:rFonts w:asciiTheme="minorHAnsi" w:eastAsia="Lucida Sans Unicode" w:hAnsiTheme="minorHAnsi" w:cstheme="minorHAnsi"/>
          <w:lang w:eastAsia="ar-SA"/>
        </w:rPr>
        <w:t xml:space="preserve">II SA/Wa 921/19 i z dnia 29 listopada 2019 r. sygn. akt II SA/Wa 1259/19). </w:t>
      </w:r>
    </w:p>
    <w:p w:rsidR="00C409C0" w:rsidRPr="001D2400" w:rsidRDefault="0049056E" w:rsidP="00C409C0">
      <w:pPr>
        <w:widowControl w:val="0"/>
        <w:suppressAutoHyphens/>
        <w:spacing w:line="360" w:lineRule="auto"/>
        <w:ind w:firstLine="709"/>
        <w:jc w:val="both"/>
        <w:rPr>
          <w:rFonts w:asciiTheme="minorHAnsi" w:eastAsia="Lucida Sans Unicode" w:hAnsiTheme="minorHAnsi" w:cstheme="minorHAnsi"/>
          <w:lang w:eastAsia="ar-SA"/>
        </w:rPr>
      </w:pPr>
    </w:p>
    <w:p w:rsidR="00C409C0" w:rsidRPr="001D2400" w:rsidRDefault="0049056E" w:rsidP="00C409C0">
      <w:pPr>
        <w:widowControl w:val="0"/>
        <w:suppressAutoHyphens/>
        <w:spacing w:line="360" w:lineRule="auto"/>
        <w:ind w:firstLine="709"/>
        <w:jc w:val="both"/>
        <w:rPr>
          <w:rFonts w:asciiTheme="minorHAnsi" w:eastAsia="Lucida Sans Unicode" w:hAnsiTheme="minorHAnsi" w:cstheme="minorHAnsi"/>
          <w:lang w:eastAsia="ar-SA"/>
        </w:rPr>
      </w:pPr>
      <w:r w:rsidRPr="001D2400">
        <w:rPr>
          <w:rFonts w:asciiTheme="minorHAnsi" w:eastAsia="Lucida Sans Unicode" w:hAnsiTheme="minorHAnsi" w:cstheme="minorHAnsi"/>
          <w:lang w:eastAsia="ar-SA"/>
        </w:rPr>
        <w:t>Stwierdzenie nieważności § 4 ust. 1 i ust. 4 uchwały nr XX</w:t>
      </w:r>
      <w:r w:rsidRPr="001D2400">
        <w:rPr>
          <w:rFonts w:asciiTheme="minorHAnsi" w:eastAsia="Lucida Sans Unicode" w:hAnsiTheme="minorHAnsi" w:cstheme="minorHAnsi"/>
          <w:lang w:eastAsia="ar-SA"/>
        </w:rPr>
        <w:t xml:space="preserve">XV/476/2021 pociąga za sobą konieczność stwierdzenia nieważności również ściśle z nimi funkcjonalnie powiązanych unormowań dotyczących diet zawartych w § 4 ust. 2 i ust. 3 ww. uchwały a także § 1, 2 i 3. Brak bowiem </w:t>
      </w:r>
      <w:r w:rsidRPr="001D2400">
        <w:rPr>
          <w:rFonts w:asciiTheme="minorHAnsi" w:eastAsia="Lucida Sans Unicode" w:hAnsiTheme="minorHAnsi" w:cstheme="minorHAnsi"/>
          <w:lang w:eastAsia="ar-SA"/>
        </w:rPr>
        <w:lastRenderedPageBreak/>
        <w:t>unormowań dotyczących potrąceń diet powo</w:t>
      </w:r>
      <w:r w:rsidRPr="001D2400">
        <w:rPr>
          <w:rFonts w:asciiTheme="minorHAnsi" w:eastAsia="Lucida Sans Unicode" w:hAnsiTheme="minorHAnsi" w:cstheme="minorHAnsi"/>
          <w:lang w:eastAsia="ar-SA"/>
        </w:rPr>
        <w:t xml:space="preserve">duje, że pozostałe przepisy dotyczące diet stają się niekompletne a tym samym niemożliwe do zgodnego z prawem stosowania. </w:t>
      </w:r>
    </w:p>
    <w:p w:rsidR="00C409C0" w:rsidRPr="001D2400" w:rsidRDefault="0049056E" w:rsidP="00C409C0">
      <w:pPr>
        <w:widowControl w:val="0"/>
        <w:suppressAutoHyphens/>
        <w:spacing w:line="360" w:lineRule="auto"/>
        <w:ind w:firstLine="709"/>
        <w:jc w:val="both"/>
        <w:rPr>
          <w:rFonts w:asciiTheme="minorHAnsi" w:eastAsia="Lucida Sans Unicode" w:hAnsiTheme="minorHAnsi" w:cstheme="minorHAnsi"/>
          <w:lang w:eastAsia="ar-SA"/>
        </w:rPr>
      </w:pPr>
    </w:p>
    <w:p w:rsidR="00C409C0" w:rsidRPr="001D2400" w:rsidRDefault="0049056E" w:rsidP="00C409C0">
      <w:pPr>
        <w:widowControl w:val="0"/>
        <w:suppressAutoHyphens/>
        <w:spacing w:line="360" w:lineRule="auto"/>
        <w:ind w:firstLine="709"/>
        <w:jc w:val="both"/>
        <w:rPr>
          <w:rFonts w:asciiTheme="minorHAnsi" w:eastAsia="Lucida Sans Unicode" w:hAnsiTheme="minorHAnsi" w:cstheme="minorHAnsi"/>
          <w:lang w:eastAsia="ar-SA"/>
        </w:rPr>
      </w:pPr>
      <w:r w:rsidRPr="001D2400">
        <w:rPr>
          <w:rFonts w:asciiTheme="minorHAnsi" w:eastAsia="Lucida Sans Unicode" w:hAnsiTheme="minorHAnsi" w:cstheme="minorHAnsi"/>
          <w:lang w:eastAsia="ar-SA"/>
        </w:rPr>
        <w:t xml:space="preserve">W ocenie Wojewody Mazowieckiego, jako organu nadzoru nad działalnością gminną, </w:t>
      </w:r>
      <w:r>
        <w:rPr>
          <w:rFonts w:asciiTheme="minorHAnsi" w:eastAsia="Lucida Sans Unicode" w:hAnsiTheme="minorHAnsi" w:cstheme="minorHAnsi"/>
          <w:lang w:eastAsia="ar-SA"/>
        </w:rPr>
        <w:br/>
      </w:r>
      <w:r w:rsidRPr="001D2400">
        <w:rPr>
          <w:rFonts w:asciiTheme="minorHAnsi" w:eastAsia="Lucida Sans Unicode" w:hAnsiTheme="minorHAnsi" w:cstheme="minorHAnsi"/>
          <w:lang w:eastAsia="ar-SA"/>
        </w:rPr>
        <w:t>w sytuacji, gdy mamy do czynienia z sekwencją zdarze</w:t>
      </w:r>
      <w:r w:rsidRPr="001D2400">
        <w:rPr>
          <w:rFonts w:asciiTheme="minorHAnsi" w:eastAsia="Lucida Sans Unicode" w:hAnsiTheme="minorHAnsi" w:cstheme="minorHAnsi"/>
          <w:lang w:eastAsia="ar-SA"/>
        </w:rPr>
        <w:t>ń wywołanych</w:t>
      </w:r>
      <w:r>
        <w:rPr>
          <w:rFonts w:asciiTheme="minorHAnsi" w:eastAsia="Lucida Sans Unicode" w:hAnsiTheme="minorHAnsi" w:cstheme="minorHAnsi"/>
          <w:lang w:eastAsia="ar-SA"/>
        </w:rPr>
        <w:t xml:space="preserve"> danymi przepisami, które są ze </w:t>
      </w:r>
      <w:r w:rsidRPr="001D2400">
        <w:rPr>
          <w:rFonts w:asciiTheme="minorHAnsi" w:eastAsia="Lucida Sans Unicode" w:hAnsiTheme="minorHAnsi" w:cstheme="minorHAnsi"/>
          <w:lang w:eastAsia="ar-SA"/>
        </w:rPr>
        <w:t>sobą powiązane, zaś przepis zależny oparty jest na u</w:t>
      </w:r>
      <w:r>
        <w:rPr>
          <w:rFonts w:asciiTheme="minorHAnsi" w:eastAsia="Lucida Sans Unicode" w:hAnsiTheme="minorHAnsi" w:cstheme="minorHAnsi"/>
          <w:lang w:eastAsia="ar-SA"/>
        </w:rPr>
        <w:t>regulowaniu pierwotnym, którego </w:t>
      </w:r>
      <w:r w:rsidRPr="001D2400">
        <w:rPr>
          <w:rFonts w:asciiTheme="minorHAnsi" w:eastAsia="Lucida Sans Unicode" w:hAnsiTheme="minorHAnsi" w:cstheme="minorHAnsi"/>
          <w:lang w:eastAsia="ar-SA"/>
        </w:rPr>
        <w:t>nieważność została stwierdzona, bądź jest przedmiotem postępowania w sprawie stwierdzenia nieważności i którego skutki prawne zo</w:t>
      </w:r>
      <w:r w:rsidRPr="001D2400">
        <w:rPr>
          <w:rFonts w:asciiTheme="minorHAnsi" w:eastAsia="Lucida Sans Unicode" w:hAnsiTheme="minorHAnsi" w:cstheme="minorHAnsi"/>
          <w:lang w:eastAsia="ar-SA"/>
        </w:rPr>
        <w:t xml:space="preserve">stały zniesione, przyjąć należy, że przepis prawny zależny również został podjęty w sposób sprzeczny z prawem. Z tego powodu przepis podstawowy wpływa w sposób bezpośredni na ocenę prawną przepisu zależnego. </w:t>
      </w:r>
    </w:p>
    <w:p w:rsidR="00C409C0" w:rsidRPr="001D2400" w:rsidRDefault="0049056E" w:rsidP="00C409C0">
      <w:pPr>
        <w:widowControl w:val="0"/>
        <w:suppressAutoHyphens/>
        <w:spacing w:line="360" w:lineRule="auto"/>
        <w:ind w:firstLine="709"/>
        <w:jc w:val="both"/>
        <w:rPr>
          <w:rFonts w:asciiTheme="minorHAnsi" w:eastAsia="Lucida Sans Unicode" w:hAnsiTheme="minorHAnsi" w:cstheme="minorHAnsi"/>
          <w:bCs/>
          <w:lang w:eastAsia="ar-SA"/>
        </w:rPr>
      </w:pPr>
    </w:p>
    <w:p w:rsidR="00C409C0" w:rsidRPr="001D2400" w:rsidRDefault="0049056E" w:rsidP="00C409C0">
      <w:pPr>
        <w:widowControl w:val="0"/>
        <w:suppressAutoHyphens/>
        <w:spacing w:line="360" w:lineRule="auto"/>
        <w:ind w:firstLine="709"/>
        <w:jc w:val="both"/>
        <w:rPr>
          <w:rFonts w:asciiTheme="minorHAnsi" w:eastAsia="Lucida Sans Unicode" w:hAnsiTheme="minorHAnsi" w:cstheme="minorHAnsi"/>
          <w:bCs/>
          <w:lang w:eastAsia="ar-SA"/>
        </w:rPr>
      </w:pPr>
      <w:r w:rsidRPr="001D2400">
        <w:rPr>
          <w:rFonts w:asciiTheme="minorHAnsi" w:hAnsiTheme="minorHAnsi" w:cstheme="minorHAnsi"/>
        </w:rPr>
        <w:t xml:space="preserve">Art. 91 ust. 1 ustawy </w:t>
      </w:r>
      <w:r w:rsidRPr="001D2400">
        <w:rPr>
          <w:rFonts w:asciiTheme="minorHAnsi" w:hAnsiTheme="minorHAnsi" w:cstheme="minorHAnsi"/>
          <w:i/>
        </w:rPr>
        <w:t xml:space="preserve">o samorządzie gminnym </w:t>
      </w:r>
      <w:r w:rsidRPr="001D2400">
        <w:rPr>
          <w:rFonts w:asciiTheme="minorHAnsi" w:hAnsiTheme="minorHAnsi" w:cstheme="minorHAnsi"/>
        </w:rPr>
        <w:t>st</w:t>
      </w:r>
      <w:r w:rsidRPr="001D2400">
        <w:rPr>
          <w:rFonts w:asciiTheme="minorHAnsi" w:hAnsiTheme="minorHAnsi" w:cstheme="minorHAnsi"/>
        </w:rPr>
        <w:t xml:space="preserve">wierdza: </w:t>
      </w:r>
      <w:r w:rsidRPr="001D2400">
        <w:rPr>
          <w:rFonts w:asciiTheme="minorHAnsi" w:hAnsiTheme="minorHAnsi" w:cstheme="minorHAnsi"/>
          <w:i/>
        </w:rPr>
        <w:t xml:space="preserve">Uchwała lub zarządzenie organu gminy sprzeczne z prawem są nieważne. O nieważności uchwały lub zarządzenia </w:t>
      </w:r>
      <w:r w:rsidRPr="001D2400">
        <w:rPr>
          <w:rFonts w:asciiTheme="minorHAnsi" w:hAnsiTheme="minorHAnsi" w:cstheme="minorHAnsi"/>
          <w:i/>
        </w:rPr>
        <w:br/>
        <w:t xml:space="preserve">w całości lub w części orzeka organ nadzoru w terminie nie dłuższym niż 30 dni od dnia doręczenia uchwały lub zarządzenia. </w:t>
      </w:r>
      <w:r w:rsidRPr="001D2400">
        <w:rPr>
          <w:rStyle w:val="info-list-value-uzasadnienie"/>
          <w:rFonts w:asciiTheme="minorHAnsi" w:hAnsiTheme="minorHAnsi" w:cstheme="minorHAnsi"/>
        </w:rPr>
        <w:t>Zgodnie ze stano</w:t>
      </w:r>
      <w:r w:rsidRPr="001D2400">
        <w:rPr>
          <w:rStyle w:val="info-list-value-uzasadnienie"/>
          <w:rFonts w:asciiTheme="minorHAnsi" w:hAnsiTheme="minorHAnsi" w:cstheme="minorHAnsi"/>
        </w:rPr>
        <w:t>wiskiem orzecznictwa i doktryny prawa istotnym naruszeniem jest nieprawidłowość oczywista i bezpośrednia, która prowadzi do takich skutków, które nie mogą być zaakceptowane w demokratycznym państwie prawnym. Do istotnych naruszeń zalicza się między innymi:</w:t>
      </w:r>
      <w:r w:rsidRPr="001D2400">
        <w:rPr>
          <w:rStyle w:val="info-list-value-uzasadnienie"/>
          <w:rFonts w:asciiTheme="minorHAnsi" w:hAnsiTheme="minorHAnsi" w:cstheme="minorHAnsi"/>
        </w:rPr>
        <w:t xml:space="preserve"> podjęcie aktu bez podstawy prawnej, podjęcie aktu na podstawie normy prawnej uznanej za niekonstytucyjną, powtarzanie w akcie normatywnym treści przepisów ustawowych, brak pełnej realizacji zakresu ustawowego upoważnienia, podjęcie unormowań trudnych do j</w:t>
      </w:r>
      <w:r w:rsidRPr="001D2400">
        <w:rPr>
          <w:rStyle w:val="info-list-value-uzasadnienie"/>
          <w:rFonts w:asciiTheme="minorHAnsi" w:hAnsiTheme="minorHAnsi" w:cstheme="minorHAnsi"/>
        </w:rPr>
        <w:t>ednoznacznego odczytania i interpretacji (</w:t>
      </w:r>
      <w:r w:rsidRPr="001D2400">
        <w:rPr>
          <w:rStyle w:val="info-list-value-uzasadnienie"/>
          <w:rFonts w:asciiTheme="minorHAnsi" w:hAnsiTheme="minorHAnsi" w:cstheme="minorHAnsi"/>
          <w:i/>
        </w:rPr>
        <w:t>vide:</w:t>
      </w:r>
      <w:r w:rsidRPr="001D2400">
        <w:rPr>
          <w:rStyle w:val="info-list-value-uzasadnienie"/>
          <w:rFonts w:asciiTheme="minorHAnsi" w:hAnsiTheme="minorHAnsi" w:cstheme="minorHAnsi"/>
        </w:rPr>
        <w:t xml:space="preserve"> G. </w:t>
      </w:r>
      <w:r w:rsidRPr="001D2400">
        <w:rPr>
          <w:rFonts w:asciiTheme="minorHAnsi" w:hAnsiTheme="minorHAnsi" w:cstheme="minorHAnsi"/>
        </w:rPr>
        <w:t xml:space="preserve">Jyż, Z. Pławecki, A. Szewc, </w:t>
      </w:r>
      <w:r w:rsidRPr="001D2400">
        <w:rPr>
          <w:rFonts w:asciiTheme="minorHAnsi" w:hAnsiTheme="minorHAnsi" w:cstheme="minorHAnsi"/>
          <w:i/>
        </w:rPr>
        <w:t xml:space="preserve">Ustawa </w:t>
      </w:r>
      <w:r>
        <w:rPr>
          <w:rFonts w:asciiTheme="minorHAnsi" w:hAnsiTheme="minorHAnsi" w:cstheme="minorHAnsi"/>
          <w:i/>
        </w:rPr>
        <w:br/>
      </w:r>
      <w:r w:rsidRPr="001D2400">
        <w:rPr>
          <w:rFonts w:asciiTheme="minorHAnsi" w:hAnsiTheme="minorHAnsi" w:cstheme="minorHAnsi"/>
          <w:i/>
        </w:rPr>
        <w:t xml:space="preserve">o samorządzie gminnym. Komentarz, </w:t>
      </w:r>
      <w:r w:rsidRPr="001D2400">
        <w:rPr>
          <w:rFonts w:asciiTheme="minorHAnsi" w:hAnsiTheme="minorHAnsi" w:cstheme="minorHAnsi"/>
        </w:rPr>
        <w:t xml:space="preserve">Lex 2012, </w:t>
      </w:r>
      <w:r w:rsidRPr="001D2400">
        <w:rPr>
          <w:rFonts w:asciiTheme="minorHAnsi" w:hAnsiTheme="minorHAnsi" w:cstheme="minorHAnsi"/>
          <w:i/>
        </w:rPr>
        <w:t xml:space="preserve">Ustawa o samorządzie gminnym. Komentarz, </w:t>
      </w:r>
      <w:r>
        <w:rPr>
          <w:rFonts w:asciiTheme="minorHAnsi" w:hAnsiTheme="minorHAnsi" w:cstheme="minorHAnsi"/>
        </w:rPr>
        <w:t xml:space="preserve">pod red. </w:t>
      </w:r>
      <w:r w:rsidRPr="001D2400">
        <w:rPr>
          <w:rFonts w:asciiTheme="minorHAnsi" w:hAnsiTheme="minorHAnsi" w:cstheme="minorHAnsi"/>
        </w:rPr>
        <w:t>B. Dolnickiego, Warszawa 2018).</w:t>
      </w:r>
    </w:p>
    <w:p w:rsidR="00C409C0" w:rsidRPr="001D2400" w:rsidRDefault="0049056E" w:rsidP="00C409C0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</w:p>
    <w:p w:rsidR="00C409C0" w:rsidRPr="001D2400" w:rsidRDefault="0049056E" w:rsidP="00C409C0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1D2400">
        <w:rPr>
          <w:rFonts w:asciiTheme="minorHAnsi" w:hAnsiTheme="minorHAnsi" w:cstheme="minorHAnsi"/>
        </w:rPr>
        <w:t xml:space="preserve">Biorąc pod uwagę opisane powyżej </w:t>
      </w:r>
      <w:r w:rsidRPr="001D2400">
        <w:rPr>
          <w:rFonts w:asciiTheme="minorHAnsi" w:hAnsiTheme="minorHAnsi" w:cstheme="minorHAnsi"/>
        </w:rPr>
        <w:t>okoliczności faktyczne i prawne Wojewoda Mazowiecki stwierdza, że uchwała Rady Miasta Mława nr XXXV/476/2021</w:t>
      </w:r>
      <w:r>
        <w:rPr>
          <w:rFonts w:asciiTheme="minorHAnsi" w:eastAsia="Lucida Sans Unicode" w:hAnsiTheme="minorHAnsi" w:cstheme="minorHAnsi"/>
          <w:lang w:eastAsia="ar-SA"/>
        </w:rPr>
        <w:t>, istotnie narusza prawo, we </w:t>
      </w:r>
      <w:r w:rsidRPr="001D2400">
        <w:rPr>
          <w:rFonts w:asciiTheme="minorHAnsi" w:eastAsia="Lucida Sans Unicode" w:hAnsiTheme="minorHAnsi" w:cstheme="minorHAnsi"/>
          <w:lang w:eastAsia="ar-SA"/>
        </w:rPr>
        <w:t xml:space="preserve">wskazanym w sentencji niniejszego rozstrzygnięcia zakresie, i </w:t>
      </w:r>
      <w:r>
        <w:rPr>
          <w:rFonts w:asciiTheme="minorHAnsi" w:eastAsia="Lucida Sans Unicode" w:hAnsiTheme="minorHAnsi" w:cstheme="minorHAnsi"/>
          <w:lang w:eastAsia="ar-SA"/>
        </w:rPr>
        <w:t>jako sprzeczna z prawem, jest w </w:t>
      </w:r>
      <w:r w:rsidRPr="001D2400">
        <w:rPr>
          <w:rFonts w:asciiTheme="minorHAnsi" w:eastAsia="Lucida Sans Unicode" w:hAnsiTheme="minorHAnsi" w:cstheme="minorHAnsi"/>
          <w:lang w:eastAsia="ar-SA"/>
        </w:rPr>
        <w:t xml:space="preserve">tym zakresie nieważna. </w:t>
      </w:r>
    </w:p>
    <w:p w:rsidR="00C409C0" w:rsidRPr="001D2400" w:rsidRDefault="0049056E" w:rsidP="00C409C0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</w:p>
    <w:p w:rsidR="00C409C0" w:rsidRPr="001D2400" w:rsidRDefault="0049056E" w:rsidP="00C409C0">
      <w:pPr>
        <w:spacing w:line="360" w:lineRule="auto"/>
        <w:ind w:firstLine="720"/>
        <w:jc w:val="both"/>
        <w:rPr>
          <w:rFonts w:asciiTheme="minorHAnsi" w:hAnsiTheme="minorHAnsi" w:cstheme="minorHAnsi"/>
        </w:rPr>
      </w:pPr>
      <w:r w:rsidRPr="001D2400">
        <w:rPr>
          <w:rFonts w:asciiTheme="minorHAnsi" w:hAnsiTheme="minorHAnsi" w:cstheme="minorHAnsi"/>
        </w:rPr>
        <w:t xml:space="preserve">Na niniejsze </w:t>
      </w:r>
      <w:r>
        <w:rPr>
          <w:rFonts w:asciiTheme="minorHAnsi" w:hAnsiTheme="minorHAnsi" w:cstheme="minorHAnsi"/>
        </w:rPr>
        <w:t>rozstrzygnięcie nadzorcze Miastu</w:t>
      </w:r>
      <w:r w:rsidRPr="001D2400">
        <w:rPr>
          <w:rFonts w:asciiTheme="minorHAnsi" w:hAnsiTheme="minorHAnsi" w:cstheme="minorHAnsi"/>
        </w:rPr>
        <w:t xml:space="preserve"> przysługuje skarga do Wojewódzkiego Sądu Administracyjnego w Warszawie w terminie 30 dni od dnia doręczenia, wnoszona </w:t>
      </w:r>
      <w:r w:rsidRPr="001D2400">
        <w:rPr>
          <w:rFonts w:asciiTheme="minorHAnsi" w:hAnsiTheme="minorHAnsi" w:cstheme="minorHAnsi"/>
        </w:rPr>
        <w:br/>
        <w:t>za pośrednictwem Wojewody Mazowieckiego.</w:t>
      </w:r>
    </w:p>
    <w:p w:rsidR="00C409C0" w:rsidRPr="001D2400" w:rsidRDefault="0049056E" w:rsidP="00C409C0">
      <w:pPr>
        <w:spacing w:line="360" w:lineRule="auto"/>
        <w:ind w:firstLine="720"/>
        <w:jc w:val="both"/>
        <w:rPr>
          <w:rFonts w:asciiTheme="minorHAnsi" w:hAnsiTheme="minorHAnsi" w:cstheme="minorHAnsi"/>
        </w:rPr>
      </w:pPr>
    </w:p>
    <w:p w:rsidR="00F228AB" w:rsidRPr="00C409C0" w:rsidRDefault="0049056E" w:rsidP="00C409C0">
      <w:pPr>
        <w:spacing w:line="360" w:lineRule="auto"/>
        <w:ind w:firstLine="720"/>
        <w:jc w:val="both"/>
        <w:rPr>
          <w:rFonts w:asciiTheme="minorHAnsi" w:hAnsiTheme="minorHAnsi" w:cstheme="minorHAnsi"/>
        </w:rPr>
      </w:pPr>
      <w:r w:rsidRPr="001D2400">
        <w:rPr>
          <w:rFonts w:asciiTheme="minorHAnsi" w:hAnsiTheme="minorHAnsi" w:cstheme="minorHAnsi"/>
        </w:rPr>
        <w:t xml:space="preserve">Informuję, że rozstrzygnięcie nadzorcze, z dniem </w:t>
      </w:r>
      <w:r w:rsidRPr="001D2400">
        <w:rPr>
          <w:rFonts w:asciiTheme="minorHAnsi" w:hAnsiTheme="minorHAnsi" w:cstheme="minorHAnsi"/>
        </w:rPr>
        <w:t>jego doręczenia, wstrzymuje wykonanie uchwały w zakresie objętym stwierdzeniem nieważności, z mocy prawa.</w:t>
      </w:r>
    </w:p>
    <w:p w:rsidR="004824F3" w:rsidRDefault="0049056E" w:rsidP="00691727">
      <w:pPr>
        <w:spacing w:before="840" w:after="240" w:line="276" w:lineRule="auto"/>
        <w:ind w:left="3402"/>
        <w:jc w:val="center"/>
        <w:rPr>
          <w:rFonts w:ascii="Calibri" w:hAnsi="Calibri" w:cs="Calibri"/>
        </w:rPr>
      </w:pPr>
    </w:p>
    <w:p w:rsidR="004824F3" w:rsidRDefault="0049056E" w:rsidP="00691727">
      <w:pPr>
        <w:spacing w:line="276" w:lineRule="auto"/>
        <w:ind w:left="3402"/>
        <w:jc w:val="center"/>
        <w:rPr>
          <w:rFonts w:ascii="Calibri" w:hAnsi="Calibri" w:cs="Calibri"/>
        </w:rPr>
      </w:pPr>
      <w:bookmarkStart w:id="3" w:name="ezdPracownikStanowisko"/>
      <w:r>
        <w:rPr>
          <w:rFonts w:ascii="Calibri" w:hAnsi="Calibri" w:cs="Calibri"/>
        </w:rPr>
        <w:t>Wojewoda Mazowiecki</w:t>
      </w:r>
      <w:bookmarkEnd w:id="3"/>
    </w:p>
    <w:p w:rsidR="004824F3" w:rsidRDefault="0049056E" w:rsidP="00691727">
      <w:pPr>
        <w:spacing w:after="240" w:line="276" w:lineRule="auto"/>
        <w:ind w:left="3402"/>
        <w:jc w:val="center"/>
        <w:rPr>
          <w:rFonts w:ascii="Calibri" w:hAnsi="Calibri" w:cs="Calibri"/>
        </w:rPr>
      </w:pPr>
      <w:bookmarkStart w:id="4" w:name="ezdPracownikNazwa"/>
      <w:r>
        <w:rPr>
          <w:rFonts w:ascii="Calibri" w:hAnsi="Calibri" w:cs="Calibri"/>
        </w:rPr>
        <w:t>Konstanty Radziwiłł</w:t>
      </w:r>
      <w:bookmarkEnd w:id="4"/>
    </w:p>
    <w:p w:rsidR="00691727" w:rsidRDefault="0049056E" w:rsidP="00691727">
      <w:pPr>
        <w:spacing w:before="240" w:line="276" w:lineRule="auto"/>
        <w:ind w:left="340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/podpisano bezpiecznym podpisem elektronicznym</w:t>
      </w:r>
    </w:p>
    <w:p w:rsidR="004824F3" w:rsidRPr="00504F2F" w:rsidRDefault="0049056E" w:rsidP="00691727">
      <w:pPr>
        <w:spacing w:line="276" w:lineRule="auto"/>
        <w:ind w:left="340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weryfikowanym ważnym kwalifikowanym certyfikatem/</w:t>
      </w:r>
    </w:p>
    <w:sectPr w:rsidR="004824F3" w:rsidRPr="00504F2F" w:rsidSect="003E626C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6E"/>
    <w:rsid w:val="0049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773FFF5-DFB7-4045-950D-40DC2C54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75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6917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91727"/>
    <w:rPr>
      <w:rFonts w:ascii="Segoe UI" w:hAnsi="Segoe UI" w:cs="Segoe UI"/>
      <w:sz w:val="18"/>
      <w:szCs w:val="18"/>
    </w:rPr>
  </w:style>
  <w:style w:type="character" w:customStyle="1" w:styleId="info-list-value-uzasadnienie">
    <w:name w:val="info-list-value-uzasadnienie"/>
    <w:basedOn w:val="Domylnaczcionkaakapitu"/>
    <w:rsid w:val="00C40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52B25-C0B1-40DE-A76C-45C4D86B6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1954</Words>
  <Characters>11728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- pismo zewn. podpis elektroniczny</vt:lpstr>
    </vt:vector>
  </TitlesOfParts>
  <Company/>
  <LinksUpToDate>false</LinksUpToDate>
  <CharactersWithSpaces>13655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- pismo zewn. podpis elektroniczny</dc:title>
  <dc:creator>kkili</dc:creator>
  <cp:lastModifiedBy>Beata Darnowska</cp:lastModifiedBy>
  <cp:revision>2</cp:revision>
  <cp:lastPrinted>2021-11-19T14:18:00Z</cp:lastPrinted>
  <dcterms:created xsi:type="dcterms:W3CDTF">2022-01-27T11:01:00Z</dcterms:created>
  <dcterms:modified xsi:type="dcterms:W3CDTF">2022-01-27T11:01:00Z</dcterms:modified>
</cp:coreProperties>
</file>