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7356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WŁĄCZENIE DO WOJEWÓDZKIEJ EWIDENCJI ZABYTKÓW KARTY POJAZDU ZABYTKOWEGO</w:t>
      </w:r>
    </w:p>
    <w:p w14:paraId="1FE9A26E" w14:textId="47CF998F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7"/>
          <w:szCs w:val="27"/>
          <w:lang w:eastAsia="pl-PL"/>
        </w:rPr>
      </w:pPr>
      <w:r w:rsidRPr="00124F99">
        <w:rPr>
          <w:rFonts w:eastAsia="Times New Roman" w:cstheme="minorHAnsi"/>
          <w:b/>
          <w:bCs/>
          <w:sz w:val="27"/>
          <w:szCs w:val="27"/>
          <w:lang w:eastAsia="pl-PL"/>
        </w:rPr>
        <w:t>Pojęcie „pojazd zabytkowy”</w:t>
      </w:r>
      <w:r w:rsidRPr="00124F99">
        <w:rPr>
          <w:rFonts w:eastAsia="Times New Roman" w:cstheme="minorHAnsi"/>
          <w:sz w:val="27"/>
          <w:szCs w:val="27"/>
          <w:lang w:eastAsia="pl-PL"/>
        </w:rPr>
        <w:t xml:space="preserve"> wprowadzone zostało w Ustawie z dnia 20 czerwca 1997 r.  Prawo o ruchu drogowym – art. 2 pkt. 39 oraz art. 79 ust. 4</w:t>
      </w:r>
      <w:r w:rsidR="00A14B67">
        <w:rPr>
          <w:rFonts w:eastAsia="Times New Roman" w:cstheme="minorHAnsi"/>
          <w:sz w:val="27"/>
          <w:szCs w:val="27"/>
          <w:lang w:eastAsia="pl-PL"/>
        </w:rPr>
        <w:t xml:space="preserve"> - </w:t>
      </w:r>
      <w:proofErr w:type="gramStart"/>
      <w:r w:rsidRPr="00124F99">
        <w:rPr>
          <w:rFonts w:eastAsia="Times New Roman" w:cstheme="minorHAnsi"/>
          <w:sz w:val="27"/>
          <w:szCs w:val="27"/>
          <w:lang w:eastAsia="pl-PL"/>
        </w:rPr>
        <w:t>w  kontekście</w:t>
      </w:r>
      <w:proofErr w:type="gramEnd"/>
      <w:r w:rsidRPr="00124F99">
        <w:rPr>
          <w:rFonts w:eastAsia="Times New Roman" w:cstheme="minorHAnsi"/>
          <w:sz w:val="27"/>
          <w:szCs w:val="27"/>
          <w:lang w:eastAsia="pl-PL"/>
        </w:rPr>
        <w:t xml:space="preserve"> możliwości uzyskiwania tablic rejestracyjnych i wprowadzenia statusu „pojazdu zabytkowego”.</w:t>
      </w:r>
    </w:p>
    <w:p w14:paraId="610916EC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O pisemne potwierdzenie włączenia do ewidencji lub wpisania do rejestru zabytków celem przedstawienia w wydziale komunikacji - aby uzyskać tzw. żółte tablice rejestracyjne- może wnioskować do LWKZ właściciel pojazdu o wartościach zabytkowych.</w:t>
      </w:r>
    </w:p>
    <w:p w14:paraId="34C14815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Warunkiem włączenia karty do wojewódzkiej ewidencji zabytków i uzyskania pisemnego potwierdzenia tego faktu jest złożenie w kancelarii WUOZ w Lublinie lub delegatur w Białej Podlaskiej, Chełmie i Zamościu (decyduje miejsce przechowywania pojazdu) następujących </w:t>
      </w:r>
      <w:proofErr w:type="gramStart"/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dokumentów :</w:t>
      </w:r>
      <w:proofErr w:type="gramEnd"/>
    </w:p>
    <w:p w14:paraId="75F71A21" w14:textId="36C37635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1. wniosek</w:t>
      </w:r>
      <w:r w:rsidR="00F747B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 włączenie karty ewidencyjnej do wojewódzkiej ewidencji zabytków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wraz z klauzulą</w:t>
      </w:r>
      <w:r w:rsidR="00F747B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RODO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oświadczeniem o własności /druki </w:t>
      </w:r>
      <w:r w:rsidR="00F747B3">
        <w:rPr>
          <w:rFonts w:eastAsia="Times New Roman" w:cstheme="minorHAnsi"/>
          <w:color w:val="000000"/>
          <w:sz w:val="24"/>
          <w:szCs w:val="24"/>
          <w:lang w:eastAsia="pl-PL"/>
        </w:rPr>
        <w:t>na stronie internetowej wkz.lublin.pl w zakładce pojazdy/</w:t>
      </w:r>
    </w:p>
    <w:p w14:paraId="23B24F4A" w14:textId="01564B59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2. kart</w:t>
      </w:r>
      <w:r w:rsidR="00F747B3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ewidencyjn</w:t>
      </w:r>
      <w:r w:rsidR="00F747B3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ruchomego zabytku techniki w 3 egz. opracowanych zgodnie z wzorem (wzór na stronie </w:t>
      </w:r>
      <w:r w:rsidRPr="00124F99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www.nid.pl.) 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 nie jest możliwe kserowanie, wydruk foto.</w:t>
      </w:r>
    </w:p>
    <w:p w14:paraId="0A98818F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SZCZEGÓŁOWE ZASADY OPRACOWYWANIA KART EWIDENCYJNYCH RUCHOMEGO ZABYTKU TECHNIKI</w:t>
      </w:r>
    </w:p>
    <w:p w14:paraId="17AEFCDB" w14:textId="0B59CA2E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Karta może być opracowana przez </w:t>
      </w:r>
      <w:r w:rsidRPr="00124F99">
        <w:rPr>
          <w:rFonts w:eastAsia="Times New Roman" w:cstheme="minorHAnsi"/>
          <w:b/>
          <w:color w:val="000000"/>
          <w:sz w:val="24"/>
          <w:szCs w:val="24"/>
          <w:lang w:eastAsia="pl-PL"/>
        </w:rPr>
        <w:t>rzeczoznawcę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samochodowego z listy Ministra Transportu, Budownictwa i Gospodarki Morskiej, </w:t>
      </w:r>
      <w:r w:rsidRPr="00124F9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eksperta 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listy ekspertów dziedziny motoryzacji i oceny pojazdów zabytkowych rekomendowanej przez Zespół Porozumiewawczy Ekspertów </w:t>
      </w:r>
      <w:r w:rsidR="00315A64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ds. Pojazdów Zabytkowych Krajowego Porozumienia Stowarzyszeń Rzeczoznawców Samochodowych lub </w:t>
      </w:r>
      <w:r w:rsidRPr="00124F99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właściciela 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pojazdu, o ile posiada on wystarczającą wiedzę w tym zakresie i możliwości techniczne, zgodnie z instrukcją opracowywania kart ewidencyjnych zabytków techniki zamieszczoną przez Narodowy Instytut Dziedzictwa (</w:t>
      </w:r>
      <w:r w:rsidRPr="00124F99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>www.nid.pl</w:t>
      </w:r>
      <w:r w:rsidRPr="00124F99">
        <w:rPr>
          <w:rFonts w:eastAsia="Times New Roman" w:cstheme="minorHAnsi"/>
          <w:color w:val="000000"/>
          <w:sz w:val="24"/>
          <w:szCs w:val="24"/>
          <w:lang w:eastAsia="pl-PL"/>
        </w:rPr>
        <w:t>).</w:t>
      </w:r>
    </w:p>
    <w:p w14:paraId="2F270FFD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W karcie ewidencyjnej muszą znaleźć się następujące dane:</w:t>
      </w:r>
    </w:p>
    <w:p w14:paraId="089D19C1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wiek pojazdu (rok produkcji),</w:t>
      </w:r>
    </w:p>
    <w:p w14:paraId="0DF1C779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czas rozpoczęcia i zakończenia produkcji danego typu i modelu,</w:t>
      </w:r>
    </w:p>
    <w:p w14:paraId="0F7E35F1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ilość wyprodukowanych egzemplarzy danego typu i modelu</w:t>
      </w:r>
    </w:p>
    <w:p w14:paraId="77E80EE0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numer porządkowy pojazdu, numer silnika pojazdu (</w:t>
      </w:r>
      <w:r w:rsidRPr="00124F99">
        <w:rPr>
          <w:rFonts w:cstheme="minorHAnsi"/>
          <w:sz w:val="24"/>
          <w:szCs w:val="24"/>
        </w:rPr>
        <w:t>lub informacja z jakiego powodu nie podaje się numeru silnika - silniki nie były numerowane, brak dostępu do numeru silnika itp.),</w:t>
      </w:r>
    </w:p>
    <w:p w14:paraId="1C8FADA6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szczegółowo opisana kompletność części pojazdu,</w:t>
      </w:r>
    </w:p>
    <w:p w14:paraId="4F057FF6" w14:textId="620EB0D5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stopień autentyczności, oryginalności pojazdu, min. 75% zachowanych oryginalnych części, w tym główne </w:t>
      </w:r>
      <w:proofErr w:type="gramStart"/>
      <w:r w:rsidRPr="00124F99">
        <w:rPr>
          <w:rFonts w:eastAsia="Times New Roman" w:cstheme="minorHAnsi"/>
          <w:sz w:val="24"/>
          <w:szCs w:val="24"/>
          <w:lang w:eastAsia="pl-PL"/>
        </w:rPr>
        <w:t>podzespoły,</w:t>
      </w:r>
      <w:proofErr w:type="gramEnd"/>
      <w:r w:rsidRPr="00124F99">
        <w:rPr>
          <w:rFonts w:eastAsia="Times New Roman" w:cstheme="minorHAnsi"/>
          <w:sz w:val="24"/>
          <w:szCs w:val="24"/>
          <w:lang w:eastAsia="pl-PL"/>
        </w:rPr>
        <w:t xml:space="preserve"> (do </w:t>
      </w:r>
      <w:r w:rsidR="00E457B6" w:rsidRPr="00124F99">
        <w:rPr>
          <w:rFonts w:eastAsia="Times New Roman" w:cstheme="minorHAnsi"/>
          <w:sz w:val="24"/>
          <w:szCs w:val="24"/>
          <w:lang w:eastAsia="pl-PL"/>
        </w:rPr>
        <w:t xml:space="preserve">WEZ </w:t>
      </w:r>
      <w:r w:rsidRPr="00124F99">
        <w:rPr>
          <w:rFonts w:eastAsia="Times New Roman" w:cstheme="minorHAnsi"/>
          <w:sz w:val="24"/>
          <w:szCs w:val="24"/>
          <w:lang w:eastAsia="pl-PL"/>
        </w:rPr>
        <w:t>nie włącza się pojazdów z założoną wtórnie instalacją gazową),</w:t>
      </w:r>
    </w:p>
    <w:p w14:paraId="210AE539" w14:textId="334E53A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lastRenderedPageBreak/>
        <w:t xml:space="preserve">historia obiektu winna uwzględniać fakty bezpośrednio z nim związane: należy podać dane dotyczące projektantów, konstruktorów, wytwórcy, właścicieli i użytkowników oraz wymienić funkcje, jakie obiekt pełnił w przeszłości, zmiany miejsca pracy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>i przechowywania (rubryka 15 karty ewidencyjnej),</w:t>
      </w:r>
    </w:p>
    <w:p w14:paraId="3A0881EA" w14:textId="77777777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opis i charakterystyka techniczna: należy podać parametry i cechy techniczne obiektu, czytelny opis konstrukcji i budowy, napędu i sterowania, materiał i technikę wykonania, </w:t>
      </w:r>
      <w:r w:rsidRPr="00124F99">
        <w:rPr>
          <w:rFonts w:eastAsia="Times New Roman" w:cstheme="minorHAnsi"/>
          <w:b/>
          <w:sz w:val="24"/>
          <w:szCs w:val="24"/>
          <w:lang w:eastAsia="pl-PL"/>
        </w:rPr>
        <w:t>wskazując cechy świadczące o tym, że pojazd jest świadectwem minionej epoki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lub wydarzenia</w:t>
      </w:r>
      <w:r w:rsidRPr="00124F99">
        <w:rPr>
          <w:rFonts w:eastAsia="Times New Roman" w:cstheme="minorHAnsi"/>
          <w:sz w:val="24"/>
          <w:szCs w:val="24"/>
          <w:lang w:eastAsia="pl-PL"/>
        </w:rPr>
        <w:t>. Jeżeli występują rozwiązania nowatorskie, oryginalne, współcześnie nie stosowane, należy je podać u dołu rubryki (rubryka 16 karty ewidencyjnej),</w:t>
      </w:r>
    </w:p>
    <w:p w14:paraId="736CCF69" w14:textId="5FEFDF23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remonty, zmiany konstrukcyjne, modernizacje: należy wymienić wykonane prace konserwatorskie, określić sposób i zakres wykonania prac (np. które części </w:t>
      </w:r>
      <w:proofErr w:type="gramStart"/>
      <w:r w:rsidRPr="00124F99">
        <w:rPr>
          <w:rFonts w:eastAsia="Times New Roman" w:cstheme="minorHAnsi"/>
          <w:sz w:val="24"/>
          <w:szCs w:val="24"/>
          <w:lang w:eastAsia="pl-PL"/>
        </w:rPr>
        <w:t>wymieniono,</w:t>
      </w:r>
      <w:proofErr w:type="gramEnd"/>
      <w:r w:rsidRPr="00124F99">
        <w:rPr>
          <w:rFonts w:eastAsia="Times New Roman" w:cstheme="minorHAnsi"/>
          <w:sz w:val="24"/>
          <w:szCs w:val="24"/>
          <w:lang w:eastAsia="pl-PL"/>
        </w:rPr>
        <w:t xml:space="preserve"> czy pozyskano je z innych egzemplarzy tego samego typu i modelu,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>czy odtworzono własnoręcznie, czy zastąpiono oryginalne części nowo wyprodukowanymi z podaniem producenta). Podać krótki opis prac konserwatorskich, ich wykonawcę i czas trwania (rubryka 19 karty ewidencyjnej),</w:t>
      </w:r>
    </w:p>
    <w:p w14:paraId="305DF471" w14:textId="18A0B555" w:rsidR="00074DFB" w:rsidRPr="00124F99" w:rsidRDefault="00074DFB" w:rsidP="00315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stan zachowania i potrzeby konserwatorskie: należy opisać stan techniczny całości</w:t>
      </w:r>
      <w:r w:rsidR="00315A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i poszczególnych elementów obiektu z uwzględnieniem wszystkich rodzajów zniszczeń i zmian, odbiegających od stanu </w:t>
      </w:r>
      <w:proofErr w:type="gramStart"/>
      <w:r w:rsidRPr="00124F99">
        <w:rPr>
          <w:rFonts w:eastAsia="Times New Roman" w:cstheme="minorHAnsi"/>
          <w:sz w:val="24"/>
          <w:szCs w:val="24"/>
          <w:lang w:eastAsia="pl-PL"/>
        </w:rPr>
        <w:t>pierwotnego .</w:t>
      </w:r>
      <w:proofErr w:type="gramEnd"/>
      <w:r w:rsidRPr="00124F99">
        <w:rPr>
          <w:rFonts w:eastAsia="Times New Roman" w:cstheme="minorHAnsi"/>
          <w:sz w:val="24"/>
          <w:szCs w:val="24"/>
          <w:lang w:eastAsia="pl-PL"/>
        </w:rPr>
        <w:t xml:space="preserve"> Zwrócić uwagę na zachowane elementy pierwotne (rubryka 20 karty ewidencyjnej), </w:t>
      </w:r>
    </w:p>
    <w:p w14:paraId="1F777249" w14:textId="68593B8B" w:rsidR="00074DFB" w:rsidRPr="00124F99" w:rsidRDefault="00074DFB" w:rsidP="00315A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fotografie: </w:t>
      </w:r>
      <w:r w:rsidRPr="00124F99">
        <w:rPr>
          <w:rFonts w:cstheme="minorHAnsi"/>
          <w:sz w:val="24"/>
          <w:szCs w:val="24"/>
        </w:rPr>
        <w:t xml:space="preserve">zdjęcia </w:t>
      </w:r>
      <w:r w:rsidRPr="00124F99">
        <w:rPr>
          <w:rFonts w:cstheme="minorHAnsi"/>
          <w:sz w:val="24"/>
          <w:szCs w:val="24"/>
          <w:u w:val="single"/>
        </w:rPr>
        <w:t>dokumentalne</w:t>
      </w:r>
      <w:r w:rsidRPr="00124F99">
        <w:rPr>
          <w:rFonts w:cstheme="minorHAnsi"/>
          <w:sz w:val="24"/>
          <w:szCs w:val="24"/>
        </w:rPr>
        <w:t xml:space="preserve"> (ostre, wykonane na wprost pojazdu, a nie z ukosa): widoku obu boków, przodu i tyłu pojazdu, widok na silnik z góry, aby wszystkie części </w:t>
      </w:r>
      <w:r w:rsidR="00315A64">
        <w:rPr>
          <w:rFonts w:cstheme="minorHAnsi"/>
          <w:sz w:val="24"/>
          <w:szCs w:val="24"/>
        </w:rPr>
        <w:br/>
      </w:r>
      <w:r w:rsidRPr="00124F99">
        <w:rPr>
          <w:rFonts w:cstheme="minorHAnsi"/>
          <w:sz w:val="24"/>
          <w:szCs w:val="24"/>
        </w:rPr>
        <w:t>i całość przestrzeni pod maską były widoczne, widok na bagażnik, widok na wnętrze pojazdu, widok na deskę rozdzielczą pokazujący wskaźniki, zdjęcia znaków firmowych.</w:t>
      </w:r>
    </w:p>
    <w:p w14:paraId="44682F30" w14:textId="77777777" w:rsidR="00074DFB" w:rsidRPr="00124F99" w:rsidRDefault="00074DFB" w:rsidP="00315A64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E72804" w14:textId="1A53A12D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Tak szczegółowe i opisowe opracowanie karty pozwala na przyjęcie przez LWKZ jedynie dokumentacji w formie karty i daje możliwości odstąpienia od dostarczenia opinii, w której zawarte będą dowody na to, że pojazd jest świadectwem minionej epoki w motoryzacji.</w:t>
      </w:r>
    </w:p>
    <w:p w14:paraId="1DF70AA8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1CC6773" w14:textId="66953553" w:rsidR="00315A64" w:rsidRDefault="00074DFB" w:rsidP="00315A64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124F99">
        <w:rPr>
          <w:rFonts w:cstheme="minorHAnsi"/>
          <w:b/>
          <w:bCs/>
          <w:sz w:val="24"/>
          <w:szCs w:val="24"/>
          <w:lang w:eastAsia="pl-PL"/>
        </w:rPr>
        <w:t>ZASADY WŁĄCZANIA KART POJAZDÓW DO WOJEWÓDZKIEJ EWIDENCJI</w:t>
      </w:r>
    </w:p>
    <w:p w14:paraId="29608368" w14:textId="27B4E546" w:rsidR="00074DFB" w:rsidRPr="00124F99" w:rsidRDefault="00074DFB" w:rsidP="00315A64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124F99">
        <w:rPr>
          <w:rFonts w:cstheme="minorHAnsi"/>
          <w:b/>
          <w:bCs/>
          <w:sz w:val="24"/>
          <w:szCs w:val="24"/>
          <w:lang w:eastAsia="pl-PL"/>
        </w:rPr>
        <w:t>ZABYTKÓW WOJ. LUBELSKIEGO</w:t>
      </w:r>
    </w:p>
    <w:p w14:paraId="5BA15ED7" w14:textId="77777777" w:rsidR="009E12ED" w:rsidRPr="00124F99" w:rsidRDefault="009E12ED" w:rsidP="00315A64">
      <w:pPr>
        <w:pStyle w:val="Bezodstpw"/>
        <w:jc w:val="both"/>
        <w:rPr>
          <w:rFonts w:cstheme="minorHAnsi"/>
          <w:b/>
          <w:bCs/>
          <w:sz w:val="24"/>
          <w:szCs w:val="24"/>
          <w:lang w:eastAsia="pl-PL"/>
        </w:rPr>
      </w:pPr>
    </w:p>
    <w:p w14:paraId="5BBF1AA5" w14:textId="052BA080" w:rsidR="00074DFB" w:rsidRPr="00124F99" w:rsidRDefault="00074DFB" w:rsidP="00F747B3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124F99">
        <w:rPr>
          <w:rFonts w:cstheme="minorHAnsi"/>
          <w:b/>
          <w:bCs/>
          <w:sz w:val="24"/>
          <w:szCs w:val="24"/>
          <w:lang w:eastAsia="pl-PL"/>
        </w:rPr>
        <w:t>OBOWIĄZUJ</w:t>
      </w:r>
      <w:r w:rsidR="009E12ED" w:rsidRPr="00124F99">
        <w:rPr>
          <w:rFonts w:cstheme="minorHAnsi"/>
          <w:b/>
          <w:bCs/>
          <w:sz w:val="24"/>
          <w:szCs w:val="24"/>
          <w:lang w:eastAsia="pl-PL"/>
        </w:rPr>
        <w:t>Ą</w:t>
      </w:r>
      <w:r w:rsidRPr="00124F99">
        <w:rPr>
          <w:rFonts w:cstheme="minorHAnsi"/>
          <w:b/>
          <w:bCs/>
          <w:sz w:val="24"/>
          <w:szCs w:val="24"/>
          <w:lang w:eastAsia="pl-PL"/>
        </w:rPr>
        <w:t xml:space="preserve"> OD 01.01.2025 r. </w:t>
      </w:r>
    </w:p>
    <w:p w14:paraId="4D6E2121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Opracowane na podstawie propozycji wytycznych zawartych w piśmie Departamentu Ochrony Zabytków Ministerstwa Kultury i Dziedzictwa Narodowego, znak: DOZ-KiNK.6521.30.2023.AS. z 23 maja 2024 r.</w:t>
      </w:r>
    </w:p>
    <w:p w14:paraId="118E18ED" w14:textId="77777777" w:rsidR="003847C0" w:rsidRPr="00124F99" w:rsidRDefault="00074DFB" w:rsidP="00315A6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Podczas kwalifikowania kart pojazdów zabytkowych do włączenia do wojewódzkiej ewidencji zabytków LWKZ bierze pod uwagę: </w:t>
      </w:r>
    </w:p>
    <w:p w14:paraId="4E18B8FF" w14:textId="0F15B65C" w:rsidR="00074DFB" w:rsidRPr="00124F99" w:rsidRDefault="00074DFB" w:rsidP="00315A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prawidłowo opracowaną dokumentację,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 prezentującą odpowiedni poziom merytoryczny (opracowaną zgodnie z instrukcją NID i niniejszymi zasadami).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>W przypadkach budzących wątpliwości LWKZ może dokonać oględzin pojazdu, będącego przedmiotem dokumentacji.</w:t>
      </w:r>
    </w:p>
    <w:p w14:paraId="257DF285" w14:textId="4F0199B3" w:rsidR="00074DFB" w:rsidRPr="00124F99" w:rsidRDefault="00074DFB" w:rsidP="00315A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minimalne kryterium wiekowe: 43 lata dla pojazdów zabytkowych wyprodukowanych poza Polską. 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Data 1982 r. jest początkiem epoki elektroniki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>w rozwoju motoryzacji.</w:t>
      </w:r>
    </w:p>
    <w:p w14:paraId="5D0E286B" w14:textId="4108063C" w:rsidR="00590BFF" w:rsidRPr="00124F99" w:rsidRDefault="00074DFB" w:rsidP="00315A64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pl-PL"/>
        </w:rPr>
      </w:pPr>
      <w:r w:rsidRPr="00124F99">
        <w:rPr>
          <w:rFonts w:cstheme="minorHAnsi"/>
          <w:b/>
          <w:bCs/>
          <w:sz w:val="24"/>
          <w:szCs w:val="24"/>
          <w:lang w:eastAsia="pl-PL"/>
        </w:rPr>
        <w:t>minimalne kryterium wiekowe: 30 lat dla pojazdów zabytkowych wyprodukowanych w Polsce</w:t>
      </w:r>
      <w:r w:rsidR="0044483E" w:rsidRPr="00124F99">
        <w:rPr>
          <w:rFonts w:cstheme="minorHAnsi"/>
          <w:sz w:val="24"/>
          <w:szCs w:val="24"/>
          <w:lang w:eastAsia="pl-PL"/>
        </w:rPr>
        <w:t xml:space="preserve">. </w:t>
      </w:r>
      <w:r w:rsidR="006F6C14" w:rsidRPr="00124F99">
        <w:rPr>
          <w:rFonts w:cstheme="minorHAnsi"/>
          <w:sz w:val="24"/>
          <w:szCs w:val="24"/>
          <w:lang w:eastAsia="pl-PL"/>
        </w:rPr>
        <w:t xml:space="preserve">Kryterium dotyczy </w:t>
      </w:r>
      <w:r w:rsidR="006C7243" w:rsidRPr="00124F99">
        <w:rPr>
          <w:rFonts w:cstheme="minorHAnsi"/>
          <w:sz w:val="24"/>
          <w:szCs w:val="24"/>
          <w:lang w:eastAsia="pl-PL"/>
        </w:rPr>
        <w:t xml:space="preserve">zabytkowych samochodów osobowych, dostawczych, autobusów </w:t>
      </w:r>
      <w:r w:rsidR="00D45F4E" w:rsidRPr="00124F99">
        <w:rPr>
          <w:rFonts w:cstheme="minorHAnsi"/>
          <w:sz w:val="24"/>
          <w:szCs w:val="24"/>
          <w:lang w:eastAsia="pl-PL"/>
        </w:rPr>
        <w:t xml:space="preserve">polskiej konstrukcji i </w:t>
      </w:r>
      <w:proofErr w:type="gramStart"/>
      <w:r w:rsidR="00D45F4E" w:rsidRPr="00124F99">
        <w:rPr>
          <w:rFonts w:cstheme="minorHAnsi"/>
          <w:sz w:val="24"/>
          <w:szCs w:val="24"/>
          <w:lang w:eastAsia="pl-PL"/>
        </w:rPr>
        <w:t xml:space="preserve">produkcji, </w:t>
      </w:r>
      <w:r w:rsidR="002A7153" w:rsidRPr="00124F99">
        <w:rPr>
          <w:rFonts w:cstheme="minorHAnsi"/>
          <w:sz w:val="24"/>
          <w:szCs w:val="24"/>
          <w:lang w:eastAsia="pl-PL"/>
        </w:rPr>
        <w:t xml:space="preserve"> </w:t>
      </w:r>
      <w:r w:rsidR="006F6C14" w:rsidRPr="00124F99">
        <w:rPr>
          <w:rFonts w:cstheme="minorHAnsi"/>
          <w:sz w:val="24"/>
          <w:szCs w:val="24"/>
          <w:lang w:eastAsia="pl-PL"/>
        </w:rPr>
        <w:t>wyprodukowanych</w:t>
      </w:r>
      <w:proofErr w:type="gramEnd"/>
      <w:r w:rsidR="006F6C14" w:rsidRPr="00124F99">
        <w:rPr>
          <w:rFonts w:cstheme="minorHAnsi"/>
          <w:sz w:val="24"/>
          <w:szCs w:val="24"/>
          <w:lang w:eastAsia="pl-PL"/>
        </w:rPr>
        <w:t xml:space="preserve"> w oparciu o polską myśl </w:t>
      </w:r>
      <w:r w:rsidR="00D45F4E" w:rsidRPr="00124F99">
        <w:rPr>
          <w:rFonts w:cstheme="minorHAnsi"/>
          <w:sz w:val="24"/>
          <w:szCs w:val="24"/>
          <w:lang w:eastAsia="pl-PL"/>
        </w:rPr>
        <w:t>techniczną</w:t>
      </w:r>
      <w:r w:rsidR="0044483E" w:rsidRPr="00124F99">
        <w:rPr>
          <w:rFonts w:cstheme="minorHAnsi"/>
          <w:sz w:val="24"/>
          <w:szCs w:val="24"/>
          <w:lang w:eastAsia="pl-PL"/>
        </w:rPr>
        <w:t xml:space="preserve"> </w:t>
      </w:r>
      <w:r w:rsidR="006F6C14" w:rsidRPr="00124F99">
        <w:rPr>
          <w:rFonts w:cstheme="minorHAnsi"/>
          <w:sz w:val="24"/>
          <w:szCs w:val="24"/>
          <w:lang w:eastAsia="pl-PL"/>
        </w:rPr>
        <w:t>w fabrykach: Fabryka Samochodów Osobowych, Fabryka Samochodów Małolitrażowych, Fabryka Samochodów Ciężarowych</w:t>
      </w:r>
      <w:r w:rsidR="00F360E2" w:rsidRPr="00124F99">
        <w:rPr>
          <w:rFonts w:cstheme="minorHAnsi"/>
          <w:sz w:val="24"/>
          <w:szCs w:val="24"/>
          <w:lang w:eastAsia="pl-PL"/>
        </w:rPr>
        <w:t xml:space="preserve"> oraz p</w:t>
      </w:r>
      <w:r w:rsidR="006C7243" w:rsidRPr="00124F99">
        <w:rPr>
          <w:rFonts w:cstheme="minorHAnsi"/>
          <w:sz w:val="24"/>
          <w:szCs w:val="24"/>
          <w:lang w:eastAsia="pl-PL"/>
        </w:rPr>
        <w:t>olski</w:t>
      </w:r>
      <w:r w:rsidR="00F360E2" w:rsidRPr="00124F99">
        <w:rPr>
          <w:rFonts w:cstheme="minorHAnsi"/>
          <w:sz w:val="24"/>
          <w:szCs w:val="24"/>
          <w:lang w:eastAsia="pl-PL"/>
        </w:rPr>
        <w:t>ch</w:t>
      </w:r>
      <w:r w:rsidR="006C7243" w:rsidRPr="00124F99">
        <w:rPr>
          <w:rFonts w:cstheme="minorHAnsi"/>
          <w:sz w:val="24"/>
          <w:szCs w:val="24"/>
          <w:lang w:eastAsia="pl-PL"/>
        </w:rPr>
        <w:t xml:space="preserve"> pojazd</w:t>
      </w:r>
      <w:r w:rsidR="00F360E2" w:rsidRPr="00124F99">
        <w:rPr>
          <w:rFonts w:cstheme="minorHAnsi"/>
          <w:sz w:val="24"/>
          <w:szCs w:val="24"/>
          <w:lang w:eastAsia="pl-PL"/>
        </w:rPr>
        <w:t>ów</w:t>
      </w:r>
      <w:r w:rsidR="006C7243" w:rsidRPr="00124F99">
        <w:rPr>
          <w:rFonts w:cstheme="minorHAnsi"/>
          <w:sz w:val="24"/>
          <w:szCs w:val="24"/>
          <w:lang w:eastAsia="pl-PL"/>
        </w:rPr>
        <w:t xml:space="preserve"> jednośladow</w:t>
      </w:r>
      <w:r w:rsidR="00F360E2" w:rsidRPr="00124F99">
        <w:rPr>
          <w:rFonts w:cstheme="minorHAnsi"/>
          <w:sz w:val="24"/>
          <w:szCs w:val="24"/>
          <w:lang w:eastAsia="pl-PL"/>
        </w:rPr>
        <w:t>ych</w:t>
      </w:r>
      <w:r w:rsidR="006C7243" w:rsidRPr="00124F99">
        <w:rPr>
          <w:rFonts w:cstheme="minorHAnsi"/>
          <w:sz w:val="24"/>
          <w:szCs w:val="24"/>
          <w:lang w:eastAsia="pl-PL"/>
        </w:rPr>
        <w:t xml:space="preserve"> (motocykl</w:t>
      </w:r>
      <w:r w:rsidR="00F360E2" w:rsidRPr="00124F99">
        <w:rPr>
          <w:rFonts w:cstheme="minorHAnsi"/>
          <w:sz w:val="24"/>
          <w:szCs w:val="24"/>
          <w:lang w:eastAsia="pl-PL"/>
        </w:rPr>
        <w:t>i</w:t>
      </w:r>
      <w:r w:rsidR="006C7243" w:rsidRPr="00124F99">
        <w:rPr>
          <w:rFonts w:cstheme="minorHAnsi"/>
          <w:sz w:val="24"/>
          <w:szCs w:val="24"/>
          <w:lang w:eastAsia="pl-PL"/>
        </w:rPr>
        <w:t xml:space="preserve"> i motorower</w:t>
      </w:r>
      <w:r w:rsidR="00F360E2" w:rsidRPr="00124F99">
        <w:rPr>
          <w:rFonts w:cstheme="minorHAnsi"/>
          <w:sz w:val="24"/>
          <w:szCs w:val="24"/>
          <w:lang w:eastAsia="pl-PL"/>
        </w:rPr>
        <w:t>ów</w:t>
      </w:r>
      <w:r w:rsidR="006C7243" w:rsidRPr="00124F99">
        <w:rPr>
          <w:rFonts w:cstheme="minorHAnsi"/>
          <w:sz w:val="24"/>
          <w:szCs w:val="24"/>
          <w:lang w:eastAsia="pl-PL"/>
        </w:rPr>
        <w:t>)</w:t>
      </w:r>
      <w:r w:rsidR="00F360E2" w:rsidRPr="00124F99">
        <w:rPr>
          <w:rFonts w:cstheme="minorHAnsi"/>
          <w:sz w:val="24"/>
          <w:szCs w:val="24"/>
          <w:lang w:eastAsia="pl-PL"/>
        </w:rPr>
        <w:t>.</w:t>
      </w:r>
    </w:p>
    <w:p w14:paraId="48339403" w14:textId="04FFB8D5" w:rsidR="00074DFB" w:rsidRPr="00124F99" w:rsidRDefault="00074DFB" w:rsidP="00315A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miejsce przechowywania pojazdu zabytkowego powiązane z miejscem pobytu użytkownika pojazdu na terenie województwa lubelskiego.</w:t>
      </w:r>
    </w:p>
    <w:p w14:paraId="7DC2113A" w14:textId="0F576D33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Przedstawiona dokumentacja – karta ewidencyjna ruchomego zabytku techniki i ewentualnie opinia opracowana przez rzeczoznawcę samochodowego </w:t>
      </w: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winna uzasadniać, że opisywany pojazd jest zabytkiem, czyli zgodnie z art. 3 ustawy o ochronie zabytków (</w:t>
      </w:r>
      <w:proofErr w:type="spellStart"/>
      <w:r w:rsidR="00315A64">
        <w:rPr>
          <w:rFonts w:eastAsia="Times New Roman" w:cstheme="minorHAnsi"/>
          <w:b/>
          <w:bCs/>
          <w:sz w:val="24"/>
          <w:szCs w:val="24"/>
          <w:lang w:eastAsia="pl-PL"/>
        </w:rPr>
        <w:t>t.j</w:t>
      </w:r>
      <w:proofErr w:type="spellEnd"/>
      <w:r w:rsidR="00315A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Dz.U. 2024 poz. 1292</w:t>
      </w:r>
      <w:r w:rsidR="00315A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ze zm.</w:t>
      </w:r>
      <w:r w:rsidRPr="00124F99">
        <w:rPr>
          <w:rFonts w:eastAsia="Times New Roman" w:cstheme="minorHAnsi"/>
          <w:b/>
          <w:bCs/>
          <w:sz w:val="24"/>
          <w:szCs w:val="24"/>
          <w:lang w:eastAsia="pl-PL"/>
        </w:rPr>
        <w:t>), jest świadectwem minionej epoki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91BCB9E" w14:textId="28050516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Uwaga! Użycie zwrotu np. „rozwiązania techniczne i historia polskiej motoryzacji w pełni kwalifikują ten pojazd jako zabytkowy, stanowiący świadectwo minionej epoki” nie zastępuje wnikliwego uzasadnienia merytorycznego. Zachowanie obiektu z pespektywy interesu społecznego musi być uzasadnione ze względu na wartość historyczną, artystyczną </w:t>
      </w:r>
      <w:r w:rsidR="00315A64">
        <w:rPr>
          <w:rFonts w:eastAsia="Times New Roman" w:cstheme="minorHAnsi"/>
          <w:sz w:val="24"/>
          <w:szCs w:val="24"/>
          <w:lang w:eastAsia="pl-PL"/>
        </w:rPr>
        <w:br/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lub naukową. </w:t>
      </w:r>
    </w:p>
    <w:p w14:paraId="5A5F3574" w14:textId="150CDAE9" w:rsidR="00074DFB" w:rsidRPr="00124F99" w:rsidRDefault="00074DFB" w:rsidP="00315A64">
      <w:pPr>
        <w:spacing w:before="100" w:beforeAutospacing="1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 xml:space="preserve">Na podstawie wnikliwej oceny wskazanych powyżej dokumentów oraz uwarunkowań, LWKZ dokonuje rozstrzygnięcia czy włączyć kartę ewidencyjną do </w:t>
      </w:r>
      <w:r w:rsidR="00E457B6" w:rsidRPr="00124F99">
        <w:rPr>
          <w:rFonts w:eastAsia="Times New Roman" w:cstheme="minorHAnsi"/>
          <w:sz w:val="24"/>
          <w:szCs w:val="24"/>
          <w:lang w:eastAsia="pl-PL"/>
        </w:rPr>
        <w:t>w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ojewódzkiej </w:t>
      </w:r>
      <w:r w:rsidR="00E457B6" w:rsidRPr="00124F99">
        <w:rPr>
          <w:rFonts w:eastAsia="Times New Roman" w:cstheme="minorHAnsi"/>
          <w:sz w:val="24"/>
          <w:szCs w:val="24"/>
          <w:lang w:eastAsia="pl-PL"/>
        </w:rPr>
        <w:t>e</w:t>
      </w:r>
      <w:r w:rsidRPr="00124F99">
        <w:rPr>
          <w:rFonts w:eastAsia="Times New Roman" w:cstheme="minorHAnsi"/>
          <w:sz w:val="24"/>
          <w:szCs w:val="24"/>
          <w:lang w:eastAsia="pl-PL"/>
        </w:rPr>
        <w:t xml:space="preserve">widencji </w:t>
      </w:r>
      <w:r w:rsidR="00E457B6" w:rsidRPr="00124F99">
        <w:rPr>
          <w:rFonts w:eastAsia="Times New Roman" w:cstheme="minorHAnsi"/>
          <w:sz w:val="24"/>
          <w:szCs w:val="24"/>
          <w:lang w:eastAsia="pl-PL"/>
        </w:rPr>
        <w:t>z</w:t>
      </w:r>
      <w:r w:rsidRPr="00124F99">
        <w:rPr>
          <w:rFonts w:eastAsia="Times New Roman" w:cstheme="minorHAnsi"/>
          <w:sz w:val="24"/>
          <w:szCs w:val="24"/>
          <w:lang w:eastAsia="pl-PL"/>
        </w:rPr>
        <w:t>abytków czy też odmówić włączenia. Odmowa włączenia nie blokuje możliwości rejestracji pojazdu wyrejestrowanego, gdyż według prawa o ruchu drogowym:</w:t>
      </w:r>
    </w:p>
    <w:p w14:paraId="119280CE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Art. 79 ust. 4. Pojazd wyrejestrowany nie podlega powtórnej rejestracji, z wyjątkiem pojazdu:</w:t>
      </w:r>
    </w:p>
    <w:p w14:paraId="3C641443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1) odzyskanego po kradzieży;</w:t>
      </w:r>
    </w:p>
    <w:p w14:paraId="666A155F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2) zabytkowego;</w:t>
      </w:r>
    </w:p>
    <w:p w14:paraId="0EC2BED9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u w:val="single"/>
          <w:lang w:eastAsia="pl-PL"/>
        </w:rPr>
        <w:t>3) mającego co najmniej 25 lat uznanego przez rzeczoznawcę samochodowego za unikatowy lub mający szczególne znaczenie dla udokumentowania historii motoryzacji;</w:t>
      </w:r>
    </w:p>
    <w:p w14:paraId="60203C6F" w14:textId="77777777" w:rsidR="00074DFB" w:rsidRPr="00124F99" w:rsidRDefault="00074DFB" w:rsidP="00315A64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4) ciągnika i przyczepy rolniczej;</w:t>
      </w:r>
    </w:p>
    <w:p w14:paraId="4FBB519B" w14:textId="77777777" w:rsidR="00074DFB" w:rsidRPr="00124F99" w:rsidRDefault="00074DFB" w:rsidP="00315A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4F99">
        <w:rPr>
          <w:rFonts w:eastAsia="Times New Roman" w:cstheme="minorHAnsi"/>
          <w:sz w:val="24"/>
          <w:szCs w:val="24"/>
          <w:lang w:eastAsia="pl-PL"/>
        </w:rPr>
        <w:t>5) wywiezionego z kraju lub zbytego za granicą, o którym mowa w ust. 1 pkt 3.</w:t>
      </w:r>
    </w:p>
    <w:p w14:paraId="603674A2" w14:textId="77777777" w:rsidR="00074DFB" w:rsidRDefault="00074DFB" w:rsidP="00315A64">
      <w:pPr>
        <w:jc w:val="both"/>
      </w:pPr>
    </w:p>
    <w:p w14:paraId="594E8160" w14:textId="77777777" w:rsidR="00074DFB" w:rsidRDefault="00074DFB" w:rsidP="00315A64">
      <w:pPr>
        <w:jc w:val="both"/>
      </w:pPr>
    </w:p>
    <w:sectPr w:rsidR="00074D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4887" w14:textId="77777777" w:rsidR="00315A64" w:rsidRDefault="00315A64" w:rsidP="00315A64">
      <w:pPr>
        <w:spacing w:after="0" w:line="240" w:lineRule="auto"/>
      </w:pPr>
      <w:r>
        <w:separator/>
      </w:r>
    </w:p>
  </w:endnote>
  <w:endnote w:type="continuationSeparator" w:id="0">
    <w:p w14:paraId="21220ECD" w14:textId="77777777" w:rsidR="00315A64" w:rsidRDefault="00315A64" w:rsidP="0031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451814"/>
      <w:docPartObj>
        <w:docPartGallery w:val="Page Numbers (Bottom of Page)"/>
        <w:docPartUnique/>
      </w:docPartObj>
    </w:sdtPr>
    <w:sdtEndPr/>
    <w:sdtContent>
      <w:p w14:paraId="3CF2F0D1" w14:textId="2EC79F40" w:rsidR="00315A64" w:rsidRDefault="00315A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467A6" w14:textId="77777777" w:rsidR="00315A64" w:rsidRDefault="00315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D7FC" w14:textId="77777777" w:rsidR="00315A64" w:rsidRDefault="00315A64" w:rsidP="00315A64">
      <w:pPr>
        <w:spacing w:after="0" w:line="240" w:lineRule="auto"/>
      </w:pPr>
      <w:r>
        <w:separator/>
      </w:r>
    </w:p>
  </w:footnote>
  <w:footnote w:type="continuationSeparator" w:id="0">
    <w:p w14:paraId="4E692550" w14:textId="77777777" w:rsidR="00315A64" w:rsidRDefault="00315A64" w:rsidP="0031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7D0"/>
    <w:multiLevelType w:val="hybridMultilevel"/>
    <w:tmpl w:val="AA3AEFA0"/>
    <w:lvl w:ilvl="0" w:tplc="8E7EED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7D44"/>
    <w:multiLevelType w:val="hybridMultilevel"/>
    <w:tmpl w:val="DA44F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C4DFE"/>
    <w:multiLevelType w:val="multilevel"/>
    <w:tmpl w:val="A5BA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208186">
    <w:abstractNumId w:val="2"/>
  </w:num>
  <w:num w:numId="2" w16cid:durableId="1418016095">
    <w:abstractNumId w:val="1"/>
  </w:num>
  <w:num w:numId="3" w16cid:durableId="211952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B"/>
    <w:rsid w:val="00074DFB"/>
    <w:rsid w:val="00124F99"/>
    <w:rsid w:val="002A7153"/>
    <w:rsid w:val="00315A64"/>
    <w:rsid w:val="003847C0"/>
    <w:rsid w:val="0044483E"/>
    <w:rsid w:val="00590BFF"/>
    <w:rsid w:val="00680452"/>
    <w:rsid w:val="006C7243"/>
    <w:rsid w:val="006F6C14"/>
    <w:rsid w:val="009E12ED"/>
    <w:rsid w:val="00A14B67"/>
    <w:rsid w:val="00AF0247"/>
    <w:rsid w:val="00AF2082"/>
    <w:rsid w:val="00B22AE2"/>
    <w:rsid w:val="00B85261"/>
    <w:rsid w:val="00CA2AEF"/>
    <w:rsid w:val="00D45F4E"/>
    <w:rsid w:val="00E457B6"/>
    <w:rsid w:val="00E510C5"/>
    <w:rsid w:val="00EF2CCE"/>
    <w:rsid w:val="00F360E2"/>
    <w:rsid w:val="00F747B3"/>
    <w:rsid w:val="00FB1A73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68C2"/>
  <w15:chartTrackingRefBased/>
  <w15:docId w15:val="{20249AB3-84E5-42E9-80E3-34FEC9BC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DF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DFB"/>
    <w:pPr>
      <w:ind w:left="720"/>
      <w:contextualSpacing/>
    </w:pPr>
  </w:style>
  <w:style w:type="paragraph" w:styleId="Bezodstpw">
    <w:name w:val="No Spacing"/>
    <w:uiPriority w:val="1"/>
    <w:qFormat/>
    <w:rsid w:val="00074DF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A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A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Tur</cp:lastModifiedBy>
  <cp:revision>7</cp:revision>
  <cp:lastPrinted>2024-12-05T10:55:00Z</cp:lastPrinted>
  <dcterms:created xsi:type="dcterms:W3CDTF">2025-09-19T12:42:00Z</dcterms:created>
  <dcterms:modified xsi:type="dcterms:W3CDTF">2025-09-25T06:50:00Z</dcterms:modified>
</cp:coreProperties>
</file>