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09AAD5" w14:textId="4FE1F1FE" w:rsidR="00864938" w:rsidRPr="003913E7" w:rsidRDefault="0096069A">
      <w:pPr>
        <w:pStyle w:val="Nagwek1"/>
        <w:ind w:left="477" w:right="477"/>
        <w:jc w:val="center"/>
        <w:rPr>
          <w:rFonts w:ascii="Lato" w:hAnsi="Lato"/>
        </w:rPr>
      </w:pPr>
      <w:r w:rsidRPr="003913E7">
        <w:rPr>
          <w:rFonts w:ascii="Lato" w:hAnsi="Lato"/>
        </w:rPr>
        <w:t>SZCZEGÓŁOWY OPIS</w:t>
      </w:r>
      <w:r w:rsidRPr="003913E7">
        <w:rPr>
          <w:rFonts w:ascii="Lato" w:hAnsi="Lato"/>
          <w:spacing w:val="-10"/>
        </w:rPr>
        <w:t xml:space="preserve"> </w:t>
      </w:r>
      <w:r w:rsidRPr="003913E7">
        <w:rPr>
          <w:rFonts w:ascii="Lato" w:hAnsi="Lato"/>
        </w:rPr>
        <w:t>PRZEDMIOTU</w:t>
      </w:r>
      <w:r w:rsidRPr="003913E7">
        <w:rPr>
          <w:rFonts w:ascii="Lato" w:hAnsi="Lato"/>
          <w:spacing w:val="-7"/>
        </w:rPr>
        <w:t xml:space="preserve"> </w:t>
      </w:r>
      <w:r w:rsidRPr="003913E7">
        <w:rPr>
          <w:rFonts w:ascii="Lato" w:hAnsi="Lato"/>
          <w:spacing w:val="-2"/>
        </w:rPr>
        <w:t>ZAKUPU</w:t>
      </w:r>
    </w:p>
    <w:p w14:paraId="2CEB7742" w14:textId="77777777" w:rsidR="00864938" w:rsidRPr="003913E7" w:rsidRDefault="00864938">
      <w:pPr>
        <w:pStyle w:val="Tekstpodstawowy"/>
        <w:rPr>
          <w:rFonts w:ascii="Lato" w:hAnsi="Lato"/>
          <w:b/>
        </w:rPr>
      </w:pPr>
    </w:p>
    <w:p w14:paraId="604AFC8F" w14:textId="5F5B1386" w:rsidR="00864938" w:rsidRPr="003913E7" w:rsidRDefault="0096069A">
      <w:pPr>
        <w:pStyle w:val="Tekstpodstawowy"/>
        <w:spacing w:before="1"/>
        <w:ind w:left="472" w:right="477"/>
        <w:jc w:val="center"/>
        <w:rPr>
          <w:rFonts w:ascii="Lato" w:hAnsi="Lato"/>
          <w:b/>
          <w:bCs/>
          <w:i/>
          <w:iCs/>
        </w:rPr>
      </w:pPr>
      <w:bookmarkStart w:id="0" w:name="_Hlk115695490"/>
      <w:r w:rsidRPr="003913E7">
        <w:rPr>
          <w:rFonts w:ascii="Lato" w:hAnsi="Lato" w:cs="Calibri"/>
          <w:b/>
          <w:bCs/>
        </w:rPr>
        <w:t>Usługa dostawy sygnału telewizyjnego do Ministerstwa Rozwoju i Technologii</w:t>
      </w:r>
      <w:bookmarkEnd w:id="0"/>
    </w:p>
    <w:p w14:paraId="37C7F522" w14:textId="77777777" w:rsidR="00864938" w:rsidRPr="003913E7" w:rsidRDefault="00864938">
      <w:pPr>
        <w:pStyle w:val="Tekstpodstawowy"/>
        <w:spacing w:before="3"/>
        <w:rPr>
          <w:rFonts w:ascii="Lato" w:hAnsi="Lato"/>
        </w:rPr>
      </w:pPr>
    </w:p>
    <w:p w14:paraId="0D13E482" w14:textId="673845EC" w:rsidR="00864938" w:rsidRPr="003913E7" w:rsidRDefault="0096069A">
      <w:pPr>
        <w:pStyle w:val="Tekstpodstawowy"/>
        <w:spacing w:line="276" w:lineRule="auto"/>
        <w:ind w:left="116" w:right="115"/>
        <w:jc w:val="both"/>
        <w:rPr>
          <w:rFonts w:ascii="Lato" w:hAnsi="Lato"/>
        </w:rPr>
      </w:pPr>
      <w:r w:rsidRPr="003913E7">
        <w:rPr>
          <w:rFonts w:ascii="Lato" w:hAnsi="Lato" w:cstheme="minorHAnsi"/>
          <w:color w:val="000000"/>
        </w:rPr>
        <w:t>Usługa dostawy sygnału telewizyjnego do nieruchomości użytkowanych przez Ministerstw</w:t>
      </w:r>
      <w:r w:rsidR="00722E56">
        <w:rPr>
          <w:rFonts w:ascii="Lato" w:hAnsi="Lato" w:cstheme="minorHAnsi"/>
          <w:color w:val="000000"/>
        </w:rPr>
        <w:t>o</w:t>
      </w:r>
      <w:r w:rsidRPr="003913E7">
        <w:rPr>
          <w:rFonts w:ascii="Lato" w:hAnsi="Lato" w:cstheme="minorHAnsi"/>
          <w:color w:val="000000"/>
        </w:rPr>
        <w:t xml:space="preserve"> Rozwoju </w:t>
      </w:r>
      <w:r w:rsidR="00E15793">
        <w:rPr>
          <w:rFonts w:ascii="Lato" w:hAnsi="Lato" w:cstheme="minorHAnsi"/>
          <w:color w:val="000000"/>
        </w:rPr>
        <w:br/>
      </w:r>
      <w:r w:rsidRPr="003913E7">
        <w:rPr>
          <w:rFonts w:ascii="Lato" w:hAnsi="Lato" w:cstheme="minorHAnsi"/>
          <w:color w:val="000000"/>
        </w:rPr>
        <w:t>i Technologii, z wykorzystaniem sieci teleinformatycznej Zamawiającego, dekoderów i innych urządzeń dostarczonych przez usługodawcę, niezbędnych do prawidłowego świadczenia usług, wraz ich montażem i konfiguracją.</w:t>
      </w:r>
    </w:p>
    <w:p w14:paraId="4F3209D2" w14:textId="77777777" w:rsidR="00864938" w:rsidRPr="003913E7" w:rsidRDefault="00864938">
      <w:pPr>
        <w:pStyle w:val="Tekstpodstawowy"/>
        <w:spacing w:before="31"/>
        <w:rPr>
          <w:rFonts w:ascii="Lato" w:hAnsi="Lato"/>
        </w:rPr>
      </w:pPr>
    </w:p>
    <w:p w14:paraId="4DAF98C7" w14:textId="77777777" w:rsidR="00864938" w:rsidRPr="003913E7" w:rsidRDefault="00000000" w:rsidP="003913E7">
      <w:pPr>
        <w:pStyle w:val="Nagwek1"/>
        <w:numPr>
          <w:ilvl w:val="0"/>
          <w:numId w:val="2"/>
        </w:numPr>
        <w:tabs>
          <w:tab w:val="left" w:pos="426"/>
        </w:tabs>
        <w:ind w:left="426" w:hanging="426"/>
        <w:rPr>
          <w:rFonts w:ascii="Lato" w:hAnsi="Lato"/>
        </w:rPr>
      </w:pPr>
      <w:r w:rsidRPr="003913E7">
        <w:rPr>
          <w:rFonts w:ascii="Lato" w:hAnsi="Lato"/>
        </w:rPr>
        <w:t>Informacje</w:t>
      </w:r>
      <w:r w:rsidRPr="003913E7">
        <w:rPr>
          <w:rFonts w:ascii="Lato" w:hAnsi="Lato"/>
          <w:spacing w:val="-10"/>
        </w:rPr>
        <w:t xml:space="preserve"> </w:t>
      </w:r>
      <w:r w:rsidRPr="003913E7">
        <w:rPr>
          <w:rFonts w:ascii="Lato" w:hAnsi="Lato"/>
          <w:spacing w:val="-2"/>
        </w:rPr>
        <w:t>podstawowe:</w:t>
      </w:r>
    </w:p>
    <w:p w14:paraId="00AC4532" w14:textId="4A354D76" w:rsidR="00015F9E" w:rsidRPr="003913E7" w:rsidRDefault="00C346AA" w:rsidP="008259FE">
      <w:pPr>
        <w:pStyle w:val="Nagwek1"/>
        <w:numPr>
          <w:ilvl w:val="0"/>
          <w:numId w:val="4"/>
        </w:numPr>
        <w:tabs>
          <w:tab w:val="left" w:pos="0"/>
        </w:tabs>
        <w:jc w:val="both"/>
        <w:rPr>
          <w:rFonts w:ascii="Lato" w:hAnsi="Lato"/>
          <w:b w:val="0"/>
          <w:bCs w:val="0"/>
        </w:rPr>
      </w:pPr>
      <w:r w:rsidRPr="003913E7">
        <w:rPr>
          <w:rFonts w:ascii="Lato" w:hAnsi="Lato"/>
          <w:b w:val="0"/>
          <w:bCs w:val="0"/>
        </w:rPr>
        <w:t>Miejsce świadczenia usług:</w:t>
      </w:r>
    </w:p>
    <w:p w14:paraId="23B62393" w14:textId="3256522A" w:rsidR="00C346AA" w:rsidRPr="003913E7" w:rsidRDefault="00C346AA" w:rsidP="008259FE">
      <w:pPr>
        <w:pStyle w:val="Nagwek1"/>
        <w:tabs>
          <w:tab w:val="left" w:pos="993"/>
        </w:tabs>
        <w:ind w:left="993" w:hanging="284"/>
        <w:jc w:val="both"/>
        <w:rPr>
          <w:rFonts w:ascii="Lato" w:hAnsi="Lato"/>
          <w:b w:val="0"/>
          <w:bCs w:val="0"/>
        </w:rPr>
      </w:pPr>
      <w:r w:rsidRPr="003913E7">
        <w:rPr>
          <w:rFonts w:ascii="Lato" w:hAnsi="Lato"/>
          <w:b w:val="0"/>
          <w:bCs w:val="0"/>
        </w:rPr>
        <w:t>- wskazane pomieszczenia w budynku Ministerstwa Rozwoju i Technologii, pl. Trzech Krzyży 3/5, Warszawa</w:t>
      </w:r>
      <w:r w:rsidR="003913E7">
        <w:rPr>
          <w:rFonts w:ascii="Lato" w:hAnsi="Lato"/>
          <w:b w:val="0"/>
          <w:bCs w:val="0"/>
        </w:rPr>
        <w:t>;</w:t>
      </w:r>
    </w:p>
    <w:p w14:paraId="399ED467" w14:textId="1A297935" w:rsidR="00C346AA" w:rsidRPr="003913E7" w:rsidRDefault="00C346AA" w:rsidP="008259FE">
      <w:pPr>
        <w:pStyle w:val="Nagwek1"/>
        <w:tabs>
          <w:tab w:val="left" w:pos="993"/>
        </w:tabs>
        <w:ind w:left="993" w:hanging="284"/>
        <w:jc w:val="both"/>
        <w:rPr>
          <w:rFonts w:ascii="Lato" w:hAnsi="Lato"/>
          <w:b w:val="0"/>
          <w:bCs w:val="0"/>
        </w:rPr>
      </w:pPr>
      <w:r w:rsidRPr="003913E7">
        <w:rPr>
          <w:rFonts w:ascii="Lato" w:hAnsi="Lato"/>
          <w:b w:val="0"/>
          <w:bCs w:val="0"/>
        </w:rPr>
        <w:t>- wskazane pomieszczenia w budynku Ministerstwa Rozwoju i Technologii, ul. Chałubińskiego 4</w:t>
      </w:r>
      <w:r w:rsidR="000D3D40">
        <w:rPr>
          <w:rFonts w:ascii="Lato" w:hAnsi="Lato"/>
          <w:b w:val="0"/>
          <w:bCs w:val="0"/>
        </w:rPr>
        <w:t>/6</w:t>
      </w:r>
      <w:r w:rsidRPr="003913E7">
        <w:rPr>
          <w:rFonts w:ascii="Lato" w:hAnsi="Lato"/>
          <w:b w:val="0"/>
          <w:bCs w:val="0"/>
        </w:rPr>
        <w:t>, Warszawa</w:t>
      </w:r>
      <w:r w:rsidR="003913E7">
        <w:rPr>
          <w:rFonts w:ascii="Lato" w:hAnsi="Lato"/>
          <w:b w:val="0"/>
          <w:bCs w:val="0"/>
        </w:rPr>
        <w:t>;</w:t>
      </w:r>
    </w:p>
    <w:p w14:paraId="1C72FFFD" w14:textId="1381F9AD" w:rsidR="00EA74CC" w:rsidRDefault="00C346AA" w:rsidP="008259FE">
      <w:pPr>
        <w:pStyle w:val="Nagwek1"/>
        <w:tabs>
          <w:tab w:val="left" w:pos="993"/>
        </w:tabs>
        <w:ind w:left="993" w:hanging="284"/>
        <w:jc w:val="both"/>
        <w:rPr>
          <w:rFonts w:ascii="Lato" w:hAnsi="Lato"/>
          <w:b w:val="0"/>
          <w:bCs w:val="0"/>
        </w:rPr>
      </w:pPr>
      <w:r w:rsidRPr="003913E7">
        <w:rPr>
          <w:rFonts w:ascii="Lato" w:hAnsi="Lato"/>
          <w:b w:val="0"/>
          <w:bCs w:val="0"/>
        </w:rPr>
        <w:t xml:space="preserve">- </w:t>
      </w:r>
      <w:r w:rsidRPr="00EA74CC">
        <w:rPr>
          <w:rFonts w:ascii="Lato" w:hAnsi="Lato"/>
          <w:b w:val="0"/>
          <w:bCs w:val="0"/>
        </w:rPr>
        <w:t>lokale służbowe Ministerstwa Rozwoju i Technologii zlokalizowane przy ul. Złotej</w:t>
      </w:r>
      <w:r w:rsidR="00EA74CC" w:rsidRPr="00EA74CC">
        <w:rPr>
          <w:rFonts w:ascii="Lato" w:hAnsi="Lato"/>
          <w:b w:val="0"/>
          <w:bCs w:val="0"/>
        </w:rPr>
        <w:t xml:space="preserve"> 70 m.</w:t>
      </w:r>
      <w:r w:rsidR="00F376CA">
        <w:rPr>
          <w:rFonts w:ascii="Lato" w:hAnsi="Lato"/>
          <w:b w:val="0"/>
          <w:bCs w:val="0"/>
        </w:rPr>
        <w:t xml:space="preserve"> </w:t>
      </w:r>
      <w:r w:rsidR="00EA74CC" w:rsidRPr="00EA74CC">
        <w:rPr>
          <w:rFonts w:ascii="Lato" w:hAnsi="Lato"/>
          <w:b w:val="0"/>
          <w:bCs w:val="0"/>
        </w:rPr>
        <w:t>71 i 88</w:t>
      </w:r>
      <w:r w:rsidRPr="00EA74CC">
        <w:rPr>
          <w:rFonts w:ascii="Lato" w:hAnsi="Lato"/>
          <w:b w:val="0"/>
          <w:bCs w:val="0"/>
        </w:rPr>
        <w:t xml:space="preserve">, </w:t>
      </w:r>
      <w:r w:rsidR="00EA74CC" w:rsidRPr="00EA74CC">
        <w:rPr>
          <w:rFonts w:ascii="Lato" w:hAnsi="Lato"/>
          <w:b w:val="0"/>
          <w:bCs w:val="0"/>
        </w:rPr>
        <w:t>ul. Renesansowej 39 m.</w:t>
      </w:r>
      <w:r w:rsidR="00F376CA">
        <w:rPr>
          <w:rFonts w:ascii="Lato" w:hAnsi="Lato"/>
          <w:b w:val="0"/>
          <w:bCs w:val="0"/>
        </w:rPr>
        <w:t xml:space="preserve"> </w:t>
      </w:r>
      <w:r w:rsidR="00EA74CC" w:rsidRPr="00EA74CC">
        <w:rPr>
          <w:rFonts w:ascii="Lato" w:hAnsi="Lato"/>
          <w:b w:val="0"/>
          <w:bCs w:val="0"/>
        </w:rPr>
        <w:t>7</w:t>
      </w:r>
      <w:r w:rsidRPr="00EA74CC">
        <w:rPr>
          <w:rFonts w:ascii="Lato" w:hAnsi="Lato"/>
          <w:b w:val="0"/>
          <w:bCs w:val="0"/>
        </w:rPr>
        <w:t xml:space="preserve">, </w:t>
      </w:r>
      <w:r w:rsidR="00EA74CC" w:rsidRPr="00EA74CC">
        <w:rPr>
          <w:rFonts w:ascii="Lato" w:hAnsi="Lato"/>
          <w:b w:val="0"/>
          <w:bCs w:val="0"/>
        </w:rPr>
        <w:t>ul. Żeromskiego 55/67 lok. 6</w:t>
      </w:r>
      <w:r w:rsidR="00821C8C">
        <w:rPr>
          <w:rFonts w:ascii="Lato" w:hAnsi="Lato"/>
          <w:b w:val="0"/>
          <w:bCs w:val="0"/>
        </w:rPr>
        <w:t>, Warszawa.</w:t>
      </w:r>
    </w:p>
    <w:p w14:paraId="591F0284" w14:textId="60DE5EC3" w:rsidR="003913E7" w:rsidRDefault="003913E7" w:rsidP="008259FE">
      <w:pPr>
        <w:pStyle w:val="Nagwek1"/>
        <w:numPr>
          <w:ilvl w:val="0"/>
          <w:numId w:val="4"/>
        </w:numPr>
        <w:tabs>
          <w:tab w:val="left" w:pos="993"/>
        </w:tabs>
        <w:jc w:val="both"/>
        <w:rPr>
          <w:rFonts w:ascii="Lato" w:hAnsi="Lato"/>
          <w:b w:val="0"/>
          <w:bCs w:val="0"/>
        </w:rPr>
      </w:pPr>
      <w:r>
        <w:rPr>
          <w:rFonts w:ascii="Lato" w:hAnsi="Lato"/>
          <w:b w:val="0"/>
          <w:bCs w:val="0"/>
        </w:rPr>
        <w:t>Szacowana liczba odbiorników, dla których ma być zapewniona u</w:t>
      </w:r>
      <w:r w:rsidRPr="003913E7">
        <w:rPr>
          <w:rFonts w:ascii="Lato" w:hAnsi="Lato"/>
          <w:b w:val="0"/>
          <w:bCs w:val="0"/>
        </w:rPr>
        <w:t>sługa dostawy sygnału telewizyjnego</w:t>
      </w:r>
      <w:r>
        <w:rPr>
          <w:rFonts w:ascii="Lato" w:hAnsi="Lato"/>
          <w:b w:val="0"/>
          <w:bCs w:val="0"/>
        </w:rPr>
        <w:t>: 1</w:t>
      </w:r>
      <w:r w:rsidR="00D55779">
        <w:rPr>
          <w:rFonts w:ascii="Lato" w:hAnsi="Lato"/>
          <w:b w:val="0"/>
          <w:bCs w:val="0"/>
        </w:rPr>
        <w:t>5</w:t>
      </w:r>
      <w:r w:rsidR="006E53FC">
        <w:rPr>
          <w:rFonts w:ascii="Lato" w:hAnsi="Lato"/>
          <w:b w:val="0"/>
          <w:bCs w:val="0"/>
        </w:rPr>
        <w:t xml:space="preserve"> sztuk</w:t>
      </w:r>
      <w:r>
        <w:rPr>
          <w:rFonts w:ascii="Lato" w:hAnsi="Lato"/>
          <w:b w:val="0"/>
          <w:bCs w:val="0"/>
        </w:rPr>
        <w:t>.</w:t>
      </w:r>
    </w:p>
    <w:p w14:paraId="2E80B01C" w14:textId="369F5380" w:rsidR="003913E7" w:rsidRPr="008259FE" w:rsidRDefault="003913E7" w:rsidP="008259FE">
      <w:pPr>
        <w:pStyle w:val="Nagwek1"/>
        <w:numPr>
          <w:ilvl w:val="0"/>
          <w:numId w:val="4"/>
        </w:numPr>
        <w:tabs>
          <w:tab w:val="left" w:pos="993"/>
        </w:tabs>
        <w:jc w:val="both"/>
        <w:rPr>
          <w:rFonts w:ascii="Lato" w:hAnsi="Lato"/>
          <w:b w:val="0"/>
          <w:bCs w:val="0"/>
        </w:rPr>
      </w:pPr>
      <w:r w:rsidRPr="008259FE">
        <w:rPr>
          <w:rFonts w:ascii="Lato" w:hAnsi="Lato"/>
          <w:b w:val="0"/>
          <w:bCs w:val="0"/>
        </w:rPr>
        <w:t xml:space="preserve">Zamawiający przewiduje możliwość zmiany liczby </w:t>
      </w:r>
      <w:bookmarkStart w:id="1" w:name="_Hlk172799764"/>
      <w:r w:rsidRPr="008259FE">
        <w:rPr>
          <w:rFonts w:ascii="Lato" w:hAnsi="Lato"/>
          <w:b w:val="0"/>
          <w:bCs w:val="0"/>
        </w:rPr>
        <w:t>odbiorników, dla których ma być zapewniona usługa dostawy sygnału telewizyjnego</w:t>
      </w:r>
      <w:bookmarkEnd w:id="1"/>
      <w:r w:rsidRPr="008259FE">
        <w:rPr>
          <w:rFonts w:ascii="Lato" w:hAnsi="Lato"/>
          <w:b w:val="0"/>
          <w:bCs w:val="0"/>
        </w:rPr>
        <w:t>:</w:t>
      </w:r>
    </w:p>
    <w:p w14:paraId="0D778E91" w14:textId="01C01A58" w:rsidR="003913E7" w:rsidRDefault="003913E7" w:rsidP="008259FE">
      <w:pPr>
        <w:pStyle w:val="Nagwek1"/>
        <w:tabs>
          <w:tab w:val="left" w:pos="0"/>
        </w:tabs>
        <w:ind w:left="851"/>
        <w:jc w:val="both"/>
        <w:rPr>
          <w:rFonts w:ascii="Lato" w:hAnsi="Lato"/>
          <w:b w:val="0"/>
          <w:bCs w:val="0"/>
        </w:rPr>
      </w:pPr>
      <w:r>
        <w:rPr>
          <w:rFonts w:ascii="Lato" w:hAnsi="Lato"/>
          <w:b w:val="0"/>
          <w:bCs w:val="0"/>
        </w:rPr>
        <w:t>- zmniejszenia o maksimum 5 odbiorników;</w:t>
      </w:r>
    </w:p>
    <w:p w14:paraId="64300433" w14:textId="724B6432" w:rsidR="008259FE" w:rsidRDefault="003913E7" w:rsidP="008259FE">
      <w:pPr>
        <w:pStyle w:val="Nagwek1"/>
        <w:tabs>
          <w:tab w:val="left" w:pos="0"/>
        </w:tabs>
        <w:ind w:left="851"/>
        <w:jc w:val="both"/>
        <w:rPr>
          <w:rFonts w:ascii="Lato" w:hAnsi="Lato"/>
          <w:b w:val="0"/>
          <w:bCs w:val="0"/>
        </w:rPr>
      </w:pPr>
      <w:r>
        <w:rPr>
          <w:rFonts w:ascii="Lato" w:hAnsi="Lato"/>
          <w:b w:val="0"/>
          <w:bCs w:val="0"/>
        </w:rPr>
        <w:t xml:space="preserve">- zwiększenia o maksimum </w:t>
      </w:r>
      <w:r w:rsidR="00D55779">
        <w:rPr>
          <w:rFonts w:ascii="Lato" w:hAnsi="Lato"/>
          <w:b w:val="0"/>
          <w:bCs w:val="0"/>
        </w:rPr>
        <w:t>15</w:t>
      </w:r>
      <w:r>
        <w:rPr>
          <w:rFonts w:ascii="Lato" w:hAnsi="Lato"/>
          <w:b w:val="0"/>
          <w:bCs w:val="0"/>
        </w:rPr>
        <w:t xml:space="preserve"> odbiorników.</w:t>
      </w:r>
    </w:p>
    <w:p w14:paraId="69735A4C" w14:textId="77777777" w:rsidR="008259FE" w:rsidRDefault="006E53FC" w:rsidP="008259FE">
      <w:pPr>
        <w:pStyle w:val="Nagwek1"/>
        <w:numPr>
          <w:ilvl w:val="0"/>
          <w:numId w:val="4"/>
        </w:numPr>
        <w:tabs>
          <w:tab w:val="left" w:pos="0"/>
        </w:tabs>
        <w:jc w:val="both"/>
        <w:rPr>
          <w:rFonts w:ascii="Lato" w:hAnsi="Lato"/>
          <w:b w:val="0"/>
          <w:bCs w:val="0"/>
        </w:rPr>
      </w:pPr>
      <w:r>
        <w:rPr>
          <w:rFonts w:ascii="Lato" w:hAnsi="Lato"/>
          <w:b w:val="0"/>
          <w:bCs w:val="0"/>
        </w:rPr>
        <w:t>Z</w:t>
      </w:r>
      <w:r w:rsidRPr="006E53FC">
        <w:rPr>
          <w:rFonts w:ascii="Lato" w:hAnsi="Lato"/>
          <w:b w:val="0"/>
          <w:bCs w:val="0"/>
        </w:rPr>
        <w:t>mniejszenie liczby odbiorników, dla których ma być zapewniona usługa dostawy sygnału telewizyjnego</w:t>
      </w:r>
      <w:r>
        <w:rPr>
          <w:rFonts w:ascii="Lato" w:hAnsi="Lato"/>
          <w:b w:val="0"/>
          <w:bCs w:val="0"/>
        </w:rPr>
        <w:t>,</w:t>
      </w:r>
      <w:r w:rsidRPr="006E53FC">
        <w:rPr>
          <w:rFonts w:ascii="Lato" w:hAnsi="Lato"/>
          <w:b w:val="0"/>
          <w:bCs w:val="0"/>
        </w:rPr>
        <w:t xml:space="preserve"> nie może wpłynąć na wysokość ceny </w:t>
      </w:r>
      <w:r>
        <w:rPr>
          <w:rFonts w:ascii="Lato" w:hAnsi="Lato"/>
          <w:b w:val="0"/>
          <w:bCs w:val="0"/>
        </w:rPr>
        <w:t xml:space="preserve">usługi </w:t>
      </w:r>
      <w:r w:rsidRPr="006E53FC">
        <w:rPr>
          <w:rFonts w:ascii="Lato" w:hAnsi="Lato"/>
          <w:b w:val="0"/>
          <w:bCs w:val="0"/>
        </w:rPr>
        <w:t>dostawy sygnału</w:t>
      </w:r>
      <w:r>
        <w:rPr>
          <w:rFonts w:ascii="Lato" w:hAnsi="Lato"/>
          <w:b w:val="0"/>
          <w:bCs w:val="0"/>
        </w:rPr>
        <w:t>.</w:t>
      </w:r>
    </w:p>
    <w:p w14:paraId="2B47EF0C" w14:textId="77777777" w:rsidR="008259FE" w:rsidRDefault="006E53FC" w:rsidP="008259FE">
      <w:pPr>
        <w:pStyle w:val="Nagwek1"/>
        <w:numPr>
          <w:ilvl w:val="0"/>
          <w:numId w:val="4"/>
        </w:numPr>
        <w:tabs>
          <w:tab w:val="left" w:pos="0"/>
        </w:tabs>
        <w:jc w:val="both"/>
        <w:rPr>
          <w:rFonts w:ascii="Lato" w:hAnsi="Lato"/>
          <w:b w:val="0"/>
          <w:bCs w:val="0"/>
        </w:rPr>
      </w:pPr>
      <w:r w:rsidRPr="008259FE">
        <w:rPr>
          <w:rFonts w:ascii="Lato" w:hAnsi="Lato"/>
          <w:b w:val="0"/>
          <w:bCs w:val="0"/>
        </w:rPr>
        <w:t xml:space="preserve">Zwiększenie liczby odbiorników, dla których ma być zapewniona usługa dostawy sygnału telewizyjnego, może wpłynąć na obniżenie ceny usługi dostawy sygnału. </w:t>
      </w:r>
    </w:p>
    <w:p w14:paraId="1F58826E" w14:textId="03B36E4F" w:rsidR="006E53FC" w:rsidRPr="008259FE" w:rsidRDefault="006E53FC" w:rsidP="008259FE">
      <w:pPr>
        <w:pStyle w:val="Nagwek1"/>
        <w:numPr>
          <w:ilvl w:val="0"/>
          <w:numId w:val="4"/>
        </w:numPr>
        <w:tabs>
          <w:tab w:val="left" w:pos="0"/>
        </w:tabs>
        <w:jc w:val="both"/>
        <w:rPr>
          <w:rFonts w:ascii="Lato" w:hAnsi="Lato"/>
          <w:b w:val="0"/>
          <w:bCs w:val="0"/>
        </w:rPr>
      </w:pPr>
      <w:r w:rsidRPr="008259FE">
        <w:rPr>
          <w:rFonts w:ascii="Lato" w:hAnsi="Lato"/>
          <w:b w:val="0"/>
          <w:bCs w:val="0"/>
        </w:rPr>
        <w:t>Zwiększenie liczby odbiorników, dla których ma być zapewniona usługa dostawy sygnału telewizyjnego w trakcie trwania umowy nie przedłuża okresu jej obowiązywania</w:t>
      </w:r>
      <w:r w:rsidR="008259FE">
        <w:rPr>
          <w:rFonts w:ascii="Lato" w:hAnsi="Lato"/>
          <w:b w:val="0"/>
          <w:bCs w:val="0"/>
        </w:rPr>
        <w:t>.</w:t>
      </w:r>
    </w:p>
    <w:p w14:paraId="5D408626" w14:textId="77ADD0F4" w:rsidR="000D3D40" w:rsidRPr="000D3D40" w:rsidRDefault="000D3D40" w:rsidP="008259FE">
      <w:pPr>
        <w:pStyle w:val="Nagwek1"/>
        <w:numPr>
          <w:ilvl w:val="0"/>
          <w:numId w:val="4"/>
        </w:numPr>
        <w:tabs>
          <w:tab w:val="left" w:pos="0"/>
        </w:tabs>
        <w:jc w:val="both"/>
        <w:rPr>
          <w:rFonts w:ascii="Lato" w:hAnsi="Lato"/>
          <w:b w:val="0"/>
          <w:bCs w:val="0"/>
        </w:rPr>
      </w:pPr>
      <w:r>
        <w:rPr>
          <w:rFonts w:ascii="Lato" w:hAnsi="Lato"/>
          <w:b w:val="0"/>
          <w:bCs w:val="0"/>
        </w:rPr>
        <w:t>O</w:t>
      </w:r>
      <w:r w:rsidRPr="000D3D40">
        <w:rPr>
          <w:rFonts w:ascii="Lato" w:hAnsi="Lato"/>
          <w:b w:val="0"/>
          <w:bCs w:val="0"/>
        </w:rPr>
        <w:t xml:space="preserve">kres obowiązywania umowy – 36 miesięcy. Czas rozpoczęcia świadczenia </w:t>
      </w:r>
      <w:r>
        <w:rPr>
          <w:rFonts w:ascii="Lato" w:hAnsi="Lato"/>
          <w:b w:val="0"/>
          <w:bCs w:val="0"/>
        </w:rPr>
        <w:t xml:space="preserve">usługi </w:t>
      </w:r>
      <w:r w:rsidRPr="000D3D40">
        <w:rPr>
          <w:rFonts w:ascii="Lato" w:hAnsi="Lato"/>
          <w:b w:val="0"/>
          <w:bCs w:val="0"/>
        </w:rPr>
        <w:t>dostaw</w:t>
      </w:r>
      <w:r>
        <w:rPr>
          <w:rFonts w:ascii="Lato" w:hAnsi="Lato"/>
          <w:b w:val="0"/>
          <w:bCs w:val="0"/>
        </w:rPr>
        <w:t>y</w:t>
      </w:r>
      <w:r w:rsidRPr="000D3D40">
        <w:rPr>
          <w:rFonts w:ascii="Lato" w:hAnsi="Lato"/>
          <w:b w:val="0"/>
          <w:bCs w:val="0"/>
        </w:rPr>
        <w:t xml:space="preserve"> </w:t>
      </w:r>
      <w:r w:rsidR="009E03A2" w:rsidRPr="009E03A2">
        <w:rPr>
          <w:rFonts w:ascii="Lato" w:hAnsi="Lato"/>
          <w:b w:val="0"/>
          <w:bCs w:val="0"/>
        </w:rPr>
        <w:t xml:space="preserve">sygnału telewizyjnego </w:t>
      </w:r>
      <w:r w:rsidRPr="000D3D40">
        <w:rPr>
          <w:rFonts w:ascii="Lato" w:hAnsi="Lato"/>
          <w:b w:val="0"/>
          <w:bCs w:val="0"/>
        </w:rPr>
        <w:t>–</w:t>
      </w:r>
      <w:r w:rsidR="009863C2">
        <w:rPr>
          <w:rFonts w:ascii="Lato" w:hAnsi="Lato"/>
          <w:b w:val="0"/>
          <w:bCs w:val="0"/>
        </w:rPr>
        <w:t xml:space="preserve"> III kwartał 2024</w:t>
      </w:r>
      <w:r w:rsidR="006A5AE6">
        <w:rPr>
          <w:rFonts w:ascii="Lato" w:hAnsi="Lato"/>
          <w:b w:val="0"/>
          <w:bCs w:val="0"/>
        </w:rPr>
        <w:t xml:space="preserve"> </w:t>
      </w:r>
      <w:r w:rsidR="009863C2">
        <w:rPr>
          <w:rFonts w:ascii="Lato" w:hAnsi="Lato"/>
          <w:b w:val="0"/>
          <w:bCs w:val="0"/>
        </w:rPr>
        <w:t>r.</w:t>
      </w:r>
    </w:p>
    <w:p w14:paraId="7763525C" w14:textId="6DD7F799" w:rsidR="000D3D40" w:rsidRPr="000D3D40" w:rsidRDefault="006E53FC" w:rsidP="008259FE">
      <w:pPr>
        <w:pStyle w:val="Nagwek1"/>
        <w:numPr>
          <w:ilvl w:val="0"/>
          <w:numId w:val="4"/>
        </w:numPr>
        <w:tabs>
          <w:tab w:val="left" w:pos="0"/>
        </w:tabs>
        <w:jc w:val="both"/>
        <w:rPr>
          <w:rFonts w:ascii="Lato" w:hAnsi="Lato"/>
          <w:b w:val="0"/>
          <w:bCs w:val="0"/>
        </w:rPr>
      </w:pPr>
      <w:r>
        <w:rPr>
          <w:rFonts w:ascii="Lato" w:hAnsi="Lato"/>
          <w:b w:val="0"/>
          <w:bCs w:val="0"/>
        </w:rPr>
        <w:t>O</w:t>
      </w:r>
      <w:r w:rsidR="000D3D40" w:rsidRPr="000D3D40">
        <w:rPr>
          <w:rFonts w:ascii="Lato" w:hAnsi="Lato"/>
          <w:b w:val="0"/>
          <w:bCs w:val="0"/>
        </w:rPr>
        <w:t>kres rozliczeniowy – 1 miesiąc kalendarzowy. Rozliczenia powinny być dokonywane na podstawie jednej miesięcznej prawidłowo wystawionej</w:t>
      </w:r>
      <w:r>
        <w:rPr>
          <w:rFonts w:ascii="Lato" w:hAnsi="Lato"/>
          <w:b w:val="0"/>
          <w:bCs w:val="0"/>
        </w:rPr>
        <w:t xml:space="preserve"> faktury VAT</w:t>
      </w:r>
      <w:r w:rsidR="000D3D40" w:rsidRPr="000D3D40">
        <w:rPr>
          <w:rFonts w:ascii="Lato" w:hAnsi="Lato"/>
          <w:b w:val="0"/>
          <w:bCs w:val="0"/>
        </w:rPr>
        <w:t xml:space="preserve">. Okres płatności nie może być krótszy niż </w:t>
      </w:r>
      <w:r w:rsidR="000D3D40">
        <w:rPr>
          <w:rFonts w:ascii="Lato" w:hAnsi="Lato"/>
          <w:b w:val="0"/>
          <w:bCs w:val="0"/>
        </w:rPr>
        <w:t>14</w:t>
      </w:r>
      <w:r w:rsidR="000D3D40" w:rsidRPr="000D3D40">
        <w:rPr>
          <w:rFonts w:ascii="Lato" w:hAnsi="Lato"/>
          <w:b w:val="0"/>
          <w:bCs w:val="0"/>
        </w:rPr>
        <w:t xml:space="preserve"> dni od otrzymania faktury</w:t>
      </w:r>
      <w:r>
        <w:rPr>
          <w:rFonts w:ascii="Lato" w:hAnsi="Lato"/>
          <w:b w:val="0"/>
          <w:bCs w:val="0"/>
        </w:rPr>
        <w:t>.</w:t>
      </w:r>
    </w:p>
    <w:p w14:paraId="567452D2" w14:textId="77777777" w:rsidR="006E53FC" w:rsidRDefault="006E53FC" w:rsidP="008259FE">
      <w:pPr>
        <w:pStyle w:val="Nagwek1"/>
        <w:numPr>
          <w:ilvl w:val="0"/>
          <w:numId w:val="4"/>
        </w:numPr>
        <w:tabs>
          <w:tab w:val="left" w:pos="0"/>
        </w:tabs>
        <w:jc w:val="both"/>
        <w:rPr>
          <w:rFonts w:ascii="Lato" w:hAnsi="Lato"/>
          <w:b w:val="0"/>
          <w:bCs w:val="0"/>
        </w:rPr>
      </w:pPr>
      <w:r w:rsidRPr="006E53FC">
        <w:rPr>
          <w:rFonts w:ascii="Lato" w:hAnsi="Lato"/>
          <w:b w:val="0"/>
          <w:bCs w:val="0"/>
        </w:rPr>
        <w:t>K</w:t>
      </w:r>
      <w:r w:rsidR="000D3D40" w:rsidRPr="006E53FC">
        <w:rPr>
          <w:rFonts w:ascii="Lato" w:hAnsi="Lato"/>
          <w:b w:val="0"/>
          <w:bCs w:val="0"/>
        </w:rPr>
        <w:t xml:space="preserve">oszt </w:t>
      </w:r>
      <w:r>
        <w:rPr>
          <w:rFonts w:ascii="Lato" w:hAnsi="Lato"/>
          <w:b w:val="0"/>
          <w:bCs w:val="0"/>
        </w:rPr>
        <w:t>opłat</w:t>
      </w:r>
      <w:r w:rsidR="000D3D40" w:rsidRPr="006E53FC">
        <w:rPr>
          <w:rFonts w:ascii="Lato" w:hAnsi="Lato"/>
          <w:b w:val="0"/>
          <w:bCs w:val="0"/>
        </w:rPr>
        <w:t xml:space="preserve"> </w:t>
      </w:r>
      <w:r>
        <w:rPr>
          <w:rFonts w:ascii="Lato" w:hAnsi="Lato"/>
          <w:b w:val="0"/>
          <w:bCs w:val="0"/>
        </w:rPr>
        <w:t xml:space="preserve">za </w:t>
      </w:r>
      <w:r w:rsidRPr="006E53FC">
        <w:rPr>
          <w:rFonts w:ascii="Lato" w:hAnsi="Lato"/>
          <w:b w:val="0"/>
          <w:bCs w:val="0"/>
        </w:rPr>
        <w:t>usług</w:t>
      </w:r>
      <w:r>
        <w:rPr>
          <w:rFonts w:ascii="Lato" w:hAnsi="Lato"/>
          <w:b w:val="0"/>
          <w:bCs w:val="0"/>
        </w:rPr>
        <w:t>ę</w:t>
      </w:r>
      <w:r w:rsidRPr="006E53FC">
        <w:rPr>
          <w:rFonts w:ascii="Lato" w:hAnsi="Lato"/>
          <w:b w:val="0"/>
          <w:bCs w:val="0"/>
        </w:rPr>
        <w:t xml:space="preserve"> dostawy sygnału telewizyjnego </w:t>
      </w:r>
      <w:r>
        <w:rPr>
          <w:rFonts w:ascii="Lato" w:hAnsi="Lato"/>
          <w:b w:val="0"/>
          <w:bCs w:val="0"/>
        </w:rPr>
        <w:t xml:space="preserve">do odbiornika </w:t>
      </w:r>
      <w:r w:rsidR="000D3D40" w:rsidRPr="006E53FC">
        <w:rPr>
          <w:rFonts w:ascii="Lato" w:hAnsi="Lato"/>
          <w:b w:val="0"/>
          <w:bCs w:val="0"/>
        </w:rPr>
        <w:t>nie może ulec zwiększeniu w okresie obowiązywania umowy</w:t>
      </w:r>
      <w:r w:rsidRPr="006E53FC">
        <w:rPr>
          <w:rFonts w:ascii="Lato" w:hAnsi="Lato"/>
          <w:b w:val="0"/>
          <w:bCs w:val="0"/>
        </w:rPr>
        <w:t>.</w:t>
      </w:r>
    </w:p>
    <w:p w14:paraId="75550507" w14:textId="253D79F9" w:rsidR="000D3D40" w:rsidRPr="006E53FC" w:rsidRDefault="000D3D40" w:rsidP="008259FE">
      <w:pPr>
        <w:pStyle w:val="Nagwek1"/>
        <w:numPr>
          <w:ilvl w:val="0"/>
          <w:numId w:val="4"/>
        </w:numPr>
        <w:tabs>
          <w:tab w:val="left" w:pos="0"/>
        </w:tabs>
        <w:jc w:val="both"/>
        <w:rPr>
          <w:rFonts w:ascii="Lato" w:hAnsi="Lato"/>
          <w:b w:val="0"/>
          <w:bCs w:val="0"/>
        </w:rPr>
      </w:pPr>
      <w:r w:rsidRPr="006E53FC">
        <w:rPr>
          <w:rFonts w:ascii="Lato" w:hAnsi="Lato"/>
          <w:b w:val="0"/>
          <w:bCs w:val="0"/>
        </w:rPr>
        <w:t xml:space="preserve">Wszelkie inne ewentualne koszty związane z realizacją umowy, w szczególności koszty instalacji </w:t>
      </w:r>
      <w:r w:rsidR="006E53FC">
        <w:rPr>
          <w:rFonts w:ascii="Lato" w:hAnsi="Lato"/>
          <w:b w:val="0"/>
          <w:bCs w:val="0"/>
        </w:rPr>
        <w:t xml:space="preserve">niezbędnego </w:t>
      </w:r>
      <w:r w:rsidRPr="006E53FC">
        <w:rPr>
          <w:rFonts w:ascii="Lato" w:hAnsi="Lato"/>
          <w:b w:val="0"/>
          <w:bCs w:val="0"/>
        </w:rPr>
        <w:t>sprzętu</w:t>
      </w:r>
      <w:r w:rsidR="006E53FC">
        <w:rPr>
          <w:rFonts w:ascii="Lato" w:hAnsi="Lato"/>
          <w:b w:val="0"/>
          <w:bCs w:val="0"/>
        </w:rPr>
        <w:t xml:space="preserve"> (w szczególności </w:t>
      </w:r>
      <w:r w:rsidR="009E03A2">
        <w:rPr>
          <w:rFonts w:ascii="Lato" w:hAnsi="Lato"/>
          <w:b w:val="0"/>
          <w:bCs w:val="0"/>
        </w:rPr>
        <w:t>tunerów/</w:t>
      </w:r>
      <w:r w:rsidR="006E53FC">
        <w:rPr>
          <w:rFonts w:ascii="Lato" w:hAnsi="Lato"/>
          <w:b w:val="0"/>
          <w:bCs w:val="0"/>
        </w:rPr>
        <w:t>dekoderów)</w:t>
      </w:r>
      <w:r w:rsidRPr="006E53FC">
        <w:rPr>
          <w:rFonts w:ascii="Lato" w:hAnsi="Lato"/>
          <w:b w:val="0"/>
          <w:bCs w:val="0"/>
        </w:rPr>
        <w:t xml:space="preserve">, </w:t>
      </w:r>
      <w:r w:rsidR="006E53FC">
        <w:rPr>
          <w:rFonts w:ascii="Lato" w:hAnsi="Lato"/>
          <w:b w:val="0"/>
          <w:bCs w:val="0"/>
        </w:rPr>
        <w:t xml:space="preserve">konfiguracji, </w:t>
      </w:r>
      <w:r w:rsidRPr="006E53FC">
        <w:rPr>
          <w:rFonts w:ascii="Lato" w:hAnsi="Lato"/>
          <w:b w:val="0"/>
          <w:bCs w:val="0"/>
        </w:rPr>
        <w:t xml:space="preserve">aktywacji, najmu sprzętu </w:t>
      </w:r>
      <w:r w:rsidR="006E53FC">
        <w:rPr>
          <w:rFonts w:ascii="Lato" w:hAnsi="Lato"/>
          <w:b w:val="0"/>
          <w:bCs w:val="0"/>
        </w:rPr>
        <w:t xml:space="preserve">(w szczególności </w:t>
      </w:r>
      <w:r w:rsidR="009E03A2">
        <w:rPr>
          <w:rFonts w:ascii="Lato" w:hAnsi="Lato"/>
          <w:b w:val="0"/>
          <w:bCs w:val="0"/>
        </w:rPr>
        <w:t>tunerów/</w:t>
      </w:r>
      <w:r w:rsidR="006E53FC">
        <w:rPr>
          <w:rFonts w:ascii="Lato" w:hAnsi="Lato"/>
          <w:b w:val="0"/>
          <w:bCs w:val="0"/>
        </w:rPr>
        <w:t xml:space="preserve">dekoderów) </w:t>
      </w:r>
      <w:r w:rsidRPr="006E53FC">
        <w:rPr>
          <w:rFonts w:ascii="Lato" w:hAnsi="Lato"/>
          <w:b w:val="0"/>
          <w:bCs w:val="0"/>
        </w:rPr>
        <w:t xml:space="preserve">– powinny być wliczone w cenę </w:t>
      </w:r>
      <w:r w:rsidR="006E53FC">
        <w:rPr>
          <w:rFonts w:ascii="Lato" w:hAnsi="Lato"/>
          <w:b w:val="0"/>
          <w:bCs w:val="0"/>
        </w:rPr>
        <w:t>opłat</w:t>
      </w:r>
      <w:r w:rsidR="006E53FC" w:rsidRPr="006E53FC">
        <w:t xml:space="preserve"> </w:t>
      </w:r>
      <w:r w:rsidR="006E53FC" w:rsidRPr="006E53FC">
        <w:rPr>
          <w:rFonts w:ascii="Lato" w:hAnsi="Lato"/>
          <w:b w:val="0"/>
          <w:bCs w:val="0"/>
        </w:rPr>
        <w:t>za usługę dostawy sygnału telewizyjnego</w:t>
      </w:r>
      <w:r w:rsidR="006E53FC">
        <w:rPr>
          <w:rFonts w:ascii="Lato" w:hAnsi="Lato"/>
          <w:b w:val="0"/>
          <w:bCs w:val="0"/>
        </w:rPr>
        <w:t>.</w:t>
      </w:r>
    </w:p>
    <w:p w14:paraId="071303BA" w14:textId="77777777" w:rsidR="008259FE" w:rsidRDefault="009E03A2" w:rsidP="008259FE">
      <w:pPr>
        <w:pStyle w:val="Nagwek1"/>
        <w:numPr>
          <w:ilvl w:val="0"/>
          <w:numId w:val="4"/>
        </w:numPr>
        <w:tabs>
          <w:tab w:val="left" w:pos="0"/>
        </w:tabs>
        <w:jc w:val="both"/>
        <w:rPr>
          <w:rFonts w:ascii="Lato" w:hAnsi="Lato"/>
          <w:b w:val="0"/>
          <w:bCs w:val="0"/>
        </w:rPr>
      </w:pPr>
      <w:r w:rsidRPr="009E03A2">
        <w:rPr>
          <w:rFonts w:ascii="Lato" w:hAnsi="Lato"/>
          <w:b w:val="0"/>
          <w:bCs w:val="0"/>
        </w:rPr>
        <w:t>S</w:t>
      </w:r>
      <w:r w:rsidR="006E53FC" w:rsidRPr="009E03A2">
        <w:rPr>
          <w:rFonts w:ascii="Lato" w:hAnsi="Lato"/>
          <w:b w:val="0"/>
          <w:bCs w:val="0"/>
        </w:rPr>
        <w:t xml:space="preserve">przęt niezbędny do </w:t>
      </w:r>
      <w:r w:rsidRPr="009E03A2">
        <w:rPr>
          <w:rFonts w:ascii="Lato" w:hAnsi="Lato"/>
          <w:b w:val="0"/>
          <w:bCs w:val="0"/>
        </w:rPr>
        <w:t>świadczenia usług dostawy sygnału telewizyjnego</w:t>
      </w:r>
      <w:r w:rsidR="006E53FC" w:rsidRPr="009E03A2">
        <w:rPr>
          <w:rFonts w:ascii="Lato" w:hAnsi="Lato"/>
          <w:b w:val="0"/>
          <w:bCs w:val="0"/>
        </w:rPr>
        <w:t>, w szczególności tuner</w:t>
      </w:r>
      <w:r w:rsidRPr="009E03A2">
        <w:rPr>
          <w:rFonts w:ascii="Lato" w:hAnsi="Lato"/>
          <w:b w:val="0"/>
          <w:bCs w:val="0"/>
        </w:rPr>
        <w:t>y/</w:t>
      </w:r>
      <w:r w:rsidR="006E53FC" w:rsidRPr="009E03A2">
        <w:rPr>
          <w:rFonts w:ascii="Lato" w:hAnsi="Lato"/>
          <w:b w:val="0"/>
          <w:bCs w:val="0"/>
        </w:rPr>
        <w:t>dekoder</w:t>
      </w:r>
      <w:r w:rsidRPr="009E03A2">
        <w:rPr>
          <w:rFonts w:ascii="Lato" w:hAnsi="Lato"/>
          <w:b w:val="0"/>
          <w:bCs w:val="0"/>
        </w:rPr>
        <w:t>y</w:t>
      </w:r>
      <w:r w:rsidR="006E53FC" w:rsidRPr="009E03A2">
        <w:rPr>
          <w:rFonts w:ascii="Lato" w:hAnsi="Lato"/>
          <w:b w:val="0"/>
          <w:bCs w:val="0"/>
        </w:rPr>
        <w:t xml:space="preserve"> itd. wraz z niezbędnym oprzyrządowaniem - pozostaje własnością</w:t>
      </w:r>
      <w:r w:rsidRPr="009E03A2">
        <w:rPr>
          <w:rFonts w:ascii="Lato" w:hAnsi="Lato"/>
          <w:b w:val="0"/>
          <w:bCs w:val="0"/>
        </w:rPr>
        <w:t xml:space="preserve"> usługodaw</w:t>
      </w:r>
      <w:r w:rsidR="006E53FC" w:rsidRPr="009E03A2">
        <w:rPr>
          <w:rFonts w:ascii="Lato" w:hAnsi="Lato"/>
          <w:b w:val="0"/>
          <w:bCs w:val="0"/>
        </w:rPr>
        <w:t xml:space="preserve">cy – </w:t>
      </w:r>
      <w:r w:rsidRPr="009E03A2">
        <w:rPr>
          <w:rFonts w:ascii="Lato" w:hAnsi="Lato"/>
          <w:b w:val="0"/>
          <w:bCs w:val="0"/>
        </w:rPr>
        <w:t xml:space="preserve">Zamawiający </w:t>
      </w:r>
      <w:r w:rsidR="006E53FC" w:rsidRPr="009E03A2">
        <w:rPr>
          <w:rFonts w:ascii="Lato" w:hAnsi="Lato"/>
          <w:b w:val="0"/>
          <w:bCs w:val="0"/>
        </w:rPr>
        <w:t xml:space="preserve">nie przewiduje ich zakupu ani odkupu. </w:t>
      </w:r>
    </w:p>
    <w:p w14:paraId="252A3260" w14:textId="53EBE2A5" w:rsidR="000D3D40" w:rsidRPr="009E03A2" w:rsidRDefault="006E53FC" w:rsidP="008259FE">
      <w:pPr>
        <w:pStyle w:val="Nagwek1"/>
        <w:numPr>
          <w:ilvl w:val="0"/>
          <w:numId w:val="4"/>
        </w:numPr>
        <w:tabs>
          <w:tab w:val="left" w:pos="0"/>
        </w:tabs>
        <w:jc w:val="both"/>
        <w:rPr>
          <w:rFonts w:ascii="Lato" w:hAnsi="Lato"/>
          <w:b w:val="0"/>
          <w:bCs w:val="0"/>
        </w:rPr>
      </w:pPr>
      <w:r w:rsidRPr="009E03A2">
        <w:rPr>
          <w:rFonts w:ascii="Lato" w:hAnsi="Lato"/>
          <w:b w:val="0"/>
          <w:bCs w:val="0"/>
        </w:rPr>
        <w:t>W okresie trwania umowy</w:t>
      </w:r>
      <w:r w:rsidR="009E03A2" w:rsidRPr="009E03A2">
        <w:rPr>
          <w:rFonts w:ascii="Lato" w:hAnsi="Lato"/>
          <w:b w:val="0"/>
          <w:bCs w:val="0"/>
        </w:rPr>
        <w:t xml:space="preserve"> usługod</w:t>
      </w:r>
      <w:r w:rsidRPr="009E03A2">
        <w:rPr>
          <w:rFonts w:ascii="Lato" w:hAnsi="Lato"/>
          <w:b w:val="0"/>
          <w:bCs w:val="0"/>
        </w:rPr>
        <w:t>awca będzie zobowiązany do konserwacji, napraw lub wymiany sprzętu – w przypadku uszkodzeń</w:t>
      </w:r>
      <w:r w:rsidR="008259FE">
        <w:rPr>
          <w:rFonts w:ascii="Lato" w:hAnsi="Lato"/>
          <w:b w:val="0"/>
          <w:bCs w:val="0"/>
        </w:rPr>
        <w:t xml:space="preserve"> </w:t>
      </w:r>
      <w:r w:rsidRPr="009E03A2">
        <w:rPr>
          <w:rFonts w:ascii="Lato" w:hAnsi="Lato"/>
          <w:b w:val="0"/>
          <w:bCs w:val="0"/>
        </w:rPr>
        <w:t>nie nadających się do naprawy i nie powstałych z winy użytkownika</w:t>
      </w:r>
      <w:r w:rsidR="009E03A2">
        <w:rPr>
          <w:rFonts w:ascii="Lato" w:hAnsi="Lato"/>
          <w:b w:val="0"/>
          <w:bCs w:val="0"/>
        </w:rPr>
        <w:t>.</w:t>
      </w:r>
    </w:p>
    <w:p w14:paraId="34F7969E" w14:textId="77777777" w:rsidR="000D3D40" w:rsidRDefault="000D3D40" w:rsidP="003913E7">
      <w:pPr>
        <w:pStyle w:val="Nagwek1"/>
        <w:tabs>
          <w:tab w:val="left" w:pos="0"/>
        </w:tabs>
        <w:ind w:left="720"/>
        <w:rPr>
          <w:rFonts w:ascii="Lato" w:hAnsi="Lato"/>
          <w:b w:val="0"/>
          <w:bCs w:val="0"/>
        </w:rPr>
      </w:pPr>
    </w:p>
    <w:p w14:paraId="15BDB7F0" w14:textId="18F7DD68" w:rsidR="00864938" w:rsidRPr="003913E7" w:rsidRDefault="009E03A2" w:rsidP="003913E7">
      <w:pPr>
        <w:pStyle w:val="Nagwek1"/>
        <w:numPr>
          <w:ilvl w:val="0"/>
          <w:numId w:val="2"/>
        </w:numPr>
        <w:tabs>
          <w:tab w:val="left" w:pos="426"/>
        </w:tabs>
        <w:ind w:left="426" w:hanging="426"/>
        <w:rPr>
          <w:rFonts w:ascii="Lato" w:hAnsi="Lato"/>
        </w:rPr>
      </w:pPr>
      <w:r>
        <w:rPr>
          <w:rFonts w:ascii="Lato" w:hAnsi="Lato"/>
        </w:rPr>
        <w:t>Pakiet programowy</w:t>
      </w:r>
      <w:r w:rsidRPr="003913E7">
        <w:rPr>
          <w:rFonts w:ascii="Lato" w:hAnsi="Lato"/>
        </w:rPr>
        <w:t>:</w:t>
      </w:r>
    </w:p>
    <w:p w14:paraId="5F848369" w14:textId="679B337C" w:rsidR="00864938" w:rsidRDefault="006E0595" w:rsidP="006E0595">
      <w:pPr>
        <w:pStyle w:val="Tekstpodstawowy"/>
        <w:spacing w:line="276" w:lineRule="auto"/>
        <w:ind w:left="116" w:right="115"/>
        <w:jc w:val="both"/>
        <w:rPr>
          <w:rFonts w:ascii="Lato" w:hAnsi="Lato" w:cstheme="minorHAnsi"/>
          <w:color w:val="000000"/>
        </w:rPr>
      </w:pPr>
      <w:r w:rsidRPr="006E0595">
        <w:rPr>
          <w:rFonts w:ascii="Lato" w:hAnsi="Lato" w:cstheme="minorHAnsi"/>
          <w:color w:val="000000"/>
        </w:rPr>
        <w:t xml:space="preserve">Oferowany pakiet, w cenie kosztu opłat za usługę dostawy sygnału telewizyjnego, poza kanałami/programami dostępnymi w ramach telewizji naziemnej oraz kanałami/programami dostępnymi co najmniej w podstawowym pakiecie oferowanym dla klientów indywidualnych bądź biznesowych przez usługodawcę, winien zawierać także nieograniczony dostęp do kanałów/programów: </w:t>
      </w:r>
      <w:r w:rsidRPr="009863C2">
        <w:rPr>
          <w:rFonts w:ascii="Lato" w:hAnsi="Lato" w:cstheme="minorHAnsi"/>
          <w:color w:val="000000"/>
        </w:rPr>
        <w:t>TVP1, TVP2, TVP Info, TVP Polonia, TVP Kultura, TVP1 HD, TVP2 HD, TVP HD, TVN HD, TVN24, TVN24 Biznes i Świat, Polsat HD, Polsat News, TV Republika, CNN, CNBC, BBC World News.</w:t>
      </w:r>
      <w:r w:rsidRPr="006E0595">
        <w:rPr>
          <w:rFonts w:ascii="Lato" w:hAnsi="Lato" w:cstheme="minorHAnsi"/>
          <w:color w:val="000000"/>
        </w:rPr>
        <w:t xml:space="preserve"> Dostęp do innych kanałów/programów telewizji krajowej lub zagranicznej, w cenie abonamentu, dostawca może zdefiniować dowolnie.</w:t>
      </w:r>
    </w:p>
    <w:p w14:paraId="4B7E2700" w14:textId="77777777" w:rsidR="006E0595" w:rsidRPr="006E0595" w:rsidRDefault="006E0595" w:rsidP="006E0595">
      <w:pPr>
        <w:pStyle w:val="Tekstpodstawowy"/>
        <w:spacing w:line="276" w:lineRule="auto"/>
        <w:ind w:left="116" w:right="115"/>
        <w:jc w:val="both"/>
        <w:rPr>
          <w:rFonts w:ascii="Lato" w:hAnsi="Lato" w:cstheme="minorHAnsi"/>
          <w:color w:val="000000"/>
        </w:rPr>
      </w:pPr>
    </w:p>
    <w:p w14:paraId="79B24B40" w14:textId="72926E35" w:rsidR="00864938" w:rsidRPr="003913E7" w:rsidRDefault="006E0595" w:rsidP="006E0595">
      <w:pPr>
        <w:pStyle w:val="Nagwek1"/>
        <w:numPr>
          <w:ilvl w:val="0"/>
          <w:numId w:val="2"/>
        </w:numPr>
        <w:tabs>
          <w:tab w:val="left" w:pos="426"/>
        </w:tabs>
        <w:ind w:left="426" w:hanging="426"/>
        <w:rPr>
          <w:rFonts w:ascii="Lato" w:hAnsi="Lato"/>
        </w:rPr>
      </w:pPr>
      <w:r>
        <w:rPr>
          <w:rFonts w:ascii="Lato" w:hAnsi="Lato"/>
        </w:rPr>
        <w:t>Infrastruktura Zamawiającego</w:t>
      </w:r>
      <w:r w:rsidRPr="006E0595">
        <w:rPr>
          <w:rFonts w:ascii="Lato" w:hAnsi="Lato"/>
        </w:rPr>
        <w:t>:</w:t>
      </w:r>
    </w:p>
    <w:p w14:paraId="3B57890A" w14:textId="77777777" w:rsidR="006417BA" w:rsidRDefault="006E0595" w:rsidP="006417BA">
      <w:pPr>
        <w:pStyle w:val="Tekstpodstawowy"/>
        <w:spacing w:before="99" w:line="276" w:lineRule="auto"/>
        <w:ind w:left="116" w:right="114"/>
        <w:jc w:val="both"/>
        <w:rPr>
          <w:rFonts w:ascii="Lato" w:hAnsi="Lato"/>
        </w:rPr>
      </w:pPr>
      <w:r>
        <w:rPr>
          <w:rFonts w:ascii="Lato" w:hAnsi="Lato"/>
        </w:rPr>
        <w:t>Co do zasady w p</w:t>
      </w:r>
      <w:r w:rsidRPr="003913E7">
        <w:rPr>
          <w:rFonts w:ascii="Lato" w:hAnsi="Lato"/>
        </w:rPr>
        <w:t>omieszczenia</w:t>
      </w:r>
      <w:r>
        <w:rPr>
          <w:rFonts w:ascii="Lato" w:hAnsi="Lato"/>
        </w:rPr>
        <w:t>ch</w:t>
      </w:r>
      <w:r w:rsidRPr="003913E7">
        <w:rPr>
          <w:rFonts w:ascii="Lato" w:hAnsi="Lato"/>
        </w:rPr>
        <w:t xml:space="preserve">, w których ma być </w:t>
      </w:r>
      <w:r>
        <w:rPr>
          <w:rFonts w:ascii="Lato" w:hAnsi="Lato"/>
        </w:rPr>
        <w:t xml:space="preserve">świadczona </w:t>
      </w:r>
      <w:r w:rsidRPr="006E0595">
        <w:rPr>
          <w:rFonts w:ascii="Lato" w:hAnsi="Lato"/>
        </w:rPr>
        <w:t>usług</w:t>
      </w:r>
      <w:r>
        <w:rPr>
          <w:rFonts w:ascii="Lato" w:hAnsi="Lato"/>
        </w:rPr>
        <w:t>a</w:t>
      </w:r>
      <w:r w:rsidRPr="006E0595">
        <w:rPr>
          <w:rFonts w:ascii="Lato" w:hAnsi="Lato"/>
        </w:rPr>
        <w:t xml:space="preserve"> dostawy sygnału telewizyjnego</w:t>
      </w:r>
      <w:r>
        <w:rPr>
          <w:rFonts w:ascii="Lato" w:hAnsi="Lato"/>
        </w:rPr>
        <w:t>,</w:t>
      </w:r>
      <w:r w:rsidRPr="006E0595">
        <w:rPr>
          <w:rFonts w:ascii="Lato" w:hAnsi="Lato"/>
        </w:rPr>
        <w:t xml:space="preserve"> </w:t>
      </w:r>
      <w:r w:rsidRPr="003913E7">
        <w:rPr>
          <w:rFonts w:ascii="Lato" w:hAnsi="Lato"/>
        </w:rPr>
        <w:t>znajduje się dotychczas użytkowan</w:t>
      </w:r>
      <w:r w:rsidR="00872274">
        <w:rPr>
          <w:rFonts w:ascii="Lato" w:hAnsi="Lato"/>
        </w:rPr>
        <w:t>a sieć teleinformatyczna,</w:t>
      </w:r>
      <w:r w:rsidRPr="003913E7">
        <w:rPr>
          <w:rFonts w:ascii="Lato" w:hAnsi="Lato"/>
        </w:rPr>
        <w:t xml:space="preserve"> stanowiąc</w:t>
      </w:r>
      <w:r w:rsidR="00872274">
        <w:rPr>
          <w:rFonts w:ascii="Lato" w:hAnsi="Lato"/>
        </w:rPr>
        <w:t>a</w:t>
      </w:r>
      <w:r w:rsidRPr="003913E7">
        <w:rPr>
          <w:rFonts w:ascii="Lato" w:hAnsi="Lato"/>
        </w:rPr>
        <w:t xml:space="preserve"> własność Zamawia</w:t>
      </w:r>
      <w:r w:rsidR="00872274">
        <w:rPr>
          <w:rFonts w:ascii="Lato" w:hAnsi="Lato"/>
        </w:rPr>
        <w:t>jącego</w:t>
      </w:r>
      <w:r w:rsidRPr="00872274">
        <w:rPr>
          <w:rFonts w:ascii="Lato" w:hAnsi="Lato"/>
        </w:rPr>
        <w:t xml:space="preserve">, która </w:t>
      </w:r>
      <w:r w:rsidRPr="00872274">
        <w:rPr>
          <w:rFonts w:ascii="Lato" w:hAnsi="Lato"/>
        </w:rPr>
        <w:lastRenderedPageBreak/>
        <w:t>może być wykorzystana w uzgodnieniu ze służbami IT Zamawiającego.</w:t>
      </w:r>
      <w:r w:rsidR="00872274">
        <w:rPr>
          <w:rFonts w:ascii="Lato" w:hAnsi="Lato"/>
        </w:rPr>
        <w:t xml:space="preserve"> </w:t>
      </w:r>
    </w:p>
    <w:p w14:paraId="27326E68" w14:textId="7B94BF63" w:rsidR="006417BA" w:rsidRPr="006417BA" w:rsidRDefault="006417BA" w:rsidP="006417BA">
      <w:pPr>
        <w:pStyle w:val="Tekstpodstawowy"/>
        <w:spacing w:before="99" w:line="276" w:lineRule="auto"/>
        <w:ind w:left="116" w:right="114"/>
        <w:jc w:val="both"/>
        <w:rPr>
          <w:rFonts w:ascii="Lato" w:hAnsi="Lato"/>
        </w:rPr>
      </w:pPr>
      <w:r>
        <w:rPr>
          <w:rFonts w:ascii="Lato" w:hAnsi="Lato"/>
        </w:rPr>
        <w:t>T</w:t>
      </w:r>
      <w:r w:rsidRPr="006417BA">
        <w:rPr>
          <w:rFonts w:ascii="Lato" w:hAnsi="Lato"/>
        </w:rPr>
        <w:t>ylko wskazane adresy IP w sieci</w:t>
      </w:r>
      <w:r>
        <w:rPr>
          <w:rFonts w:ascii="Lato" w:hAnsi="Lato"/>
        </w:rPr>
        <w:t xml:space="preserve"> teleinformatycznej </w:t>
      </w:r>
      <w:r w:rsidRPr="006417BA">
        <w:rPr>
          <w:rFonts w:ascii="Lato" w:hAnsi="Lato"/>
        </w:rPr>
        <w:t>M</w:t>
      </w:r>
      <w:r>
        <w:rPr>
          <w:rFonts w:ascii="Lato" w:hAnsi="Lato"/>
        </w:rPr>
        <w:t>inisterstwa Rozwoju i Technologii w Warszawie będą</w:t>
      </w:r>
      <w:r w:rsidRPr="006417BA">
        <w:rPr>
          <w:rFonts w:ascii="Lato" w:hAnsi="Lato"/>
        </w:rPr>
        <w:t xml:space="preserve"> dopuszczone do odbioru</w:t>
      </w:r>
      <w:r>
        <w:rPr>
          <w:rFonts w:ascii="Lato" w:hAnsi="Lato"/>
        </w:rPr>
        <w:t xml:space="preserve"> kanałów</w:t>
      </w:r>
      <w:r w:rsidRPr="006417BA">
        <w:rPr>
          <w:rFonts w:ascii="Lato" w:hAnsi="Lato"/>
        </w:rPr>
        <w:t xml:space="preserve"> TV</w:t>
      </w:r>
      <w:r>
        <w:rPr>
          <w:rFonts w:ascii="Lato" w:hAnsi="Lato"/>
        </w:rPr>
        <w:t xml:space="preserve">, co </w:t>
      </w:r>
      <w:r w:rsidRPr="006417BA">
        <w:rPr>
          <w:rFonts w:ascii="Lato" w:hAnsi="Lato"/>
        </w:rPr>
        <w:t xml:space="preserve">pozwoli zabezpieczyć się przed naruszeniem warunków świadczenia usługi. </w:t>
      </w:r>
    </w:p>
    <w:p w14:paraId="1FBF427F" w14:textId="77777777" w:rsidR="006417BA" w:rsidRPr="003913E7" w:rsidRDefault="006417BA">
      <w:pPr>
        <w:pStyle w:val="Tekstpodstawowy"/>
        <w:spacing w:before="99" w:line="276" w:lineRule="auto"/>
        <w:ind w:left="116" w:right="114"/>
        <w:jc w:val="both"/>
        <w:rPr>
          <w:rFonts w:ascii="Lato" w:hAnsi="Lato"/>
        </w:rPr>
      </w:pPr>
    </w:p>
    <w:sectPr w:rsidR="006417BA" w:rsidRPr="003913E7">
      <w:type w:val="continuous"/>
      <w:pgSz w:w="11910" w:h="16840"/>
      <w:pgMar w:top="126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E1EF4"/>
    <w:multiLevelType w:val="hybridMultilevel"/>
    <w:tmpl w:val="75D85152"/>
    <w:lvl w:ilvl="0" w:tplc="0415001B">
      <w:start w:val="1"/>
      <w:numFmt w:val="lowerRoman"/>
      <w:lvlText w:val="%1."/>
      <w:lvlJc w:val="right"/>
      <w:pPr>
        <w:ind w:left="836" w:hanging="360"/>
      </w:p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" w15:restartNumberingAfterBreak="0">
    <w:nsid w:val="14163DBB"/>
    <w:multiLevelType w:val="hybridMultilevel"/>
    <w:tmpl w:val="03D0AD3A"/>
    <w:lvl w:ilvl="0" w:tplc="04150011">
      <w:start w:val="1"/>
      <w:numFmt w:val="decimal"/>
      <w:lvlText w:val="%1)"/>
      <w:lvlJc w:val="left"/>
      <w:pPr>
        <w:ind w:left="836" w:hanging="360"/>
      </w:p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" w15:restartNumberingAfterBreak="0">
    <w:nsid w:val="19395B1E"/>
    <w:multiLevelType w:val="hybridMultilevel"/>
    <w:tmpl w:val="57BC23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F58F4"/>
    <w:multiLevelType w:val="hybridMultilevel"/>
    <w:tmpl w:val="9BD02500"/>
    <w:lvl w:ilvl="0" w:tplc="ED3E156C">
      <w:start w:val="1"/>
      <w:numFmt w:val="decimal"/>
      <w:lvlText w:val="%1."/>
      <w:lvlJc w:val="left"/>
      <w:pPr>
        <w:ind w:left="476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1" w:tplc="209205E2">
      <w:numFmt w:val="bullet"/>
      <w:lvlText w:val="•"/>
      <w:lvlJc w:val="left"/>
      <w:pPr>
        <w:ind w:left="1362" w:hanging="361"/>
      </w:pPr>
      <w:rPr>
        <w:rFonts w:hint="default"/>
        <w:lang w:val="pl-PL" w:eastAsia="en-US" w:bidi="ar-SA"/>
      </w:rPr>
    </w:lvl>
    <w:lvl w:ilvl="2" w:tplc="2E06E8BE">
      <w:numFmt w:val="bullet"/>
      <w:lvlText w:val="•"/>
      <w:lvlJc w:val="left"/>
      <w:pPr>
        <w:ind w:left="2245" w:hanging="361"/>
      </w:pPr>
      <w:rPr>
        <w:rFonts w:hint="default"/>
        <w:lang w:val="pl-PL" w:eastAsia="en-US" w:bidi="ar-SA"/>
      </w:rPr>
    </w:lvl>
    <w:lvl w:ilvl="3" w:tplc="8572CD94">
      <w:numFmt w:val="bullet"/>
      <w:lvlText w:val="•"/>
      <w:lvlJc w:val="left"/>
      <w:pPr>
        <w:ind w:left="3127" w:hanging="361"/>
      </w:pPr>
      <w:rPr>
        <w:rFonts w:hint="default"/>
        <w:lang w:val="pl-PL" w:eastAsia="en-US" w:bidi="ar-SA"/>
      </w:rPr>
    </w:lvl>
    <w:lvl w:ilvl="4" w:tplc="373E94E0">
      <w:numFmt w:val="bullet"/>
      <w:lvlText w:val="•"/>
      <w:lvlJc w:val="left"/>
      <w:pPr>
        <w:ind w:left="4010" w:hanging="361"/>
      </w:pPr>
      <w:rPr>
        <w:rFonts w:hint="default"/>
        <w:lang w:val="pl-PL" w:eastAsia="en-US" w:bidi="ar-SA"/>
      </w:rPr>
    </w:lvl>
    <w:lvl w:ilvl="5" w:tplc="F37EDA14">
      <w:numFmt w:val="bullet"/>
      <w:lvlText w:val="•"/>
      <w:lvlJc w:val="left"/>
      <w:pPr>
        <w:ind w:left="4893" w:hanging="361"/>
      </w:pPr>
      <w:rPr>
        <w:rFonts w:hint="default"/>
        <w:lang w:val="pl-PL" w:eastAsia="en-US" w:bidi="ar-SA"/>
      </w:rPr>
    </w:lvl>
    <w:lvl w:ilvl="6" w:tplc="CC38FB5A">
      <w:numFmt w:val="bullet"/>
      <w:lvlText w:val="•"/>
      <w:lvlJc w:val="left"/>
      <w:pPr>
        <w:ind w:left="5775" w:hanging="361"/>
      </w:pPr>
      <w:rPr>
        <w:rFonts w:hint="default"/>
        <w:lang w:val="pl-PL" w:eastAsia="en-US" w:bidi="ar-SA"/>
      </w:rPr>
    </w:lvl>
    <w:lvl w:ilvl="7" w:tplc="3D0C6768">
      <w:numFmt w:val="bullet"/>
      <w:lvlText w:val="•"/>
      <w:lvlJc w:val="left"/>
      <w:pPr>
        <w:ind w:left="6658" w:hanging="361"/>
      </w:pPr>
      <w:rPr>
        <w:rFonts w:hint="default"/>
        <w:lang w:val="pl-PL" w:eastAsia="en-US" w:bidi="ar-SA"/>
      </w:rPr>
    </w:lvl>
    <w:lvl w:ilvl="8" w:tplc="718A2956">
      <w:numFmt w:val="bullet"/>
      <w:lvlText w:val="•"/>
      <w:lvlJc w:val="left"/>
      <w:pPr>
        <w:ind w:left="7541" w:hanging="361"/>
      </w:pPr>
      <w:rPr>
        <w:rFonts w:hint="default"/>
        <w:lang w:val="pl-PL" w:eastAsia="en-US" w:bidi="ar-SA"/>
      </w:rPr>
    </w:lvl>
  </w:abstractNum>
  <w:abstractNum w:abstractNumId="4" w15:restartNumberingAfterBreak="0">
    <w:nsid w:val="3B0B42BF"/>
    <w:multiLevelType w:val="hybridMultilevel"/>
    <w:tmpl w:val="55D088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9A0718"/>
    <w:multiLevelType w:val="hybridMultilevel"/>
    <w:tmpl w:val="A864A27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9194EC4"/>
    <w:multiLevelType w:val="hybridMultilevel"/>
    <w:tmpl w:val="EABA69A2"/>
    <w:lvl w:ilvl="0" w:tplc="2DB027B4">
      <w:start w:val="1"/>
      <w:numFmt w:val="upperRoman"/>
      <w:lvlText w:val="%1."/>
      <w:lvlJc w:val="left"/>
      <w:pPr>
        <w:ind w:left="1196" w:hanging="72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1CEAF02">
      <w:numFmt w:val="bullet"/>
      <w:lvlText w:val="•"/>
      <w:lvlJc w:val="left"/>
      <w:pPr>
        <w:ind w:left="2010" w:hanging="721"/>
      </w:pPr>
      <w:rPr>
        <w:rFonts w:hint="default"/>
        <w:lang w:val="pl-PL" w:eastAsia="en-US" w:bidi="ar-SA"/>
      </w:rPr>
    </w:lvl>
    <w:lvl w:ilvl="2" w:tplc="51B2A206">
      <w:numFmt w:val="bullet"/>
      <w:lvlText w:val="•"/>
      <w:lvlJc w:val="left"/>
      <w:pPr>
        <w:ind w:left="2821" w:hanging="721"/>
      </w:pPr>
      <w:rPr>
        <w:rFonts w:hint="default"/>
        <w:lang w:val="pl-PL" w:eastAsia="en-US" w:bidi="ar-SA"/>
      </w:rPr>
    </w:lvl>
    <w:lvl w:ilvl="3" w:tplc="365CD0AA">
      <w:numFmt w:val="bullet"/>
      <w:lvlText w:val="•"/>
      <w:lvlJc w:val="left"/>
      <w:pPr>
        <w:ind w:left="3631" w:hanging="721"/>
      </w:pPr>
      <w:rPr>
        <w:rFonts w:hint="default"/>
        <w:lang w:val="pl-PL" w:eastAsia="en-US" w:bidi="ar-SA"/>
      </w:rPr>
    </w:lvl>
    <w:lvl w:ilvl="4" w:tplc="8A902B16">
      <w:numFmt w:val="bullet"/>
      <w:lvlText w:val="•"/>
      <w:lvlJc w:val="left"/>
      <w:pPr>
        <w:ind w:left="4442" w:hanging="721"/>
      </w:pPr>
      <w:rPr>
        <w:rFonts w:hint="default"/>
        <w:lang w:val="pl-PL" w:eastAsia="en-US" w:bidi="ar-SA"/>
      </w:rPr>
    </w:lvl>
    <w:lvl w:ilvl="5" w:tplc="764EFEDA">
      <w:numFmt w:val="bullet"/>
      <w:lvlText w:val="•"/>
      <w:lvlJc w:val="left"/>
      <w:pPr>
        <w:ind w:left="5253" w:hanging="721"/>
      </w:pPr>
      <w:rPr>
        <w:rFonts w:hint="default"/>
        <w:lang w:val="pl-PL" w:eastAsia="en-US" w:bidi="ar-SA"/>
      </w:rPr>
    </w:lvl>
    <w:lvl w:ilvl="6" w:tplc="99D06B40">
      <w:numFmt w:val="bullet"/>
      <w:lvlText w:val="•"/>
      <w:lvlJc w:val="left"/>
      <w:pPr>
        <w:ind w:left="6063" w:hanging="721"/>
      </w:pPr>
      <w:rPr>
        <w:rFonts w:hint="default"/>
        <w:lang w:val="pl-PL" w:eastAsia="en-US" w:bidi="ar-SA"/>
      </w:rPr>
    </w:lvl>
    <w:lvl w:ilvl="7" w:tplc="E4067CD8">
      <w:numFmt w:val="bullet"/>
      <w:lvlText w:val="•"/>
      <w:lvlJc w:val="left"/>
      <w:pPr>
        <w:ind w:left="6874" w:hanging="721"/>
      </w:pPr>
      <w:rPr>
        <w:rFonts w:hint="default"/>
        <w:lang w:val="pl-PL" w:eastAsia="en-US" w:bidi="ar-SA"/>
      </w:rPr>
    </w:lvl>
    <w:lvl w:ilvl="8" w:tplc="F77E5CF6">
      <w:numFmt w:val="bullet"/>
      <w:lvlText w:val="•"/>
      <w:lvlJc w:val="left"/>
      <w:pPr>
        <w:ind w:left="7685" w:hanging="721"/>
      </w:pPr>
      <w:rPr>
        <w:rFonts w:hint="default"/>
        <w:lang w:val="pl-PL" w:eastAsia="en-US" w:bidi="ar-SA"/>
      </w:rPr>
    </w:lvl>
  </w:abstractNum>
  <w:abstractNum w:abstractNumId="7" w15:restartNumberingAfterBreak="0">
    <w:nsid w:val="69D907D4"/>
    <w:multiLevelType w:val="hybridMultilevel"/>
    <w:tmpl w:val="23EA4B3C"/>
    <w:lvl w:ilvl="0" w:tplc="04150011">
      <w:start w:val="1"/>
      <w:numFmt w:val="decimal"/>
      <w:lvlText w:val="%1)"/>
      <w:lvlJc w:val="left"/>
      <w:pPr>
        <w:ind w:left="836" w:hanging="360"/>
      </w:p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num w:numId="1" w16cid:durableId="2134906480">
    <w:abstractNumId w:val="3"/>
  </w:num>
  <w:num w:numId="2" w16cid:durableId="1089277517">
    <w:abstractNumId w:val="6"/>
  </w:num>
  <w:num w:numId="3" w16cid:durableId="287472177">
    <w:abstractNumId w:val="0"/>
  </w:num>
  <w:num w:numId="4" w16cid:durableId="1753774696">
    <w:abstractNumId w:val="4"/>
  </w:num>
  <w:num w:numId="5" w16cid:durableId="481852102">
    <w:abstractNumId w:val="5"/>
  </w:num>
  <w:num w:numId="6" w16cid:durableId="1291788687">
    <w:abstractNumId w:val="1"/>
  </w:num>
  <w:num w:numId="7" w16cid:durableId="429202879">
    <w:abstractNumId w:val="7"/>
  </w:num>
  <w:num w:numId="8" w16cid:durableId="8708060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938"/>
    <w:rsid w:val="00015F9E"/>
    <w:rsid w:val="000350C2"/>
    <w:rsid w:val="000A6944"/>
    <w:rsid w:val="000A6CE6"/>
    <w:rsid w:val="000B2BF2"/>
    <w:rsid w:val="000D3D40"/>
    <w:rsid w:val="0013737F"/>
    <w:rsid w:val="00154B58"/>
    <w:rsid w:val="001653C4"/>
    <w:rsid w:val="002058B9"/>
    <w:rsid w:val="002B2C4A"/>
    <w:rsid w:val="002B4AD2"/>
    <w:rsid w:val="00320B42"/>
    <w:rsid w:val="00331EF8"/>
    <w:rsid w:val="003913E7"/>
    <w:rsid w:val="003A5EE2"/>
    <w:rsid w:val="0043365F"/>
    <w:rsid w:val="004E50FA"/>
    <w:rsid w:val="005B6903"/>
    <w:rsid w:val="0060332A"/>
    <w:rsid w:val="0061482A"/>
    <w:rsid w:val="006417BA"/>
    <w:rsid w:val="006600BF"/>
    <w:rsid w:val="006771CA"/>
    <w:rsid w:val="006A5AE6"/>
    <w:rsid w:val="006C3BE5"/>
    <w:rsid w:val="006E022D"/>
    <w:rsid w:val="006E0595"/>
    <w:rsid w:val="006E53FC"/>
    <w:rsid w:val="00722E56"/>
    <w:rsid w:val="00742D93"/>
    <w:rsid w:val="00756189"/>
    <w:rsid w:val="0078785F"/>
    <w:rsid w:val="00821C8C"/>
    <w:rsid w:val="008259FE"/>
    <w:rsid w:val="00861A8D"/>
    <w:rsid w:val="00864938"/>
    <w:rsid w:val="00872274"/>
    <w:rsid w:val="0096069A"/>
    <w:rsid w:val="009863C2"/>
    <w:rsid w:val="009E01DF"/>
    <w:rsid w:val="009E03A2"/>
    <w:rsid w:val="00A11697"/>
    <w:rsid w:val="00A9591E"/>
    <w:rsid w:val="00AB2362"/>
    <w:rsid w:val="00AC7A0A"/>
    <w:rsid w:val="00B35316"/>
    <w:rsid w:val="00C346AA"/>
    <w:rsid w:val="00CB5294"/>
    <w:rsid w:val="00D55779"/>
    <w:rsid w:val="00D949A6"/>
    <w:rsid w:val="00E15793"/>
    <w:rsid w:val="00E26BF9"/>
    <w:rsid w:val="00EA74CC"/>
    <w:rsid w:val="00EC7B84"/>
    <w:rsid w:val="00EE2F5A"/>
    <w:rsid w:val="00EE4D95"/>
    <w:rsid w:val="00EF1B0E"/>
    <w:rsid w:val="00F376CA"/>
    <w:rsid w:val="00F96822"/>
    <w:rsid w:val="00FB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080B7"/>
  <w15:docId w15:val="{B8D7969F-8D5C-4DCC-8DBE-7D1F90C3E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116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476" w:hanging="36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9606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6069A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6069A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069A"/>
    <w:pPr>
      <w:widowControl w:val="0"/>
      <w:autoSpaceDE w:val="0"/>
      <w:autoSpaceDN w:val="0"/>
      <w:spacing w:after="0"/>
    </w:pPr>
    <w:rPr>
      <w:rFonts w:ascii="Arial" w:eastAsia="Arial" w:hAnsi="Arial" w:cs="Arial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069A"/>
    <w:rPr>
      <w:rFonts w:ascii="Arial" w:eastAsia="Arial" w:hAnsi="Arial" w:cs="Arial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9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F57C1-1C63-4EE3-BAC3-F192E179D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SOPZ telewizja kablowa dla MFiPR</vt:lpstr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SOPZ telewizja kablowa dla MFiPR</dc:title>
  <dc:creator>Izabela_Najda</dc:creator>
  <cp:lastModifiedBy>Jabłońska Joanna</cp:lastModifiedBy>
  <cp:revision>2</cp:revision>
  <dcterms:created xsi:type="dcterms:W3CDTF">2024-08-16T09:09:00Z</dcterms:created>
  <dcterms:modified xsi:type="dcterms:W3CDTF">2024-08-16T09:09:00Z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2021-01-29T00:00:00Z</vt:filetime>
  </property>
  <property fmtid="{D5CDD505-2E9C-101B-9397-08002B2CF9AE}" pid="3" name="LastSaved">
    <vt:filetime>2024-07-12T00:00:00Z</vt:filetime>
  </property>
  <property fmtid="{D5CDD505-2E9C-101B-9397-08002B2CF9AE}" pid="4" name="Producer">
    <vt:lpwstr>3-Heights(TM) PDF Security Shell 4.8.25.2 (http://www.pdf-tools.com)</vt:lpwstr>
  </property>
</Properties>
</file>