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592608C9" w:rsidR="001F0AC3" w:rsidRPr="001F0AC3" w:rsidRDefault="001F0AC3" w:rsidP="001F0AC3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MT"/>
          <w:b/>
          <w:bCs/>
          <w:sz w:val="20"/>
          <w:szCs w:val="20"/>
        </w:rPr>
      </w:pPr>
      <w:r w:rsidRPr="001F0AC3">
        <w:rPr>
          <w:rFonts w:ascii="Cambria" w:hAnsi="Cambria" w:cs="ArialMT"/>
          <w:b/>
          <w:bCs/>
          <w:sz w:val="20"/>
          <w:szCs w:val="20"/>
        </w:rPr>
        <w:t>Załącznik nr 4</w:t>
      </w:r>
    </w:p>
    <w:p w14:paraId="0D49AE64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2C94ACFB" w:rsidR="00AF64C4" w:rsidRPr="00BE426F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305AEBC" w14:textId="383ED076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</w:p>
    <w:p w14:paraId="3A49A625" w14:textId="7B6589CC" w:rsidR="00991535" w:rsidRPr="00991535" w:rsidRDefault="005A4DBB" w:rsidP="005A4DBB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Dostawa mebli biurowych do budynku Prokuratury Regionalnej w Lublinie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br/>
        <w:t xml:space="preserve">przy ul. </w:t>
      </w:r>
      <w:r w:rsidR="00B41F1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B. Głowackiego 13 w Lublinie</w:t>
      </w:r>
    </w:p>
    <w:p w14:paraId="1615017B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</w:p>
    <w:p w14:paraId="6C0D41E7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2D41CA95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B41F16">
        <w:rPr>
          <w:rFonts w:ascii="Cambria" w:hAnsi="Cambria" w:cs="ArialMT"/>
        </w:rPr>
        <w:t>3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129 ze zm.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1F0AC3"/>
    <w:rsid w:val="002B5944"/>
    <w:rsid w:val="002E46BD"/>
    <w:rsid w:val="00466F31"/>
    <w:rsid w:val="005A4DBB"/>
    <w:rsid w:val="00915CF9"/>
    <w:rsid w:val="00991535"/>
    <w:rsid w:val="009F6D40"/>
    <w:rsid w:val="00AF64C4"/>
    <w:rsid w:val="00B41F16"/>
    <w:rsid w:val="00D137B9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17</cp:revision>
  <dcterms:created xsi:type="dcterms:W3CDTF">2022-05-10T07:10:00Z</dcterms:created>
  <dcterms:modified xsi:type="dcterms:W3CDTF">2024-11-08T13:35:00Z</dcterms:modified>
</cp:coreProperties>
</file>