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756D" w14:textId="77777777" w:rsidR="003F486C" w:rsidRPr="00E7579F" w:rsidRDefault="003F486C" w:rsidP="00E7579F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eastAsia="pl-PL" w:bidi="pl-PL"/>
        </w:rPr>
      </w:pPr>
      <w:r w:rsidRPr="00E7579F">
        <w:rPr>
          <w:rFonts w:ascii="Times New Roman" w:hAnsi="Times New Roman" w:cs="Times New Roman"/>
          <w:b/>
          <w:bCs/>
          <w:lang w:eastAsia="pl-PL" w:bidi="pl-PL"/>
        </w:rPr>
        <w:t>Uchwała Nr 1</w:t>
      </w:r>
    </w:p>
    <w:p w14:paraId="6C3CB109" w14:textId="77777777" w:rsidR="003F486C" w:rsidRPr="00E7579F" w:rsidRDefault="003F486C" w:rsidP="00E7579F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eastAsia="pl-PL" w:bidi="pl-PL"/>
        </w:rPr>
      </w:pPr>
      <w:r w:rsidRPr="00E7579F">
        <w:rPr>
          <w:rFonts w:ascii="Times New Roman" w:hAnsi="Times New Roman" w:cs="Times New Roman"/>
          <w:b/>
          <w:bCs/>
          <w:lang w:eastAsia="pl-PL" w:bidi="pl-PL"/>
        </w:rPr>
        <w:t>Nadzwyczajnego Walnego Zgromadzenia Spółki</w:t>
      </w:r>
    </w:p>
    <w:p w14:paraId="4349637A" w14:textId="77777777" w:rsidR="003F486C" w:rsidRPr="00E7579F" w:rsidRDefault="003F486C" w:rsidP="00E7579F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eastAsia="pl-PL" w:bidi="pl-PL"/>
        </w:rPr>
      </w:pPr>
      <w:r w:rsidRPr="00E7579F">
        <w:rPr>
          <w:rFonts w:ascii="Times New Roman" w:hAnsi="Times New Roman" w:cs="Times New Roman"/>
          <w:b/>
          <w:bCs/>
          <w:lang w:eastAsia="pl-PL" w:bidi="pl-PL"/>
        </w:rPr>
        <w:t>Polskie Koleje Państwowe S.A.</w:t>
      </w:r>
    </w:p>
    <w:p w14:paraId="3BE065CE" w14:textId="77777777" w:rsidR="003F486C" w:rsidRPr="00E7579F" w:rsidRDefault="003F486C" w:rsidP="00E7579F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eastAsia="pl-PL" w:bidi="pl-PL"/>
        </w:rPr>
      </w:pPr>
      <w:r w:rsidRPr="00E7579F">
        <w:rPr>
          <w:rFonts w:ascii="Times New Roman" w:hAnsi="Times New Roman" w:cs="Times New Roman"/>
          <w:b/>
          <w:bCs/>
          <w:lang w:eastAsia="pl-PL" w:bidi="pl-PL"/>
        </w:rPr>
        <w:t>z siedzibą w Warszawie</w:t>
      </w:r>
    </w:p>
    <w:p w14:paraId="6F608952" w14:textId="7204C402" w:rsidR="003F486C" w:rsidRPr="00E7579F" w:rsidRDefault="003F486C" w:rsidP="00E7579F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eastAsia="pl-PL" w:bidi="pl-PL"/>
        </w:rPr>
      </w:pPr>
      <w:r w:rsidRPr="00E7579F">
        <w:rPr>
          <w:rFonts w:ascii="Times New Roman" w:hAnsi="Times New Roman" w:cs="Times New Roman"/>
          <w:b/>
          <w:bCs/>
          <w:lang w:eastAsia="pl-PL" w:bidi="pl-PL"/>
        </w:rPr>
        <w:t>z dnia 24 sierpnia 2021 roku</w:t>
      </w:r>
    </w:p>
    <w:p w14:paraId="23EC6F3A" w14:textId="77777777" w:rsidR="003F486C" w:rsidRPr="00E7579F" w:rsidRDefault="003F486C" w:rsidP="00E7579F">
      <w:pPr>
        <w:spacing w:after="120" w:line="240" w:lineRule="auto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w sprawie: ustalenia zasad kształtowania wynagrodzeń członków Zarządu PKP S.A.</w:t>
      </w:r>
    </w:p>
    <w:p w14:paraId="4073D8BD" w14:textId="77777777" w:rsidR="003F486C" w:rsidRPr="00E7579F" w:rsidRDefault="003F486C" w:rsidP="00E7579F">
      <w:pPr>
        <w:spacing w:after="120" w:line="240" w:lineRule="auto"/>
        <w:rPr>
          <w:rFonts w:ascii="Times New Roman" w:hAnsi="Times New Roman" w:cs="Times New Roman"/>
        </w:rPr>
      </w:pPr>
    </w:p>
    <w:p w14:paraId="374EAE3E" w14:textId="77777777" w:rsidR="003F486C" w:rsidRPr="00E7579F" w:rsidRDefault="003F486C" w:rsidP="00E7579F">
      <w:pPr>
        <w:spacing w:after="120" w:line="240" w:lineRule="auto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 xml:space="preserve">Działając na podstawie </w:t>
      </w:r>
      <w:r w:rsidRPr="00E7579F">
        <w:rPr>
          <w:rFonts w:ascii="Times New Roman" w:hAnsi="Times New Roman" w:cs="Times New Roman"/>
          <w:lang w:val="en-US" w:bidi="en-US"/>
        </w:rPr>
        <w:t xml:space="preserve">art. </w:t>
      </w:r>
      <w:r w:rsidRPr="00E7579F">
        <w:rPr>
          <w:rFonts w:ascii="Times New Roman" w:hAnsi="Times New Roman" w:cs="Times New Roman"/>
          <w:lang w:eastAsia="pl-PL" w:bidi="pl-PL"/>
        </w:rPr>
        <w:t>378 § 2 ustawy z dnia 15 września 2000 r. - Kodeks Spółek Handlowych oraz §30 ust. 1 pkt 20) Statutu Spółki Nadzwyczajne Walne Zgromadzenie uchwala, co następuje:</w:t>
      </w:r>
    </w:p>
    <w:p w14:paraId="607F435C" w14:textId="77777777" w:rsidR="003F486C" w:rsidRPr="00E7579F" w:rsidRDefault="003F486C" w:rsidP="00E7579F">
      <w:pPr>
        <w:spacing w:after="120" w:line="240" w:lineRule="auto"/>
        <w:rPr>
          <w:rFonts w:ascii="Times New Roman" w:hAnsi="Times New Roman" w:cs="Times New Roman"/>
          <w:lang w:eastAsia="pl-PL" w:bidi="pl-PL"/>
        </w:rPr>
      </w:pPr>
    </w:p>
    <w:p w14:paraId="0D47FB2A" w14:textId="77777777" w:rsidR="003F486C" w:rsidRPr="00E7579F" w:rsidRDefault="003F486C" w:rsidP="00E7579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§1</w:t>
      </w:r>
    </w:p>
    <w:p w14:paraId="1D7B2C76" w14:textId="77777777" w:rsidR="003F486C" w:rsidRPr="00E7579F" w:rsidRDefault="003F486C" w:rsidP="00487F70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 xml:space="preserve">Z członkiem Zarządu Spółki </w:t>
      </w:r>
      <w:r w:rsidRPr="00E7579F">
        <w:rPr>
          <w:rStyle w:val="Bodytext211ptBold"/>
          <w:rFonts w:eastAsiaTheme="minorHAnsi"/>
          <w:sz w:val="24"/>
          <w:szCs w:val="24"/>
        </w:rPr>
        <w:t xml:space="preserve">(„Członek Zarządu”) </w:t>
      </w:r>
      <w:r w:rsidRPr="00E7579F">
        <w:rPr>
          <w:rFonts w:ascii="Times New Roman" w:hAnsi="Times New Roman" w:cs="Times New Roman"/>
          <w:lang w:eastAsia="pl-PL" w:bidi="pl-PL"/>
        </w:rPr>
        <w:t xml:space="preserve">zawierana jest umowa o świadczenie usług zarządzania </w:t>
      </w:r>
      <w:r w:rsidRPr="00E7579F">
        <w:rPr>
          <w:rStyle w:val="Bodytext211ptBold"/>
          <w:rFonts w:eastAsiaTheme="minorHAnsi"/>
          <w:sz w:val="24"/>
          <w:szCs w:val="24"/>
        </w:rPr>
        <w:t xml:space="preserve">(„Umowa”). </w:t>
      </w:r>
      <w:r w:rsidRPr="00E7579F">
        <w:rPr>
          <w:rFonts w:ascii="Times New Roman" w:hAnsi="Times New Roman" w:cs="Times New Roman"/>
          <w:lang w:eastAsia="pl-PL" w:bidi="pl-PL"/>
        </w:rPr>
        <w:t>Umowa zawierana jest na czas pełnienia funkcji Członka Zarządu, z obowiązkiem świadczenia osobistego, bez względu na to, czy Członek Zarządu działa w zakresie prowadzonej działalności gospodarczej.</w:t>
      </w:r>
    </w:p>
    <w:p w14:paraId="1965792C" w14:textId="77777777" w:rsidR="003F486C" w:rsidRPr="00E7579F" w:rsidRDefault="003F486C" w:rsidP="00487F70">
      <w:pPr>
        <w:pStyle w:val="Akapitzlist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 xml:space="preserve">Treść Umowy określa Rada Nadzorcza Spółki </w:t>
      </w:r>
      <w:r w:rsidRPr="00E7579F">
        <w:rPr>
          <w:rStyle w:val="Bodytext211ptBold"/>
          <w:rFonts w:eastAsiaTheme="minorHAnsi"/>
          <w:sz w:val="24"/>
          <w:szCs w:val="24"/>
        </w:rPr>
        <w:t xml:space="preserve">(„Rada Nadzorcza”) </w:t>
      </w:r>
      <w:r w:rsidRPr="00E7579F">
        <w:rPr>
          <w:rFonts w:ascii="Times New Roman" w:hAnsi="Times New Roman" w:cs="Times New Roman"/>
          <w:lang w:eastAsia="pl-PL" w:bidi="pl-PL"/>
        </w:rPr>
        <w:t xml:space="preserve">zgodnie z warunkami określonymi w ustawie z dnia 9 czerwca 2016 r. o zasadach kształtowania wynagrodzeń osób kierujących niektórymi spółkami </w:t>
      </w:r>
      <w:r w:rsidRPr="00E7579F">
        <w:rPr>
          <w:rStyle w:val="Bodytext211ptBold"/>
          <w:rFonts w:eastAsiaTheme="minorHAnsi"/>
          <w:sz w:val="24"/>
          <w:szCs w:val="24"/>
        </w:rPr>
        <w:t xml:space="preserve">(„Ustawa”) </w:t>
      </w:r>
      <w:r w:rsidRPr="00E7579F">
        <w:rPr>
          <w:rFonts w:ascii="Times New Roman" w:hAnsi="Times New Roman" w:cs="Times New Roman"/>
          <w:lang w:eastAsia="pl-PL" w:bidi="pl-PL"/>
        </w:rPr>
        <w:t>oraz postanowieniami niniejszej uchwały.</w:t>
      </w:r>
    </w:p>
    <w:p w14:paraId="6F32ACD3" w14:textId="77777777" w:rsidR="003F486C" w:rsidRPr="00E7579F" w:rsidRDefault="003F486C" w:rsidP="00E7579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§2</w:t>
      </w:r>
    </w:p>
    <w:p w14:paraId="20F8EACB" w14:textId="71C4F583" w:rsidR="003F486C" w:rsidRPr="00E7579F" w:rsidRDefault="003F486C" w:rsidP="00487F70">
      <w:pPr>
        <w:pStyle w:val="Akapitzlist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Wynagrodzenie całkowite Członka Zarządu składa się z części stałej, stanowiącej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 xml:space="preserve">wynagrodzenie miesięczne podstawowe </w:t>
      </w:r>
      <w:r w:rsidRPr="00E7579F">
        <w:rPr>
          <w:rStyle w:val="Bodytext211ptBold"/>
          <w:rFonts w:eastAsiaTheme="minorHAnsi"/>
          <w:sz w:val="24"/>
          <w:szCs w:val="24"/>
        </w:rPr>
        <w:t xml:space="preserve">(„Wynagrodzenie Stałe”) </w:t>
      </w:r>
      <w:r w:rsidRPr="00E7579F">
        <w:rPr>
          <w:rFonts w:ascii="Times New Roman" w:hAnsi="Times New Roman" w:cs="Times New Roman"/>
          <w:lang w:eastAsia="pl-PL" w:bidi="pl-PL"/>
        </w:rPr>
        <w:t xml:space="preserve">określone kwotowo oraz części zmiennej, stanowiącej wynagrodzenie uzupełniające za rok obrotowy Spółki </w:t>
      </w:r>
      <w:r w:rsidRPr="00E7579F">
        <w:rPr>
          <w:rStyle w:val="Bodytext211ptBold"/>
          <w:rFonts w:eastAsiaTheme="minorHAnsi"/>
          <w:sz w:val="24"/>
          <w:szCs w:val="24"/>
        </w:rPr>
        <w:t>(„</w:t>
      </w:r>
      <w:r w:rsidRPr="00E7579F">
        <w:rPr>
          <w:rFonts w:ascii="Times New Roman" w:hAnsi="Times New Roman" w:cs="Times New Roman"/>
          <w:b/>
          <w:bCs/>
        </w:rPr>
        <w:t>Wynagrodzenie</w:t>
      </w:r>
      <w:r w:rsidRPr="00E7579F">
        <w:rPr>
          <w:rStyle w:val="Bodytext211ptBold"/>
          <w:rFonts w:eastAsiaTheme="minorHAnsi"/>
          <w:sz w:val="24"/>
          <w:szCs w:val="24"/>
        </w:rPr>
        <w:t xml:space="preserve"> Zmienne”).</w:t>
      </w:r>
    </w:p>
    <w:p w14:paraId="08543CB9" w14:textId="77777777" w:rsidR="003F486C" w:rsidRPr="00E7579F" w:rsidRDefault="003F486C" w:rsidP="00487F70">
      <w:pPr>
        <w:pStyle w:val="Akapitzlist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 xml:space="preserve">Miesięczne Wynagrodzenie Stałe dla poszczególnych Członków Zarządu zawiera się w przedziale kwotowym mieszczącym się </w:t>
      </w:r>
      <w:r w:rsidRPr="00E7579F">
        <w:rPr>
          <w:rStyle w:val="Bodytext211ptBold"/>
          <w:rFonts w:eastAsiaTheme="minorHAnsi"/>
          <w:sz w:val="24"/>
          <w:szCs w:val="24"/>
        </w:rPr>
        <w:t xml:space="preserve">od siedmiokrotności do piętnastokrotności </w:t>
      </w:r>
      <w:r w:rsidRPr="00E7579F">
        <w:rPr>
          <w:rFonts w:ascii="Times New Roman" w:hAnsi="Times New Roman" w:cs="Times New Roman"/>
          <w:lang w:eastAsia="pl-PL" w:bidi="pl-PL"/>
        </w:rPr>
        <w:t xml:space="preserve">podstawy wymiaru, o której mowa w </w:t>
      </w:r>
      <w:r w:rsidRPr="00E7579F">
        <w:rPr>
          <w:rFonts w:ascii="Times New Roman" w:hAnsi="Times New Roman" w:cs="Times New Roman"/>
          <w:lang w:val="en-US" w:bidi="en-US"/>
        </w:rPr>
        <w:t xml:space="preserve">art. </w:t>
      </w:r>
      <w:r w:rsidRPr="00E7579F">
        <w:rPr>
          <w:rFonts w:ascii="Times New Roman" w:hAnsi="Times New Roman" w:cs="Times New Roman"/>
          <w:lang w:eastAsia="pl-PL" w:bidi="pl-PL"/>
        </w:rPr>
        <w:t>1 ust. 3 pkt 11 Ustawy, z uwzględnieniem innych aktów prawnych zmieniających lub modyfikujących podstawę wymiaru, w tym przepisów ustaw o szczególnych rozwiązaniach służących realizacji ustawy budżetowej na dany rok.</w:t>
      </w:r>
    </w:p>
    <w:p w14:paraId="79E2857F" w14:textId="1E997EE0" w:rsidR="003F486C" w:rsidRPr="00E7579F" w:rsidRDefault="003F486C" w:rsidP="00487F70">
      <w:pPr>
        <w:pStyle w:val="Akapitzlist"/>
        <w:numPr>
          <w:ilvl w:val="0"/>
          <w:numId w:val="1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Upoważnia się Radę Nadzorczą do określenia kwotowo Wynagrodzenia Stałego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dla poszczególnych Członków Zarządu zgodnie z postanowieniami ust. 2.</w:t>
      </w:r>
    </w:p>
    <w:p w14:paraId="02286422" w14:textId="77777777" w:rsidR="003F486C" w:rsidRPr="00E7579F" w:rsidRDefault="003F486C" w:rsidP="00487F70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§3</w:t>
      </w:r>
    </w:p>
    <w:p w14:paraId="62961DBA" w14:textId="75A87659" w:rsidR="003F486C" w:rsidRPr="00E7579F" w:rsidRDefault="003F486C" w:rsidP="00487F70">
      <w:pPr>
        <w:pStyle w:val="Akapitzlist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 xml:space="preserve">Wynagrodzenie Zmienne jest uzależnione od poziomu realizacji ustalonych celów zarządczych </w:t>
      </w:r>
      <w:r w:rsidRPr="00E7579F">
        <w:rPr>
          <w:rStyle w:val="Bodytext211ptBold"/>
          <w:rFonts w:eastAsiaTheme="minorHAnsi"/>
          <w:sz w:val="24"/>
          <w:szCs w:val="24"/>
        </w:rPr>
        <w:t xml:space="preserve">(„Cele Zarządcze”) </w:t>
      </w:r>
      <w:r w:rsidRPr="00E7579F">
        <w:rPr>
          <w:rFonts w:ascii="Times New Roman" w:hAnsi="Times New Roman" w:cs="Times New Roman"/>
          <w:lang w:eastAsia="pl-PL" w:bidi="pl-PL"/>
        </w:rPr>
        <w:t>i nie może przekroczyć 100 % Wynagrodzenia Stałego w poprzednim roku obrotowym, dla którego dokonywane jest obliczenie wysokości przysługującego Wynagrodzenia Zmiennego</w:t>
      </w:r>
      <w:r w:rsidRPr="00E7579F">
        <w:rPr>
          <w:rFonts w:ascii="Times New Roman" w:hAnsi="Times New Roman" w:cs="Times New Roman"/>
          <w:lang w:eastAsia="pl-PL" w:bidi="pl-PL"/>
        </w:rPr>
        <w:t>.</w:t>
      </w:r>
    </w:p>
    <w:p w14:paraId="66AB9064" w14:textId="28EBFDFE" w:rsidR="003F486C" w:rsidRPr="00E7579F" w:rsidRDefault="003F486C" w:rsidP="00487F70">
      <w:pPr>
        <w:pStyle w:val="Akapitzlist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Ustala się Cele Zarządcze stanowiące w szczególności o: restrukturyzacji Spółki lub wzroście wartości Spółki, poprawie wskaźników ekonomiczno-finansowych Spółki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i Grupy Kapitałowej.</w:t>
      </w:r>
    </w:p>
    <w:p w14:paraId="4D0C04E1" w14:textId="4DDB5FBD" w:rsidR="003F486C" w:rsidRPr="00E7579F" w:rsidRDefault="003F486C" w:rsidP="00487F70">
      <w:pPr>
        <w:pStyle w:val="Akapitzlist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lastRenderedPageBreak/>
        <w:t>Upoważnia się Radę Nadzorczą do ustalenia szczegółowych Celów Zarządczych, a także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do określenia wag dla tych Celów oraz obiektywnych i mierzalnych kryteriów (wskaźników) ich realizacji i rozliczania (KPI).</w:t>
      </w:r>
    </w:p>
    <w:p w14:paraId="3C19A5E8" w14:textId="38CE70E8" w:rsidR="003F486C" w:rsidRPr="00E7579F" w:rsidRDefault="003F486C" w:rsidP="00985EBE">
      <w:pPr>
        <w:pStyle w:val="Akapitzlist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Jako odrębne cele, warunkujące możliwość otrzymania Wynagrodzenia Zmiennego za rok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obrotowy Spółki, określa się:</w:t>
      </w:r>
    </w:p>
    <w:p w14:paraId="45BCF5D5" w14:textId="1D926437" w:rsidR="003F486C" w:rsidRPr="00985EBE" w:rsidRDefault="003F486C" w:rsidP="00985EBE">
      <w:pPr>
        <w:pStyle w:val="Akapitzlist"/>
        <w:numPr>
          <w:ilvl w:val="0"/>
          <w:numId w:val="19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85EBE">
        <w:rPr>
          <w:rFonts w:ascii="Times New Roman" w:hAnsi="Times New Roman" w:cs="Times New Roman"/>
          <w:lang w:eastAsia="pl-PL" w:bidi="pl-PL"/>
        </w:rPr>
        <w:t>ukształtowanie i stosowanie zasad wynagradzania członków organów zarządzających</w:t>
      </w:r>
      <w:r w:rsidRPr="00985EBE">
        <w:rPr>
          <w:rFonts w:ascii="Times New Roman" w:hAnsi="Times New Roman" w:cs="Times New Roman"/>
          <w:lang w:eastAsia="pl-PL" w:bidi="pl-PL"/>
        </w:rPr>
        <w:t xml:space="preserve"> </w:t>
      </w:r>
      <w:r w:rsidRPr="00985EBE">
        <w:rPr>
          <w:rFonts w:ascii="Times New Roman" w:hAnsi="Times New Roman" w:cs="Times New Roman"/>
          <w:lang w:eastAsia="pl-PL" w:bidi="pl-PL"/>
        </w:rPr>
        <w:t>i nadzorczych odpowiadających zasadom określonym w Ustawie,</w:t>
      </w:r>
    </w:p>
    <w:p w14:paraId="2C166C8D" w14:textId="2D253D00" w:rsidR="003F486C" w:rsidRPr="00E7579F" w:rsidRDefault="003F486C" w:rsidP="00985EBE">
      <w:pPr>
        <w:pStyle w:val="Akapitzlist"/>
        <w:numPr>
          <w:ilvl w:val="0"/>
          <w:numId w:val="19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 xml:space="preserve">realizację obowiązków, o których mowa w </w:t>
      </w:r>
      <w:r w:rsidRPr="00E7579F">
        <w:rPr>
          <w:rFonts w:ascii="Times New Roman" w:hAnsi="Times New Roman" w:cs="Times New Roman"/>
          <w:lang w:val="en-US" w:bidi="en-US"/>
        </w:rPr>
        <w:t xml:space="preserve">art. </w:t>
      </w:r>
      <w:r w:rsidRPr="00E7579F">
        <w:rPr>
          <w:rFonts w:ascii="Times New Roman" w:hAnsi="Times New Roman" w:cs="Times New Roman"/>
          <w:lang w:eastAsia="pl-PL" w:bidi="pl-PL"/>
        </w:rPr>
        <w:t xml:space="preserve">17-20, </w:t>
      </w:r>
      <w:r w:rsidRPr="00E7579F">
        <w:rPr>
          <w:rFonts w:ascii="Times New Roman" w:hAnsi="Times New Roman" w:cs="Times New Roman"/>
          <w:lang w:val="en-US" w:bidi="en-US"/>
        </w:rPr>
        <w:t xml:space="preserve">art. </w:t>
      </w:r>
      <w:r w:rsidRPr="00E7579F">
        <w:rPr>
          <w:rFonts w:ascii="Times New Roman" w:hAnsi="Times New Roman" w:cs="Times New Roman"/>
          <w:lang w:eastAsia="pl-PL" w:bidi="pl-PL"/>
        </w:rPr>
        <w:t xml:space="preserve">22 i </w:t>
      </w:r>
      <w:r w:rsidRPr="00E7579F">
        <w:rPr>
          <w:rFonts w:ascii="Times New Roman" w:hAnsi="Times New Roman" w:cs="Times New Roman"/>
          <w:lang w:val="en-US" w:bidi="en-US"/>
        </w:rPr>
        <w:t xml:space="preserve">art. </w:t>
      </w:r>
      <w:r w:rsidRPr="00E7579F">
        <w:rPr>
          <w:rFonts w:ascii="Times New Roman" w:hAnsi="Times New Roman" w:cs="Times New Roman"/>
          <w:lang w:eastAsia="pl-PL" w:bidi="pl-PL"/>
        </w:rPr>
        <w:t>23 ustawy z dnia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16 grudnia 2016 r. o zasadach zarządzania mieniem państwowym,</w:t>
      </w:r>
    </w:p>
    <w:p w14:paraId="734F3A0E" w14:textId="013A008F" w:rsidR="003F486C" w:rsidRPr="00E7579F" w:rsidRDefault="00985EBE" w:rsidP="00985EBE">
      <w:pPr>
        <w:pStyle w:val="Akapitzlist"/>
        <w:spacing w:after="120" w:line="240" w:lineRule="auto"/>
        <w:ind w:left="567" w:hanging="14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l-PL" w:bidi="pl-PL"/>
        </w:rPr>
        <w:t>-</w:t>
      </w:r>
      <w:r>
        <w:rPr>
          <w:rFonts w:ascii="Times New Roman" w:hAnsi="Times New Roman" w:cs="Times New Roman"/>
          <w:lang w:eastAsia="pl-PL" w:bidi="pl-PL"/>
        </w:rPr>
        <w:tab/>
      </w:r>
      <w:r w:rsidR="003F486C" w:rsidRPr="00E7579F">
        <w:rPr>
          <w:rFonts w:ascii="Times New Roman" w:hAnsi="Times New Roman" w:cs="Times New Roman"/>
          <w:lang w:eastAsia="pl-PL" w:bidi="pl-PL"/>
        </w:rPr>
        <w:t xml:space="preserve">w podmiotach zależnych Spółki w rozumieniu </w:t>
      </w:r>
      <w:r w:rsidR="003F486C" w:rsidRPr="00E7579F">
        <w:rPr>
          <w:rFonts w:ascii="Times New Roman" w:hAnsi="Times New Roman" w:cs="Times New Roman"/>
          <w:lang w:val="en-US" w:bidi="en-US"/>
        </w:rPr>
        <w:t xml:space="preserve">art. </w:t>
      </w:r>
      <w:r w:rsidR="003F486C" w:rsidRPr="00E7579F">
        <w:rPr>
          <w:rFonts w:ascii="Times New Roman" w:hAnsi="Times New Roman" w:cs="Times New Roman"/>
          <w:lang w:eastAsia="pl-PL" w:bidi="pl-PL"/>
        </w:rPr>
        <w:t>4 pkt 3 ustawy z dnia 16 lutego 2007</w:t>
      </w:r>
      <w:r>
        <w:rPr>
          <w:rFonts w:ascii="Times New Roman" w:hAnsi="Times New Roman" w:cs="Times New Roman"/>
          <w:lang w:eastAsia="pl-PL" w:bidi="pl-PL"/>
        </w:rPr>
        <w:t> </w:t>
      </w:r>
      <w:r w:rsidR="003F486C" w:rsidRPr="00E7579F">
        <w:rPr>
          <w:rFonts w:ascii="Times New Roman" w:hAnsi="Times New Roman" w:cs="Times New Roman"/>
          <w:lang w:eastAsia="pl-PL" w:bidi="pl-PL"/>
        </w:rPr>
        <w:t>r. o ochronie konkurencji i konsumentów.</w:t>
      </w:r>
    </w:p>
    <w:p w14:paraId="41732D50" w14:textId="77777777" w:rsidR="003F486C" w:rsidRPr="00E7579F" w:rsidRDefault="003F486C" w:rsidP="00985EBE">
      <w:pPr>
        <w:pStyle w:val="Akapitzlist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W przypadku niewykonania w ubiegłym roku obrotowym odrębnych celów, warunkujących możliwość otrzymania Wynagrodzenia Zmiennego, o których mowa w ust. 4, Wynagrodzenie Zmienne za ten rok nie przysługuje i nie może być wypłacone.</w:t>
      </w:r>
    </w:p>
    <w:p w14:paraId="1FE016C4" w14:textId="1DAE831C" w:rsidR="003F486C" w:rsidRPr="00E7579F" w:rsidRDefault="003F486C" w:rsidP="00487F70">
      <w:pPr>
        <w:pStyle w:val="Akapitzlist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Wynagrodzenie Zmienne przysługuje po zatwierdzeniu sprawozdania Zarządu z działalności Spółki oraz jej Grupy Kapitałowej, sprawozdania finansowego Spółki i jej Grupy Kapitałowej za ubiegły rok obrotowy i udzieleniu Członkowi Zarządu absolutorium z wykonania przez niego obowiązków przez Walne Zgromadzenie, pod warunkiem stwierdzenia przez Radę Nadzorczą realizacji przez Członka Zarządu Celów Zarządczych i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określeniu należnej kwoty wypłaty.</w:t>
      </w:r>
    </w:p>
    <w:p w14:paraId="1D9A8339" w14:textId="34F49CA1" w:rsidR="003F486C" w:rsidRPr="00E7579F" w:rsidRDefault="003F486C" w:rsidP="00487F70">
      <w:pPr>
        <w:pStyle w:val="Akapitzlist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W celu ustalenia możliwości otrzymania Wynagrodzenia Zmiennego oraz jego wysokości Członkowie Zarządu, po odbyciu Zwyczajnego Walnego Zgromadzenia Spółki zatwierdzającego sprawozdanie finansowe Spółki i jej Grupy Kapitałowej za dany rok obrotowy, sporządzają i przedkładają Radzie Nadzorczej sprawozdania z wykonania Celów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Zarządczych w oparciu o ustalone wskaźniki KPI.</w:t>
      </w:r>
    </w:p>
    <w:p w14:paraId="2B4B8C9B" w14:textId="5E626DE4" w:rsidR="003F486C" w:rsidRPr="00E7579F" w:rsidRDefault="003F486C" w:rsidP="00487F70">
      <w:pPr>
        <w:pStyle w:val="Akapitzlist"/>
        <w:numPr>
          <w:ilvl w:val="0"/>
          <w:numId w:val="15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Rada Nadzorcza, w oparciu o zweryfikowane przez biegłego rewidenta sprawozdanie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finansowe Spółki oraz inne właściwe dokumenty, stwierdza, z uwzględnieniem ust. 6, spełnienie warunków wymaganych do otrzymania Wynagrodzenia Zmiennego przez poszczególnych Członków Zarządu, dla których na dany rok obrotowy ustalone zostały Cele Zarządcze i którzy pełnili funkcje w ocenianym roku obrotowym.</w:t>
      </w:r>
    </w:p>
    <w:p w14:paraId="0C5DD03B" w14:textId="77777777" w:rsidR="003F486C" w:rsidRPr="00E7579F" w:rsidRDefault="003F486C" w:rsidP="00487F70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§4</w:t>
      </w:r>
    </w:p>
    <w:p w14:paraId="340B7CF6" w14:textId="30097DBC" w:rsidR="00E7579F" w:rsidRPr="00E7579F" w:rsidRDefault="003F486C" w:rsidP="00985EBE">
      <w:pPr>
        <w:pStyle w:val="Akapitzlist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Umowa powinna zawierać obowiązek uzyskania przez Członka Zarządu zgody Rady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Nadzorczej na objęcie funkcji w organach innych podmiotów, nabycie udziałów albo akcji w innej spółce handlowej, wykonywanie pracy lub świadczenie usług na rzecz innych podmiotów na podstawie umowy o pracę, umowy zlecenia lub na podstawie innego stosunku prawnego - z co najmniej 14-dniowym (czternastodniowym) wyprzedzeniem przed nastąpieniem zdarzenia. W przypadku, gdy w dacie zawarcia Umowy Członek Zarządu pełni funkcje w organach innych spółek, jest udziałowcem lub akcjonariuszem innych spółek lub wykonuje pracę lub świadczy usługi na rzecz innych podmiotów, zobowiązany jest on zawnioskować do Rady Nadzorczej o zgodę na powyższe. W przypadku braku zgody, Członek Zarządu zobowiązany jest złożyć rezygnację z pełnionej funkcji, zbyć akcje lub udziały lub rozwiązać wiążące go umowy w terminie wyznaczonym przez Radę Nadzorczą,</w:t>
      </w:r>
    </w:p>
    <w:p w14:paraId="24BE4488" w14:textId="74E44FDF" w:rsidR="003F486C" w:rsidRPr="00985EBE" w:rsidRDefault="003F486C" w:rsidP="00E7579F">
      <w:pPr>
        <w:pStyle w:val="Akapitzlist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lastRenderedPageBreak/>
        <w:t>Zgoda na nabycie akcji, o której mowa w ust. 1, nie dotyczy akcji spółek publicznych.</w:t>
      </w:r>
      <w:r w:rsidR="00985EBE">
        <w:rPr>
          <w:rFonts w:ascii="Times New Roman" w:hAnsi="Times New Roman" w:cs="Times New Roman"/>
          <w:lang w:eastAsia="pl-PL" w:bidi="pl-PL"/>
        </w:rPr>
        <w:t xml:space="preserve"> </w:t>
      </w:r>
      <w:r w:rsidRPr="00985EBE">
        <w:rPr>
          <w:rFonts w:ascii="Times New Roman" w:hAnsi="Times New Roman" w:cs="Times New Roman"/>
          <w:lang w:eastAsia="pl-PL" w:bidi="pl-PL"/>
        </w:rPr>
        <w:t>W przypadku nabycia takich akcji Członek Zarządu jest zobowiązany poinformować o tym Radę Nadzorczą.</w:t>
      </w:r>
    </w:p>
    <w:p w14:paraId="6F549A28" w14:textId="04DD46A6" w:rsidR="003F486C" w:rsidRPr="00E7579F" w:rsidRDefault="003F486C" w:rsidP="00985EBE">
      <w:pPr>
        <w:pStyle w:val="Akapitzlist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Członek Zarządu nie może pobierać wynagrodzenia z tytułu pełnienia funkcji członka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 xml:space="preserve">organu w podmiotach zależnych od Spółki w ramach grupy kapitałowej w rozumieniu </w:t>
      </w:r>
      <w:r w:rsidRPr="00E7579F">
        <w:rPr>
          <w:rFonts w:ascii="Times New Roman" w:hAnsi="Times New Roman" w:cs="Times New Roman"/>
          <w:lang w:val="en-US" w:bidi="en-US"/>
        </w:rPr>
        <w:t xml:space="preserve">art. </w:t>
      </w:r>
      <w:r w:rsidRPr="00E7579F">
        <w:rPr>
          <w:rFonts w:ascii="Times New Roman" w:hAnsi="Times New Roman" w:cs="Times New Roman"/>
          <w:lang w:eastAsia="pl-PL" w:bidi="pl-PL"/>
        </w:rPr>
        <w:t>4 pkt 14 ustawy z dnia 16 lutego 2007 r. o ochronie konkurencji i konsumentów.</w:t>
      </w:r>
    </w:p>
    <w:p w14:paraId="045E769A" w14:textId="1D272F6C" w:rsidR="003F486C" w:rsidRPr="00E7579F" w:rsidRDefault="003F486C" w:rsidP="00985EBE">
      <w:pPr>
        <w:pStyle w:val="Akapitzlist"/>
        <w:numPr>
          <w:ilvl w:val="0"/>
          <w:numId w:val="1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Upoważnia się Radę Nadzorczą do określenia sankcji za niewykonanie lub nienależyte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wykonanie zakazów łub ograniczeń określonych w ust.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l.</w:t>
      </w:r>
    </w:p>
    <w:p w14:paraId="36F8A473" w14:textId="77777777" w:rsidR="003F486C" w:rsidRPr="00E7579F" w:rsidRDefault="003F486C" w:rsidP="00985E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§5</w:t>
      </w:r>
    </w:p>
    <w:p w14:paraId="7F2FCA17" w14:textId="0AF615CB" w:rsidR="003F486C" w:rsidRPr="00E7579F" w:rsidRDefault="003F486C" w:rsidP="00985E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Rada Nadzorcza określi w Umowie zakres i zasady udostępniania Członkowi Zarządu urządzeń technicznych oraz zasobów stanowiących mienie Spółki, niezbędnych do wykonywania pełnionej funkcji, a także limity albo sposób ich określania, dotyczące kosztów, jakie Spółka ponosi w związku z udostępnieniem i wykorzystywaniem urządzeń i zasobów przez Członka</w:t>
      </w:r>
      <w:r w:rsidR="00985EBE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Zarządu.</w:t>
      </w:r>
    </w:p>
    <w:p w14:paraId="6768C412" w14:textId="77777777" w:rsidR="003F486C" w:rsidRPr="00E7579F" w:rsidRDefault="003F486C" w:rsidP="00985E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§6</w:t>
      </w:r>
    </w:p>
    <w:p w14:paraId="0941E414" w14:textId="3EDC1791" w:rsidR="003F486C" w:rsidRPr="00E7579F" w:rsidRDefault="003F486C" w:rsidP="00985EBE">
      <w:pPr>
        <w:pStyle w:val="Akapitzlist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W przypadku wygaśnięcia mandatu w szczególności na skutek śmierci, odwołania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lub złożenia rezygnacji, Umowa rozwiązuje się z ostatnim dniem pełnienia funkcji przez Członka Zarządu bez okresu wypowiedzenia i konieczności dokonywania dodatkowych czynności.</w:t>
      </w:r>
    </w:p>
    <w:p w14:paraId="4CE29B78" w14:textId="458A728A" w:rsidR="003F486C" w:rsidRPr="00E7579F" w:rsidRDefault="003F486C" w:rsidP="00985EBE">
      <w:pPr>
        <w:pStyle w:val="Akapitzlist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W przypadku rozwiązania Umowy za porozumieniem Stron ustalony termin rozwiązania Umowy nie może być dłuższy niż 3 (trzy) miesiące</w:t>
      </w:r>
      <w:r w:rsidR="00E7579F" w:rsidRPr="00E7579F">
        <w:rPr>
          <w:rFonts w:ascii="Times New Roman" w:hAnsi="Times New Roman" w:cs="Times New Roman"/>
          <w:lang w:eastAsia="pl-PL" w:bidi="pl-PL"/>
        </w:rPr>
        <w:t>.</w:t>
      </w:r>
    </w:p>
    <w:p w14:paraId="2C731958" w14:textId="77777777" w:rsidR="003F486C" w:rsidRPr="00E7579F" w:rsidRDefault="003F486C" w:rsidP="00985EBE">
      <w:pPr>
        <w:pStyle w:val="Akapitzlist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Każda ze Stron ma prawo wypowiedzenia Umowy ze skutkiem natychmiastowym w przypadku istotnego naruszenia przez drugą Stronę postanowień Umowy.</w:t>
      </w:r>
    </w:p>
    <w:p w14:paraId="573DE335" w14:textId="413FFB13" w:rsidR="003F486C" w:rsidRPr="00E7579F" w:rsidRDefault="003F486C" w:rsidP="00985EBE">
      <w:pPr>
        <w:pStyle w:val="Akapitzlist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Każda ze stron ma prawo wypowiedzenia Umowy z innej przyczyny niż określona w ust.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3 </w:t>
      </w:r>
      <w:r w:rsidRPr="00E7579F">
        <w:rPr>
          <w:rFonts w:ascii="Times New Roman" w:hAnsi="Times New Roman" w:cs="Times New Roman"/>
          <w:lang w:eastAsia="pl-PL" w:bidi="pl-PL"/>
        </w:rPr>
        <w:t>z maksymalnie 3 (trzy) miesięcznym terminem wypowiedzenia. Umowa może przewidywać różne terminy wypowiedzenia w zależności od okresu jej wykonywania, a także, że termin wypowiedzenia upływa z końcem miesiąca kalendarzowego.</w:t>
      </w:r>
    </w:p>
    <w:p w14:paraId="166133B6" w14:textId="597D94E3" w:rsidR="003F486C" w:rsidRPr="00E7579F" w:rsidRDefault="003F486C" w:rsidP="00985EBE">
      <w:pPr>
        <w:pStyle w:val="Akapitzlist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W przypadku, gdy wygaśnięcie mandatu Członka Zarządu nastąpiło przed rozwiązaniem Umowy wskutek wypowiedzenia albo porozumienia stron Umowa rozwiązuje się zgodnie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z treścią ust. 1.</w:t>
      </w:r>
    </w:p>
    <w:p w14:paraId="0F56DCC9" w14:textId="147284A7" w:rsidR="003F486C" w:rsidRPr="00E7579F" w:rsidRDefault="003F486C" w:rsidP="00985EBE">
      <w:pPr>
        <w:pStyle w:val="Akapitzlist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W razie rozwiązania Umowy z innych przyczyn niż naruszenie przez Członka Zarządu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podstawowych obowiązków, Członkowi Zarządu może być przyznana odprawa, w wysokości nie wyższej niż 3 (trzy) - krotność Wynagrodzenia Stałego, pod warunkiem pełnienia przez niego funkcji przez okres co najmniej 12 (dwunastu) miesięcy przed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rozwiązaniem Umowy. Odprawa nie przysługuje w przypadku:</w:t>
      </w:r>
    </w:p>
    <w:p w14:paraId="268CA7E3" w14:textId="2668F185" w:rsidR="003F486C" w:rsidRPr="00E7579F" w:rsidRDefault="003F486C" w:rsidP="00985EBE">
      <w:pPr>
        <w:pStyle w:val="Akapitzlist"/>
        <w:numPr>
          <w:ilvl w:val="0"/>
          <w:numId w:val="20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wypowiedzenia, rozwiązania lub zmiany Umowy wskutek zmiany funkcji pełnionej</w:t>
      </w:r>
      <w:r w:rsidR="00E7579F"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w składzie Zarządu,</w:t>
      </w:r>
    </w:p>
    <w:p w14:paraId="1FB72198" w14:textId="5E30F611" w:rsidR="003F486C" w:rsidRPr="00E7579F" w:rsidRDefault="003F486C" w:rsidP="00985EBE">
      <w:pPr>
        <w:pStyle w:val="Akapitzlist"/>
        <w:numPr>
          <w:ilvl w:val="0"/>
          <w:numId w:val="20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wypowiedzenia, rozwiązania lub zmiany Umowy wskutek powołania Członka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Zarządu na kolejną kadencję Zarządu, objęcia funkcji członka zarządu w spółce w ramach grupy kapitałowej, o której mowa w § 4 ust. 3,</w:t>
      </w:r>
    </w:p>
    <w:p w14:paraId="4F9090B8" w14:textId="10670EFB" w:rsidR="003F486C" w:rsidRPr="00E7579F" w:rsidRDefault="003F486C" w:rsidP="00985EBE">
      <w:pPr>
        <w:pStyle w:val="Akapitzlist"/>
        <w:numPr>
          <w:ilvl w:val="0"/>
          <w:numId w:val="20"/>
        </w:numPr>
        <w:spacing w:after="120" w:line="240" w:lineRule="auto"/>
        <w:ind w:left="992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rezygnacji z pełnienia funkcji.</w:t>
      </w:r>
    </w:p>
    <w:p w14:paraId="1E4D191E" w14:textId="6D85ECEB" w:rsidR="003F486C" w:rsidRPr="00E7579F" w:rsidRDefault="003F486C" w:rsidP="00985EBE">
      <w:pPr>
        <w:pStyle w:val="Akapitzlist"/>
        <w:numPr>
          <w:ilvl w:val="0"/>
          <w:numId w:val="1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 xml:space="preserve">Wygaśnięcie mandatu po upływie roku obrotowego, ocenianego pod względem wykonania Celów Zarządczych, nie powoduje utraty prawa do Wynagrodzenia Zmiennego na warunkach określonych w § 3. Wygaśnięcie mandatu w trakcie roku obrotowego nie </w:t>
      </w:r>
      <w:r w:rsidRPr="00E7579F">
        <w:rPr>
          <w:rFonts w:ascii="Times New Roman" w:hAnsi="Times New Roman" w:cs="Times New Roman"/>
          <w:lang w:eastAsia="pl-PL" w:bidi="pl-PL"/>
        </w:rPr>
        <w:lastRenderedPageBreak/>
        <w:t>powoduje utraty prawa do Wynagrodzenia Zmiennego na zasadach określonych w § 3, w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wysokości proporcjonalnej do okresu pełnienia funkcji w roku obrotowym.</w:t>
      </w:r>
    </w:p>
    <w:p w14:paraId="0EC945E1" w14:textId="77777777" w:rsidR="003F486C" w:rsidRPr="00E7579F" w:rsidRDefault="003F486C" w:rsidP="00985E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§7</w:t>
      </w:r>
    </w:p>
    <w:p w14:paraId="0EAF3170" w14:textId="26ED210D" w:rsidR="003F486C" w:rsidRPr="00E7579F" w:rsidRDefault="003F486C" w:rsidP="00985EBE">
      <w:pPr>
        <w:pStyle w:val="Akapitzlist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Rada Nadzorcza może zawrzeć z Członkiem Zarządu umowę o zakazie konkurencji obowiązującym po ustaniu pełnienia funkcji, przy czym może być ona zawarta jedynie w przypadku pełnienia funkcji przez Członka Zarządu przez okres co najmniej 3 (trzech)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miesięcy.</w:t>
      </w:r>
    </w:p>
    <w:p w14:paraId="45CE60B1" w14:textId="2DB3D688" w:rsidR="003F486C" w:rsidRPr="00E7579F" w:rsidRDefault="003F486C" w:rsidP="00985EBE">
      <w:pPr>
        <w:pStyle w:val="Akapitzlist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Zawarcie umowy o zakazie konkurencji po rozwiązaniu lub wypowiedzeniu Umowy jest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niedopuszczalne.</w:t>
      </w:r>
    </w:p>
    <w:p w14:paraId="19604ED4" w14:textId="1C1DB950" w:rsidR="003F486C" w:rsidRPr="00E7579F" w:rsidRDefault="003F486C" w:rsidP="00985EBE">
      <w:pPr>
        <w:pStyle w:val="Akapitzlist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Okres zakazu konkurencji nie może przekraczać 6 (sześciu) miesięcy po ustaniu pełnienia funkcji przez Członka Zarządu</w:t>
      </w:r>
      <w:r w:rsidRPr="00E7579F">
        <w:rPr>
          <w:rFonts w:ascii="Times New Roman" w:hAnsi="Times New Roman" w:cs="Times New Roman"/>
          <w:lang w:eastAsia="pl-PL" w:bidi="pl-PL"/>
        </w:rPr>
        <w:t>.</w:t>
      </w:r>
    </w:p>
    <w:p w14:paraId="4E868FB5" w14:textId="49102BDB" w:rsidR="003F486C" w:rsidRPr="00E7579F" w:rsidRDefault="003F486C" w:rsidP="00985EBE">
      <w:pPr>
        <w:pStyle w:val="Akapitzlist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W razie niewykonania lub nienależytego wykonania przez Członka Zarządu umowy</w:t>
      </w:r>
      <w:r w:rsidRPr="00E7579F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o zakazie konkurencji będzie on zobowiązany do zapłaty kary umownej na rzecz Spółki, nie niższej niż wysokość odszkodowania przysługującego za cały okres zakazu konkurencji.</w:t>
      </w:r>
    </w:p>
    <w:p w14:paraId="1B5C0C6A" w14:textId="062187B9" w:rsidR="003F486C" w:rsidRPr="00985EBE" w:rsidRDefault="003F486C" w:rsidP="00985EBE">
      <w:pPr>
        <w:pStyle w:val="Akapitzlist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85EBE">
        <w:rPr>
          <w:rFonts w:ascii="Times New Roman" w:hAnsi="Times New Roman" w:cs="Times New Roman"/>
          <w:lang w:eastAsia="pl-PL" w:bidi="pl-PL"/>
        </w:rPr>
        <w:t>Zakaz konkurencji przestaje obowiązywać przed upływem terminu, na jaki została zawarta</w:t>
      </w:r>
      <w:r w:rsidR="00985EBE" w:rsidRPr="00985EBE">
        <w:rPr>
          <w:rFonts w:ascii="Times New Roman" w:hAnsi="Times New Roman" w:cs="Times New Roman"/>
          <w:lang w:eastAsia="pl-PL" w:bidi="pl-PL"/>
        </w:rPr>
        <w:t xml:space="preserve"> </w:t>
      </w:r>
      <w:r w:rsidRPr="00985EBE">
        <w:rPr>
          <w:rFonts w:ascii="Times New Roman" w:hAnsi="Times New Roman" w:cs="Times New Roman"/>
          <w:lang w:eastAsia="pl-PL" w:bidi="pl-PL"/>
        </w:rPr>
        <w:t>umowa o zakazie konkurencji, w razie podjęcia się pełnienia przez Członka Zarządu funkcji w innej spółce w rozumieniu art. 1 ust. 3 pkt 7 Ustawy.</w:t>
      </w:r>
    </w:p>
    <w:p w14:paraId="3554FFFF" w14:textId="77777777" w:rsidR="003F486C" w:rsidRPr="00E7579F" w:rsidRDefault="003F486C" w:rsidP="00985E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§8</w:t>
      </w:r>
    </w:p>
    <w:p w14:paraId="69556B70" w14:textId="363BAC07" w:rsidR="003F486C" w:rsidRPr="00E7579F" w:rsidRDefault="003F486C" w:rsidP="00985E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Traci moc uchwała nr 12/2017 Nadzwyczajnego Walnego Zgromadzenia z dnia 5 czerwca 2017 roku w sprawie ustalenia zasad kształtowania wynagrodzenia Prezesa i Członków Zarządu PKP</w:t>
      </w:r>
      <w:r w:rsidR="00985EBE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S.A., zmieniona uchwałą nr 13/2017 Nadzwyczajnego Walnego Zgromadzenia z dnia 19 lipca</w:t>
      </w:r>
      <w:r w:rsidR="00985EBE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2017 roku i uchwałą nr 4/2018 z dnia 26 kwietnia 2018 r., z zastrzeżeniem § 9.</w:t>
      </w:r>
    </w:p>
    <w:p w14:paraId="0D079383" w14:textId="77777777" w:rsidR="003F486C" w:rsidRPr="00E7579F" w:rsidRDefault="003F486C" w:rsidP="00985E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§9</w:t>
      </w:r>
    </w:p>
    <w:p w14:paraId="441630A1" w14:textId="75F13D78" w:rsidR="003F486C" w:rsidRPr="00E7579F" w:rsidRDefault="003F486C" w:rsidP="00985EB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Do spraw związanych z przyznaniem Wynagrodzenia Zmiennego za rok 2021 oraz lata poprzednie, z wyłączeniem roku 2017, stosuje się regulacje obowiązujące w Spółce przez dniem wejścia w życie niniejszej uchwały, w szczególności postanowienia uchwał Walnego Zgromadzenia wymienionych w § 8 niniejszej uchwały, przy czym uchwałę o przyznaniu</w:t>
      </w:r>
      <w:r w:rsidR="00985EBE">
        <w:rPr>
          <w:rFonts w:ascii="Times New Roman" w:hAnsi="Times New Roman" w:cs="Times New Roman"/>
          <w:lang w:eastAsia="pl-PL" w:bidi="pl-PL"/>
        </w:rPr>
        <w:t xml:space="preserve"> </w:t>
      </w:r>
      <w:r w:rsidRPr="00E7579F">
        <w:rPr>
          <w:rFonts w:ascii="Times New Roman" w:hAnsi="Times New Roman" w:cs="Times New Roman"/>
          <w:lang w:eastAsia="pl-PL" w:bidi="pl-PL"/>
        </w:rPr>
        <w:t>i wypłaceniu Wynagrodzenia Zmiennego (Premii) podejmuje Rada Nadzorcza.</w:t>
      </w:r>
    </w:p>
    <w:p w14:paraId="22546BFA" w14:textId="77777777" w:rsidR="003F486C" w:rsidRPr="00E7579F" w:rsidRDefault="003F486C" w:rsidP="00985E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§ 10</w:t>
      </w:r>
    </w:p>
    <w:p w14:paraId="1BBF2758" w14:textId="290E4D5C" w:rsidR="003F486C" w:rsidRPr="00E7579F" w:rsidRDefault="003F486C" w:rsidP="00E7579F">
      <w:pPr>
        <w:spacing w:after="120" w:line="240" w:lineRule="auto"/>
        <w:rPr>
          <w:rFonts w:ascii="Times New Roman" w:hAnsi="Times New Roman" w:cs="Times New Roman"/>
        </w:rPr>
      </w:pPr>
      <w:r w:rsidRPr="00E7579F">
        <w:rPr>
          <w:rFonts w:ascii="Times New Roman" w:hAnsi="Times New Roman" w:cs="Times New Roman"/>
          <w:lang w:eastAsia="pl-PL" w:bidi="pl-PL"/>
        </w:rPr>
        <w:t>Uchwała wchodzi w życie z dniem podjęcia.</w:t>
      </w:r>
    </w:p>
    <w:p w14:paraId="4A1F4F13" w14:textId="450F6411" w:rsidR="00DA2F84" w:rsidRPr="00E7579F" w:rsidRDefault="003F486C" w:rsidP="00985EBE">
      <w:pPr>
        <w:spacing w:after="120" w:line="240" w:lineRule="auto"/>
        <w:jc w:val="both"/>
        <w:rPr>
          <w:rFonts w:ascii="Times New Roman" w:hAnsi="Times New Roman" w:cs="Times New Roman"/>
          <w:lang w:eastAsia="pl-PL" w:bidi="pl-PL"/>
        </w:rPr>
      </w:pPr>
      <w:r w:rsidRPr="00E7579F">
        <w:rPr>
          <w:rFonts w:ascii="Times New Roman" w:hAnsi="Times New Roman" w:cs="Times New Roman"/>
          <w:lang w:eastAsia="pl-PL" w:bidi="pl-PL"/>
        </w:rPr>
        <w:t>Przewodniczący Zgromadzenia stwierdził, że powyższa uchwała została powzięta wszystkimi ważnymi głosami za, przy czym głosy te zostały oddane ze 101.507.156 akcji, które stanowią 100% akcji w kapitale zakładowym Spółki</w:t>
      </w:r>
      <w:r w:rsidR="00985EBE">
        <w:rPr>
          <w:rFonts w:ascii="Times New Roman" w:hAnsi="Times New Roman" w:cs="Times New Roman"/>
          <w:lang w:eastAsia="pl-PL" w:bidi="pl-PL"/>
        </w:rPr>
        <w:t>.</w:t>
      </w:r>
    </w:p>
    <w:sectPr w:rsidR="00DA2F84" w:rsidRPr="00E7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02B4"/>
    <w:multiLevelType w:val="hybridMultilevel"/>
    <w:tmpl w:val="D4684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123"/>
    <w:multiLevelType w:val="hybridMultilevel"/>
    <w:tmpl w:val="8C644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BD2"/>
    <w:multiLevelType w:val="hybridMultilevel"/>
    <w:tmpl w:val="8C644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E8B"/>
    <w:multiLevelType w:val="multilevel"/>
    <w:tmpl w:val="EC5AC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9C77CA"/>
    <w:multiLevelType w:val="hybridMultilevel"/>
    <w:tmpl w:val="8DF220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B196F"/>
    <w:multiLevelType w:val="multilevel"/>
    <w:tmpl w:val="EB189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A97AAE"/>
    <w:multiLevelType w:val="multilevel"/>
    <w:tmpl w:val="654ED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C5E4B"/>
    <w:multiLevelType w:val="multilevel"/>
    <w:tmpl w:val="4598405A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E00345"/>
    <w:multiLevelType w:val="multilevel"/>
    <w:tmpl w:val="5F8E4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CB6E9D"/>
    <w:multiLevelType w:val="hybridMultilevel"/>
    <w:tmpl w:val="8C644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2462"/>
    <w:multiLevelType w:val="multilevel"/>
    <w:tmpl w:val="D9427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666B5"/>
    <w:multiLevelType w:val="multilevel"/>
    <w:tmpl w:val="EBA60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D683E"/>
    <w:multiLevelType w:val="hybridMultilevel"/>
    <w:tmpl w:val="8C644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63571"/>
    <w:multiLevelType w:val="hybridMultilevel"/>
    <w:tmpl w:val="8DF220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36E74"/>
    <w:multiLevelType w:val="hybridMultilevel"/>
    <w:tmpl w:val="74E4E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70F6F"/>
    <w:multiLevelType w:val="hybridMultilevel"/>
    <w:tmpl w:val="8C644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55B8"/>
    <w:multiLevelType w:val="hybridMultilevel"/>
    <w:tmpl w:val="D46846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F558A"/>
    <w:multiLevelType w:val="multilevel"/>
    <w:tmpl w:val="897825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C80F78"/>
    <w:multiLevelType w:val="hybridMultilevel"/>
    <w:tmpl w:val="8C644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B27BA"/>
    <w:multiLevelType w:val="hybridMultilevel"/>
    <w:tmpl w:val="722ED9FC"/>
    <w:lvl w:ilvl="0" w:tplc="538823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5115">
    <w:abstractNumId w:val="10"/>
  </w:num>
  <w:num w:numId="2" w16cid:durableId="1002009553">
    <w:abstractNumId w:val="6"/>
  </w:num>
  <w:num w:numId="3" w16cid:durableId="782308725">
    <w:abstractNumId w:val="11"/>
  </w:num>
  <w:num w:numId="4" w16cid:durableId="1173758240">
    <w:abstractNumId w:val="5"/>
  </w:num>
  <w:num w:numId="5" w16cid:durableId="1641419043">
    <w:abstractNumId w:val="8"/>
  </w:num>
  <w:num w:numId="6" w16cid:durableId="1523279925">
    <w:abstractNumId w:val="7"/>
  </w:num>
  <w:num w:numId="7" w16cid:durableId="92435411">
    <w:abstractNumId w:val="17"/>
  </w:num>
  <w:num w:numId="8" w16cid:durableId="170221373">
    <w:abstractNumId w:val="3"/>
  </w:num>
  <w:num w:numId="9" w16cid:durableId="544487557">
    <w:abstractNumId w:val="19"/>
  </w:num>
  <w:num w:numId="10" w16cid:durableId="1688826831">
    <w:abstractNumId w:val="13"/>
  </w:num>
  <w:num w:numId="11" w16cid:durableId="1151285138">
    <w:abstractNumId w:val="4"/>
  </w:num>
  <w:num w:numId="12" w16cid:durableId="503057166">
    <w:abstractNumId w:val="14"/>
  </w:num>
  <w:num w:numId="13" w16cid:durableId="1716811507">
    <w:abstractNumId w:val="9"/>
  </w:num>
  <w:num w:numId="14" w16cid:durableId="1032652165">
    <w:abstractNumId w:val="1"/>
  </w:num>
  <w:num w:numId="15" w16cid:durableId="347372710">
    <w:abstractNumId w:val="18"/>
  </w:num>
  <w:num w:numId="16" w16cid:durableId="704453487">
    <w:abstractNumId w:val="2"/>
  </w:num>
  <w:num w:numId="17" w16cid:durableId="1917399082">
    <w:abstractNumId w:val="12"/>
  </w:num>
  <w:num w:numId="18" w16cid:durableId="1114716311">
    <w:abstractNumId w:val="15"/>
  </w:num>
  <w:num w:numId="19" w16cid:durableId="312490818">
    <w:abstractNumId w:val="0"/>
  </w:num>
  <w:num w:numId="20" w16cid:durableId="11541797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B2"/>
    <w:rsid w:val="002803B2"/>
    <w:rsid w:val="003F486C"/>
    <w:rsid w:val="00487F70"/>
    <w:rsid w:val="00715DCE"/>
    <w:rsid w:val="00857168"/>
    <w:rsid w:val="00985EBE"/>
    <w:rsid w:val="00DA2F84"/>
    <w:rsid w:val="00E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AC2F"/>
  <w15:chartTrackingRefBased/>
  <w15:docId w15:val="{1E851950-F629-4B8E-A488-A8C5724A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3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3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3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3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3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3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3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3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3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3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3B2"/>
    <w:rPr>
      <w:b/>
      <w:bCs/>
      <w:smallCaps/>
      <w:color w:val="0F4761" w:themeColor="accent1" w:themeShade="BF"/>
      <w:spacing w:val="5"/>
    </w:rPr>
  </w:style>
  <w:style w:type="character" w:customStyle="1" w:styleId="Bodytext3">
    <w:name w:val="Body text|3_"/>
    <w:basedOn w:val="Domylnaczcionkaakapitu"/>
    <w:link w:val="Bodytext30"/>
    <w:rsid w:val="003F486C"/>
    <w:rPr>
      <w:b/>
      <w:bCs/>
      <w:sz w:val="22"/>
      <w:szCs w:val="22"/>
      <w:shd w:val="clear" w:color="auto" w:fill="FFFFFF"/>
    </w:rPr>
  </w:style>
  <w:style w:type="paragraph" w:customStyle="1" w:styleId="Bodytext30">
    <w:name w:val="Body text|3"/>
    <w:basedOn w:val="Normalny"/>
    <w:link w:val="Bodytext3"/>
    <w:rsid w:val="003F486C"/>
    <w:pPr>
      <w:widowControl w:val="0"/>
      <w:shd w:val="clear" w:color="auto" w:fill="FFFFFF"/>
      <w:spacing w:before="600" w:after="120" w:line="244" w:lineRule="exact"/>
      <w:jc w:val="both"/>
    </w:pPr>
    <w:rPr>
      <w:b/>
      <w:bCs/>
      <w:sz w:val="22"/>
      <w:szCs w:val="22"/>
    </w:rPr>
  </w:style>
  <w:style w:type="character" w:customStyle="1" w:styleId="Bodytext2">
    <w:name w:val="Body text|2_"/>
    <w:basedOn w:val="Domylnaczcionkaakapitu"/>
    <w:link w:val="Bodytext20"/>
    <w:rsid w:val="003F486C"/>
    <w:rPr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3F486C"/>
    <w:pPr>
      <w:widowControl w:val="0"/>
      <w:shd w:val="clear" w:color="auto" w:fill="FFFFFF"/>
      <w:spacing w:after="120" w:line="232" w:lineRule="exact"/>
      <w:ind w:hanging="460"/>
      <w:jc w:val="both"/>
    </w:pPr>
    <w:rPr>
      <w:sz w:val="21"/>
      <w:szCs w:val="21"/>
    </w:rPr>
  </w:style>
  <w:style w:type="character" w:customStyle="1" w:styleId="Bodytext4">
    <w:name w:val="Body text|4_"/>
    <w:basedOn w:val="Domylnaczcionkaakapitu"/>
    <w:link w:val="Bodytext40"/>
    <w:rsid w:val="003F486C"/>
    <w:rPr>
      <w:rFonts w:ascii="Arial" w:eastAsia="Arial" w:hAnsi="Arial" w:cs="Arial"/>
      <w:spacing w:val="70"/>
      <w:sz w:val="21"/>
      <w:szCs w:val="21"/>
      <w:shd w:val="clear" w:color="auto" w:fill="FFFFFF"/>
    </w:rPr>
  </w:style>
  <w:style w:type="character" w:customStyle="1" w:styleId="Bodytext211ptBold">
    <w:name w:val="Body text|2 + 11 pt;Bold"/>
    <w:basedOn w:val="Bodytext2"/>
    <w:semiHidden/>
    <w:unhideWhenUsed/>
    <w:rsid w:val="003F4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40">
    <w:name w:val="Body text|4"/>
    <w:basedOn w:val="Normalny"/>
    <w:link w:val="Bodytext4"/>
    <w:rsid w:val="003F486C"/>
    <w:pPr>
      <w:widowControl w:val="0"/>
      <w:shd w:val="clear" w:color="auto" w:fill="FFFFFF"/>
      <w:spacing w:after="0" w:line="394" w:lineRule="exact"/>
      <w:jc w:val="center"/>
    </w:pPr>
    <w:rPr>
      <w:rFonts w:ascii="Arial" w:eastAsia="Arial" w:hAnsi="Arial" w:cs="Arial"/>
      <w:spacing w:val="70"/>
      <w:sz w:val="21"/>
      <w:szCs w:val="21"/>
    </w:rPr>
  </w:style>
  <w:style w:type="character" w:customStyle="1" w:styleId="Bodytext5">
    <w:name w:val="Body text|5_"/>
    <w:basedOn w:val="Domylnaczcionkaakapitu"/>
    <w:link w:val="Bodytext50"/>
    <w:rsid w:val="003F486C"/>
    <w:rPr>
      <w:spacing w:val="60"/>
      <w:sz w:val="22"/>
      <w:szCs w:val="22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3F486C"/>
    <w:pPr>
      <w:widowControl w:val="0"/>
      <w:shd w:val="clear" w:color="auto" w:fill="FFFFFF"/>
      <w:spacing w:after="0" w:line="394" w:lineRule="exact"/>
      <w:jc w:val="center"/>
    </w:pPr>
    <w:rPr>
      <w:spacing w:val="60"/>
      <w:sz w:val="22"/>
      <w:szCs w:val="22"/>
    </w:rPr>
  </w:style>
  <w:style w:type="character" w:customStyle="1" w:styleId="Bodytext7">
    <w:name w:val="Body text|7_"/>
    <w:basedOn w:val="Domylnaczcionkaakapitu"/>
    <w:link w:val="Bodytext70"/>
    <w:rsid w:val="003F486C"/>
    <w:rPr>
      <w:spacing w:val="50"/>
      <w:sz w:val="22"/>
      <w:szCs w:val="22"/>
      <w:shd w:val="clear" w:color="auto" w:fill="FFFFFF"/>
    </w:rPr>
  </w:style>
  <w:style w:type="paragraph" w:customStyle="1" w:styleId="Bodytext70">
    <w:name w:val="Body text|7"/>
    <w:basedOn w:val="Normalny"/>
    <w:link w:val="Bodytext7"/>
    <w:rsid w:val="003F486C"/>
    <w:pPr>
      <w:widowControl w:val="0"/>
      <w:shd w:val="clear" w:color="auto" w:fill="FFFFFF"/>
      <w:spacing w:after="0" w:line="394" w:lineRule="exact"/>
      <w:jc w:val="center"/>
    </w:pPr>
    <w:rPr>
      <w:spacing w:val="50"/>
      <w:sz w:val="22"/>
      <w:szCs w:val="22"/>
    </w:rPr>
  </w:style>
  <w:style w:type="character" w:customStyle="1" w:styleId="Bodytext8">
    <w:name w:val="Body text|8_"/>
    <w:basedOn w:val="Domylnaczcionkaakapitu"/>
    <w:link w:val="Bodytext80"/>
    <w:rsid w:val="003F486C"/>
    <w:rPr>
      <w:spacing w:val="50"/>
      <w:sz w:val="22"/>
      <w:szCs w:val="22"/>
      <w:shd w:val="clear" w:color="auto" w:fill="FFFFFF"/>
    </w:rPr>
  </w:style>
  <w:style w:type="paragraph" w:customStyle="1" w:styleId="Bodytext80">
    <w:name w:val="Body text|8"/>
    <w:basedOn w:val="Normalny"/>
    <w:link w:val="Bodytext8"/>
    <w:rsid w:val="003F486C"/>
    <w:pPr>
      <w:widowControl w:val="0"/>
      <w:shd w:val="clear" w:color="auto" w:fill="FFFFFF"/>
      <w:spacing w:after="0" w:line="398" w:lineRule="exact"/>
      <w:jc w:val="center"/>
    </w:pPr>
    <w:rPr>
      <w:spacing w:val="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1484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Groszkowski Andrzej</dc:creator>
  <cp:keywords/>
  <dc:description/>
  <cp:lastModifiedBy>Groszkowski Andrzej</cp:lastModifiedBy>
  <cp:revision>3</cp:revision>
  <dcterms:created xsi:type="dcterms:W3CDTF">2025-10-09T12:42:00Z</dcterms:created>
  <dcterms:modified xsi:type="dcterms:W3CDTF">2025-10-09T13:12:00Z</dcterms:modified>
</cp:coreProperties>
</file>