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94CCC" w14:textId="5A881D6E" w:rsidR="008C0E92" w:rsidRPr="004D093B" w:rsidRDefault="008C0E92" w:rsidP="008C0E92">
      <w:pPr>
        <w:jc w:val="right"/>
        <w:rPr>
          <w:rFonts w:ascii="Lato" w:hAnsi="Lato"/>
          <w:b/>
          <w:bCs/>
          <w:color w:val="00B0F0"/>
          <w:sz w:val="28"/>
          <w:szCs w:val="28"/>
        </w:rPr>
      </w:pPr>
    </w:p>
    <w:p w14:paraId="7CC758A3" w14:textId="4DB52B1C" w:rsidR="00AD08C5" w:rsidRPr="004D093B" w:rsidRDefault="009F1561" w:rsidP="008C0E92">
      <w:pPr>
        <w:jc w:val="center"/>
        <w:rPr>
          <w:rFonts w:ascii="Lato" w:hAnsi="Lato"/>
          <w:b/>
          <w:bCs/>
          <w:color w:val="00B0F0"/>
          <w:sz w:val="36"/>
          <w:szCs w:val="36"/>
          <w:u w:val="single"/>
        </w:rPr>
      </w:pPr>
      <w:r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PROJEKT </w:t>
      </w:r>
      <w:r w:rsidR="006A7DCE"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>OBWIESZCZENI</w:t>
      </w:r>
      <w:r>
        <w:rPr>
          <w:rFonts w:ascii="Lato" w:hAnsi="Lato"/>
          <w:b/>
          <w:bCs/>
          <w:color w:val="00B0F0"/>
          <w:sz w:val="36"/>
          <w:szCs w:val="36"/>
          <w:u w:val="single"/>
        </w:rPr>
        <w:t>A</w:t>
      </w:r>
      <w:r w:rsidR="006A7DCE"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REFUNDACYJNE</w:t>
      </w:r>
      <w:r>
        <w:rPr>
          <w:rFonts w:ascii="Lato" w:hAnsi="Lato"/>
          <w:b/>
          <w:bCs/>
          <w:color w:val="00B0F0"/>
          <w:sz w:val="36"/>
          <w:szCs w:val="36"/>
          <w:u w:val="single"/>
        </w:rPr>
        <w:t>GO</w:t>
      </w:r>
      <w:r w:rsidR="006A7DCE"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NR </w:t>
      </w:r>
      <w:r w:rsidR="00294265">
        <w:rPr>
          <w:rFonts w:ascii="Lato" w:hAnsi="Lato"/>
          <w:b/>
          <w:bCs/>
          <w:color w:val="00B0F0"/>
          <w:sz w:val="36"/>
          <w:szCs w:val="36"/>
          <w:u w:val="single"/>
        </w:rPr>
        <w:t>71</w:t>
      </w:r>
      <w:r w:rsidR="0056748F"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(1 </w:t>
      </w:r>
      <w:r w:rsidR="00294265">
        <w:rPr>
          <w:rFonts w:ascii="Lato" w:hAnsi="Lato"/>
          <w:b/>
          <w:bCs/>
          <w:color w:val="00B0F0"/>
          <w:sz w:val="36"/>
          <w:szCs w:val="36"/>
          <w:u w:val="single"/>
        </w:rPr>
        <w:t>WRZEŚNIA</w:t>
      </w:r>
      <w:r w:rsidR="00FB2364"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</w:t>
      </w:r>
      <w:r w:rsidR="0056748F"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>202</w:t>
      </w:r>
      <w:r w:rsidR="000E3BBE"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>3</w:t>
      </w:r>
      <w:r w:rsidR="0056748F"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r.)</w:t>
      </w:r>
    </w:p>
    <w:p w14:paraId="5B1053CC" w14:textId="0B4A0CB6" w:rsidR="009F1561" w:rsidRPr="006364CD" w:rsidRDefault="009F1561" w:rsidP="00350CC6">
      <w:pPr>
        <w:spacing w:before="240" w:after="120" w:line="360" w:lineRule="auto"/>
        <w:jc w:val="both"/>
        <w:rPr>
          <w:rFonts w:ascii="Lato" w:hAnsi="Lato"/>
        </w:rPr>
      </w:pPr>
      <w:r w:rsidRPr="006364CD">
        <w:rPr>
          <w:rFonts w:ascii="Lato" w:hAnsi="Lato"/>
        </w:rPr>
        <w:t>Prezentowane podsumowanie projektu obwieszczenia</w:t>
      </w:r>
      <w:r>
        <w:rPr>
          <w:rFonts w:ascii="Lato" w:hAnsi="Lato"/>
        </w:rPr>
        <w:t xml:space="preserve"> refundacyjnego nr</w:t>
      </w:r>
      <w:r w:rsidRPr="006364CD">
        <w:rPr>
          <w:rFonts w:ascii="Lato" w:hAnsi="Lato"/>
        </w:rPr>
        <w:t xml:space="preserve"> 7</w:t>
      </w:r>
      <w:r>
        <w:rPr>
          <w:rFonts w:ascii="Lato" w:hAnsi="Lato"/>
        </w:rPr>
        <w:t>1</w:t>
      </w:r>
      <w:r w:rsidRPr="006364CD">
        <w:rPr>
          <w:rFonts w:ascii="Lato" w:hAnsi="Lato"/>
        </w:rPr>
        <w:t xml:space="preserve"> </w:t>
      </w:r>
      <w:r w:rsidRPr="00420732">
        <w:rPr>
          <w:rFonts w:ascii="Lato" w:hAnsi="Lato"/>
          <w:b/>
          <w:bCs/>
        </w:rPr>
        <w:t>nie stanowi jego ostatecznej wersji</w:t>
      </w:r>
      <w:r w:rsidRPr="006364CD">
        <w:rPr>
          <w:rFonts w:ascii="Lato" w:hAnsi="Lato"/>
        </w:rPr>
        <w:t xml:space="preserve">, bowiem nadal trwają prace administracyjne nad finalnym wykazem refundowanych leków, środków spożywczych specjalnego przeznaczenia żywieniowego oraz wyrobów medycznych obowiązującym od 1 </w:t>
      </w:r>
      <w:r>
        <w:rPr>
          <w:rFonts w:ascii="Lato" w:hAnsi="Lato"/>
        </w:rPr>
        <w:t>września</w:t>
      </w:r>
      <w:r w:rsidRPr="006364CD">
        <w:rPr>
          <w:rFonts w:ascii="Lato" w:hAnsi="Lato"/>
        </w:rPr>
        <w:t xml:space="preserve"> 2023 r. </w:t>
      </w:r>
    </w:p>
    <w:p w14:paraId="1C6BA742" w14:textId="078B6F7C" w:rsidR="009F1561" w:rsidRPr="006364CD" w:rsidRDefault="009F1561" w:rsidP="009F1561">
      <w:pPr>
        <w:spacing w:after="120" w:line="360" w:lineRule="auto"/>
        <w:jc w:val="both"/>
        <w:rPr>
          <w:rFonts w:ascii="Lato" w:hAnsi="Lato"/>
        </w:rPr>
      </w:pPr>
      <w:r w:rsidRPr="006364CD">
        <w:rPr>
          <w:rFonts w:ascii="Lato" w:hAnsi="Lato"/>
        </w:rPr>
        <w:t xml:space="preserve">Uwzględniając niniejszy projekt, od początku roku 2023, finansowaniem ze środków publicznych </w:t>
      </w:r>
      <w:r>
        <w:rPr>
          <w:rFonts w:ascii="Lato" w:hAnsi="Lato"/>
        </w:rPr>
        <w:t>zostanie objętych</w:t>
      </w:r>
      <w:r w:rsidRPr="006364CD">
        <w:rPr>
          <w:rFonts w:ascii="Lato" w:hAnsi="Lato"/>
        </w:rPr>
        <w:t xml:space="preserve"> </w:t>
      </w:r>
      <w:r w:rsidR="00CC42B1">
        <w:rPr>
          <w:rFonts w:ascii="Lato" w:hAnsi="Lato"/>
          <w:b/>
          <w:bCs/>
        </w:rPr>
        <w:t>113</w:t>
      </w:r>
      <w:r w:rsidRPr="00420732">
        <w:rPr>
          <w:rFonts w:ascii="Lato" w:hAnsi="Lato"/>
          <w:b/>
          <w:bCs/>
        </w:rPr>
        <w:t xml:space="preserve"> nowych </w:t>
      </w:r>
      <w:r w:rsidR="00E10F0D">
        <w:rPr>
          <w:rFonts w:ascii="Lato" w:hAnsi="Lato"/>
          <w:b/>
          <w:bCs/>
        </w:rPr>
        <w:br/>
      </w:r>
      <w:r w:rsidRPr="00420732">
        <w:rPr>
          <w:rFonts w:ascii="Lato" w:hAnsi="Lato"/>
          <w:b/>
          <w:bCs/>
        </w:rPr>
        <w:t>cząsteczko – wskazań</w:t>
      </w:r>
      <w:r w:rsidRPr="00417744">
        <w:rPr>
          <w:rFonts w:ascii="Lato" w:hAnsi="Lato"/>
        </w:rPr>
        <w:t>,</w:t>
      </w:r>
      <w:r w:rsidRPr="006364CD">
        <w:rPr>
          <w:rFonts w:ascii="Lato" w:hAnsi="Lato"/>
        </w:rPr>
        <w:t xml:space="preserve"> w tym:</w:t>
      </w:r>
    </w:p>
    <w:p w14:paraId="68FC42E6" w14:textId="509FE12A" w:rsidR="009F1561" w:rsidRPr="00417744" w:rsidRDefault="00CC42B1" w:rsidP="009F1561">
      <w:pPr>
        <w:pStyle w:val="Akapitzlist"/>
        <w:numPr>
          <w:ilvl w:val="0"/>
          <w:numId w:val="29"/>
        </w:numPr>
        <w:spacing w:after="120" w:line="360" w:lineRule="auto"/>
        <w:jc w:val="both"/>
        <w:rPr>
          <w:rFonts w:ascii="Lato" w:hAnsi="Lato"/>
        </w:rPr>
      </w:pPr>
      <w:r>
        <w:rPr>
          <w:rFonts w:ascii="Lato" w:hAnsi="Lato"/>
        </w:rPr>
        <w:t>60</w:t>
      </w:r>
      <w:r w:rsidR="009F1561" w:rsidRPr="00417744">
        <w:rPr>
          <w:rFonts w:ascii="Lato" w:hAnsi="Lato"/>
        </w:rPr>
        <w:t xml:space="preserve"> cząsteczko – wskaza</w:t>
      </w:r>
      <w:r>
        <w:rPr>
          <w:rFonts w:ascii="Lato" w:hAnsi="Lato"/>
        </w:rPr>
        <w:t>ń</w:t>
      </w:r>
      <w:r w:rsidR="009F1561" w:rsidRPr="00417744">
        <w:rPr>
          <w:rFonts w:ascii="Lato" w:hAnsi="Lato"/>
        </w:rPr>
        <w:t xml:space="preserve"> onkologiczn</w:t>
      </w:r>
      <w:r>
        <w:rPr>
          <w:rFonts w:ascii="Lato" w:hAnsi="Lato"/>
        </w:rPr>
        <w:t>ych</w:t>
      </w:r>
      <w:r w:rsidR="009F1561" w:rsidRPr="00417744">
        <w:rPr>
          <w:rFonts w:ascii="Lato" w:hAnsi="Lato"/>
        </w:rPr>
        <w:t>,</w:t>
      </w:r>
    </w:p>
    <w:p w14:paraId="309F6D0A" w14:textId="269DBC00" w:rsidR="009F1561" w:rsidRPr="00417744" w:rsidRDefault="009F1561" w:rsidP="009F1561">
      <w:pPr>
        <w:pStyle w:val="Akapitzlist"/>
        <w:numPr>
          <w:ilvl w:val="0"/>
          <w:numId w:val="29"/>
        </w:numPr>
        <w:spacing w:after="120" w:line="360" w:lineRule="auto"/>
        <w:jc w:val="both"/>
        <w:rPr>
          <w:rFonts w:ascii="Lato" w:hAnsi="Lato"/>
        </w:rPr>
      </w:pPr>
      <w:r w:rsidRPr="00417744">
        <w:rPr>
          <w:rFonts w:ascii="Lato" w:hAnsi="Lato"/>
        </w:rPr>
        <w:t>5</w:t>
      </w:r>
      <w:r w:rsidR="00CC42B1">
        <w:rPr>
          <w:rFonts w:ascii="Lato" w:hAnsi="Lato"/>
        </w:rPr>
        <w:t>3</w:t>
      </w:r>
      <w:r w:rsidRPr="00417744">
        <w:rPr>
          <w:rFonts w:ascii="Lato" w:hAnsi="Lato"/>
        </w:rPr>
        <w:t xml:space="preserve"> cząsteczko - wskaza</w:t>
      </w:r>
      <w:r w:rsidR="00CC42B1">
        <w:rPr>
          <w:rFonts w:ascii="Lato" w:hAnsi="Lato"/>
        </w:rPr>
        <w:t>nia</w:t>
      </w:r>
      <w:r w:rsidRPr="00417744">
        <w:rPr>
          <w:rFonts w:ascii="Lato" w:hAnsi="Lato"/>
        </w:rPr>
        <w:t xml:space="preserve"> nieonkologiczn</w:t>
      </w:r>
      <w:r w:rsidR="00CC42B1">
        <w:rPr>
          <w:rFonts w:ascii="Lato" w:hAnsi="Lato"/>
        </w:rPr>
        <w:t>e</w:t>
      </w:r>
      <w:r w:rsidRPr="00417744">
        <w:rPr>
          <w:rFonts w:ascii="Lato" w:hAnsi="Lato"/>
        </w:rPr>
        <w:t>,</w:t>
      </w:r>
    </w:p>
    <w:p w14:paraId="6F26D94B" w14:textId="5E7394A4" w:rsidR="009F1561" w:rsidRPr="00417744" w:rsidRDefault="009F1561" w:rsidP="009F1561">
      <w:pPr>
        <w:pStyle w:val="Akapitzlist"/>
        <w:numPr>
          <w:ilvl w:val="0"/>
          <w:numId w:val="29"/>
        </w:numPr>
        <w:spacing w:after="120" w:line="360" w:lineRule="auto"/>
        <w:jc w:val="both"/>
        <w:rPr>
          <w:rFonts w:ascii="Lato" w:hAnsi="Lato"/>
        </w:rPr>
      </w:pPr>
      <w:r w:rsidRPr="00417744">
        <w:rPr>
          <w:rFonts w:ascii="Lato" w:hAnsi="Lato"/>
        </w:rPr>
        <w:t>3</w:t>
      </w:r>
      <w:r w:rsidR="00CC42B1">
        <w:rPr>
          <w:rFonts w:ascii="Lato" w:hAnsi="Lato"/>
        </w:rPr>
        <w:t>4</w:t>
      </w:r>
      <w:r w:rsidRPr="00417744">
        <w:rPr>
          <w:rFonts w:ascii="Lato" w:hAnsi="Lato"/>
        </w:rPr>
        <w:t xml:space="preserve"> cząsteczko - wskazania dedykowane chorobom rzadkim.</w:t>
      </w:r>
    </w:p>
    <w:p w14:paraId="406B0915" w14:textId="227C02DB" w:rsidR="009F1561" w:rsidRDefault="009F1561" w:rsidP="009F1561">
      <w:pPr>
        <w:autoSpaceDE w:val="0"/>
        <w:spacing w:after="0" w:line="360" w:lineRule="auto"/>
        <w:jc w:val="both"/>
        <w:rPr>
          <w:rFonts w:ascii="Lato" w:hAnsi="Lato" w:cs="Arial"/>
        </w:rPr>
      </w:pPr>
      <w:r w:rsidRPr="006364CD">
        <w:rPr>
          <w:rFonts w:ascii="Lato" w:hAnsi="Lato" w:cs="Arial"/>
        </w:rPr>
        <w:t xml:space="preserve">Najwięcej nowych cząsteczko - wskazań onkologicznych w 2023 r. obserwujemy w </w:t>
      </w:r>
      <w:proofErr w:type="spellStart"/>
      <w:r w:rsidRPr="006364CD">
        <w:rPr>
          <w:rFonts w:ascii="Lato" w:hAnsi="Lato" w:cs="Arial"/>
        </w:rPr>
        <w:t>hematoonkologii</w:t>
      </w:r>
      <w:proofErr w:type="spellEnd"/>
      <w:r w:rsidRPr="006364CD">
        <w:rPr>
          <w:rFonts w:ascii="Lato" w:hAnsi="Lato" w:cs="Arial"/>
        </w:rPr>
        <w:t xml:space="preserve"> (2</w:t>
      </w:r>
      <w:r w:rsidR="004509A0">
        <w:rPr>
          <w:rFonts w:ascii="Lato" w:hAnsi="Lato" w:cs="Arial"/>
        </w:rPr>
        <w:t>6</w:t>
      </w:r>
      <w:r w:rsidRPr="006364CD">
        <w:rPr>
          <w:rFonts w:ascii="Lato" w:hAnsi="Lato" w:cs="Arial"/>
        </w:rPr>
        <w:t>), w nowotworach układu oddechowego (</w:t>
      </w:r>
      <w:r w:rsidR="004509A0">
        <w:rPr>
          <w:rFonts w:ascii="Lato" w:hAnsi="Lato" w:cs="Arial"/>
        </w:rPr>
        <w:t>11</w:t>
      </w:r>
      <w:r w:rsidRPr="006364CD">
        <w:rPr>
          <w:rFonts w:ascii="Lato" w:hAnsi="Lato" w:cs="Arial"/>
        </w:rPr>
        <w:t xml:space="preserve">) i </w:t>
      </w:r>
      <w:r w:rsidR="004509A0">
        <w:rPr>
          <w:rFonts w:ascii="Lato" w:hAnsi="Lato" w:cs="Arial"/>
        </w:rPr>
        <w:t>pokarmowego</w:t>
      </w:r>
      <w:r w:rsidRPr="006364CD">
        <w:rPr>
          <w:rFonts w:ascii="Lato" w:hAnsi="Lato" w:cs="Arial"/>
        </w:rPr>
        <w:t xml:space="preserve"> (</w:t>
      </w:r>
      <w:r w:rsidR="004509A0">
        <w:rPr>
          <w:rFonts w:ascii="Lato" w:hAnsi="Lato" w:cs="Arial"/>
        </w:rPr>
        <w:t>9</w:t>
      </w:r>
      <w:r w:rsidRPr="006364CD">
        <w:rPr>
          <w:rFonts w:ascii="Lato" w:hAnsi="Lato" w:cs="Arial"/>
        </w:rPr>
        <w:t>). Najwięcej nowych cząsteczko - wskazań nieonkologicznych w 2023 r. obserwujemy w kardiologii (19), reumatologii (6), hematologii (4), gastroenterologii (4) i  dermatologii (4).</w:t>
      </w:r>
    </w:p>
    <w:p w14:paraId="654847C3" w14:textId="77777777" w:rsidR="009F1561" w:rsidRPr="006364CD" w:rsidRDefault="009F1561" w:rsidP="009F1561">
      <w:pPr>
        <w:autoSpaceDE w:val="0"/>
        <w:spacing w:after="0" w:line="360" w:lineRule="auto"/>
        <w:jc w:val="both"/>
        <w:rPr>
          <w:rFonts w:ascii="Lato" w:hAnsi="Lato" w:cs="Arial"/>
        </w:rPr>
      </w:pPr>
    </w:p>
    <w:p w14:paraId="6B466A0C" w14:textId="442AA050" w:rsidR="004D093B" w:rsidRDefault="004D093B" w:rsidP="00350CC6">
      <w:pPr>
        <w:autoSpaceDE w:val="0"/>
        <w:spacing w:after="0" w:line="36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br w:type="page"/>
      </w:r>
    </w:p>
    <w:p w14:paraId="4E1AA09A" w14:textId="43A40CD7" w:rsidR="00350CC6" w:rsidRDefault="00350CC6" w:rsidP="006D0466">
      <w:pPr>
        <w:autoSpaceDE w:val="0"/>
        <w:spacing w:after="120" w:line="240" w:lineRule="auto"/>
        <w:jc w:val="both"/>
        <w:rPr>
          <w:rFonts w:ascii="Lato" w:hAnsi="Lato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655A6C8" wp14:editId="69C86570">
            <wp:extent cx="4414520" cy="2838735"/>
            <wp:effectExtent l="0" t="0" r="5080" b="0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67889C1A-5DD9-4C41-9C0E-2CE1FB7DE1F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rFonts w:ascii="Lato" w:hAnsi="Lato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078D5BF7" wp14:editId="79F73B05">
            <wp:extent cx="4435475" cy="2828498"/>
            <wp:effectExtent l="0" t="0" r="3175" b="10160"/>
            <wp:docPr id="2" name="Wykres 2">
              <a:extLst xmlns:a="http://schemas.openxmlformats.org/drawingml/2006/main">
                <a:ext uri="{FF2B5EF4-FFF2-40B4-BE49-F238E27FC236}">
                  <a16:creationId xmlns:a16="http://schemas.microsoft.com/office/drawing/2014/main" id="{E52EC9A3-CF0F-4F00-8042-9072D1CE40D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0394F58" w14:textId="7631A836" w:rsidR="00350CC6" w:rsidRDefault="00350CC6" w:rsidP="006D0466">
      <w:pPr>
        <w:autoSpaceDE w:val="0"/>
        <w:spacing w:after="0" w:line="360" w:lineRule="auto"/>
        <w:jc w:val="both"/>
        <w:rPr>
          <w:rFonts w:ascii="Lato" w:hAnsi="Lato"/>
          <w:sz w:val="24"/>
          <w:szCs w:val="24"/>
        </w:rPr>
      </w:pPr>
      <w:r>
        <w:rPr>
          <w:noProof/>
        </w:rPr>
        <w:drawing>
          <wp:inline distT="0" distB="0" distL="0" distR="0" wp14:anchorId="799F83FF" wp14:editId="401C9D3D">
            <wp:extent cx="4414520" cy="2810518"/>
            <wp:effectExtent l="0" t="0" r="5080" b="8890"/>
            <wp:docPr id="3" name="Wykres 3">
              <a:extLst xmlns:a="http://schemas.openxmlformats.org/drawingml/2006/main">
                <a:ext uri="{FF2B5EF4-FFF2-40B4-BE49-F238E27FC236}">
                  <a16:creationId xmlns:a16="http://schemas.microsoft.com/office/drawing/2014/main" id="{9D137F96-D8BB-4669-93B7-D9F98C88474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rFonts w:ascii="Lato" w:hAnsi="Lato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5938BF58" wp14:editId="04E4E94C">
            <wp:extent cx="4421505" cy="2814752"/>
            <wp:effectExtent l="0" t="0" r="17145" b="5080"/>
            <wp:docPr id="4" name="Wykres 4">
              <a:extLst xmlns:a="http://schemas.openxmlformats.org/drawingml/2006/main">
                <a:ext uri="{FF2B5EF4-FFF2-40B4-BE49-F238E27FC236}">
                  <a16:creationId xmlns:a16="http://schemas.microsoft.com/office/drawing/2014/main" id="{2DB26032-FA93-4448-8FF7-12D47490A60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>
        <w:rPr>
          <w:rFonts w:ascii="Lato" w:hAnsi="Lato"/>
          <w:sz w:val="24"/>
          <w:szCs w:val="24"/>
        </w:rPr>
        <w:br w:type="page"/>
      </w:r>
    </w:p>
    <w:p w14:paraId="06A06678" w14:textId="7D136BFD" w:rsidR="00AD08C5" w:rsidRPr="004D093B" w:rsidRDefault="006A7DCE" w:rsidP="005058F2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4D093B">
        <w:rPr>
          <w:rFonts w:ascii="Lato" w:hAnsi="Lato"/>
          <w:b/>
          <w:bCs/>
          <w:color w:val="00B0F0"/>
          <w:sz w:val="28"/>
          <w:szCs w:val="28"/>
        </w:rPr>
        <w:lastRenderedPageBreak/>
        <w:t>NOWE WSKAZANIA ORAZ ZMIANY W PROGRA</w:t>
      </w:r>
      <w:bookmarkStart w:id="0" w:name="_Hlk95686308"/>
      <w:r w:rsidRPr="004D093B">
        <w:rPr>
          <w:rFonts w:ascii="Lato" w:hAnsi="Lato"/>
          <w:b/>
          <w:bCs/>
          <w:color w:val="00B0F0"/>
          <w:sz w:val="28"/>
          <w:szCs w:val="28"/>
        </w:rPr>
        <w:t>M</w:t>
      </w:r>
      <w:bookmarkEnd w:id="0"/>
      <w:r w:rsidRPr="004D093B">
        <w:rPr>
          <w:rFonts w:ascii="Lato" w:hAnsi="Lato"/>
          <w:b/>
          <w:bCs/>
          <w:color w:val="00B0F0"/>
          <w:sz w:val="28"/>
          <w:szCs w:val="28"/>
        </w:rPr>
        <w:t>ACH LEKOWYCH</w:t>
      </w:r>
      <w:r w:rsidR="0056748F" w:rsidRPr="004D093B">
        <w:rPr>
          <w:rFonts w:ascii="Lato" w:hAnsi="Lato"/>
          <w:b/>
          <w:bCs/>
          <w:color w:val="00B0F0"/>
          <w:sz w:val="28"/>
          <w:szCs w:val="28"/>
        </w:rPr>
        <w:t xml:space="preserve"> i CHEMIOTERAPII</w:t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607"/>
        <w:gridCol w:w="1586"/>
        <w:gridCol w:w="1807"/>
        <w:gridCol w:w="1872"/>
        <w:gridCol w:w="3335"/>
        <w:gridCol w:w="4781"/>
      </w:tblGrid>
      <w:tr w:rsidR="005058F2" w:rsidRPr="004D093B" w14:paraId="7E2E9B6A" w14:textId="77777777" w:rsidTr="00294265">
        <w:trPr>
          <w:cantSplit/>
          <w:trHeight w:val="186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7C9CE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Programy lekowe i chemioterapia</w:t>
            </w:r>
          </w:p>
        </w:tc>
      </w:tr>
      <w:tr w:rsidR="005058F2" w:rsidRPr="004D093B" w14:paraId="1C096482" w14:textId="77777777" w:rsidTr="00294265">
        <w:trPr>
          <w:cantSplit/>
          <w:trHeight w:val="206"/>
        </w:trPr>
        <w:tc>
          <w:tcPr>
            <w:tcW w:w="5000" w:type="pct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D3F6C" w14:textId="047D7715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Nowe wskazania onkologiczne</w:t>
            </w:r>
          </w:p>
        </w:tc>
      </w:tr>
      <w:tr w:rsidR="006D7964" w:rsidRPr="004D093B" w14:paraId="60CDF2D4" w14:textId="77777777" w:rsidTr="00294265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18D0B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CB337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leku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4251E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Substancja czynna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0A519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lekowego/załącznika chemioterapii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A8893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lekowego/ Załącznika chemioterapii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64232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Doprecyzowanie wskazania</w:t>
            </w:r>
          </w:p>
        </w:tc>
      </w:tr>
      <w:tr w:rsidR="00EE5277" w:rsidRPr="004D093B" w14:paraId="1F4280B1" w14:textId="77777777" w:rsidTr="00294265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9A6C0" w14:textId="51FF0EA2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EF7A1" w14:textId="06DDD5A1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Lorviqua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EBA34" w14:textId="42A2F3A3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lorlat</w:t>
            </w:r>
            <w:r w:rsidR="00EF3A08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y</w:t>
            </w:r>
            <w:r w:rsidRPr="00946C5F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nib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A00C8" w14:textId="0734782B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B.6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CD2B8" w14:textId="02F2CBB6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CC36C" w14:textId="18DAA9EE" w:rsidR="00EE5277" w:rsidRPr="00946C5F" w:rsidRDefault="001E4A45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I linia</w:t>
            </w:r>
            <w:r w:rsidR="00EE5277"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leczenia </w:t>
            </w:r>
            <w:r w:rsidR="005E3DB9">
              <w:rPr>
                <w:rFonts w:ascii="Lato" w:hAnsi="Lato" w:cstheme="majorHAnsi"/>
                <w:color w:val="000000"/>
                <w:sz w:val="18"/>
                <w:szCs w:val="18"/>
              </w:rPr>
              <w:t>pacjentów z</w:t>
            </w:r>
            <w:r w:rsidR="00EE5277"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NDRP z mutacją w genie ALK (chorzy wcześniej nie poddawani systemowemu leczeniu z powodu zaawansowanego nowotworu).</w:t>
            </w:r>
          </w:p>
        </w:tc>
      </w:tr>
      <w:tr w:rsidR="00EE5277" w:rsidRPr="004D093B" w14:paraId="5A345E23" w14:textId="77777777" w:rsidTr="00294265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0E88B" w14:textId="1BCDCC89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6100A" w14:textId="6E50232F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Lumykras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206B5" w14:textId="1362A3A2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sotorasib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814A2" w14:textId="4A2C4482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B.6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C849D" w14:textId="1F4D1415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834F5" w14:textId="34F2AC9E" w:rsidR="00EE5277" w:rsidRPr="00946C5F" w:rsidRDefault="001E4A45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II</w:t>
            </w:r>
            <w:r w:rsidR="00EE5277"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lub kolejne linie leczenia </w:t>
            </w:r>
            <w:r w:rsidR="005E3DB9">
              <w:rPr>
                <w:rFonts w:ascii="Lato" w:hAnsi="Lato" w:cstheme="majorHAnsi"/>
                <w:color w:val="000000"/>
                <w:sz w:val="18"/>
                <w:szCs w:val="18"/>
              </w:rPr>
              <w:t>pacjentów z</w:t>
            </w:r>
            <w:r w:rsidR="00EE5277"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NDRP z mutacją G12C w genie KRAS  po niepowodzeniu co najmniej jednej wcześniejszej linii leczenia systemowego.</w:t>
            </w:r>
          </w:p>
        </w:tc>
      </w:tr>
      <w:tr w:rsidR="00EE5277" w:rsidRPr="004D093B" w14:paraId="2F304C7B" w14:textId="77777777" w:rsidTr="00294265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3EF10" w14:textId="5DF373DC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sz w:val="18"/>
                <w:szCs w:val="18"/>
              </w:rPr>
              <w:t>3.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70B9C" w14:textId="34200626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Tecentriq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52E7F" w14:textId="4B98BEBD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atezolizumab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59B47" w14:textId="3DDA37D2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B.6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29DCD" w14:textId="779C40FD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CA559" w14:textId="701B6D29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 w:rsidR="005E3DB9">
              <w:rPr>
                <w:rFonts w:ascii="Lato" w:hAnsi="Lato" w:cstheme="majorHAnsi"/>
                <w:color w:val="000000"/>
                <w:sz w:val="18"/>
                <w:szCs w:val="18"/>
              </w:rPr>
              <w:t>adjuwantowe</w:t>
            </w:r>
            <w:proofErr w:type="spellEnd"/>
            <w:r w:rsidR="005E3DB9"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po całkowitej resekcji i chemioterapii </w:t>
            </w:r>
            <w:r w:rsidRPr="005E3DB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opartej na związkach platyny </w:t>
            </w:r>
            <w:r w:rsidRPr="00094F94">
              <w:rPr>
                <w:rFonts w:ascii="Lato" w:hAnsi="Lato" w:cstheme="majorHAnsi"/>
                <w:color w:val="000000"/>
                <w:sz w:val="18"/>
                <w:szCs w:val="18"/>
              </w:rPr>
              <w:t>u dorosłych</w:t>
            </w:r>
            <w:r w:rsidRPr="005E3DB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094F94">
              <w:rPr>
                <w:rFonts w:ascii="Lato" w:hAnsi="Lato" w:cstheme="majorHAnsi"/>
                <w:color w:val="000000"/>
                <w:sz w:val="18"/>
                <w:szCs w:val="18"/>
              </w:rPr>
              <w:t>pacjentów</w:t>
            </w:r>
            <w:r w:rsidRPr="005E3DB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NDRP</w:t>
            </w: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o wysokim ryzyku wystąpienia nawrotu, u których w tkance nowotworowej ekspresja PD-L1 wynosi ≥50% na komórkach guza.</w:t>
            </w:r>
          </w:p>
        </w:tc>
      </w:tr>
      <w:tr w:rsidR="00EE5277" w:rsidRPr="004D093B" w14:paraId="41B567AC" w14:textId="77777777" w:rsidTr="00294265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0FECB" w14:textId="147CA70B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sz w:val="18"/>
                <w:szCs w:val="18"/>
              </w:rPr>
              <w:t>4.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BA0DD" w14:textId="43063CD4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Keytruda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72683" w14:textId="61585B91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pembrolizumab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D3C78" w14:textId="15BDBF9E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sz w:val="18"/>
                <w:szCs w:val="18"/>
              </w:rPr>
              <w:t>B.10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58902" w14:textId="2B6CC021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RAKIEM NERKI (ICD-10: C64)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5DB27" w14:textId="5F9EA12C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5E3DB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 w:rsidRPr="00094F94">
              <w:rPr>
                <w:rFonts w:ascii="Lato" w:hAnsi="Lato" w:cstheme="majorHAnsi"/>
                <w:color w:val="000000"/>
                <w:sz w:val="18"/>
                <w:szCs w:val="18"/>
              </w:rPr>
              <w:t>adjuwantowe</w:t>
            </w:r>
            <w:proofErr w:type="spellEnd"/>
            <w:r w:rsidRPr="00094F9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po zabiegu nefrektomii</w:t>
            </w:r>
            <w:r w:rsidRPr="005E3DB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u dorosłych </w:t>
            </w:r>
            <w:r w:rsidRPr="00094F94">
              <w:rPr>
                <w:rFonts w:ascii="Lato" w:hAnsi="Lato" w:cstheme="majorHAnsi"/>
                <w:color w:val="000000"/>
                <w:sz w:val="18"/>
                <w:szCs w:val="18"/>
              </w:rPr>
              <w:t>pacjentów</w:t>
            </w:r>
            <w:r w:rsidRPr="005E3DB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rakiem nerki.</w:t>
            </w:r>
          </w:p>
        </w:tc>
      </w:tr>
      <w:tr w:rsidR="00EE5277" w:rsidRPr="004D093B" w14:paraId="4193F70D" w14:textId="77777777" w:rsidTr="00294265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0FFFD" w14:textId="45429850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97AD5" w14:textId="35360937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Tecartus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A02D7" w14:textId="750C64D5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breksukabtagen</w:t>
            </w:r>
            <w:proofErr w:type="spellEnd"/>
            <w:r w:rsidRPr="00946C5F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46C5F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autoleucel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BB432" w14:textId="7785481F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B.12.FM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C9D95" w14:textId="4F2CBA22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CHŁONIAKI B-KOMÓRKOWE (ICD-10: C82, C83, C85)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D6DB7" w14:textId="052FF0B3" w:rsidR="005E3DB9" w:rsidRDefault="005E3DB9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II lub kolejne linie leczenia terapią </w:t>
            </w:r>
            <w:r w:rsidR="000A6A4A"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CAR-T </w:t>
            </w:r>
            <w:r w:rsidR="000A6A4A">
              <w:rPr>
                <w:rFonts w:ascii="Lato" w:hAnsi="Lato" w:cstheme="majorHAnsi"/>
                <w:color w:val="000000"/>
                <w:sz w:val="18"/>
                <w:szCs w:val="18"/>
              </w:rPr>
              <w:t>(</w:t>
            </w:r>
            <w:proofErr w:type="spellStart"/>
            <w:r w:rsidR="000A6A4A"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breksukabtagen</w:t>
            </w:r>
            <w:proofErr w:type="spellEnd"/>
            <w:r w:rsidR="000A6A4A"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0A6A4A"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autoleucel</w:t>
            </w:r>
            <w:proofErr w:type="spellEnd"/>
            <w:r w:rsidR="000A6A4A">
              <w:rPr>
                <w:rFonts w:ascii="Lato" w:hAnsi="Lato" w:cstheme="majorHAnsi"/>
                <w:color w:val="000000"/>
                <w:sz w:val="18"/>
                <w:szCs w:val="18"/>
              </w:rPr>
              <w:t>)</w:t>
            </w:r>
            <w:r w:rsidR="000A6A4A"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="000A6A4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u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dorosłych pacjentów z opornym lub nawrotowym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chłoniakiem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z komórek płaszcza (MCL)</w:t>
            </w:r>
            <w:r w:rsidR="000A6A4A">
              <w:rPr>
                <w:rFonts w:ascii="Lato" w:hAnsi="Lato" w:cstheme="majorHAnsi"/>
                <w:color w:val="000000"/>
                <w:sz w:val="18"/>
                <w:szCs w:val="18"/>
              </w:rPr>
              <w:t>,</w:t>
            </w: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którzy uprzednio otrzymali co najmniej dwie linie leczenia systemowego, w tym inhibitor kinazy tyrozynowej </w:t>
            </w: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Brutona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7C75D696" w14:textId="77777777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  <w:p w14:paraId="5966388A" w14:textId="443AD172" w:rsidR="00EE5277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(TLI)</w:t>
            </w:r>
          </w:p>
        </w:tc>
      </w:tr>
      <w:tr w:rsidR="00EE5277" w:rsidRPr="004D093B" w14:paraId="34137848" w14:textId="77777777" w:rsidTr="00294265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B03C1" w14:textId="15976FCF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sz w:val="18"/>
                <w:szCs w:val="18"/>
              </w:rPr>
              <w:lastRenderedPageBreak/>
              <w:t>6.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BE305" w14:textId="6B04CC80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b/>
                <w:bCs/>
                <w:sz w:val="18"/>
                <w:szCs w:val="18"/>
              </w:rPr>
              <w:t>Opdivo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123D5" w14:textId="322647DB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i/>
                <w:iCs/>
                <w:sz w:val="18"/>
                <w:szCs w:val="18"/>
              </w:rPr>
              <w:t>niwolumab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8ADAB" w14:textId="019F720E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sz w:val="18"/>
                <w:szCs w:val="18"/>
              </w:rPr>
              <w:t>B.58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B6CBD" w14:textId="5CE7403A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PRZEŁYKU, POŁĄCZENIA ŻOŁĄDKOWO-PRZEŁYKOWEGO I ŻOŁĄDKA (ICD-10: C15-C16)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74C9F" w14:textId="2E97D34E" w:rsidR="00EE5277" w:rsidRPr="00946C5F" w:rsidRDefault="00EE5277" w:rsidP="00946C5F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A6A4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 w:rsidRPr="00094F94">
              <w:rPr>
                <w:rFonts w:ascii="Lato" w:hAnsi="Lato" w:cstheme="majorHAnsi"/>
                <w:color w:val="000000"/>
                <w:sz w:val="18"/>
                <w:szCs w:val="18"/>
              </w:rPr>
              <w:t>adjuwantowe</w:t>
            </w:r>
            <w:proofErr w:type="spellEnd"/>
            <w:r w:rsidRPr="000A6A4A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A6A4A">
              <w:rPr>
                <w:rFonts w:ascii="Lato" w:hAnsi="Lato" w:cstheme="majorHAnsi"/>
                <w:color w:val="000000"/>
                <w:sz w:val="18"/>
                <w:szCs w:val="18"/>
              </w:rPr>
              <w:t>niwolumabem</w:t>
            </w:r>
            <w:proofErr w:type="spellEnd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</w:t>
            </w: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monoterapii</w:t>
            </w:r>
            <w:proofErr w:type="spellEnd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dorosłych pacjentów z rakiem przełyku (płaskonabłonkowym lub gruczołowym) lub połączenia żołądkowo-przełykowego, z chorobą resztkową, po wcześniejszej </w:t>
            </w: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chemioradioterapii</w:t>
            </w:r>
            <w:proofErr w:type="spellEnd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neoadjuwantowej</w:t>
            </w:r>
            <w:proofErr w:type="spellEnd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0A6A4A" w:rsidRPr="004D093B" w14:paraId="65CA776D" w14:textId="77777777" w:rsidTr="00294265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49EFB" w14:textId="7F546349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sz w:val="18"/>
                <w:szCs w:val="18"/>
              </w:rPr>
              <w:t>7.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3FF90" w14:textId="448569A2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b/>
                <w:bCs/>
                <w:sz w:val="18"/>
                <w:szCs w:val="18"/>
              </w:rPr>
              <w:t>Opdivo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0253C" w14:textId="1D69004F" w:rsidR="000A6A4A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i/>
                <w:iCs/>
                <w:sz w:val="18"/>
                <w:szCs w:val="18"/>
              </w:rPr>
              <w:t>niwolumab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1342F" w14:textId="603DA885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sz w:val="18"/>
                <w:szCs w:val="18"/>
              </w:rPr>
              <w:t>B.58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BAA31" w14:textId="3876DDA5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PRZEŁYKU, POŁĄCZENIA ŻOŁĄDKOWO-PRZEŁYKOWEGO I ŻOŁĄDKA (ICD-10: C15-C16)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CFFB5" w14:textId="4F065C7A" w:rsidR="000A6A4A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I linia leczenia </w:t>
            </w: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niwolumabem</w:t>
            </w:r>
            <w:proofErr w:type="spellEnd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skojarzeniu z chemioterapią skojarzoną opartą na </w:t>
            </w: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fluoropirymidynie</w:t>
            </w:r>
            <w:proofErr w:type="spellEnd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(5FU) i pochodnej platyny (</w:t>
            </w: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oksaliplatynie</w:t>
            </w:r>
            <w:proofErr w:type="spellEnd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lub </w:t>
            </w: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kapecytabinie</w:t>
            </w:r>
            <w:proofErr w:type="spellEnd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 według schematu CAPOX lub FOLFOX) dorosłych pacjentów z HER2-ujemnym zaawansowanym lub przerzutowym gruczolakorakiem przełyku, połączenia żołądkowo-przełykowego lub żołądka z ekspresją PD-L1 wg skali CPS ≥ 5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0A6A4A" w:rsidRPr="004D093B" w14:paraId="79F6918C" w14:textId="77777777" w:rsidTr="00094F94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E9E07" w14:textId="1F81CA7F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sz w:val="18"/>
                <w:szCs w:val="18"/>
              </w:rPr>
              <w:t>8.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16304" w14:textId="0FE8A39A" w:rsidR="000A6A4A" w:rsidRPr="00946C5F" w:rsidRDefault="000A6A4A" w:rsidP="00EC27E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b/>
                <w:bCs/>
                <w:sz w:val="18"/>
                <w:szCs w:val="18"/>
              </w:rPr>
              <w:t>Opdivo</w:t>
            </w:r>
            <w:proofErr w:type="spellEnd"/>
            <w:r>
              <w:rPr>
                <w:rFonts w:ascii="Lato" w:hAnsi="Lato" w:cstheme="majorHAnsi"/>
                <w:b/>
                <w:bCs/>
                <w:sz w:val="18"/>
                <w:szCs w:val="18"/>
              </w:rPr>
              <w:t xml:space="preserve"> </w:t>
            </w:r>
            <w:r w:rsidRPr="00946C5F">
              <w:rPr>
                <w:rFonts w:ascii="Lato" w:hAnsi="Lato" w:cstheme="majorHAnsi"/>
                <w:b/>
                <w:bCs/>
                <w:sz w:val="18"/>
                <w:szCs w:val="18"/>
              </w:rPr>
              <w:t>+</w:t>
            </w:r>
            <w:r w:rsidR="00EC27E5">
              <w:rPr>
                <w:rFonts w:ascii="Lato" w:hAnsi="Lato" w:cstheme="majorHAnsi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946C5F">
              <w:rPr>
                <w:rFonts w:ascii="Lato" w:hAnsi="Lato" w:cstheme="majorHAnsi"/>
                <w:b/>
                <w:bCs/>
                <w:sz w:val="18"/>
                <w:szCs w:val="18"/>
              </w:rPr>
              <w:t>Yervoy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03638" w14:textId="7B9550CB" w:rsidR="000A6A4A" w:rsidRPr="00946C5F" w:rsidRDefault="000A6A4A" w:rsidP="00EC27E5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niwolumab</w:t>
            </w:r>
            <w:proofErr w:type="spellEnd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 </w:t>
            </w:r>
            <w:r w:rsidRPr="00946C5F">
              <w:rPr>
                <w:rFonts w:ascii="Lato" w:hAnsi="Lato" w:cstheme="majorHAnsi"/>
                <w:i/>
                <w:iCs/>
                <w:sz w:val="18"/>
                <w:szCs w:val="18"/>
              </w:rPr>
              <w:t>+</w:t>
            </w:r>
            <w:r w:rsidR="00EC27E5"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946C5F">
              <w:rPr>
                <w:rFonts w:ascii="Lato" w:hAnsi="Lato" w:cstheme="majorHAnsi"/>
                <w:i/>
                <w:iCs/>
                <w:sz w:val="18"/>
                <w:szCs w:val="18"/>
              </w:rPr>
              <w:t>ipilimumab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CCACC" w14:textId="2FC4388A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sz w:val="18"/>
                <w:szCs w:val="18"/>
              </w:rPr>
              <w:t>B.58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CE6BF" w14:textId="15B9DB8E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PRZEŁYKU, POŁĄCZENIA ŻOŁĄDKOWO-PRZEŁYKOWEGO I ŻOŁĄDKA (ICD-10: C15-C16)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D2A24" w14:textId="514239EF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I linia leczenia</w:t>
            </w: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niwolumabem</w:t>
            </w:r>
            <w:proofErr w:type="spellEnd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skojarzeniu z chemioterapią zawierającą </w:t>
            </w: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fluoropirymidynę</w:t>
            </w:r>
            <w:proofErr w:type="spellEnd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 pochodną platyny albo z </w:t>
            </w: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ipilimumabem</w:t>
            </w:r>
            <w:proofErr w:type="spellEnd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dorosłych pacjentów z zaawansowanym nieoperacyjnym, nawrotowym lub przerzutowym płaskonabłonkowym rakiem przełyku z ekspresją PD-L1 ≥ 1%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0A6A4A" w:rsidRPr="004D093B" w14:paraId="2EAEEA58" w14:textId="77777777" w:rsidTr="00294265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A4B85" w14:textId="2062AE19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sz w:val="18"/>
                <w:szCs w:val="18"/>
              </w:rPr>
              <w:t>9.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FEC7B" w14:textId="0F33693E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b/>
                <w:bCs/>
                <w:sz w:val="18"/>
                <w:szCs w:val="18"/>
              </w:rPr>
              <w:t>Lonsurf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0093F" w14:textId="42592BD7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i/>
                <w:iCs/>
                <w:sz w:val="18"/>
                <w:szCs w:val="18"/>
              </w:rPr>
              <w:t>triflurydyna</w:t>
            </w:r>
            <w:proofErr w:type="spellEnd"/>
            <w:r w:rsidRPr="00946C5F"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 + </w:t>
            </w:r>
            <w:proofErr w:type="spellStart"/>
            <w:r w:rsidRPr="00946C5F">
              <w:rPr>
                <w:rFonts w:ascii="Lato" w:hAnsi="Lato" w:cstheme="majorHAnsi"/>
                <w:i/>
                <w:iCs/>
                <w:sz w:val="18"/>
                <w:szCs w:val="18"/>
              </w:rPr>
              <w:t>typiracyl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F7235" w14:textId="71F3B969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sz w:val="18"/>
                <w:szCs w:val="18"/>
              </w:rPr>
              <w:t>B.58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D1733" w14:textId="2E1CD6F9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PRZEŁYKU, POŁĄCZENIA ŻOŁĄDKOWO-PRZEŁYKOWEGO I ŻOŁĄDKA (ICD-10: C15-C16)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FBEFD" w14:textId="74B570D2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III linia leczenia </w:t>
            </w: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triflurydyną</w:t>
            </w:r>
            <w:proofErr w:type="spellEnd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typiracylem</w:t>
            </w:r>
            <w:proofErr w:type="spellEnd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pacjentów z gruczolakorakiem żołądka lub połączenia żołądkowo-przełykowego w stadium uogólnionym, u których udokumentowano  nieskuteczność dwóch wcześniejszych standardowych schematów leczenia choroby zaawansowanej, w tym obejmujących </w:t>
            </w: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fluoropirymidynę</w:t>
            </w:r>
            <w:proofErr w:type="spellEnd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platynę i </w:t>
            </w: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taksany</w:t>
            </w:r>
            <w:proofErr w:type="spellEnd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lub </w:t>
            </w: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irynotekan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0A6A4A" w:rsidRPr="004D093B" w14:paraId="010C7C76" w14:textId="77777777" w:rsidTr="000F5E0B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1E46E" w14:textId="1D38E447" w:rsidR="000A6A4A" w:rsidRPr="000F5E0B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F5E0B">
              <w:rPr>
                <w:rFonts w:ascii="Lato" w:hAnsi="Lato" w:cstheme="majorHAnsi"/>
                <w:sz w:val="18"/>
                <w:szCs w:val="18"/>
              </w:rPr>
              <w:t>10.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50A40" w14:textId="1655071D" w:rsidR="000A6A4A" w:rsidRPr="000F5E0B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 w:rsidRPr="000F5E0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Retsevmo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74598" w14:textId="7812B11B" w:rsidR="000A6A4A" w:rsidRPr="000F5E0B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 w:rsidRPr="000F5E0B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selpercetynib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593EF" w14:textId="00D455AE" w:rsidR="000A6A4A" w:rsidRPr="000F5E0B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F5E0B">
              <w:rPr>
                <w:rFonts w:ascii="Lato" w:hAnsi="Lato" w:cstheme="majorHAnsi"/>
                <w:color w:val="000000"/>
                <w:sz w:val="18"/>
                <w:szCs w:val="18"/>
              </w:rPr>
              <w:t>B.108.FM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92F1B" w14:textId="6CE798B3" w:rsidR="000A6A4A" w:rsidRPr="000F5E0B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0F5E0B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RAKIEM RDZENIASTYM TARCZYCY (ICD-10: C73)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9F67B" w14:textId="5D990DDF" w:rsidR="000A6A4A" w:rsidRPr="000F5E0B" w:rsidRDefault="000A6A4A" w:rsidP="006006C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0F5E0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II linia leczenia pacjentów z zaawansowanym rakiem </w:t>
            </w:r>
            <w:proofErr w:type="spellStart"/>
            <w:r w:rsidR="006006C8">
              <w:rPr>
                <w:rFonts w:ascii="Lato" w:hAnsi="Lato" w:cstheme="majorHAnsi"/>
                <w:color w:val="000000"/>
                <w:sz w:val="18"/>
                <w:szCs w:val="18"/>
              </w:rPr>
              <w:t>rdzeniastym</w:t>
            </w:r>
            <w:proofErr w:type="spellEnd"/>
            <w:r w:rsidR="006006C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0F5E0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tarczycy z obecnością fuzji genu RET, którzy wymagają terapii systemowej po wcześniejszym leczeniu </w:t>
            </w:r>
            <w:proofErr w:type="spellStart"/>
            <w:r w:rsidR="006006C8">
              <w:rPr>
                <w:rFonts w:ascii="Lato" w:hAnsi="Lato" w:cstheme="majorHAnsi"/>
                <w:color w:val="000000"/>
                <w:sz w:val="18"/>
                <w:szCs w:val="18"/>
              </w:rPr>
              <w:t>wandetanibem</w:t>
            </w:r>
            <w:proofErr w:type="spellEnd"/>
            <w:r w:rsidR="006006C8" w:rsidRPr="000F5E0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lub </w:t>
            </w:r>
            <w:proofErr w:type="spellStart"/>
            <w:r w:rsidR="006006C8">
              <w:rPr>
                <w:rFonts w:ascii="Lato" w:hAnsi="Lato" w:cstheme="majorHAnsi"/>
                <w:color w:val="000000"/>
                <w:sz w:val="18"/>
                <w:szCs w:val="18"/>
              </w:rPr>
              <w:t>kabozantynibem</w:t>
            </w:r>
            <w:proofErr w:type="spellEnd"/>
            <w:r w:rsidRPr="000F5E0B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19ED9F03" w14:textId="622AE351" w:rsidR="000A6A4A" w:rsidRPr="000F5E0B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0F5E0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  <w:p w14:paraId="0201259C" w14:textId="00215605" w:rsidR="000A6A4A" w:rsidRPr="000F5E0B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0F5E0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(TLI)</w:t>
            </w:r>
          </w:p>
        </w:tc>
      </w:tr>
      <w:tr w:rsidR="000A6A4A" w:rsidRPr="004D093B" w14:paraId="0CE4DE4F" w14:textId="77777777" w:rsidTr="00294265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1CB61" w14:textId="39EA1E8F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sz w:val="18"/>
                <w:szCs w:val="18"/>
              </w:rPr>
              <w:t>11.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3FF15" w14:textId="55E10591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Jemperli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DC755" w14:textId="349F76C0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dostarlimab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4E7B7" w14:textId="649B6CE1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B.148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A173F" w14:textId="39ACD85E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ENDOMETRIUM (ICD-10 C54)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A9577" w14:textId="5C0F5DBC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II linia leczenia </w:t>
            </w: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pacjentek z nawrotowym lub zaawansowanym rakiem endometrium z upośledzeniem naprawy nieprawidłowo sparowanych nukleotydów (</w:t>
            </w: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dMMR</w:t>
            </w:r>
            <w:proofErr w:type="spellEnd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) lub wysoką niestabilnością </w:t>
            </w: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mikrosatelitarną</w:t>
            </w:r>
            <w:proofErr w:type="spellEnd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(MSI-H).</w:t>
            </w:r>
          </w:p>
        </w:tc>
      </w:tr>
      <w:tr w:rsidR="000A6A4A" w:rsidRPr="004D093B" w14:paraId="31F8CB73" w14:textId="77777777" w:rsidTr="00294265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2B759" w14:textId="67FA912A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sz w:val="18"/>
                <w:szCs w:val="18"/>
              </w:rPr>
              <w:lastRenderedPageBreak/>
              <w:t>12.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0A69A" w14:textId="129FDE3D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Jakavi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4308C" w14:textId="1A1D85CE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46C5F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ruksolitynib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73318" w14:textId="79A2F9C9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B.149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FD718" w14:textId="7C559EEF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CHOROBĄ PRZESZCZEP PRZECIWKO GOSPODARZOWI (ICD-10: T86.0)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F2E08" w14:textId="73E2A4FD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ruksolitynibem</w:t>
            </w:r>
            <w:proofErr w:type="spellEnd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pacjentów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od 12 roku życia</w:t>
            </w:r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ostrą lub przewlekłą chorobą przeszczep przeciwko gospodarzowi (</w:t>
            </w:r>
            <w:proofErr w:type="spellStart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GvHD</w:t>
            </w:r>
            <w:proofErr w:type="spellEnd"/>
            <w:r w:rsidRPr="00946C5F">
              <w:rPr>
                <w:rFonts w:ascii="Lato" w:hAnsi="Lato" w:cstheme="majorHAnsi"/>
                <w:color w:val="000000"/>
                <w:sz w:val="18"/>
                <w:szCs w:val="18"/>
              </w:rPr>
              <w:t>) po przeszczepieniu allogenicznych krwiotwórczych komórek macierzystych i z niewystarczającą odpowiedzią na leczenie kortykosteroidami.</w:t>
            </w:r>
          </w:p>
          <w:p w14:paraId="1EAB701D" w14:textId="7055E8CE" w:rsidR="000A6A4A" w:rsidRPr="00946C5F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946C5F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0A6A4A" w:rsidRPr="004D093B" w14:paraId="33CFF744" w14:textId="77777777" w:rsidTr="00294265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9ACD0" w14:textId="6867CC86" w:rsidR="000A6A4A" w:rsidRPr="00846834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846834">
              <w:rPr>
                <w:rFonts w:ascii="Lato" w:hAnsi="Lato" w:cstheme="majorHAnsi"/>
                <w:sz w:val="18"/>
                <w:szCs w:val="18"/>
              </w:rPr>
              <w:t>13.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774AB" w14:textId="4B75F2A3" w:rsidR="000A6A4A" w:rsidRPr="00846834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846834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Różne nazwy handlowe 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37413" w14:textId="07FDF17B" w:rsidR="000A6A4A" w:rsidRPr="00846834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846834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karboplatyna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8E055" w14:textId="7E7F0713" w:rsidR="000A6A4A" w:rsidRPr="00846834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846834">
              <w:rPr>
                <w:rFonts w:ascii="Lato" w:hAnsi="Lato" w:cstheme="majorHAnsi"/>
                <w:color w:val="000000"/>
                <w:sz w:val="18"/>
                <w:szCs w:val="18"/>
              </w:rPr>
              <w:t>C.6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2F824" w14:textId="077782CE" w:rsidR="000A6A4A" w:rsidRPr="00846834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846834">
              <w:rPr>
                <w:rFonts w:ascii="Lato" w:hAnsi="Lato" w:cstheme="majorHAnsi"/>
                <w:color w:val="000000"/>
                <w:sz w:val="18"/>
                <w:szCs w:val="18"/>
              </w:rPr>
              <w:t>CARBOPLATIN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58AA3" w14:textId="434DABF5" w:rsidR="000A6A4A" w:rsidRPr="00846834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84683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Objęcie finasowaniem </w:t>
            </w:r>
            <w:proofErr w:type="spellStart"/>
            <w:r w:rsidRPr="00846834">
              <w:rPr>
                <w:rFonts w:ascii="Lato" w:hAnsi="Lato" w:cstheme="majorHAnsi"/>
                <w:color w:val="000000"/>
                <w:sz w:val="18"/>
                <w:szCs w:val="18"/>
              </w:rPr>
              <w:t>karboplatyny</w:t>
            </w:r>
            <w:proofErr w:type="spellEnd"/>
            <w:r w:rsidRPr="0084683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nowotworach przełyku – wszystkie lokalizacje (ICD-10 C.15.) wraz z usunięciem dotychczasowego zawężenia wskazania.</w:t>
            </w:r>
          </w:p>
          <w:p w14:paraId="11F66010" w14:textId="5BD68835" w:rsidR="000A6A4A" w:rsidRPr="00846834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846834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(Wskazanie off-</w:t>
            </w:r>
            <w:proofErr w:type="spellStart"/>
            <w:r w:rsidRPr="00846834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label</w:t>
            </w:r>
            <w:proofErr w:type="spellEnd"/>
            <w:r w:rsidRPr="00846834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0A6A4A" w:rsidRPr="004D093B" w14:paraId="756ABD69" w14:textId="77777777" w:rsidTr="00294265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4CB67" w14:textId="74E92DA7" w:rsidR="000A6A4A" w:rsidRPr="00846834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846834">
              <w:rPr>
                <w:rFonts w:ascii="Lato" w:hAnsi="Lato" w:cstheme="majorHAnsi"/>
                <w:sz w:val="18"/>
                <w:szCs w:val="18"/>
              </w:rPr>
              <w:t>14.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C11A0" w14:textId="0964B3D9" w:rsidR="000A6A4A" w:rsidRPr="00846834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846834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Różne nazwy handlowe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CED7C" w14:textId="33004804" w:rsidR="000A6A4A" w:rsidRPr="00846834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 w:rsidRPr="00846834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paklitaksel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F7707" w14:textId="0CF50F3E" w:rsidR="000A6A4A" w:rsidRPr="00846834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846834">
              <w:rPr>
                <w:rFonts w:ascii="Lato" w:hAnsi="Lato" w:cstheme="majorHAnsi"/>
                <w:color w:val="000000"/>
                <w:sz w:val="18"/>
                <w:szCs w:val="18"/>
              </w:rPr>
              <w:t>C.47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61E3D" w14:textId="67153465" w:rsidR="000A6A4A" w:rsidRPr="00846834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846834">
              <w:rPr>
                <w:rFonts w:ascii="Lato" w:hAnsi="Lato" w:cstheme="majorHAnsi"/>
                <w:color w:val="000000"/>
                <w:sz w:val="18"/>
                <w:szCs w:val="18"/>
              </w:rPr>
              <w:t>PACLITAXEL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D3F0C" w14:textId="77777777" w:rsidR="000A6A4A" w:rsidRPr="00846834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84683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Objęcie finasowaniem </w:t>
            </w:r>
            <w:proofErr w:type="spellStart"/>
            <w:r w:rsidRPr="00846834">
              <w:rPr>
                <w:rFonts w:ascii="Lato" w:hAnsi="Lato" w:cstheme="majorHAnsi"/>
                <w:color w:val="000000"/>
                <w:sz w:val="18"/>
                <w:szCs w:val="18"/>
              </w:rPr>
              <w:t>paklitakselu</w:t>
            </w:r>
            <w:proofErr w:type="spellEnd"/>
            <w:r w:rsidRPr="0084683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nowotworach przełyku- wszystkie lokalizacje  (ICD-10 C.15.) wraz z usunięciem dotychczasowego zawężenia wskazania oraz dodanie możliwości finasowania podania </w:t>
            </w:r>
            <w:proofErr w:type="spellStart"/>
            <w:r w:rsidRPr="00846834">
              <w:rPr>
                <w:rFonts w:ascii="Lato" w:hAnsi="Lato" w:cstheme="majorHAnsi"/>
                <w:color w:val="000000"/>
                <w:sz w:val="18"/>
                <w:szCs w:val="18"/>
              </w:rPr>
              <w:t>paklitakselu</w:t>
            </w:r>
            <w:proofErr w:type="spellEnd"/>
            <w:r w:rsidRPr="00846834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terapii nowotwór złośliwy odbytu i kanału odbytu (ICD-10 C21).</w:t>
            </w:r>
          </w:p>
          <w:p w14:paraId="0C92C3B5" w14:textId="1D087CEA" w:rsidR="000A6A4A" w:rsidRPr="00846834" w:rsidRDefault="000A6A4A" w:rsidP="000A6A4A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846834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(Wskazanie off-</w:t>
            </w:r>
            <w:proofErr w:type="spellStart"/>
            <w:r w:rsidRPr="00846834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label</w:t>
            </w:r>
            <w:proofErr w:type="spellEnd"/>
            <w:r w:rsidRPr="00846834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</w:tbl>
    <w:p w14:paraId="7FCF9A29" w14:textId="47BB4985" w:rsidR="004D093B" w:rsidRDefault="004D093B">
      <w:pPr>
        <w:suppressAutoHyphens w:val="0"/>
      </w:pPr>
    </w:p>
    <w:p w14:paraId="6001BBB2" w14:textId="77777777" w:rsidR="004762AF" w:rsidRDefault="004762AF">
      <w:pPr>
        <w:suppressAutoHyphens w:val="0"/>
      </w:pP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607"/>
        <w:gridCol w:w="1586"/>
        <w:gridCol w:w="1807"/>
        <w:gridCol w:w="1872"/>
        <w:gridCol w:w="3335"/>
        <w:gridCol w:w="4781"/>
      </w:tblGrid>
      <w:tr w:rsidR="002D6ED9" w:rsidRPr="004D093B" w14:paraId="4C9C4901" w14:textId="77777777" w:rsidTr="00EE5277">
        <w:trPr>
          <w:cantSplit/>
          <w:trHeight w:val="183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390A7" w14:textId="5C4E25DC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Nowe wskazania nieonkologiczne</w:t>
            </w:r>
          </w:p>
        </w:tc>
      </w:tr>
      <w:tr w:rsidR="002D6ED9" w:rsidRPr="004D093B" w14:paraId="1394CD71" w14:textId="77777777" w:rsidTr="00EE5277">
        <w:trPr>
          <w:cantSplit/>
          <w:trHeight w:val="628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979BE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02159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leku</w:t>
            </w:r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C3D6F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Substancja czynna</w:t>
            </w:r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D8698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lekowego/załącznika chemioterapii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142B2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lekowego/ Załącznika chemioterapii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87975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Doprecyzowanie wskazania</w:t>
            </w:r>
          </w:p>
        </w:tc>
      </w:tr>
      <w:tr w:rsidR="005551D5" w:rsidRPr="004D093B" w14:paraId="1AF8AB98" w14:textId="77777777" w:rsidTr="00EE5277">
        <w:trPr>
          <w:cantSplit/>
          <w:trHeight w:val="20"/>
        </w:trPr>
        <w:tc>
          <w:tcPr>
            <w:tcW w:w="2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7C320" w14:textId="4961762F" w:rsidR="005551D5" w:rsidRPr="00EF3A08" w:rsidRDefault="000F5E0B" w:rsidP="005551D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55C18" w14:textId="12997AC5" w:rsidR="005551D5" w:rsidRPr="00EF3A08" w:rsidRDefault="005551D5" w:rsidP="005551D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F3A08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Ozurdex</w:t>
            </w:r>
            <w:proofErr w:type="spellEnd"/>
          </w:p>
        </w:tc>
        <w:tc>
          <w:tcPr>
            <w:tcW w:w="6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AEAC5" w14:textId="60696BD8" w:rsidR="005551D5" w:rsidRPr="00EF3A08" w:rsidRDefault="006636D7" w:rsidP="005551D5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6636D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deksametazon</w:t>
            </w:r>
            <w:proofErr w:type="spellEnd"/>
            <w:r w:rsidRPr="006636D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w postaci implantu </w:t>
            </w:r>
            <w:proofErr w:type="spellStart"/>
            <w:r w:rsidRPr="006636D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doszklistkowego</w:t>
            </w:r>
            <w:proofErr w:type="spellEnd"/>
          </w:p>
        </w:tc>
        <w:tc>
          <w:tcPr>
            <w:tcW w:w="6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D708A" w14:textId="2EAA2872" w:rsidR="005551D5" w:rsidRPr="00EF3A08" w:rsidRDefault="005551D5" w:rsidP="005551D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>B.105</w:t>
            </w: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34A55" w14:textId="3715B3AA" w:rsidR="005551D5" w:rsidRPr="00EF3A08" w:rsidRDefault="001E4A45" w:rsidP="005551D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1E4A45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CHORYCH NA ZAPALENIE BŁONY NACZYNIOWEJ OKA (ZBN) (ICD-10: H20.0, H30.0).</w:t>
            </w:r>
          </w:p>
        </w:tc>
        <w:tc>
          <w:tcPr>
            <w:tcW w:w="1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75D71" w14:textId="7CCF011E" w:rsidR="005551D5" w:rsidRPr="00EF3A08" w:rsidRDefault="005551D5" w:rsidP="005551D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F3A08">
              <w:rPr>
                <w:rFonts w:ascii="Lato" w:hAnsi="Lato" w:cstheme="majorHAnsi"/>
                <w:color w:val="000000"/>
                <w:sz w:val="18"/>
                <w:szCs w:val="18"/>
              </w:rPr>
              <w:t>Leczenie klinicznie znamiennego obrzęku plamki w przebiegu zapalenia błony naczyniowej oka.</w:t>
            </w:r>
          </w:p>
        </w:tc>
      </w:tr>
    </w:tbl>
    <w:p w14:paraId="17160E61" w14:textId="45061D3C" w:rsidR="004D093B" w:rsidRDefault="004D093B">
      <w:pPr>
        <w:rPr>
          <w:rFonts w:ascii="Lato" w:hAnsi="Lato"/>
        </w:rPr>
      </w:pPr>
    </w:p>
    <w:p w14:paraId="169C5300" w14:textId="77777777" w:rsidR="004D093B" w:rsidRDefault="004D093B">
      <w:pPr>
        <w:suppressAutoHyphens w:val="0"/>
        <w:rPr>
          <w:rFonts w:ascii="Lato" w:hAnsi="Lato"/>
        </w:rPr>
      </w:pPr>
      <w:r>
        <w:rPr>
          <w:rFonts w:ascii="Lato" w:hAnsi="Lato"/>
        </w:rPr>
        <w:br w:type="page"/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640"/>
        <w:gridCol w:w="1645"/>
        <w:gridCol w:w="2504"/>
        <w:gridCol w:w="9199"/>
      </w:tblGrid>
      <w:tr w:rsidR="00A434EB" w:rsidRPr="004D093B" w14:paraId="0B833808" w14:textId="77777777" w:rsidTr="004D093B">
        <w:trPr>
          <w:cantSplit/>
          <w:trHeight w:val="20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B9EA6" w14:textId="428F8CF7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lastRenderedPageBreak/>
              <w:t>Zmiany w programach lekowych i chemioterapii</w:t>
            </w:r>
          </w:p>
        </w:tc>
      </w:tr>
      <w:tr w:rsidR="00A434EB" w:rsidRPr="004D093B" w14:paraId="2BCC5E80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385C7" w14:textId="77777777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00381" w14:textId="7E0E9907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 lub numeru załącznika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32808" w14:textId="70920D05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 lub załącznika chemioterapii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38F47" w14:textId="14B18ED3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Krótki opis zmian dokonanych w obrębie programu lekowego / załącznika chemioterapii</w:t>
            </w:r>
          </w:p>
        </w:tc>
      </w:tr>
      <w:tr w:rsidR="005551D5" w:rsidRPr="004D093B" w14:paraId="50DA02B0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E7C88" w14:textId="1E68AEB9" w:rsidR="005551D5" w:rsidRPr="004D093B" w:rsidRDefault="005551D5" w:rsidP="005551D5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C2DB2" w14:textId="72D98A20" w:rsidR="005551D5" w:rsidRPr="005551D5" w:rsidRDefault="005551D5" w:rsidP="005551D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5551D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B.6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1D9A8" w14:textId="1E94D939" w:rsidR="005551D5" w:rsidRPr="004D093B" w:rsidRDefault="005551D5" w:rsidP="005551D5">
            <w:pPr>
              <w:spacing w:before="60" w:after="60" w:line="240" w:lineRule="auto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826C9D">
              <w:rPr>
                <w:rFonts w:ascii="Lato" w:hAnsi="Lato" w:cstheme="majorHAnsi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7F39F" w14:textId="735998D1" w:rsidR="005551D5" w:rsidRPr="004D093B" w:rsidRDefault="005551D5" w:rsidP="005551D5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 xml:space="preserve">Dodano zapisy dotyczące monitorowania wskaźników skuteczności leczenia wykorzystywanego w programie oraz podkreślono brak możliwości uprzedniego leczenia immunoterapią lub </w:t>
            </w:r>
            <w:proofErr w:type="spellStart"/>
            <w:r>
              <w:rPr>
                <w:rFonts w:ascii="Lato" w:hAnsi="Lato" w:cstheme="majorHAnsi"/>
                <w:sz w:val="18"/>
                <w:szCs w:val="18"/>
              </w:rPr>
              <w:t>immunochemioterapią</w:t>
            </w:r>
            <w:proofErr w:type="spellEnd"/>
            <w:r>
              <w:rPr>
                <w:rFonts w:ascii="Lato" w:hAnsi="Lato" w:cstheme="majorHAnsi"/>
                <w:sz w:val="18"/>
                <w:szCs w:val="18"/>
              </w:rPr>
              <w:t xml:space="preserve"> pacjentów kwalifikowanych do leczenia immunoterapią w I linii leczenia NDRP</w:t>
            </w:r>
            <w:r w:rsidR="00946C5F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</w:tr>
      <w:tr w:rsidR="005551D5" w:rsidRPr="004D093B" w14:paraId="67293BB2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B881F" w14:textId="047453AE" w:rsidR="005551D5" w:rsidRPr="004D093B" w:rsidRDefault="000F5E0B" w:rsidP="005551D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1F1AA" w14:textId="1101AA26" w:rsidR="005551D5" w:rsidRPr="005551D5" w:rsidRDefault="005551D5" w:rsidP="005551D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5551D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B.105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0EFE2" w14:textId="074266C9" w:rsidR="005551D5" w:rsidRPr="004D093B" w:rsidRDefault="00EF3A08" w:rsidP="005551D5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sz w:val="18"/>
                <w:szCs w:val="18"/>
                <w:lang w:eastAsia="en-US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CHORYCH NA ZAPALENIE BŁONY NACZYNIOWEJ OKA (ZBN) – CZĘŚCI POŚREDNIEJ, ODCINKA TYLNEGO LUB CAŁEJ BŁONY NACZYNIOWEJ (ICD-10: H20.0, H30.0)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1F15D" w14:textId="77777777" w:rsidR="005551D5" w:rsidRDefault="005551D5" w:rsidP="005551D5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 xml:space="preserve">Wprowadzenie do programu leku </w:t>
            </w:r>
            <w:proofErr w:type="spellStart"/>
            <w:r>
              <w:rPr>
                <w:rFonts w:ascii="Lato" w:hAnsi="Lato" w:cstheme="majorHAnsi"/>
                <w:sz w:val="18"/>
                <w:szCs w:val="18"/>
              </w:rPr>
              <w:t>Ozurdex</w:t>
            </w:r>
            <w:proofErr w:type="spellEnd"/>
            <w:r>
              <w:rPr>
                <w:rFonts w:ascii="Lato" w:hAnsi="Lato" w:cstheme="majorHAnsi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Lato" w:hAnsi="Lato" w:cstheme="majorHAnsi"/>
                <w:sz w:val="18"/>
                <w:szCs w:val="18"/>
              </w:rPr>
              <w:t>dexamethasonum</w:t>
            </w:r>
            <w:proofErr w:type="spellEnd"/>
            <w:r>
              <w:rPr>
                <w:rFonts w:ascii="Lato" w:hAnsi="Lato" w:cstheme="majorHAnsi"/>
                <w:sz w:val="18"/>
                <w:szCs w:val="18"/>
              </w:rPr>
              <w:t>) do leczenia klinicznie znamiennego obrzęku plamki w przebiegu zapalenia błony naczyniowej oka.</w:t>
            </w:r>
          </w:p>
          <w:p w14:paraId="4FCF84DF" w14:textId="686625E3" w:rsidR="005551D5" w:rsidRPr="004D093B" w:rsidRDefault="00CA03C1" w:rsidP="005551D5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Kompleksowa zmiana</w:t>
            </w:r>
            <w:r w:rsidR="005551D5">
              <w:rPr>
                <w:rFonts w:ascii="Lato" w:hAnsi="Lato" w:cstheme="majorHAnsi"/>
                <w:sz w:val="18"/>
                <w:szCs w:val="18"/>
              </w:rPr>
              <w:t xml:space="preserve"> programu lekowego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 B.105 obejmująca swoim zakresem modyfikację zapisów dotyczących kryteriów kwalifikacji, kryteriów wyłączenia z programu, dawkowania oraz badań diagnostycznych i monitorujących skuteczność terapii</w:t>
            </w:r>
            <w:r w:rsidR="00662A0A">
              <w:rPr>
                <w:rFonts w:ascii="Lato" w:hAnsi="Lato" w:cstheme="majorHAnsi"/>
                <w:sz w:val="18"/>
                <w:szCs w:val="18"/>
              </w:rPr>
              <w:t xml:space="preserve"> stosowany w ramach programu</w:t>
            </w:r>
            <w:r w:rsidR="005551D5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</w:tr>
      <w:tr w:rsidR="005551D5" w:rsidRPr="004D093B" w14:paraId="66D571B6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113C4" w14:textId="57DEAE4E" w:rsidR="005551D5" w:rsidRPr="004D093B" w:rsidRDefault="000F5E0B" w:rsidP="005551D5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3.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0310C" w14:textId="083F41AB" w:rsidR="005551D5" w:rsidRPr="005551D5" w:rsidRDefault="005551D5" w:rsidP="005551D5">
            <w:pPr>
              <w:pStyle w:val="Style2"/>
              <w:widowControl/>
              <w:spacing w:after="240" w:line="240" w:lineRule="auto"/>
              <w:jc w:val="center"/>
              <w:rPr>
                <w:rFonts w:ascii="Lato" w:eastAsia="Calibri" w:hAnsi="Lato" w:cstheme="majorHAns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5551D5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B.122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69A50" w14:textId="556C24EE" w:rsidR="005551D5" w:rsidRPr="005551D5" w:rsidRDefault="005551D5" w:rsidP="005551D5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color w:val="000000"/>
                <w:sz w:val="18"/>
                <w:szCs w:val="18"/>
                <w:lang w:eastAsia="en-US"/>
              </w:rPr>
            </w:pPr>
            <w:r w:rsidRPr="005551D5">
              <w:rPr>
                <w:rFonts w:ascii="Lato" w:hAnsi="Lato" w:cstheme="majorHAnsi"/>
                <w:color w:val="000000"/>
                <w:sz w:val="18"/>
                <w:szCs w:val="18"/>
              </w:rPr>
              <w:t>LECZENIE ZAPOBIEGAWCZE CHORYCH Z NAWRACAJĄCYMI NAPADAMI DZIEDZICZNEGO OBRZĘKU NACZYNIORUCHOWEGO O CIĘŻKIM PRZEBIEGU (ICD-10: D 84.1</w:t>
            </w:r>
            <w:r w:rsidR="00946C5F">
              <w:rPr>
                <w:rFonts w:ascii="Lato" w:hAnsi="Lato" w:cstheme="majorHAnsi"/>
                <w:color w:val="000000"/>
                <w:sz w:val="18"/>
                <w:szCs w:val="18"/>
              </w:rPr>
              <w:t>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47FE6" w14:textId="77777777" w:rsidR="00341AAF" w:rsidRDefault="005551D5" w:rsidP="005551D5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5551D5">
              <w:rPr>
                <w:rFonts w:ascii="Lato" w:hAnsi="Lato" w:cstheme="majorHAnsi"/>
                <w:sz w:val="18"/>
                <w:szCs w:val="18"/>
              </w:rPr>
              <w:t xml:space="preserve">Zmiany umożliwiające pacjentom leczenie w warunkach domowych.  </w:t>
            </w:r>
          </w:p>
          <w:p w14:paraId="4C9AB9C4" w14:textId="3E5CC4E4" w:rsidR="005551D5" w:rsidRPr="005551D5" w:rsidRDefault="005551D5" w:rsidP="005551D5">
            <w:pPr>
              <w:suppressAutoHyphens w:val="0"/>
              <w:autoSpaceDE w:val="0"/>
              <w:adjustRightInd w:val="0"/>
              <w:spacing w:before="120" w:after="12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5551D5">
              <w:rPr>
                <w:rFonts w:ascii="Lato" w:hAnsi="Lato" w:cstheme="majorHAnsi"/>
                <w:sz w:val="18"/>
                <w:szCs w:val="18"/>
              </w:rPr>
              <w:t>Dodano zapisy dotyczące monitorowania wskaźników skuteczności i bezpieczeństwa leczenia wykorzystywane w programie.</w:t>
            </w:r>
          </w:p>
        </w:tc>
      </w:tr>
    </w:tbl>
    <w:p w14:paraId="08AE375A" w14:textId="7939F698" w:rsidR="004762AF" w:rsidRDefault="004762AF">
      <w:pPr>
        <w:suppressAutoHyphens w:val="0"/>
        <w:rPr>
          <w:rFonts w:ascii="Lato" w:hAnsi="Lato"/>
          <w:b/>
          <w:bCs/>
          <w:color w:val="00B0F0"/>
          <w:sz w:val="28"/>
          <w:szCs w:val="28"/>
        </w:rPr>
      </w:pPr>
    </w:p>
    <w:p w14:paraId="3FB617C9" w14:textId="77777777" w:rsidR="004762AF" w:rsidRDefault="004762AF">
      <w:pPr>
        <w:suppressAutoHyphens w:val="0"/>
        <w:rPr>
          <w:rFonts w:ascii="Lato" w:hAnsi="Lato"/>
          <w:b/>
          <w:bCs/>
          <w:color w:val="00B0F0"/>
          <w:sz w:val="28"/>
          <w:szCs w:val="28"/>
        </w:rPr>
      </w:pPr>
      <w:r>
        <w:rPr>
          <w:rFonts w:ascii="Lato" w:hAnsi="Lato"/>
          <w:b/>
          <w:bCs/>
          <w:color w:val="00B0F0"/>
          <w:sz w:val="28"/>
          <w:szCs w:val="28"/>
        </w:rPr>
        <w:br w:type="page"/>
      </w:r>
    </w:p>
    <w:p w14:paraId="703841AA" w14:textId="36DADBCA" w:rsidR="0056748F" w:rsidRPr="004D093B" w:rsidRDefault="0056748F" w:rsidP="0056748F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bookmarkStart w:id="1" w:name="_Hlk90283710"/>
      <w:r w:rsidRPr="004D093B">
        <w:rPr>
          <w:rFonts w:ascii="Lato" w:hAnsi="Lato"/>
          <w:b/>
          <w:bCs/>
          <w:color w:val="00B0F0"/>
          <w:sz w:val="28"/>
          <w:szCs w:val="28"/>
        </w:rPr>
        <w:lastRenderedPageBreak/>
        <w:t>NOWE WSKAZANIA ORAZ ZMIANY W REFUNDACJI APTECZNEJ</w:t>
      </w:r>
    </w:p>
    <w:tbl>
      <w:tblPr>
        <w:tblW w:w="5000" w:type="pct"/>
        <w:tblCellMar>
          <w:top w:w="57" w:type="dxa"/>
          <w:left w:w="10" w:type="dxa"/>
          <w:bottom w:w="57" w:type="dxa"/>
          <w:right w:w="10" w:type="dxa"/>
        </w:tblCellMar>
        <w:tblLook w:val="0000" w:firstRow="0" w:lastRow="0" w:firstColumn="0" w:lastColumn="0" w:noHBand="0" w:noVBand="0"/>
      </w:tblPr>
      <w:tblGrid>
        <w:gridCol w:w="691"/>
        <w:gridCol w:w="2412"/>
        <w:gridCol w:w="1838"/>
        <w:gridCol w:w="5399"/>
        <w:gridCol w:w="3648"/>
      </w:tblGrid>
      <w:tr w:rsidR="00AD08C5" w:rsidRPr="004D093B" w14:paraId="2CD1B9F9" w14:textId="77777777" w:rsidTr="00294265">
        <w:trPr>
          <w:cantSplit/>
          <w:trHeight w:val="549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1"/>
          <w:p w14:paraId="05E7E891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Apteka</w:t>
            </w:r>
          </w:p>
        </w:tc>
      </w:tr>
      <w:tr w:rsidR="00AD08C5" w:rsidRPr="004D093B" w14:paraId="7C1774EA" w14:textId="77777777" w:rsidTr="00294265">
        <w:trPr>
          <w:cantSplit/>
          <w:trHeight w:val="328"/>
        </w:trPr>
        <w:tc>
          <w:tcPr>
            <w:tcW w:w="5000" w:type="pct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86140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Nowe wskazania refundacyjne</w:t>
            </w:r>
          </w:p>
        </w:tc>
      </w:tr>
      <w:tr w:rsidR="0056748F" w:rsidRPr="004D093B" w14:paraId="7D53B9E1" w14:textId="77777777" w:rsidTr="00294265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D3CB4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Lp.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E9D6E" w14:textId="70C49D87" w:rsidR="00AD08C5" w:rsidRPr="004D093B" w:rsidRDefault="00A118F0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 xml:space="preserve">Nazwa leku, środka spożywczego specjalnego przeznaczenia lub wyrobu </w:t>
            </w:r>
            <w:r w:rsidRPr="004D093B">
              <w:rPr>
                <w:rFonts w:ascii="Lato" w:hAnsi="Lato" w:cstheme="majorHAnsi"/>
                <w:b/>
                <w:bCs/>
                <w:sz w:val="19"/>
                <w:szCs w:val="19"/>
              </w:rPr>
              <w:t>medycznego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A6F35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Substancja czynna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933D3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Wskazanie refundacyjne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5EAF7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Doprecyzowanie wskazania</w:t>
            </w:r>
          </w:p>
        </w:tc>
      </w:tr>
      <w:tr w:rsidR="00294265" w:rsidRPr="004D093B" w14:paraId="3E62A70D" w14:textId="77777777" w:rsidTr="00294265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ED6C4" w14:textId="22D113FB" w:rsidR="00294265" w:rsidRPr="004D093B" w:rsidRDefault="00294265" w:rsidP="008373B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1D194" w14:textId="53D230AD" w:rsidR="00294265" w:rsidRPr="004D093B" w:rsidRDefault="00294265" w:rsidP="008373B1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B58C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Fostex</w:t>
            </w:r>
            <w:proofErr w:type="spellEnd"/>
            <w:r w:rsidRPr="00DB58C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B58C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Nexthaler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1F354" w14:textId="0846A209" w:rsidR="00294265" w:rsidRPr="004D093B" w:rsidRDefault="00294265" w:rsidP="008373B1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DB58C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beklometazonu</w:t>
            </w:r>
            <w:proofErr w:type="spellEnd"/>
            <w:r w:rsidRPr="00DB58C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B58C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dipropionian</w:t>
            </w:r>
            <w:proofErr w:type="spellEnd"/>
            <w:r w:rsidRPr="00DB58C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i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B58C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formoterolu</w:t>
            </w:r>
            <w:proofErr w:type="spellEnd"/>
            <w:r w:rsidRPr="00DB58C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B58C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fumaran</w:t>
            </w:r>
            <w:proofErr w:type="spellEnd"/>
            <w:r w:rsidRPr="00DB58C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dwuwodn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y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04558" w14:textId="77777777" w:rsidR="00E34E3C" w:rsidRDefault="00294265" w:rsidP="008373B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B58C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Przewlekła obturacyjna choroba płuc, </w:t>
            </w:r>
          </w:p>
          <w:p w14:paraId="0440D22F" w14:textId="1F07AC0E" w:rsidR="00294265" w:rsidRPr="004D093B" w:rsidRDefault="00294265" w:rsidP="008373B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  <w:r w:rsidRPr="00DB58C7">
              <w:rPr>
                <w:rFonts w:ascii="Lato" w:hAnsi="Lato" w:cstheme="majorHAnsi"/>
                <w:color w:val="000000"/>
                <w:sz w:val="18"/>
                <w:szCs w:val="18"/>
              </w:rPr>
              <w:t>Astma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C0182" w14:textId="417BAF94" w:rsidR="00294265" w:rsidRPr="004D093B" w:rsidRDefault="00294265" w:rsidP="008373B1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Nowy</w:t>
            </w:r>
            <w:r w:rsidR="000263FB">
              <w:rPr>
                <w:rFonts w:ascii="Lato" w:hAnsi="Lato" w:cstheme="majorHAnsi"/>
                <w:color w:val="000000"/>
                <w:sz w:val="18"/>
                <w:szCs w:val="18"/>
              </w:rPr>
              <w:t>, dwuskładnikowy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produkt leczniczy w postaci proszku do inhalacji z inhalatorem proszkowym DPI</w:t>
            </w:r>
            <w:r w:rsidR="000263FB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</w:tbl>
    <w:p w14:paraId="6B996492" w14:textId="0986F7C0" w:rsidR="009D10B8" w:rsidRDefault="009D10B8" w:rsidP="0068046C">
      <w:pPr>
        <w:suppressAutoHyphens w:val="0"/>
        <w:rPr>
          <w:rFonts w:ascii="Lato" w:hAnsi="Lato"/>
          <w:b/>
          <w:bCs/>
          <w:color w:val="00B0F0"/>
        </w:rPr>
      </w:pPr>
    </w:p>
    <w:sectPr w:rsidR="009D10B8" w:rsidSect="005058F2">
      <w:headerReference w:type="first" r:id="rId11"/>
      <w:pgSz w:w="16838" w:h="11906" w:orient="landscape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30F77" w14:textId="77777777" w:rsidR="0085698B" w:rsidRDefault="0085698B">
      <w:pPr>
        <w:spacing w:after="0" w:line="240" w:lineRule="auto"/>
      </w:pPr>
      <w:r>
        <w:separator/>
      </w:r>
    </w:p>
  </w:endnote>
  <w:endnote w:type="continuationSeparator" w:id="0">
    <w:p w14:paraId="1B0EC977" w14:textId="77777777" w:rsidR="0085698B" w:rsidRDefault="00856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E8C0E" w14:textId="77777777" w:rsidR="0085698B" w:rsidRDefault="0085698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48680C8" w14:textId="77777777" w:rsidR="0085698B" w:rsidRDefault="008569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F36CF" w14:textId="4633511D" w:rsidR="005058F2" w:rsidRDefault="00143D0B">
    <w:pPr>
      <w:pStyle w:val="Nagwek"/>
    </w:pPr>
    <w:bookmarkStart w:id="2" w:name="_Hlk74147372"/>
    <w:bookmarkEnd w:id="2"/>
    <w:r>
      <w:rPr>
        <w:noProof/>
        <w:lang w:eastAsia="pl-PL"/>
      </w:rPr>
      <w:drawing>
        <wp:inline distT="0" distB="0" distL="0" distR="0" wp14:anchorId="39BB8D04" wp14:editId="6B1DB73B">
          <wp:extent cx="2381885" cy="106172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8188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65479"/>
    <w:multiLevelType w:val="multilevel"/>
    <w:tmpl w:val="887C739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1" w15:restartNumberingAfterBreak="0">
    <w:nsid w:val="0C3163CA"/>
    <w:multiLevelType w:val="hybridMultilevel"/>
    <w:tmpl w:val="0DE0BC64"/>
    <w:lvl w:ilvl="0" w:tplc="CEC4EFEE">
      <w:start w:val="1"/>
      <w:numFmt w:val="bullet"/>
      <w:lvlText w:val="•"/>
      <w:lvlJc w:val="left"/>
      <w:pPr>
        <w:ind w:left="1049" w:firstLine="227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" w15:restartNumberingAfterBreak="0">
    <w:nsid w:val="0D2743CD"/>
    <w:multiLevelType w:val="hybridMultilevel"/>
    <w:tmpl w:val="C2FA7544"/>
    <w:lvl w:ilvl="0" w:tplc="04150001">
      <w:start w:val="1"/>
      <w:numFmt w:val="bullet"/>
      <w:lvlText w:val=""/>
      <w:lvlJc w:val="left"/>
      <w:pPr>
        <w:ind w:left="-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47" w:hanging="360"/>
      </w:pPr>
      <w:rPr>
        <w:rFonts w:ascii="Wingdings" w:hAnsi="Wingdings" w:hint="default"/>
      </w:rPr>
    </w:lvl>
  </w:abstractNum>
  <w:abstractNum w:abstractNumId="3" w15:restartNumberingAfterBreak="0">
    <w:nsid w:val="0E7A14F3"/>
    <w:multiLevelType w:val="multilevel"/>
    <w:tmpl w:val="887C739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4" w15:restartNumberingAfterBreak="0">
    <w:nsid w:val="14FE0EDD"/>
    <w:multiLevelType w:val="hybridMultilevel"/>
    <w:tmpl w:val="AD006D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0F2875"/>
    <w:multiLevelType w:val="hybridMultilevel"/>
    <w:tmpl w:val="1EC49BCA"/>
    <w:lvl w:ilvl="0" w:tplc="5A3E6A7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E83431"/>
    <w:multiLevelType w:val="hybridMultilevel"/>
    <w:tmpl w:val="ABB6E3FC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42910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757CAC"/>
    <w:multiLevelType w:val="multilevel"/>
    <w:tmpl w:val="0A84EA68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  <w:b w:val="0"/>
        <w:bCs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9" w15:restartNumberingAfterBreak="0">
    <w:nsid w:val="1B8161C1"/>
    <w:multiLevelType w:val="multilevel"/>
    <w:tmpl w:val="887C739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10" w15:restartNumberingAfterBreak="0">
    <w:nsid w:val="1E346ADB"/>
    <w:multiLevelType w:val="multilevel"/>
    <w:tmpl w:val="887C739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11" w15:restartNumberingAfterBreak="0">
    <w:nsid w:val="2886626E"/>
    <w:multiLevelType w:val="multilevel"/>
    <w:tmpl w:val="887C739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12" w15:restartNumberingAfterBreak="0">
    <w:nsid w:val="2BF91E53"/>
    <w:multiLevelType w:val="hybridMultilevel"/>
    <w:tmpl w:val="E0781596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4F3043"/>
    <w:multiLevelType w:val="hybridMultilevel"/>
    <w:tmpl w:val="7F041AF0"/>
    <w:lvl w:ilvl="0" w:tplc="07E64A30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0" w:hanging="360"/>
      </w:pPr>
    </w:lvl>
    <w:lvl w:ilvl="2" w:tplc="0415001B" w:tentative="1">
      <w:start w:val="1"/>
      <w:numFmt w:val="lowerRoman"/>
      <w:lvlText w:val="%3."/>
      <w:lvlJc w:val="right"/>
      <w:pPr>
        <w:ind w:left="1850" w:hanging="180"/>
      </w:pPr>
    </w:lvl>
    <w:lvl w:ilvl="3" w:tplc="0415000F" w:tentative="1">
      <w:start w:val="1"/>
      <w:numFmt w:val="decimal"/>
      <w:lvlText w:val="%4."/>
      <w:lvlJc w:val="left"/>
      <w:pPr>
        <w:ind w:left="2570" w:hanging="360"/>
      </w:pPr>
    </w:lvl>
    <w:lvl w:ilvl="4" w:tplc="04150019" w:tentative="1">
      <w:start w:val="1"/>
      <w:numFmt w:val="lowerLetter"/>
      <w:lvlText w:val="%5."/>
      <w:lvlJc w:val="left"/>
      <w:pPr>
        <w:ind w:left="3290" w:hanging="360"/>
      </w:pPr>
    </w:lvl>
    <w:lvl w:ilvl="5" w:tplc="0415001B" w:tentative="1">
      <w:start w:val="1"/>
      <w:numFmt w:val="lowerRoman"/>
      <w:lvlText w:val="%6."/>
      <w:lvlJc w:val="right"/>
      <w:pPr>
        <w:ind w:left="4010" w:hanging="180"/>
      </w:pPr>
    </w:lvl>
    <w:lvl w:ilvl="6" w:tplc="0415000F" w:tentative="1">
      <w:start w:val="1"/>
      <w:numFmt w:val="decimal"/>
      <w:lvlText w:val="%7."/>
      <w:lvlJc w:val="left"/>
      <w:pPr>
        <w:ind w:left="4730" w:hanging="360"/>
      </w:pPr>
    </w:lvl>
    <w:lvl w:ilvl="7" w:tplc="04150019" w:tentative="1">
      <w:start w:val="1"/>
      <w:numFmt w:val="lowerLetter"/>
      <w:lvlText w:val="%8."/>
      <w:lvlJc w:val="left"/>
      <w:pPr>
        <w:ind w:left="5450" w:hanging="360"/>
      </w:pPr>
    </w:lvl>
    <w:lvl w:ilvl="8" w:tplc="0415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4" w15:restartNumberingAfterBreak="0">
    <w:nsid w:val="393F60CD"/>
    <w:multiLevelType w:val="hybridMultilevel"/>
    <w:tmpl w:val="75800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E0B82"/>
    <w:multiLevelType w:val="hybridMultilevel"/>
    <w:tmpl w:val="386CF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3C6885"/>
    <w:multiLevelType w:val="hybridMultilevel"/>
    <w:tmpl w:val="0B8EC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340582"/>
    <w:multiLevelType w:val="hybridMultilevel"/>
    <w:tmpl w:val="19703E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1076C3"/>
    <w:multiLevelType w:val="hybridMultilevel"/>
    <w:tmpl w:val="ED3224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5F6E8B"/>
    <w:multiLevelType w:val="multilevel"/>
    <w:tmpl w:val="C32AD0A0"/>
    <w:lvl w:ilvl="0">
      <w:start w:val="1"/>
      <w:numFmt w:val="decimal"/>
      <w:suff w:val="space"/>
      <w:lvlText w:val="%1."/>
      <w:lvlJc w:val="left"/>
      <w:pPr>
        <w:ind w:left="227" w:hanging="227"/>
      </w:pPr>
      <w:rPr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b w:val="0"/>
        <w:bCs/>
        <w:strike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</w:lvl>
    <w:lvl w:ilvl="7">
      <w:start w:val="1"/>
      <w:numFmt w:val="decimal"/>
      <w:lvlText w:val="%1.%2.%3.%4.%5.%6.%7.%8."/>
      <w:lvlJc w:val="left"/>
      <w:pPr>
        <w:ind w:left="3950" w:hanging="1224"/>
      </w:pPr>
    </w:lvl>
    <w:lvl w:ilvl="8">
      <w:start w:val="1"/>
      <w:numFmt w:val="decimal"/>
      <w:lvlText w:val="%1.%2.%3.%4.%5.%6.%7.%8.%9."/>
      <w:lvlJc w:val="left"/>
      <w:pPr>
        <w:ind w:left="4526" w:hanging="1440"/>
      </w:pPr>
    </w:lvl>
  </w:abstractNum>
  <w:abstractNum w:abstractNumId="20" w15:restartNumberingAfterBreak="0">
    <w:nsid w:val="4EBA728E"/>
    <w:multiLevelType w:val="hybridMultilevel"/>
    <w:tmpl w:val="1748AC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072792B"/>
    <w:multiLevelType w:val="hybridMultilevel"/>
    <w:tmpl w:val="75AA86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BB03E5C"/>
    <w:multiLevelType w:val="hybridMultilevel"/>
    <w:tmpl w:val="FF32B6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FF5C7F"/>
    <w:multiLevelType w:val="hybridMultilevel"/>
    <w:tmpl w:val="5AF27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3F0D0B"/>
    <w:multiLevelType w:val="hybridMultilevel"/>
    <w:tmpl w:val="3A2E6C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594C8D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324C5B"/>
    <w:multiLevelType w:val="hybridMultilevel"/>
    <w:tmpl w:val="01F6A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068946">
    <w:abstractNumId w:val="7"/>
  </w:num>
  <w:num w:numId="2" w16cid:durableId="983047750">
    <w:abstractNumId w:val="5"/>
  </w:num>
  <w:num w:numId="3" w16cid:durableId="912206815">
    <w:abstractNumId w:val="8"/>
  </w:num>
  <w:num w:numId="4" w16cid:durableId="191924158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3262071">
    <w:abstractNumId w:val="25"/>
  </w:num>
  <w:num w:numId="6" w16cid:durableId="1164782895">
    <w:abstractNumId w:val="6"/>
  </w:num>
  <w:num w:numId="7" w16cid:durableId="1764568987">
    <w:abstractNumId w:val="12"/>
  </w:num>
  <w:num w:numId="8" w16cid:durableId="1605840971">
    <w:abstractNumId w:val="13"/>
  </w:num>
  <w:num w:numId="9" w16cid:durableId="969629549">
    <w:abstractNumId w:val="23"/>
  </w:num>
  <w:num w:numId="10" w16cid:durableId="1576276737">
    <w:abstractNumId w:val="2"/>
  </w:num>
  <w:num w:numId="11" w16cid:durableId="409036424">
    <w:abstractNumId w:val="26"/>
  </w:num>
  <w:num w:numId="12" w16cid:durableId="1526747669">
    <w:abstractNumId w:val="4"/>
  </w:num>
  <w:num w:numId="13" w16cid:durableId="1746950255">
    <w:abstractNumId w:val="14"/>
  </w:num>
  <w:num w:numId="14" w16cid:durableId="329715522">
    <w:abstractNumId w:val="16"/>
  </w:num>
  <w:num w:numId="15" w16cid:durableId="1837842867">
    <w:abstractNumId w:val="15"/>
  </w:num>
  <w:num w:numId="16" w16cid:durableId="1970238000">
    <w:abstractNumId w:val="24"/>
  </w:num>
  <w:num w:numId="17" w16cid:durableId="485172914">
    <w:abstractNumId w:val="19"/>
  </w:num>
  <w:num w:numId="18" w16cid:durableId="338780148">
    <w:abstractNumId w:val="10"/>
  </w:num>
  <w:num w:numId="19" w16cid:durableId="1977641737">
    <w:abstractNumId w:val="2"/>
  </w:num>
  <w:num w:numId="20" w16cid:durableId="1099830501">
    <w:abstractNumId w:val="1"/>
  </w:num>
  <w:num w:numId="21" w16cid:durableId="1796680411">
    <w:abstractNumId w:val="21"/>
  </w:num>
  <w:num w:numId="22" w16cid:durableId="1157845039">
    <w:abstractNumId w:val="20"/>
  </w:num>
  <w:num w:numId="23" w16cid:durableId="1318220489">
    <w:abstractNumId w:val="17"/>
  </w:num>
  <w:num w:numId="24" w16cid:durableId="791442922">
    <w:abstractNumId w:val="22"/>
  </w:num>
  <w:num w:numId="25" w16cid:durableId="493031844">
    <w:abstractNumId w:val="0"/>
  </w:num>
  <w:num w:numId="26" w16cid:durableId="2001806445">
    <w:abstractNumId w:val="9"/>
  </w:num>
  <w:num w:numId="27" w16cid:durableId="267157109">
    <w:abstractNumId w:val="11"/>
  </w:num>
  <w:num w:numId="28" w16cid:durableId="542986621">
    <w:abstractNumId w:val="3"/>
  </w:num>
  <w:num w:numId="29" w16cid:durableId="666528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8C5"/>
    <w:rsid w:val="00006AE8"/>
    <w:rsid w:val="000263FB"/>
    <w:rsid w:val="00031E9F"/>
    <w:rsid w:val="00033ED5"/>
    <w:rsid w:val="0004009C"/>
    <w:rsid w:val="0005011B"/>
    <w:rsid w:val="00052E44"/>
    <w:rsid w:val="000702E4"/>
    <w:rsid w:val="00070A13"/>
    <w:rsid w:val="00070A89"/>
    <w:rsid w:val="00080C23"/>
    <w:rsid w:val="0008118E"/>
    <w:rsid w:val="00086074"/>
    <w:rsid w:val="0009112E"/>
    <w:rsid w:val="00094F94"/>
    <w:rsid w:val="00097B17"/>
    <w:rsid w:val="000A4576"/>
    <w:rsid w:val="000A688D"/>
    <w:rsid w:val="000A6A4A"/>
    <w:rsid w:val="000A6B96"/>
    <w:rsid w:val="000B21F0"/>
    <w:rsid w:val="000B32C4"/>
    <w:rsid w:val="000B7075"/>
    <w:rsid w:val="000D02C0"/>
    <w:rsid w:val="000D2FED"/>
    <w:rsid w:val="000E06C3"/>
    <w:rsid w:val="000E3BBE"/>
    <w:rsid w:val="000E649C"/>
    <w:rsid w:val="000F077F"/>
    <w:rsid w:val="000F3ED2"/>
    <w:rsid w:val="000F5E0B"/>
    <w:rsid w:val="000F5E24"/>
    <w:rsid w:val="001030B2"/>
    <w:rsid w:val="0011293D"/>
    <w:rsid w:val="001204EA"/>
    <w:rsid w:val="0014120D"/>
    <w:rsid w:val="00143D0B"/>
    <w:rsid w:val="00144B55"/>
    <w:rsid w:val="00155C8E"/>
    <w:rsid w:val="00161605"/>
    <w:rsid w:val="00170D7F"/>
    <w:rsid w:val="00172790"/>
    <w:rsid w:val="00173D8E"/>
    <w:rsid w:val="00180F5C"/>
    <w:rsid w:val="00186CB7"/>
    <w:rsid w:val="00190358"/>
    <w:rsid w:val="001933DE"/>
    <w:rsid w:val="00194CB4"/>
    <w:rsid w:val="00197FA2"/>
    <w:rsid w:val="001A1A5B"/>
    <w:rsid w:val="001A7E82"/>
    <w:rsid w:val="001B0859"/>
    <w:rsid w:val="001B354B"/>
    <w:rsid w:val="001B440C"/>
    <w:rsid w:val="001B7475"/>
    <w:rsid w:val="001D6485"/>
    <w:rsid w:val="001E0A40"/>
    <w:rsid w:val="001E2320"/>
    <w:rsid w:val="001E4A45"/>
    <w:rsid w:val="001E610A"/>
    <w:rsid w:val="001E721F"/>
    <w:rsid w:val="00205C55"/>
    <w:rsid w:val="00206C0B"/>
    <w:rsid w:val="00221A2A"/>
    <w:rsid w:val="002270E2"/>
    <w:rsid w:val="00230BB7"/>
    <w:rsid w:val="002358AA"/>
    <w:rsid w:val="0024697E"/>
    <w:rsid w:val="00255E53"/>
    <w:rsid w:val="00275115"/>
    <w:rsid w:val="00280311"/>
    <w:rsid w:val="00281BE7"/>
    <w:rsid w:val="00286651"/>
    <w:rsid w:val="00287196"/>
    <w:rsid w:val="0029287B"/>
    <w:rsid w:val="0029403F"/>
    <w:rsid w:val="00294265"/>
    <w:rsid w:val="002C0340"/>
    <w:rsid w:val="002C19DE"/>
    <w:rsid w:val="002D22F9"/>
    <w:rsid w:val="002D55B8"/>
    <w:rsid w:val="002D6ED9"/>
    <w:rsid w:val="002E46AC"/>
    <w:rsid w:val="002F0FB2"/>
    <w:rsid w:val="002F61E3"/>
    <w:rsid w:val="003051DF"/>
    <w:rsid w:val="00306B1C"/>
    <w:rsid w:val="0031104C"/>
    <w:rsid w:val="003130CA"/>
    <w:rsid w:val="00326537"/>
    <w:rsid w:val="003357D9"/>
    <w:rsid w:val="00337B00"/>
    <w:rsid w:val="00341AAF"/>
    <w:rsid w:val="00350CC6"/>
    <w:rsid w:val="00352A2A"/>
    <w:rsid w:val="003533DE"/>
    <w:rsid w:val="00355899"/>
    <w:rsid w:val="00356E75"/>
    <w:rsid w:val="0035733E"/>
    <w:rsid w:val="00374DBE"/>
    <w:rsid w:val="0037704D"/>
    <w:rsid w:val="0037714E"/>
    <w:rsid w:val="003841AB"/>
    <w:rsid w:val="00387B03"/>
    <w:rsid w:val="003935E8"/>
    <w:rsid w:val="003975D4"/>
    <w:rsid w:val="003A0F16"/>
    <w:rsid w:val="003A5B7D"/>
    <w:rsid w:val="003A6433"/>
    <w:rsid w:val="003B46BF"/>
    <w:rsid w:val="003C7B2E"/>
    <w:rsid w:val="003D2AE2"/>
    <w:rsid w:val="003D71C6"/>
    <w:rsid w:val="003E7973"/>
    <w:rsid w:val="003F072E"/>
    <w:rsid w:val="00404F9B"/>
    <w:rsid w:val="00411C64"/>
    <w:rsid w:val="004156E6"/>
    <w:rsid w:val="00415707"/>
    <w:rsid w:val="00416F70"/>
    <w:rsid w:val="0041703B"/>
    <w:rsid w:val="0042390D"/>
    <w:rsid w:val="004403B4"/>
    <w:rsid w:val="00446466"/>
    <w:rsid w:val="00447CE9"/>
    <w:rsid w:val="004509A0"/>
    <w:rsid w:val="00453B55"/>
    <w:rsid w:val="00457779"/>
    <w:rsid w:val="00462C37"/>
    <w:rsid w:val="00466FE8"/>
    <w:rsid w:val="004744CD"/>
    <w:rsid w:val="004762AF"/>
    <w:rsid w:val="0048011A"/>
    <w:rsid w:val="004850DC"/>
    <w:rsid w:val="00490715"/>
    <w:rsid w:val="00491267"/>
    <w:rsid w:val="00491300"/>
    <w:rsid w:val="00492285"/>
    <w:rsid w:val="004A2F20"/>
    <w:rsid w:val="004A2F45"/>
    <w:rsid w:val="004A5135"/>
    <w:rsid w:val="004B04D9"/>
    <w:rsid w:val="004B2F38"/>
    <w:rsid w:val="004C35E7"/>
    <w:rsid w:val="004D093B"/>
    <w:rsid w:val="004D2191"/>
    <w:rsid w:val="004D7DDC"/>
    <w:rsid w:val="004E4723"/>
    <w:rsid w:val="004F3FEF"/>
    <w:rsid w:val="005058F2"/>
    <w:rsid w:val="00512C38"/>
    <w:rsid w:val="00512C7C"/>
    <w:rsid w:val="005130EF"/>
    <w:rsid w:val="005143E4"/>
    <w:rsid w:val="0055182D"/>
    <w:rsid w:val="005551D5"/>
    <w:rsid w:val="0056748F"/>
    <w:rsid w:val="00574D83"/>
    <w:rsid w:val="005871C9"/>
    <w:rsid w:val="005B06B3"/>
    <w:rsid w:val="005B598A"/>
    <w:rsid w:val="005C1959"/>
    <w:rsid w:val="005C499F"/>
    <w:rsid w:val="005C608D"/>
    <w:rsid w:val="005C641F"/>
    <w:rsid w:val="005C6551"/>
    <w:rsid w:val="005D269A"/>
    <w:rsid w:val="005D3140"/>
    <w:rsid w:val="005D5D31"/>
    <w:rsid w:val="005E3DB9"/>
    <w:rsid w:val="005E4CF5"/>
    <w:rsid w:val="005E7898"/>
    <w:rsid w:val="005F70FE"/>
    <w:rsid w:val="006006C8"/>
    <w:rsid w:val="006008CD"/>
    <w:rsid w:val="00633806"/>
    <w:rsid w:val="00633883"/>
    <w:rsid w:val="00634434"/>
    <w:rsid w:val="0064109C"/>
    <w:rsid w:val="0064487F"/>
    <w:rsid w:val="00662A0A"/>
    <w:rsid w:val="006636D7"/>
    <w:rsid w:val="006648F3"/>
    <w:rsid w:val="00670C14"/>
    <w:rsid w:val="0068046C"/>
    <w:rsid w:val="00680B0E"/>
    <w:rsid w:val="00687B5F"/>
    <w:rsid w:val="00687E5A"/>
    <w:rsid w:val="006905E7"/>
    <w:rsid w:val="006967BC"/>
    <w:rsid w:val="006A03EB"/>
    <w:rsid w:val="006A533F"/>
    <w:rsid w:val="006A7DCE"/>
    <w:rsid w:val="006B1374"/>
    <w:rsid w:val="006C1B62"/>
    <w:rsid w:val="006C452F"/>
    <w:rsid w:val="006C4ED5"/>
    <w:rsid w:val="006D0466"/>
    <w:rsid w:val="006D079B"/>
    <w:rsid w:val="006D183E"/>
    <w:rsid w:val="006D336E"/>
    <w:rsid w:val="006D7964"/>
    <w:rsid w:val="006E7D46"/>
    <w:rsid w:val="006F498A"/>
    <w:rsid w:val="006F5BEB"/>
    <w:rsid w:val="00702FCA"/>
    <w:rsid w:val="007135A8"/>
    <w:rsid w:val="00714B9D"/>
    <w:rsid w:val="007156F6"/>
    <w:rsid w:val="00715B91"/>
    <w:rsid w:val="007321D8"/>
    <w:rsid w:val="00733AF9"/>
    <w:rsid w:val="00734732"/>
    <w:rsid w:val="00740ABA"/>
    <w:rsid w:val="0074295D"/>
    <w:rsid w:val="00755E27"/>
    <w:rsid w:val="0078723A"/>
    <w:rsid w:val="00797762"/>
    <w:rsid w:val="007A4FB5"/>
    <w:rsid w:val="007B043E"/>
    <w:rsid w:val="007C4332"/>
    <w:rsid w:val="007C4C95"/>
    <w:rsid w:val="007D0493"/>
    <w:rsid w:val="007D1551"/>
    <w:rsid w:val="007D273D"/>
    <w:rsid w:val="007D6A3A"/>
    <w:rsid w:val="007D6B6F"/>
    <w:rsid w:val="007D74E2"/>
    <w:rsid w:val="007E6483"/>
    <w:rsid w:val="007F016E"/>
    <w:rsid w:val="008008F6"/>
    <w:rsid w:val="008017A7"/>
    <w:rsid w:val="00823875"/>
    <w:rsid w:val="00827817"/>
    <w:rsid w:val="00827986"/>
    <w:rsid w:val="008279BD"/>
    <w:rsid w:val="008373B1"/>
    <w:rsid w:val="00837FA6"/>
    <w:rsid w:val="0084154E"/>
    <w:rsid w:val="00843352"/>
    <w:rsid w:val="00844624"/>
    <w:rsid w:val="008462C0"/>
    <w:rsid w:val="00846834"/>
    <w:rsid w:val="0085698B"/>
    <w:rsid w:val="0087118E"/>
    <w:rsid w:val="008771C8"/>
    <w:rsid w:val="00882DCA"/>
    <w:rsid w:val="0088727A"/>
    <w:rsid w:val="00896D35"/>
    <w:rsid w:val="008B00C4"/>
    <w:rsid w:val="008B1EB7"/>
    <w:rsid w:val="008B43B0"/>
    <w:rsid w:val="008C0493"/>
    <w:rsid w:val="008C0E92"/>
    <w:rsid w:val="008D45C3"/>
    <w:rsid w:val="008E18D7"/>
    <w:rsid w:val="008E33C7"/>
    <w:rsid w:val="008F1D35"/>
    <w:rsid w:val="009066C7"/>
    <w:rsid w:val="0092216D"/>
    <w:rsid w:val="00933339"/>
    <w:rsid w:val="00946C5F"/>
    <w:rsid w:val="00953B84"/>
    <w:rsid w:val="00982754"/>
    <w:rsid w:val="009943F4"/>
    <w:rsid w:val="00995FDD"/>
    <w:rsid w:val="00996389"/>
    <w:rsid w:val="009A2234"/>
    <w:rsid w:val="009A6D46"/>
    <w:rsid w:val="009B2F99"/>
    <w:rsid w:val="009B7A4D"/>
    <w:rsid w:val="009C573D"/>
    <w:rsid w:val="009D10B8"/>
    <w:rsid w:val="009D185F"/>
    <w:rsid w:val="009D43CC"/>
    <w:rsid w:val="009E2331"/>
    <w:rsid w:val="009E79D5"/>
    <w:rsid w:val="009F1561"/>
    <w:rsid w:val="009F413F"/>
    <w:rsid w:val="009F550A"/>
    <w:rsid w:val="009F7497"/>
    <w:rsid w:val="00A01F60"/>
    <w:rsid w:val="00A118F0"/>
    <w:rsid w:val="00A122C2"/>
    <w:rsid w:val="00A159DA"/>
    <w:rsid w:val="00A22494"/>
    <w:rsid w:val="00A22A7B"/>
    <w:rsid w:val="00A242D8"/>
    <w:rsid w:val="00A434EB"/>
    <w:rsid w:val="00A515CA"/>
    <w:rsid w:val="00A5351C"/>
    <w:rsid w:val="00A54C06"/>
    <w:rsid w:val="00A633F0"/>
    <w:rsid w:val="00A6481E"/>
    <w:rsid w:val="00A66140"/>
    <w:rsid w:val="00A66626"/>
    <w:rsid w:val="00A7064A"/>
    <w:rsid w:val="00A7345A"/>
    <w:rsid w:val="00A75027"/>
    <w:rsid w:val="00A8700E"/>
    <w:rsid w:val="00A90397"/>
    <w:rsid w:val="00A90CB0"/>
    <w:rsid w:val="00A9374D"/>
    <w:rsid w:val="00A94461"/>
    <w:rsid w:val="00A960EA"/>
    <w:rsid w:val="00AA4608"/>
    <w:rsid w:val="00AA4A6A"/>
    <w:rsid w:val="00AA6179"/>
    <w:rsid w:val="00AB1235"/>
    <w:rsid w:val="00AB2D5E"/>
    <w:rsid w:val="00AC0511"/>
    <w:rsid w:val="00AD08C5"/>
    <w:rsid w:val="00AE069A"/>
    <w:rsid w:val="00AF1EBC"/>
    <w:rsid w:val="00B10B0F"/>
    <w:rsid w:val="00B1467F"/>
    <w:rsid w:val="00B1688D"/>
    <w:rsid w:val="00B31928"/>
    <w:rsid w:val="00B326A9"/>
    <w:rsid w:val="00B45ED3"/>
    <w:rsid w:val="00B543E9"/>
    <w:rsid w:val="00B57127"/>
    <w:rsid w:val="00B73663"/>
    <w:rsid w:val="00B74035"/>
    <w:rsid w:val="00B76B2B"/>
    <w:rsid w:val="00B8251D"/>
    <w:rsid w:val="00B94288"/>
    <w:rsid w:val="00B9538B"/>
    <w:rsid w:val="00BA15A9"/>
    <w:rsid w:val="00BB138C"/>
    <w:rsid w:val="00BB30C0"/>
    <w:rsid w:val="00BC376D"/>
    <w:rsid w:val="00BD18E8"/>
    <w:rsid w:val="00BD20BC"/>
    <w:rsid w:val="00C06613"/>
    <w:rsid w:val="00C15673"/>
    <w:rsid w:val="00C15E6F"/>
    <w:rsid w:val="00C210A9"/>
    <w:rsid w:val="00C22821"/>
    <w:rsid w:val="00C243BF"/>
    <w:rsid w:val="00C25F63"/>
    <w:rsid w:val="00C276AE"/>
    <w:rsid w:val="00C4237C"/>
    <w:rsid w:val="00C55C85"/>
    <w:rsid w:val="00C60868"/>
    <w:rsid w:val="00C6097A"/>
    <w:rsid w:val="00C64DAA"/>
    <w:rsid w:val="00C65204"/>
    <w:rsid w:val="00C70530"/>
    <w:rsid w:val="00C77217"/>
    <w:rsid w:val="00C816A5"/>
    <w:rsid w:val="00C83BE1"/>
    <w:rsid w:val="00C97315"/>
    <w:rsid w:val="00CA03C1"/>
    <w:rsid w:val="00CA1AD2"/>
    <w:rsid w:val="00CA2878"/>
    <w:rsid w:val="00CA3B1B"/>
    <w:rsid w:val="00CA7D06"/>
    <w:rsid w:val="00CB2E2B"/>
    <w:rsid w:val="00CB3D33"/>
    <w:rsid w:val="00CC0463"/>
    <w:rsid w:val="00CC42B1"/>
    <w:rsid w:val="00CC7F58"/>
    <w:rsid w:val="00CD47C3"/>
    <w:rsid w:val="00CE099F"/>
    <w:rsid w:val="00CE73E2"/>
    <w:rsid w:val="00CF402D"/>
    <w:rsid w:val="00CF5E4F"/>
    <w:rsid w:val="00CF7674"/>
    <w:rsid w:val="00D17D3E"/>
    <w:rsid w:val="00D44A5D"/>
    <w:rsid w:val="00D510E8"/>
    <w:rsid w:val="00D554A2"/>
    <w:rsid w:val="00D5628B"/>
    <w:rsid w:val="00D63F4F"/>
    <w:rsid w:val="00D6426A"/>
    <w:rsid w:val="00D66456"/>
    <w:rsid w:val="00D77CD0"/>
    <w:rsid w:val="00D9306F"/>
    <w:rsid w:val="00DA09D0"/>
    <w:rsid w:val="00DB0B88"/>
    <w:rsid w:val="00DB793C"/>
    <w:rsid w:val="00DD18C6"/>
    <w:rsid w:val="00DD6D00"/>
    <w:rsid w:val="00DE00F0"/>
    <w:rsid w:val="00DE1894"/>
    <w:rsid w:val="00DE5079"/>
    <w:rsid w:val="00DF6B3A"/>
    <w:rsid w:val="00E10271"/>
    <w:rsid w:val="00E10F0D"/>
    <w:rsid w:val="00E34DF7"/>
    <w:rsid w:val="00E34E3C"/>
    <w:rsid w:val="00E35DF6"/>
    <w:rsid w:val="00E50D44"/>
    <w:rsid w:val="00E52765"/>
    <w:rsid w:val="00E64133"/>
    <w:rsid w:val="00E66456"/>
    <w:rsid w:val="00E7290F"/>
    <w:rsid w:val="00E738D5"/>
    <w:rsid w:val="00E8288D"/>
    <w:rsid w:val="00E8348C"/>
    <w:rsid w:val="00E900DE"/>
    <w:rsid w:val="00E91E64"/>
    <w:rsid w:val="00EA326D"/>
    <w:rsid w:val="00EB1B3E"/>
    <w:rsid w:val="00EB5A68"/>
    <w:rsid w:val="00EB77EA"/>
    <w:rsid w:val="00EC0C4F"/>
    <w:rsid w:val="00EC27E5"/>
    <w:rsid w:val="00EC2B8F"/>
    <w:rsid w:val="00EC74BA"/>
    <w:rsid w:val="00ED15F0"/>
    <w:rsid w:val="00EE4384"/>
    <w:rsid w:val="00EE4BD7"/>
    <w:rsid w:val="00EE5277"/>
    <w:rsid w:val="00EF3551"/>
    <w:rsid w:val="00EF3A08"/>
    <w:rsid w:val="00F017D6"/>
    <w:rsid w:val="00F12CF6"/>
    <w:rsid w:val="00F147FC"/>
    <w:rsid w:val="00F15BD4"/>
    <w:rsid w:val="00F31A79"/>
    <w:rsid w:val="00F42214"/>
    <w:rsid w:val="00F5061B"/>
    <w:rsid w:val="00F61A7D"/>
    <w:rsid w:val="00F63AA8"/>
    <w:rsid w:val="00F67CA2"/>
    <w:rsid w:val="00F859A8"/>
    <w:rsid w:val="00F9203E"/>
    <w:rsid w:val="00F957B7"/>
    <w:rsid w:val="00FA53DF"/>
    <w:rsid w:val="00FB2364"/>
    <w:rsid w:val="00FB30AC"/>
    <w:rsid w:val="00FB3B6F"/>
    <w:rsid w:val="00FC712D"/>
    <w:rsid w:val="00FD39E3"/>
    <w:rsid w:val="00FD48BC"/>
    <w:rsid w:val="00FE1242"/>
    <w:rsid w:val="00FE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1808D"/>
  <w15:docId w15:val="{9907FBD6-CEC2-42E2-A88E-10EDFCF3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4E3C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1,Styl moj,aotm_załączniki,Akapit z listą11,Table Legend,Dot pt,F5 List Paragraph,List Paragraph1,No Spacing1,List Paragraph Char Char Char,Indicator Text,Colorful List - Accent 11,Numbered Para 1,Bullet 1,Bullet Points,MAIN CONTENT"/>
    <w:basedOn w:val="Normalny"/>
    <w:link w:val="AkapitzlistZnak"/>
    <w:uiPriority w:val="34"/>
    <w:qFormat/>
    <w:rsid w:val="008C0E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0E92"/>
  </w:style>
  <w:style w:type="paragraph" w:styleId="Stopka">
    <w:name w:val="footer"/>
    <w:basedOn w:val="Normalny"/>
    <w:link w:val="Stopka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0E92"/>
  </w:style>
  <w:style w:type="paragraph" w:customStyle="1" w:styleId="Style2">
    <w:name w:val="Style2"/>
    <w:basedOn w:val="Normalny"/>
    <w:uiPriority w:val="99"/>
    <w:rsid w:val="00230BB7"/>
    <w:pPr>
      <w:widowControl w:val="0"/>
      <w:suppressAutoHyphens w:val="0"/>
      <w:autoSpaceDE w:val="0"/>
      <w:adjustRightInd w:val="0"/>
      <w:spacing w:after="0" w:line="331" w:lineRule="exact"/>
      <w:jc w:val="both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9">
    <w:name w:val="Font Style19"/>
    <w:basedOn w:val="Domylnaczcionkaakapitu"/>
    <w:uiPriority w:val="99"/>
    <w:rsid w:val="00230BB7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20">
    <w:name w:val="Font Style20"/>
    <w:basedOn w:val="Domylnaczcionkaakapitu"/>
    <w:uiPriority w:val="99"/>
    <w:rsid w:val="00230BB7"/>
    <w:rPr>
      <w:rFonts w:ascii="Times New Roman" w:hAnsi="Times New Roman" w:cs="Times New Roman"/>
      <w:b/>
      <w:bCs/>
      <w:color w:val="000000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6C1B62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Theme="minorEastAsia" w:hAnsi="Times New Roman"/>
      <w:sz w:val="24"/>
      <w:szCs w:val="24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1E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1E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1E9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1E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1E9F"/>
    <w:rPr>
      <w:b/>
      <w:bCs/>
      <w:sz w:val="20"/>
      <w:szCs w:val="20"/>
    </w:rPr>
  </w:style>
  <w:style w:type="character" w:customStyle="1" w:styleId="AkapitzlistZnak">
    <w:name w:val="Akapit z listą Znak"/>
    <w:aliases w:val="Bullet1 Znak,Styl moj Znak,aotm_załączniki Znak,Akapit z listą11 Znak,Table Legend Znak,Dot pt Znak,F5 List Paragraph Znak,List Paragraph1 Znak,No Spacing1 Znak,List Paragraph Char Char Char Znak,Indicator Text Znak,Bullet 1 Znak"/>
    <w:basedOn w:val="Domylnaczcionkaakapitu"/>
    <w:link w:val="Akapitzlist"/>
    <w:uiPriority w:val="99"/>
    <w:qFormat/>
    <w:rsid w:val="001933DE"/>
  </w:style>
  <w:style w:type="paragraph" w:styleId="Poprawka">
    <w:name w:val="Revision"/>
    <w:hidden/>
    <w:uiPriority w:val="99"/>
    <w:semiHidden/>
    <w:rsid w:val="005E3DB9"/>
    <w:pPr>
      <w:autoSpaceDN/>
      <w:spacing w:after="0" w:line="240" w:lineRule="auto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wrzesie&#324;%202023%20Wykresy%20od%20201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wrzesie&#324;%202023%20Wykresy%20od%20201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wrzesie&#324;%202023%20Wykresy%20wskazania%20od%20201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wrzesie&#324;%202023%20Wykresy%20wskazania%20od%202012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 i="0" baseline="0">
                <a:solidFill>
                  <a:sysClr val="windowText" lastClr="000000"/>
                </a:solidFill>
                <a:effectLst/>
                <a:latin typeface="Lato" panose="020F0502020204030203" pitchFamily="34" charset="-18"/>
              </a:rPr>
              <a:t>Liczba nowych cząsteczko-wskazań w 2023 r. - ONKO/NIEONKO</a:t>
            </a:r>
            <a:endParaRPr lang="pl-PL" sz="800">
              <a:solidFill>
                <a:sysClr val="windowText" lastClr="000000"/>
              </a:solidFill>
              <a:effectLst/>
              <a:latin typeface="Lato" panose="020F0502020204030203" pitchFamily="34" charset="-18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7.7692038495188118E-2"/>
          <c:y val="0.13625000000000001"/>
          <c:w val="0.90286351706036749"/>
          <c:h val="0.6780595765564775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'miesiące 2023'!$A$3</c:f>
              <c:strCache>
                <c:ptCount val="1"/>
                <c:pt idx="0">
                  <c:v>Wskazania onkologiczne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2023'!$B$2:$G$2</c:f>
              <c:strCache>
                <c:ptCount val="6"/>
                <c:pt idx="0">
                  <c:v>styczeń</c:v>
                </c:pt>
                <c:pt idx="1">
                  <c:v>marzec</c:v>
                </c:pt>
                <c:pt idx="2">
                  <c:v>maj</c:v>
                </c:pt>
                <c:pt idx="3">
                  <c:v>lipiec</c:v>
                </c:pt>
                <c:pt idx="4">
                  <c:v>wrzesień</c:v>
                </c:pt>
                <c:pt idx="5">
                  <c:v>listopad</c:v>
                </c:pt>
              </c:strCache>
            </c:strRef>
          </c:cat>
          <c:val>
            <c:numRef>
              <c:f>'miesiące 2023'!$B$3:$G$3</c:f>
              <c:numCache>
                <c:formatCode>General</c:formatCode>
                <c:ptCount val="6"/>
                <c:pt idx="0">
                  <c:v>21</c:v>
                </c:pt>
                <c:pt idx="1">
                  <c:v>10</c:v>
                </c:pt>
                <c:pt idx="2">
                  <c:v>8</c:v>
                </c:pt>
                <c:pt idx="3">
                  <c:v>7</c:v>
                </c:pt>
                <c:pt idx="4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CCE-41E2-9522-D981FA0451C6}"/>
            </c:ext>
          </c:extLst>
        </c:ser>
        <c:ser>
          <c:idx val="1"/>
          <c:order val="1"/>
          <c:tx>
            <c:strRef>
              <c:f>'miesiące 2023'!$A$4</c:f>
              <c:strCache>
                <c:ptCount val="1"/>
                <c:pt idx="0">
                  <c:v>Wskazania nieonkologiczne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2023'!$B$2:$G$2</c:f>
              <c:strCache>
                <c:ptCount val="6"/>
                <c:pt idx="0">
                  <c:v>styczeń</c:v>
                </c:pt>
                <c:pt idx="1">
                  <c:v>marzec</c:v>
                </c:pt>
                <c:pt idx="2">
                  <c:v>maj</c:v>
                </c:pt>
                <c:pt idx="3">
                  <c:v>lipiec</c:v>
                </c:pt>
                <c:pt idx="4">
                  <c:v>wrzesień</c:v>
                </c:pt>
                <c:pt idx="5">
                  <c:v>listopad</c:v>
                </c:pt>
              </c:strCache>
            </c:strRef>
          </c:cat>
          <c:val>
            <c:numRef>
              <c:f>'miesiące 2023'!$B$4:$G$4</c:f>
              <c:numCache>
                <c:formatCode>General</c:formatCode>
                <c:ptCount val="6"/>
                <c:pt idx="0">
                  <c:v>2</c:v>
                </c:pt>
                <c:pt idx="1">
                  <c:v>9</c:v>
                </c:pt>
                <c:pt idx="2">
                  <c:v>8</c:v>
                </c:pt>
                <c:pt idx="3">
                  <c:v>32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CCE-41E2-9522-D981FA0451C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03835919"/>
        <c:axId val="703834671"/>
      </c:barChart>
      <c:catAx>
        <c:axId val="703835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4671"/>
        <c:crosses val="autoZero"/>
        <c:auto val="1"/>
        <c:lblAlgn val="ctr"/>
        <c:lblOffset val="100"/>
        <c:noMultiLvlLbl val="0"/>
      </c:catAx>
      <c:valAx>
        <c:axId val="703834671"/>
        <c:scaling>
          <c:orientation val="minMax"/>
          <c:max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5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 i="0" baseline="0">
                <a:solidFill>
                  <a:sysClr val="windowText" lastClr="000000"/>
                </a:solidFill>
                <a:effectLst/>
                <a:latin typeface="Lato" panose="020F0502020204030203" pitchFamily="34" charset="-18"/>
              </a:rPr>
              <a:t>Liczba nowych cząsteczko-wskazań w 2023 r. - choroby rzadkie</a:t>
            </a:r>
            <a:endParaRPr lang="pl-PL" sz="800">
              <a:solidFill>
                <a:sysClr val="windowText" lastClr="000000"/>
              </a:solidFill>
              <a:effectLst/>
              <a:latin typeface="Lato" panose="020F0502020204030203" pitchFamily="34" charset="-18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7.7692038495188118E-2"/>
          <c:y val="0.13625000000000001"/>
          <c:w val="0.90286351706036749"/>
          <c:h val="0.6782942997509926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'miesiące 2023'!$A$18</c:f>
              <c:strCache>
                <c:ptCount val="1"/>
                <c:pt idx="0">
                  <c:v>Wskazania rzadkie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dLbl>
              <c:idx val="4"/>
              <c:layout>
                <c:manualLayout>
                  <c:x val="-1.0498566383707253E-16"/>
                  <c:y val="5.514570294097852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512-40FB-8252-04639EEF4ED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2023'!$B$17:$G$17</c:f>
              <c:strCache>
                <c:ptCount val="6"/>
                <c:pt idx="0">
                  <c:v>styczeń</c:v>
                </c:pt>
                <c:pt idx="1">
                  <c:v>marzec</c:v>
                </c:pt>
                <c:pt idx="2">
                  <c:v>maj</c:v>
                </c:pt>
                <c:pt idx="3">
                  <c:v>lipiec</c:v>
                </c:pt>
                <c:pt idx="4">
                  <c:v>wrzesień</c:v>
                </c:pt>
                <c:pt idx="5">
                  <c:v>listopad</c:v>
                </c:pt>
              </c:strCache>
            </c:strRef>
          </c:cat>
          <c:val>
            <c:numRef>
              <c:f>'miesiące 2023'!$B$18:$G$18</c:f>
              <c:numCache>
                <c:formatCode>General</c:formatCode>
                <c:ptCount val="6"/>
                <c:pt idx="0">
                  <c:v>17</c:v>
                </c:pt>
                <c:pt idx="1">
                  <c:v>2</c:v>
                </c:pt>
                <c:pt idx="2">
                  <c:v>8</c:v>
                </c:pt>
                <c:pt idx="3">
                  <c:v>4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512-40FB-8252-04639EEF4ED4}"/>
            </c:ext>
          </c:extLst>
        </c:ser>
        <c:ser>
          <c:idx val="1"/>
          <c:order val="1"/>
          <c:tx>
            <c:strRef>
              <c:f>'miesiące 2023'!$A$19</c:f>
              <c:strCache>
                <c:ptCount val="1"/>
                <c:pt idx="0">
                  <c:v>Pozostałe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2023'!$B$17:$G$17</c:f>
              <c:strCache>
                <c:ptCount val="6"/>
                <c:pt idx="0">
                  <c:v>styczeń</c:v>
                </c:pt>
                <c:pt idx="1">
                  <c:v>marzec</c:v>
                </c:pt>
                <c:pt idx="2">
                  <c:v>maj</c:v>
                </c:pt>
                <c:pt idx="3">
                  <c:v>lipiec</c:v>
                </c:pt>
                <c:pt idx="4">
                  <c:v>wrzesień</c:v>
                </c:pt>
                <c:pt idx="5">
                  <c:v>listopad</c:v>
                </c:pt>
              </c:strCache>
            </c:strRef>
          </c:cat>
          <c:val>
            <c:numRef>
              <c:f>'miesiące 2023'!$B$19:$G$19</c:f>
              <c:numCache>
                <c:formatCode>General</c:formatCode>
                <c:ptCount val="6"/>
                <c:pt idx="0">
                  <c:v>6</c:v>
                </c:pt>
                <c:pt idx="1">
                  <c:v>17</c:v>
                </c:pt>
                <c:pt idx="2">
                  <c:v>8</c:v>
                </c:pt>
                <c:pt idx="3">
                  <c:v>35</c:v>
                </c:pt>
                <c:pt idx="4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512-40FB-8252-04639EEF4ED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03835919"/>
        <c:axId val="703834671"/>
      </c:barChart>
      <c:catAx>
        <c:axId val="703835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4671"/>
        <c:crosses val="autoZero"/>
        <c:auto val="1"/>
        <c:lblAlgn val="ctr"/>
        <c:lblOffset val="100"/>
        <c:noMultiLvlLbl val="0"/>
      </c:catAx>
      <c:valAx>
        <c:axId val="7038346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5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800" b="1" i="0" u="none" strike="noStrike" kern="1200" spc="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>
                <a:solidFill>
                  <a:sysClr val="windowText" lastClr="000000"/>
                </a:solidFill>
                <a:latin typeface="Lato" panose="020F0502020204030203" pitchFamily="34" charset="-18"/>
              </a:rPr>
              <a:t>Cząsteczko-wskazania onkologiczne w 2023 r. (stan na wrzesień)</a:t>
            </a:r>
          </a:p>
        </c:rich>
      </c:tx>
      <c:layout>
        <c:manualLayout>
          <c:xMode val="edge"/>
          <c:yMode val="edge"/>
          <c:x val="0.21844277520545838"/>
          <c:y val="6.9881626242502817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800" b="1" i="0" u="none" strike="noStrike" kern="1200" spc="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0199795221224504"/>
          <c:y val="9.9493406697656772E-2"/>
          <c:w val="0.76572356677509668"/>
          <c:h val="0.80292487535443613"/>
        </c:manualLayout>
      </c:layout>
      <c:barChart>
        <c:barDir val="bar"/>
        <c:grouping val="clustered"/>
        <c:varyColors val="0"/>
        <c:ser>
          <c:idx val="10"/>
          <c:order val="0"/>
          <c:tx>
            <c:strRef>
              <c:f>'miesiące 2023'!$B$2</c:f>
              <c:strCache>
                <c:ptCount val="1"/>
                <c:pt idx="0">
                  <c:v>2023
(stan na wrzesień)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cat>
            <c:strRef>
              <c:f>('miesiące 2023'!$A$3:$A$8,'miesiące 2023'!$A$10:$A$12)</c:f>
              <c:strCache>
                <c:ptCount val="9"/>
                <c:pt idx="0">
                  <c:v>Inne</c:v>
                </c:pt>
                <c:pt idx="1">
                  <c:v>Nowotwory układu 
urologicznego</c:v>
                </c:pt>
                <c:pt idx="2">
                  <c:v>Nowotwory skóry</c:v>
                </c:pt>
                <c:pt idx="3">
                  <c:v>Nowotwory układu 
pokarmowego</c:v>
                </c:pt>
                <c:pt idx="4">
                  <c:v>Nowotwory układu 
oddechowego</c:v>
                </c:pt>
                <c:pt idx="5">
                  <c:v>Nowotwory nerki</c:v>
                </c:pt>
                <c:pt idx="6">
                  <c:v>Nowotwory 
ginekologiczne</c:v>
                </c:pt>
                <c:pt idx="7">
                  <c:v>Nowotwory układu 
endokrynnego</c:v>
                </c:pt>
                <c:pt idx="8">
                  <c:v>Hematoonkologia</c:v>
                </c:pt>
              </c:strCache>
              <c:extLst/>
            </c:strRef>
          </c:cat>
          <c:val>
            <c:numRef>
              <c:f>('miesiące 2023'!$B$3:$B$8,'miesiące 2023'!$B$10:$B$12)</c:f>
              <c:numCache>
                <c:formatCode>General</c:formatCode>
                <c:ptCount val="9"/>
                <c:pt idx="0">
                  <c:v>2</c:v>
                </c:pt>
                <c:pt idx="1">
                  <c:v>5</c:v>
                </c:pt>
                <c:pt idx="2">
                  <c:v>1</c:v>
                </c:pt>
                <c:pt idx="3">
                  <c:v>9</c:v>
                </c:pt>
                <c:pt idx="4">
                  <c:v>11</c:v>
                </c:pt>
                <c:pt idx="5">
                  <c:v>1</c:v>
                </c:pt>
                <c:pt idx="6">
                  <c:v>4</c:v>
                </c:pt>
                <c:pt idx="7">
                  <c:v>1</c:v>
                </c:pt>
                <c:pt idx="8">
                  <c:v>26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898B-48E7-99DA-530A792E37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51046271"/>
        <c:axId val="751054175"/>
      </c:barChart>
      <c:valAx>
        <c:axId val="75105417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51046271"/>
        <c:crosses val="autoZero"/>
        <c:crossBetween val="between"/>
        <c:majorUnit val="2"/>
      </c:valAx>
      <c:catAx>
        <c:axId val="751046271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0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51054175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spc="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>
                <a:latin typeface="Lato" panose="020F0502020204030203" pitchFamily="34" charset="-18"/>
              </a:rPr>
              <a:t>Cząsteczko-wskazania nieonkologiczne w 2023 r. (stan na wrzesień)</a:t>
            </a:r>
          </a:p>
        </c:rich>
      </c:tx>
      <c:layout>
        <c:manualLayout>
          <c:xMode val="edge"/>
          <c:yMode val="edge"/>
          <c:x val="0.17325865287950595"/>
          <c:y val="5.331911490269261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spc="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0948966438366801"/>
          <c:y val="0.10555295490756271"/>
          <c:w val="0.76644349190079053"/>
          <c:h val="0.79352025811489624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'miesiące 2023'!$B$19</c:f>
              <c:strCache>
                <c:ptCount val="1"/>
                <c:pt idx="0">
                  <c:v>2023
(stan na wrzesień)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cat>
            <c:strRef>
              <c:f>('miesiące 2023'!$A$20:$A$25,'miesiące 2023'!$A$27:$A$28,'miesiące 2023'!$A$30,'miesiące 2023'!$A$32:$A$36,'miesiące 2023'!$A$38)</c:f>
              <c:strCache>
                <c:ptCount val="15"/>
                <c:pt idx="0">
                  <c:v>Urologia</c:v>
                </c:pt>
                <c:pt idx="1">
                  <c:v>Reumatologia</c:v>
                </c:pt>
                <c:pt idx="2">
                  <c:v>Pulmonologia</c:v>
                </c:pt>
                <c:pt idx="3">
                  <c:v>Psychiatria</c:v>
                </c:pt>
                <c:pt idx="4">
                  <c:v>Okulistyka</c:v>
                </c:pt>
                <c:pt idx="5">
                  <c:v>Neurologia</c:v>
                </c:pt>
                <c:pt idx="6">
                  <c:v>Kardiologia</c:v>
                </c:pt>
                <c:pt idx="7">
                  <c:v>Immunologia</c:v>
                </c:pt>
                <c:pt idx="8">
                  <c:v>Hematologia</c:v>
                </c:pt>
                <c:pt idx="9">
                  <c:v>Gastroenterologia</c:v>
                </c:pt>
                <c:pt idx="10">
                  <c:v>Endokrynologia</c:v>
                </c:pt>
                <c:pt idx="11">
                  <c:v>Diabetologia</c:v>
                </c:pt>
                <c:pt idx="12">
                  <c:v>Dermatologia</c:v>
                </c:pt>
                <c:pt idx="13">
                  <c:v>Choroby metaboliczne</c:v>
                </c:pt>
                <c:pt idx="14">
                  <c:v>Alergologia</c:v>
                </c:pt>
              </c:strCache>
              <c:extLst/>
            </c:strRef>
          </c:cat>
          <c:val>
            <c:numRef>
              <c:f>('miesiące 2023'!$B$20:$B$25,'miesiące 2023'!$B$27:$B$28,'miesiące 2023'!$B$30,'miesiące 2023'!$B$32:$B$36,'miesiące 2023'!$B$38)</c:f>
              <c:numCache>
                <c:formatCode>General</c:formatCode>
                <c:ptCount val="15"/>
                <c:pt idx="0">
                  <c:v>1</c:v>
                </c:pt>
                <c:pt idx="1">
                  <c:v>6</c:v>
                </c:pt>
                <c:pt idx="2">
                  <c:v>2</c:v>
                </c:pt>
                <c:pt idx="3">
                  <c:v>1</c:v>
                </c:pt>
                <c:pt idx="4">
                  <c:v>1</c:v>
                </c:pt>
                <c:pt idx="5">
                  <c:v>3</c:v>
                </c:pt>
                <c:pt idx="6">
                  <c:v>19</c:v>
                </c:pt>
                <c:pt idx="7">
                  <c:v>2</c:v>
                </c:pt>
                <c:pt idx="8">
                  <c:v>4</c:v>
                </c:pt>
                <c:pt idx="9">
                  <c:v>4</c:v>
                </c:pt>
                <c:pt idx="10">
                  <c:v>1</c:v>
                </c:pt>
                <c:pt idx="11">
                  <c:v>3</c:v>
                </c:pt>
                <c:pt idx="12">
                  <c:v>4</c:v>
                </c:pt>
                <c:pt idx="13">
                  <c:v>1</c:v>
                </c:pt>
                <c:pt idx="14">
                  <c:v>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6B74-41C5-B35F-6F253FC8D1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1296495"/>
        <c:axId val="241294831"/>
      </c:barChart>
      <c:valAx>
        <c:axId val="24129483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241296495"/>
        <c:crosses val="autoZero"/>
        <c:crossBetween val="between"/>
        <c:majorUnit val="2"/>
      </c:valAx>
      <c:catAx>
        <c:axId val="24129649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24129483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7</Pages>
  <Words>1207</Words>
  <Characters>7247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Oczkowski Mateusz</dc:creator>
  <dc:description/>
  <cp:lastModifiedBy>Wilk Justyna</cp:lastModifiedBy>
  <cp:revision>11</cp:revision>
  <dcterms:created xsi:type="dcterms:W3CDTF">2023-08-17T11:49:00Z</dcterms:created>
  <dcterms:modified xsi:type="dcterms:W3CDTF">2023-08-18T06:15:00Z</dcterms:modified>
</cp:coreProperties>
</file>