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7644" w14:textId="7A1B62DC" w:rsidR="007C7560" w:rsidRPr="001E6E51" w:rsidRDefault="00ED333E" w:rsidP="00E1662F">
      <w:pPr>
        <w:keepNext/>
        <w:keepLines/>
        <w:spacing w:after="0"/>
        <w:ind w:left="735" w:hanging="360"/>
        <w:outlineLvl w:val="0"/>
        <w:rPr>
          <w:rFonts w:ascii="Calibri" w:hAnsi="Calibri" w:cs="Calibri"/>
          <w:b/>
          <w:bCs/>
          <w:sz w:val="24"/>
          <w:szCs w:val="24"/>
        </w:rPr>
      </w:pPr>
      <w:r w:rsidRPr="001E6E51">
        <w:rPr>
          <w:rFonts w:ascii="Calibri" w:hAnsi="Calibri" w:cs="Calibri"/>
          <w:b/>
          <w:bCs/>
          <w:sz w:val="24"/>
          <w:szCs w:val="24"/>
        </w:rPr>
        <w:t>KRYTERIA KATEGORYZACJI PRZEDSIĘBIORCÓW WEDŁUG ANALIZY RYZYKA</w:t>
      </w:r>
    </w:p>
    <w:p w14:paraId="39F1871C" w14:textId="77777777" w:rsidR="007C7560" w:rsidRPr="001E6E51" w:rsidRDefault="007C7560" w:rsidP="007C7560">
      <w:pPr>
        <w:spacing w:after="5" w:line="248" w:lineRule="auto"/>
        <w:ind w:left="491" w:right="11" w:hanging="491"/>
        <w:rPr>
          <w:rFonts w:ascii="Calibri" w:eastAsia="Calibri" w:hAnsi="Calibri" w:cs="Calibri"/>
          <w:color w:val="000000"/>
          <w:sz w:val="20"/>
          <w:szCs w:val="20"/>
        </w:rPr>
      </w:pPr>
    </w:p>
    <w:p w14:paraId="1B94DB41" w14:textId="77777777" w:rsidR="00ED333E" w:rsidRPr="001E6E51" w:rsidRDefault="00ED333E" w:rsidP="00ED333E">
      <w:pPr>
        <w:pStyle w:val="Default"/>
        <w:rPr>
          <w:rFonts w:ascii="Calibri" w:hAnsi="Calibri" w:cs="Calibri"/>
          <w:sz w:val="20"/>
          <w:szCs w:val="20"/>
        </w:rPr>
      </w:pPr>
    </w:p>
    <w:p w14:paraId="0A842DD0" w14:textId="1AC1F750" w:rsidR="007C7560" w:rsidRPr="001E6E51" w:rsidRDefault="00ED333E" w:rsidP="00ED333E">
      <w:pPr>
        <w:pStyle w:val="Default"/>
        <w:rPr>
          <w:rFonts w:ascii="Calibri" w:eastAsia="Calibri" w:hAnsi="Calibri" w:cs="Calibri"/>
          <w:sz w:val="20"/>
          <w:szCs w:val="20"/>
        </w:rPr>
      </w:pPr>
      <w:r w:rsidRPr="001E6E51">
        <w:rPr>
          <w:rFonts w:ascii="Calibri" w:hAnsi="Calibri" w:cs="Calibri"/>
          <w:sz w:val="20"/>
          <w:szCs w:val="20"/>
        </w:rPr>
        <w:t xml:space="preserve">Niniejszy dokument określa zasady klasyfikacji ryzyka związanego z prowadzeniem działalności gospodarczej, stosowane przy planowaniu i prowadzeniu kontroli obiektów nadzorowanych przez Państwowego Powiatowego Inspektora Sanitarnego w </w:t>
      </w:r>
      <w:r w:rsidRPr="001E6E51">
        <w:rPr>
          <w:rFonts w:ascii="Calibri" w:hAnsi="Calibri" w:cs="Calibri"/>
          <w:sz w:val="20"/>
          <w:szCs w:val="20"/>
        </w:rPr>
        <w:t>Wągrowcu</w:t>
      </w:r>
      <w:r w:rsidRPr="001E6E51">
        <w:rPr>
          <w:rFonts w:ascii="Calibri" w:hAnsi="Calibri" w:cs="Calibri"/>
          <w:sz w:val="20"/>
          <w:szCs w:val="20"/>
        </w:rPr>
        <w:t xml:space="preserve"> i stanowi realizację obowiązków wynikających z Art. 47 ust. 1</w:t>
      </w:r>
      <w:r w:rsidRPr="001E6E51">
        <w:rPr>
          <w:rFonts w:ascii="Calibri" w:hAnsi="Calibri" w:cs="Calibri"/>
          <w:sz w:val="20"/>
          <w:szCs w:val="20"/>
        </w:rPr>
        <w:t xml:space="preserve"> </w:t>
      </w:r>
      <w:r w:rsidRPr="001E6E51">
        <w:rPr>
          <w:rFonts w:ascii="Calibri" w:hAnsi="Calibri" w:cs="Calibri"/>
          <w:sz w:val="20"/>
          <w:szCs w:val="20"/>
        </w:rPr>
        <w:t xml:space="preserve">ustawy z dnia 6 marca 2018 r. Prawo przedsiębiorców. </w:t>
      </w:r>
    </w:p>
    <w:p w14:paraId="6771C54B" w14:textId="77777777" w:rsidR="007C7560" w:rsidRPr="001E6E51" w:rsidRDefault="007C7560" w:rsidP="007C7560">
      <w:pPr>
        <w:spacing w:after="5" w:line="248" w:lineRule="auto"/>
        <w:ind w:left="491" w:right="11" w:hanging="491"/>
        <w:rPr>
          <w:rFonts w:ascii="Calibri" w:eastAsia="Calibri" w:hAnsi="Calibri" w:cs="Calibri"/>
          <w:color w:val="000000"/>
          <w:sz w:val="20"/>
          <w:szCs w:val="20"/>
        </w:rPr>
      </w:pPr>
    </w:p>
    <w:p w14:paraId="2FA50356" w14:textId="77777777" w:rsidR="00ED333E" w:rsidRPr="001E6E51" w:rsidRDefault="00ED333E" w:rsidP="00ED333E">
      <w:pPr>
        <w:spacing w:after="13" w:line="248" w:lineRule="auto"/>
        <w:ind w:left="10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1E6E51">
        <w:rPr>
          <w:rFonts w:ascii="Calibri" w:eastAsia="Calibri" w:hAnsi="Calibri" w:cs="Calibri"/>
          <w:color w:val="000000"/>
          <w:sz w:val="20"/>
          <w:szCs w:val="20"/>
        </w:rPr>
        <w:t xml:space="preserve">Ryzyko, to prawdopodobieństwo wystąpienia szczególnego zagrożenia obniżenia bezpieczeństwa dla ochrony zdrowia lub życia oraz ochrony środowiska. </w:t>
      </w:r>
    </w:p>
    <w:p w14:paraId="3C07B4C7" w14:textId="77777777" w:rsidR="00ED333E" w:rsidRPr="001E6E51" w:rsidRDefault="00ED333E" w:rsidP="00ED333E">
      <w:pPr>
        <w:spacing w:after="13" w:line="248" w:lineRule="auto"/>
        <w:ind w:left="10" w:hanging="10"/>
        <w:rPr>
          <w:rFonts w:ascii="Calibri" w:eastAsia="Calibri" w:hAnsi="Calibri" w:cs="Calibri"/>
          <w:color w:val="000000"/>
          <w:sz w:val="20"/>
          <w:szCs w:val="20"/>
        </w:rPr>
      </w:pPr>
    </w:p>
    <w:p w14:paraId="12575075" w14:textId="09892B74" w:rsidR="00C14519" w:rsidRPr="001E6E51" w:rsidRDefault="00C14519" w:rsidP="00C14519">
      <w:pPr>
        <w:spacing w:after="228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1E6E51">
        <w:rPr>
          <w:rFonts w:ascii="Calibri" w:eastAsia="Calibri" w:hAnsi="Calibri" w:cs="Calibri"/>
          <w:color w:val="000000"/>
          <w:sz w:val="20"/>
          <w:szCs w:val="20"/>
        </w:rPr>
        <w:t>Przed sporządzaniem rocznych planów kontroli, dla każdego typu nadzorowanego obiektu dokonuje się analizy prawdopodobieństwa naruszeń prawa i skutków wystąpienia tych naruszeń.</w:t>
      </w:r>
    </w:p>
    <w:p w14:paraId="56E0C626" w14:textId="5C3DB071" w:rsidR="003A2FB9" w:rsidRPr="001E6E51" w:rsidRDefault="003A2FB9" w:rsidP="00C14519">
      <w:pPr>
        <w:spacing w:after="13" w:line="248" w:lineRule="auto"/>
        <w:ind w:left="10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1E6E51">
        <w:rPr>
          <w:rFonts w:ascii="Calibri" w:eastAsia="Calibri" w:hAnsi="Calibri" w:cs="Calibri"/>
          <w:color w:val="000000"/>
          <w:sz w:val="20"/>
          <w:szCs w:val="20"/>
        </w:rPr>
        <w:t xml:space="preserve">Poniżej kategorie ryzyka w działalności kontrolnej zgodnie z </w:t>
      </w:r>
      <w:r w:rsidR="00B622DA" w:rsidRPr="001E6E51">
        <w:rPr>
          <w:rFonts w:ascii="Calibri" w:eastAsia="Times New Roman" w:hAnsi="Calibri" w:cs="Calibri"/>
          <w:color w:val="000000"/>
          <w:sz w:val="20"/>
          <w:szCs w:val="20"/>
        </w:rPr>
        <w:t>art. 55 i 55a</w:t>
      </w:r>
      <w:r w:rsidR="00ED333E" w:rsidRPr="001E6E51">
        <w:rPr>
          <w:rFonts w:ascii="Calibri" w:eastAsia="Times New Roman" w:hAnsi="Calibri" w:cs="Calibri"/>
          <w:color w:val="000000"/>
          <w:sz w:val="20"/>
          <w:szCs w:val="20"/>
        </w:rPr>
        <w:t xml:space="preserve"> ww. ustawy, który określa</w:t>
      </w:r>
      <w:r w:rsidR="001E6E51" w:rsidRPr="001E6E51">
        <w:rPr>
          <w:rFonts w:ascii="Calibri" w:eastAsia="Times New Roman" w:hAnsi="Calibri" w:cs="Calibri"/>
          <w:color w:val="000000"/>
          <w:sz w:val="20"/>
          <w:szCs w:val="20"/>
        </w:rPr>
        <w:t xml:space="preserve"> maksymalną częstotliwość kontroli wobec przedsiębiorców zakwalifikowanych do poszczególnych kategorii ryzyka.</w:t>
      </w:r>
    </w:p>
    <w:p w14:paraId="7740511C" w14:textId="192AAF32" w:rsidR="00C14519" w:rsidRPr="001E6E51" w:rsidRDefault="00C14519" w:rsidP="00C14519">
      <w:pPr>
        <w:spacing w:after="5" w:line="248" w:lineRule="auto"/>
        <w:ind w:left="10" w:right="11" w:hanging="10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7816" w:type="dxa"/>
        <w:tblInd w:w="21" w:type="dxa"/>
        <w:tblCellMar>
          <w:top w:w="40" w:type="dxa"/>
          <w:left w:w="93" w:type="dxa"/>
          <w:right w:w="31" w:type="dxa"/>
        </w:tblCellMar>
        <w:tblLook w:val="04A0" w:firstRow="1" w:lastRow="0" w:firstColumn="1" w:lastColumn="0" w:noHBand="0" w:noVBand="1"/>
      </w:tblPr>
      <w:tblGrid>
        <w:gridCol w:w="2048"/>
        <w:gridCol w:w="2655"/>
        <w:gridCol w:w="3113"/>
      </w:tblGrid>
      <w:tr w:rsidR="003A2FB9" w:rsidRPr="00ED333E" w14:paraId="105E6667" w14:textId="77777777" w:rsidTr="003A2FB9">
        <w:trPr>
          <w:trHeight w:val="729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C0B2" w14:textId="7C87A56B" w:rsidR="003A2FB9" w:rsidRPr="00ED333E" w:rsidRDefault="003A2FB9" w:rsidP="003A2FB9">
            <w:pPr>
              <w:spacing w:after="0"/>
              <w:ind w:left="1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Kategoria ryzyka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2FBB" w14:textId="77777777" w:rsidR="003A2FB9" w:rsidRPr="00ED333E" w:rsidRDefault="003A2FB9" w:rsidP="003A2FB9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BBD9" w14:textId="77777777" w:rsidR="003A2FB9" w:rsidRPr="00ED333E" w:rsidRDefault="003A2FB9" w:rsidP="00C15521">
            <w:pPr>
              <w:spacing w:after="0"/>
              <w:ind w:left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Częstotliwość kontroli planowanych </w:t>
            </w:r>
          </w:p>
        </w:tc>
      </w:tr>
      <w:tr w:rsidR="003A2FB9" w:rsidRPr="00ED333E" w14:paraId="3FA653EC" w14:textId="77777777" w:rsidTr="003A2FB9">
        <w:trPr>
          <w:trHeight w:val="3130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E4B6" w14:textId="77777777" w:rsidR="003A2FB9" w:rsidRPr="00ED333E" w:rsidRDefault="003A2FB9" w:rsidP="00C15521">
            <w:pPr>
              <w:spacing w:after="0"/>
              <w:ind w:left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niskie ryzyko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ECC4" w14:textId="0C4710DD" w:rsidR="003A2FB9" w:rsidRPr="00ED333E" w:rsidRDefault="001E6E51" w:rsidP="00C15521">
            <w:pPr>
              <w:spacing w:after="0"/>
              <w:ind w:left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</w:t>
            </w:r>
            <w:r w:rsidR="003A2FB9"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ziałalność gospodarcza o małym prawdopodobieństwie wystąpienia zagrożenia zdrowia lub życia.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DC18" w14:textId="77777777" w:rsidR="003A2FB9" w:rsidRPr="00ED333E" w:rsidRDefault="003A2FB9" w:rsidP="00C15521">
            <w:pPr>
              <w:spacing w:after="240" w:line="236" w:lineRule="auto"/>
              <w:ind w:left="15" w:right="6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nie częściej niż raz na 5 lat, ale nie rzadziej niż raz na 6 lat</w:t>
            </w:r>
          </w:p>
          <w:p w14:paraId="170F43BC" w14:textId="77777777" w:rsidR="003A2FB9" w:rsidRPr="00ED333E" w:rsidRDefault="003A2FB9" w:rsidP="00C15521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Zakłada się, że w każdym przypadku właściwy terenowo państwowy inspektor sanitarny może zwiększyć częstotliwość kontroli w danym obiekcie, kierując się innymi uzasadnionymi przesłankami wynikającymi z aktualnej sytuacji sanitarno-epidemiologicznej.</w:t>
            </w:r>
          </w:p>
        </w:tc>
      </w:tr>
      <w:tr w:rsidR="003A2FB9" w:rsidRPr="00ED333E" w14:paraId="3AFA90B2" w14:textId="77777777" w:rsidTr="003A2FB9">
        <w:trPr>
          <w:trHeight w:val="2650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A3CD" w14:textId="77777777" w:rsidR="003A2FB9" w:rsidRPr="00ED333E" w:rsidRDefault="003A2FB9" w:rsidP="00C15521">
            <w:pPr>
              <w:spacing w:after="0"/>
              <w:ind w:left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średnie ryzyko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DC7E" w14:textId="503D20DC" w:rsidR="003A2FB9" w:rsidRPr="00ED333E" w:rsidRDefault="001E6E51" w:rsidP="00C15521">
            <w:pPr>
              <w:spacing w:after="0"/>
              <w:ind w:left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</w:t>
            </w:r>
            <w:r w:rsidR="003A2FB9"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ziałalność gospodarcza o umiarkowanym prawdopodobieństwie wystąpienia zagrożenia zdrowia lub życia.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B2A0" w14:textId="77777777" w:rsidR="003A2FB9" w:rsidRPr="00ED333E" w:rsidRDefault="003A2FB9" w:rsidP="00C15521">
            <w:pPr>
              <w:spacing w:after="0"/>
              <w:ind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nie częściej niż raz na 3 lata, ale nie rzadziej niż raz na 4 lata </w:t>
            </w:r>
            <w:r w:rsidRPr="00ED333E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Zakłada się, że w każdym przypadku właściwy terenowo państwowy inspektor sanitarny może zwiększyć częstotliwość kontroli w danym obiekcie, kierując się innymi uzasadnionymi przesłankami wynikającymi z aktualnej sytuacji sanitarno-epidemiologicznej</w:t>
            </w: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3A2FB9" w:rsidRPr="00ED333E" w14:paraId="6C38ABFB" w14:textId="77777777" w:rsidTr="003A2FB9">
        <w:trPr>
          <w:trHeight w:val="2649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377A" w14:textId="77777777" w:rsidR="003A2FB9" w:rsidRPr="00ED333E" w:rsidRDefault="003A2FB9" w:rsidP="00C15521">
            <w:pPr>
              <w:spacing w:after="0"/>
              <w:ind w:left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wysokie ryzyko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FC1E" w14:textId="48B254AB" w:rsidR="003A2FB9" w:rsidRPr="00ED333E" w:rsidRDefault="001E6E51" w:rsidP="00C15521">
            <w:pPr>
              <w:spacing w:after="0"/>
              <w:ind w:left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</w:t>
            </w:r>
            <w:r w:rsidR="003A2FB9"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ziałalność gospodarcza o wysokim prawdopodobieństwie wystąpienia zagrożenia zdrowia lub życia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D899" w14:textId="00361F92" w:rsidR="003A2FB9" w:rsidRPr="00ED333E" w:rsidRDefault="003A2FB9" w:rsidP="00C15521">
            <w:pPr>
              <w:spacing w:after="0"/>
              <w:ind w:left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-nie częściej niż raz na </w:t>
            </w:r>
            <w:r w:rsidR="002F3A8A"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rok,</w:t>
            </w: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ale </w:t>
            </w:r>
          </w:p>
          <w:p w14:paraId="74834D48" w14:textId="77777777" w:rsidR="003A2FB9" w:rsidRPr="00ED333E" w:rsidRDefault="003A2FB9" w:rsidP="00C15521">
            <w:pPr>
              <w:spacing w:after="0"/>
              <w:ind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nie rzadziej niż raz na 2 lata, </w:t>
            </w:r>
            <w:r w:rsidRPr="00ED333E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Zakłada się, że w każdym przypadku właściwy terenowo państwowy inspektor sanitarny może zwiększyć częstotliwość kontroli w danym obiekcie, kierując się innymi uzasadnionymi przesłankami wynikającymi z aktualnej sytuacji sanitarno-epidemiologicznej</w:t>
            </w:r>
          </w:p>
        </w:tc>
      </w:tr>
    </w:tbl>
    <w:p w14:paraId="1996DB55" w14:textId="77777777" w:rsidR="00B622DA" w:rsidRPr="00ED333E" w:rsidRDefault="00B622DA" w:rsidP="00B622DA">
      <w:pPr>
        <w:spacing w:after="0" w:line="247" w:lineRule="auto"/>
        <w:ind w:left="491" w:right="11" w:hanging="491"/>
        <w:rPr>
          <w:rFonts w:ascii="Calibri" w:eastAsia="Calibri" w:hAnsi="Calibri" w:cs="Calibri"/>
          <w:color w:val="000000"/>
          <w:sz w:val="20"/>
          <w:szCs w:val="20"/>
        </w:rPr>
      </w:pPr>
    </w:p>
    <w:p w14:paraId="4E0DAA87" w14:textId="6CCD432C" w:rsidR="00B622DA" w:rsidRPr="00ED333E" w:rsidRDefault="00B622DA" w:rsidP="00B622DA">
      <w:pPr>
        <w:spacing w:after="0" w:line="247" w:lineRule="auto"/>
        <w:ind w:left="491" w:right="11" w:hanging="49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Kryterium doboru pierwszeństwa w wykonaniu kontroli w ramach tej samej grupy ryzyka: </w:t>
      </w:r>
    </w:p>
    <w:p w14:paraId="7D53DF1F" w14:textId="77777777" w:rsidR="00B622DA" w:rsidRPr="00ED333E" w:rsidRDefault="00B622DA" w:rsidP="00B622DA">
      <w:pPr>
        <w:pStyle w:val="Akapitzlist"/>
        <w:numPr>
          <w:ilvl w:val="0"/>
          <w:numId w:val="39"/>
        </w:numPr>
        <w:spacing w:after="0" w:line="247" w:lineRule="auto"/>
        <w:ind w:right="11" w:hanging="49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wielkość narażonej populacji,</w:t>
      </w:r>
    </w:p>
    <w:p w14:paraId="15A39F8D" w14:textId="77777777" w:rsidR="00B622DA" w:rsidRPr="00ED333E" w:rsidRDefault="00B622DA" w:rsidP="00B622DA">
      <w:pPr>
        <w:numPr>
          <w:ilvl w:val="0"/>
          <w:numId w:val="39"/>
        </w:numPr>
        <w:spacing w:after="0" w:line="247" w:lineRule="auto"/>
        <w:ind w:right="11" w:hanging="49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uwarunkowania zdrowotne populacji (osoby chore, osoby starsze, osoby z </w:t>
      </w:r>
    </w:p>
    <w:p w14:paraId="412C9E4B" w14:textId="77777777" w:rsidR="00B622DA" w:rsidRPr="00ED333E" w:rsidRDefault="00B622DA" w:rsidP="00B622DA">
      <w:pPr>
        <w:numPr>
          <w:ilvl w:val="0"/>
          <w:numId w:val="39"/>
        </w:numPr>
        <w:spacing w:after="0" w:line="247" w:lineRule="auto"/>
        <w:ind w:right="11" w:hanging="49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obniżoną odpornością),</w:t>
      </w:r>
    </w:p>
    <w:p w14:paraId="67C17451" w14:textId="77777777" w:rsidR="00B622DA" w:rsidRPr="00ED333E" w:rsidRDefault="00B622DA" w:rsidP="00B622DA">
      <w:pPr>
        <w:numPr>
          <w:ilvl w:val="0"/>
          <w:numId w:val="39"/>
        </w:numPr>
        <w:spacing w:after="0" w:line="247" w:lineRule="auto"/>
        <w:ind w:right="11" w:hanging="49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inwazyjność zabiegów i usług (zabiegi chirurgiczne, przeszczepy, otwarte rany,</w:t>
      </w:r>
    </w:p>
    <w:p w14:paraId="039835CD" w14:textId="77777777" w:rsidR="00B622DA" w:rsidRPr="00ED333E" w:rsidRDefault="00B622DA" w:rsidP="00B622DA">
      <w:pPr>
        <w:numPr>
          <w:ilvl w:val="0"/>
          <w:numId w:val="39"/>
        </w:numPr>
        <w:spacing w:after="0" w:line="247" w:lineRule="auto"/>
        <w:ind w:right="11" w:hanging="49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inwazyjność usług (zakłady pogrzebowe, zakłady beauty),</w:t>
      </w:r>
    </w:p>
    <w:p w14:paraId="01549BF2" w14:textId="77777777" w:rsidR="00B622DA" w:rsidRPr="00ED333E" w:rsidRDefault="00B622DA" w:rsidP="00B622DA">
      <w:pPr>
        <w:numPr>
          <w:ilvl w:val="0"/>
          <w:numId w:val="39"/>
        </w:numPr>
        <w:spacing w:after="0" w:line="247" w:lineRule="auto"/>
        <w:ind w:right="11" w:hanging="49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ryzyka wynikające z samego obiektu (podmiot leczniczy - kolonizacja drobnoustrojami chorobotwórczymi, usługi kosmetyczne, usługi pogrzebowe).</w:t>
      </w:r>
    </w:p>
    <w:p w14:paraId="25EF354F" w14:textId="655CEEEF" w:rsidR="00B622DA" w:rsidRPr="00ED333E" w:rsidRDefault="00B622DA" w:rsidP="00B622DA">
      <w:pPr>
        <w:spacing w:after="0" w:line="247" w:lineRule="auto"/>
        <w:ind w:left="10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Kontrole nieplanowane przeprowadzane są niezwłocznie i niezależnie od kategorii ryzyka i mogą dotyczyć w szczególności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>:</w:t>
      </w:r>
    </w:p>
    <w:p w14:paraId="64DCD97C" w14:textId="77777777" w:rsidR="00B622DA" w:rsidRPr="00ED333E" w:rsidRDefault="00B622DA" w:rsidP="00B622DA">
      <w:pPr>
        <w:numPr>
          <w:ilvl w:val="0"/>
          <w:numId w:val="40"/>
        </w:numPr>
        <w:spacing w:after="0" w:line="247" w:lineRule="auto"/>
        <w:ind w:left="709" w:right="11" w:hanging="49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wystąpienie podejrzenia zagrożenia życia lub zdrowia,</w:t>
      </w:r>
    </w:p>
    <w:p w14:paraId="079061D3" w14:textId="63CAEF9E" w:rsidR="00B622DA" w:rsidRPr="00ED333E" w:rsidRDefault="00B622DA" w:rsidP="00B622DA">
      <w:pPr>
        <w:numPr>
          <w:ilvl w:val="0"/>
          <w:numId w:val="40"/>
        </w:numPr>
        <w:spacing w:after="0" w:line="247" w:lineRule="auto"/>
        <w:ind w:left="709" w:right="11" w:hanging="49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nakaz</w:t>
      </w:r>
      <w:r w:rsidR="00ED333E" w:rsidRPr="00ED333E">
        <w:rPr>
          <w:rFonts w:ascii="Calibri" w:eastAsia="Calibri" w:hAnsi="Calibri" w:cs="Calibri"/>
          <w:color w:val="000000"/>
          <w:sz w:val="20"/>
          <w:szCs w:val="20"/>
        </w:rPr>
        <w:t>ów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 dotycząc</w:t>
      </w:r>
      <w:r w:rsidR="00ED333E" w:rsidRPr="00ED333E">
        <w:rPr>
          <w:rFonts w:ascii="Calibri" w:eastAsia="Calibri" w:hAnsi="Calibri" w:cs="Calibri"/>
          <w:color w:val="000000"/>
          <w:sz w:val="20"/>
          <w:szCs w:val="20"/>
        </w:rPr>
        <w:t>ych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 terminu / częstotliwości kontroli wynikające z przepisów prawa</w:t>
      </w:r>
      <w:r w:rsidR="00ED333E" w:rsidRPr="00ED333E">
        <w:rPr>
          <w:rFonts w:ascii="Calibri" w:eastAsia="Calibri" w:hAnsi="Calibri" w:cs="Calibri"/>
          <w:color w:val="000000"/>
          <w:sz w:val="20"/>
          <w:szCs w:val="20"/>
        </w:rPr>
        <w:t>,</w:t>
      </w:r>
    </w:p>
    <w:p w14:paraId="49058982" w14:textId="77777777" w:rsidR="00B622DA" w:rsidRPr="00ED333E" w:rsidRDefault="00B622DA" w:rsidP="00B622DA">
      <w:pPr>
        <w:numPr>
          <w:ilvl w:val="0"/>
          <w:numId w:val="40"/>
        </w:numPr>
        <w:spacing w:after="0" w:line="247" w:lineRule="auto"/>
        <w:ind w:left="709" w:right="11" w:hanging="49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uzasadnione podejrzenie popełnienia przestępstwa lub wykroczenia,</w:t>
      </w:r>
    </w:p>
    <w:p w14:paraId="7479205B" w14:textId="7CC7BCDE" w:rsidR="00B622DA" w:rsidRPr="00ED333E" w:rsidRDefault="00B622DA" w:rsidP="00B622DA">
      <w:pPr>
        <w:numPr>
          <w:ilvl w:val="0"/>
          <w:numId w:val="40"/>
        </w:numPr>
        <w:spacing w:after="0" w:line="247" w:lineRule="auto"/>
        <w:ind w:left="709" w:right="11" w:hanging="49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przeprowadzenie postępowania w celu sprawdzenia wykonania zaleceń pokontrolnych organu lub wykonania decyzji nakazujących usunięcie naruszeń prawa, w związku z przeprowadzoną kontrolą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>,</w:t>
      </w:r>
    </w:p>
    <w:p w14:paraId="10C52DA9" w14:textId="35D706FB" w:rsidR="00ED333E" w:rsidRPr="00ED333E" w:rsidRDefault="00B622DA" w:rsidP="00ED333E">
      <w:pPr>
        <w:numPr>
          <w:ilvl w:val="0"/>
          <w:numId w:val="40"/>
        </w:numPr>
        <w:spacing w:after="0" w:line="247" w:lineRule="auto"/>
        <w:ind w:left="709" w:right="11" w:hanging="49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poleceń właściwych organów administracyjnych</w:t>
      </w:r>
      <w:r w:rsidR="00ED333E" w:rsidRPr="00ED333E">
        <w:rPr>
          <w:rFonts w:ascii="Calibri" w:eastAsia="Calibri" w:hAnsi="Calibri" w:cs="Calibri"/>
          <w:color w:val="000000"/>
          <w:sz w:val="20"/>
          <w:szCs w:val="20"/>
        </w:rPr>
        <w:t>,</w:t>
      </w:r>
    </w:p>
    <w:p w14:paraId="77757140" w14:textId="77777777" w:rsidR="00ED333E" w:rsidRPr="00ED333E" w:rsidRDefault="00ED333E" w:rsidP="00ED333E">
      <w:pPr>
        <w:numPr>
          <w:ilvl w:val="0"/>
          <w:numId w:val="40"/>
        </w:numPr>
        <w:spacing w:after="0" w:line="247" w:lineRule="auto"/>
        <w:ind w:left="709" w:right="11" w:hanging="49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otrzymania z europejskich systemów RAPEX/Safety Gate, ICSMS, PENOnline, INTERACT PORTAL notyfikacji produktów, które są wprowadzane/udostępniane na rynku przez podmioty działające na terenie danego powiatu, </w:t>
      </w:r>
    </w:p>
    <w:p w14:paraId="6F86A1AD" w14:textId="77777777" w:rsidR="00ED333E" w:rsidRPr="00ED333E" w:rsidRDefault="00ED333E" w:rsidP="00ED333E">
      <w:pPr>
        <w:numPr>
          <w:ilvl w:val="0"/>
          <w:numId w:val="40"/>
        </w:numPr>
        <w:spacing w:after="0" w:line="247" w:lineRule="auto"/>
        <w:ind w:left="709" w:right="11" w:hanging="49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podejrzenia wytwarzania i wprowadzania do obrotu środków zastępczych lub nowych substancji psychoaktywnych, </w:t>
      </w:r>
    </w:p>
    <w:p w14:paraId="1AF56CC0" w14:textId="77777777" w:rsidR="00ED333E" w:rsidRPr="00ED333E" w:rsidRDefault="00ED333E" w:rsidP="00ED333E">
      <w:pPr>
        <w:numPr>
          <w:ilvl w:val="0"/>
          <w:numId w:val="40"/>
        </w:numPr>
        <w:spacing w:after="0" w:line="247" w:lineRule="auto"/>
        <w:ind w:left="709" w:right="11" w:hanging="49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prowadzenia przez przedsiębiorców działalności w zakresie wytwarzania, przetwarzania, przerabiania, przywozu, wywozu, wewnątrzwspólnotowej dostawy lub wewnątrzwspólnotowego nabycia oraz wprowadzania do obrotu nowej substancji psychoaktywnej, w tym w postaci mieszaniny lub w wyrobie, </w:t>
      </w:r>
    </w:p>
    <w:p w14:paraId="57271AD2" w14:textId="77777777" w:rsidR="00ED333E" w:rsidRPr="00ED333E" w:rsidRDefault="00ED333E" w:rsidP="00ED333E">
      <w:pPr>
        <w:numPr>
          <w:ilvl w:val="0"/>
          <w:numId w:val="40"/>
        </w:numPr>
        <w:spacing w:after="0" w:line="247" w:lineRule="auto"/>
        <w:ind w:left="709" w:right="11" w:hanging="49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zgłoszeń zamiaru przystąpienia do prac polegających na zabezpieczeniu, usunięciu lub transporcie wyrobów zawierających azbest, </w:t>
      </w:r>
    </w:p>
    <w:p w14:paraId="002288F1" w14:textId="00CD183A" w:rsidR="00ED333E" w:rsidRPr="00ED333E" w:rsidRDefault="00ED333E" w:rsidP="00ED333E">
      <w:pPr>
        <w:numPr>
          <w:ilvl w:val="0"/>
          <w:numId w:val="40"/>
        </w:numPr>
        <w:spacing w:after="0" w:line="247" w:lineRule="auto"/>
        <w:ind w:left="709" w:right="11" w:hanging="49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hAnsi="Calibri" w:cs="Calibri"/>
          <w:sz w:val="20"/>
          <w:szCs w:val="20"/>
        </w:rPr>
        <w:t xml:space="preserve">zgłoszenia wypoczynku dzieci i młodzieży w bazie wypoczynku prowadzonej przez ministra właściwego ds. oświaty i wychowania, </w:t>
      </w:r>
    </w:p>
    <w:p w14:paraId="67641B44" w14:textId="77777777" w:rsidR="00ED333E" w:rsidRPr="00ED333E" w:rsidRDefault="00ED333E" w:rsidP="00ED333E">
      <w:pPr>
        <w:spacing w:after="0" w:line="247" w:lineRule="auto"/>
        <w:ind w:left="218" w:right="11"/>
        <w:rPr>
          <w:rFonts w:ascii="Calibri" w:eastAsia="Calibri" w:hAnsi="Calibri" w:cs="Calibri"/>
          <w:color w:val="000000"/>
          <w:sz w:val="20"/>
          <w:szCs w:val="20"/>
        </w:rPr>
      </w:pPr>
    </w:p>
    <w:p w14:paraId="7AE383F7" w14:textId="3D00CCEF" w:rsidR="007C7560" w:rsidRPr="00ED333E" w:rsidRDefault="00ED333E" w:rsidP="007C7560">
      <w:pPr>
        <w:keepNext/>
        <w:keepLines/>
        <w:spacing w:after="0"/>
        <w:outlineLvl w:val="0"/>
        <w:rPr>
          <w:rFonts w:ascii="Calibri" w:hAnsi="Calibri" w:cs="Calibri"/>
          <w:sz w:val="20"/>
          <w:szCs w:val="20"/>
        </w:rPr>
      </w:pPr>
      <w:r w:rsidRPr="00ED333E">
        <w:rPr>
          <w:rFonts w:ascii="Calibri" w:hAnsi="Calibri" w:cs="Calibri"/>
          <w:sz w:val="20"/>
          <w:szCs w:val="20"/>
        </w:rPr>
        <w:lastRenderedPageBreak/>
        <w:t>Szczegółowe wytyczne umożliwiające przypisanie przedsiębiorców i ich profilu działania do właściwej dla nich kategorii ryzyka w poszczególnych obszarach nadzoru</w:t>
      </w:r>
      <w:r w:rsidRPr="00ED333E">
        <w:rPr>
          <w:rFonts w:ascii="Calibri" w:hAnsi="Calibri" w:cs="Calibri"/>
          <w:sz w:val="20"/>
          <w:szCs w:val="20"/>
        </w:rPr>
        <w:t>:</w:t>
      </w:r>
    </w:p>
    <w:p w14:paraId="63411C6E" w14:textId="77777777" w:rsidR="00ED333E" w:rsidRPr="00ED333E" w:rsidRDefault="00ED333E" w:rsidP="007C7560">
      <w:pPr>
        <w:keepNext/>
        <w:keepLines/>
        <w:spacing w:after="0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72C17A93" w14:textId="33F28BA2" w:rsidR="00E1662F" w:rsidRPr="001E6E51" w:rsidRDefault="00E1662F" w:rsidP="001E6E51">
      <w:pPr>
        <w:keepNext/>
        <w:keepLines/>
        <w:spacing w:after="0"/>
        <w:outlineLvl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1E6E51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BRANŻA SPOŻYWCZA </w:t>
      </w:r>
    </w:p>
    <w:p w14:paraId="274BCB0D" w14:textId="77777777" w:rsidR="00E1662F" w:rsidRPr="00ED333E" w:rsidRDefault="00E1662F" w:rsidP="00E1662F">
      <w:pPr>
        <w:keepNext/>
        <w:keepLines/>
        <w:spacing w:after="0"/>
        <w:ind w:left="717" w:hanging="357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4BF78A6D" w14:textId="77777777" w:rsidR="00E1662F" w:rsidRPr="00ED333E" w:rsidRDefault="00E1662F" w:rsidP="00E1662F">
      <w:pPr>
        <w:spacing w:after="0" w:line="240" w:lineRule="atLeast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Zgodnie z obowiązującymi przepisami, częstotliwość i zakres kontroli urzędowych prowadzonych przez organy Państwowej Inspekcji Sanitarnej są uzależnione od kategorii ryzyka, jaką przypisano danemu zakładowi spożywczemu. </w:t>
      </w:r>
    </w:p>
    <w:p w14:paraId="72866357" w14:textId="77777777" w:rsidR="00E1662F" w:rsidRPr="00ED333E" w:rsidRDefault="00E1662F" w:rsidP="00E1662F">
      <w:pPr>
        <w:spacing w:after="0" w:line="240" w:lineRule="atLeast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Podstawa prawna: </w:t>
      </w:r>
    </w:p>
    <w:p w14:paraId="289E0874" w14:textId="77777777" w:rsidR="00E1662F" w:rsidRPr="00ED333E" w:rsidRDefault="00E1662F" w:rsidP="00E1662F">
      <w:pPr>
        <w:numPr>
          <w:ilvl w:val="0"/>
          <w:numId w:val="20"/>
        </w:numPr>
        <w:spacing w:after="0" w:line="240" w:lineRule="atLeast"/>
        <w:ind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Rozporządzenie (UE) 2017/625 Parlamentu Europejskiego i Rady z dnia 15 marca 2017 r. w sprawie urzędowych kontroli, </w:t>
      </w:r>
    </w:p>
    <w:p w14:paraId="51B709C1" w14:textId="77777777" w:rsidR="00E1662F" w:rsidRPr="00ED333E" w:rsidRDefault="00E1662F" w:rsidP="00E1662F">
      <w:pPr>
        <w:numPr>
          <w:ilvl w:val="0"/>
          <w:numId w:val="20"/>
        </w:numPr>
        <w:spacing w:after="0" w:line="240" w:lineRule="atLeast"/>
        <w:ind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oraz krajowe przepisy wykonawcze, m.in.: </w:t>
      </w:r>
    </w:p>
    <w:p w14:paraId="75FE131E" w14:textId="77777777" w:rsidR="00E1662F" w:rsidRPr="00ED333E" w:rsidRDefault="00E1662F" w:rsidP="00E1662F">
      <w:pPr>
        <w:spacing w:after="0" w:line="240" w:lineRule="atLeast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ourier New" w:hAnsi="Calibri" w:cs="Calibri"/>
          <w:color w:val="000000"/>
          <w:sz w:val="20"/>
          <w:szCs w:val="20"/>
        </w:rPr>
        <w:t xml:space="preserve">o 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ustawa z dnia 25 sierpnia 2006 r. o bezpieczeństwie żywności i żywienia, </w:t>
      </w:r>
      <w:r w:rsidRPr="00ED333E">
        <w:rPr>
          <w:rFonts w:ascii="Calibri" w:eastAsia="Courier New" w:hAnsi="Calibri" w:cs="Calibri"/>
          <w:color w:val="000000"/>
          <w:sz w:val="20"/>
          <w:szCs w:val="20"/>
        </w:rPr>
        <w:t xml:space="preserve">o 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zarządzenie Głównego Inspektora Sanitarnego nr 291/19 z dnia 13 grudnia 2019 r. </w:t>
      </w:r>
    </w:p>
    <w:p w14:paraId="2F305638" w14:textId="77777777" w:rsidR="00E1662F" w:rsidRPr="00ED333E" w:rsidRDefault="00E1662F" w:rsidP="00E1662F">
      <w:pPr>
        <w:spacing w:after="0" w:line="240" w:lineRule="atLeast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zmieniające zarządzenie w sprawie procedury przeprowadzania urzędowej kontroli żywności oraz materiałów i wyrobów przeznaczonych do kontaktu z żywnością. </w:t>
      </w:r>
    </w:p>
    <w:p w14:paraId="64D2F480" w14:textId="6C68609B" w:rsidR="00E1662F" w:rsidRPr="00ED333E" w:rsidRDefault="00E1662F" w:rsidP="00E1662F">
      <w:pPr>
        <w:keepNext/>
        <w:keepLines/>
        <w:spacing w:after="0" w:line="240" w:lineRule="atLeast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W procedurze wprowadzonej ww. zarządzeniem GIS jest instrukcja dotyczącą kryteriów oceny zakładu produkcji/obrotu żywnością/żywienia zbiorowego/materiałów i wyrobów przeznaczonych do kontaktu z żywnością, która określa kryteria oceny zakładu uwzględniając rodzaj ryzyka -ryzyko niskie, średnie i duże a także kategoryzacja zakładów w oparciu o profil działalności. Kategoria nie jest przypisywana raz, w każdej chwili może ulec zmianie. Na podstawie ustaleń kontrolnych może zostać podwyższona, obniżona lub utrzymana.</w:t>
      </w:r>
    </w:p>
    <w:p w14:paraId="0F20B18D" w14:textId="77777777" w:rsidR="00E1662F" w:rsidRPr="00ED333E" w:rsidRDefault="00E1662F" w:rsidP="00E1662F">
      <w:pPr>
        <w:keepNext/>
        <w:keepLines/>
        <w:spacing w:after="0" w:line="240" w:lineRule="atLeast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0F38D695" w14:textId="77777777" w:rsidR="00E1662F" w:rsidRPr="00ED333E" w:rsidRDefault="00E1662F" w:rsidP="00E1662F">
      <w:pPr>
        <w:keepNext/>
        <w:keepLines/>
        <w:spacing w:after="0" w:line="240" w:lineRule="atLeast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7CB5CF11" w14:textId="4D89D7B7" w:rsidR="00E1662F" w:rsidRDefault="00E1662F" w:rsidP="001E6E51">
      <w:pPr>
        <w:keepNext/>
        <w:keepLines/>
        <w:spacing w:after="0"/>
        <w:outlineLvl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1E6E51">
        <w:rPr>
          <w:rFonts w:ascii="Calibri" w:eastAsia="Calibri" w:hAnsi="Calibri" w:cs="Calibri"/>
          <w:b/>
          <w:bCs/>
          <w:color w:val="000000"/>
          <w:sz w:val="20"/>
          <w:szCs w:val="20"/>
        </w:rPr>
        <w:t>OBSZAR PRODUKTÓW BIOBÓJCZYCH</w:t>
      </w:r>
    </w:p>
    <w:p w14:paraId="49AEB1FF" w14:textId="77777777" w:rsidR="001E6E51" w:rsidRPr="001E6E51" w:rsidRDefault="001E6E51" w:rsidP="001E6E51">
      <w:pPr>
        <w:keepNext/>
        <w:keepLines/>
        <w:spacing w:after="0"/>
        <w:outlineLvl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tbl>
      <w:tblPr>
        <w:tblW w:w="7924" w:type="dxa"/>
        <w:tblInd w:w="21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456"/>
        <w:gridCol w:w="3031"/>
        <w:gridCol w:w="3437"/>
      </w:tblGrid>
      <w:tr w:rsidR="00E1662F" w:rsidRPr="00ED333E" w14:paraId="28E559B0" w14:textId="77777777" w:rsidTr="002A6332">
        <w:trPr>
          <w:trHeight w:val="250"/>
        </w:trPr>
        <w:tc>
          <w:tcPr>
            <w:tcW w:w="7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EC98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Analiza ryzyka</w:t>
            </w:r>
          </w:p>
        </w:tc>
      </w:tr>
      <w:tr w:rsidR="00E1662F" w:rsidRPr="00ED333E" w14:paraId="33208C58" w14:textId="77777777" w:rsidTr="002A6332">
        <w:trPr>
          <w:trHeight w:val="729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7FF2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Wysokie ryzyko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1393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Wyniki poprzednich kontroli: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ABC6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Stwierdzone wcześniej poważne uchybienia w zakresie przepisów dotyczących produktów biobójczych </w:t>
            </w:r>
          </w:p>
        </w:tc>
      </w:tr>
    </w:tbl>
    <w:p w14:paraId="02B4D567" w14:textId="77777777" w:rsidR="00E1662F" w:rsidRPr="00ED333E" w:rsidRDefault="00E1662F" w:rsidP="00E1662F">
      <w:pPr>
        <w:spacing w:after="0"/>
        <w:ind w:left="-1970" w:right="20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7924" w:type="dxa"/>
        <w:tblInd w:w="21" w:type="dxa"/>
        <w:tblCellMar>
          <w:top w:w="40" w:type="dxa"/>
          <w:left w:w="107" w:type="dxa"/>
          <w:right w:w="91" w:type="dxa"/>
        </w:tblCellMar>
        <w:tblLook w:val="04A0" w:firstRow="1" w:lastRow="0" w:firstColumn="1" w:lastColumn="0" w:noHBand="0" w:noVBand="1"/>
      </w:tblPr>
      <w:tblGrid>
        <w:gridCol w:w="1456"/>
        <w:gridCol w:w="3031"/>
        <w:gridCol w:w="3437"/>
      </w:tblGrid>
      <w:tr w:rsidR="00E1662F" w:rsidRPr="00ED333E" w14:paraId="6FD0DD16" w14:textId="77777777" w:rsidTr="002A6332">
        <w:trPr>
          <w:trHeight w:val="3129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8431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395A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EB52" w14:textId="77777777" w:rsidR="00E1662F" w:rsidRPr="00ED333E" w:rsidRDefault="00E1662F" w:rsidP="00E1662F">
            <w:pPr>
              <w:spacing w:after="240" w:line="236" w:lineRule="auto"/>
              <w:ind w:left="1" w:right="6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-udostępniania na rynku produktu biobójczego bez pozwolenia lub zawierającego substancje czynną nie znajdującą się w wykazie, o którym mowa w art. 95 rozporządzenia BPR.</w:t>
            </w:r>
          </w:p>
          <w:p w14:paraId="7FB7500C" w14:textId="77777777" w:rsidR="00E1662F" w:rsidRPr="00ED333E" w:rsidRDefault="00E1662F" w:rsidP="00E1662F">
            <w:pPr>
              <w:spacing w:after="24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Nieterminowe realizowanie zaleceń z poprzednich kontroli. </w:t>
            </w:r>
          </w:p>
          <w:p w14:paraId="3686E375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Unikanie i celowe utrudnianie kontroli.</w:t>
            </w:r>
          </w:p>
        </w:tc>
      </w:tr>
      <w:tr w:rsidR="00E1662F" w:rsidRPr="00ED333E" w14:paraId="53B237FE" w14:textId="77777777" w:rsidTr="002A6332">
        <w:trPr>
          <w:trHeight w:val="2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902D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D980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Interwencje oraz informacje od innych organów: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E476" w14:textId="77777777" w:rsidR="00E1662F" w:rsidRPr="00ED333E" w:rsidRDefault="00E1662F" w:rsidP="00E1662F">
            <w:pPr>
              <w:spacing w:after="0"/>
              <w:ind w:left="1" w:right="6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Liczne interwencje konsumenckie lub informacje od innych organów w zakresie naruszenia przepisów dotyczących produktów biobójczych - udostępniania na rynku produktu biobójczego bez pozwolenia lub zawierającego substancje czynną nie znajdującą się w wykazie, o którym mowa w art. 95 rozporządzenia BPR.</w:t>
            </w:r>
          </w:p>
        </w:tc>
      </w:tr>
      <w:tr w:rsidR="00E1662F" w:rsidRPr="00ED333E" w14:paraId="66A29BBB" w14:textId="77777777" w:rsidTr="002A6332">
        <w:trPr>
          <w:trHeight w:val="6743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DCCB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Średnie ryzyko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4990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Wyniki poprzednich kontroli: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EFDA" w14:textId="77777777" w:rsidR="00E1662F" w:rsidRPr="00ED333E" w:rsidRDefault="00E1662F" w:rsidP="00E1662F">
            <w:pPr>
              <w:spacing w:after="7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Stwierdzone wcześniej uchybienia w zakresie przepisów ustawy o produktach biobójczych opisanych w art. 46 ust. 1 pkt 1-7 oraz ust. 2 </w:t>
            </w:r>
          </w:p>
          <w:p w14:paraId="71857687" w14:textId="77777777" w:rsidR="00E1662F" w:rsidRPr="00ED333E" w:rsidRDefault="00E1662F" w:rsidP="00E1662F">
            <w:pPr>
              <w:numPr>
                <w:ilvl w:val="0"/>
                <w:numId w:val="21"/>
              </w:numPr>
              <w:spacing w:after="0" w:line="237" w:lineRule="auto"/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wprowadzania do obrotu produktu biobójczego nieopakowanego lub nieoznakowanego zgodnie z rozporządzeniem BPR (art. 69) lub ustawą o produktach </w:t>
            </w:r>
          </w:p>
          <w:p w14:paraId="28210E4F" w14:textId="77777777" w:rsidR="00E1662F" w:rsidRPr="00ED333E" w:rsidRDefault="00E1662F" w:rsidP="00E1662F">
            <w:pPr>
              <w:spacing w:after="0"/>
              <w:ind w:left="36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biobójczych (art. 31-33);</w:t>
            </w:r>
          </w:p>
          <w:p w14:paraId="172EAA85" w14:textId="77777777" w:rsidR="00E1662F" w:rsidRPr="00ED333E" w:rsidRDefault="00E1662F" w:rsidP="00E1662F">
            <w:pPr>
              <w:numPr>
                <w:ilvl w:val="0"/>
                <w:numId w:val="21"/>
              </w:numPr>
              <w:spacing w:after="0" w:line="248" w:lineRule="auto"/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reklamowania produktu </w:t>
            </w:r>
          </w:p>
          <w:p w14:paraId="74505E2B" w14:textId="77777777" w:rsidR="00E1662F" w:rsidRPr="00ED333E" w:rsidRDefault="00E1662F" w:rsidP="00E1662F">
            <w:pPr>
              <w:spacing w:after="0"/>
              <w:ind w:left="36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biobójczego niezgodnie z </w:t>
            </w:r>
          </w:p>
          <w:p w14:paraId="4A399E1E" w14:textId="77777777" w:rsidR="00E1662F" w:rsidRPr="00ED333E" w:rsidRDefault="00E1662F" w:rsidP="00E1662F">
            <w:pPr>
              <w:spacing w:after="0"/>
              <w:ind w:left="36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przepisami rozporządzenia BPR </w:t>
            </w:r>
          </w:p>
          <w:p w14:paraId="1F73C08A" w14:textId="77777777" w:rsidR="00E1662F" w:rsidRPr="00ED333E" w:rsidRDefault="00E1662F" w:rsidP="00E1662F">
            <w:pPr>
              <w:spacing w:after="0"/>
              <w:ind w:left="36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(art. 72);</w:t>
            </w:r>
          </w:p>
          <w:p w14:paraId="36AE273B" w14:textId="77777777" w:rsidR="00E1662F" w:rsidRPr="00ED333E" w:rsidRDefault="00E1662F" w:rsidP="00E1662F">
            <w:pPr>
              <w:numPr>
                <w:ilvl w:val="0"/>
                <w:numId w:val="21"/>
              </w:numPr>
              <w:spacing w:after="0" w:line="248" w:lineRule="auto"/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nieprzechowywania w </w:t>
            </w:r>
          </w:p>
          <w:p w14:paraId="5223C5A5" w14:textId="77777777" w:rsidR="00E1662F" w:rsidRPr="00ED333E" w:rsidRDefault="00E1662F" w:rsidP="00E1662F">
            <w:pPr>
              <w:spacing w:after="0" w:line="236" w:lineRule="auto"/>
              <w:ind w:left="361" w:right="9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odniesieniu do procesu produkcji odpowiedniej dokumentacji lub </w:t>
            </w:r>
          </w:p>
          <w:p w14:paraId="41622228" w14:textId="77777777" w:rsidR="00E1662F" w:rsidRPr="00ED333E" w:rsidRDefault="00E1662F" w:rsidP="00E1662F">
            <w:pPr>
              <w:spacing w:after="7" w:line="236" w:lineRule="auto"/>
              <w:ind w:left="36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nieprzechowywania próbek serii produkcyjnych produktu biobójczego zgodnie z rozporządzeniem BPR (art. 65 ust. 2);</w:t>
            </w:r>
          </w:p>
          <w:p w14:paraId="6CC542DA" w14:textId="77777777" w:rsidR="00E1662F" w:rsidRPr="00ED333E" w:rsidRDefault="00E1662F" w:rsidP="00E1662F">
            <w:pPr>
              <w:numPr>
                <w:ilvl w:val="0"/>
                <w:numId w:val="21"/>
              </w:numPr>
              <w:spacing w:after="0" w:line="248" w:lineRule="auto"/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udostępniania na rynku produktu biobójczego zawierającego informacje niezgodne z zatwierdzonym </w:t>
            </w:r>
          </w:p>
        </w:tc>
      </w:tr>
    </w:tbl>
    <w:p w14:paraId="073D3C90" w14:textId="77777777" w:rsidR="00E1662F" w:rsidRPr="00ED333E" w:rsidRDefault="00E1662F" w:rsidP="00E1662F">
      <w:pPr>
        <w:spacing w:after="0"/>
        <w:ind w:left="-1970" w:right="20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7924" w:type="dxa"/>
        <w:tblInd w:w="21" w:type="dxa"/>
        <w:tblCellMar>
          <w:top w:w="40" w:type="dxa"/>
          <w:right w:w="91" w:type="dxa"/>
        </w:tblCellMar>
        <w:tblLook w:val="04A0" w:firstRow="1" w:lastRow="0" w:firstColumn="1" w:lastColumn="0" w:noHBand="0" w:noVBand="1"/>
      </w:tblPr>
      <w:tblGrid>
        <w:gridCol w:w="1456"/>
        <w:gridCol w:w="3031"/>
        <w:gridCol w:w="3437"/>
      </w:tblGrid>
      <w:tr w:rsidR="00E1662F" w:rsidRPr="00ED333E" w14:paraId="5DE3B9F3" w14:textId="77777777" w:rsidTr="002A6332">
        <w:trPr>
          <w:trHeight w:val="482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1BCE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9038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7AC6" w14:textId="77777777" w:rsidR="00E1662F" w:rsidRPr="00ED333E" w:rsidRDefault="00E1662F" w:rsidP="00E1662F">
            <w:pPr>
              <w:spacing w:after="7" w:line="236" w:lineRule="auto"/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oznakowaniem wprowadzonego do obrotu produktu biobójczego;</w:t>
            </w:r>
          </w:p>
          <w:p w14:paraId="3673F43E" w14:textId="77777777" w:rsidR="00E1662F" w:rsidRPr="00ED333E" w:rsidRDefault="00E1662F" w:rsidP="00E1662F">
            <w:pPr>
              <w:numPr>
                <w:ilvl w:val="0"/>
                <w:numId w:val="22"/>
              </w:numPr>
              <w:spacing w:after="6" w:line="237" w:lineRule="auto"/>
              <w:ind w:right="15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nieprzekazywania w terminie określonym w ustawie o produktach biobójczych informacji o zmianie dostawcy substancji czynnej (art. 27 ust. 6).</w:t>
            </w:r>
          </w:p>
          <w:p w14:paraId="196DC12C" w14:textId="77777777" w:rsidR="00E1662F" w:rsidRPr="00ED333E" w:rsidRDefault="00E1662F" w:rsidP="00E1662F">
            <w:pPr>
              <w:numPr>
                <w:ilvl w:val="0"/>
                <w:numId w:val="22"/>
              </w:numPr>
              <w:spacing w:after="5" w:line="237" w:lineRule="auto"/>
              <w:ind w:right="15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nieprzekazywania konsumentowi (na jego wniosek) przez dostawcę wyrobu poddanego działaniu produktu biobójczego, informacji na temat produktu </w:t>
            </w:r>
          </w:p>
          <w:p w14:paraId="229875E0" w14:textId="77777777" w:rsidR="00E1662F" w:rsidRPr="00ED333E" w:rsidRDefault="00E1662F" w:rsidP="00E1662F">
            <w:pPr>
              <w:numPr>
                <w:ilvl w:val="0"/>
                <w:numId w:val="22"/>
              </w:numPr>
              <w:spacing w:after="234" w:line="242" w:lineRule="auto"/>
              <w:ind w:right="15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biobójczego, którego działaniu poddany został ten   wyrób.</w:t>
            </w:r>
          </w:p>
          <w:p w14:paraId="4DEED164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Brak współpracy w czasie poprzednich kontroli.</w:t>
            </w:r>
          </w:p>
        </w:tc>
      </w:tr>
      <w:tr w:rsidR="00E1662F" w:rsidRPr="00ED333E" w14:paraId="16EEED34" w14:textId="77777777" w:rsidTr="002A6332">
        <w:trPr>
          <w:trHeight w:val="7223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8A34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A816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Interwencje oraz informacje od innych organów: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1A7F" w14:textId="77777777" w:rsidR="00E1662F" w:rsidRPr="00ED333E" w:rsidRDefault="00E1662F" w:rsidP="00E1662F">
            <w:pPr>
              <w:spacing w:after="7" w:line="23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Pojedyncze interwencje konsumenckie lub informacje od innych organów nadzoru w zakresie naruszenia przepisów ustawy o produktach biobójczych opisanych w art. 46 ust. 1 pkt 1-7 oraz ust. 2</w:t>
            </w:r>
          </w:p>
          <w:p w14:paraId="3E65776B" w14:textId="77777777" w:rsidR="00E1662F" w:rsidRPr="00ED333E" w:rsidRDefault="00E1662F" w:rsidP="00E1662F">
            <w:pPr>
              <w:numPr>
                <w:ilvl w:val="0"/>
                <w:numId w:val="23"/>
              </w:numPr>
              <w:spacing w:after="0" w:line="237" w:lineRule="auto"/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wprowadzania do obrotu produktu biobójczego nieopakowanego lub nieoznakowanego zgodnie z rozporządzeniem BPR (art. 69) lub ustawą o produktach </w:t>
            </w:r>
          </w:p>
          <w:p w14:paraId="55A31252" w14:textId="77777777" w:rsidR="00E1662F" w:rsidRPr="00ED333E" w:rsidRDefault="00E1662F" w:rsidP="00E1662F">
            <w:pPr>
              <w:spacing w:after="0"/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biobójczych (art. 31-33);</w:t>
            </w:r>
          </w:p>
          <w:p w14:paraId="6C02B472" w14:textId="77777777" w:rsidR="00E1662F" w:rsidRPr="00ED333E" w:rsidRDefault="00E1662F" w:rsidP="00E1662F">
            <w:pPr>
              <w:numPr>
                <w:ilvl w:val="0"/>
                <w:numId w:val="23"/>
              </w:numPr>
              <w:spacing w:after="0" w:line="248" w:lineRule="auto"/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reklamowania produktu </w:t>
            </w:r>
          </w:p>
          <w:p w14:paraId="3ED15F64" w14:textId="77777777" w:rsidR="00E1662F" w:rsidRPr="00ED333E" w:rsidRDefault="00E1662F" w:rsidP="00E1662F">
            <w:pPr>
              <w:spacing w:after="0"/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biobójczego niezgodnie z </w:t>
            </w:r>
          </w:p>
          <w:p w14:paraId="0145616A" w14:textId="77777777" w:rsidR="00E1662F" w:rsidRPr="00ED333E" w:rsidRDefault="00E1662F" w:rsidP="00E1662F">
            <w:pPr>
              <w:spacing w:after="0"/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przepisami rozporządzenia BPR </w:t>
            </w:r>
          </w:p>
          <w:p w14:paraId="5DB6CA11" w14:textId="77777777" w:rsidR="00E1662F" w:rsidRPr="00ED333E" w:rsidRDefault="00E1662F" w:rsidP="00E1662F">
            <w:pPr>
              <w:spacing w:after="0"/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(art. 72);</w:t>
            </w:r>
          </w:p>
          <w:p w14:paraId="4872CE9C" w14:textId="77777777" w:rsidR="00E1662F" w:rsidRPr="00ED333E" w:rsidRDefault="00E1662F" w:rsidP="00E1662F">
            <w:pPr>
              <w:numPr>
                <w:ilvl w:val="0"/>
                <w:numId w:val="23"/>
              </w:numPr>
              <w:spacing w:after="0" w:line="248" w:lineRule="auto"/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nieprzechowywania w </w:t>
            </w:r>
          </w:p>
          <w:p w14:paraId="776D1335" w14:textId="77777777" w:rsidR="00E1662F" w:rsidRPr="00ED333E" w:rsidRDefault="00E1662F" w:rsidP="00E1662F">
            <w:pPr>
              <w:spacing w:after="0" w:line="236" w:lineRule="auto"/>
              <w:ind w:left="360" w:right="9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odniesieniu do procesu produkcji odpowiedniej dokumentacji lub </w:t>
            </w:r>
          </w:p>
          <w:p w14:paraId="2E86BE9B" w14:textId="77777777" w:rsidR="00E1662F" w:rsidRPr="00ED333E" w:rsidRDefault="00E1662F" w:rsidP="00E1662F">
            <w:pPr>
              <w:spacing w:after="7" w:line="236" w:lineRule="auto"/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nieprzechowywania próbek serii produkcyjnych produktu biobójczego zgodnie z rozporządzeniem BPR (art. 65 ust. 2);</w:t>
            </w:r>
          </w:p>
          <w:p w14:paraId="024B1EF2" w14:textId="77777777" w:rsidR="00E1662F" w:rsidRPr="00ED333E" w:rsidRDefault="00E1662F" w:rsidP="00E1662F">
            <w:pPr>
              <w:numPr>
                <w:ilvl w:val="0"/>
                <w:numId w:val="23"/>
              </w:numPr>
              <w:spacing w:after="0" w:line="248" w:lineRule="auto"/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udostępniania na rynku produktu biobójczego zawierającego informacje niezgodne z zatwierdzonym </w:t>
            </w:r>
          </w:p>
        </w:tc>
      </w:tr>
    </w:tbl>
    <w:p w14:paraId="670E9BB6" w14:textId="77777777" w:rsidR="00E1662F" w:rsidRPr="00ED333E" w:rsidRDefault="00E1662F" w:rsidP="00E1662F">
      <w:pPr>
        <w:spacing w:after="0"/>
        <w:ind w:left="-1970" w:right="20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7924" w:type="dxa"/>
        <w:tblInd w:w="21" w:type="dxa"/>
        <w:tblCellMar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1456"/>
        <w:gridCol w:w="3031"/>
        <w:gridCol w:w="3437"/>
      </w:tblGrid>
      <w:tr w:rsidR="00E1662F" w:rsidRPr="00ED333E" w14:paraId="27484E14" w14:textId="77777777" w:rsidTr="002A6332">
        <w:trPr>
          <w:trHeight w:val="386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9253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41A2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C8A1" w14:textId="77777777" w:rsidR="00E1662F" w:rsidRPr="00ED333E" w:rsidRDefault="00E1662F" w:rsidP="00E1662F">
            <w:pPr>
              <w:spacing w:after="7" w:line="236" w:lineRule="auto"/>
              <w:ind w:left="36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oznakowaniem wprowadzonego do obrotu produktu biobójczego;</w:t>
            </w:r>
          </w:p>
          <w:p w14:paraId="01D9AE18" w14:textId="77777777" w:rsidR="00E1662F" w:rsidRPr="00ED333E" w:rsidRDefault="00E1662F" w:rsidP="00E1662F">
            <w:pPr>
              <w:numPr>
                <w:ilvl w:val="0"/>
                <w:numId w:val="24"/>
              </w:numPr>
              <w:spacing w:after="6" w:line="237" w:lineRule="auto"/>
              <w:ind w:right="2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nieprzekazywania w terminie określonym w ustawie o produktach biobójczych informacji o zmianie dostawcy substancji czynnej (art. 27 ust. 6).</w:t>
            </w:r>
          </w:p>
          <w:p w14:paraId="16F88DE3" w14:textId="77777777" w:rsidR="00E1662F" w:rsidRPr="00ED333E" w:rsidRDefault="00E1662F" w:rsidP="00E1662F">
            <w:pPr>
              <w:numPr>
                <w:ilvl w:val="0"/>
                <w:numId w:val="24"/>
              </w:numPr>
              <w:spacing w:after="5" w:line="237" w:lineRule="auto"/>
              <w:ind w:right="2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nieprzekazywania konsumentowi (na jego wniosek) przez dostawcę wyrobu poddanego działaniu produktu biobójczego, informacji na temat produktu </w:t>
            </w:r>
          </w:p>
          <w:p w14:paraId="5867F5AA" w14:textId="77777777" w:rsidR="00E1662F" w:rsidRPr="00ED333E" w:rsidRDefault="00E1662F" w:rsidP="00E1662F">
            <w:pPr>
              <w:numPr>
                <w:ilvl w:val="0"/>
                <w:numId w:val="24"/>
              </w:numPr>
              <w:spacing w:after="0" w:line="248" w:lineRule="auto"/>
              <w:ind w:right="2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biobójczego, którego działaniu poddany został ten   wyrób.</w:t>
            </w:r>
          </w:p>
        </w:tc>
      </w:tr>
      <w:tr w:rsidR="00E1662F" w:rsidRPr="00ED333E" w14:paraId="454AFE06" w14:textId="77777777" w:rsidTr="002A6332">
        <w:trPr>
          <w:trHeight w:val="577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2E82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F184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Inne przesłanki: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28F2" w14:textId="77777777" w:rsidR="00E1662F" w:rsidRPr="00ED333E" w:rsidRDefault="00E1662F" w:rsidP="00E1662F">
            <w:pPr>
              <w:spacing w:after="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Brak zapewnienia zgodności z przepisami rozporządzenia REACH i CLP m.in:</w:t>
            </w:r>
          </w:p>
          <w:p w14:paraId="4361BD81" w14:textId="77777777" w:rsidR="00E1662F" w:rsidRPr="00ED333E" w:rsidRDefault="00E1662F" w:rsidP="00E1662F">
            <w:pPr>
              <w:numPr>
                <w:ilvl w:val="0"/>
                <w:numId w:val="25"/>
              </w:numPr>
              <w:spacing w:after="0" w:line="236" w:lineRule="auto"/>
              <w:ind w:right="24" w:hanging="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brak atestowanego zamknięcia zabezpieczającego przed otwarciem przez dziećmi w przypadku, gdy jest to wymagane;</w:t>
            </w:r>
          </w:p>
          <w:p w14:paraId="17AFE5CB" w14:textId="77777777" w:rsidR="00E1662F" w:rsidRPr="00ED333E" w:rsidRDefault="00E1662F" w:rsidP="00E1662F">
            <w:pPr>
              <w:numPr>
                <w:ilvl w:val="0"/>
                <w:numId w:val="25"/>
              </w:numPr>
              <w:spacing w:after="240" w:line="236" w:lineRule="auto"/>
              <w:ind w:right="24" w:hanging="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brak wyczuwalnego dotykiem ostrzeżenia o niebezpieczeństwie, gdy jest to wymagane; – brak zgłoszeń PCN/UFI dla mieszanin stwarzających zagrożenie; – nieprawidłowości w zakresie kart charakterystyki</w:t>
            </w:r>
          </w:p>
          <w:p w14:paraId="520F4DC0" w14:textId="77777777" w:rsidR="00E1662F" w:rsidRPr="00ED333E" w:rsidRDefault="00E1662F" w:rsidP="00E1662F">
            <w:pPr>
              <w:spacing w:after="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 przypadku konfekcjonerów produktów biobójczych </w:t>
            </w:r>
          </w:p>
          <w:p w14:paraId="302690A6" w14:textId="77777777" w:rsidR="00E1662F" w:rsidRPr="00ED333E" w:rsidRDefault="00E1662F" w:rsidP="00E1662F">
            <w:pPr>
              <w:spacing w:after="24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– wystąpienie przypadków braku zgody właściciela pozwolenia na konfekcjonowanie produktu biobójczego.</w:t>
            </w:r>
          </w:p>
          <w:p w14:paraId="5287F83C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Braki naruszeń kwalifikujących do wysokiego ryzyka.</w:t>
            </w:r>
          </w:p>
        </w:tc>
      </w:tr>
      <w:tr w:rsidR="00E1662F" w:rsidRPr="00ED333E" w14:paraId="1C33B0F2" w14:textId="77777777" w:rsidTr="002A6332">
        <w:trPr>
          <w:trHeight w:val="73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F90E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Niskie ryzyko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75DD" w14:textId="77777777" w:rsidR="00E1662F" w:rsidRPr="00ED333E" w:rsidRDefault="00E1662F" w:rsidP="00E1662F">
            <w:pPr>
              <w:spacing w:after="216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Wyniki poprzednich kontroli:</w:t>
            </w:r>
          </w:p>
          <w:p w14:paraId="5C7068B7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0E9E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Nieliczne, drobne uchybienia w zakresie przepisów dotyczących produktów biobójczych </w:t>
            </w:r>
          </w:p>
        </w:tc>
      </w:tr>
      <w:tr w:rsidR="00E1662F" w:rsidRPr="00ED333E" w14:paraId="38187A8C" w14:textId="77777777" w:rsidTr="002A6332">
        <w:trPr>
          <w:trHeight w:val="12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CD3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D403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Interwencje: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5B1F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Interwencje lub pojedyncze skargi konsumenckie w zakresie naruszenia innych niż wskazanych dla wyższych poziomów ryzyka przepisów dotyczących produktów biobójczych </w:t>
            </w:r>
          </w:p>
        </w:tc>
      </w:tr>
      <w:tr w:rsidR="00E1662F" w:rsidRPr="00ED333E" w14:paraId="4BD1349E" w14:textId="77777777" w:rsidTr="002A6332">
        <w:trPr>
          <w:trHeight w:val="489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0EE0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5BD4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Inne przesłanki: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8D30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Braki naruszeń kwalifikujących do wysokiego i średniego ryzyka.  </w:t>
            </w:r>
          </w:p>
        </w:tc>
      </w:tr>
      <w:tr w:rsidR="00E1662F" w:rsidRPr="00ED333E" w14:paraId="23B5C98B" w14:textId="77777777" w:rsidTr="002A6332">
        <w:trPr>
          <w:trHeight w:val="96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647F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2079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28E9C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Brak innych przesłanek do kwalifikacji wysokiego lub średniego ryzyka.</w:t>
            </w:r>
          </w:p>
        </w:tc>
      </w:tr>
    </w:tbl>
    <w:p w14:paraId="4D0585AB" w14:textId="77777777" w:rsidR="00E1662F" w:rsidRPr="00ED333E" w:rsidRDefault="00E1662F" w:rsidP="00E1662F">
      <w:pPr>
        <w:keepNext/>
        <w:keepLines/>
        <w:spacing w:after="0"/>
        <w:ind w:left="720" w:hanging="360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1001AF4B" w14:textId="61BD1CD6" w:rsidR="00E1662F" w:rsidRPr="001E6E51" w:rsidRDefault="00E1662F" w:rsidP="001E6E51">
      <w:pPr>
        <w:keepNext/>
        <w:keepLines/>
        <w:spacing w:after="0"/>
        <w:outlineLvl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1E6E51">
        <w:rPr>
          <w:rFonts w:ascii="Calibri" w:eastAsia="Calibri" w:hAnsi="Calibri" w:cs="Calibri"/>
          <w:b/>
          <w:bCs/>
          <w:color w:val="000000"/>
          <w:sz w:val="20"/>
          <w:szCs w:val="20"/>
        </w:rPr>
        <w:t>OBSZAR PRODUKTÓW KOSMETYCZNYCH</w:t>
      </w:r>
    </w:p>
    <w:p w14:paraId="684533CB" w14:textId="77777777" w:rsidR="00E1662F" w:rsidRPr="00ED333E" w:rsidRDefault="00E1662F" w:rsidP="00E1662F">
      <w:pPr>
        <w:pStyle w:val="Akapitzlist"/>
        <w:keepNext/>
        <w:keepLines/>
        <w:spacing w:after="0"/>
        <w:ind w:left="735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7924" w:type="dxa"/>
        <w:tblInd w:w="21" w:type="dxa"/>
        <w:tblCellMar>
          <w:top w:w="41" w:type="dxa"/>
          <w:left w:w="107" w:type="dxa"/>
          <w:bottom w:w="4" w:type="dxa"/>
          <w:right w:w="80" w:type="dxa"/>
        </w:tblCellMar>
        <w:tblLook w:val="04A0" w:firstRow="1" w:lastRow="0" w:firstColumn="1" w:lastColumn="0" w:noHBand="0" w:noVBand="1"/>
      </w:tblPr>
      <w:tblGrid>
        <w:gridCol w:w="1437"/>
        <w:gridCol w:w="2600"/>
        <w:gridCol w:w="3887"/>
      </w:tblGrid>
      <w:tr w:rsidR="00E1662F" w:rsidRPr="00ED333E" w14:paraId="4DE84C52" w14:textId="77777777" w:rsidTr="002A6332">
        <w:trPr>
          <w:trHeight w:val="730"/>
        </w:trPr>
        <w:tc>
          <w:tcPr>
            <w:tcW w:w="7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F96B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Analiza ryzyka – osoby odpowiedzialne:</w:t>
            </w:r>
          </w:p>
        </w:tc>
      </w:tr>
      <w:tr w:rsidR="00E1662F" w:rsidRPr="00ED333E" w14:paraId="47107DC1" w14:textId="77777777" w:rsidTr="002A6332">
        <w:trPr>
          <w:trHeight w:val="432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C672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Wysokie ryzyko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E965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Wyniki poprzednich kontroli: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8356" w14:textId="77777777" w:rsidR="00E1662F" w:rsidRPr="00ED333E" w:rsidRDefault="00E1662F" w:rsidP="00E1662F">
            <w:pPr>
              <w:spacing w:after="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Stwierdzone wcześniej poważne uchybienia w zakresie przepisów dotyczących: </w:t>
            </w:r>
          </w:p>
          <w:p w14:paraId="288E4433" w14:textId="77777777" w:rsidR="00E1662F" w:rsidRPr="00ED333E" w:rsidRDefault="00E1662F" w:rsidP="00E1662F">
            <w:pPr>
              <w:numPr>
                <w:ilvl w:val="0"/>
                <w:numId w:val="26"/>
              </w:numPr>
              <w:spacing w:after="0" w:line="236" w:lineRule="auto"/>
              <w:ind w:right="73" w:hanging="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art. 10, 11 (dokumentacja i raport bezpieczeństwa) np. brak dokumentacji, brak raportu zgodnego z załącznikiem I; - art. 14 i 15 (ograniczenia odnoszące się </w:t>
            </w:r>
          </w:p>
          <w:p w14:paraId="74DB16B7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do substancji) rozporządzenia </w:t>
            </w:r>
          </w:p>
          <w:p w14:paraId="1403618B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1223/2009;</w:t>
            </w:r>
          </w:p>
          <w:p w14:paraId="60C1DD19" w14:textId="77777777" w:rsidR="00E1662F" w:rsidRPr="00ED333E" w:rsidRDefault="00E1662F" w:rsidP="00E1662F">
            <w:pPr>
              <w:numPr>
                <w:ilvl w:val="0"/>
                <w:numId w:val="26"/>
              </w:numPr>
              <w:spacing w:after="240" w:line="236" w:lineRule="auto"/>
              <w:ind w:right="73" w:hanging="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poważne uchybienia w zakresie oznakowania (art. 19) – brak wskazania osoby odpowiedzialnej, brak wymaganych ostrzeżeń. </w:t>
            </w:r>
          </w:p>
          <w:p w14:paraId="084BEC7D" w14:textId="77777777" w:rsidR="00E1662F" w:rsidRPr="00ED333E" w:rsidRDefault="00E1662F" w:rsidP="00E1662F">
            <w:pPr>
              <w:spacing w:after="24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Nieterminowe realizowanie zaleceń z poprzednich kontroli. </w:t>
            </w:r>
          </w:p>
          <w:p w14:paraId="63BC3A2B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Unikanie i celowe utrudnianie kontroli.</w:t>
            </w:r>
          </w:p>
        </w:tc>
      </w:tr>
    </w:tbl>
    <w:p w14:paraId="5EB531CC" w14:textId="77777777" w:rsidR="00E1662F" w:rsidRPr="00ED333E" w:rsidRDefault="00E1662F" w:rsidP="00E1662F">
      <w:pPr>
        <w:spacing w:after="0"/>
        <w:ind w:left="-1970" w:right="20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7924" w:type="dxa"/>
        <w:tblInd w:w="21" w:type="dxa"/>
        <w:tblCellMar>
          <w:top w:w="40" w:type="dxa"/>
          <w:left w:w="107" w:type="dxa"/>
          <w:right w:w="97" w:type="dxa"/>
        </w:tblCellMar>
        <w:tblLook w:val="04A0" w:firstRow="1" w:lastRow="0" w:firstColumn="1" w:lastColumn="0" w:noHBand="0" w:noVBand="1"/>
      </w:tblPr>
      <w:tblGrid>
        <w:gridCol w:w="1437"/>
        <w:gridCol w:w="2600"/>
        <w:gridCol w:w="3887"/>
      </w:tblGrid>
      <w:tr w:rsidR="00E1662F" w:rsidRPr="00ED333E" w14:paraId="0C83C7ED" w14:textId="77777777" w:rsidTr="002A6332">
        <w:trPr>
          <w:trHeight w:val="240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5365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464D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Interwencje oraz informacje od innych organów: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AE12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Liczne interwencje konsumenckie dotyczące podejrzeń niewłaściwej jakości zdrowotnej lub informacje od innych organów zakresie przepisów dotyczących w szczególności art. 10, 11 (dokumentacja i raport bezpieczeństwa) np. brak dokumentacji, brak raportu lub brak w raporcie istotnych danych (załącznik I), 14 i 15 (ograniczenia odnoszące się do substancji) rozporządzenia 1223/2009.</w:t>
            </w:r>
          </w:p>
        </w:tc>
      </w:tr>
      <w:tr w:rsidR="00E1662F" w:rsidRPr="00ED333E" w14:paraId="1F51F14C" w14:textId="77777777" w:rsidTr="002A6332">
        <w:trPr>
          <w:trHeight w:val="4810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8B57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 xml:space="preserve">Średnie ryzyko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63F2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Wyniki poprzednich kontroli: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FE80" w14:textId="77777777" w:rsidR="00E1662F" w:rsidRPr="00ED333E" w:rsidRDefault="00E1662F" w:rsidP="00E1662F">
            <w:pPr>
              <w:spacing w:after="0" w:line="236" w:lineRule="auto"/>
              <w:ind w:left="1" w:right="21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Stwierdzone wcześniej uchybienia w zakresie przepisów dotyczących: - art. 10, 11(dokumentacja i raport bezpieczeństwa) np. pojedyncze braki w dokumentacji, niepełny raport bezpieczeństwa (załącznik I); </w:t>
            </w:r>
          </w:p>
          <w:p w14:paraId="5A394832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-  art.14 i 15 (ograniczenia odnoszące się </w:t>
            </w:r>
          </w:p>
          <w:p w14:paraId="62937BE1" w14:textId="77777777" w:rsidR="00E1662F" w:rsidRPr="00ED333E" w:rsidRDefault="00E1662F" w:rsidP="00E1662F">
            <w:pPr>
              <w:spacing w:after="240" w:line="236" w:lineRule="auto"/>
              <w:ind w:left="1" w:right="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 substancji) rozporządzenia 1223/2009.</w:t>
            </w:r>
          </w:p>
          <w:p w14:paraId="4F045F26" w14:textId="77777777" w:rsidR="00E1662F" w:rsidRPr="00ED333E" w:rsidRDefault="00E1662F" w:rsidP="00E1662F">
            <w:pPr>
              <w:spacing w:after="24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Uchybienia w zakresie oznakowania produktów kosmetycznych (art. 19 i 20 rozporządzenia 1223/2009).</w:t>
            </w:r>
          </w:p>
          <w:p w14:paraId="75C30AAB" w14:textId="77777777" w:rsidR="00E1662F" w:rsidRPr="00ED333E" w:rsidRDefault="00E1662F" w:rsidP="00E1662F">
            <w:pPr>
              <w:spacing w:after="24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Uchybienia w zakresie art. 13 rozporządzenia 1223/2009 (zgłaszanie) np. bark zgłoszenia.</w:t>
            </w:r>
          </w:p>
          <w:p w14:paraId="567D4877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Brak współpracy w czasie poprzednich kontroli.</w:t>
            </w:r>
          </w:p>
        </w:tc>
      </w:tr>
      <w:tr w:rsidR="00E1662F" w:rsidRPr="00ED333E" w14:paraId="322281AB" w14:textId="77777777" w:rsidTr="002A6332">
        <w:trPr>
          <w:trHeight w:val="1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2B1F3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79BC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Interwencje oraz informacje od innych organów: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25ED" w14:textId="77777777" w:rsidR="00E1662F" w:rsidRPr="00ED333E" w:rsidRDefault="00E1662F" w:rsidP="00E1662F">
            <w:pPr>
              <w:spacing w:after="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Pojedyncze interwencje konsumenckie lub informacje od innych organów nadzoru w zakresie przepisów dotyczących produktów kosmetycznych dot. w szczególności składu lub oznakowania produktów kosmetycznych </w:t>
            </w:r>
          </w:p>
          <w:p w14:paraId="4AD395B1" w14:textId="3765C4A2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(art. 19 i 20 rozporządzenia 1223/2009). </w:t>
            </w:r>
          </w:p>
        </w:tc>
      </w:tr>
      <w:tr w:rsidR="00E1662F" w:rsidRPr="00ED333E" w14:paraId="2DF9EB91" w14:textId="77777777" w:rsidTr="002A6332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3E4E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3796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Inne przesłanki: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5C11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Braki naruszeń kwalifikujących do dużego ryzyka.</w:t>
            </w:r>
          </w:p>
        </w:tc>
      </w:tr>
      <w:tr w:rsidR="00E1662F" w:rsidRPr="00ED333E" w14:paraId="6293BF4E" w14:textId="77777777" w:rsidTr="002A6332">
        <w:trPr>
          <w:trHeight w:val="216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E906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Niskie ryzyko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72BC" w14:textId="77777777" w:rsidR="00E1662F" w:rsidRPr="00ED333E" w:rsidRDefault="00E1662F" w:rsidP="00E1662F">
            <w:pPr>
              <w:spacing w:after="24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Wyniki poprzednich kontroli:</w:t>
            </w:r>
          </w:p>
          <w:p w14:paraId="16144AD3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40CB" w14:textId="77777777" w:rsidR="00E1662F" w:rsidRPr="00ED333E" w:rsidRDefault="00E1662F" w:rsidP="00E1662F">
            <w:pPr>
              <w:spacing w:after="24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Nieliczne, drobne uchybienia w zakresie przepisów dotyczących produktów kosmetycznych nie wskazanych w poprzednich pkt dot. dużego i średniego ryzyka. </w:t>
            </w:r>
          </w:p>
          <w:p w14:paraId="16CD71CF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Nieścisłości lub brak aktualizacji zgłoszenia produktu (art. 13 rozporządzenia 1223/2009). </w:t>
            </w:r>
          </w:p>
        </w:tc>
      </w:tr>
    </w:tbl>
    <w:p w14:paraId="591EFA83" w14:textId="77777777" w:rsidR="00E1662F" w:rsidRPr="00ED333E" w:rsidRDefault="00E1662F" w:rsidP="00E1662F">
      <w:pPr>
        <w:spacing w:after="0"/>
        <w:ind w:left="-1970" w:right="20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7924" w:type="dxa"/>
        <w:tblInd w:w="21" w:type="dxa"/>
        <w:tblCellMar>
          <w:top w:w="40" w:type="dxa"/>
          <w:left w:w="96" w:type="dxa"/>
          <w:right w:w="89" w:type="dxa"/>
        </w:tblCellMar>
        <w:tblLook w:val="04A0" w:firstRow="1" w:lastRow="0" w:firstColumn="1" w:lastColumn="0" w:noHBand="0" w:noVBand="1"/>
      </w:tblPr>
      <w:tblGrid>
        <w:gridCol w:w="1425"/>
        <w:gridCol w:w="2612"/>
        <w:gridCol w:w="3887"/>
      </w:tblGrid>
      <w:tr w:rsidR="00E1662F" w:rsidRPr="00ED333E" w14:paraId="295B5D23" w14:textId="77777777" w:rsidTr="002A6332">
        <w:trPr>
          <w:trHeight w:val="2409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5201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9EBF" w14:textId="56355537" w:rsidR="00E1662F" w:rsidRPr="00ED333E" w:rsidRDefault="00E1662F" w:rsidP="00E1662F">
            <w:pPr>
              <w:spacing w:after="0"/>
              <w:ind w:left="2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Interwencje oraz informacje od innych organów: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C993" w14:textId="77777777" w:rsidR="00E1662F" w:rsidRPr="00ED333E" w:rsidRDefault="00E1662F" w:rsidP="00E1662F">
            <w:pPr>
              <w:spacing w:after="0" w:line="236" w:lineRule="auto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Pojedyncze interwencje konsumenckie w zakresie przepisów dotyczących produktów kosmetycznych np. uchybienia w zakresie oznakowania produktów </w:t>
            </w:r>
          </w:p>
          <w:p w14:paraId="63F6CB1E" w14:textId="77777777" w:rsidR="00E1662F" w:rsidRPr="00ED333E" w:rsidRDefault="00E1662F" w:rsidP="00E1662F">
            <w:pPr>
              <w:spacing w:after="240" w:line="236" w:lineRule="auto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kosmetycznych (art. 19 i 20 rozporządzenia 1223/2009).</w:t>
            </w:r>
          </w:p>
          <w:p w14:paraId="0DDB1904" w14:textId="77777777" w:rsidR="00E1662F" w:rsidRPr="00ED333E" w:rsidRDefault="00E1662F" w:rsidP="00E1662F">
            <w:pPr>
              <w:spacing w:after="0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Uchybienia w zakresie art. 13 rozporządzenia 1223/2009 (zgłaszanie np. bark zgłoszenia).</w:t>
            </w:r>
          </w:p>
        </w:tc>
      </w:tr>
      <w:tr w:rsidR="00E1662F" w:rsidRPr="00ED333E" w14:paraId="2713AC55" w14:textId="77777777" w:rsidTr="002A6332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0C169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ADBC" w14:textId="77777777" w:rsidR="00E1662F" w:rsidRPr="00ED333E" w:rsidRDefault="00E1662F" w:rsidP="00E1662F">
            <w:pPr>
              <w:spacing w:after="0"/>
              <w:ind w:left="2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Inne przesłanki: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0846" w14:textId="77777777" w:rsidR="00E1662F" w:rsidRPr="00ED333E" w:rsidRDefault="00E1662F" w:rsidP="00E1662F">
            <w:pPr>
              <w:spacing w:after="240" w:line="236" w:lineRule="auto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Braki naruszeń kwalifikujących do dużego i średniego ryzyka.  </w:t>
            </w:r>
          </w:p>
          <w:p w14:paraId="04E02C64" w14:textId="77777777" w:rsidR="00E1662F" w:rsidRPr="00ED333E" w:rsidRDefault="00E1662F" w:rsidP="00E1662F">
            <w:pPr>
              <w:spacing w:after="0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Brak innych przesłanek do kwalifikacji dużego lub średniego ryzyka. </w:t>
            </w:r>
          </w:p>
        </w:tc>
      </w:tr>
      <w:tr w:rsidR="00E1662F" w:rsidRPr="00ED333E" w14:paraId="42BC6CDA" w14:textId="77777777" w:rsidTr="002A6332">
        <w:trPr>
          <w:trHeight w:val="730"/>
        </w:trPr>
        <w:tc>
          <w:tcPr>
            <w:tcW w:w="7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EE9A" w14:textId="77777777" w:rsidR="00E1662F" w:rsidRPr="00ED333E" w:rsidRDefault="00E1662F" w:rsidP="00E1662F">
            <w:pPr>
              <w:spacing w:after="0"/>
              <w:ind w:left="1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Analizy ryzyka – wytwórcy – art. 8 rozporządzenia 1223/2009:</w:t>
            </w:r>
          </w:p>
        </w:tc>
      </w:tr>
      <w:tr w:rsidR="00E1662F" w:rsidRPr="00ED333E" w14:paraId="7187E990" w14:textId="77777777" w:rsidTr="002A6332">
        <w:trPr>
          <w:trHeight w:val="1450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B80B" w14:textId="77777777" w:rsidR="00E1662F" w:rsidRPr="00ED333E" w:rsidRDefault="00E1662F" w:rsidP="00E1662F">
            <w:pPr>
              <w:spacing w:after="0"/>
              <w:ind w:left="1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Wysokie ryzyko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5776" w14:textId="77777777" w:rsidR="00E1662F" w:rsidRPr="00ED333E" w:rsidRDefault="00E1662F" w:rsidP="00E1662F">
            <w:pPr>
              <w:spacing w:after="240" w:line="23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Wyniki poprzednich kontroli:</w:t>
            </w:r>
          </w:p>
          <w:p w14:paraId="0B8D1F10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7072" w14:textId="77777777" w:rsidR="00E1662F" w:rsidRPr="00ED333E" w:rsidRDefault="00E1662F" w:rsidP="00E1662F">
            <w:pPr>
              <w:numPr>
                <w:ilvl w:val="0"/>
                <w:numId w:val="27"/>
              </w:numPr>
              <w:spacing w:after="0" w:line="248" w:lineRule="auto"/>
              <w:ind w:hanging="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niewdrożony system GMP;</w:t>
            </w:r>
          </w:p>
          <w:p w14:paraId="12FF91C5" w14:textId="77777777" w:rsidR="00E1662F" w:rsidRPr="00ED333E" w:rsidRDefault="00E1662F" w:rsidP="00E1662F">
            <w:pPr>
              <w:numPr>
                <w:ilvl w:val="0"/>
                <w:numId w:val="27"/>
              </w:numPr>
              <w:spacing w:after="0" w:line="248" w:lineRule="auto"/>
              <w:ind w:hanging="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poważne uchybienia w systemie GMP mogące wpływać na bezpieczeństwo produktu kosmetycznego np. niewłaściwe warunki sanitarne, brak procedur odnoszących się mycia i dezynfekcji.</w:t>
            </w:r>
          </w:p>
        </w:tc>
      </w:tr>
      <w:tr w:rsidR="00E1662F" w:rsidRPr="00ED333E" w14:paraId="72837EE9" w14:textId="77777777" w:rsidTr="002A6332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181F98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BB72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Interwencje: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EB36" w14:textId="77777777" w:rsidR="00E1662F" w:rsidRPr="00ED333E" w:rsidRDefault="00E1662F" w:rsidP="00E1662F">
            <w:pPr>
              <w:spacing w:after="0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Liczne interwencje np. od podmiotów zlecających wytworzenie produktu, informacje od innych organów.</w:t>
            </w:r>
          </w:p>
        </w:tc>
      </w:tr>
      <w:tr w:rsidR="00E1662F" w:rsidRPr="00ED333E" w14:paraId="7A166DB5" w14:textId="77777777" w:rsidTr="002A6332">
        <w:trPr>
          <w:trHeight w:val="2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9A12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6DE6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Inne przesłanki: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BD5C" w14:textId="77777777" w:rsidR="00E1662F" w:rsidRPr="00ED333E" w:rsidRDefault="00E1662F" w:rsidP="00E1662F">
            <w:pPr>
              <w:spacing w:after="240" w:line="236" w:lineRule="auto"/>
              <w:ind w:left="12" w:right="5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Rodzaj produktów kosmetycznych: – produkty podatne na zanieczyszczenia mikrobiologiczne, produkty przeznaczone dla małych dzieci lub specjalnych grup konsumentów.</w:t>
            </w:r>
          </w:p>
          <w:p w14:paraId="33246417" w14:textId="77777777" w:rsidR="00E1662F" w:rsidRPr="00ED333E" w:rsidRDefault="00E1662F" w:rsidP="00E1662F">
            <w:pPr>
              <w:spacing w:after="240" w:line="236" w:lineRule="auto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Nieterminowe realizowanie zaleceń z poprzednich kontroli. </w:t>
            </w:r>
          </w:p>
          <w:p w14:paraId="16208EE4" w14:textId="77777777" w:rsidR="00E1662F" w:rsidRPr="00ED333E" w:rsidRDefault="00E1662F" w:rsidP="00E1662F">
            <w:pPr>
              <w:spacing w:after="0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Unikanie i celowe utrudnianie kontroli.</w:t>
            </w:r>
          </w:p>
        </w:tc>
      </w:tr>
      <w:tr w:rsidR="00E1662F" w:rsidRPr="00ED333E" w14:paraId="600489DA" w14:textId="77777777" w:rsidTr="002A6332">
        <w:trPr>
          <w:trHeight w:val="970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B163" w14:textId="77777777" w:rsidR="00E1662F" w:rsidRPr="00ED333E" w:rsidRDefault="00E1662F" w:rsidP="00E1662F">
            <w:pPr>
              <w:spacing w:after="0"/>
              <w:ind w:left="1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Średnie ryzyko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0DE4" w14:textId="77777777" w:rsidR="00E1662F" w:rsidRPr="00ED333E" w:rsidRDefault="00E1662F" w:rsidP="00E1662F">
            <w:pPr>
              <w:spacing w:after="240" w:line="23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Wyniki poprzednich kontroli:</w:t>
            </w:r>
          </w:p>
          <w:p w14:paraId="258E9F06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6FAF" w14:textId="77777777" w:rsidR="00E1662F" w:rsidRPr="00ED333E" w:rsidRDefault="00E1662F" w:rsidP="00E1662F">
            <w:pPr>
              <w:spacing w:after="0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Stwierdzone uchybienia w systemie GMP nie wpływające w sposób znaczący na bezpieczeństwo produktu kosmetycznego.</w:t>
            </w:r>
          </w:p>
        </w:tc>
      </w:tr>
      <w:tr w:rsidR="00E1662F" w:rsidRPr="00ED333E" w14:paraId="7A8E7EC5" w14:textId="77777777" w:rsidTr="002A6332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96503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DE63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Interwencje: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3B95" w14:textId="77777777" w:rsidR="00E1662F" w:rsidRPr="00ED333E" w:rsidRDefault="00E1662F" w:rsidP="00E1662F">
            <w:pPr>
              <w:spacing w:after="0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Interwencje od podmiotów zlecających wytworzenie produktu, informacje od innych organów.</w:t>
            </w:r>
          </w:p>
        </w:tc>
      </w:tr>
      <w:tr w:rsidR="00E1662F" w:rsidRPr="00ED333E" w14:paraId="751B1574" w14:textId="77777777" w:rsidTr="002A6332">
        <w:trPr>
          <w:trHeight w:val="1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3BE2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31BB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Inne przesłanki: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AA99" w14:textId="77777777" w:rsidR="00E1662F" w:rsidRPr="00ED333E" w:rsidRDefault="00E1662F" w:rsidP="00E1662F">
            <w:pPr>
              <w:spacing w:after="0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Rodzaj produktów kosmetycznych:</w:t>
            </w:r>
          </w:p>
          <w:p w14:paraId="69FD9D5A" w14:textId="77777777" w:rsidR="00E1662F" w:rsidRPr="00ED333E" w:rsidRDefault="00E1662F" w:rsidP="00E1662F">
            <w:pPr>
              <w:spacing w:after="240" w:line="236" w:lineRule="auto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– inne niż w pkt. duże i małe ryzyko - z uwagi na ryzyko mikrobiologiczne.</w:t>
            </w:r>
          </w:p>
          <w:p w14:paraId="418A6395" w14:textId="77777777" w:rsidR="00E1662F" w:rsidRPr="00ED333E" w:rsidRDefault="00E1662F" w:rsidP="00E1662F">
            <w:pPr>
              <w:spacing w:after="0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Brak współpracy w czasie kontroli.</w:t>
            </w:r>
          </w:p>
        </w:tc>
      </w:tr>
    </w:tbl>
    <w:p w14:paraId="2B130A8A" w14:textId="77777777" w:rsidR="00E1662F" w:rsidRPr="00ED333E" w:rsidRDefault="00E1662F" w:rsidP="00E1662F">
      <w:pPr>
        <w:spacing w:after="0"/>
        <w:ind w:left="-1970" w:right="20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7924" w:type="dxa"/>
        <w:tblInd w:w="21" w:type="dxa"/>
        <w:tblCellMar>
          <w:top w:w="40" w:type="dxa"/>
          <w:left w:w="107" w:type="dxa"/>
          <w:right w:w="80" w:type="dxa"/>
        </w:tblCellMar>
        <w:tblLook w:val="04A0" w:firstRow="1" w:lastRow="0" w:firstColumn="1" w:lastColumn="0" w:noHBand="0" w:noVBand="1"/>
      </w:tblPr>
      <w:tblGrid>
        <w:gridCol w:w="1413"/>
        <w:gridCol w:w="2624"/>
        <w:gridCol w:w="3887"/>
      </w:tblGrid>
      <w:tr w:rsidR="00E1662F" w:rsidRPr="00ED333E" w14:paraId="47CF852B" w14:textId="77777777" w:rsidTr="002A6332">
        <w:trPr>
          <w:trHeight w:val="48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0C4E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BA58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89AE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Braki naruszeń kwalifikujących do dużego ryzyka.</w:t>
            </w:r>
          </w:p>
        </w:tc>
      </w:tr>
      <w:tr w:rsidR="00E1662F" w:rsidRPr="00ED333E" w14:paraId="5591FF66" w14:textId="77777777" w:rsidTr="002A6332">
        <w:trPr>
          <w:trHeight w:val="97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9BDB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Niskie ryzyko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2D93" w14:textId="77777777" w:rsidR="00E1662F" w:rsidRPr="00ED333E" w:rsidRDefault="00E1662F" w:rsidP="00E1662F">
            <w:pPr>
              <w:spacing w:after="24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Wyniki poprzednich kontroli:</w:t>
            </w:r>
          </w:p>
          <w:p w14:paraId="257D348C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B806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Wyniki poprzednich kontroli:</w:t>
            </w:r>
          </w:p>
          <w:p w14:paraId="26819DDD" w14:textId="77777777" w:rsidR="00E1662F" w:rsidRPr="00ED333E" w:rsidRDefault="00E1662F" w:rsidP="00E1662F">
            <w:pPr>
              <w:spacing w:after="0"/>
              <w:ind w:left="1" w:right="7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- nieliczne uchybienia w systemie GMP; - brak zgłoszenia – zgodnie z art. 6 ustawy o produktach kosmetycznych. </w:t>
            </w:r>
          </w:p>
        </w:tc>
      </w:tr>
      <w:tr w:rsidR="00E1662F" w:rsidRPr="00ED333E" w14:paraId="5687C056" w14:textId="77777777" w:rsidTr="002A6332">
        <w:trPr>
          <w:trHeight w:val="9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FFDD45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8B83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Interwencje: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0C90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Pojedyncze interwencje od podmiotów zlecających wytworzenie produktu lub informacje od innych organów nadzoru.</w:t>
            </w:r>
          </w:p>
        </w:tc>
      </w:tr>
      <w:tr w:rsidR="00E1662F" w:rsidRPr="00ED333E" w14:paraId="11FA21D3" w14:textId="77777777" w:rsidTr="002A6332">
        <w:trPr>
          <w:trHeight w:val="1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7CC8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E0D2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Inne przesłanki: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9BCC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Rodzaj produktów kosmetycznych:</w:t>
            </w:r>
          </w:p>
          <w:p w14:paraId="0397D434" w14:textId="77777777" w:rsidR="00E1662F" w:rsidRPr="00ED333E" w:rsidRDefault="00E1662F" w:rsidP="00E1662F">
            <w:pPr>
              <w:spacing w:after="24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perfumy, produkty z dużą zawartością alkoholu lub niskiego ryzyka mikrobiologicznego </w:t>
            </w:r>
          </w:p>
          <w:p w14:paraId="72B4825D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Braki naruszeń kwalifikujących do dużego i średniego ryzyka.  </w:t>
            </w:r>
          </w:p>
        </w:tc>
      </w:tr>
      <w:tr w:rsidR="00E1662F" w:rsidRPr="00ED333E" w14:paraId="750CF72D" w14:textId="77777777" w:rsidTr="002A6332">
        <w:trPr>
          <w:trHeight w:val="730"/>
        </w:trPr>
        <w:tc>
          <w:tcPr>
            <w:tcW w:w="7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4ED4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Analizy ryzyka - dystrybutorzy:</w:t>
            </w:r>
          </w:p>
        </w:tc>
      </w:tr>
      <w:tr w:rsidR="00E1662F" w:rsidRPr="00ED333E" w14:paraId="71FC46A5" w14:textId="77777777" w:rsidTr="002A6332">
        <w:trPr>
          <w:trHeight w:val="577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633A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Wysokie ryzyko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4E83" w14:textId="77777777" w:rsidR="00E1662F" w:rsidRPr="00ED333E" w:rsidRDefault="00E1662F" w:rsidP="00E1662F">
            <w:pPr>
              <w:spacing w:after="24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Wyniki poprzednich kontroli:</w:t>
            </w:r>
          </w:p>
          <w:p w14:paraId="397AB209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D0D2" w14:textId="77777777" w:rsidR="00E1662F" w:rsidRPr="00ED333E" w:rsidRDefault="00E1662F" w:rsidP="00E1662F">
            <w:pPr>
              <w:spacing w:after="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Stwierdzone poważne uchybienia w zakresie przepisów dotyczących produktów kosmetycznych:</w:t>
            </w:r>
          </w:p>
          <w:p w14:paraId="0DB3E20E" w14:textId="77777777" w:rsidR="00E1662F" w:rsidRPr="00ED333E" w:rsidRDefault="00E1662F" w:rsidP="00E1662F">
            <w:pPr>
              <w:numPr>
                <w:ilvl w:val="0"/>
                <w:numId w:val="28"/>
              </w:numPr>
              <w:spacing w:after="0" w:line="236" w:lineRule="auto"/>
              <w:ind w:hanging="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brak realizacji art. 7 rozporządzenia 1223/2009 (identyfikacja w łańcuchu dostaw);</w:t>
            </w:r>
          </w:p>
          <w:p w14:paraId="48F3FDCA" w14:textId="77777777" w:rsidR="00E1662F" w:rsidRPr="00ED333E" w:rsidRDefault="00E1662F" w:rsidP="00E1662F">
            <w:pPr>
              <w:numPr>
                <w:ilvl w:val="0"/>
                <w:numId w:val="28"/>
              </w:numPr>
              <w:spacing w:after="0" w:line="248" w:lineRule="auto"/>
              <w:ind w:hanging="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sprzedaż produktów o </w:t>
            </w:r>
          </w:p>
          <w:p w14:paraId="535C0BE4" w14:textId="77777777" w:rsidR="00E1662F" w:rsidRPr="00ED333E" w:rsidRDefault="00E1662F" w:rsidP="00E1662F">
            <w:pPr>
              <w:spacing w:after="0" w:line="236" w:lineRule="auto"/>
              <w:ind w:left="1" w:right="39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nieidentyfikowalnym pochodzeniu; - brak realizacji przepisów dotyczących art. 4 dot. odpowiedzialności z produkt - w </w:t>
            </w:r>
          </w:p>
          <w:p w14:paraId="0D411E0C" w14:textId="77777777" w:rsidR="00E1662F" w:rsidRPr="00ED333E" w:rsidRDefault="00E1662F" w:rsidP="00E1662F">
            <w:pPr>
              <w:spacing w:after="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przypadku importu oraz zmian w produkcie, które może wprowadzić dystrybutor – powyższe może prowadzić do konieczności zmiany kwalifikacji podmiotu z dystrybutora na osobę odpowiedzialną;</w:t>
            </w:r>
          </w:p>
          <w:p w14:paraId="162A5B46" w14:textId="77777777" w:rsidR="00E1662F" w:rsidRPr="00ED333E" w:rsidRDefault="00E1662F" w:rsidP="00E1662F">
            <w:pPr>
              <w:numPr>
                <w:ilvl w:val="0"/>
                <w:numId w:val="28"/>
              </w:numPr>
              <w:spacing w:after="0" w:line="248" w:lineRule="auto"/>
              <w:ind w:hanging="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niespełnianie realizacji obowiązków określonych w art. 6 rozporządzenia 1223/2009, częsta sprzedaż produktów po upływie terminu trwałości, zły stan pomieszczeń, złe warunki sprzedaży/przechowywania produktów; - brak realizacji obowiązków art. 23 (dot. ciężkich działań niepożądanych).</w:t>
            </w:r>
          </w:p>
        </w:tc>
      </w:tr>
      <w:tr w:rsidR="00E1662F" w:rsidRPr="00ED333E" w14:paraId="32896A2F" w14:textId="77777777" w:rsidTr="002A6332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2F2D50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3C31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Interwencje: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ED74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Liczne interwencje konsumenckie, informacje od innych organów.</w:t>
            </w:r>
          </w:p>
        </w:tc>
      </w:tr>
      <w:tr w:rsidR="00E1662F" w:rsidRPr="00ED333E" w14:paraId="078DEBE7" w14:textId="77777777" w:rsidTr="002A6332">
        <w:trPr>
          <w:trHeight w:val="9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6E41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A402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Inne przesłanki: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A5E3" w14:textId="77777777" w:rsidR="00E1662F" w:rsidRPr="00ED333E" w:rsidRDefault="00E1662F" w:rsidP="00E1662F">
            <w:pPr>
              <w:spacing w:after="24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Nieterminowe realizowanie zaleceń z poprzednich kontroli. </w:t>
            </w:r>
          </w:p>
          <w:p w14:paraId="1C51C20B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Unikanie i celowe utrudnianie kontroli.</w:t>
            </w:r>
          </w:p>
        </w:tc>
      </w:tr>
      <w:tr w:rsidR="00E1662F" w:rsidRPr="00ED333E" w14:paraId="2A6CCB9A" w14:textId="77777777" w:rsidTr="002A6332">
        <w:trPr>
          <w:trHeight w:val="1449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B077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Średnie ryzyko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C43D" w14:textId="77777777" w:rsidR="00E1662F" w:rsidRPr="00ED333E" w:rsidRDefault="00E1662F" w:rsidP="00E1662F">
            <w:pPr>
              <w:spacing w:after="24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Wyniki poprzednich kontroli:</w:t>
            </w:r>
          </w:p>
          <w:p w14:paraId="75120710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E5C6" w14:textId="77777777" w:rsidR="00E1662F" w:rsidRPr="00ED333E" w:rsidRDefault="00E1662F" w:rsidP="00E1662F">
            <w:pPr>
              <w:spacing w:after="0"/>
              <w:ind w:left="1" w:right="6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Nieliczne uchybienia w zakresie przepisów dotyczących produktów kosmetycznych np. art. 6 i 7 rozporządzenia 1223/2009, Sporadyczne przypadki sprzedaży produktów po upływie terminu trwałości.</w:t>
            </w:r>
          </w:p>
        </w:tc>
      </w:tr>
      <w:tr w:rsidR="00E1662F" w:rsidRPr="00ED333E" w14:paraId="6668A91C" w14:textId="77777777" w:rsidTr="002A6332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B914A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7C27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Interwencje: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CDD2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Pojedyncze interwencje konsumenckie lub informacje od innych organów nadzoru.</w:t>
            </w:r>
          </w:p>
        </w:tc>
      </w:tr>
      <w:tr w:rsidR="00E1662F" w:rsidRPr="00ED333E" w14:paraId="30FE7A1E" w14:textId="77777777" w:rsidTr="002A6332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7D5F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9C6C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Inne przesłanki: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BF30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Brak współpracy w czasie kontroli.</w:t>
            </w:r>
          </w:p>
        </w:tc>
      </w:tr>
      <w:tr w:rsidR="00E1662F" w:rsidRPr="00ED333E" w14:paraId="2A0FD3F7" w14:textId="77777777" w:rsidTr="002A6332">
        <w:trPr>
          <w:trHeight w:val="49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9708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Niskie ryzyko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E858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Wyniki poprzednich kontroli: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5B06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Brak uchybień.</w:t>
            </w:r>
          </w:p>
        </w:tc>
      </w:tr>
      <w:tr w:rsidR="00E1662F" w:rsidRPr="00ED333E" w14:paraId="641EDB22" w14:textId="77777777" w:rsidTr="002A6332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37BF4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1596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Interwencje: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DC15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Brak interwencji.</w:t>
            </w:r>
          </w:p>
        </w:tc>
      </w:tr>
      <w:tr w:rsidR="00E1662F" w:rsidRPr="00ED333E" w14:paraId="14586D3A" w14:textId="77777777" w:rsidTr="002A6332">
        <w:trPr>
          <w:trHeight w:val="4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8876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D9ED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Inne przesłanki: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48BD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Braki naruszeń kwalifikujących do dużego i średniego ryzyka.  </w:t>
            </w:r>
          </w:p>
        </w:tc>
      </w:tr>
    </w:tbl>
    <w:p w14:paraId="6A880BF8" w14:textId="77777777" w:rsidR="00E1662F" w:rsidRPr="00ED333E" w:rsidRDefault="00E1662F" w:rsidP="00E1662F">
      <w:pPr>
        <w:keepNext/>
        <w:keepLines/>
        <w:spacing w:after="0"/>
        <w:ind w:left="717" w:hanging="357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1F63197F" w14:textId="11ABEBF5" w:rsidR="00E1662F" w:rsidRPr="001E6E51" w:rsidRDefault="00E1662F" w:rsidP="00C14519">
      <w:pPr>
        <w:keepNext/>
        <w:keepLines/>
        <w:spacing w:after="0"/>
        <w:outlineLvl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1E6E51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OBSZAR SUBSTANCJI CHEMICZNYCH I ICH MIESZANIN </w:t>
      </w:r>
    </w:p>
    <w:p w14:paraId="232AAF35" w14:textId="77777777" w:rsidR="00E1662F" w:rsidRPr="00ED333E" w:rsidRDefault="00E1662F" w:rsidP="00E1662F">
      <w:pPr>
        <w:pStyle w:val="Akapitzlist"/>
        <w:keepNext/>
        <w:keepLines/>
        <w:spacing w:after="0"/>
        <w:ind w:left="735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7924" w:type="dxa"/>
        <w:tblInd w:w="21" w:type="dxa"/>
        <w:tblCellMar>
          <w:top w:w="41" w:type="dxa"/>
          <w:left w:w="107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497"/>
        <w:gridCol w:w="3312"/>
        <w:gridCol w:w="3115"/>
      </w:tblGrid>
      <w:tr w:rsidR="00E1662F" w:rsidRPr="00ED333E" w14:paraId="2F9A5B2D" w14:textId="77777777" w:rsidTr="002A6332">
        <w:trPr>
          <w:trHeight w:val="490"/>
        </w:trPr>
        <w:tc>
          <w:tcPr>
            <w:tcW w:w="7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FE8FE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Analiza ryzyka</w:t>
            </w:r>
          </w:p>
        </w:tc>
      </w:tr>
      <w:tr w:rsidR="00E1662F" w:rsidRPr="00ED333E" w14:paraId="1A27B5F4" w14:textId="77777777" w:rsidTr="002A6332">
        <w:trPr>
          <w:trHeight w:val="2169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8D69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Wysokie ryzyko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DA9A" w14:textId="77777777" w:rsidR="00E1662F" w:rsidRPr="00ED333E" w:rsidRDefault="00E1662F" w:rsidP="00E1662F">
            <w:pPr>
              <w:spacing w:after="216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Wyniki poprzednich kontroli</w:t>
            </w:r>
          </w:p>
          <w:p w14:paraId="62DFF72C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Interwencje oraz informacje od innych organów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39C9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Stwierdzone w poprzednich kontrolach poważne uchybienia, liczne interwencje (10 lub więcej w okresie 5 lat) i/lub informacje od innych organów dotyczące poniższych obowiązków w zakresie substancji chemicznych i ich mieszanin:</w:t>
            </w:r>
          </w:p>
        </w:tc>
      </w:tr>
    </w:tbl>
    <w:p w14:paraId="007C14A1" w14:textId="77777777" w:rsidR="00E1662F" w:rsidRPr="00ED333E" w:rsidRDefault="00E1662F" w:rsidP="00E1662F">
      <w:pPr>
        <w:spacing w:after="0"/>
        <w:ind w:left="-1970" w:right="20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7924" w:type="dxa"/>
        <w:tblInd w:w="21" w:type="dxa"/>
        <w:tblCellMar>
          <w:top w:w="40" w:type="dxa"/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1497"/>
        <w:gridCol w:w="3312"/>
        <w:gridCol w:w="3115"/>
      </w:tblGrid>
      <w:tr w:rsidR="00E1662F" w:rsidRPr="00ED333E" w14:paraId="2FE4C23A" w14:textId="77777777" w:rsidTr="002A6332">
        <w:trPr>
          <w:trHeight w:val="6747"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26CD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56CC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AAAA" w14:textId="77777777" w:rsidR="00E1662F" w:rsidRPr="00ED333E" w:rsidRDefault="00E1662F" w:rsidP="00E1662F">
            <w:pPr>
              <w:numPr>
                <w:ilvl w:val="0"/>
                <w:numId w:val="29"/>
              </w:numPr>
              <w:spacing w:after="0" w:line="242" w:lineRule="auto"/>
              <w:ind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wprowadzanie do obrotu lub stosowanie substancji, </w:t>
            </w:r>
          </w:p>
          <w:p w14:paraId="4C2AEFC2" w14:textId="77777777" w:rsidR="00E1662F" w:rsidRPr="00ED333E" w:rsidRDefault="00E1662F" w:rsidP="00E1662F">
            <w:pPr>
              <w:spacing w:after="7" w:line="236" w:lineRule="auto"/>
              <w:ind w:left="33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mieszanin, bez wymaganej rejestracji;</w:t>
            </w:r>
          </w:p>
          <w:p w14:paraId="263CC191" w14:textId="77777777" w:rsidR="00E1662F" w:rsidRPr="00ED333E" w:rsidRDefault="00E1662F" w:rsidP="00E1662F">
            <w:pPr>
              <w:numPr>
                <w:ilvl w:val="0"/>
                <w:numId w:val="29"/>
              </w:numPr>
              <w:spacing w:after="4" w:line="239" w:lineRule="auto"/>
              <w:ind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brak raportu bezpieczeństwa chemicznego zgodnie z REACH;</w:t>
            </w:r>
          </w:p>
          <w:p w14:paraId="03DA9439" w14:textId="105E8541" w:rsidR="00E1662F" w:rsidRPr="00ED333E" w:rsidRDefault="00E1662F" w:rsidP="00E1662F">
            <w:pPr>
              <w:numPr>
                <w:ilvl w:val="0"/>
                <w:numId w:val="29"/>
              </w:numPr>
              <w:spacing w:after="0" w:line="239" w:lineRule="auto"/>
              <w:ind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niespełnianie przepisów prawa w zakresie zał. XIV (</w:t>
            </w:r>
            <w:r w:rsidR="002F3A8A"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zezwolenia)</w:t>
            </w: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zał. XVII </w:t>
            </w:r>
          </w:p>
          <w:p w14:paraId="7374F930" w14:textId="77777777" w:rsidR="00E1662F" w:rsidRPr="00ED333E" w:rsidRDefault="00E1662F" w:rsidP="00E1662F">
            <w:pPr>
              <w:spacing w:after="0"/>
              <w:ind w:left="33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(ograniczenia) REACH;</w:t>
            </w:r>
          </w:p>
          <w:p w14:paraId="6988A643" w14:textId="77777777" w:rsidR="00E1662F" w:rsidRPr="00ED333E" w:rsidRDefault="00E1662F" w:rsidP="00E1662F">
            <w:pPr>
              <w:numPr>
                <w:ilvl w:val="0"/>
                <w:numId w:val="29"/>
              </w:numPr>
              <w:spacing w:after="6" w:line="237" w:lineRule="auto"/>
              <w:ind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niespełnianie przepisów prawa w zakresie badań na zwierzętach kręgowych (REACH) oraz na ludziach i zwierzętach (CLP).</w:t>
            </w:r>
          </w:p>
          <w:p w14:paraId="3A5F540C" w14:textId="77777777" w:rsidR="00E1662F" w:rsidRPr="00ED333E" w:rsidRDefault="00E1662F" w:rsidP="00E1662F">
            <w:pPr>
              <w:numPr>
                <w:ilvl w:val="0"/>
                <w:numId w:val="29"/>
              </w:numPr>
              <w:spacing w:after="239" w:line="237" w:lineRule="auto"/>
              <w:ind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wprowadzanie bez wymaganej zgody na odstępstwo (wg. rozporządzenia w sprawie detergentów) środka powierzchniowo czynnego;</w:t>
            </w:r>
          </w:p>
          <w:p w14:paraId="762825ED" w14:textId="77777777" w:rsidR="00E1662F" w:rsidRPr="00ED333E" w:rsidRDefault="00E1662F" w:rsidP="00E1662F">
            <w:pPr>
              <w:spacing w:after="24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Nieterminowe realizowanie zaleceń z poprzednich kontroli. </w:t>
            </w:r>
          </w:p>
          <w:p w14:paraId="7D43DF91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Unikanie i celowe utrudnianie kontroli.  </w:t>
            </w:r>
          </w:p>
        </w:tc>
      </w:tr>
      <w:tr w:rsidR="00E1662F" w:rsidRPr="00ED333E" w14:paraId="4D4AFA3F" w14:textId="77777777" w:rsidTr="002A6332">
        <w:trPr>
          <w:trHeight w:val="19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EAFB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9D10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Inne przesłanki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4EA6" w14:textId="77777777" w:rsidR="00E1662F" w:rsidRPr="00ED333E" w:rsidRDefault="00E1662F" w:rsidP="00E1662F">
            <w:pPr>
              <w:spacing w:after="7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 przypadku producentów i wprowadzających do obrotu:</w:t>
            </w:r>
          </w:p>
          <w:p w14:paraId="0AD5F5FF" w14:textId="77777777" w:rsidR="00E1662F" w:rsidRPr="00ED333E" w:rsidRDefault="00E1662F" w:rsidP="00E1662F">
            <w:pPr>
              <w:spacing w:after="0"/>
              <w:ind w:left="361" w:right="219" w:hanging="3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Segoe UI Symbol" w:hAnsi="Calibri" w:cs="Calibri"/>
                <w:color w:val="000000"/>
                <w:sz w:val="20"/>
                <w:szCs w:val="20"/>
              </w:rPr>
              <w:t xml:space="preserve"> </w:t>
            </w: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brak atestowanego zamknięcia zabezpieczającego przed otwarciem przez dziećmi w przypadku, gdy jest to wymagane.</w:t>
            </w:r>
          </w:p>
        </w:tc>
      </w:tr>
      <w:tr w:rsidR="00E1662F" w:rsidRPr="00ED333E" w14:paraId="779C2D46" w14:textId="77777777" w:rsidTr="002A6332">
        <w:trPr>
          <w:trHeight w:val="3369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2F15" w14:textId="77777777" w:rsidR="00E1662F" w:rsidRPr="00ED333E" w:rsidRDefault="00E1662F" w:rsidP="00E1662F">
            <w:pPr>
              <w:spacing w:after="0"/>
              <w:ind w:right="9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Średnie ryzyko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1D8E" w14:textId="77777777" w:rsidR="00E1662F" w:rsidRPr="00ED333E" w:rsidRDefault="00E1662F" w:rsidP="00E1662F">
            <w:pPr>
              <w:spacing w:after="216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Wyniki poprzednich kontroli</w:t>
            </w:r>
          </w:p>
          <w:p w14:paraId="1F70C421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Interwencje oraz informacje od innych organów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DCE9" w14:textId="77777777" w:rsidR="00E1662F" w:rsidRPr="00ED333E" w:rsidRDefault="00E1662F" w:rsidP="00E1662F">
            <w:pPr>
              <w:spacing w:after="24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Stwierdzone w poprzednich kontrolach uchybienia, interwencje (powyżej 3 w okresie 3 lat) i/lub informacje od innych organów w zakresie przepisów dotyczących substancji chemicznych i ich mieszanin oraz detergentów nie opisane w punkcie dotyczącym wysokiego ryzyka. </w:t>
            </w:r>
          </w:p>
          <w:p w14:paraId="3BC7B5F4" w14:textId="77777777" w:rsidR="00E1662F" w:rsidRPr="00ED333E" w:rsidRDefault="00E1662F" w:rsidP="00E1662F">
            <w:pPr>
              <w:spacing w:after="0"/>
              <w:ind w:left="1" w:right="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Brak dokumentacji w łańcuchu dostaw m.in. zakresie informacji o substancjach zawartych w </w:t>
            </w:r>
          </w:p>
        </w:tc>
      </w:tr>
      <w:tr w:rsidR="00E1662F" w:rsidRPr="00ED333E" w14:paraId="61A77009" w14:textId="77777777" w:rsidTr="002A6332">
        <w:trPr>
          <w:trHeight w:val="1209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DC41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6CF9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719D" w14:textId="77777777" w:rsidR="00E1662F" w:rsidRPr="00ED333E" w:rsidRDefault="00E1662F" w:rsidP="00E1662F">
            <w:pPr>
              <w:spacing w:after="240" w:line="236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wyrobach (SVHC), bazy SCIP, zgłoszeń PCN/UFI.</w:t>
            </w:r>
          </w:p>
          <w:p w14:paraId="4CD34FC1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Brak współpracy w czasie poprzednich kontroli.</w:t>
            </w:r>
          </w:p>
        </w:tc>
      </w:tr>
      <w:tr w:rsidR="00E1662F" w:rsidRPr="00ED333E" w14:paraId="7CDD69BF" w14:textId="77777777" w:rsidTr="002A6332">
        <w:trPr>
          <w:trHeight w:val="2177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E9B3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6F76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Inne przesłanki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F063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 przypadku importerów: </w:t>
            </w:r>
          </w:p>
          <w:p w14:paraId="1F79DCBC" w14:textId="77777777" w:rsidR="00E1662F" w:rsidRPr="00ED333E" w:rsidRDefault="00E1662F" w:rsidP="00E1662F">
            <w:pPr>
              <w:numPr>
                <w:ilvl w:val="0"/>
                <w:numId w:val="30"/>
              </w:numPr>
              <w:spacing w:after="1" w:line="242" w:lineRule="auto"/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niezgodności dotyczące zgłoszeń do C&amp;L Inventory;</w:t>
            </w:r>
          </w:p>
          <w:p w14:paraId="2115D8D0" w14:textId="77777777" w:rsidR="00E1662F" w:rsidRPr="00ED333E" w:rsidRDefault="00E1662F" w:rsidP="00E1662F">
            <w:pPr>
              <w:numPr>
                <w:ilvl w:val="0"/>
                <w:numId w:val="30"/>
              </w:numPr>
              <w:spacing w:after="0" w:line="248" w:lineRule="auto"/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niezgodności dotyczące </w:t>
            </w:r>
          </w:p>
          <w:p w14:paraId="5E2B6619" w14:textId="77777777" w:rsidR="00E1662F" w:rsidRPr="00ED333E" w:rsidRDefault="00E1662F" w:rsidP="00E1662F">
            <w:pPr>
              <w:spacing w:after="240" w:line="236" w:lineRule="auto"/>
              <w:ind w:left="36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zgłoszeń oraz identyfikacji substancji SVHC.</w:t>
            </w:r>
          </w:p>
          <w:p w14:paraId="41F8B24F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Braki naruszeń kwalifikujących do wysokiego ryzyka.  </w:t>
            </w:r>
          </w:p>
        </w:tc>
      </w:tr>
      <w:tr w:rsidR="00E1662F" w:rsidRPr="00ED333E" w14:paraId="58C83672" w14:textId="77777777" w:rsidTr="002A6332">
        <w:trPr>
          <w:trHeight w:val="2170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B78D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Niskie ryzyko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7D1A" w14:textId="77777777" w:rsidR="00E1662F" w:rsidRPr="00ED333E" w:rsidRDefault="00E1662F" w:rsidP="00E1662F">
            <w:pPr>
              <w:spacing w:after="216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Wyniki poprzednich kontroli</w:t>
            </w:r>
          </w:p>
          <w:p w14:paraId="6A804953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Interwencje</w:t>
            </w:r>
          </w:p>
          <w:p w14:paraId="5689F128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7CFA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Stwierdzone w poprzednich kontrolach pojedyncze, drobne uchybienia lub interwencje (1-3 w okresie 5 lat) w zakresie przepisów dotyczących substancji chemicznych i ich mieszanin oraz detergentów nie opisane w punktach dotyczących wysokiego i średniego ryzyka.</w:t>
            </w:r>
          </w:p>
        </w:tc>
      </w:tr>
      <w:tr w:rsidR="00E1662F" w:rsidRPr="00ED333E" w14:paraId="4662E57C" w14:textId="77777777" w:rsidTr="002A6332">
        <w:trPr>
          <w:trHeight w:val="489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9307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1E54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Inne przesłanki: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4B7D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Braki naruszeń kwalifikujących do wysokiego i średniego ryzyka.  </w:t>
            </w:r>
          </w:p>
        </w:tc>
      </w:tr>
    </w:tbl>
    <w:p w14:paraId="3B9F3CF1" w14:textId="77777777" w:rsidR="00C14519" w:rsidRPr="00ED333E" w:rsidRDefault="00C14519" w:rsidP="00C14519">
      <w:pPr>
        <w:spacing w:after="3" w:line="263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1B0E99C4" w14:textId="77777777" w:rsidR="00C14519" w:rsidRPr="00ED333E" w:rsidRDefault="00C14519" w:rsidP="00C14519">
      <w:pPr>
        <w:spacing w:after="3" w:line="263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02FEB62E" w14:textId="17971BB4" w:rsidR="00E1662F" w:rsidRPr="00ED333E" w:rsidRDefault="00E1662F" w:rsidP="00C14519">
      <w:pPr>
        <w:spacing w:after="3" w:line="263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Nadzór nad środkami zastępczymi, NPS i prekursorami kat. 2 i 3:</w:t>
      </w:r>
    </w:p>
    <w:p w14:paraId="009FAD59" w14:textId="77777777" w:rsidR="00E1662F" w:rsidRPr="00ED333E" w:rsidRDefault="00E1662F" w:rsidP="00E1662F">
      <w:pPr>
        <w:spacing w:after="5" w:line="248" w:lineRule="auto"/>
        <w:ind w:left="10" w:right="11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Środki zastępcze – nadzór ma charakter interwencyjny</w:t>
      </w:r>
    </w:p>
    <w:p w14:paraId="08C9F060" w14:textId="1A2DB1B9" w:rsidR="00E1662F" w:rsidRPr="00ED333E" w:rsidRDefault="00E1662F" w:rsidP="00E1662F">
      <w:pPr>
        <w:spacing w:after="5" w:line="248" w:lineRule="auto"/>
        <w:ind w:left="10" w:right="11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Nadzór nad przedsiębiorstwami w których przetwarzane, przerabiane itd. są NSP – kontrole na wniosek Biura</w:t>
      </w:r>
      <w:r w:rsidR="00C14519" w:rsidRPr="00ED333E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46175076" w14:textId="6607BE8D" w:rsidR="00E1662F" w:rsidRPr="00ED333E" w:rsidRDefault="00E1662F" w:rsidP="00E1662F">
      <w:pPr>
        <w:spacing w:after="233" w:line="248" w:lineRule="auto"/>
        <w:ind w:left="10" w:right="11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Nadzór nad przedsiębiorstwami, w których są używane prekursory narkotyków kat. 2 i 3 – kontrole na wniosek Biura</w:t>
      </w:r>
      <w:r w:rsidR="00C14519" w:rsidRPr="00ED333E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547C1216" w14:textId="77777777" w:rsidR="00E1662F" w:rsidRPr="00ED333E" w:rsidRDefault="00E1662F" w:rsidP="00C14519">
      <w:pPr>
        <w:spacing w:after="3" w:line="263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Kategoria ryzyka nowopowstałych podmiotów:</w:t>
      </w:r>
    </w:p>
    <w:p w14:paraId="36CEC1E4" w14:textId="77777777" w:rsidR="00E1662F" w:rsidRPr="00ED333E" w:rsidRDefault="00E1662F" w:rsidP="00E1662F">
      <w:pPr>
        <w:spacing w:after="479" w:line="237" w:lineRule="auto"/>
        <w:ind w:left="10" w:right="-1" w:hanging="1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W przypadku nowopowstałych podmiotów, z racji braku historii kontroli, można przyjąć kategorię wysokiego ryzyka. Jednak kategoria ryzyka powinna być zrewidowana po pierwszej kontroli</w:t>
      </w:r>
    </w:p>
    <w:p w14:paraId="4B1028EB" w14:textId="77777777" w:rsidR="00067BA4" w:rsidRPr="00ED333E" w:rsidRDefault="00067BA4" w:rsidP="00E1662F">
      <w:pPr>
        <w:keepNext/>
        <w:keepLines/>
        <w:spacing w:after="0"/>
        <w:ind w:left="720" w:hanging="360"/>
        <w:outlineLvl w:val="0"/>
        <w:rPr>
          <w:rFonts w:ascii="Calibri" w:eastAsia="Calibri" w:hAnsi="Calibri" w:cs="Calibri"/>
          <w:i/>
          <w:color w:val="000000"/>
          <w:sz w:val="20"/>
          <w:szCs w:val="20"/>
        </w:rPr>
      </w:pPr>
    </w:p>
    <w:p w14:paraId="46DC7167" w14:textId="77777777" w:rsidR="001E6E51" w:rsidRDefault="001E6E51" w:rsidP="00C14519">
      <w:pPr>
        <w:keepNext/>
        <w:keepLines/>
        <w:spacing w:after="0"/>
        <w:outlineLvl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5325B6AB" w14:textId="77777777" w:rsidR="001E6E51" w:rsidRDefault="001E6E51" w:rsidP="00C14519">
      <w:pPr>
        <w:keepNext/>
        <w:keepLines/>
        <w:spacing w:after="0"/>
        <w:outlineLvl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42C08AFF" w14:textId="40713C5E" w:rsidR="00E1662F" w:rsidRDefault="00E1662F" w:rsidP="00C14519">
      <w:pPr>
        <w:keepNext/>
        <w:keepLines/>
        <w:spacing w:after="0"/>
        <w:outlineLvl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1E6E51">
        <w:rPr>
          <w:rFonts w:ascii="Calibri" w:eastAsia="Calibri" w:hAnsi="Calibri" w:cs="Calibri"/>
          <w:b/>
          <w:bCs/>
          <w:color w:val="000000"/>
          <w:sz w:val="20"/>
          <w:szCs w:val="20"/>
        </w:rPr>
        <w:t>OBSZAR HIGIENY RADIACYJNEJ W ZAKRESIE PÓL ELEKTROMAGNETYCZNYCH</w:t>
      </w:r>
    </w:p>
    <w:p w14:paraId="572D5092" w14:textId="77777777" w:rsidR="001E6E51" w:rsidRDefault="001E6E51" w:rsidP="00C14519">
      <w:pPr>
        <w:keepNext/>
        <w:keepLines/>
        <w:spacing w:after="0"/>
        <w:outlineLvl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38282796" w14:textId="77777777" w:rsidR="001E6E51" w:rsidRDefault="001E6E51" w:rsidP="00C14519">
      <w:pPr>
        <w:keepNext/>
        <w:keepLines/>
        <w:spacing w:after="0"/>
        <w:outlineLvl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0C0ECDA1" w14:textId="77777777" w:rsidR="001E6E51" w:rsidRPr="001E6E51" w:rsidRDefault="001E6E51" w:rsidP="00C14519">
      <w:pPr>
        <w:keepNext/>
        <w:keepLines/>
        <w:spacing w:after="0"/>
        <w:outlineLvl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tbl>
      <w:tblPr>
        <w:tblW w:w="7924" w:type="dxa"/>
        <w:tblInd w:w="21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521"/>
        <w:gridCol w:w="1403"/>
      </w:tblGrid>
      <w:tr w:rsidR="00E1662F" w:rsidRPr="00ED333E" w14:paraId="1FFE6602" w14:textId="77777777" w:rsidTr="002A6332">
        <w:trPr>
          <w:trHeight w:val="24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3F5C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Kategoria ryzyka/podmioty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ADC0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 grupa</w:t>
            </w:r>
          </w:p>
        </w:tc>
      </w:tr>
      <w:tr w:rsidR="00E1662F" w:rsidRPr="00ED333E" w14:paraId="0AE2DC57" w14:textId="77777777" w:rsidTr="002A6332">
        <w:trPr>
          <w:trHeight w:val="121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2A99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Ryzyko wysokie (częstotliwość kontroli tak często, jak to konieczne dla zapewnienia skutecznego stosowania odpowiednich przepisów, z uwzględnieniem wysokiego ryzyka wystąpienia nieprawidłowości oraz środków niezbędnych do jego ograniczenia, ale nie rzadziej niż raz na 3 lata).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218C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62F" w:rsidRPr="00ED333E" w14:paraId="3D9312C8" w14:textId="77777777" w:rsidTr="002A6332">
        <w:trPr>
          <w:trHeight w:val="73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BF69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Podmioty lecznicze wykonujące świadczenia szpitalne, w których są stosowane rezonanse magnetyczne oraz inne urządzenia wykorzystujące pola elektromagnetyczne.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F5C2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62F" w:rsidRPr="00ED333E" w14:paraId="18893575" w14:textId="77777777" w:rsidTr="002A6332">
        <w:trPr>
          <w:trHeight w:val="25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4D82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Kategoria ryzyka/podmioty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5FAD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 grupa</w:t>
            </w:r>
          </w:p>
        </w:tc>
      </w:tr>
      <w:tr w:rsidR="00E1662F" w:rsidRPr="00ED333E" w14:paraId="1400954B" w14:textId="77777777" w:rsidTr="002A6332">
        <w:trPr>
          <w:trHeight w:val="4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9987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Ryzyko średnie (częstotliwość kontroli: nie częściej niż raz w ciągu 3 lat, ale nie rzadziej niż raz na 5 lat).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A996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62F" w:rsidRPr="00ED333E" w14:paraId="55A790BB" w14:textId="77777777" w:rsidTr="002A6332">
        <w:trPr>
          <w:trHeight w:val="4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21C1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Pozostałe podmioty lecznicze oraz inne podmioty wykorzystujące pola elektromagnetyczne do celów medycznych.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DC34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62F" w:rsidRPr="00ED333E" w14:paraId="79A62740" w14:textId="77777777" w:rsidTr="002A6332">
        <w:trPr>
          <w:trHeight w:val="25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279C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Kategoria ryzyka/podmioty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3EB2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 grupa</w:t>
            </w:r>
          </w:p>
        </w:tc>
      </w:tr>
      <w:tr w:rsidR="00E1662F" w:rsidRPr="00ED333E" w14:paraId="63F1FA73" w14:textId="77777777" w:rsidTr="002A6332">
        <w:trPr>
          <w:trHeight w:val="25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B45D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Ryzyko niskie (częstotliwość kontroli: nie częściej niż raz w ciągu 5 lat)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4634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62F" w:rsidRPr="00ED333E" w14:paraId="70152F8E" w14:textId="77777777" w:rsidTr="002A6332">
        <w:trPr>
          <w:trHeight w:val="72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0B82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Podmioty wykorzystujące pola elektromagnetyczne do celów innych niż medyczne (energetyka, przemysł, radiokomunikacja i łączność, nauka i inne).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4C20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7CE42CF" w14:textId="77777777" w:rsidR="00E1662F" w:rsidRPr="00ED333E" w:rsidRDefault="00E1662F" w:rsidP="00C14519">
      <w:pPr>
        <w:keepNext/>
        <w:keepLines/>
        <w:spacing w:after="0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OBSZAR HIGIENY RADIACYJNEJ W ZAKRESIE PROMIENIOWANIA JONIZUJĄCEGO</w:t>
      </w:r>
    </w:p>
    <w:tbl>
      <w:tblPr>
        <w:tblW w:w="7924" w:type="dxa"/>
        <w:tblInd w:w="21" w:type="dxa"/>
        <w:tblCellMar>
          <w:top w:w="40" w:type="dxa"/>
          <w:left w:w="107" w:type="dxa"/>
          <w:right w:w="69" w:type="dxa"/>
        </w:tblCellMar>
        <w:tblLook w:val="04A0" w:firstRow="1" w:lastRow="0" w:firstColumn="1" w:lastColumn="0" w:noHBand="0" w:noVBand="1"/>
      </w:tblPr>
      <w:tblGrid>
        <w:gridCol w:w="6515"/>
        <w:gridCol w:w="1409"/>
      </w:tblGrid>
      <w:tr w:rsidR="00E1662F" w:rsidRPr="00ED333E" w14:paraId="7F85DA6B" w14:textId="77777777" w:rsidTr="002A6332">
        <w:trPr>
          <w:trHeight w:val="249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F284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Kategoria ryzyka/podmioty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7A69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 grupa</w:t>
            </w:r>
          </w:p>
        </w:tc>
      </w:tr>
      <w:tr w:rsidR="00E1662F" w:rsidRPr="00ED333E" w14:paraId="20C9CEB2" w14:textId="77777777" w:rsidTr="002A6332">
        <w:trPr>
          <w:trHeight w:val="1210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37A0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Ryzyko wysokie (częstotliwość kontroli tak często, jak to konieczne dla zapewnienia skutecznego stosowania odpowiednich przepisów, z uwzględnieniem wysokiego ryzyka wystąpienia nieprawidłowości oraz środków niezbędnych do jego ograniczenia, ale nie rzadziej niż raz na 3 lata)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DF99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62F" w:rsidRPr="00ED333E" w14:paraId="43446B6B" w14:textId="77777777" w:rsidTr="002A6332">
        <w:trPr>
          <w:trHeight w:val="490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3B88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Jednostki ochrony zdrowia wykonujące świadczenia szpitalne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CB70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62F" w:rsidRPr="00ED333E" w14:paraId="7C52F600" w14:textId="77777777" w:rsidTr="002A6332">
        <w:trPr>
          <w:trHeight w:val="250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B8A5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Kategoria ryzyka/podmioty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646F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 grupa</w:t>
            </w:r>
          </w:p>
        </w:tc>
      </w:tr>
      <w:tr w:rsidR="00E1662F" w:rsidRPr="00ED333E" w14:paraId="029732B1" w14:textId="77777777" w:rsidTr="002A6332">
        <w:trPr>
          <w:trHeight w:val="490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4B9F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Ryzyko średnie (częstotliwość kontroli: nie częściej niż raz w ciągu 2 lat, ale nie rzadziej niż raz na 4 lata)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E2B6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62F" w:rsidRPr="00ED333E" w14:paraId="096D78CC" w14:textId="77777777" w:rsidTr="002A6332">
        <w:trPr>
          <w:trHeight w:val="489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6A38" w14:textId="77777777" w:rsidR="00E1662F" w:rsidRPr="00ED333E" w:rsidRDefault="00E1662F" w:rsidP="00E1662F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Pozostałe jednostki organizacyjne wykonujące działalność związaną z narażeniem na promieniowanie jonizujące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CFD8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F32812A" w14:textId="77777777" w:rsidR="00067BA4" w:rsidRPr="00ED333E" w:rsidRDefault="00067BA4" w:rsidP="00E1662F">
      <w:pPr>
        <w:keepNext/>
        <w:keepLines/>
        <w:spacing w:after="194"/>
        <w:ind w:left="720" w:hanging="360"/>
        <w:outlineLvl w:val="0"/>
        <w:rPr>
          <w:rFonts w:ascii="Calibri" w:eastAsia="Calibri" w:hAnsi="Calibri" w:cs="Calibri"/>
          <w:i/>
          <w:color w:val="000000"/>
          <w:sz w:val="20"/>
          <w:szCs w:val="20"/>
        </w:rPr>
      </w:pPr>
    </w:p>
    <w:p w14:paraId="296A9539" w14:textId="4A627BC1" w:rsidR="00E1662F" w:rsidRPr="001E6E51" w:rsidRDefault="00E1662F" w:rsidP="00C14519">
      <w:pPr>
        <w:keepNext/>
        <w:keepLines/>
        <w:spacing w:after="194"/>
        <w:outlineLvl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1E6E51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OBSZAR HIGIENY DZIECI I MŁODZIEŻY </w:t>
      </w:r>
    </w:p>
    <w:p w14:paraId="7F8F0004" w14:textId="06EF5563" w:rsidR="00E1662F" w:rsidRPr="00ED333E" w:rsidRDefault="00E1662F" w:rsidP="00C14519">
      <w:pPr>
        <w:tabs>
          <w:tab w:val="center" w:pos="511"/>
          <w:tab w:val="center" w:pos="4351"/>
        </w:tabs>
        <w:spacing w:after="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ab/>
        <w:t>Zaszeregowanie nadzorowanych placówek odpowiednio do kategorii ryzyk (niskie, średnie, wysokie)</w:t>
      </w:r>
    </w:p>
    <w:p w14:paraId="2C008580" w14:textId="77777777" w:rsidR="00E1662F" w:rsidRPr="00ED333E" w:rsidRDefault="00E1662F" w:rsidP="00E1662F">
      <w:pPr>
        <w:spacing w:after="0"/>
        <w:ind w:left="15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p w14:paraId="2B0E56A5" w14:textId="7BF23BDE" w:rsidR="00E1662F" w:rsidRPr="00ED333E" w:rsidRDefault="00E1662F" w:rsidP="00E1662F">
      <w:pPr>
        <w:tabs>
          <w:tab w:val="center" w:pos="387"/>
          <w:tab w:val="right" w:pos="7965"/>
        </w:tabs>
        <w:spacing w:after="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ab/>
      </w:r>
      <w:r w:rsidR="001E6E51">
        <w:rPr>
          <w:rFonts w:ascii="Calibri" w:eastAsia="Calibri" w:hAnsi="Calibri" w:cs="Calibri"/>
          <w:color w:val="000000"/>
          <w:sz w:val="20"/>
          <w:szCs w:val="20"/>
        </w:rPr>
        <w:t>W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>ysokie ryzyko - placówki (lub ich części), w których występują czynniki szkodliwe:</w:t>
      </w:r>
    </w:p>
    <w:p w14:paraId="601EB4EE" w14:textId="77777777" w:rsidR="00E1662F" w:rsidRPr="00ED333E" w:rsidRDefault="00E1662F" w:rsidP="001E6E51">
      <w:pPr>
        <w:numPr>
          <w:ilvl w:val="0"/>
          <w:numId w:val="43"/>
        </w:numPr>
        <w:spacing w:after="5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szkoły wszystkich typów, w których obecne są szkodliwe substancje chemiczne wykorzystywane w trakcie doświadczeń wykonywanych zarówno przez uczniów, jak również w ramach pokazu przez nauczyciela;</w:t>
      </w:r>
    </w:p>
    <w:p w14:paraId="1510091F" w14:textId="77777777" w:rsidR="00E1662F" w:rsidRPr="00ED333E" w:rsidRDefault="00E1662F" w:rsidP="001E6E51">
      <w:pPr>
        <w:numPr>
          <w:ilvl w:val="0"/>
          <w:numId w:val="43"/>
        </w:numPr>
        <w:spacing w:after="5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szkoły wyższe w których obecne są szkodliwe substancje chemiczne wykorzystywane w trakcie doświadczeń wykonywanych zarówno przez studentów, jak również w ramach pokazu przez wykładowców,</w:t>
      </w:r>
    </w:p>
    <w:p w14:paraId="233AAB00" w14:textId="4BA8B40F" w:rsidR="00E1662F" w:rsidRPr="00ED333E" w:rsidRDefault="00E1662F" w:rsidP="001E6E51">
      <w:pPr>
        <w:numPr>
          <w:ilvl w:val="0"/>
          <w:numId w:val="43"/>
        </w:numPr>
        <w:spacing w:after="5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szkoły wszystkich typów oraz szkoły wyższe kształcące w </w:t>
      </w:r>
      <w:r w:rsidR="002F3A8A" w:rsidRPr="00ED333E">
        <w:rPr>
          <w:rFonts w:ascii="Calibri" w:eastAsia="Calibri" w:hAnsi="Calibri" w:cs="Calibri"/>
          <w:color w:val="000000"/>
          <w:sz w:val="20"/>
          <w:szCs w:val="20"/>
        </w:rPr>
        <w:t>kierunkach,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 na których może dojść do zakażeń materiałem biologicznym uczniów, studentów, nauczycieli wykładowców (technika weterynaryjne, szkoły kształcące w kierunkach weterynaryjnych i medycznych),</w:t>
      </w:r>
    </w:p>
    <w:p w14:paraId="1CBEF672" w14:textId="77777777" w:rsidR="00E1662F" w:rsidRPr="00ED333E" w:rsidRDefault="00E1662F" w:rsidP="001E6E51">
      <w:pPr>
        <w:numPr>
          <w:ilvl w:val="0"/>
          <w:numId w:val="43"/>
        </w:numPr>
        <w:spacing w:after="5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placówki praktycznej nauki zawodu, w których badania środowiska praktycznej nauki zawodu wykazały występowanie czynników szkodliwych bądź uciążliwych na stanowiskach, których prowadzona jest nauka praktycznej nauki zawodu (bez względu na wysokość najwyższych stężeń i natężeń występujących w tym </w:t>
      </w:r>
    </w:p>
    <w:p w14:paraId="650125EA" w14:textId="77777777" w:rsidR="00E1662F" w:rsidRPr="001E6E51" w:rsidRDefault="00E1662F" w:rsidP="001E6E51">
      <w:pPr>
        <w:pStyle w:val="Akapitzlist"/>
        <w:numPr>
          <w:ilvl w:val="0"/>
          <w:numId w:val="43"/>
        </w:numPr>
        <w:spacing w:after="13" w:line="248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1E6E51">
        <w:rPr>
          <w:rFonts w:ascii="Calibri" w:eastAsia="Calibri" w:hAnsi="Calibri" w:cs="Calibri"/>
          <w:color w:val="000000"/>
          <w:sz w:val="20"/>
          <w:szCs w:val="20"/>
        </w:rPr>
        <w:t>środowisku),</w:t>
      </w:r>
    </w:p>
    <w:p w14:paraId="78186C2E" w14:textId="77777777" w:rsidR="00E1662F" w:rsidRPr="00ED333E" w:rsidRDefault="00E1662F" w:rsidP="001E6E51">
      <w:pPr>
        <w:numPr>
          <w:ilvl w:val="0"/>
          <w:numId w:val="43"/>
        </w:numPr>
        <w:spacing w:after="5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placówki praktycznej nauki zawodu, w których w ramach programu nauczania może dojść do przerwania ciągłości ludzkich tkanek (np. kosmetyczki),</w:t>
      </w:r>
    </w:p>
    <w:p w14:paraId="5BFB094F" w14:textId="77777777" w:rsidR="00E1662F" w:rsidRPr="00ED333E" w:rsidRDefault="00E1662F" w:rsidP="001E6E51">
      <w:pPr>
        <w:numPr>
          <w:ilvl w:val="0"/>
          <w:numId w:val="43"/>
        </w:numPr>
        <w:spacing w:after="5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turnusy sezonowego wypoczynku dzieci i młodzieży (wypoczynek w formie wyjazdowej)</w:t>
      </w:r>
    </w:p>
    <w:p w14:paraId="48A10B6B" w14:textId="77777777" w:rsidR="00E1662F" w:rsidRPr="00ED333E" w:rsidRDefault="00E1662F" w:rsidP="001E6E51">
      <w:pPr>
        <w:numPr>
          <w:ilvl w:val="0"/>
          <w:numId w:val="43"/>
        </w:numPr>
        <w:spacing w:after="5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placówki opieki nad dziećmi w wieku do lat 3 (żłobki, kluby dziecięce)</w:t>
      </w:r>
    </w:p>
    <w:p w14:paraId="653FDB0A" w14:textId="77777777" w:rsidR="00E1662F" w:rsidRPr="00ED333E" w:rsidRDefault="00E1662F" w:rsidP="001E6E51">
      <w:pPr>
        <w:numPr>
          <w:ilvl w:val="0"/>
          <w:numId w:val="43"/>
        </w:numPr>
        <w:spacing w:after="231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placówki wychowania przedszkolnego (przedszkola, punkty przedszkolne, zespoły wychowania przedszkolnego)</w:t>
      </w:r>
    </w:p>
    <w:p w14:paraId="5DC3004C" w14:textId="646284EC" w:rsidR="00E1662F" w:rsidRPr="00ED333E" w:rsidRDefault="001E6E51" w:rsidP="00E1662F">
      <w:pPr>
        <w:tabs>
          <w:tab w:val="center" w:pos="387"/>
          <w:tab w:val="center" w:pos="1301"/>
        </w:tabs>
        <w:spacing w:after="3" w:line="263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Ś</w:t>
      </w:r>
      <w:r w:rsidR="00E1662F" w:rsidRPr="00ED333E">
        <w:rPr>
          <w:rFonts w:ascii="Calibri" w:eastAsia="Calibri" w:hAnsi="Calibri" w:cs="Calibri"/>
          <w:color w:val="000000"/>
          <w:sz w:val="20"/>
          <w:szCs w:val="20"/>
        </w:rPr>
        <w:t>rednie ryzyko</w:t>
      </w:r>
    </w:p>
    <w:p w14:paraId="1CEF5281" w14:textId="77777777" w:rsidR="00E1662F" w:rsidRPr="00ED333E" w:rsidRDefault="00E1662F" w:rsidP="001E6E51">
      <w:pPr>
        <w:numPr>
          <w:ilvl w:val="0"/>
          <w:numId w:val="44"/>
        </w:numPr>
        <w:spacing w:after="5" w:line="248" w:lineRule="auto"/>
        <w:ind w:left="709" w:right="11" w:hanging="425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szkoły wszystkich typów oraz szkoły wyższe, które nie posiadają niebezpiecznych substancji chemicznych i ich mieszanin i nie prowadzą z nimi doświadczeń. Do tej grupy zalicza się również szkoły artystyczne, które realizują podstawę programową w danym zakresie,   </w:t>
      </w:r>
    </w:p>
    <w:p w14:paraId="243CF21C" w14:textId="77777777" w:rsidR="00E1662F" w:rsidRPr="00ED333E" w:rsidRDefault="00E1662F" w:rsidP="001E6E51">
      <w:pPr>
        <w:numPr>
          <w:ilvl w:val="0"/>
          <w:numId w:val="44"/>
        </w:numPr>
        <w:spacing w:after="5" w:line="248" w:lineRule="auto"/>
        <w:ind w:left="709" w:right="11" w:hanging="425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miejsca zakwaterowania, w których przybywają dzieci i młodzież (samodzielne domy studenckie, internaty i bursy, schroniska młodzieżowe),</w:t>
      </w:r>
    </w:p>
    <w:p w14:paraId="5120EE71" w14:textId="77777777" w:rsidR="00E1662F" w:rsidRPr="00ED333E" w:rsidRDefault="00E1662F" w:rsidP="001E6E51">
      <w:pPr>
        <w:numPr>
          <w:ilvl w:val="0"/>
          <w:numId w:val="44"/>
        </w:numPr>
        <w:spacing w:after="5" w:line="248" w:lineRule="auto"/>
        <w:ind w:left="709" w:right="11" w:hanging="425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domy wczasów dziecięcych</w:t>
      </w:r>
    </w:p>
    <w:p w14:paraId="77684FD2" w14:textId="77777777" w:rsidR="00E1662F" w:rsidRPr="00ED333E" w:rsidRDefault="00E1662F" w:rsidP="001E6E51">
      <w:pPr>
        <w:numPr>
          <w:ilvl w:val="0"/>
          <w:numId w:val="44"/>
        </w:numPr>
        <w:spacing w:after="5" w:line="248" w:lineRule="auto"/>
        <w:ind w:left="709" w:right="11" w:hanging="425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specjalne ośrodki wychowawcze,</w:t>
      </w:r>
    </w:p>
    <w:p w14:paraId="77CB2545" w14:textId="77777777" w:rsidR="00E1662F" w:rsidRPr="00ED333E" w:rsidRDefault="00E1662F" w:rsidP="001E6E51">
      <w:pPr>
        <w:numPr>
          <w:ilvl w:val="0"/>
          <w:numId w:val="44"/>
        </w:numPr>
        <w:spacing w:after="5" w:line="248" w:lineRule="auto"/>
        <w:ind w:left="709" w:right="11" w:hanging="425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specjalne ośrodki szkolno-wychowawcze,</w:t>
      </w:r>
    </w:p>
    <w:p w14:paraId="4761BD2E" w14:textId="77777777" w:rsidR="00E1662F" w:rsidRPr="00ED333E" w:rsidRDefault="00E1662F" w:rsidP="001E6E51">
      <w:pPr>
        <w:numPr>
          <w:ilvl w:val="0"/>
          <w:numId w:val="44"/>
        </w:numPr>
        <w:spacing w:after="13" w:line="248" w:lineRule="auto"/>
        <w:ind w:left="709" w:right="11" w:hanging="425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młodzieżowe ośrodki wychowawcze,</w:t>
      </w:r>
    </w:p>
    <w:p w14:paraId="0BA363F5" w14:textId="77777777" w:rsidR="00E1662F" w:rsidRPr="00ED333E" w:rsidRDefault="00E1662F" w:rsidP="001E6E51">
      <w:pPr>
        <w:numPr>
          <w:ilvl w:val="0"/>
          <w:numId w:val="44"/>
        </w:numPr>
        <w:spacing w:after="13" w:line="248" w:lineRule="auto"/>
        <w:ind w:left="709" w:right="11" w:hanging="425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młodzieżowe ośrodki socjoterapii,</w:t>
      </w:r>
    </w:p>
    <w:p w14:paraId="163E641B" w14:textId="77777777" w:rsidR="00E1662F" w:rsidRPr="00ED333E" w:rsidRDefault="00E1662F" w:rsidP="001E6E51">
      <w:pPr>
        <w:numPr>
          <w:ilvl w:val="0"/>
          <w:numId w:val="44"/>
        </w:numPr>
        <w:spacing w:after="13" w:line="248" w:lineRule="auto"/>
        <w:ind w:left="709" w:right="11" w:hanging="425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placówki opiekuńczo-wychowawcze,</w:t>
      </w:r>
    </w:p>
    <w:p w14:paraId="729318D4" w14:textId="77777777" w:rsidR="00E1662F" w:rsidRPr="00ED333E" w:rsidRDefault="00E1662F" w:rsidP="001E6E51">
      <w:pPr>
        <w:numPr>
          <w:ilvl w:val="0"/>
          <w:numId w:val="44"/>
        </w:numPr>
        <w:spacing w:after="5" w:line="248" w:lineRule="auto"/>
        <w:ind w:left="709" w:right="11" w:hanging="425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domy pomocy społecznej</w:t>
      </w:r>
    </w:p>
    <w:p w14:paraId="102C5FA0" w14:textId="77777777" w:rsidR="00E1662F" w:rsidRPr="00ED333E" w:rsidRDefault="00E1662F" w:rsidP="001E6E51">
      <w:pPr>
        <w:numPr>
          <w:ilvl w:val="0"/>
          <w:numId w:val="44"/>
        </w:numPr>
        <w:spacing w:after="5" w:line="248" w:lineRule="auto"/>
        <w:ind w:left="709" w:right="11" w:hanging="425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sale/salony zabaw,</w:t>
      </w:r>
    </w:p>
    <w:p w14:paraId="115D321A" w14:textId="77777777" w:rsidR="00E1662F" w:rsidRPr="00ED333E" w:rsidRDefault="00E1662F" w:rsidP="001E6E51">
      <w:pPr>
        <w:numPr>
          <w:ilvl w:val="0"/>
          <w:numId w:val="44"/>
        </w:numPr>
        <w:spacing w:after="5" w:line="248" w:lineRule="auto"/>
        <w:ind w:left="709" w:right="11" w:hanging="425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tzw. „małpie gaje” </w:t>
      </w:r>
    </w:p>
    <w:p w14:paraId="3F57D308" w14:textId="77777777" w:rsidR="00E1662F" w:rsidRPr="00ED333E" w:rsidRDefault="00E1662F" w:rsidP="001E6E51">
      <w:pPr>
        <w:numPr>
          <w:ilvl w:val="0"/>
          <w:numId w:val="44"/>
        </w:numPr>
        <w:spacing w:after="5" w:line="248" w:lineRule="auto"/>
        <w:ind w:left="709" w:right="11" w:hanging="425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turnusy sezonowego wypoczynku dzieci i młodzieży (wypoczynek w miejscu zamieszkania)</w:t>
      </w:r>
    </w:p>
    <w:p w14:paraId="2747AD9A" w14:textId="77777777" w:rsidR="00E1662F" w:rsidRPr="00ED333E" w:rsidRDefault="00E1662F" w:rsidP="001E6E51">
      <w:pPr>
        <w:numPr>
          <w:ilvl w:val="0"/>
          <w:numId w:val="44"/>
        </w:numPr>
        <w:spacing w:after="234" w:line="248" w:lineRule="auto"/>
        <w:ind w:left="709" w:right="11" w:hanging="425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lastRenderedPageBreak/>
        <w:t>zielone/białe szkoły</w:t>
      </w:r>
    </w:p>
    <w:p w14:paraId="03DBC2AB" w14:textId="412EAE09" w:rsidR="00E1662F" w:rsidRPr="00ED333E" w:rsidRDefault="00E1662F" w:rsidP="00E1662F">
      <w:pPr>
        <w:tabs>
          <w:tab w:val="center" w:pos="387"/>
          <w:tab w:val="center" w:pos="1230"/>
        </w:tabs>
        <w:spacing w:after="3" w:line="263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ab/>
      </w:r>
      <w:r w:rsidR="001E6E51">
        <w:rPr>
          <w:rFonts w:ascii="Calibri" w:eastAsia="Calibri" w:hAnsi="Calibri" w:cs="Calibri"/>
          <w:color w:val="000000"/>
          <w:sz w:val="20"/>
          <w:szCs w:val="20"/>
        </w:rPr>
        <w:t>N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>iskie ryzyko</w:t>
      </w:r>
      <w:r w:rsidR="001E6E51">
        <w:rPr>
          <w:rFonts w:ascii="Calibri" w:eastAsia="Calibri" w:hAnsi="Calibri" w:cs="Calibri"/>
          <w:color w:val="000000"/>
          <w:sz w:val="20"/>
          <w:szCs w:val="20"/>
        </w:rPr>
        <w:t>:</w:t>
      </w:r>
    </w:p>
    <w:p w14:paraId="20C7C5CE" w14:textId="77777777" w:rsidR="00E1662F" w:rsidRPr="00ED333E" w:rsidRDefault="00E1662F" w:rsidP="001E6E51">
      <w:pPr>
        <w:numPr>
          <w:ilvl w:val="0"/>
          <w:numId w:val="45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placówki wsparcia dziennego,</w:t>
      </w:r>
    </w:p>
    <w:p w14:paraId="2AFC45B5" w14:textId="77777777" w:rsidR="00E1662F" w:rsidRPr="00ED333E" w:rsidRDefault="00E1662F" w:rsidP="001E6E51">
      <w:pPr>
        <w:numPr>
          <w:ilvl w:val="0"/>
          <w:numId w:val="45"/>
        </w:numPr>
        <w:spacing w:after="13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młodzieżowe domy kultury i pałace młodzieży,</w:t>
      </w:r>
    </w:p>
    <w:p w14:paraId="2B0AEA60" w14:textId="77777777" w:rsidR="00E1662F" w:rsidRPr="00ED333E" w:rsidRDefault="00E1662F" w:rsidP="001E6E51">
      <w:pPr>
        <w:numPr>
          <w:ilvl w:val="0"/>
          <w:numId w:val="45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ogniska pracy pozaszkolnej,</w:t>
      </w:r>
    </w:p>
    <w:p w14:paraId="5CCE3280" w14:textId="77777777" w:rsidR="00E1662F" w:rsidRPr="00ED333E" w:rsidRDefault="00E1662F" w:rsidP="001E6E51">
      <w:pPr>
        <w:numPr>
          <w:ilvl w:val="0"/>
          <w:numId w:val="45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ogrody jordanowskie,</w:t>
      </w:r>
    </w:p>
    <w:p w14:paraId="6D74393B" w14:textId="77777777" w:rsidR="00E1662F" w:rsidRPr="00ED333E" w:rsidRDefault="00E1662F" w:rsidP="001E6E51">
      <w:pPr>
        <w:numPr>
          <w:ilvl w:val="0"/>
          <w:numId w:val="45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placówki zajmujące się wspomaganiem terapeutycznym dzieci i młodzieży (poradnie-psychologiczno-pedagogiczne, centra pomocy psychologicznopedagogicznej, centra wspierania edukacji, itp.),</w:t>
      </w:r>
    </w:p>
    <w:p w14:paraId="1EC47962" w14:textId="77777777" w:rsidR="00E1662F" w:rsidRPr="00ED333E" w:rsidRDefault="00E1662F" w:rsidP="001E6E51">
      <w:pPr>
        <w:numPr>
          <w:ilvl w:val="0"/>
          <w:numId w:val="45"/>
        </w:numPr>
        <w:spacing w:after="13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szkoły muzyczne realizujące wyłącznie kształcenie artystyczne</w:t>
      </w:r>
    </w:p>
    <w:p w14:paraId="71ABF0A1" w14:textId="77777777" w:rsidR="00067BA4" w:rsidRPr="00ED333E" w:rsidRDefault="00067BA4" w:rsidP="00E1662F">
      <w:pPr>
        <w:keepNext/>
        <w:keepLines/>
        <w:spacing w:after="0"/>
        <w:ind w:left="720" w:hanging="360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367D1720" w14:textId="77777777" w:rsidR="00067BA4" w:rsidRPr="00ED333E" w:rsidRDefault="00067BA4" w:rsidP="00E1662F">
      <w:pPr>
        <w:keepNext/>
        <w:keepLines/>
        <w:spacing w:after="0"/>
        <w:ind w:left="720" w:hanging="360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6066DF16" w14:textId="6C3B356A" w:rsidR="00E1662F" w:rsidRDefault="00E1662F" w:rsidP="00E1662F">
      <w:pPr>
        <w:keepNext/>
        <w:keepLines/>
        <w:spacing w:after="0"/>
        <w:ind w:left="720" w:hanging="360"/>
        <w:outlineLvl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1E6E51">
        <w:rPr>
          <w:rFonts w:ascii="Calibri" w:eastAsia="Calibri" w:hAnsi="Calibri" w:cs="Calibri"/>
          <w:b/>
          <w:bCs/>
          <w:color w:val="000000"/>
          <w:sz w:val="20"/>
          <w:szCs w:val="20"/>
        </w:rPr>
        <w:t>OBSZAR HIGIENY PRACY</w:t>
      </w:r>
    </w:p>
    <w:p w14:paraId="18D306ED" w14:textId="77777777" w:rsidR="001E6E51" w:rsidRPr="001E6E51" w:rsidRDefault="001E6E51" w:rsidP="00E1662F">
      <w:pPr>
        <w:keepNext/>
        <w:keepLines/>
        <w:spacing w:after="0"/>
        <w:ind w:left="720" w:hanging="360"/>
        <w:outlineLvl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tbl>
      <w:tblPr>
        <w:tblW w:w="7924" w:type="dxa"/>
        <w:tblInd w:w="21" w:type="dxa"/>
        <w:tblCellMar>
          <w:top w:w="40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6620"/>
        <w:gridCol w:w="1304"/>
      </w:tblGrid>
      <w:tr w:rsidR="00E1662F" w:rsidRPr="00ED333E" w14:paraId="66291ACD" w14:textId="77777777" w:rsidTr="002A6332">
        <w:trPr>
          <w:trHeight w:val="729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94A79" w14:textId="77777777" w:rsidR="00E1662F" w:rsidRPr="00ED333E" w:rsidRDefault="00E1662F" w:rsidP="00E1662F">
            <w:pPr>
              <w:spacing w:after="0"/>
              <w:ind w:left="233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KATEGORYZACJA PODMIOTÓW </w:t>
            </w:r>
          </w:p>
          <w:p w14:paraId="5EFAEAFB" w14:textId="77777777" w:rsidR="00E1662F" w:rsidRPr="00ED333E" w:rsidRDefault="00E1662F" w:rsidP="00E1662F">
            <w:pPr>
              <w:spacing w:after="0"/>
              <w:ind w:left="208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nadzorowanych przez pion higieny pracy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59605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62F" w:rsidRPr="00ED333E" w14:paraId="59731A65" w14:textId="77777777" w:rsidTr="002A6332">
        <w:trPr>
          <w:trHeight w:val="25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61445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748730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62F" w:rsidRPr="00ED333E" w14:paraId="762E54F4" w14:textId="77777777" w:rsidTr="002A6332">
        <w:trPr>
          <w:trHeight w:val="712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88C5A" w14:textId="77777777" w:rsidR="00E1662F" w:rsidRPr="00ED333E" w:rsidRDefault="00E1662F" w:rsidP="00E1662F">
            <w:pPr>
              <w:spacing w:after="0"/>
              <w:ind w:left="13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Kategoria wielkości ryzyka</w:t>
            </w:r>
          </w:p>
          <w:p w14:paraId="3BBD359B" w14:textId="77777777" w:rsidR="00E1662F" w:rsidRPr="00ED333E" w:rsidRDefault="00E1662F" w:rsidP="00E1662F">
            <w:pPr>
              <w:spacing w:after="0"/>
              <w:ind w:left="154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(zagrożeń stwarzanych przez podmiot kontrolowany)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BE5E23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62F" w:rsidRPr="00ED333E" w14:paraId="5721F0DF" w14:textId="77777777" w:rsidTr="002A6332">
        <w:trPr>
          <w:trHeight w:val="37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1896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Kategoria ryzyka*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2DC1" w14:textId="77777777" w:rsidR="00E1662F" w:rsidRPr="00ED333E" w:rsidRDefault="00E1662F" w:rsidP="00E1662F">
            <w:pPr>
              <w:spacing w:after="0"/>
              <w:ind w:left="1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grupa</w:t>
            </w:r>
          </w:p>
        </w:tc>
      </w:tr>
      <w:tr w:rsidR="00E1662F" w:rsidRPr="00ED333E" w14:paraId="082F5868" w14:textId="77777777" w:rsidTr="002A6332">
        <w:trPr>
          <w:trHeight w:val="121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77DA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ryzyko wysokie </w:t>
            </w:r>
          </w:p>
          <w:p w14:paraId="615CB2B2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(częstotliwość kontroli: tak często, jak to konieczne dla zapewnienia skutecznego stosowania odpowiednich przepisów, z uwzględnieniem wysokiego ryzyka wystąpienia nieprawidłowości oraz środków niezbędnych do jego ograniczania).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41F6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62F" w:rsidRPr="00ED333E" w14:paraId="1543D3FE" w14:textId="77777777" w:rsidTr="002A6332">
        <w:trPr>
          <w:trHeight w:val="40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3FB0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Należy zaliczyć obiekty spełniające co najmniej 1 z poniższych kryteriów: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F55E" w14:textId="77777777" w:rsidR="00E1662F" w:rsidRPr="00ED333E" w:rsidRDefault="00E1662F" w:rsidP="00E1662F">
            <w:pPr>
              <w:spacing w:after="0"/>
              <w:ind w:left="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Podgrupa**</w:t>
            </w:r>
          </w:p>
        </w:tc>
      </w:tr>
      <w:tr w:rsidR="00E1662F" w:rsidRPr="00ED333E" w14:paraId="23BC4473" w14:textId="77777777" w:rsidTr="002A6332">
        <w:trPr>
          <w:trHeight w:val="145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7DA1" w14:textId="77777777" w:rsidR="00E1662F" w:rsidRPr="00ED333E" w:rsidRDefault="00E1662F" w:rsidP="00E1662F">
            <w:pPr>
              <w:spacing w:after="0" w:line="23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Zakłady, w których występują przekroczenia dopuszczalnych poziomów czynników szkodliwych dla zdrowia lub były stwierdzone przekroczenia NDS/NDN, NDSCh, NDSP w minionym roku.</w:t>
            </w:r>
          </w:p>
          <w:p w14:paraId="3A6878D5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(z wyjątkiem zakładów (dot. stanowisk pracy) z przekroczeniami NDN hałasu i drgań mechanicznych, w których wdrożono program działań organizacyjno-technicznych)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5A12" w14:textId="77777777" w:rsidR="00E1662F" w:rsidRPr="00ED333E" w:rsidRDefault="00E1662F" w:rsidP="00E1662F">
            <w:pPr>
              <w:spacing w:after="0"/>
              <w:ind w:left="1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1A</w:t>
            </w:r>
          </w:p>
        </w:tc>
      </w:tr>
      <w:tr w:rsidR="00E1662F" w:rsidRPr="00ED333E" w14:paraId="1AAE9BEC" w14:textId="77777777" w:rsidTr="002A6332">
        <w:trPr>
          <w:trHeight w:val="73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B670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Zakłady, w których występuje narażenie inhalacyjne na czynniki rakotwórcze, mutagenne lub reprotoksyczne (CMR) w stężeniach &gt; 0,5 NDS.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A52E" w14:textId="77777777" w:rsidR="00E1662F" w:rsidRPr="00ED333E" w:rsidRDefault="00E1662F" w:rsidP="00E1662F">
            <w:pPr>
              <w:spacing w:after="0"/>
              <w:ind w:left="1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1B</w:t>
            </w:r>
          </w:p>
        </w:tc>
      </w:tr>
      <w:tr w:rsidR="00E1662F" w:rsidRPr="00ED333E" w14:paraId="5916F122" w14:textId="77777777" w:rsidTr="002A6332">
        <w:trPr>
          <w:trHeight w:val="217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67C7" w14:textId="77777777" w:rsidR="00E1662F" w:rsidRPr="00ED333E" w:rsidRDefault="00E1662F" w:rsidP="00E1662F">
            <w:pPr>
              <w:spacing w:after="240" w:line="23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 xml:space="preserve">Zakłady, w których dochodzi do zamierzonego użycia szkodliwego czynnika biologicznego z grupy 4 oraz podmioty lecznicze wyznaczone do opieki nad pacjentem ze zdiagnozowaną chorobą zakaźną wywołaną szkodliwym czynnikiem biologicznym z grupy 4. </w:t>
            </w:r>
          </w:p>
          <w:p w14:paraId="1FBA1C3B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Zakłady, w których występuje narażenie na szkodliwe czynniki biologiczne grupy 3 o podwyższonym ryzyku narażenia względem ryzyka populacyjnego – praca w zakładach gospodarki odpadami oraz przy oczyszczaniu ścieków.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BC3B" w14:textId="77777777" w:rsidR="00E1662F" w:rsidRPr="00ED333E" w:rsidRDefault="00E1662F" w:rsidP="00E1662F">
            <w:pPr>
              <w:spacing w:after="0"/>
              <w:ind w:left="1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1C</w:t>
            </w:r>
          </w:p>
        </w:tc>
      </w:tr>
      <w:tr w:rsidR="00E1662F" w:rsidRPr="00ED333E" w14:paraId="7BE61D1E" w14:textId="77777777" w:rsidTr="002A6332">
        <w:trPr>
          <w:trHeight w:val="909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8D0D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Zakłady, w których w ostatnich latach występuje wzmożone występowanie chorób zawodowych mających bezpośredni związek z obecnie prowadzoną działalnością zakładu.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148C" w14:textId="77777777" w:rsidR="00E1662F" w:rsidRPr="00ED333E" w:rsidRDefault="00E1662F" w:rsidP="00E1662F">
            <w:pPr>
              <w:spacing w:after="0"/>
              <w:ind w:left="1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1D</w:t>
            </w:r>
          </w:p>
        </w:tc>
      </w:tr>
      <w:tr w:rsidR="00E1662F" w:rsidRPr="00ED333E" w14:paraId="0719EAEF" w14:textId="77777777" w:rsidTr="002A6332">
        <w:trPr>
          <w:trHeight w:val="75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F512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Zakłady, które dotychczas nie były objęte nadzorem (planowana pierwsza kontrola celem oceny zagrożeń środowiska pracy)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800A" w14:textId="77777777" w:rsidR="00E1662F" w:rsidRPr="00ED333E" w:rsidRDefault="00E1662F" w:rsidP="00E1662F">
            <w:pPr>
              <w:spacing w:after="0"/>
              <w:ind w:righ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1E</w:t>
            </w:r>
          </w:p>
        </w:tc>
      </w:tr>
      <w:tr w:rsidR="00E1662F" w:rsidRPr="00ED333E" w14:paraId="16C50236" w14:textId="77777777" w:rsidTr="002A6332">
        <w:trPr>
          <w:trHeight w:val="37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8A80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Kategoria ryzyka*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0266" w14:textId="77777777" w:rsidR="00E1662F" w:rsidRPr="00ED333E" w:rsidRDefault="00E1662F" w:rsidP="00E1662F">
            <w:pPr>
              <w:spacing w:after="0"/>
              <w:ind w:righ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 grupa</w:t>
            </w:r>
          </w:p>
        </w:tc>
      </w:tr>
      <w:tr w:rsidR="00E1662F" w:rsidRPr="00ED333E" w14:paraId="5B3C0E9E" w14:textId="77777777" w:rsidTr="002A6332">
        <w:trPr>
          <w:trHeight w:val="64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8E89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ryzyko średnie</w:t>
            </w:r>
          </w:p>
          <w:p w14:paraId="5A52EB18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(częstotliwość kontroli: nie częściej niż raz w ciągu 3 lat)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E2F1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62F" w:rsidRPr="00ED333E" w14:paraId="17541B0E" w14:textId="77777777" w:rsidTr="002A6332">
        <w:trPr>
          <w:trHeight w:val="49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9FC9" w14:textId="77777777" w:rsidR="00E1662F" w:rsidRPr="00ED333E" w:rsidRDefault="00E1662F" w:rsidP="00E1662F">
            <w:pPr>
              <w:spacing w:after="0"/>
              <w:ind w:right="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Należy zaliczyć obiekty niewymienione w grupie 1, spełniające co najmniej 1 z poniższych kryteriów: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BA6F" w14:textId="77777777" w:rsidR="00E1662F" w:rsidRPr="00ED333E" w:rsidRDefault="00E1662F" w:rsidP="00E1662F">
            <w:pPr>
              <w:spacing w:after="0"/>
              <w:ind w:left="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Podgrupa**</w:t>
            </w:r>
          </w:p>
        </w:tc>
      </w:tr>
      <w:tr w:rsidR="00E1662F" w:rsidRPr="00ED333E" w14:paraId="51C6354C" w14:textId="77777777" w:rsidTr="002A6332">
        <w:trPr>
          <w:trHeight w:val="97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9CB0" w14:textId="6FF0970A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Zakłady, w których występują czynniki szkodliwe, ale ich stężenia i natężenia </w:t>
            </w:r>
            <w:r w:rsidR="002F3A8A"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wynoszą 0</w:t>
            </w: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,5 &lt; x ≤1 NDS/NDN oraz zakłady (dot. stanowisk pracy) z przekroczeniami NDN hałasu i drgań mechanicznych, w których wdrożono program działań organizacyjno-technicznych.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D30C" w14:textId="77777777" w:rsidR="00E1662F" w:rsidRPr="00ED333E" w:rsidRDefault="00E1662F" w:rsidP="00E1662F">
            <w:pPr>
              <w:spacing w:after="0"/>
              <w:ind w:righ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2A</w:t>
            </w:r>
          </w:p>
        </w:tc>
      </w:tr>
      <w:tr w:rsidR="00E1662F" w:rsidRPr="00ED333E" w14:paraId="444DA4EA" w14:textId="77777777" w:rsidTr="002A6332">
        <w:trPr>
          <w:trHeight w:val="121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7874" w14:textId="427BB7C3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Zakłady, w których występuje narażenie na czynniki rakotwórcze, mutagenne lub reprotoksyczne (CMR) w stężeniach 0,1&lt;x≤0,5 NDS i/</w:t>
            </w:r>
            <w:r w:rsidR="002F3A8A"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lub</w:t>
            </w: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których występuje narażenie na czynniki rakotwórcze, mutagenne lub reprotoksyczne (CMR), dla których nie określono wartości NDS lub nie przeprowadzono badań i pomiarów tych czynników w środowiska pracy.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DDCC" w14:textId="77777777" w:rsidR="00E1662F" w:rsidRPr="00ED333E" w:rsidRDefault="00E1662F" w:rsidP="00E1662F">
            <w:pPr>
              <w:spacing w:after="0"/>
              <w:ind w:righ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2B</w:t>
            </w:r>
          </w:p>
        </w:tc>
      </w:tr>
      <w:tr w:rsidR="00E1662F" w:rsidRPr="00ED333E" w14:paraId="278D9108" w14:textId="77777777" w:rsidTr="002A6332">
        <w:trPr>
          <w:trHeight w:val="97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7B9F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Zakłady, w których występuje narażenie na szkodliwe czynniki biologiczne grupy 3 o podwyższonym ryzyku narażenia względem ryzyka populacyjnego (z wyjątkiem przychodni lekarskich i stomatologicznych oraz zakładów wymienionych w podgrupie 1 C).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8210" w14:textId="77777777" w:rsidR="00E1662F" w:rsidRPr="00ED333E" w:rsidRDefault="00E1662F" w:rsidP="00E1662F">
            <w:pPr>
              <w:spacing w:after="0"/>
              <w:ind w:righ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2C</w:t>
            </w:r>
          </w:p>
        </w:tc>
      </w:tr>
      <w:tr w:rsidR="00E1662F" w:rsidRPr="00ED333E" w14:paraId="40A1D333" w14:textId="77777777" w:rsidTr="002A6332">
        <w:trPr>
          <w:trHeight w:val="37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A4FD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Kategoria ryzyka*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69E2" w14:textId="77777777" w:rsidR="00E1662F" w:rsidRPr="00ED333E" w:rsidRDefault="00E1662F" w:rsidP="00E1662F">
            <w:pPr>
              <w:spacing w:after="0"/>
              <w:ind w:righ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 grupa</w:t>
            </w:r>
          </w:p>
        </w:tc>
      </w:tr>
      <w:tr w:rsidR="00E1662F" w:rsidRPr="00ED333E" w14:paraId="5551487B" w14:textId="77777777" w:rsidTr="002A6332">
        <w:trPr>
          <w:trHeight w:val="625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2C0A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ryzyko niskie</w:t>
            </w:r>
          </w:p>
          <w:p w14:paraId="22162D50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(częstotliwość kontroli: nie częściej niż raz w ciągu 5 lat)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19F3" w14:textId="77777777" w:rsidR="00E1662F" w:rsidRPr="00ED333E" w:rsidRDefault="00E1662F" w:rsidP="00E166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62F" w:rsidRPr="00ED333E" w14:paraId="0DEFDC2D" w14:textId="77777777" w:rsidTr="002A6332">
        <w:trPr>
          <w:trHeight w:val="49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8248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Należy zaliczyć pozostałe obiekty (nie wymienione w objaśnieniach do grupy 1 i 2) tj.: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D7B3" w14:textId="77777777" w:rsidR="00E1662F" w:rsidRPr="00ED333E" w:rsidRDefault="00E1662F" w:rsidP="00E1662F">
            <w:pPr>
              <w:spacing w:after="0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Podgrupa**</w:t>
            </w:r>
          </w:p>
        </w:tc>
      </w:tr>
      <w:tr w:rsidR="00E1662F" w:rsidRPr="00ED333E" w14:paraId="11C479E4" w14:textId="77777777" w:rsidTr="002A6332">
        <w:trPr>
          <w:trHeight w:val="58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5E46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Pozostałe zakłady, w których czynniki szkodliwe dla zdrowia występują w stężeniach lub natężeniach mniejszych/równych 0,5 NDS/NDN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788B" w14:textId="77777777" w:rsidR="00E1662F" w:rsidRPr="00ED333E" w:rsidRDefault="00E1662F" w:rsidP="00E1662F">
            <w:pPr>
              <w:spacing w:after="0"/>
              <w:ind w:righ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3A</w:t>
            </w:r>
          </w:p>
        </w:tc>
      </w:tr>
      <w:tr w:rsidR="00E1662F" w:rsidRPr="00ED333E" w14:paraId="5235C0AC" w14:textId="77777777" w:rsidTr="002A6332">
        <w:trPr>
          <w:trHeight w:val="625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CA03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Pozostałe zakłady, w których występują czynniki rakotwórcze, mutagenne lub reprotoksyczne (CMR) (niewymienione w grupie 1B i 2B)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B90C" w14:textId="77777777" w:rsidR="00E1662F" w:rsidRPr="00ED333E" w:rsidRDefault="00E1662F" w:rsidP="00E1662F">
            <w:pPr>
              <w:spacing w:after="0"/>
              <w:ind w:righ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3B</w:t>
            </w:r>
          </w:p>
        </w:tc>
      </w:tr>
      <w:tr w:rsidR="00E1662F" w:rsidRPr="00ED333E" w14:paraId="03FC73E5" w14:textId="77777777" w:rsidTr="002A6332">
        <w:trPr>
          <w:trHeight w:val="925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72FA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 xml:space="preserve">Pozostałe zakłady, w których występuje narażenie na szkodliwe czynniki biologiczne grupy 3 (niewymienione w grupie 1C i 2C) lub w których występuje wyłącznie narażenie na czynniki biologiczne grupy 2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E1A0" w14:textId="77777777" w:rsidR="00E1662F" w:rsidRPr="00ED333E" w:rsidRDefault="00E1662F" w:rsidP="00E1662F">
            <w:pPr>
              <w:spacing w:after="0"/>
              <w:ind w:righ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3C</w:t>
            </w:r>
          </w:p>
        </w:tc>
      </w:tr>
      <w:tr w:rsidR="00E1662F" w:rsidRPr="00ED333E" w14:paraId="4B4879C0" w14:textId="77777777" w:rsidTr="002A6332">
        <w:trPr>
          <w:trHeight w:val="729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D796" w14:textId="77777777" w:rsidR="00E1662F" w:rsidRPr="00ED333E" w:rsidRDefault="00E1662F" w:rsidP="00E1662F">
            <w:pP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Pozostałe zakłady, niespełniające kryteriów średniego lub wysokiego ryzyka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3C3B" w14:textId="77777777" w:rsidR="00E1662F" w:rsidRPr="00ED333E" w:rsidRDefault="00E1662F" w:rsidP="00E1662F">
            <w:pPr>
              <w:spacing w:after="0"/>
              <w:ind w:righ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33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3D</w:t>
            </w:r>
          </w:p>
        </w:tc>
      </w:tr>
    </w:tbl>
    <w:p w14:paraId="0C8825FA" w14:textId="77777777" w:rsidR="00E1662F" w:rsidRPr="00ED333E" w:rsidRDefault="00E1662F" w:rsidP="00E1662F">
      <w:pPr>
        <w:spacing w:after="13" w:line="248" w:lineRule="auto"/>
        <w:ind w:left="10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Objaśnienia:</w:t>
      </w:r>
    </w:p>
    <w:p w14:paraId="5E25A470" w14:textId="77777777" w:rsidR="00E1662F" w:rsidRPr="00ED333E" w:rsidRDefault="00E1662F" w:rsidP="00E1662F">
      <w:pPr>
        <w:spacing w:after="1" w:line="237" w:lineRule="auto"/>
        <w:ind w:left="10" w:right="-1" w:hanging="1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*Aby zakwalifikować podmiot do grupy 1, 2, 3 lub 4 należy wcześniej ustalić wymagania której podgrupy (w każdej grupie wskazano podgrupy od A do C lub E) spełnia ten podmiot. **Podgrupa - wytyczne, jakie aspekty należy wziąć pod uwagę podczas kwalifikowania podmiotu do danej grupy, wskazujące jednocześnie charakterystykę zagrożeń występujących w zakładzie:</w:t>
      </w:r>
    </w:p>
    <w:p w14:paraId="65223480" w14:textId="77777777" w:rsidR="00E1662F" w:rsidRPr="00ED333E" w:rsidRDefault="00E1662F" w:rsidP="00E1662F">
      <w:pPr>
        <w:numPr>
          <w:ilvl w:val="0"/>
          <w:numId w:val="8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Podgrupa A - to narażenie na czynniki szkodliwe,</w:t>
      </w:r>
    </w:p>
    <w:p w14:paraId="6C450E34" w14:textId="77777777" w:rsidR="00E1662F" w:rsidRPr="00ED333E" w:rsidRDefault="00E1662F" w:rsidP="00E1662F">
      <w:pPr>
        <w:numPr>
          <w:ilvl w:val="0"/>
          <w:numId w:val="8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Podgrupa B - to narażenie na CMR,</w:t>
      </w:r>
    </w:p>
    <w:p w14:paraId="303EDCD3" w14:textId="77777777" w:rsidR="00E1662F" w:rsidRPr="00ED333E" w:rsidRDefault="00E1662F" w:rsidP="00E1662F">
      <w:pPr>
        <w:numPr>
          <w:ilvl w:val="0"/>
          <w:numId w:val="8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Podgrupa C - to narażenie na szkodliwe czynniki biologiczne,</w:t>
      </w:r>
    </w:p>
    <w:p w14:paraId="76AA4EE9" w14:textId="77777777" w:rsidR="00E1662F" w:rsidRPr="00ED333E" w:rsidRDefault="00E1662F" w:rsidP="00E1662F">
      <w:pPr>
        <w:numPr>
          <w:ilvl w:val="0"/>
          <w:numId w:val="8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Podgrupa D - to choroby zawodowe </w:t>
      </w:r>
    </w:p>
    <w:p w14:paraId="7EA22CB0" w14:textId="77777777" w:rsidR="00E1662F" w:rsidRPr="00ED333E" w:rsidRDefault="00E1662F" w:rsidP="00E1662F">
      <w:pPr>
        <w:numPr>
          <w:ilvl w:val="0"/>
          <w:numId w:val="8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Podgrupa E - nowe zakłady pracy </w:t>
      </w:r>
    </w:p>
    <w:p w14:paraId="2E995972" w14:textId="77777777" w:rsidR="00E1662F" w:rsidRPr="00ED333E" w:rsidRDefault="00E1662F" w:rsidP="00E1662F">
      <w:pPr>
        <w:spacing w:after="5" w:line="248" w:lineRule="auto"/>
        <w:ind w:left="10" w:right="11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Dla każdego podmiotu należy wybrać, te podgrupy, które charakteryzują zakład, przy czym należy przestrzegać zasady, że obowiązuje zawsze najwyższa kategoria w danej podgrupie. </w:t>
      </w:r>
    </w:p>
    <w:p w14:paraId="4C09277B" w14:textId="77777777" w:rsidR="00E1662F" w:rsidRPr="00ED333E" w:rsidRDefault="00E1662F" w:rsidP="00E1662F">
      <w:pPr>
        <w:spacing w:after="13" w:line="248" w:lineRule="auto"/>
        <w:ind w:left="10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Należy kierować się następującym algorytmem postępowania:</w:t>
      </w:r>
    </w:p>
    <w:p w14:paraId="163C74F3" w14:textId="77777777" w:rsidR="00E1662F" w:rsidRPr="00ED333E" w:rsidRDefault="00E1662F" w:rsidP="00E1662F">
      <w:pPr>
        <w:spacing w:after="5" w:line="248" w:lineRule="auto"/>
        <w:ind w:left="10" w:right="11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Jeśli dla danego obiektu wybrano podgrupę:</w:t>
      </w:r>
    </w:p>
    <w:p w14:paraId="285F4AE5" w14:textId="77777777" w:rsidR="00E1662F" w:rsidRPr="00ED333E" w:rsidRDefault="00E1662F" w:rsidP="00E1662F">
      <w:pPr>
        <w:numPr>
          <w:ilvl w:val="0"/>
          <w:numId w:val="9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1A to nie klasyfikuje się go jako 2A i 3A,</w:t>
      </w:r>
    </w:p>
    <w:p w14:paraId="6AC90B01" w14:textId="77777777" w:rsidR="00E1662F" w:rsidRPr="00ED333E" w:rsidRDefault="00E1662F" w:rsidP="00E1662F">
      <w:pPr>
        <w:numPr>
          <w:ilvl w:val="0"/>
          <w:numId w:val="9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1B to nie klasyfikuje się go jako 2B i 3B,</w:t>
      </w:r>
    </w:p>
    <w:p w14:paraId="3DB82112" w14:textId="77777777" w:rsidR="00E1662F" w:rsidRPr="00ED333E" w:rsidRDefault="00E1662F" w:rsidP="00E1662F">
      <w:pPr>
        <w:numPr>
          <w:ilvl w:val="0"/>
          <w:numId w:val="9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1C to nie klasyfikuje się go jako 2C i 3C.</w:t>
      </w:r>
    </w:p>
    <w:p w14:paraId="5BD9852E" w14:textId="77777777" w:rsidR="00E1662F" w:rsidRPr="00ED333E" w:rsidRDefault="00E1662F" w:rsidP="00E1662F">
      <w:pPr>
        <w:spacing w:after="13" w:line="248" w:lineRule="auto"/>
        <w:ind w:left="10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Klasyfikacja do podgrup daje jednocześnie charakterystykę zakładu, np.:</w:t>
      </w:r>
    </w:p>
    <w:p w14:paraId="42D72727" w14:textId="77777777" w:rsidR="00E1662F" w:rsidRPr="00ED333E" w:rsidRDefault="00E1662F" w:rsidP="00E1662F">
      <w:pPr>
        <w:spacing w:after="5" w:line="248" w:lineRule="auto"/>
        <w:ind w:left="10" w:right="11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Zakład skategoryzowany jako 1A 2B 3C – to zakład, w którym występują: </w:t>
      </w:r>
    </w:p>
    <w:p w14:paraId="5305DD28" w14:textId="77777777" w:rsidR="00E1662F" w:rsidRPr="00ED333E" w:rsidRDefault="00E1662F" w:rsidP="00E1662F">
      <w:pPr>
        <w:numPr>
          <w:ilvl w:val="0"/>
          <w:numId w:val="10"/>
        </w:numPr>
        <w:spacing w:after="1" w:line="237" w:lineRule="auto"/>
        <w:ind w:right="-1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przekroczenia NDS/N, NDSCh, NDSP z wyjątkiem zakładów z przekroczeniami NDN hałasu i drgań mechanicznych, w których wdrożono program działań organizacyjno-technicznych;</w:t>
      </w:r>
    </w:p>
    <w:p w14:paraId="23022724" w14:textId="4B6191FC" w:rsidR="00E1662F" w:rsidRPr="00ED333E" w:rsidRDefault="00E1662F" w:rsidP="00E1662F">
      <w:pPr>
        <w:numPr>
          <w:ilvl w:val="0"/>
          <w:numId w:val="10"/>
        </w:numPr>
        <w:spacing w:after="1" w:line="237" w:lineRule="auto"/>
        <w:ind w:right="-1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czynniki rakotwórcze, mutagenne lub reprotoksyczne (CMR) w stężeniach 0,1&lt;x≤0,5 NDS i/</w:t>
      </w:r>
      <w:r w:rsidR="002F3A8A" w:rsidRPr="00ED333E">
        <w:rPr>
          <w:rFonts w:ascii="Calibri" w:eastAsia="Calibri" w:hAnsi="Calibri" w:cs="Calibri"/>
          <w:color w:val="000000"/>
          <w:sz w:val="20"/>
          <w:szCs w:val="20"/>
        </w:rPr>
        <w:t>lub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 w których występuje narażenie na czynniki rakotwórcze, mutagenne lub reprotoksyczne (CMR), dla których nie określono wartości NDS lub nie przeprowadzono badań i pomiarów tych czynników w środowiska pracy.</w:t>
      </w:r>
    </w:p>
    <w:p w14:paraId="24A4613A" w14:textId="77777777" w:rsidR="00E1662F" w:rsidRPr="00ED333E" w:rsidRDefault="00E1662F" w:rsidP="00E1662F">
      <w:pPr>
        <w:numPr>
          <w:ilvl w:val="0"/>
          <w:numId w:val="10"/>
        </w:numPr>
        <w:spacing w:after="229" w:line="248" w:lineRule="auto"/>
        <w:ind w:right="-1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narażenie na szkodliwe czynniki biologiczne grupy 3 (niewymienione w grupie 1C i 2C) lub w których występuje wyłącznie narażenie na czynniki biologiczne grupy 2.</w:t>
      </w:r>
    </w:p>
    <w:p w14:paraId="48870EB6" w14:textId="72BD7395" w:rsidR="00067BA4" w:rsidRPr="001E6E51" w:rsidRDefault="00E1662F" w:rsidP="001E6E51">
      <w:pPr>
        <w:spacing w:after="455" w:line="263" w:lineRule="auto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b/>
          <w:bCs/>
          <w:color w:val="000000"/>
          <w:sz w:val="20"/>
          <w:szCs w:val="20"/>
        </w:rPr>
        <w:t>OBSZAR HIGIENY KOMUNALNEJ, W TYM BEZPIECZEŃSTWA ZDROWOTNEGO WODY</w:t>
      </w:r>
    </w:p>
    <w:p w14:paraId="4A6CA230" w14:textId="288319F2" w:rsidR="00E1662F" w:rsidRPr="00ED333E" w:rsidRDefault="00E1662F" w:rsidP="00E1662F">
      <w:pPr>
        <w:spacing w:after="5" w:line="248" w:lineRule="auto"/>
        <w:ind w:left="10" w:right="11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Do grupy wysokiego ryzyka zaliczono takie obiekty jak:</w:t>
      </w:r>
    </w:p>
    <w:p w14:paraId="4496F59C" w14:textId="4FED0C56" w:rsidR="00E1662F" w:rsidRPr="00ED333E" w:rsidRDefault="00E1662F" w:rsidP="003A2FB9">
      <w:pPr>
        <w:numPr>
          <w:ilvl w:val="0"/>
          <w:numId w:val="33"/>
        </w:numPr>
        <w:spacing w:after="5" w:line="248" w:lineRule="auto"/>
        <w:ind w:right="11" w:hanging="399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podmioty lecznicze tj.: szpital, zakład opiekuńczo-leczniczy, zakład pielęgnacyjno</w:t>
      </w:r>
      <w:r w:rsidR="002F3A8A">
        <w:rPr>
          <w:rFonts w:ascii="Calibri" w:eastAsia="Calibri" w:hAnsi="Calibri" w:cs="Calibri"/>
          <w:color w:val="000000"/>
          <w:sz w:val="20"/>
          <w:szCs w:val="20"/>
        </w:rPr>
        <w:t>-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>opiekuńczy, zakład rehabilitacji leczniczej, hospicjum, zakład lecznictwa uzdrowiskowego (sanatorium), zakład patomorfologii, prosektura;</w:t>
      </w:r>
    </w:p>
    <w:p w14:paraId="6E594A45" w14:textId="77777777" w:rsidR="00E1662F" w:rsidRPr="00ED333E" w:rsidRDefault="00E1662F" w:rsidP="003A2FB9">
      <w:pPr>
        <w:numPr>
          <w:ilvl w:val="0"/>
          <w:numId w:val="33"/>
        </w:numPr>
        <w:spacing w:after="5" w:line="248" w:lineRule="auto"/>
        <w:ind w:right="11" w:hanging="399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wodociągi – system zaopatrzenia w wodę;</w:t>
      </w:r>
    </w:p>
    <w:p w14:paraId="728328C8" w14:textId="77777777" w:rsidR="00E1662F" w:rsidRPr="00ED333E" w:rsidRDefault="00E1662F" w:rsidP="003A2FB9">
      <w:pPr>
        <w:numPr>
          <w:ilvl w:val="0"/>
          <w:numId w:val="33"/>
        </w:numPr>
        <w:spacing w:after="5" w:line="248" w:lineRule="auto"/>
        <w:ind w:right="11" w:hanging="399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zakład/salon wykonujący zabiegi z naruszeniem ciągłości tkanek, m.in. tj.: kosmetyczny, tatuażu, piercingu;</w:t>
      </w:r>
    </w:p>
    <w:p w14:paraId="2CC07A44" w14:textId="77777777" w:rsidR="00E1662F" w:rsidRPr="00ED333E" w:rsidRDefault="00E1662F" w:rsidP="003A2FB9">
      <w:pPr>
        <w:numPr>
          <w:ilvl w:val="0"/>
          <w:numId w:val="33"/>
        </w:numPr>
        <w:spacing w:after="5" w:line="248" w:lineRule="auto"/>
        <w:ind w:right="11" w:hanging="399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domy przedpogrzebowe/zakłady świadczące inwazyjne usługi związane z przygotowaniem zwłok do pochowania, m.in. tj.: balsamacja, konserwacja, usuwanie elektrod/rozruszników;</w:t>
      </w:r>
    </w:p>
    <w:p w14:paraId="6F1F550C" w14:textId="77777777" w:rsidR="00E1662F" w:rsidRPr="00ED333E" w:rsidRDefault="00E1662F" w:rsidP="003A2FB9">
      <w:pPr>
        <w:numPr>
          <w:ilvl w:val="0"/>
          <w:numId w:val="33"/>
        </w:numPr>
        <w:spacing w:after="13" w:line="248" w:lineRule="auto"/>
        <w:ind w:right="11" w:hanging="399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lastRenderedPageBreak/>
        <w:t>pralnie świadczące usługi dla podmiotów wykonujących działalność</w:t>
      </w:r>
    </w:p>
    <w:p w14:paraId="200E9F1A" w14:textId="77777777" w:rsidR="00E1662F" w:rsidRPr="00ED333E" w:rsidRDefault="00E1662F" w:rsidP="003A2FB9">
      <w:pPr>
        <w:numPr>
          <w:ilvl w:val="0"/>
          <w:numId w:val="33"/>
        </w:numPr>
        <w:spacing w:after="13" w:line="248" w:lineRule="auto"/>
        <w:ind w:right="11" w:hanging="399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leczniczą;</w:t>
      </w:r>
    </w:p>
    <w:p w14:paraId="6BFA7817" w14:textId="77777777" w:rsidR="00E1662F" w:rsidRPr="00ED333E" w:rsidRDefault="00E1662F" w:rsidP="003A2FB9">
      <w:pPr>
        <w:numPr>
          <w:ilvl w:val="0"/>
          <w:numId w:val="33"/>
        </w:numPr>
        <w:spacing w:after="231" w:line="248" w:lineRule="auto"/>
        <w:ind w:right="11" w:hanging="399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domy pomocy społecznej, placówki zapewniające całodobową opiekę, ogrzewalnie, </w:t>
      </w:r>
      <w:r w:rsidRPr="00ED333E">
        <w:rPr>
          <w:rFonts w:ascii="Calibri" w:eastAsia="Segoe UI Symbol" w:hAnsi="Calibri" w:cs="Calibri"/>
          <w:color w:val="000000"/>
          <w:sz w:val="20"/>
          <w:szCs w:val="20"/>
        </w:rPr>
        <w:t xml:space="preserve"> 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>schroniska dla bezdomnych z usługami opiekuńczymi.</w:t>
      </w:r>
    </w:p>
    <w:p w14:paraId="1BC37C36" w14:textId="0F284FD8" w:rsidR="00E1662F" w:rsidRPr="00ED333E" w:rsidRDefault="00E1662F" w:rsidP="00067BA4">
      <w:pPr>
        <w:tabs>
          <w:tab w:val="center" w:pos="3190"/>
        </w:tabs>
        <w:spacing w:after="5" w:line="234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ab/>
      </w:r>
    </w:p>
    <w:p w14:paraId="3580F332" w14:textId="77777777" w:rsidR="00E1662F" w:rsidRPr="00ED333E" w:rsidRDefault="00E1662F" w:rsidP="00E1662F">
      <w:pPr>
        <w:spacing w:after="5" w:line="248" w:lineRule="auto"/>
        <w:ind w:left="10" w:right="11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Do grupy średniego ryzyka zaliczono takie obiekty jak:</w:t>
      </w:r>
    </w:p>
    <w:p w14:paraId="2EFE8BE6" w14:textId="77777777" w:rsidR="00E1662F" w:rsidRPr="00ED333E" w:rsidRDefault="00E1662F" w:rsidP="003A2FB9">
      <w:pPr>
        <w:numPr>
          <w:ilvl w:val="0"/>
          <w:numId w:val="34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noclegownie, schroniska dla bezdomnych;</w:t>
      </w:r>
    </w:p>
    <w:p w14:paraId="7649BC03" w14:textId="77777777" w:rsidR="00E1662F" w:rsidRPr="00ED333E" w:rsidRDefault="00E1662F" w:rsidP="003A2FB9">
      <w:pPr>
        <w:numPr>
          <w:ilvl w:val="0"/>
          <w:numId w:val="34"/>
        </w:numPr>
        <w:spacing w:after="13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pralnie świadczące usługi podmiotom innym niż wykonujące działalność leczniczą;</w:t>
      </w:r>
    </w:p>
    <w:p w14:paraId="05BEA78B" w14:textId="77777777" w:rsidR="00E1662F" w:rsidRPr="00ED333E" w:rsidRDefault="00E1662F" w:rsidP="003A2FB9">
      <w:pPr>
        <w:numPr>
          <w:ilvl w:val="0"/>
          <w:numId w:val="34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hotele, motele, pensjonaty, kempingi, domy wycieczkowe, schroniska młodzieżowe, schroniska, pola biwakowe, agroturystyka;</w:t>
      </w:r>
    </w:p>
    <w:p w14:paraId="7E2E3B10" w14:textId="77777777" w:rsidR="00E1662F" w:rsidRPr="00ED333E" w:rsidRDefault="00E1662F" w:rsidP="003A2FB9">
      <w:pPr>
        <w:numPr>
          <w:ilvl w:val="0"/>
          <w:numId w:val="34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kąpieliska i miejsca okazjonalnie wykorzystywane do kąpieli;</w:t>
      </w:r>
    </w:p>
    <w:p w14:paraId="4E9CBE29" w14:textId="77777777" w:rsidR="00E1662F" w:rsidRPr="00ED333E" w:rsidRDefault="00E1662F" w:rsidP="003A2FB9">
      <w:pPr>
        <w:numPr>
          <w:ilvl w:val="0"/>
          <w:numId w:val="34"/>
        </w:numPr>
        <w:spacing w:after="13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pływalnie;</w:t>
      </w:r>
    </w:p>
    <w:p w14:paraId="6E3813B7" w14:textId="77777777" w:rsidR="00E1662F" w:rsidRPr="00ED333E" w:rsidRDefault="00E1662F" w:rsidP="003A2FB9">
      <w:pPr>
        <w:numPr>
          <w:ilvl w:val="0"/>
          <w:numId w:val="34"/>
        </w:numPr>
        <w:spacing w:after="229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strzeżone ośrodki i areszty dla cudzoziemców, izby wytrzeźwień.</w:t>
      </w:r>
    </w:p>
    <w:p w14:paraId="0B909BA5" w14:textId="77777777" w:rsidR="00E1662F" w:rsidRPr="00ED333E" w:rsidRDefault="00E1662F" w:rsidP="00E1662F">
      <w:pPr>
        <w:spacing w:after="5" w:line="248" w:lineRule="auto"/>
        <w:ind w:left="10" w:right="11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Do grupy niskiego ryzyka zaliczono takie obiekty jak:</w:t>
      </w:r>
    </w:p>
    <w:p w14:paraId="45AFC5A2" w14:textId="77777777" w:rsidR="00E1662F" w:rsidRPr="00ED333E" w:rsidRDefault="00E1662F" w:rsidP="003A2FB9">
      <w:pPr>
        <w:numPr>
          <w:ilvl w:val="0"/>
          <w:numId w:val="35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domy przedpogrzebowe świadczące usługi inne niż wskazane w 1 grupie </w:t>
      </w:r>
    </w:p>
    <w:p w14:paraId="033DB6A4" w14:textId="77777777" w:rsidR="00E1662F" w:rsidRPr="00ED333E" w:rsidRDefault="00E1662F" w:rsidP="003A2FB9">
      <w:pPr>
        <w:numPr>
          <w:ilvl w:val="0"/>
          <w:numId w:val="35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ryzyka (przewóz, przechowywanie zwłok, itp.);</w:t>
      </w:r>
    </w:p>
    <w:p w14:paraId="71945C6F" w14:textId="77777777" w:rsidR="00E1662F" w:rsidRPr="00ED333E" w:rsidRDefault="00E1662F" w:rsidP="003A2FB9">
      <w:pPr>
        <w:numPr>
          <w:ilvl w:val="0"/>
          <w:numId w:val="35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cmentarze;</w:t>
      </w:r>
    </w:p>
    <w:p w14:paraId="63AB0AA1" w14:textId="77777777" w:rsidR="00E1662F" w:rsidRPr="00ED333E" w:rsidRDefault="00E1662F" w:rsidP="003A2FB9">
      <w:pPr>
        <w:numPr>
          <w:ilvl w:val="0"/>
          <w:numId w:val="35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zakłady fryzjerskie, zakłady kosmetyczne bez przerywania ciągłości</w:t>
      </w:r>
    </w:p>
    <w:p w14:paraId="33C3C072" w14:textId="77777777" w:rsidR="00E1662F" w:rsidRPr="00ED333E" w:rsidRDefault="00E1662F" w:rsidP="003A2FB9">
      <w:pPr>
        <w:numPr>
          <w:ilvl w:val="0"/>
          <w:numId w:val="35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tkanek,</w:t>
      </w:r>
    </w:p>
    <w:p w14:paraId="77BA95D9" w14:textId="77777777" w:rsidR="00E1662F" w:rsidRPr="00ED333E" w:rsidRDefault="00E1662F" w:rsidP="003A2FB9">
      <w:pPr>
        <w:numPr>
          <w:ilvl w:val="0"/>
          <w:numId w:val="35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solaria, zakłady odnowy biologicznej bez przerywania ciągłości tkanek;</w:t>
      </w:r>
    </w:p>
    <w:p w14:paraId="4C13AE20" w14:textId="77777777" w:rsidR="00E1662F" w:rsidRPr="00ED333E" w:rsidRDefault="00E1662F" w:rsidP="003A2FB9">
      <w:pPr>
        <w:numPr>
          <w:ilvl w:val="0"/>
          <w:numId w:val="35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dworce autobusowe, dworce kolejowe, porty lotnicze, porty morskie, </w:t>
      </w:r>
    </w:p>
    <w:p w14:paraId="2A0BEB0D" w14:textId="77777777" w:rsidR="00E1662F" w:rsidRPr="00ED333E" w:rsidRDefault="00E1662F" w:rsidP="003A2FB9">
      <w:pPr>
        <w:numPr>
          <w:ilvl w:val="0"/>
          <w:numId w:val="35"/>
        </w:numPr>
        <w:spacing w:after="13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przejście graniczne, ustępy publiczne i ogólnodostępne;</w:t>
      </w:r>
    </w:p>
    <w:p w14:paraId="26451B01" w14:textId="77777777" w:rsidR="00E1662F" w:rsidRPr="00ED333E" w:rsidRDefault="00E1662F" w:rsidP="003A2FB9">
      <w:pPr>
        <w:numPr>
          <w:ilvl w:val="0"/>
          <w:numId w:val="35"/>
        </w:numPr>
        <w:spacing w:after="5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obiekty sportowe, tereny rekreacyjne (tereny zieleni), plaże przy </w:t>
      </w:r>
    </w:p>
    <w:p w14:paraId="4429C191" w14:textId="77777777" w:rsidR="00E1662F" w:rsidRPr="00ED333E" w:rsidRDefault="00E1662F" w:rsidP="003A2FB9">
      <w:pPr>
        <w:numPr>
          <w:ilvl w:val="0"/>
          <w:numId w:val="35"/>
        </w:numPr>
        <w:spacing w:after="13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kąpieliskach;</w:t>
      </w:r>
    </w:p>
    <w:p w14:paraId="10F3A71A" w14:textId="77777777" w:rsidR="00E1662F" w:rsidRPr="00ED333E" w:rsidRDefault="00E1662F" w:rsidP="003A2FB9">
      <w:pPr>
        <w:numPr>
          <w:ilvl w:val="0"/>
          <w:numId w:val="35"/>
        </w:numPr>
        <w:spacing w:after="221" w:line="248" w:lineRule="auto"/>
        <w:ind w:right="1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zakłady karne, areszty śledcze.</w:t>
      </w:r>
    </w:p>
    <w:p w14:paraId="24C91E4B" w14:textId="77777777" w:rsidR="00D76F79" w:rsidRPr="00ED333E" w:rsidRDefault="00D76F79" w:rsidP="00D76F79">
      <w:pPr>
        <w:spacing w:after="228" w:line="248" w:lineRule="auto"/>
        <w:ind w:right="11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bookmarkStart w:id="0" w:name="_Hlk218537981"/>
      <w:r w:rsidRPr="00ED333E">
        <w:rPr>
          <w:rFonts w:ascii="Calibri" w:eastAsia="Calibri" w:hAnsi="Calibri" w:cs="Calibri"/>
          <w:b/>
          <w:bCs/>
          <w:color w:val="000000"/>
          <w:sz w:val="20"/>
          <w:szCs w:val="20"/>
        </w:rPr>
        <w:t>OBSZAR EPIDEMIOLOGII</w:t>
      </w:r>
    </w:p>
    <w:p w14:paraId="0260734A" w14:textId="77777777" w:rsidR="003A2FB9" w:rsidRPr="00ED333E" w:rsidRDefault="003A2FB9" w:rsidP="00D76F79">
      <w:pPr>
        <w:spacing w:after="228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bookmarkStart w:id="1" w:name="_Hlk218537766"/>
      <w:bookmarkEnd w:id="0"/>
      <w:r w:rsidRPr="00ED333E">
        <w:rPr>
          <w:rFonts w:ascii="Calibri" w:eastAsia="Calibri" w:hAnsi="Calibri" w:cs="Calibri"/>
          <w:color w:val="000000"/>
          <w:sz w:val="20"/>
          <w:szCs w:val="20"/>
        </w:rPr>
        <w:t>Do podmiotów wysokiego ryzyka zostały zakwalifikowane:</w:t>
      </w:r>
    </w:p>
    <w:bookmarkEnd w:id="1"/>
    <w:p w14:paraId="529BE94E" w14:textId="741C7279" w:rsidR="00D76F79" w:rsidRPr="00ED333E" w:rsidRDefault="00D76F79" w:rsidP="003A2FB9">
      <w:pPr>
        <w:pStyle w:val="Akapitzlist"/>
        <w:numPr>
          <w:ilvl w:val="0"/>
          <w:numId w:val="36"/>
        </w:numPr>
        <w:spacing w:after="228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Podmioty lecznicze w rodzaju szpitale - wysokie ryzyko szerzenia się zakażeń (niezależnie od profilu) </w:t>
      </w:r>
    </w:p>
    <w:p w14:paraId="0B61A781" w14:textId="77777777" w:rsidR="00D76F79" w:rsidRPr="00ED333E" w:rsidRDefault="00D76F79" w:rsidP="003A2FB9">
      <w:pPr>
        <w:pStyle w:val="Akapitzlist"/>
        <w:numPr>
          <w:ilvl w:val="0"/>
          <w:numId w:val="36"/>
        </w:numPr>
        <w:spacing w:after="228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Szpitale 1 dniowe: wysokie ryzyko szerzenia się zakażeń </w:t>
      </w:r>
    </w:p>
    <w:p w14:paraId="12A8E8AD" w14:textId="77777777" w:rsidR="003A2FB9" w:rsidRPr="00ED333E" w:rsidRDefault="00D76F79" w:rsidP="003A2FB9">
      <w:pPr>
        <w:pStyle w:val="Akapitzlist"/>
        <w:numPr>
          <w:ilvl w:val="0"/>
          <w:numId w:val="36"/>
        </w:numPr>
        <w:spacing w:after="228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Zakłady opiekuńczo-lecznicze, opiekuńczo-pielęgnacyjne - wysokie ryzyko szerzenia się zakażeń</w:t>
      </w:r>
      <w:r w:rsidR="003A2FB9"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4E01FA8D" w14:textId="62AB61B3" w:rsidR="003A2FB9" w:rsidRPr="00ED333E" w:rsidRDefault="003A2FB9" w:rsidP="003A2FB9">
      <w:pPr>
        <w:pStyle w:val="Akapitzlist"/>
        <w:numPr>
          <w:ilvl w:val="0"/>
          <w:numId w:val="36"/>
        </w:numPr>
        <w:spacing w:after="228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Podmioty lecznicze ambulatoryjne - zabiegowe: tj. punkty </w:t>
      </w:r>
      <w:r w:rsidR="002F3A8A" w:rsidRPr="00ED333E">
        <w:rPr>
          <w:rFonts w:ascii="Calibri" w:eastAsia="Calibri" w:hAnsi="Calibri" w:cs="Calibri"/>
          <w:color w:val="000000"/>
          <w:sz w:val="20"/>
          <w:szCs w:val="20"/>
        </w:rPr>
        <w:t>szczepień,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 przychodnie i praktyki lekarskie (</w:t>
      </w:r>
      <w:r w:rsidR="002F3A8A" w:rsidRPr="00ED333E">
        <w:rPr>
          <w:rFonts w:ascii="Calibri" w:eastAsia="Calibri" w:hAnsi="Calibri" w:cs="Calibri"/>
          <w:color w:val="000000"/>
          <w:sz w:val="20"/>
          <w:szCs w:val="20"/>
        </w:rPr>
        <w:t>np.</w:t>
      </w:r>
      <w:r w:rsidR="002F3A8A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>chirurgiczne, stomatologiczne, ginekologiczne, laryngologiczne i wykonujące zabiegi endoskopowe,) – wysokie ryzyko szerzenia się zakażeń</w:t>
      </w:r>
    </w:p>
    <w:p w14:paraId="55D5E627" w14:textId="77777777" w:rsidR="003A2FB9" w:rsidRPr="00ED333E" w:rsidRDefault="003A2FB9" w:rsidP="003A2FB9">
      <w:pPr>
        <w:pStyle w:val="Akapitzlist"/>
        <w:numPr>
          <w:ilvl w:val="0"/>
          <w:numId w:val="36"/>
        </w:numPr>
        <w:spacing w:after="228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Stacje krwiodawstwa – wysokie ryzyko szerzenia się zakażeń </w:t>
      </w:r>
    </w:p>
    <w:p w14:paraId="11B8769F" w14:textId="1ACFD69C" w:rsidR="00D76F79" w:rsidRPr="001E6E51" w:rsidRDefault="003A2FB9" w:rsidP="00D76F79">
      <w:pPr>
        <w:pStyle w:val="Akapitzlist"/>
        <w:numPr>
          <w:ilvl w:val="0"/>
          <w:numId w:val="36"/>
        </w:numPr>
        <w:spacing w:after="228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Stacje dializ – wysokie ryzyko szerzenia się zakażeń </w:t>
      </w:r>
    </w:p>
    <w:p w14:paraId="452EE616" w14:textId="4CD14588" w:rsidR="003A2FB9" w:rsidRPr="00ED333E" w:rsidRDefault="003A2FB9" w:rsidP="003A2FB9">
      <w:pPr>
        <w:spacing w:after="228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Do podmiotów 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>średniego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 ryzyka zostały zakwalifikowane:</w:t>
      </w:r>
    </w:p>
    <w:p w14:paraId="3C6903B4" w14:textId="77777777" w:rsidR="003A2FB9" w:rsidRPr="00ED333E" w:rsidRDefault="003A2FB9" w:rsidP="003A2FB9">
      <w:pPr>
        <w:pStyle w:val="Akapitzlist"/>
        <w:numPr>
          <w:ilvl w:val="0"/>
          <w:numId w:val="37"/>
        </w:numPr>
        <w:spacing w:after="228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Punkty pobrań krwi - średnie ryzyko szerzenia się zakażeń </w:t>
      </w:r>
    </w:p>
    <w:p w14:paraId="22EAD9DF" w14:textId="562FB747" w:rsidR="003A2FB9" w:rsidRPr="001E6E51" w:rsidRDefault="003A2FB9" w:rsidP="003A2FB9">
      <w:pPr>
        <w:pStyle w:val="Akapitzlist"/>
        <w:numPr>
          <w:ilvl w:val="0"/>
          <w:numId w:val="37"/>
        </w:numPr>
        <w:spacing w:after="228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Podmioty lecznicze w rodzaju sanatoria, ośrodki rehabilitacji - średnie ryzyko szerzenia się zakażeń</w:t>
      </w:r>
    </w:p>
    <w:p w14:paraId="71CF3810" w14:textId="224DEF87" w:rsidR="003A2FB9" w:rsidRPr="00ED333E" w:rsidRDefault="003A2FB9" w:rsidP="003A2FB9">
      <w:pPr>
        <w:spacing w:after="228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lastRenderedPageBreak/>
        <w:t xml:space="preserve">Do podmiotów 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>niskiego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 ryzyka zostały zakwalifikowane:</w:t>
      </w:r>
    </w:p>
    <w:p w14:paraId="2B1237AA" w14:textId="3B964C73" w:rsidR="00D76F79" w:rsidRPr="00ED333E" w:rsidRDefault="00D76F79" w:rsidP="003A2FB9">
      <w:pPr>
        <w:pStyle w:val="Akapitzlist"/>
        <w:numPr>
          <w:ilvl w:val="0"/>
          <w:numId w:val="38"/>
        </w:numPr>
        <w:spacing w:after="228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  <w:r w:rsidRPr="00ED333E">
        <w:rPr>
          <w:rFonts w:ascii="Calibri" w:eastAsia="Calibri" w:hAnsi="Calibri" w:cs="Calibri"/>
          <w:color w:val="000000"/>
          <w:sz w:val="20"/>
          <w:szCs w:val="20"/>
        </w:rPr>
        <w:t>Podmioty lecznicze ambulatoryjne tj. przychodnie i praktyki lekarskie i pielęgniarskie (</w:t>
      </w:r>
      <w:r w:rsidR="002F3A8A" w:rsidRPr="00ED333E">
        <w:rPr>
          <w:rFonts w:ascii="Calibri" w:eastAsia="Calibri" w:hAnsi="Calibri" w:cs="Calibri"/>
          <w:color w:val="000000"/>
          <w:sz w:val="20"/>
          <w:szCs w:val="20"/>
        </w:rPr>
        <w:t>z wyjątkiem</w:t>
      </w:r>
      <w:r w:rsidRPr="00ED333E">
        <w:rPr>
          <w:rFonts w:ascii="Calibri" w:eastAsia="Calibri" w:hAnsi="Calibri" w:cs="Calibri"/>
          <w:color w:val="000000"/>
          <w:sz w:val="20"/>
          <w:szCs w:val="20"/>
        </w:rPr>
        <w:t xml:space="preserve"> zabiegowych), fizjoterapia - niskie ryzyko szerzenia się zakażeń </w:t>
      </w:r>
    </w:p>
    <w:p w14:paraId="38DE67AA" w14:textId="3AE04EC9" w:rsidR="00D76F79" w:rsidRPr="00ED333E" w:rsidRDefault="00D76F79" w:rsidP="00D76F79">
      <w:pPr>
        <w:spacing w:after="228" w:line="248" w:lineRule="auto"/>
        <w:ind w:right="11"/>
        <w:rPr>
          <w:rFonts w:ascii="Calibri" w:eastAsia="Calibri" w:hAnsi="Calibri" w:cs="Calibri"/>
          <w:color w:val="000000"/>
          <w:sz w:val="20"/>
          <w:szCs w:val="20"/>
        </w:rPr>
      </w:pPr>
    </w:p>
    <w:sectPr w:rsidR="00D76F79" w:rsidRPr="00ED333E" w:rsidSect="00E1662F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2274" w:right="1971" w:bottom="2282" w:left="197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E2F7" w14:textId="77777777" w:rsidR="005E022C" w:rsidRPr="00E1662F" w:rsidRDefault="005E022C" w:rsidP="00E1662F">
      <w:pPr>
        <w:spacing w:after="0" w:line="240" w:lineRule="auto"/>
      </w:pPr>
      <w:r w:rsidRPr="00E1662F">
        <w:separator/>
      </w:r>
    </w:p>
  </w:endnote>
  <w:endnote w:type="continuationSeparator" w:id="0">
    <w:p w14:paraId="07638DD8" w14:textId="77777777" w:rsidR="005E022C" w:rsidRPr="00E1662F" w:rsidRDefault="005E022C" w:rsidP="00E1662F">
      <w:pPr>
        <w:spacing w:after="0" w:line="240" w:lineRule="auto"/>
      </w:pPr>
      <w:r w:rsidRPr="00E166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65D5" w14:textId="77777777" w:rsidR="00E1662F" w:rsidRPr="00E1662F" w:rsidRDefault="00E1662F">
    <w:pPr>
      <w:spacing w:after="0"/>
      <w:ind w:right="14"/>
      <w:jc w:val="right"/>
    </w:pPr>
    <w:r w:rsidRPr="00E1662F">
      <w:fldChar w:fldCharType="begin"/>
    </w:r>
    <w:r w:rsidRPr="00E1662F">
      <w:instrText xml:space="preserve"> PAGE   \* MERGEFORMAT </w:instrText>
    </w:r>
    <w:r w:rsidRPr="00E1662F">
      <w:fldChar w:fldCharType="separate"/>
    </w:r>
    <w:r w:rsidRPr="00E1662F">
      <w:rPr>
        <w:sz w:val="18"/>
      </w:rPr>
      <w:t>2</w:t>
    </w:r>
    <w:r w:rsidRPr="00E1662F">
      <w:rPr>
        <w:sz w:val="18"/>
      </w:rPr>
      <w:fldChar w:fldCharType="end"/>
    </w:r>
    <w:r w:rsidRPr="00E1662F">
      <w:rPr>
        <w:sz w:val="18"/>
      </w:rPr>
      <w:t xml:space="preserve"> / </w:t>
    </w:r>
    <w:fldSimple w:instr=" NUMPAGES   \* MERGEFORMAT ">
      <w:r w:rsidRPr="00E1662F">
        <w:rPr>
          <w:sz w:val="18"/>
        </w:rPr>
        <w:t>27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EFBF" w14:textId="77777777" w:rsidR="00E1662F" w:rsidRPr="00E1662F" w:rsidRDefault="00E1662F">
    <w:pPr>
      <w:spacing w:after="0"/>
      <w:ind w:right="14"/>
      <w:jc w:val="right"/>
    </w:pPr>
    <w:r w:rsidRPr="00E1662F">
      <w:fldChar w:fldCharType="begin"/>
    </w:r>
    <w:r w:rsidRPr="00E1662F">
      <w:instrText xml:space="preserve"> PAGE   \* MERGEFORMAT </w:instrText>
    </w:r>
    <w:r w:rsidRPr="00E1662F">
      <w:fldChar w:fldCharType="separate"/>
    </w:r>
    <w:r w:rsidRPr="00E1662F">
      <w:rPr>
        <w:sz w:val="18"/>
      </w:rPr>
      <w:t>2</w:t>
    </w:r>
    <w:r w:rsidRPr="00E1662F">
      <w:rPr>
        <w:sz w:val="18"/>
      </w:rPr>
      <w:fldChar w:fldCharType="end"/>
    </w:r>
    <w:r w:rsidRPr="00E1662F">
      <w:rPr>
        <w:sz w:val="18"/>
      </w:rPr>
      <w:t xml:space="preserve"> / </w:t>
    </w:r>
    <w:fldSimple w:instr=" NUMPAGES   \* MERGEFORMAT ">
      <w:r w:rsidRPr="00E1662F">
        <w:rPr>
          <w:sz w:val="18"/>
        </w:rPr>
        <w:t>27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A162" w14:textId="77777777" w:rsidR="00E1662F" w:rsidRPr="00E1662F" w:rsidRDefault="00E166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99E4" w14:textId="77777777" w:rsidR="005E022C" w:rsidRPr="00E1662F" w:rsidRDefault="005E022C" w:rsidP="00E1662F">
      <w:pPr>
        <w:spacing w:after="0" w:line="240" w:lineRule="auto"/>
      </w:pPr>
      <w:r w:rsidRPr="00E1662F">
        <w:separator/>
      </w:r>
    </w:p>
  </w:footnote>
  <w:footnote w:type="continuationSeparator" w:id="0">
    <w:p w14:paraId="789E0D0F" w14:textId="77777777" w:rsidR="005E022C" w:rsidRPr="00E1662F" w:rsidRDefault="005E022C" w:rsidP="00E1662F">
      <w:pPr>
        <w:spacing w:after="0" w:line="240" w:lineRule="auto"/>
      </w:pPr>
      <w:r w:rsidRPr="00E1662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6B295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E0405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FB0812"/>
    <w:multiLevelType w:val="hybridMultilevel"/>
    <w:tmpl w:val="E6C01840"/>
    <w:lvl w:ilvl="0" w:tplc="04150011">
      <w:start w:val="1"/>
      <w:numFmt w:val="decimal"/>
      <w:lvlText w:val="%1)"/>
      <w:lvlJc w:val="left"/>
      <w:pPr>
        <w:ind w:left="77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AC5C98"/>
    <w:multiLevelType w:val="hybridMultilevel"/>
    <w:tmpl w:val="72BAE9E0"/>
    <w:lvl w:ilvl="0" w:tplc="86829526">
      <w:start w:val="1"/>
      <w:numFmt w:val="bullet"/>
      <w:lvlText w:val=""/>
      <w:lvlJc w:val="left"/>
      <w:pPr>
        <w:ind w:left="86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947011"/>
    <w:multiLevelType w:val="hybridMultilevel"/>
    <w:tmpl w:val="1B40E1C2"/>
    <w:lvl w:ilvl="0" w:tplc="8932BF0C">
      <w:start w:val="1"/>
      <w:numFmt w:val="bullet"/>
      <w:lvlText w:val=""/>
      <w:lvlJc w:val="left"/>
      <w:pPr>
        <w:ind w:left="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CA63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E608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CA36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D038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DE11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A6E3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CA1D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9A35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BA31C5"/>
    <w:multiLevelType w:val="hybridMultilevel"/>
    <w:tmpl w:val="3E00E11A"/>
    <w:lvl w:ilvl="0" w:tplc="41DAB278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DE92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9483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AC5D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548C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BE44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A0D2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4080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4E0E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3F2A66"/>
    <w:multiLevelType w:val="hybridMultilevel"/>
    <w:tmpl w:val="A3EABADA"/>
    <w:lvl w:ilvl="0" w:tplc="BDEE0B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56822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EE0C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78D0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C4173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B6824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FA863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FA65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B66DD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BC4160"/>
    <w:multiLevelType w:val="hybridMultilevel"/>
    <w:tmpl w:val="78EC7E04"/>
    <w:lvl w:ilvl="0" w:tplc="CCBCE804">
      <w:start w:val="1"/>
      <w:numFmt w:val="lowerLetter"/>
      <w:lvlText w:val="%1)"/>
      <w:lvlJc w:val="left"/>
      <w:pPr>
        <w:ind w:left="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225620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DA06B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DCC144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2FDE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A00F5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56ABF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D07ED2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A81EB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8C04BF"/>
    <w:multiLevelType w:val="hybridMultilevel"/>
    <w:tmpl w:val="A852D0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B70C2"/>
    <w:multiLevelType w:val="hybridMultilevel"/>
    <w:tmpl w:val="E6DC1760"/>
    <w:lvl w:ilvl="0" w:tplc="04150011">
      <w:start w:val="1"/>
      <w:numFmt w:val="decimal"/>
      <w:lvlText w:val="%1)"/>
      <w:lvlJc w:val="left"/>
      <w:pPr>
        <w:ind w:left="73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EE4CA1"/>
    <w:multiLevelType w:val="hybridMultilevel"/>
    <w:tmpl w:val="F926EA80"/>
    <w:lvl w:ilvl="0" w:tplc="F7AAC3E6">
      <w:start w:val="1"/>
      <w:numFmt w:val="decimal"/>
      <w:lvlText w:val="%1"/>
      <w:lvlJc w:val="left"/>
      <w:pPr>
        <w:ind w:left="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CAD53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8201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BEF3E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8288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2CD67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663DE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04CD9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38A41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0E4E0C"/>
    <w:multiLevelType w:val="hybridMultilevel"/>
    <w:tmpl w:val="C258345C"/>
    <w:lvl w:ilvl="0" w:tplc="FEB88110">
      <w:start w:val="1"/>
      <w:numFmt w:val="lowerLetter"/>
      <w:lvlText w:val="%1)"/>
      <w:lvlJc w:val="left"/>
      <w:pPr>
        <w:ind w:left="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FE6EFE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D6476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BCA82C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02359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C0320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B6A188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125D02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20FEAA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803900"/>
    <w:multiLevelType w:val="hybridMultilevel"/>
    <w:tmpl w:val="E8F0F4F0"/>
    <w:lvl w:ilvl="0" w:tplc="3D9CDD9A">
      <w:start w:val="1"/>
      <w:numFmt w:val="lowerLetter"/>
      <w:lvlText w:val="%1)"/>
      <w:lvlJc w:val="left"/>
      <w:pPr>
        <w:ind w:left="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9A05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EAC7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12DB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94F0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EC6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F460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3018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08D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1F2458"/>
    <w:multiLevelType w:val="hybridMultilevel"/>
    <w:tmpl w:val="D5047C4C"/>
    <w:lvl w:ilvl="0" w:tplc="DFC2B78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78E2E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A8620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48FC2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76297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821F6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2AE4E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5205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44A76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ED02A0"/>
    <w:multiLevelType w:val="hybridMultilevel"/>
    <w:tmpl w:val="ABE03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F735E"/>
    <w:multiLevelType w:val="hybridMultilevel"/>
    <w:tmpl w:val="61AC7F9A"/>
    <w:lvl w:ilvl="0" w:tplc="D33AD69A">
      <w:start w:val="1"/>
      <w:numFmt w:val="bullet"/>
      <w:lvlText w:val=""/>
      <w:lvlJc w:val="left"/>
      <w:pPr>
        <w:ind w:left="7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FA53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3636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CA99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E614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E013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C69F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E94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183A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D61E79"/>
    <w:multiLevelType w:val="hybridMultilevel"/>
    <w:tmpl w:val="8A4AA806"/>
    <w:lvl w:ilvl="0" w:tplc="65FE58A2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7EF9E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CE9F9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78F3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1E707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C6512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D0143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06C72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8ACAD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EC4C51"/>
    <w:multiLevelType w:val="hybridMultilevel"/>
    <w:tmpl w:val="178218BA"/>
    <w:lvl w:ilvl="0" w:tplc="F62C8F9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4F404">
      <w:start w:val="1"/>
      <w:numFmt w:val="bullet"/>
      <w:lvlText w:val="o"/>
      <w:lvlJc w:val="left"/>
      <w:pPr>
        <w:ind w:left="1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B6C6DC">
      <w:start w:val="1"/>
      <w:numFmt w:val="bullet"/>
      <w:lvlText w:val="▪"/>
      <w:lvlJc w:val="left"/>
      <w:pPr>
        <w:ind w:left="1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0E7968">
      <w:start w:val="1"/>
      <w:numFmt w:val="bullet"/>
      <w:lvlText w:val="•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D0AC1E">
      <w:start w:val="1"/>
      <w:numFmt w:val="bullet"/>
      <w:lvlText w:val="o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B259E4">
      <w:start w:val="1"/>
      <w:numFmt w:val="bullet"/>
      <w:lvlText w:val="▪"/>
      <w:lvlJc w:val="left"/>
      <w:pPr>
        <w:ind w:left="4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ECF1F8">
      <w:start w:val="1"/>
      <w:numFmt w:val="bullet"/>
      <w:lvlText w:val="•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483206">
      <w:start w:val="1"/>
      <w:numFmt w:val="bullet"/>
      <w:lvlText w:val="o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F4ADE6">
      <w:start w:val="1"/>
      <w:numFmt w:val="bullet"/>
      <w:lvlText w:val="▪"/>
      <w:lvlJc w:val="left"/>
      <w:pPr>
        <w:ind w:left="6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761EDA"/>
    <w:multiLevelType w:val="hybridMultilevel"/>
    <w:tmpl w:val="A9D83F46"/>
    <w:lvl w:ilvl="0" w:tplc="ED42993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F8E38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3A127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F87F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EAFF0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70215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BC61E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4AD4F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2ED7F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7E4216"/>
    <w:multiLevelType w:val="hybridMultilevel"/>
    <w:tmpl w:val="EEEEDDCE"/>
    <w:lvl w:ilvl="0" w:tplc="B2E22774">
      <w:start w:val="1"/>
      <w:numFmt w:val="bullet"/>
      <w:lvlText w:val="-"/>
      <w:lvlJc w:val="left"/>
      <w:pPr>
        <w:ind w:left="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D6D06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700A7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943C2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74659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E49DD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78A3B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7090A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A6824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C26F31"/>
    <w:multiLevelType w:val="hybridMultilevel"/>
    <w:tmpl w:val="014614A8"/>
    <w:lvl w:ilvl="0" w:tplc="F5229EAC">
      <w:start w:val="1"/>
      <w:numFmt w:val="decimal"/>
      <w:lvlText w:val="%1)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7A0DC6">
      <w:start w:val="1"/>
      <w:numFmt w:val="lowerLetter"/>
      <w:lvlText w:val="%2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F8A2E6">
      <w:start w:val="1"/>
      <w:numFmt w:val="lowerRoman"/>
      <w:lvlText w:val="%3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C48B22">
      <w:start w:val="1"/>
      <w:numFmt w:val="decimal"/>
      <w:lvlText w:val="%4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FE3382">
      <w:start w:val="1"/>
      <w:numFmt w:val="lowerLetter"/>
      <w:lvlText w:val="%5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50B8BA">
      <w:start w:val="1"/>
      <w:numFmt w:val="lowerRoman"/>
      <w:lvlText w:val="%6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98058A">
      <w:start w:val="1"/>
      <w:numFmt w:val="decimal"/>
      <w:lvlText w:val="%7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6E824">
      <w:start w:val="1"/>
      <w:numFmt w:val="lowerLetter"/>
      <w:lvlText w:val="%8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046914">
      <w:start w:val="1"/>
      <w:numFmt w:val="lowerRoman"/>
      <w:lvlText w:val="%9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6F06AD"/>
    <w:multiLevelType w:val="hybridMultilevel"/>
    <w:tmpl w:val="8D600124"/>
    <w:lvl w:ilvl="0" w:tplc="1C8A5062">
      <w:start w:val="1"/>
      <w:numFmt w:val="bullet"/>
      <w:lvlText w:val=""/>
      <w:lvlJc w:val="left"/>
      <w:pPr>
        <w:ind w:left="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700990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9A37DC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282BA2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1CD31C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6AE1F0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96746A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32D656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5474B6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756C2F"/>
    <w:multiLevelType w:val="hybridMultilevel"/>
    <w:tmpl w:val="27B46DFC"/>
    <w:lvl w:ilvl="0" w:tplc="CC82166E">
      <w:start w:val="1"/>
      <w:numFmt w:val="bullet"/>
      <w:lvlText w:val=""/>
      <w:lvlJc w:val="left"/>
      <w:pPr>
        <w:ind w:left="7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F434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B4CD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5AF6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5452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3443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3E4B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0E2A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A228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1A5552"/>
    <w:multiLevelType w:val="hybridMultilevel"/>
    <w:tmpl w:val="F6FA5BE8"/>
    <w:lvl w:ilvl="0" w:tplc="4A503A60">
      <w:start w:val="1"/>
      <w:numFmt w:val="decimal"/>
      <w:lvlText w:val="%1)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88844E">
      <w:start w:val="1"/>
      <w:numFmt w:val="lowerLetter"/>
      <w:lvlText w:val="%2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625A6A">
      <w:start w:val="1"/>
      <w:numFmt w:val="lowerRoman"/>
      <w:lvlText w:val="%3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98FB68">
      <w:start w:val="1"/>
      <w:numFmt w:val="decimal"/>
      <w:lvlText w:val="%4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A2A48">
      <w:start w:val="1"/>
      <w:numFmt w:val="lowerLetter"/>
      <w:lvlText w:val="%5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C3050">
      <w:start w:val="1"/>
      <w:numFmt w:val="lowerRoman"/>
      <w:lvlText w:val="%6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36D3AC">
      <w:start w:val="1"/>
      <w:numFmt w:val="decimal"/>
      <w:lvlText w:val="%7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18A7B0">
      <w:start w:val="1"/>
      <w:numFmt w:val="lowerLetter"/>
      <w:lvlText w:val="%8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EA034C">
      <w:start w:val="1"/>
      <w:numFmt w:val="lowerRoman"/>
      <w:lvlText w:val="%9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5A080B"/>
    <w:multiLevelType w:val="hybridMultilevel"/>
    <w:tmpl w:val="929AC4AC"/>
    <w:lvl w:ilvl="0" w:tplc="933CD9D0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ECE8B4">
      <w:start w:val="1"/>
      <w:numFmt w:val="lowerLetter"/>
      <w:lvlText w:val="%2"/>
      <w:lvlJc w:val="left"/>
      <w:pPr>
        <w:ind w:left="127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5CC5E0">
      <w:start w:val="1"/>
      <w:numFmt w:val="lowerRoman"/>
      <w:lvlText w:val="%3"/>
      <w:lvlJc w:val="left"/>
      <w:pPr>
        <w:ind w:left="19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DAD650">
      <w:start w:val="1"/>
      <w:numFmt w:val="decimal"/>
      <w:lvlText w:val="%4"/>
      <w:lvlJc w:val="left"/>
      <w:pPr>
        <w:ind w:left="27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786971C">
      <w:start w:val="1"/>
      <w:numFmt w:val="lowerLetter"/>
      <w:lvlText w:val="%5"/>
      <w:lvlJc w:val="left"/>
      <w:pPr>
        <w:ind w:left="343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D80C8A">
      <w:start w:val="1"/>
      <w:numFmt w:val="lowerRoman"/>
      <w:lvlText w:val="%6"/>
      <w:lvlJc w:val="left"/>
      <w:pPr>
        <w:ind w:left="415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6ABF40">
      <w:start w:val="1"/>
      <w:numFmt w:val="decimal"/>
      <w:lvlText w:val="%7"/>
      <w:lvlJc w:val="left"/>
      <w:pPr>
        <w:ind w:left="487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D602E92">
      <w:start w:val="1"/>
      <w:numFmt w:val="lowerLetter"/>
      <w:lvlText w:val="%8"/>
      <w:lvlJc w:val="left"/>
      <w:pPr>
        <w:ind w:left="55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1DAF7A6">
      <w:start w:val="1"/>
      <w:numFmt w:val="lowerRoman"/>
      <w:lvlText w:val="%9"/>
      <w:lvlJc w:val="left"/>
      <w:pPr>
        <w:ind w:left="63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844BFF"/>
    <w:multiLevelType w:val="hybridMultilevel"/>
    <w:tmpl w:val="5606919A"/>
    <w:lvl w:ilvl="0" w:tplc="6AF4941E">
      <w:start w:val="1"/>
      <w:numFmt w:val="bullet"/>
      <w:lvlText w:val=""/>
      <w:lvlJc w:val="left"/>
      <w:pPr>
        <w:ind w:left="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5E3A20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0E0F4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1AED64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D2214C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F6442C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D414A0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088D5E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2BC42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1474D29"/>
    <w:multiLevelType w:val="hybridMultilevel"/>
    <w:tmpl w:val="E05A8504"/>
    <w:lvl w:ilvl="0" w:tplc="55EC9A24">
      <w:start w:val="1"/>
      <w:numFmt w:val="upperRoman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3AE8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680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F451A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5A56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E2CA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CCBC4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C6E1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B6009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5B5E25"/>
    <w:multiLevelType w:val="hybridMultilevel"/>
    <w:tmpl w:val="DA765DA8"/>
    <w:lvl w:ilvl="0" w:tplc="923A651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9AC04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22975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10188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741C1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F8A3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CEC5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6D58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A8C5B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27333AB"/>
    <w:multiLevelType w:val="hybridMultilevel"/>
    <w:tmpl w:val="57281032"/>
    <w:lvl w:ilvl="0" w:tplc="04150011">
      <w:start w:val="1"/>
      <w:numFmt w:val="decimal"/>
      <w:lvlText w:val="%1)"/>
      <w:lvlJc w:val="left"/>
      <w:pPr>
        <w:ind w:left="73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356280C"/>
    <w:multiLevelType w:val="hybridMultilevel"/>
    <w:tmpl w:val="23C4825E"/>
    <w:lvl w:ilvl="0" w:tplc="B546BAE8">
      <w:start w:val="1"/>
      <w:numFmt w:val="decimal"/>
      <w:lvlText w:val="%1."/>
      <w:lvlJc w:val="left"/>
      <w:pPr>
        <w:ind w:left="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BEB67C">
      <w:start w:val="1"/>
      <w:numFmt w:val="lowerLetter"/>
      <w:lvlText w:val="%2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0423C2">
      <w:start w:val="1"/>
      <w:numFmt w:val="lowerRoman"/>
      <w:lvlText w:val="%3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7A4AB0">
      <w:start w:val="1"/>
      <w:numFmt w:val="decimal"/>
      <w:lvlText w:val="%4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1E9D04">
      <w:start w:val="1"/>
      <w:numFmt w:val="lowerLetter"/>
      <w:lvlText w:val="%5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629C1C">
      <w:start w:val="1"/>
      <w:numFmt w:val="lowerRoman"/>
      <w:lvlText w:val="%6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92346E">
      <w:start w:val="1"/>
      <w:numFmt w:val="decimal"/>
      <w:lvlText w:val="%7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06F40C">
      <w:start w:val="1"/>
      <w:numFmt w:val="lowerLetter"/>
      <w:lvlText w:val="%8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6E2A30">
      <w:start w:val="1"/>
      <w:numFmt w:val="lowerRoman"/>
      <w:lvlText w:val="%9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3E67F4"/>
    <w:multiLevelType w:val="hybridMultilevel"/>
    <w:tmpl w:val="7CDC9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67C93"/>
    <w:multiLevelType w:val="hybridMultilevel"/>
    <w:tmpl w:val="C3E48D7A"/>
    <w:lvl w:ilvl="0" w:tplc="29F862E8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18C30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843E6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DC5C6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C2769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2CDB5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36FA3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A618B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C4061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2C116E"/>
    <w:multiLevelType w:val="hybridMultilevel"/>
    <w:tmpl w:val="DC4E3EA2"/>
    <w:lvl w:ilvl="0" w:tplc="86829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15BEC"/>
    <w:multiLevelType w:val="hybridMultilevel"/>
    <w:tmpl w:val="DC4E361E"/>
    <w:lvl w:ilvl="0" w:tplc="04150011">
      <w:start w:val="1"/>
      <w:numFmt w:val="decimal"/>
      <w:lvlText w:val="%1)"/>
      <w:lvlJc w:val="left"/>
      <w:pPr>
        <w:ind w:left="659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F02928"/>
    <w:multiLevelType w:val="hybridMultilevel"/>
    <w:tmpl w:val="500EAB60"/>
    <w:lvl w:ilvl="0" w:tplc="0B7E39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D27C9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740A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D4E8B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32031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8EAE4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BEED3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5CE76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852B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CD68F5"/>
    <w:multiLevelType w:val="hybridMultilevel"/>
    <w:tmpl w:val="76228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55DCE"/>
    <w:multiLevelType w:val="hybridMultilevel"/>
    <w:tmpl w:val="D3E8E232"/>
    <w:lvl w:ilvl="0" w:tplc="3F7854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546316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DA5542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70798E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B23338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F6D394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A24700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27FF8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24D0A0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EF7E4C"/>
    <w:multiLevelType w:val="hybridMultilevel"/>
    <w:tmpl w:val="F5B6DC24"/>
    <w:lvl w:ilvl="0" w:tplc="0EDEDAFA">
      <w:start w:val="1"/>
      <w:numFmt w:val="decimal"/>
      <w:lvlText w:val="%1)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2EEC26">
      <w:start w:val="1"/>
      <w:numFmt w:val="lowerLetter"/>
      <w:lvlText w:val="%2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6BC22">
      <w:start w:val="1"/>
      <w:numFmt w:val="lowerRoman"/>
      <w:lvlText w:val="%3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343C1A">
      <w:start w:val="1"/>
      <w:numFmt w:val="decimal"/>
      <w:lvlText w:val="%4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EA8D18">
      <w:start w:val="1"/>
      <w:numFmt w:val="lowerLetter"/>
      <w:lvlText w:val="%5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AE4350">
      <w:start w:val="1"/>
      <w:numFmt w:val="lowerRoman"/>
      <w:lvlText w:val="%6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61914">
      <w:start w:val="1"/>
      <w:numFmt w:val="decimal"/>
      <w:lvlText w:val="%7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84F03E">
      <w:start w:val="1"/>
      <w:numFmt w:val="lowerLetter"/>
      <w:lvlText w:val="%8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4AF68A">
      <w:start w:val="1"/>
      <w:numFmt w:val="lowerRoman"/>
      <w:lvlText w:val="%9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94D46CD"/>
    <w:multiLevelType w:val="hybridMultilevel"/>
    <w:tmpl w:val="DE1ED628"/>
    <w:lvl w:ilvl="0" w:tplc="38D2586C">
      <w:start w:val="2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CE52A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10E186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D09026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E839EC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48003A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2A6144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204BFE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4E4F7E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9B710B"/>
    <w:multiLevelType w:val="hybridMultilevel"/>
    <w:tmpl w:val="AE00B198"/>
    <w:lvl w:ilvl="0" w:tplc="04150011">
      <w:start w:val="1"/>
      <w:numFmt w:val="decimal"/>
      <w:lvlText w:val="%1)"/>
      <w:lvlJc w:val="left"/>
      <w:pPr>
        <w:ind w:left="51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F15233"/>
    <w:multiLevelType w:val="hybridMultilevel"/>
    <w:tmpl w:val="583435BA"/>
    <w:lvl w:ilvl="0" w:tplc="9BB60860">
      <w:start w:val="1"/>
      <w:numFmt w:val="bullet"/>
      <w:lvlText w:val="–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16EC1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04628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12E0D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12809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06D46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649C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F6F1A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AA3A1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BA40BF9"/>
    <w:multiLevelType w:val="hybridMultilevel"/>
    <w:tmpl w:val="13CAB36E"/>
    <w:lvl w:ilvl="0" w:tplc="12C8004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26777E">
      <w:start w:val="1"/>
      <w:numFmt w:val="bullet"/>
      <w:lvlText w:val="o"/>
      <w:lvlJc w:val="left"/>
      <w:pPr>
        <w:ind w:left="1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A6A92">
      <w:start w:val="1"/>
      <w:numFmt w:val="bullet"/>
      <w:lvlText w:val="▪"/>
      <w:lvlJc w:val="left"/>
      <w:pPr>
        <w:ind w:left="2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FE8C5A">
      <w:start w:val="1"/>
      <w:numFmt w:val="bullet"/>
      <w:lvlText w:val="•"/>
      <w:lvlJc w:val="left"/>
      <w:pPr>
        <w:ind w:left="3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1A71FC">
      <w:start w:val="1"/>
      <w:numFmt w:val="bullet"/>
      <w:lvlText w:val="o"/>
      <w:lvlJc w:val="left"/>
      <w:pPr>
        <w:ind w:left="3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A6DD82">
      <w:start w:val="1"/>
      <w:numFmt w:val="bullet"/>
      <w:lvlText w:val="▪"/>
      <w:lvlJc w:val="left"/>
      <w:pPr>
        <w:ind w:left="4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7453C4">
      <w:start w:val="1"/>
      <w:numFmt w:val="bullet"/>
      <w:lvlText w:val="•"/>
      <w:lvlJc w:val="left"/>
      <w:pPr>
        <w:ind w:left="5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2A99F8">
      <w:start w:val="1"/>
      <w:numFmt w:val="bullet"/>
      <w:lvlText w:val="o"/>
      <w:lvlJc w:val="left"/>
      <w:pPr>
        <w:ind w:left="6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74156E">
      <w:start w:val="1"/>
      <w:numFmt w:val="bullet"/>
      <w:lvlText w:val="▪"/>
      <w:lvlJc w:val="left"/>
      <w:pPr>
        <w:ind w:left="6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602712"/>
    <w:multiLevelType w:val="hybridMultilevel"/>
    <w:tmpl w:val="18EEDD96"/>
    <w:lvl w:ilvl="0" w:tplc="6884054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E6301E">
      <w:start w:val="1"/>
      <w:numFmt w:val="bullet"/>
      <w:lvlText w:val="o"/>
      <w:lvlJc w:val="left"/>
      <w:pPr>
        <w:ind w:left="1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A27FFC">
      <w:start w:val="1"/>
      <w:numFmt w:val="bullet"/>
      <w:lvlText w:val="▪"/>
      <w:lvlJc w:val="left"/>
      <w:pPr>
        <w:ind w:left="1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364BAA">
      <w:start w:val="1"/>
      <w:numFmt w:val="bullet"/>
      <w:lvlText w:val="•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BE0754">
      <w:start w:val="1"/>
      <w:numFmt w:val="bullet"/>
      <w:lvlText w:val="o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4E218A">
      <w:start w:val="1"/>
      <w:numFmt w:val="bullet"/>
      <w:lvlText w:val="▪"/>
      <w:lvlJc w:val="left"/>
      <w:pPr>
        <w:ind w:left="4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F87B3E">
      <w:start w:val="1"/>
      <w:numFmt w:val="bullet"/>
      <w:lvlText w:val="•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FEF228">
      <w:start w:val="1"/>
      <w:numFmt w:val="bullet"/>
      <w:lvlText w:val="o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A2E598">
      <w:start w:val="1"/>
      <w:numFmt w:val="bullet"/>
      <w:lvlText w:val="▪"/>
      <w:lvlJc w:val="left"/>
      <w:pPr>
        <w:ind w:left="6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195FB4"/>
    <w:multiLevelType w:val="hybridMultilevel"/>
    <w:tmpl w:val="55809ACE"/>
    <w:lvl w:ilvl="0" w:tplc="0348587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4" w15:restartNumberingAfterBreak="0">
    <w:nsid w:val="7FB75366"/>
    <w:multiLevelType w:val="hybridMultilevel"/>
    <w:tmpl w:val="4F667278"/>
    <w:lvl w:ilvl="0" w:tplc="DF3A4FD6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C0F9A4">
      <w:start w:val="1"/>
      <w:numFmt w:val="bullet"/>
      <w:lvlText w:val="o"/>
      <w:lvlJc w:val="left"/>
      <w:pPr>
        <w:ind w:left="1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D07968">
      <w:start w:val="1"/>
      <w:numFmt w:val="bullet"/>
      <w:lvlText w:val="▪"/>
      <w:lvlJc w:val="left"/>
      <w:pPr>
        <w:ind w:left="1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6E4F82">
      <w:start w:val="1"/>
      <w:numFmt w:val="bullet"/>
      <w:lvlText w:val="•"/>
      <w:lvlJc w:val="left"/>
      <w:pPr>
        <w:ind w:left="2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A03DF4">
      <w:start w:val="1"/>
      <w:numFmt w:val="bullet"/>
      <w:lvlText w:val="o"/>
      <w:lvlJc w:val="left"/>
      <w:pPr>
        <w:ind w:left="3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0CF9B8">
      <w:start w:val="1"/>
      <w:numFmt w:val="bullet"/>
      <w:lvlText w:val="▪"/>
      <w:lvlJc w:val="left"/>
      <w:pPr>
        <w:ind w:left="4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C4CDC">
      <w:start w:val="1"/>
      <w:numFmt w:val="bullet"/>
      <w:lvlText w:val="•"/>
      <w:lvlJc w:val="left"/>
      <w:pPr>
        <w:ind w:left="4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5E69DA">
      <w:start w:val="1"/>
      <w:numFmt w:val="bullet"/>
      <w:lvlText w:val="o"/>
      <w:lvlJc w:val="left"/>
      <w:pPr>
        <w:ind w:left="5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0B59C">
      <w:start w:val="1"/>
      <w:numFmt w:val="bullet"/>
      <w:lvlText w:val="▪"/>
      <w:lvlJc w:val="left"/>
      <w:pPr>
        <w:ind w:left="6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8384159">
    <w:abstractNumId w:val="38"/>
  </w:num>
  <w:num w:numId="2" w16cid:durableId="1700467871">
    <w:abstractNumId w:val="36"/>
  </w:num>
  <w:num w:numId="3" w16cid:durableId="1475874428">
    <w:abstractNumId w:val="5"/>
  </w:num>
  <w:num w:numId="4" w16cid:durableId="1488473570">
    <w:abstractNumId w:val="26"/>
  </w:num>
  <w:num w:numId="5" w16cid:durableId="648707851">
    <w:abstractNumId w:val="11"/>
  </w:num>
  <w:num w:numId="6" w16cid:durableId="761728115">
    <w:abstractNumId w:val="12"/>
  </w:num>
  <w:num w:numId="7" w16cid:durableId="967319340">
    <w:abstractNumId w:val="7"/>
  </w:num>
  <w:num w:numId="8" w16cid:durableId="260335479">
    <w:abstractNumId w:val="20"/>
  </w:num>
  <w:num w:numId="9" w16cid:durableId="371686242">
    <w:abstractNumId w:val="23"/>
  </w:num>
  <w:num w:numId="10" w16cid:durableId="1055155976">
    <w:abstractNumId w:val="37"/>
  </w:num>
  <w:num w:numId="11" w16cid:durableId="1598562702">
    <w:abstractNumId w:val="25"/>
  </w:num>
  <w:num w:numId="12" w16cid:durableId="47609790">
    <w:abstractNumId w:val="24"/>
  </w:num>
  <w:num w:numId="13" w16cid:durableId="3828506">
    <w:abstractNumId w:val="4"/>
  </w:num>
  <w:num w:numId="14" w16cid:durableId="249506296">
    <w:abstractNumId w:val="15"/>
  </w:num>
  <w:num w:numId="15" w16cid:durableId="1059204706">
    <w:abstractNumId w:val="22"/>
  </w:num>
  <w:num w:numId="16" w16cid:durableId="581179860">
    <w:abstractNumId w:val="21"/>
  </w:num>
  <w:num w:numId="17" w16cid:durableId="349915287">
    <w:abstractNumId w:val="42"/>
  </w:num>
  <w:num w:numId="18" w16cid:durableId="178010615">
    <w:abstractNumId w:val="17"/>
  </w:num>
  <w:num w:numId="19" w16cid:durableId="1763139773">
    <w:abstractNumId w:val="29"/>
  </w:num>
  <w:num w:numId="20" w16cid:durableId="24332079">
    <w:abstractNumId w:val="41"/>
  </w:num>
  <w:num w:numId="21" w16cid:durableId="271060092">
    <w:abstractNumId w:val="13"/>
  </w:num>
  <w:num w:numId="22" w16cid:durableId="463932992">
    <w:abstractNumId w:val="6"/>
  </w:num>
  <w:num w:numId="23" w16cid:durableId="1290745857">
    <w:abstractNumId w:val="34"/>
  </w:num>
  <w:num w:numId="24" w16cid:durableId="1016467023">
    <w:abstractNumId w:val="27"/>
  </w:num>
  <w:num w:numId="25" w16cid:durableId="765153292">
    <w:abstractNumId w:val="40"/>
  </w:num>
  <w:num w:numId="26" w16cid:durableId="806122110">
    <w:abstractNumId w:val="31"/>
  </w:num>
  <w:num w:numId="27" w16cid:durableId="181407904">
    <w:abstractNumId w:val="19"/>
  </w:num>
  <w:num w:numId="28" w16cid:durableId="12080227">
    <w:abstractNumId w:val="16"/>
  </w:num>
  <w:num w:numId="29" w16cid:durableId="789397306">
    <w:abstractNumId w:val="44"/>
  </w:num>
  <w:num w:numId="30" w16cid:durableId="1144545439">
    <w:abstractNumId w:val="18"/>
  </w:num>
  <w:num w:numId="31" w16cid:durableId="1951161173">
    <w:abstractNumId w:val="10"/>
  </w:num>
  <w:num w:numId="32" w16cid:durableId="506143198">
    <w:abstractNumId w:val="43"/>
  </w:num>
  <w:num w:numId="33" w16cid:durableId="1485244295">
    <w:abstractNumId w:val="2"/>
  </w:num>
  <w:num w:numId="34" w16cid:durableId="1504783607">
    <w:abstractNumId w:val="28"/>
  </w:num>
  <w:num w:numId="35" w16cid:durableId="519972829">
    <w:abstractNumId w:val="9"/>
  </w:num>
  <w:num w:numId="36" w16cid:durableId="1562056962">
    <w:abstractNumId w:val="8"/>
  </w:num>
  <w:num w:numId="37" w16cid:durableId="1358434784">
    <w:abstractNumId w:val="30"/>
  </w:num>
  <w:num w:numId="38" w16cid:durableId="238907914">
    <w:abstractNumId w:val="14"/>
  </w:num>
  <w:num w:numId="39" w16cid:durableId="1071150560">
    <w:abstractNumId w:val="32"/>
  </w:num>
  <w:num w:numId="40" w16cid:durableId="1982540049">
    <w:abstractNumId w:val="3"/>
  </w:num>
  <w:num w:numId="41" w16cid:durableId="225148870">
    <w:abstractNumId w:val="0"/>
  </w:num>
  <w:num w:numId="42" w16cid:durableId="1431388661">
    <w:abstractNumId w:val="1"/>
  </w:num>
  <w:num w:numId="43" w16cid:durableId="1334843405">
    <w:abstractNumId w:val="35"/>
  </w:num>
  <w:num w:numId="44" w16cid:durableId="257061010">
    <w:abstractNumId w:val="39"/>
  </w:num>
  <w:num w:numId="45" w16cid:durableId="94516255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2F"/>
    <w:rsid w:val="00067BA4"/>
    <w:rsid w:val="001C53A3"/>
    <w:rsid w:val="001E6E51"/>
    <w:rsid w:val="002F3A8A"/>
    <w:rsid w:val="00372A77"/>
    <w:rsid w:val="003A2FB9"/>
    <w:rsid w:val="003E2ED5"/>
    <w:rsid w:val="00595713"/>
    <w:rsid w:val="005C76F8"/>
    <w:rsid w:val="005E022C"/>
    <w:rsid w:val="005E5325"/>
    <w:rsid w:val="0072521F"/>
    <w:rsid w:val="007C7560"/>
    <w:rsid w:val="00910CB7"/>
    <w:rsid w:val="009379B4"/>
    <w:rsid w:val="009D27DF"/>
    <w:rsid w:val="00B622DA"/>
    <w:rsid w:val="00C14519"/>
    <w:rsid w:val="00D5192F"/>
    <w:rsid w:val="00D76F79"/>
    <w:rsid w:val="00DC6CF1"/>
    <w:rsid w:val="00E1662F"/>
    <w:rsid w:val="00ED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1D60"/>
  <w15:chartTrackingRefBased/>
  <w15:docId w15:val="{1C6A2367-B44A-4F6B-8C9B-F5502F81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6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6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6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6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6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6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6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6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6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6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62F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E1662F"/>
    <w:pPr>
      <w:spacing w:after="0"/>
      <w:ind w:left="15"/>
    </w:pPr>
    <w:rPr>
      <w:rFonts w:ascii="Calibri" w:eastAsia="Calibri" w:hAnsi="Calibri" w:cs="Calibri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E1662F"/>
    <w:rPr>
      <w:rFonts w:ascii="Calibri" w:eastAsia="Calibri" w:hAnsi="Calibri" w:cs="Calibri"/>
      <w:color w:val="000000"/>
      <w:sz w:val="20"/>
      <w:lang w:val="en-US"/>
    </w:rPr>
  </w:style>
  <w:style w:type="character" w:customStyle="1" w:styleId="footnotemark">
    <w:name w:val="footnote mark"/>
    <w:hidden/>
    <w:rsid w:val="00E1662F"/>
    <w:rPr>
      <w:rFonts w:ascii="Calibri" w:eastAsia="Calibri" w:hAnsi="Calibri" w:cs="Calibri"/>
      <w:color w:val="000000"/>
      <w:sz w:val="14"/>
      <w:vertAlign w:val="superscript"/>
    </w:rPr>
  </w:style>
  <w:style w:type="paragraph" w:customStyle="1" w:styleId="Default">
    <w:name w:val="Default"/>
    <w:rsid w:val="00ED333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BE824-00B3-4E9B-8242-4D389D3C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20</Pages>
  <Words>4526</Words>
  <Characters>27160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Wągrowiec - Agnieszka Borkowska</dc:creator>
  <cp:keywords/>
  <dc:description/>
  <cp:lastModifiedBy>PSSE Wągrowiec - Agnieszka Borkowska</cp:lastModifiedBy>
  <cp:revision>3</cp:revision>
  <dcterms:created xsi:type="dcterms:W3CDTF">2026-01-05T12:02:00Z</dcterms:created>
  <dcterms:modified xsi:type="dcterms:W3CDTF">2026-01-05T20:12:00Z</dcterms:modified>
</cp:coreProperties>
</file>