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D17B3" w14:textId="3E7DAC56" w:rsidR="00504BC9" w:rsidRDefault="00944E69">
      <w:r>
        <w:t>Ad.1 Wskazana data jest oczywistą omyłką. Prawidłową datą dostarczenia wszelkich licencji koniecznych do funkcjonowania systemu jest 30 kwietnia 2024 r.</w:t>
      </w:r>
    </w:p>
    <w:p w14:paraId="72256C0A" w14:textId="47C3F331" w:rsidR="00944E69" w:rsidRDefault="00944E69">
      <w:pPr>
        <w:rPr>
          <w:i/>
          <w:iCs/>
        </w:rPr>
      </w:pPr>
      <w:r>
        <w:t xml:space="preserve">Ad.2 Zamawiający wyraża zgodę na zmianę zapisu na brzmienie: </w:t>
      </w:r>
      <w:r w:rsidRPr="007F6547">
        <w:t>Wraz z dostawą Systemu Wykonawca dostarczy nośniki lub udostępni pliki z oprogramowaniem, na które udziela licencji, pozwalające w szczególności na ponowną instalację oprogramowania.</w:t>
      </w:r>
    </w:p>
    <w:p w14:paraId="6731D400" w14:textId="03D6D02E" w:rsidR="00944E69" w:rsidRDefault="00944E69">
      <w:r>
        <w:t xml:space="preserve">Ad.3 Zamawiający </w:t>
      </w:r>
      <w:r w:rsidRPr="00944E69">
        <w:t>potwierdz</w:t>
      </w:r>
      <w:r>
        <w:t>a</w:t>
      </w:r>
      <w:r w:rsidRPr="00944E69">
        <w:t>, że w ramach migracji należy przenieść całą bazę danych używaną przez Zamawiającego z obecnie eksploatowanego systemu, a wskazanie przez Zamawiającego danych oznacza podanie lokalizacji serwera i bazy danych. Zamawiający zapewni dostęp do przenoszonej bazy danych.</w:t>
      </w:r>
    </w:p>
    <w:p w14:paraId="26713A4D" w14:textId="68E4BCB2" w:rsidR="00944E69" w:rsidRPr="00E84C9A" w:rsidRDefault="00944E69">
      <w:r w:rsidRPr="00E84C9A">
        <w:t xml:space="preserve">Ad.4 Zamawiający wskazał, że </w:t>
      </w:r>
      <w:bookmarkStart w:id="0" w:name="_Ref475885812"/>
      <w:r w:rsidRPr="00E84C9A">
        <w:t>Wykonawca zapewni</w:t>
      </w:r>
      <w:r w:rsidR="007C0E5C" w:rsidRPr="00E84C9A">
        <w:t xml:space="preserve"> standardową</w:t>
      </w:r>
      <w:r w:rsidRPr="00E84C9A">
        <w:t xml:space="preserve"> obsługę serwisową Systemu</w:t>
      </w:r>
      <w:r w:rsidRPr="00E84C9A">
        <w:rPr>
          <w:u w:val="single"/>
        </w:rPr>
        <w:t xml:space="preserve">, </w:t>
      </w:r>
      <w:bookmarkEnd w:id="0"/>
      <w:r w:rsidRPr="00E84C9A">
        <w:rPr>
          <w:u w:val="single"/>
        </w:rPr>
        <w:t>w ramach realizacji umowy</w:t>
      </w:r>
      <w:r w:rsidRPr="00E84C9A">
        <w:t xml:space="preserve"> i w ramach wynagrodzenia, a więc nie dłużej niż do 31 grudnia</w:t>
      </w:r>
      <w:r w:rsidR="007C0E5C" w:rsidRPr="00E84C9A">
        <w:t xml:space="preserve"> 2024 r. Zamawiający potwierdza, że posiada zawartą umowę rozszerzoną umowę serwisową z formą QNT Systemy Informatyczne do dn. </w:t>
      </w:r>
      <w:r w:rsidR="00E84C9A" w:rsidRPr="00E84C9A">
        <w:t>5</w:t>
      </w:r>
      <w:r w:rsidR="007C0E5C" w:rsidRPr="00E84C9A">
        <w:t xml:space="preserve"> </w:t>
      </w:r>
      <w:r w:rsidR="00E84C9A" w:rsidRPr="00E84C9A">
        <w:t>lipca</w:t>
      </w:r>
      <w:r w:rsidR="007C0E5C" w:rsidRPr="00E84C9A">
        <w:t xml:space="preserve"> 2025 r.</w:t>
      </w:r>
    </w:p>
    <w:p w14:paraId="05E5F0A7" w14:textId="5F999AA7" w:rsidR="007C0E5C" w:rsidRDefault="007C0E5C">
      <w:r>
        <w:t>Ad.5 Zamawiający wyraża zgodę na zmianę zapisów wymagań wsparcia oraz serwisu i nadaje im następujące brzmienie:</w:t>
      </w:r>
    </w:p>
    <w:p w14:paraId="221AE6B1" w14:textId="444BD6AE" w:rsidR="007C0E5C" w:rsidRDefault="007C0E5C" w:rsidP="007C0E5C">
      <w:pPr>
        <w:pStyle w:val="Akapitzlist"/>
        <w:numPr>
          <w:ilvl w:val="0"/>
          <w:numId w:val="1"/>
        </w:numPr>
      </w:pPr>
      <w:r w:rsidRPr="007C0E5C">
        <w:t>usunięcie wszystkich błędów krytycznych, błędów i usterek Systemu, wynikających zarówno z błędnego lub wadliwego, niezgodnego z dokumentacją działania Systemu;</w:t>
      </w:r>
    </w:p>
    <w:p w14:paraId="4D595F49" w14:textId="76C4B614" w:rsidR="007C0E5C" w:rsidRDefault="007C0E5C" w:rsidP="007C0E5C">
      <w:pPr>
        <w:pStyle w:val="Akapitzlist"/>
        <w:numPr>
          <w:ilvl w:val="0"/>
          <w:numId w:val="1"/>
        </w:numPr>
      </w:pPr>
      <w:r w:rsidRPr="007C0E5C">
        <w:t>wykonanie bieżącej obsługi na wezwanie Zamawiającego, gwarantującej zapewnienie ciągłej pracy Systemu;</w:t>
      </w:r>
    </w:p>
    <w:p w14:paraId="0D489A66" w14:textId="2ED0C37C" w:rsidR="007C0E5C" w:rsidRDefault="007C0E5C" w:rsidP="007C0E5C">
      <w:pPr>
        <w:pStyle w:val="Akapitzlist"/>
        <w:numPr>
          <w:ilvl w:val="0"/>
          <w:numId w:val="1"/>
        </w:numPr>
      </w:pPr>
      <w:r w:rsidRPr="007C0E5C">
        <w:t>dostarczanie okresowych aktualizacji Systemu;</w:t>
      </w:r>
    </w:p>
    <w:p w14:paraId="7B1951D0" w14:textId="5BD9EBE6" w:rsidR="007C0E5C" w:rsidRDefault="007C0E5C" w:rsidP="007C0E5C">
      <w:pPr>
        <w:pStyle w:val="Akapitzlist"/>
        <w:numPr>
          <w:ilvl w:val="0"/>
          <w:numId w:val="1"/>
        </w:numPr>
      </w:pPr>
      <w:r w:rsidRPr="007C0E5C">
        <w:t>dostarczanie lub udostępnianie aktualizacji Systemu w związku ze zmianą powszechnie obowiązujących przepisów prawa w zakresie, w jakim jest to niezbędne w celu zapewnienia zgodności istniejącej funkcjonalności Systemu z powszechnie obowiązującymi przepisami prawa</w:t>
      </w:r>
      <w:r>
        <w:t xml:space="preserve"> </w:t>
      </w:r>
      <w:r w:rsidRPr="007C0E5C">
        <w:t>niezwłocznie, lecz nie później niż 2 dni robocze przed wejściem w życie nowych przepisów prawa,</w:t>
      </w:r>
      <w:r>
        <w:t xml:space="preserve"> </w:t>
      </w:r>
      <w:r w:rsidRPr="007C0E5C">
        <w:t>a jeżeli zmiany tychże przepisów wchodzą w życie w terminie krótszym niż 30 dni od dnia publikacji zmiany, nie później niż w terminie 30 dni od dnia publikacji zmiany, natomiast jeżeli przepisom nadano moc wsteczną obowiązywania - nie później niż 30 dni od dnia, w którym opublikowano w odpowiednim publikatorze zmienione przepisy;</w:t>
      </w:r>
    </w:p>
    <w:p w14:paraId="60EB4EBD" w14:textId="349CCFDF" w:rsidR="007C0E5C" w:rsidRDefault="007C0E5C" w:rsidP="007C0E5C">
      <w:r>
        <w:t>Ad.6 Zamawiający wyraża zgodę na zmianę wymaga</w:t>
      </w:r>
      <w:r w:rsidR="00DF516B">
        <w:t>ń</w:t>
      </w:r>
      <w:r>
        <w:t xml:space="preserve"> dotycząc</w:t>
      </w:r>
      <w:r w:rsidR="00DF516B">
        <w:t>ych</w:t>
      </w:r>
      <w:r>
        <w:t xml:space="preserve"> wsparcia i serwisu i nadaje im następujące brzmienie</w:t>
      </w:r>
      <w:r w:rsidR="00DF516B">
        <w:t>:</w:t>
      </w:r>
    </w:p>
    <w:p w14:paraId="06A8507B" w14:textId="7F23C8A4" w:rsidR="007C0E5C" w:rsidRDefault="007C0E5C" w:rsidP="007C0E5C">
      <w:r w:rsidRPr="007C0E5C">
        <w:t>Wykonawca będzie przyjmował zgłoszenia serwisowe Zamawiającego</w:t>
      </w:r>
      <w:r w:rsidR="00DF516B">
        <w:t xml:space="preserve"> </w:t>
      </w:r>
      <w:r w:rsidR="00DF516B" w:rsidRPr="00DF516B">
        <w:t>za pośrednictwem udostępnionego przez Wykonawcę portalu internetowego, w dni robocze w godzinach 8:15 – 16:15, a w przypadku jego niedostępności pocztą elektroniczną, w dni robocze w godzinach 8:00 – 16:00.</w:t>
      </w:r>
    </w:p>
    <w:p w14:paraId="7E1BDF2A" w14:textId="7CD2FF11" w:rsidR="00DF516B" w:rsidRDefault="00DF516B" w:rsidP="007C0E5C">
      <w:r>
        <w:t>Ad. 7 Zamawiający rezygnuje z wymagania w punkcie 12 i usuwa go w całości.</w:t>
      </w:r>
    </w:p>
    <w:p w14:paraId="30FE1652" w14:textId="18ACA0E0" w:rsidR="007C0E5C" w:rsidRDefault="00DF516B">
      <w:r>
        <w:t>Ad. 8 Zamawiający wyraża zgodę na zmianę wymagań dotyczących gwarancji i nadaje im następujące brzmienie:</w:t>
      </w:r>
    </w:p>
    <w:p w14:paraId="7A79023C" w14:textId="77777777" w:rsidR="00DF516B" w:rsidRDefault="00DF516B" w:rsidP="00DF516B">
      <w:pPr>
        <w:pStyle w:val="Akapitzlist"/>
        <w:numPr>
          <w:ilvl w:val="0"/>
          <w:numId w:val="2"/>
        </w:numPr>
      </w:pPr>
      <w:r w:rsidRPr="00DF516B">
        <w:t xml:space="preserve">Gwarancja musi objąć usuwanie wszystkich wad i błędów Systemu ujawnionych podczas zgodnego z dokumentacją korzystania z Systemu, w tym: </w:t>
      </w:r>
    </w:p>
    <w:p w14:paraId="5573B56F" w14:textId="3CCF5EEA" w:rsidR="00DF516B" w:rsidRDefault="00DF516B" w:rsidP="00DF516B">
      <w:pPr>
        <w:pStyle w:val="Akapitzlist"/>
        <w:numPr>
          <w:ilvl w:val="0"/>
          <w:numId w:val="2"/>
        </w:numPr>
      </w:pPr>
      <w:r w:rsidRPr="00DF516B">
        <w:t>zapewnienie pracy Systemu na poziomie nie gorszym niż w chwili jego odbioru;</w:t>
      </w:r>
    </w:p>
    <w:p w14:paraId="5B70E02B" w14:textId="29CFCE21" w:rsidR="00DF516B" w:rsidRDefault="00DF516B" w:rsidP="00DF516B">
      <w:pPr>
        <w:pStyle w:val="Akapitzlist"/>
        <w:numPr>
          <w:ilvl w:val="0"/>
          <w:numId w:val="2"/>
        </w:numPr>
      </w:pPr>
      <w:r w:rsidRPr="00DF516B">
        <w:t>interweniowanie</w:t>
      </w:r>
      <w:r>
        <w:t xml:space="preserve"> </w:t>
      </w:r>
      <w:r w:rsidRPr="00DF516B">
        <w:t>za pośrednictwem udostępnionego przez Wykonawcę portalu internetowego, w dni robocze w godzinach 8:15 – 16:15</w:t>
      </w:r>
      <w:r>
        <w:t xml:space="preserve">, </w:t>
      </w:r>
      <w:r w:rsidRPr="00DF516B">
        <w:t>a w przypadku jego niedostępności pocztą elektroniczną, w dni robocze w godzinach 8:00 – 16:00.</w:t>
      </w:r>
    </w:p>
    <w:p w14:paraId="056F59A4" w14:textId="65384F03" w:rsidR="00DF516B" w:rsidRDefault="00DF516B" w:rsidP="00DA373A">
      <w:r>
        <w:lastRenderedPageBreak/>
        <w:t xml:space="preserve">Ad 9 </w:t>
      </w:r>
      <w:r w:rsidR="00DA373A">
        <w:t>Zamawiający wyraża zgodę na zmianę wymagań dotyczących praw autorskich i nadaje im następujące brzmienie:</w:t>
      </w:r>
    </w:p>
    <w:p w14:paraId="1AE7106C" w14:textId="0E2A3CE8" w:rsidR="00DF516B" w:rsidRDefault="00DF516B" w:rsidP="00DF516B">
      <w:pPr>
        <w:ind w:left="360"/>
      </w:pPr>
      <w:r w:rsidRPr="00DF516B">
        <w:t xml:space="preserve">Wykonawca udzieli niewyłącznej licencji na korzystanie z Systemu, w szczególności na korzystanie z funkcji Systemu oraz wszelkiej dokumentacji powstałej w ramach realizacji przedmiotu Umowy na następujących polach eksploatacji: </w:t>
      </w:r>
    </w:p>
    <w:p w14:paraId="6437243F" w14:textId="5F45C244" w:rsidR="00DF516B" w:rsidRDefault="00DF516B" w:rsidP="00DA373A">
      <w:pPr>
        <w:pStyle w:val="Akapitzlist"/>
        <w:numPr>
          <w:ilvl w:val="0"/>
          <w:numId w:val="3"/>
        </w:numPr>
      </w:pPr>
      <w:r w:rsidRPr="00DF516B">
        <w:t xml:space="preserve">korzystanie w ramach wszystkich funkcjonalności w dowolny sposób przez użytkowników Zamawiającego; </w:t>
      </w:r>
    </w:p>
    <w:p w14:paraId="0247F54E" w14:textId="6D2355D3" w:rsidR="00DF516B" w:rsidRDefault="00DF516B" w:rsidP="00DA373A">
      <w:pPr>
        <w:pStyle w:val="Akapitzlist"/>
        <w:numPr>
          <w:ilvl w:val="0"/>
          <w:numId w:val="3"/>
        </w:numPr>
      </w:pPr>
      <w:r w:rsidRPr="00DF516B">
        <w:t xml:space="preserve">wprowadzanie i zapisywanie w pamięci komputerów oraz systemów, którymi dysponuje Zamawiający; </w:t>
      </w:r>
    </w:p>
    <w:p w14:paraId="49451847" w14:textId="4A337371" w:rsidR="00DF516B" w:rsidRDefault="00DF516B" w:rsidP="00DA373A">
      <w:pPr>
        <w:pStyle w:val="Akapitzlist"/>
        <w:numPr>
          <w:ilvl w:val="0"/>
          <w:numId w:val="3"/>
        </w:numPr>
      </w:pPr>
      <w:r w:rsidRPr="00DF516B">
        <w:t xml:space="preserve">odtwarzanie; </w:t>
      </w:r>
    </w:p>
    <w:p w14:paraId="605EA318" w14:textId="6D27E20C" w:rsidR="00DF516B" w:rsidRDefault="00DF516B" w:rsidP="00DA373A">
      <w:pPr>
        <w:pStyle w:val="Akapitzlist"/>
        <w:numPr>
          <w:ilvl w:val="0"/>
          <w:numId w:val="3"/>
        </w:numPr>
      </w:pPr>
      <w:r w:rsidRPr="00DF516B">
        <w:t xml:space="preserve">utrwalanie, trwałe lub czasowe, całości lub poszczególnych elementów na dowolnych nośnikach; </w:t>
      </w:r>
    </w:p>
    <w:p w14:paraId="3FDB1015" w14:textId="64E6C037" w:rsidR="00DF516B" w:rsidRDefault="00DF516B" w:rsidP="00DA373A">
      <w:pPr>
        <w:pStyle w:val="Akapitzlist"/>
        <w:numPr>
          <w:ilvl w:val="0"/>
          <w:numId w:val="3"/>
        </w:numPr>
      </w:pPr>
      <w:r w:rsidRPr="00DF516B">
        <w:t>zwielokrotnianie, trwałe lub czasowe, całości i poszczególnych elementów przy użyciu dowolnych technik;</w:t>
      </w:r>
    </w:p>
    <w:p w14:paraId="069F90EB" w14:textId="42C9A95B" w:rsidR="00DF516B" w:rsidRDefault="00DF516B" w:rsidP="00DA373A">
      <w:pPr>
        <w:pStyle w:val="Akapitzlist"/>
        <w:numPr>
          <w:ilvl w:val="0"/>
          <w:numId w:val="3"/>
        </w:numPr>
      </w:pPr>
      <w:r w:rsidRPr="00DF516B">
        <w:t xml:space="preserve">przekazywanie; </w:t>
      </w:r>
    </w:p>
    <w:p w14:paraId="08CCA9CD" w14:textId="74E0F3BE" w:rsidR="00DF516B" w:rsidRDefault="00DF516B" w:rsidP="00DA373A">
      <w:pPr>
        <w:pStyle w:val="Akapitzlist"/>
        <w:numPr>
          <w:ilvl w:val="0"/>
          <w:numId w:val="3"/>
        </w:numPr>
      </w:pPr>
      <w:r w:rsidRPr="00DF516B">
        <w:t xml:space="preserve">przechowywanie; </w:t>
      </w:r>
    </w:p>
    <w:p w14:paraId="04AAC7D1" w14:textId="2F58A0E5" w:rsidR="00DF516B" w:rsidRDefault="00DF516B" w:rsidP="00DA373A">
      <w:pPr>
        <w:pStyle w:val="Akapitzlist"/>
        <w:numPr>
          <w:ilvl w:val="0"/>
          <w:numId w:val="3"/>
        </w:numPr>
      </w:pPr>
      <w:r w:rsidRPr="00DF516B">
        <w:t xml:space="preserve">wyświetlanie; </w:t>
      </w:r>
    </w:p>
    <w:p w14:paraId="38442ED6" w14:textId="7999F2FB" w:rsidR="00DF516B" w:rsidRDefault="00DF516B" w:rsidP="00DA373A">
      <w:pPr>
        <w:pStyle w:val="Akapitzlist"/>
        <w:numPr>
          <w:ilvl w:val="0"/>
          <w:numId w:val="3"/>
        </w:numPr>
      </w:pPr>
      <w:r w:rsidRPr="00DF516B">
        <w:t xml:space="preserve">stosowanie; </w:t>
      </w:r>
    </w:p>
    <w:p w14:paraId="791436F9" w14:textId="61F14748" w:rsidR="00DF516B" w:rsidRDefault="00DF516B" w:rsidP="00DA373A">
      <w:pPr>
        <w:pStyle w:val="Akapitzlist"/>
        <w:numPr>
          <w:ilvl w:val="0"/>
          <w:numId w:val="3"/>
        </w:numPr>
      </w:pPr>
      <w:r w:rsidRPr="00DF516B">
        <w:t xml:space="preserve">instalowanie i deinstalowanie pod warunkiem zachowania liczby udzielonych licencji; </w:t>
      </w:r>
    </w:p>
    <w:p w14:paraId="69B6333E" w14:textId="2A88BF78" w:rsidR="00DF516B" w:rsidRDefault="00DF516B" w:rsidP="00DA373A">
      <w:pPr>
        <w:pStyle w:val="Akapitzlist"/>
        <w:numPr>
          <w:ilvl w:val="0"/>
          <w:numId w:val="3"/>
        </w:numPr>
      </w:pPr>
      <w:r w:rsidRPr="00DF516B">
        <w:t>sporządzanie kopii zapasowej (kopii bezpieczeństwa) nośników;</w:t>
      </w:r>
    </w:p>
    <w:p w14:paraId="463F5A02" w14:textId="160FC357" w:rsidR="00DF516B" w:rsidRDefault="00DF516B" w:rsidP="00DA373A">
      <w:pPr>
        <w:pStyle w:val="Akapitzlist"/>
        <w:numPr>
          <w:ilvl w:val="0"/>
          <w:numId w:val="3"/>
        </w:numPr>
      </w:pPr>
      <w:r w:rsidRPr="00DF516B">
        <w:t xml:space="preserve">przekształcanie formatu pierwotnego na dowolny inny format wymagany przez Zamawiającego i dostosowanie do platform sprzętowo-systemowych wybranych przez Zamawiającego; </w:t>
      </w:r>
    </w:p>
    <w:p w14:paraId="4C5F3A12" w14:textId="743BD5AD" w:rsidR="00DF516B" w:rsidRDefault="00DF516B" w:rsidP="00DA373A">
      <w:pPr>
        <w:pStyle w:val="Akapitzlist"/>
        <w:numPr>
          <w:ilvl w:val="0"/>
          <w:numId w:val="3"/>
        </w:numPr>
      </w:pPr>
      <w:r w:rsidRPr="00DF516B">
        <w:t>łączenie fragmentów z innymi programami komputerowymi i ich dostosowywanie;</w:t>
      </w:r>
    </w:p>
    <w:p w14:paraId="3F8C49CE" w14:textId="77777777" w:rsidR="00DA373A" w:rsidRDefault="00DA373A" w:rsidP="00DA373A">
      <w:pPr>
        <w:pStyle w:val="Akapitzlist"/>
        <w:numPr>
          <w:ilvl w:val="0"/>
          <w:numId w:val="3"/>
        </w:numPr>
      </w:pPr>
      <w:r w:rsidRPr="00DA373A">
        <w:t xml:space="preserve">wykonanie, wystawianie, wyświetlanie, odtwarzanie oraz nadawanie i reemitowanie, a także publiczne udostępnianie w dowolny, wybrany przez Zamawiającego sposób, w tym udostępnianie w sieciach komputerowych;        </w:t>
      </w:r>
    </w:p>
    <w:p w14:paraId="387853AC" w14:textId="64B66F47" w:rsidR="00DF516B" w:rsidRDefault="00DA373A" w:rsidP="00DA373A">
      <w:pPr>
        <w:pStyle w:val="Akapitzlist"/>
        <w:numPr>
          <w:ilvl w:val="0"/>
          <w:numId w:val="3"/>
        </w:numPr>
      </w:pPr>
      <w:r w:rsidRPr="00DA373A">
        <w:t>korzystanie z produktów powstałych w wyniku eksploatacji Systemu przez Zamawiającego, w szczególności danych, raportów, zestawień oraz innych dokumentów kreowanych w ramach tej eksploatacji oraz modyfikowania tych produktów i dalszego z nich korzystania;</w:t>
      </w:r>
    </w:p>
    <w:p w14:paraId="5F6704A6" w14:textId="753CC9CB" w:rsidR="00DF516B" w:rsidRDefault="00DA373A" w:rsidP="00DF516B">
      <w:pPr>
        <w:ind w:left="360"/>
      </w:pPr>
      <w:r w:rsidRPr="00DA373A">
        <w:t>przy czym powyższe pola eksploatacji dotyczą wyłącznie ich wykorzystania w ramach organizacji Zamawiającego.</w:t>
      </w:r>
    </w:p>
    <w:p w14:paraId="68D57117" w14:textId="5D8943D5" w:rsidR="00DA373A" w:rsidRDefault="00DA373A" w:rsidP="00DF516B">
      <w:pPr>
        <w:ind w:left="360"/>
      </w:pPr>
      <w:r>
        <w:t>Ad.10 Zamawiający rezygnuje z wymagania zwartego w punkcie 18 i usuwa go w całości.</w:t>
      </w:r>
    </w:p>
    <w:p w14:paraId="65463155" w14:textId="0A6C6617" w:rsidR="00DA373A" w:rsidRDefault="00DA373A" w:rsidP="00DF516B">
      <w:pPr>
        <w:ind w:left="360"/>
      </w:pPr>
      <w:r>
        <w:t>Ad. 11 Zamawiający zmienia brzmienie pkt 20 na:</w:t>
      </w:r>
    </w:p>
    <w:p w14:paraId="279E90C8" w14:textId="7E79CB30" w:rsidR="00DA373A" w:rsidRDefault="00DA373A" w:rsidP="00DF516B">
      <w:pPr>
        <w:ind w:left="360"/>
      </w:pPr>
      <w:r w:rsidRPr="00E22E83">
        <w:t>Wykonawca zapewni Zamawiającemu prawo do korzystania z usług</w:t>
      </w:r>
      <w:r>
        <w:t xml:space="preserve"> wsparcia technicznego </w:t>
      </w:r>
      <w:r w:rsidRPr="00E22E83">
        <w:t>oprogramowania</w:t>
      </w:r>
      <w:r>
        <w:t xml:space="preserve">, </w:t>
      </w:r>
      <w:r w:rsidRPr="00E22E83">
        <w:t>świadczonych przez producenta przez okres świadczenia usług utrzymania Systemu</w:t>
      </w:r>
      <w:r>
        <w:t>.</w:t>
      </w:r>
    </w:p>
    <w:p w14:paraId="207C9BAB" w14:textId="23AF26D0" w:rsidR="00DA373A" w:rsidRDefault="00DA373A" w:rsidP="00DF516B">
      <w:pPr>
        <w:ind w:left="360"/>
      </w:pPr>
      <w:r>
        <w:t>Ad. 12 Zamawiający wyraża zgodę na zmianę wymagań dotyczących migracji i nadaje im następujące brzmienie:</w:t>
      </w:r>
    </w:p>
    <w:p w14:paraId="504D2A01" w14:textId="0575AFC9" w:rsidR="00DA373A" w:rsidRDefault="00DA373A" w:rsidP="00DF516B">
      <w:pPr>
        <w:ind w:left="360"/>
      </w:pPr>
      <w:r w:rsidRPr="00DA373A">
        <w:t xml:space="preserve">W razie zaistnienia takiej potrzeby Wykonawca zobowiązuje się do współpracy z Zamawiającym przy migracji danych z Systemu dostarczonego w ramach niniejszego Zamówienia do kolejnego      rozwiązania informatycznego, które Zamawiający wprowadzi w miejsce przedmiotowego </w:t>
      </w:r>
      <w:r w:rsidRPr="00DA373A">
        <w:lastRenderedPageBreak/>
        <w:t>Systemu. Zobowiązanie Wykonawcy do współpracy z Zamawiającym przy migracji danych z Systemu do kolejnego rozwiązania informatycznego, jeśli takie Zamawiający wprowadzi, nie jest ograniczone w czasie, przy czym warunki przedmiotowej współpracy zostaną ustalone pomiędzy Stronami odrębną umową.</w:t>
      </w:r>
    </w:p>
    <w:p w14:paraId="303CEA29" w14:textId="0DE65A1B" w:rsidR="00DA373A" w:rsidRDefault="00DA373A" w:rsidP="00DF516B">
      <w:pPr>
        <w:ind w:left="360"/>
      </w:pPr>
      <w:r>
        <w:t>Ad.13 Zamawiający wyraża zgodę na zmianę wymagań dotyczących wymagań środowiska sprzętowego i programowego i nadaje im następujące brzmienie:</w:t>
      </w:r>
    </w:p>
    <w:p w14:paraId="4F8734FC" w14:textId="0E4FE507" w:rsidR="00DA373A" w:rsidRDefault="00DA373A" w:rsidP="00DF516B">
      <w:pPr>
        <w:ind w:left="360"/>
      </w:pPr>
      <w:r w:rsidRPr="00DA373A">
        <w:t>Część serwerowa aplikacji powinna działać w jednym ze wskazanych przez Wykonawcę systemów serwerowych Linux lub MS Windows.</w:t>
      </w:r>
    </w:p>
    <w:p w14:paraId="1C2E3E9B" w14:textId="1A03925D" w:rsidR="00DA373A" w:rsidRDefault="00DA373A" w:rsidP="005961C2">
      <w:pPr>
        <w:ind w:left="360"/>
      </w:pPr>
      <w:r>
        <w:t xml:space="preserve">Ad. 14 </w:t>
      </w:r>
      <w:r w:rsidR="005961C2">
        <w:t>Zamawiający wyraża zgodę na zmianę wymagań dotyczących migracji i nadaje im następujące brzmienie:</w:t>
      </w:r>
    </w:p>
    <w:p w14:paraId="553AF801" w14:textId="65A6A121" w:rsidR="00DA373A" w:rsidRDefault="00DA373A" w:rsidP="00DF516B">
      <w:pPr>
        <w:ind w:left="360"/>
      </w:pPr>
      <w:r w:rsidRPr="00DA373A">
        <w:t>W ramach niniejszego zamówienia wykonane zostanie przeniesienie do nowego Systemu</w:t>
      </w:r>
      <w:r w:rsidR="005961C2">
        <w:t xml:space="preserve"> danych </w:t>
      </w:r>
      <w:r w:rsidR="005961C2" w:rsidRPr="005961C2">
        <w:t>z modułów, o których mowa w punkcie 1 c), przy czym zakres tych danych zostanie wskazany przez Wykonawcę i uzgodniony z Zamawiającym.</w:t>
      </w:r>
    </w:p>
    <w:p w14:paraId="0D711830" w14:textId="5B18BF6B" w:rsidR="005961C2" w:rsidRDefault="005961C2" w:rsidP="005961C2">
      <w:pPr>
        <w:ind w:left="360"/>
      </w:pPr>
      <w:r>
        <w:t>Ad. 15 Zamawiający rezygnuje z wymagania zawartego w I punkcie 2 i usuwa go w całości.</w:t>
      </w:r>
    </w:p>
    <w:p w14:paraId="0C6F141A" w14:textId="417127E9" w:rsidR="005961C2" w:rsidRDefault="005961C2" w:rsidP="005961C2">
      <w:pPr>
        <w:ind w:left="360"/>
      </w:pPr>
      <w:r>
        <w:t xml:space="preserve">Ad. 16 Zamawiający wyraża zgodę na zmianę wymagań w </w:t>
      </w:r>
      <w:r w:rsidRPr="005961C2">
        <w:t>rozdzia</w:t>
      </w:r>
      <w:r>
        <w:t>le</w:t>
      </w:r>
      <w:r w:rsidRPr="005961C2">
        <w:t xml:space="preserve"> I punkt 3 podpunkt 2</w:t>
      </w:r>
      <w:r>
        <w:t xml:space="preserve"> i nadaje im następujące brzmienie</w:t>
      </w:r>
    </w:p>
    <w:p w14:paraId="35C1B2F0" w14:textId="3DCD3309" w:rsidR="005961C2" w:rsidRDefault="005961C2" w:rsidP="005961C2">
      <w:pPr>
        <w:ind w:left="360"/>
      </w:pPr>
      <w:r w:rsidRPr="005961C2">
        <w:t>System musi umożliwiać monitorowanie wszystkich zmian w bazie danych oraz umożliwiać nadawanie odpowiednich uprawnień do danych dla użytkowników.</w:t>
      </w:r>
    </w:p>
    <w:p w14:paraId="17DDD217" w14:textId="682ACF38" w:rsidR="005961C2" w:rsidRDefault="005961C2" w:rsidP="005961C2">
      <w:pPr>
        <w:ind w:left="360"/>
      </w:pPr>
      <w:r>
        <w:t xml:space="preserve">Ad. 17 Zamawiający wyraża zgodę na zmianę wymagań w </w:t>
      </w:r>
      <w:r w:rsidRPr="005961C2">
        <w:t>rozdzia</w:t>
      </w:r>
      <w:r>
        <w:t>le</w:t>
      </w:r>
      <w:r w:rsidRPr="005961C2">
        <w:t xml:space="preserve"> I punkt 4 podpunkt 2</w:t>
      </w:r>
      <w:r>
        <w:t xml:space="preserve"> i nadaje im następujące brzmienie:</w:t>
      </w:r>
    </w:p>
    <w:p w14:paraId="25F3F219" w14:textId="0C14EB2C" w:rsidR="00DA373A" w:rsidRDefault="005961C2" w:rsidP="00DF516B">
      <w:pPr>
        <w:ind w:left="360"/>
      </w:pPr>
      <w:r w:rsidRPr="005961C2">
        <w:t xml:space="preserve">System będzie działał w sieci lokalnej (LAN) o przepustowości co najmniej 1Gbit/s realizowanej za pomocą urządzeń aktywnych typu </w:t>
      </w:r>
      <w:proofErr w:type="spellStart"/>
      <w:r w:rsidRPr="005961C2">
        <w:t>switch</w:t>
      </w:r>
      <w:proofErr w:type="spellEnd"/>
      <w:r w:rsidR="00E84C9A">
        <w:t>. Do połączeń zdalnych zostanie wykorzystana technologia VPN.</w:t>
      </w:r>
    </w:p>
    <w:p w14:paraId="7009F740" w14:textId="2C180C3D" w:rsidR="005961C2" w:rsidRDefault="005961C2" w:rsidP="00DF516B">
      <w:pPr>
        <w:ind w:left="360"/>
      </w:pPr>
      <w:r>
        <w:t xml:space="preserve">Ad. 18 Zamawiający rezygnuje z wymagania w rozdziale </w:t>
      </w:r>
      <w:r w:rsidRPr="005961C2">
        <w:t>I punkt 4 część Wymagania dla sieci komputerowej punkt 4</w:t>
      </w:r>
      <w:r>
        <w:t xml:space="preserve"> i usuwa je w całości.</w:t>
      </w:r>
    </w:p>
    <w:p w14:paraId="0928276D" w14:textId="2DA88A29" w:rsidR="005961C2" w:rsidRDefault="005961C2" w:rsidP="00DF516B">
      <w:pPr>
        <w:ind w:left="360"/>
      </w:pPr>
      <w:r>
        <w:t>Ad. 19 Zamawiający przewiduje wyskalowanie infrastruktury technicznej, adekwatnie do wymagań dostarczonego oprogramowania.</w:t>
      </w:r>
    </w:p>
    <w:p w14:paraId="7CD7A20C" w14:textId="0CA490F3" w:rsidR="005961C2" w:rsidRDefault="005961C2" w:rsidP="00DF516B">
      <w:pPr>
        <w:ind w:left="360"/>
      </w:pPr>
      <w:r>
        <w:t>Ad. 20 Zamawiający przewiduje wyskalowanie infrastruktury technicznej, adekwatnie do wymagań dostarczonego oprogramowania, w tym liczbę niezbędnych do funkcjonowania systemu, maszyn wirtualnych.</w:t>
      </w:r>
    </w:p>
    <w:p w14:paraId="596C3C70" w14:textId="77777777" w:rsidR="00DB5C74" w:rsidRPr="00E84C9A" w:rsidRDefault="007F6547" w:rsidP="00DB5C74">
      <w:pPr>
        <w:shd w:val="clear" w:color="auto" w:fill="FFFFFF"/>
        <w:textAlignment w:val="baseline"/>
        <w:rPr>
          <w:rFonts w:cstheme="minorHAnsi"/>
        </w:rPr>
      </w:pPr>
      <w:r w:rsidRPr="00E84C9A">
        <w:rPr>
          <w:rFonts w:cstheme="minorHAnsi"/>
        </w:rPr>
        <w:t>Ad. 21 Zamawiający informuje, że użytkuje oprogramowanie antywirusowe:</w:t>
      </w:r>
    </w:p>
    <w:p w14:paraId="04DA0243" w14:textId="1CCE720C" w:rsidR="00DB5C74" w:rsidRPr="00E84C9A" w:rsidRDefault="00DB5C74" w:rsidP="00DB5C7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3"/>
          <w:szCs w:val="23"/>
          <w:lang w:eastAsia="pl-PL"/>
          <w14:ligatures w14:val="none"/>
        </w:rPr>
      </w:pPr>
      <w:r w:rsidRPr="00E84C9A">
        <w:rPr>
          <w:rFonts w:eastAsia="Times New Roman" w:cstheme="minorHAnsi"/>
          <w:kern w:val="0"/>
          <w:bdr w:val="none" w:sz="0" w:space="0" w:color="auto" w:frame="1"/>
          <w:lang w:eastAsia="pl-PL"/>
          <w14:ligatures w14:val="none"/>
        </w:rPr>
        <w:t xml:space="preserve">Na </w:t>
      </w:r>
      <w:r w:rsidR="00E84C9A" w:rsidRPr="00E84C9A">
        <w:rPr>
          <w:rFonts w:eastAsia="Times New Roman" w:cstheme="minorHAnsi"/>
          <w:kern w:val="0"/>
          <w:bdr w:val="none" w:sz="0" w:space="0" w:color="auto" w:frame="1"/>
          <w:lang w:eastAsia="pl-PL"/>
          <w14:ligatures w14:val="none"/>
        </w:rPr>
        <w:t xml:space="preserve">stacjach roboczych: </w:t>
      </w:r>
      <w:r w:rsidRPr="00E84C9A">
        <w:rPr>
          <w:rFonts w:eastAsia="Times New Roman" w:cstheme="minorHAnsi"/>
          <w:kern w:val="0"/>
          <w:bdr w:val="none" w:sz="0" w:space="0" w:color="auto" w:frame="1"/>
          <w:lang w:eastAsia="pl-PL"/>
          <w14:ligatures w14:val="none"/>
        </w:rPr>
        <w:t>ESET PROTECT Enterprise.</w:t>
      </w:r>
    </w:p>
    <w:p w14:paraId="3A9578A4" w14:textId="36FA0290" w:rsidR="00DB5C74" w:rsidRPr="00E84C9A" w:rsidRDefault="00DB5C74" w:rsidP="00DB5C7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3"/>
          <w:szCs w:val="23"/>
          <w:lang w:val="en-GB" w:eastAsia="pl-PL"/>
          <w14:ligatures w14:val="none"/>
        </w:rPr>
      </w:pPr>
      <w:r w:rsidRPr="00E84C9A">
        <w:rPr>
          <w:rFonts w:eastAsia="Times New Roman" w:cstheme="minorHAnsi"/>
          <w:kern w:val="0"/>
          <w:bdr w:val="none" w:sz="0" w:space="0" w:color="auto" w:frame="1"/>
          <w:lang w:val="en-GB" w:eastAsia="pl-PL"/>
          <w14:ligatures w14:val="none"/>
        </w:rPr>
        <w:t xml:space="preserve">Na </w:t>
      </w:r>
      <w:proofErr w:type="spellStart"/>
      <w:r w:rsidRPr="00E84C9A">
        <w:rPr>
          <w:rFonts w:eastAsia="Times New Roman" w:cstheme="minorHAnsi"/>
          <w:kern w:val="0"/>
          <w:bdr w:val="none" w:sz="0" w:space="0" w:color="auto" w:frame="1"/>
          <w:lang w:val="en-GB" w:eastAsia="pl-PL"/>
          <w14:ligatures w14:val="none"/>
        </w:rPr>
        <w:t>serwerach</w:t>
      </w:r>
      <w:proofErr w:type="spellEnd"/>
      <w:r w:rsidR="00E84C9A" w:rsidRPr="00E84C9A">
        <w:rPr>
          <w:rFonts w:eastAsia="Times New Roman" w:cstheme="minorHAnsi"/>
          <w:kern w:val="0"/>
          <w:bdr w:val="none" w:sz="0" w:space="0" w:color="auto" w:frame="1"/>
          <w:lang w:val="en-GB" w:eastAsia="pl-PL"/>
          <w14:ligatures w14:val="none"/>
        </w:rPr>
        <w:t>:</w:t>
      </w:r>
      <w:r w:rsidRPr="00E84C9A">
        <w:rPr>
          <w:rFonts w:eastAsia="Times New Roman" w:cstheme="minorHAnsi"/>
          <w:kern w:val="0"/>
          <w:bdr w:val="none" w:sz="0" w:space="0" w:color="auto" w:frame="1"/>
          <w:lang w:val="en-GB" w:eastAsia="pl-PL"/>
          <w14:ligatures w14:val="none"/>
        </w:rPr>
        <w:t xml:space="preserve"> Trend Micro Deep Security - Enterprise.</w:t>
      </w:r>
    </w:p>
    <w:p w14:paraId="22726FAD" w14:textId="1341FD2E" w:rsidR="005961C2" w:rsidRPr="00E84C9A" w:rsidRDefault="005961C2" w:rsidP="00DF516B">
      <w:pPr>
        <w:ind w:left="360"/>
        <w:rPr>
          <w:color w:val="FF0000"/>
          <w:lang w:val="en-GB"/>
        </w:rPr>
      </w:pPr>
    </w:p>
    <w:p w14:paraId="0485C4E4" w14:textId="77777777" w:rsidR="00DF516B" w:rsidRPr="00E84C9A" w:rsidRDefault="00DF516B">
      <w:pPr>
        <w:rPr>
          <w:lang w:val="en-GB"/>
        </w:rPr>
      </w:pPr>
    </w:p>
    <w:p w14:paraId="38BD89BA" w14:textId="77777777" w:rsidR="00DF516B" w:rsidRPr="00E84C9A" w:rsidRDefault="00DF516B">
      <w:pPr>
        <w:rPr>
          <w:lang w:val="en-GB"/>
        </w:rPr>
      </w:pPr>
    </w:p>
    <w:sectPr w:rsidR="00DF516B" w:rsidRPr="00E84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725E5"/>
    <w:multiLevelType w:val="hybridMultilevel"/>
    <w:tmpl w:val="F34C37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2B0B34"/>
    <w:multiLevelType w:val="hybridMultilevel"/>
    <w:tmpl w:val="0C0ED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21DD0"/>
    <w:multiLevelType w:val="hybridMultilevel"/>
    <w:tmpl w:val="B3880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621014">
    <w:abstractNumId w:val="2"/>
  </w:num>
  <w:num w:numId="2" w16cid:durableId="175583783">
    <w:abstractNumId w:val="1"/>
  </w:num>
  <w:num w:numId="3" w16cid:durableId="657850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69"/>
    <w:rsid w:val="00504BC9"/>
    <w:rsid w:val="005961C2"/>
    <w:rsid w:val="00626EE9"/>
    <w:rsid w:val="007C0E5C"/>
    <w:rsid w:val="007F3FCB"/>
    <w:rsid w:val="007F6547"/>
    <w:rsid w:val="00944E69"/>
    <w:rsid w:val="00DA373A"/>
    <w:rsid w:val="00DB5C74"/>
    <w:rsid w:val="00DF516B"/>
    <w:rsid w:val="00E8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7F90"/>
  <w15:chartTrackingRefBased/>
  <w15:docId w15:val="{0AAE48D7-1100-4619-9D59-0FF8DAD9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0E5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6E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6E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6E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6E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6E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9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1109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Smoliński</dc:creator>
  <cp:keywords/>
  <dc:description/>
  <cp:lastModifiedBy>Andrzej Smoliński</cp:lastModifiedBy>
  <cp:revision>2</cp:revision>
  <dcterms:created xsi:type="dcterms:W3CDTF">2024-03-04T12:14:00Z</dcterms:created>
  <dcterms:modified xsi:type="dcterms:W3CDTF">2024-03-04T12:14:00Z</dcterms:modified>
</cp:coreProperties>
</file>