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ECD06" w14:textId="77777777" w:rsidR="00332B80" w:rsidRPr="00C82BBD" w:rsidRDefault="00332B80" w:rsidP="00C82BBD">
      <w:pPr>
        <w:pStyle w:val="Tytu"/>
        <w:spacing w:after="120" w:line="360" w:lineRule="auto"/>
      </w:pPr>
      <w:r w:rsidRPr="00C82BBD">
        <w:t>UZASADNIENIE</w:t>
      </w:r>
    </w:p>
    <w:p w14:paraId="3072307E" w14:textId="77777777" w:rsidR="005471F9" w:rsidRPr="00C82BBD" w:rsidRDefault="005471F9" w:rsidP="00C82BBD">
      <w:pPr>
        <w:spacing w:before="120" w:after="120" w:line="360" w:lineRule="auto"/>
        <w:rPr>
          <w:rFonts w:ascii="Times New Roman" w:hAnsi="Times New Roman" w:cs="Times New Roman"/>
        </w:rPr>
      </w:pPr>
    </w:p>
    <w:p w14:paraId="76A3C350" w14:textId="08235661" w:rsidR="003F4FA2" w:rsidRPr="00C82BBD" w:rsidRDefault="003F4FA2" w:rsidP="00C82BBD">
      <w:pPr>
        <w:pStyle w:val="Akapitzlist"/>
        <w:numPr>
          <w:ilvl w:val="0"/>
          <w:numId w:val="9"/>
        </w:numPr>
        <w:spacing w:before="120" w:after="120" w:line="360" w:lineRule="auto"/>
        <w:ind w:left="284" w:hanging="284"/>
        <w:rPr>
          <w:rFonts w:ascii="Times New Roman" w:hAnsi="Times New Roman" w:cs="Times New Roman"/>
          <w:szCs w:val="24"/>
        </w:rPr>
      </w:pPr>
      <w:r w:rsidRPr="00C82BBD">
        <w:rPr>
          <w:rFonts w:ascii="Times New Roman" w:eastAsia="Times New Roman" w:hAnsi="Times New Roman" w:cs="Times New Roman"/>
          <w:b/>
          <w:szCs w:val="24"/>
        </w:rPr>
        <w:t>Potrzeba i cel wydania rozporządzenia</w:t>
      </w:r>
    </w:p>
    <w:p w14:paraId="694B48D9" w14:textId="3C5C9057" w:rsidR="005269E9" w:rsidRPr="00C82BBD" w:rsidRDefault="005B0740" w:rsidP="00C82BBD">
      <w:pPr>
        <w:spacing w:before="120" w:after="120" w:line="360" w:lineRule="auto"/>
        <w:ind w:firstLine="510"/>
        <w:rPr>
          <w:rFonts w:ascii="Times New Roman" w:eastAsia="Times New Roman" w:hAnsi="Times New Roman" w:cs="Times New Roman"/>
          <w:szCs w:val="24"/>
        </w:rPr>
      </w:pPr>
      <w:r w:rsidRPr="00C82BBD">
        <w:rPr>
          <w:rFonts w:ascii="Times New Roman" w:eastAsia="Times New Roman" w:hAnsi="Times New Roman" w:cs="Times New Roman"/>
          <w:szCs w:val="24"/>
        </w:rPr>
        <w:t>Potrzeba wydania p</w:t>
      </w:r>
      <w:r w:rsidR="005269E9" w:rsidRPr="00C82BBD">
        <w:rPr>
          <w:rFonts w:ascii="Times New Roman" w:eastAsia="Times New Roman" w:hAnsi="Times New Roman" w:cs="Times New Roman"/>
          <w:szCs w:val="24"/>
        </w:rPr>
        <w:t>rojekt</w:t>
      </w:r>
      <w:r w:rsidRPr="00C82BBD">
        <w:rPr>
          <w:rFonts w:ascii="Times New Roman" w:eastAsia="Times New Roman" w:hAnsi="Times New Roman" w:cs="Times New Roman"/>
          <w:szCs w:val="24"/>
        </w:rPr>
        <w:t>owanego</w:t>
      </w:r>
      <w:r w:rsidR="005269E9" w:rsidRPr="00C82BBD">
        <w:rPr>
          <w:rFonts w:ascii="Times New Roman" w:eastAsia="Times New Roman" w:hAnsi="Times New Roman" w:cs="Times New Roman"/>
          <w:szCs w:val="24"/>
        </w:rPr>
        <w:t xml:space="preserve"> rozporządzenia </w:t>
      </w:r>
      <w:r w:rsidR="00155BA7" w:rsidRPr="00C82BBD">
        <w:rPr>
          <w:rFonts w:ascii="Times New Roman" w:eastAsia="Times New Roman" w:hAnsi="Times New Roman" w:cs="Times New Roman"/>
          <w:szCs w:val="24"/>
        </w:rPr>
        <w:t xml:space="preserve">Ministra Cyfryzacji w sprawie struktury danych </w:t>
      </w:r>
      <w:r w:rsidR="00933CD6" w:rsidRPr="00C82BBD">
        <w:rPr>
          <w:rFonts w:ascii="Times New Roman" w:eastAsia="Times New Roman" w:hAnsi="Times New Roman" w:cs="Times New Roman"/>
          <w:szCs w:val="24"/>
        </w:rPr>
        <w:t xml:space="preserve">zawartych w informacjach </w:t>
      </w:r>
      <w:r w:rsidR="00155BA7" w:rsidRPr="00C82BBD">
        <w:rPr>
          <w:rFonts w:ascii="Times New Roman" w:eastAsia="Times New Roman" w:hAnsi="Times New Roman" w:cs="Times New Roman"/>
          <w:szCs w:val="24"/>
        </w:rPr>
        <w:t xml:space="preserve">dotyczących </w:t>
      </w:r>
      <w:r w:rsidR="00933CD6" w:rsidRPr="00C82BBD">
        <w:rPr>
          <w:rFonts w:ascii="Times New Roman" w:eastAsia="Times New Roman" w:hAnsi="Times New Roman" w:cs="Times New Roman"/>
          <w:szCs w:val="24"/>
        </w:rPr>
        <w:t xml:space="preserve">sprzedaży </w:t>
      </w:r>
      <w:r w:rsidR="00155BA7" w:rsidRPr="00C82BBD">
        <w:rPr>
          <w:rFonts w:ascii="Times New Roman" w:eastAsia="Times New Roman" w:hAnsi="Times New Roman" w:cs="Times New Roman"/>
          <w:szCs w:val="24"/>
        </w:rPr>
        <w:t>lokali mieszkalnych i</w:t>
      </w:r>
      <w:r w:rsidR="00BB13AC" w:rsidRPr="00C82BBD">
        <w:rPr>
          <w:rFonts w:ascii="Times New Roman" w:eastAsia="Times New Roman" w:hAnsi="Times New Roman" w:cs="Times New Roman"/>
          <w:szCs w:val="24"/>
        </w:rPr>
        <w:t> </w:t>
      </w:r>
      <w:r w:rsidR="00155BA7" w:rsidRPr="00C82BBD">
        <w:rPr>
          <w:rFonts w:ascii="Times New Roman" w:eastAsia="Times New Roman" w:hAnsi="Times New Roman" w:cs="Times New Roman"/>
          <w:szCs w:val="24"/>
        </w:rPr>
        <w:t>domów jednorodzinnych, zwan</w:t>
      </w:r>
      <w:r w:rsidRPr="00C82BBD">
        <w:rPr>
          <w:rFonts w:ascii="Times New Roman" w:eastAsia="Times New Roman" w:hAnsi="Times New Roman" w:cs="Times New Roman"/>
          <w:szCs w:val="24"/>
        </w:rPr>
        <w:t>ego</w:t>
      </w:r>
      <w:r w:rsidR="00155BA7" w:rsidRPr="00C82BBD">
        <w:rPr>
          <w:rFonts w:ascii="Times New Roman" w:eastAsia="Times New Roman" w:hAnsi="Times New Roman" w:cs="Times New Roman"/>
          <w:szCs w:val="24"/>
        </w:rPr>
        <w:t xml:space="preserve"> dalej „projekt</w:t>
      </w:r>
      <w:r w:rsidRPr="00C82BBD">
        <w:rPr>
          <w:rFonts w:ascii="Times New Roman" w:eastAsia="Times New Roman" w:hAnsi="Times New Roman" w:cs="Times New Roman"/>
          <w:szCs w:val="24"/>
        </w:rPr>
        <w:t>owanym</w:t>
      </w:r>
      <w:r w:rsidR="00155BA7" w:rsidRPr="00C82BBD">
        <w:rPr>
          <w:rFonts w:ascii="Times New Roman" w:eastAsia="Times New Roman" w:hAnsi="Times New Roman" w:cs="Times New Roman"/>
          <w:szCs w:val="24"/>
        </w:rPr>
        <w:t xml:space="preserve"> rozporządzeni</w:t>
      </w:r>
      <w:r w:rsidRPr="00C82BBD">
        <w:rPr>
          <w:rFonts w:ascii="Times New Roman" w:eastAsia="Times New Roman" w:hAnsi="Times New Roman" w:cs="Times New Roman"/>
          <w:szCs w:val="24"/>
        </w:rPr>
        <w:t>em</w:t>
      </w:r>
      <w:r w:rsidR="00155BA7" w:rsidRPr="00C82BBD">
        <w:rPr>
          <w:rFonts w:ascii="Times New Roman" w:eastAsia="Times New Roman" w:hAnsi="Times New Roman" w:cs="Times New Roman"/>
          <w:szCs w:val="24"/>
        </w:rPr>
        <w:t xml:space="preserve">”, </w:t>
      </w:r>
      <w:r w:rsidRPr="00C82BBD">
        <w:rPr>
          <w:rFonts w:ascii="Times New Roman" w:eastAsia="Times New Roman" w:hAnsi="Times New Roman" w:cs="Times New Roman"/>
          <w:szCs w:val="24"/>
        </w:rPr>
        <w:t>wynika z</w:t>
      </w:r>
      <w:r w:rsidR="00BB13AC" w:rsidRPr="00C82BBD">
        <w:rPr>
          <w:rFonts w:ascii="Times New Roman" w:eastAsia="Times New Roman" w:hAnsi="Times New Roman" w:cs="Times New Roman"/>
          <w:szCs w:val="24"/>
        </w:rPr>
        <w:t> </w:t>
      </w:r>
      <w:r w:rsidRPr="00C82BBD">
        <w:rPr>
          <w:rFonts w:ascii="Times New Roman" w:eastAsia="Times New Roman" w:hAnsi="Times New Roman" w:cs="Times New Roman"/>
          <w:szCs w:val="24"/>
        </w:rPr>
        <w:t xml:space="preserve">konieczności </w:t>
      </w:r>
      <w:r w:rsidR="005269E9" w:rsidRPr="00C82BBD">
        <w:rPr>
          <w:rFonts w:ascii="Times New Roman" w:eastAsia="Times New Roman" w:hAnsi="Times New Roman" w:cs="Times New Roman"/>
          <w:szCs w:val="24"/>
        </w:rPr>
        <w:t>wykonani</w:t>
      </w:r>
      <w:r w:rsidRPr="00C82BBD">
        <w:rPr>
          <w:rFonts w:ascii="Times New Roman" w:eastAsia="Times New Roman" w:hAnsi="Times New Roman" w:cs="Times New Roman"/>
          <w:szCs w:val="24"/>
        </w:rPr>
        <w:t>a</w:t>
      </w:r>
      <w:r w:rsidR="005269E9" w:rsidRPr="00C82BBD">
        <w:rPr>
          <w:rFonts w:ascii="Times New Roman" w:eastAsia="Times New Roman" w:hAnsi="Times New Roman" w:cs="Times New Roman"/>
          <w:szCs w:val="24"/>
        </w:rPr>
        <w:t xml:space="preserve"> upoważnienia ustawowego zawartego w art. 19b ust. 2a ustawy z</w:t>
      </w:r>
      <w:r w:rsidR="00BB13AC" w:rsidRPr="00C82BBD">
        <w:rPr>
          <w:rFonts w:ascii="Times New Roman" w:eastAsia="Times New Roman" w:hAnsi="Times New Roman" w:cs="Times New Roman"/>
          <w:szCs w:val="24"/>
        </w:rPr>
        <w:t> </w:t>
      </w:r>
      <w:r w:rsidR="005269E9" w:rsidRPr="00C82BBD">
        <w:rPr>
          <w:rFonts w:ascii="Times New Roman" w:eastAsia="Times New Roman" w:hAnsi="Times New Roman" w:cs="Times New Roman"/>
          <w:szCs w:val="24"/>
        </w:rPr>
        <w:t>dnia 20</w:t>
      </w:r>
      <w:r w:rsidR="00D06AB0">
        <w:rPr>
          <w:rFonts w:ascii="Times New Roman" w:eastAsia="Times New Roman" w:hAnsi="Times New Roman" w:cs="Times New Roman"/>
          <w:szCs w:val="24"/>
        </w:rPr>
        <w:t xml:space="preserve"> </w:t>
      </w:r>
      <w:r w:rsidR="005269E9" w:rsidRPr="00C82BBD">
        <w:rPr>
          <w:rFonts w:ascii="Times New Roman" w:eastAsia="Times New Roman" w:hAnsi="Times New Roman" w:cs="Times New Roman"/>
          <w:szCs w:val="24"/>
        </w:rPr>
        <w:t>maja 2021 r. o ochronie praw nabywcy lokalu mieszkalnego lub domu jednorodzinnego oraz Deweloperskim Funduszu Gwarancyjnym (Dz. U. z 2026 r. poz. 880</w:t>
      </w:r>
      <w:r w:rsidR="00BB13AC" w:rsidRPr="00C82BBD">
        <w:rPr>
          <w:rFonts w:ascii="Times New Roman" w:eastAsia="Times New Roman" w:hAnsi="Times New Roman" w:cs="Times New Roman"/>
          <w:szCs w:val="24"/>
        </w:rPr>
        <w:t xml:space="preserve"> i 1077</w:t>
      </w:r>
      <w:r w:rsidR="005269E9" w:rsidRPr="00C82BBD">
        <w:rPr>
          <w:rFonts w:ascii="Times New Roman" w:eastAsia="Times New Roman" w:hAnsi="Times New Roman" w:cs="Times New Roman"/>
          <w:szCs w:val="24"/>
        </w:rPr>
        <w:t xml:space="preserve">), </w:t>
      </w:r>
      <w:r w:rsidR="00155BA7" w:rsidRPr="00C82BBD">
        <w:rPr>
          <w:rFonts w:ascii="Times New Roman" w:eastAsia="Times New Roman" w:hAnsi="Times New Roman" w:cs="Times New Roman"/>
          <w:szCs w:val="24"/>
        </w:rPr>
        <w:t xml:space="preserve">zwanej dalej „ustawą o ochronie praw nabywcy”, </w:t>
      </w:r>
      <w:r w:rsidRPr="00C82BBD">
        <w:rPr>
          <w:rFonts w:ascii="Times New Roman" w:eastAsia="Times New Roman" w:hAnsi="Times New Roman" w:cs="Times New Roman"/>
          <w:szCs w:val="24"/>
        </w:rPr>
        <w:t>dodanego</w:t>
      </w:r>
      <w:r w:rsidR="005269E9" w:rsidRPr="00C82BBD">
        <w:rPr>
          <w:rFonts w:ascii="Times New Roman" w:eastAsia="Times New Roman" w:hAnsi="Times New Roman" w:cs="Times New Roman"/>
          <w:szCs w:val="24"/>
        </w:rPr>
        <w:t xml:space="preserve"> ustawą z dnia 17 lipca 2026 r. o</w:t>
      </w:r>
      <w:r w:rsidR="00155BA7" w:rsidRPr="00C82BBD">
        <w:rPr>
          <w:rFonts w:ascii="Times New Roman" w:eastAsia="Times New Roman" w:hAnsi="Times New Roman" w:cs="Times New Roman"/>
          <w:szCs w:val="24"/>
        </w:rPr>
        <w:t> </w:t>
      </w:r>
      <w:r w:rsidR="005269E9" w:rsidRPr="00C82BBD">
        <w:rPr>
          <w:rFonts w:ascii="Times New Roman" w:eastAsia="Times New Roman" w:hAnsi="Times New Roman" w:cs="Times New Roman"/>
          <w:szCs w:val="24"/>
        </w:rPr>
        <w:t>zmianie ustawy o ochronie praw nabywcy lokalu mieszkalnego lub domu jednorodzinnego oraz Deweloperskim Funduszu Gwarancyjnym (Dz. U. poz.</w:t>
      </w:r>
      <w:r w:rsidR="00713072" w:rsidRPr="00C82BBD">
        <w:rPr>
          <w:rFonts w:ascii="Times New Roman" w:eastAsia="Times New Roman" w:hAnsi="Times New Roman" w:cs="Times New Roman"/>
          <w:szCs w:val="24"/>
        </w:rPr>
        <w:t xml:space="preserve"> 1077</w:t>
      </w:r>
      <w:r w:rsidR="005269E9" w:rsidRPr="00C82BBD">
        <w:rPr>
          <w:rFonts w:ascii="Times New Roman" w:eastAsia="Times New Roman" w:hAnsi="Times New Roman" w:cs="Times New Roman"/>
          <w:szCs w:val="24"/>
        </w:rPr>
        <w:t>). Zgodnie z tym przepisem minister właściwy do spraw informatyzacji określa, w drodze rozporządzenia, strukturę danych przekazywanych na podstawie art. 19b ust. 1 ustawy</w:t>
      </w:r>
      <w:r w:rsidR="00155BA7" w:rsidRPr="00C82BBD">
        <w:rPr>
          <w:rFonts w:ascii="Times New Roman" w:eastAsia="Times New Roman" w:hAnsi="Times New Roman" w:cs="Times New Roman"/>
          <w:szCs w:val="24"/>
        </w:rPr>
        <w:t xml:space="preserve"> o ochronie praw nabywcy</w:t>
      </w:r>
      <w:r w:rsidR="005269E9" w:rsidRPr="00C82BBD">
        <w:rPr>
          <w:rFonts w:ascii="Times New Roman" w:eastAsia="Times New Roman" w:hAnsi="Times New Roman" w:cs="Times New Roman"/>
          <w:szCs w:val="24"/>
        </w:rPr>
        <w:t>, z</w:t>
      </w:r>
      <w:r w:rsidR="000E556D" w:rsidRPr="00C82BBD">
        <w:rPr>
          <w:rFonts w:ascii="Times New Roman" w:eastAsia="Times New Roman" w:hAnsi="Times New Roman" w:cs="Times New Roman"/>
          <w:szCs w:val="24"/>
        </w:rPr>
        <w:t> </w:t>
      </w:r>
      <w:r w:rsidR="005269E9" w:rsidRPr="00C82BBD">
        <w:rPr>
          <w:rFonts w:ascii="Times New Roman" w:eastAsia="Times New Roman" w:hAnsi="Times New Roman" w:cs="Times New Roman"/>
          <w:szCs w:val="24"/>
        </w:rPr>
        <w:t>uwzględnieniem potrzeby zapewnienia jednolitości udostępniania danych w</w:t>
      </w:r>
      <w:r w:rsidR="00BB13AC" w:rsidRPr="00C82BBD">
        <w:rPr>
          <w:rFonts w:ascii="Times New Roman" w:eastAsia="Times New Roman" w:hAnsi="Times New Roman" w:cs="Times New Roman"/>
          <w:szCs w:val="24"/>
        </w:rPr>
        <w:t> </w:t>
      </w:r>
      <w:r w:rsidR="005269E9" w:rsidRPr="00C82BBD">
        <w:rPr>
          <w:rFonts w:ascii="Times New Roman" w:eastAsia="Times New Roman" w:hAnsi="Times New Roman" w:cs="Times New Roman"/>
          <w:szCs w:val="24"/>
        </w:rPr>
        <w:t>portalu danych oraz interoperacyjności wymiany danych.</w:t>
      </w:r>
    </w:p>
    <w:p w14:paraId="3736DB93" w14:textId="32EDE0C5" w:rsidR="005636E0" w:rsidRPr="00C82BBD" w:rsidRDefault="005269E9" w:rsidP="00C82BBD">
      <w:pPr>
        <w:spacing w:before="120" w:after="120" w:line="360" w:lineRule="auto"/>
        <w:ind w:firstLine="510"/>
        <w:rPr>
          <w:rFonts w:ascii="Times New Roman" w:eastAsia="Times New Roman" w:hAnsi="Times New Roman" w:cs="Times New Roman"/>
          <w:szCs w:val="24"/>
        </w:rPr>
      </w:pPr>
      <w:r w:rsidRPr="00C82BBD">
        <w:rPr>
          <w:rFonts w:ascii="Times New Roman" w:hAnsi="Times New Roman" w:cs="Times New Roman"/>
          <w:szCs w:val="24"/>
        </w:rPr>
        <w:t xml:space="preserve">Celem projektowanego rozporządzenia jest </w:t>
      </w:r>
      <w:r w:rsidRPr="00C82BBD">
        <w:rPr>
          <w:rFonts w:ascii="Times New Roman" w:eastAsia="Times New Roman" w:hAnsi="Times New Roman" w:cs="Times New Roman"/>
          <w:szCs w:val="24"/>
        </w:rPr>
        <w:t xml:space="preserve">ustanowienie jednoznacznego i wspólnego dla wszystkich podmiotów obowiązanych </w:t>
      </w:r>
      <w:r w:rsidR="00155BA7" w:rsidRPr="00C82BBD">
        <w:rPr>
          <w:rFonts w:ascii="Times New Roman" w:eastAsia="Times New Roman" w:hAnsi="Times New Roman" w:cs="Times New Roman"/>
          <w:szCs w:val="24"/>
        </w:rPr>
        <w:t>do przekazywania danych</w:t>
      </w:r>
      <w:r w:rsidR="00D16AAE" w:rsidRPr="00C82BBD">
        <w:rPr>
          <w:rFonts w:ascii="Times New Roman" w:eastAsia="Times New Roman" w:hAnsi="Times New Roman" w:cs="Times New Roman"/>
          <w:szCs w:val="24"/>
        </w:rPr>
        <w:t>,</w:t>
      </w:r>
      <w:r w:rsidR="00155BA7" w:rsidRPr="00C82BBD">
        <w:rPr>
          <w:rFonts w:ascii="Times New Roman" w:eastAsia="Times New Roman" w:hAnsi="Times New Roman" w:cs="Times New Roman"/>
          <w:szCs w:val="24"/>
        </w:rPr>
        <w:t xml:space="preserve"> </w:t>
      </w:r>
      <w:r w:rsidRPr="00C82BBD">
        <w:rPr>
          <w:rFonts w:ascii="Times New Roman" w:eastAsia="Times New Roman" w:hAnsi="Times New Roman" w:cs="Times New Roman"/>
          <w:szCs w:val="24"/>
        </w:rPr>
        <w:t>sposobu odwzorowania w</w:t>
      </w:r>
      <w:r w:rsidR="00A06F7D" w:rsidRPr="00C82BBD">
        <w:rPr>
          <w:rFonts w:ascii="Times New Roman" w:eastAsia="Times New Roman" w:hAnsi="Times New Roman" w:cs="Times New Roman"/>
          <w:szCs w:val="24"/>
        </w:rPr>
        <w:t> </w:t>
      </w:r>
      <w:r w:rsidRPr="00C82BBD">
        <w:rPr>
          <w:rFonts w:ascii="Times New Roman" w:eastAsia="Times New Roman" w:hAnsi="Times New Roman" w:cs="Times New Roman"/>
          <w:szCs w:val="24"/>
        </w:rPr>
        <w:t>dokumencie elektronicznym</w:t>
      </w:r>
      <w:r w:rsidR="00155BA7" w:rsidRPr="00C82BBD">
        <w:rPr>
          <w:rFonts w:ascii="Times New Roman" w:eastAsia="Times New Roman" w:hAnsi="Times New Roman" w:cs="Times New Roman"/>
          <w:szCs w:val="24"/>
        </w:rPr>
        <w:t xml:space="preserve"> danych</w:t>
      </w:r>
      <w:r w:rsidRPr="00C82BBD">
        <w:rPr>
          <w:rFonts w:ascii="Times New Roman" w:eastAsia="Times New Roman" w:hAnsi="Times New Roman" w:cs="Times New Roman"/>
          <w:szCs w:val="24"/>
        </w:rPr>
        <w:t xml:space="preserve"> </w:t>
      </w:r>
      <w:r w:rsidRPr="00C82BBD">
        <w:rPr>
          <w:rFonts w:ascii="Times New Roman" w:hAnsi="Times New Roman" w:cs="Times New Roman"/>
          <w:szCs w:val="24"/>
        </w:rPr>
        <w:t xml:space="preserve">udostępnianych w portalu dane.gov.pl, prowadzonym przez </w:t>
      </w:r>
      <w:r w:rsidR="00A06F7D" w:rsidRPr="00C82BBD">
        <w:rPr>
          <w:rFonts w:ascii="Times New Roman" w:hAnsi="Times New Roman" w:cs="Times New Roman"/>
          <w:szCs w:val="24"/>
        </w:rPr>
        <w:t>ministra właściwego do spraw informatyzacji</w:t>
      </w:r>
      <w:r w:rsidRPr="00C82BBD">
        <w:rPr>
          <w:rFonts w:ascii="Times New Roman" w:hAnsi="Times New Roman" w:cs="Times New Roman"/>
          <w:szCs w:val="24"/>
        </w:rPr>
        <w:t>.</w:t>
      </w:r>
      <w:r w:rsidR="005636E0" w:rsidRPr="00C82BBD">
        <w:rPr>
          <w:rFonts w:ascii="Times New Roman" w:hAnsi="Times New Roman" w:cs="Times New Roman"/>
          <w:szCs w:val="24"/>
        </w:rPr>
        <w:t xml:space="preserve"> P</w:t>
      </w:r>
      <w:r w:rsidR="005636E0" w:rsidRPr="00C82BBD">
        <w:rPr>
          <w:rFonts w:ascii="Times New Roman" w:eastAsia="Times New Roman" w:hAnsi="Times New Roman" w:cs="Times New Roman"/>
          <w:szCs w:val="24"/>
        </w:rPr>
        <w:t xml:space="preserve">rzyjęcie jednolitej struktury </w:t>
      </w:r>
      <w:r w:rsidR="00A06F7D" w:rsidRPr="00C82BBD">
        <w:rPr>
          <w:rFonts w:ascii="Times New Roman" w:eastAsia="Times New Roman" w:hAnsi="Times New Roman" w:cs="Times New Roman"/>
          <w:szCs w:val="24"/>
        </w:rPr>
        <w:t xml:space="preserve">przekazywanych danych </w:t>
      </w:r>
      <w:r w:rsidR="005636E0" w:rsidRPr="00C82BBD">
        <w:rPr>
          <w:rFonts w:ascii="Times New Roman" w:eastAsia="Times New Roman" w:hAnsi="Times New Roman" w:cs="Times New Roman"/>
          <w:szCs w:val="24"/>
        </w:rPr>
        <w:t>umożliwi automatyczne przetwarzanie danych</w:t>
      </w:r>
      <w:r w:rsidR="00133F80" w:rsidRPr="00C82BBD">
        <w:rPr>
          <w:rFonts w:ascii="Times New Roman" w:eastAsia="Times New Roman" w:hAnsi="Times New Roman" w:cs="Times New Roman"/>
          <w:szCs w:val="24"/>
        </w:rPr>
        <w:t xml:space="preserve">, </w:t>
      </w:r>
      <w:r w:rsidR="005636E0" w:rsidRPr="00C82BBD">
        <w:rPr>
          <w:rFonts w:ascii="Times New Roman" w:eastAsia="Times New Roman" w:hAnsi="Times New Roman" w:cs="Times New Roman"/>
          <w:szCs w:val="24"/>
        </w:rPr>
        <w:t xml:space="preserve">usprawni ich publikację, zapewni porównywalność informacji o cenach </w:t>
      </w:r>
      <w:r w:rsidR="00A06F7D" w:rsidRPr="00C82BBD">
        <w:rPr>
          <w:rFonts w:ascii="Times New Roman" w:eastAsia="Times New Roman" w:hAnsi="Times New Roman" w:cs="Times New Roman"/>
          <w:szCs w:val="24"/>
        </w:rPr>
        <w:t xml:space="preserve">lokali mieszkalnych i domów jednorodzinnych </w:t>
      </w:r>
      <w:r w:rsidR="005636E0" w:rsidRPr="00C82BBD">
        <w:rPr>
          <w:rFonts w:ascii="Times New Roman" w:eastAsia="Times New Roman" w:hAnsi="Times New Roman" w:cs="Times New Roman"/>
          <w:szCs w:val="24"/>
        </w:rPr>
        <w:t>oraz ułatwi ich ponowne wykorzystywanie przez nabywców, przedsiębiorców, administrację publiczną, podmioty naukowe i twórców usług cyfrowych.</w:t>
      </w:r>
    </w:p>
    <w:p w14:paraId="0969AE1B" w14:textId="1F4A8A73" w:rsidR="005C3AD1" w:rsidRPr="00C82BBD" w:rsidRDefault="00F50411" w:rsidP="00C82BBD">
      <w:pPr>
        <w:spacing w:before="120" w:after="120" w:line="360" w:lineRule="auto"/>
        <w:ind w:firstLine="510"/>
        <w:rPr>
          <w:rFonts w:ascii="Times New Roman" w:hAnsi="Times New Roman" w:cs="Times New Roman"/>
          <w:szCs w:val="24"/>
        </w:rPr>
      </w:pPr>
      <w:r w:rsidRPr="00C82BBD">
        <w:rPr>
          <w:rFonts w:ascii="Times New Roman" w:eastAsia="Times New Roman" w:hAnsi="Times New Roman" w:cs="Times New Roman"/>
          <w:szCs w:val="24"/>
        </w:rPr>
        <w:t>Projektowane r</w:t>
      </w:r>
      <w:r w:rsidR="005C3AD1" w:rsidRPr="00C82BBD">
        <w:rPr>
          <w:rFonts w:ascii="Times New Roman" w:eastAsia="Times New Roman" w:hAnsi="Times New Roman" w:cs="Times New Roman"/>
          <w:szCs w:val="24"/>
        </w:rPr>
        <w:t>ozporządzenie określa normatywną strukturę danych</w:t>
      </w:r>
      <w:r w:rsidR="00A96508" w:rsidRPr="00C82BBD">
        <w:rPr>
          <w:rFonts w:ascii="Times New Roman" w:eastAsia="Times New Roman" w:hAnsi="Times New Roman" w:cs="Times New Roman"/>
          <w:szCs w:val="24"/>
        </w:rPr>
        <w:t>. Jej uzupełnienie</w:t>
      </w:r>
      <w:r w:rsidR="00CD1AA2" w:rsidRPr="00C82BBD">
        <w:rPr>
          <w:rFonts w:ascii="Times New Roman" w:eastAsia="Times New Roman" w:hAnsi="Times New Roman" w:cs="Times New Roman"/>
          <w:szCs w:val="24"/>
        </w:rPr>
        <w:t>m</w:t>
      </w:r>
      <w:r w:rsidR="00A96508" w:rsidRPr="00C82BBD">
        <w:rPr>
          <w:rFonts w:ascii="Times New Roman" w:eastAsia="Times New Roman" w:hAnsi="Times New Roman" w:cs="Times New Roman"/>
          <w:szCs w:val="24"/>
        </w:rPr>
        <w:t xml:space="preserve"> będą </w:t>
      </w:r>
      <w:r w:rsidR="005C3AD1" w:rsidRPr="00C82BBD">
        <w:rPr>
          <w:rFonts w:ascii="Times New Roman" w:eastAsia="Times New Roman" w:hAnsi="Times New Roman" w:cs="Times New Roman"/>
          <w:szCs w:val="24"/>
        </w:rPr>
        <w:t xml:space="preserve">wzorcowe dokumenty elektroniczne </w:t>
      </w:r>
      <w:r w:rsidRPr="00C82BBD">
        <w:rPr>
          <w:rFonts w:ascii="Times New Roman" w:eastAsia="Times New Roman" w:hAnsi="Times New Roman" w:cs="Times New Roman"/>
          <w:szCs w:val="24"/>
        </w:rPr>
        <w:t>służące realizacji obowiązków, o których mowa w</w:t>
      </w:r>
      <w:r w:rsidR="00BB13AC" w:rsidRPr="00C82BBD">
        <w:rPr>
          <w:rFonts w:ascii="Times New Roman" w:eastAsia="Times New Roman" w:hAnsi="Times New Roman" w:cs="Times New Roman"/>
          <w:szCs w:val="24"/>
        </w:rPr>
        <w:t> </w:t>
      </w:r>
      <w:r w:rsidRPr="00C82BBD">
        <w:rPr>
          <w:rFonts w:ascii="Times New Roman" w:eastAsia="Times New Roman" w:hAnsi="Times New Roman" w:cs="Times New Roman"/>
          <w:szCs w:val="24"/>
        </w:rPr>
        <w:t xml:space="preserve">art. 19b ust. 1 i 3 ustawy o ochronie praw nabywcy, </w:t>
      </w:r>
      <w:r w:rsidR="005C3AD1" w:rsidRPr="00C82BBD">
        <w:rPr>
          <w:rFonts w:ascii="Times New Roman" w:eastAsia="Times New Roman" w:hAnsi="Times New Roman" w:cs="Times New Roman"/>
          <w:szCs w:val="24"/>
        </w:rPr>
        <w:t>udostępniane w portalu danych</w:t>
      </w:r>
      <w:r w:rsidRPr="00C82BBD">
        <w:rPr>
          <w:rFonts w:ascii="Times New Roman" w:eastAsia="Times New Roman" w:hAnsi="Times New Roman" w:cs="Times New Roman"/>
          <w:szCs w:val="24"/>
        </w:rPr>
        <w:t xml:space="preserve"> na podstawie art. 19b ust. 2b ustawy</w:t>
      </w:r>
      <w:r w:rsidR="00CF5AEE" w:rsidRPr="00C82BBD">
        <w:rPr>
          <w:rFonts w:ascii="Times New Roman" w:eastAsia="Times New Roman" w:hAnsi="Times New Roman" w:cs="Times New Roman"/>
          <w:szCs w:val="24"/>
        </w:rPr>
        <w:t xml:space="preserve"> o ochronie praw nabywcy</w:t>
      </w:r>
      <w:r w:rsidR="005C3AD1" w:rsidRPr="00C82BBD">
        <w:rPr>
          <w:rFonts w:ascii="Times New Roman" w:eastAsia="Times New Roman" w:hAnsi="Times New Roman" w:cs="Times New Roman"/>
          <w:szCs w:val="24"/>
        </w:rPr>
        <w:t xml:space="preserve">. </w:t>
      </w:r>
      <w:r w:rsidR="00DC601A" w:rsidRPr="00C82BBD">
        <w:rPr>
          <w:rFonts w:ascii="Times New Roman" w:eastAsia="Times New Roman" w:hAnsi="Times New Roman" w:cs="Times New Roman"/>
          <w:szCs w:val="24"/>
        </w:rPr>
        <w:t xml:space="preserve">Wzorcowe dokumenty </w:t>
      </w:r>
      <w:r w:rsidRPr="00C82BBD">
        <w:rPr>
          <w:rFonts w:ascii="Times New Roman" w:eastAsia="Times New Roman" w:hAnsi="Times New Roman" w:cs="Times New Roman"/>
          <w:szCs w:val="24"/>
        </w:rPr>
        <w:t xml:space="preserve">elektroniczne </w:t>
      </w:r>
      <w:r w:rsidR="00DC601A" w:rsidRPr="00C82BBD">
        <w:rPr>
          <w:rFonts w:ascii="Times New Roman" w:eastAsia="Times New Roman" w:hAnsi="Times New Roman" w:cs="Times New Roman"/>
          <w:szCs w:val="24"/>
        </w:rPr>
        <w:t xml:space="preserve">będą stanowiły praktyczne odwzorowanie struktury określonej w </w:t>
      </w:r>
      <w:r w:rsidRPr="00C82BBD">
        <w:rPr>
          <w:rFonts w:ascii="Times New Roman" w:eastAsia="Times New Roman" w:hAnsi="Times New Roman" w:cs="Times New Roman"/>
          <w:szCs w:val="24"/>
        </w:rPr>
        <w:t xml:space="preserve">projektowanym </w:t>
      </w:r>
      <w:r w:rsidR="00DC601A" w:rsidRPr="00C82BBD">
        <w:rPr>
          <w:rFonts w:ascii="Times New Roman" w:eastAsia="Times New Roman" w:hAnsi="Times New Roman" w:cs="Times New Roman"/>
          <w:szCs w:val="24"/>
        </w:rPr>
        <w:t>rozporządzeniu i</w:t>
      </w:r>
      <w:r w:rsidR="00A96508" w:rsidRPr="00C82BBD">
        <w:rPr>
          <w:rFonts w:ascii="Times New Roman" w:eastAsia="Times New Roman" w:hAnsi="Times New Roman" w:cs="Times New Roman"/>
          <w:szCs w:val="24"/>
        </w:rPr>
        <w:t> </w:t>
      </w:r>
      <w:r w:rsidR="00DC601A" w:rsidRPr="00C82BBD">
        <w:rPr>
          <w:rFonts w:ascii="Times New Roman" w:eastAsia="Times New Roman" w:hAnsi="Times New Roman" w:cs="Times New Roman"/>
          <w:szCs w:val="24"/>
        </w:rPr>
        <w:t xml:space="preserve">ułatwią podmiotom obowiązanym </w:t>
      </w:r>
      <w:r w:rsidR="00A96508" w:rsidRPr="00C82BBD">
        <w:rPr>
          <w:rFonts w:ascii="Times New Roman" w:eastAsia="Times New Roman" w:hAnsi="Times New Roman" w:cs="Times New Roman"/>
          <w:szCs w:val="24"/>
        </w:rPr>
        <w:t xml:space="preserve">do przekazywania danych </w:t>
      </w:r>
      <w:r w:rsidR="00DC601A" w:rsidRPr="00C82BBD">
        <w:rPr>
          <w:rFonts w:ascii="Times New Roman" w:eastAsia="Times New Roman" w:hAnsi="Times New Roman" w:cs="Times New Roman"/>
          <w:szCs w:val="24"/>
        </w:rPr>
        <w:t xml:space="preserve">przygotowanie danych </w:t>
      </w:r>
      <w:r w:rsidR="00CD1AA2" w:rsidRPr="00C82BBD">
        <w:rPr>
          <w:rFonts w:ascii="Times New Roman" w:eastAsia="Times New Roman" w:hAnsi="Times New Roman" w:cs="Times New Roman"/>
          <w:szCs w:val="24"/>
        </w:rPr>
        <w:t xml:space="preserve">ich </w:t>
      </w:r>
      <w:r w:rsidR="00DC601A" w:rsidRPr="00C82BBD">
        <w:rPr>
          <w:rFonts w:ascii="Times New Roman" w:eastAsia="Times New Roman" w:hAnsi="Times New Roman" w:cs="Times New Roman"/>
          <w:szCs w:val="24"/>
        </w:rPr>
        <w:t>w</w:t>
      </w:r>
      <w:r w:rsidR="00CD1AA2" w:rsidRPr="00C82BBD">
        <w:rPr>
          <w:rFonts w:ascii="Times New Roman" w:eastAsia="Times New Roman" w:hAnsi="Times New Roman" w:cs="Times New Roman"/>
          <w:szCs w:val="24"/>
        </w:rPr>
        <w:t xml:space="preserve"> układzie odpowiadającym tej strukturze.</w:t>
      </w:r>
    </w:p>
    <w:p w14:paraId="2A58F83C" w14:textId="72233104" w:rsidR="005636E0" w:rsidRPr="00C82BBD" w:rsidRDefault="00A96508" w:rsidP="00C82BBD">
      <w:pPr>
        <w:spacing w:before="120" w:after="120" w:line="360" w:lineRule="auto"/>
        <w:ind w:firstLine="510"/>
        <w:rPr>
          <w:rFonts w:ascii="Times New Roman" w:eastAsia="Times New Roman" w:hAnsi="Times New Roman" w:cs="Times New Roman"/>
          <w:szCs w:val="24"/>
        </w:rPr>
      </w:pPr>
      <w:r w:rsidRPr="00C82BBD">
        <w:rPr>
          <w:rFonts w:ascii="Times New Roman" w:eastAsia="Times New Roman" w:hAnsi="Times New Roman" w:cs="Times New Roman"/>
          <w:szCs w:val="24"/>
        </w:rPr>
        <w:t>Projektowane rozporządzenie o</w:t>
      </w:r>
      <w:r w:rsidR="005636E0" w:rsidRPr="00C82BBD">
        <w:rPr>
          <w:rFonts w:ascii="Times New Roman" w:eastAsia="Times New Roman" w:hAnsi="Times New Roman" w:cs="Times New Roman"/>
          <w:szCs w:val="24"/>
        </w:rPr>
        <w:t xml:space="preserve">kreśla wyłącznie strukturę danych objętych obowiązkiem </w:t>
      </w:r>
      <w:r w:rsidR="0028654E" w:rsidRPr="00C82BBD">
        <w:rPr>
          <w:rFonts w:ascii="Times New Roman" w:eastAsia="Times New Roman" w:hAnsi="Times New Roman" w:cs="Times New Roman"/>
          <w:szCs w:val="24"/>
        </w:rPr>
        <w:lastRenderedPageBreak/>
        <w:t>informacyjnym wynikającym z art. 19a ust. 1 i 2 ustawy o ochronie praw nabywcy</w:t>
      </w:r>
      <w:r w:rsidR="005636E0" w:rsidRPr="00C82BBD">
        <w:rPr>
          <w:rFonts w:ascii="Times New Roman" w:eastAsia="Times New Roman" w:hAnsi="Times New Roman" w:cs="Times New Roman"/>
          <w:szCs w:val="24"/>
        </w:rPr>
        <w:t xml:space="preserve">, w tym nazwy pól, typy danych, ich wymagalność, </w:t>
      </w:r>
      <w:r w:rsidR="005D76E7" w:rsidRPr="00C82BBD">
        <w:rPr>
          <w:rFonts w:ascii="Times New Roman" w:eastAsia="Times New Roman" w:hAnsi="Times New Roman" w:cs="Times New Roman"/>
          <w:szCs w:val="24"/>
        </w:rPr>
        <w:t xml:space="preserve">opis </w:t>
      </w:r>
      <w:r w:rsidR="005636E0" w:rsidRPr="00C82BBD">
        <w:rPr>
          <w:rFonts w:ascii="Times New Roman" w:eastAsia="Times New Roman" w:hAnsi="Times New Roman" w:cs="Times New Roman"/>
          <w:szCs w:val="24"/>
        </w:rPr>
        <w:t>zapisu oraz dopuszczalne wartości.</w:t>
      </w:r>
    </w:p>
    <w:p w14:paraId="066BDEC6" w14:textId="0F682B7C" w:rsidR="003F4FA2" w:rsidRPr="00C82BBD" w:rsidRDefault="003F4FA2" w:rsidP="00C82BBD">
      <w:pPr>
        <w:spacing w:before="120" w:after="120" w:line="360" w:lineRule="auto"/>
        <w:rPr>
          <w:rFonts w:ascii="Times New Roman" w:eastAsia="Times New Roman" w:hAnsi="Times New Roman" w:cs="Times New Roman"/>
          <w:szCs w:val="24"/>
        </w:rPr>
      </w:pPr>
      <w:r w:rsidRPr="00C82BBD">
        <w:rPr>
          <w:rFonts w:ascii="Times New Roman" w:eastAsia="Times New Roman" w:hAnsi="Times New Roman" w:cs="Times New Roman"/>
          <w:b/>
          <w:szCs w:val="24"/>
        </w:rPr>
        <w:t>II. Zakres projektowanej regulacji</w:t>
      </w:r>
    </w:p>
    <w:p w14:paraId="02083B48" w14:textId="2BC2DF09" w:rsidR="000315D7" w:rsidRPr="00C82BBD" w:rsidRDefault="000315D7" w:rsidP="00C82BBD">
      <w:pPr>
        <w:spacing w:before="120" w:after="120" w:line="360" w:lineRule="auto"/>
        <w:ind w:firstLine="510"/>
        <w:rPr>
          <w:rFonts w:ascii="Times New Roman" w:hAnsi="Times New Roman" w:cs="Times New Roman"/>
          <w:szCs w:val="24"/>
        </w:rPr>
      </w:pPr>
      <w:r w:rsidRPr="00C82BBD">
        <w:rPr>
          <w:rFonts w:ascii="Times New Roman" w:eastAsia="Times New Roman" w:hAnsi="Times New Roman" w:cs="Times New Roman"/>
          <w:szCs w:val="24"/>
        </w:rPr>
        <w:t>W § 1 określono przedmiot rozporządzenia, którym jest struktura danych zawartych w</w:t>
      </w:r>
      <w:r w:rsidR="000E556D" w:rsidRPr="00C82BBD">
        <w:rPr>
          <w:rFonts w:ascii="Times New Roman" w:eastAsia="Times New Roman" w:hAnsi="Times New Roman" w:cs="Times New Roman"/>
          <w:szCs w:val="24"/>
        </w:rPr>
        <w:t> </w:t>
      </w:r>
      <w:r w:rsidRPr="00C82BBD">
        <w:rPr>
          <w:rFonts w:ascii="Times New Roman" w:eastAsia="Times New Roman" w:hAnsi="Times New Roman" w:cs="Times New Roman"/>
          <w:szCs w:val="24"/>
        </w:rPr>
        <w:t>informacjach, o których mowa w art. 19a ust. 1 i 2 ustawy</w:t>
      </w:r>
      <w:r w:rsidR="00CD7E62" w:rsidRPr="00C82BBD">
        <w:rPr>
          <w:rFonts w:ascii="Times New Roman" w:eastAsia="Times New Roman" w:hAnsi="Times New Roman" w:cs="Times New Roman"/>
          <w:szCs w:val="24"/>
        </w:rPr>
        <w:t xml:space="preserve"> o ochronie praw nabywcy</w:t>
      </w:r>
      <w:r w:rsidRPr="00C82BBD">
        <w:rPr>
          <w:rFonts w:ascii="Times New Roman" w:eastAsia="Times New Roman" w:hAnsi="Times New Roman" w:cs="Times New Roman"/>
          <w:szCs w:val="24"/>
        </w:rPr>
        <w:t>.</w:t>
      </w:r>
    </w:p>
    <w:p w14:paraId="7B3DA624" w14:textId="62108771" w:rsidR="003559D4" w:rsidRPr="00C82BBD" w:rsidRDefault="003559D4" w:rsidP="00C82BBD">
      <w:pPr>
        <w:spacing w:before="120" w:after="120" w:line="360" w:lineRule="auto"/>
        <w:ind w:firstLine="510"/>
        <w:rPr>
          <w:rFonts w:ascii="Times New Roman" w:eastAsia="Times New Roman" w:hAnsi="Times New Roman" w:cs="Times New Roman"/>
          <w:szCs w:val="24"/>
        </w:rPr>
      </w:pPr>
      <w:r w:rsidRPr="00C82BBD">
        <w:rPr>
          <w:rFonts w:ascii="Times New Roman" w:eastAsia="Times New Roman" w:hAnsi="Times New Roman" w:cs="Times New Roman"/>
          <w:szCs w:val="24"/>
        </w:rPr>
        <w:t xml:space="preserve">W § 2 wskazano, że strukturę danych </w:t>
      </w:r>
      <w:r w:rsidR="00CD7E62" w:rsidRPr="00C82BBD">
        <w:rPr>
          <w:rFonts w:ascii="Times New Roman" w:eastAsia="Times New Roman" w:hAnsi="Times New Roman" w:cs="Times New Roman"/>
          <w:szCs w:val="24"/>
        </w:rPr>
        <w:t>zawartych w informacjach, o których mowa w art. 19a ust. 1 i 2 ustawy o ochronie praw nabywcy</w:t>
      </w:r>
      <w:r w:rsidR="00CF5AEE" w:rsidRPr="00C82BBD">
        <w:rPr>
          <w:rFonts w:ascii="Times New Roman" w:eastAsia="Times New Roman" w:hAnsi="Times New Roman" w:cs="Times New Roman"/>
          <w:szCs w:val="24"/>
        </w:rPr>
        <w:t>,</w:t>
      </w:r>
      <w:r w:rsidR="00CD7E62" w:rsidRPr="00C82BBD">
        <w:rPr>
          <w:rFonts w:ascii="Times New Roman" w:eastAsia="Times New Roman" w:hAnsi="Times New Roman" w:cs="Times New Roman"/>
          <w:szCs w:val="24"/>
        </w:rPr>
        <w:t xml:space="preserve"> </w:t>
      </w:r>
      <w:r w:rsidRPr="00C82BBD">
        <w:rPr>
          <w:rFonts w:ascii="Times New Roman" w:eastAsia="Times New Roman" w:hAnsi="Times New Roman" w:cs="Times New Roman"/>
          <w:szCs w:val="24"/>
        </w:rPr>
        <w:t xml:space="preserve">określa załącznik do rozporządzenia. Ujęcie szczegółowych rozwiązań dotyczących struktury danych w załączniku </w:t>
      </w:r>
      <w:r w:rsidR="00CD7E62" w:rsidRPr="00C82BBD">
        <w:rPr>
          <w:rFonts w:ascii="Times New Roman" w:eastAsia="Times New Roman" w:hAnsi="Times New Roman" w:cs="Times New Roman"/>
          <w:szCs w:val="24"/>
        </w:rPr>
        <w:t xml:space="preserve">do rozporządzenia </w:t>
      </w:r>
      <w:r w:rsidRPr="00C82BBD">
        <w:rPr>
          <w:rFonts w:ascii="Times New Roman" w:eastAsia="Times New Roman" w:hAnsi="Times New Roman" w:cs="Times New Roman"/>
          <w:szCs w:val="24"/>
        </w:rPr>
        <w:t xml:space="preserve">zapewni przejrzystość </w:t>
      </w:r>
      <w:r w:rsidR="00CD7E62" w:rsidRPr="00C82BBD">
        <w:rPr>
          <w:rFonts w:ascii="Times New Roman" w:eastAsia="Times New Roman" w:hAnsi="Times New Roman" w:cs="Times New Roman"/>
          <w:szCs w:val="24"/>
        </w:rPr>
        <w:t xml:space="preserve">projektowanej regulacji </w:t>
      </w:r>
      <w:r w:rsidRPr="00C82BBD">
        <w:rPr>
          <w:rFonts w:ascii="Times New Roman" w:eastAsia="Times New Roman" w:hAnsi="Times New Roman" w:cs="Times New Roman"/>
          <w:szCs w:val="24"/>
        </w:rPr>
        <w:t xml:space="preserve">oraz umożliwi przedstawienie w jednym miejscu ogólnych zasad struktury danych, nazw pól, typów danych, ich wymagalności, </w:t>
      </w:r>
      <w:r w:rsidR="005D76E7" w:rsidRPr="00C82BBD">
        <w:rPr>
          <w:rFonts w:ascii="Times New Roman" w:eastAsia="Times New Roman" w:hAnsi="Times New Roman" w:cs="Times New Roman"/>
          <w:szCs w:val="24"/>
        </w:rPr>
        <w:t xml:space="preserve">opis </w:t>
      </w:r>
      <w:r w:rsidRPr="00C82BBD">
        <w:rPr>
          <w:rFonts w:ascii="Times New Roman" w:eastAsia="Times New Roman" w:hAnsi="Times New Roman" w:cs="Times New Roman"/>
          <w:szCs w:val="24"/>
        </w:rPr>
        <w:t>zapisu oraz dopuszczalnych wartości.</w:t>
      </w:r>
    </w:p>
    <w:p w14:paraId="1FBA537D" w14:textId="35E25F4C" w:rsidR="000D7CBB" w:rsidRPr="00C82BBD" w:rsidRDefault="000D7CBB" w:rsidP="00C82BBD">
      <w:pPr>
        <w:spacing w:before="120" w:after="120" w:line="360" w:lineRule="auto"/>
        <w:ind w:firstLine="510"/>
        <w:rPr>
          <w:rFonts w:ascii="Times New Roman" w:eastAsia="Times New Roman" w:hAnsi="Times New Roman" w:cs="Times New Roman"/>
          <w:szCs w:val="24"/>
        </w:rPr>
      </w:pPr>
      <w:r w:rsidRPr="00C82BBD">
        <w:rPr>
          <w:rFonts w:ascii="Times New Roman" w:eastAsia="Times New Roman" w:hAnsi="Times New Roman" w:cs="Times New Roman"/>
          <w:szCs w:val="24"/>
        </w:rPr>
        <w:t xml:space="preserve">W § 3 określono, że rozporządzenie wejdzie w życie z dniem 11 listopada 2026 r., to jest w dniu wejścia w życie ustawy z dnia 17 lipca 2026 r. o zmianie ustawy o ochronie praw nabywcy lokalu mieszkalnego lub domu jednorodzinnego oraz Deweloperskim Funduszu Gwarancyjnym. Zbieżność terminów zapewni, że od dnia rozpoczęcia stosowania ustawowego </w:t>
      </w:r>
      <w:r w:rsidR="00DD65C2" w:rsidRPr="00C82BBD">
        <w:rPr>
          <w:rFonts w:ascii="Times New Roman" w:eastAsia="Times New Roman" w:hAnsi="Times New Roman" w:cs="Times New Roman"/>
          <w:szCs w:val="24"/>
        </w:rPr>
        <w:t xml:space="preserve">obowiązku </w:t>
      </w:r>
      <w:r w:rsidRPr="00C82BBD">
        <w:rPr>
          <w:rFonts w:ascii="Times New Roman" w:eastAsia="Times New Roman" w:hAnsi="Times New Roman" w:cs="Times New Roman"/>
          <w:szCs w:val="24"/>
        </w:rPr>
        <w:t xml:space="preserve">przekazywania danych w formie dokumentu elektronicznego zgodnego ze strukturą danych określoną przez ministra </w:t>
      </w:r>
      <w:r w:rsidR="00DD65C2" w:rsidRPr="00C82BBD">
        <w:rPr>
          <w:rFonts w:ascii="Times New Roman" w:eastAsia="Times New Roman" w:hAnsi="Times New Roman" w:cs="Times New Roman"/>
          <w:szCs w:val="24"/>
        </w:rPr>
        <w:t xml:space="preserve">właściwego do spraw informatyzacji </w:t>
      </w:r>
      <w:r w:rsidRPr="00C82BBD">
        <w:rPr>
          <w:rFonts w:ascii="Times New Roman" w:eastAsia="Times New Roman" w:hAnsi="Times New Roman" w:cs="Times New Roman"/>
          <w:szCs w:val="24"/>
        </w:rPr>
        <w:t>będzie obowiązywała regulacja wykonawcza określająca tę strukturę. Rozwiązanie to pozwoli uniknąć luki czasowej między wejściem w życie przepisów ustawowych a wejściem w życie aktu wykonawczego.</w:t>
      </w:r>
      <w:r w:rsidR="00A60A14" w:rsidRPr="00C82BBD">
        <w:rPr>
          <w:rFonts w:ascii="Times New Roman" w:eastAsia="Times New Roman" w:hAnsi="Times New Roman" w:cs="Times New Roman"/>
          <w:szCs w:val="24"/>
        </w:rPr>
        <w:t xml:space="preserve"> Podmioty obowiązane </w:t>
      </w:r>
      <w:r w:rsidR="00DD65C2" w:rsidRPr="00C82BBD">
        <w:rPr>
          <w:rFonts w:ascii="Times New Roman" w:eastAsia="Times New Roman" w:hAnsi="Times New Roman" w:cs="Times New Roman"/>
          <w:szCs w:val="24"/>
        </w:rPr>
        <w:t xml:space="preserve">do przekazywania danych na podstawie art. 19b ust. 1 ustawy o ochronie praw nabywcy </w:t>
      </w:r>
      <w:r w:rsidR="00A60A14" w:rsidRPr="00C82BBD">
        <w:rPr>
          <w:rFonts w:ascii="Times New Roman" w:eastAsia="Times New Roman" w:hAnsi="Times New Roman" w:cs="Times New Roman"/>
          <w:szCs w:val="24"/>
        </w:rPr>
        <w:t>m</w:t>
      </w:r>
      <w:r w:rsidR="00DD65C2" w:rsidRPr="00C82BBD">
        <w:rPr>
          <w:rFonts w:ascii="Times New Roman" w:eastAsia="Times New Roman" w:hAnsi="Times New Roman" w:cs="Times New Roman"/>
          <w:szCs w:val="24"/>
        </w:rPr>
        <w:t>ają</w:t>
      </w:r>
      <w:r w:rsidR="00A60A14" w:rsidRPr="00C82BBD">
        <w:rPr>
          <w:rFonts w:ascii="Times New Roman" w:eastAsia="Times New Roman" w:hAnsi="Times New Roman" w:cs="Times New Roman"/>
          <w:szCs w:val="24"/>
        </w:rPr>
        <w:t xml:space="preserve"> realną możliwość przygotowania się do stosowania nowych wymagań technicznych, ponieważ wzorcowe </w:t>
      </w:r>
      <w:r w:rsidR="00CE589A" w:rsidRPr="00C82BBD">
        <w:rPr>
          <w:rFonts w:ascii="Times New Roman" w:eastAsia="Times New Roman" w:hAnsi="Times New Roman" w:cs="Times New Roman"/>
          <w:szCs w:val="24"/>
        </w:rPr>
        <w:t xml:space="preserve">dokumenty </w:t>
      </w:r>
      <w:r w:rsidR="003A2B6D" w:rsidRPr="00C82BBD">
        <w:rPr>
          <w:rFonts w:ascii="Times New Roman" w:eastAsia="Times New Roman" w:hAnsi="Times New Roman" w:cs="Times New Roman"/>
          <w:szCs w:val="24"/>
        </w:rPr>
        <w:t>elektroniczne</w:t>
      </w:r>
      <w:r w:rsidR="00A60A14" w:rsidRPr="00C82BBD">
        <w:rPr>
          <w:rFonts w:ascii="Times New Roman" w:eastAsia="Times New Roman" w:hAnsi="Times New Roman" w:cs="Times New Roman"/>
          <w:szCs w:val="24"/>
        </w:rPr>
        <w:t xml:space="preserve"> dotyczące cen mieszkań są już dostępne w</w:t>
      </w:r>
      <w:r w:rsidR="000E556D" w:rsidRPr="00C82BBD">
        <w:rPr>
          <w:rFonts w:ascii="Times New Roman" w:eastAsia="Times New Roman" w:hAnsi="Times New Roman" w:cs="Times New Roman"/>
          <w:szCs w:val="24"/>
        </w:rPr>
        <w:t> </w:t>
      </w:r>
      <w:r w:rsidR="00A60A14" w:rsidRPr="00C82BBD">
        <w:rPr>
          <w:rFonts w:ascii="Times New Roman" w:eastAsia="Times New Roman" w:hAnsi="Times New Roman" w:cs="Times New Roman"/>
          <w:szCs w:val="24"/>
        </w:rPr>
        <w:t>portalu dane.gov.pl.</w:t>
      </w:r>
    </w:p>
    <w:p w14:paraId="3ED5E196" w14:textId="66E0075E" w:rsidR="00713072" w:rsidRPr="00C82BBD" w:rsidRDefault="00713072" w:rsidP="00C82BBD">
      <w:pPr>
        <w:spacing w:before="120" w:after="120" w:line="360" w:lineRule="auto"/>
        <w:ind w:firstLine="567"/>
        <w:rPr>
          <w:rFonts w:ascii="Times New Roman" w:hAnsi="Times New Roman" w:cs="Times New Roman"/>
          <w:szCs w:val="24"/>
        </w:rPr>
      </w:pPr>
      <w:r w:rsidRPr="00C82BBD">
        <w:rPr>
          <w:rFonts w:ascii="Times New Roman" w:hAnsi="Times New Roman" w:cs="Times New Roman"/>
          <w:szCs w:val="24"/>
        </w:rPr>
        <w:t xml:space="preserve">Załącznik do rozporządzenia </w:t>
      </w:r>
      <w:r w:rsidR="00D16AAE" w:rsidRPr="00C82BBD">
        <w:rPr>
          <w:rFonts w:ascii="Times New Roman" w:hAnsi="Times New Roman" w:cs="Times New Roman"/>
          <w:szCs w:val="24"/>
        </w:rPr>
        <w:t xml:space="preserve">określa </w:t>
      </w:r>
      <w:r w:rsidRPr="00C82BBD">
        <w:rPr>
          <w:rFonts w:ascii="Times New Roman" w:hAnsi="Times New Roman" w:cs="Times New Roman"/>
          <w:szCs w:val="24"/>
        </w:rPr>
        <w:t>struktur</w:t>
      </w:r>
      <w:r w:rsidR="00D16AAE" w:rsidRPr="00C82BBD">
        <w:rPr>
          <w:rFonts w:ascii="Times New Roman" w:hAnsi="Times New Roman" w:cs="Times New Roman"/>
          <w:szCs w:val="24"/>
        </w:rPr>
        <w:t>ę</w:t>
      </w:r>
      <w:r w:rsidRPr="00C82BBD">
        <w:rPr>
          <w:rFonts w:ascii="Times New Roman" w:hAnsi="Times New Roman" w:cs="Times New Roman"/>
          <w:szCs w:val="24"/>
        </w:rPr>
        <w:t xml:space="preserve"> danych</w:t>
      </w:r>
      <w:r w:rsidR="00062C26" w:rsidRPr="00C82BBD">
        <w:rPr>
          <w:rFonts w:ascii="Times New Roman" w:hAnsi="Times New Roman" w:cs="Times New Roman"/>
          <w:szCs w:val="24"/>
        </w:rPr>
        <w:t xml:space="preserve"> </w:t>
      </w:r>
      <w:r w:rsidR="00744453" w:rsidRPr="00C82BBD">
        <w:rPr>
          <w:rFonts w:ascii="Times New Roman" w:hAnsi="Times New Roman" w:cs="Times New Roman"/>
          <w:szCs w:val="24"/>
        </w:rPr>
        <w:t>zawartych w informacjach, o</w:t>
      </w:r>
      <w:r w:rsidR="00BB13AC" w:rsidRPr="00C82BBD">
        <w:rPr>
          <w:rFonts w:ascii="Times New Roman" w:hAnsi="Times New Roman" w:cs="Times New Roman"/>
          <w:szCs w:val="24"/>
        </w:rPr>
        <w:t> </w:t>
      </w:r>
      <w:r w:rsidR="00744453" w:rsidRPr="00C82BBD">
        <w:rPr>
          <w:rFonts w:ascii="Times New Roman" w:hAnsi="Times New Roman" w:cs="Times New Roman"/>
          <w:szCs w:val="24"/>
        </w:rPr>
        <w:t>których mowa w art. 19a ust. 1 i 2 ustawy o ochronie praw nabywcy</w:t>
      </w:r>
      <w:r w:rsidR="00D16AAE" w:rsidRPr="00C82BBD">
        <w:rPr>
          <w:rFonts w:ascii="Times New Roman" w:hAnsi="Times New Roman" w:cs="Times New Roman"/>
          <w:szCs w:val="24"/>
        </w:rPr>
        <w:t>.</w:t>
      </w:r>
    </w:p>
    <w:p w14:paraId="2AEB4A67" w14:textId="4ED7A0F9" w:rsidR="004A4360" w:rsidRPr="00C82BBD" w:rsidRDefault="00B20EB6" w:rsidP="00C82BBD">
      <w:pPr>
        <w:spacing w:before="120" w:after="120" w:line="360" w:lineRule="auto"/>
        <w:ind w:firstLine="708"/>
        <w:rPr>
          <w:rFonts w:ascii="Times New Roman" w:hAnsi="Times New Roman" w:cs="Times New Roman"/>
          <w:szCs w:val="24"/>
        </w:rPr>
      </w:pPr>
      <w:r w:rsidRPr="00C82BBD">
        <w:rPr>
          <w:rFonts w:ascii="Times New Roman" w:hAnsi="Times New Roman" w:cs="Times New Roman"/>
          <w:szCs w:val="24"/>
        </w:rPr>
        <w:t>Z</w:t>
      </w:r>
      <w:r w:rsidR="00713072" w:rsidRPr="00C82BBD">
        <w:rPr>
          <w:rFonts w:ascii="Times New Roman" w:hAnsi="Times New Roman" w:cs="Times New Roman"/>
          <w:szCs w:val="24"/>
        </w:rPr>
        <w:t xml:space="preserve">ałącznik </w:t>
      </w:r>
      <w:r w:rsidR="001B7627" w:rsidRPr="00C82BBD">
        <w:rPr>
          <w:rFonts w:ascii="Times New Roman" w:hAnsi="Times New Roman" w:cs="Times New Roman"/>
          <w:szCs w:val="24"/>
        </w:rPr>
        <w:t xml:space="preserve">do rozporządzenia </w:t>
      </w:r>
      <w:r w:rsidR="00713072" w:rsidRPr="00C82BBD">
        <w:rPr>
          <w:rFonts w:ascii="Times New Roman" w:hAnsi="Times New Roman" w:cs="Times New Roman"/>
          <w:szCs w:val="24"/>
        </w:rPr>
        <w:t xml:space="preserve">obejmuje </w:t>
      </w:r>
      <w:r w:rsidRPr="00C82BBD">
        <w:rPr>
          <w:rFonts w:ascii="Times New Roman" w:hAnsi="Times New Roman" w:cs="Times New Roman"/>
          <w:szCs w:val="24"/>
        </w:rPr>
        <w:t xml:space="preserve">dziesięć </w:t>
      </w:r>
      <w:r w:rsidR="00713072" w:rsidRPr="00C82BBD">
        <w:rPr>
          <w:rFonts w:ascii="Times New Roman" w:hAnsi="Times New Roman" w:cs="Times New Roman"/>
          <w:szCs w:val="24"/>
        </w:rPr>
        <w:t>grup</w:t>
      </w:r>
      <w:r w:rsidR="006029E4" w:rsidRPr="00C82BBD">
        <w:rPr>
          <w:rFonts w:ascii="Times New Roman" w:hAnsi="Times New Roman" w:cs="Times New Roman"/>
          <w:szCs w:val="24"/>
        </w:rPr>
        <w:t xml:space="preserve"> </w:t>
      </w:r>
      <w:r w:rsidR="00713072" w:rsidRPr="00C82BBD">
        <w:rPr>
          <w:rFonts w:ascii="Times New Roman" w:hAnsi="Times New Roman" w:cs="Times New Roman"/>
          <w:szCs w:val="24"/>
        </w:rPr>
        <w:t>tematycznych. Struktura zawiera dane identyfikacyjne i kontaktowe dewelopera, dane adresowe, informacje o lokalizacji przedsięwzięcia deweloperskiego albo zadania inwestycyjnego, dane dotyczące lokalu mieszkalnego albo domu jednorodzinnego, informacje o cenach oraz datach rozpoczęcia ich obowiązywania, a także dane dotyczące części nieruchomości</w:t>
      </w:r>
      <w:r w:rsidR="009A74FA" w:rsidRPr="00C82BBD">
        <w:rPr>
          <w:rFonts w:ascii="Times New Roman" w:hAnsi="Times New Roman" w:cs="Times New Roman"/>
          <w:szCs w:val="24"/>
        </w:rPr>
        <w:t xml:space="preserve"> będących przedmiotem umowy</w:t>
      </w:r>
      <w:r w:rsidR="00713072" w:rsidRPr="00C82BBD">
        <w:rPr>
          <w:rFonts w:ascii="Times New Roman" w:hAnsi="Times New Roman" w:cs="Times New Roman"/>
          <w:szCs w:val="24"/>
        </w:rPr>
        <w:t xml:space="preserve">, pomieszczeń przynależnych, praw niezbędnych do korzystania z lokalu </w:t>
      </w:r>
      <w:r w:rsidR="001B7627" w:rsidRPr="00C82BBD">
        <w:rPr>
          <w:rFonts w:ascii="Times New Roman" w:hAnsi="Times New Roman" w:cs="Times New Roman"/>
          <w:szCs w:val="24"/>
        </w:rPr>
        <w:t xml:space="preserve">mieszkalnego </w:t>
      </w:r>
      <w:r w:rsidR="00713072" w:rsidRPr="00C82BBD">
        <w:rPr>
          <w:rFonts w:ascii="Times New Roman" w:hAnsi="Times New Roman" w:cs="Times New Roman"/>
          <w:szCs w:val="24"/>
        </w:rPr>
        <w:t>albo domu</w:t>
      </w:r>
      <w:r w:rsidR="001B7627" w:rsidRPr="00C82BBD">
        <w:rPr>
          <w:rFonts w:ascii="Times New Roman" w:hAnsi="Times New Roman" w:cs="Times New Roman"/>
          <w:szCs w:val="24"/>
        </w:rPr>
        <w:t xml:space="preserve"> jednorodzinnego</w:t>
      </w:r>
      <w:r w:rsidR="00713072" w:rsidRPr="00C82BBD">
        <w:rPr>
          <w:rFonts w:ascii="Times New Roman" w:hAnsi="Times New Roman" w:cs="Times New Roman"/>
          <w:szCs w:val="24"/>
        </w:rPr>
        <w:t xml:space="preserve">, innych świadczeń pieniężnych oraz adresu strony internetowej, pod </w:t>
      </w:r>
      <w:r w:rsidR="00713072" w:rsidRPr="00C82BBD">
        <w:rPr>
          <w:rFonts w:ascii="Times New Roman" w:hAnsi="Times New Roman" w:cs="Times New Roman"/>
          <w:szCs w:val="24"/>
        </w:rPr>
        <w:lastRenderedPageBreak/>
        <w:t>którym jest dostępny prospekt informacyjny.</w:t>
      </w:r>
      <w:r w:rsidR="0062703D" w:rsidRPr="00C82BBD">
        <w:rPr>
          <w:rFonts w:ascii="Times New Roman" w:hAnsi="Times New Roman" w:cs="Times New Roman"/>
          <w:szCs w:val="24"/>
        </w:rPr>
        <w:t xml:space="preserve"> </w:t>
      </w:r>
      <w:r w:rsidR="00713072" w:rsidRPr="00C82BBD">
        <w:rPr>
          <w:rFonts w:ascii="Times New Roman" w:hAnsi="Times New Roman" w:cs="Times New Roman"/>
          <w:szCs w:val="24"/>
        </w:rPr>
        <w:t xml:space="preserve">Dla każdego pola określono jego nazwę, typ danych, wymagalność oraz opis </w:t>
      </w:r>
      <w:r w:rsidR="005D76E7" w:rsidRPr="00C82BBD">
        <w:rPr>
          <w:rFonts w:ascii="Times New Roman" w:hAnsi="Times New Roman" w:cs="Times New Roman"/>
          <w:szCs w:val="24"/>
        </w:rPr>
        <w:t xml:space="preserve">zapisu </w:t>
      </w:r>
      <w:r w:rsidR="00713072" w:rsidRPr="00C82BBD">
        <w:rPr>
          <w:rFonts w:ascii="Times New Roman" w:hAnsi="Times New Roman" w:cs="Times New Roman"/>
          <w:szCs w:val="24"/>
        </w:rPr>
        <w:t>albo dopuszczalne wartości.</w:t>
      </w:r>
    </w:p>
    <w:p w14:paraId="1028B8F7" w14:textId="645B9B58" w:rsidR="00BB13AC" w:rsidRPr="00C82BBD" w:rsidRDefault="00BB13AC" w:rsidP="00C82BBD">
      <w:pPr>
        <w:spacing w:before="120" w:after="120" w:line="360" w:lineRule="auto"/>
        <w:ind w:firstLine="567"/>
        <w:rPr>
          <w:rFonts w:ascii="Times New Roman" w:hAnsi="Times New Roman" w:cs="Times New Roman"/>
          <w:szCs w:val="24"/>
        </w:rPr>
      </w:pPr>
      <w:r w:rsidRPr="00C82BBD">
        <w:rPr>
          <w:rFonts w:ascii="Times New Roman" w:hAnsi="Times New Roman" w:cs="Times New Roman"/>
          <w:szCs w:val="24"/>
        </w:rPr>
        <w:t>W objaśnieniach odnoszących się do struktury danych, wskazano że dane są ujmowane w rekordach, w których wartości przyporządkowuje się poszczególnym polom danym. Każdy rekord odnosi się do jednego lokalu mieszkalnego, domu jednorodzinnego albo innego przedmiotu oferty objętego informacjami, o których mowa w art. 19a ust. 1 i 2 ustawy</w:t>
      </w:r>
      <w:r w:rsidR="000973F0" w:rsidRPr="00C82BBD">
        <w:rPr>
          <w:rFonts w:ascii="Times New Roman" w:hAnsi="Times New Roman" w:cs="Times New Roman"/>
        </w:rPr>
        <w:t xml:space="preserve"> </w:t>
      </w:r>
      <w:r w:rsidR="000973F0" w:rsidRPr="00C82BBD">
        <w:rPr>
          <w:rFonts w:ascii="Times New Roman" w:hAnsi="Times New Roman" w:cs="Times New Roman"/>
          <w:szCs w:val="24"/>
        </w:rPr>
        <w:t>o</w:t>
      </w:r>
      <w:r w:rsidR="00D84D5C">
        <w:rPr>
          <w:rFonts w:ascii="Times New Roman" w:hAnsi="Times New Roman" w:cs="Times New Roman"/>
          <w:szCs w:val="24"/>
        </w:rPr>
        <w:t> </w:t>
      </w:r>
      <w:r w:rsidR="000973F0" w:rsidRPr="00C82BBD">
        <w:rPr>
          <w:rFonts w:ascii="Times New Roman" w:hAnsi="Times New Roman" w:cs="Times New Roman"/>
          <w:szCs w:val="24"/>
        </w:rPr>
        <w:t>ochronie praw nabywcy</w:t>
      </w:r>
      <w:r w:rsidRPr="00C82BBD">
        <w:rPr>
          <w:rFonts w:ascii="Times New Roman" w:hAnsi="Times New Roman" w:cs="Times New Roman"/>
          <w:szCs w:val="24"/>
        </w:rPr>
        <w:t>. W odniesieniu do dokumentów elektronicznych o układzie tabelarycznym określono sposób odwzorowania pól danych w kolumnach, wymagania dotyczące wiersza nagłówkowego oraz kwestię ujmowania każdego rekordu w odrębnym wierszu. Określono również sposób postępowania w przypadku, gdy dane pole nie ma zastosowania, a także znaczenie typów danych. Rozwiązania te mają ograniczyć rozbieżności w sposobie zapisywania danych i umożliwić ich automatyczny odczyt i przetwarzanie.</w:t>
      </w:r>
    </w:p>
    <w:p w14:paraId="79EBDB0A" w14:textId="72EA4AD0" w:rsidR="004A4360" w:rsidRPr="00C82BBD" w:rsidRDefault="004A4360" w:rsidP="00C82BBD">
      <w:pPr>
        <w:spacing w:before="120" w:after="120" w:line="360" w:lineRule="auto"/>
        <w:rPr>
          <w:rFonts w:ascii="Times New Roman" w:hAnsi="Times New Roman" w:cs="Times New Roman"/>
          <w:szCs w:val="24"/>
        </w:rPr>
      </w:pPr>
      <w:r w:rsidRPr="00C82BBD">
        <w:rPr>
          <w:rFonts w:ascii="Times New Roman" w:eastAsia="Times New Roman" w:hAnsi="Times New Roman" w:cs="Times New Roman"/>
          <w:b/>
          <w:szCs w:val="24"/>
        </w:rPr>
        <w:t>I</w:t>
      </w:r>
      <w:r w:rsidR="005471F9" w:rsidRPr="00C82BBD">
        <w:rPr>
          <w:rFonts w:ascii="Times New Roman" w:eastAsia="Times New Roman" w:hAnsi="Times New Roman" w:cs="Times New Roman"/>
          <w:b/>
          <w:szCs w:val="24"/>
        </w:rPr>
        <w:t>II</w:t>
      </w:r>
      <w:r w:rsidRPr="00C82BBD">
        <w:rPr>
          <w:rFonts w:ascii="Times New Roman" w:eastAsia="Times New Roman" w:hAnsi="Times New Roman" w:cs="Times New Roman"/>
          <w:b/>
          <w:szCs w:val="24"/>
        </w:rPr>
        <w:t xml:space="preserve">. </w:t>
      </w:r>
      <w:r w:rsidR="005471F9" w:rsidRPr="00C82BBD">
        <w:rPr>
          <w:rFonts w:ascii="Times New Roman" w:eastAsia="Times New Roman" w:hAnsi="Times New Roman" w:cs="Times New Roman"/>
          <w:b/>
          <w:szCs w:val="24"/>
        </w:rPr>
        <w:t>Informacje związane z procedowaniem projekt</w:t>
      </w:r>
      <w:r w:rsidR="00CF5AEE" w:rsidRPr="00C82BBD">
        <w:rPr>
          <w:rFonts w:ascii="Times New Roman" w:eastAsia="Times New Roman" w:hAnsi="Times New Roman" w:cs="Times New Roman"/>
          <w:b/>
          <w:szCs w:val="24"/>
        </w:rPr>
        <w:t>owanego rozporządzenia</w:t>
      </w:r>
    </w:p>
    <w:p w14:paraId="0FDF1F14" w14:textId="1ECE3AB3" w:rsidR="004A4360" w:rsidRPr="00C82BBD" w:rsidRDefault="004A4360" w:rsidP="00C82BBD">
      <w:pPr>
        <w:spacing w:before="120" w:after="120" w:line="360" w:lineRule="auto"/>
        <w:ind w:firstLine="709"/>
        <w:rPr>
          <w:rFonts w:ascii="Times New Roman" w:eastAsia="Times New Roman" w:hAnsi="Times New Roman" w:cs="Times New Roman"/>
          <w:szCs w:val="24"/>
        </w:rPr>
      </w:pPr>
      <w:r w:rsidRPr="00C82BBD">
        <w:rPr>
          <w:rFonts w:ascii="Times New Roman" w:eastAsia="Times New Roman" w:hAnsi="Times New Roman" w:cs="Times New Roman"/>
          <w:szCs w:val="24"/>
        </w:rPr>
        <w:t>Projekt</w:t>
      </w:r>
      <w:r w:rsidR="00CF5AEE" w:rsidRPr="00C82BBD">
        <w:rPr>
          <w:rFonts w:ascii="Times New Roman" w:eastAsia="Times New Roman" w:hAnsi="Times New Roman" w:cs="Times New Roman"/>
          <w:szCs w:val="24"/>
        </w:rPr>
        <w:t>owane</w:t>
      </w:r>
      <w:r w:rsidRPr="00C82BBD">
        <w:rPr>
          <w:rFonts w:ascii="Times New Roman" w:eastAsia="Times New Roman" w:hAnsi="Times New Roman" w:cs="Times New Roman"/>
          <w:szCs w:val="24"/>
        </w:rPr>
        <w:t xml:space="preserve"> rozporządzeni</w:t>
      </w:r>
      <w:r w:rsidR="00CF5AEE" w:rsidRPr="00C82BBD">
        <w:rPr>
          <w:rFonts w:ascii="Times New Roman" w:eastAsia="Times New Roman" w:hAnsi="Times New Roman" w:cs="Times New Roman"/>
          <w:szCs w:val="24"/>
        </w:rPr>
        <w:t>e</w:t>
      </w:r>
      <w:r w:rsidRPr="00C82BBD">
        <w:rPr>
          <w:rFonts w:ascii="Times New Roman" w:eastAsia="Times New Roman" w:hAnsi="Times New Roman" w:cs="Times New Roman"/>
          <w:szCs w:val="24"/>
        </w:rPr>
        <w:t xml:space="preserve"> nie służy bezpośredniemu wykonaniu prawa Unii Europejskiej. Pozostaje jednak spójny z celami dyrektywy Parlamentu Europejskiego i Rady (UE) 2019/1024 z dnia 20 czerwca 2019 r. w sprawie otwartych danych i ponownego wykorzystywania informacji sektora publicznego</w:t>
      </w:r>
      <w:r w:rsidR="005471F9" w:rsidRPr="00C82BBD">
        <w:rPr>
          <w:rFonts w:ascii="Times New Roman" w:hAnsi="Times New Roman" w:cs="Times New Roman"/>
        </w:rPr>
        <w:t xml:space="preserve"> (</w:t>
      </w:r>
      <w:r w:rsidR="005471F9" w:rsidRPr="00C82BBD">
        <w:rPr>
          <w:rFonts w:ascii="Times New Roman" w:eastAsia="Times New Roman" w:hAnsi="Times New Roman" w:cs="Times New Roman"/>
          <w:szCs w:val="24"/>
        </w:rPr>
        <w:t>Dz. Urz. UE L 172 z 26.06.2019, str. 56)</w:t>
      </w:r>
      <w:r w:rsidRPr="00C82BBD">
        <w:rPr>
          <w:rFonts w:ascii="Times New Roman" w:eastAsia="Times New Roman" w:hAnsi="Times New Roman" w:cs="Times New Roman"/>
          <w:szCs w:val="24"/>
        </w:rPr>
        <w:t>, w</w:t>
      </w:r>
      <w:r w:rsidR="008428D4" w:rsidRPr="00C82BBD">
        <w:rPr>
          <w:rFonts w:ascii="Times New Roman" w:eastAsia="Times New Roman" w:hAnsi="Times New Roman" w:cs="Times New Roman"/>
          <w:szCs w:val="24"/>
        </w:rPr>
        <w:t> </w:t>
      </w:r>
      <w:r w:rsidRPr="00C82BBD">
        <w:rPr>
          <w:rFonts w:ascii="Times New Roman" w:eastAsia="Times New Roman" w:hAnsi="Times New Roman" w:cs="Times New Roman"/>
          <w:szCs w:val="24"/>
        </w:rPr>
        <w:t>szczególności w</w:t>
      </w:r>
      <w:r w:rsidR="005471F9" w:rsidRPr="00C82BBD">
        <w:rPr>
          <w:rFonts w:ascii="Times New Roman" w:eastAsia="Times New Roman" w:hAnsi="Times New Roman" w:cs="Times New Roman"/>
          <w:szCs w:val="24"/>
        </w:rPr>
        <w:t> </w:t>
      </w:r>
      <w:r w:rsidRPr="00C82BBD">
        <w:rPr>
          <w:rFonts w:ascii="Times New Roman" w:eastAsia="Times New Roman" w:hAnsi="Times New Roman" w:cs="Times New Roman"/>
          <w:szCs w:val="24"/>
        </w:rPr>
        <w:t>zakresie wspierania dostępności danych w formatach przeznaczonych do odczytu maszynowego oraz ich ponownego wykorzystywania.</w:t>
      </w:r>
    </w:p>
    <w:p w14:paraId="745F7764" w14:textId="5D83BA1B" w:rsidR="004A4360" w:rsidRPr="00C82BBD" w:rsidRDefault="004A4360" w:rsidP="00C82BBD">
      <w:pPr>
        <w:spacing w:before="120" w:after="120" w:line="360" w:lineRule="auto"/>
        <w:ind w:firstLine="709"/>
        <w:rPr>
          <w:rFonts w:ascii="Times New Roman" w:hAnsi="Times New Roman" w:cs="Times New Roman"/>
          <w:szCs w:val="24"/>
        </w:rPr>
      </w:pPr>
      <w:r w:rsidRPr="00C82BBD">
        <w:rPr>
          <w:rFonts w:ascii="Times New Roman" w:eastAsia="Times New Roman" w:hAnsi="Times New Roman" w:cs="Times New Roman"/>
          <w:szCs w:val="24"/>
        </w:rPr>
        <w:t>Projekt</w:t>
      </w:r>
      <w:r w:rsidR="00CF5AEE" w:rsidRPr="00C82BBD">
        <w:rPr>
          <w:rFonts w:ascii="Times New Roman" w:eastAsia="Times New Roman" w:hAnsi="Times New Roman" w:cs="Times New Roman"/>
          <w:szCs w:val="24"/>
        </w:rPr>
        <w:t>owane</w:t>
      </w:r>
      <w:r w:rsidRPr="00C82BBD">
        <w:rPr>
          <w:rFonts w:ascii="Times New Roman" w:eastAsia="Times New Roman" w:hAnsi="Times New Roman" w:cs="Times New Roman"/>
          <w:szCs w:val="24"/>
        </w:rPr>
        <w:t xml:space="preserve"> </w:t>
      </w:r>
      <w:r w:rsidR="00CF5AEE" w:rsidRPr="00C82BBD">
        <w:rPr>
          <w:rFonts w:ascii="Times New Roman" w:eastAsia="Times New Roman" w:hAnsi="Times New Roman" w:cs="Times New Roman"/>
          <w:szCs w:val="24"/>
        </w:rPr>
        <w:t xml:space="preserve">rozporządzenie </w:t>
      </w:r>
      <w:r w:rsidRPr="00C82BBD">
        <w:rPr>
          <w:rFonts w:ascii="Times New Roman" w:eastAsia="Times New Roman" w:hAnsi="Times New Roman" w:cs="Times New Roman"/>
          <w:szCs w:val="24"/>
        </w:rPr>
        <w:t>jest zgodn</w:t>
      </w:r>
      <w:r w:rsidR="009A63D1" w:rsidRPr="00C82BBD">
        <w:rPr>
          <w:rFonts w:ascii="Times New Roman" w:eastAsia="Times New Roman" w:hAnsi="Times New Roman" w:cs="Times New Roman"/>
          <w:szCs w:val="24"/>
        </w:rPr>
        <w:t>e</w:t>
      </w:r>
      <w:r w:rsidRPr="00C82BBD">
        <w:rPr>
          <w:rFonts w:ascii="Times New Roman" w:eastAsia="Times New Roman" w:hAnsi="Times New Roman" w:cs="Times New Roman"/>
          <w:szCs w:val="24"/>
        </w:rPr>
        <w:t xml:space="preserve"> z prawem Unii Europejskiej.</w:t>
      </w:r>
    </w:p>
    <w:p w14:paraId="18076CEB" w14:textId="51D446F5" w:rsidR="004A4360" w:rsidRPr="00C82BBD" w:rsidRDefault="004A4360" w:rsidP="00C82BBD">
      <w:pPr>
        <w:spacing w:before="120" w:after="120" w:line="360" w:lineRule="auto"/>
        <w:ind w:firstLine="709"/>
        <w:rPr>
          <w:rFonts w:ascii="Times New Roman" w:eastAsia="Times New Roman" w:hAnsi="Times New Roman" w:cs="Times New Roman"/>
          <w:szCs w:val="24"/>
        </w:rPr>
      </w:pPr>
      <w:r w:rsidRPr="00C82BBD">
        <w:rPr>
          <w:rFonts w:ascii="Times New Roman" w:eastAsia="Times New Roman" w:hAnsi="Times New Roman" w:cs="Times New Roman"/>
          <w:szCs w:val="24"/>
        </w:rPr>
        <w:t>Projekt</w:t>
      </w:r>
      <w:r w:rsidR="00CF5AEE" w:rsidRPr="00C82BBD">
        <w:rPr>
          <w:rFonts w:ascii="Times New Roman" w:eastAsia="Times New Roman" w:hAnsi="Times New Roman" w:cs="Times New Roman"/>
          <w:szCs w:val="24"/>
        </w:rPr>
        <w:t>owane</w:t>
      </w:r>
      <w:r w:rsidRPr="00C82BBD">
        <w:rPr>
          <w:rFonts w:ascii="Times New Roman" w:eastAsia="Times New Roman" w:hAnsi="Times New Roman" w:cs="Times New Roman"/>
          <w:szCs w:val="24"/>
        </w:rPr>
        <w:t xml:space="preserve"> </w:t>
      </w:r>
      <w:r w:rsidR="00CF5AEE" w:rsidRPr="00C82BBD">
        <w:rPr>
          <w:rFonts w:ascii="Times New Roman" w:eastAsia="Times New Roman" w:hAnsi="Times New Roman" w:cs="Times New Roman"/>
          <w:szCs w:val="24"/>
        </w:rPr>
        <w:t xml:space="preserve">rozporządzenie </w:t>
      </w:r>
      <w:r w:rsidRPr="00C82BBD">
        <w:rPr>
          <w:rFonts w:ascii="Times New Roman" w:eastAsia="Times New Roman" w:hAnsi="Times New Roman" w:cs="Times New Roman"/>
          <w:szCs w:val="24"/>
        </w:rPr>
        <w:t>nie zawiera przepisów technicznych w rozumieniu rozporządzenia Rady Ministrów z</w:t>
      </w:r>
      <w:r w:rsidR="000E556D" w:rsidRPr="00C82BBD">
        <w:rPr>
          <w:rFonts w:ascii="Times New Roman" w:eastAsia="Times New Roman" w:hAnsi="Times New Roman" w:cs="Times New Roman"/>
          <w:szCs w:val="24"/>
        </w:rPr>
        <w:t> </w:t>
      </w:r>
      <w:r w:rsidRPr="00C82BBD">
        <w:rPr>
          <w:rFonts w:ascii="Times New Roman" w:eastAsia="Times New Roman" w:hAnsi="Times New Roman" w:cs="Times New Roman"/>
          <w:szCs w:val="24"/>
        </w:rPr>
        <w:t>dnia 23 grudnia 2002 r. w sprawie sposobu funkcjonowania krajowego systemu notyfikacji norm i aktów prawnych (Dz. U. poz. 2039</w:t>
      </w:r>
      <w:r w:rsidR="00805014">
        <w:rPr>
          <w:rFonts w:ascii="Times New Roman" w:eastAsia="Times New Roman" w:hAnsi="Times New Roman" w:cs="Times New Roman"/>
          <w:szCs w:val="24"/>
        </w:rPr>
        <w:t xml:space="preserve"> oraz z 2024 r. poz. 597</w:t>
      </w:r>
      <w:r w:rsidRPr="00C82BBD">
        <w:rPr>
          <w:rFonts w:ascii="Times New Roman" w:eastAsia="Times New Roman" w:hAnsi="Times New Roman" w:cs="Times New Roman"/>
          <w:szCs w:val="24"/>
        </w:rPr>
        <w:t>), w</w:t>
      </w:r>
      <w:r w:rsidR="008428D4" w:rsidRPr="00C82BBD">
        <w:rPr>
          <w:rFonts w:ascii="Times New Roman" w:eastAsia="Times New Roman" w:hAnsi="Times New Roman" w:cs="Times New Roman"/>
          <w:szCs w:val="24"/>
        </w:rPr>
        <w:t> </w:t>
      </w:r>
      <w:r w:rsidRPr="00C82BBD">
        <w:rPr>
          <w:rFonts w:ascii="Times New Roman" w:eastAsia="Times New Roman" w:hAnsi="Times New Roman" w:cs="Times New Roman"/>
          <w:szCs w:val="24"/>
        </w:rPr>
        <w:t>związku z czym nie podlega notyfikacji Komisji Europejskiej.</w:t>
      </w:r>
    </w:p>
    <w:p w14:paraId="3F9CE17B" w14:textId="0EACEC90" w:rsidR="004A4360" w:rsidRPr="00C82BBD" w:rsidRDefault="004A4360" w:rsidP="00C82BBD">
      <w:pPr>
        <w:spacing w:before="120" w:after="120" w:line="360" w:lineRule="auto"/>
        <w:ind w:firstLine="708"/>
        <w:rPr>
          <w:rFonts w:ascii="Times New Roman" w:hAnsi="Times New Roman" w:cs="Times New Roman"/>
          <w:szCs w:val="24"/>
        </w:rPr>
      </w:pPr>
      <w:r w:rsidRPr="00C82BBD">
        <w:rPr>
          <w:rFonts w:ascii="Times New Roman" w:eastAsia="Times New Roman" w:hAnsi="Times New Roman" w:cs="Times New Roman"/>
          <w:szCs w:val="24"/>
        </w:rPr>
        <w:t>Projekt</w:t>
      </w:r>
      <w:r w:rsidR="00CF5AEE" w:rsidRPr="00C82BBD">
        <w:rPr>
          <w:rFonts w:ascii="Times New Roman" w:eastAsia="Times New Roman" w:hAnsi="Times New Roman" w:cs="Times New Roman"/>
          <w:szCs w:val="24"/>
        </w:rPr>
        <w:t>owane</w:t>
      </w:r>
      <w:r w:rsidRPr="00C82BBD">
        <w:rPr>
          <w:rFonts w:ascii="Times New Roman" w:eastAsia="Times New Roman" w:hAnsi="Times New Roman" w:cs="Times New Roman"/>
          <w:szCs w:val="24"/>
        </w:rPr>
        <w:t xml:space="preserve"> </w:t>
      </w:r>
      <w:r w:rsidR="00CF5AEE" w:rsidRPr="00C82BBD">
        <w:rPr>
          <w:rFonts w:ascii="Times New Roman" w:eastAsia="Times New Roman" w:hAnsi="Times New Roman" w:cs="Times New Roman"/>
          <w:szCs w:val="24"/>
        </w:rPr>
        <w:t xml:space="preserve">rozporządzenie </w:t>
      </w:r>
      <w:r w:rsidRPr="00C82BBD">
        <w:rPr>
          <w:rFonts w:ascii="Times New Roman" w:eastAsia="Times New Roman" w:hAnsi="Times New Roman" w:cs="Times New Roman"/>
          <w:szCs w:val="24"/>
        </w:rPr>
        <w:t>nie wymaga przedstawienia właściwym organom i</w:t>
      </w:r>
      <w:r w:rsidR="008428D4" w:rsidRPr="00C82BBD">
        <w:rPr>
          <w:rFonts w:ascii="Times New Roman" w:eastAsia="Times New Roman" w:hAnsi="Times New Roman" w:cs="Times New Roman"/>
          <w:szCs w:val="24"/>
        </w:rPr>
        <w:t> </w:t>
      </w:r>
      <w:r w:rsidRPr="00C82BBD">
        <w:rPr>
          <w:rFonts w:ascii="Times New Roman" w:eastAsia="Times New Roman" w:hAnsi="Times New Roman" w:cs="Times New Roman"/>
          <w:szCs w:val="24"/>
        </w:rPr>
        <w:t>instytucjom Unii Europejskiej, w</w:t>
      </w:r>
      <w:r w:rsidR="000E556D" w:rsidRPr="00C82BBD">
        <w:rPr>
          <w:rFonts w:ascii="Times New Roman" w:eastAsia="Times New Roman" w:hAnsi="Times New Roman" w:cs="Times New Roman"/>
          <w:szCs w:val="24"/>
        </w:rPr>
        <w:t> </w:t>
      </w:r>
      <w:r w:rsidRPr="00C82BBD">
        <w:rPr>
          <w:rFonts w:ascii="Times New Roman" w:eastAsia="Times New Roman" w:hAnsi="Times New Roman" w:cs="Times New Roman"/>
          <w:szCs w:val="24"/>
        </w:rPr>
        <w:t>tym Europejskiemu Bankowi Centralnemu, w celu uzyskania opinii, dokonania powiadomienia, konsultacji albo uzgodnienia.</w:t>
      </w:r>
    </w:p>
    <w:p w14:paraId="06CF8CBE" w14:textId="582FA74E" w:rsidR="00913C2B" w:rsidRPr="00C82BBD" w:rsidRDefault="00302015" w:rsidP="00C82BBD">
      <w:pPr>
        <w:spacing w:before="120" w:after="120" w:line="360" w:lineRule="auto"/>
        <w:ind w:firstLine="510"/>
        <w:rPr>
          <w:rFonts w:ascii="Times New Roman" w:hAnsi="Times New Roman" w:cs="Times New Roman"/>
          <w:szCs w:val="24"/>
        </w:rPr>
      </w:pPr>
      <w:r w:rsidRPr="00C82BBD">
        <w:rPr>
          <w:rFonts w:ascii="Times New Roman" w:hAnsi="Times New Roman" w:cs="Times New Roman"/>
          <w:szCs w:val="24"/>
        </w:rPr>
        <w:t>Zgodnie z art. 5 ustawy z dnia 7 lipca 2005 r. o działalności lobbingowej w procesie stanowienia prawa (Dz. U. z 202</w:t>
      </w:r>
      <w:r w:rsidR="005471F9" w:rsidRPr="00C82BBD">
        <w:rPr>
          <w:rFonts w:ascii="Times New Roman" w:hAnsi="Times New Roman" w:cs="Times New Roman"/>
          <w:szCs w:val="24"/>
        </w:rPr>
        <w:t>6</w:t>
      </w:r>
      <w:r w:rsidRPr="00C82BBD">
        <w:rPr>
          <w:rFonts w:ascii="Times New Roman" w:hAnsi="Times New Roman" w:cs="Times New Roman"/>
          <w:szCs w:val="24"/>
        </w:rPr>
        <w:t xml:space="preserve"> r. poz.</w:t>
      </w:r>
      <w:r w:rsidR="005471F9" w:rsidRPr="00C82BBD">
        <w:rPr>
          <w:rFonts w:ascii="Times New Roman" w:hAnsi="Times New Roman" w:cs="Times New Roman"/>
          <w:szCs w:val="24"/>
        </w:rPr>
        <w:t xml:space="preserve"> 936</w:t>
      </w:r>
      <w:r w:rsidRPr="00C82BBD">
        <w:rPr>
          <w:rFonts w:ascii="Times New Roman" w:hAnsi="Times New Roman" w:cs="Times New Roman"/>
          <w:szCs w:val="24"/>
        </w:rPr>
        <w:t>) oraz § 52 ust. 1 uchwały nr 190 Rady Ministrów z dnia 29 października 2013 r. – Regulamin pracy Rady Ministrów (M.P. z 2026 r. poz. 404), z</w:t>
      </w:r>
      <w:r w:rsidR="005471F9" w:rsidRPr="00C82BBD">
        <w:rPr>
          <w:rFonts w:ascii="Times New Roman" w:hAnsi="Times New Roman" w:cs="Times New Roman"/>
          <w:szCs w:val="24"/>
        </w:rPr>
        <w:t> </w:t>
      </w:r>
      <w:r w:rsidRPr="00C82BBD">
        <w:rPr>
          <w:rFonts w:ascii="Times New Roman" w:hAnsi="Times New Roman" w:cs="Times New Roman"/>
          <w:szCs w:val="24"/>
        </w:rPr>
        <w:t>chwilą skierowania projekt</w:t>
      </w:r>
      <w:r w:rsidR="00CF5AEE" w:rsidRPr="00C82BBD">
        <w:rPr>
          <w:rFonts w:ascii="Times New Roman" w:hAnsi="Times New Roman" w:cs="Times New Roman"/>
          <w:szCs w:val="24"/>
        </w:rPr>
        <w:t>owanego</w:t>
      </w:r>
      <w:r w:rsidRPr="00C82BBD">
        <w:rPr>
          <w:rFonts w:ascii="Times New Roman" w:hAnsi="Times New Roman" w:cs="Times New Roman"/>
          <w:szCs w:val="24"/>
        </w:rPr>
        <w:t xml:space="preserve"> </w:t>
      </w:r>
      <w:r w:rsidR="00CF5AEE" w:rsidRPr="00C82BBD">
        <w:rPr>
          <w:rFonts w:ascii="Times New Roman" w:eastAsia="Times New Roman" w:hAnsi="Times New Roman" w:cs="Times New Roman"/>
          <w:szCs w:val="24"/>
        </w:rPr>
        <w:t>rozporządzenia</w:t>
      </w:r>
      <w:r w:rsidR="00CF5AEE" w:rsidRPr="00C82BBD">
        <w:rPr>
          <w:rFonts w:ascii="Times New Roman" w:hAnsi="Times New Roman" w:cs="Times New Roman"/>
          <w:szCs w:val="24"/>
        </w:rPr>
        <w:t xml:space="preserve"> </w:t>
      </w:r>
      <w:r w:rsidRPr="00C82BBD">
        <w:rPr>
          <w:rFonts w:ascii="Times New Roman" w:hAnsi="Times New Roman" w:cs="Times New Roman"/>
          <w:szCs w:val="24"/>
        </w:rPr>
        <w:t xml:space="preserve">do uzgodnień, konsultacji publicznych </w:t>
      </w:r>
      <w:r w:rsidR="00CF5AEE" w:rsidRPr="00C82BBD">
        <w:rPr>
          <w:rFonts w:ascii="Times New Roman" w:hAnsi="Times New Roman" w:cs="Times New Roman"/>
          <w:szCs w:val="24"/>
        </w:rPr>
        <w:t>i</w:t>
      </w:r>
      <w:r w:rsidR="008428D4" w:rsidRPr="00C82BBD">
        <w:rPr>
          <w:rFonts w:ascii="Times New Roman" w:hAnsi="Times New Roman" w:cs="Times New Roman"/>
          <w:szCs w:val="24"/>
        </w:rPr>
        <w:t> </w:t>
      </w:r>
      <w:r w:rsidRPr="00C82BBD">
        <w:rPr>
          <w:rFonts w:ascii="Times New Roman" w:hAnsi="Times New Roman" w:cs="Times New Roman"/>
          <w:szCs w:val="24"/>
        </w:rPr>
        <w:t>opiniowania projekt</w:t>
      </w:r>
      <w:r w:rsidR="00CF5AEE" w:rsidRPr="00C82BBD">
        <w:rPr>
          <w:rFonts w:ascii="Times New Roman" w:hAnsi="Times New Roman" w:cs="Times New Roman"/>
          <w:szCs w:val="24"/>
        </w:rPr>
        <w:t>owane</w:t>
      </w:r>
      <w:r w:rsidRPr="00C82BBD">
        <w:rPr>
          <w:rFonts w:ascii="Times New Roman" w:hAnsi="Times New Roman" w:cs="Times New Roman"/>
          <w:szCs w:val="24"/>
        </w:rPr>
        <w:t xml:space="preserve"> </w:t>
      </w:r>
      <w:r w:rsidR="00CF5AEE" w:rsidRPr="00C82BBD">
        <w:rPr>
          <w:rFonts w:ascii="Times New Roman" w:eastAsia="Times New Roman" w:hAnsi="Times New Roman" w:cs="Times New Roman"/>
          <w:szCs w:val="24"/>
        </w:rPr>
        <w:t>rozporządzenie</w:t>
      </w:r>
      <w:r w:rsidR="00CF5AEE" w:rsidRPr="00C82BBD">
        <w:rPr>
          <w:rFonts w:ascii="Times New Roman" w:hAnsi="Times New Roman" w:cs="Times New Roman"/>
          <w:szCs w:val="24"/>
        </w:rPr>
        <w:t xml:space="preserve"> </w:t>
      </w:r>
      <w:r w:rsidRPr="00C82BBD">
        <w:rPr>
          <w:rFonts w:ascii="Times New Roman" w:hAnsi="Times New Roman" w:cs="Times New Roman"/>
          <w:szCs w:val="24"/>
        </w:rPr>
        <w:t>zosta</w:t>
      </w:r>
      <w:r w:rsidR="00081FBC" w:rsidRPr="00C82BBD">
        <w:rPr>
          <w:rFonts w:ascii="Times New Roman" w:hAnsi="Times New Roman" w:cs="Times New Roman"/>
          <w:szCs w:val="24"/>
        </w:rPr>
        <w:t>ło</w:t>
      </w:r>
      <w:r w:rsidRPr="00C82BBD">
        <w:rPr>
          <w:rFonts w:ascii="Times New Roman" w:hAnsi="Times New Roman" w:cs="Times New Roman"/>
          <w:szCs w:val="24"/>
        </w:rPr>
        <w:t xml:space="preserve"> udostępnion</w:t>
      </w:r>
      <w:r w:rsidR="008428D4" w:rsidRPr="00C82BBD">
        <w:rPr>
          <w:rFonts w:ascii="Times New Roman" w:hAnsi="Times New Roman" w:cs="Times New Roman"/>
          <w:szCs w:val="24"/>
        </w:rPr>
        <w:t>e</w:t>
      </w:r>
      <w:r w:rsidRPr="00C82BBD">
        <w:rPr>
          <w:rFonts w:ascii="Times New Roman" w:hAnsi="Times New Roman" w:cs="Times New Roman"/>
          <w:szCs w:val="24"/>
        </w:rPr>
        <w:t xml:space="preserve"> w Biuletynie Informacji </w:t>
      </w:r>
      <w:r w:rsidRPr="00C82BBD">
        <w:rPr>
          <w:rFonts w:ascii="Times New Roman" w:hAnsi="Times New Roman" w:cs="Times New Roman"/>
          <w:szCs w:val="24"/>
        </w:rPr>
        <w:lastRenderedPageBreak/>
        <w:t xml:space="preserve">Publicznej </w:t>
      </w:r>
      <w:r w:rsidR="005471F9" w:rsidRPr="00C82BBD">
        <w:rPr>
          <w:rFonts w:ascii="Times New Roman" w:hAnsi="Times New Roman" w:cs="Times New Roman"/>
          <w:szCs w:val="24"/>
        </w:rPr>
        <w:t xml:space="preserve">na stronie podmiotowej urzędu obsługującego ministra właściwego do spraw informatyzacji oraz </w:t>
      </w:r>
      <w:r w:rsidRPr="00C82BBD">
        <w:rPr>
          <w:rFonts w:ascii="Times New Roman" w:hAnsi="Times New Roman" w:cs="Times New Roman"/>
          <w:szCs w:val="24"/>
        </w:rPr>
        <w:t>na stronie podmiotowej Rządowego Centrum Legislacji, w serwisie Rządowy Proces Legislacyjny.</w:t>
      </w:r>
    </w:p>
    <w:sectPr w:rsidR="00913C2B" w:rsidRPr="00C82B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EB341" w14:textId="77777777" w:rsidR="004E742C" w:rsidRDefault="004E742C" w:rsidP="004B1AA3">
      <w:pPr>
        <w:spacing w:line="240" w:lineRule="auto"/>
      </w:pPr>
      <w:r>
        <w:separator/>
      </w:r>
    </w:p>
  </w:endnote>
  <w:endnote w:type="continuationSeparator" w:id="0">
    <w:p w14:paraId="35874828" w14:textId="77777777" w:rsidR="004E742C" w:rsidRDefault="004E742C" w:rsidP="004B1A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5F83D" w14:textId="77777777" w:rsidR="004E742C" w:rsidRDefault="004E742C" w:rsidP="004B1AA3">
      <w:pPr>
        <w:spacing w:line="240" w:lineRule="auto"/>
      </w:pPr>
      <w:r>
        <w:separator/>
      </w:r>
    </w:p>
  </w:footnote>
  <w:footnote w:type="continuationSeparator" w:id="0">
    <w:p w14:paraId="16C37256" w14:textId="77777777" w:rsidR="004E742C" w:rsidRDefault="004E742C" w:rsidP="004B1AA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B1E3C"/>
    <w:multiLevelType w:val="hybridMultilevel"/>
    <w:tmpl w:val="3140BC02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" w15:restartNumberingAfterBreak="0">
    <w:nsid w:val="28266F64"/>
    <w:multiLevelType w:val="hybridMultilevel"/>
    <w:tmpl w:val="40B61262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" w15:restartNumberingAfterBreak="0">
    <w:nsid w:val="37905596"/>
    <w:multiLevelType w:val="hybridMultilevel"/>
    <w:tmpl w:val="58D42EE4"/>
    <w:lvl w:ilvl="0" w:tplc="04150011">
      <w:start w:val="1"/>
      <w:numFmt w:val="decimal"/>
      <w:lvlText w:val="%1)"/>
      <w:lvlJc w:val="left"/>
      <w:pPr>
        <w:ind w:left="3930" w:hanging="360"/>
      </w:pPr>
    </w:lvl>
    <w:lvl w:ilvl="1" w:tplc="04150019" w:tentative="1">
      <w:start w:val="1"/>
      <w:numFmt w:val="lowerLetter"/>
      <w:lvlText w:val="%2."/>
      <w:lvlJc w:val="left"/>
      <w:pPr>
        <w:ind w:left="4650" w:hanging="360"/>
      </w:pPr>
    </w:lvl>
    <w:lvl w:ilvl="2" w:tplc="0415001B" w:tentative="1">
      <w:start w:val="1"/>
      <w:numFmt w:val="lowerRoman"/>
      <w:lvlText w:val="%3."/>
      <w:lvlJc w:val="right"/>
      <w:pPr>
        <w:ind w:left="5370" w:hanging="180"/>
      </w:pPr>
    </w:lvl>
    <w:lvl w:ilvl="3" w:tplc="0415000F" w:tentative="1">
      <w:start w:val="1"/>
      <w:numFmt w:val="decimal"/>
      <w:lvlText w:val="%4."/>
      <w:lvlJc w:val="left"/>
      <w:pPr>
        <w:ind w:left="6090" w:hanging="360"/>
      </w:pPr>
    </w:lvl>
    <w:lvl w:ilvl="4" w:tplc="04150019" w:tentative="1">
      <w:start w:val="1"/>
      <w:numFmt w:val="lowerLetter"/>
      <w:lvlText w:val="%5."/>
      <w:lvlJc w:val="left"/>
      <w:pPr>
        <w:ind w:left="6810" w:hanging="360"/>
      </w:pPr>
    </w:lvl>
    <w:lvl w:ilvl="5" w:tplc="0415001B" w:tentative="1">
      <w:start w:val="1"/>
      <w:numFmt w:val="lowerRoman"/>
      <w:lvlText w:val="%6."/>
      <w:lvlJc w:val="right"/>
      <w:pPr>
        <w:ind w:left="7530" w:hanging="180"/>
      </w:pPr>
    </w:lvl>
    <w:lvl w:ilvl="6" w:tplc="0415000F" w:tentative="1">
      <w:start w:val="1"/>
      <w:numFmt w:val="decimal"/>
      <w:lvlText w:val="%7."/>
      <w:lvlJc w:val="left"/>
      <w:pPr>
        <w:ind w:left="8250" w:hanging="360"/>
      </w:pPr>
    </w:lvl>
    <w:lvl w:ilvl="7" w:tplc="04150019" w:tentative="1">
      <w:start w:val="1"/>
      <w:numFmt w:val="lowerLetter"/>
      <w:lvlText w:val="%8."/>
      <w:lvlJc w:val="left"/>
      <w:pPr>
        <w:ind w:left="8970" w:hanging="360"/>
      </w:pPr>
    </w:lvl>
    <w:lvl w:ilvl="8" w:tplc="0415001B" w:tentative="1">
      <w:start w:val="1"/>
      <w:numFmt w:val="lowerRoman"/>
      <w:lvlText w:val="%9."/>
      <w:lvlJc w:val="right"/>
      <w:pPr>
        <w:ind w:left="9690" w:hanging="180"/>
      </w:pPr>
    </w:lvl>
  </w:abstractNum>
  <w:abstractNum w:abstractNumId="3" w15:restartNumberingAfterBreak="0">
    <w:nsid w:val="3C1F37DF"/>
    <w:multiLevelType w:val="hybridMultilevel"/>
    <w:tmpl w:val="41DCE6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A0920"/>
    <w:multiLevelType w:val="hybridMultilevel"/>
    <w:tmpl w:val="7F488A40"/>
    <w:lvl w:ilvl="0" w:tplc="28CEB56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F1393C"/>
    <w:multiLevelType w:val="hybridMultilevel"/>
    <w:tmpl w:val="FB1AA966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6A2A1BDB"/>
    <w:multiLevelType w:val="hybridMultilevel"/>
    <w:tmpl w:val="19D428B2"/>
    <w:lvl w:ilvl="0" w:tplc="05E0A2FC">
      <w:start w:val="1"/>
      <w:numFmt w:val="decimal"/>
      <w:lvlText w:val="%1)"/>
      <w:lvlJc w:val="left"/>
      <w:pPr>
        <w:ind w:left="1070" w:hanging="71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FE31D3"/>
    <w:multiLevelType w:val="hybridMultilevel"/>
    <w:tmpl w:val="8A86AF40"/>
    <w:lvl w:ilvl="0" w:tplc="4B1261A0">
      <w:start w:val="1"/>
      <w:numFmt w:val="decimal"/>
      <w:lvlText w:val="%1)"/>
      <w:lvlJc w:val="left"/>
      <w:pPr>
        <w:ind w:left="87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78AB00ED"/>
    <w:multiLevelType w:val="hybridMultilevel"/>
    <w:tmpl w:val="8460C2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389824">
    <w:abstractNumId w:val="2"/>
  </w:num>
  <w:num w:numId="2" w16cid:durableId="2053727191">
    <w:abstractNumId w:val="8"/>
  </w:num>
  <w:num w:numId="3" w16cid:durableId="1362974616">
    <w:abstractNumId w:val="6"/>
  </w:num>
  <w:num w:numId="4" w16cid:durableId="1907109247">
    <w:abstractNumId w:val="0"/>
  </w:num>
  <w:num w:numId="5" w16cid:durableId="246889296">
    <w:abstractNumId w:val="7"/>
  </w:num>
  <w:num w:numId="6" w16cid:durableId="1746873065">
    <w:abstractNumId w:val="5"/>
  </w:num>
  <w:num w:numId="7" w16cid:durableId="260720211">
    <w:abstractNumId w:val="1"/>
  </w:num>
  <w:num w:numId="8" w16cid:durableId="1952544930">
    <w:abstractNumId w:val="3"/>
  </w:num>
  <w:num w:numId="9" w16cid:durableId="632558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80"/>
    <w:rsid w:val="00024BAC"/>
    <w:rsid w:val="000315D7"/>
    <w:rsid w:val="00062C26"/>
    <w:rsid w:val="000656DC"/>
    <w:rsid w:val="00080945"/>
    <w:rsid w:val="00081FBC"/>
    <w:rsid w:val="00087831"/>
    <w:rsid w:val="00096B04"/>
    <w:rsid w:val="000973F0"/>
    <w:rsid w:val="000A0B35"/>
    <w:rsid w:val="000A467D"/>
    <w:rsid w:val="000B3119"/>
    <w:rsid w:val="000D7CBB"/>
    <w:rsid w:val="000E556D"/>
    <w:rsid w:val="00100AAC"/>
    <w:rsid w:val="00105AA7"/>
    <w:rsid w:val="00106316"/>
    <w:rsid w:val="00110127"/>
    <w:rsid w:val="00130399"/>
    <w:rsid w:val="00133F80"/>
    <w:rsid w:val="001429EA"/>
    <w:rsid w:val="00142EE9"/>
    <w:rsid w:val="00155BA7"/>
    <w:rsid w:val="00165807"/>
    <w:rsid w:val="001918F8"/>
    <w:rsid w:val="001B7627"/>
    <w:rsid w:val="001D48F4"/>
    <w:rsid w:val="001E3DA1"/>
    <w:rsid w:val="00203E65"/>
    <w:rsid w:val="00224321"/>
    <w:rsid w:val="00235923"/>
    <w:rsid w:val="00267797"/>
    <w:rsid w:val="00276DCA"/>
    <w:rsid w:val="0028654E"/>
    <w:rsid w:val="0028722C"/>
    <w:rsid w:val="00290F85"/>
    <w:rsid w:val="002953B3"/>
    <w:rsid w:val="002A1D69"/>
    <w:rsid w:val="002B78F7"/>
    <w:rsid w:val="002D5AD4"/>
    <w:rsid w:val="002D7EF2"/>
    <w:rsid w:val="002E45D1"/>
    <w:rsid w:val="002F0A72"/>
    <w:rsid w:val="00300B61"/>
    <w:rsid w:val="00302015"/>
    <w:rsid w:val="00332B80"/>
    <w:rsid w:val="00335152"/>
    <w:rsid w:val="0033789C"/>
    <w:rsid w:val="00345126"/>
    <w:rsid w:val="00350452"/>
    <w:rsid w:val="00351856"/>
    <w:rsid w:val="003559D4"/>
    <w:rsid w:val="00362B11"/>
    <w:rsid w:val="003906D6"/>
    <w:rsid w:val="003910C4"/>
    <w:rsid w:val="003950E9"/>
    <w:rsid w:val="003A2B6D"/>
    <w:rsid w:val="003A497B"/>
    <w:rsid w:val="003A7B49"/>
    <w:rsid w:val="003B355D"/>
    <w:rsid w:val="003C1577"/>
    <w:rsid w:val="003D34B5"/>
    <w:rsid w:val="003E0070"/>
    <w:rsid w:val="003E06CA"/>
    <w:rsid w:val="003E0810"/>
    <w:rsid w:val="003E3F5D"/>
    <w:rsid w:val="003F4FA2"/>
    <w:rsid w:val="003F61D9"/>
    <w:rsid w:val="004120D0"/>
    <w:rsid w:val="00421560"/>
    <w:rsid w:val="00425D89"/>
    <w:rsid w:val="0044303C"/>
    <w:rsid w:val="0044526D"/>
    <w:rsid w:val="00494A0C"/>
    <w:rsid w:val="004A4360"/>
    <w:rsid w:val="004B1AA3"/>
    <w:rsid w:val="004B1AFE"/>
    <w:rsid w:val="004B2B91"/>
    <w:rsid w:val="004C6D4B"/>
    <w:rsid w:val="004D28D3"/>
    <w:rsid w:val="004E742C"/>
    <w:rsid w:val="004F184E"/>
    <w:rsid w:val="004F3892"/>
    <w:rsid w:val="004F55A6"/>
    <w:rsid w:val="00506771"/>
    <w:rsid w:val="0051748A"/>
    <w:rsid w:val="005269E9"/>
    <w:rsid w:val="00543A7B"/>
    <w:rsid w:val="00545F96"/>
    <w:rsid w:val="005471F9"/>
    <w:rsid w:val="005636E0"/>
    <w:rsid w:val="00595908"/>
    <w:rsid w:val="005B0740"/>
    <w:rsid w:val="005C2082"/>
    <w:rsid w:val="005C3AD1"/>
    <w:rsid w:val="005C4569"/>
    <w:rsid w:val="005D76E7"/>
    <w:rsid w:val="005F1251"/>
    <w:rsid w:val="005F536F"/>
    <w:rsid w:val="005F6015"/>
    <w:rsid w:val="006029E4"/>
    <w:rsid w:val="0061160A"/>
    <w:rsid w:val="00615D1E"/>
    <w:rsid w:val="0062703D"/>
    <w:rsid w:val="00627D31"/>
    <w:rsid w:val="0063429C"/>
    <w:rsid w:val="00634AA1"/>
    <w:rsid w:val="006369C2"/>
    <w:rsid w:val="00643067"/>
    <w:rsid w:val="00646383"/>
    <w:rsid w:val="00680377"/>
    <w:rsid w:val="00691065"/>
    <w:rsid w:val="00696067"/>
    <w:rsid w:val="006A107E"/>
    <w:rsid w:val="006E7D4C"/>
    <w:rsid w:val="00703054"/>
    <w:rsid w:val="00713072"/>
    <w:rsid w:val="00727F2E"/>
    <w:rsid w:val="007317E5"/>
    <w:rsid w:val="00744453"/>
    <w:rsid w:val="00760AA9"/>
    <w:rsid w:val="00760D7F"/>
    <w:rsid w:val="00766CBF"/>
    <w:rsid w:val="0079678F"/>
    <w:rsid w:val="007A0658"/>
    <w:rsid w:val="007A4093"/>
    <w:rsid w:val="007A6404"/>
    <w:rsid w:val="007B437B"/>
    <w:rsid w:val="007C4559"/>
    <w:rsid w:val="007E7F75"/>
    <w:rsid w:val="007F5DF6"/>
    <w:rsid w:val="00803555"/>
    <w:rsid w:val="00805014"/>
    <w:rsid w:val="0081670E"/>
    <w:rsid w:val="0081732B"/>
    <w:rsid w:val="00821850"/>
    <w:rsid w:val="00832358"/>
    <w:rsid w:val="00835CBF"/>
    <w:rsid w:val="00840FB2"/>
    <w:rsid w:val="008410F0"/>
    <w:rsid w:val="008428D4"/>
    <w:rsid w:val="00872C11"/>
    <w:rsid w:val="00881D99"/>
    <w:rsid w:val="00897E0A"/>
    <w:rsid w:val="008A30CA"/>
    <w:rsid w:val="008B177D"/>
    <w:rsid w:val="008C2070"/>
    <w:rsid w:val="008C44D7"/>
    <w:rsid w:val="008C64F7"/>
    <w:rsid w:val="008D3446"/>
    <w:rsid w:val="008F42A1"/>
    <w:rsid w:val="00904E2B"/>
    <w:rsid w:val="00906960"/>
    <w:rsid w:val="00913C2B"/>
    <w:rsid w:val="009208AD"/>
    <w:rsid w:val="00933CD6"/>
    <w:rsid w:val="00934E12"/>
    <w:rsid w:val="009474CC"/>
    <w:rsid w:val="00950C6B"/>
    <w:rsid w:val="00981B37"/>
    <w:rsid w:val="0098486E"/>
    <w:rsid w:val="00997F98"/>
    <w:rsid w:val="009A5973"/>
    <w:rsid w:val="009A63D1"/>
    <w:rsid w:val="009A74FA"/>
    <w:rsid w:val="009B379A"/>
    <w:rsid w:val="009D1E01"/>
    <w:rsid w:val="009D7563"/>
    <w:rsid w:val="009E4B47"/>
    <w:rsid w:val="009F04E8"/>
    <w:rsid w:val="009F378C"/>
    <w:rsid w:val="00A059B7"/>
    <w:rsid w:val="00A06F7D"/>
    <w:rsid w:val="00A167E4"/>
    <w:rsid w:val="00A24DA2"/>
    <w:rsid w:val="00A413E9"/>
    <w:rsid w:val="00A44C90"/>
    <w:rsid w:val="00A47C0A"/>
    <w:rsid w:val="00A60A14"/>
    <w:rsid w:val="00A85B2F"/>
    <w:rsid w:val="00A96508"/>
    <w:rsid w:val="00AB6063"/>
    <w:rsid w:val="00AD4CFD"/>
    <w:rsid w:val="00AE2A9F"/>
    <w:rsid w:val="00AE3D56"/>
    <w:rsid w:val="00B05241"/>
    <w:rsid w:val="00B20EB6"/>
    <w:rsid w:val="00B2125F"/>
    <w:rsid w:val="00B2192A"/>
    <w:rsid w:val="00B32442"/>
    <w:rsid w:val="00B7770A"/>
    <w:rsid w:val="00B8634D"/>
    <w:rsid w:val="00BA3BB8"/>
    <w:rsid w:val="00BB0E4F"/>
    <w:rsid w:val="00BB13AC"/>
    <w:rsid w:val="00BB6C96"/>
    <w:rsid w:val="00BC4C19"/>
    <w:rsid w:val="00BF2286"/>
    <w:rsid w:val="00C10ED7"/>
    <w:rsid w:val="00C2003D"/>
    <w:rsid w:val="00C223FF"/>
    <w:rsid w:val="00C35182"/>
    <w:rsid w:val="00C71A16"/>
    <w:rsid w:val="00C761B3"/>
    <w:rsid w:val="00C82BBD"/>
    <w:rsid w:val="00C93212"/>
    <w:rsid w:val="00C9491A"/>
    <w:rsid w:val="00C96FEC"/>
    <w:rsid w:val="00C977ED"/>
    <w:rsid w:val="00CA5FCE"/>
    <w:rsid w:val="00CD1AA2"/>
    <w:rsid w:val="00CD4851"/>
    <w:rsid w:val="00CD7E62"/>
    <w:rsid w:val="00CE1BC9"/>
    <w:rsid w:val="00CE589A"/>
    <w:rsid w:val="00CF0746"/>
    <w:rsid w:val="00CF5AEE"/>
    <w:rsid w:val="00D002B6"/>
    <w:rsid w:val="00D0341C"/>
    <w:rsid w:val="00D0356E"/>
    <w:rsid w:val="00D06AB0"/>
    <w:rsid w:val="00D16AAE"/>
    <w:rsid w:val="00D21732"/>
    <w:rsid w:val="00D2467B"/>
    <w:rsid w:val="00D30037"/>
    <w:rsid w:val="00D51C32"/>
    <w:rsid w:val="00D543E0"/>
    <w:rsid w:val="00D56416"/>
    <w:rsid w:val="00D64135"/>
    <w:rsid w:val="00D84D5C"/>
    <w:rsid w:val="00D90130"/>
    <w:rsid w:val="00DB0B26"/>
    <w:rsid w:val="00DB7944"/>
    <w:rsid w:val="00DC18A1"/>
    <w:rsid w:val="00DC3769"/>
    <w:rsid w:val="00DC601A"/>
    <w:rsid w:val="00DD633E"/>
    <w:rsid w:val="00DD65C2"/>
    <w:rsid w:val="00DF4A90"/>
    <w:rsid w:val="00E2238D"/>
    <w:rsid w:val="00E30FA7"/>
    <w:rsid w:val="00E3671B"/>
    <w:rsid w:val="00E52DE4"/>
    <w:rsid w:val="00E831D2"/>
    <w:rsid w:val="00EC1A4A"/>
    <w:rsid w:val="00EC5A3E"/>
    <w:rsid w:val="00ED0FBF"/>
    <w:rsid w:val="00F05537"/>
    <w:rsid w:val="00F063EB"/>
    <w:rsid w:val="00F10205"/>
    <w:rsid w:val="00F22F53"/>
    <w:rsid w:val="00F50411"/>
    <w:rsid w:val="00F56638"/>
    <w:rsid w:val="00F56EFA"/>
    <w:rsid w:val="00F64209"/>
    <w:rsid w:val="00F80B76"/>
    <w:rsid w:val="00F81502"/>
    <w:rsid w:val="00F85DA3"/>
    <w:rsid w:val="00FA52A1"/>
    <w:rsid w:val="00FB071F"/>
    <w:rsid w:val="00FC506F"/>
    <w:rsid w:val="00FC57FA"/>
    <w:rsid w:val="00FF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2B4C9"/>
  <w15:chartTrackingRefBased/>
  <w15:docId w15:val="{EBB5279B-6C7D-41C1-9EFE-058CA5609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  <w:ind w:firstLine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69E9"/>
    <w:pPr>
      <w:widowControl w:val="0"/>
      <w:autoSpaceDE w:val="0"/>
      <w:autoSpaceDN w:val="0"/>
      <w:adjustRightInd w:val="0"/>
      <w:spacing w:after="0" w:line="40" w:lineRule="atLeast"/>
      <w:ind w:firstLine="0"/>
      <w:jc w:val="both"/>
    </w:pPr>
    <w:rPr>
      <w:rFonts w:ascii="Calibri" w:eastAsiaTheme="minorEastAsia" w:hAnsi="Calibri" w:cs="Helvetica"/>
      <w:color w:val="000000"/>
      <w:sz w:val="24"/>
      <w:szCs w:val="18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4FA2"/>
    <w:pPr>
      <w:keepNext/>
      <w:keepLines/>
      <w:widowControl/>
      <w:autoSpaceDE/>
      <w:autoSpaceDN/>
      <w:adjustRightInd/>
      <w:spacing w:before="280" w:after="140" w:line="264" w:lineRule="auto"/>
      <w:jc w:val="left"/>
      <w:outlineLvl w:val="0"/>
    </w:pPr>
    <w:rPr>
      <w:rFonts w:asciiTheme="majorHAnsi" w:eastAsiaTheme="majorEastAsia" w:hAnsiTheme="majorHAnsi" w:cstheme="majorBidi"/>
      <w:b/>
      <w:bCs/>
      <w:sz w:val="26"/>
      <w:szCs w:val="28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332B80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32B80"/>
    <w:rPr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130399"/>
    <w:pPr>
      <w:spacing w:before="120" w:line="240" w:lineRule="auto"/>
      <w:jc w:val="center"/>
    </w:pPr>
    <w:rPr>
      <w:rFonts w:ascii="Times New Roman" w:hAnsi="Times New Roman" w:cs="Times New Roman"/>
      <w:b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130399"/>
    <w:rPr>
      <w:rFonts w:ascii="Times New Roman" w:eastAsiaTheme="minorEastAsia" w:hAnsi="Times New Roman" w:cs="Times New Roman"/>
      <w:b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B1AA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1AA3"/>
    <w:rPr>
      <w:rFonts w:ascii="Calibri" w:eastAsiaTheme="minorEastAsia" w:hAnsi="Calibri" w:cs="Helvetica"/>
      <w:color w:val="000000"/>
      <w:sz w:val="24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B1AA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1AA3"/>
    <w:rPr>
      <w:rFonts w:ascii="Calibri" w:eastAsiaTheme="minorEastAsia" w:hAnsi="Calibri" w:cs="Helvetica"/>
      <w:color w:val="000000"/>
      <w:sz w:val="24"/>
      <w:szCs w:val="18"/>
      <w:lang w:eastAsia="pl-PL"/>
    </w:rPr>
  </w:style>
  <w:style w:type="paragraph" w:styleId="Poprawka">
    <w:name w:val="Revision"/>
    <w:hidden/>
    <w:uiPriority w:val="99"/>
    <w:semiHidden/>
    <w:rsid w:val="0028722C"/>
    <w:pPr>
      <w:spacing w:after="0"/>
      <w:ind w:firstLine="0"/>
    </w:pPr>
    <w:rPr>
      <w:rFonts w:ascii="Calibri" w:eastAsiaTheme="minorEastAsia" w:hAnsi="Calibri" w:cs="Helvetica"/>
      <w:color w:val="000000"/>
      <w:sz w:val="24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22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22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2286"/>
    <w:rPr>
      <w:rFonts w:ascii="Calibri" w:eastAsiaTheme="minorEastAsia" w:hAnsi="Calibri" w:cs="Helvetica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22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2286"/>
    <w:rPr>
      <w:rFonts w:ascii="Calibri" w:eastAsiaTheme="minorEastAsia" w:hAnsi="Calibri" w:cs="Helvetica"/>
      <w:b/>
      <w:bCs/>
      <w:color w:val="000000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F4FA2"/>
    <w:rPr>
      <w:rFonts w:asciiTheme="majorHAnsi" w:eastAsiaTheme="majorEastAsia" w:hAnsiTheme="majorHAnsi" w:cstheme="majorBidi"/>
      <w:b/>
      <w:bCs/>
      <w:color w:val="000000"/>
      <w:sz w:val="26"/>
      <w:szCs w:val="28"/>
      <w:lang w:val="en-US"/>
    </w:rPr>
  </w:style>
  <w:style w:type="paragraph" w:styleId="Akapitzlist">
    <w:name w:val="List Paragraph"/>
    <w:basedOn w:val="Normalny"/>
    <w:uiPriority w:val="34"/>
    <w:qFormat/>
    <w:rsid w:val="007130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54192-7188-49C4-8C05-831961CCC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1108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Grzybkowski</dc:creator>
  <cp:keywords/>
  <dc:description/>
  <cp:lastModifiedBy>Markowska Anna</cp:lastModifiedBy>
  <cp:revision>26</cp:revision>
  <dcterms:created xsi:type="dcterms:W3CDTF">2026-09-09T09:12:00Z</dcterms:created>
  <dcterms:modified xsi:type="dcterms:W3CDTF">2026-09-22T18:46:00Z</dcterms:modified>
</cp:coreProperties>
</file>