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A114B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bookmarkStart w:id="0" w:name="_GoBack"/>
      <w:bookmarkEnd w:id="0"/>
      <w:r w:rsidRPr="00A114B2">
        <w:rPr>
          <w:rFonts w:ascii="Verdana" w:hAnsi="Verdana"/>
          <w:b/>
          <w:sz w:val="22"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33451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0C605D" w:rsidRPr="007248F5" w:rsidRDefault="000C605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 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="00F65B52">
        <w:rPr>
          <w:rFonts w:ascii="Verdana" w:hAnsi="Verdana"/>
          <w:b/>
          <w:sz w:val="22"/>
        </w:rPr>
        <w:t>Opis nieruchomości położonych</w:t>
      </w:r>
      <w:r w:rsidRPr="007248F5">
        <w:rPr>
          <w:rFonts w:ascii="Verdana" w:hAnsi="Verdana"/>
          <w:b/>
          <w:sz w:val="22"/>
        </w:rPr>
        <w:t xml:space="preserve"> w Głogowie, ul. </w:t>
      </w:r>
      <w:r w:rsidR="00F65B52">
        <w:rPr>
          <w:rFonts w:ascii="Verdana" w:hAnsi="Verdana"/>
          <w:b/>
          <w:sz w:val="22"/>
        </w:rPr>
        <w:t>Mickiewicza - Browarnej</w:t>
      </w:r>
      <w:r w:rsidRPr="007248F5">
        <w:rPr>
          <w:rFonts w:ascii="Verdana" w:hAnsi="Verdana"/>
          <w:b/>
          <w:sz w:val="22"/>
        </w:rPr>
        <w:t>:</w:t>
      </w:r>
    </w:p>
    <w:p w:rsidR="00345656" w:rsidRPr="00F3583E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Prawo użytkowania wieczystego nieruchomości, obejmującej</w:t>
      </w:r>
      <w:r w:rsidR="00F65B52">
        <w:rPr>
          <w:rFonts w:ascii="Verdana" w:hAnsi="Verdana"/>
          <w:sz w:val="22"/>
        </w:rPr>
        <w:t>:</w:t>
      </w:r>
      <w:r w:rsidRPr="007248F5">
        <w:rPr>
          <w:rFonts w:ascii="Verdana" w:hAnsi="Verdana"/>
          <w:sz w:val="22"/>
        </w:rPr>
        <w:t xml:space="preserve">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="00F65B52">
        <w:rPr>
          <w:rFonts w:ascii="Verdana" w:hAnsi="Verdana"/>
          <w:sz w:val="22"/>
        </w:rPr>
        <w:t>o numerze ewidencyjnym  108 (o powierzchni 8 717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</w:t>
      </w:r>
      <w:r w:rsidR="00F3583E">
        <w:rPr>
          <w:rFonts w:ascii="Verdana" w:hAnsi="Verdana"/>
          <w:sz w:val="22"/>
        </w:rPr>
        <w:t xml:space="preserve"> obręb 1-Nadodrze</w:t>
      </w:r>
      <w:r w:rsidRPr="007248F5">
        <w:rPr>
          <w:rFonts w:ascii="Verdana" w:hAnsi="Verdana"/>
          <w:sz w:val="22"/>
        </w:rPr>
        <w:t xml:space="preserve"> wraz z</w:t>
      </w:r>
      <w:r w:rsidR="007E6B8A">
        <w:rPr>
          <w:rFonts w:ascii="Verdana" w:hAnsi="Verdana"/>
          <w:sz w:val="22"/>
        </w:rPr>
        <w:t>e</w:t>
      </w:r>
      <w:r w:rsidRPr="007248F5">
        <w:rPr>
          <w:rFonts w:ascii="Verdana" w:hAnsi="Verdana"/>
          <w:sz w:val="22"/>
        </w:rPr>
        <w:t xml:space="preserve"> znajdującym</w:t>
      </w:r>
      <w:r w:rsidR="00F65B52">
        <w:rPr>
          <w:rFonts w:ascii="Verdana" w:hAnsi="Verdana"/>
          <w:sz w:val="22"/>
        </w:rPr>
        <w:t>i się na jej terenie budynka</w:t>
      </w:r>
      <w:r w:rsidRPr="007248F5">
        <w:rPr>
          <w:rFonts w:ascii="Verdana" w:hAnsi="Verdana"/>
          <w:sz w:val="22"/>
        </w:rPr>
        <w:t>m</w:t>
      </w:r>
      <w:r w:rsidR="00F65B52">
        <w:rPr>
          <w:rFonts w:ascii="Verdana" w:hAnsi="Verdana"/>
          <w:sz w:val="22"/>
        </w:rPr>
        <w:t>i</w:t>
      </w:r>
      <w:r w:rsidRPr="007248F5">
        <w:rPr>
          <w:rFonts w:ascii="Verdana" w:hAnsi="Verdana"/>
          <w:sz w:val="22"/>
        </w:rPr>
        <w:t>, położone</w:t>
      </w:r>
      <w:r w:rsidR="00A114B2">
        <w:rPr>
          <w:rFonts w:ascii="Verdana" w:hAnsi="Verdana"/>
          <w:sz w:val="22"/>
        </w:rPr>
        <w:t>j</w:t>
      </w:r>
      <w:r w:rsidRPr="007248F5">
        <w:rPr>
          <w:rFonts w:ascii="Verdana" w:hAnsi="Verdana"/>
          <w:sz w:val="22"/>
        </w:rPr>
        <w:t xml:space="preserve"> w Głogowie, 67-200 </w:t>
      </w:r>
      <w:r w:rsidR="00F3583E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 xml:space="preserve">Głogów, ul. </w:t>
      </w:r>
      <w:r w:rsidR="00F65B52">
        <w:rPr>
          <w:rFonts w:ascii="Verdana" w:hAnsi="Verdana"/>
          <w:sz w:val="22"/>
        </w:rPr>
        <w:t xml:space="preserve">Mickiewicza 48a oraz działkę gruntu o numerze ewidencyjnym 107 </w:t>
      </w:r>
      <w:r w:rsidR="00F3583E">
        <w:rPr>
          <w:rFonts w:ascii="Verdana" w:hAnsi="Verdana"/>
          <w:sz w:val="22"/>
        </w:rPr>
        <w:t xml:space="preserve">             </w:t>
      </w:r>
      <w:r w:rsidR="00F65B52">
        <w:rPr>
          <w:rFonts w:ascii="Verdana" w:hAnsi="Verdana"/>
          <w:sz w:val="22"/>
        </w:rPr>
        <w:t>(o powierzchni 992m</w:t>
      </w:r>
      <w:r w:rsidR="00F65B52">
        <w:rPr>
          <w:rFonts w:ascii="Verdana" w:hAnsi="Verdana"/>
          <w:sz w:val="22"/>
          <w:vertAlign w:val="superscript"/>
        </w:rPr>
        <w:t>2</w:t>
      </w:r>
      <w:r w:rsidR="00F3583E">
        <w:rPr>
          <w:rFonts w:ascii="Verdana" w:hAnsi="Verdana"/>
          <w:sz w:val="22"/>
        </w:rPr>
        <w:t xml:space="preserve">) obręb 1 Nadodrze </w:t>
      </w:r>
      <w:r w:rsidR="00F3583E" w:rsidRPr="007248F5">
        <w:rPr>
          <w:rFonts w:ascii="Verdana" w:hAnsi="Verdana"/>
          <w:sz w:val="22"/>
        </w:rPr>
        <w:t>wraz z</w:t>
      </w:r>
      <w:r w:rsidR="00F3583E">
        <w:rPr>
          <w:rFonts w:ascii="Verdana" w:hAnsi="Verdana"/>
          <w:sz w:val="22"/>
        </w:rPr>
        <w:t>e</w:t>
      </w:r>
      <w:r w:rsidR="00F3583E" w:rsidRPr="007248F5">
        <w:rPr>
          <w:rFonts w:ascii="Verdana" w:hAnsi="Verdana"/>
          <w:sz w:val="22"/>
        </w:rPr>
        <w:t xml:space="preserve"> znajdującym</w:t>
      </w:r>
      <w:r w:rsidR="00F3583E">
        <w:rPr>
          <w:rFonts w:ascii="Verdana" w:hAnsi="Verdana"/>
          <w:sz w:val="22"/>
        </w:rPr>
        <w:t xml:space="preserve"> się na jej terenie budynk</w:t>
      </w:r>
      <w:r w:rsidR="00A114B2">
        <w:rPr>
          <w:rFonts w:ascii="Verdana" w:hAnsi="Verdana"/>
          <w:sz w:val="22"/>
        </w:rPr>
        <w:t>ie</w:t>
      </w:r>
      <w:r w:rsidR="00F3583E" w:rsidRPr="007248F5">
        <w:rPr>
          <w:rFonts w:ascii="Verdana" w:hAnsi="Verdana"/>
          <w:sz w:val="22"/>
        </w:rPr>
        <w:t xml:space="preserve">m, </w:t>
      </w:r>
      <w:r w:rsidR="00F3583E">
        <w:rPr>
          <w:rFonts w:ascii="Verdana" w:hAnsi="Verdana"/>
          <w:sz w:val="22"/>
        </w:rPr>
        <w:t>położone</w:t>
      </w:r>
      <w:r w:rsidR="00A114B2">
        <w:rPr>
          <w:rFonts w:ascii="Verdana" w:hAnsi="Verdana"/>
          <w:sz w:val="22"/>
        </w:rPr>
        <w:t>j</w:t>
      </w:r>
      <w:r w:rsidR="00F3583E">
        <w:rPr>
          <w:rFonts w:ascii="Verdana" w:hAnsi="Verdana"/>
          <w:sz w:val="22"/>
        </w:rPr>
        <w:t xml:space="preserve"> w Głogowie, 67-200 </w:t>
      </w:r>
      <w:r w:rsidR="00F3583E" w:rsidRPr="007248F5">
        <w:rPr>
          <w:rFonts w:ascii="Verdana" w:hAnsi="Verdana"/>
          <w:sz w:val="22"/>
        </w:rPr>
        <w:t>Głogów, ul.</w:t>
      </w:r>
      <w:r w:rsidR="00F3583E">
        <w:rPr>
          <w:rFonts w:ascii="Verdana" w:hAnsi="Verdana"/>
          <w:sz w:val="22"/>
        </w:rPr>
        <w:t xml:space="preserve"> Browarna.</w:t>
      </w:r>
    </w:p>
    <w:p w:rsidR="000C37B0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 xml:space="preserve">Prawo </w:t>
      </w:r>
      <w:r w:rsidR="00DC6746">
        <w:rPr>
          <w:rFonts w:ascii="Verdana" w:hAnsi="Verdana"/>
          <w:sz w:val="22"/>
        </w:rPr>
        <w:t>własności budynków</w:t>
      </w:r>
      <w:r w:rsidR="006601D8">
        <w:rPr>
          <w:rFonts w:ascii="Verdana" w:hAnsi="Verdana"/>
          <w:sz w:val="22"/>
        </w:rPr>
        <w:t xml:space="preserve"> </w:t>
      </w:r>
      <w:r w:rsidR="00DC6746">
        <w:rPr>
          <w:rFonts w:ascii="Verdana" w:hAnsi="Verdana"/>
          <w:sz w:val="22"/>
        </w:rPr>
        <w:t xml:space="preserve">usytuowanych </w:t>
      </w:r>
      <w:r w:rsidR="006601D8">
        <w:rPr>
          <w:rFonts w:ascii="Verdana" w:hAnsi="Verdana"/>
          <w:sz w:val="22"/>
        </w:rPr>
        <w:t>na działce o numerze ewidencyjnym 108</w:t>
      </w:r>
      <w:r w:rsidR="000C37B0" w:rsidRPr="007248F5">
        <w:rPr>
          <w:rFonts w:ascii="Verdana" w:hAnsi="Verdana"/>
          <w:sz w:val="22"/>
        </w:rPr>
        <w:t>:</w:t>
      </w:r>
      <w:r w:rsidR="006601D8">
        <w:rPr>
          <w:rFonts w:ascii="Verdana" w:hAnsi="Verdana"/>
          <w:sz w:val="22"/>
        </w:rPr>
        <w:t xml:space="preserve"> hala napraw</w:t>
      </w:r>
      <w:r w:rsidR="00DC6746">
        <w:rPr>
          <w:rFonts w:ascii="Verdana" w:hAnsi="Verdana"/>
          <w:sz w:val="22"/>
        </w:rPr>
        <w:t xml:space="preserve"> o kubaturze</w:t>
      </w:r>
      <w:r w:rsidR="006601D8">
        <w:rPr>
          <w:rFonts w:ascii="Verdana" w:hAnsi="Verdana"/>
          <w:sz w:val="22"/>
        </w:rPr>
        <w:t xml:space="preserve"> </w:t>
      </w:r>
      <w:r w:rsidR="00DC6746">
        <w:rPr>
          <w:rFonts w:ascii="Verdana" w:hAnsi="Verdana"/>
          <w:sz w:val="22"/>
        </w:rPr>
        <w:t xml:space="preserve"> 4 772m</w:t>
      </w:r>
      <w:r w:rsidR="00DC6746">
        <w:rPr>
          <w:rFonts w:ascii="Verdana" w:hAnsi="Verdana"/>
          <w:sz w:val="22"/>
          <w:vertAlign w:val="superscript"/>
        </w:rPr>
        <w:t>3</w:t>
      </w:r>
      <w:r w:rsidR="00DC6746">
        <w:rPr>
          <w:rFonts w:ascii="Verdana" w:hAnsi="Verdana"/>
          <w:sz w:val="22"/>
        </w:rPr>
        <w:t xml:space="preserve">, warsztat napraw samochodów </w:t>
      </w:r>
      <w:r w:rsidR="008F402C">
        <w:rPr>
          <w:rFonts w:ascii="Verdana" w:hAnsi="Verdana"/>
          <w:sz w:val="22"/>
        </w:rPr>
        <w:t xml:space="preserve">                           </w:t>
      </w:r>
      <w:r w:rsidR="00DC6746">
        <w:rPr>
          <w:rFonts w:ascii="Verdana" w:hAnsi="Verdana"/>
          <w:sz w:val="22"/>
        </w:rPr>
        <w:t>o kubaturze 1 421m</w:t>
      </w:r>
      <w:r w:rsidR="00DC6746">
        <w:rPr>
          <w:rFonts w:ascii="Verdana" w:hAnsi="Verdana"/>
          <w:sz w:val="22"/>
          <w:vertAlign w:val="superscript"/>
        </w:rPr>
        <w:t>3</w:t>
      </w:r>
      <w:r w:rsidR="00DC6746">
        <w:rPr>
          <w:rFonts w:ascii="Verdana" w:hAnsi="Verdana"/>
          <w:sz w:val="22"/>
        </w:rPr>
        <w:t>, wiata magazynowa o kubaturze 848m</w:t>
      </w:r>
      <w:r w:rsidR="00DC6746">
        <w:rPr>
          <w:rFonts w:ascii="Verdana" w:hAnsi="Verdana"/>
          <w:sz w:val="22"/>
          <w:vertAlign w:val="superscript"/>
        </w:rPr>
        <w:t>3</w:t>
      </w:r>
      <w:r w:rsidR="00DC6746">
        <w:rPr>
          <w:rFonts w:ascii="Verdana" w:hAnsi="Verdana"/>
          <w:sz w:val="22"/>
        </w:rPr>
        <w:t>, garaże o kubaturze 427m</w:t>
      </w:r>
      <w:r w:rsidR="00DC6746">
        <w:rPr>
          <w:rFonts w:ascii="Verdana" w:hAnsi="Verdana"/>
          <w:sz w:val="22"/>
          <w:vertAlign w:val="superscript"/>
        </w:rPr>
        <w:t>3</w:t>
      </w:r>
      <w:r w:rsidR="00DC6746">
        <w:rPr>
          <w:rFonts w:ascii="Verdana" w:hAnsi="Verdana"/>
          <w:sz w:val="22"/>
        </w:rPr>
        <w:t>, budynek administracyjno-socjalny o kubaturze 1 069m</w:t>
      </w:r>
      <w:r w:rsidR="00DC6746">
        <w:rPr>
          <w:rFonts w:ascii="Verdana" w:hAnsi="Verdana"/>
          <w:sz w:val="22"/>
          <w:vertAlign w:val="superscript"/>
        </w:rPr>
        <w:t>3</w:t>
      </w:r>
      <w:r w:rsidR="006601D8">
        <w:rPr>
          <w:rFonts w:ascii="Verdana" w:hAnsi="Verdana"/>
          <w:sz w:val="22"/>
        </w:rPr>
        <w:t xml:space="preserve"> </w:t>
      </w:r>
      <w:r w:rsidR="00DC6746">
        <w:rPr>
          <w:rFonts w:ascii="Verdana" w:hAnsi="Verdana"/>
          <w:sz w:val="22"/>
        </w:rPr>
        <w:t xml:space="preserve">oraz prawo </w:t>
      </w:r>
      <w:r w:rsidR="008F402C">
        <w:rPr>
          <w:rFonts w:ascii="Verdana" w:hAnsi="Verdana"/>
          <w:sz w:val="22"/>
        </w:rPr>
        <w:t xml:space="preserve">                   </w:t>
      </w:r>
      <w:r w:rsidR="00DC6746">
        <w:rPr>
          <w:rFonts w:ascii="Verdana" w:hAnsi="Verdana"/>
          <w:sz w:val="22"/>
        </w:rPr>
        <w:t>własności budynków usytuowanych na działce 107:bud</w:t>
      </w:r>
      <w:r w:rsidR="008F402C">
        <w:rPr>
          <w:rFonts w:ascii="Verdana" w:hAnsi="Verdana"/>
          <w:sz w:val="22"/>
        </w:rPr>
        <w:t>ynek produkcyjny                  o powierzchni 292</w:t>
      </w:r>
      <w:r w:rsidR="00DC6746">
        <w:rPr>
          <w:rFonts w:ascii="Verdana" w:hAnsi="Verdana"/>
          <w:sz w:val="22"/>
        </w:rPr>
        <w:t>m</w:t>
      </w:r>
      <w:r w:rsidR="00DC6746">
        <w:rPr>
          <w:rFonts w:ascii="Verdana" w:hAnsi="Verdana"/>
          <w:sz w:val="22"/>
          <w:vertAlign w:val="superscript"/>
        </w:rPr>
        <w:t>2</w:t>
      </w:r>
      <w:r w:rsidR="00DC6746">
        <w:rPr>
          <w:rFonts w:ascii="Verdana" w:hAnsi="Verdana"/>
          <w:sz w:val="22"/>
        </w:rPr>
        <w:t>, biurowiec o powierzchni 33m</w:t>
      </w:r>
      <w:r w:rsidR="00DC6746">
        <w:rPr>
          <w:rFonts w:ascii="Verdana" w:hAnsi="Verdana"/>
          <w:sz w:val="22"/>
          <w:vertAlign w:val="superscript"/>
        </w:rPr>
        <w:t>2</w:t>
      </w:r>
      <w:r w:rsidR="00DC6746">
        <w:rPr>
          <w:rFonts w:ascii="Verdana" w:hAnsi="Verdana"/>
          <w:sz w:val="22"/>
        </w:rPr>
        <w:t xml:space="preserve">, budynek gospodarczy </w:t>
      </w:r>
      <w:r w:rsidR="008F402C">
        <w:rPr>
          <w:rFonts w:ascii="Verdana" w:hAnsi="Verdana"/>
          <w:sz w:val="22"/>
        </w:rPr>
        <w:t xml:space="preserve">            </w:t>
      </w:r>
      <w:r w:rsidR="00DC6746">
        <w:rPr>
          <w:rFonts w:ascii="Verdana" w:hAnsi="Verdana"/>
          <w:sz w:val="22"/>
        </w:rPr>
        <w:t>o powierzchni 5m</w:t>
      </w:r>
      <w:r w:rsidR="00DC6746">
        <w:rPr>
          <w:rFonts w:ascii="Verdana" w:hAnsi="Verdana"/>
          <w:sz w:val="22"/>
          <w:vertAlign w:val="superscript"/>
        </w:rPr>
        <w:t>2</w:t>
      </w:r>
      <w:r w:rsidR="00DC6746">
        <w:rPr>
          <w:rFonts w:ascii="Verdana" w:hAnsi="Verdana"/>
          <w:sz w:val="22"/>
        </w:rPr>
        <w:t>, budynek gospodarczy o powierzchni 19m</w:t>
      </w:r>
      <w:r w:rsidR="00DC6746">
        <w:rPr>
          <w:rFonts w:ascii="Verdana" w:hAnsi="Verdana"/>
          <w:sz w:val="22"/>
          <w:vertAlign w:val="superscript"/>
        </w:rPr>
        <w:t>2</w:t>
      </w:r>
      <w:r w:rsidR="00DC6746">
        <w:rPr>
          <w:rFonts w:ascii="Verdana" w:hAnsi="Verdana"/>
          <w:sz w:val="22"/>
        </w:rPr>
        <w:t xml:space="preserve">, budynek handlowo-usługowy id. 1358, budynek handlowo-usługowy id. 1365 oraz urządzeń: wiata </w:t>
      </w:r>
      <w:r w:rsidR="008F402C">
        <w:rPr>
          <w:rFonts w:ascii="Verdana" w:hAnsi="Verdana"/>
          <w:sz w:val="22"/>
        </w:rPr>
        <w:t xml:space="preserve">            </w:t>
      </w:r>
      <w:r w:rsidR="00DC6746">
        <w:rPr>
          <w:rFonts w:ascii="Verdana" w:hAnsi="Verdana"/>
          <w:sz w:val="22"/>
        </w:rPr>
        <w:t>o powierzchni 4</w:t>
      </w:r>
      <w:r w:rsidR="008F402C">
        <w:rPr>
          <w:rFonts w:ascii="Verdana" w:hAnsi="Verdana"/>
          <w:sz w:val="22"/>
        </w:rPr>
        <w:t>m</w:t>
      </w:r>
      <w:r w:rsidR="00DC6746">
        <w:rPr>
          <w:rFonts w:ascii="Verdana" w:hAnsi="Verdana"/>
          <w:sz w:val="22"/>
          <w:vertAlign w:val="superscript"/>
        </w:rPr>
        <w:t>2</w:t>
      </w:r>
      <w:r w:rsidR="008F402C">
        <w:rPr>
          <w:rFonts w:ascii="Verdana" w:hAnsi="Verdana"/>
          <w:sz w:val="22"/>
        </w:rPr>
        <w:t>, w</w:t>
      </w:r>
      <w:r w:rsidR="000C605D">
        <w:rPr>
          <w:rFonts w:ascii="Verdana" w:hAnsi="Verdana"/>
          <w:sz w:val="22"/>
        </w:rPr>
        <w:t>pisany</w:t>
      </w:r>
      <w:r w:rsidR="008D01B6">
        <w:rPr>
          <w:rFonts w:ascii="Verdana" w:hAnsi="Verdana"/>
          <w:sz w:val="22"/>
        </w:rPr>
        <w:t>ch</w:t>
      </w:r>
      <w:r w:rsidR="000C605D">
        <w:rPr>
          <w:rFonts w:ascii="Verdana" w:hAnsi="Verdana"/>
          <w:sz w:val="22"/>
        </w:rPr>
        <w:t xml:space="preserve"> do księgi wiec</w:t>
      </w:r>
      <w:r w:rsidR="008D01B6">
        <w:rPr>
          <w:rFonts w:ascii="Verdana" w:hAnsi="Verdana"/>
          <w:sz w:val="22"/>
        </w:rPr>
        <w:t>zystej nr: KW o nr LE1G/00025248/2 ( dz. 108) i KW o nr LE1G/00028879/5</w:t>
      </w:r>
      <w:r w:rsidR="00FA2200">
        <w:rPr>
          <w:rFonts w:ascii="Verdana" w:hAnsi="Verdana"/>
          <w:sz w:val="22"/>
        </w:rPr>
        <w:t xml:space="preserve"> (dz. 107) </w:t>
      </w:r>
      <w:r w:rsidR="008D01B6">
        <w:rPr>
          <w:rFonts w:ascii="Verdana" w:hAnsi="Verdana"/>
          <w:sz w:val="22"/>
        </w:rPr>
        <w:t>prowadzonych</w:t>
      </w:r>
      <w:r w:rsidR="000C605D">
        <w:rPr>
          <w:rFonts w:ascii="Verdana" w:hAnsi="Verdana"/>
          <w:sz w:val="22"/>
        </w:rPr>
        <w:t xml:space="preserve"> przez</w:t>
      </w:r>
      <w:r w:rsidR="008D01B6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>Wydział Ksiąg Wieczystych, Sąd</w:t>
      </w:r>
      <w:r w:rsidR="000C605D">
        <w:rPr>
          <w:rFonts w:ascii="Verdana" w:hAnsi="Verdana"/>
          <w:sz w:val="22"/>
        </w:rPr>
        <w:t>u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>Rejonowego</w:t>
      </w:r>
      <w:r w:rsidR="008F402C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8D01B6">
        <w:rPr>
          <w:rFonts w:ascii="Verdana" w:hAnsi="Verdana"/>
          <w:sz w:val="22"/>
        </w:rPr>
        <w:t xml:space="preserve"> Nieruchomości</w:t>
      </w:r>
      <w:r w:rsidR="000C37B0" w:rsidRPr="007248F5">
        <w:rPr>
          <w:rFonts w:ascii="Verdana" w:hAnsi="Verdana"/>
          <w:sz w:val="22"/>
        </w:rPr>
        <w:t xml:space="preserve"> sta</w:t>
      </w:r>
      <w:r w:rsidR="008D01B6">
        <w:rPr>
          <w:rFonts w:ascii="Verdana" w:hAnsi="Verdana"/>
          <w:sz w:val="22"/>
        </w:rPr>
        <w:t>n</w:t>
      </w:r>
      <w:r w:rsidR="00E276C4" w:rsidRPr="007248F5">
        <w:rPr>
          <w:rFonts w:ascii="Verdana" w:hAnsi="Verdana"/>
          <w:sz w:val="22"/>
        </w:rPr>
        <w:t>owi</w:t>
      </w:r>
      <w:r w:rsidR="008D01B6">
        <w:rPr>
          <w:rFonts w:ascii="Verdana" w:hAnsi="Verdana"/>
          <w:sz w:val="22"/>
        </w:rPr>
        <w:t>ą</w:t>
      </w:r>
      <w:r w:rsidR="00E276C4" w:rsidRPr="007248F5">
        <w:rPr>
          <w:rFonts w:ascii="Verdana" w:hAnsi="Verdana"/>
          <w:sz w:val="22"/>
        </w:rPr>
        <w:t xml:space="preserve"> </w:t>
      </w:r>
      <w:r w:rsidR="008F402C">
        <w:rPr>
          <w:rFonts w:ascii="Verdana" w:hAnsi="Verdana"/>
          <w:sz w:val="22"/>
        </w:rPr>
        <w:t xml:space="preserve">              </w:t>
      </w:r>
      <w:r w:rsidR="00E276C4" w:rsidRPr="007248F5">
        <w:rPr>
          <w:rFonts w:ascii="Verdana" w:hAnsi="Verdana"/>
          <w:sz w:val="22"/>
        </w:rPr>
        <w:t>własność</w:t>
      </w:r>
      <w:r w:rsidR="000C605D">
        <w:rPr>
          <w:rFonts w:ascii="Verdana" w:hAnsi="Verdana"/>
          <w:sz w:val="22"/>
        </w:rPr>
        <w:t xml:space="preserve"> Skarbu Państwa</w:t>
      </w:r>
      <w:r w:rsidR="008D01B6">
        <w:rPr>
          <w:rFonts w:ascii="Verdana" w:hAnsi="Verdana"/>
          <w:sz w:val="22"/>
        </w:rPr>
        <w:t xml:space="preserve"> (dz. 108) i Gminy Miejskiej Głogów (dz. 107)</w:t>
      </w:r>
      <w:r w:rsidR="000C605D">
        <w:rPr>
          <w:rFonts w:ascii="Verdana" w:hAnsi="Verdana"/>
          <w:sz w:val="22"/>
        </w:rPr>
        <w:t xml:space="preserve"> i pozostaj</w:t>
      </w:r>
      <w:r w:rsidR="00FA2200">
        <w:rPr>
          <w:rFonts w:ascii="Verdana" w:hAnsi="Verdana"/>
          <w:sz w:val="22"/>
        </w:rPr>
        <w:t>ą</w:t>
      </w:r>
      <w:r w:rsidR="000C605D">
        <w:rPr>
          <w:rFonts w:ascii="Verdana" w:hAnsi="Verdana"/>
          <w:sz w:val="22"/>
        </w:rPr>
        <w:t xml:space="preserve"> w</w:t>
      </w:r>
      <w:r w:rsidR="008D01B6">
        <w:rPr>
          <w:rFonts w:ascii="Verdana" w:hAnsi="Verdana"/>
          <w:sz w:val="22"/>
        </w:rPr>
        <w:t xml:space="preserve"> użytkowaniu </w:t>
      </w:r>
      <w:r w:rsidR="000C605D">
        <w:rPr>
          <w:rFonts w:ascii="Verdana" w:hAnsi="Verdana"/>
          <w:sz w:val="22"/>
        </w:rPr>
        <w:t>wieczystym</w:t>
      </w:r>
      <w:r w:rsidR="00E276C4" w:rsidRPr="007248F5">
        <w:rPr>
          <w:rFonts w:ascii="Verdana" w:hAnsi="Verdana"/>
          <w:sz w:val="22"/>
        </w:rPr>
        <w:t xml:space="preserve"> MERCUS Logistyka S</w:t>
      </w:r>
      <w:r w:rsidR="00FA2200">
        <w:rPr>
          <w:rFonts w:ascii="Verdana" w:hAnsi="Verdana"/>
          <w:sz w:val="22"/>
        </w:rPr>
        <w:t xml:space="preserve">p. </w:t>
      </w:r>
      <w:r w:rsidR="000C37B0" w:rsidRPr="007248F5">
        <w:rPr>
          <w:rFonts w:ascii="Verdana" w:hAnsi="Verdana"/>
          <w:sz w:val="22"/>
        </w:rPr>
        <w:t>z o.o.,</w:t>
      </w:r>
      <w:r w:rsidR="000C605D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należącej do Grupy </w:t>
      </w:r>
      <w:r w:rsidR="008F402C">
        <w:rPr>
          <w:rFonts w:ascii="Verdana" w:hAnsi="Verdana"/>
          <w:sz w:val="22"/>
        </w:rPr>
        <w:t xml:space="preserve">              </w:t>
      </w:r>
      <w:r w:rsidR="000C37B0" w:rsidRPr="007248F5">
        <w:rPr>
          <w:rFonts w:ascii="Verdana" w:hAnsi="Verdana"/>
          <w:sz w:val="22"/>
        </w:rPr>
        <w:t xml:space="preserve">Kapitałowej KGHM Polska Miedź S.A. </w:t>
      </w:r>
    </w:p>
    <w:p w:rsidR="00701638" w:rsidRDefault="00701638" w:rsidP="00701638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Na terenie sprzedawanych nieruchomości prowadzona jest działalność                  przez Najemców:</w:t>
      </w:r>
    </w:p>
    <w:p w:rsidR="00701638" w:rsidRDefault="00701638" w:rsidP="00701638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T-MOBILE S.A. – maszt antenowy, umowa zawarta na czas oznaczony do 26 stycznia 2026r.,</w:t>
      </w:r>
    </w:p>
    <w:p w:rsidR="00701638" w:rsidRPr="002D119C" w:rsidRDefault="00701638" w:rsidP="00701638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NETIA S.A. </w:t>
      </w:r>
      <w:r w:rsidR="00F65B52">
        <w:rPr>
          <w:rFonts w:ascii="Verdana" w:hAnsi="Verdana"/>
          <w:sz w:val="22"/>
        </w:rPr>
        <w:t>–</w:t>
      </w:r>
      <w:r>
        <w:rPr>
          <w:rFonts w:ascii="Verdana" w:hAnsi="Verdana"/>
          <w:sz w:val="22"/>
        </w:rPr>
        <w:t xml:space="preserve"> </w:t>
      </w:r>
      <w:r w:rsidR="00F65B52">
        <w:rPr>
          <w:rFonts w:ascii="Verdana" w:hAnsi="Verdana"/>
          <w:sz w:val="22"/>
        </w:rPr>
        <w:t>kontener telekomunikacyjny, umowa zawarta na czas             nieoznaczony</w:t>
      </w:r>
      <w:r w:rsidR="00FA2200">
        <w:rPr>
          <w:rFonts w:ascii="Verdana" w:hAnsi="Verdana"/>
          <w:sz w:val="22"/>
        </w:rPr>
        <w:t>.</w:t>
      </w:r>
    </w:p>
    <w:p w:rsidR="009579B9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>Z</w:t>
      </w:r>
      <w:r w:rsidR="009579B9">
        <w:rPr>
          <w:rFonts w:ascii="Verdana" w:eastAsia="Times New Roman" w:hAnsi="Verdana" w:cs="Arial"/>
          <w:sz w:val="22"/>
          <w:lang w:eastAsia="pl-PL"/>
        </w:rPr>
        <w:t xml:space="preserve">godnie z </w:t>
      </w:r>
      <w:r w:rsidRPr="007248F5">
        <w:rPr>
          <w:rFonts w:ascii="Verdana" w:eastAsia="Times New Roman" w:hAnsi="Verdana" w:cs="Arial"/>
          <w:sz w:val="22"/>
          <w:lang w:eastAsia="pl-PL"/>
        </w:rPr>
        <w:t>Uchwał</w:t>
      </w:r>
      <w:r w:rsidR="009579B9">
        <w:rPr>
          <w:rFonts w:ascii="Verdana" w:eastAsia="Times New Roman" w:hAnsi="Verdana" w:cs="Arial"/>
          <w:sz w:val="22"/>
          <w:lang w:eastAsia="pl-PL"/>
        </w:rPr>
        <w:t xml:space="preserve">ą Nr XXI/295/2000 Rady Miejskiej w Głogowie z dnia 19 września 2000r. w sprawie uchwalenia miejscowego planu zagospodarowania </w:t>
      </w:r>
      <w:r w:rsidR="00A114B2">
        <w:rPr>
          <w:rFonts w:ascii="Verdana" w:eastAsia="Times New Roman" w:hAnsi="Verdana" w:cs="Arial"/>
          <w:sz w:val="22"/>
          <w:lang w:eastAsia="pl-PL"/>
        </w:rPr>
        <w:t xml:space="preserve">                                 </w:t>
      </w:r>
      <w:r w:rsidR="009579B9">
        <w:rPr>
          <w:rFonts w:ascii="Verdana" w:eastAsia="Times New Roman" w:hAnsi="Verdana" w:cs="Arial"/>
          <w:sz w:val="22"/>
          <w:lang w:eastAsia="pl-PL"/>
        </w:rPr>
        <w:t>przestrzennego Śródmiejskich Terenów Nadodrzańskich w Głogowie, zmienioną Uchwałą Nr XXX/233/20 Rady Miejskiej w Głogowie z dnia 29 września 2020r., nieruchomość oznaczona jest symbolem 22PU,P,S.A dla których ustalono:</w:t>
      </w:r>
    </w:p>
    <w:p w:rsidR="009579B9" w:rsidRDefault="009579B9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>1/ Przeznaczenie terenu na usługi, produkcję, składy, administrację, handel;</w:t>
      </w:r>
    </w:p>
    <w:p w:rsidR="009579B9" w:rsidRDefault="009579B9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>2/ Dopuszcza się rozbudowę lub modernizację istniejących budynków;</w:t>
      </w:r>
    </w:p>
    <w:p w:rsidR="00A114B2" w:rsidRDefault="00A114B2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 xml:space="preserve">3/ </w:t>
      </w:r>
      <w:r w:rsidR="009579B9">
        <w:rPr>
          <w:rFonts w:ascii="Verdana" w:eastAsia="Times New Roman" w:hAnsi="Verdana" w:cs="Arial"/>
          <w:sz w:val="22"/>
          <w:lang w:eastAsia="pl-PL"/>
        </w:rPr>
        <w:t xml:space="preserve">Ustala się wymóg dla inwestycji mogących pogorszyć stan środowiska </w:t>
      </w:r>
      <w:r>
        <w:rPr>
          <w:rFonts w:ascii="Verdana" w:eastAsia="Times New Roman" w:hAnsi="Verdana" w:cs="Arial"/>
          <w:sz w:val="22"/>
          <w:lang w:eastAsia="pl-PL"/>
        </w:rPr>
        <w:t xml:space="preserve">                         </w:t>
      </w:r>
    </w:p>
    <w:p w:rsidR="009579B9" w:rsidRDefault="00A114B2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 xml:space="preserve">    </w:t>
      </w:r>
      <w:r w:rsidR="009579B9">
        <w:rPr>
          <w:rFonts w:ascii="Verdana" w:eastAsia="Times New Roman" w:hAnsi="Verdana" w:cs="Arial"/>
          <w:sz w:val="22"/>
          <w:lang w:eastAsia="pl-PL"/>
        </w:rPr>
        <w:t>wykonanie oceny oddziaływania inwestycji na środowisko;</w:t>
      </w:r>
    </w:p>
    <w:p w:rsidR="00A114B2" w:rsidRDefault="00A114B2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>4</w:t>
      </w:r>
      <w:r w:rsidR="009579B9">
        <w:rPr>
          <w:rFonts w:ascii="Verdana" w:eastAsia="Times New Roman" w:hAnsi="Verdana" w:cs="Arial"/>
          <w:sz w:val="22"/>
          <w:lang w:eastAsia="pl-PL"/>
        </w:rPr>
        <w:t xml:space="preserve">/ </w:t>
      </w:r>
      <w:r>
        <w:rPr>
          <w:rFonts w:ascii="Verdana" w:eastAsia="Times New Roman" w:hAnsi="Verdana" w:cs="Arial"/>
          <w:sz w:val="22"/>
          <w:lang w:eastAsia="pl-PL"/>
        </w:rPr>
        <w:t xml:space="preserve">Ustala się obowiązek lokalizacji miejsc parkingowych na terenach własnych                   </w:t>
      </w:r>
    </w:p>
    <w:p w:rsidR="009579B9" w:rsidRDefault="00A114B2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 xml:space="preserve">    inwestora;</w:t>
      </w:r>
    </w:p>
    <w:p w:rsidR="009579B9" w:rsidRDefault="00A114B2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>5/ Ustala się zakaz lokalizacji nowej zabudowy mieszkaniowej.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wynosi </w:t>
      </w:r>
      <w:r w:rsidR="0016398B">
        <w:rPr>
          <w:rFonts w:ascii="Verdana" w:hAnsi="Verdana"/>
          <w:b/>
          <w:sz w:val="22"/>
        </w:rPr>
        <w:t>7 500 000</w:t>
      </w:r>
      <w:r w:rsidRPr="007248F5">
        <w:rPr>
          <w:rFonts w:ascii="Verdana" w:hAnsi="Verdana"/>
          <w:sz w:val="22"/>
        </w:rPr>
        <w:t>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                 </w:t>
      </w:r>
      <w:r w:rsidR="00A114B2">
        <w:rPr>
          <w:rFonts w:ascii="Verdana" w:hAnsi="Verdana"/>
          <w:sz w:val="22"/>
        </w:rPr>
        <w:t>sześć milionów osiemset sześćdziesiąt jeden tysięcy siedemset</w:t>
      </w:r>
      <w:r w:rsidR="00953AB9" w:rsidRPr="007248F5">
        <w:rPr>
          <w:rFonts w:ascii="Verdana" w:hAnsi="Verdana"/>
          <w:sz w:val="22"/>
        </w:rPr>
        <w:t xml:space="preserve"> złotych</w:t>
      </w:r>
      <w:r w:rsidR="004F434B">
        <w:rPr>
          <w:rFonts w:ascii="Verdana" w:hAnsi="Verdana"/>
          <w:sz w:val="22"/>
        </w:rPr>
        <w:t xml:space="preserve"> 00/100</w:t>
      </w:r>
      <w:r w:rsidR="00953AB9" w:rsidRPr="007248F5">
        <w:rPr>
          <w:rFonts w:ascii="Verdana" w:hAnsi="Verdana"/>
          <w:sz w:val="22"/>
        </w:rPr>
        <w:t>)</w:t>
      </w:r>
      <w:r w:rsidR="00BC3BC2" w:rsidRPr="007248F5">
        <w:rPr>
          <w:rFonts w:ascii="Verdana" w:hAnsi="Verdana"/>
          <w:sz w:val="22"/>
        </w:rPr>
        <w:t xml:space="preserve">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7B0143">
        <w:rPr>
          <w:rFonts w:ascii="Verdana" w:hAnsi="Verdana"/>
          <w:b/>
          <w:sz w:val="22"/>
        </w:rPr>
        <w:t>1</w:t>
      </w:r>
      <w:r w:rsidR="00A114B2">
        <w:rPr>
          <w:rFonts w:ascii="Verdana" w:hAnsi="Verdana"/>
          <w:b/>
          <w:sz w:val="22"/>
        </w:rPr>
        <w:t>6</w:t>
      </w:r>
      <w:r w:rsidR="007B0143">
        <w:rPr>
          <w:rFonts w:ascii="Verdana" w:hAnsi="Verdana"/>
          <w:b/>
          <w:sz w:val="22"/>
        </w:rPr>
        <w:t xml:space="preserve"> marc</w:t>
      </w:r>
      <w:r w:rsidR="00C96887">
        <w:rPr>
          <w:rFonts w:ascii="Verdana" w:hAnsi="Verdana"/>
          <w:b/>
          <w:sz w:val="22"/>
        </w:rPr>
        <w:t>a 202</w:t>
      </w:r>
      <w:r w:rsidR="007B0143">
        <w:rPr>
          <w:rFonts w:ascii="Verdana" w:hAnsi="Verdana"/>
          <w:b/>
          <w:sz w:val="22"/>
        </w:rPr>
        <w:t>3</w:t>
      </w:r>
      <w:r w:rsidR="00C96887">
        <w:rPr>
          <w:rFonts w:ascii="Verdana" w:hAnsi="Verdana"/>
          <w:b/>
          <w:sz w:val="22"/>
        </w:rPr>
        <w:t>r</w:t>
      </w:r>
      <w:r w:rsidR="00112BD2" w:rsidRPr="001A42E4">
        <w:rPr>
          <w:rFonts w:ascii="Verdana" w:hAnsi="Verdana"/>
          <w:b/>
          <w:sz w:val="22"/>
        </w:rPr>
        <w:t>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7B0143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A114B2">
        <w:rPr>
          <w:rFonts w:ascii="Verdana" w:hAnsi="Verdana"/>
          <w:b/>
          <w:sz w:val="22"/>
        </w:rPr>
        <w:t>w Głogowie, ul. Mickiewicza-Browarna</w:t>
      </w:r>
      <w:r w:rsidR="00355F56" w:rsidRPr="007248F5">
        <w:rPr>
          <w:rFonts w:ascii="Verdana" w:hAnsi="Verdana"/>
          <w:b/>
          <w:sz w:val="22"/>
        </w:rPr>
        <w:t>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A114B2">
        <w:rPr>
          <w:rFonts w:ascii="Verdana" w:hAnsi="Verdana"/>
          <w:b/>
          <w:sz w:val="22"/>
        </w:rPr>
        <w:t>343 085</w:t>
      </w:r>
      <w:r w:rsidR="00157AF3">
        <w:rPr>
          <w:rFonts w:ascii="Verdana" w:hAnsi="Verdana"/>
          <w:b/>
          <w:sz w:val="22"/>
        </w:rPr>
        <w:t>,00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A114B2">
        <w:rPr>
          <w:rFonts w:ascii="Verdana" w:hAnsi="Verdana"/>
          <w:sz w:val="22"/>
        </w:rPr>
        <w:t>trzysta czterdzieści trzy tysiące osiemdziesiąt pięć</w:t>
      </w:r>
      <w:r w:rsidR="00C96887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>nie później niż</w:t>
      </w:r>
      <w:r w:rsidR="00A114B2">
        <w:rPr>
          <w:rFonts w:ascii="Verdana" w:hAnsi="Verdana"/>
          <w:sz w:val="22"/>
        </w:rPr>
        <w:t xml:space="preserve">               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 xml:space="preserve">Głogowie, ul. </w:t>
      </w:r>
      <w:r w:rsidR="00A114B2">
        <w:rPr>
          <w:rFonts w:ascii="Verdana" w:hAnsi="Verdana"/>
          <w:b/>
          <w:sz w:val="22"/>
        </w:rPr>
        <w:t>Mickiewicza-Browarna</w:t>
      </w:r>
      <w:r w:rsidR="00B91A5F" w:rsidRPr="007248F5">
        <w:rPr>
          <w:rFonts w:ascii="Verdana" w:hAnsi="Verdana"/>
          <w:b/>
          <w:sz w:val="22"/>
        </w:rPr>
        <w:t>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lastRenderedPageBreak/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3791"/>
    <w:multiLevelType w:val="hybridMultilevel"/>
    <w:tmpl w:val="F32EEF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0C605D"/>
    <w:rsid w:val="0010494A"/>
    <w:rsid w:val="00112BD2"/>
    <w:rsid w:val="00150BD7"/>
    <w:rsid w:val="00157AF3"/>
    <w:rsid w:val="0016398B"/>
    <w:rsid w:val="00187745"/>
    <w:rsid w:val="00194ED4"/>
    <w:rsid w:val="001A42E4"/>
    <w:rsid w:val="001D730F"/>
    <w:rsid w:val="001E6E45"/>
    <w:rsid w:val="002230E1"/>
    <w:rsid w:val="00224BBB"/>
    <w:rsid w:val="00234BBB"/>
    <w:rsid w:val="002A0CED"/>
    <w:rsid w:val="002B2972"/>
    <w:rsid w:val="00310974"/>
    <w:rsid w:val="0032496E"/>
    <w:rsid w:val="00334512"/>
    <w:rsid w:val="00345656"/>
    <w:rsid w:val="00355F56"/>
    <w:rsid w:val="00384965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4A23FA"/>
    <w:rsid w:val="004F434B"/>
    <w:rsid w:val="0053410D"/>
    <w:rsid w:val="00546E5D"/>
    <w:rsid w:val="005928FE"/>
    <w:rsid w:val="00595127"/>
    <w:rsid w:val="005A04F9"/>
    <w:rsid w:val="005A2A99"/>
    <w:rsid w:val="005B0243"/>
    <w:rsid w:val="005F45D5"/>
    <w:rsid w:val="0065393D"/>
    <w:rsid w:val="006601D8"/>
    <w:rsid w:val="00660F36"/>
    <w:rsid w:val="00672AF8"/>
    <w:rsid w:val="006865A6"/>
    <w:rsid w:val="006E1607"/>
    <w:rsid w:val="00701638"/>
    <w:rsid w:val="00705E89"/>
    <w:rsid w:val="007129E8"/>
    <w:rsid w:val="007248F5"/>
    <w:rsid w:val="0073503E"/>
    <w:rsid w:val="00736945"/>
    <w:rsid w:val="00755A33"/>
    <w:rsid w:val="00780681"/>
    <w:rsid w:val="007B0143"/>
    <w:rsid w:val="007B36E3"/>
    <w:rsid w:val="007E6B8A"/>
    <w:rsid w:val="008918BA"/>
    <w:rsid w:val="008B1AFD"/>
    <w:rsid w:val="008B1BFB"/>
    <w:rsid w:val="008C7D00"/>
    <w:rsid w:val="008D01B6"/>
    <w:rsid w:val="008D05C4"/>
    <w:rsid w:val="008F402C"/>
    <w:rsid w:val="0093157E"/>
    <w:rsid w:val="009508B0"/>
    <w:rsid w:val="00953AB9"/>
    <w:rsid w:val="00956A18"/>
    <w:rsid w:val="009579B9"/>
    <w:rsid w:val="0096381E"/>
    <w:rsid w:val="00A114B2"/>
    <w:rsid w:val="00A13B1E"/>
    <w:rsid w:val="00A64C5C"/>
    <w:rsid w:val="00A72903"/>
    <w:rsid w:val="00A848DC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06001"/>
    <w:rsid w:val="00C1660B"/>
    <w:rsid w:val="00C272B9"/>
    <w:rsid w:val="00C27F33"/>
    <w:rsid w:val="00C56AC0"/>
    <w:rsid w:val="00C82E84"/>
    <w:rsid w:val="00C96887"/>
    <w:rsid w:val="00CD733B"/>
    <w:rsid w:val="00CE5295"/>
    <w:rsid w:val="00D14282"/>
    <w:rsid w:val="00D218ED"/>
    <w:rsid w:val="00D3633F"/>
    <w:rsid w:val="00D700D9"/>
    <w:rsid w:val="00D82FEF"/>
    <w:rsid w:val="00D92A9E"/>
    <w:rsid w:val="00D95531"/>
    <w:rsid w:val="00DC6746"/>
    <w:rsid w:val="00DE1D84"/>
    <w:rsid w:val="00DF0CB4"/>
    <w:rsid w:val="00E01EBE"/>
    <w:rsid w:val="00E160A8"/>
    <w:rsid w:val="00E2223C"/>
    <w:rsid w:val="00E276C4"/>
    <w:rsid w:val="00E30BE2"/>
    <w:rsid w:val="00E3609F"/>
    <w:rsid w:val="00E8189F"/>
    <w:rsid w:val="00E81AAA"/>
    <w:rsid w:val="00E9082D"/>
    <w:rsid w:val="00EF5416"/>
    <w:rsid w:val="00F07856"/>
    <w:rsid w:val="00F13435"/>
    <w:rsid w:val="00F260B2"/>
    <w:rsid w:val="00F3583E"/>
    <w:rsid w:val="00F409B5"/>
    <w:rsid w:val="00F65B52"/>
    <w:rsid w:val="00F9017B"/>
    <w:rsid w:val="00F94299"/>
    <w:rsid w:val="00FA2200"/>
    <w:rsid w:val="00FC3823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6209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2020-06-15T05:45:00Z</cp:lastPrinted>
  <dcterms:created xsi:type="dcterms:W3CDTF">2022-12-23T10:37:00Z</dcterms:created>
  <dcterms:modified xsi:type="dcterms:W3CDTF">2022-12-23T10:37:00Z</dcterms:modified>
</cp:coreProperties>
</file>