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3D13" w14:textId="77777777" w:rsidR="009F181B" w:rsidRDefault="00415D95" w:rsidP="00326547">
      <w:pPr>
        <w:pStyle w:val="Nagwek1"/>
      </w:pPr>
      <w:r>
        <w:t xml:space="preserve">Konsultacje społeczne dot. </w:t>
      </w:r>
      <w:r w:rsidR="009F181B">
        <w:t>s</w:t>
      </w:r>
      <w:r>
        <w:t xml:space="preserve">trategii </w:t>
      </w:r>
      <w:r w:rsidR="009F181B">
        <w:t>c</w:t>
      </w:r>
      <w:r>
        <w:t xml:space="preserve">yfryzacji </w:t>
      </w:r>
      <w:r w:rsidR="009F181B">
        <w:t>p</w:t>
      </w:r>
      <w:r>
        <w:t>aństwa</w:t>
      </w:r>
    </w:p>
    <w:p w14:paraId="52A0AE0C" w14:textId="31C598CA" w:rsidR="00137A8C" w:rsidRDefault="006515E4" w:rsidP="00326547">
      <w:pPr>
        <w:pStyle w:val="Nagwek1"/>
      </w:pPr>
      <w:r>
        <w:br/>
      </w:r>
      <w:r w:rsidR="00326547">
        <w:t>„</w:t>
      </w:r>
      <w:r w:rsidR="00EE6D5D">
        <w:t>Łączność</w:t>
      </w:r>
      <w:r w:rsidR="00326547">
        <w:t>”</w:t>
      </w:r>
    </w:p>
    <w:p w14:paraId="79F25866" w14:textId="772F662B" w:rsidR="00415D95" w:rsidRDefault="009F181B" w:rsidP="00415D95">
      <w:pPr>
        <w:pStyle w:val="Nagwek2"/>
      </w:pPr>
      <w:r>
        <w:t>Panel prowadzili:</w:t>
      </w:r>
    </w:p>
    <w:p w14:paraId="1B4FD448" w14:textId="752E50FA" w:rsidR="006515E4" w:rsidRDefault="00EE6D5D" w:rsidP="006515E4">
      <w:pPr>
        <w:pStyle w:val="Akapitzlist"/>
        <w:numPr>
          <w:ilvl w:val="0"/>
          <w:numId w:val="9"/>
        </w:numPr>
      </w:pPr>
      <w:r>
        <w:t>Marzena Sawicka</w:t>
      </w:r>
      <w:r w:rsidR="006515E4">
        <w:t xml:space="preserve"> – </w:t>
      </w:r>
      <w:r>
        <w:t>d</w:t>
      </w:r>
      <w:r w:rsidR="006515E4">
        <w:t xml:space="preserve">yrektor </w:t>
      </w:r>
      <w:r>
        <w:t>Departamentu Telekomunikacji</w:t>
      </w:r>
      <w:r w:rsidR="009F181B">
        <w:t>, Ministerstwo Cyfryzacji</w:t>
      </w:r>
    </w:p>
    <w:p w14:paraId="59D649E9" w14:textId="537FB25D" w:rsidR="006515E4" w:rsidRPr="006515E4" w:rsidRDefault="00EE6D5D" w:rsidP="009F181B">
      <w:pPr>
        <w:pStyle w:val="Akapitzlist"/>
        <w:numPr>
          <w:ilvl w:val="0"/>
          <w:numId w:val="9"/>
        </w:numPr>
      </w:pPr>
      <w:r>
        <w:t>Grzegorz Czwordon</w:t>
      </w:r>
      <w:r w:rsidR="006515E4">
        <w:t xml:space="preserve"> – </w:t>
      </w:r>
      <w:r>
        <w:t>z</w:t>
      </w:r>
      <w:r w:rsidR="006515E4">
        <w:t xml:space="preserve">astępca </w:t>
      </w:r>
      <w:r>
        <w:t>d</w:t>
      </w:r>
      <w:r w:rsidR="006515E4">
        <w:t xml:space="preserve">yrektora </w:t>
      </w:r>
      <w:r>
        <w:t>Departamentu Telekomunikacji</w:t>
      </w:r>
      <w:r w:rsidR="009F181B">
        <w:t>, Ministerstwo Cyfryzacji</w:t>
      </w:r>
    </w:p>
    <w:p w14:paraId="76E6599E" w14:textId="6A136B6D" w:rsidR="00415D95" w:rsidRDefault="00415D95" w:rsidP="00415D95">
      <w:pPr>
        <w:pStyle w:val="Nagwek2"/>
      </w:pPr>
      <w:r>
        <w:t xml:space="preserve">Pytania do uczestników konsultacji </w:t>
      </w:r>
    </w:p>
    <w:p w14:paraId="7127E75E" w14:textId="77777777" w:rsidR="00EE6D5D" w:rsidRPr="00EE6D5D" w:rsidRDefault="00EE6D5D" w:rsidP="00EE6D5D">
      <w:pPr>
        <w:pStyle w:val="Akapitzlist"/>
        <w:numPr>
          <w:ilvl w:val="0"/>
          <w:numId w:val="10"/>
        </w:numPr>
      </w:pPr>
      <w:r w:rsidRPr="00EE6D5D">
        <w:t xml:space="preserve">Skuteczne mechanizmy ochrony małoletnich przed treściami nieodpowiednimi – system oparty o rejestr domen, weryfikacja wieku czy inne mechanizmy? Czy DSA jest wystarczające w zakresie ochrony małoletnich w </w:t>
      </w:r>
      <w:proofErr w:type="spellStart"/>
      <w:r w:rsidRPr="00EE6D5D">
        <w:t>internecie</w:t>
      </w:r>
      <w:proofErr w:type="spellEnd"/>
      <w:r w:rsidRPr="00EE6D5D">
        <w:t>?</w:t>
      </w:r>
    </w:p>
    <w:p w14:paraId="22E3FAFC" w14:textId="77777777" w:rsidR="00EE6D5D" w:rsidRPr="00EE6D5D" w:rsidRDefault="00EE6D5D" w:rsidP="00EE6D5D">
      <w:pPr>
        <w:pStyle w:val="Akapitzlist"/>
        <w:numPr>
          <w:ilvl w:val="0"/>
          <w:numId w:val="10"/>
        </w:numPr>
      </w:pPr>
      <w:r w:rsidRPr="00EE6D5D">
        <w:t xml:space="preserve">Jak powinny wyglądać dalsze interwencje publiczne nakierowane na zapewnienie dostępu do szybkiego </w:t>
      </w:r>
      <w:proofErr w:type="spellStart"/>
      <w:r w:rsidRPr="00EE6D5D">
        <w:t>internetu</w:t>
      </w:r>
      <w:proofErr w:type="spellEnd"/>
      <w:r w:rsidRPr="00EE6D5D">
        <w:t xml:space="preserve"> dla tzw. ostatniego odsetka najtrudniejszych białych plam?</w:t>
      </w:r>
    </w:p>
    <w:p w14:paraId="1F205683" w14:textId="77777777" w:rsidR="00EE6D5D" w:rsidRPr="00EE6D5D" w:rsidRDefault="00EE6D5D" w:rsidP="00EE6D5D">
      <w:pPr>
        <w:pStyle w:val="Akapitzlist"/>
        <w:numPr>
          <w:ilvl w:val="0"/>
          <w:numId w:val="10"/>
        </w:numPr>
      </w:pPr>
      <w:r w:rsidRPr="00EE6D5D">
        <w:t xml:space="preserve">Czy i w jaki sposób należy zachęcać użytkowników końcowych do korzystania z szybkiego </w:t>
      </w:r>
      <w:proofErr w:type="spellStart"/>
      <w:r w:rsidRPr="00EE6D5D">
        <w:t>internetu</w:t>
      </w:r>
      <w:proofErr w:type="spellEnd"/>
      <w:r w:rsidRPr="00EE6D5D">
        <w:t xml:space="preserve"> (pobudzenie popytu)?</w:t>
      </w:r>
    </w:p>
    <w:p w14:paraId="36A3A593" w14:textId="77777777" w:rsidR="00EE6D5D" w:rsidRPr="00EE6D5D" w:rsidRDefault="00EE6D5D" w:rsidP="00EE6D5D">
      <w:pPr>
        <w:pStyle w:val="Akapitzlist"/>
        <w:numPr>
          <w:ilvl w:val="0"/>
          <w:numId w:val="10"/>
        </w:numPr>
      </w:pPr>
      <w:r w:rsidRPr="00EE6D5D">
        <w:t>Jak długofalowo finansować rosnące koszty budowy infrastruktury telekomunikacyjnej?</w:t>
      </w:r>
    </w:p>
    <w:p w14:paraId="3F13C4E8" w14:textId="77777777" w:rsidR="00EE6D5D" w:rsidRPr="00EE6D5D" w:rsidRDefault="00EE6D5D" w:rsidP="00EE6D5D">
      <w:pPr>
        <w:pStyle w:val="Akapitzlist"/>
        <w:numPr>
          <w:ilvl w:val="0"/>
          <w:numId w:val="10"/>
        </w:numPr>
      </w:pPr>
      <w:r w:rsidRPr="00EE6D5D">
        <w:t>Jak pogodzić oczekiwania rynku telekomunikacyjnego, związane z usprawnieniami procesu inwestycyjnego w telekomunikacji, z koniecznością zapewnienia odpowiedniego stopnia publicznego nadzoru nad tymi inwestycjami?</w:t>
      </w:r>
    </w:p>
    <w:p w14:paraId="6FA425F9" w14:textId="7475BD36" w:rsidR="00EE6D5D" w:rsidRPr="00EE6D5D" w:rsidRDefault="00EE6D5D" w:rsidP="00EE6D5D">
      <w:pPr>
        <w:pStyle w:val="Akapitzlist"/>
        <w:numPr>
          <w:ilvl w:val="0"/>
          <w:numId w:val="10"/>
        </w:numPr>
      </w:pPr>
      <w:r w:rsidRPr="00EE6D5D">
        <w:t xml:space="preserve">Jaka jest Państwa opinia nt. ewentualnych </w:t>
      </w:r>
      <w:proofErr w:type="spellStart"/>
      <w:r w:rsidRPr="00EE6D5D">
        <w:t>ryzyk</w:t>
      </w:r>
      <w:proofErr w:type="spellEnd"/>
      <w:r w:rsidRPr="00EE6D5D">
        <w:t xml:space="preserve"> i korzyści związanych z koncepcją funkcjonowaniu na rynku tylko kilku paneuropejskich operatorów?</w:t>
      </w:r>
    </w:p>
    <w:p w14:paraId="586B2D2F" w14:textId="3866B3BC" w:rsidR="00415D95" w:rsidRDefault="00EE6D5D" w:rsidP="00415D95">
      <w:pPr>
        <w:pStyle w:val="Nagwek2"/>
      </w:pPr>
      <w:r>
        <w:t>Odpowiedzi uczestników konsultacji na pytania</w:t>
      </w:r>
    </w:p>
    <w:p w14:paraId="159ABB1F" w14:textId="77777777" w:rsidR="00EE6D5D" w:rsidRDefault="00EE6D5D" w:rsidP="00EE6D5D">
      <w:pPr>
        <w:pStyle w:val="Nagwek5"/>
      </w:pPr>
      <w:r w:rsidRPr="00EE6D5D">
        <w:t xml:space="preserve">Skuteczne mechanizmy ochrony małoletnich przed treściami nieodpowiednimi – system oparty o rejestr domen, weryfikacja wieku czy inne mechanizmy? Czy DSA jest wystarczające w zakresie ochrony małoletnich w </w:t>
      </w:r>
      <w:proofErr w:type="spellStart"/>
      <w:r w:rsidRPr="00EE6D5D">
        <w:t>internecie</w:t>
      </w:r>
      <w:proofErr w:type="spellEnd"/>
      <w:r w:rsidRPr="00EE6D5D">
        <w:t>?</w:t>
      </w:r>
    </w:p>
    <w:p w14:paraId="55255393" w14:textId="60CAC1DD" w:rsidR="00EE6D5D" w:rsidRDefault="00EE6D5D" w:rsidP="006E1C8A">
      <w:r>
        <w:t>Ochrona dzieci przed dostępem do treści szkodliwych to w pierwszej kolejności obowiązek rodziców. Należy kontynuować edukację, promować wiedzę o istniejących filtrach rodzicielskich.</w:t>
      </w:r>
    </w:p>
    <w:p w14:paraId="14041A4D" w14:textId="5D7C15CC" w:rsidR="00EE6D5D" w:rsidRDefault="00EE6D5D" w:rsidP="006E1C8A">
      <w:r>
        <w:t>Ewentualna regulacja powinna być poczyniona na wzór ustawy hazardowej – poprzez wskazanie konkretnych domen, które blokować ma operator.</w:t>
      </w:r>
    </w:p>
    <w:p w14:paraId="7C71C506" w14:textId="7C5D1D21" w:rsidR="00EE6D5D" w:rsidRDefault="00EE6D5D" w:rsidP="006E1C8A">
      <w:r>
        <w:t>Zaproponowano rozszerzenie zakresu ochrony małoletnich poprzez połączenie jej z technologią zaawansowanej lokalizacji.</w:t>
      </w:r>
    </w:p>
    <w:p w14:paraId="33A07B34" w14:textId="1B337C04" w:rsidR="00EE6D5D" w:rsidRDefault="00EE6D5D" w:rsidP="006E1C8A">
      <w:r>
        <w:t>Należy skupić uwagę na zjawisku nadmiernej liczby samobójstw powodowanych hejtem – należy rozszerzyć ochronę małoletnich, aby chroniła przed różnym typem treści szkodliwych.</w:t>
      </w:r>
    </w:p>
    <w:p w14:paraId="2EA355D4" w14:textId="5FC16427" w:rsidR="00EE6D5D" w:rsidRDefault="00EE6D5D" w:rsidP="006E1C8A">
      <w:r>
        <w:lastRenderedPageBreak/>
        <w:t xml:space="preserve">Do rozważenia mechanizm wprowadzony dla </w:t>
      </w:r>
      <w:r w:rsidR="007A4CDC" w:rsidRPr="007A4CDC">
        <w:t>Ogólnopolsk</w:t>
      </w:r>
      <w:r w:rsidR="007A4CDC">
        <w:t>iej</w:t>
      </w:r>
      <w:r w:rsidR="007A4CDC" w:rsidRPr="007A4CDC">
        <w:t xml:space="preserve"> Sie</w:t>
      </w:r>
      <w:r w:rsidR="007A4CDC">
        <w:t xml:space="preserve">ci </w:t>
      </w:r>
      <w:r w:rsidR="007A4CDC" w:rsidRPr="007A4CDC">
        <w:t>Edukacyjn</w:t>
      </w:r>
      <w:r w:rsidR="007A4CDC">
        <w:t>ej</w:t>
      </w:r>
      <w:r w:rsidR="007A4CDC" w:rsidRPr="007A4CDC">
        <w:t xml:space="preserve"> </w:t>
      </w:r>
      <w:r w:rsidR="007A4CDC">
        <w:t>(</w:t>
      </w:r>
      <w:r>
        <w:t>OSE</w:t>
      </w:r>
      <w:r w:rsidR="007A4CDC">
        <w:t>)</w:t>
      </w:r>
      <w:r>
        <w:t xml:space="preserve"> – udostępnienie małym operatorom dostępu do OSE, aby filtrować </w:t>
      </w:r>
      <w:proofErr w:type="spellStart"/>
      <w:r>
        <w:t>internet</w:t>
      </w:r>
      <w:proofErr w:type="spellEnd"/>
      <w:r>
        <w:t xml:space="preserve"> dla określonych użytkowników.</w:t>
      </w:r>
    </w:p>
    <w:p w14:paraId="4B207AFC" w14:textId="4ECEBFE2" w:rsidR="00EE6D5D" w:rsidRDefault="00EE6D5D" w:rsidP="006E1C8A">
      <w:r>
        <w:t xml:space="preserve">Ewentualne wprowadzenie umów dla nieletniego odbiorcy – który otrzymywałby </w:t>
      </w:r>
      <w:proofErr w:type="spellStart"/>
      <w:r>
        <w:t>internet</w:t>
      </w:r>
      <w:proofErr w:type="spellEnd"/>
      <w:r>
        <w:t xml:space="preserve"> w wyfiltrowanym zakresie.</w:t>
      </w:r>
    </w:p>
    <w:p w14:paraId="381AEEA3" w14:textId="6CA43191" w:rsidR="00EE6D5D" w:rsidRDefault="00EE6D5D" w:rsidP="006E1C8A">
      <w:r>
        <w:t>Należy rozważyć wprowadzenie ograniczenia dostępu do smartfonów w szkołach.</w:t>
      </w:r>
    </w:p>
    <w:p w14:paraId="1C251544" w14:textId="720E7A2A" w:rsidR="00EE6D5D" w:rsidRPr="00EE6D5D" w:rsidRDefault="00EE6D5D" w:rsidP="006E1C8A">
      <w:r>
        <w:t>Powinien być wprowadzony cyfrowy fundusz korkowy – duże korporacje typu Meta czy Google, producenci smartfonów oraz operatorzy telekomunikacyjni powinni składać się na fundusz, którego środki przeznaczyć można na działania edukacyjne.</w:t>
      </w:r>
    </w:p>
    <w:p w14:paraId="6C09529A" w14:textId="77777777" w:rsidR="00EE6D5D" w:rsidRDefault="00EE6D5D" w:rsidP="00EE6D5D">
      <w:pPr>
        <w:pStyle w:val="Nagwek5"/>
      </w:pPr>
      <w:r w:rsidRPr="00EE6D5D">
        <w:t xml:space="preserve">Jak powinny wyglądać dalsze interwencje publiczne nakierowane na zapewnienie dostępu do szybkiego </w:t>
      </w:r>
      <w:proofErr w:type="spellStart"/>
      <w:r w:rsidRPr="00EE6D5D">
        <w:t>internetu</w:t>
      </w:r>
      <w:proofErr w:type="spellEnd"/>
      <w:r w:rsidRPr="00EE6D5D">
        <w:t xml:space="preserve"> dla tzw. ostatniego odsetka najtrudniejszych białych plam?</w:t>
      </w:r>
    </w:p>
    <w:p w14:paraId="3C1CE7F5" w14:textId="0980237D" w:rsidR="00B044A6" w:rsidRDefault="00B044A6" w:rsidP="006E1C8A">
      <w:r>
        <w:t>Rozważyć wykorzystanie mechanizmu wykorzystywanego przy OSE – określić rundy z rosnącym poziomem trudności co do podłączenia sieci, z jednocześnie zwiększającymi się stawkami wsparcia ze strony publicznej.</w:t>
      </w:r>
    </w:p>
    <w:p w14:paraId="3BFB745A" w14:textId="13DE2D9B" w:rsidR="00B044A6" w:rsidRDefault="00B044A6" w:rsidP="006E1C8A">
      <w:r>
        <w:t>Wzorcowymi interwencjami były pożyczki szerokopasmowe i 2 nabór POPC: przewidywały rywalizacje o dotacje na równych prawach.</w:t>
      </w:r>
    </w:p>
    <w:p w14:paraId="38AB6C13" w14:textId="4D8859D1" w:rsidR="00B044A6" w:rsidRDefault="00B044A6" w:rsidP="006E1C8A">
      <w:r>
        <w:t>Obecne wymogi w zakresie doświadczenia – finansowej skali przeprowadzonych inwestycji – są ustawione na zbyt wysokim poziomie.</w:t>
      </w:r>
    </w:p>
    <w:p w14:paraId="235DE467" w14:textId="02EA7DD9" w:rsidR="00B044A6" w:rsidRDefault="00B044A6" w:rsidP="006E1C8A">
      <w:r>
        <w:t>Niemożliwe jest obecnie ubieganie się o dofinansowanie przez spółki celowe – bo wymóg doświadczenia jest po stronie podmiotu, a nie jego personelu.</w:t>
      </w:r>
    </w:p>
    <w:p w14:paraId="6410128A" w14:textId="78EA95EA" w:rsidR="00B044A6" w:rsidRDefault="00B044A6" w:rsidP="006E1C8A">
      <w:r>
        <w:t>Wysoki koszt uzyskania zabezpieczeń w naborze jest problematyczny w środowisku małych operatorów.</w:t>
      </w:r>
    </w:p>
    <w:p w14:paraId="57A43124" w14:textId="5A863908" w:rsidR="00B044A6" w:rsidRDefault="00B044A6" w:rsidP="006E1C8A">
      <w:r>
        <w:t>W przypadku nakazu usuwania sprzętu konkretnych dostawców przy budowie sieci szerokopasmowych – to może zniweczyć wysiłki w zaczernianiu białych plam.</w:t>
      </w:r>
    </w:p>
    <w:p w14:paraId="50FE1954" w14:textId="6A46BE99" w:rsidR="00B044A6" w:rsidRDefault="00B044A6" w:rsidP="006E1C8A">
      <w:r>
        <w:t xml:space="preserve">Konieczne jest rozważenie nowych modeli inwestowania. Należy rozważyć uwzględnienie sieci ruchomych w pokrywaniu białych plam. </w:t>
      </w:r>
    </w:p>
    <w:p w14:paraId="3F1E90E5" w14:textId="370AD37E" w:rsidR="00B044A6" w:rsidRDefault="00B044A6" w:rsidP="006E1C8A">
      <w:r>
        <w:t>Należy urealnić cele – być może sieć gigabitowa nie musi być dostarczona do 100% gospodarstw.</w:t>
      </w:r>
    </w:p>
    <w:p w14:paraId="308CC2FD" w14:textId="35604F6F" w:rsidR="00B044A6" w:rsidRPr="00B044A6" w:rsidRDefault="00B044A6" w:rsidP="006E1C8A">
      <w:r>
        <w:t>Warto sięgnąć do zasobów niewykorzystywanych obecnie – regionalnych sieci szerokopasmowych budowanych w latach 2007-2013, budowanych jako sieci hurtowe.</w:t>
      </w:r>
    </w:p>
    <w:p w14:paraId="3CB2BC95" w14:textId="77777777" w:rsidR="00EE6D5D" w:rsidRDefault="00EE6D5D" w:rsidP="00EE6D5D">
      <w:pPr>
        <w:pStyle w:val="Nagwek5"/>
      </w:pPr>
      <w:r w:rsidRPr="00EE6D5D">
        <w:t xml:space="preserve">Czy i w jaki sposób należy zachęcać użytkowników końcowych do korzystania z szybkiego </w:t>
      </w:r>
      <w:proofErr w:type="spellStart"/>
      <w:r w:rsidRPr="00EE6D5D">
        <w:t>internetu</w:t>
      </w:r>
      <w:proofErr w:type="spellEnd"/>
      <w:r w:rsidRPr="00EE6D5D">
        <w:t xml:space="preserve"> (pobudzenie popytu)?</w:t>
      </w:r>
    </w:p>
    <w:p w14:paraId="1C123B3F" w14:textId="22972BA0" w:rsidR="00B044A6" w:rsidRDefault="00B044A6" w:rsidP="006E1C8A">
      <w:r>
        <w:t xml:space="preserve">Budowanie sieci nie są wykorzystywane w odpowiednim zakresie. Trzeba zachęcać społeczeństwo do ich wykorzystywania, nie tylko do korzystania z </w:t>
      </w:r>
      <w:proofErr w:type="spellStart"/>
      <w:r>
        <w:t>internetu</w:t>
      </w:r>
      <w:proofErr w:type="spellEnd"/>
      <w:r>
        <w:t xml:space="preserve">, ale także korzystania z usług świadczonych drogą elektroniczną. </w:t>
      </w:r>
    </w:p>
    <w:p w14:paraId="02779371" w14:textId="1C71584B" w:rsidR="00B044A6" w:rsidRDefault="00B044A6" w:rsidP="006E1C8A">
      <w:r>
        <w:t>Bony łączności należy uzupełnić o popularyzację usług cyfrowych. W wielu obszarach społeczeństwo nie zdaje sobie sprawy, że może korzystać z usług cyfrowych.</w:t>
      </w:r>
    </w:p>
    <w:p w14:paraId="40600854" w14:textId="2C25EABC" w:rsidR="00B044A6" w:rsidRDefault="00B044A6" w:rsidP="006E1C8A">
      <w:r>
        <w:t>Usługi publiczne realizowane cyfrowe powinny być tańsze niż realizowane papierowo.</w:t>
      </w:r>
    </w:p>
    <w:p w14:paraId="27F1E1BC" w14:textId="45AAEA3D" w:rsidR="00B044A6" w:rsidRPr="00B044A6" w:rsidRDefault="00B044A6" w:rsidP="006E1C8A">
      <w:r>
        <w:lastRenderedPageBreak/>
        <w:t>Argumentem za korzystaniem ze światłowodów jest jego mniejsza zawodność, większe bezpieczeństwo, mniejsza szansa podsłuchu.</w:t>
      </w:r>
    </w:p>
    <w:p w14:paraId="2FF9637E" w14:textId="77777777" w:rsidR="00EE6D5D" w:rsidRDefault="00EE6D5D" w:rsidP="00EE6D5D">
      <w:pPr>
        <w:pStyle w:val="Nagwek5"/>
      </w:pPr>
      <w:r w:rsidRPr="00EE6D5D">
        <w:t>Jak długofalowo finansować rosnące koszty budowy infrastruktury telekomunikacyjnej?</w:t>
      </w:r>
    </w:p>
    <w:p w14:paraId="5F744715" w14:textId="14EF1EB7" w:rsidR="00B044A6" w:rsidRDefault="00B044A6" w:rsidP="006E1C8A">
      <w:r>
        <w:t>Należy myśleć o zabezpieczeniu łączności na potrzeby inne niż cywilne i czas pokoju – konieczne jest wsparcie sektora pod kątem zasilania stacji bazowych, sieci dosyłowych, sieci szkieletowych. Roboczo może to być ujęte jako fundusz odporności cyfrowej.</w:t>
      </w:r>
    </w:p>
    <w:p w14:paraId="74FEE593" w14:textId="347A0F19" w:rsidR="00B044A6" w:rsidRPr="00B044A6" w:rsidRDefault="00B044A6" w:rsidP="006E1C8A">
      <w:r>
        <w:t>Problemem nie jest koszt budowy, lecz utrzymania infrastruktury. Rozwiązaniem problemu mogą być ulgi podatkowe, dofinansowywanie celowe lub pomniejszenie kosztów (poprzez zmianę podatku od budowy).</w:t>
      </w:r>
    </w:p>
    <w:p w14:paraId="0D6A9791" w14:textId="77777777" w:rsidR="00EE6D5D" w:rsidRDefault="00EE6D5D" w:rsidP="00EE6D5D">
      <w:pPr>
        <w:pStyle w:val="Nagwek5"/>
      </w:pPr>
      <w:r w:rsidRPr="00EE6D5D">
        <w:t>Jak pogodzić oczekiwania rynku telekomunikacyjnego, związane z usprawnieniami procesu inwestycyjnego w telekomunikacji, z koniecznością zapewnienia odpowiedniego stopnia publicznego nadzoru nad tymi inwestycjami?</w:t>
      </w:r>
    </w:p>
    <w:p w14:paraId="6312672B" w14:textId="31397AF9" w:rsidR="00B044A6" w:rsidRDefault="00B044A6" w:rsidP="006E1C8A">
      <w:r>
        <w:t>Konieczne jest znoszenie barier inwestycyjnych.</w:t>
      </w:r>
    </w:p>
    <w:p w14:paraId="540CC9F1" w14:textId="052F7BED" w:rsidR="00B044A6" w:rsidRDefault="00B044A6" w:rsidP="006E1C8A">
      <w:r>
        <w:t xml:space="preserve">Odpowiednia współpraca z samorządami jest kluczowa, aby należycie wykorzystać środki z KPO. </w:t>
      </w:r>
    </w:p>
    <w:p w14:paraId="09ABFCEB" w14:textId="09B1E1EE" w:rsidR="00B044A6" w:rsidRDefault="00B044A6" w:rsidP="006E1C8A">
      <w:r>
        <w:t>Warto w ramach polskiej Prezydencji w Radzie UE postarać się o przedłużenie KPO do 2029 r.</w:t>
      </w:r>
    </w:p>
    <w:p w14:paraId="334AA2F0" w14:textId="7B5C7811" w:rsidR="00B044A6" w:rsidRPr="00B044A6" w:rsidRDefault="00B044A6" w:rsidP="006E1C8A">
      <w:r>
        <w:t>Należy skorzystać z ekspertyzy – „</w:t>
      </w:r>
      <w:proofErr w:type="spellStart"/>
      <w:r>
        <w:t>Megaustawa</w:t>
      </w:r>
      <w:proofErr w:type="spellEnd"/>
      <w:r>
        <w:t xml:space="preserve"> 5G – Czy ta Księga rzeczywiście jest Biała”.</w:t>
      </w:r>
    </w:p>
    <w:p w14:paraId="37844AF0" w14:textId="38AE451C" w:rsidR="00EE6D5D" w:rsidRDefault="00EE6D5D" w:rsidP="00EE6D5D">
      <w:pPr>
        <w:pStyle w:val="Nagwek5"/>
      </w:pPr>
      <w:r w:rsidRPr="00EE6D5D">
        <w:t xml:space="preserve">Jaka jest Państwa opinia nt. ewentualnych </w:t>
      </w:r>
      <w:proofErr w:type="spellStart"/>
      <w:r w:rsidRPr="00EE6D5D">
        <w:t>ryzyk</w:t>
      </w:r>
      <w:proofErr w:type="spellEnd"/>
      <w:r w:rsidRPr="00EE6D5D">
        <w:t xml:space="preserve"> i korzyści związanych z koncepcją funkcjonowaniu na rynku tylko kilku paneuropejskich operatorów?</w:t>
      </w:r>
    </w:p>
    <w:p w14:paraId="56C6C7F4" w14:textId="335279FD" w:rsidR="00B044A6" w:rsidRDefault="00B044A6" w:rsidP="006E1C8A">
      <w:r>
        <w:t>W Polsce duża liczba przedsiębiorców telekomunikacyjnych zapewnia konkurencyjność, która przekłada się na niższe ceny dla abonenta.</w:t>
      </w:r>
    </w:p>
    <w:p w14:paraId="22F1C2D2" w14:textId="7863B4CB" w:rsidR="00B044A6" w:rsidRDefault="00B044A6" w:rsidP="006E1C8A">
      <w:r>
        <w:t>Aby rynek był konkurencyjny, musi na nim działać wielu operatorów. Wielu generujących przychody w sektorze telekomunikacyjnym w Polsce, z polskim kapitałem, operatorów to mikro i mali przedsiębiorcy.</w:t>
      </w:r>
    </w:p>
    <w:p w14:paraId="1DF6D389" w14:textId="241BD14D" w:rsidR="00B044A6" w:rsidRPr="00B044A6" w:rsidRDefault="00B044A6" w:rsidP="006E1C8A">
      <w:r>
        <w:t>Najbardziej konkurencyjne nie są największe podmioty – lecz startupy, tzw. „jednorożce”.</w:t>
      </w:r>
    </w:p>
    <w:p w14:paraId="052F99C4" w14:textId="2A8407AE" w:rsidR="00964A85" w:rsidRDefault="00B044A6" w:rsidP="00B044A6">
      <w:pPr>
        <w:pStyle w:val="Nagwek1"/>
      </w:pPr>
      <w:r>
        <w:t>Inne uwagi</w:t>
      </w:r>
    </w:p>
    <w:p w14:paraId="5E283293" w14:textId="35A38C61" w:rsidR="00B044A6" w:rsidRDefault="00B044A6" w:rsidP="00B044A6">
      <w:pPr>
        <w:pStyle w:val="Nagwek5"/>
      </w:pPr>
      <w:r>
        <w:t>Kwestia umów konsumenckich</w:t>
      </w:r>
    </w:p>
    <w:p w14:paraId="47292278" w14:textId="5E4D33D6" w:rsidR="00B044A6" w:rsidRDefault="00B044A6" w:rsidP="006E1C8A">
      <w:r>
        <w:t xml:space="preserve">Przedsiębiorcy telekomunikacyjni są zablokowani przepisami i stanowiskiem </w:t>
      </w:r>
      <w:proofErr w:type="spellStart"/>
      <w:r>
        <w:t>UOKiKu</w:t>
      </w:r>
      <w:proofErr w:type="spellEnd"/>
      <w:r>
        <w:t xml:space="preserve"> przed możliwością modyfikowania zmian w umowie z abonentem. Konieczne jest wyważenie rozwiązań – aby zapewnić elastyczność, dostosowaniem cen i warunków umownych względem zmieniających kosztów rynkowych prowadzenia działalności.</w:t>
      </w:r>
    </w:p>
    <w:p w14:paraId="101C331C" w14:textId="52CA8756" w:rsidR="00B044A6" w:rsidRDefault="00B044A6" w:rsidP="006E1C8A">
      <w:r>
        <w:t>Określenie w przepisach możliwości wprowadzenia klauzul modyfikacyjnych do trwających umów abonenckich; usunięcia wymogu zmiany umowy wyłącznie ze względu na okoliczność nie do przewidzenia; wprowadzenie katalogu przykładowych okoliczności uzasadniających zmianę umowy - zwiększyłoby pewność prawa w relacjach klientów i przedsiębiorców.</w:t>
      </w:r>
    </w:p>
    <w:p w14:paraId="754602AA" w14:textId="3EB6CBFA" w:rsidR="00B044A6" w:rsidRDefault="00B044A6" w:rsidP="00B044A6">
      <w:pPr>
        <w:pStyle w:val="Nagwek5"/>
      </w:pPr>
      <w:r>
        <w:t>Bezpieczeństwo sieci i państwa</w:t>
      </w:r>
    </w:p>
    <w:p w14:paraId="19E13AB5" w14:textId="1C07A8AE" w:rsidR="00B044A6" w:rsidRDefault="00B044A6" w:rsidP="006E1C8A">
      <w:r>
        <w:t>Należy zaadresować temat sieci komunikacji krytycznej w Polsce. System musi być autonomiczny, niezależny; nie może powstawać w oderwaniu od standardów technologicznych.</w:t>
      </w:r>
    </w:p>
    <w:p w14:paraId="7095EA79" w14:textId="6CDED68D" w:rsidR="00B044A6" w:rsidRDefault="00B044A6" w:rsidP="006E1C8A">
      <w:r>
        <w:lastRenderedPageBreak/>
        <w:t xml:space="preserve">Służby korzystają z wąskotorowych systemów typu TETRA – konieczne jest przejście na </w:t>
      </w:r>
      <w:proofErr w:type="spellStart"/>
      <w:r>
        <w:t>broadbandowe</w:t>
      </w:r>
      <w:proofErr w:type="spellEnd"/>
      <w:r>
        <w:t xml:space="preserve"> systemy.</w:t>
      </w:r>
    </w:p>
    <w:p w14:paraId="3B080B8C" w14:textId="2F8E33A8" w:rsidR="00B044A6" w:rsidRDefault="00B044A6" w:rsidP="006E1C8A">
      <w:r>
        <w:t>Przy okazji tworzenia ustawy o ochronie ludności należy wziąć pod uwagę – decyzję o przydziale częstotliwości dla sieci krytycznej; kwestię sieci rdzeniowej, należy rozpatrzyć utworzenie dedykowanej sieci; kwestię finansowania sieci dostępowej, radiowej, dostępu do nieruchomości, masztów.</w:t>
      </w:r>
    </w:p>
    <w:p w14:paraId="3EAFBBF2" w14:textId="7D608A32" w:rsidR="00B044A6" w:rsidRDefault="00B044A6" w:rsidP="00B044A6">
      <w:pPr>
        <w:pStyle w:val="Nagwek5"/>
      </w:pPr>
      <w:r>
        <w:t>Działania dot. dezinformacji</w:t>
      </w:r>
    </w:p>
    <w:p w14:paraId="76CA14B1" w14:textId="49C7A926" w:rsidR="00B044A6" w:rsidRDefault="00B044A6" w:rsidP="006E1C8A">
      <w:r>
        <w:t>Przydatne byłoby kontynuowanie w jakimś zakresie programu 3.4 PEM, dotyczącego walki z dezinformacją. Te działania są konieczne ze strony administracji, gdyż pozytywnie wpływają na stan świadomości samorządów i obywateli, ale także motywują do prac w tym zakresie samorządy i sekto r prywatny.</w:t>
      </w:r>
    </w:p>
    <w:p w14:paraId="3809E5D2" w14:textId="791ABEF6" w:rsidR="00B044A6" w:rsidRDefault="00B044A6" w:rsidP="00B044A6">
      <w:pPr>
        <w:pStyle w:val="Nagwek5"/>
      </w:pPr>
      <w:r>
        <w:t xml:space="preserve">Zmiana </w:t>
      </w:r>
      <w:proofErr w:type="spellStart"/>
      <w:r>
        <w:t>megaustawy</w:t>
      </w:r>
      <w:proofErr w:type="spellEnd"/>
    </w:p>
    <w:p w14:paraId="7A379E3B" w14:textId="7A80FC21" w:rsidR="00B044A6" w:rsidRPr="00B044A6" w:rsidRDefault="00B044A6" w:rsidP="006E1C8A">
      <w:r>
        <w:t xml:space="preserve">Propozycja przeniesienia rozwiązań art. 30 ust. 6-9 </w:t>
      </w:r>
      <w:proofErr w:type="spellStart"/>
      <w:r>
        <w:t>megaustawy</w:t>
      </w:r>
      <w:proofErr w:type="spellEnd"/>
      <w:r>
        <w:t xml:space="preserve"> – regulujących dostęp do nieruchomości i instalacje wewnątrzbudynkowe – również na domki jednorodzinne, z zabudowy deweloperskiej.</w:t>
      </w:r>
    </w:p>
    <w:sectPr w:rsidR="00B044A6" w:rsidRPr="00B044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6EC37" w14:textId="77777777" w:rsidR="001978AF" w:rsidRDefault="001978AF" w:rsidP="005D1518">
      <w:pPr>
        <w:spacing w:after="0" w:line="240" w:lineRule="auto"/>
      </w:pPr>
      <w:r>
        <w:separator/>
      </w:r>
    </w:p>
  </w:endnote>
  <w:endnote w:type="continuationSeparator" w:id="0">
    <w:p w14:paraId="1AF0E69E" w14:textId="77777777" w:rsidR="001978AF" w:rsidRDefault="001978AF" w:rsidP="005D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1360354"/>
      <w:docPartObj>
        <w:docPartGallery w:val="Page Numbers (Bottom of Page)"/>
        <w:docPartUnique/>
      </w:docPartObj>
    </w:sdtPr>
    <w:sdtContent>
      <w:p w14:paraId="5BA1D965" w14:textId="45B4E076" w:rsidR="00243110" w:rsidRDefault="002431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F294F" w14:textId="77777777" w:rsidR="004262A4" w:rsidRDefault="00426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1E79" w14:textId="77777777" w:rsidR="001978AF" w:rsidRDefault="001978AF" w:rsidP="005D1518">
      <w:pPr>
        <w:spacing w:after="0" w:line="240" w:lineRule="auto"/>
      </w:pPr>
      <w:r>
        <w:separator/>
      </w:r>
    </w:p>
  </w:footnote>
  <w:footnote w:type="continuationSeparator" w:id="0">
    <w:p w14:paraId="0B4504BD" w14:textId="77777777" w:rsidR="001978AF" w:rsidRDefault="001978AF" w:rsidP="005D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14188" w14:textId="1B0C720D" w:rsidR="00326547" w:rsidRDefault="00326547" w:rsidP="0032654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0D6C36" wp14:editId="6D0A57D7">
          <wp:simplePos x="0" y="0"/>
          <wp:positionH relativeFrom="column">
            <wp:posOffset>-473075</wp:posOffset>
          </wp:positionH>
          <wp:positionV relativeFrom="paragraph">
            <wp:posOffset>-502920</wp:posOffset>
          </wp:positionV>
          <wp:extent cx="2381885" cy="1061720"/>
          <wp:effectExtent l="0" t="0" r="0" b="0"/>
          <wp:wrapThrough wrapText="bothSides">
            <wp:wrapPolygon edited="0">
              <wp:start x="4146" y="2325"/>
              <wp:lineTo x="2246" y="3876"/>
              <wp:lineTo x="1037" y="6589"/>
              <wp:lineTo x="1209" y="10077"/>
              <wp:lineTo x="1728" y="16278"/>
              <wp:lineTo x="3282" y="18215"/>
              <wp:lineTo x="4146" y="18990"/>
              <wp:lineTo x="20385" y="18990"/>
              <wp:lineTo x="20730" y="16278"/>
              <wp:lineTo x="16930" y="14727"/>
              <wp:lineTo x="16930" y="9689"/>
              <wp:lineTo x="20212" y="8914"/>
              <wp:lineTo x="20039" y="5038"/>
              <wp:lineTo x="4837" y="2325"/>
              <wp:lineTo x="4146" y="2325"/>
            </wp:wrapPolygon>
          </wp:wrapThrough>
          <wp:docPr id="7" name="Obraz 7" descr="Godło i nagłówek 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Godło i nagłówek MC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904"/>
    <w:multiLevelType w:val="hybridMultilevel"/>
    <w:tmpl w:val="36E0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624"/>
    <w:multiLevelType w:val="hybridMultilevel"/>
    <w:tmpl w:val="8E5AB1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31C"/>
    <w:multiLevelType w:val="hybridMultilevel"/>
    <w:tmpl w:val="79705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79C"/>
    <w:multiLevelType w:val="hybridMultilevel"/>
    <w:tmpl w:val="A81A73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B82"/>
    <w:multiLevelType w:val="hybridMultilevel"/>
    <w:tmpl w:val="919CA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512A"/>
    <w:multiLevelType w:val="hybridMultilevel"/>
    <w:tmpl w:val="DC6EF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4F0"/>
    <w:multiLevelType w:val="hybridMultilevel"/>
    <w:tmpl w:val="E096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471F"/>
    <w:multiLevelType w:val="hybridMultilevel"/>
    <w:tmpl w:val="51E052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A18"/>
    <w:multiLevelType w:val="hybridMultilevel"/>
    <w:tmpl w:val="67FE1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97418"/>
    <w:multiLevelType w:val="hybridMultilevel"/>
    <w:tmpl w:val="242E5356"/>
    <w:lvl w:ilvl="0" w:tplc="4BAA0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B617C"/>
    <w:multiLevelType w:val="hybridMultilevel"/>
    <w:tmpl w:val="BD8AE6EC"/>
    <w:lvl w:ilvl="0" w:tplc="CA40B2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E5F77CC"/>
    <w:multiLevelType w:val="hybridMultilevel"/>
    <w:tmpl w:val="4A006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50F5E"/>
    <w:multiLevelType w:val="hybridMultilevel"/>
    <w:tmpl w:val="79705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7582F"/>
    <w:multiLevelType w:val="hybridMultilevel"/>
    <w:tmpl w:val="BD82D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D11ED"/>
    <w:multiLevelType w:val="hybridMultilevel"/>
    <w:tmpl w:val="1AD00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CB8"/>
    <w:multiLevelType w:val="hybridMultilevel"/>
    <w:tmpl w:val="3E302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57DA4"/>
    <w:multiLevelType w:val="hybridMultilevel"/>
    <w:tmpl w:val="4A006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42E2A"/>
    <w:multiLevelType w:val="hybridMultilevel"/>
    <w:tmpl w:val="B9548534"/>
    <w:lvl w:ilvl="0" w:tplc="BC5207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F23F4"/>
    <w:multiLevelType w:val="hybridMultilevel"/>
    <w:tmpl w:val="1542F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45A3A"/>
    <w:multiLevelType w:val="hybridMultilevel"/>
    <w:tmpl w:val="34DEA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25927"/>
    <w:multiLevelType w:val="hybridMultilevel"/>
    <w:tmpl w:val="6C683D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35390">
    <w:abstractNumId w:val="17"/>
  </w:num>
  <w:num w:numId="2" w16cid:durableId="572931787">
    <w:abstractNumId w:val="9"/>
  </w:num>
  <w:num w:numId="3" w16cid:durableId="1526287233">
    <w:abstractNumId w:val="10"/>
  </w:num>
  <w:num w:numId="4" w16cid:durableId="1103502123">
    <w:abstractNumId w:val="0"/>
  </w:num>
  <w:num w:numId="5" w16cid:durableId="2024089068">
    <w:abstractNumId w:val="2"/>
  </w:num>
  <w:num w:numId="6" w16cid:durableId="1851485961">
    <w:abstractNumId w:val="14"/>
  </w:num>
  <w:num w:numId="7" w16cid:durableId="1086339326">
    <w:abstractNumId w:val="12"/>
  </w:num>
  <w:num w:numId="8" w16cid:durableId="1857034598">
    <w:abstractNumId w:val="5"/>
  </w:num>
  <w:num w:numId="9" w16cid:durableId="473528625">
    <w:abstractNumId w:val="19"/>
  </w:num>
  <w:num w:numId="10" w16cid:durableId="554049082">
    <w:abstractNumId w:val="11"/>
  </w:num>
  <w:num w:numId="11" w16cid:durableId="1205092732">
    <w:abstractNumId w:val="16"/>
  </w:num>
  <w:num w:numId="12" w16cid:durableId="408036521">
    <w:abstractNumId w:val="6"/>
  </w:num>
  <w:num w:numId="13" w16cid:durableId="744494175">
    <w:abstractNumId w:val="7"/>
  </w:num>
  <w:num w:numId="14" w16cid:durableId="1845318100">
    <w:abstractNumId w:val="1"/>
  </w:num>
  <w:num w:numId="15" w16cid:durableId="1429497764">
    <w:abstractNumId w:val="18"/>
  </w:num>
  <w:num w:numId="16" w16cid:durableId="1598757884">
    <w:abstractNumId w:val="15"/>
  </w:num>
  <w:num w:numId="17" w16cid:durableId="1975256162">
    <w:abstractNumId w:val="13"/>
  </w:num>
  <w:num w:numId="18" w16cid:durableId="1108502911">
    <w:abstractNumId w:val="4"/>
  </w:num>
  <w:num w:numId="19" w16cid:durableId="1809518620">
    <w:abstractNumId w:val="8"/>
  </w:num>
  <w:num w:numId="20" w16cid:durableId="384793944">
    <w:abstractNumId w:val="20"/>
  </w:num>
  <w:num w:numId="21" w16cid:durableId="353576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10"/>
    <w:rsid w:val="0001036D"/>
    <w:rsid w:val="00020458"/>
    <w:rsid w:val="00033964"/>
    <w:rsid w:val="000D6F86"/>
    <w:rsid w:val="000E12CE"/>
    <w:rsid w:val="00137A8C"/>
    <w:rsid w:val="001451FD"/>
    <w:rsid w:val="00196984"/>
    <w:rsid w:val="001978AF"/>
    <w:rsid w:val="001F62B3"/>
    <w:rsid w:val="00225371"/>
    <w:rsid w:val="00243110"/>
    <w:rsid w:val="002621C9"/>
    <w:rsid w:val="00265323"/>
    <w:rsid w:val="00295731"/>
    <w:rsid w:val="00297AAE"/>
    <w:rsid w:val="002A7E68"/>
    <w:rsid w:val="003141DC"/>
    <w:rsid w:val="00326547"/>
    <w:rsid w:val="003A4BBF"/>
    <w:rsid w:val="00415D95"/>
    <w:rsid w:val="004262A4"/>
    <w:rsid w:val="004541C6"/>
    <w:rsid w:val="004854F4"/>
    <w:rsid w:val="004A6A5A"/>
    <w:rsid w:val="004A7386"/>
    <w:rsid w:val="004D1ABD"/>
    <w:rsid w:val="005147F0"/>
    <w:rsid w:val="005A2289"/>
    <w:rsid w:val="005C5CA0"/>
    <w:rsid w:val="005D1518"/>
    <w:rsid w:val="00611FB7"/>
    <w:rsid w:val="006515E4"/>
    <w:rsid w:val="006657C8"/>
    <w:rsid w:val="006B7D9B"/>
    <w:rsid w:val="006E1C8A"/>
    <w:rsid w:val="007633B1"/>
    <w:rsid w:val="007A4CDC"/>
    <w:rsid w:val="00964A85"/>
    <w:rsid w:val="009F181B"/>
    <w:rsid w:val="00A1771F"/>
    <w:rsid w:val="00A23D33"/>
    <w:rsid w:val="00A473AE"/>
    <w:rsid w:val="00A90743"/>
    <w:rsid w:val="00AD7629"/>
    <w:rsid w:val="00B044A6"/>
    <w:rsid w:val="00B12C10"/>
    <w:rsid w:val="00B14125"/>
    <w:rsid w:val="00B70FAF"/>
    <w:rsid w:val="00B732DD"/>
    <w:rsid w:val="00C04B5C"/>
    <w:rsid w:val="00C07494"/>
    <w:rsid w:val="00C2115C"/>
    <w:rsid w:val="00D150C4"/>
    <w:rsid w:val="00D15693"/>
    <w:rsid w:val="00DB3231"/>
    <w:rsid w:val="00DB4999"/>
    <w:rsid w:val="00E005C5"/>
    <w:rsid w:val="00E45070"/>
    <w:rsid w:val="00EB5D9F"/>
    <w:rsid w:val="00ED65D3"/>
    <w:rsid w:val="00EE6D5D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4F2F0"/>
  <w15:chartTrackingRefBased/>
  <w15:docId w15:val="{361405EA-2128-4D10-88A8-51ECC9D8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2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12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12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12C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12C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C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C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C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C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C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C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C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C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C10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518"/>
    <w:rPr>
      <w:vertAlign w:val="superscript"/>
    </w:rPr>
  </w:style>
  <w:style w:type="paragraph" w:styleId="Poprawka">
    <w:name w:val="Revision"/>
    <w:hidden/>
    <w:uiPriority w:val="99"/>
    <w:semiHidden/>
    <w:rsid w:val="00485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547"/>
  </w:style>
  <w:style w:type="paragraph" w:styleId="Stopka">
    <w:name w:val="footer"/>
    <w:basedOn w:val="Normalny"/>
    <w:link w:val="StopkaZnak"/>
    <w:uiPriority w:val="99"/>
    <w:unhideWhenUsed/>
    <w:rsid w:val="0032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5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3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3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3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73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3A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51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1611-36D5-458F-B3EA-466DB9FB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Justyna</dc:creator>
  <cp:keywords/>
  <dc:description/>
  <cp:lastModifiedBy>Pawłowicz Mateusz</cp:lastModifiedBy>
  <cp:revision>5</cp:revision>
  <cp:lastPrinted>2024-07-01T10:15:00Z</cp:lastPrinted>
  <dcterms:created xsi:type="dcterms:W3CDTF">2024-07-02T12:01:00Z</dcterms:created>
  <dcterms:modified xsi:type="dcterms:W3CDTF">2024-07-03T08:54:00Z</dcterms:modified>
</cp:coreProperties>
</file>