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4492EC43" w:rsidR="00003F1D" w:rsidRPr="00EB5CD4" w:rsidRDefault="00003F1D" w:rsidP="00C4708D">
      <w:pPr>
        <w:spacing w:after="120" w:line="240" w:lineRule="auto"/>
        <w:jc w:val="both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</w:t>
      </w:r>
      <w:r w:rsidR="00E6508F">
        <w:rPr>
          <w:rFonts w:ascii="Arial" w:hAnsi="Arial" w:cs="Arial"/>
          <w:b/>
        </w:rPr>
        <w:t xml:space="preserve">świadczenie usługi cateringowej </w:t>
      </w:r>
      <w:r w:rsidR="00C4708D" w:rsidRPr="00C4708D">
        <w:rPr>
          <w:rFonts w:ascii="Arial" w:hAnsi="Arial" w:cs="Arial"/>
          <w:b/>
        </w:rPr>
        <w:t xml:space="preserve">oraz usług dodatkowych </w:t>
      </w:r>
      <w:r w:rsidR="00C4708D">
        <w:rPr>
          <w:rFonts w:ascii="Arial" w:hAnsi="Arial" w:cs="Arial"/>
          <w:b/>
        </w:rPr>
        <w:t xml:space="preserve">podczas kolacji uroczystej organizowanej w siedzibie Muzeum Geologicznego PIG-PIB </w:t>
      </w:r>
      <w:r w:rsidR="00C4708D" w:rsidRPr="00C4708D">
        <w:rPr>
          <w:rFonts w:ascii="Arial" w:hAnsi="Arial" w:cs="Arial"/>
          <w:b/>
        </w:rPr>
        <w:t>w związku z organi</w:t>
      </w:r>
      <w:r w:rsidR="00C4708D">
        <w:rPr>
          <w:rFonts w:ascii="Arial" w:hAnsi="Arial" w:cs="Arial"/>
          <w:b/>
        </w:rPr>
        <w:t>zacją „S</w:t>
      </w:r>
      <w:r w:rsidR="00C4708D" w:rsidRPr="00C4708D">
        <w:rPr>
          <w:rFonts w:ascii="Arial" w:hAnsi="Arial" w:cs="Arial"/>
          <w:b/>
        </w:rPr>
        <w:t xml:space="preserve">potkania Grupy Roboczej </w:t>
      </w:r>
      <w:r w:rsidR="00C4708D">
        <w:rPr>
          <w:rFonts w:ascii="Arial" w:hAnsi="Arial" w:cs="Arial"/>
          <w:b/>
        </w:rPr>
        <w:t xml:space="preserve">CIS </w:t>
      </w:r>
      <w:r w:rsidR="00C4708D" w:rsidRPr="00C4708D">
        <w:rPr>
          <w:rFonts w:ascii="Arial" w:hAnsi="Arial" w:cs="Arial"/>
          <w:b/>
        </w:rPr>
        <w:t xml:space="preserve">WG </w:t>
      </w:r>
      <w:proofErr w:type="spellStart"/>
      <w:r w:rsidR="00C4708D" w:rsidRPr="00C4708D">
        <w:rPr>
          <w:rFonts w:ascii="Arial" w:hAnsi="Arial" w:cs="Arial"/>
          <w:b/>
        </w:rPr>
        <w:t>Groundwater</w:t>
      </w:r>
      <w:proofErr w:type="spellEnd"/>
      <w:r w:rsidR="00C4708D">
        <w:rPr>
          <w:rFonts w:ascii="Arial" w:hAnsi="Arial" w:cs="Arial"/>
          <w:b/>
        </w:rPr>
        <w:t>”</w:t>
      </w:r>
      <w:r w:rsidRPr="00EB5CD4">
        <w:rPr>
          <w:rFonts w:ascii="Arial" w:hAnsi="Arial" w:cs="Arial"/>
          <w:b/>
        </w:rPr>
        <w:t>, realizowan</w:t>
      </w:r>
      <w:r w:rsidR="00E6508F">
        <w:rPr>
          <w:rFonts w:ascii="Arial" w:hAnsi="Arial" w:cs="Arial"/>
          <w:b/>
        </w:rPr>
        <w:t xml:space="preserve">ego </w:t>
      </w:r>
      <w:r w:rsidRPr="00EB5CD4">
        <w:rPr>
          <w:rFonts w:ascii="Arial" w:hAnsi="Arial" w:cs="Arial"/>
          <w:b/>
        </w:rPr>
        <w:t>przez Ministerstwo Infrastruktury w ramach sprawowania przez Polskę prezydencji w Radzie Unii Europejskiej w I połowie 2025 roku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4205A8C4" w:rsidR="002012A8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D55031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E283739" w14:textId="77777777" w:rsidR="00D55031" w:rsidRPr="005E7451" w:rsidRDefault="00D55031" w:rsidP="002012A8">
      <w:pPr>
        <w:spacing w:after="120" w:line="240" w:lineRule="auto"/>
        <w:ind w:left="284"/>
        <w:rPr>
          <w:rFonts w:ascii="Arial" w:hAnsi="Arial" w:cs="Arial"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7768FA26" w14:textId="4341F655" w:rsidR="00003F1D" w:rsidRDefault="00682CD5" w:rsidP="00E91417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Przedmiotem zamówienia jest</w:t>
      </w:r>
      <w:r w:rsidRPr="00682CD5">
        <w:rPr>
          <w:rFonts w:ascii="Arial" w:hAnsi="Arial" w:cs="Arial"/>
        </w:rPr>
        <w:t xml:space="preserve"> </w:t>
      </w:r>
      <w:r w:rsidR="00E6508F">
        <w:rPr>
          <w:rFonts w:ascii="Arial" w:hAnsi="Arial" w:cs="Arial"/>
        </w:rPr>
        <w:t xml:space="preserve">świadczenie usługi cateringowej </w:t>
      </w:r>
      <w:r w:rsidR="00C4708D">
        <w:rPr>
          <w:rFonts w:ascii="Arial" w:hAnsi="Arial" w:cs="Arial"/>
        </w:rPr>
        <w:t xml:space="preserve">oraz </w:t>
      </w:r>
      <w:r w:rsidR="00C4708D" w:rsidRPr="00C4708D">
        <w:rPr>
          <w:rFonts w:ascii="Arial" w:hAnsi="Arial" w:cs="Arial"/>
        </w:rPr>
        <w:t>usług dodatkowych podczas kolacji uroczystej or</w:t>
      </w:r>
      <w:r w:rsidR="00C4708D">
        <w:rPr>
          <w:rFonts w:ascii="Arial" w:hAnsi="Arial" w:cs="Arial"/>
        </w:rPr>
        <w:t>ganizowanej w siedzibie Muzeum G</w:t>
      </w:r>
      <w:r w:rsidR="00C4708D" w:rsidRPr="00C4708D">
        <w:rPr>
          <w:rFonts w:ascii="Arial" w:hAnsi="Arial" w:cs="Arial"/>
        </w:rPr>
        <w:t xml:space="preserve">eologicznego PIG-PIB w związku z organizacją „Spotkania Grupy Roboczej CIS WG </w:t>
      </w:r>
      <w:proofErr w:type="spellStart"/>
      <w:r w:rsidR="00C4708D" w:rsidRPr="00C4708D">
        <w:rPr>
          <w:rFonts w:ascii="Arial" w:hAnsi="Arial" w:cs="Arial"/>
        </w:rPr>
        <w:t>Groundwater</w:t>
      </w:r>
      <w:proofErr w:type="spellEnd"/>
      <w:r w:rsidR="00C4708D" w:rsidRPr="00C4708D">
        <w:rPr>
          <w:rFonts w:ascii="Arial" w:hAnsi="Arial" w:cs="Arial"/>
        </w:rPr>
        <w:t>”</w:t>
      </w:r>
      <w:r w:rsidRPr="00C4708D">
        <w:rPr>
          <w:rFonts w:ascii="Arial" w:hAnsi="Arial" w:cs="Arial"/>
        </w:rPr>
        <w:t>,</w:t>
      </w:r>
      <w:r w:rsidRPr="00682CD5">
        <w:rPr>
          <w:rFonts w:ascii="Arial" w:hAnsi="Arial" w:cs="Arial"/>
        </w:rPr>
        <w:t xml:space="preserve"> realizowan</w:t>
      </w:r>
      <w:r>
        <w:rPr>
          <w:rFonts w:ascii="Arial" w:hAnsi="Arial" w:cs="Arial"/>
        </w:rPr>
        <w:t>ego</w:t>
      </w:r>
      <w:r w:rsidRPr="00682CD5">
        <w:rPr>
          <w:rFonts w:ascii="Arial" w:hAnsi="Arial" w:cs="Arial"/>
        </w:rPr>
        <w:t xml:space="preserve"> przez Ministerstwo Infrastruktury w ramach sprawowania przez Polskę prezydencji w Radzie Unii Europejskiej w I połowie 2025 roku</w:t>
      </w:r>
      <w:r w:rsidR="005E4930">
        <w:rPr>
          <w:rFonts w:ascii="Arial" w:hAnsi="Arial" w:cs="Arial"/>
        </w:rPr>
        <w:t>.</w:t>
      </w:r>
    </w:p>
    <w:p w14:paraId="7B5E03A9" w14:textId="77777777" w:rsidR="005E4930" w:rsidRPr="00EB5CD4" w:rsidRDefault="005E4930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5C8BC54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</w:t>
      </w:r>
      <w:r w:rsidR="00D513A1">
        <w:rPr>
          <w:rFonts w:ascii="Arial" w:hAnsi="Arial" w:cs="Arial"/>
          <w:b/>
        </w:rPr>
        <w:t xml:space="preserve">i miejsce </w:t>
      </w:r>
      <w:r w:rsidRPr="00FB1669">
        <w:rPr>
          <w:rFonts w:ascii="Arial" w:hAnsi="Arial" w:cs="Arial"/>
          <w:b/>
        </w:rPr>
        <w:t xml:space="preserve">realizacji zamówienia </w:t>
      </w:r>
    </w:p>
    <w:p w14:paraId="45A19812" w14:textId="1F43233C" w:rsidR="00D55031" w:rsidRPr="00362DB3" w:rsidRDefault="00C4708D" w:rsidP="00965DB8">
      <w:pPr>
        <w:pStyle w:val="Tekstpodstawowy"/>
        <w:spacing w:after="120" w:line="240" w:lineRule="exact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188286923"/>
      <w:r>
        <w:rPr>
          <w:rFonts w:ascii="Arial" w:hAnsi="Arial" w:cs="Arial"/>
          <w:sz w:val="22"/>
          <w:szCs w:val="22"/>
          <w:lang w:val="pl-PL"/>
        </w:rPr>
        <w:t>7</w:t>
      </w:r>
      <w:r w:rsidR="00682CD5">
        <w:rPr>
          <w:rFonts w:ascii="Arial" w:hAnsi="Arial" w:cs="Arial"/>
          <w:sz w:val="22"/>
          <w:szCs w:val="22"/>
          <w:lang w:val="pl-PL"/>
        </w:rPr>
        <w:t xml:space="preserve"> kwietnia</w:t>
      </w:r>
      <w:r w:rsidR="00D55031" w:rsidRPr="00362DB3">
        <w:rPr>
          <w:rFonts w:ascii="Arial" w:hAnsi="Arial" w:cs="Arial"/>
          <w:sz w:val="22"/>
          <w:szCs w:val="22"/>
        </w:rPr>
        <w:t xml:space="preserve"> </w:t>
      </w:r>
      <w:r w:rsidR="007C6216" w:rsidRPr="00362DB3">
        <w:rPr>
          <w:rFonts w:ascii="Arial" w:hAnsi="Arial" w:cs="Arial"/>
          <w:sz w:val="22"/>
          <w:szCs w:val="22"/>
        </w:rPr>
        <w:t xml:space="preserve">2025 r. </w:t>
      </w:r>
      <w:bookmarkStart w:id="1" w:name="_Hlk188448163"/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w obiekcie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Muzeum Geologicznego PIG-PIB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>, któr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jest usytuowan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w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Warszawie</w:t>
      </w:r>
    </w:p>
    <w:bookmarkEnd w:id="1"/>
    <w:p w14:paraId="184D3DA0" w14:textId="77777777" w:rsidR="00D55031" w:rsidRPr="00D55031" w:rsidRDefault="00D55031" w:rsidP="00D55031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51FD645A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</w:t>
      </w:r>
      <w:r w:rsidR="00630DD8">
        <w:rPr>
          <w:rFonts w:ascii="Arial" w:hAnsi="Arial" w:cs="Arial"/>
        </w:rPr>
        <w:br/>
      </w:r>
      <w:r w:rsidR="0082065B">
        <w:rPr>
          <w:rFonts w:ascii="Arial" w:hAnsi="Arial" w:cs="Arial"/>
        </w:rPr>
        <w:t>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6E14083D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3D59AC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3D59AC">
      <w:pPr>
        <w:pStyle w:val="Akapitzlist"/>
        <w:numPr>
          <w:ilvl w:val="1"/>
          <w:numId w:val="30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78C429C2" w14:textId="77777777" w:rsidR="00DC6E74" w:rsidRDefault="00DC6E74" w:rsidP="00DC6E7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F19DBBC" w14:textId="347B499F" w:rsidR="00134258" w:rsidRPr="005E7451" w:rsidRDefault="00D5503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zaproszony </w:t>
      </w:r>
      <w:r w:rsidR="005E7451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złożenia oferty</w:t>
      </w:r>
    </w:p>
    <w:p w14:paraId="11EDB90F" w14:textId="531CFFCC" w:rsidR="00301887" w:rsidRPr="005E7451" w:rsidRDefault="00301887" w:rsidP="00134FF1">
      <w:pPr>
        <w:autoSpaceDE w:val="0"/>
        <w:autoSpaceDN w:val="0"/>
        <w:adjustRightInd w:val="0"/>
        <w:spacing w:after="120" w:line="240" w:lineRule="auto"/>
        <w:ind w:left="567" w:firstLine="142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</w:t>
      </w:r>
      <w:r w:rsidR="00D55031">
        <w:rPr>
          <w:rFonts w:ascii="Arial" w:hAnsi="Arial" w:cs="Arial"/>
        </w:rPr>
        <w:t>y</w:t>
      </w:r>
      <w:r w:rsidRPr="005E7451">
        <w:rPr>
          <w:rFonts w:ascii="Arial" w:hAnsi="Arial" w:cs="Arial"/>
        </w:rPr>
        <w:t xml:space="preserve"> wykonawc</w:t>
      </w:r>
      <w:r w:rsidR="00D55031">
        <w:rPr>
          <w:rFonts w:ascii="Arial" w:hAnsi="Arial" w:cs="Arial"/>
        </w:rPr>
        <w:t>ę</w:t>
      </w:r>
      <w:r w:rsidRPr="005E7451">
        <w:rPr>
          <w:rFonts w:ascii="Arial" w:hAnsi="Arial" w:cs="Arial"/>
        </w:rPr>
        <w:t>:</w:t>
      </w:r>
    </w:p>
    <w:p w14:paraId="43172909" w14:textId="77777777" w:rsidR="001A0ACF" w:rsidRPr="001A0ACF" w:rsidRDefault="001A0ACF" w:rsidP="001A0ACF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</w:rPr>
      </w:pPr>
      <w:r w:rsidRPr="001A0ACF">
        <w:rPr>
          <w:rFonts w:ascii="Arial" w:hAnsi="Arial" w:cs="Arial"/>
        </w:rPr>
        <w:t>Manufaktura Smaku. Damian LIS</w:t>
      </w:r>
    </w:p>
    <w:p w14:paraId="58087BA1" w14:textId="6A3C84F3" w:rsidR="00D55031" w:rsidRPr="00CD3D13" w:rsidRDefault="001A0ACF" w:rsidP="001A0ACF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</w:rPr>
      </w:pPr>
      <w:bookmarkStart w:id="2" w:name="_GoBack"/>
      <w:bookmarkEnd w:id="2"/>
      <w:r w:rsidRPr="001A0ACF">
        <w:rPr>
          <w:rFonts w:ascii="Arial" w:hAnsi="Arial" w:cs="Arial"/>
        </w:rPr>
        <w:t>ul. Izbicka, nr 13, lok. 1, 04-838 Warszawa</w:t>
      </w:r>
    </w:p>
    <w:sectPr w:rsidR="00D55031" w:rsidRPr="00CD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866442E"/>
    <w:multiLevelType w:val="multilevel"/>
    <w:tmpl w:val="9BB6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A5D"/>
    <w:multiLevelType w:val="multilevel"/>
    <w:tmpl w:val="33DC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3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5"/>
  </w:num>
  <w:num w:numId="8">
    <w:abstractNumId w:val="2"/>
  </w:num>
  <w:num w:numId="9">
    <w:abstractNumId w:val="15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23"/>
  </w:num>
  <w:num w:numId="16">
    <w:abstractNumId w:val="1"/>
  </w:num>
  <w:num w:numId="17">
    <w:abstractNumId w:val="14"/>
  </w:num>
  <w:num w:numId="18">
    <w:abstractNumId w:val="26"/>
  </w:num>
  <w:num w:numId="19">
    <w:abstractNumId w:val="24"/>
  </w:num>
  <w:num w:numId="20">
    <w:abstractNumId w:val="4"/>
  </w:num>
  <w:num w:numId="21">
    <w:abstractNumId w:val="16"/>
  </w:num>
  <w:num w:numId="22">
    <w:abstractNumId w:val="28"/>
  </w:num>
  <w:num w:numId="23">
    <w:abstractNumId w:val="17"/>
  </w:num>
  <w:num w:numId="24">
    <w:abstractNumId w:val="20"/>
  </w:num>
  <w:num w:numId="25">
    <w:abstractNumId w:val="27"/>
  </w:num>
  <w:num w:numId="26">
    <w:abstractNumId w:val="3"/>
  </w:num>
  <w:num w:numId="27">
    <w:abstractNumId w:val="19"/>
  </w:num>
  <w:num w:numId="28">
    <w:abstractNumId w:val="9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F"/>
    <w:rsid w:val="00003F1D"/>
    <w:rsid w:val="0002038D"/>
    <w:rsid w:val="000374FB"/>
    <w:rsid w:val="00063C21"/>
    <w:rsid w:val="00067881"/>
    <w:rsid w:val="0008471D"/>
    <w:rsid w:val="00085CAF"/>
    <w:rsid w:val="000A0225"/>
    <w:rsid w:val="000C14E0"/>
    <w:rsid w:val="000D27ED"/>
    <w:rsid w:val="000E1933"/>
    <w:rsid w:val="0010508B"/>
    <w:rsid w:val="00134258"/>
    <w:rsid w:val="00134FF1"/>
    <w:rsid w:val="001527B6"/>
    <w:rsid w:val="001816EF"/>
    <w:rsid w:val="00183460"/>
    <w:rsid w:val="001A0ACF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2D32DD"/>
    <w:rsid w:val="00301887"/>
    <w:rsid w:val="00313F62"/>
    <w:rsid w:val="003360DE"/>
    <w:rsid w:val="00362DB3"/>
    <w:rsid w:val="003769E1"/>
    <w:rsid w:val="00392753"/>
    <w:rsid w:val="003B0EA7"/>
    <w:rsid w:val="003C2E14"/>
    <w:rsid w:val="003D59AC"/>
    <w:rsid w:val="003E1D8C"/>
    <w:rsid w:val="003F57E0"/>
    <w:rsid w:val="004108DE"/>
    <w:rsid w:val="00443430"/>
    <w:rsid w:val="0045728F"/>
    <w:rsid w:val="00475E62"/>
    <w:rsid w:val="00482627"/>
    <w:rsid w:val="004B04E9"/>
    <w:rsid w:val="004B667E"/>
    <w:rsid w:val="00515D81"/>
    <w:rsid w:val="0052142A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4930"/>
    <w:rsid w:val="005E7451"/>
    <w:rsid w:val="005F3D5A"/>
    <w:rsid w:val="00625422"/>
    <w:rsid w:val="00630DD8"/>
    <w:rsid w:val="00656848"/>
    <w:rsid w:val="006643E8"/>
    <w:rsid w:val="00682CD5"/>
    <w:rsid w:val="006A4552"/>
    <w:rsid w:val="006B458A"/>
    <w:rsid w:val="00746083"/>
    <w:rsid w:val="007C6216"/>
    <w:rsid w:val="00810B09"/>
    <w:rsid w:val="0082065B"/>
    <w:rsid w:val="00840B50"/>
    <w:rsid w:val="008555AA"/>
    <w:rsid w:val="0087378C"/>
    <w:rsid w:val="008A1050"/>
    <w:rsid w:val="008D35F7"/>
    <w:rsid w:val="009173A9"/>
    <w:rsid w:val="00965DB8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D059A"/>
    <w:rsid w:val="00BB17C4"/>
    <w:rsid w:val="00C06779"/>
    <w:rsid w:val="00C07F65"/>
    <w:rsid w:val="00C24529"/>
    <w:rsid w:val="00C4708D"/>
    <w:rsid w:val="00C739A9"/>
    <w:rsid w:val="00C752C4"/>
    <w:rsid w:val="00C80ED4"/>
    <w:rsid w:val="00C92B05"/>
    <w:rsid w:val="00CD3D13"/>
    <w:rsid w:val="00D07487"/>
    <w:rsid w:val="00D258B6"/>
    <w:rsid w:val="00D513A1"/>
    <w:rsid w:val="00D55031"/>
    <w:rsid w:val="00DC6E74"/>
    <w:rsid w:val="00DE2720"/>
    <w:rsid w:val="00E5338B"/>
    <w:rsid w:val="00E6508F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Lorent-Suchecka Sylwia</cp:lastModifiedBy>
  <cp:revision>2</cp:revision>
  <cp:lastPrinted>2025-01-20T11:13:00Z</cp:lastPrinted>
  <dcterms:created xsi:type="dcterms:W3CDTF">2025-04-08T07:43:00Z</dcterms:created>
  <dcterms:modified xsi:type="dcterms:W3CDTF">2025-04-08T07:43:00Z</dcterms:modified>
</cp:coreProperties>
</file>