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922" w:rsidRPr="00555922" w:rsidRDefault="00555922" w:rsidP="00555922">
      <w:pPr>
        <w:tabs>
          <w:tab w:val="right" w:pos="9356"/>
        </w:tabs>
        <w:spacing w:after="120"/>
        <w:ind w:right="-284"/>
        <w:rPr>
          <w:rFonts w:ascii="Arial" w:hAnsi="Arial" w:cs="Arial"/>
          <w:sz w:val="22"/>
          <w:szCs w:val="22"/>
        </w:rPr>
      </w:pPr>
      <w:r w:rsidRPr="00555922">
        <w:rPr>
          <w:rFonts w:ascii="Arial" w:hAnsi="Arial" w:cs="Arial"/>
          <w:sz w:val="22"/>
          <w:szCs w:val="22"/>
        </w:rPr>
        <w:t>Załącznik do decyzji o środowiskowych uwarunkowaniach z 26 stycznia 2022 r. znak: WOOŚ.420.39.2021.MP.6</w:t>
      </w:r>
    </w:p>
    <w:p w:rsidR="00555922" w:rsidRPr="00555922" w:rsidRDefault="00555922" w:rsidP="00555922">
      <w:pPr>
        <w:spacing w:after="120"/>
        <w:rPr>
          <w:rFonts w:ascii="Arial" w:eastAsia="Times New Roman" w:hAnsi="Arial" w:cs="Arial"/>
          <w:sz w:val="22"/>
          <w:szCs w:val="22"/>
          <w:lang w:eastAsia="pl-PL"/>
        </w:rPr>
      </w:pPr>
      <w:r w:rsidRPr="00555922">
        <w:rPr>
          <w:rFonts w:ascii="Arial" w:hAnsi="Arial" w:cs="Arial"/>
          <w:sz w:val="22"/>
          <w:szCs w:val="22"/>
        </w:rPr>
        <w:t>Charakterystyka przedsięwzięcia pn.: „Rozbudowa węzła drogowego łączącego Aleję Gen. Andersa w Bielsku-Białej z drogą ekspresową S52</w:t>
      </w:r>
      <w:r w:rsidRPr="00555922">
        <w:rPr>
          <w:rFonts w:ascii="Arial" w:eastAsia="Times New Roman" w:hAnsi="Arial" w:cs="Arial"/>
          <w:sz w:val="22"/>
          <w:szCs w:val="22"/>
          <w:lang w:eastAsia="pl-PL"/>
        </w:rPr>
        <w:t>”</w:t>
      </w:r>
    </w:p>
    <w:p w:rsidR="00555922" w:rsidRPr="00555922" w:rsidRDefault="00555922" w:rsidP="00555922">
      <w:pPr>
        <w:spacing w:after="120"/>
        <w:rPr>
          <w:rFonts w:ascii="Arial" w:eastAsiaTheme="minorHAnsi" w:hAnsi="Arial" w:cs="Arial"/>
          <w:sz w:val="22"/>
          <w:szCs w:val="22"/>
          <w:lang w:eastAsia="en-US"/>
        </w:rPr>
      </w:pPr>
      <w:r w:rsidRPr="00555922">
        <w:rPr>
          <w:rFonts w:ascii="Arial" w:hAnsi="Arial" w:cs="Arial"/>
          <w:sz w:val="22"/>
          <w:szCs w:val="22"/>
        </w:rPr>
        <w:t>Inwestor: Gmina Bielsko-Biała Miejski</w:t>
      </w:r>
      <w:r w:rsidRPr="00555922">
        <w:rPr>
          <w:rFonts w:ascii="Arial" w:hAnsi="Arial" w:cs="Arial"/>
          <w:color w:val="00000A"/>
          <w:kern w:val="2"/>
          <w:sz w:val="22"/>
          <w:szCs w:val="22"/>
        </w:rPr>
        <w:t xml:space="preserve"> Zarząd Dróg w Bielsku Białej, z siedzibą w Bielsku-Białej, ul. Grażyńskiego 10</w:t>
      </w:r>
    </w:p>
    <w:p w:rsidR="00555922" w:rsidRPr="00555922" w:rsidRDefault="00555922" w:rsidP="00555922">
      <w:pPr>
        <w:spacing w:after="120"/>
        <w:rPr>
          <w:rFonts w:ascii="Arial" w:hAnsi="Arial" w:cs="Arial"/>
          <w:sz w:val="22"/>
          <w:szCs w:val="22"/>
        </w:rPr>
      </w:pPr>
      <w:r w:rsidRPr="00555922">
        <w:rPr>
          <w:rFonts w:ascii="Arial" w:hAnsi="Arial" w:cs="Arial"/>
          <w:sz w:val="22"/>
          <w:szCs w:val="22"/>
        </w:rPr>
        <w:t>Rodzaj, skala, usytuowanie oraz zakres przedsięwzięcia</w:t>
      </w:r>
    </w:p>
    <w:p w:rsidR="00555922" w:rsidRPr="00555922" w:rsidRDefault="00555922" w:rsidP="00555922">
      <w:pPr>
        <w:pStyle w:val="AtekstROOS"/>
        <w:spacing w:before="0" w:beforeAutospacing="0" w:after="120" w:afterAutospacing="0" w:line="276" w:lineRule="auto"/>
        <w:ind w:firstLine="0"/>
        <w:jc w:val="left"/>
        <w:rPr>
          <w:rFonts w:cs="Arial"/>
          <w:sz w:val="22"/>
          <w:szCs w:val="22"/>
        </w:rPr>
      </w:pPr>
      <w:r w:rsidRPr="00555922">
        <w:rPr>
          <w:rFonts w:cs="Arial"/>
          <w:sz w:val="22"/>
          <w:szCs w:val="22"/>
        </w:rPr>
        <w:t>Przedmiotem inwestycji jest rozbudowa węzła drogowego łączącego aleję gen. Andersa w Bielsku-Białej z drogą ekspresową S52. Projektowany zakres inwestycji rozpoczyna się na wysokości zjazdu do „</w:t>
      </w:r>
      <w:proofErr w:type="spellStart"/>
      <w:r w:rsidRPr="00555922">
        <w:rPr>
          <w:rFonts w:cs="Arial"/>
          <w:sz w:val="22"/>
          <w:szCs w:val="22"/>
        </w:rPr>
        <w:t>ŠKODA</w:t>
      </w:r>
      <w:proofErr w:type="spellEnd"/>
      <w:r w:rsidRPr="00555922">
        <w:rPr>
          <w:rFonts w:cs="Arial"/>
          <w:sz w:val="22"/>
          <w:szCs w:val="22"/>
        </w:rPr>
        <w:t xml:space="preserve"> KORCZYK Autoryzowany Salon i Serwis Bielsko-Biała” znajdujący się przy al. gen. Andersa w kierunku północnym od drogi ekspresowej S52. W początkowym odcinku zaprojektowano wyspę rozgraniczającą pasy ruchu drogowego, celem wprowadzenia uspokojenia ruchu przed skrzyżowaniami. Następnie projekt przewiduje wprowadzenie wyspy rozdzielającej kierunki ruchu. Przy skrzyżowaniu al. Andersa z ul. Poligonową zaprojektowano wprowadzenie elementów usprawniających bezpieczeństwo oraz przepustowość ruchu – takie jak pas włączenia i wyspy kanalizujące ruch. Od strony południowo-zachodniej przewiduje się zlikwidowanie możliwości skrętu w lewo w stronę Mazańcowic. Kierunek ten będzie możliwy do osiągnięcia zawracając na rondzie. Przy połączeniu łącznic drogi ekspresowej z al. Andersa zaprojektowano dwa ronda turbinowe o zewnętrznej średnicy 54,0 m z przejezdną wyspą dla pojazdów ponadwymiarowych. Przy południowej łącznicy zaprojektowano dodatkowy </w:t>
      </w:r>
      <w:proofErr w:type="spellStart"/>
      <w:r w:rsidRPr="00555922">
        <w:rPr>
          <w:rFonts w:cs="Arial"/>
          <w:sz w:val="22"/>
          <w:szCs w:val="22"/>
        </w:rPr>
        <w:t>bypass</w:t>
      </w:r>
      <w:proofErr w:type="spellEnd"/>
      <w:r w:rsidRPr="00555922">
        <w:rPr>
          <w:rFonts w:cs="Arial"/>
          <w:sz w:val="22"/>
          <w:szCs w:val="22"/>
        </w:rPr>
        <w:t xml:space="preserve"> w celu zwiększenia przepustowości w kierunku centrum Bielska-Białej. Przed rondem od strony centrum, wymuszono uspokojenie ruchu za pomocą „</w:t>
      </w:r>
      <w:proofErr w:type="spellStart"/>
      <w:r w:rsidRPr="00555922">
        <w:rPr>
          <w:rFonts w:cs="Arial"/>
          <w:sz w:val="22"/>
          <w:szCs w:val="22"/>
        </w:rPr>
        <w:t>wyesowania</w:t>
      </w:r>
      <w:proofErr w:type="spellEnd"/>
      <w:r w:rsidRPr="00555922">
        <w:rPr>
          <w:rFonts w:cs="Arial"/>
          <w:sz w:val="22"/>
          <w:szCs w:val="22"/>
        </w:rPr>
        <w:t>” dojazdu do ronda. Zakres inwestycji kończy się przed skrzyżowaniem al. Andersa z drogą dojazdową do stacji benzynowej oraz Makro, w kierunku południowym od drogi ekspresowej S52.</w:t>
      </w:r>
    </w:p>
    <w:p w:rsidR="00555922" w:rsidRPr="00555922" w:rsidRDefault="00555922" w:rsidP="00555922">
      <w:pPr>
        <w:pStyle w:val="AtekstROOS"/>
        <w:spacing w:before="0" w:beforeAutospacing="0" w:after="120" w:afterAutospacing="0" w:line="276" w:lineRule="auto"/>
        <w:ind w:firstLine="0"/>
        <w:jc w:val="left"/>
        <w:rPr>
          <w:rFonts w:cs="Arial"/>
          <w:sz w:val="22"/>
          <w:szCs w:val="22"/>
        </w:rPr>
      </w:pPr>
      <w:r w:rsidRPr="00555922">
        <w:rPr>
          <w:rFonts w:cs="Arial"/>
          <w:sz w:val="22"/>
          <w:szCs w:val="22"/>
        </w:rPr>
        <w:t>W ramach inwestycji przyjęto następujące założenia dla poszczególnych odcinków dróg:</w:t>
      </w:r>
    </w:p>
    <w:p w:rsidR="00555922" w:rsidRPr="00555922" w:rsidRDefault="00555922" w:rsidP="00555922">
      <w:pPr>
        <w:pStyle w:val="Akapitzlist"/>
        <w:numPr>
          <w:ilvl w:val="0"/>
          <w:numId w:val="3"/>
        </w:numPr>
        <w:suppressAutoHyphens w:val="0"/>
        <w:autoSpaceDN/>
        <w:spacing w:after="120" w:line="276" w:lineRule="auto"/>
        <w:contextualSpacing/>
        <w:textAlignment w:val="auto"/>
        <w:rPr>
          <w:rFonts w:ascii="Arial" w:hAnsi="Arial" w:cs="Arial"/>
          <w:sz w:val="22"/>
          <w:szCs w:val="22"/>
        </w:rPr>
      </w:pPr>
      <w:r w:rsidRPr="00555922">
        <w:rPr>
          <w:rFonts w:ascii="Arial" w:hAnsi="Arial" w:cs="Arial"/>
          <w:sz w:val="22"/>
          <w:szCs w:val="22"/>
        </w:rPr>
        <w:t>Aleja Gen. Andersa:</w:t>
      </w:r>
    </w:p>
    <w:tbl>
      <w:tblPr>
        <w:tblStyle w:val="Tabela-Siatka"/>
        <w:tblW w:w="5000" w:type="pct"/>
        <w:jc w:val="center"/>
        <w:tblInd w:w="0" w:type="dxa"/>
        <w:tblCellMar>
          <w:left w:w="0" w:type="dxa"/>
          <w:right w:w="0" w:type="dxa"/>
        </w:tblCellMar>
        <w:tblLook w:val="04A0"/>
      </w:tblPr>
      <w:tblGrid>
        <w:gridCol w:w="2983"/>
        <w:gridCol w:w="6099"/>
      </w:tblGrid>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Charakterystyczne parametry</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Droga główna</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klasa drogi (ulicy)</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G 2×2</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prędkość projektowa</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proofErr w:type="spellStart"/>
            <w:r w:rsidRPr="00555922">
              <w:rPr>
                <w:rFonts w:ascii="Arial" w:hAnsi="Arial" w:cs="Arial"/>
                <w:sz w:val="22"/>
                <w:szCs w:val="22"/>
                <w:lang w:eastAsia="en-US"/>
              </w:rPr>
              <w:t>v</w:t>
            </w:r>
            <w:r w:rsidRPr="00555922">
              <w:rPr>
                <w:rFonts w:ascii="Arial" w:hAnsi="Arial" w:cs="Arial"/>
                <w:sz w:val="22"/>
                <w:szCs w:val="22"/>
                <w:vertAlign w:val="subscript"/>
                <w:lang w:eastAsia="en-US"/>
              </w:rPr>
              <w:t>p</w:t>
            </w:r>
            <w:proofErr w:type="spellEnd"/>
            <w:r w:rsidRPr="00555922">
              <w:rPr>
                <w:rFonts w:ascii="Arial" w:hAnsi="Arial" w:cs="Arial"/>
                <w:sz w:val="22"/>
                <w:szCs w:val="22"/>
                <w:lang w:eastAsia="en-US"/>
              </w:rPr>
              <w:t xml:space="preserve"> = 50 km/h (40 km/h przy dojazdach do ronda)</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kategoria obciążenia ruchem</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KR 6</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przekrój poprzeczny</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spadek daszkowy, krawężniki z jednej strony</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szerokość jezdni</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pasy ruchu głównie 3,5 m – na „</w:t>
            </w:r>
            <w:proofErr w:type="spellStart"/>
            <w:r w:rsidRPr="00555922">
              <w:rPr>
                <w:rFonts w:ascii="Arial" w:hAnsi="Arial" w:cs="Arial"/>
                <w:sz w:val="22"/>
                <w:szCs w:val="22"/>
                <w:lang w:eastAsia="en-US"/>
              </w:rPr>
              <w:t>wyesowanym</w:t>
            </w:r>
            <w:proofErr w:type="spellEnd"/>
            <w:r w:rsidRPr="00555922">
              <w:rPr>
                <w:rFonts w:ascii="Arial" w:hAnsi="Arial" w:cs="Arial"/>
                <w:sz w:val="22"/>
                <w:szCs w:val="22"/>
                <w:lang w:eastAsia="en-US"/>
              </w:rPr>
              <w:t>” odcinku 3,75 m</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szerokość chodnika</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2,5 m</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nawierzchnia jezdni</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beton asfaltowy</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nawierzchnia chodnika</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kostka betonowa z fazą</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odwodnienie</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wpusty uliczne – kanalizacja deszczowa, istniejące rowy</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pochylenia skarp</w:t>
            </w:r>
          </w:p>
        </w:tc>
        <w:tc>
          <w:tcPr>
            <w:tcW w:w="3358"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1:1,5</w:t>
            </w:r>
          </w:p>
        </w:tc>
      </w:tr>
      <w:tr w:rsidR="00555922" w:rsidRPr="00555922" w:rsidTr="00555922">
        <w:trPr>
          <w:jc w:val="center"/>
        </w:trPr>
        <w:tc>
          <w:tcPr>
            <w:tcW w:w="1642" w:type="pct"/>
            <w:tcBorders>
              <w:top w:val="single" w:sz="4" w:space="0" w:color="auto"/>
              <w:left w:val="single" w:sz="4" w:space="0" w:color="auto"/>
              <w:bottom w:val="single" w:sz="4" w:space="0" w:color="auto"/>
              <w:right w:val="single" w:sz="4" w:space="0" w:color="auto"/>
            </w:tcBorders>
            <w:vAlign w:val="center"/>
          </w:tcPr>
          <w:p w:rsidR="00555922" w:rsidRPr="00555922" w:rsidRDefault="00555922" w:rsidP="00555922">
            <w:pPr>
              <w:pStyle w:val="Bezodstpw"/>
              <w:spacing w:after="120" w:line="276" w:lineRule="auto"/>
              <w:jc w:val="left"/>
              <w:rPr>
                <w:rFonts w:ascii="Arial" w:hAnsi="Arial" w:cs="Arial"/>
                <w:sz w:val="22"/>
                <w:szCs w:val="22"/>
                <w:lang w:eastAsia="en-US"/>
              </w:rPr>
            </w:pPr>
          </w:p>
        </w:tc>
        <w:tc>
          <w:tcPr>
            <w:tcW w:w="3358" w:type="pct"/>
            <w:tcBorders>
              <w:top w:val="single" w:sz="4" w:space="0" w:color="auto"/>
              <w:left w:val="single" w:sz="4" w:space="0" w:color="auto"/>
              <w:bottom w:val="single" w:sz="4" w:space="0" w:color="auto"/>
              <w:right w:val="single" w:sz="4" w:space="0" w:color="auto"/>
            </w:tcBorders>
            <w:vAlign w:val="center"/>
          </w:tcPr>
          <w:p w:rsidR="00555922" w:rsidRPr="00555922" w:rsidRDefault="00555922" w:rsidP="00555922">
            <w:pPr>
              <w:pStyle w:val="Bezodstpw"/>
              <w:spacing w:after="120" w:line="276" w:lineRule="auto"/>
              <w:jc w:val="left"/>
              <w:rPr>
                <w:rFonts w:ascii="Arial" w:hAnsi="Arial" w:cs="Arial"/>
                <w:sz w:val="22"/>
                <w:szCs w:val="22"/>
                <w:lang w:eastAsia="en-US"/>
              </w:rPr>
            </w:pPr>
          </w:p>
        </w:tc>
      </w:tr>
    </w:tbl>
    <w:p w:rsidR="00555922" w:rsidRPr="00555922" w:rsidRDefault="00555922" w:rsidP="00555922">
      <w:pPr>
        <w:pStyle w:val="Akapitzlist"/>
        <w:numPr>
          <w:ilvl w:val="0"/>
          <w:numId w:val="3"/>
        </w:numPr>
        <w:suppressAutoHyphens w:val="0"/>
        <w:autoSpaceDN/>
        <w:spacing w:after="120" w:line="276" w:lineRule="auto"/>
        <w:contextualSpacing/>
        <w:textAlignment w:val="auto"/>
        <w:rPr>
          <w:rFonts w:ascii="Arial" w:hAnsi="Arial" w:cs="Arial"/>
          <w:sz w:val="22"/>
          <w:szCs w:val="22"/>
          <w:lang w:eastAsia="en-US"/>
        </w:rPr>
      </w:pPr>
      <w:r w:rsidRPr="00555922">
        <w:rPr>
          <w:rFonts w:ascii="Arial" w:hAnsi="Arial" w:cs="Arial"/>
          <w:sz w:val="22"/>
          <w:szCs w:val="22"/>
        </w:rPr>
        <w:t>łącznice:</w:t>
      </w:r>
    </w:p>
    <w:tbl>
      <w:tblPr>
        <w:tblStyle w:val="Tabela-Siatka"/>
        <w:tblW w:w="5000" w:type="pct"/>
        <w:jc w:val="center"/>
        <w:tblInd w:w="0" w:type="dxa"/>
        <w:tblCellMar>
          <w:left w:w="0" w:type="dxa"/>
          <w:right w:w="0" w:type="dxa"/>
        </w:tblCellMar>
        <w:tblLook w:val="04A0"/>
      </w:tblPr>
      <w:tblGrid>
        <w:gridCol w:w="3408"/>
        <w:gridCol w:w="5674"/>
      </w:tblGrid>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lastRenderedPageBreak/>
              <w:t>Charakterystyczne parametry</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Droga dojazdowa</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prędkość projektowa</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proofErr w:type="spellStart"/>
            <w:r w:rsidRPr="00555922">
              <w:rPr>
                <w:rFonts w:ascii="Arial" w:hAnsi="Arial" w:cs="Arial"/>
                <w:sz w:val="22"/>
                <w:szCs w:val="22"/>
                <w:lang w:eastAsia="en-US"/>
              </w:rPr>
              <w:t>v</w:t>
            </w:r>
            <w:r w:rsidRPr="00555922">
              <w:rPr>
                <w:rFonts w:ascii="Arial" w:hAnsi="Arial" w:cs="Arial"/>
                <w:sz w:val="22"/>
                <w:szCs w:val="22"/>
                <w:vertAlign w:val="subscript"/>
                <w:lang w:eastAsia="en-US"/>
              </w:rPr>
              <w:t>p</w:t>
            </w:r>
            <w:proofErr w:type="spellEnd"/>
            <w:r w:rsidRPr="00555922">
              <w:rPr>
                <w:rFonts w:ascii="Arial" w:hAnsi="Arial" w:cs="Arial"/>
                <w:sz w:val="22"/>
                <w:szCs w:val="22"/>
                <w:lang w:eastAsia="en-US"/>
              </w:rPr>
              <w:t xml:space="preserve"> = 40 km/h</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kategoria obciążenia ruchem</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KR 6</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przekrój poprzeczny</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drogowy, bez krawężników, spadek daszkowy</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szerokość jezdni</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2×4,0 = 8,0 m (przy dojeździe do ronda 4,75 m)</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nawierzchnia jezdni</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beton asfaltowy</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nawierzchnia wyspy</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kostka betonowa</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odwodnienie</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rowy przydrożne</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pochylenia skarp</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1:1,5</w:t>
            </w:r>
          </w:p>
        </w:tc>
      </w:tr>
    </w:tbl>
    <w:p w:rsidR="00555922" w:rsidRPr="00555922" w:rsidRDefault="00555922" w:rsidP="00555922">
      <w:pPr>
        <w:pStyle w:val="Akapitzlist"/>
        <w:numPr>
          <w:ilvl w:val="0"/>
          <w:numId w:val="3"/>
        </w:numPr>
        <w:suppressAutoHyphens w:val="0"/>
        <w:autoSpaceDN/>
        <w:spacing w:after="120" w:line="276" w:lineRule="auto"/>
        <w:contextualSpacing/>
        <w:textAlignment w:val="auto"/>
        <w:rPr>
          <w:rFonts w:ascii="Arial" w:hAnsi="Arial" w:cs="Arial"/>
          <w:sz w:val="22"/>
          <w:szCs w:val="22"/>
          <w:lang w:eastAsia="en-US"/>
        </w:rPr>
      </w:pPr>
      <w:r w:rsidRPr="00555922">
        <w:rPr>
          <w:rFonts w:ascii="Arial" w:hAnsi="Arial" w:cs="Arial"/>
          <w:sz w:val="22"/>
          <w:szCs w:val="22"/>
        </w:rPr>
        <w:t>ul. Poligonowa:</w:t>
      </w:r>
    </w:p>
    <w:tbl>
      <w:tblPr>
        <w:tblStyle w:val="Tabela-Siatka"/>
        <w:tblW w:w="5000" w:type="pct"/>
        <w:jc w:val="center"/>
        <w:tblInd w:w="0" w:type="dxa"/>
        <w:tblCellMar>
          <w:left w:w="0" w:type="dxa"/>
          <w:right w:w="0" w:type="dxa"/>
        </w:tblCellMar>
        <w:tblLook w:val="04A0"/>
      </w:tblPr>
      <w:tblGrid>
        <w:gridCol w:w="3408"/>
        <w:gridCol w:w="5674"/>
      </w:tblGrid>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Charakterystyczne parametry</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Droga lokalna</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klasa drogi (ulicy)</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L 1×2</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prędkość projektowa</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proofErr w:type="spellStart"/>
            <w:r w:rsidRPr="00555922">
              <w:rPr>
                <w:rFonts w:ascii="Arial" w:hAnsi="Arial" w:cs="Arial"/>
                <w:sz w:val="22"/>
                <w:szCs w:val="22"/>
                <w:lang w:eastAsia="en-US"/>
              </w:rPr>
              <w:t>v</w:t>
            </w:r>
            <w:r w:rsidRPr="00555922">
              <w:rPr>
                <w:rFonts w:ascii="Arial" w:hAnsi="Arial" w:cs="Arial"/>
                <w:sz w:val="22"/>
                <w:szCs w:val="22"/>
                <w:vertAlign w:val="subscript"/>
                <w:lang w:eastAsia="en-US"/>
              </w:rPr>
              <w:t>p</w:t>
            </w:r>
            <w:proofErr w:type="spellEnd"/>
            <w:r w:rsidRPr="00555922">
              <w:rPr>
                <w:rFonts w:ascii="Arial" w:hAnsi="Arial" w:cs="Arial"/>
                <w:sz w:val="22"/>
                <w:szCs w:val="22"/>
                <w:lang w:eastAsia="en-US"/>
              </w:rPr>
              <w:t xml:space="preserve"> = 40 km/h</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kategoria obciążenia ruchem</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KR3</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przekrój poprzeczny</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drogowy, bez krawężników, spadek daszkowy</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szerokość jezdni</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 xml:space="preserve">2×2,75 = </w:t>
            </w:r>
            <w:r w:rsidRPr="00555922">
              <w:rPr>
                <w:rFonts w:ascii="Arial" w:hAnsi="Arial" w:cs="Arial"/>
                <w:sz w:val="22"/>
                <w:szCs w:val="22"/>
                <w:lang w:eastAsia="en-US"/>
              </w:rPr>
              <w:sym w:font="Symbol" w:char="00BB"/>
            </w:r>
            <w:r w:rsidRPr="00555922">
              <w:rPr>
                <w:rFonts w:ascii="Arial" w:hAnsi="Arial" w:cs="Arial"/>
                <w:sz w:val="22"/>
                <w:szCs w:val="22"/>
                <w:lang w:eastAsia="en-US"/>
              </w:rPr>
              <w:t xml:space="preserve"> 5,0 m</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szerokość chodnika</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2,0 m</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nawierzchnia jezdni</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beton asfaltowy</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nawierzchnia chodnika</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kostka betonowa</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odwodnienie</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rowy przydrożne</w:t>
            </w:r>
          </w:p>
        </w:tc>
      </w:tr>
      <w:tr w:rsidR="00555922" w:rsidRPr="00555922" w:rsidTr="00555922">
        <w:trPr>
          <w:jc w:val="center"/>
        </w:trPr>
        <w:tc>
          <w:tcPr>
            <w:tcW w:w="1876"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pochylenia skarp</w:t>
            </w:r>
          </w:p>
        </w:tc>
        <w:tc>
          <w:tcPr>
            <w:tcW w:w="3124" w:type="pct"/>
            <w:tcBorders>
              <w:top w:val="single" w:sz="4" w:space="0" w:color="auto"/>
              <w:left w:val="single" w:sz="4" w:space="0" w:color="auto"/>
              <w:bottom w:val="single" w:sz="4" w:space="0" w:color="auto"/>
              <w:right w:val="single" w:sz="4" w:space="0" w:color="auto"/>
            </w:tcBorders>
            <w:vAlign w:val="center"/>
            <w:hideMark/>
          </w:tcPr>
          <w:p w:rsidR="00555922" w:rsidRPr="00555922" w:rsidRDefault="00555922" w:rsidP="00555922">
            <w:pPr>
              <w:pStyle w:val="Bezodstpw"/>
              <w:spacing w:after="120" w:line="276" w:lineRule="auto"/>
              <w:jc w:val="left"/>
              <w:rPr>
                <w:rFonts w:ascii="Arial" w:hAnsi="Arial" w:cs="Arial"/>
                <w:sz w:val="22"/>
                <w:szCs w:val="22"/>
                <w:lang w:eastAsia="en-US"/>
              </w:rPr>
            </w:pPr>
            <w:r w:rsidRPr="00555922">
              <w:rPr>
                <w:rFonts w:ascii="Arial" w:hAnsi="Arial" w:cs="Arial"/>
                <w:sz w:val="22"/>
                <w:szCs w:val="22"/>
                <w:lang w:eastAsia="en-US"/>
              </w:rPr>
              <w:t>1:1,5</w:t>
            </w:r>
          </w:p>
        </w:tc>
      </w:tr>
    </w:tbl>
    <w:p w:rsidR="00555922" w:rsidRPr="00555922" w:rsidRDefault="00555922" w:rsidP="00555922">
      <w:pPr>
        <w:spacing w:after="120"/>
        <w:rPr>
          <w:rFonts w:ascii="Arial" w:hAnsi="Arial" w:cs="Arial"/>
          <w:sz w:val="22"/>
          <w:szCs w:val="22"/>
          <w:lang w:eastAsia="en-US"/>
        </w:rPr>
      </w:pPr>
    </w:p>
    <w:p w:rsidR="00555922" w:rsidRPr="00555922" w:rsidRDefault="00555922" w:rsidP="00555922">
      <w:pPr>
        <w:spacing w:after="120"/>
        <w:rPr>
          <w:rFonts w:ascii="Arial" w:hAnsi="Arial" w:cs="Arial"/>
          <w:sz w:val="22"/>
          <w:szCs w:val="22"/>
        </w:rPr>
      </w:pPr>
      <w:r w:rsidRPr="00555922">
        <w:rPr>
          <w:rFonts w:ascii="Arial" w:hAnsi="Arial" w:cs="Arial"/>
          <w:sz w:val="22"/>
          <w:szCs w:val="22"/>
        </w:rPr>
        <w:t>Projektowane niwelety zaprojektowano w nawiązaniu do: rzędnych istniejących, przyległego zagospodarowania posesji, poziomu terenu z uwzględnieniem warunku minimalizacji robót ziemnych.</w:t>
      </w:r>
    </w:p>
    <w:p w:rsidR="00555922" w:rsidRPr="00555922" w:rsidRDefault="00555922" w:rsidP="00555922">
      <w:pPr>
        <w:spacing w:after="120"/>
        <w:rPr>
          <w:rFonts w:ascii="Arial" w:eastAsia="ArialNarrow;MS Mincho" w:hAnsi="Arial" w:cs="Arial"/>
          <w:color w:val="00000A"/>
          <w:kern w:val="2"/>
          <w:sz w:val="22"/>
          <w:szCs w:val="22"/>
        </w:rPr>
      </w:pPr>
      <w:r w:rsidRPr="00555922">
        <w:rPr>
          <w:rFonts w:ascii="Arial" w:eastAsia="ArialNarrow;MS Mincho" w:hAnsi="Arial" w:cs="Arial"/>
          <w:color w:val="00000A"/>
          <w:kern w:val="2"/>
          <w:sz w:val="22"/>
          <w:szCs w:val="22"/>
        </w:rPr>
        <w:t>W ramach realizacji inwestycji planuje się także:</w:t>
      </w:r>
    </w:p>
    <w:p w:rsidR="00555922" w:rsidRPr="00555922" w:rsidRDefault="00555922" w:rsidP="00555922">
      <w:pPr>
        <w:pStyle w:val="Akapitzlist"/>
        <w:numPr>
          <w:ilvl w:val="0"/>
          <w:numId w:val="4"/>
        </w:numPr>
        <w:suppressAutoHyphens w:val="0"/>
        <w:autoSpaceDN/>
        <w:spacing w:after="120" w:line="276" w:lineRule="auto"/>
        <w:contextualSpacing/>
        <w:textAlignment w:val="auto"/>
        <w:rPr>
          <w:rFonts w:ascii="Arial" w:eastAsia="ArialNarrow;MS Mincho" w:hAnsi="Arial" w:cs="Arial"/>
          <w:color w:val="00000A"/>
          <w:kern w:val="2"/>
          <w:sz w:val="22"/>
          <w:szCs w:val="22"/>
        </w:rPr>
      </w:pPr>
      <w:r w:rsidRPr="00555922">
        <w:rPr>
          <w:rFonts w:ascii="Arial" w:eastAsia="ArialNarrow;MS Mincho" w:hAnsi="Arial" w:cs="Arial"/>
          <w:color w:val="00000A"/>
          <w:kern w:val="2"/>
          <w:sz w:val="22"/>
          <w:szCs w:val="22"/>
        </w:rPr>
        <w:t>przełożenie odcinka cieku Potoku Starobielskiego na długości około 130 m i budowę nowego przepustu. Potok Starobielski przecina planowaną inwestycję w rejonie projektowanego ronda w km ok. 0+280. Nowy przepust po przełożeniu koryta przecinać będzie inwestycję w km około 0+317,</w:t>
      </w:r>
    </w:p>
    <w:p w:rsidR="00555922" w:rsidRPr="00555922" w:rsidRDefault="00555922" w:rsidP="00555922">
      <w:pPr>
        <w:pStyle w:val="Akapitzlist"/>
        <w:numPr>
          <w:ilvl w:val="0"/>
          <w:numId w:val="4"/>
        </w:numPr>
        <w:suppressAutoHyphens w:val="0"/>
        <w:autoSpaceDN/>
        <w:spacing w:after="120" w:line="276" w:lineRule="auto"/>
        <w:contextualSpacing/>
        <w:textAlignment w:val="auto"/>
        <w:rPr>
          <w:rFonts w:ascii="Arial" w:eastAsia="ArialNarrow;MS Mincho" w:hAnsi="Arial" w:cs="Arial"/>
          <w:color w:val="00000A"/>
          <w:kern w:val="2"/>
          <w:sz w:val="22"/>
          <w:szCs w:val="22"/>
        </w:rPr>
      </w:pPr>
      <w:r w:rsidRPr="00555922">
        <w:rPr>
          <w:rFonts w:ascii="Arial" w:eastAsia="ArialNarrow;MS Mincho" w:hAnsi="Arial" w:cs="Arial"/>
          <w:color w:val="00000A"/>
          <w:kern w:val="2"/>
          <w:sz w:val="22"/>
          <w:szCs w:val="22"/>
        </w:rPr>
        <w:t>rozbudowę sieci gazowej średniego ciśnienia (</w:t>
      </w:r>
      <w:r w:rsidRPr="00555922">
        <w:rPr>
          <w:rFonts w:ascii="Arial" w:hAnsi="Arial" w:cs="Arial"/>
          <w:sz w:val="22"/>
          <w:szCs w:val="22"/>
        </w:rPr>
        <w:t xml:space="preserve">max 0,5 </w:t>
      </w:r>
      <w:proofErr w:type="spellStart"/>
      <w:r w:rsidRPr="00555922">
        <w:rPr>
          <w:rFonts w:ascii="Arial" w:hAnsi="Arial" w:cs="Arial"/>
          <w:sz w:val="22"/>
          <w:szCs w:val="22"/>
        </w:rPr>
        <w:t>MPa</w:t>
      </w:r>
      <w:proofErr w:type="spellEnd"/>
      <w:r w:rsidRPr="00555922">
        <w:rPr>
          <w:rFonts w:ascii="Arial" w:hAnsi="Arial" w:cs="Arial"/>
          <w:sz w:val="22"/>
          <w:szCs w:val="22"/>
        </w:rPr>
        <w:t xml:space="preserve">) </w:t>
      </w:r>
      <w:r w:rsidRPr="00555922">
        <w:rPr>
          <w:rFonts w:ascii="Arial" w:eastAsia="ArialNarrow;MS Mincho" w:hAnsi="Arial" w:cs="Arial"/>
          <w:color w:val="00000A"/>
          <w:kern w:val="2"/>
          <w:sz w:val="22"/>
          <w:szCs w:val="22"/>
        </w:rPr>
        <w:t>pod nowo przełożonym odcinkiem Potoku Starobielskiego. Rozbudowa realizowana będzie wykopem otwartym przed wykonaniem nowego koryta cieku lub przewiertem sterowanym w przypadku jego realizacji po utworzeniu nowego koryta. Docelowe posadowienie gazociągu średniego ciśnienia DN160 pod przebudowywanym potokiem Starobielskim występować będzie w km ok. 0+317 Alei gen. Andersa,</w:t>
      </w:r>
    </w:p>
    <w:p w:rsidR="00555922" w:rsidRPr="00555922" w:rsidRDefault="00555922" w:rsidP="00555922">
      <w:pPr>
        <w:pStyle w:val="Akapitzlist"/>
        <w:numPr>
          <w:ilvl w:val="0"/>
          <w:numId w:val="4"/>
        </w:numPr>
        <w:suppressAutoHyphens w:val="0"/>
        <w:autoSpaceDN/>
        <w:spacing w:after="120" w:line="276" w:lineRule="auto"/>
        <w:contextualSpacing/>
        <w:textAlignment w:val="auto"/>
        <w:rPr>
          <w:rFonts w:ascii="Arial" w:eastAsia="ArialNarrow;MS Mincho" w:hAnsi="Arial" w:cs="Arial"/>
          <w:color w:val="00000A"/>
          <w:kern w:val="2"/>
          <w:sz w:val="22"/>
          <w:szCs w:val="22"/>
        </w:rPr>
      </w:pPr>
      <w:r w:rsidRPr="00555922">
        <w:rPr>
          <w:rFonts w:ascii="Arial" w:eastAsia="ArialNarrow;MS Mincho" w:hAnsi="Arial" w:cs="Arial"/>
          <w:color w:val="00000A"/>
          <w:kern w:val="2"/>
          <w:sz w:val="22"/>
          <w:szCs w:val="22"/>
        </w:rPr>
        <w:t>wykonanie wylotu kanału retencyjnego na wysokości km ok. 0+130 Alei gen. Andersa do Potoku Starobielskiego w rejonie ul. Poligonowej.</w:t>
      </w:r>
    </w:p>
    <w:p w:rsidR="00555922" w:rsidRPr="00555922" w:rsidRDefault="00555922" w:rsidP="00555922">
      <w:pPr>
        <w:autoSpaceDE w:val="0"/>
        <w:adjustRightInd w:val="0"/>
        <w:spacing w:after="120"/>
        <w:rPr>
          <w:rFonts w:ascii="Arial" w:eastAsiaTheme="minorHAnsi" w:hAnsi="Arial" w:cs="Arial"/>
          <w:kern w:val="0"/>
          <w:sz w:val="22"/>
          <w:szCs w:val="22"/>
        </w:rPr>
      </w:pPr>
      <w:r w:rsidRPr="00555922">
        <w:rPr>
          <w:rFonts w:ascii="Arial" w:hAnsi="Arial" w:cs="Arial"/>
          <w:sz w:val="22"/>
          <w:szCs w:val="22"/>
        </w:rPr>
        <w:lastRenderedPageBreak/>
        <w:t>Stosowana w trakcie prac budowlanych technologia będzie typową, wykorzystywaną przy realizacji inwestycji drogowych. Przed przystąpieniem do robót zostaną wykonane niezbędne zabezpieczenia, takie jak oznakowanie i ogrodzenie terenu robót. Roboty wykonywane będą ręcznie i przy użyciu sprzętu mechanicznego takiego jak</w:t>
      </w:r>
      <w:r w:rsidRPr="00555922">
        <w:rPr>
          <w:rFonts w:ascii="Arial" w:eastAsia="CIDFont+F3" w:hAnsi="Arial" w:cs="Arial"/>
          <w:sz w:val="22"/>
          <w:szCs w:val="22"/>
        </w:rPr>
        <w:t xml:space="preserve"> koparki, pojazdy ciężarowe, walec, zagęszczarka, dźwig</w:t>
      </w:r>
      <w:r w:rsidRPr="00555922">
        <w:rPr>
          <w:rFonts w:ascii="Arial" w:hAnsi="Arial" w:cs="Arial"/>
          <w:sz w:val="22"/>
          <w:szCs w:val="22"/>
        </w:rPr>
        <w:t xml:space="preserve"> i inne.</w:t>
      </w:r>
    </w:p>
    <w:p w:rsidR="00555922" w:rsidRPr="00555922" w:rsidRDefault="00555922" w:rsidP="00555922">
      <w:pPr>
        <w:autoSpaceDE w:val="0"/>
        <w:adjustRightInd w:val="0"/>
        <w:spacing w:after="120"/>
        <w:rPr>
          <w:rFonts w:ascii="Arial" w:hAnsi="Arial" w:cs="Arial"/>
          <w:sz w:val="22"/>
          <w:szCs w:val="22"/>
        </w:rPr>
      </w:pPr>
      <w:r w:rsidRPr="00555922">
        <w:rPr>
          <w:rFonts w:ascii="Arial" w:hAnsi="Arial" w:cs="Arial"/>
          <w:sz w:val="22"/>
          <w:szCs w:val="22"/>
        </w:rPr>
        <w:t>W związku z realizacją przedmiotowego przedsięwzięcia konieczne będzie wykonanie rozbiórki poszczególnych elementów istniejącego układu drogowego, sieci uzbrojenia terenu jak również innych elementów kolidujących z projektowaną infrastrukturą.</w:t>
      </w:r>
    </w:p>
    <w:p w:rsidR="00555922" w:rsidRPr="00555922" w:rsidRDefault="00555922" w:rsidP="00555922">
      <w:pPr>
        <w:autoSpaceDE w:val="0"/>
        <w:adjustRightInd w:val="0"/>
        <w:spacing w:after="120"/>
        <w:rPr>
          <w:rFonts w:ascii="Arial" w:eastAsia="CIDFont+F3" w:hAnsi="Arial" w:cs="Arial"/>
          <w:sz w:val="22"/>
          <w:szCs w:val="22"/>
        </w:rPr>
      </w:pPr>
      <w:r w:rsidRPr="00555922">
        <w:rPr>
          <w:rFonts w:ascii="Arial" w:eastAsia="CIDFont+F3" w:hAnsi="Arial" w:cs="Arial"/>
          <w:sz w:val="22"/>
          <w:szCs w:val="22"/>
        </w:rPr>
        <w:t>Realizacja inwestycji wymagać będzie wykorzystania surowców mineralnych takich jak piasek i kruszywo oraz gotowych elementów (np. kostka betonowa, krawężniki, wpusty uliczne). Stosowane maszyny budowlane pracujące przy realizacji inwestycji napędzane będą olejem napędowym. Część sprzętu budowlanego może wymagać zasilania energią elektryczną lub sprężonym powietrzem, media te dostarczane będą na plac budowy z przewoźnych agregatów zasilanych olejem napędowym.</w:t>
      </w:r>
      <w:r w:rsidRPr="00555922">
        <w:rPr>
          <w:rFonts w:ascii="Arial" w:hAnsi="Arial" w:cs="Arial"/>
          <w:sz w:val="22"/>
          <w:szCs w:val="22"/>
        </w:rPr>
        <w:t xml:space="preserve"> </w:t>
      </w:r>
      <w:r w:rsidRPr="00555922">
        <w:rPr>
          <w:rFonts w:ascii="Arial" w:eastAsia="CIDFont+F3" w:hAnsi="Arial" w:cs="Arial"/>
          <w:sz w:val="22"/>
          <w:szCs w:val="22"/>
        </w:rPr>
        <w:t>Podczas prac budowlanych wykorzystywana będzie woda z przewoźnych beczkowozów w ilości do kilkudziesięciu m</w:t>
      </w:r>
      <w:r w:rsidRPr="00555922">
        <w:rPr>
          <w:rFonts w:ascii="Arial" w:eastAsia="CIDFont+F3" w:hAnsi="Arial" w:cs="Arial"/>
          <w:sz w:val="22"/>
          <w:szCs w:val="22"/>
          <w:vertAlign w:val="superscript"/>
        </w:rPr>
        <w:t>3</w:t>
      </w:r>
      <w:r w:rsidRPr="00555922">
        <w:rPr>
          <w:rFonts w:ascii="Arial" w:eastAsia="CIDFont+F3" w:hAnsi="Arial" w:cs="Arial"/>
          <w:sz w:val="22"/>
          <w:szCs w:val="22"/>
        </w:rPr>
        <w:t xml:space="preserve"> miesięcznie. Woda wykorzystywana będzie zarówno na cele budowlane, ale też na cele socjalno- bytowe zatrudnionych w fazie budowy pracowników.</w:t>
      </w:r>
    </w:p>
    <w:p w:rsidR="00555922" w:rsidRPr="00555922" w:rsidRDefault="00555922" w:rsidP="00555922">
      <w:pPr>
        <w:spacing w:after="120"/>
        <w:rPr>
          <w:rFonts w:ascii="Arial" w:eastAsia="ArialNarrow;MS Mincho" w:hAnsi="Arial" w:cs="Arial"/>
          <w:color w:val="00000A"/>
          <w:kern w:val="2"/>
          <w:sz w:val="22"/>
          <w:szCs w:val="22"/>
        </w:rPr>
      </w:pPr>
      <w:r w:rsidRPr="00555922">
        <w:rPr>
          <w:rFonts w:ascii="Arial" w:eastAsia="ArialNarrow;MS Mincho" w:hAnsi="Arial" w:cs="Arial"/>
          <w:color w:val="00000A"/>
          <w:kern w:val="2"/>
          <w:sz w:val="22"/>
          <w:szCs w:val="22"/>
        </w:rPr>
        <w:t>Realizacja inwestycji wymagała będzie wykupu i rozbiórki nieruchomości prywatnej. Przewidziany do rozbiórki budynek mieszkalny jest obecnie użytkowany, posiada czynne instalacje wewnętrzne, w związku z czym roboty rozbiórkowe będą poprzedzone pracami przygotowawczymi w zakresie unieczynnienia sieci i przyłączy - odłączenie sieci: energetycznej, wodnej, gazowej, teletechnicznej nastąpi po uprzednim wystąpieniu do właścicieli sieci o likwidację ich urządzeń. Przed rozbiórką teren ten będzie ogrodzony. Planuje się też umieszczenie na ogrodzeniu tablic ostrzegawczych. Rozbiórkę i wyburzenia będzie można prowadzić zarówno metodą tradycyjną, jak i przy użyciu ciężkiego i drobnego sprzętu budowlanego. Do terenu zapewniony zostanie dojazd środków transportu po odbiór gruzu i rozebranych elementów. Podczas rozbiórek nie przewiduje się żadnej ingerencji w istniejący drzewostan.</w:t>
      </w:r>
    </w:p>
    <w:p w:rsidR="00555922" w:rsidRPr="00555922" w:rsidRDefault="00555922" w:rsidP="00555922">
      <w:pPr>
        <w:spacing w:before="600"/>
        <w:rPr>
          <w:rFonts w:ascii="Arial" w:eastAsiaTheme="minorHAnsi" w:hAnsi="Arial" w:cs="Arial"/>
          <w:kern w:val="0"/>
          <w:sz w:val="22"/>
          <w:szCs w:val="22"/>
        </w:rPr>
      </w:pPr>
      <w:r w:rsidRPr="00555922">
        <w:rPr>
          <w:rFonts w:ascii="Arial" w:hAnsi="Arial" w:cs="Arial"/>
          <w:sz w:val="22"/>
          <w:szCs w:val="22"/>
        </w:rPr>
        <w:t xml:space="preserve">Regionalny Dyrektor </w:t>
      </w:r>
    </w:p>
    <w:p w:rsidR="00555922" w:rsidRPr="00555922" w:rsidRDefault="00555922" w:rsidP="00555922">
      <w:pPr>
        <w:rPr>
          <w:rFonts w:ascii="Arial" w:hAnsi="Arial" w:cs="Arial"/>
          <w:sz w:val="22"/>
          <w:szCs w:val="22"/>
        </w:rPr>
      </w:pPr>
      <w:r w:rsidRPr="00555922">
        <w:rPr>
          <w:rFonts w:ascii="Arial" w:hAnsi="Arial" w:cs="Arial"/>
          <w:sz w:val="22"/>
          <w:szCs w:val="22"/>
        </w:rPr>
        <w:t>Ochrony Środowiska w Katowicach</w:t>
      </w:r>
    </w:p>
    <w:p w:rsidR="00555922" w:rsidRPr="00555922" w:rsidRDefault="00555922" w:rsidP="00555922">
      <w:pPr>
        <w:rPr>
          <w:rFonts w:ascii="Arial" w:hAnsi="Arial" w:cs="Arial"/>
          <w:sz w:val="22"/>
          <w:szCs w:val="22"/>
        </w:rPr>
      </w:pPr>
      <w:r w:rsidRPr="00555922">
        <w:rPr>
          <w:rFonts w:ascii="Arial" w:hAnsi="Arial" w:cs="Arial"/>
          <w:sz w:val="22"/>
          <w:szCs w:val="22"/>
        </w:rPr>
        <w:t xml:space="preserve">Mirosława </w:t>
      </w:r>
      <w:proofErr w:type="spellStart"/>
      <w:r w:rsidRPr="00555922">
        <w:rPr>
          <w:rFonts w:ascii="Arial" w:hAnsi="Arial" w:cs="Arial"/>
          <w:sz w:val="22"/>
          <w:szCs w:val="22"/>
        </w:rPr>
        <w:t>Mierczyk-Sawicka</w:t>
      </w:r>
      <w:proofErr w:type="spellEnd"/>
    </w:p>
    <w:p w:rsidR="001D7058" w:rsidRPr="00555922" w:rsidRDefault="00555922" w:rsidP="00555922">
      <w:pPr>
        <w:rPr>
          <w:rFonts w:ascii="Arial" w:hAnsi="Arial" w:cs="Arial"/>
          <w:sz w:val="22"/>
          <w:szCs w:val="22"/>
        </w:rPr>
      </w:pPr>
      <w:r w:rsidRPr="00555922">
        <w:rPr>
          <w:rFonts w:ascii="Arial" w:hAnsi="Arial" w:cs="Arial"/>
          <w:sz w:val="22"/>
          <w:szCs w:val="22"/>
        </w:rPr>
        <w:t>Podpisano elektronicznie</w:t>
      </w:r>
    </w:p>
    <w:sectPr w:rsidR="001D7058" w:rsidRPr="00555922" w:rsidSect="00C1252F">
      <w:pgSz w:w="11906" w:h="16838"/>
      <w:pgMar w:top="1417" w:right="1417" w:bottom="1417" w:left="1417"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C98" w:rsidRDefault="00880C98" w:rsidP="00C1252F">
      <w:r>
        <w:separator/>
      </w:r>
    </w:p>
  </w:endnote>
  <w:endnote w:type="continuationSeparator" w:id="0">
    <w:p w:rsidR="00880C98" w:rsidRDefault="00880C98" w:rsidP="00C125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default"/>
    <w:sig w:usb0="00000000" w:usb1="00000000" w:usb2="00000000" w:usb3="00000000" w:csb0="00000000" w:csb1="00000000"/>
  </w:font>
  <w:font w:name="Noto Sans CJK SC">
    <w:altName w:val="Times New Roman"/>
    <w:charset w:val="00"/>
    <w:family w:val="auto"/>
    <w:pitch w:val="variable"/>
    <w:sig w:usb0="00000000" w:usb1="00000000" w:usb2="00000000" w:usb3="00000000" w:csb0="00000000" w:csb1="00000000"/>
  </w:font>
  <w:font w:name="Lohit Devanagari">
    <w:altName w:val="Calibri"/>
    <w:charset w:val="00"/>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Narrow;MS Mincho">
    <w:panose1 w:val="00000000000000000000"/>
    <w:charset w:val="00"/>
    <w:family w:val="roman"/>
    <w:notTrueType/>
    <w:pitch w:val="default"/>
    <w:sig w:usb0="00000000" w:usb1="00000000" w:usb2="00000000" w:usb3="00000000" w:csb0="00000000" w:csb1="00000000"/>
  </w:font>
  <w:font w:name="CIDFont+F3">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C98" w:rsidRDefault="00880C98" w:rsidP="00C1252F">
      <w:r>
        <w:separator/>
      </w:r>
    </w:p>
  </w:footnote>
  <w:footnote w:type="continuationSeparator" w:id="0">
    <w:p w:rsidR="00880C98" w:rsidRDefault="00880C98" w:rsidP="00C125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D3FFE"/>
    <w:multiLevelType w:val="hybridMultilevel"/>
    <w:tmpl w:val="7D384A0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58853595"/>
    <w:multiLevelType w:val="hybridMultilevel"/>
    <w:tmpl w:val="7570AD7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61BA5683"/>
    <w:multiLevelType w:val="multilevel"/>
    <w:tmpl w:val="5BA2ECF2"/>
    <w:lvl w:ilvl="0">
      <w:start w:val="1"/>
      <w:numFmt w:val="lowerLetter"/>
      <w:lvlText w:val="%1)"/>
      <w:lvlJc w:val="left"/>
      <w:pPr>
        <w:ind w:left="1008" w:hanging="216"/>
      </w:pPr>
      <w:rPr>
        <w:sz w:val="20"/>
        <w:szCs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68276318"/>
    <w:multiLevelType w:val="multilevel"/>
    <w:tmpl w:val="A7829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C1252F"/>
    <w:rsid w:val="001D7058"/>
    <w:rsid w:val="00355B1D"/>
    <w:rsid w:val="00555922"/>
    <w:rsid w:val="006463C6"/>
    <w:rsid w:val="00773201"/>
    <w:rsid w:val="00880C98"/>
    <w:rsid w:val="008B4C7D"/>
    <w:rsid w:val="00C1252F"/>
    <w:rsid w:val="00C524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252F"/>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1252F"/>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paragraph" w:styleId="Akapitzlist">
    <w:name w:val="List Paragraph"/>
    <w:basedOn w:val="Standard"/>
    <w:uiPriority w:val="34"/>
    <w:qFormat/>
    <w:rsid w:val="00C1252F"/>
    <w:pPr>
      <w:spacing w:after="160"/>
      <w:ind w:left="720"/>
    </w:pPr>
  </w:style>
  <w:style w:type="paragraph" w:styleId="Zwykytekst">
    <w:name w:val="Plain Text"/>
    <w:basedOn w:val="Normalny"/>
    <w:link w:val="ZwykytekstZnak"/>
    <w:rsid w:val="00C1252F"/>
    <w:pPr>
      <w:suppressAutoHyphens w:val="0"/>
      <w:spacing w:after="36"/>
      <w:textAlignment w:val="auto"/>
    </w:pPr>
    <w:rPr>
      <w:rFonts w:ascii="Times New Roman" w:eastAsia="Times New Roman" w:hAnsi="Times New Roman" w:cs="Times New Roman"/>
      <w:kern w:val="0"/>
      <w:lang w:eastAsia="pl-PL" w:bidi="ar-SA"/>
    </w:rPr>
  </w:style>
  <w:style w:type="character" w:customStyle="1" w:styleId="ZwykytekstZnak">
    <w:name w:val="Zwykły tekst Znak"/>
    <w:basedOn w:val="Domylnaczcionkaakapitu"/>
    <w:link w:val="Zwykytekst"/>
    <w:rsid w:val="00C1252F"/>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C1252F"/>
    <w:pPr>
      <w:tabs>
        <w:tab w:val="center" w:pos="4536"/>
        <w:tab w:val="right" w:pos="9072"/>
      </w:tabs>
    </w:pPr>
    <w:rPr>
      <w:rFonts w:cs="Mangal"/>
      <w:szCs w:val="21"/>
    </w:rPr>
  </w:style>
  <w:style w:type="character" w:customStyle="1" w:styleId="NagwekZnak">
    <w:name w:val="Nagłówek Znak"/>
    <w:basedOn w:val="Domylnaczcionkaakapitu"/>
    <w:link w:val="Nagwek"/>
    <w:uiPriority w:val="99"/>
    <w:semiHidden/>
    <w:rsid w:val="00C1252F"/>
    <w:rPr>
      <w:rFonts w:ascii="Liberation Serif" w:eastAsia="Noto Sans CJK SC" w:hAnsi="Liberation Serif" w:cs="Mangal"/>
      <w:kern w:val="3"/>
      <w:sz w:val="24"/>
      <w:szCs w:val="21"/>
      <w:lang w:eastAsia="zh-CN" w:bidi="hi-IN"/>
    </w:rPr>
  </w:style>
  <w:style w:type="paragraph" w:styleId="Stopka">
    <w:name w:val="footer"/>
    <w:basedOn w:val="Normalny"/>
    <w:link w:val="StopkaZnak"/>
    <w:uiPriority w:val="99"/>
    <w:semiHidden/>
    <w:unhideWhenUsed/>
    <w:rsid w:val="00C1252F"/>
    <w:pPr>
      <w:tabs>
        <w:tab w:val="center" w:pos="4536"/>
        <w:tab w:val="right" w:pos="9072"/>
      </w:tabs>
    </w:pPr>
    <w:rPr>
      <w:rFonts w:cs="Mangal"/>
      <w:szCs w:val="21"/>
    </w:rPr>
  </w:style>
  <w:style w:type="character" w:customStyle="1" w:styleId="StopkaZnak">
    <w:name w:val="Stopka Znak"/>
    <w:basedOn w:val="Domylnaczcionkaakapitu"/>
    <w:link w:val="Stopka"/>
    <w:uiPriority w:val="99"/>
    <w:semiHidden/>
    <w:rsid w:val="00C1252F"/>
    <w:rPr>
      <w:rFonts w:ascii="Liberation Serif" w:eastAsia="Noto Sans CJK SC" w:hAnsi="Liberation Serif" w:cs="Mangal"/>
      <w:kern w:val="3"/>
      <w:sz w:val="24"/>
      <w:szCs w:val="21"/>
      <w:lang w:eastAsia="zh-CN" w:bidi="hi-IN"/>
    </w:rPr>
  </w:style>
  <w:style w:type="character" w:customStyle="1" w:styleId="BezodstpwZnak">
    <w:name w:val="Bez odstępów Znak"/>
    <w:link w:val="Bezodstpw"/>
    <w:uiPriority w:val="1"/>
    <w:locked/>
    <w:rsid w:val="00555922"/>
    <w:rPr>
      <w:rFonts w:ascii="Times New Roman" w:eastAsia="SimSun" w:hAnsi="Times New Roman" w:cs="Times New Roman"/>
      <w:sz w:val="24"/>
      <w:szCs w:val="24"/>
      <w:lang w:eastAsia="pl-PL"/>
    </w:rPr>
  </w:style>
  <w:style w:type="paragraph" w:styleId="Bezodstpw">
    <w:name w:val="No Spacing"/>
    <w:link w:val="BezodstpwZnak"/>
    <w:uiPriority w:val="1"/>
    <w:qFormat/>
    <w:rsid w:val="00555922"/>
    <w:pPr>
      <w:spacing w:after="0" w:line="240" w:lineRule="auto"/>
      <w:jc w:val="both"/>
    </w:pPr>
    <w:rPr>
      <w:rFonts w:ascii="Times New Roman" w:eastAsia="SimSun" w:hAnsi="Times New Roman" w:cs="Times New Roman"/>
      <w:sz w:val="24"/>
      <w:szCs w:val="24"/>
      <w:lang w:eastAsia="pl-PL"/>
    </w:rPr>
  </w:style>
  <w:style w:type="character" w:customStyle="1" w:styleId="AtekstROOSZnak">
    <w:name w:val="A_tekst ROOS Znak"/>
    <w:link w:val="AtekstROOS"/>
    <w:qFormat/>
    <w:locked/>
    <w:rsid w:val="00555922"/>
    <w:rPr>
      <w:rFonts w:ascii="Arial" w:eastAsia="Times New Roman" w:hAnsi="Arial" w:cs="Times New Roman"/>
      <w:sz w:val="20"/>
      <w:szCs w:val="24"/>
    </w:rPr>
  </w:style>
  <w:style w:type="paragraph" w:customStyle="1" w:styleId="AtekstROOS">
    <w:name w:val="A_tekst ROOS"/>
    <w:basedOn w:val="Normalny"/>
    <w:next w:val="Normalny"/>
    <w:link w:val="AtekstROOSZnak"/>
    <w:qFormat/>
    <w:rsid w:val="00555922"/>
    <w:pPr>
      <w:tabs>
        <w:tab w:val="left" w:pos="284"/>
      </w:tabs>
      <w:suppressAutoHyphens w:val="0"/>
      <w:autoSpaceDN/>
      <w:spacing w:before="100" w:beforeAutospacing="1" w:after="100" w:afterAutospacing="1"/>
      <w:ind w:firstLine="284"/>
      <w:jc w:val="both"/>
      <w:textAlignment w:val="auto"/>
    </w:pPr>
    <w:rPr>
      <w:rFonts w:ascii="Arial" w:eastAsia="Times New Roman" w:hAnsi="Arial" w:cs="Times New Roman"/>
      <w:kern w:val="0"/>
      <w:sz w:val="20"/>
      <w:lang w:eastAsia="en-US" w:bidi="ar-SA"/>
    </w:rPr>
  </w:style>
  <w:style w:type="table" w:styleId="Tabela-Siatka">
    <w:name w:val="Table Grid"/>
    <w:basedOn w:val="Standardowy"/>
    <w:rsid w:val="005559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09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17F03-8259-4B20-8DF9-8985BF5A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5745</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2022-01-27T09:02:00Z</dcterms:created>
  <dcterms:modified xsi:type="dcterms:W3CDTF">2022-01-27T09:02:00Z</dcterms:modified>
</cp:coreProperties>
</file>