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AD" w:rsidRPr="00BC56AD" w:rsidRDefault="000E2FAA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18"/>
          <w:szCs w:val="18"/>
        </w:rPr>
      </w:pPr>
      <w:r>
        <w:rPr>
          <w:rFonts w:ascii="TimesNewRomanPSMT" w:hAnsi="TimesNewRomanPSMT" w:cs="TimesNewRomanPSMT"/>
          <w:b/>
          <w:sz w:val="18"/>
          <w:szCs w:val="18"/>
        </w:rPr>
        <w:t>Zał. nr 2</w:t>
      </w:r>
      <w:r w:rsidR="00BC56AD" w:rsidRPr="00BC56AD">
        <w:rPr>
          <w:rFonts w:ascii="TimesNewRomanPSMT" w:hAnsi="TimesNewRomanPSMT" w:cs="TimesNewRomanPSMT"/>
          <w:b/>
          <w:sz w:val="18"/>
          <w:szCs w:val="18"/>
        </w:rPr>
        <w:t xml:space="preserve"> </w:t>
      </w:r>
      <w:r w:rsidR="00BC56AD">
        <w:rPr>
          <w:rFonts w:ascii="TimesNewRomanPSMT" w:hAnsi="TimesNewRomanPSMT" w:cs="TimesNewRomanPSMT"/>
          <w:b/>
          <w:sz w:val="18"/>
          <w:szCs w:val="18"/>
        </w:rPr>
        <w:t>Informacja dotycząca zakwalifikowania podmiotów do grup.</w:t>
      </w:r>
    </w:p>
    <w:p w:rsidR="00BC56AD" w:rsidRDefault="00BC56AD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18"/>
          <w:szCs w:val="18"/>
          <w:u w:val="single"/>
        </w:rPr>
      </w:pPr>
    </w:p>
    <w:p w:rsidR="00BC56AD" w:rsidRPr="00AF64C8" w:rsidRDefault="00BC56AD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AF64C8">
        <w:rPr>
          <w:rFonts w:ascii="TimesNewRomanPSMT" w:hAnsi="TimesNewRomanPSMT" w:cs="TimesNewRomanPSMT"/>
          <w:b/>
          <w:sz w:val="18"/>
          <w:szCs w:val="18"/>
          <w:u w:val="single"/>
        </w:rPr>
        <w:t>A - Przedsiębiorstw niefinansowych</w:t>
      </w:r>
      <w:r w:rsidRPr="00AF64C8">
        <w:rPr>
          <w:rFonts w:ascii="TimesNewRomanPSMT" w:hAnsi="TimesNewRomanPSMT" w:cs="TimesNewRomanPSMT"/>
          <w:sz w:val="18"/>
          <w:szCs w:val="18"/>
        </w:rPr>
        <w:t xml:space="preserve"> – rozumianych jako jednostki, których </w:t>
      </w:r>
      <w:r w:rsidRPr="00AF64C8">
        <w:rPr>
          <w:rFonts w:ascii="TimesNewRomanPSMT" w:hAnsi="TimesNewRomanPSMT" w:cs="TimesNewRomanPSMT"/>
          <w:b/>
          <w:sz w:val="18"/>
          <w:szCs w:val="18"/>
        </w:rPr>
        <w:t>główną działalnością jest produkcja dóbr i obrót dobrami lub świadczenie usług niefinansowych,</w:t>
      </w:r>
      <w:r w:rsidRPr="00AF64C8">
        <w:rPr>
          <w:rFonts w:ascii="TimesNewRomanPSMT" w:hAnsi="TimesNewRomanPSMT" w:cs="TimesNewRomanPSMT"/>
          <w:sz w:val="18"/>
          <w:szCs w:val="18"/>
        </w:rPr>
        <w:t xml:space="preserve"> w szczególności przedsiębiorstwa państwowe, </w:t>
      </w:r>
      <w:r w:rsidRPr="00AF64C8">
        <w:rPr>
          <w:rFonts w:ascii="TimesNewRomanPSMT" w:hAnsi="TimesNewRomanPSMT" w:cs="TimesNewRomanPSMT"/>
          <w:b/>
          <w:sz w:val="18"/>
          <w:szCs w:val="18"/>
        </w:rPr>
        <w:t>spółki,</w:t>
      </w:r>
      <w:r w:rsidRPr="00AF64C8">
        <w:rPr>
          <w:rFonts w:ascii="TimesNewRomanPSMT" w:hAnsi="TimesNewRomanPSMT" w:cs="TimesNewRomanPSMT"/>
          <w:sz w:val="18"/>
          <w:szCs w:val="18"/>
        </w:rPr>
        <w:t xml:space="preserve"> spółdzielnie, </w:t>
      </w:r>
      <w:r w:rsidRPr="00AF64C8">
        <w:rPr>
          <w:rFonts w:ascii="TimesNewRomanPSMT" w:hAnsi="TimesNewRomanPSMT" w:cs="TimesNewRomanPSMT"/>
          <w:b/>
          <w:sz w:val="18"/>
          <w:szCs w:val="18"/>
        </w:rPr>
        <w:t>oddziały przedsiębiorców zagranicznych,</w:t>
      </w:r>
      <w:r w:rsidRPr="00AF64C8">
        <w:rPr>
          <w:rFonts w:ascii="TimesNewRomanPSMT" w:hAnsi="TimesNewRomanPSMT" w:cs="TimesNewRomanPSMT"/>
          <w:sz w:val="18"/>
          <w:szCs w:val="18"/>
        </w:rPr>
        <w:t xml:space="preserve"> osoby fizyczne prowadzące działalność gospodarczą na własny rachunek </w:t>
      </w:r>
      <w:r w:rsidRPr="00AF64C8">
        <w:rPr>
          <w:rFonts w:ascii="TimesNewRomanPSMT" w:hAnsi="TimesNewRomanPSMT" w:cs="TimesNewRomanPSMT"/>
          <w:b/>
          <w:sz w:val="18"/>
          <w:szCs w:val="18"/>
        </w:rPr>
        <w:t>zatrudniające powyżej 9 osób</w:t>
      </w:r>
      <w:r w:rsidRPr="00AF64C8">
        <w:rPr>
          <w:rFonts w:ascii="TimesNewRomanPSMT" w:hAnsi="TimesNewRomanPSMT" w:cs="TimesNewRomanPSMT"/>
          <w:sz w:val="18"/>
          <w:szCs w:val="18"/>
        </w:rPr>
        <w:t>, grupy producenckie, niepubliczne szkoły wyższe, spółki prowadzące działalność leczniczą, agencje (z wyjątkiem agencji wykonawczych). Przy obliczaniu zatrudnienia uwzględnia się etaty w pełnym oraz niepełnym wymiarze czasu pracy na koniec danego okresu sprawozdawczego.</w:t>
      </w:r>
    </w:p>
    <w:p w:rsidR="00BC56AD" w:rsidRPr="00AF64C8" w:rsidRDefault="00BC56AD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AF64C8">
        <w:rPr>
          <w:rFonts w:ascii="TimesNewRomanPSMT" w:hAnsi="TimesNewRomanPSMT" w:cs="TimesNewRomanPSMT"/>
          <w:b/>
          <w:sz w:val="18"/>
          <w:szCs w:val="18"/>
        </w:rPr>
        <w:t>B - Gospodarstw domowych</w:t>
      </w:r>
      <w:r w:rsidRPr="00AF64C8">
        <w:rPr>
          <w:rFonts w:ascii="TimesNewRomanPSMT" w:hAnsi="TimesNewRomanPSMT" w:cs="TimesNewRomanPSMT"/>
          <w:sz w:val="18"/>
          <w:szCs w:val="18"/>
        </w:rPr>
        <w:t xml:space="preserve"> – rozumianych jako </w:t>
      </w:r>
      <w:r w:rsidRPr="00AF64C8">
        <w:rPr>
          <w:rFonts w:ascii="TimesNewRomanPSMT" w:hAnsi="TimesNewRomanPSMT" w:cs="TimesNewRomanPSMT"/>
          <w:b/>
          <w:sz w:val="18"/>
          <w:szCs w:val="18"/>
        </w:rPr>
        <w:t>osoby lub grupy osób będące</w:t>
      </w:r>
      <w:r w:rsidRPr="00AF64C8">
        <w:rPr>
          <w:rFonts w:ascii="TimesNewRomanPSMT" w:hAnsi="TimesNewRomanPSMT" w:cs="TimesNewRomanPSMT"/>
          <w:sz w:val="18"/>
          <w:szCs w:val="18"/>
        </w:rPr>
        <w:t xml:space="preserve"> konsumentami lub </w:t>
      </w:r>
      <w:r w:rsidRPr="00AF64C8">
        <w:rPr>
          <w:rFonts w:ascii="TimesNewRomanPSMT" w:hAnsi="TimesNewRomanPSMT" w:cs="TimesNewRomanPSMT"/>
          <w:b/>
          <w:sz w:val="18"/>
          <w:szCs w:val="18"/>
        </w:rPr>
        <w:t>producentami rynkowymi wyrobów i usług.</w:t>
      </w:r>
      <w:r w:rsidRPr="00AF64C8">
        <w:rPr>
          <w:rFonts w:ascii="TimesNewRomanPSMT" w:hAnsi="TimesNewRomanPSMT" w:cs="TimesNewRomanPSMT"/>
          <w:sz w:val="18"/>
          <w:szCs w:val="18"/>
        </w:rPr>
        <w:t xml:space="preserve"> Do tego sektora zaliczane są </w:t>
      </w:r>
      <w:r w:rsidRPr="00AF64C8">
        <w:rPr>
          <w:rFonts w:ascii="TimesNewRomanPSMT" w:hAnsi="TimesNewRomanPSMT" w:cs="TimesNewRomanPSMT"/>
          <w:b/>
          <w:sz w:val="18"/>
          <w:szCs w:val="18"/>
        </w:rPr>
        <w:t>osoby fizyczne,</w:t>
      </w:r>
      <w:r w:rsidRPr="00AF64C8">
        <w:rPr>
          <w:rFonts w:ascii="TimesNewRomanPSMT" w:hAnsi="TimesNewRomanPSMT" w:cs="TimesNewRomanPSMT"/>
          <w:sz w:val="18"/>
          <w:szCs w:val="18"/>
        </w:rPr>
        <w:t xml:space="preserve"> w tym osoby fizyczne prowadzące działalność gospodarczą na własny rachunek </w:t>
      </w:r>
      <w:r w:rsidRPr="00AF64C8">
        <w:rPr>
          <w:rFonts w:ascii="TimesNewRomanPSMT" w:hAnsi="TimesNewRomanPSMT" w:cs="TimesNewRomanPSMT"/>
          <w:b/>
          <w:sz w:val="18"/>
          <w:szCs w:val="18"/>
        </w:rPr>
        <w:t>zatrudniające do 9 osób włącznie</w:t>
      </w:r>
      <w:r w:rsidRPr="00AF64C8">
        <w:rPr>
          <w:rFonts w:ascii="TimesNewRomanPSMT" w:hAnsi="TimesNewRomanPSMT" w:cs="TimesNewRomanPSMT"/>
          <w:sz w:val="18"/>
          <w:szCs w:val="18"/>
        </w:rPr>
        <w:t xml:space="preserve"> oraz rolnicy indywidualni, szkoły niepubliczne prowadzone przez osoby fizyczne, o ile zatrudniają do 9 osób włącznie (bez względu na wymiar etatu) na koniec danego okresu sprawozdawczego.</w:t>
      </w:r>
    </w:p>
    <w:p w:rsidR="00BC56AD" w:rsidRPr="00AF64C8" w:rsidRDefault="00BC56AD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trike/>
          <w:sz w:val="18"/>
          <w:szCs w:val="18"/>
        </w:rPr>
      </w:pPr>
    </w:p>
    <w:p w:rsidR="00BC56AD" w:rsidRPr="00AF64C8" w:rsidRDefault="00BC56AD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AF64C8">
        <w:rPr>
          <w:rFonts w:ascii="TimesNewRomanPSMT" w:hAnsi="TimesNewRomanPSMT" w:cs="TimesNewRomanPSMT"/>
          <w:b/>
          <w:sz w:val="18"/>
          <w:szCs w:val="18"/>
        </w:rPr>
        <w:t>C - Instytucji niekomercyjnych działających na rzecz gospodarstw domowych</w:t>
      </w:r>
      <w:r w:rsidRPr="00AF64C8">
        <w:rPr>
          <w:rFonts w:ascii="TimesNewRomanPSMT" w:hAnsi="TimesNewRomanPSMT" w:cs="TimesNewRomanPSMT"/>
          <w:sz w:val="18"/>
          <w:szCs w:val="18"/>
        </w:rPr>
        <w:t xml:space="preserve"> – rozumianych jako instytucje niekomercyjne stanowiące odrębne jednostki organizacyjne, działające na rzecz gospodarstw domowych i będące prywatnymi pozostałymi producentami nierynkowymi. Sektor ten obejmuje związki zawodowe, fundacje, stowarzyszenia, partie polityczne, kościoły lub związki wyznaniowe mające uregulowane stosunki z Rzecząpospolitą Polską oraz kluby społeczne, kluby kultury, rekreacyjne i sportowe, instytucje dobroczynne i inne organizacje społeczne oraz zawodowe finansowane z dobrowolnych wpłat pieniężnych lub w naturze od innych jednostek instytucjonalnych;</w:t>
      </w:r>
    </w:p>
    <w:p w:rsidR="00BC56AD" w:rsidRPr="00AF64C8" w:rsidRDefault="00BC56AD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18"/>
          <w:szCs w:val="18"/>
        </w:rPr>
      </w:pPr>
    </w:p>
    <w:p w:rsidR="00BC56AD" w:rsidRPr="00AF64C8" w:rsidRDefault="00BC56AD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18"/>
          <w:szCs w:val="18"/>
        </w:rPr>
      </w:pPr>
      <w:r w:rsidRPr="00AF64C8">
        <w:rPr>
          <w:rFonts w:ascii="TimesNewRomanPSMT" w:hAnsi="TimesNewRomanPSMT" w:cs="TimesNewRomanPSMT"/>
          <w:sz w:val="18"/>
          <w:szCs w:val="18"/>
        </w:rPr>
        <w:t xml:space="preserve">Wierzyciele zagraniczni to : </w:t>
      </w:r>
      <w:r w:rsidRPr="00AF64C8">
        <w:rPr>
          <w:rFonts w:ascii="TimesNewRomanPSMT" w:hAnsi="TimesNewRomanPSMT" w:cs="TimesNewRomanPSMT"/>
          <w:b/>
          <w:sz w:val="18"/>
          <w:szCs w:val="18"/>
        </w:rPr>
        <w:t>podmioty należące do strefy euro, pozostałe podmioty zagraniczne.</w:t>
      </w:r>
    </w:p>
    <w:p w:rsidR="00BC56AD" w:rsidRPr="00AF64C8" w:rsidRDefault="00BC56AD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18"/>
          <w:szCs w:val="18"/>
        </w:rPr>
      </w:pPr>
    </w:p>
    <w:p w:rsidR="00BC56AD" w:rsidRPr="00AF64C8" w:rsidRDefault="00BC56AD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18"/>
          <w:szCs w:val="18"/>
        </w:rPr>
      </w:pPr>
      <w:r w:rsidRPr="00AF64C8">
        <w:rPr>
          <w:rFonts w:ascii="TimesNewRomanPSMT" w:hAnsi="TimesNewRomanPSMT" w:cs="TimesNewRomanPSMT"/>
          <w:b/>
          <w:sz w:val="18"/>
          <w:szCs w:val="18"/>
        </w:rPr>
        <w:t xml:space="preserve">Definicja: „Wierzyciel zagraniczny” – </w:t>
      </w:r>
      <w:r w:rsidRPr="00AF64C8">
        <w:rPr>
          <w:rFonts w:ascii="TimesNewRomanPSMT" w:hAnsi="TimesNewRomanPSMT" w:cs="TimesNewRomanPSMT"/>
          <w:sz w:val="18"/>
          <w:szCs w:val="18"/>
        </w:rPr>
        <w:t xml:space="preserve">rozumianych jako </w:t>
      </w:r>
      <w:r w:rsidRPr="00AF64C8">
        <w:rPr>
          <w:rFonts w:ascii="TimesNewRomanPSMT" w:hAnsi="TimesNewRomanPSMT" w:cs="TimesNewRomanPSMT"/>
          <w:b/>
          <w:sz w:val="18"/>
          <w:szCs w:val="18"/>
        </w:rPr>
        <w:t>nierezydenci</w:t>
      </w:r>
      <w:r w:rsidRPr="00AF64C8">
        <w:rPr>
          <w:rFonts w:ascii="TimesNewRomanPSMT" w:hAnsi="TimesNewRomanPSMT" w:cs="TimesNewRomanPSMT"/>
          <w:sz w:val="18"/>
          <w:szCs w:val="18"/>
        </w:rPr>
        <w:t xml:space="preserve"> będący osobami fizycznymi mającymi miejsce zamieszkania za granicą oraz </w:t>
      </w:r>
      <w:r w:rsidRPr="00AF64C8">
        <w:rPr>
          <w:rFonts w:ascii="TimesNewRomanPSMT" w:hAnsi="TimesNewRomanPSMT" w:cs="TimesNewRomanPSMT"/>
          <w:b/>
          <w:sz w:val="18"/>
          <w:szCs w:val="18"/>
        </w:rPr>
        <w:t>osobami prawnymi mającymi siedzibę za granicą, a także inne podmioty mające siedzibę za granicą, posiadające zdolność zaciągania zobowiązań i nabywania praw we własnym imieniu.</w:t>
      </w:r>
      <w:r w:rsidRPr="00AF64C8">
        <w:rPr>
          <w:rFonts w:ascii="TimesNewRomanPSMT" w:hAnsi="TimesNewRomanPSMT" w:cs="TimesNewRomanPSMT"/>
          <w:sz w:val="18"/>
          <w:szCs w:val="18"/>
        </w:rPr>
        <w:t xml:space="preserve"> Nierezydentami są również znajdujące się za granicą oddziały, przedstawicielstwa i przedsiębiorstwa utworzone przez rezydentów, a także obce przedstawicielstwa dyplomatyczne, urzędy konsularne i inne obce przedstawicielstwa oraz misje specjalne i organizacje międzynarodowe korzystające z immunitetów i przywilejów dyplomatycznych lub konsularnych;</w:t>
      </w:r>
      <w:r w:rsidRPr="00AF64C8">
        <w:rPr>
          <w:rFonts w:ascii="TimesNewRomanPSMT" w:hAnsi="TimesNewRomanPSMT" w:cs="TimesNewRomanPSMT"/>
          <w:b/>
          <w:sz w:val="18"/>
          <w:szCs w:val="18"/>
        </w:rPr>
        <w:t xml:space="preserve"> </w:t>
      </w:r>
    </w:p>
    <w:p w:rsidR="00BC56AD" w:rsidRPr="00AF64C8" w:rsidRDefault="00BC56AD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18"/>
          <w:szCs w:val="18"/>
        </w:rPr>
      </w:pPr>
    </w:p>
    <w:p w:rsidR="00BC56AD" w:rsidRPr="00AF64C8" w:rsidRDefault="00BC56AD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18"/>
          <w:szCs w:val="18"/>
        </w:rPr>
      </w:pPr>
      <w:r w:rsidRPr="00AF64C8">
        <w:rPr>
          <w:rFonts w:ascii="TimesNewRomanPSMT" w:hAnsi="TimesNewRomanPSMT" w:cs="TimesNewRomanPSMT"/>
          <w:b/>
          <w:sz w:val="18"/>
          <w:szCs w:val="18"/>
        </w:rPr>
        <w:t>D - Podmiotów należących do strefy euro</w:t>
      </w:r>
      <w:r w:rsidRPr="00AF64C8">
        <w:rPr>
          <w:rFonts w:ascii="TimesNewRomanPSMT" w:hAnsi="TimesNewRomanPSMT" w:cs="TimesNewRomanPSMT"/>
          <w:sz w:val="18"/>
          <w:szCs w:val="18"/>
        </w:rPr>
        <w:t xml:space="preserve"> – rozumianych jako </w:t>
      </w:r>
      <w:r w:rsidRPr="00AF64C8">
        <w:rPr>
          <w:rFonts w:ascii="TimesNewRomanPSMT" w:hAnsi="TimesNewRomanPSMT" w:cs="TimesNewRomanPSMT"/>
          <w:b/>
          <w:sz w:val="18"/>
          <w:szCs w:val="18"/>
        </w:rPr>
        <w:t>nierezydenci mający siedzibę</w:t>
      </w:r>
      <w:r w:rsidRPr="00AF64C8">
        <w:rPr>
          <w:rFonts w:ascii="TimesNewRomanPSMT" w:hAnsi="TimesNewRomanPSMT" w:cs="TimesNewRomanPSMT"/>
          <w:sz w:val="18"/>
          <w:szCs w:val="18"/>
        </w:rPr>
        <w:t xml:space="preserve"> lub miejsce zamieszkania </w:t>
      </w:r>
      <w:r w:rsidRPr="00AF64C8">
        <w:rPr>
          <w:rFonts w:ascii="TimesNewRomanPSMT" w:hAnsi="TimesNewRomanPSMT" w:cs="TimesNewRomanPSMT"/>
          <w:b/>
          <w:sz w:val="18"/>
          <w:szCs w:val="18"/>
        </w:rPr>
        <w:t>w państwie członkowskim Unii Europejskiej,</w:t>
      </w:r>
      <w:r w:rsidRPr="00AF64C8">
        <w:rPr>
          <w:rFonts w:ascii="TimesNewRomanPSMT" w:hAnsi="TimesNewRomanPSMT" w:cs="TimesNewRomanPSMT"/>
          <w:sz w:val="18"/>
          <w:szCs w:val="18"/>
        </w:rPr>
        <w:t xml:space="preserve"> w którym obowiązującym </w:t>
      </w:r>
      <w:r w:rsidRPr="00AF64C8">
        <w:rPr>
          <w:rFonts w:ascii="TimesNewRomanPSMT" w:hAnsi="TimesNewRomanPSMT" w:cs="TimesNewRomanPSMT"/>
          <w:b/>
          <w:sz w:val="18"/>
          <w:szCs w:val="18"/>
        </w:rPr>
        <w:t>środkiem płatniczym jest euro;</w:t>
      </w:r>
    </w:p>
    <w:p w:rsidR="00BC56AD" w:rsidRPr="00AF64C8" w:rsidRDefault="00BC56AD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18"/>
          <w:szCs w:val="18"/>
        </w:rPr>
      </w:pPr>
    </w:p>
    <w:p w:rsidR="00BC56AD" w:rsidRDefault="00BC56AD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18"/>
          <w:szCs w:val="18"/>
        </w:rPr>
      </w:pPr>
      <w:r w:rsidRPr="00AF64C8">
        <w:rPr>
          <w:rFonts w:ascii="TimesNewRomanPSMT" w:hAnsi="TimesNewRomanPSMT" w:cs="TimesNewRomanPSMT"/>
          <w:b/>
          <w:sz w:val="18"/>
          <w:szCs w:val="18"/>
        </w:rPr>
        <w:t>E - Pozostałych podmiotów zagranicznych</w:t>
      </w:r>
      <w:r w:rsidRPr="00AF64C8">
        <w:rPr>
          <w:rFonts w:ascii="TimesNewRomanPSMT" w:hAnsi="TimesNewRomanPSMT" w:cs="TimesNewRomanPSMT"/>
          <w:sz w:val="18"/>
          <w:szCs w:val="18"/>
        </w:rPr>
        <w:t xml:space="preserve"> – rozumianych jako nierezydenci mający miejsce zamieszkania za granicą oraz </w:t>
      </w:r>
      <w:r w:rsidRPr="00AF64C8">
        <w:rPr>
          <w:rFonts w:ascii="TimesNewRomanPSMT" w:hAnsi="TimesNewRomanPSMT" w:cs="TimesNewRomanPSMT"/>
          <w:b/>
          <w:sz w:val="18"/>
          <w:szCs w:val="18"/>
        </w:rPr>
        <w:t xml:space="preserve">osoby prawne mające siedzibę za granicą </w:t>
      </w:r>
      <w:r w:rsidRPr="00BA03CD">
        <w:rPr>
          <w:rFonts w:ascii="TimesNewRomanPSMT" w:hAnsi="TimesNewRomanPSMT" w:cs="TimesNewRomanPSMT"/>
          <w:b/>
          <w:sz w:val="18"/>
          <w:szCs w:val="18"/>
        </w:rPr>
        <w:t>w innym państwie niż w państwie członkowskim Unii Europejskiej,</w:t>
      </w:r>
      <w:r>
        <w:rPr>
          <w:rFonts w:ascii="TimesNewRomanPSMT" w:hAnsi="TimesNewRomanPSMT" w:cs="TimesNewRomanPSMT"/>
          <w:b/>
          <w:sz w:val="18"/>
          <w:szCs w:val="18"/>
        </w:rPr>
        <w:t xml:space="preserve"> </w:t>
      </w:r>
      <w:r w:rsidRPr="00BA03CD">
        <w:rPr>
          <w:rFonts w:ascii="TimesNewRomanPSMT" w:hAnsi="TimesNewRomanPSMT" w:cs="TimesNewRomanPSMT"/>
          <w:b/>
          <w:sz w:val="18"/>
          <w:szCs w:val="18"/>
        </w:rPr>
        <w:t>o którym mowa w pkt D.</w:t>
      </w:r>
    </w:p>
    <w:p w:rsidR="00AF64C8" w:rsidRDefault="00AF64C8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18"/>
          <w:szCs w:val="18"/>
        </w:rPr>
      </w:pPr>
    </w:p>
    <w:p w:rsidR="00AF64C8" w:rsidRDefault="00AF64C8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18"/>
          <w:szCs w:val="18"/>
        </w:rPr>
      </w:pPr>
    </w:p>
    <w:p w:rsidR="00AF64C8" w:rsidRDefault="00AF64C8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18"/>
          <w:szCs w:val="18"/>
        </w:rPr>
      </w:pPr>
    </w:p>
    <w:p w:rsidR="00AF64C8" w:rsidRDefault="00AF64C8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18"/>
          <w:szCs w:val="18"/>
        </w:rPr>
      </w:pPr>
    </w:p>
    <w:p w:rsidR="00AF64C8" w:rsidRDefault="00AF64C8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18"/>
          <w:szCs w:val="18"/>
        </w:rPr>
      </w:pPr>
    </w:p>
    <w:p w:rsidR="00AF64C8" w:rsidRDefault="00AF64C8" w:rsidP="00BC56AD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18"/>
          <w:szCs w:val="18"/>
        </w:rPr>
      </w:pPr>
      <w:r>
        <w:rPr>
          <w:rFonts w:ascii="TimesNewRomanPSMT" w:hAnsi="TimesNewRomanPSMT" w:cs="TimesNewRomanPSMT"/>
          <w:b/>
          <w:sz w:val="18"/>
          <w:szCs w:val="18"/>
        </w:rPr>
        <w:lastRenderedPageBreak/>
        <w:t xml:space="preserve">Annex No. 2 </w:t>
      </w:r>
      <w:r w:rsidR="009318AF" w:rsidRPr="009318AF">
        <w:rPr>
          <w:rFonts w:ascii="TimesNewRomanPSMT" w:hAnsi="TimesNewRomanPSMT" w:cs="TimesNewRomanPSMT"/>
          <w:b/>
          <w:sz w:val="18"/>
          <w:szCs w:val="18"/>
        </w:rPr>
        <w:t>Information on the qualification of entities into groups</w:t>
      </w:r>
      <w:r w:rsidR="009318AF">
        <w:rPr>
          <w:rFonts w:ascii="TimesNewRomanPSMT" w:hAnsi="TimesNewRomanPSMT" w:cs="TimesNewRomanPSMT"/>
          <w:b/>
          <w:sz w:val="18"/>
          <w:szCs w:val="18"/>
        </w:rPr>
        <w:t>.</w:t>
      </w:r>
    </w:p>
    <w:p w:rsidR="00614FA9" w:rsidRPr="00AF64C8" w:rsidRDefault="00AF64C8" w:rsidP="00AF64C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trike/>
          <w:sz w:val="18"/>
          <w:szCs w:val="18"/>
        </w:rPr>
      </w:pPr>
      <w:bookmarkStart w:id="0" w:name="_GoBack"/>
      <w:r>
        <w:rPr>
          <w:noProof/>
          <w:sz w:val="20"/>
          <w:lang w:eastAsia="pl-PL"/>
        </w:rPr>
        <w:drawing>
          <wp:inline distT="0" distB="0" distL="0" distR="0" wp14:anchorId="72A13190" wp14:editId="2CF7609E">
            <wp:extent cx="6172200" cy="693817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6" cstate="print"/>
                    <a:srcRect l="8791" t="568" r="2339" b="29971"/>
                    <a:stretch/>
                  </pic:blipFill>
                  <pic:spPr bwMode="auto">
                    <a:xfrm>
                      <a:off x="0" y="0"/>
                      <a:ext cx="6187783" cy="695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14FA9" w:rsidRPr="00AF6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67E" w:rsidRDefault="0066467E" w:rsidP="00AF64C8">
      <w:pPr>
        <w:spacing w:after="0" w:line="240" w:lineRule="auto"/>
      </w:pPr>
      <w:r>
        <w:separator/>
      </w:r>
    </w:p>
  </w:endnote>
  <w:endnote w:type="continuationSeparator" w:id="0">
    <w:p w:rsidR="0066467E" w:rsidRDefault="0066467E" w:rsidP="00AF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67E" w:rsidRDefault="0066467E" w:rsidP="00AF64C8">
      <w:pPr>
        <w:spacing w:after="0" w:line="240" w:lineRule="auto"/>
      </w:pPr>
      <w:r>
        <w:separator/>
      </w:r>
    </w:p>
  </w:footnote>
  <w:footnote w:type="continuationSeparator" w:id="0">
    <w:p w:rsidR="0066467E" w:rsidRDefault="0066467E" w:rsidP="00AF64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AD"/>
    <w:rsid w:val="00096BDA"/>
    <w:rsid w:val="000E2FAA"/>
    <w:rsid w:val="00294704"/>
    <w:rsid w:val="00614FA9"/>
    <w:rsid w:val="0066467E"/>
    <w:rsid w:val="00796B95"/>
    <w:rsid w:val="009318AF"/>
    <w:rsid w:val="00AF64C8"/>
    <w:rsid w:val="00BC56AD"/>
    <w:rsid w:val="00C1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9BB5E-ABFE-4884-BA6E-F91E098A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6A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4C8"/>
  </w:style>
  <w:style w:type="paragraph" w:styleId="Stopka">
    <w:name w:val="footer"/>
    <w:basedOn w:val="Normalny"/>
    <w:link w:val="StopkaZnak"/>
    <w:uiPriority w:val="99"/>
    <w:unhideWhenUsed/>
    <w:rsid w:val="00AF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4C8"/>
  </w:style>
  <w:style w:type="paragraph" w:styleId="Tekstdymka">
    <w:name w:val="Balloon Text"/>
    <w:basedOn w:val="Normalny"/>
    <w:link w:val="TekstdymkaZnak"/>
    <w:uiPriority w:val="99"/>
    <w:semiHidden/>
    <w:unhideWhenUsed/>
    <w:rsid w:val="00096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Szymańczyk</dc:creator>
  <cp:keywords/>
  <dc:description/>
  <cp:lastModifiedBy>Wiktoria Walczak</cp:lastModifiedBy>
  <cp:revision>3</cp:revision>
  <cp:lastPrinted>2022-09-16T06:51:00Z</cp:lastPrinted>
  <dcterms:created xsi:type="dcterms:W3CDTF">2022-09-16T06:48:00Z</dcterms:created>
  <dcterms:modified xsi:type="dcterms:W3CDTF">2022-09-16T06:52:00Z</dcterms:modified>
</cp:coreProperties>
</file>