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336" w14:textId="77777777" w:rsidR="003A49ED" w:rsidRPr="00E90A99" w:rsidRDefault="003A49ED" w:rsidP="003A49ED">
      <w:pPr>
        <w:jc w:val="center"/>
        <w:rPr>
          <w:b/>
          <w:bCs/>
          <w:sz w:val="32"/>
          <w:szCs w:val="32"/>
        </w:rPr>
      </w:pPr>
      <w:r w:rsidRPr="00E90A99">
        <w:rPr>
          <w:b/>
          <w:bCs/>
          <w:sz w:val="32"/>
          <w:szCs w:val="32"/>
        </w:rPr>
        <w:t>Nabory planowane w latach 2025-2027 zgodnie z Programem Prac DEP 2025-2027</w:t>
      </w:r>
    </w:p>
    <w:p w14:paraId="1734D3E3" w14:textId="77777777" w:rsidR="003A49ED" w:rsidRPr="00E90A99" w:rsidRDefault="003A49ED" w:rsidP="003A49ED">
      <w:pPr>
        <w:rPr>
          <w:i/>
          <w:iCs/>
        </w:rPr>
      </w:pPr>
    </w:p>
    <w:tbl>
      <w:tblPr>
        <w:tblStyle w:val="Tabela-Siatka"/>
        <w:tblW w:w="15304" w:type="dxa"/>
        <w:tblLayout w:type="fixed"/>
        <w:tblLook w:val="04A0" w:firstRow="1" w:lastRow="0" w:firstColumn="1" w:lastColumn="0" w:noHBand="0" w:noVBand="1"/>
      </w:tblPr>
      <w:tblGrid>
        <w:gridCol w:w="1689"/>
        <w:gridCol w:w="4827"/>
        <w:gridCol w:w="2126"/>
        <w:gridCol w:w="1559"/>
        <w:gridCol w:w="1560"/>
        <w:gridCol w:w="992"/>
        <w:gridCol w:w="2551"/>
      </w:tblGrid>
      <w:tr w:rsidR="003A49ED" w:rsidRPr="00E90A99" w14:paraId="3DE654A3" w14:textId="77777777" w:rsidTr="005A32DD">
        <w:trPr>
          <w:trHeight w:val="1134"/>
        </w:trPr>
        <w:tc>
          <w:tcPr>
            <w:tcW w:w="1689" w:type="dxa"/>
          </w:tcPr>
          <w:p w14:paraId="60B17A10" w14:textId="77777777" w:rsidR="003A49ED" w:rsidRPr="00E90A99" w:rsidRDefault="003A49ED" w:rsidP="00D74F5A">
            <w:pPr>
              <w:jc w:val="center"/>
              <w:rPr>
                <w:b/>
                <w:bCs/>
              </w:rPr>
            </w:pPr>
            <w:r w:rsidRPr="00E90A99">
              <w:rPr>
                <w:b/>
                <w:bCs/>
              </w:rPr>
              <w:t>Nazwa naboru</w:t>
            </w:r>
          </w:p>
        </w:tc>
        <w:tc>
          <w:tcPr>
            <w:tcW w:w="4827" w:type="dxa"/>
          </w:tcPr>
          <w:p w14:paraId="13A4A669" w14:textId="77777777" w:rsidR="003A49ED" w:rsidRPr="00E90A99" w:rsidRDefault="003A49ED" w:rsidP="00D74F5A">
            <w:pPr>
              <w:jc w:val="center"/>
              <w:rPr>
                <w:b/>
                <w:bCs/>
              </w:rPr>
            </w:pPr>
            <w:r w:rsidRPr="00E90A99">
              <w:rPr>
                <w:b/>
                <w:bCs/>
              </w:rPr>
              <w:t>Cel</w:t>
            </w:r>
          </w:p>
        </w:tc>
        <w:tc>
          <w:tcPr>
            <w:tcW w:w="2126" w:type="dxa"/>
          </w:tcPr>
          <w:p w14:paraId="2E90C185" w14:textId="77777777" w:rsidR="003A49ED" w:rsidRPr="00E90A99" w:rsidRDefault="003A49ED" w:rsidP="00D74F5A">
            <w:pPr>
              <w:jc w:val="center"/>
              <w:rPr>
                <w:b/>
                <w:bCs/>
              </w:rPr>
            </w:pPr>
            <w:r w:rsidRPr="00E90A99">
              <w:rPr>
                <w:b/>
                <w:bCs/>
              </w:rPr>
              <w:t>Rodzaj wsparcia</w:t>
            </w:r>
          </w:p>
        </w:tc>
        <w:tc>
          <w:tcPr>
            <w:tcW w:w="1559" w:type="dxa"/>
          </w:tcPr>
          <w:p w14:paraId="025CC7B6" w14:textId="77777777" w:rsidR="003A49ED" w:rsidRPr="00E90A99" w:rsidRDefault="003A49ED" w:rsidP="00D74F5A">
            <w:pPr>
              <w:jc w:val="center"/>
              <w:rPr>
                <w:b/>
                <w:bCs/>
              </w:rPr>
            </w:pPr>
            <w:r w:rsidRPr="00E90A99">
              <w:rPr>
                <w:b/>
                <w:bCs/>
              </w:rPr>
              <w:t>Budżet</w:t>
            </w:r>
          </w:p>
        </w:tc>
        <w:tc>
          <w:tcPr>
            <w:tcW w:w="1560" w:type="dxa"/>
          </w:tcPr>
          <w:p w14:paraId="3C665407" w14:textId="77777777" w:rsidR="003A49ED" w:rsidRPr="00E90A99" w:rsidRDefault="003A49ED" w:rsidP="00D74F5A">
            <w:pPr>
              <w:jc w:val="center"/>
              <w:rPr>
                <w:b/>
                <w:bCs/>
              </w:rPr>
            </w:pPr>
            <w:r w:rsidRPr="00E90A99">
              <w:rPr>
                <w:b/>
                <w:bCs/>
              </w:rPr>
              <w:t>Orientacyjny czas (otwarcie naboru)</w:t>
            </w:r>
          </w:p>
        </w:tc>
        <w:tc>
          <w:tcPr>
            <w:tcW w:w="992" w:type="dxa"/>
          </w:tcPr>
          <w:p w14:paraId="3CB27241" w14:textId="77777777" w:rsidR="003A49ED" w:rsidRPr="00E90A99" w:rsidRDefault="003A49ED" w:rsidP="00D74F5A">
            <w:pPr>
              <w:jc w:val="center"/>
              <w:rPr>
                <w:b/>
                <w:bCs/>
              </w:rPr>
            </w:pPr>
            <w:r w:rsidRPr="00E90A99">
              <w:rPr>
                <w:b/>
                <w:bCs/>
              </w:rPr>
              <w:t>Realizacja projektów</w:t>
            </w:r>
          </w:p>
        </w:tc>
        <w:tc>
          <w:tcPr>
            <w:tcW w:w="2551" w:type="dxa"/>
          </w:tcPr>
          <w:p w14:paraId="24D5ECB3" w14:textId="77777777" w:rsidR="003A49ED" w:rsidRPr="00E90A99" w:rsidRDefault="003A49ED" w:rsidP="00D74F5A">
            <w:pPr>
              <w:jc w:val="center"/>
              <w:rPr>
                <w:b/>
                <w:bCs/>
              </w:rPr>
            </w:pPr>
            <w:r w:rsidRPr="00E90A99">
              <w:rPr>
                <w:b/>
                <w:bCs/>
              </w:rPr>
              <w:t>Rodzaj wnioskodawców</w:t>
            </w:r>
          </w:p>
        </w:tc>
      </w:tr>
      <w:tr w:rsidR="003A49ED" w:rsidRPr="00E90A99" w14:paraId="6534ACF8" w14:textId="77777777" w:rsidTr="005A32DD">
        <w:trPr>
          <w:trHeight w:val="1124"/>
        </w:trPr>
        <w:tc>
          <w:tcPr>
            <w:tcW w:w="1689" w:type="dxa"/>
          </w:tcPr>
          <w:p w14:paraId="77C97B99" w14:textId="61971335" w:rsidR="003A49ED" w:rsidRPr="00E90A99" w:rsidRDefault="003A49ED" w:rsidP="00703762">
            <w:pPr>
              <w:rPr>
                <w:b/>
                <w:bCs/>
                <w:lang w:val="en-GB"/>
              </w:rPr>
            </w:pPr>
            <w:r w:rsidRPr="00E90A99">
              <w:rPr>
                <w:b/>
                <w:bCs/>
                <w:lang w:val="en-GB"/>
              </w:rPr>
              <w:t>Support to the Secretariat for the Alliance on processors and semiconductor technologies</w:t>
            </w:r>
          </w:p>
        </w:tc>
        <w:tc>
          <w:tcPr>
            <w:tcW w:w="4827" w:type="dxa"/>
          </w:tcPr>
          <w:p w14:paraId="07978975" w14:textId="14E4E782" w:rsidR="003A49ED" w:rsidRPr="00AF0603" w:rsidRDefault="003A49ED" w:rsidP="00703762">
            <w:pPr>
              <w:rPr>
                <w:rFonts w:cstheme="minorHAnsi"/>
              </w:rPr>
            </w:pPr>
            <w:r w:rsidRPr="00AF0603">
              <w:rPr>
                <w:rFonts w:eastAsia="Times New Roman" w:cstheme="minorHAnsi"/>
              </w:rPr>
              <w:t xml:space="preserve">Celem naboru jest wsparcie działań </w:t>
            </w:r>
            <w:r w:rsidRPr="00AF0603">
              <w:rPr>
                <w:rFonts w:cstheme="minorHAnsi"/>
                <w:i/>
                <w:iCs/>
                <w:lang w:val="en-IE"/>
              </w:rPr>
              <w:t>Industrial Alliance on processors and semiconductor technologies</w:t>
            </w:r>
            <w:r w:rsidRPr="00AF0603">
              <w:rPr>
                <w:rFonts w:eastAsia="Times New Roman" w:cstheme="minorHAnsi"/>
              </w:rPr>
              <w:t>, którego celem jest wzmocnienie europejskich zdolności w zakresie produkcji c</w:t>
            </w:r>
            <w:r w:rsidR="003A5839" w:rsidRPr="00AF0603">
              <w:rPr>
                <w:rFonts w:eastAsia="Times New Roman" w:cstheme="minorHAnsi"/>
              </w:rPr>
              <w:t>h</w:t>
            </w:r>
            <w:r w:rsidRPr="00AF0603">
              <w:rPr>
                <w:rFonts w:eastAsia="Times New Roman" w:cstheme="minorHAnsi"/>
              </w:rPr>
              <w:t>ipów oraz rozwoju technologii, które pozwolą firmom zwiększyć konkurencyjność, zwiększą</w:t>
            </w:r>
            <w:r w:rsidR="003A5839" w:rsidRPr="00AF0603">
              <w:rPr>
                <w:rFonts w:eastAsia="Times New Roman" w:cstheme="minorHAnsi"/>
              </w:rPr>
              <w:t xml:space="preserve"> </w:t>
            </w:r>
            <w:r w:rsidRPr="00AF0603">
              <w:rPr>
                <w:rFonts w:eastAsia="Times New Roman" w:cstheme="minorHAnsi"/>
              </w:rPr>
              <w:t>cyfrową suwerenność Europy i odpowiedzą na rosnące zapotrzebowanie na nowoczesne, bezpieczne i energooszczędne procesory i chipy.</w:t>
            </w:r>
          </w:p>
        </w:tc>
        <w:tc>
          <w:tcPr>
            <w:tcW w:w="2126" w:type="dxa"/>
          </w:tcPr>
          <w:p w14:paraId="5B80FE22" w14:textId="4761042C" w:rsidR="003A49ED" w:rsidRPr="00AF0603" w:rsidRDefault="003A49ED" w:rsidP="00703762">
            <w:pPr>
              <w:rPr>
                <w:rFonts w:cstheme="minorHAnsi"/>
              </w:rPr>
            </w:pPr>
            <w:proofErr w:type="spellStart"/>
            <w:r w:rsidRPr="00AF0603">
              <w:rPr>
                <w:rFonts w:cstheme="minorHAnsi"/>
              </w:rPr>
              <w:t>Coordination</w:t>
            </w:r>
            <w:proofErr w:type="spellEnd"/>
            <w:r w:rsidRPr="00AF0603">
              <w:rPr>
                <w:rFonts w:cstheme="minorHAnsi"/>
              </w:rPr>
              <w:t xml:space="preserve"> and </w:t>
            </w:r>
            <w:proofErr w:type="spellStart"/>
            <w:r w:rsidRPr="00AF0603">
              <w:rPr>
                <w:rFonts w:cstheme="minorHAnsi"/>
              </w:rPr>
              <w:t>support</w:t>
            </w:r>
            <w:proofErr w:type="spellEnd"/>
            <w:r w:rsidRPr="00AF0603">
              <w:rPr>
                <w:rFonts w:cstheme="minorHAnsi"/>
              </w:rPr>
              <w:t xml:space="preserve"> </w:t>
            </w:r>
            <w:proofErr w:type="spellStart"/>
            <w:r w:rsidRPr="00AF0603">
              <w:rPr>
                <w:rFonts w:cstheme="minorHAnsi"/>
              </w:rPr>
              <w:t>action</w:t>
            </w:r>
            <w:proofErr w:type="spellEnd"/>
            <w:r w:rsidRPr="00AF0603">
              <w:rPr>
                <w:rFonts w:cstheme="minorHAnsi"/>
              </w:rPr>
              <w:t xml:space="preserve"> grant</w:t>
            </w:r>
            <w:r w:rsidR="00E00D77" w:rsidRPr="00AF0603">
              <w:rPr>
                <w:rFonts w:cstheme="minorHAnsi"/>
              </w:rPr>
              <w:t xml:space="preserve"> (100% poziom dofinansowania)</w:t>
            </w:r>
          </w:p>
        </w:tc>
        <w:tc>
          <w:tcPr>
            <w:tcW w:w="1559" w:type="dxa"/>
          </w:tcPr>
          <w:p w14:paraId="7EA233C4" w14:textId="5DC47463" w:rsidR="003A49ED" w:rsidRPr="00AF0603" w:rsidRDefault="003A49ED" w:rsidP="00703762">
            <w:pPr>
              <w:rPr>
                <w:rFonts w:cstheme="minorHAnsi"/>
              </w:rPr>
            </w:pPr>
            <w:r w:rsidRPr="00AF0603">
              <w:rPr>
                <w:rFonts w:cstheme="minorHAnsi"/>
              </w:rPr>
              <w:t>1 mln euro</w:t>
            </w:r>
          </w:p>
        </w:tc>
        <w:tc>
          <w:tcPr>
            <w:tcW w:w="1560" w:type="dxa"/>
          </w:tcPr>
          <w:p w14:paraId="2FA8E91B" w14:textId="72FBC9B0" w:rsidR="003A49ED" w:rsidRPr="00AF0603" w:rsidRDefault="00D67451" w:rsidP="00703762">
            <w:pPr>
              <w:rPr>
                <w:rFonts w:cstheme="minorHAnsi"/>
              </w:rPr>
            </w:pPr>
            <w:r w:rsidRPr="00AF0603">
              <w:rPr>
                <w:rFonts w:cstheme="minorHAnsi"/>
              </w:rPr>
              <w:t>Drugi kwartał 2025</w:t>
            </w:r>
          </w:p>
        </w:tc>
        <w:tc>
          <w:tcPr>
            <w:tcW w:w="992" w:type="dxa"/>
          </w:tcPr>
          <w:p w14:paraId="7E0370DE" w14:textId="47535DC6" w:rsidR="003A49ED" w:rsidRPr="00AF0603" w:rsidRDefault="003A49ED" w:rsidP="00703762">
            <w:pPr>
              <w:rPr>
                <w:rFonts w:cstheme="minorHAnsi"/>
              </w:rPr>
            </w:pPr>
            <w:r w:rsidRPr="00AF0603">
              <w:rPr>
                <w:rFonts w:cstheme="minorHAnsi"/>
              </w:rPr>
              <w:t>36 miesięcy</w:t>
            </w:r>
          </w:p>
        </w:tc>
        <w:tc>
          <w:tcPr>
            <w:tcW w:w="2551" w:type="dxa"/>
          </w:tcPr>
          <w:p w14:paraId="650E0076" w14:textId="50631A63" w:rsidR="003A49ED" w:rsidRPr="00AF0603" w:rsidRDefault="00D72543" w:rsidP="00703762">
            <w:pPr>
              <w:rPr>
                <w:rFonts w:cstheme="minorHAnsi"/>
              </w:rPr>
            </w:pPr>
            <w:r w:rsidRPr="00AF0603">
              <w:rPr>
                <w:rFonts w:cstheme="minorHAnsi"/>
              </w:rPr>
              <w:t>Wszystkie podmioty</w:t>
            </w:r>
          </w:p>
        </w:tc>
      </w:tr>
      <w:tr w:rsidR="003A49ED" w:rsidRPr="00E90A99" w14:paraId="468245A3" w14:textId="77777777" w:rsidTr="005A32DD">
        <w:trPr>
          <w:trHeight w:val="1124"/>
        </w:trPr>
        <w:tc>
          <w:tcPr>
            <w:tcW w:w="1689" w:type="dxa"/>
          </w:tcPr>
          <w:p w14:paraId="58A0F4E7" w14:textId="50C4F3E4" w:rsidR="003A49ED" w:rsidRPr="00E90A99" w:rsidRDefault="003A49ED" w:rsidP="00703762">
            <w:pPr>
              <w:rPr>
                <w:b/>
                <w:bCs/>
                <w:lang w:val="en-GB"/>
              </w:rPr>
            </w:pPr>
            <w:r w:rsidRPr="00E90A99">
              <w:rPr>
                <w:b/>
                <w:bCs/>
                <w:lang w:val="en-GB"/>
              </w:rPr>
              <w:t>Data Spaces Support Centre</w:t>
            </w:r>
          </w:p>
        </w:tc>
        <w:tc>
          <w:tcPr>
            <w:tcW w:w="4827" w:type="dxa"/>
          </w:tcPr>
          <w:p w14:paraId="31E026FF" w14:textId="2ECD514A" w:rsidR="003A49ED" w:rsidRPr="00AF0603" w:rsidRDefault="003A49ED" w:rsidP="00703762">
            <w:pPr>
              <w:rPr>
                <w:rFonts w:cstheme="minorHAnsi"/>
              </w:rPr>
            </w:pPr>
            <w:r w:rsidRPr="00AF0603">
              <w:rPr>
                <w:rFonts w:cstheme="minorHAnsi"/>
              </w:rPr>
              <w:t>Nabór ma na celu kontynuowanie działalności Centrum Wsparcia Przestrzeni Danych (DSSC), które koordynuje działania związane z rozwojem i funkcjonowaniem europejskich przestrzeni danych, aby wspierać bezpieczną wymianę danych i ich ponowne wykorzystanie w różnych sektorach, szczególnie na rzecz firm, w tym małych i średnich przedsiębiorstw.</w:t>
            </w:r>
          </w:p>
        </w:tc>
        <w:tc>
          <w:tcPr>
            <w:tcW w:w="2126" w:type="dxa"/>
          </w:tcPr>
          <w:p w14:paraId="7F44DFBF" w14:textId="5D1380E0" w:rsidR="003A49ED" w:rsidRPr="00AF0603" w:rsidRDefault="00E00D77" w:rsidP="00703762">
            <w:pPr>
              <w:rPr>
                <w:rFonts w:cstheme="minorHAnsi"/>
              </w:rPr>
            </w:pPr>
            <w:proofErr w:type="spellStart"/>
            <w:r w:rsidRPr="00AF0603">
              <w:rPr>
                <w:rFonts w:cstheme="minorHAnsi"/>
              </w:rPr>
              <w:t>Coordination</w:t>
            </w:r>
            <w:proofErr w:type="spellEnd"/>
            <w:r w:rsidRPr="00AF0603">
              <w:rPr>
                <w:rFonts w:cstheme="minorHAnsi"/>
              </w:rPr>
              <w:t xml:space="preserve"> and </w:t>
            </w:r>
            <w:proofErr w:type="spellStart"/>
            <w:r w:rsidRPr="00AF0603">
              <w:rPr>
                <w:rFonts w:cstheme="minorHAnsi"/>
              </w:rPr>
              <w:t>support</w:t>
            </w:r>
            <w:proofErr w:type="spellEnd"/>
            <w:r w:rsidRPr="00AF0603">
              <w:rPr>
                <w:rFonts w:cstheme="minorHAnsi"/>
              </w:rPr>
              <w:t xml:space="preserve"> </w:t>
            </w:r>
            <w:proofErr w:type="spellStart"/>
            <w:r w:rsidRPr="00AF0603">
              <w:rPr>
                <w:rFonts w:cstheme="minorHAnsi"/>
              </w:rPr>
              <w:t>action</w:t>
            </w:r>
            <w:proofErr w:type="spellEnd"/>
            <w:r w:rsidRPr="00AF0603">
              <w:rPr>
                <w:rFonts w:cstheme="minorHAnsi"/>
              </w:rPr>
              <w:t xml:space="preserve"> grant (100% poziom dofinansowania)</w:t>
            </w:r>
          </w:p>
        </w:tc>
        <w:tc>
          <w:tcPr>
            <w:tcW w:w="1559" w:type="dxa"/>
          </w:tcPr>
          <w:p w14:paraId="10489DCC" w14:textId="40183AF0" w:rsidR="003A49ED" w:rsidRPr="00AF0603" w:rsidRDefault="003A49ED" w:rsidP="00703762">
            <w:pPr>
              <w:rPr>
                <w:rFonts w:cstheme="minorHAnsi"/>
              </w:rPr>
            </w:pPr>
            <w:r w:rsidRPr="00AF0603">
              <w:rPr>
                <w:rFonts w:cstheme="minorHAnsi"/>
              </w:rPr>
              <w:t>10 mln euro</w:t>
            </w:r>
          </w:p>
        </w:tc>
        <w:tc>
          <w:tcPr>
            <w:tcW w:w="1560" w:type="dxa"/>
          </w:tcPr>
          <w:p w14:paraId="4CDA54E1" w14:textId="2E6F9CE7" w:rsidR="003A49ED" w:rsidRPr="00AF0603" w:rsidRDefault="00D67451" w:rsidP="00703762">
            <w:pPr>
              <w:rPr>
                <w:rFonts w:cstheme="minorHAnsi"/>
              </w:rPr>
            </w:pPr>
            <w:r w:rsidRPr="00AF0603">
              <w:rPr>
                <w:rFonts w:cstheme="minorHAnsi"/>
              </w:rPr>
              <w:t>Drugi kwartał 2025</w:t>
            </w:r>
          </w:p>
        </w:tc>
        <w:tc>
          <w:tcPr>
            <w:tcW w:w="992" w:type="dxa"/>
          </w:tcPr>
          <w:p w14:paraId="6EF7174C" w14:textId="335FFAFB" w:rsidR="003A49ED" w:rsidRPr="00AF0603" w:rsidRDefault="003A49ED" w:rsidP="00703762">
            <w:pPr>
              <w:rPr>
                <w:rFonts w:cstheme="minorHAnsi"/>
              </w:rPr>
            </w:pPr>
            <w:r w:rsidRPr="00AF0603">
              <w:rPr>
                <w:rFonts w:cstheme="minorHAnsi"/>
              </w:rPr>
              <w:t>36 miesięcy</w:t>
            </w:r>
          </w:p>
        </w:tc>
        <w:tc>
          <w:tcPr>
            <w:tcW w:w="2551" w:type="dxa"/>
          </w:tcPr>
          <w:p w14:paraId="61554E9D" w14:textId="253C2F62" w:rsidR="000B28A4" w:rsidRPr="00AF0603" w:rsidRDefault="000B28A4" w:rsidP="00703762">
            <w:pPr>
              <w:rPr>
                <w:rFonts w:cstheme="minorHAnsi"/>
              </w:rPr>
            </w:pPr>
            <w:r w:rsidRPr="00AF0603">
              <w:rPr>
                <w:rFonts w:cstheme="minorHAnsi"/>
              </w:rPr>
              <w:t>Podmioty publiczne, podmioty prywatne, stowarzyszenia i organizacje pozarządowe, uczelnie/uniwersytety/organizacje badawcze posiadające szeroką wiedzę na temat przestrzeni danych.</w:t>
            </w:r>
          </w:p>
          <w:p w14:paraId="1845BD77" w14:textId="71764581" w:rsidR="003A49ED" w:rsidRPr="00AF0603" w:rsidRDefault="003A49ED" w:rsidP="00703762">
            <w:pPr>
              <w:rPr>
                <w:rFonts w:cstheme="minorHAnsi"/>
              </w:rPr>
            </w:pPr>
          </w:p>
        </w:tc>
      </w:tr>
      <w:tr w:rsidR="003A49ED" w:rsidRPr="00E90A99" w14:paraId="4E2084F0" w14:textId="77777777" w:rsidTr="005A32DD">
        <w:trPr>
          <w:trHeight w:val="1124"/>
        </w:trPr>
        <w:tc>
          <w:tcPr>
            <w:tcW w:w="1689" w:type="dxa"/>
          </w:tcPr>
          <w:p w14:paraId="17A2DF08" w14:textId="0CDE10BB" w:rsidR="003A49ED" w:rsidRPr="00E90A99" w:rsidRDefault="003A49ED" w:rsidP="00703762">
            <w:pPr>
              <w:rPr>
                <w:b/>
                <w:bCs/>
                <w:lang w:val="en-GB"/>
              </w:rPr>
            </w:pPr>
            <w:r w:rsidRPr="00E90A99">
              <w:rPr>
                <w:b/>
                <w:bCs/>
                <w:lang w:val="en-GB"/>
              </w:rPr>
              <w:t>Digital solutions for regulatory compliance through data</w:t>
            </w:r>
          </w:p>
        </w:tc>
        <w:tc>
          <w:tcPr>
            <w:tcW w:w="4827" w:type="dxa"/>
          </w:tcPr>
          <w:p w14:paraId="5E52F24C" w14:textId="1DC5A473" w:rsidR="003A49ED" w:rsidRPr="00AF0603" w:rsidRDefault="003A49ED" w:rsidP="00703762">
            <w:pPr>
              <w:rPr>
                <w:rFonts w:cstheme="minorHAnsi"/>
              </w:rPr>
            </w:pPr>
            <w:r w:rsidRPr="00AF0603">
              <w:rPr>
                <w:rFonts w:cstheme="minorHAnsi"/>
              </w:rPr>
              <w:t xml:space="preserve">Celem naboru jest wsparcie pilotażowych projektów, które wykorzystują technologie cyfrowe do automatyzacji procesów raportowania zgodności z przepisami UE, co ma na celu uproszczenie procesów zgodności, zmniejszenie </w:t>
            </w:r>
            <w:r w:rsidRPr="00AF0603">
              <w:rPr>
                <w:rFonts w:cstheme="minorHAnsi"/>
              </w:rPr>
              <w:lastRenderedPageBreak/>
              <w:t>obciążeń administracyjnych oraz poprawę konkurencyjności w różnych branżach.</w:t>
            </w:r>
          </w:p>
        </w:tc>
        <w:tc>
          <w:tcPr>
            <w:tcW w:w="2126" w:type="dxa"/>
          </w:tcPr>
          <w:p w14:paraId="2F2636E3" w14:textId="66CB1C6C" w:rsidR="003A49ED" w:rsidRPr="00AF0603" w:rsidRDefault="003A49ED" w:rsidP="00703762">
            <w:pPr>
              <w:rPr>
                <w:rFonts w:cstheme="minorHAnsi"/>
              </w:rPr>
            </w:pPr>
            <w:r w:rsidRPr="00AF0603">
              <w:rPr>
                <w:rFonts w:cstheme="minorHAnsi"/>
              </w:rPr>
              <w:lastRenderedPageBreak/>
              <w:t xml:space="preserve">Simple grant (50% </w:t>
            </w:r>
            <w:r w:rsidR="00E00D77" w:rsidRPr="00AF0603">
              <w:rPr>
                <w:rFonts w:cstheme="minorHAnsi"/>
              </w:rPr>
              <w:t xml:space="preserve">poziom </w:t>
            </w:r>
            <w:r w:rsidRPr="00AF0603">
              <w:rPr>
                <w:rFonts w:cstheme="minorHAnsi"/>
              </w:rPr>
              <w:t>dofinansowania)</w:t>
            </w:r>
          </w:p>
        </w:tc>
        <w:tc>
          <w:tcPr>
            <w:tcW w:w="1559" w:type="dxa"/>
          </w:tcPr>
          <w:p w14:paraId="68145DCE" w14:textId="43A33117" w:rsidR="003A49ED" w:rsidRPr="00AF0603" w:rsidRDefault="00072626" w:rsidP="00703762">
            <w:pPr>
              <w:rPr>
                <w:rFonts w:cstheme="minorHAnsi"/>
              </w:rPr>
            </w:pPr>
            <w:r w:rsidRPr="00AF0603">
              <w:rPr>
                <w:rFonts w:cstheme="minorHAnsi"/>
              </w:rPr>
              <w:t>8</w:t>
            </w:r>
            <w:r w:rsidR="003A49ED" w:rsidRPr="00AF0603">
              <w:rPr>
                <w:rFonts w:cstheme="minorHAnsi"/>
              </w:rPr>
              <w:t xml:space="preserve"> mln euro (2025), </w:t>
            </w:r>
            <w:r w:rsidR="00A25634">
              <w:rPr>
                <w:rFonts w:cstheme="minorHAnsi"/>
              </w:rPr>
              <w:t>9</w:t>
            </w:r>
            <w:r w:rsidR="003A49ED" w:rsidRPr="00AF0603">
              <w:rPr>
                <w:rFonts w:cstheme="minorHAnsi"/>
              </w:rPr>
              <w:t xml:space="preserve"> mln euro (2026)</w:t>
            </w:r>
          </w:p>
        </w:tc>
        <w:tc>
          <w:tcPr>
            <w:tcW w:w="1560" w:type="dxa"/>
          </w:tcPr>
          <w:p w14:paraId="705FA2A4" w14:textId="239EA89F" w:rsidR="003A49ED" w:rsidRPr="00AF0603" w:rsidRDefault="00D67451" w:rsidP="00703762">
            <w:pPr>
              <w:rPr>
                <w:rFonts w:cstheme="minorHAnsi"/>
              </w:rPr>
            </w:pPr>
            <w:r w:rsidRPr="00AF0603">
              <w:rPr>
                <w:rFonts w:cstheme="minorHAnsi"/>
              </w:rPr>
              <w:t>Drugi kwartał 2025</w:t>
            </w:r>
            <w:r w:rsidR="00A77D15" w:rsidRPr="00AF0603">
              <w:rPr>
                <w:rFonts w:cstheme="minorHAnsi"/>
                <w:lang w:val="en-GB"/>
              </w:rPr>
              <w:t xml:space="preserve">; </w:t>
            </w:r>
            <w:r w:rsidRPr="00AF0603">
              <w:rPr>
                <w:rFonts w:cstheme="minorHAnsi"/>
              </w:rPr>
              <w:t>Drugi kwartał 2026</w:t>
            </w:r>
          </w:p>
        </w:tc>
        <w:tc>
          <w:tcPr>
            <w:tcW w:w="992" w:type="dxa"/>
          </w:tcPr>
          <w:p w14:paraId="1FEF629E" w14:textId="2AEEEB3C" w:rsidR="003A49ED" w:rsidRPr="00AF0603" w:rsidRDefault="007D2F45" w:rsidP="00703762">
            <w:pPr>
              <w:rPr>
                <w:rFonts w:cstheme="minorHAnsi"/>
              </w:rPr>
            </w:pPr>
            <w:r w:rsidRPr="00AF0603">
              <w:rPr>
                <w:rFonts w:cstheme="minorHAnsi"/>
              </w:rPr>
              <w:t>24 miesiące</w:t>
            </w:r>
          </w:p>
        </w:tc>
        <w:tc>
          <w:tcPr>
            <w:tcW w:w="2551" w:type="dxa"/>
          </w:tcPr>
          <w:p w14:paraId="3DA716BF" w14:textId="4B374CB3" w:rsidR="003A49ED" w:rsidRPr="00AF0603" w:rsidRDefault="000B28A4" w:rsidP="00703762">
            <w:pPr>
              <w:rPr>
                <w:rFonts w:cstheme="minorHAnsi"/>
              </w:rPr>
            </w:pPr>
            <w:r w:rsidRPr="00AF0603">
              <w:rPr>
                <w:rFonts w:cstheme="minorHAnsi"/>
              </w:rPr>
              <w:t xml:space="preserve">Władze krajowe i UE (jako użytkownicy danych), podmioty publiczne i prywatne, przedsiębiorstwa, dostawcy danych </w:t>
            </w:r>
            <w:r w:rsidRPr="00AF0603">
              <w:rPr>
                <w:rFonts w:cstheme="minorHAnsi"/>
              </w:rPr>
              <w:lastRenderedPageBreak/>
              <w:t>zgodności, organizacje zajmujące się udostępnianiem danych, uniwersytety</w:t>
            </w:r>
            <w:r w:rsidR="003A49ED" w:rsidRPr="00AF0603">
              <w:rPr>
                <w:rFonts w:cstheme="minorHAnsi"/>
              </w:rPr>
              <w:t>.</w:t>
            </w:r>
          </w:p>
        </w:tc>
      </w:tr>
      <w:tr w:rsidR="00A77D15" w:rsidRPr="00E90A99" w14:paraId="20C8BF17" w14:textId="77777777" w:rsidTr="005A32DD">
        <w:trPr>
          <w:trHeight w:val="1124"/>
        </w:trPr>
        <w:tc>
          <w:tcPr>
            <w:tcW w:w="1689" w:type="dxa"/>
          </w:tcPr>
          <w:p w14:paraId="03DA7850" w14:textId="3E3483F1" w:rsidR="00A77D15" w:rsidRPr="00E90A99" w:rsidRDefault="00A77D15" w:rsidP="00703762">
            <w:pPr>
              <w:rPr>
                <w:b/>
                <w:bCs/>
                <w:lang w:val="en-GB"/>
              </w:rPr>
            </w:pPr>
            <w:r w:rsidRPr="00E90A99">
              <w:rPr>
                <w:b/>
                <w:bCs/>
              </w:rPr>
              <w:lastRenderedPageBreak/>
              <w:t xml:space="preserve">Multi-Country Project in </w:t>
            </w:r>
            <w:proofErr w:type="spellStart"/>
            <w:r w:rsidRPr="00E90A99">
              <w:rPr>
                <w:b/>
                <w:bCs/>
              </w:rPr>
              <w:t>Agri</w:t>
            </w:r>
            <w:proofErr w:type="spellEnd"/>
            <w:r w:rsidRPr="00E90A99">
              <w:rPr>
                <w:b/>
                <w:bCs/>
              </w:rPr>
              <w:t>-Food</w:t>
            </w:r>
          </w:p>
        </w:tc>
        <w:tc>
          <w:tcPr>
            <w:tcW w:w="4827" w:type="dxa"/>
          </w:tcPr>
          <w:p w14:paraId="6F46550C" w14:textId="77777777" w:rsidR="00A77D15" w:rsidRPr="00AF0603" w:rsidRDefault="00A77D15" w:rsidP="00703762">
            <w:pPr>
              <w:rPr>
                <w:rFonts w:cstheme="minorHAnsi"/>
              </w:rPr>
            </w:pPr>
            <w:r w:rsidRPr="00AF0603">
              <w:rPr>
                <w:rFonts w:cstheme="minorHAnsi"/>
              </w:rPr>
              <w:t xml:space="preserve">Nabór ma na celu wspieranie rozwoju infrastruktury cyfrowej i danych w sektorze rolno-spożywczym w Europie, poprzez tworzenie i wdrażanie projektów </w:t>
            </w:r>
            <w:proofErr w:type="spellStart"/>
            <w:r w:rsidRPr="00AF0603">
              <w:rPr>
                <w:rFonts w:cstheme="minorHAnsi"/>
              </w:rPr>
              <w:t>multi</w:t>
            </w:r>
            <w:proofErr w:type="spellEnd"/>
            <w:r w:rsidRPr="00AF0603">
              <w:rPr>
                <w:rFonts w:cstheme="minorHAnsi"/>
              </w:rPr>
              <w:t xml:space="preserve">-krajowych, które zwiększą efektywność, </w:t>
            </w:r>
            <w:proofErr w:type="spellStart"/>
            <w:r w:rsidRPr="00AF0603">
              <w:rPr>
                <w:rFonts w:cstheme="minorHAnsi"/>
              </w:rPr>
              <w:t>zrównoważoność</w:t>
            </w:r>
            <w:proofErr w:type="spellEnd"/>
            <w:r w:rsidRPr="00AF0603">
              <w:rPr>
                <w:rFonts w:cstheme="minorHAnsi"/>
              </w:rPr>
              <w:t xml:space="preserve"> i konkurencyjność tego sektora, w szczególności poprzez ułatwienie wymiany danych i wdrażanie innowacyjnych rozwiązań.</w:t>
            </w:r>
          </w:p>
        </w:tc>
        <w:tc>
          <w:tcPr>
            <w:tcW w:w="2126" w:type="dxa"/>
          </w:tcPr>
          <w:p w14:paraId="7839B234" w14:textId="0692B65C" w:rsidR="00A77D15" w:rsidRPr="00AF0603" w:rsidRDefault="007D2F45" w:rsidP="00703762">
            <w:pPr>
              <w:rPr>
                <w:rFonts w:cstheme="minorHAnsi"/>
              </w:rPr>
            </w:pPr>
            <w:r w:rsidRPr="00AF0603">
              <w:rPr>
                <w:rFonts w:cstheme="minorHAnsi"/>
              </w:rPr>
              <w:t xml:space="preserve">Grant for Financial </w:t>
            </w:r>
            <w:proofErr w:type="spellStart"/>
            <w:r w:rsidRPr="00AF0603">
              <w:rPr>
                <w:rFonts w:cstheme="minorHAnsi"/>
              </w:rPr>
              <w:t>Support</w:t>
            </w:r>
            <w:proofErr w:type="spellEnd"/>
            <w:r w:rsidR="00A77D15" w:rsidRPr="00AF0603">
              <w:rPr>
                <w:rFonts w:cstheme="minorHAnsi"/>
              </w:rPr>
              <w:t xml:space="preserve"> (50% poziom dofinansowania) </w:t>
            </w:r>
          </w:p>
        </w:tc>
        <w:tc>
          <w:tcPr>
            <w:tcW w:w="1559" w:type="dxa"/>
          </w:tcPr>
          <w:p w14:paraId="5876770A" w14:textId="77777777" w:rsidR="00A77D15" w:rsidRPr="00AF0603" w:rsidRDefault="00A77D15" w:rsidP="00703762">
            <w:pPr>
              <w:rPr>
                <w:rFonts w:cstheme="minorHAnsi"/>
              </w:rPr>
            </w:pPr>
            <w:r w:rsidRPr="00AF0603">
              <w:rPr>
                <w:rFonts w:cstheme="minorHAnsi"/>
              </w:rPr>
              <w:t>15 mln euro</w:t>
            </w:r>
          </w:p>
        </w:tc>
        <w:tc>
          <w:tcPr>
            <w:tcW w:w="1560" w:type="dxa"/>
          </w:tcPr>
          <w:p w14:paraId="53C1A81A" w14:textId="77777777" w:rsidR="00A77D15" w:rsidRPr="00AF0603" w:rsidRDefault="00A77D15" w:rsidP="00703762">
            <w:pPr>
              <w:rPr>
                <w:rFonts w:cstheme="minorHAnsi"/>
              </w:rPr>
            </w:pPr>
            <w:r w:rsidRPr="00AF0603">
              <w:rPr>
                <w:rFonts w:cstheme="minorHAnsi"/>
              </w:rPr>
              <w:t>Drugi kwartał 2025</w:t>
            </w:r>
          </w:p>
        </w:tc>
        <w:tc>
          <w:tcPr>
            <w:tcW w:w="992" w:type="dxa"/>
          </w:tcPr>
          <w:p w14:paraId="475AD5BF" w14:textId="77777777" w:rsidR="00A77D15" w:rsidRPr="00AF0603" w:rsidRDefault="00A77D15" w:rsidP="00703762">
            <w:pPr>
              <w:rPr>
                <w:rFonts w:cstheme="minorHAnsi"/>
              </w:rPr>
            </w:pPr>
            <w:r w:rsidRPr="00AF0603">
              <w:rPr>
                <w:rFonts w:cstheme="minorHAnsi"/>
              </w:rPr>
              <w:t>48 miesięcy</w:t>
            </w:r>
          </w:p>
        </w:tc>
        <w:tc>
          <w:tcPr>
            <w:tcW w:w="2551" w:type="dxa"/>
          </w:tcPr>
          <w:p w14:paraId="02C6D43C" w14:textId="77777777" w:rsidR="00A77D15" w:rsidRPr="00AF0603" w:rsidRDefault="00A77D15" w:rsidP="00703762">
            <w:pPr>
              <w:rPr>
                <w:rFonts w:cstheme="minorHAnsi"/>
              </w:rPr>
            </w:pPr>
            <w:r w:rsidRPr="00AF0603">
              <w:rPr>
                <w:rFonts w:cstheme="minorHAnsi"/>
              </w:rPr>
              <w:t>EDIC, podmioty publiczne i prywatne, takie jak: administracje publiczne (na poziomie krajowym i lokalnym), podmioty gospodarcze (w tym MŚP) w sektorze rolno-spożywczym.</w:t>
            </w:r>
          </w:p>
        </w:tc>
      </w:tr>
      <w:tr w:rsidR="00703762" w:rsidRPr="00E90A99" w14:paraId="7DCC5832" w14:textId="77777777" w:rsidTr="005A32DD">
        <w:trPr>
          <w:trHeight w:val="1124"/>
        </w:trPr>
        <w:tc>
          <w:tcPr>
            <w:tcW w:w="1689" w:type="dxa"/>
          </w:tcPr>
          <w:p w14:paraId="306FD800" w14:textId="7433195A" w:rsidR="00703762" w:rsidRPr="00E90A99" w:rsidRDefault="00703762" w:rsidP="00703762">
            <w:pPr>
              <w:rPr>
                <w:b/>
                <w:bCs/>
                <w:lang w:val="en-GB"/>
              </w:rPr>
            </w:pPr>
            <w:r w:rsidRPr="00E90A99">
              <w:rPr>
                <w:b/>
                <w:bCs/>
                <w:lang w:val="en-GB"/>
              </w:rPr>
              <w:t>Apply AI: GenAI for the public administrations</w:t>
            </w:r>
          </w:p>
        </w:tc>
        <w:tc>
          <w:tcPr>
            <w:tcW w:w="4827" w:type="dxa"/>
          </w:tcPr>
          <w:p w14:paraId="4DBE433A" w14:textId="67607B1E" w:rsidR="00703762" w:rsidRPr="00AF0603" w:rsidRDefault="00703762" w:rsidP="00703762">
            <w:pPr>
              <w:rPr>
                <w:rFonts w:cstheme="minorHAnsi"/>
              </w:rPr>
            </w:pPr>
            <w:r w:rsidRPr="00AF0603">
              <w:rPr>
                <w:rFonts w:cstheme="minorHAnsi"/>
              </w:rPr>
              <w:t>Celem naboru jest przyspieszenie wdrażania generatywnej sztucznej inteligencji (GenAI) w administracjach publicznych poprzez wsparcie do trzech pilotażowych projektów, które mają na celu rozwój i zastosowanie europejskich rozwiązań GenAI w celu usprawnienia usług publicznych, poprawy doświadczeń obywateli i wsparcia procesów decyzyjnych w takich obszarach jak planowanie urbanistyczne, transport czy legislacja.</w:t>
            </w:r>
          </w:p>
        </w:tc>
        <w:tc>
          <w:tcPr>
            <w:tcW w:w="2126" w:type="dxa"/>
          </w:tcPr>
          <w:p w14:paraId="1725F000" w14:textId="31E9EF86" w:rsidR="00703762" w:rsidRPr="00AF0603" w:rsidRDefault="00703762" w:rsidP="00703762">
            <w:pPr>
              <w:rPr>
                <w:rFonts w:cstheme="minorHAnsi"/>
              </w:rPr>
            </w:pPr>
            <w:r w:rsidRPr="00AF0603">
              <w:rPr>
                <w:rFonts w:eastAsia="Calibri" w:cstheme="minorHAnsi"/>
              </w:rPr>
              <w:t xml:space="preserve">Grant for Procurement (50% poziom dofinansowania) oraz </w:t>
            </w:r>
            <w:proofErr w:type="spellStart"/>
            <w:r w:rsidRPr="00AF0603">
              <w:rPr>
                <w:rFonts w:cstheme="minorHAnsi"/>
              </w:rPr>
              <w:t>Coordination</w:t>
            </w:r>
            <w:proofErr w:type="spellEnd"/>
            <w:r w:rsidRPr="00AF0603">
              <w:rPr>
                <w:rFonts w:cstheme="minorHAnsi"/>
              </w:rPr>
              <w:t xml:space="preserve"> and </w:t>
            </w:r>
            <w:proofErr w:type="spellStart"/>
            <w:r w:rsidR="00A25634">
              <w:rPr>
                <w:rFonts w:cstheme="minorHAnsi"/>
              </w:rPr>
              <w:t>S</w:t>
            </w:r>
            <w:r w:rsidRPr="00AF0603">
              <w:rPr>
                <w:rFonts w:cstheme="minorHAnsi"/>
              </w:rPr>
              <w:t>up</w:t>
            </w:r>
            <w:r w:rsidR="00A25634">
              <w:rPr>
                <w:rFonts w:cstheme="minorHAnsi"/>
              </w:rPr>
              <w:t>p</w:t>
            </w:r>
            <w:r w:rsidRPr="00AF0603">
              <w:rPr>
                <w:rFonts w:cstheme="minorHAnsi"/>
              </w:rPr>
              <w:t>ort</w:t>
            </w:r>
            <w:proofErr w:type="spellEnd"/>
            <w:r w:rsidRPr="00AF0603">
              <w:rPr>
                <w:rFonts w:cstheme="minorHAnsi"/>
              </w:rPr>
              <w:t xml:space="preserve"> </w:t>
            </w:r>
            <w:proofErr w:type="spellStart"/>
            <w:r w:rsidRPr="00AF0603">
              <w:rPr>
                <w:rFonts w:cstheme="minorHAnsi"/>
              </w:rPr>
              <w:t>action</w:t>
            </w:r>
            <w:proofErr w:type="spellEnd"/>
            <w:r w:rsidRPr="00AF0603">
              <w:rPr>
                <w:rFonts w:cstheme="minorHAnsi"/>
              </w:rPr>
              <w:t xml:space="preserve"> grant (100% poziom dofinansowania)</w:t>
            </w:r>
          </w:p>
        </w:tc>
        <w:tc>
          <w:tcPr>
            <w:tcW w:w="1559" w:type="dxa"/>
          </w:tcPr>
          <w:p w14:paraId="2574E101" w14:textId="4EC267C3" w:rsidR="00703762" w:rsidRPr="00AF0603" w:rsidRDefault="00703762" w:rsidP="00703762">
            <w:pPr>
              <w:rPr>
                <w:rFonts w:cstheme="minorHAnsi"/>
              </w:rPr>
            </w:pPr>
            <w:r w:rsidRPr="00AF0603">
              <w:rPr>
                <w:rFonts w:cstheme="minorHAnsi"/>
              </w:rPr>
              <w:t>2</w:t>
            </w:r>
            <w:r w:rsidR="00A25634">
              <w:rPr>
                <w:rFonts w:cstheme="minorHAnsi"/>
              </w:rPr>
              <w:t>2,8</w:t>
            </w:r>
            <w:r w:rsidRPr="00AF0603">
              <w:rPr>
                <w:rFonts w:cstheme="minorHAnsi"/>
              </w:rPr>
              <w:t xml:space="preserve"> mln euro:</w:t>
            </w:r>
            <w:r w:rsidRPr="00AF0603">
              <w:rPr>
                <w:rFonts w:cstheme="minorHAnsi"/>
              </w:rPr>
              <w:br/>
              <w:t>21 mln na zamówienie publiczne;</w:t>
            </w:r>
            <w:r w:rsidRPr="00AF0603">
              <w:rPr>
                <w:rFonts w:cstheme="minorHAnsi"/>
              </w:rPr>
              <w:br/>
            </w:r>
            <w:r w:rsidR="00A25634">
              <w:rPr>
                <w:rFonts w:cstheme="minorHAnsi"/>
              </w:rPr>
              <w:t>1,8</w:t>
            </w:r>
            <w:r w:rsidRPr="00AF0603">
              <w:rPr>
                <w:rFonts w:cstheme="minorHAnsi"/>
              </w:rPr>
              <w:t xml:space="preserve"> mln na nabór CSA</w:t>
            </w:r>
          </w:p>
        </w:tc>
        <w:tc>
          <w:tcPr>
            <w:tcW w:w="1560" w:type="dxa"/>
          </w:tcPr>
          <w:p w14:paraId="0FE8B543" w14:textId="5944F17E" w:rsidR="00703762" w:rsidRPr="00AF0603" w:rsidRDefault="00703762" w:rsidP="00703762">
            <w:pPr>
              <w:rPr>
                <w:rFonts w:cstheme="minorHAnsi"/>
              </w:rPr>
            </w:pPr>
            <w:r w:rsidRPr="00AF0603">
              <w:rPr>
                <w:rFonts w:cstheme="minorHAnsi"/>
              </w:rPr>
              <w:t>Drugi kwartał 2025</w:t>
            </w:r>
            <w:r w:rsidRPr="00AF0603">
              <w:rPr>
                <w:rFonts w:cstheme="minorHAnsi"/>
                <w:lang w:val="en-GB"/>
              </w:rPr>
              <w:t xml:space="preserve"> (</w:t>
            </w:r>
            <w:r w:rsidRPr="00AF0603">
              <w:rPr>
                <w:rFonts w:eastAsia="Calibri" w:cstheme="minorHAnsi"/>
              </w:rPr>
              <w:t>Procurement</w:t>
            </w:r>
            <w:r w:rsidRPr="00AF0603">
              <w:rPr>
                <w:rFonts w:cstheme="minorHAnsi"/>
                <w:lang w:val="en-GB"/>
              </w:rPr>
              <w:t xml:space="preserve">), </w:t>
            </w:r>
            <w:r w:rsidRPr="00AF0603">
              <w:rPr>
                <w:rFonts w:cstheme="minorHAnsi"/>
              </w:rPr>
              <w:t>Drugi kwartał 2026</w:t>
            </w:r>
            <w:r w:rsidRPr="00AF0603">
              <w:rPr>
                <w:rFonts w:cstheme="minorHAnsi"/>
                <w:lang w:val="en-GB"/>
              </w:rPr>
              <w:t xml:space="preserve"> (CSA)</w:t>
            </w:r>
          </w:p>
        </w:tc>
        <w:tc>
          <w:tcPr>
            <w:tcW w:w="992" w:type="dxa"/>
          </w:tcPr>
          <w:p w14:paraId="6D7E9345" w14:textId="44F1453E" w:rsidR="00703762" w:rsidRPr="00AF0603" w:rsidRDefault="00703762" w:rsidP="00703762">
            <w:pPr>
              <w:rPr>
                <w:rFonts w:cstheme="minorHAnsi"/>
              </w:rPr>
            </w:pPr>
            <w:r w:rsidRPr="00AF0603">
              <w:rPr>
                <w:rFonts w:cstheme="minorHAnsi"/>
              </w:rPr>
              <w:t>36 miesięcy</w:t>
            </w:r>
          </w:p>
        </w:tc>
        <w:tc>
          <w:tcPr>
            <w:tcW w:w="2551" w:type="dxa"/>
          </w:tcPr>
          <w:p w14:paraId="2BE4A64B" w14:textId="76FA2686" w:rsidR="00703762" w:rsidRPr="00AF0603" w:rsidRDefault="00703762" w:rsidP="00703762">
            <w:pPr>
              <w:rPr>
                <w:rFonts w:cstheme="minorHAnsi"/>
              </w:rPr>
            </w:pPr>
            <w:r w:rsidRPr="00AF0603">
              <w:rPr>
                <w:rFonts w:eastAsia="Calibri" w:cstheme="minorHAnsi"/>
              </w:rPr>
              <w:t>Grant for procurement: podmioty publiczne i prywatne, takie jak administracje publiczne (na poziomie krajowym i lokalnym), jednostki szkolnictwa wyższego, organizacje badawcze i technologiczne, organizacje pozarządowe.</w:t>
            </w:r>
            <w:r w:rsidRPr="00AF0603">
              <w:rPr>
                <w:rFonts w:eastAsia="Calibri" w:cstheme="minorHAnsi"/>
              </w:rPr>
              <w:br/>
              <w:t>CSA: podmioty publiczne i prywatne, takie jak jednostki szkolnictwa wyższego, organizacje badawcze i technologiczne i organizacje pozarządowe.</w:t>
            </w:r>
          </w:p>
        </w:tc>
      </w:tr>
      <w:tr w:rsidR="00703762" w:rsidRPr="00E90A99" w14:paraId="2AA30C1C" w14:textId="77777777" w:rsidTr="005A32DD">
        <w:trPr>
          <w:trHeight w:val="1124"/>
        </w:trPr>
        <w:tc>
          <w:tcPr>
            <w:tcW w:w="1689" w:type="dxa"/>
          </w:tcPr>
          <w:p w14:paraId="2B8FE994" w14:textId="509B358B" w:rsidR="00703762" w:rsidRPr="00E90A99" w:rsidRDefault="00703762" w:rsidP="00703762">
            <w:pPr>
              <w:rPr>
                <w:b/>
                <w:bCs/>
                <w:lang w:val="en-GB"/>
              </w:rPr>
            </w:pPr>
            <w:r w:rsidRPr="00E90A99">
              <w:rPr>
                <w:b/>
                <w:bCs/>
                <w:lang w:val="en-GB"/>
              </w:rPr>
              <w:t xml:space="preserve">Consolidation of the Network of European Digital </w:t>
            </w:r>
            <w:r w:rsidRPr="00E90A99">
              <w:rPr>
                <w:b/>
                <w:bCs/>
                <w:lang w:val="en-GB"/>
              </w:rPr>
              <w:lastRenderedPageBreak/>
              <w:t>Innovation Hubs (AI EDIHs with reinforced AI focus)</w:t>
            </w:r>
          </w:p>
        </w:tc>
        <w:tc>
          <w:tcPr>
            <w:tcW w:w="4827" w:type="dxa"/>
          </w:tcPr>
          <w:p w14:paraId="4B00A137" w14:textId="5FCE976E" w:rsidR="00703762" w:rsidRPr="00AF0603" w:rsidRDefault="00703762" w:rsidP="00703762">
            <w:pPr>
              <w:rPr>
                <w:rFonts w:cstheme="minorHAnsi"/>
              </w:rPr>
            </w:pPr>
            <w:r w:rsidRPr="00AF0603">
              <w:rPr>
                <w:rFonts w:cstheme="minorHAnsi"/>
              </w:rPr>
              <w:lastRenderedPageBreak/>
              <w:t xml:space="preserve">Nabór dotyczy konsolidacji sieci Europejskich Hubów Innowacji Cyfrowych (EDIHs) w ramach programu Cyfrowa Europa, obejmując nowe huby w krajach stowarzyszonych. Celem jest rozwój </w:t>
            </w:r>
            <w:r w:rsidRPr="00AF0603">
              <w:rPr>
                <w:rFonts w:cstheme="minorHAnsi"/>
              </w:rPr>
              <w:lastRenderedPageBreak/>
              <w:t>EDIHs oraz utworzenie specjalistycznych AI EDIHs, które będą wspierać transformację cyfrową MŚP, średnich firm i administracji publicznej poprzez usługi testowania technologii, szkolenia, dostęp do finansowania oraz budowanie ekosystemu innowacji. Rozszerzona sieć EDIHs, z naciskiem na sztuczną inteligencję, przyczyni się do szerokiego wdrażania europejskich technologii cyfrowych, wzmacniając konkurencyjność, rozwój gospodarczy oraz zieloną transformację Europy.</w:t>
            </w:r>
          </w:p>
        </w:tc>
        <w:tc>
          <w:tcPr>
            <w:tcW w:w="2126" w:type="dxa"/>
          </w:tcPr>
          <w:p w14:paraId="72359BA3" w14:textId="3C343FB1" w:rsidR="00703762" w:rsidRPr="00AF0603" w:rsidRDefault="00703762" w:rsidP="00703762">
            <w:pPr>
              <w:rPr>
                <w:rFonts w:cstheme="minorHAnsi"/>
              </w:rPr>
            </w:pPr>
            <w:r w:rsidRPr="00AF0603">
              <w:rPr>
                <w:rFonts w:cstheme="minorHAnsi"/>
              </w:rPr>
              <w:lastRenderedPageBreak/>
              <w:t>Simple grant (50% poziom dofinansowania)</w:t>
            </w:r>
          </w:p>
        </w:tc>
        <w:tc>
          <w:tcPr>
            <w:tcW w:w="1559" w:type="dxa"/>
          </w:tcPr>
          <w:p w14:paraId="25E6F342" w14:textId="352F6CC6" w:rsidR="00703762" w:rsidRPr="00AF0603" w:rsidRDefault="00703762" w:rsidP="00703762">
            <w:pPr>
              <w:rPr>
                <w:rFonts w:cstheme="minorHAnsi"/>
                <w:b/>
                <w:bCs/>
              </w:rPr>
            </w:pPr>
            <w:r w:rsidRPr="00AF0603">
              <w:rPr>
                <w:rFonts w:cstheme="minorHAnsi"/>
                <w:b/>
                <w:bCs/>
              </w:rPr>
              <w:t>2</w:t>
            </w:r>
            <w:r w:rsidR="00A25634">
              <w:rPr>
                <w:rFonts w:cstheme="minorHAnsi"/>
                <w:b/>
                <w:bCs/>
              </w:rPr>
              <w:t>58</w:t>
            </w:r>
            <w:r w:rsidR="00D34CD6">
              <w:rPr>
                <w:rFonts w:cstheme="minorHAnsi"/>
                <w:b/>
                <w:bCs/>
              </w:rPr>
              <w:t>,2</w:t>
            </w:r>
            <w:r w:rsidRPr="00AF0603">
              <w:rPr>
                <w:rFonts w:cstheme="minorHAnsi"/>
                <w:b/>
                <w:bCs/>
              </w:rPr>
              <w:t xml:space="preserve"> mln euro</w:t>
            </w:r>
            <w:r w:rsidR="004F1CC5" w:rsidRPr="00AF0603">
              <w:rPr>
                <w:rFonts w:cstheme="minorHAnsi"/>
                <w:b/>
                <w:bCs/>
              </w:rPr>
              <w:t>:</w:t>
            </w:r>
          </w:p>
          <w:p w14:paraId="280EE3D9" w14:textId="5755FA4C" w:rsidR="00703762" w:rsidRPr="00AF0603" w:rsidRDefault="00703762" w:rsidP="00703762">
            <w:pPr>
              <w:rPr>
                <w:rFonts w:cstheme="minorHAnsi"/>
              </w:rPr>
            </w:pPr>
            <w:r w:rsidRPr="00AF0603">
              <w:rPr>
                <w:rFonts w:cstheme="minorHAnsi"/>
              </w:rPr>
              <w:t>17</w:t>
            </w:r>
            <w:r w:rsidR="00D34CD6">
              <w:rPr>
                <w:rFonts w:cstheme="minorHAnsi"/>
              </w:rPr>
              <w:t xml:space="preserve">9 </w:t>
            </w:r>
            <w:r w:rsidRPr="00AF0603">
              <w:rPr>
                <w:rFonts w:cstheme="minorHAnsi"/>
              </w:rPr>
              <w:t>mln euro</w:t>
            </w:r>
            <w:r w:rsidR="004F1CC5" w:rsidRPr="00AF0603">
              <w:rPr>
                <w:rFonts w:cstheme="minorHAnsi"/>
              </w:rPr>
              <w:t>,</w:t>
            </w:r>
          </w:p>
          <w:p w14:paraId="58393D16" w14:textId="7BF1F2D5" w:rsidR="004A2AA0" w:rsidRPr="00AF0603" w:rsidRDefault="00D34CD6" w:rsidP="00703762">
            <w:pPr>
              <w:rPr>
                <w:rFonts w:cstheme="minorHAnsi"/>
              </w:rPr>
            </w:pPr>
            <w:r>
              <w:rPr>
                <w:rFonts w:cstheme="minorHAnsi"/>
              </w:rPr>
              <w:t>79,2</w:t>
            </w:r>
            <w:r w:rsidR="004A2AA0" w:rsidRPr="00AF0603">
              <w:rPr>
                <w:rFonts w:cstheme="minorHAnsi"/>
              </w:rPr>
              <w:t xml:space="preserve"> mln euro</w:t>
            </w:r>
          </w:p>
          <w:p w14:paraId="0DA0A232" w14:textId="0A776577" w:rsidR="00703762" w:rsidRPr="00AF0603" w:rsidRDefault="00703762" w:rsidP="00D34CD6">
            <w:pPr>
              <w:rPr>
                <w:rFonts w:cstheme="minorHAnsi"/>
                <w:b/>
                <w:bCs/>
              </w:rPr>
            </w:pPr>
          </w:p>
        </w:tc>
        <w:tc>
          <w:tcPr>
            <w:tcW w:w="1560" w:type="dxa"/>
          </w:tcPr>
          <w:p w14:paraId="667B13E1" w14:textId="22CBB52B" w:rsidR="00703762" w:rsidRPr="00AF0603" w:rsidRDefault="00703762" w:rsidP="00703762">
            <w:pPr>
              <w:rPr>
                <w:rFonts w:cstheme="minorHAnsi"/>
              </w:rPr>
            </w:pPr>
            <w:r w:rsidRPr="00AF0603">
              <w:rPr>
                <w:rFonts w:cstheme="minorHAnsi"/>
              </w:rPr>
              <w:lastRenderedPageBreak/>
              <w:t>Drugi kwartał 2025</w:t>
            </w:r>
            <w:r w:rsidR="004F1CC5" w:rsidRPr="00AF0603">
              <w:rPr>
                <w:rFonts w:cstheme="minorHAnsi"/>
              </w:rPr>
              <w:t xml:space="preserve"> (17</w:t>
            </w:r>
            <w:r w:rsidR="00D34CD6">
              <w:rPr>
                <w:rFonts w:cstheme="minorHAnsi"/>
              </w:rPr>
              <w:t>9</w:t>
            </w:r>
            <w:r w:rsidR="004F1CC5" w:rsidRPr="00AF0603">
              <w:rPr>
                <w:rFonts w:cstheme="minorHAnsi"/>
              </w:rPr>
              <w:t xml:space="preserve"> mln euro), </w:t>
            </w:r>
            <w:r w:rsidRPr="00AF0603">
              <w:rPr>
                <w:rFonts w:cstheme="minorHAnsi"/>
              </w:rPr>
              <w:t>Czwarty kwartał 2025</w:t>
            </w:r>
            <w:r w:rsidR="004F1CC5" w:rsidRPr="00AF0603">
              <w:rPr>
                <w:rFonts w:cstheme="minorHAnsi"/>
              </w:rPr>
              <w:t xml:space="preserve"> </w:t>
            </w:r>
            <w:r w:rsidRPr="00AF0603">
              <w:rPr>
                <w:rFonts w:cstheme="minorHAnsi"/>
              </w:rPr>
              <w:lastRenderedPageBreak/>
              <w:t>Drugi kwartał 2026</w:t>
            </w:r>
            <w:r w:rsidR="004F1CC5" w:rsidRPr="00AF0603">
              <w:rPr>
                <w:rFonts w:cstheme="minorHAnsi"/>
              </w:rPr>
              <w:t xml:space="preserve"> (</w:t>
            </w:r>
            <w:r w:rsidR="00D34CD6">
              <w:rPr>
                <w:rFonts w:cstheme="minorHAnsi"/>
              </w:rPr>
              <w:t>79,2</w:t>
            </w:r>
            <w:r w:rsidR="004F1CC5" w:rsidRPr="00AF0603">
              <w:rPr>
                <w:rFonts w:cstheme="minorHAnsi"/>
              </w:rPr>
              <w:t xml:space="preserve"> mln euro)</w:t>
            </w:r>
          </w:p>
        </w:tc>
        <w:tc>
          <w:tcPr>
            <w:tcW w:w="992" w:type="dxa"/>
          </w:tcPr>
          <w:p w14:paraId="1AB69607" w14:textId="4A21EC91" w:rsidR="00703762" w:rsidRPr="00AF0603" w:rsidRDefault="00703762" w:rsidP="00703762">
            <w:pPr>
              <w:rPr>
                <w:rFonts w:cstheme="minorHAnsi"/>
              </w:rPr>
            </w:pPr>
            <w:r w:rsidRPr="00AF0603">
              <w:rPr>
                <w:rFonts w:cstheme="minorHAnsi"/>
              </w:rPr>
              <w:lastRenderedPageBreak/>
              <w:t>36 miesięcy</w:t>
            </w:r>
          </w:p>
        </w:tc>
        <w:tc>
          <w:tcPr>
            <w:tcW w:w="2551" w:type="dxa"/>
          </w:tcPr>
          <w:p w14:paraId="69A6449C" w14:textId="6AD77D06" w:rsidR="00703762" w:rsidRPr="00AF0603" w:rsidRDefault="00703762" w:rsidP="00703762">
            <w:pPr>
              <w:spacing w:before="120"/>
              <w:rPr>
                <w:rFonts w:eastAsia="Calibri" w:cstheme="minorHAnsi"/>
              </w:rPr>
            </w:pPr>
            <w:r w:rsidRPr="00AF0603">
              <w:rPr>
                <w:rFonts w:cstheme="minorHAnsi"/>
                <w:lang w:eastAsia="en-GB"/>
              </w:rPr>
              <w:t xml:space="preserve">Pierwsze dwa nabory będą otwarte dla obecnej sieci EDIH. Obejmuje to </w:t>
            </w:r>
            <w:r w:rsidRPr="00AF0603">
              <w:rPr>
                <w:rFonts w:cstheme="minorHAnsi"/>
                <w:lang w:eastAsia="en-GB"/>
              </w:rPr>
              <w:lastRenderedPageBreak/>
              <w:t>wszystkie EDIH-y wybrane lub nagrodzone "Seal of Excellence" w ramach wcześniejszych naborów (w tym Seal of Excellence z naboru 2024 dla krajów stowarzyszonych z programem Digital Europe). Nabory będą organizowane w 2025 i 2026 roku, co umożliwi udział wszystkim obecnym EDIH-om, niezależnie od daty zakończenia bieżącego projektu.</w:t>
            </w:r>
            <w:r w:rsidRPr="00AF0603">
              <w:rPr>
                <w:rFonts w:cstheme="minorHAnsi"/>
                <w:lang w:eastAsia="en-GB"/>
              </w:rPr>
              <w:br/>
              <w:t>Wszystkie kraje będą miały przydzieloną pulę budżetową dla EDIH-ów na swoim terytorium.</w:t>
            </w:r>
            <w:r w:rsidRPr="00AF0603">
              <w:rPr>
                <w:rFonts w:cstheme="minorHAnsi"/>
                <w:lang w:eastAsia="en-GB"/>
              </w:rPr>
              <w:br/>
              <w:t>Trzeci nabór jest organizowany dla krajów, które zdecydują się przekazać środki z ERDF do Digital Europe. W tym naborze stopa finansowania wyniesie 100%</w:t>
            </w:r>
            <w:r w:rsidRPr="00AF0603">
              <w:rPr>
                <w:rFonts w:eastAsia="Times New Roman" w:cstheme="minorHAnsi"/>
                <w:lang w:eastAsia="en-IE"/>
              </w:rPr>
              <w:t>. </w:t>
            </w:r>
          </w:p>
        </w:tc>
      </w:tr>
      <w:tr w:rsidR="00703762" w:rsidRPr="00E90A99" w14:paraId="66639C92" w14:textId="77777777" w:rsidTr="005A32DD">
        <w:trPr>
          <w:trHeight w:val="1124"/>
        </w:trPr>
        <w:tc>
          <w:tcPr>
            <w:tcW w:w="1689" w:type="dxa"/>
          </w:tcPr>
          <w:p w14:paraId="6AB79CBE" w14:textId="77777777" w:rsidR="00703762" w:rsidRPr="00E90A99" w:rsidRDefault="00703762" w:rsidP="00D967CC">
            <w:pPr>
              <w:rPr>
                <w:b/>
                <w:bCs/>
                <w:lang w:val="en-GB"/>
              </w:rPr>
            </w:pPr>
            <w:r w:rsidRPr="00E90A99">
              <w:rPr>
                <w:b/>
                <w:bCs/>
                <w:lang w:val="en-GB"/>
              </w:rPr>
              <w:lastRenderedPageBreak/>
              <w:t xml:space="preserve">Completion of the initial Network of European Digital </w:t>
            </w:r>
            <w:r w:rsidRPr="00E90A99">
              <w:rPr>
                <w:b/>
                <w:bCs/>
                <w:lang w:val="en-GB"/>
              </w:rPr>
              <w:lastRenderedPageBreak/>
              <w:t>Innovation Hubs (EDIHs)</w:t>
            </w:r>
          </w:p>
        </w:tc>
        <w:tc>
          <w:tcPr>
            <w:tcW w:w="4827" w:type="dxa"/>
          </w:tcPr>
          <w:p w14:paraId="21050EC0" w14:textId="77777777" w:rsidR="00703762" w:rsidRPr="00AF0603" w:rsidRDefault="00703762" w:rsidP="00D967CC">
            <w:pPr>
              <w:rPr>
                <w:rFonts w:cstheme="minorHAnsi"/>
              </w:rPr>
            </w:pPr>
            <w:r w:rsidRPr="00AF0603">
              <w:rPr>
                <w:rFonts w:cstheme="minorHAnsi"/>
              </w:rPr>
              <w:lastRenderedPageBreak/>
              <w:t xml:space="preserve">Nabór dotyczy utworzenia nowych Europejskich Hubów Innowacji Cyfrowych (EDIH), które będą wspierać cyfrową i zieloną transformację lokalnych MŚP, średnich przedsiębiorstw i sektora publicznego, oferując usługi takie jak testowanie </w:t>
            </w:r>
            <w:r w:rsidRPr="00AF0603">
              <w:rPr>
                <w:rFonts w:cstheme="minorHAnsi"/>
              </w:rPr>
              <w:lastRenderedPageBreak/>
              <w:t>technologii, szkolenia, wsparcie finansowe oraz promowanie współpracy z innymi hubami, aby zwiększyć ich cyfrową dojrzałość i integrację z europejskimi inicjatywami.</w:t>
            </w:r>
          </w:p>
        </w:tc>
        <w:tc>
          <w:tcPr>
            <w:tcW w:w="2126" w:type="dxa"/>
          </w:tcPr>
          <w:p w14:paraId="5A139A8A" w14:textId="77777777" w:rsidR="00703762" w:rsidRPr="00AF0603" w:rsidRDefault="00703762" w:rsidP="00D967CC">
            <w:pPr>
              <w:rPr>
                <w:rFonts w:cstheme="minorHAnsi"/>
              </w:rPr>
            </w:pPr>
            <w:r w:rsidRPr="00AF0603">
              <w:rPr>
                <w:rFonts w:cstheme="minorHAnsi"/>
              </w:rPr>
              <w:lastRenderedPageBreak/>
              <w:t>Simple grant (50% poziom dofinansowania)</w:t>
            </w:r>
          </w:p>
        </w:tc>
        <w:tc>
          <w:tcPr>
            <w:tcW w:w="1559" w:type="dxa"/>
          </w:tcPr>
          <w:p w14:paraId="29D10BC3" w14:textId="77777777" w:rsidR="00703762" w:rsidRDefault="00A25634" w:rsidP="00D967CC">
            <w:pPr>
              <w:rPr>
                <w:rFonts w:cstheme="minorHAnsi"/>
                <w:b/>
                <w:bCs/>
              </w:rPr>
            </w:pPr>
            <w:r w:rsidRPr="00CA4CC5">
              <w:rPr>
                <w:rFonts w:cstheme="minorHAnsi"/>
                <w:b/>
                <w:bCs/>
              </w:rPr>
              <w:t>10</w:t>
            </w:r>
            <w:r w:rsidR="00D34CD6" w:rsidRPr="00CA4CC5">
              <w:rPr>
                <w:rFonts w:cstheme="minorHAnsi"/>
                <w:b/>
                <w:bCs/>
              </w:rPr>
              <w:t xml:space="preserve"> </w:t>
            </w:r>
            <w:r w:rsidR="00703762" w:rsidRPr="00CA4CC5">
              <w:rPr>
                <w:rFonts w:cstheme="minorHAnsi"/>
                <w:b/>
                <w:bCs/>
              </w:rPr>
              <w:t>mln euro</w:t>
            </w:r>
            <w:r w:rsidR="00CA4CC5">
              <w:rPr>
                <w:rFonts w:cstheme="minorHAnsi"/>
                <w:b/>
                <w:bCs/>
              </w:rPr>
              <w:t>:</w:t>
            </w:r>
          </w:p>
          <w:p w14:paraId="26665F68" w14:textId="77777777" w:rsidR="00CA4CC5" w:rsidRDefault="00CA4CC5" w:rsidP="00D967CC">
            <w:pPr>
              <w:rPr>
                <w:rFonts w:cstheme="minorHAnsi"/>
              </w:rPr>
            </w:pPr>
            <w:r w:rsidRPr="00CA4CC5">
              <w:rPr>
                <w:rFonts w:cstheme="minorHAnsi"/>
              </w:rPr>
              <w:t>2 mln euro</w:t>
            </w:r>
            <w:r>
              <w:rPr>
                <w:rFonts w:cstheme="minorHAnsi"/>
              </w:rPr>
              <w:t>,</w:t>
            </w:r>
          </w:p>
          <w:p w14:paraId="3D1C8237" w14:textId="12682137" w:rsidR="00CA4CC5" w:rsidRPr="00CA4CC5" w:rsidRDefault="00CA4CC5" w:rsidP="00D967CC">
            <w:pPr>
              <w:rPr>
                <w:rFonts w:cstheme="minorHAnsi"/>
              </w:rPr>
            </w:pPr>
            <w:r>
              <w:rPr>
                <w:rFonts w:cstheme="minorHAnsi"/>
              </w:rPr>
              <w:t>8 mln euro</w:t>
            </w:r>
          </w:p>
        </w:tc>
        <w:tc>
          <w:tcPr>
            <w:tcW w:w="1560" w:type="dxa"/>
          </w:tcPr>
          <w:p w14:paraId="09BC48E8" w14:textId="47A0693A" w:rsidR="00CA4CC5" w:rsidRPr="00AF0603" w:rsidRDefault="00703762" w:rsidP="00D967CC">
            <w:pPr>
              <w:rPr>
                <w:rFonts w:cstheme="minorHAnsi"/>
              </w:rPr>
            </w:pPr>
            <w:r w:rsidRPr="00AF0603">
              <w:rPr>
                <w:rFonts w:cstheme="minorHAnsi"/>
              </w:rPr>
              <w:t>Drugi kwartał 2025</w:t>
            </w:r>
            <w:r w:rsidR="00CA4CC5">
              <w:rPr>
                <w:rFonts w:cstheme="minorHAnsi"/>
              </w:rPr>
              <w:t>, czwarty kwartał 2025</w:t>
            </w:r>
          </w:p>
        </w:tc>
        <w:tc>
          <w:tcPr>
            <w:tcW w:w="992" w:type="dxa"/>
          </w:tcPr>
          <w:p w14:paraId="1745A65A" w14:textId="77777777" w:rsidR="00703762" w:rsidRPr="00AF0603" w:rsidRDefault="00703762" w:rsidP="00D967CC">
            <w:pPr>
              <w:rPr>
                <w:rFonts w:cstheme="minorHAnsi"/>
              </w:rPr>
            </w:pPr>
            <w:r w:rsidRPr="00AF0603">
              <w:rPr>
                <w:rFonts w:cstheme="minorHAnsi"/>
              </w:rPr>
              <w:t>36 miesięcy</w:t>
            </w:r>
          </w:p>
        </w:tc>
        <w:tc>
          <w:tcPr>
            <w:tcW w:w="2551" w:type="dxa"/>
          </w:tcPr>
          <w:p w14:paraId="660B9BC4" w14:textId="074701BB" w:rsidR="00703762" w:rsidRPr="00AF0603" w:rsidRDefault="00703762" w:rsidP="00D967CC">
            <w:pPr>
              <w:rPr>
                <w:rFonts w:cstheme="minorHAnsi"/>
              </w:rPr>
            </w:pPr>
            <w:r w:rsidRPr="00AF0603">
              <w:rPr>
                <w:rFonts w:cstheme="minorHAnsi"/>
                <w:lang w:eastAsia="en-GB"/>
              </w:rPr>
              <w:t xml:space="preserve">Tylko podmioty wyznaczone przez swoje państwo mogą ubiegać się o dofinansowanie w ramach tego naboru. </w:t>
            </w:r>
            <w:r w:rsidRPr="00AF0603">
              <w:rPr>
                <w:rFonts w:cstheme="minorHAnsi"/>
                <w:lang w:eastAsia="en-GB"/>
              </w:rPr>
              <w:lastRenderedPageBreak/>
              <w:t xml:space="preserve">Nabór będzie skierowany tylko do krajów stowarzyszonych, które nie mogły jeszcze uczestniczyć w żadnym poprzednim </w:t>
            </w:r>
            <w:r w:rsidR="004F1CC5" w:rsidRPr="00AF0603">
              <w:rPr>
                <w:rFonts w:cstheme="minorHAnsi"/>
                <w:lang w:eastAsia="en-GB"/>
              </w:rPr>
              <w:t xml:space="preserve">naborze </w:t>
            </w:r>
            <w:r w:rsidRPr="00AF0603">
              <w:rPr>
                <w:rFonts w:cstheme="minorHAnsi"/>
                <w:lang w:eastAsia="en-GB"/>
              </w:rPr>
              <w:t>w celu utworzenia EDIH w swoich krajach.</w:t>
            </w:r>
          </w:p>
        </w:tc>
      </w:tr>
      <w:tr w:rsidR="00703762" w:rsidRPr="00E90A99" w14:paraId="724C0DBA" w14:textId="77777777" w:rsidTr="005A32DD">
        <w:trPr>
          <w:trHeight w:val="1124"/>
        </w:trPr>
        <w:tc>
          <w:tcPr>
            <w:tcW w:w="1689" w:type="dxa"/>
          </w:tcPr>
          <w:p w14:paraId="681035C7" w14:textId="5D0C639B" w:rsidR="00703762" w:rsidRPr="00E90A99" w:rsidRDefault="00703762" w:rsidP="00703762">
            <w:pPr>
              <w:rPr>
                <w:b/>
                <w:bCs/>
                <w:lang w:val="en-GB"/>
              </w:rPr>
            </w:pPr>
            <w:r w:rsidRPr="00E90A99">
              <w:rPr>
                <w:b/>
                <w:bCs/>
                <w:lang w:val="en-GB"/>
              </w:rPr>
              <w:lastRenderedPageBreak/>
              <w:t>Sectoral digital skills academies</w:t>
            </w:r>
          </w:p>
        </w:tc>
        <w:tc>
          <w:tcPr>
            <w:tcW w:w="4827" w:type="dxa"/>
          </w:tcPr>
          <w:p w14:paraId="50EC0ACE" w14:textId="5E31B6D2" w:rsidR="00703762" w:rsidRPr="00AF0603" w:rsidRDefault="00703762" w:rsidP="00703762">
            <w:pPr>
              <w:rPr>
                <w:rFonts w:cstheme="minorHAnsi"/>
              </w:rPr>
            </w:pPr>
            <w:r w:rsidRPr="00AF0603">
              <w:rPr>
                <w:rFonts w:cstheme="minorHAnsi"/>
                <w:lang w:val="en-GB"/>
              </w:rPr>
              <w:t xml:space="preserve">Nabór ma na celu utworzenie czterech sektorowych akademii w kluczowych obszarach cyfrowych: </w:t>
            </w:r>
            <w:r w:rsidR="004F1CC5" w:rsidRPr="00AF0603">
              <w:rPr>
                <w:rFonts w:cstheme="minorHAnsi"/>
                <w:lang w:val="en-GB"/>
              </w:rPr>
              <w:t xml:space="preserve">technologii </w:t>
            </w:r>
            <w:r w:rsidRPr="00AF0603">
              <w:rPr>
                <w:rFonts w:cstheme="minorHAnsi"/>
                <w:lang w:val="en-GB"/>
              </w:rPr>
              <w:t>kwantowych, sztucznej inteligencji</w:t>
            </w:r>
            <w:r w:rsidR="002A57AC" w:rsidRPr="00AF0603">
              <w:rPr>
                <w:rFonts w:cstheme="minorHAnsi"/>
                <w:lang w:val="en-GB"/>
              </w:rPr>
              <w:t xml:space="preserve"> (Gen AI I AI Factories)</w:t>
            </w:r>
            <w:r w:rsidRPr="00AF0603">
              <w:rPr>
                <w:rFonts w:cstheme="minorHAnsi"/>
                <w:lang w:val="en-GB"/>
              </w:rPr>
              <w:t>, półprzewodnik</w:t>
            </w:r>
            <w:r w:rsidR="004F1CC5" w:rsidRPr="00AF0603">
              <w:rPr>
                <w:rFonts w:cstheme="minorHAnsi"/>
                <w:lang w:val="en-GB"/>
              </w:rPr>
              <w:t>ów</w:t>
            </w:r>
            <w:r w:rsidR="002A57AC" w:rsidRPr="00AF0603">
              <w:rPr>
                <w:rFonts w:cstheme="minorHAnsi"/>
                <w:lang w:val="en-GB"/>
              </w:rPr>
              <w:t xml:space="preserve"> oraz </w:t>
            </w:r>
            <w:r w:rsidRPr="00AF0603">
              <w:rPr>
                <w:rFonts w:cstheme="minorHAnsi"/>
                <w:lang w:val="en-GB"/>
              </w:rPr>
              <w:t>wirtualnych świat</w:t>
            </w:r>
            <w:r w:rsidR="004F1CC5" w:rsidRPr="00AF0603">
              <w:rPr>
                <w:rFonts w:cstheme="minorHAnsi"/>
                <w:lang w:val="en-GB"/>
              </w:rPr>
              <w:t>ów</w:t>
            </w:r>
            <w:r w:rsidRPr="00AF0603">
              <w:rPr>
                <w:rFonts w:cstheme="minorHAnsi"/>
                <w:lang w:val="en-GB"/>
              </w:rPr>
              <w:t>, które będą wspierać rozwój talentów, zamykając luki w istniejącej ofercie edukacyjnej i szkoleniowej oraz wzmacniając ekosystemy tych sektorów. Celem jest stworzenie nowych, elastycznych ścieżek edukacyjnych, promowanie kariery w tych dziedzinach oraz zwiększenie liczby specjalistów poprzez współpracę z przemysłem i akademią.</w:t>
            </w:r>
          </w:p>
        </w:tc>
        <w:tc>
          <w:tcPr>
            <w:tcW w:w="2126" w:type="dxa"/>
          </w:tcPr>
          <w:p w14:paraId="0A674FD0" w14:textId="677CEE5B" w:rsidR="00703762" w:rsidRPr="00AF0603" w:rsidRDefault="00703762" w:rsidP="00703762">
            <w:pPr>
              <w:rPr>
                <w:rFonts w:cstheme="minorHAnsi"/>
              </w:rPr>
            </w:pPr>
            <w:r w:rsidRPr="00AF0603">
              <w:rPr>
                <w:rFonts w:cstheme="minorHAnsi"/>
              </w:rPr>
              <w:t>Lump sum grant (50 % poziom dofinansowania)</w:t>
            </w:r>
          </w:p>
        </w:tc>
        <w:tc>
          <w:tcPr>
            <w:tcW w:w="1559" w:type="dxa"/>
          </w:tcPr>
          <w:p w14:paraId="3ED10DA6" w14:textId="2EC32D93" w:rsidR="00703762" w:rsidRPr="00AF0603" w:rsidRDefault="00D34CD6" w:rsidP="00703762">
            <w:pPr>
              <w:rPr>
                <w:rFonts w:cstheme="minorHAnsi"/>
                <w:b/>
                <w:bCs/>
              </w:rPr>
            </w:pPr>
            <w:r>
              <w:rPr>
                <w:rFonts w:cstheme="minorHAnsi"/>
                <w:b/>
                <w:bCs/>
              </w:rPr>
              <w:t>36</w:t>
            </w:r>
            <w:r w:rsidR="00703762" w:rsidRPr="00AF0603">
              <w:rPr>
                <w:rFonts w:cstheme="minorHAnsi"/>
                <w:b/>
                <w:bCs/>
              </w:rPr>
              <w:t xml:space="preserve"> mln euro</w:t>
            </w:r>
          </w:p>
          <w:p w14:paraId="4A8BB938" w14:textId="77777777" w:rsidR="00703762" w:rsidRPr="00AF0603" w:rsidRDefault="00703762" w:rsidP="00703762">
            <w:pPr>
              <w:rPr>
                <w:rFonts w:cstheme="minorHAnsi"/>
              </w:rPr>
            </w:pPr>
            <w:r w:rsidRPr="00AF0603">
              <w:rPr>
                <w:rFonts w:cstheme="minorHAnsi"/>
              </w:rPr>
              <w:t>27 mln euro</w:t>
            </w:r>
          </w:p>
          <w:p w14:paraId="386DA346" w14:textId="737EC393" w:rsidR="00264679" w:rsidRPr="00AF0603" w:rsidRDefault="00D34CD6" w:rsidP="00703762">
            <w:pPr>
              <w:rPr>
                <w:rFonts w:cstheme="minorHAnsi"/>
                <w:b/>
                <w:bCs/>
              </w:rPr>
            </w:pPr>
            <w:r>
              <w:rPr>
                <w:rFonts w:cstheme="minorHAnsi"/>
              </w:rPr>
              <w:t>9</w:t>
            </w:r>
            <w:r w:rsidR="00264679" w:rsidRPr="00AF0603">
              <w:rPr>
                <w:rFonts w:cstheme="minorHAnsi"/>
              </w:rPr>
              <w:t xml:space="preserve"> mln euro</w:t>
            </w:r>
          </w:p>
        </w:tc>
        <w:tc>
          <w:tcPr>
            <w:tcW w:w="1560" w:type="dxa"/>
          </w:tcPr>
          <w:p w14:paraId="611D7D8F" w14:textId="566A5FA0" w:rsidR="00703762" w:rsidRPr="00AF0603" w:rsidRDefault="00703762" w:rsidP="00703762">
            <w:pPr>
              <w:rPr>
                <w:rFonts w:cstheme="minorHAnsi"/>
              </w:rPr>
            </w:pPr>
            <w:r w:rsidRPr="00AF0603">
              <w:rPr>
                <w:rFonts w:cstheme="minorHAnsi"/>
              </w:rPr>
              <w:t>Drugi kwartał 2025 (Quantum</w:t>
            </w:r>
            <w:r w:rsidR="002A57AC" w:rsidRPr="00AF0603">
              <w:rPr>
                <w:rFonts w:cstheme="minorHAnsi"/>
              </w:rPr>
              <w:t xml:space="preserve"> - 10 mln euro</w:t>
            </w:r>
            <w:r w:rsidRPr="00AF0603">
              <w:rPr>
                <w:rFonts w:cstheme="minorHAnsi"/>
              </w:rPr>
              <w:t>, GenAI</w:t>
            </w:r>
            <w:r w:rsidR="002A57AC" w:rsidRPr="00AF0603">
              <w:rPr>
                <w:rFonts w:cstheme="minorHAnsi"/>
              </w:rPr>
              <w:t xml:space="preserve"> - 7 mln euro </w:t>
            </w:r>
            <w:r w:rsidRPr="00AF0603">
              <w:rPr>
                <w:rFonts w:cstheme="minorHAnsi"/>
              </w:rPr>
              <w:t>oraz Virtual Worlds</w:t>
            </w:r>
            <w:r w:rsidR="002A57AC" w:rsidRPr="00AF0603">
              <w:rPr>
                <w:rFonts w:cstheme="minorHAnsi"/>
              </w:rPr>
              <w:t xml:space="preserve"> - 10 mln euro </w:t>
            </w:r>
            <w:r w:rsidRPr="00AF0603">
              <w:rPr>
                <w:rFonts w:cstheme="minorHAnsi"/>
              </w:rPr>
              <w:t>),</w:t>
            </w:r>
            <w:r w:rsidR="00D34CD6">
              <w:rPr>
                <w:rFonts w:cstheme="minorHAnsi"/>
              </w:rPr>
              <w:t xml:space="preserve"> </w:t>
            </w:r>
            <w:r w:rsidRPr="00AF0603">
              <w:rPr>
                <w:rFonts w:cstheme="minorHAnsi"/>
              </w:rPr>
              <w:t>Pierwszy kwartał 2027 (</w:t>
            </w:r>
            <w:proofErr w:type="spellStart"/>
            <w:r w:rsidRPr="00AF0603">
              <w:rPr>
                <w:rFonts w:cstheme="minorHAnsi"/>
              </w:rPr>
              <w:t>Semiconductors</w:t>
            </w:r>
            <w:proofErr w:type="spellEnd"/>
            <w:r w:rsidR="002A57AC" w:rsidRPr="00AF0603">
              <w:rPr>
                <w:rFonts w:cstheme="minorHAnsi"/>
              </w:rPr>
              <w:t xml:space="preserve"> - </w:t>
            </w:r>
            <w:r w:rsidR="00D34CD6">
              <w:rPr>
                <w:rFonts w:cstheme="minorHAnsi"/>
              </w:rPr>
              <w:t>9</w:t>
            </w:r>
            <w:r w:rsidR="002A57AC" w:rsidRPr="00AF0603">
              <w:rPr>
                <w:rFonts w:cstheme="minorHAnsi"/>
              </w:rPr>
              <w:t xml:space="preserve"> mln euro</w:t>
            </w:r>
            <w:r w:rsidRPr="00AF0603">
              <w:rPr>
                <w:rFonts w:cstheme="minorHAnsi"/>
              </w:rPr>
              <w:t>)</w:t>
            </w:r>
          </w:p>
        </w:tc>
        <w:tc>
          <w:tcPr>
            <w:tcW w:w="992" w:type="dxa"/>
          </w:tcPr>
          <w:p w14:paraId="4366BB94" w14:textId="630382A1" w:rsidR="00703762" w:rsidRPr="00AF0603" w:rsidRDefault="00703762" w:rsidP="00703762">
            <w:pPr>
              <w:rPr>
                <w:rFonts w:cstheme="minorHAnsi"/>
              </w:rPr>
            </w:pPr>
            <w:r w:rsidRPr="00AF0603">
              <w:rPr>
                <w:rFonts w:cstheme="minorHAnsi"/>
              </w:rPr>
              <w:t>24-48 miesiące</w:t>
            </w:r>
          </w:p>
        </w:tc>
        <w:tc>
          <w:tcPr>
            <w:tcW w:w="2551" w:type="dxa"/>
          </w:tcPr>
          <w:p w14:paraId="18B73D06" w14:textId="77777777" w:rsidR="00703762" w:rsidRPr="00AF0603" w:rsidRDefault="00703762" w:rsidP="00703762">
            <w:pPr>
              <w:rPr>
                <w:rFonts w:cstheme="minorHAnsi"/>
              </w:rPr>
            </w:pPr>
            <w:r w:rsidRPr="00AF0603">
              <w:rPr>
                <w:rFonts w:cstheme="minorHAnsi"/>
              </w:rPr>
              <w:t>Instytucje szkolnictwa wyższego, instytucje kształcenia zawodowego i szkoleń (VET), organizacje badawcze, przedsiębiorstwa, podmioty publiczne, związki zawodowe oraz inni partnerzy społeczni, stowarzyszenia przemysłowe, dostawcy usług edukacyjnych i inne odpowiednie organizacje powiązane.</w:t>
            </w:r>
          </w:p>
          <w:p w14:paraId="5736F46E" w14:textId="77777777" w:rsidR="00703762" w:rsidRPr="00AF0603" w:rsidRDefault="00703762" w:rsidP="00703762">
            <w:pPr>
              <w:spacing w:before="120"/>
              <w:rPr>
                <w:rFonts w:cstheme="minorHAnsi"/>
                <w:lang w:eastAsia="en-GB"/>
              </w:rPr>
            </w:pPr>
          </w:p>
        </w:tc>
      </w:tr>
      <w:tr w:rsidR="00703762" w:rsidRPr="00E90A99" w14:paraId="297DDF14" w14:textId="77777777" w:rsidTr="005A32DD">
        <w:trPr>
          <w:trHeight w:val="1124"/>
        </w:trPr>
        <w:tc>
          <w:tcPr>
            <w:tcW w:w="1689" w:type="dxa"/>
          </w:tcPr>
          <w:p w14:paraId="16E9D68F" w14:textId="25E2A225" w:rsidR="00703762" w:rsidRPr="00E90A99" w:rsidRDefault="00703762" w:rsidP="00703762">
            <w:pPr>
              <w:rPr>
                <w:b/>
                <w:bCs/>
                <w:lang w:val="en-GB"/>
              </w:rPr>
            </w:pPr>
            <w:r w:rsidRPr="00E90A99">
              <w:rPr>
                <w:b/>
                <w:bCs/>
                <w:lang w:val="en-GB"/>
              </w:rPr>
              <w:t>Network of Safer Internet Centres (SICs)</w:t>
            </w:r>
          </w:p>
        </w:tc>
        <w:tc>
          <w:tcPr>
            <w:tcW w:w="4827" w:type="dxa"/>
          </w:tcPr>
          <w:p w14:paraId="23D8DA2F" w14:textId="7696A7F7" w:rsidR="00703762" w:rsidRPr="00AF0603" w:rsidRDefault="00703762" w:rsidP="00703762">
            <w:pPr>
              <w:rPr>
                <w:rFonts w:cstheme="minorHAnsi"/>
              </w:rPr>
            </w:pPr>
            <w:r w:rsidRPr="00AF0603">
              <w:rPr>
                <w:rFonts w:cstheme="minorHAnsi"/>
              </w:rPr>
              <w:t xml:space="preserve">Nabór ma na celu wsparcie krajowych Centrów Bezpiecznego Internetu (SIC), które oferują pomoc w zakresie bezpieczeństwa online, edukację i zasoby informacyjne, a także usługi doradcze i zgłaszania przypadków nielegalnych treści w internecie. Działania są podzielone na cztery główne obszary: podnoszenie świadomości, pomoc przez infolinię, przeciwdziałanie rozpowszechnianiu materiałów z dziecięcą pornografią (CSAM) oraz </w:t>
            </w:r>
            <w:r w:rsidRPr="00AF0603">
              <w:rPr>
                <w:rFonts w:cstheme="minorHAnsi"/>
              </w:rPr>
              <w:lastRenderedPageBreak/>
              <w:t>angażowanie młodzieży w działania związane z bezpieczeństwem cyfrowym.</w:t>
            </w:r>
          </w:p>
        </w:tc>
        <w:tc>
          <w:tcPr>
            <w:tcW w:w="2126" w:type="dxa"/>
          </w:tcPr>
          <w:p w14:paraId="5136F352" w14:textId="55468D5E" w:rsidR="00703762" w:rsidRPr="00AF0603" w:rsidRDefault="00703762" w:rsidP="00703762">
            <w:pPr>
              <w:rPr>
                <w:rFonts w:cstheme="minorHAnsi"/>
              </w:rPr>
            </w:pPr>
            <w:r w:rsidRPr="00AF0603">
              <w:rPr>
                <w:rFonts w:cstheme="minorHAnsi"/>
              </w:rPr>
              <w:lastRenderedPageBreak/>
              <w:t>Simple grant (50% poziom dofinansowania)</w:t>
            </w:r>
          </w:p>
        </w:tc>
        <w:tc>
          <w:tcPr>
            <w:tcW w:w="1559" w:type="dxa"/>
          </w:tcPr>
          <w:p w14:paraId="44217E1C" w14:textId="3326AA3C" w:rsidR="00703762" w:rsidRPr="00AF0603" w:rsidRDefault="00703762" w:rsidP="00703762">
            <w:pPr>
              <w:rPr>
                <w:rFonts w:cstheme="minorHAnsi"/>
              </w:rPr>
            </w:pPr>
            <w:r w:rsidRPr="00AF0603">
              <w:rPr>
                <w:rFonts w:cstheme="minorHAnsi"/>
              </w:rPr>
              <w:t>42 mln euro</w:t>
            </w:r>
          </w:p>
        </w:tc>
        <w:tc>
          <w:tcPr>
            <w:tcW w:w="1560" w:type="dxa"/>
          </w:tcPr>
          <w:p w14:paraId="53EFD289" w14:textId="3A7A1849" w:rsidR="00703762" w:rsidRPr="00AF0603" w:rsidRDefault="00703762" w:rsidP="00703762">
            <w:pPr>
              <w:rPr>
                <w:rFonts w:cstheme="minorHAnsi"/>
              </w:rPr>
            </w:pPr>
            <w:r w:rsidRPr="00AF0603">
              <w:rPr>
                <w:rFonts w:cstheme="minorHAnsi"/>
              </w:rPr>
              <w:t>Drugi kwartał 2025</w:t>
            </w:r>
          </w:p>
        </w:tc>
        <w:tc>
          <w:tcPr>
            <w:tcW w:w="992" w:type="dxa"/>
          </w:tcPr>
          <w:p w14:paraId="326CADDC" w14:textId="6E3EECE3" w:rsidR="00703762" w:rsidRPr="00AF0603" w:rsidRDefault="00703762" w:rsidP="00703762">
            <w:pPr>
              <w:rPr>
                <w:rFonts w:cstheme="minorHAnsi"/>
              </w:rPr>
            </w:pPr>
            <w:r w:rsidRPr="00AF0603">
              <w:rPr>
                <w:rFonts w:cstheme="minorHAnsi"/>
              </w:rPr>
              <w:t>36 miesięcy</w:t>
            </w:r>
          </w:p>
        </w:tc>
        <w:tc>
          <w:tcPr>
            <w:tcW w:w="2551" w:type="dxa"/>
          </w:tcPr>
          <w:p w14:paraId="0E568D78" w14:textId="7FA38878" w:rsidR="00703762" w:rsidRPr="00AF0603" w:rsidRDefault="00C940CB" w:rsidP="00C940CB">
            <w:pPr>
              <w:rPr>
                <w:rFonts w:cstheme="minorHAnsi"/>
                <w:lang w:eastAsia="en-GB"/>
              </w:rPr>
            </w:pPr>
            <w:r w:rsidRPr="00AF0603">
              <w:rPr>
                <w:rFonts w:cstheme="minorHAnsi"/>
                <w:lang w:eastAsia="en-GB"/>
              </w:rPr>
              <w:t xml:space="preserve">Wszystkie podmioty. </w:t>
            </w:r>
          </w:p>
        </w:tc>
      </w:tr>
      <w:tr w:rsidR="00703762" w:rsidRPr="00E90A99" w14:paraId="741FF55E" w14:textId="77777777" w:rsidTr="005A32DD">
        <w:trPr>
          <w:trHeight w:val="1124"/>
        </w:trPr>
        <w:tc>
          <w:tcPr>
            <w:tcW w:w="1689" w:type="dxa"/>
          </w:tcPr>
          <w:p w14:paraId="37B1AA9E" w14:textId="2048A7A4" w:rsidR="00703762" w:rsidRPr="00E90A99" w:rsidRDefault="00703762" w:rsidP="00703762">
            <w:pPr>
              <w:rPr>
                <w:b/>
                <w:bCs/>
                <w:lang w:val="en-GB"/>
              </w:rPr>
            </w:pPr>
            <w:r w:rsidRPr="00E90A99">
              <w:rPr>
                <w:rFonts w:eastAsia="Times New Roman"/>
                <w:b/>
                <w:bCs/>
                <w:kern w:val="0"/>
                <w:lang w:val="en-IE" w:eastAsia="en-IE"/>
                <w14:ligatures w14:val="none"/>
              </w:rPr>
              <w:t>European Network of Fact-Checkers</w:t>
            </w:r>
          </w:p>
        </w:tc>
        <w:tc>
          <w:tcPr>
            <w:tcW w:w="4827" w:type="dxa"/>
          </w:tcPr>
          <w:p w14:paraId="35EB3502" w14:textId="1E540790" w:rsidR="00703762" w:rsidRPr="00AF0603" w:rsidRDefault="00703762" w:rsidP="00703762">
            <w:pPr>
              <w:rPr>
                <w:rFonts w:cstheme="minorHAnsi"/>
              </w:rPr>
            </w:pPr>
            <w:r w:rsidRPr="00AF0603">
              <w:rPr>
                <w:rFonts w:cstheme="minorHAnsi"/>
              </w:rPr>
              <w:t>Nabór ma na celu wsparcie rozwoju i operacyjną współpracę w ramach Europejskiego Obserwatorium Mediów Cyfrowych (EDMO), aby zwiększyć zdolność społeczności zajmującej się weryfikacją faktów do monitorowania i przeciwdziałania dezinformacji w Europie. Głównym celem jest wzmocnienie sieci europejskich weryfikatorów faktów, zapewnienie szkoleń i narzędzi wsparcia, a także rozszerzenie działalności na nowe języki i regiony, w tym obszary szczególnie podatne na dezinformację.</w:t>
            </w:r>
          </w:p>
        </w:tc>
        <w:tc>
          <w:tcPr>
            <w:tcW w:w="2126" w:type="dxa"/>
          </w:tcPr>
          <w:p w14:paraId="1B5D5DC1" w14:textId="1ED4A67D" w:rsidR="00703762" w:rsidRPr="00AF0603" w:rsidRDefault="00703762" w:rsidP="00703762">
            <w:pPr>
              <w:rPr>
                <w:rFonts w:cstheme="minorHAnsi"/>
              </w:rPr>
            </w:pPr>
            <w:r w:rsidRPr="00AF0603">
              <w:rPr>
                <w:rFonts w:cstheme="minorHAnsi"/>
              </w:rPr>
              <w:t>Grant for financial support (100% kosztów kwalifikowanych dla konsorcjum, współfinansowanie 50% całkowitych kosztów kwalifikowanych przez wspieraną stronę trzecią)</w:t>
            </w:r>
          </w:p>
        </w:tc>
        <w:tc>
          <w:tcPr>
            <w:tcW w:w="1559" w:type="dxa"/>
          </w:tcPr>
          <w:p w14:paraId="67E2684A" w14:textId="30520108" w:rsidR="00703762" w:rsidRPr="00AF0603" w:rsidRDefault="00703762" w:rsidP="00703762">
            <w:pPr>
              <w:rPr>
                <w:rFonts w:cstheme="minorHAnsi"/>
              </w:rPr>
            </w:pPr>
            <w:r w:rsidRPr="00AF0603">
              <w:rPr>
                <w:rFonts w:cstheme="minorHAnsi"/>
              </w:rPr>
              <w:t>5 mln euro</w:t>
            </w:r>
          </w:p>
        </w:tc>
        <w:tc>
          <w:tcPr>
            <w:tcW w:w="1560" w:type="dxa"/>
          </w:tcPr>
          <w:p w14:paraId="73C7BB0B" w14:textId="3C3A77F1" w:rsidR="00703762" w:rsidRPr="00AF0603" w:rsidRDefault="00703762" w:rsidP="00703762">
            <w:pPr>
              <w:rPr>
                <w:rFonts w:cstheme="minorHAnsi"/>
              </w:rPr>
            </w:pPr>
            <w:r w:rsidRPr="00AF0603">
              <w:rPr>
                <w:rFonts w:cstheme="minorHAnsi"/>
              </w:rPr>
              <w:t>Drugi kwartał 2025</w:t>
            </w:r>
          </w:p>
        </w:tc>
        <w:tc>
          <w:tcPr>
            <w:tcW w:w="992" w:type="dxa"/>
          </w:tcPr>
          <w:p w14:paraId="505F7EDE" w14:textId="7E156F34" w:rsidR="00703762" w:rsidRPr="00AF0603" w:rsidRDefault="00703762" w:rsidP="00703762">
            <w:pPr>
              <w:rPr>
                <w:rFonts w:cstheme="minorHAnsi"/>
              </w:rPr>
            </w:pPr>
            <w:r w:rsidRPr="00AF0603">
              <w:rPr>
                <w:rFonts w:cstheme="minorHAnsi"/>
              </w:rPr>
              <w:t>30-36 miesięcy</w:t>
            </w:r>
          </w:p>
        </w:tc>
        <w:tc>
          <w:tcPr>
            <w:tcW w:w="2551" w:type="dxa"/>
          </w:tcPr>
          <w:p w14:paraId="28B5A56B" w14:textId="77777777" w:rsidR="00703762" w:rsidRPr="00AF0603" w:rsidRDefault="00703762" w:rsidP="00703762">
            <w:pPr>
              <w:rPr>
                <w:rFonts w:cstheme="minorHAnsi"/>
              </w:rPr>
            </w:pPr>
            <w:r w:rsidRPr="00AF0603">
              <w:rPr>
                <w:rFonts w:cstheme="minorHAnsi"/>
              </w:rPr>
              <w:t>Organizacje zajmujące się weryfikacją faktów, media, instytucje akademickie, podmioty komercyjne.</w:t>
            </w:r>
          </w:p>
          <w:p w14:paraId="7A92FDCF" w14:textId="175811F5" w:rsidR="00703762" w:rsidRPr="00AF0603" w:rsidRDefault="00703762" w:rsidP="00703762">
            <w:pPr>
              <w:rPr>
                <w:rFonts w:cstheme="minorHAnsi"/>
              </w:rPr>
            </w:pPr>
          </w:p>
        </w:tc>
      </w:tr>
      <w:tr w:rsidR="00703762" w:rsidRPr="00E90A99" w14:paraId="38AE2265" w14:textId="77777777" w:rsidTr="005A32DD">
        <w:trPr>
          <w:trHeight w:val="1124"/>
        </w:trPr>
        <w:tc>
          <w:tcPr>
            <w:tcW w:w="1689" w:type="dxa"/>
          </w:tcPr>
          <w:p w14:paraId="4EC193D3" w14:textId="682C3B1C" w:rsidR="00703762" w:rsidRPr="00E90A99" w:rsidRDefault="00703762" w:rsidP="00703762">
            <w:pPr>
              <w:rPr>
                <w:b/>
                <w:bCs/>
                <w:lang w:val="en-GB"/>
              </w:rPr>
            </w:pPr>
            <w:r w:rsidRPr="00E90A99">
              <w:rPr>
                <w:b/>
                <w:bCs/>
              </w:rPr>
              <w:t>Data Space for Manufacturing</w:t>
            </w:r>
          </w:p>
        </w:tc>
        <w:tc>
          <w:tcPr>
            <w:tcW w:w="4827" w:type="dxa"/>
          </w:tcPr>
          <w:p w14:paraId="7350D3CD" w14:textId="7243F1BF" w:rsidR="00703762" w:rsidRPr="00AF0603" w:rsidRDefault="00703762" w:rsidP="00703762">
            <w:pPr>
              <w:rPr>
                <w:rFonts w:cstheme="minorHAnsi"/>
              </w:rPr>
            </w:pPr>
            <w:r w:rsidRPr="00AF0603">
              <w:rPr>
                <w:rFonts w:cstheme="minorHAnsi"/>
              </w:rPr>
              <w:t>Celem naboru jest wspieranie rozwoju przestrzeni danych dla przemysłu poprzez tworzenie rozwiązań prawnych, technicznych i biznesowych umożliwiających zbieranie wysokiej jakości danych z rzeczywistych środowisk przemysłowych w celu trenowania modeli sztucznej inteligencji generatywnej, które zwiększą produktywność w sektorze produkcyjnym UE.</w:t>
            </w:r>
          </w:p>
        </w:tc>
        <w:tc>
          <w:tcPr>
            <w:tcW w:w="2126" w:type="dxa"/>
          </w:tcPr>
          <w:p w14:paraId="7EDA4A9E" w14:textId="549D5FFC" w:rsidR="00703762" w:rsidRPr="00AF0603" w:rsidRDefault="00703762" w:rsidP="00703762">
            <w:pPr>
              <w:rPr>
                <w:rFonts w:cstheme="minorHAnsi"/>
              </w:rPr>
            </w:pPr>
            <w:r w:rsidRPr="00AF0603">
              <w:rPr>
                <w:rFonts w:cstheme="minorHAnsi"/>
              </w:rPr>
              <w:t>SME support action (50% poziom dofinansowania, 75% poziom dofinansowania dla MŚP)</w:t>
            </w:r>
          </w:p>
        </w:tc>
        <w:tc>
          <w:tcPr>
            <w:tcW w:w="1559" w:type="dxa"/>
          </w:tcPr>
          <w:p w14:paraId="176D8603" w14:textId="7A1A1411" w:rsidR="00703762" w:rsidRPr="00AF0603" w:rsidRDefault="00A11AAE" w:rsidP="00703762">
            <w:pPr>
              <w:rPr>
                <w:rFonts w:cstheme="minorHAnsi"/>
              </w:rPr>
            </w:pPr>
            <w:r>
              <w:rPr>
                <w:rFonts w:cstheme="minorHAnsi"/>
              </w:rPr>
              <w:t>9</w:t>
            </w:r>
            <w:r w:rsidR="00703762" w:rsidRPr="00AF0603">
              <w:rPr>
                <w:rFonts w:cstheme="minorHAnsi"/>
              </w:rPr>
              <w:t xml:space="preserve"> mln euro</w:t>
            </w:r>
          </w:p>
        </w:tc>
        <w:tc>
          <w:tcPr>
            <w:tcW w:w="1560" w:type="dxa"/>
          </w:tcPr>
          <w:p w14:paraId="5FBAE93F" w14:textId="473ED86E" w:rsidR="00703762" w:rsidRPr="00AF0603" w:rsidRDefault="00703762" w:rsidP="00703762">
            <w:pPr>
              <w:rPr>
                <w:rFonts w:cstheme="minorHAnsi"/>
              </w:rPr>
            </w:pPr>
            <w:r w:rsidRPr="00AF0603">
              <w:rPr>
                <w:rFonts w:cstheme="minorHAnsi"/>
              </w:rPr>
              <w:t>Czwarty kwartał 2025</w:t>
            </w:r>
          </w:p>
        </w:tc>
        <w:tc>
          <w:tcPr>
            <w:tcW w:w="992" w:type="dxa"/>
          </w:tcPr>
          <w:p w14:paraId="2092ECA8" w14:textId="4E5AB678" w:rsidR="00703762" w:rsidRPr="00AF0603" w:rsidRDefault="00703762" w:rsidP="00703762">
            <w:pPr>
              <w:rPr>
                <w:rFonts w:cstheme="minorHAnsi"/>
              </w:rPr>
            </w:pPr>
            <w:r w:rsidRPr="00AF0603">
              <w:rPr>
                <w:rFonts w:cstheme="minorHAnsi"/>
              </w:rPr>
              <w:t>36 miesięcy</w:t>
            </w:r>
          </w:p>
        </w:tc>
        <w:tc>
          <w:tcPr>
            <w:tcW w:w="2551" w:type="dxa"/>
          </w:tcPr>
          <w:p w14:paraId="3F8DA98B" w14:textId="0917051F" w:rsidR="00703762" w:rsidRPr="00AF0603" w:rsidRDefault="00703762" w:rsidP="00703762">
            <w:pPr>
              <w:rPr>
                <w:rFonts w:cstheme="minorHAnsi"/>
              </w:rPr>
            </w:pPr>
            <w:r w:rsidRPr="00AF0603">
              <w:rPr>
                <w:rFonts w:cstheme="minorHAnsi"/>
              </w:rPr>
              <w:t>Wszystkie podmioty, ze szczególnym uwzględnieniem małych i średnich przedsiębiorstw produkcyjnych oraz średnich firm, firm IT i integratorów. Konsorcjum będzie obejmować dostawców danych, użytkowników danych, a także inne organizacje biorące udział w agregacji i zarządzaniu danymi.</w:t>
            </w:r>
          </w:p>
        </w:tc>
      </w:tr>
      <w:tr w:rsidR="00703762" w:rsidRPr="00E90A99" w14:paraId="48BCE1E6" w14:textId="77777777" w:rsidTr="005A32DD">
        <w:trPr>
          <w:trHeight w:val="1124"/>
        </w:trPr>
        <w:tc>
          <w:tcPr>
            <w:tcW w:w="1689" w:type="dxa"/>
          </w:tcPr>
          <w:p w14:paraId="5E4D4039" w14:textId="77777777" w:rsidR="00703762" w:rsidRPr="00703762" w:rsidRDefault="00703762" w:rsidP="00703762">
            <w:pPr>
              <w:rPr>
                <w:b/>
                <w:bCs/>
              </w:rPr>
            </w:pPr>
            <w:r w:rsidRPr="00703762">
              <w:rPr>
                <w:b/>
                <w:bCs/>
              </w:rPr>
              <w:t>Health: Data ingestion capacities and data services for</w:t>
            </w:r>
          </w:p>
          <w:p w14:paraId="33984275" w14:textId="54A5A49F" w:rsidR="00703762" w:rsidRPr="00E90A99" w:rsidRDefault="00703762" w:rsidP="00703762">
            <w:pPr>
              <w:rPr>
                <w:b/>
                <w:bCs/>
                <w:lang w:val="en-GB"/>
              </w:rPr>
            </w:pPr>
            <w:r w:rsidRPr="00703762">
              <w:rPr>
                <w:b/>
                <w:bCs/>
              </w:rPr>
              <w:lastRenderedPageBreak/>
              <w:t>the European genomic data</w:t>
            </w:r>
          </w:p>
        </w:tc>
        <w:tc>
          <w:tcPr>
            <w:tcW w:w="4827" w:type="dxa"/>
          </w:tcPr>
          <w:p w14:paraId="733A4783" w14:textId="60E1D3E2" w:rsidR="00703762" w:rsidRPr="00AF0603" w:rsidRDefault="00D62C4F" w:rsidP="00703762">
            <w:pPr>
              <w:rPr>
                <w:rFonts w:cstheme="minorHAnsi"/>
              </w:rPr>
            </w:pPr>
            <w:r w:rsidRPr="00AF0603">
              <w:rPr>
                <w:rFonts w:cstheme="minorHAnsi"/>
              </w:rPr>
              <w:lastRenderedPageBreak/>
              <w:t xml:space="preserve">Celem naboru jest wzmocnienie europejskiej infrastruktury danych genomicznych poprzez wdrożenie zaawansowanych narzędzi do porządkowania, kuracji i wykorzystywania danych, z uwzględnieniem ich zgodności z Europejską </w:t>
            </w:r>
            <w:r w:rsidRPr="00AF0603">
              <w:rPr>
                <w:rFonts w:cstheme="minorHAnsi"/>
              </w:rPr>
              <w:lastRenderedPageBreak/>
              <w:t>Przestrzenią Danych dotyczących Zdrowia (EHDS). Inicjatywa ta przyczynia się również do zwiększenia zdolności państw członkowskich w zakresie sekwencjonowania genomów ludzkich, poprzez rozbudowę bezpiecznych środowisk do przechowywania i przetwarzania dużych wolumenów danych.</w:t>
            </w:r>
          </w:p>
        </w:tc>
        <w:tc>
          <w:tcPr>
            <w:tcW w:w="2126" w:type="dxa"/>
          </w:tcPr>
          <w:p w14:paraId="1DD65198" w14:textId="74EE5D9B" w:rsidR="00703762" w:rsidRPr="00AF0603" w:rsidRDefault="00D62C4F" w:rsidP="00703762">
            <w:pPr>
              <w:rPr>
                <w:rFonts w:cstheme="minorHAnsi"/>
              </w:rPr>
            </w:pPr>
            <w:r w:rsidRPr="00AF0603">
              <w:rPr>
                <w:rFonts w:cstheme="minorHAnsi"/>
              </w:rPr>
              <w:lastRenderedPageBreak/>
              <w:t>Simple grant (50% poziom dofinansowania)</w:t>
            </w:r>
            <w:r w:rsidR="004542CD" w:rsidRPr="00AF0603">
              <w:rPr>
                <w:rFonts w:cstheme="minorHAnsi"/>
              </w:rPr>
              <w:t xml:space="preserve"> oraz </w:t>
            </w:r>
            <w:r w:rsidR="004542CD" w:rsidRPr="00AF0603">
              <w:rPr>
                <w:rFonts w:eastAsia="Calibri" w:cstheme="minorHAnsi"/>
              </w:rPr>
              <w:t xml:space="preserve">Grant for Procurement (50% </w:t>
            </w:r>
            <w:r w:rsidR="004542CD" w:rsidRPr="00AF0603">
              <w:rPr>
                <w:rFonts w:eastAsia="Calibri" w:cstheme="minorHAnsi"/>
              </w:rPr>
              <w:lastRenderedPageBreak/>
              <w:t>poziom dofinansowania)</w:t>
            </w:r>
          </w:p>
        </w:tc>
        <w:tc>
          <w:tcPr>
            <w:tcW w:w="1559" w:type="dxa"/>
          </w:tcPr>
          <w:p w14:paraId="40198342" w14:textId="024600D2" w:rsidR="00703762" w:rsidRPr="00AF0603" w:rsidRDefault="00703762" w:rsidP="00703762">
            <w:pPr>
              <w:rPr>
                <w:rFonts w:cstheme="minorHAnsi"/>
              </w:rPr>
            </w:pPr>
            <w:r w:rsidRPr="00AF0603">
              <w:rPr>
                <w:rFonts w:cstheme="minorHAnsi"/>
              </w:rPr>
              <w:lastRenderedPageBreak/>
              <w:t>2</w:t>
            </w:r>
            <w:r w:rsidR="00090AE0">
              <w:rPr>
                <w:rFonts w:cstheme="minorHAnsi"/>
              </w:rPr>
              <w:t>2,5</w:t>
            </w:r>
            <w:r w:rsidRPr="00AF0603">
              <w:rPr>
                <w:rFonts w:cstheme="minorHAnsi"/>
              </w:rPr>
              <w:t xml:space="preserve"> mln euro</w:t>
            </w:r>
            <w:r w:rsidR="004542CD" w:rsidRPr="00AF0603">
              <w:rPr>
                <w:rFonts w:cstheme="minorHAnsi"/>
              </w:rPr>
              <w:t>:</w:t>
            </w:r>
          </w:p>
          <w:p w14:paraId="382346DB" w14:textId="06C42890" w:rsidR="004542CD" w:rsidRPr="00AF0603" w:rsidRDefault="00090AE0" w:rsidP="00703762">
            <w:pPr>
              <w:rPr>
                <w:rFonts w:cstheme="minorHAnsi"/>
              </w:rPr>
            </w:pPr>
            <w:r>
              <w:rPr>
                <w:rFonts w:cstheme="minorHAnsi"/>
              </w:rPr>
              <w:t xml:space="preserve">5 </w:t>
            </w:r>
            <w:r w:rsidR="004542CD" w:rsidRPr="00AF0603">
              <w:rPr>
                <w:rFonts w:cstheme="minorHAnsi"/>
              </w:rPr>
              <w:t>mln (First work strand: data tools),</w:t>
            </w:r>
          </w:p>
          <w:p w14:paraId="4205085D" w14:textId="6307657D" w:rsidR="004542CD" w:rsidRPr="00AF0603" w:rsidRDefault="004542CD" w:rsidP="00703762">
            <w:pPr>
              <w:rPr>
                <w:rFonts w:cstheme="minorHAnsi"/>
              </w:rPr>
            </w:pPr>
            <w:r w:rsidRPr="00AF0603">
              <w:rPr>
                <w:rFonts w:cstheme="minorHAnsi"/>
              </w:rPr>
              <w:lastRenderedPageBreak/>
              <w:t xml:space="preserve">Oraz </w:t>
            </w:r>
            <w:r w:rsidR="00090AE0">
              <w:rPr>
                <w:rFonts w:cstheme="minorHAnsi"/>
              </w:rPr>
              <w:t>17,5</w:t>
            </w:r>
            <w:r w:rsidRPr="00AF0603">
              <w:rPr>
                <w:rFonts w:cstheme="minorHAnsi"/>
              </w:rPr>
              <w:t xml:space="preserve"> mln euro (Second work strand</w:t>
            </w:r>
            <w:r w:rsidR="007D2F45" w:rsidRPr="00AF0603">
              <w:rPr>
                <w:rFonts w:cstheme="minorHAnsi"/>
              </w:rPr>
              <w:t>: data storage and processing capacity</w:t>
            </w:r>
            <w:r w:rsidRPr="00AF0603">
              <w:rPr>
                <w:rFonts w:cstheme="minorHAnsi"/>
              </w:rPr>
              <w:t>) zamówienie</w:t>
            </w:r>
          </w:p>
        </w:tc>
        <w:tc>
          <w:tcPr>
            <w:tcW w:w="1560" w:type="dxa"/>
          </w:tcPr>
          <w:p w14:paraId="561EB0F3" w14:textId="61751182" w:rsidR="00703762" w:rsidRPr="00AF0603" w:rsidRDefault="00703762" w:rsidP="00703762">
            <w:pPr>
              <w:rPr>
                <w:rFonts w:cstheme="minorHAnsi"/>
              </w:rPr>
            </w:pPr>
            <w:r w:rsidRPr="00AF0603">
              <w:rPr>
                <w:rFonts w:cstheme="minorHAnsi"/>
              </w:rPr>
              <w:lastRenderedPageBreak/>
              <w:t>Czwarty kwartał 2025</w:t>
            </w:r>
          </w:p>
        </w:tc>
        <w:tc>
          <w:tcPr>
            <w:tcW w:w="992" w:type="dxa"/>
          </w:tcPr>
          <w:p w14:paraId="727739F5" w14:textId="20DDA151" w:rsidR="00703762" w:rsidRPr="00AF0603" w:rsidRDefault="00D62C4F" w:rsidP="00703762">
            <w:pPr>
              <w:rPr>
                <w:rFonts w:cstheme="minorHAnsi"/>
              </w:rPr>
            </w:pPr>
            <w:r w:rsidRPr="00AF0603">
              <w:rPr>
                <w:rFonts w:cstheme="minorHAnsi"/>
              </w:rPr>
              <w:t>48 miesięcy</w:t>
            </w:r>
          </w:p>
        </w:tc>
        <w:tc>
          <w:tcPr>
            <w:tcW w:w="2551" w:type="dxa"/>
          </w:tcPr>
          <w:p w14:paraId="37D14F0A" w14:textId="1471806B" w:rsidR="004542CD" w:rsidRPr="00AF0603" w:rsidRDefault="004542CD" w:rsidP="004542CD">
            <w:pPr>
              <w:rPr>
                <w:rFonts w:cstheme="minorHAnsi"/>
              </w:rPr>
            </w:pPr>
            <w:r w:rsidRPr="00AF0603">
              <w:rPr>
                <w:rFonts w:cstheme="minorHAnsi"/>
              </w:rPr>
              <w:t xml:space="preserve">Podmioty publiczne i prywatne takie jak (ale nie tylko): administracje publiczne (na szczeblu krajowym, regionalnym, </w:t>
            </w:r>
            <w:r w:rsidRPr="00AF0603">
              <w:rPr>
                <w:rFonts w:cstheme="minorHAnsi"/>
              </w:rPr>
              <w:lastRenderedPageBreak/>
              <w:t xml:space="preserve">lokalnym) i organy dostępu do danych zdrowotnych -  Health Data Access Bodies (HDA), szpitale, instytuty badawcze, biobanki, agencje badawcze, infrastruktury badawcze, </w:t>
            </w:r>
          </w:p>
          <w:p w14:paraId="62F76A7B" w14:textId="132E9A64" w:rsidR="00703762" w:rsidRPr="00AF0603" w:rsidRDefault="004542CD" w:rsidP="004542CD">
            <w:pPr>
              <w:rPr>
                <w:rFonts w:cstheme="minorHAnsi"/>
              </w:rPr>
            </w:pPr>
            <w:r w:rsidRPr="00AF0603">
              <w:rPr>
                <w:rFonts w:cstheme="minorHAnsi"/>
              </w:rPr>
              <w:t>EDIC</w:t>
            </w:r>
          </w:p>
        </w:tc>
      </w:tr>
      <w:tr w:rsidR="00703762" w:rsidRPr="00E90A99" w14:paraId="25D8714E" w14:textId="77777777" w:rsidTr="005A32DD">
        <w:trPr>
          <w:trHeight w:val="1124"/>
        </w:trPr>
        <w:tc>
          <w:tcPr>
            <w:tcW w:w="1689" w:type="dxa"/>
          </w:tcPr>
          <w:p w14:paraId="32529C03" w14:textId="160AE30E" w:rsidR="00703762" w:rsidRPr="00E90A99" w:rsidRDefault="00CA4CC5" w:rsidP="00703762">
            <w:pPr>
              <w:rPr>
                <w:b/>
                <w:bCs/>
                <w:lang w:val="en-GB"/>
              </w:rPr>
            </w:pPr>
            <w:proofErr w:type="spellStart"/>
            <w:r w:rsidRPr="00CA4CC5">
              <w:rPr>
                <w:b/>
                <w:bCs/>
              </w:rPr>
              <w:lastRenderedPageBreak/>
              <w:t>Secretariat</w:t>
            </w:r>
            <w:proofErr w:type="spellEnd"/>
            <w:r w:rsidRPr="00CA4CC5">
              <w:rPr>
                <w:b/>
                <w:bCs/>
              </w:rPr>
              <w:t xml:space="preserve"> of the </w:t>
            </w:r>
            <w:proofErr w:type="spellStart"/>
            <w:r w:rsidRPr="00CA4CC5">
              <w:rPr>
                <w:b/>
                <w:bCs/>
              </w:rPr>
              <w:t>European</w:t>
            </w:r>
            <w:proofErr w:type="spellEnd"/>
            <w:r w:rsidRPr="00CA4CC5">
              <w:rPr>
                <w:b/>
                <w:bCs/>
              </w:rPr>
              <w:t xml:space="preserve"> </w:t>
            </w:r>
            <w:proofErr w:type="spellStart"/>
            <w:r w:rsidRPr="00CA4CC5">
              <w:rPr>
                <w:b/>
                <w:bCs/>
              </w:rPr>
              <w:t>Connected</w:t>
            </w:r>
            <w:proofErr w:type="spellEnd"/>
            <w:r w:rsidRPr="00CA4CC5">
              <w:rPr>
                <w:b/>
                <w:bCs/>
              </w:rPr>
              <w:t xml:space="preserve"> and </w:t>
            </w:r>
            <w:proofErr w:type="spellStart"/>
            <w:r w:rsidRPr="00CA4CC5">
              <w:rPr>
                <w:b/>
                <w:bCs/>
              </w:rPr>
              <w:t>Autonomous</w:t>
            </w:r>
            <w:proofErr w:type="spellEnd"/>
            <w:r w:rsidRPr="00CA4CC5">
              <w:rPr>
                <w:b/>
                <w:bCs/>
              </w:rPr>
              <w:t xml:space="preserve"> </w:t>
            </w:r>
            <w:proofErr w:type="spellStart"/>
            <w:r w:rsidRPr="00CA4CC5">
              <w:rPr>
                <w:b/>
                <w:bCs/>
              </w:rPr>
              <w:t>Vehicle</w:t>
            </w:r>
            <w:proofErr w:type="spellEnd"/>
            <w:r w:rsidRPr="00CA4CC5">
              <w:rPr>
                <w:b/>
                <w:bCs/>
              </w:rPr>
              <w:t xml:space="preserve"> Alliance</w:t>
            </w:r>
          </w:p>
        </w:tc>
        <w:tc>
          <w:tcPr>
            <w:tcW w:w="4827" w:type="dxa"/>
          </w:tcPr>
          <w:p w14:paraId="2637F200" w14:textId="611550D2" w:rsidR="00703762" w:rsidRPr="00AF0603" w:rsidRDefault="0003271A" w:rsidP="00703762">
            <w:pPr>
              <w:rPr>
                <w:rFonts w:cstheme="minorHAnsi"/>
              </w:rPr>
            </w:pPr>
            <w:r w:rsidRPr="0003271A">
              <w:rPr>
                <w:rFonts w:cstheme="minorHAnsi"/>
              </w:rPr>
              <w:t>Utworzenie sekretariatu Europejskiego Sojuszu na rzecz Pojazdów Połączonych i Autonomicznych (ECAVA), wspierającego współpracę przemysłową, badania i standaryzację.</w:t>
            </w:r>
          </w:p>
        </w:tc>
        <w:tc>
          <w:tcPr>
            <w:tcW w:w="2126" w:type="dxa"/>
          </w:tcPr>
          <w:p w14:paraId="4B4BB018" w14:textId="7B2D4E99" w:rsidR="00703762" w:rsidRPr="00AF0603" w:rsidRDefault="0003271A" w:rsidP="00703762">
            <w:pPr>
              <w:rPr>
                <w:rFonts w:cstheme="minorHAnsi"/>
              </w:rPr>
            </w:pPr>
            <w:proofErr w:type="spellStart"/>
            <w:r w:rsidRPr="00AF0603">
              <w:rPr>
                <w:rFonts w:cstheme="minorHAnsi"/>
              </w:rPr>
              <w:t>Coordination</w:t>
            </w:r>
            <w:proofErr w:type="spellEnd"/>
            <w:r w:rsidRPr="00AF0603">
              <w:rPr>
                <w:rFonts w:cstheme="minorHAnsi"/>
              </w:rPr>
              <w:t xml:space="preserve"> and </w:t>
            </w:r>
            <w:proofErr w:type="spellStart"/>
            <w:r w:rsidRPr="00AF0603">
              <w:rPr>
                <w:rFonts w:cstheme="minorHAnsi"/>
              </w:rPr>
              <w:t>support</w:t>
            </w:r>
            <w:proofErr w:type="spellEnd"/>
            <w:r w:rsidRPr="00AF0603">
              <w:rPr>
                <w:rFonts w:cstheme="minorHAnsi"/>
              </w:rPr>
              <w:t xml:space="preserve"> </w:t>
            </w:r>
            <w:proofErr w:type="spellStart"/>
            <w:r w:rsidRPr="00AF0603">
              <w:rPr>
                <w:rFonts w:cstheme="minorHAnsi"/>
              </w:rPr>
              <w:t>action</w:t>
            </w:r>
            <w:proofErr w:type="spellEnd"/>
            <w:r w:rsidRPr="00AF0603">
              <w:rPr>
                <w:rFonts w:cstheme="minorHAnsi"/>
              </w:rPr>
              <w:t xml:space="preserve"> grant</w:t>
            </w:r>
            <w:r>
              <w:rPr>
                <w:rFonts w:cstheme="minorHAnsi"/>
              </w:rPr>
              <w:t xml:space="preserve"> (100% poziom dofinansowania)</w:t>
            </w:r>
          </w:p>
        </w:tc>
        <w:tc>
          <w:tcPr>
            <w:tcW w:w="1559" w:type="dxa"/>
          </w:tcPr>
          <w:p w14:paraId="31AF72DB" w14:textId="6F33ABCD" w:rsidR="00703762" w:rsidRPr="00AF0603" w:rsidRDefault="0003271A" w:rsidP="00703762">
            <w:pPr>
              <w:rPr>
                <w:rFonts w:cstheme="minorHAnsi"/>
              </w:rPr>
            </w:pPr>
            <w:r>
              <w:rPr>
                <w:rFonts w:cstheme="minorHAnsi"/>
              </w:rPr>
              <w:t>1 mln euro</w:t>
            </w:r>
          </w:p>
        </w:tc>
        <w:tc>
          <w:tcPr>
            <w:tcW w:w="1560" w:type="dxa"/>
          </w:tcPr>
          <w:p w14:paraId="32D60D88" w14:textId="4300A63D" w:rsidR="00703762" w:rsidRPr="00AF0603" w:rsidRDefault="0003271A" w:rsidP="00703762">
            <w:pPr>
              <w:rPr>
                <w:rFonts w:cstheme="minorHAnsi"/>
              </w:rPr>
            </w:pPr>
            <w:r>
              <w:rPr>
                <w:rFonts w:cstheme="minorHAnsi"/>
              </w:rPr>
              <w:t>Czwarty kwartał 2025</w:t>
            </w:r>
          </w:p>
        </w:tc>
        <w:tc>
          <w:tcPr>
            <w:tcW w:w="992" w:type="dxa"/>
          </w:tcPr>
          <w:p w14:paraId="58D1E94E" w14:textId="49DCA77E" w:rsidR="00703762" w:rsidRPr="00AF0603" w:rsidRDefault="0003271A" w:rsidP="00703762">
            <w:pPr>
              <w:rPr>
                <w:rFonts w:cstheme="minorHAnsi"/>
              </w:rPr>
            </w:pPr>
            <w:r>
              <w:rPr>
                <w:rFonts w:cstheme="minorHAnsi"/>
              </w:rPr>
              <w:t>36 miesięcy</w:t>
            </w:r>
          </w:p>
        </w:tc>
        <w:tc>
          <w:tcPr>
            <w:tcW w:w="2551" w:type="dxa"/>
          </w:tcPr>
          <w:p w14:paraId="07F03972" w14:textId="7C267EB6" w:rsidR="00703762" w:rsidRPr="00AF0603" w:rsidRDefault="0003271A" w:rsidP="00703762">
            <w:pPr>
              <w:rPr>
                <w:rFonts w:cstheme="minorHAnsi"/>
              </w:rPr>
            </w:pPr>
            <w:r>
              <w:rPr>
                <w:rFonts w:cstheme="minorHAnsi"/>
              </w:rPr>
              <w:t>O</w:t>
            </w:r>
            <w:r w:rsidRPr="0003271A">
              <w:rPr>
                <w:rFonts w:cstheme="minorHAnsi"/>
              </w:rPr>
              <w:t>rganizacje branżowe, instytuty badawcze, agencje mobilności, konsorcja przemysłowe</w:t>
            </w:r>
          </w:p>
        </w:tc>
      </w:tr>
      <w:tr w:rsidR="00CA4CC5" w:rsidRPr="00E90A99" w14:paraId="06685700" w14:textId="77777777" w:rsidTr="005A32DD">
        <w:trPr>
          <w:trHeight w:val="1124"/>
        </w:trPr>
        <w:tc>
          <w:tcPr>
            <w:tcW w:w="1689" w:type="dxa"/>
          </w:tcPr>
          <w:p w14:paraId="543D091E" w14:textId="20AB1470" w:rsidR="00CA4CC5" w:rsidRPr="00CA4CC5" w:rsidRDefault="00CA4CC5" w:rsidP="00703762">
            <w:pPr>
              <w:rPr>
                <w:b/>
                <w:bCs/>
              </w:rPr>
            </w:pPr>
            <w:r w:rsidRPr="00CA4CC5">
              <w:rPr>
                <w:b/>
                <w:bCs/>
              </w:rPr>
              <w:t xml:space="preserve">Collaboration platform for the </w:t>
            </w:r>
            <w:proofErr w:type="spellStart"/>
            <w:r w:rsidRPr="00CA4CC5">
              <w:rPr>
                <w:b/>
                <w:bCs/>
              </w:rPr>
              <w:t>European</w:t>
            </w:r>
            <w:proofErr w:type="spellEnd"/>
            <w:r w:rsidRPr="00CA4CC5">
              <w:rPr>
                <w:b/>
                <w:bCs/>
              </w:rPr>
              <w:t xml:space="preserve"> </w:t>
            </w:r>
            <w:proofErr w:type="spellStart"/>
            <w:r w:rsidRPr="00CA4CC5">
              <w:rPr>
                <w:b/>
                <w:bCs/>
              </w:rPr>
              <w:t>connected</w:t>
            </w:r>
            <w:proofErr w:type="spellEnd"/>
            <w:r w:rsidRPr="00CA4CC5">
              <w:rPr>
                <w:b/>
                <w:bCs/>
              </w:rPr>
              <w:t xml:space="preserve"> and </w:t>
            </w:r>
            <w:proofErr w:type="spellStart"/>
            <w:r w:rsidRPr="00CA4CC5">
              <w:rPr>
                <w:b/>
                <w:bCs/>
              </w:rPr>
              <w:t>autonomous</w:t>
            </w:r>
            <w:proofErr w:type="spellEnd"/>
            <w:r w:rsidRPr="00CA4CC5">
              <w:rPr>
                <w:b/>
                <w:bCs/>
              </w:rPr>
              <w:t xml:space="preserve"> </w:t>
            </w:r>
            <w:proofErr w:type="spellStart"/>
            <w:r w:rsidRPr="00CA4CC5">
              <w:rPr>
                <w:b/>
                <w:bCs/>
              </w:rPr>
              <w:t>vehicle</w:t>
            </w:r>
            <w:proofErr w:type="spellEnd"/>
            <w:r w:rsidRPr="00CA4CC5">
              <w:rPr>
                <w:b/>
                <w:bCs/>
              </w:rPr>
              <w:t xml:space="preserve"> of the </w:t>
            </w:r>
            <w:proofErr w:type="spellStart"/>
            <w:r w:rsidRPr="00CA4CC5">
              <w:rPr>
                <w:b/>
                <w:bCs/>
              </w:rPr>
              <w:t>future</w:t>
            </w:r>
            <w:proofErr w:type="spellEnd"/>
          </w:p>
        </w:tc>
        <w:tc>
          <w:tcPr>
            <w:tcW w:w="4827" w:type="dxa"/>
          </w:tcPr>
          <w:p w14:paraId="44939951" w14:textId="061B205E" w:rsidR="00CA4CC5" w:rsidRPr="00AF0603" w:rsidRDefault="0003271A" w:rsidP="00703762">
            <w:pPr>
              <w:rPr>
                <w:rFonts w:cstheme="minorHAnsi"/>
              </w:rPr>
            </w:pPr>
            <w:r w:rsidRPr="0003271A">
              <w:rPr>
                <w:rFonts w:cstheme="minorHAnsi"/>
              </w:rPr>
              <w:t>Stworzenie europejskiej platformy współpracy dla rozwoju pojazdów połączonych i autonomicznych, z naciskiem na interoperacyjność, bezpieczeństwo i AI.</w:t>
            </w:r>
          </w:p>
        </w:tc>
        <w:tc>
          <w:tcPr>
            <w:tcW w:w="2126" w:type="dxa"/>
          </w:tcPr>
          <w:p w14:paraId="6D6D94F6" w14:textId="2178240A" w:rsidR="00CA4CC5" w:rsidRPr="00AF0603" w:rsidRDefault="0003271A" w:rsidP="00703762">
            <w:pPr>
              <w:rPr>
                <w:rFonts w:cstheme="minorHAnsi"/>
              </w:rPr>
            </w:pPr>
            <w:r>
              <w:rPr>
                <w:rFonts w:cstheme="minorHAnsi"/>
              </w:rPr>
              <w:t xml:space="preserve">Simple </w:t>
            </w:r>
            <w:proofErr w:type="spellStart"/>
            <w:r>
              <w:rPr>
                <w:rFonts w:cstheme="minorHAnsi"/>
              </w:rPr>
              <w:t>grants</w:t>
            </w:r>
            <w:proofErr w:type="spellEnd"/>
            <w:r>
              <w:rPr>
                <w:rFonts w:cstheme="minorHAnsi"/>
              </w:rPr>
              <w:t xml:space="preserve"> (50% poziom dofinansowania)</w:t>
            </w:r>
          </w:p>
        </w:tc>
        <w:tc>
          <w:tcPr>
            <w:tcW w:w="1559" w:type="dxa"/>
          </w:tcPr>
          <w:p w14:paraId="1FF887B9" w14:textId="4B5C551C" w:rsidR="00CA4CC5" w:rsidRPr="00AF0603" w:rsidRDefault="0003271A" w:rsidP="00703762">
            <w:pPr>
              <w:rPr>
                <w:rFonts w:cstheme="minorHAnsi"/>
              </w:rPr>
            </w:pPr>
            <w:r>
              <w:rPr>
                <w:rFonts w:cstheme="minorHAnsi"/>
              </w:rPr>
              <w:t>3,5 mln euro</w:t>
            </w:r>
          </w:p>
        </w:tc>
        <w:tc>
          <w:tcPr>
            <w:tcW w:w="1560" w:type="dxa"/>
          </w:tcPr>
          <w:p w14:paraId="1C7B7C7B" w14:textId="0B7C5E84" w:rsidR="00CA4CC5" w:rsidRPr="00AF0603" w:rsidRDefault="0003271A" w:rsidP="00703762">
            <w:pPr>
              <w:rPr>
                <w:rFonts w:cstheme="minorHAnsi"/>
              </w:rPr>
            </w:pPr>
            <w:r>
              <w:rPr>
                <w:rFonts w:cstheme="minorHAnsi"/>
              </w:rPr>
              <w:t>Czwarty kwartał 2025</w:t>
            </w:r>
          </w:p>
        </w:tc>
        <w:tc>
          <w:tcPr>
            <w:tcW w:w="992" w:type="dxa"/>
          </w:tcPr>
          <w:p w14:paraId="48633DF8" w14:textId="36F69260" w:rsidR="00CA4CC5" w:rsidRPr="00AF0603" w:rsidRDefault="0003271A" w:rsidP="00703762">
            <w:pPr>
              <w:rPr>
                <w:rFonts w:cstheme="minorHAnsi"/>
              </w:rPr>
            </w:pPr>
            <w:r>
              <w:rPr>
                <w:rFonts w:cstheme="minorHAnsi"/>
              </w:rPr>
              <w:t>36 miesięcy</w:t>
            </w:r>
          </w:p>
        </w:tc>
        <w:tc>
          <w:tcPr>
            <w:tcW w:w="2551" w:type="dxa"/>
          </w:tcPr>
          <w:p w14:paraId="224D3148" w14:textId="75CFAB5F" w:rsidR="00CA4CC5" w:rsidRPr="00AF0603" w:rsidRDefault="0003271A" w:rsidP="00703762">
            <w:pPr>
              <w:rPr>
                <w:rFonts w:cstheme="minorHAnsi"/>
              </w:rPr>
            </w:pPr>
            <w:r>
              <w:rPr>
                <w:rFonts w:cstheme="minorHAnsi"/>
              </w:rPr>
              <w:t>P</w:t>
            </w:r>
            <w:r w:rsidRPr="0003271A">
              <w:rPr>
                <w:rFonts w:cstheme="minorHAnsi"/>
              </w:rPr>
              <w:t>rzemysł motoryzacyjny, producenci komponentów, firmy AI, uczelnie techniczne, organizacje normalizacyjne</w:t>
            </w:r>
          </w:p>
        </w:tc>
      </w:tr>
      <w:tr w:rsidR="00CA4CC5" w:rsidRPr="00E90A99" w14:paraId="10C63881" w14:textId="77777777" w:rsidTr="005A32DD">
        <w:trPr>
          <w:trHeight w:val="1124"/>
        </w:trPr>
        <w:tc>
          <w:tcPr>
            <w:tcW w:w="1689" w:type="dxa"/>
          </w:tcPr>
          <w:p w14:paraId="25F66BC2" w14:textId="29797D0D" w:rsidR="00CA4CC5" w:rsidRPr="00CA4CC5" w:rsidRDefault="0003271A" w:rsidP="00703762">
            <w:pPr>
              <w:rPr>
                <w:b/>
                <w:bCs/>
              </w:rPr>
            </w:pPr>
            <w:proofErr w:type="spellStart"/>
            <w:r w:rsidRPr="0003271A">
              <w:rPr>
                <w:b/>
                <w:bCs/>
              </w:rPr>
              <w:t>European</w:t>
            </w:r>
            <w:proofErr w:type="spellEnd"/>
            <w:r w:rsidRPr="0003271A">
              <w:rPr>
                <w:b/>
                <w:bCs/>
              </w:rPr>
              <w:t xml:space="preserve"> Digital Media </w:t>
            </w:r>
            <w:proofErr w:type="spellStart"/>
            <w:r w:rsidRPr="0003271A">
              <w:rPr>
                <w:b/>
                <w:bCs/>
              </w:rPr>
              <w:t>Observatory</w:t>
            </w:r>
            <w:proofErr w:type="spellEnd"/>
            <w:r w:rsidRPr="0003271A">
              <w:rPr>
                <w:b/>
                <w:bCs/>
              </w:rPr>
              <w:t xml:space="preserve"> </w:t>
            </w:r>
            <w:proofErr w:type="spellStart"/>
            <w:r w:rsidRPr="0003271A">
              <w:rPr>
                <w:b/>
                <w:bCs/>
              </w:rPr>
              <w:t>hubs</w:t>
            </w:r>
            <w:proofErr w:type="spellEnd"/>
          </w:p>
        </w:tc>
        <w:tc>
          <w:tcPr>
            <w:tcW w:w="4827" w:type="dxa"/>
          </w:tcPr>
          <w:p w14:paraId="7990B73B" w14:textId="199C5CB7" w:rsidR="00CA4CC5" w:rsidRPr="00AF0603" w:rsidRDefault="0003271A" w:rsidP="00703762">
            <w:pPr>
              <w:rPr>
                <w:rFonts w:cstheme="minorHAnsi"/>
              </w:rPr>
            </w:pPr>
            <w:r w:rsidRPr="0003271A">
              <w:rPr>
                <w:rFonts w:cstheme="minorHAnsi"/>
              </w:rPr>
              <w:t xml:space="preserve">Finansowanie niezależnych krajowych lub regionalnych </w:t>
            </w:r>
            <w:proofErr w:type="spellStart"/>
            <w:r w:rsidRPr="0003271A">
              <w:rPr>
                <w:rFonts w:cstheme="minorHAnsi"/>
              </w:rPr>
              <w:t>hubów</w:t>
            </w:r>
            <w:proofErr w:type="spellEnd"/>
            <w:r w:rsidRPr="0003271A">
              <w:rPr>
                <w:rFonts w:cstheme="minorHAnsi"/>
              </w:rPr>
              <w:t xml:space="preserve"> w ramach </w:t>
            </w:r>
            <w:proofErr w:type="spellStart"/>
            <w:r w:rsidRPr="0003271A">
              <w:rPr>
                <w:rFonts w:cstheme="minorHAnsi"/>
              </w:rPr>
              <w:t>European</w:t>
            </w:r>
            <w:proofErr w:type="spellEnd"/>
            <w:r w:rsidRPr="0003271A">
              <w:rPr>
                <w:rFonts w:cstheme="minorHAnsi"/>
              </w:rPr>
              <w:t xml:space="preserve"> Digital Media </w:t>
            </w:r>
            <w:proofErr w:type="spellStart"/>
            <w:r w:rsidRPr="0003271A">
              <w:rPr>
                <w:rFonts w:cstheme="minorHAnsi"/>
              </w:rPr>
              <w:t>Observatory</w:t>
            </w:r>
            <w:proofErr w:type="spellEnd"/>
            <w:r w:rsidRPr="0003271A">
              <w:rPr>
                <w:rFonts w:cstheme="minorHAnsi"/>
              </w:rPr>
              <w:t xml:space="preserve"> (EDMO) w celu kontynuacji ich działalności po 2026 roku. Celem jest wzmacnianie odporności społeczeństw europejskich na dezinformację poprzez monitorowanie środowiska informacyjnego, analizę kampanii dezinformacyjnych, </w:t>
            </w:r>
            <w:proofErr w:type="spellStart"/>
            <w:r w:rsidRPr="0003271A">
              <w:rPr>
                <w:rFonts w:cstheme="minorHAnsi"/>
              </w:rPr>
              <w:t>fact-checking</w:t>
            </w:r>
            <w:proofErr w:type="spellEnd"/>
            <w:r w:rsidRPr="0003271A">
              <w:rPr>
                <w:rFonts w:cstheme="minorHAnsi"/>
              </w:rPr>
              <w:t>, działania edukacyjne i budowanie społeczności ekspertów.</w:t>
            </w:r>
          </w:p>
        </w:tc>
        <w:tc>
          <w:tcPr>
            <w:tcW w:w="2126" w:type="dxa"/>
          </w:tcPr>
          <w:p w14:paraId="3FD256C2" w14:textId="65E6D933" w:rsidR="00CA4CC5" w:rsidRPr="00AF0603" w:rsidRDefault="0003271A" w:rsidP="00703762">
            <w:pPr>
              <w:rPr>
                <w:rFonts w:cstheme="minorHAnsi"/>
              </w:rPr>
            </w:pPr>
            <w:r w:rsidRPr="00AF0603">
              <w:rPr>
                <w:rFonts w:cstheme="minorHAnsi"/>
              </w:rPr>
              <w:t xml:space="preserve">SME </w:t>
            </w:r>
            <w:proofErr w:type="spellStart"/>
            <w:r w:rsidRPr="00AF0603">
              <w:rPr>
                <w:rFonts w:cstheme="minorHAnsi"/>
              </w:rPr>
              <w:t>support</w:t>
            </w:r>
            <w:proofErr w:type="spellEnd"/>
            <w:r w:rsidRPr="00AF0603">
              <w:rPr>
                <w:rFonts w:cstheme="minorHAnsi"/>
              </w:rPr>
              <w:t xml:space="preserve"> grant (50% poziom dofinansowania, 75% poziom dofinansowania dla MŚP)</w:t>
            </w:r>
          </w:p>
        </w:tc>
        <w:tc>
          <w:tcPr>
            <w:tcW w:w="1559" w:type="dxa"/>
          </w:tcPr>
          <w:p w14:paraId="035721ED" w14:textId="71256CAF" w:rsidR="00CA4CC5" w:rsidRPr="00AF0603" w:rsidRDefault="0003271A" w:rsidP="00703762">
            <w:pPr>
              <w:rPr>
                <w:rFonts w:cstheme="minorHAnsi"/>
              </w:rPr>
            </w:pPr>
            <w:r>
              <w:rPr>
                <w:rFonts w:cstheme="minorHAnsi"/>
              </w:rPr>
              <w:t>6 mln euro</w:t>
            </w:r>
          </w:p>
        </w:tc>
        <w:tc>
          <w:tcPr>
            <w:tcW w:w="1560" w:type="dxa"/>
          </w:tcPr>
          <w:p w14:paraId="40BD4595" w14:textId="3D9E8509" w:rsidR="00CA4CC5" w:rsidRPr="00AF0603" w:rsidRDefault="0003271A" w:rsidP="00703762">
            <w:pPr>
              <w:rPr>
                <w:rFonts w:cstheme="minorHAnsi"/>
              </w:rPr>
            </w:pPr>
            <w:r>
              <w:rPr>
                <w:rFonts w:cstheme="minorHAnsi"/>
              </w:rPr>
              <w:t>Czwarty kwartał 2025</w:t>
            </w:r>
          </w:p>
        </w:tc>
        <w:tc>
          <w:tcPr>
            <w:tcW w:w="992" w:type="dxa"/>
          </w:tcPr>
          <w:p w14:paraId="38233FB8" w14:textId="39D7D374" w:rsidR="00CA4CC5" w:rsidRPr="00AF0603" w:rsidRDefault="0003271A" w:rsidP="00703762">
            <w:pPr>
              <w:rPr>
                <w:rFonts w:cstheme="minorHAnsi"/>
              </w:rPr>
            </w:pPr>
            <w:r>
              <w:rPr>
                <w:rFonts w:cstheme="minorHAnsi"/>
              </w:rPr>
              <w:t>18 miesięcy</w:t>
            </w:r>
          </w:p>
        </w:tc>
        <w:tc>
          <w:tcPr>
            <w:tcW w:w="2551" w:type="dxa"/>
          </w:tcPr>
          <w:p w14:paraId="3B504079" w14:textId="244AC86C" w:rsidR="00CA4CC5" w:rsidRPr="00AF0603" w:rsidRDefault="0003271A" w:rsidP="00703762">
            <w:pPr>
              <w:rPr>
                <w:rFonts w:cstheme="minorHAnsi"/>
              </w:rPr>
            </w:pPr>
            <w:r>
              <w:rPr>
                <w:rFonts w:cstheme="minorHAnsi"/>
              </w:rPr>
              <w:t>K</w:t>
            </w:r>
            <w:r w:rsidRPr="0003271A">
              <w:rPr>
                <w:rFonts w:cstheme="minorHAnsi"/>
              </w:rPr>
              <w:t xml:space="preserve">onsorcja min. 2 niezależnych organizacji (publiczne lub prywatne), niezależne organizacje </w:t>
            </w:r>
            <w:proofErr w:type="spellStart"/>
            <w:r w:rsidRPr="0003271A">
              <w:rPr>
                <w:rFonts w:cstheme="minorHAnsi"/>
              </w:rPr>
              <w:t>fact-checkingowe</w:t>
            </w:r>
            <w:proofErr w:type="spellEnd"/>
            <w:r w:rsidRPr="0003271A">
              <w:rPr>
                <w:rFonts w:cstheme="minorHAnsi"/>
              </w:rPr>
              <w:t xml:space="preserve"> (członkowie EFCSN lub IFCN), instytucje badawcze, </w:t>
            </w:r>
            <w:proofErr w:type="spellStart"/>
            <w:r w:rsidRPr="0003271A">
              <w:rPr>
                <w:rFonts w:cstheme="minorHAnsi"/>
              </w:rPr>
              <w:t>think</w:t>
            </w:r>
            <w:proofErr w:type="spellEnd"/>
            <w:r w:rsidRPr="0003271A">
              <w:rPr>
                <w:rFonts w:cstheme="minorHAnsi"/>
              </w:rPr>
              <w:t xml:space="preserve">-tanki, media, organizacje społeczne, eksperci od analizy danych, </w:t>
            </w:r>
            <w:r w:rsidRPr="0003271A">
              <w:rPr>
                <w:rFonts w:cstheme="minorHAnsi"/>
              </w:rPr>
              <w:lastRenderedPageBreak/>
              <w:t>komunikacji i edukacji medialnej</w:t>
            </w:r>
          </w:p>
        </w:tc>
      </w:tr>
      <w:tr w:rsidR="00703762" w:rsidRPr="00E90A99" w14:paraId="2E48CB48" w14:textId="77777777" w:rsidTr="005A32DD">
        <w:trPr>
          <w:trHeight w:val="1124"/>
        </w:trPr>
        <w:tc>
          <w:tcPr>
            <w:tcW w:w="1689" w:type="dxa"/>
          </w:tcPr>
          <w:p w14:paraId="439F83C2" w14:textId="77777777" w:rsidR="00703762" w:rsidRPr="00E90A99" w:rsidRDefault="00703762" w:rsidP="00D967CC">
            <w:pPr>
              <w:rPr>
                <w:b/>
                <w:bCs/>
                <w:lang w:val="en-GB"/>
              </w:rPr>
            </w:pPr>
            <w:r w:rsidRPr="00E90A99">
              <w:rPr>
                <w:b/>
                <w:bCs/>
                <w:lang w:val="en-GB"/>
              </w:rPr>
              <w:lastRenderedPageBreak/>
              <w:t>Deployment of cutting-edge multi-modal AI-based solutions in medical imaging</w:t>
            </w:r>
          </w:p>
        </w:tc>
        <w:tc>
          <w:tcPr>
            <w:tcW w:w="4827" w:type="dxa"/>
          </w:tcPr>
          <w:p w14:paraId="598E7F31" w14:textId="77777777" w:rsidR="00703762" w:rsidRPr="00AF0603" w:rsidRDefault="00703762" w:rsidP="00D967CC">
            <w:pPr>
              <w:rPr>
                <w:rFonts w:cstheme="minorHAnsi"/>
              </w:rPr>
            </w:pPr>
            <w:r w:rsidRPr="00AF0603">
              <w:rPr>
                <w:rFonts w:cstheme="minorHAnsi"/>
              </w:rPr>
              <w:t>Celem naboru jest przyspieszenie wdrożenia europejskich rozwiązań opartych na sztucznej inteligencji w obrazowaniu medycznym, poprzez rozszerzenie platformy Cancer Image Europe, wspieranie integracji różnych typów danych zdrowotnych oraz testowanie i wdrażanie AI w opiece zdrowotnej, co umożliwi lepszą diagnozę, personalizację leczenia oraz rozwój innowacji w medycynie.</w:t>
            </w:r>
          </w:p>
        </w:tc>
        <w:tc>
          <w:tcPr>
            <w:tcW w:w="2126" w:type="dxa"/>
          </w:tcPr>
          <w:p w14:paraId="4AB27336" w14:textId="77777777" w:rsidR="00703762" w:rsidRPr="00AF0603" w:rsidRDefault="00703762" w:rsidP="00D967CC">
            <w:pPr>
              <w:rPr>
                <w:rFonts w:cstheme="minorHAnsi"/>
              </w:rPr>
            </w:pPr>
            <w:r w:rsidRPr="00AF0603">
              <w:rPr>
                <w:rFonts w:cstheme="minorHAnsi"/>
              </w:rPr>
              <w:t>SME support grant (50% poziom dofinansowania, 75% poziom dofinansowania dla MŚP)</w:t>
            </w:r>
          </w:p>
        </w:tc>
        <w:tc>
          <w:tcPr>
            <w:tcW w:w="1559" w:type="dxa"/>
          </w:tcPr>
          <w:p w14:paraId="3AFAB47C" w14:textId="3E84E578" w:rsidR="00703762" w:rsidRPr="00AF0603" w:rsidRDefault="00703762" w:rsidP="00D967CC">
            <w:pPr>
              <w:rPr>
                <w:rFonts w:cstheme="minorHAnsi"/>
              </w:rPr>
            </w:pPr>
            <w:r w:rsidRPr="00AF0603">
              <w:rPr>
                <w:rFonts w:cstheme="minorHAnsi"/>
              </w:rPr>
              <w:t>1</w:t>
            </w:r>
            <w:r w:rsidR="00090AE0">
              <w:rPr>
                <w:rFonts w:cstheme="minorHAnsi"/>
              </w:rPr>
              <w:t>4,4</w:t>
            </w:r>
            <w:r w:rsidRPr="00AF0603">
              <w:rPr>
                <w:rFonts w:cstheme="minorHAnsi"/>
              </w:rPr>
              <w:t xml:space="preserve"> mln euro</w:t>
            </w:r>
          </w:p>
        </w:tc>
        <w:tc>
          <w:tcPr>
            <w:tcW w:w="1560" w:type="dxa"/>
          </w:tcPr>
          <w:p w14:paraId="3EEAD908" w14:textId="77777777" w:rsidR="00703762" w:rsidRPr="00AF0603" w:rsidRDefault="00703762" w:rsidP="00D967CC">
            <w:pPr>
              <w:rPr>
                <w:rFonts w:cstheme="minorHAnsi"/>
              </w:rPr>
            </w:pPr>
            <w:r w:rsidRPr="00AF0603">
              <w:rPr>
                <w:rFonts w:cstheme="minorHAnsi"/>
              </w:rPr>
              <w:t>Czwarty kwartał 2025</w:t>
            </w:r>
          </w:p>
        </w:tc>
        <w:tc>
          <w:tcPr>
            <w:tcW w:w="992" w:type="dxa"/>
          </w:tcPr>
          <w:p w14:paraId="5294D588" w14:textId="77777777" w:rsidR="00703762" w:rsidRPr="00AF0603" w:rsidRDefault="00703762" w:rsidP="00D967CC">
            <w:pPr>
              <w:rPr>
                <w:rFonts w:cstheme="minorHAnsi"/>
              </w:rPr>
            </w:pPr>
            <w:r w:rsidRPr="00AF0603">
              <w:rPr>
                <w:rFonts w:cstheme="minorHAnsi"/>
              </w:rPr>
              <w:t>48 miesięcy</w:t>
            </w:r>
          </w:p>
        </w:tc>
        <w:tc>
          <w:tcPr>
            <w:tcW w:w="2551" w:type="dxa"/>
          </w:tcPr>
          <w:p w14:paraId="32D0A324" w14:textId="77777777" w:rsidR="00703762" w:rsidRPr="00AF0603" w:rsidRDefault="00703762" w:rsidP="00D967CC">
            <w:pPr>
              <w:rPr>
                <w:rFonts w:cstheme="minorHAnsi"/>
              </w:rPr>
            </w:pPr>
            <w:r w:rsidRPr="00AF0603">
              <w:rPr>
                <w:rFonts w:cstheme="minorHAnsi"/>
              </w:rPr>
              <w:t>Szpitale i przychodnie (zarówno podmioty publiczne, jak i prywatne są uprawnione), instytucje badawcze w dziedzinie opieki zdrowotnej (np. wydziały uniwersyteckie zajmujące się opieką nad pacjentami i przeprowadzające badania kliniczne), odpowiednie władze państw członkowskich (np. ministerstwa zdrowia), deweloperzy sztucznej inteligencji, np. firmy MedTech (szczególnie MŚP) współpracujące z dostawcami opieki zdrowotnej (szpitale/przychodnie), EDIC.</w:t>
            </w:r>
          </w:p>
          <w:p w14:paraId="090F62AA" w14:textId="77777777" w:rsidR="00703762" w:rsidRPr="00AF0603" w:rsidRDefault="00703762" w:rsidP="00D967CC">
            <w:pPr>
              <w:rPr>
                <w:rFonts w:eastAsia="Calibri" w:cstheme="minorHAnsi"/>
              </w:rPr>
            </w:pPr>
          </w:p>
        </w:tc>
      </w:tr>
      <w:tr w:rsidR="00703762" w:rsidRPr="00E90A99" w14:paraId="1F3AEAD9" w14:textId="77777777" w:rsidTr="005A32DD">
        <w:trPr>
          <w:trHeight w:val="1124"/>
        </w:trPr>
        <w:tc>
          <w:tcPr>
            <w:tcW w:w="1689" w:type="dxa"/>
          </w:tcPr>
          <w:p w14:paraId="7785F7B1" w14:textId="1CDBA53F" w:rsidR="00703762" w:rsidRPr="00E90A99" w:rsidRDefault="00703762" w:rsidP="00703762">
            <w:pPr>
              <w:rPr>
                <w:b/>
                <w:bCs/>
              </w:rPr>
            </w:pPr>
            <w:r w:rsidRPr="00E90A99">
              <w:rPr>
                <w:b/>
                <w:bCs/>
                <w:lang w:val="en-GB"/>
              </w:rPr>
              <w:t>Virtual worlds test beds</w:t>
            </w:r>
          </w:p>
        </w:tc>
        <w:tc>
          <w:tcPr>
            <w:tcW w:w="4827" w:type="dxa"/>
          </w:tcPr>
          <w:p w14:paraId="697C3849" w14:textId="2730C90E" w:rsidR="00703762" w:rsidRPr="00AF0603" w:rsidRDefault="00703762" w:rsidP="00703762">
            <w:pPr>
              <w:rPr>
                <w:rFonts w:cstheme="minorHAnsi"/>
              </w:rPr>
            </w:pPr>
            <w:r w:rsidRPr="00AF0603">
              <w:rPr>
                <w:rFonts w:cstheme="minorHAnsi"/>
              </w:rPr>
              <w:t xml:space="preserve">Celem naboru jest wsparcie testowania, eksperymentowania i integracji zaawansowanych technologii Virtual Worlds oraz immersyjnych i rozszerzonych rzeczywistości w wybranych sektorach, poprzez utworzenie dwóch testowych </w:t>
            </w:r>
            <w:r w:rsidRPr="00AF0603">
              <w:rPr>
                <w:rFonts w:cstheme="minorHAnsi"/>
              </w:rPr>
              <w:lastRenderedPageBreak/>
              <w:t>obiektów w obszarach przemysłowym i społecznym, które umożliwią walidację technologii w rzeczywistych warunkach oraz opracowanie rozwiązań interoperacyjnych i zrównoważonych.</w:t>
            </w:r>
          </w:p>
        </w:tc>
        <w:tc>
          <w:tcPr>
            <w:tcW w:w="2126" w:type="dxa"/>
          </w:tcPr>
          <w:p w14:paraId="5D883371" w14:textId="652C5413" w:rsidR="00703762" w:rsidRPr="00AF0603" w:rsidRDefault="00703762" w:rsidP="00703762">
            <w:pPr>
              <w:rPr>
                <w:rFonts w:cstheme="minorHAnsi"/>
              </w:rPr>
            </w:pPr>
            <w:r w:rsidRPr="00AF0603">
              <w:rPr>
                <w:rFonts w:cstheme="minorHAnsi"/>
              </w:rPr>
              <w:lastRenderedPageBreak/>
              <w:t>Simple grant (50% poziom dofinansowania)</w:t>
            </w:r>
          </w:p>
        </w:tc>
        <w:tc>
          <w:tcPr>
            <w:tcW w:w="1559" w:type="dxa"/>
          </w:tcPr>
          <w:p w14:paraId="4D2A579B" w14:textId="0C4E317D" w:rsidR="00703762" w:rsidRPr="00AF0603" w:rsidRDefault="00653BD1" w:rsidP="00703762">
            <w:pPr>
              <w:rPr>
                <w:rFonts w:cstheme="minorHAnsi"/>
              </w:rPr>
            </w:pPr>
            <w:r>
              <w:rPr>
                <w:rFonts w:cstheme="minorHAnsi"/>
              </w:rPr>
              <w:t>17</w:t>
            </w:r>
            <w:r w:rsidR="00703762" w:rsidRPr="00AF0603">
              <w:rPr>
                <w:rFonts w:cstheme="minorHAnsi"/>
              </w:rPr>
              <w:t xml:space="preserve"> mln euro</w:t>
            </w:r>
          </w:p>
        </w:tc>
        <w:tc>
          <w:tcPr>
            <w:tcW w:w="1560" w:type="dxa"/>
          </w:tcPr>
          <w:p w14:paraId="6C6FC22D" w14:textId="5DB80DD3" w:rsidR="00703762" w:rsidRPr="00AF0603" w:rsidRDefault="00703762" w:rsidP="00703762">
            <w:pPr>
              <w:rPr>
                <w:rFonts w:cstheme="minorHAnsi"/>
              </w:rPr>
            </w:pPr>
            <w:r w:rsidRPr="00AF0603">
              <w:rPr>
                <w:rFonts w:cstheme="minorHAnsi"/>
              </w:rPr>
              <w:t>Czwarty kwartał 2025</w:t>
            </w:r>
          </w:p>
        </w:tc>
        <w:tc>
          <w:tcPr>
            <w:tcW w:w="992" w:type="dxa"/>
          </w:tcPr>
          <w:p w14:paraId="167935A1" w14:textId="6782FE5F" w:rsidR="00703762" w:rsidRPr="00AF0603" w:rsidRDefault="00653BD1" w:rsidP="00703762">
            <w:pPr>
              <w:rPr>
                <w:rFonts w:cstheme="minorHAnsi"/>
              </w:rPr>
            </w:pPr>
            <w:r>
              <w:rPr>
                <w:rFonts w:cstheme="minorHAnsi"/>
              </w:rPr>
              <w:t>48-60 miesięcy</w:t>
            </w:r>
          </w:p>
        </w:tc>
        <w:tc>
          <w:tcPr>
            <w:tcW w:w="2551" w:type="dxa"/>
          </w:tcPr>
          <w:p w14:paraId="430B2FF0" w14:textId="7703B0A9" w:rsidR="00703762" w:rsidRPr="00AF0603" w:rsidRDefault="00703762" w:rsidP="00703762">
            <w:pPr>
              <w:rPr>
                <w:rFonts w:cstheme="minorHAnsi"/>
              </w:rPr>
            </w:pPr>
            <w:r w:rsidRPr="00AF0603">
              <w:rPr>
                <w:rFonts w:cstheme="minorHAnsi"/>
              </w:rPr>
              <w:t xml:space="preserve">Podmioty publiczne lub prywatne, koncentrujące się głównie na małych uniwersytetach, MŚP i </w:t>
            </w:r>
            <w:r w:rsidRPr="00AF0603">
              <w:rPr>
                <w:rFonts w:cstheme="minorHAnsi"/>
              </w:rPr>
              <w:lastRenderedPageBreak/>
              <w:t>start-upach w obszarze Virtual Worlds.</w:t>
            </w:r>
          </w:p>
        </w:tc>
      </w:tr>
      <w:tr w:rsidR="00703762" w:rsidRPr="00E90A99" w14:paraId="2149EB3F" w14:textId="77777777" w:rsidTr="005A32DD">
        <w:trPr>
          <w:trHeight w:val="1124"/>
        </w:trPr>
        <w:tc>
          <w:tcPr>
            <w:tcW w:w="1689" w:type="dxa"/>
          </w:tcPr>
          <w:p w14:paraId="33F991A1" w14:textId="4D972E41" w:rsidR="00703762" w:rsidRPr="00E90A99" w:rsidRDefault="00703762" w:rsidP="00703762">
            <w:pPr>
              <w:rPr>
                <w:b/>
                <w:bCs/>
                <w:lang w:val="en-GB"/>
              </w:rPr>
            </w:pPr>
            <w:r w:rsidRPr="00E90A99">
              <w:rPr>
                <w:b/>
                <w:bCs/>
                <w:lang w:val="en-GB"/>
              </w:rPr>
              <w:lastRenderedPageBreak/>
              <w:t>ELEVATE: European League of Advanced Digital Skills Academies</w:t>
            </w:r>
          </w:p>
        </w:tc>
        <w:tc>
          <w:tcPr>
            <w:tcW w:w="4827" w:type="dxa"/>
          </w:tcPr>
          <w:p w14:paraId="2785CB64" w14:textId="77777777" w:rsidR="00703762" w:rsidRPr="00AF0603" w:rsidRDefault="00703762" w:rsidP="00703762">
            <w:pPr>
              <w:rPr>
                <w:rFonts w:cstheme="minorHAnsi"/>
              </w:rPr>
            </w:pPr>
            <w:r w:rsidRPr="00AF0603">
              <w:rPr>
                <w:rFonts w:cstheme="minorHAnsi"/>
              </w:rPr>
              <w:t xml:space="preserve">Nabór dotyczy utworzenia </w:t>
            </w:r>
            <w:r w:rsidRPr="00AF0603">
              <w:rPr>
                <w:rFonts w:cstheme="minorHAnsi"/>
                <w:b/>
                <w:bCs/>
                <w:lang w:val="en-GB"/>
              </w:rPr>
              <w:t>European League of Advanced Digital Skills Academies</w:t>
            </w:r>
            <w:r w:rsidRPr="00AF0603">
              <w:rPr>
                <w:rFonts w:cstheme="minorHAnsi"/>
              </w:rPr>
              <w:t>, której celem jest koordynowanie działań związanych z rozwojem kompetencji cyfrowych w kluczowych obszarach, wspierając współpracę między inicjatywami sektorowymi, projektami UE oraz platformą Digital Skills and Jobs. Głównym celem jest opracowanie mechanizmu certyfikacji, poprawa widoczności ścieżek kariery ICT oraz analiza dopasowania oferty edukacyjnej do potrzeb rynku pracy w obszarze zaawansowanych umiejętności cyfrowych.</w:t>
            </w:r>
          </w:p>
          <w:p w14:paraId="52D88DC0" w14:textId="77777777" w:rsidR="00703762" w:rsidRPr="00AF0603" w:rsidRDefault="00703762" w:rsidP="00703762">
            <w:pPr>
              <w:rPr>
                <w:rFonts w:cstheme="minorHAnsi"/>
              </w:rPr>
            </w:pPr>
          </w:p>
          <w:p w14:paraId="08548E01" w14:textId="3BD64E47" w:rsidR="00703762" w:rsidRPr="00AF0603" w:rsidRDefault="00703762" w:rsidP="00703762">
            <w:pPr>
              <w:rPr>
                <w:rFonts w:cstheme="minorHAnsi"/>
              </w:rPr>
            </w:pPr>
          </w:p>
        </w:tc>
        <w:tc>
          <w:tcPr>
            <w:tcW w:w="2126" w:type="dxa"/>
          </w:tcPr>
          <w:p w14:paraId="2ED87EE7" w14:textId="44DC7776" w:rsidR="00703762" w:rsidRPr="00AF0603" w:rsidRDefault="00703762" w:rsidP="00703762">
            <w:pPr>
              <w:rPr>
                <w:rFonts w:cstheme="minorHAnsi"/>
              </w:rPr>
            </w:pPr>
            <w:r w:rsidRPr="00AF0603">
              <w:rPr>
                <w:rFonts w:cstheme="minorHAnsi"/>
              </w:rPr>
              <w:t>Coordination and support action grant (100% poziom dofinansowania)</w:t>
            </w:r>
          </w:p>
        </w:tc>
        <w:tc>
          <w:tcPr>
            <w:tcW w:w="1559" w:type="dxa"/>
          </w:tcPr>
          <w:p w14:paraId="428922C8" w14:textId="5CAEC46B" w:rsidR="00703762" w:rsidRPr="00AF0603" w:rsidRDefault="00653BD1" w:rsidP="00703762">
            <w:pPr>
              <w:rPr>
                <w:rFonts w:cstheme="minorHAnsi"/>
              </w:rPr>
            </w:pPr>
            <w:r>
              <w:rPr>
                <w:rFonts w:cstheme="minorHAnsi"/>
              </w:rPr>
              <w:t>7,2</w:t>
            </w:r>
            <w:r w:rsidR="00703762" w:rsidRPr="00AF0603">
              <w:rPr>
                <w:rFonts w:cstheme="minorHAnsi"/>
              </w:rPr>
              <w:t xml:space="preserve"> mln euro</w:t>
            </w:r>
          </w:p>
        </w:tc>
        <w:tc>
          <w:tcPr>
            <w:tcW w:w="1560" w:type="dxa"/>
          </w:tcPr>
          <w:p w14:paraId="22083BB5" w14:textId="667D3A27" w:rsidR="00703762" w:rsidRPr="00AF0603" w:rsidRDefault="00703762" w:rsidP="00703762">
            <w:pPr>
              <w:rPr>
                <w:rFonts w:cstheme="minorHAnsi"/>
              </w:rPr>
            </w:pPr>
            <w:r w:rsidRPr="00AF0603">
              <w:rPr>
                <w:rFonts w:cstheme="minorHAnsi"/>
              </w:rPr>
              <w:t>Czwarty kwartał 2025</w:t>
            </w:r>
          </w:p>
        </w:tc>
        <w:tc>
          <w:tcPr>
            <w:tcW w:w="992" w:type="dxa"/>
          </w:tcPr>
          <w:p w14:paraId="30E75B8F" w14:textId="6B28BE39" w:rsidR="00703762" w:rsidRPr="00AF0603" w:rsidRDefault="00703762" w:rsidP="00703762">
            <w:pPr>
              <w:rPr>
                <w:rFonts w:cstheme="minorHAnsi"/>
              </w:rPr>
            </w:pPr>
            <w:r w:rsidRPr="00AF0603">
              <w:rPr>
                <w:rFonts w:cstheme="minorHAnsi"/>
              </w:rPr>
              <w:t>48 miesięcy</w:t>
            </w:r>
          </w:p>
        </w:tc>
        <w:tc>
          <w:tcPr>
            <w:tcW w:w="2551" w:type="dxa"/>
          </w:tcPr>
          <w:p w14:paraId="1516738A" w14:textId="77777777" w:rsidR="00703762" w:rsidRPr="00AF0603" w:rsidRDefault="00703762" w:rsidP="00703762">
            <w:pPr>
              <w:rPr>
                <w:rFonts w:cstheme="minorHAnsi"/>
              </w:rPr>
            </w:pPr>
            <w:r w:rsidRPr="00AF0603">
              <w:rPr>
                <w:rFonts w:cstheme="minorHAnsi"/>
              </w:rPr>
              <w:t>Instytucje szkolnictwa wyższego, instytucje kształcenia zawodowego i szkoleniowe, inni dostawcy edukacji i szkoleń, instytuty badawcze, centra doskonałości, administracje publiczne i/lub organy rządowe, agencje zatrudnienia, deweloperzy IT, partnerzy przemysłowi, stowarzyszenia branżowe i przemysłowe, partnerzy społeczni i organizacje pozarządowe itp.</w:t>
            </w:r>
          </w:p>
          <w:p w14:paraId="36B03765" w14:textId="3A35C057" w:rsidR="00703762" w:rsidRPr="00AF0603" w:rsidRDefault="00703762" w:rsidP="00703762">
            <w:pPr>
              <w:rPr>
                <w:rFonts w:cstheme="minorHAnsi"/>
              </w:rPr>
            </w:pPr>
          </w:p>
        </w:tc>
      </w:tr>
      <w:tr w:rsidR="00703762" w:rsidRPr="00E90A99" w14:paraId="15C58988" w14:textId="77777777" w:rsidTr="005A32DD">
        <w:trPr>
          <w:trHeight w:val="1124"/>
        </w:trPr>
        <w:tc>
          <w:tcPr>
            <w:tcW w:w="1689" w:type="dxa"/>
          </w:tcPr>
          <w:p w14:paraId="4714DACD" w14:textId="5C90138B" w:rsidR="00703762" w:rsidRPr="00E90A99" w:rsidRDefault="00703762" w:rsidP="00703762">
            <w:pPr>
              <w:rPr>
                <w:b/>
                <w:bCs/>
                <w:lang w:val="en-GB"/>
              </w:rPr>
            </w:pPr>
            <w:r w:rsidRPr="00E90A99">
              <w:rPr>
                <w:b/>
                <w:bCs/>
                <w:lang w:val="en-GB"/>
              </w:rPr>
              <w:t>European Advanced Digital Skills Competitions</w:t>
            </w:r>
          </w:p>
        </w:tc>
        <w:tc>
          <w:tcPr>
            <w:tcW w:w="4827" w:type="dxa"/>
          </w:tcPr>
          <w:p w14:paraId="061ACEBB" w14:textId="5CA6131F" w:rsidR="00703762" w:rsidRPr="00AF0603" w:rsidRDefault="00703762" w:rsidP="00703762">
            <w:pPr>
              <w:rPr>
                <w:rFonts w:cstheme="minorHAnsi"/>
              </w:rPr>
            </w:pPr>
            <w:r w:rsidRPr="00AF0603">
              <w:rPr>
                <w:rFonts w:cstheme="minorHAnsi"/>
              </w:rPr>
              <w:t xml:space="preserve">Nabór dotyczy organizacji </w:t>
            </w:r>
            <w:r w:rsidRPr="00AF0603">
              <w:rPr>
                <w:rFonts w:cstheme="minorHAnsi"/>
                <w:lang w:val="en-GB"/>
              </w:rPr>
              <w:t>European Advanced Digital Skills Competitions</w:t>
            </w:r>
            <w:r w:rsidRPr="00AF0603">
              <w:rPr>
                <w:rFonts w:cstheme="minorHAnsi"/>
              </w:rPr>
              <w:t xml:space="preserve">, które mają na celu </w:t>
            </w:r>
            <w:r w:rsidR="004A2AA0" w:rsidRPr="00AF0603">
              <w:rPr>
                <w:rFonts w:cstheme="minorHAnsi"/>
              </w:rPr>
              <w:t>za</w:t>
            </w:r>
            <w:r w:rsidRPr="00AF0603">
              <w:rPr>
                <w:rFonts w:cstheme="minorHAnsi"/>
              </w:rPr>
              <w:t>angażowanie młodych ludzi w najnowsze</w:t>
            </w:r>
            <w:r w:rsidR="004A2AA0" w:rsidRPr="00AF0603">
              <w:rPr>
                <w:rFonts w:cstheme="minorHAnsi"/>
              </w:rPr>
              <w:t xml:space="preserve"> </w:t>
            </w:r>
            <w:r w:rsidRPr="00AF0603">
              <w:rPr>
                <w:rFonts w:cstheme="minorHAnsi"/>
              </w:rPr>
              <w:t>technologie cyfrowe poprzez wyzwania związane z kluczowymi problemami społecznymi i przemysłowymi. Celem konkursów jest wspieranie kreatywności uczestników, rozwój ich umiejętności oraz promowanie innowacji w obszarach takich jak Quantum, GenAI, Chips, Virtual Worlds i Destination Earth.</w:t>
            </w:r>
          </w:p>
        </w:tc>
        <w:tc>
          <w:tcPr>
            <w:tcW w:w="2126" w:type="dxa"/>
          </w:tcPr>
          <w:p w14:paraId="4D7990C2" w14:textId="47139CC1" w:rsidR="00703762" w:rsidRPr="00AF0603" w:rsidRDefault="00703762" w:rsidP="00703762">
            <w:pPr>
              <w:rPr>
                <w:rFonts w:cstheme="minorHAnsi"/>
              </w:rPr>
            </w:pPr>
            <w:r w:rsidRPr="00AF0603">
              <w:rPr>
                <w:rFonts w:cstheme="minorHAnsi"/>
              </w:rPr>
              <w:t>Coordination and support action grant (100% poziom dofinansowania)</w:t>
            </w:r>
          </w:p>
        </w:tc>
        <w:tc>
          <w:tcPr>
            <w:tcW w:w="1559" w:type="dxa"/>
          </w:tcPr>
          <w:p w14:paraId="4BB33E7D" w14:textId="235C91DC" w:rsidR="00703762" w:rsidRPr="00AF0603" w:rsidRDefault="00653BD1" w:rsidP="00703762">
            <w:pPr>
              <w:rPr>
                <w:rFonts w:cstheme="minorHAnsi"/>
              </w:rPr>
            </w:pPr>
            <w:r>
              <w:rPr>
                <w:rFonts w:cstheme="minorHAnsi"/>
              </w:rPr>
              <w:t>7</w:t>
            </w:r>
            <w:r w:rsidR="00703762" w:rsidRPr="00AF0603">
              <w:rPr>
                <w:rFonts w:cstheme="minorHAnsi"/>
              </w:rPr>
              <w:t xml:space="preserve"> mln euro</w:t>
            </w:r>
          </w:p>
        </w:tc>
        <w:tc>
          <w:tcPr>
            <w:tcW w:w="1560" w:type="dxa"/>
          </w:tcPr>
          <w:p w14:paraId="36711D59" w14:textId="59BC39E2" w:rsidR="00703762" w:rsidRPr="00AF0603" w:rsidRDefault="00703762" w:rsidP="00703762">
            <w:pPr>
              <w:rPr>
                <w:rFonts w:cstheme="minorHAnsi"/>
              </w:rPr>
            </w:pPr>
            <w:r w:rsidRPr="00AF0603">
              <w:rPr>
                <w:rFonts w:cstheme="minorHAnsi"/>
              </w:rPr>
              <w:t>Czwarty kwartał 2025</w:t>
            </w:r>
          </w:p>
        </w:tc>
        <w:tc>
          <w:tcPr>
            <w:tcW w:w="992" w:type="dxa"/>
          </w:tcPr>
          <w:p w14:paraId="2C7FB44D" w14:textId="5B5F54A9" w:rsidR="00703762" w:rsidRPr="00AF0603" w:rsidRDefault="00703762" w:rsidP="00703762">
            <w:pPr>
              <w:rPr>
                <w:rFonts w:cstheme="minorHAnsi"/>
              </w:rPr>
            </w:pPr>
            <w:r w:rsidRPr="00AF0603">
              <w:rPr>
                <w:rFonts w:cstheme="minorHAnsi"/>
              </w:rPr>
              <w:t>24-36 miesięcy</w:t>
            </w:r>
          </w:p>
        </w:tc>
        <w:tc>
          <w:tcPr>
            <w:tcW w:w="2551" w:type="dxa"/>
          </w:tcPr>
          <w:p w14:paraId="3A34C710" w14:textId="733FD113" w:rsidR="00703762" w:rsidRPr="00AF0603" w:rsidRDefault="00703762" w:rsidP="00703762">
            <w:pPr>
              <w:rPr>
                <w:rFonts w:cstheme="minorHAnsi"/>
              </w:rPr>
            </w:pPr>
            <w:r w:rsidRPr="00AF0603">
              <w:rPr>
                <w:rFonts w:cstheme="minorHAnsi"/>
              </w:rPr>
              <w:t>Instytucje szkolnictwa wyższego, instytucje kształcenia zawodowego i szkoleniowego, inni dostawcy edukacji i szkoleń, partnerzy przemysłowi, instytuty badawcze, administracje publiczne i/lub organy rządowe, deweloperzy IT.</w:t>
            </w:r>
          </w:p>
        </w:tc>
      </w:tr>
      <w:tr w:rsidR="004A2AA0" w:rsidRPr="00E90A99" w14:paraId="6B74E583" w14:textId="77777777" w:rsidTr="005A32DD">
        <w:trPr>
          <w:trHeight w:val="1124"/>
        </w:trPr>
        <w:tc>
          <w:tcPr>
            <w:tcW w:w="1689" w:type="dxa"/>
          </w:tcPr>
          <w:p w14:paraId="1B49DDE0" w14:textId="31937964" w:rsidR="004A2AA0" w:rsidRPr="00E90A99" w:rsidRDefault="004A2AA0" w:rsidP="00703762">
            <w:pPr>
              <w:rPr>
                <w:b/>
                <w:bCs/>
                <w:lang w:val="en-GB"/>
              </w:rPr>
            </w:pPr>
            <w:r>
              <w:rPr>
                <w:b/>
                <w:bCs/>
                <w:lang w:val="en-GB"/>
              </w:rPr>
              <w:lastRenderedPageBreak/>
              <w:t>GovTech</w:t>
            </w:r>
          </w:p>
        </w:tc>
        <w:tc>
          <w:tcPr>
            <w:tcW w:w="4827" w:type="dxa"/>
          </w:tcPr>
          <w:p w14:paraId="7BD1A1A1" w14:textId="719F0711" w:rsidR="004A2AA0" w:rsidRPr="00AF0603" w:rsidRDefault="00320F26" w:rsidP="00703762">
            <w:pPr>
              <w:rPr>
                <w:rFonts w:cstheme="minorHAnsi"/>
              </w:rPr>
            </w:pPr>
            <w:r w:rsidRPr="00AF0603">
              <w:rPr>
                <w:rFonts w:cstheme="minorHAnsi"/>
              </w:rPr>
              <w:t>Celem naboru jest wzmocnienie innowacyjności sektora publicznego oraz rozwój nowatorskich rozwiązań w zakresie interoperacyjności, poprzez dalsze działania w ramach inicjatywy GovTech4All. W szczególności działanie zakłada połączenie licznych krajowych laboratoriów GovTech, rozwój pilotaży z wykorzystaniem nowych technologii (np. AI, VR), a także tworzenie katalogu europejskich laboratoriów, MŚP i start-upów działających w obszarze GovTech.</w:t>
            </w:r>
          </w:p>
        </w:tc>
        <w:tc>
          <w:tcPr>
            <w:tcW w:w="2126" w:type="dxa"/>
          </w:tcPr>
          <w:p w14:paraId="343293BA" w14:textId="6EB5F054" w:rsidR="004A2AA0" w:rsidRPr="00AF0603" w:rsidRDefault="00320F26" w:rsidP="00703762">
            <w:pPr>
              <w:rPr>
                <w:rFonts w:cstheme="minorHAnsi"/>
              </w:rPr>
            </w:pPr>
            <w:r w:rsidRPr="00AF0603">
              <w:rPr>
                <w:rFonts w:cstheme="minorHAnsi"/>
              </w:rPr>
              <w:t>Specific Grant Agreement (50% poziom dofinansowania)</w:t>
            </w:r>
          </w:p>
        </w:tc>
        <w:tc>
          <w:tcPr>
            <w:tcW w:w="1559" w:type="dxa"/>
          </w:tcPr>
          <w:p w14:paraId="135A1253" w14:textId="1584A02C" w:rsidR="004A2AA0" w:rsidRPr="00AF0603" w:rsidRDefault="00653BD1" w:rsidP="00703762">
            <w:pPr>
              <w:rPr>
                <w:rFonts w:cstheme="minorHAnsi"/>
              </w:rPr>
            </w:pPr>
            <w:r>
              <w:rPr>
                <w:rFonts w:cstheme="minorHAnsi"/>
              </w:rPr>
              <w:t xml:space="preserve">4 </w:t>
            </w:r>
            <w:r w:rsidR="004A2AA0" w:rsidRPr="00AF0603">
              <w:rPr>
                <w:rFonts w:cstheme="minorHAnsi"/>
              </w:rPr>
              <w:t>mln euro</w:t>
            </w:r>
          </w:p>
        </w:tc>
        <w:tc>
          <w:tcPr>
            <w:tcW w:w="1560" w:type="dxa"/>
          </w:tcPr>
          <w:p w14:paraId="017DC622" w14:textId="2CA6FB7C" w:rsidR="004A2AA0" w:rsidRPr="00AF0603" w:rsidRDefault="004A2AA0" w:rsidP="00703762">
            <w:pPr>
              <w:rPr>
                <w:rFonts w:cstheme="minorHAnsi"/>
              </w:rPr>
            </w:pPr>
            <w:r w:rsidRPr="00AF0603">
              <w:rPr>
                <w:rFonts w:cstheme="minorHAnsi"/>
              </w:rPr>
              <w:t>Czwarty kwartał 2025</w:t>
            </w:r>
          </w:p>
        </w:tc>
        <w:tc>
          <w:tcPr>
            <w:tcW w:w="992" w:type="dxa"/>
          </w:tcPr>
          <w:p w14:paraId="5126C0DF" w14:textId="180F59AA" w:rsidR="004A2AA0" w:rsidRPr="00AF0603" w:rsidRDefault="00320F26" w:rsidP="00703762">
            <w:pPr>
              <w:rPr>
                <w:rFonts w:cstheme="minorHAnsi"/>
              </w:rPr>
            </w:pPr>
            <w:r w:rsidRPr="00AF0603">
              <w:rPr>
                <w:rFonts w:cstheme="minorHAnsi"/>
              </w:rPr>
              <w:t>36 miesięcy</w:t>
            </w:r>
          </w:p>
        </w:tc>
        <w:tc>
          <w:tcPr>
            <w:tcW w:w="2551" w:type="dxa"/>
          </w:tcPr>
          <w:p w14:paraId="56C1FF88" w14:textId="1D39DA4B" w:rsidR="004A2AA0" w:rsidRPr="00AF0603" w:rsidRDefault="00320F26" w:rsidP="00703762">
            <w:pPr>
              <w:rPr>
                <w:rFonts w:cstheme="minorHAnsi"/>
              </w:rPr>
            </w:pPr>
            <w:r w:rsidRPr="00AF0603">
              <w:rPr>
                <w:rFonts w:cstheme="minorHAnsi"/>
              </w:rPr>
              <w:t>Wybrane konsorcjum w ramach porozumienia ramowego (FPA) GovTech4All.</w:t>
            </w:r>
          </w:p>
        </w:tc>
      </w:tr>
      <w:tr w:rsidR="00703762" w:rsidRPr="00E90A99" w14:paraId="7BC5A0E8" w14:textId="77777777" w:rsidTr="005A32DD">
        <w:trPr>
          <w:trHeight w:val="1124"/>
        </w:trPr>
        <w:tc>
          <w:tcPr>
            <w:tcW w:w="1689" w:type="dxa"/>
          </w:tcPr>
          <w:p w14:paraId="385998D9" w14:textId="5359CC97" w:rsidR="00703762" w:rsidRPr="00E90A99" w:rsidRDefault="00703762" w:rsidP="00703762">
            <w:pPr>
              <w:rPr>
                <w:b/>
                <w:bCs/>
                <w:lang w:val="en-GB"/>
              </w:rPr>
            </w:pPr>
            <w:r w:rsidRPr="00E90A99">
              <w:rPr>
                <w:b/>
                <w:bCs/>
                <w:lang w:val="en-GB"/>
              </w:rPr>
              <w:t>MCP on Innovative and Connected Public Administrations</w:t>
            </w:r>
          </w:p>
        </w:tc>
        <w:tc>
          <w:tcPr>
            <w:tcW w:w="4827" w:type="dxa"/>
          </w:tcPr>
          <w:p w14:paraId="60498031" w14:textId="2C71FA45" w:rsidR="00703762" w:rsidRPr="00AF0603" w:rsidRDefault="00703762" w:rsidP="00703762">
            <w:pPr>
              <w:rPr>
                <w:rFonts w:cstheme="minorHAnsi"/>
              </w:rPr>
            </w:pPr>
            <w:r w:rsidRPr="00AF0603">
              <w:rPr>
                <w:rFonts w:cstheme="minorHAnsi"/>
              </w:rPr>
              <w:t>Nabór ma na celu wspieranie współpracy między państwami członkowskimi UE w zakresie rozwoju i testowania elementów niezbędnych do świadczenia usług publicznych cyfrowych na poziomie transgranicznym. Celem jest opracowanie i wdrożenie innowacyjnych, interoperacyjnych rozwiązań, które mogą zostać szeroko wdrożone w UE, w tym pilotaży usług publicznych i przestrzeni danych.</w:t>
            </w:r>
          </w:p>
        </w:tc>
        <w:tc>
          <w:tcPr>
            <w:tcW w:w="2126" w:type="dxa"/>
          </w:tcPr>
          <w:p w14:paraId="7EC7BCF3" w14:textId="70984051" w:rsidR="00703762" w:rsidRPr="00AF0603" w:rsidRDefault="00703762" w:rsidP="00703762">
            <w:pPr>
              <w:rPr>
                <w:rFonts w:cstheme="minorHAnsi"/>
              </w:rPr>
            </w:pPr>
            <w:r w:rsidRPr="00AF0603">
              <w:rPr>
                <w:rFonts w:cstheme="minorHAnsi"/>
              </w:rPr>
              <w:t>Simple grant (50% poziom dofinansowania)</w:t>
            </w:r>
          </w:p>
        </w:tc>
        <w:tc>
          <w:tcPr>
            <w:tcW w:w="1559" w:type="dxa"/>
          </w:tcPr>
          <w:p w14:paraId="4FA8BEB9" w14:textId="3E345E5F" w:rsidR="00703762" w:rsidRPr="00AF0603" w:rsidRDefault="00703762" w:rsidP="00703762">
            <w:pPr>
              <w:rPr>
                <w:rFonts w:cstheme="minorHAnsi"/>
              </w:rPr>
            </w:pPr>
            <w:r w:rsidRPr="00AF0603">
              <w:rPr>
                <w:rFonts w:cstheme="minorHAnsi"/>
              </w:rPr>
              <w:t>6 mln euro</w:t>
            </w:r>
          </w:p>
        </w:tc>
        <w:tc>
          <w:tcPr>
            <w:tcW w:w="1560" w:type="dxa"/>
          </w:tcPr>
          <w:p w14:paraId="17A99035" w14:textId="1C90B0AC" w:rsidR="00703762" w:rsidRPr="00AF0603" w:rsidRDefault="00703762" w:rsidP="00703762">
            <w:pPr>
              <w:rPr>
                <w:rFonts w:cstheme="minorHAnsi"/>
              </w:rPr>
            </w:pPr>
            <w:r w:rsidRPr="00AF0603">
              <w:rPr>
                <w:rFonts w:cstheme="minorHAnsi"/>
              </w:rPr>
              <w:t>Czwarty kwartał 2025</w:t>
            </w:r>
          </w:p>
        </w:tc>
        <w:tc>
          <w:tcPr>
            <w:tcW w:w="992" w:type="dxa"/>
          </w:tcPr>
          <w:p w14:paraId="5F0E024A" w14:textId="7CA0EEEB" w:rsidR="00703762" w:rsidRPr="00AF0603" w:rsidRDefault="00703762" w:rsidP="00703762">
            <w:pPr>
              <w:rPr>
                <w:rFonts w:cstheme="minorHAnsi"/>
              </w:rPr>
            </w:pPr>
            <w:r w:rsidRPr="00AF0603">
              <w:rPr>
                <w:rFonts w:cstheme="minorHAnsi"/>
              </w:rPr>
              <w:t>36 miesiąc</w:t>
            </w:r>
            <w:r w:rsidR="00320F26" w:rsidRPr="00AF0603">
              <w:rPr>
                <w:rFonts w:cstheme="minorHAnsi"/>
              </w:rPr>
              <w:t>y</w:t>
            </w:r>
          </w:p>
        </w:tc>
        <w:tc>
          <w:tcPr>
            <w:tcW w:w="2551" w:type="dxa"/>
          </w:tcPr>
          <w:p w14:paraId="377AC433" w14:textId="4F26790E" w:rsidR="00703762" w:rsidRPr="00AF0603" w:rsidRDefault="00703762" w:rsidP="00703762">
            <w:pPr>
              <w:rPr>
                <w:rFonts w:cstheme="minorHAnsi"/>
              </w:rPr>
            </w:pPr>
            <w:r w:rsidRPr="00AF0603">
              <w:rPr>
                <w:rFonts w:cstheme="minorHAnsi"/>
              </w:rPr>
              <w:t>EDIC, podmioty publiczne i prywatne, takie jak: administracje publiczne (na poziomie krajowym</w:t>
            </w:r>
            <w:r w:rsidR="00320F26" w:rsidRPr="00AF0603">
              <w:rPr>
                <w:rFonts w:cstheme="minorHAnsi"/>
              </w:rPr>
              <w:t xml:space="preserve">, regionalnym </w:t>
            </w:r>
            <w:r w:rsidRPr="00AF0603">
              <w:rPr>
                <w:rFonts w:cstheme="minorHAnsi"/>
              </w:rPr>
              <w:t>i lokalnym), podmioty gospodarcze (MŚP, duże organizacje) oraz inne.</w:t>
            </w:r>
          </w:p>
        </w:tc>
      </w:tr>
      <w:tr w:rsidR="004A2AA0" w:rsidRPr="00E90A99" w14:paraId="631B55CE" w14:textId="77777777" w:rsidTr="005A32DD">
        <w:trPr>
          <w:trHeight w:val="1124"/>
        </w:trPr>
        <w:tc>
          <w:tcPr>
            <w:tcW w:w="1689" w:type="dxa"/>
          </w:tcPr>
          <w:p w14:paraId="7E941BF8" w14:textId="46E4596D" w:rsidR="004A2AA0" w:rsidRPr="00E90A99" w:rsidRDefault="004A2AA0" w:rsidP="00703762">
            <w:pPr>
              <w:rPr>
                <w:b/>
                <w:bCs/>
                <w:lang w:val="en-GB"/>
              </w:rPr>
            </w:pPr>
            <w:r>
              <w:rPr>
                <w:b/>
                <w:bCs/>
                <w:lang w:val="en-GB"/>
              </w:rPr>
              <w:t>IT system supporting the removal of online child sexual abuse (CSAM)</w:t>
            </w:r>
          </w:p>
        </w:tc>
        <w:tc>
          <w:tcPr>
            <w:tcW w:w="4827" w:type="dxa"/>
          </w:tcPr>
          <w:p w14:paraId="1301FD58" w14:textId="5DE7B52D" w:rsidR="004A2AA0" w:rsidRPr="00AF0603" w:rsidRDefault="00C940CB" w:rsidP="00703762">
            <w:pPr>
              <w:rPr>
                <w:rFonts w:cstheme="minorHAnsi"/>
              </w:rPr>
            </w:pPr>
            <w:r w:rsidRPr="00AF0603">
              <w:rPr>
                <w:rFonts w:cstheme="minorHAnsi"/>
              </w:rPr>
              <w:t>Celem naboru jest ograniczenie rozpowszechniania materiałów przedstawiających seksualne wykorzystywanie dzieci w Internecie (CSAM) poprzez utrzymanie systemu informatycznego wspierającego współpracę sieci infolinii INHOPE.</w:t>
            </w:r>
          </w:p>
        </w:tc>
        <w:tc>
          <w:tcPr>
            <w:tcW w:w="2126" w:type="dxa"/>
          </w:tcPr>
          <w:p w14:paraId="4E60E35F" w14:textId="34518018" w:rsidR="004A2AA0" w:rsidRPr="00AF0603" w:rsidRDefault="00C940CB" w:rsidP="00703762">
            <w:pPr>
              <w:rPr>
                <w:rFonts w:cstheme="minorHAnsi"/>
              </w:rPr>
            </w:pPr>
            <w:r w:rsidRPr="00AF0603">
              <w:rPr>
                <w:rFonts w:cstheme="minorHAnsi"/>
              </w:rPr>
              <w:t>Coordination and support action grant (100% poziom dofinansowania)</w:t>
            </w:r>
          </w:p>
        </w:tc>
        <w:tc>
          <w:tcPr>
            <w:tcW w:w="1559" w:type="dxa"/>
          </w:tcPr>
          <w:p w14:paraId="75FF9B82" w14:textId="042C9CBD" w:rsidR="004A2AA0" w:rsidRPr="00AF0603" w:rsidRDefault="004A2AA0" w:rsidP="00703762">
            <w:pPr>
              <w:rPr>
                <w:rFonts w:cstheme="minorHAnsi"/>
              </w:rPr>
            </w:pPr>
            <w:r w:rsidRPr="00AF0603">
              <w:rPr>
                <w:rFonts w:cstheme="minorHAnsi"/>
              </w:rPr>
              <w:t>0,</w:t>
            </w:r>
            <w:r w:rsidR="00653BD1">
              <w:rPr>
                <w:rFonts w:cstheme="minorHAnsi"/>
              </w:rPr>
              <w:t xml:space="preserve">675 </w:t>
            </w:r>
            <w:r w:rsidRPr="00AF0603">
              <w:rPr>
                <w:rFonts w:cstheme="minorHAnsi"/>
              </w:rPr>
              <w:t>mln euro</w:t>
            </w:r>
          </w:p>
        </w:tc>
        <w:tc>
          <w:tcPr>
            <w:tcW w:w="1560" w:type="dxa"/>
          </w:tcPr>
          <w:p w14:paraId="69FDCEEC" w14:textId="2BECAB32" w:rsidR="004A2AA0" w:rsidRPr="00AF0603" w:rsidRDefault="0095673C" w:rsidP="00703762">
            <w:pPr>
              <w:rPr>
                <w:rFonts w:cstheme="minorHAnsi"/>
              </w:rPr>
            </w:pPr>
            <w:r w:rsidRPr="00AF0603">
              <w:rPr>
                <w:rFonts w:cstheme="minorHAnsi"/>
              </w:rPr>
              <w:t>Czwarty kwartał 2025</w:t>
            </w:r>
          </w:p>
        </w:tc>
        <w:tc>
          <w:tcPr>
            <w:tcW w:w="992" w:type="dxa"/>
          </w:tcPr>
          <w:p w14:paraId="48F827F3" w14:textId="04551599" w:rsidR="004A2AA0" w:rsidRPr="00AF0603" w:rsidRDefault="00C940CB" w:rsidP="00703762">
            <w:pPr>
              <w:rPr>
                <w:rFonts w:cstheme="minorHAnsi"/>
              </w:rPr>
            </w:pPr>
            <w:r w:rsidRPr="00AF0603">
              <w:rPr>
                <w:rFonts w:cstheme="minorHAnsi"/>
              </w:rPr>
              <w:t>36 miesięcy</w:t>
            </w:r>
          </w:p>
        </w:tc>
        <w:tc>
          <w:tcPr>
            <w:tcW w:w="2551" w:type="dxa"/>
          </w:tcPr>
          <w:p w14:paraId="7321648C" w14:textId="75895D2B" w:rsidR="004A2AA0" w:rsidRPr="00AF0603" w:rsidRDefault="00C940CB" w:rsidP="00703762">
            <w:pPr>
              <w:rPr>
                <w:rFonts w:cstheme="minorHAnsi"/>
              </w:rPr>
            </w:pPr>
            <w:r w:rsidRPr="00AF0603">
              <w:rPr>
                <w:rFonts w:cstheme="minorHAnsi"/>
              </w:rPr>
              <w:t xml:space="preserve">Wskazani beneficjenci INHOPE. </w:t>
            </w:r>
          </w:p>
        </w:tc>
      </w:tr>
      <w:tr w:rsidR="0095673C" w:rsidRPr="00E90A99" w14:paraId="5E7AD7E6" w14:textId="77777777" w:rsidTr="005A32DD">
        <w:trPr>
          <w:trHeight w:val="1124"/>
        </w:trPr>
        <w:tc>
          <w:tcPr>
            <w:tcW w:w="1689" w:type="dxa"/>
          </w:tcPr>
          <w:p w14:paraId="15357438" w14:textId="63FF4072" w:rsidR="0095673C" w:rsidRPr="00E90A99" w:rsidRDefault="0095673C" w:rsidP="0095673C">
            <w:pPr>
              <w:rPr>
                <w:b/>
                <w:bCs/>
                <w:lang w:val="en-GB"/>
              </w:rPr>
            </w:pPr>
            <w:r>
              <w:rPr>
                <w:b/>
                <w:bCs/>
                <w:lang w:val="en-GB"/>
              </w:rPr>
              <w:t>Support</w:t>
            </w:r>
            <w:r w:rsidR="00AF0603">
              <w:rPr>
                <w:b/>
                <w:bCs/>
                <w:lang w:val="en-GB"/>
              </w:rPr>
              <w:t>ing</w:t>
            </w:r>
            <w:r>
              <w:rPr>
                <w:b/>
                <w:bCs/>
                <w:lang w:val="en-GB"/>
              </w:rPr>
              <w:t xml:space="preserve"> the Network of National Contact Points</w:t>
            </w:r>
            <w:r w:rsidR="00AF0603">
              <w:rPr>
                <w:b/>
                <w:bCs/>
                <w:lang w:val="en-GB"/>
              </w:rPr>
              <w:t xml:space="preserve"> (NCPs) of Digital Europe Programme</w:t>
            </w:r>
          </w:p>
        </w:tc>
        <w:tc>
          <w:tcPr>
            <w:tcW w:w="4827" w:type="dxa"/>
          </w:tcPr>
          <w:p w14:paraId="3EB83813" w14:textId="113CA1DD" w:rsidR="0095673C" w:rsidRPr="00AF0603" w:rsidRDefault="0095673C" w:rsidP="0095673C">
            <w:pPr>
              <w:rPr>
                <w:rFonts w:cstheme="minorHAnsi"/>
              </w:rPr>
            </w:pPr>
            <w:r w:rsidRPr="00AF0603">
              <w:rPr>
                <w:rFonts w:cstheme="minorHAnsi"/>
              </w:rPr>
              <w:t xml:space="preserve">Nabór ma na celu wspieranie koordynacji między Krajowymi Punktami Kontaktowymi (NCP) Programu Cyfrowa Europa oraz zwiększanie świadomości o dostępnych możliwościach finansowania, które wspierają realizację polityk cyfrowych UE. Celem jest także poprawa jakości usług NCP, promowanie współpracy transnarodowej, a także zwiększenie uczestnictwa </w:t>
            </w:r>
            <w:r w:rsidRPr="00AF0603">
              <w:rPr>
                <w:rFonts w:cstheme="minorHAnsi"/>
              </w:rPr>
              <w:lastRenderedPageBreak/>
              <w:t>nowych aplikantów oraz upowszechnianie wyników programu.</w:t>
            </w:r>
          </w:p>
        </w:tc>
        <w:tc>
          <w:tcPr>
            <w:tcW w:w="2126" w:type="dxa"/>
          </w:tcPr>
          <w:p w14:paraId="3C4BFF6E" w14:textId="5E1A6191" w:rsidR="0095673C" w:rsidRPr="00AF0603" w:rsidRDefault="0095673C" w:rsidP="0095673C">
            <w:pPr>
              <w:rPr>
                <w:rFonts w:cstheme="minorHAnsi"/>
              </w:rPr>
            </w:pPr>
            <w:r w:rsidRPr="00AF0603">
              <w:rPr>
                <w:rFonts w:cstheme="minorHAnsi"/>
              </w:rPr>
              <w:lastRenderedPageBreak/>
              <w:t>Coordination and support action grant (100% poziom dofinansowania)</w:t>
            </w:r>
          </w:p>
        </w:tc>
        <w:tc>
          <w:tcPr>
            <w:tcW w:w="1559" w:type="dxa"/>
          </w:tcPr>
          <w:p w14:paraId="4A92E039" w14:textId="7169FD4E" w:rsidR="0095673C" w:rsidRPr="00AF0603" w:rsidRDefault="00653BD1" w:rsidP="0095673C">
            <w:pPr>
              <w:rPr>
                <w:rFonts w:cstheme="minorHAnsi"/>
              </w:rPr>
            </w:pPr>
            <w:r>
              <w:rPr>
                <w:rFonts w:cstheme="minorHAnsi"/>
              </w:rPr>
              <w:t>1,8</w:t>
            </w:r>
            <w:r w:rsidR="0095673C" w:rsidRPr="00AF0603">
              <w:rPr>
                <w:rFonts w:cstheme="minorHAnsi"/>
              </w:rPr>
              <w:t xml:space="preserve"> mln euro</w:t>
            </w:r>
          </w:p>
        </w:tc>
        <w:tc>
          <w:tcPr>
            <w:tcW w:w="1560" w:type="dxa"/>
          </w:tcPr>
          <w:p w14:paraId="7FB0CC8F" w14:textId="0B123A85" w:rsidR="0095673C" w:rsidRPr="00AF0603" w:rsidRDefault="0095673C" w:rsidP="0095673C">
            <w:pPr>
              <w:rPr>
                <w:rFonts w:cstheme="minorHAnsi"/>
              </w:rPr>
            </w:pPr>
            <w:r w:rsidRPr="00AF0603">
              <w:rPr>
                <w:rFonts w:cstheme="minorHAnsi"/>
              </w:rPr>
              <w:t>Czwarty kwartał 2025</w:t>
            </w:r>
          </w:p>
        </w:tc>
        <w:tc>
          <w:tcPr>
            <w:tcW w:w="992" w:type="dxa"/>
          </w:tcPr>
          <w:p w14:paraId="3CA492B2" w14:textId="21AEA777" w:rsidR="0095673C" w:rsidRPr="00AF0603" w:rsidRDefault="0095673C" w:rsidP="0095673C">
            <w:pPr>
              <w:rPr>
                <w:rFonts w:cstheme="minorHAnsi"/>
              </w:rPr>
            </w:pPr>
            <w:r w:rsidRPr="00AF0603">
              <w:rPr>
                <w:rFonts w:cstheme="minorHAnsi"/>
              </w:rPr>
              <w:t>36 miesi</w:t>
            </w:r>
            <w:r w:rsidR="00AF0603" w:rsidRPr="00AF0603">
              <w:rPr>
                <w:rFonts w:cstheme="minorHAnsi"/>
              </w:rPr>
              <w:t>ęcy</w:t>
            </w:r>
          </w:p>
        </w:tc>
        <w:tc>
          <w:tcPr>
            <w:tcW w:w="2551" w:type="dxa"/>
          </w:tcPr>
          <w:p w14:paraId="109C7D2D" w14:textId="390A900F" w:rsidR="0095673C" w:rsidRPr="00AF0603" w:rsidRDefault="0095673C" w:rsidP="0095673C">
            <w:pPr>
              <w:rPr>
                <w:rFonts w:cstheme="minorHAnsi"/>
              </w:rPr>
            </w:pPr>
            <w:r w:rsidRPr="00AF0603">
              <w:rPr>
                <w:rFonts w:cstheme="minorHAnsi"/>
              </w:rPr>
              <w:t>Wszystkie podmioty</w:t>
            </w:r>
          </w:p>
        </w:tc>
      </w:tr>
      <w:tr w:rsidR="0095673C" w:rsidRPr="00E90A99" w14:paraId="48FF35A0" w14:textId="77777777" w:rsidTr="005A32DD">
        <w:trPr>
          <w:trHeight w:val="1124"/>
        </w:trPr>
        <w:tc>
          <w:tcPr>
            <w:tcW w:w="1689" w:type="dxa"/>
          </w:tcPr>
          <w:p w14:paraId="63940E51" w14:textId="76A69FAC" w:rsidR="0095673C" w:rsidRDefault="0095673C" w:rsidP="0095673C">
            <w:pPr>
              <w:rPr>
                <w:b/>
                <w:bCs/>
                <w:lang w:val="en-GB"/>
              </w:rPr>
            </w:pPr>
            <w:r>
              <w:rPr>
                <w:b/>
                <w:bCs/>
                <w:lang w:val="en-GB"/>
              </w:rPr>
              <w:t>Apply AI: Piloting AI-based image screening in medical centres</w:t>
            </w:r>
          </w:p>
        </w:tc>
        <w:tc>
          <w:tcPr>
            <w:tcW w:w="4827" w:type="dxa"/>
          </w:tcPr>
          <w:p w14:paraId="41F618F6" w14:textId="78D58C0C" w:rsidR="0095673C" w:rsidRPr="00AF0603" w:rsidRDefault="00522DED" w:rsidP="0095673C">
            <w:pPr>
              <w:rPr>
                <w:rFonts w:cstheme="minorHAnsi"/>
              </w:rPr>
            </w:pPr>
            <w:r w:rsidRPr="00AF0603">
              <w:rPr>
                <w:rFonts w:cstheme="minorHAnsi"/>
              </w:rPr>
              <w:t>Celem naboru jest uruchomienie jednego lub kilku projektów pilotażowych polegających na wdrożeniu systemu chmurowego opartego na sztucznej inteligencji (AI/GenAI), który wspierałby analizę danych obrazowych w placówkach medycznych o ograniczonych zasobach kadrowych i technicznych. System ten, oparty na europejskich, bezpiecznych i wiarygodnych algorytmach AI/GenAI, umożliwi wczesne wykrywanie zmian o potencjalnym znaczeniu klinicznym, przyspieszy diagnostykę i decyzje kliniczne, a także pomoże w priorytetyzacji przypadków oraz ograniczeniu kosztów systemów ochrony zdrowia.</w:t>
            </w:r>
          </w:p>
        </w:tc>
        <w:tc>
          <w:tcPr>
            <w:tcW w:w="2126" w:type="dxa"/>
          </w:tcPr>
          <w:p w14:paraId="19285F8D" w14:textId="3E3BCB65" w:rsidR="0095673C" w:rsidRPr="00AF0603" w:rsidRDefault="00522DED" w:rsidP="0095673C">
            <w:pPr>
              <w:rPr>
                <w:rFonts w:cstheme="minorHAnsi"/>
              </w:rPr>
            </w:pPr>
            <w:r w:rsidRPr="00AF0603">
              <w:rPr>
                <w:rFonts w:cstheme="minorHAnsi"/>
              </w:rPr>
              <w:t>Simple grant (50% poziom dofinansowania)</w:t>
            </w:r>
          </w:p>
        </w:tc>
        <w:tc>
          <w:tcPr>
            <w:tcW w:w="1559" w:type="dxa"/>
          </w:tcPr>
          <w:p w14:paraId="3CE650F5" w14:textId="36B54B15" w:rsidR="0095673C" w:rsidRPr="00AF0603" w:rsidRDefault="007A685F" w:rsidP="0095673C">
            <w:pPr>
              <w:rPr>
                <w:rFonts w:cstheme="minorHAnsi"/>
              </w:rPr>
            </w:pPr>
            <w:r>
              <w:rPr>
                <w:rFonts w:cstheme="minorHAnsi"/>
              </w:rPr>
              <w:t>9</w:t>
            </w:r>
            <w:r w:rsidR="0095673C" w:rsidRPr="00AF0603">
              <w:rPr>
                <w:rFonts w:cstheme="minorHAnsi"/>
              </w:rPr>
              <w:t xml:space="preserve"> mln euro</w:t>
            </w:r>
          </w:p>
        </w:tc>
        <w:tc>
          <w:tcPr>
            <w:tcW w:w="1560" w:type="dxa"/>
          </w:tcPr>
          <w:p w14:paraId="6ABC8B56" w14:textId="7F3D9714" w:rsidR="0095673C" w:rsidRPr="00AF0603" w:rsidRDefault="0095673C" w:rsidP="0095673C">
            <w:pPr>
              <w:rPr>
                <w:rFonts w:cstheme="minorHAnsi"/>
              </w:rPr>
            </w:pPr>
            <w:r w:rsidRPr="00AF0603">
              <w:rPr>
                <w:rFonts w:cstheme="minorHAnsi"/>
              </w:rPr>
              <w:t>Drugi kwartał 2026</w:t>
            </w:r>
          </w:p>
        </w:tc>
        <w:tc>
          <w:tcPr>
            <w:tcW w:w="992" w:type="dxa"/>
          </w:tcPr>
          <w:p w14:paraId="5E3A5541" w14:textId="681FD6EC" w:rsidR="0095673C" w:rsidRPr="00AF0603" w:rsidRDefault="00522DED" w:rsidP="0095673C">
            <w:pPr>
              <w:rPr>
                <w:rFonts w:cstheme="minorHAnsi"/>
              </w:rPr>
            </w:pPr>
            <w:r w:rsidRPr="00AF0603">
              <w:rPr>
                <w:rFonts w:cstheme="minorHAnsi"/>
              </w:rPr>
              <w:t>36 miesięcy</w:t>
            </w:r>
          </w:p>
        </w:tc>
        <w:tc>
          <w:tcPr>
            <w:tcW w:w="2551" w:type="dxa"/>
          </w:tcPr>
          <w:p w14:paraId="7EE597D8" w14:textId="565CD5D5" w:rsidR="0095673C" w:rsidRPr="00AF0603" w:rsidRDefault="00522DED" w:rsidP="0095673C">
            <w:pPr>
              <w:rPr>
                <w:rFonts w:cstheme="minorHAnsi"/>
              </w:rPr>
            </w:pPr>
            <w:r w:rsidRPr="00AF0603">
              <w:rPr>
                <w:rFonts w:cstheme="minorHAnsi"/>
              </w:rPr>
              <w:t>Konsorcjum może obejmować podmioty publiczne i prywatne, takie jak (między innymi): przemysł technologii medycznych (medtech), MŚP, dostawcy rozwiązań z zakresu sztucznej inteligencji (AI/GenAI) i technologii informatycznych, organizacje szpitalne, jednostki badawcze oraz organy administracji publicznej (na szczeblu krajowym, regionalnym i lokalnym).</w:t>
            </w:r>
          </w:p>
        </w:tc>
      </w:tr>
      <w:tr w:rsidR="0095673C" w:rsidRPr="00E90A99" w14:paraId="7F4AD665" w14:textId="77777777" w:rsidTr="005A32DD">
        <w:trPr>
          <w:trHeight w:val="1124"/>
        </w:trPr>
        <w:tc>
          <w:tcPr>
            <w:tcW w:w="1689" w:type="dxa"/>
          </w:tcPr>
          <w:p w14:paraId="23438384" w14:textId="484BD2ED" w:rsidR="0095673C" w:rsidRPr="00E90A99" w:rsidRDefault="0095673C" w:rsidP="0095673C">
            <w:pPr>
              <w:rPr>
                <w:b/>
                <w:bCs/>
                <w:lang w:val="en-GB"/>
              </w:rPr>
            </w:pPr>
            <w:r w:rsidRPr="00E90A99">
              <w:rPr>
                <w:b/>
                <w:bCs/>
                <w:lang w:val="en-GB"/>
              </w:rPr>
              <w:t>Excellence in higher education and training programmes in key digital areas and applied technologies</w:t>
            </w:r>
          </w:p>
        </w:tc>
        <w:tc>
          <w:tcPr>
            <w:tcW w:w="4827" w:type="dxa"/>
          </w:tcPr>
          <w:p w14:paraId="7019174C" w14:textId="1824DCAB" w:rsidR="0095673C" w:rsidRPr="00AF0603" w:rsidRDefault="0095673C" w:rsidP="0095673C">
            <w:pPr>
              <w:rPr>
                <w:rFonts w:cstheme="minorHAnsi"/>
              </w:rPr>
            </w:pPr>
            <w:r w:rsidRPr="00AF0603">
              <w:rPr>
                <w:rFonts w:cstheme="minorHAnsi"/>
              </w:rPr>
              <w:t xml:space="preserve">Nabór ma na celu rozwój oferty edukacyjnej w zakresie zaawansowanych umiejętności cyfrowych w kluczowych obszarach, takich jak zdrowie cyfrowe i technologie związane z projektem Destination Earth, a jego celem jest uzupełnienie braków w edukacji i szkoleniach, wspierając rozwój talentów w strategicznych sektorach poprzez dwa odrębne działania. Pierwsze dotyczy projektów skoncentrowanych na doskonałości akademickiej w wybranych dziedzinach cyfrowych, a drugie na rozwoju umiejętności cyfrowych w obszarze </w:t>
            </w:r>
            <w:r w:rsidRPr="00AF0603">
              <w:rPr>
                <w:rFonts w:cstheme="minorHAnsi"/>
              </w:rPr>
              <w:lastRenderedPageBreak/>
              <w:t>zdrowia cyfrowego oraz zarządzania danymi w kontekście zmian klimatycznych.</w:t>
            </w:r>
          </w:p>
        </w:tc>
        <w:tc>
          <w:tcPr>
            <w:tcW w:w="2126" w:type="dxa"/>
          </w:tcPr>
          <w:p w14:paraId="0D9FAF3B" w14:textId="77B042E6" w:rsidR="0095673C" w:rsidRPr="00AF0603" w:rsidRDefault="0095673C" w:rsidP="0095673C">
            <w:pPr>
              <w:rPr>
                <w:rFonts w:cstheme="minorHAnsi"/>
              </w:rPr>
            </w:pPr>
            <w:r w:rsidRPr="00AF0603">
              <w:rPr>
                <w:rFonts w:cstheme="minorHAnsi"/>
              </w:rPr>
              <w:lastRenderedPageBreak/>
              <w:t>Lump sum grant (50 % poziom dofinansowania)</w:t>
            </w:r>
          </w:p>
        </w:tc>
        <w:tc>
          <w:tcPr>
            <w:tcW w:w="1559" w:type="dxa"/>
          </w:tcPr>
          <w:p w14:paraId="1CFCCE02" w14:textId="0C2D0242" w:rsidR="0095673C" w:rsidRPr="00AF0603" w:rsidRDefault="00555F08" w:rsidP="0095673C">
            <w:pPr>
              <w:rPr>
                <w:rFonts w:cstheme="minorHAnsi"/>
              </w:rPr>
            </w:pPr>
            <w:r>
              <w:rPr>
                <w:rFonts w:cstheme="minorHAnsi"/>
              </w:rPr>
              <w:t>40,1</w:t>
            </w:r>
            <w:r w:rsidR="0095673C" w:rsidRPr="00AF0603">
              <w:rPr>
                <w:rFonts w:cstheme="minorHAnsi"/>
              </w:rPr>
              <w:t xml:space="preserve"> mln euro</w:t>
            </w:r>
            <w:r w:rsidR="00264679" w:rsidRPr="00AF0603">
              <w:rPr>
                <w:rFonts w:cstheme="minorHAnsi"/>
              </w:rPr>
              <w:t>:</w:t>
            </w:r>
          </w:p>
          <w:p w14:paraId="124A7625" w14:textId="24CC11A9" w:rsidR="00264679" w:rsidRPr="00AF0603" w:rsidRDefault="00264679" w:rsidP="0095673C">
            <w:pPr>
              <w:rPr>
                <w:rFonts w:cstheme="minorHAnsi"/>
              </w:rPr>
            </w:pPr>
            <w:r w:rsidRPr="00AF0603">
              <w:rPr>
                <w:rFonts w:cstheme="minorHAnsi"/>
              </w:rPr>
              <w:t>1</w:t>
            </w:r>
            <w:r w:rsidR="00555F08">
              <w:rPr>
                <w:rFonts w:cstheme="minorHAnsi"/>
              </w:rPr>
              <w:t>2,1</w:t>
            </w:r>
            <w:r w:rsidRPr="00AF0603">
              <w:rPr>
                <w:rFonts w:cstheme="minorHAnsi"/>
              </w:rPr>
              <w:t xml:space="preserve"> mln euro </w:t>
            </w:r>
            <w:r w:rsidR="002A57AC" w:rsidRPr="00AF0603">
              <w:rPr>
                <w:rFonts w:cstheme="minorHAnsi"/>
              </w:rPr>
              <w:t>(drugi kwartał 2026)</w:t>
            </w:r>
          </w:p>
          <w:p w14:paraId="42121E36" w14:textId="3703C852" w:rsidR="00264679" w:rsidRPr="00AF0603" w:rsidRDefault="00555F08" w:rsidP="0095673C">
            <w:pPr>
              <w:rPr>
                <w:rFonts w:cstheme="minorHAnsi"/>
              </w:rPr>
            </w:pPr>
            <w:r>
              <w:rPr>
                <w:rFonts w:cstheme="minorHAnsi"/>
              </w:rPr>
              <w:t>28</w:t>
            </w:r>
            <w:r w:rsidR="00264679" w:rsidRPr="00AF0603">
              <w:rPr>
                <w:rFonts w:cstheme="minorHAnsi"/>
              </w:rPr>
              <w:t xml:space="preserve"> mln euro</w:t>
            </w:r>
            <w:r w:rsidR="002A57AC" w:rsidRPr="00AF0603">
              <w:rPr>
                <w:rFonts w:cstheme="minorHAnsi"/>
              </w:rPr>
              <w:t xml:space="preserve"> (pierwszy kwartał 2027)</w:t>
            </w:r>
          </w:p>
        </w:tc>
        <w:tc>
          <w:tcPr>
            <w:tcW w:w="1560" w:type="dxa"/>
          </w:tcPr>
          <w:p w14:paraId="4C1DC4CC" w14:textId="4C9F795C" w:rsidR="0095673C" w:rsidRPr="00AF0603" w:rsidRDefault="0095673C" w:rsidP="0095673C">
            <w:pPr>
              <w:rPr>
                <w:rFonts w:cstheme="minorHAnsi"/>
              </w:rPr>
            </w:pPr>
            <w:r w:rsidRPr="00AF0603">
              <w:rPr>
                <w:rFonts w:cstheme="minorHAnsi"/>
              </w:rPr>
              <w:t xml:space="preserve">Drugi kwartał 2026 </w:t>
            </w:r>
            <w:r w:rsidRPr="00AF0603">
              <w:rPr>
                <w:rFonts w:cstheme="minorHAnsi"/>
                <w:lang w:val="en-GB"/>
              </w:rPr>
              <w:t>(second work strand</w:t>
            </w:r>
            <w:r w:rsidR="002A57AC" w:rsidRPr="00AF0603">
              <w:rPr>
                <w:rFonts w:cstheme="minorHAnsi"/>
                <w:lang w:val="en-GB"/>
              </w:rPr>
              <w:t>: Skills development for the application of specific technologies in key strategic</w:t>
            </w:r>
            <w:r w:rsidRPr="00AF0603">
              <w:rPr>
                <w:rFonts w:cstheme="minorHAnsi"/>
                <w:lang w:val="en-GB"/>
              </w:rPr>
              <w:t xml:space="preserve">) i </w:t>
            </w:r>
            <w:r w:rsidR="00264679" w:rsidRPr="00AF0603">
              <w:rPr>
                <w:rFonts w:cstheme="minorHAnsi"/>
              </w:rPr>
              <w:t>p</w:t>
            </w:r>
            <w:r w:rsidRPr="00AF0603">
              <w:rPr>
                <w:rFonts w:cstheme="minorHAnsi"/>
              </w:rPr>
              <w:t xml:space="preserve">ierwszy </w:t>
            </w:r>
            <w:r w:rsidRPr="00AF0603">
              <w:rPr>
                <w:rFonts w:cstheme="minorHAnsi"/>
              </w:rPr>
              <w:lastRenderedPageBreak/>
              <w:t>kwartał 2027</w:t>
            </w:r>
            <w:r w:rsidRPr="00AF0603">
              <w:rPr>
                <w:rFonts w:cstheme="minorHAnsi"/>
                <w:lang w:val="en-GB"/>
              </w:rPr>
              <w:t xml:space="preserve"> (first work strand</w:t>
            </w:r>
            <w:r w:rsidR="002A57AC" w:rsidRPr="00AF0603">
              <w:rPr>
                <w:rFonts w:cstheme="minorHAnsi"/>
                <w:lang w:val="en-GB"/>
              </w:rPr>
              <w:t>: Academic excellence in selected key digital areas and specific sectors</w:t>
            </w:r>
            <w:r w:rsidRPr="00AF0603">
              <w:rPr>
                <w:rFonts w:cstheme="minorHAnsi"/>
                <w:lang w:val="en-GB"/>
              </w:rPr>
              <w:t>)</w:t>
            </w:r>
          </w:p>
        </w:tc>
        <w:tc>
          <w:tcPr>
            <w:tcW w:w="992" w:type="dxa"/>
          </w:tcPr>
          <w:p w14:paraId="2D13B561" w14:textId="02E13B59" w:rsidR="0095673C" w:rsidRPr="00AF0603" w:rsidRDefault="0095673C" w:rsidP="0095673C">
            <w:pPr>
              <w:rPr>
                <w:rFonts w:cstheme="minorHAnsi"/>
              </w:rPr>
            </w:pPr>
            <w:r w:rsidRPr="00AF0603">
              <w:rPr>
                <w:rFonts w:cstheme="minorHAnsi"/>
              </w:rPr>
              <w:lastRenderedPageBreak/>
              <w:t>48 miesięcy</w:t>
            </w:r>
          </w:p>
        </w:tc>
        <w:tc>
          <w:tcPr>
            <w:tcW w:w="2551" w:type="dxa"/>
          </w:tcPr>
          <w:p w14:paraId="5F2A0838" w14:textId="77777777" w:rsidR="0095673C" w:rsidRPr="00AF0603" w:rsidRDefault="0095673C" w:rsidP="0095673C">
            <w:pPr>
              <w:rPr>
                <w:rFonts w:cstheme="minorHAnsi"/>
              </w:rPr>
            </w:pPr>
            <w:r w:rsidRPr="00AF0603">
              <w:rPr>
                <w:rFonts w:cstheme="minorHAnsi"/>
              </w:rPr>
              <w:t>Instytucje szkolnictwa wyższego, instytucje kształcenia zawodowego, organizacje badawcze, firmy oraz inne odpowiednie organizacje i partnerzy społeczni, dostawcy usług edukacyjnych oraz inne odpowiednie organizacje.</w:t>
            </w:r>
          </w:p>
          <w:p w14:paraId="682219F6" w14:textId="15AE6A20" w:rsidR="0095673C" w:rsidRPr="00AF0603" w:rsidRDefault="0095673C" w:rsidP="0095673C">
            <w:pPr>
              <w:rPr>
                <w:rFonts w:cstheme="minorHAnsi"/>
              </w:rPr>
            </w:pPr>
          </w:p>
        </w:tc>
      </w:tr>
      <w:tr w:rsidR="0095673C" w:rsidRPr="00E90A99" w14:paraId="11D77E5C" w14:textId="77777777" w:rsidTr="005A32DD">
        <w:trPr>
          <w:trHeight w:val="1124"/>
        </w:trPr>
        <w:tc>
          <w:tcPr>
            <w:tcW w:w="1689" w:type="dxa"/>
          </w:tcPr>
          <w:p w14:paraId="263B5662" w14:textId="7180DF9E" w:rsidR="0095673C" w:rsidRPr="00E90A99" w:rsidRDefault="0095673C" w:rsidP="0095673C">
            <w:pPr>
              <w:rPr>
                <w:b/>
                <w:bCs/>
                <w:lang w:val="en-GB"/>
              </w:rPr>
            </w:pPr>
            <w:r>
              <w:rPr>
                <w:b/>
                <w:bCs/>
                <w:lang w:val="en-GB"/>
              </w:rPr>
              <w:t>Digital Skills and Jobs Platform CSA</w:t>
            </w:r>
          </w:p>
        </w:tc>
        <w:tc>
          <w:tcPr>
            <w:tcW w:w="4827" w:type="dxa"/>
          </w:tcPr>
          <w:p w14:paraId="4D6DBDC6" w14:textId="5DCA0111" w:rsidR="0095673C" w:rsidRPr="00AF0603" w:rsidRDefault="0095673C" w:rsidP="0095673C">
            <w:pPr>
              <w:rPr>
                <w:rFonts w:cstheme="minorHAnsi"/>
              </w:rPr>
            </w:pPr>
            <w:r w:rsidRPr="00AF0603">
              <w:rPr>
                <w:rFonts w:cstheme="minorHAnsi"/>
              </w:rPr>
              <w:t>Nabór dotyczy wsparcia i rozwoju Platformy Digital Skills and Jobs, która gromadzi informacje o umiejętnościach cyfrowych w Europie i łączy krajowe inicjatywy w tej dziedzinie. Celem jest konsolidacja działania platformy, rozszerzenie współpracy z Krajowymi Koalicjami na temat umiejętności cyfrowych oraz zwiększenie liczby aktywnych i zaangażowanych członków, w tym nowych koalicji w państwach członkowskich UE.</w:t>
            </w:r>
          </w:p>
        </w:tc>
        <w:tc>
          <w:tcPr>
            <w:tcW w:w="2126" w:type="dxa"/>
          </w:tcPr>
          <w:p w14:paraId="06163C69" w14:textId="2997D706" w:rsidR="0095673C" w:rsidRPr="00AF0603" w:rsidRDefault="0095673C" w:rsidP="0095673C">
            <w:pPr>
              <w:rPr>
                <w:rFonts w:cstheme="minorHAnsi"/>
              </w:rPr>
            </w:pPr>
            <w:r w:rsidRPr="00AF0603">
              <w:rPr>
                <w:rFonts w:cstheme="minorHAnsi"/>
              </w:rPr>
              <w:t>Coordination and support action grant (100% poziom dofinansowania)</w:t>
            </w:r>
          </w:p>
        </w:tc>
        <w:tc>
          <w:tcPr>
            <w:tcW w:w="1559" w:type="dxa"/>
          </w:tcPr>
          <w:p w14:paraId="1E1835B4" w14:textId="20630FD3" w:rsidR="0095673C" w:rsidRPr="00AF0603" w:rsidRDefault="0095673C" w:rsidP="0095673C">
            <w:pPr>
              <w:rPr>
                <w:rFonts w:cstheme="minorHAnsi"/>
              </w:rPr>
            </w:pPr>
            <w:r w:rsidRPr="00AF0603">
              <w:rPr>
                <w:rFonts w:cstheme="minorHAnsi"/>
              </w:rPr>
              <w:t>2 mln euro</w:t>
            </w:r>
          </w:p>
        </w:tc>
        <w:tc>
          <w:tcPr>
            <w:tcW w:w="1560" w:type="dxa"/>
          </w:tcPr>
          <w:p w14:paraId="21D0FEA7" w14:textId="50F1C07C" w:rsidR="0095673C" w:rsidRPr="00AF0603" w:rsidRDefault="0095673C" w:rsidP="0095673C">
            <w:pPr>
              <w:rPr>
                <w:rFonts w:cstheme="minorHAnsi"/>
              </w:rPr>
            </w:pPr>
            <w:r w:rsidRPr="00AF0603">
              <w:rPr>
                <w:rFonts w:cstheme="minorHAnsi"/>
              </w:rPr>
              <w:t>Drugi kwartał 2026</w:t>
            </w:r>
          </w:p>
        </w:tc>
        <w:tc>
          <w:tcPr>
            <w:tcW w:w="992" w:type="dxa"/>
          </w:tcPr>
          <w:p w14:paraId="69C61259" w14:textId="657237BA" w:rsidR="0095673C" w:rsidRPr="00AF0603" w:rsidRDefault="0095673C" w:rsidP="0095673C">
            <w:pPr>
              <w:rPr>
                <w:rFonts w:cstheme="minorHAnsi"/>
              </w:rPr>
            </w:pPr>
            <w:r w:rsidRPr="00AF0603">
              <w:rPr>
                <w:rFonts w:cstheme="minorHAnsi"/>
              </w:rPr>
              <w:t>24-36 miesiące</w:t>
            </w:r>
          </w:p>
        </w:tc>
        <w:tc>
          <w:tcPr>
            <w:tcW w:w="2551" w:type="dxa"/>
          </w:tcPr>
          <w:p w14:paraId="6EBADDAF" w14:textId="69D0BCE0" w:rsidR="0095673C" w:rsidRPr="00AF0603" w:rsidRDefault="0095673C" w:rsidP="0095673C">
            <w:pPr>
              <w:rPr>
                <w:rFonts w:cstheme="minorHAnsi"/>
              </w:rPr>
            </w:pPr>
            <w:r w:rsidRPr="00AF0603">
              <w:rPr>
                <w:rFonts w:eastAsia="Times New Roman" w:cstheme="minorHAnsi"/>
                <w:color w:val="000000"/>
                <w:kern w:val="0"/>
                <w:lang w:eastAsia="en-IE"/>
                <w14:ligatures w14:val="none"/>
              </w:rPr>
              <w:t>Istniejące krajowe koalicje Digital Skills and Jobs National Coalitions, dostawcy szkoleń, partnerzy społeczni, władze publiczne oraz inne odpowiednie organizacje, które przyczyniają się do zmniejszenia luki w umiejętnościach cyfrowych w państwach członkowskich.</w:t>
            </w:r>
          </w:p>
        </w:tc>
      </w:tr>
      <w:tr w:rsidR="0095673C" w:rsidRPr="00E90A99" w14:paraId="6CDCCA98" w14:textId="77777777" w:rsidTr="005A32DD">
        <w:trPr>
          <w:trHeight w:val="1124"/>
        </w:trPr>
        <w:tc>
          <w:tcPr>
            <w:tcW w:w="1689" w:type="dxa"/>
          </w:tcPr>
          <w:p w14:paraId="21CC4C09" w14:textId="77777777" w:rsidR="0095673C" w:rsidRPr="00E90A99" w:rsidRDefault="0095673C" w:rsidP="0095673C">
            <w:pPr>
              <w:rPr>
                <w:b/>
                <w:bCs/>
                <w:lang w:val="en-GB"/>
              </w:rPr>
            </w:pPr>
            <w:r w:rsidRPr="00E90A99">
              <w:rPr>
                <w:b/>
                <w:bCs/>
                <w:lang w:val="en-GB"/>
              </w:rPr>
              <w:t>EdTech accelerator</w:t>
            </w:r>
          </w:p>
        </w:tc>
        <w:tc>
          <w:tcPr>
            <w:tcW w:w="4827" w:type="dxa"/>
          </w:tcPr>
          <w:p w14:paraId="358DC6A5" w14:textId="77777777" w:rsidR="0095673C" w:rsidRPr="00AF0603" w:rsidRDefault="0095673C" w:rsidP="0095673C">
            <w:pPr>
              <w:rPr>
                <w:rFonts w:cstheme="minorHAnsi"/>
              </w:rPr>
            </w:pPr>
            <w:r w:rsidRPr="00AF0603">
              <w:rPr>
                <w:rFonts w:cstheme="minorHAnsi"/>
              </w:rPr>
              <w:t xml:space="preserve">Nabór ma na celu wsparcie europejskich startupów i MŚP z sektora EdTech, pomagając im w przekształceniu innowacyjnych koncepcji edukacyjnych w produkty gotowe do wprowadzenia na rynek, z uwzględnieniem wartości takich jak etyka, dostępność i prywatność. Celem jest stworzenie ekosystemu EdTech w Europie, który wspiera innowacje, tworzenie miejsc pracy oraz rozwój gospodarczy, jednocześnie promując efektywne i etyczne wykorzystanie </w:t>
            </w:r>
            <w:r w:rsidRPr="00AF0603">
              <w:rPr>
                <w:rFonts w:cstheme="minorHAnsi"/>
              </w:rPr>
              <w:lastRenderedPageBreak/>
              <w:t>technologii, takich jak generatywna sztuczna inteligencja w edukacji.</w:t>
            </w:r>
          </w:p>
        </w:tc>
        <w:tc>
          <w:tcPr>
            <w:tcW w:w="2126" w:type="dxa"/>
          </w:tcPr>
          <w:p w14:paraId="1B0A6576" w14:textId="77777777" w:rsidR="0095673C" w:rsidRPr="00AF0603" w:rsidRDefault="0095673C" w:rsidP="0095673C">
            <w:pPr>
              <w:rPr>
                <w:rFonts w:cstheme="minorHAnsi"/>
              </w:rPr>
            </w:pPr>
            <w:r w:rsidRPr="00AF0603">
              <w:rPr>
                <w:rFonts w:cstheme="minorHAnsi"/>
              </w:rPr>
              <w:lastRenderedPageBreak/>
              <w:t>Coordination and support action grant (100% poziom dofinansowania)</w:t>
            </w:r>
          </w:p>
        </w:tc>
        <w:tc>
          <w:tcPr>
            <w:tcW w:w="1559" w:type="dxa"/>
          </w:tcPr>
          <w:p w14:paraId="78E31836" w14:textId="3465FA3D" w:rsidR="0095673C" w:rsidRPr="00AF0603" w:rsidRDefault="00555F08" w:rsidP="0095673C">
            <w:pPr>
              <w:rPr>
                <w:rFonts w:cstheme="minorHAnsi"/>
              </w:rPr>
            </w:pPr>
            <w:r>
              <w:rPr>
                <w:rFonts w:cstheme="minorHAnsi"/>
              </w:rPr>
              <w:t>2,7</w:t>
            </w:r>
            <w:r w:rsidR="0095673C" w:rsidRPr="00AF0603">
              <w:rPr>
                <w:rFonts w:cstheme="minorHAnsi"/>
              </w:rPr>
              <w:t xml:space="preserve"> mln euro</w:t>
            </w:r>
          </w:p>
        </w:tc>
        <w:tc>
          <w:tcPr>
            <w:tcW w:w="1560" w:type="dxa"/>
          </w:tcPr>
          <w:p w14:paraId="3B24C03C" w14:textId="77777777" w:rsidR="0095673C" w:rsidRPr="00AF0603" w:rsidRDefault="0095673C" w:rsidP="0095673C">
            <w:pPr>
              <w:rPr>
                <w:rFonts w:cstheme="minorHAnsi"/>
              </w:rPr>
            </w:pPr>
            <w:r w:rsidRPr="00AF0603">
              <w:rPr>
                <w:rFonts w:cstheme="minorHAnsi"/>
              </w:rPr>
              <w:t>Drugi kwartał 2026</w:t>
            </w:r>
          </w:p>
        </w:tc>
        <w:tc>
          <w:tcPr>
            <w:tcW w:w="992" w:type="dxa"/>
          </w:tcPr>
          <w:p w14:paraId="0BEF97F0" w14:textId="77777777" w:rsidR="0095673C" w:rsidRPr="00AF0603" w:rsidRDefault="0095673C" w:rsidP="0095673C">
            <w:pPr>
              <w:rPr>
                <w:rFonts w:cstheme="minorHAnsi"/>
              </w:rPr>
            </w:pPr>
            <w:r w:rsidRPr="00AF0603">
              <w:rPr>
                <w:rFonts w:cstheme="minorHAnsi"/>
              </w:rPr>
              <w:t>36 miesięcy</w:t>
            </w:r>
          </w:p>
        </w:tc>
        <w:tc>
          <w:tcPr>
            <w:tcW w:w="2551" w:type="dxa"/>
          </w:tcPr>
          <w:p w14:paraId="01A49960" w14:textId="77777777" w:rsidR="0095673C" w:rsidRPr="00AF0603" w:rsidRDefault="0095673C" w:rsidP="0095673C">
            <w:pPr>
              <w:rPr>
                <w:rFonts w:eastAsia="Times New Roman" w:cstheme="minorHAnsi"/>
                <w:lang w:eastAsia="en-IE"/>
              </w:rPr>
            </w:pPr>
            <w:r w:rsidRPr="00AF0603">
              <w:rPr>
                <w:rFonts w:eastAsia="Times New Roman" w:cstheme="minorHAnsi"/>
                <w:lang w:eastAsia="en-IE"/>
              </w:rPr>
              <w:t>Organizacje pozarządowe, instytucje szkolnictwa wyższego, inwestorzy venture capital, firmy, instytucje edukacyjne i szkoleniowe.</w:t>
            </w:r>
          </w:p>
          <w:p w14:paraId="229C9A6B" w14:textId="77777777" w:rsidR="0095673C" w:rsidRPr="00AF0603" w:rsidRDefault="0095673C" w:rsidP="0095673C">
            <w:pPr>
              <w:rPr>
                <w:rFonts w:cstheme="minorHAnsi"/>
              </w:rPr>
            </w:pPr>
          </w:p>
        </w:tc>
      </w:tr>
      <w:tr w:rsidR="0095673C" w:rsidRPr="00E90A99" w14:paraId="6BF4CE5F" w14:textId="77777777" w:rsidTr="005A32DD">
        <w:trPr>
          <w:trHeight w:val="1124"/>
        </w:trPr>
        <w:tc>
          <w:tcPr>
            <w:tcW w:w="1689" w:type="dxa"/>
          </w:tcPr>
          <w:p w14:paraId="589A9804" w14:textId="1EB8CF52" w:rsidR="0095673C" w:rsidRPr="00E90A99" w:rsidRDefault="0095673C" w:rsidP="0095673C">
            <w:pPr>
              <w:rPr>
                <w:b/>
                <w:bCs/>
                <w:lang w:val="en-GB"/>
              </w:rPr>
            </w:pPr>
            <w:r w:rsidRPr="00E90A99">
              <w:rPr>
                <w:b/>
                <w:bCs/>
                <w:lang w:val="en-GB"/>
              </w:rPr>
              <w:t>European Digital Identity and Trust EcoSystem</w:t>
            </w:r>
          </w:p>
        </w:tc>
        <w:tc>
          <w:tcPr>
            <w:tcW w:w="4827" w:type="dxa"/>
          </w:tcPr>
          <w:p w14:paraId="3DC6B8C8" w14:textId="32F63B5B" w:rsidR="0095673C" w:rsidRPr="00AF0603" w:rsidRDefault="0095673C" w:rsidP="0095673C">
            <w:pPr>
              <w:rPr>
                <w:rFonts w:cstheme="minorHAnsi"/>
              </w:rPr>
            </w:pPr>
            <w:r w:rsidRPr="00AF0603">
              <w:rPr>
                <w:rFonts w:cstheme="minorHAnsi"/>
              </w:rPr>
              <w:t>Nabór ma na celu wspieranie wdrożenia i szybką adopcję Europejskiego Portfela Tożsamości Cyfrowej, zapewniając jego harmonizację przez państwa członkowskie do końca 2026 roku. Celem jest także rozszerzenie zastosowania Portfela w nowych obszarach, takich jak podróże i biznes, oraz wspieranie międzynarodowej akceptacji tej technologii, zwłaszcza w kontekście wymiany cyfrowych zaświadczeń.</w:t>
            </w:r>
          </w:p>
        </w:tc>
        <w:tc>
          <w:tcPr>
            <w:tcW w:w="2126" w:type="dxa"/>
          </w:tcPr>
          <w:p w14:paraId="0BAB96A5" w14:textId="2B4FDF3C" w:rsidR="0095673C" w:rsidRPr="00AF0603" w:rsidRDefault="0095673C" w:rsidP="0095673C">
            <w:pPr>
              <w:rPr>
                <w:rFonts w:cstheme="minorHAnsi"/>
              </w:rPr>
            </w:pPr>
            <w:r w:rsidRPr="00AF0603">
              <w:rPr>
                <w:rFonts w:cstheme="minorHAnsi"/>
              </w:rPr>
              <w:t>Simple grant (50% poziom dofinansowania)</w:t>
            </w:r>
          </w:p>
        </w:tc>
        <w:tc>
          <w:tcPr>
            <w:tcW w:w="1559" w:type="dxa"/>
          </w:tcPr>
          <w:p w14:paraId="50BEDE14" w14:textId="3FE1B3CE" w:rsidR="0095673C" w:rsidRPr="00AF0603" w:rsidRDefault="00555F08" w:rsidP="0095673C">
            <w:pPr>
              <w:rPr>
                <w:rFonts w:cstheme="minorHAnsi"/>
              </w:rPr>
            </w:pPr>
            <w:r>
              <w:rPr>
                <w:rFonts w:cstheme="minorHAnsi"/>
              </w:rPr>
              <w:t xml:space="preserve">15 </w:t>
            </w:r>
            <w:r w:rsidR="0095673C" w:rsidRPr="00AF0603">
              <w:rPr>
                <w:rFonts w:cstheme="minorHAnsi"/>
              </w:rPr>
              <w:t>mln euro</w:t>
            </w:r>
          </w:p>
        </w:tc>
        <w:tc>
          <w:tcPr>
            <w:tcW w:w="1560" w:type="dxa"/>
          </w:tcPr>
          <w:p w14:paraId="455A9090" w14:textId="3707C497" w:rsidR="0095673C" w:rsidRPr="00AF0603" w:rsidRDefault="00555F08" w:rsidP="0095673C">
            <w:pPr>
              <w:rPr>
                <w:rFonts w:cstheme="minorHAnsi"/>
              </w:rPr>
            </w:pPr>
            <w:r>
              <w:rPr>
                <w:rFonts w:cstheme="minorHAnsi"/>
              </w:rPr>
              <w:t>Czwarty</w:t>
            </w:r>
            <w:r w:rsidR="0095673C" w:rsidRPr="00AF0603">
              <w:rPr>
                <w:rFonts w:cstheme="minorHAnsi"/>
              </w:rPr>
              <w:t xml:space="preserve"> kwartał 202</w:t>
            </w:r>
            <w:r>
              <w:rPr>
                <w:rFonts w:cstheme="minorHAnsi"/>
              </w:rPr>
              <w:t>5</w:t>
            </w:r>
          </w:p>
        </w:tc>
        <w:tc>
          <w:tcPr>
            <w:tcW w:w="992" w:type="dxa"/>
          </w:tcPr>
          <w:p w14:paraId="3E68C259" w14:textId="283994D4" w:rsidR="0095673C" w:rsidRPr="00AF0603" w:rsidRDefault="0095673C" w:rsidP="0095673C">
            <w:pPr>
              <w:rPr>
                <w:rFonts w:cstheme="minorHAnsi"/>
              </w:rPr>
            </w:pPr>
            <w:r w:rsidRPr="00AF0603">
              <w:rPr>
                <w:rFonts w:cstheme="minorHAnsi"/>
              </w:rPr>
              <w:t>24 miesiące</w:t>
            </w:r>
          </w:p>
        </w:tc>
        <w:tc>
          <w:tcPr>
            <w:tcW w:w="2551" w:type="dxa"/>
          </w:tcPr>
          <w:p w14:paraId="53F4A899" w14:textId="440F421C" w:rsidR="0095673C" w:rsidRPr="00AF0603" w:rsidRDefault="0095673C" w:rsidP="0095673C">
            <w:pPr>
              <w:rPr>
                <w:rFonts w:cstheme="minorHAnsi"/>
                <w:lang w:eastAsia="en-GB"/>
              </w:rPr>
            </w:pPr>
            <w:r w:rsidRPr="00AF0603">
              <w:rPr>
                <w:rFonts w:cstheme="minorHAnsi"/>
              </w:rPr>
              <w:t>Wszystkie podmioty, EDIC.</w:t>
            </w:r>
          </w:p>
        </w:tc>
      </w:tr>
      <w:tr w:rsidR="0095673C" w:rsidRPr="00E90A99" w14:paraId="62930C97" w14:textId="77777777" w:rsidTr="005A32DD">
        <w:trPr>
          <w:trHeight w:val="1124"/>
        </w:trPr>
        <w:tc>
          <w:tcPr>
            <w:tcW w:w="1689" w:type="dxa"/>
          </w:tcPr>
          <w:p w14:paraId="264AB9F5" w14:textId="2352B0D6" w:rsidR="0095673C" w:rsidRPr="00E90A99" w:rsidRDefault="0095673C" w:rsidP="0095673C">
            <w:pPr>
              <w:rPr>
                <w:b/>
                <w:bCs/>
                <w:lang w:val="en-GB"/>
              </w:rPr>
            </w:pPr>
            <w:r w:rsidRPr="00E90A99">
              <w:rPr>
                <w:b/>
                <w:bCs/>
                <w:lang w:val="en-GB"/>
              </w:rPr>
              <w:t>Building capacity to deploy the EEHRxF and digital health services and systems to support the rights of citizens and reuse of health data under EHDS</w:t>
            </w:r>
          </w:p>
        </w:tc>
        <w:tc>
          <w:tcPr>
            <w:tcW w:w="4827" w:type="dxa"/>
          </w:tcPr>
          <w:p w14:paraId="1BCCBF2D" w14:textId="3656C999" w:rsidR="0095673C" w:rsidRPr="00AF0603" w:rsidRDefault="0095673C" w:rsidP="0095673C">
            <w:pPr>
              <w:rPr>
                <w:rFonts w:cstheme="minorHAnsi"/>
              </w:rPr>
            </w:pPr>
            <w:r w:rsidRPr="00AF0603">
              <w:rPr>
                <w:rFonts w:cstheme="minorHAnsi"/>
              </w:rPr>
              <w:t>Nabór ma na celu wspieranie wdrażania Europejskiej Przestrzeni Danych Zdrowotnych (EHDS) poprzez trzy główne obszary działań: budowanie zdolności władz publicznych i świadczeniodawców usług zdrowotnych do wdrażania systemów wspierających prawa obywateli, poprawę jakości danych przez posiadaczy danych oraz szkolenie dostawców usług, zwłaszcza małych i średnich przedsiębiorstw. Każdy z tych obszarów realizowany jest oddzielnie, jednak w sposób skoordynowany, aby wspierać szeroką implementację EHDS na poziomie krajowym i transgranicznym.</w:t>
            </w:r>
          </w:p>
        </w:tc>
        <w:tc>
          <w:tcPr>
            <w:tcW w:w="2126" w:type="dxa"/>
          </w:tcPr>
          <w:p w14:paraId="18CEECA7" w14:textId="3A80D3D7" w:rsidR="0095673C" w:rsidRPr="00AF0603" w:rsidRDefault="0095673C" w:rsidP="0095673C">
            <w:pPr>
              <w:rPr>
                <w:rFonts w:cstheme="minorHAnsi"/>
              </w:rPr>
            </w:pPr>
            <w:r w:rsidRPr="00AF0603">
              <w:rPr>
                <w:rFonts w:cstheme="minorHAnsi"/>
              </w:rPr>
              <w:t>Grant for financial support to third parties (100% kosztów kwalifikowanych dla konsorcjum, współfinansowanie 50% całkowitych kosztów kwalifikowanych przez wspieraną stronę trzecią)</w:t>
            </w:r>
          </w:p>
        </w:tc>
        <w:tc>
          <w:tcPr>
            <w:tcW w:w="1559" w:type="dxa"/>
          </w:tcPr>
          <w:p w14:paraId="55598B33" w14:textId="6F99E9B3" w:rsidR="0095673C" w:rsidRPr="00AF0603" w:rsidRDefault="0095673C" w:rsidP="0095673C">
            <w:pPr>
              <w:rPr>
                <w:rFonts w:cstheme="minorHAnsi"/>
              </w:rPr>
            </w:pPr>
            <w:r w:rsidRPr="00AF0603">
              <w:rPr>
                <w:rFonts w:cstheme="minorHAnsi"/>
              </w:rPr>
              <w:t>1</w:t>
            </w:r>
            <w:r w:rsidR="00555F08">
              <w:rPr>
                <w:rFonts w:cstheme="minorHAnsi"/>
              </w:rPr>
              <w:t>4,4</w:t>
            </w:r>
            <w:r w:rsidRPr="00AF0603">
              <w:rPr>
                <w:rFonts w:cstheme="minorHAnsi"/>
              </w:rPr>
              <w:t xml:space="preserve"> mln euro</w:t>
            </w:r>
          </w:p>
        </w:tc>
        <w:tc>
          <w:tcPr>
            <w:tcW w:w="1560" w:type="dxa"/>
          </w:tcPr>
          <w:p w14:paraId="673DF6C5" w14:textId="21AFBCD9" w:rsidR="0095673C" w:rsidRPr="00AF0603" w:rsidRDefault="0095673C" w:rsidP="0095673C">
            <w:pPr>
              <w:rPr>
                <w:rFonts w:cstheme="minorHAnsi"/>
              </w:rPr>
            </w:pPr>
            <w:r w:rsidRPr="00AF0603">
              <w:rPr>
                <w:rFonts w:cstheme="minorHAnsi"/>
              </w:rPr>
              <w:t>Drugi kwartał 2026</w:t>
            </w:r>
          </w:p>
        </w:tc>
        <w:tc>
          <w:tcPr>
            <w:tcW w:w="992" w:type="dxa"/>
          </w:tcPr>
          <w:p w14:paraId="4F30DC33" w14:textId="6DEC9DC8" w:rsidR="0095673C" w:rsidRPr="00AF0603" w:rsidRDefault="0095673C" w:rsidP="0095673C">
            <w:pPr>
              <w:rPr>
                <w:rFonts w:cstheme="minorHAnsi"/>
              </w:rPr>
            </w:pPr>
            <w:r w:rsidRPr="00AF0603">
              <w:rPr>
                <w:rFonts w:cstheme="minorHAnsi"/>
              </w:rPr>
              <w:t>36 miesięcy</w:t>
            </w:r>
          </w:p>
        </w:tc>
        <w:tc>
          <w:tcPr>
            <w:tcW w:w="2551" w:type="dxa"/>
          </w:tcPr>
          <w:p w14:paraId="207C7B4D" w14:textId="296DF067" w:rsidR="0095673C" w:rsidRPr="00AF0603" w:rsidRDefault="0095673C" w:rsidP="0095673C">
            <w:pPr>
              <w:rPr>
                <w:rFonts w:cstheme="minorHAnsi"/>
              </w:rPr>
            </w:pPr>
            <w:r w:rsidRPr="00AF0603">
              <w:rPr>
                <w:rFonts w:cstheme="minorHAnsi"/>
              </w:rPr>
              <w:t xml:space="preserve">Konsorcjum może obejmować podmioty publiczne i prywatne, takie jak: administracje publiczne i władze państwowe (np. krajowe punkty kontaktowe dla e-zdrowia, ministerstwa zdrowia, władze ds. zdrowia cyfrowego); szpitale, ośrodki medyczne i inni świadczeniodawcy usług zdrowotnych; przemysł (np. deweloperzy systemów EHR, firmy konsultingowe IT) oraz MŚP; instytucje badawcze i środowisko akademickie; użytkownicy końcowi oraz </w:t>
            </w:r>
            <w:r w:rsidRPr="00AF0603">
              <w:rPr>
                <w:rFonts w:cstheme="minorHAnsi"/>
              </w:rPr>
              <w:lastRenderedPageBreak/>
              <w:t>organizacje non-profit (takie jak organizacje pacjentów i profesjonalistów zdrowotnych).</w:t>
            </w:r>
          </w:p>
        </w:tc>
      </w:tr>
      <w:tr w:rsidR="0095673C" w:rsidRPr="00E90A99" w14:paraId="3982BB06" w14:textId="77777777" w:rsidTr="005A32DD">
        <w:trPr>
          <w:trHeight w:val="1124"/>
        </w:trPr>
        <w:tc>
          <w:tcPr>
            <w:tcW w:w="1689" w:type="dxa"/>
          </w:tcPr>
          <w:p w14:paraId="325C086B" w14:textId="79AC64E0" w:rsidR="0095673C" w:rsidRPr="00E90A99" w:rsidRDefault="0095673C" w:rsidP="0095673C">
            <w:pPr>
              <w:rPr>
                <w:b/>
                <w:bCs/>
                <w:lang w:val="en-GB"/>
              </w:rPr>
            </w:pPr>
            <w:r w:rsidRPr="00E90A99">
              <w:rPr>
                <w:b/>
                <w:bCs/>
                <w:lang w:val="en-GB"/>
              </w:rPr>
              <w:lastRenderedPageBreak/>
              <w:t>Support to Dissemination and Exploitation (D&amp;E) for the Digital Europe Programme</w:t>
            </w:r>
          </w:p>
        </w:tc>
        <w:tc>
          <w:tcPr>
            <w:tcW w:w="4827" w:type="dxa"/>
          </w:tcPr>
          <w:p w14:paraId="0FBBAF11" w14:textId="65A6CDD3" w:rsidR="0095673C" w:rsidRPr="00AF0603" w:rsidRDefault="0095673C" w:rsidP="0095673C">
            <w:pPr>
              <w:rPr>
                <w:rFonts w:cstheme="minorHAnsi"/>
              </w:rPr>
            </w:pPr>
            <w:r w:rsidRPr="00AF0603">
              <w:rPr>
                <w:rFonts w:cstheme="minorHAnsi"/>
              </w:rPr>
              <w:t>Nabór ma na celu maksymalizację wpływu Programu Cyfrowa Europa oraz wykorzystanie jego wyników poprzez opracowanie ram operacyjnych do działań związanych z upowszechnianiem i eksploatacją rezultatów programu. Działania mają na celu wzmocnienie istniejących inicjatyw, wspieranie projektów w zakresie D&amp;E oraz promowanie szerokiego wdrożenia wyników programu wśród różnych interesariuszy, zarówno w Unii Europejskiej, jak i poza nią.</w:t>
            </w:r>
          </w:p>
        </w:tc>
        <w:tc>
          <w:tcPr>
            <w:tcW w:w="2126" w:type="dxa"/>
          </w:tcPr>
          <w:p w14:paraId="2E37C983" w14:textId="4B32F995" w:rsidR="0095673C" w:rsidRPr="00AF0603" w:rsidRDefault="0095673C" w:rsidP="0095673C">
            <w:pPr>
              <w:rPr>
                <w:rFonts w:cstheme="minorHAnsi"/>
              </w:rPr>
            </w:pPr>
            <w:r w:rsidRPr="00AF0603">
              <w:rPr>
                <w:rFonts w:cstheme="minorHAnsi"/>
              </w:rPr>
              <w:t>Coordination and support action grant (100% poziom dofinansowania)</w:t>
            </w:r>
          </w:p>
        </w:tc>
        <w:tc>
          <w:tcPr>
            <w:tcW w:w="1559" w:type="dxa"/>
          </w:tcPr>
          <w:p w14:paraId="2D3A721E" w14:textId="0AD8B0E1" w:rsidR="0095673C" w:rsidRPr="00AF0603" w:rsidRDefault="00555F08" w:rsidP="0095673C">
            <w:pPr>
              <w:rPr>
                <w:rFonts w:cstheme="minorHAnsi"/>
              </w:rPr>
            </w:pPr>
            <w:r>
              <w:rPr>
                <w:rFonts w:cstheme="minorHAnsi"/>
              </w:rPr>
              <w:t>1,8</w:t>
            </w:r>
            <w:r w:rsidR="0095673C" w:rsidRPr="00AF0603">
              <w:rPr>
                <w:rFonts w:cstheme="minorHAnsi"/>
              </w:rPr>
              <w:t xml:space="preserve"> mln euro</w:t>
            </w:r>
          </w:p>
        </w:tc>
        <w:tc>
          <w:tcPr>
            <w:tcW w:w="1560" w:type="dxa"/>
          </w:tcPr>
          <w:p w14:paraId="3638C656" w14:textId="25D4DAFF" w:rsidR="0095673C" w:rsidRPr="00AF0603" w:rsidRDefault="0095673C" w:rsidP="0095673C">
            <w:pPr>
              <w:rPr>
                <w:rFonts w:cstheme="minorHAnsi"/>
              </w:rPr>
            </w:pPr>
            <w:r w:rsidRPr="00AF0603">
              <w:rPr>
                <w:rFonts w:cstheme="minorHAnsi"/>
              </w:rPr>
              <w:t>Drugi kwartał 2026</w:t>
            </w:r>
          </w:p>
        </w:tc>
        <w:tc>
          <w:tcPr>
            <w:tcW w:w="992" w:type="dxa"/>
          </w:tcPr>
          <w:p w14:paraId="3B1D9820" w14:textId="6F7AB933" w:rsidR="0095673C" w:rsidRPr="00AF0603" w:rsidRDefault="0095673C" w:rsidP="0095673C">
            <w:pPr>
              <w:rPr>
                <w:rFonts w:cstheme="minorHAnsi"/>
              </w:rPr>
            </w:pPr>
            <w:r w:rsidRPr="00AF0603">
              <w:rPr>
                <w:rFonts w:cstheme="minorHAnsi"/>
              </w:rPr>
              <w:t>36 miesi</w:t>
            </w:r>
            <w:r w:rsidR="00C940CB" w:rsidRPr="00AF0603">
              <w:rPr>
                <w:rFonts w:cstheme="minorHAnsi"/>
              </w:rPr>
              <w:t>ęcy</w:t>
            </w:r>
          </w:p>
        </w:tc>
        <w:tc>
          <w:tcPr>
            <w:tcW w:w="2551" w:type="dxa"/>
          </w:tcPr>
          <w:p w14:paraId="7961D704" w14:textId="0EB2E44A" w:rsidR="0095673C" w:rsidRPr="00AF0603" w:rsidRDefault="0095673C" w:rsidP="0095673C">
            <w:pPr>
              <w:rPr>
                <w:rFonts w:eastAsia="Times New Roman" w:cstheme="minorHAnsi"/>
                <w:color w:val="000000"/>
                <w:kern w:val="0"/>
                <w:lang w:eastAsia="en-IE"/>
                <w14:ligatures w14:val="none"/>
              </w:rPr>
            </w:pPr>
            <w:r w:rsidRPr="00AF0603">
              <w:rPr>
                <w:rFonts w:cstheme="minorHAnsi"/>
              </w:rPr>
              <w:t>Wszystkie podmioty</w:t>
            </w:r>
          </w:p>
        </w:tc>
      </w:tr>
      <w:tr w:rsidR="00264679" w:rsidRPr="00E90A99" w14:paraId="67B1656B" w14:textId="77777777" w:rsidTr="005A32DD">
        <w:trPr>
          <w:trHeight w:val="1124"/>
        </w:trPr>
        <w:tc>
          <w:tcPr>
            <w:tcW w:w="1689" w:type="dxa"/>
          </w:tcPr>
          <w:p w14:paraId="120D1A07" w14:textId="52C87E5E" w:rsidR="00264679" w:rsidRPr="00E90A99" w:rsidRDefault="00264679" w:rsidP="00264679">
            <w:pPr>
              <w:rPr>
                <w:b/>
                <w:bCs/>
                <w:lang w:val="en-GB"/>
              </w:rPr>
            </w:pPr>
            <w:r w:rsidRPr="00E90A99">
              <w:rPr>
                <w:b/>
                <w:bCs/>
                <w:lang w:val="en-GB"/>
              </w:rPr>
              <w:t>Reference deployments of European Cloud-edge Services</w:t>
            </w:r>
          </w:p>
        </w:tc>
        <w:tc>
          <w:tcPr>
            <w:tcW w:w="4827" w:type="dxa"/>
          </w:tcPr>
          <w:p w14:paraId="1BAC27AE" w14:textId="70A4D0CF" w:rsidR="00264679" w:rsidRPr="00AF0603" w:rsidRDefault="00264679" w:rsidP="00264679">
            <w:pPr>
              <w:rPr>
                <w:rFonts w:cstheme="minorHAnsi"/>
              </w:rPr>
            </w:pPr>
            <w:r w:rsidRPr="00AF0603">
              <w:rPr>
                <w:rFonts w:cstheme="minorHAnsi"/>
              </w:rPr>
              <w:t>Celem naboru jest wdrożenie referencyjnej instalacji Telco Edge o charakterze transgranicznym, której celem jest wykazanie korzyści płynących z równomiernego rozmieszczenia zasobów Telco Edge w Europie oraz ich zastosowania w kluczowych obszarach i sektorach strategicznych, z naciskiem na zrównoważony rozwój, bezpieczeństwo i interoperacyjność infrastruktury</w:t>
            </w:r>
            <w:bookmarkStart w:id="0" w:name="_Hlk154672046"/>
            <w:r w:rsidRPr="00AF0603">
              <w:rPr>
                <w:rFonts w:cstheme="minorHAnsi"/>
              </w:rPr>
              <w:t>.</w:t>
            </w:r>
            <w:bookmarkEnd w:id="0"/>
          </w:p>
        </w:tc>
        <w:tc>
          <w:tcPr>
            <w:tcW w:w="2126" w:type="dxa"/>
          </w:tcPr>
          <w:p w14:paraId="367B0D56" w14:textId="7DEB8E48" w:rsidR="00264679" w:rsidRPr="00AF0603" w:rsidRDefault="00264679" w:rsidP="00264679">
            <w:pPr>
              <w:rPr>
                <w:rFonts w:cstheme="minorHAnsi"/>
              </w:rPr>
            </w:pPr>
            <w:r w:rsidRPr="00AF0603">
              <w:rPr>
                <w:rFonts w:cstheme="minorHAnsi"/>
              </w:rPr>
              <w:t>Simple grant (50% poziom dofinansowania)</w:t>
            </w:r>
          </w:p>
        </w:tc>
        <w:tc>
          <w:tcPr>
            <w:tcW w:w="1559" w:type="dxa"/>
          </w:tcPr>
          <w:p w14:paraId="29BB6EE4" w14:textId="562D5E4D" w:rsidR="00264679" w:rsidRPr="00AF0603" w:rsidRDefault="00555F08" w:rsidP="00264679">
            <w:pPr>
              <w:rPr>
                <w:rFonts w:cstheme="minorHAnsi"/>
              </w:rPr>
            </w:pPr>
            <w:r>
              <w:rPr>
                <w:rFonts w:cstheme="minorHAnsi"/>
              </w:rPr>
              <w:t>9</w:t>
            </w:r>
            <w:r w:rsidR="00264679" w:rsidRPr="00AF0603">
              <w:rPr>
                <w:rFonts w:cstheme="minorHAnsi"/>
              </w:rPr>
              <w:t xml:space="preserve"> mln euro</w:t>
            </w:r>
          </w:p>
        </w:tc>
        <w:tc>
          <w:tcPr>
            <w:tcW w:w="1560" w:type="dxa"/>
          </w:tcPr>
          <w:p w14:paraId="1699E1B8" w14:textId="2FD19A35" w:rsidR="00264679" w:rsidRPr="00AF0603" w:rsidRDefault="00264679" w:rsidP="00264679">
            <w:pPr>
              <w:rPr>
                <w:rFonts w:cstheme="minorHAnsi"/>
              </w:rPr>
            </w:pPr>
            <w:r w:rsidRPr="00AF0603">
              <w:rPr>
                <w:rFonts w:cstheme="minorHAnsi"/>
              </w:rPr>
              <w:t>Pierwszy kwartał 2027</w:t>
            </w:r>
          </w:p>
        </w:tc>
        <w:tc>
          <w:tcPr>
            <w:tcW w:w="992" w:type="dxa"/>
          </w:tcPr>
          <w:p w14:paraId="28750EDC" w14:textId="1715BB39" w:rsidR="00264679" w:rsidRPr="00AF0603" w:rsidRDefault="00264679" w:rsidP="00264679">
            <w:pPr>
              <w:rPr>
                <w:rFonts w:cstheme="minorHAnsi"/>
              </w:rPr>
            </w:pPr>
            <w:r w:rsidRPr="00AF0603">
              <w:rPr>
                <w:rFonts w:cstheme="minorHAnsi"/>
              </w:rPr>
              <w:t>36 miesięcy</w:t>
            </w:r>
          </w:p>
        </w:tc>
        <w:tc>
          <w:tcPr>
            <w:tcW w:w="2551" w:type="dxa"/>
          </w:tcPr>
          <w:p w14:paraId="37BC36A0" w14:textId="77777777" w:rsidR="00264679" w:rsidRPr="00AF0603" w:rsidRDefault="00264679" w:rsidP="00264679">
            <w:pPr>
              <w:rPr>
                <w:rFonts w:cstheme="minorHAnsi"/>
              </w:rPr>
            </w:pPr>
            <w:r w:rsidRPr="00AF0603">
              <w:rPr>
                <w:rFonts w:cstheme="minorHAnsi"/>
              </w:rPr>
              <w:t>Prywatne organizacje posiadające udokumentowane doświadczenie w rozwoju Telco Edge.</w:t>
            </w:r>
          </w:p>
          <w:p w14:paraId="2DC7DE8C" w14:textId="4EC8338C" w:rsidR="00264679" w:rsidRPr="00AF0603" w:rsidRDefault="00264679" w:rsidP="00264679">
            <w:pPr>
              <w:rPr>
                <w:rFonts w:cstheme="minorHAnsi"/>
              </w:rPr>
            </w:pPr>
          </w:p>
        </w:tc>
      </w:tr>
      <w:tr w:rsidR="00264679" w:rsidRPr="00E90A99" w14:paraId="5B7CE1BD" w14:textId="77777777" w:rsidTr="005A32DD">
        <w:trPr>
          <w:trHeight w:val="1124"/>
        </w:trPr>
        <w:tc>
          <w:tcPr>
            <w:tcW w:w="1689" w:type="dxa"/>
          </w:tcPr>
          <w:p w14:paraId="7736A614" w14:textId="4A886573" w:rsidR="00264679" w:rsidRPr="00E90A99" w:rsidRDefault="00264679" w:rsidP="00264679">
            <w:pPr>
              <w:rPr>
                <w:b/>
                <w:bCs/>
                <w:lang w:val="en-GB"/>
              </w:rPr>
            </w:pPr>
            <w:r w:rsidRPr="00E90A99">
              <w:rPr>
                <w:b/>
                <w:bCs/>
                <w:lang w:val="en-GB"/>
              </w:rPr>
              <w:t>Data Space for Tourism</w:t>
            </w:r>
          </w:p>
        </w:tc>
        <w:tc>
          <w:tcPr>
            <w:tcW w:w="4827" w:type="dxa"/>
          </w:tcPr>
          <w:p w14:paraId="6DA8D7FF" w14:textId="77777777" w:rsidR="00264679" w:rsidRPr="00AF0603" w:rsidRDefault="00264679" w:rsidP="00264679">
            <w:pPr>
              <w:rPr>
                <w:rFonts w:eastAsia="Times New Roman" w:cstheme="minorHAnsi"/>
              </w:rPr>
            </w:pPr>
            <w:r w:rsidRPr="00AF0603">
              <w:rPr>
                <w:rFonts w:eastAsia="Times New Roman" w:cstheme="minorHAnsi"/>
              </w:rPr>
              <w:t>Celem naboru jest dalszy rozwój i utrzymanie infrastruktury wspólnej europejskiej przestrzeni danych dla turystyki, zapewniając interoperacyjność, nowe narzędzia, usługi i rozwiązania wspierające zrównoważony rozwój, innowacyjność oraz poprawę efektywności sektora turystycznego.</w:t>
            </w:r>
          </w:p>
          <w:p w14:paraId="068E5052" w14:textId="6070432B" w:rsidR="00264679" w:rsidRPr="00AF0603" w:rsidRDefault="00264679" w:rsidP="00264679">
            <w:pPr>
              <w:rPr>
                <w:rFonts w:cstheme="minorHAnsi"/>
              </w:rPr>
            </w:pPr>
          </w:p>
        </w:tc>
        <w:tc>
          <w:tcPr>
            <w:tcW w:w="2126" w:type="dxa"/>
          </w:tcPr>
          <w:p w14:paraId="1CAC016E" w14:textId="01734F12" w:rsidR="00264679" w:rsidRPr="00AF0603" w:rsidRDefault="00264679" w:rsidP="00264679">
            <w:pPr>
              <w:rPr>
                <w:rFonts w:cstheme="minorHAnsi"/>
              </w:rPr>
            </w:pPr>
            <w:r w:rsidRPr="00AF0603">
              <w:rPr>
                <w:rFonts w:cstheme="minorHAnsi"/>
              </w:rPr>
              <w:t>Simple grant (50% poziom dofinansowania)</w:t>
            </w:r>
          </w:p>
        </w:tc>
        <w:tc>
          <w:tcPr>
            <w:tcW w:w="1559" w:type="dxa"/>
          </w:tcPr>
          <w:p w14:paraId="0DBF8FD0" w14:textId="16D1F818" w:rsidR="00264679" w:rsidRPr="00AF0603" w:rsidRDefault="00555F08" w:rsidP="00264679">
            <w:pPr>
              <w:rPr>
                <w:rFonts w:cstheme="minorHAnsi"/>
              </w:rPr>
            </w:pPr>
            <w:r>
              <w:rPr>
                <w:rFonts w:cstheme="minorHAnsi"/>
              </w:rPr>
              <w:t>6,8</w:t>
            </w:r>
            <w:r w:rsidR="00264679" w:rsidRPr="00AF0603">
              <w:rPr>
                <w:rFonts w:cstheme="minorHAnsi"/>
              </w:rPr>
              <w:t xml:space="preserve"> mln euro</w:t>
            </w:r>
          </w:p>
        </w:tc>
        <w:tc>
          <w:tcPr>
            <w:tcW w:w="1560" w:type="dxa"/>
          </w:tcPr>
          <w:p w14:paraId="08FCD08B" w14:textId="6F0CFB78" w:rsidR="00264679" w:rsidRPr="00AF0603" w:rsidRDefault="00264679" w:rsidP="00264679">
            <w:pPr>
              <w:rPr>
                <w:rFonts w:cstheme="minorHAnsi"/>
              </w:rPr>
            </w:pPr>
            <w:r w:rsidRPr="00AF0603">
              <w:rPr>
                <w:rFonts w:cstheme="minorHAnsi"/>
              </w:rPr>
              <w:t>Pierwszy kwartał 2027</w:t>
            </w:r>
          </w:p>
        </w:tc>
        <w:tc>
          <w:tcPr>
            <w:tcW w:w="992" w:type="dxa"/>
          </w:tcPr>
          <w:p w14:paraId="65D91DE4" w14:textId="6018148A" w:rsidR="00264679" w:rsidRPr="00AF0603" w:rsidRDefault="00264679" w:rsidP="00264679">
            <w:pPr>
              <w:rPr>
                <w:rFonts w:cstheme="minorHAnsi"/>
              </w:rPr>
            </w:pPr>
            <w:r w:rsidRPr="00AF0603">
              <w:rPr>
                <w:rFonts w:cstheme="minorHAnsi"/>
              </w:rPr>
              <w:t>36 miesięcy</w:t>
            </w:r>
          </w:p>
        </w:tc>
        <w:tc>
          <w:tcPr>
            <w:tcW w:w="2551" w:type="dxa"/>
          </w:tcPr>
          <w:p w14:paraId="555C92E9" w14:textId="0FB018B8" w:rsidR="00264679" w:rsidRPr="00AF0603" w:rsidRDefault="00264679" w:rsidP="00264679">
            <w:pPr>
              <w:rPr>
                <w:rFonts w:cstheme="minorHAnsi"/>
              </w:rPr>
            </w:pPr>
            <w:r w:rsidRPr="00AF0603">
              <w:rPr>
                <w:rFonts w:cstheme="minorHAnsi"/>
              </w:rPr>
              <w:t>Podmioty publiczne i prywatne, takie jak</w:t>
            </w:r>
            <w:r w:rsidR="003A5839" w:rsidRPr="00AF0603">
              <w:rPr>
                <w:rFonts w:cstheme="minorHAnsi"/>
              </w:rPr>
              <w:t xml:space="preserve"> (ale nie tylko) </w:t>
            </w:r>
            <w:r w:rsidRPr="00AF0603">
              <w:rPr>
                <w:rFonts w:cstheme="minorHAnsi"/>
              </w:rPr>
              <w:t xml:space="preserve">administracje publiczne i/lub organy rządowe, podmioty gospodarcze/małe i średnie przedsiębiorstwa (MŚP), odpowiednie stowarzyszenia i organizacje pozarządowe </w:t>
            </w:r>
            <w:r w:rsidRPr="00AF0603">
              <w:rPr>
                <w:rFonts w:cstheme="minorHAnsi"/>
              </w:rPr>
              <w:lastRenderedPageBreak/>
              <w:t>(NGO), uczelnie, uniwersytety, organizacje badawcze</w:t>
            </w:r>
            <w:r w:rsidR="003A5839" w:rsidRPr="00AF0603">
              <w:rPr>
                <w:rFonts w:cstheme="minorHAnsi"/>
              </w:rPr>
              <w:t xml:space="preserve"> itp. </w:t>
            </w:r>
          </w:p>
        </w:tc>
      </w:tr>
      <w:tr w:rsidR="00264679" w:rsidRPr="00E90A99" w14:paraId="2A4A0CC4" w14:textId="77777777" w:rsidTr="005A32DD">
        <w:trPr>
          <w:trHeight w:val="1124"/>
        </w:trPr>
        <w:tc>
          <w:tcPr>
            <w:tcW w:w="1689" w:type="dxa"/>
          </w:tcPr>
          <w:p w14:paraId="122F73E3" w14:textId="1AEFA943" w:rsidR="00264679" w:rsidRPr="00E90A99" w:rsidRDefault="00264679" w:rsidP="00264679">
            <w:pPr>
              <w:rPr>
                <w:b/>
                <w:bCs/>
                <w:lang w:val="en-GB"/>
              </w:rPr>
            </w:pPr>
            <w:r w:rsidRPr="00E90A99">
              <w:rPr>
                <w:b/>
                <w:bCs/>
                <w:lang w:val="en-GB"/>
              </w:rPr>
              <w:lastRenderedPageBreak/>
              <w:t>Data Space for Skills</w:t>
            </w:r>
          </w:p>
        </w:tc>
        <w:tc>
          <w:tcPr>
            <w:tcW w:w="4827" w:type="dxa"/>
          </w:tcPr>
          <w:p w14:paraId="417D8635" w14:textId="773D3924" w:rsidR="00264679" w:rsidRPr="00AF0603" w:rsidRDefault="00264679" w:rsidP="00264679">
            <w:pPr>
              <w:rPr>
                <w:rFonts w:cstheme="minorHAnsi"/>
              </w:rPr>
            </w:pPr>
            <w:r w:rsidRPr="00AF0603">
              <w:rPr>
                <w:rFonts w:eastAsia="Times New Roman" w:cstheme="minorHAnsi"/>
              </w:rPr>
              <w:t>Celem naboru jest dalszy rozwój i ekspansja wspólnej europejskiej przestrzeni danych dla umiejętności, z naciskiem na poprawę interoperacyjności, tworzenie nowych zastosowań opartych na danych oraz wspieranie innowacji w obszarze edukacji i rynku pracy, w tym wykorzystanie sztucznej inteligencji.</w:t>
            </w:r>
          </w:p>
        </w:tc>
        <w:tc>
          <w:tcPr>
            <w:tcW w:w="2126" w:type="dxa"/>
          </w:tcPr>
          <w:p w14:paraId="079288AF" w14:textId="02C61710" w:rsidR="00264679" w:rsidRPr="00AF0603" w:rsidRDefault="00264679" w:rsidP="00264679">
            <w:pPr>
              <w:rPr>
                <w:rFonts w:cstheme="minorHAnsi"/>
              </w:rPr>
            </w:pPr>
            <w:r w:rsidRPr="00AF0603">
              <w:rPr>
                <w:rFonts w:cstheme="minorHAnsi"/>
              </w:rPr>
              <w:t>Simple grant (50% poziom dofinansowania)</w:t>
            </w:r>
          </w:p>
        </w:tc>
        <w:tc>
          <w:tcPr>
            <w:tcW w:w="1559" w:type="dxa"/>
          </w:tcPr>
          <w:p w14:paraId="1B92447E" w14:textId="0C5CF2DE" w:rsidR="00264679" w:rsidRPr="00AF0603" w:rsidRDefault="00555F08" w:rsidP="00264679">
            <w:pPr>
              <w:rPr>
                <w:rFonts w:cstheme="minorHAnsi"/>
              </w:rPr>
            </w:pPr>
            <w:r>
              <w:rPr>
                <w:rFonts w:cstheme="minorHAnsi"/>
              </w:rPr>
              <w:t>3,5</w:t>
            </w:r>
            <w:r w:rsidR="00264679" w:rsidRPr="00AF0603">
              <w:rPr>
                <w:rFonts w:cstheme="minorHAnsi"/>
              </w:rPr>
              <w:t xml:space="preserve"> mln euro</w:t>
            </w:r>
          </w:p>
        </w:tc>
        <w:tc>
          <w:tcPr>
            <w:tcW w:w="1560" w:type="dxa"/>
          </w:tcPr>
          <w:p w14:paraId="555A61F9" w14:textId="42AA8E1C" w:rsidR="00264679" w:rsidRPr="00AF0603" w:rsidRDefault="00264679" w:rsidP="00264679">
            <w:pPr>
              <w:rPr>
                <w:rFonts w:cstheme="minorHAnsi"/>
              </w:rPr>
            </w:pPr>
            <w:r w:rsidRPr="00AF0603">
              <w:rPr>
                <w:rFonts w:cstheme="minorHAnsi"/>
              </w:rPr>
              <w:t>Pierwszy kwartał 2027</w:t>
            </w:r>
          </w:p>
        </w:tc>
        <w:tc>
          <w:tcPr>
            <w:tcW w:w="992" w:type="dxa"/>
          </w:tcPr>
          <w:p w14:paraId="076D8340" w14:textId="241A9D48" w:rsidR="00264679" w:rsidRPr="00AF0603" w:rsidRDefault="00264679" w:rsidP="00264679">
            <w:pPr>
              <w:rPr>
                <w:rFonts w:cstheme="minorHAnsi"/>
              </w:rPr>
            </w:pPr>
            <w:r w:rsidRPr="00AF0603">
              <w:rPr>
                <w:rFonts w:cstheme="minorHAnsi"/>
              </w:rPr>
              <w:t>36 miesięcy</w:t>
            </w:r>
          </w:p>
        </w:tc>
        <w:tc>
          <w:tcPr>
            <w:tcW w:w="2551" w:type="dxa"/>
          </w:tcPr>
          <w:p w14:paraId="0F50D00C" w14:textId="1AAB3A9B" w:rsidR="00264679" w:rsidRPr="00AF0603" w:rsidRDefault="00264679" w:rsidP="00264679">
            <w:pPr>
              <w:rPr>
                <w:rFonts w:cstheme="minorHAnsi"/>
              </w:rPr>
            </w:pPr>
            <w:r w:rsidRPr="00AF0603">
              <w:rPr>
                <w:rFonts w:cstheme="minorHAnsi"/>
              </w:rPr>
              <w:t xml:space="preserve">Partnerzy </w:t>
            </w:r>
            <w:r w:rsidR="00D62C4F" w:rsidRPr="00AF0603">
              <w:rPr>
                <w:rFonts w:cstheme="minorHAnsi"/>
              </w:rPr>
              <w:t xml:space="preserve">z uczelni i ośrodków badawczych, </w:t>
            </w:r>
            <w:r w:rsidRPr="00AF0603">
              <w:rPr>
                <w:rFonts w:cstheme="minorHAnsi"/>
              </w:rPr>
              <w:t>administracje publiczne i/lub organy rządowe, dostawcy edukacji i szkoleń, deweloperzy IT, podmioty publiczne i prywatne, agencje rekrutacyjne, stowarzyszenia branżowe.</w:t>
            </w:r>
          </w:p>
        </w:tc>
      </w:tr>
      <w:tr w:rsidR="00264679" w:rsidRPr="00E90A99" w14:paraId="62B2D65B" w14:textId="77777777" w:rsidTr="005A32DD">
        <w:trPr>
          <w:trHeight w:val="1124"/>
        </w:trPr>
        <w:tc>
          <w:tcPr>
            <w:tcW w:w="1689" w:type="dxa"/>
          </w:tcPr>
          <w:p w14:paraId="0ED55457" w14:textId="5A96CFEF" w:rsidR="00264679" w:rsidRPr="00E90A99" w:rsidRDefault="00264679" w:rsidP="00264679">
            <w:pPr>
              <w:rPr>
                <w:b/>
                <w:bCs/>
                <w:lang w:val="en-GB"/>
              </w:rPr>
            </w:pPr>
            <w:r w:rsidRPr="00E90A99">
              <w:rPr>
                <w:b/>
                <w:bCs/>
              </w:rPr>
              <w:t>Virtual Human Twins and Artificial Intelligence in health: Platform validation and uptake incubator</w:t>
            </w:r>
          </w:p>
        </w:tc>
        <w:tc>
          <w:tcPr>
            <w:tcW w:w="4827" w:type="dxa"/>
          </w:tcPr>
          <w:p w14:paraId="29115217" w14:textId="66B3EB00" w:rsidR="00264679" w:rsidRPr="00AF0603" w:rsidRDefault="00264679" w:rsidP="00264679">
            <w:pPr>
              <w:rPr>
                <w:rFonts w:cstheme="minorHAnsi"/>
              </w:rPr>
            </w:pPr>
            <w:r w:rsidRPr="00AF0603">
              <w:rPr>
                <w:rFonts w:cstheme="minorHAnsi"/>
              </w:rPr>
              <w:t>Nabór jest podzielony na dwa działania: walidację platformy zaawansowanych modeli wirtualnych bliźniaków (VHT) w celu potwierdzenia jej wydajności oraz wsparcie inkubatora dla wdrażania i skalowania rozwiązań VHT i związanych z nimi technologii AI w europejskich placówkach ochrony zdrowia, a jego celem jest przyspieszenie wdrożenia tych technologii w opiece zdrowotnej i badaniach klinicznych oraz stymulowanie ich komercyjnego rozwoju.</w:t>
            </w:r>
          </w:p>
        </w:tc>
        <w:tc>
          <w:tcPr>
            <w:tcW w:w="2126" w:type="dxa"/>
          </w:tcPr>
          <w:p w14:paraId="188716F2" w14:textId="568D5A27" w:rsidR="00264679" w:rsidRPr="00AF0603" w:rsidRDefault="00E83B96" w:rsidP="00264679">
            <w:pPr>
              <w:rPr>
                <w:rFonts w:cstheme="minorHAnsi"/>
              </w:rPr>
            </w:pPr>
            <w:r w:rsidRPr="00AF0603">
              <w:rPr>
                <w:rFonts w:cstheme="minorHAnsi"/>
              </w:rPr>
              <w:t>T</w:t>
            </w:r>
            <w:r w:rsidR="00264679" w:rsidRPr="00AF0603">
              <w:rPr>
                <w:rFonts w:cstheme="minorHAnsi"/>
              </w:rPr>
              <w:t>emat podzielony na dwie części:</w:t>
            </w:r>
            <w:r w:rsidR="00264679" w:rsidRPr="00AF0603">
              <w:rPr>
                <w:rFonts w:cstheme="minorHAnsi"/>
              </w:rPr>
              <w:br/>
              <w:t>w postaci zamówienia (procurement) - poziom dofinansowania: 50%;</w:t>
            </w:r>
            <w:r w:rsidR="00264679" w:rsidRPr="00AF0603">
              <w:rPr>
                <w:rFonts w:cstheme="minorHAnsi"/>
              </w:rPr>
              <w:br/>
              <w:t xml:space="preserve">nabór na uptake incubator – </w:t>
            </w:r>
            <w:r w:rsidR="00522DED" w:rsidRPr="00AF0603">
              <w:rPr>
                <w:rFonts w:cstheme="minorHAnsi"/>
              </w:rPr>
              <w:t>S</w:t>
            </w:r>
            <w:r w:rsidR="00264679" w:rsidRPr="00AF0603">
              <w:rPr>
                <w:rFonts w:cstheme="minorHAnsi"/>
              </w:rPr>
              <w:t>imple grant (50% poziom dofinansowania)</w:t>
            </w:r>
          </w:p>
        </w:tc>
        <w:tc>
          <w:tcPr>
            <w:tcW w:w="1559" w:type="dxa"/>
          </w:tcPr>
          <w:p w14:paraId="247FB9E4" w14:textId="4A208BA5" w:rsidR="00264679" w:rsidRPr="00AF0603" w:rsidRDefault="00555F08" w:rsidP="00264679">
            <w:pPr>
              <w:rPr>
                <w:rFonts w:cstheme="minorHAnsi"/>
              </w:rPr>
            </w:pPr>
            <w:r>
              <w:rPr>
                <w:rFonts w:cstheme="minorHAnsi"/>
              </w:rPr>
              <w:t>8,1</w:t>
            </w:r>
            <w:r w:rsidR="00264679" w:rsidRPr="00AF0603">
              <w:rPr>
                <w:rFonts w:cstheme="minorHAnsi"/>
              </w:rPr>
              <w:t xml:space="preserve"> mln euro (</w:t>
            </w:r>
            <w:r>
              <w:rPr>
                <w:rFonts w:cstheme="minorHAnsi"/>
              </w:rPr>
              <w:t>0,9</w:t>
            </w:r>
            <w:r w:rsidR="00E83B96" w:rsidRPr="00AF0603">
              <w:rPr>
                <w:rFonts w:cstheme="minorHAnsi"/>
              </w:rPr>
              <w:t xml:space="preserve"> </w:t>
            </w:r>
            <w:r w:rsidR="00264679" w:rsidRPr="00AF0603">
              <w:rPr>
                <w:rFonts w:cstheme="minorHAnsi"/>
              </w:rPr>
              <w:t xml:space="preserve">mln euro na procurement, </w:t>
            </w:r>
            <w:r>
              <w:rPr>
                <w:rFonts w:cstheme="minorHAnsi"/>
              </w:rPr>
              <w:t>7,2</w:t>
            </w:r>
            <w:r w:rsidR="00264679" w:rsidRPr="00AF0603">
              <w:rPr>
                <w:rFonts w:cstheme="minorHAnsi"/>
              </w:rPr>
              <w:t xml:space="preserve"> mln na nabór)</w:t>
            </w:r>
          </w:p>
          <w:p w14:paraId="11880C8C" w14:textId="0C53D152" w:rsidR="00264679" w:rsidRPr="00AF0603" w:rsidRDefault="00264679" w:rsidP="00264679">
            <w:pPr>
              <w:rPr>
                <w:rFonts w:cstheme="minorHAnsi"/>
              </w:rPr>
            </w:pPr>
          </w:p>
        </w:tc>
        <w:tc>
          <w:tcPr>
            <w:tcW w:w="1560" w:type="dxa"/>
          </w:tcPr>
          <w:p w14:paraId="2B56070A" w14:textId="530B2403" w:rsidR="00264679" w:rsidRPr="00AF0603" w:rsidRDefault="00264679" w:rsidP="00264679">
            <w:pPr>
              <w:rPr>
                <w:rFonts w:cstheme="minorHAnsi"/>
              </w:rPr>
            </w:pPr>
            <w:r w:rsidRPr="00AF0603">
              <w:rPr>
                <w:rFonts w:cstheme="minorHAnsi"/>
                <w:lang w:val="en-GB"/>
              </w:rPr>
              <w:t>2027 (</w:t>
            </w:r>
            <w:r w:rsidRPr="00AF0603">
              <w:rPr>
                <w:rFonts w:cstheme="minorHAnsi"/>
              </w:rPr>
              <w:t>procurement</w:t>
            </w:r>
            <w:r w:rsidRPr="00AF0603">
              <w:rPr>
                <w:rFonts w:cstheme="minorHAnsi"/>
                <w:lang w:val="en-GB"/>
              </w:rPr>
              <w:t xml:space="preserve">); </w:t>
            </w:r>
            <w:r w:rsidRPr="00AF0603">
              <w:rPr>
                <w:rFonts w:cstheme="minorHAnsi"/>
              </w:rPr>
              <w:t xml:space="preserve">Pierwszy kwartał 2027 </w:t>
            </w:r>
            <w:r w:rsidRPr="00AF0603">
              <w:rPr>
                <w:rFonts w:cstheme="minorHAnsi"/>
                <w:lang w:val="en-GB"/>
              </w:rPr>
              <w:t>(nabór Simple grant)</w:t>
            </w:r>
          </w:p>
        </w:tc>
        <w:tc>
          <w:tcPr>
            <w:tcW w:w="992" w:type="dxa"/>
          </w:tcPr>
          <w:p w14:paraId="6D716C2A" w14:textId="77777777" w:rsidR="00264679" w:rsidRPr="00AF0603" w:rsidRDefault="00264679" w:rsidP="00264679">
            <w:pPr>
              <w:rPr>
                <w:rFonts w:cstheme="minorHAnsi"/>
              </w:rPr>
            </w:pPr>
            <w:r w:rsidRPr="00AF0603">
              <w:rPr>
                <w:rFonts w:cstheme="minorHAnsi"/>
              </w:rPr>
              <w:t>9 miesięcy (procurement); 48 miesięcy (nabór Simple grant)</w:t>
            </w:r>
          </w:p>
          <w:p w14:paraId="334F88BC" w14:textId="77777777" w:rsidR="00264679" w:rsidRPr="00AF0603" w:rsidRDefault="00264679" w:rsidP="00264679">
            <w:pPr>
              <w:rPr>
                <w:rFonts w:cstheme="minorHAnsi"/>
              </w:rPr>
            </w:pPr>
          </w:p>
          <w:p w14:paraId="1E58DC9B" w14:textId="49553856" w:rsidR="00264679" w:rsidRPr="00AF0603" w:rsidRDefault="00264679" w:rsidP="00264679">
            <w:pPr>
              <w:rPr>
                <w:rFonts w:cstheme="minorHAnsi"/>
              </w:rPr>
            </w:pPr>
          </w:p>
        </w:tc>
        <w:tc>
          <w:tcPr>
            <w:tcW w:w="2551" w:type="dxa"/>
          </w:tcPr>
          <w:p w14:paraId="0D3D6958" w14:textId="77777777" w:rsidR="00264679" w:rsidRPr="00AF0603" w:rsidRDefault="00264679" w:rsidP="00264679">
            <w:pPr>
              <w:rPr>
                <w:rFonts w:cstheme="minorHAnsi"/>
              </w:rPr>
            </w:pPr>
            <w:r w:rsidRPr="00AF0603">
              <w:rPr>
                <w:rFonts w:cstheme="minorHAnsi"/>
              </w:rPr>
              <w:t>Podmioty sektora publicznego i władze państw członkowskich; uczelnie wyższe; świadczeniodawcy usług zdrowotnych; podmioty prywatne, takie jak MŚP i start-upy zajmujące się technologią zdrowotną.</w:t>
            </w:r>
          </w:p>
          <w:p w14:paraId="5213F535" w14:textId="4ED2E4F2" w:rsidR="00264679" w:rsidRPr="00AF0603" w:rsidRDefault="00264679" w:rsidP="00264679">
            <w:pPr>
              <w:rPr>
                <w:rFonts w:cstheme="minorHAnsi"/>
              </w:rPr>
            </w:pPr>
          </w:p>
        </w:tc>
      </w:tr>
      <w:tr w:rsidR="00264679" w:rsidRPr="00E90A99" w14:paraId="03CD6B3E" w14:textId="77777777" w:rsidTr="005A32DD">
        <w:trPr>
          <w:trHeight w:val="1124"/>
        </w:trPr>
        <w:tc>
          <w:tcPr>
            <w:tcW w:w="1689" w:type="dxa"/>
          </w:tcPr>
          <w:p w14:paraId="66F8670F" w14:textId="17AC8FA8" w:rsidR="00264679" w:rsidRPr="00E90A99" w:rsidRDefault="00264679" w:rsidP="00264679">
            <w:pPr>
              <w:rPr>
                <w:b/>
                <w:bCs/>
                <w:lang w:val="en-GB"/>
              </w:rPr>
            </w:pPr>
            <w:r w:rsidRPr="00E90A99">
              <w:rPr>
                <w:b/>
                <w:bCs/>
                <w:lang w:val="en-GB"/>
              </w:rPr>
              <w:t>Supporting the coordination of the Cybersecurity Skills Academy</w:t>
            </w:r>
          </w:p>
        </w:tc>
        <w:tc>
          <w:tcPr>
            <w:tcW w:w="4827" w:type="dxa"/>
          </w:tcPr>
          <w:p w14:paraId="62969A8A" w14:textId="520FDA40" w:rsidR="00264679" w:rsidRPr="00AF0603" w:rsidRDefault="00264679" w:rsidP="00264679">
            <w:pPr>
              <w:rPr>
                <w:rFonts w:cstheme="minorHAnsi"/>
              </w:rPr>
            </w:pPr>
            <w:r w:rsidRPr="00AF0603">
              <w:rPr>
                <w:rFonts w:cstheme="minorHAnsi"/>
              </w:rPr>
              <w:t xml:space="preserve">Nabór ma na celu wsparcie Akademii Umiejętności Cyberbezpieczeństwa poprzez rozwijanie współpracy i synergię pomiędzy różnymi aktorami w obszarze edukacji i szkoleń związanych z cyberbezpieczeństwem. Jego celem jest zwiększenie efektywności działań Akademii, wymiana najlepszych praktyk, opracowywanie </w:t>
            </w:r>
            <w:r w:rsidRPr="00AF0603">
              <w:rPr>
                <w:rFonts w:cstheme="minorHAnsi"/>
              </w:rPr>
              <w:lastRenderedPageBreak/>
              <w:t>zaleceń politycznych oraz wspieranie integracji inicjatyw w zakresie szkoleń i edukacji w obszarze cyberbezpieczeństwa.</w:t>
            </w:r>
          </w:p>
        </w:tc>
        <w:tc>
          <w:tcPr>
            <w:tcW w:w="2126" w:type="dxa"/>
          </w:tcPr>
          <w:p w14:paraId="46B39625" w14:textId="4534A842" w:rsidR="00264679" w:rsidRPr="00AF0603" w:rsidRDefault="00264679" w:rsidP="00264679">
            <w:pPr>
              <w:rPr>
                <w:rFonts w:cstheme="minorHAnsi"/>
              </w:rPr>
            </w:pPr>
            <w:r w:rsidRPr="00AF0603">
              <w:rPr>
                <w:rFonts w:cstheme="minorHAnsi"/>
              </w:rPr>
              <w:lastRenderedPageBreak/>
              <w:t>Coordination and support action grant (100% poziom dofinansowania)</w:t>
            </w:r>
          </w:p>
        </w:tc>
        <w:tc>
          <w:tcPr>
            <w:tcW w:w="1559" w:type="dxa"/>
          </w:tcPr>
          <w:p w14:paraId="7293E680" w14:textId="1027D21B" w:rsidR="00264679" w:rsidRPr="00AF0603" w:rsidRDefault="00264679" w:rsidP="00264679">
            <w:pPr>
              <w:rPr>
                <w:rFonts w:cstheme="minorHAnsi"/>
              </w:rPr>
            </w:pPr>
            <w:r w:rsidRPr="00AF0603">
              <w:rPr>
                <w:rFonts w:cstheme="minorHAnsi"/>
              </w:rPr>
              <w:t>1 mln euro</w:t>
            </w:r>
          </w:p>
        </w:tc>
        <w:tc>
          <w:tcPr>
            <w:tcW w:w="1560" w:type="dxa"/>
          </w:tcPr>
          <w:p w14:paraId="2EFEAD45" w14:textId="62B41F63" w:rsidR="00264679" w:rsidRPr="00AF0603" w:rsidRDefault="00264679" w:rsidP="00264679">
            <w:pPr>
              <w:rPr>
                <w:rFonts w:cstheme="minorHAnsi"/>
              </w:rPr>
            </w:pPr>
            <w:r w:rsidRPr="00AF0603">
              <w:rPr>
                <w:rFonts w:cstheme="minorHAnsi"/>
              </w:rPr>
              <w:t>Pierwszy kwartał 2027</w:t>
            </w:r>
          </w:p>
        </w:tc>
        <w:tc>
          <w:tcPr>
            <w:tcW w:w="992" w:type="dxa"/>
          </w:tcPr>
          <w:p w14:paraId="7B49F1C6" w14:textId="3325010B" w:rsidR="00264679" w:rsidRPr="00AF0603" w:rsidRDefault="00264679" w:rsidP="00264679">
            <w:pPr>
              <w:rPr>
                <w:rFonts w:cstheme="minorHAnsi"/>
              </w:rPr>
            </w:pPr>
            <w:r w:rsidRPr="00AF0603">
              <w:rPr>
                <w:rFonts w:cstheme="minorHAnsi"/>
              </w:rPr>
              <w:t>24 miesiące</w:t>
            </w:r>
          </w:p>
        </w:tc>
        <w:tc>
          <w:tcPr>
            <w:tcW w:w="2551" w:type="dxa"/>
          </w:tcPr>
          <w:p w14:paraId="5ECD4498" w14:textId="2DA5C1F0" w:rsidR="00264679" w:rsidRPr="00AF0603" w:rsidRDefault="00264679" w:rsidP="00264679">
            <w:pPr>
              <w:rPr>
                <w:rFonts w:cstheme="minorHAnsi"/>
              </w:rPr>
            </w:pPr>
            <w:r w:rsidRPr="00AF0603">
              <w:rPr>
                <w:rFonts w:cstheme="minorHAnsi"/>
              </w:rPr>
              <w:t xml:space="preserve">Władze krajowe, instytucje szkolnictwa wyższego, instytucje kształcenia i szkoleń zawodowych, organizacje badawcze, krajowe centra kompetencji w zakresie </w:t>
            </w:r>
            <w:r w:rsidRPr="00AF0603">
              <w:rPr>
                <w:rFonts w:cstheme="minorHAnsi"/>
              </w:rPr>
              <w:lastRenderedPageBreak/>
              <w:t>cyberbezpieczeństwa, EDIC.</w:t>
            </w:r>
          </w:p>
        </w:tc>
      </w:tr>
      <w:tr w:rsidR="00264679" w:rsidRPr="00E90A99" w14:paraId="1897BF17" w14:textId="77777777" w:rsidTr="005A32DD">
        <w:trPr>
          <w:trHeight w:val="1124"/>
        </w:trPr>
        <w:tc>
          <w:tcPr>
            <w:tcW w:w="1689" w:type="dxa"/>
          </w:tcPr>
          <w:p w14:paraId="7A217074" w14:textId="4B0DDDD7" w:rsidR="00264679" w:rsidRPr="00E90A99" w:rsidRDefault="00264679" w:rsidP="00264679">
            <w:pPr>
              <w:rPr>
                <w:b/>
                <w:bCs/>
                <w:lang w:val="en-GB"/>
              </w:rPr>
            </w:pPr>
            <w:r w:rsidRPr="00E90A99">
              <w:rPr>
                <w:b/>
                <w:bCs/>
                <w:lang w:val="en-GB"/>
              </w:rPr>
              <w:lastRenderedPageBreak/>
              <w:t>Support to the implementation of Multi-Country Projects (MCPs)</w:t>
            </w:r>
          </w:p>
        </w:tc>
        <w:tc>
          <w:tcPr>
            <w:tcW w:w="4827" w:type="dxa"/>
          </w:tcPr>
          <w:p w14:paraId="6FE3FC03" w14:textId="6E047026" w:rsidR="00264679" w:rsidRPr="00AF0603" w:rsidRDefault="00264679" w:rsidP="00264679">
            <w:pPr>
              <w:rPr>
                <w:rFonts w:cstheme="minorHAnsi"/>
              </w:rPr>
            </w:pPr>
            <w:r w:rsidRPr="00AF0603">
              <w:rPr>
                <w:rFonts w:cstheme="minorHAnsi"/>
              </w:rPr>
              <w:t>Nabór ma na celu wsparcie realizacji projektów wielokrajowych (MCP), które mają na celu wspieranie transformacji cyfrowej Unii i odbudowy przemysłowej, angażując co najmniej trzy państwa członkowskie. Projekty te powinny koncentrować się na budowie cyfrowych infrastruktur, usług i rozwiązań, które będą miały trwały wpływ na rozwój jednolitego rynku cyfrowego, promując interoperacyjność, bezpieczeństwo oraz innowacyjne modele biznesowe.</w:t>
            </w:r>
          </w:p>
        </w:tc>
        <w:tc>
          <w:tcPr>
            <w:tcW w:w="2126" w:type="dxa"/>
          </w:tcPr>
          <w:p w14:paraId="1847F242" w14:textId="3B4F42FD" w:rsidR="00264679" w:rsidRPr="00AF0603" w:rsidRDefault="00264679" w:rsidP="00264679">
            <w:pPr>
              <w:rPr>
                <w:rFonts w:cstheme="minorHAnsi"/>
              </w:rPr>
            </w:pPr>
            <w:r w:rsidRPr="00AF0603">
              <w:rPr>
                <w:rFonts w:cstheme="minorHAnsi"/>
              </w:rPr>
              <w:t>Simple grant (50% poziom dofinansowania)</w:t>
            </w:r>
          </w:p>
        </w:tc>
        <w:tc>
          <w:tcPr>
            <w:tcW w:w="1559" w:type="dxa"/>
          </w:tcPr>
          <w:p w14:paraId="1B258880" w14:textId="457BDBA2" w:rsidR="00264679" w:rsidRPr="00AF0603" w:rsidRDefault="00264679" w:rsidP="00264679">
            <w:pPr>
              <w:rPr>
                <w:rFonts w:cstheme="minorHAnsi"/>
              </w:rPr>
            </w:pPr>
            <w:r w:rsidRPr="00AF0603">
              <w:rPr>
                <w:rFonts w:cstheme="minorHAnsi"/>
              </w:rPr>
              <w:t>2</w:t>
            </w:r>
            <w:r w:rsidR="008B3314">
              <w:rPr>
                <w:rFonts w:cstheme="minorHAnsi"/>
              </w:rPr>
              <w:t>2,5</w:t>
            </w:r>
            <w:r w:rsidRPr="00AF0603">
              <w:rPr>
                <w:rFonts w:cstheme="minorHAnsi"/>
              </w:rPr>
              <w:t xml:space="preserve"> mln euro</w:t>
            </w:r>
          </w:p>
        </w:tc>
        <w:tc>
          <w:tcPr>
            <w:tcW w:w="1560" w:type="dxa"/>
          </w:tcPr>
          <w:p w14:paraId="09F244A9" w14:textId="56259B94" w:rsidR="00264679" w:rsidRPr="00AF0603" w:rsidRDefault="00264679" w:rsidP="00264679">
            <w:pPr>
              <w:rPr>
                <w:rFonts w:cstheme="minorHAnsi"/>
                <w:lang w:val="en-GB"/>
              </w:rPr>
            </w:pPr>
            <w:r w:rsidRPr="00AF0603">
              <w:rPr>
                <w:rFonts w:cstheme="minorHAnsi"/>
              </w:rPr>
              <w:t>Pierwszy kwartał 2027</w:t>
            </w:r>
          </w:p>
        </w:tc>
        <w:tc>
          <w:tcPr>
            <w:tcW w:w="992" w:type="dxa"/>
          </w:tcPr>
          <w:p w14:paraId="2E40B6AD" w14:textId="7BCE6B95" w:rsidR="00264679" w:rsidRPr="00AF0603" w:rsidRDefault="00264679" w:rsidP="00264679">
            <w:pPr>
              <w:rPr>
                <w:rFonts w:cstheme="minorHAnsi"/>
              </w:rPr>
            </w:pPr>
            <w:r w:rsidRPr="00AF0603">
              <w:rPr>
                <w:rFonts w:cstheme="minorHAnsi"/>
              </w:rPr>
              <w:t>36 miesięcy</w:t>
            </w:r>
          </w:p>
        </w:tc>
        <w:tc>
          <w:tcPr>
            <w:tcW w:w="2551" w:type="dxa"/>
          </w:tcPr>
          <w:p w14:paraId="03ACD5EE" w14:textId="390225C5" w:rsidR="00264679" w:rsidRPr="00AF0603" w:rsidRDefault="00264679" w:rsidP="00264679">
            <w:pPr>
              <w:rPr>
                <w:rFonts w:cstheme="minorHAnsi"/>
              </w:rPr>
            </w:pPr>
            <w:r w:rsidRPr="00AF0603">
              <w:rPr>
                <w:rFonts w:eastAsia="Calibri" w:cstheme="minorHAnsi"/>
              </w:rPr>
              <w:t>Podmioty publiczne i prywatne, takie jak: administracje publiczne (na poziomie krajowym i lokalnym), EDIC, podmioty gospodarcze (MŚP, duże organizacje), a także inne odpowiednie organizacje publiczne i prywatne przyczyniające się do realizacji projektów wielokrajowych.</w:t>
            </w:r>
          </w:p>
        </w:tc>
      </w:tr>
      <w:tr w:rsidR="008B3314" w:rsidRPr="00E90A99" w14:paraId="34456F0E" w14:textId="77777777" w:rsidTr="005A32DD">
        <w:trPr>
          <w:trHeight w:val="1124"/>
        </w:trPr>
        <w:tc>
          <w:tcPr>
            <w:tcW w:w="1689" w:type="dxa"/>
          </w:tcPr>
          <w:p w14:paraId="372AF3BC" w14:textId="02386704" w:rsidR="008B3314" w:rsidRPr="00E90A99" w:rsidRDefault="008B3314" w:rsidP="00264679">
            <w:pPr>
              <w:rPr>
                <w:b/>
                <w:bCs/>
                <w:lang w:val="en-GB"/>
              </w:rPr>
            </w:pPr>
            <w:r w:rsidRPr="008B3314">
              <w:rPr>
                <w:b/>
                <w:bCs/>
                <w:lang w:val="en-GB"/>
              </w:rPr>
              <w:t>Testing GenAI4EU applications at scale and under real-world conditions</w:t>
            </w:r>
          </w:p>
        </w:tc>
        <w:tc>
          <w:tcPr>
            <w:tcW w:w="4827" w:type="dxa"/>
          </w:tcPr>
          <w:p w14:paraId="05D54499" w14:textId="389F33D1" w:rsidR="008B3314" w:rsidRPr="00AF0603" w:rsidRDefault="008B3314" w:rsidP="00264679">
            <w:pPr>
              <w:rPr>
                <w:rFonts w:cstheme="minorHAnsi"/>
              </w:rPr>
            </w:pPr>
            <w:r w:rsidRPr="008B3314">
              <w:rPr>
                <w:rFonts w:cstheme="minorHAnsi"/>
              </w:rPr>
              <w:t>C</w:t>
            </w:r>
          </w:p>
        </w:tc>
        <w:tc>
          <w:tcPr>
            <w:tcW w:w="2126" w:type="dxa"/>
          </w:tcPr>
          <w:p w14:paraId="61B55821" w14:textId="1D1E1329" w:rsidR="008B3314" w:rsidRPr="00AF0603" w:rsidRDefault="008B3314" w:rsidP="00264679">
            <w:pPr>
              <w:rPr>
                <w:rFonts w:cstheme="minorHAnsi"/>
              </w:rPr>
            </w:pPr>
            <w:r w:rsidRPr="008B3314">
              <w:rPr>
                <w:rFonts w:cstheme="minorHAnsi"/>
              </w:rPr>
              <w:t>Simple grant (50% poziom dofinansowania)</w:t>
            </w:r>
          </w:p>
        </w:tc>
        <w:tc>
          <w:tcPr>
            <w:tcW w:w="1559" w:type="dxa"/>
          </w:tcPr>
          <w:p w14:paraId="0502CCD3" w14:textId="1FDE924C" w:rsidR="008B3314" w:rsidRPr="00AF0603" w:rsidRDefault="008B3314" w:rsidP="00264679">
            <w:pPr>
              <w:rPr>
                <w:rFonts w:cstheme="minorHAnsi"/>
              </w:rPr>
            </w:pPr>
            <w:r w:rsidRPr="008B3314">
              <w:rPr>
                <w:rFonts w:cstheme="minorHAnsi"/>
              </w:rPr>
              <w:t xml:space="preserve">16 mln euro </w:t>
            </w:r>
          </w:p>
        </w:tc>
        <w:tc>
          <w:tcPr>
            <w:tcW w:w="1560" w:type="dxa"/>
          </w:tcPr>
          <w:p w14:paraId="57785E2B" w14:textId="7DF7A0BE" w:rsidR="008B3314" w:rsidRPr="00AF0603" w:rsidRDefault="00A958C8" w:rsidP="00264679">
            <w:pPr>
              <w:rPr>
                <w:rFonts w:cstheme="minorHAnsi"/>
              </w:rPr>
            </w:pPr>
            <w:r>
              <w:rPr>
                <w:rFonts w:cstheme="minorHAnsi"/>
              </w:rPr>
              <w:t xml:space="preserve">Pierwszy </w:t>
            </w:r>
            <w:r w:rsidR="008B3314" w:rsidRPr="008B3314">
              <w:rPr>
                <w:rFonts w:cstheme="minorHAnsi"/>
              </w:rPr>
              <w:t>kwartał 202</w:t>
            </w:r>
            <w:r>
              <w:rPr>
                <w:rFonts w:cstheme="minorHAnsi"/>
              </w:rPr>
              <w:t xml:space="preserve">7 </w:t>
            </w:r>
          </w:p>
        </w:tc>
        <w:tc>
          <w:tcPr>
            <w:tcW w:w="992" w:type="dxa"/>
          </w:tcPr>
          <w:p w14:paraId="3FC17535" w14:textId="201768E8" w:rsidR="008B3314" w:rsidRPr="00AF0603" w:rsidRDefault="008B3314" w:rsidP="00264679">
            <w:pPr>
              <w:rPr>
                <w:rFonts w:cstheme="minorHAnsi"/>
              </w:rPr>
            </w:pPr>
            <w:r w:rsidRPr="008B3314">
              <w:rPr>
                <w:rFonts w:cstheme="minorHAnsi"/>
              </w:rPr>
              <w:t>24-36 miesięcy</w:t>
            </w:r>
          </w:p>
        </w:tc>
        <w:tc>
          <w:tcPr>
            <w:tcW w:w="2551" w:type="dxa"/>
          </w:tcPr>
          <w:p w14:paraId="7BBA4712" w14:textId="57AE6D50" w:rsidR="008B3314" w:rsidRPr="00AF0603" w:rsidRDefault="008B3314" w:rsidP="00264679">
            <w:pPr>
              <w:rPr>
                <w:rFonts w:eastAsia="Calibri" w:cstheme="minorHAnsi"/>
              </w:rPr>
            </w:pPr>
            <w:r w:rsidRPr="008B3314">
              <w:rPr>
                <w:rFonts w:eastAsia="Calibri" w:cstheme="minorHAnsi"/>
              </w:rPr>
              <w:t>Przedsiębiorstwa prywatne, w tym MŚP i start-</w:t>
            </w:r>
            <w:proofErr w:type="spellStart"/>
            <w:r w:rsidRPr="008B3314">
              <w:rPr>
                <w:rFonts w:eastAsia="Calibri" w:cstheme="minorHAnsi"/>
              </w:rPr>
              <w:t>upy</w:t>
            </w:r>
            <w:proofErr w:type="spellEnd"/>
            <w:r w:rsidRPr="008B3314">
              <w:rPr>
                <w:rFonts w:eastAsia="Calibri" w:cstheme="minorHAnsi"/>
              </w:rPr>
              <w:t>, organizacje badawcze i technologiczne, uczelnie wyższe oraz instytucje szkolenia zawodowego</w:t>
            </w:r>
          </w:p>
        </w:tc>
      </w:tr>
    </w:tbl>
    <w:p w14:paraId="4BE1885F" w14:textId="77777777" w:rsidR="003A49ED" w:rsidRPr="001855AF" w:rsidRDefault="003A49ED" w:rsidP="003A49ED">
      <w:pPr>
        <w:rPr>
          <w:b/>
          <w:bCs/>
        </w:rPr>
      </w:pPr>
    </w:p>
    <w:p w14:paraId="2639938F" w14:textId="77777777" w:rsidR="003A49ED" w:rsidRPr="008D2FA9" w:rsidRDefault="003A49ED" w:rsidP="003A49ED"/>
    <w:p w14:paraId="15F0C458" w14:textId="77777777" w:rsidR="00D97F4E" w:rsidRDefault="00D97F4E"/>
    <w:sectPr w:rsidR="00D97F4E" w:rsidSect="003A49ED">
      <w:pgSz w:w="16838" w:h="11906" w:orient="landscape"/>
      <w:pgMar w:top="1417" w:right="395"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A6D6F"/>
    <w:multiLevelType w:val="multilevel"/>
    <w:tmpl w:val="62AE304E"/>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lvlText w:val="%1.%2.%3.%4"/>
      <w:lvlJc w:val="left"/>
      <w:pPr>
        <w:ind w:left="3413" w:hanging="720"/>
      </w:p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45629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ED"/>
    <w:rsid w:val="0003271A"/>
    <w:rsid w:val="00072626"/>
    <w:rsid w:val="00076FD1"/>
    <w:rsid w:val="00090AE0"/>
    <w:rsid w:val="000B28A4"/>
    <w:rsid w:val="00264679"/>
    <w:rsid w:val="002A57AC"/>
    <w:rsid w:val="002A58B8"/>
    <w:rsid w:val="00320F26"/>
    <w:rsid w:val="003A49ED"/>
    <w:rsid w:val="003A5839"/>
    <w:rsid w:val="003F277F"/>
    <w:rsid w:val="004542CD"/>
    <w:rsid w:val="00492B72"/>
    <w:rsid w:val="004A2AA0"/>
    <w:rsid w:val="004F1CC5"/>
    <w:rsid w:val="00522DED"/>
    <w:rsid w:val="00555F08"/>
    <w:rsid w:val="005A32DD"/>
    <w:rsid w:val="005B5364"/>
    <w:rsid w:val="00653BD1"/>
    <w:rsid w:val="00687464"/>
    <w:rsid w:val="00703762"/>
    <w:rsid w:val="00736647"/>
    <w:rsid w:val="007A4413"/>
    <w:rsid w:val="007A685F"/>
    <w:rsid w:val="007D2F45"/>
    <w:rsid w:val="00852ACA"/>
    <w:rsid w:val="008645A1"/>
    <w:rsid w:val="00870FB1"/>
    <w:rsid w:val="008B3314"/>
    <w:rsid w:val="0095673C"/>
    <w:rsid w:val="00A11AAE"/>
    <w:rsid w:val="00A25634"/>
    <w:rsid w:val="00A77D15"/>
    <w:rsid w:val="00A958C8"/>
    <w:rsid w:val="00AF0603"/>
    <w:rsid w:val="00B325C6"/>
    <w:rsid w:val="00C940CB"/>
    <w:rsid w:val="00CA4CC5"/>
    <w:rsid w:val="00D34CD6"/>
    <w:rsid w:val="00D62C4F"/>
    <w:rsid w:val="00D67451"/>
    <w:rsid w:val="00D72543"/>
    <w:rsid w:val="00D97F4E"/>
    <w:rsid w:val="00DD0DE0"/>
    <w:rsid w:val="00E00D77"/>
    <w:rsid w:val="00E06713"/>
    <w:rsid w:val="00E54B03"/>
    <w:rsid w:val="00E83B96"/>
    <w:rsid w:val="00E90A99"/>
    <w:rsid w:val="00E933A6"/>
    <w:rsid w:val="00F11FE0"/>
    <w:rsid w:val="00FA5E60"/>
    <w:rsid w:val="00FD3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8B9E"/>
  <w15:chartTrackingRefBased/>
  <w15:docId w15:val="{9B8FBC24-AD3E-4F27-AB55-976517C5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49ED"/>
  </w:style>
  <w:style w:type="paragraph" w:styleId="Nagwek1">
    <w:name w:val="heading 1"/>
    <w:basedOn w:val="Normalny"/>
    <w:next w:val="Normalny"/>
    <w:link w:val="Nagwek1Znak"/>
    <w:uiPriority w:val="9"/>
    <w:qFormat/>
    <w:rsid w:val="003A4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4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3A49E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49E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49E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49E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49E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49E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49E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49E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A49E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3A49E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A49E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A49E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A49E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49E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49E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49ED"/>
    <w:rPr>
      <w:rFonts w:eastAsiaTheme="majorEastAsia" w:cstheme="majorBidi"/>
      <w:color w:val="272727" w:themeColor="text1" w:themeTint="D8"/>
    </w:rPr>
  </w:style>
  <w:style w:type="paragraph" w:styleId="Tytu">
    <w:name w:val="Title"/>
    <w:basedOn w:val="Normalny"/>
    <w:next w:val="Normalny"/>
    <w:link w:val="TytuZnak"/>
    <w:uiPriority w:val="10"/>
    <w:qFormat/>
    <w:rsid w:val="003A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49E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49E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49E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49ED"/>
    <w:pPr>
      <w:spacing w:before="160"/>
      <w:jc w:val="center"/>
    </w:pPr>
    <w:rPr>
      <w:i/>
      <w:iCs/>
      <w:color w:val="404040" w:themeColor="text1" w:themeTint="BF"/>
    </w:rPr>
  </w:style>
  <w:style w:type="character" w:customStyle="1" w:styleId="CytatZnak">
    <w:name w:val="Cytat Znak"/>
    <w:basedOn w:val="Domylnaczcionkaakapitu"/>
    <w:link w:val="Cytat"/>
    <w:uiPriority w:val="29"/>
    <w:rsid w:val="003A49ED"/>
    <w:rPr>
      <w:i/>
      <w:iCs/>
      <w:color w:val="404040" w:themeColor="text1" w:themeTint="BF"/>
    </w:rPr>
  </w:style>
  <w:style w:type="paragraph" w:styleId="Akapitzlist">
    <w:name w:val="List Paragraph"/>
    <w:basedOn w:val="Normalny"/>
    <w:uiPriority w:val="34"/>
    <w:qFormat/>
    <w:rsid w:val="003A49ED"/>
    <w:pPr>
      <w:ind w:left="720"/>
      <w:contextualSpacing/>
    </w:pPr>
  </w:style>
  <w:style w:type="character" w:styleId="Wyrnienieintensywne">
    <w:name w:val="Intense Emphasis"/>
    <w:basedOn w:val="Domylnaczcionkaakapitu"/>
    <w:uiPriority w:val="21"/>
    <w:qFormat/>
    <w:rsid w:val="003A49ED"/>
    <w:rPr>
      <w:i/>
      <w:iCs/>
      <w:color w:val="2F5496" w:themeColor="accent1" w:themeShade="BF"/>
    </w:rPr>
  </w:style>
  <w:style w:type="paragraph" w:styleId="Cytatintensywny">
    <w:name w:val="Intense Quote"/>
    <w:basedOn w:val="Normalny"/>
    <w:next w:val="Normalny"/>
    <w:link w:val="CytatintensywnyZnak"/>
    <w:uiPriority w:val="30"/>
    <w:qFormat/>
    <w:rsid w:val="003A4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49ED"/>
    <w:rPr>
      <w:i/>
      <w:iCs/>
      <w:color w:val="2F5496" w:themeColor="accent1" w:themeShade="BF"/>
    </w:rPr>
  </w:style>
  <w:style w:type="character" w:styleId="Odwoanieintensywne">
    <w:name w:val="Intense Reference"/>
    <w:basedOn w:val="Domylnaczcionkaakapitu"/>
    <w:uiPriority w:val="32"/>
    <w:qFormat/>
    <w:rsid w:val="003A49ED"/>
    <w:rPr>
      <w:b/>
      <w:bCs/>
      <w:smallCaps/>
      <w:color w:val="2F5496" w:themeColor="accent1" w:themeShade="BF"/>
      <w:spacing w:val="5"/>
    </w:rPr>
  </w:style>
  <w:style w:type="table" w:styleId="Tabela-Siatka">
    <w:name w:val="Table Grid"/>
    <w:basedOn w:val="Standardowy"/>
    <w:uiPriority w:val="39"/>
    <w:rsid w:val="003A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_text"/>
    <w:basedOn w:val="Normalny"/>
    <w:link w:val="NormaltextChar"/>
    <w:qFormat/>
    <w:rsid w:val="003A49ED"/>
    <w:pPr>
      <w:spacing w:before="120" w:after="0" w:line="240" w:lineRule="auto"/>
      <w:jc w:val="both"/>
    </w:pPr>
    <w:rPr>
      <w:rFonts w:ascii="Calibri" w:eastAsia="Calibri" w:hAnsi="Calibri" w:cs="Times New Roman"/>
      <w:kern w:val="0"/>
      <w:lang w:val="en-IE"/>
      <w14:ligatures w14:val="none"/>
    </w:rPr>
  </w:style>
  <w:style w:type="character" w:customStyle="1" w:styleId="NormaltextChar">
    <w:name w:val="Normal_text Char"/>
    <w:link w:val="Normaltext"/>
    <w:rsid w:val="003A49ED"/>
    <w:rPr>
      <w:rFonts w:ascii="Calibri" w:eastAsia="Calibri" w:hAnsi="Calibri" w:cs="Times New Roman"/>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303">
      <w:bodyDiv w:val="1"/>
      <w:marLeft w:val="0"/>
      <w:marRight w:val="0"/>
      <w:marTop w:val="0"/>
      <w:marBottom w:val="0"/>
      <w:divBdr>
        <w:top w:val="none" w:sz="0" w:space="0" w:color="auto"/>
        <w:left w:val="none" w:sz="0" w:space="0" w:color="auto"/>
        <w:bottom w:val="none" w:sz="0" w:space="0" w:color="auto"/>
        <w:right w:val="none" w:sz="0" w:space="0" w:color="auto"/>
      </w:divBdr>
    </w:div>
    <w:div w:id="33433242">
      <w:bodyDiv w:val="1"/>
      <w:marLeft w:val="0"/>
      <w:marRight w:val="0"/>
      <w:marTop w:val="0"/>
      <w:marBottom w:val="0"/>
      <w:divBdr>
        <w:top w:val="none" w:sz="0" w:space="0" w:color="auto"/>
        <w:left w:val="none" w:sz="0" w:space="0" w:color="auto"/>
        <w:bottom w:val="none" w:sz="0" w:space="0" w:color="auto"/>
        <w:right w:val="none" w:sz="0" w:space="0" w:color="auto"/>
      </w:divBdr>
    </w:div>
    <w:div w:id="61106388">
      <w:bodyDiv w:val="1"/>
      <w:marLeft w:val="0"/>
      <w:marRight w:val="0"/>
      <w:marTop w:val="0"/>
      <w:marBottom w:val="0"/>
      <w:divBdr>
        <w:top w:val="none" w:sz="0" w:space="0" w:color="auto"/>
        <w:left w:val="none" w:sz="0" w:space="0" w:color="auto"/>
        <w:bottom w:val="none" w:sz="0" w:space="0" w:color="auto"/>
        <w:right w:val="none" w:sz="0" w:space="0" w:color="auto"/>
      </w:divBdr>
    </w:div>
    <w:div w:id="105127349">
      <w:bodyDiv w:val="1"/>
      <w:marLeft w:val="0"/>
      <w:marRight w:val="0"/>
      <w:marTop w:val="0"/>
      <w:marBottom w:val="0"/>
      <w:divBdr>
        <w:top w:val="none" w:sz="0" w:space="0" w:color="auto"/>
        <w:left w:val="none" w:sz="0" w:space="0" w:color="auto"/>
        <w:bottom w:val="none" w:sz="0" w:space="0" w:color="auto"/>
        <w:right w:val="none" w:sz="0" w:space="0" w:color="auto"/>
      </w:divBdr>
    </w:div>
    <w:div w:id="120077193">
      <w:bodyDiv w:val="1"/>
      <w:marLeft w:val="0"/>
      <w:marRight w:val="0"/>
      <w:marTop w:val="0"/>
      <w:marBottom w:val="0"/>
      <w:divBdr>
        <w:top w:val="none" w:sz="0" w:space="0" w:color="auto"/>
        <w:left w:val="none" w:sz="0" w:space="0" w:color="auto"/>
        <w:bottom w:val="none" w:sz="0" w:space="0" w:color="auto"/>
        <w:right w:val="none" w:sz="0" w:space="0" w:color="auto"/>
      </w:divBdr>
    </w:div>
    <w:div w:id="204368695">
      <w:bodyDiv w:val="1"/>
      <w:marLeft w:val="0"/>
      <w:marRight w:val="0"/>
      <w:marTop w:val="0"/>
      <w:marBottom w:val="0"/>
      <w:divBdr>
        <w:top w:val="none" w:sz="0" w:space="0" w:color="auto"/>
        <w:left w:val="none" w:sz="0" w:space="0" w:color="auto"/>
        <w:bottom w:val="none" w:sz="0" w:space="0" w:color="auto"/>
        <w:right w:val="none" w:sz="0" w:space="0" w:color="auto"/>
      </w:divBdr>
    </w:div>
    <w:div w:id="283275443">
      <w:bodyDiv w:val="1"/>
      <w:marLeft w:val="0"/>
      <w:marRight w:val="0"/>
      <w:marTop w:val="0"/>
      <w:marBottom w:val="0"/>
      <w:divBdr>
        <w:top w:val="none" w:sz="0" w:space="0" w:color="auto"/>
        <w:left w:val="none" w:sz="0" w:space="0" w:color="auto"/>
        <w:bottom w:val="none" w:sz="0" w:space="0" w:color="auto"/>
        <w:right w:val="none" w:sz="0" w:space="0" w:color="auto"/>
      </w:divBdr>
    </w:div>
    <w:div w:id="315377657">
      <w:bodyDiv w:val="1"/>
      <w:marLeft w:val="0"/>
      <w:marRight w:val="0"/>
      <w:marTop w:val="0"/>
      <w:marBottom w:val="0"/>
      <w:divBdr>
        <w:top w:val="none" w:sz="0" w:space="0" w:color="auto"/>
        <w:left w:val="none" w:sz="0" w:space="0" w:color="auto"/>
        <w:bottom w:val="none" w:sz="0" w:space="0" w:color="auto"/>
        <w:right w:val="none" w:sz="0" w:space="0" w:color="auto"/>
      </w:divBdr>
    </w:div>
    <w:div w:id="327825318">
      <w:bodyDiv w:val="1"/>
      <w:marLeft w:val="0"/>
      <w:marRight w:val="0"/>
      <w:marTop w:val="0"/>
      <w:marBottom w:val="0"/>
      <w:divBdr>
        <w:top w:val="none" w:sz="0" w:space="0" w:color="auto"/>
        <w:left w:val="none" w:sz="0" w:space="0" w:color="auto"/>
        <w:bottom w:val="none" w:sz="0" w:space="0" w:color="auto"/>
        <w:right w:val="none" w:sz="0" w:space="0" w:color="auto"/>
      </w:divBdr>
    </w:div>
    <w:div w:id="400251897">
      <w:bodyDiv w:val="1"/>
      <w:marLeft w:val="0"/>
      <w:marRight w:val="0"/>
      <w:marTop w:val="0"/>
      <w:marBottom w:val="0"/>
      <w:divBdr>
        <w:top w:val="none" w:sz="0" w:space="0" w:color="auto"/>
        <w:left w:val="none" w:sz="0" w:space="0" w:color="auto"/>
        <w:bottom w:val="none" w:sz="0" w:space="0" w:color="auto"/>
        <w:right w:val="none" w:sz="0" w:space="0" w:color="auto"/>
      </w:divBdr>
    </w:div>
    <w:div w:id="409695573">
      <w:bodyDiv w:val="1"/>
      <w:marLeft w:val="0"/>
      <w:marRight w:val="0"/>
      <w:marTop w:val="0"/>
      <w:marBottom w:val="0"/>
      <w:divBdr>
        <w:top w:val="none" w:sz="0" w:space="0" w:color="auto"/>
        <w:left w:val="none" w:sz="0" w:space="0" w:color="auto"/>
        <w:bottom w:val="none" w:sz="0" w:space="0" w:color="auto"/>
        <w:right w:val="none" w:sz="0" w:space="0" w:color="auto"/>
      </w:divBdr>
    </w:div>
    <w:div w:id="464079927">
      <w:bodyDiv w:val="1"/>
      <w:marLeft w:val="0"/>
      <w:marRight w:val="0"/>
      <w:marTop w:val="0"/>
      <w:marBottom w:val="0"/>
      <w:divBdr>
        <w:top w:val="none" w:sz="0" w:space="0" w:color="auto"/>
        <w:left w:val="none" w:sz="0" w:space="0" w:color="auto"/>
        <w:bottom w:val="none" w:sz="0" w:space="0" w:color="auto"/>
        <w:right w:val="none" w:sz="0" w:space="0" w:color="auto"/>
      </w:divBdr>
    </w:div>
    <w:div w:id="467168356">
      <w:bodyDiv w:val="1"/>
      <w:marLeft w:val="0"/>
      <w:marRight w:val="0"/>
      <w:marTop w:val="0"/>
      <w:marBottom w:val="0"/>
      <w:divBdr>
        <w:top w:val="none" w:sz="0" w:space="0" w:color="auto"/>
        <w:left w:val="none" w:sz="0" w:space="0" w:color="auto"/>
        <w:bottom w:val="none" w:sz="0" w:space="0" w:color="auto"/>
        <w:right w:val="none" w:sz="0" w:space="0" w:color="auto"/>
      </w:divBdr>
    </w:div>
    <w:div w:id="549607604">
      <w:bodyDiv w:val="1"/>
      <w:marLeft w:val="0"/>
      <w:marRight w:val="0"/>
      <w:marTop w:val="0"/>
      <w:marBottom w:val="0"/>
      <w:divBdr>
        <w:top w:val="none" w:sz="0" w:space="0" w:color="auto"/>
        <w:left w:val="none" w:sz="0" w:space="0" w:color="auto"/>
        <w:bottom w:val="none" w:sz="0" w:space="0" w:color="auto"/>
        <w:right w:val="none" w:sz="0" w:space="0" w:color="auto"/>
      </w:divBdr>
    </w:div>
    <w:div w:id="556546724">
      <w:bodyDiv w:val="1"/>
      <w:marLeft w:val="0"/>
      <w:marRight w:val="0"/>
      <w:marTop w:val="0"/>
      <w:marBottom w:val="0"/>
      <w:divBdr>
        <w:top w:val="none" w:sz="0" w:space="0" w:color="auto"/>
        <w:left w:val="none" w:sz="0" w:space="0" w:color="auto"/>
        <w:bottom w:val="none" w:sz="0" w:space="0" w:color="auto"/>
        <w:right w:val="none" w:sz="0" w:space="0" w:color="auto"/>
      </w:divBdr>
    </w:div>
    <w:div w:id="655493797">
      <w:bodyDiv w:val="1"/>
      <w:marLeft w:val="0"/>
      <w:marRight w:val="0"/>
      <w:marTop w:val="0"/>
      <w:marBottom w:val="0"/>
      <w:divBdr>
        <w:top w:val="none" w:sz="0" w:space="0" w:color="auto"/>
        <w:left w:val="none" w:sz="0" w:space="0" w:color="auto"/>
        <w:bottom w:val="none" w:sz="0" w:space="0" w:color="auto"/>
        <w:right w:val="none" w:sz="0" w:space="0" w:color="auto"/>
      </w:divBdr>
    </w:div>
    <w:div w:id="679964442">
      <w:bodyDiv w:val="1"/>
      <w:marLeft w:val="0"/>
      <w:marRight w:val="0"/>
      <w:marTop w:val="0"/>
      <w:marBottom w:val="0"/>
      <w:divBdr>
        <w:top w:val="none" w:sz="0" w:space="0" w:color="auto"/>
        <w:left w:val="none" w:sz="0" w:space="0" w:color="auto"/>
        <w:bottom w:val="none" w:sz="0" w:space="0" w:color="auto"/>
        <w:right w:val="none" w:sz="0" w:space="0" w:color="auto"/>
      </w:divBdr>
    </w:div>
    <w:div w:id="730077895">
      <w:bodyDiv w:val="1"/>
      <w:marLeft w:val="0"/>
      <w:marRight w:val="0"/>
      <w:marTop w:val="0"/>
      <w:marBottom w:val="0"/>
      <w:divBdr>
        <w:top w:val="none" w:sz="0" w:space="0" w:color="auto"/>
        <w:left w:val="none" w:sz="0" w:space="0" w:color="auto"/>
        <w:bottom w:val="none" w:sz="0" w:space="0" w:color="auto"/>
        <w:right w:val="none" w:sz="0" w:space="0" w:color="auto"/>
      </w:divBdr>
    </w:div>
    <w:div w:id="733234856">
      <w:bodyDiv w:val="1"/>
      <w:marLeft w:val="0"/>
      <w:marRight w:val="0"/>
      <w:marTop w:val="0"/>
      <w:marBottom w:val="0"/>
      <w:divBdr>
        <w:top w:val="none" w:sz="0" w:space="0" w:color="auto"/>
        <w:left w:val="none" w:sz="0" w:space="0" w:color="auto"/>
        <w:bottom w:val="none" w:sz="0" w:space="0" w:color="auto"/>
        <w:right w:val="none" w:sz="0" w:space="0" w:color="auto"/>
      </w:divBdr>
    </w:div>
    <w:div w:id="737823785">
      <w:bodyDiv w:val="1"/>
      <w:marLeft w:val="0"/>
      <w:marRight w:val="0"/>
      <w:marTop w:val="0"/>
      <w:marBottom w:val="0"/>
      <w:divBdr>
        <w:top w:val="none" w:sz="0" w:space="0" w:color="auto"/>
        <w:left w:val="none" w:sz="0" w:space="0" w:color="auto"/>
        <w:bottom w:val="none" w:sz="0" w:space="0" w:color="auto"/>
        <w:right w:val="none" w:sz="0" w:space="0" w:color="auto"/>
      </w:divBdr>
    </w:div>
    <w:div w:id="738018631">
      <w:bodyDiv w:val="1"/>
      <w:marLeft w:val="0"/>
      <w:marRight w:val="0"/>
      <w:marTop w:val="0"/>
      <w:marBottom w:val="0"/>
      <w:divBdr>
        <w:top w:val="none" w:sz="0" w:space="0" w:color="auto"/>
        <w:left w:val="none" w:sz="0" w:space="0" w:color="auto"/>
        <w:bottom w:val="none" w:sz="0" w:space="0" w:color="auto"/>
        <w:right w:val="none" w:sz="0" w:space="0" w:color="auto"/>
      </w:divBdr>
    </w:div>
    <w:div w:id="838159376">
      <w:bodyDiv w:val="1"/>
      <w:marLeft w:val="0"/>
      <w:marRight w:val="0"/>
      <w:marTop w:val="0"/>
      <w:marBottom w:val="0"/>
      <w:divBdr>
        <w:top w:val="none" w:sz="0" w:space="0" w:color="auto"/>
        <w:left w:val="none" w:sz="0" w:space="0" w:color="auto"/>
        <w:bottom w:val="none" w:sz="0" w:space="0" w:color="auto"/>
        <w:right w:val="none" w:sz="0" w:space="0" w:color="auto"/>
      </w:divBdr>
    </w:div>
    <w:div w:id="854806526">
      <w:bodyDiv w:val="1"/>
      <w:marLeft w:val="0"/>
      <w:marRight w:val="0"/>
      <w:marTop w:val="0"/>
      <w:marBottom w:val="0"/>
      <w:divBdr>
        <w:top w:val="none" w:sz="0" w:space="0" w:color="auto"/>
        <w:left w:val="none" w:sz="0" w:space="0" w:color="auto"/>
        <w:bottom w:val="none" w:sz="0" w:space="0" w:color="auto"/>
        <w:right w:val="none" w:sz="0" w:space="0" w:color="auto"/>
      </w:divBdr>
    </w:div>
    <w:div w:id="871457041">
      <w:bodyDiv w:val="1"/>
      <w:marLeft w:val="0"/>
      <w:marRight w:val="0"/>
      <w:marTop w:val="0"/>
      <w:marBottom w:val="0"/>
      <w:divBdr>
        <w:top w:val="none" w:sz="0" w:space="0" w:color="auto"/>
        <w:left w:val="none" w:sz="0" w:space="0" w:color="auto"/>
        <w:bottom w:val="none" w:sz="0" w:space="0" w:color="auto"/>
        <w:right w:val="none" w:sz="0" w:space="0" w:color="auto"/>
      </w:divBdr>
    </w:div>
    <w:div w:id="872808621">
      <w:bodyDiv w:val="1"/>
      <w:marLeft w:val="0"/>
      <w:marRight w:val="0"/>
      <w:marTop w:val="0"/>
      <w:marBottom w:val="0"/>
      <w:divBdr>
        <w:top w:val="none" w:sz="0" w:space="0" w:color="auto"/>
        <w:left w:val="none" w:sz="0" w:space="0" w:color="auto"/>
        <w:bottom w:val="none" w:sz="0" w:space="0" w:color="auto"/>
        <w:right w:val="none" w:sz="0" w:space="0" w:color="auto"/>
      </w:divBdr>
    </w:div>
    <w:div w:id="886139309">
      <w:bodyDiv w:val="1"/>
      <w:marLeft w:val="0"/>
      <w:marRight w:val="0"/>
      <w:marTop w:val="0"/>
      <w:marBottom w:val="0"/>
      <w:divBdr>
        <w:top w:val="none" w:sz="0" w:space="0" w:color="auto"/>
        <w:left w:val="none" w:sz="0" w:space="0" w:color="auto"/>
        <w:bottom w:val="none" w:sz="0" w:space="0" w:color="auto"/>
        <w:right w:val="none" w:sz="0" w:space="0" w:color="auto"/>
      </w:divBdr>
    </w:div>
    <w:div w:id="1062018977">
      <w:bodyDiv w:val="1"/>
      <w:marLeft w:val="0"/>
      <w:marRight w:val="0"/>
      <w:marTop w:val="0"/>
      <w:marBottom w:val="0"/>
      <w:divBdr>
        <w:top w:val="none" w:sz="0" w:space="0" w:color="auto"/>
        <w:left w:val="none" w:sz="0" w:space="0" w:color="auto"/>
        <w:bottom w:val="none" w:sz="0" w:space="0" w:color="auto"/>
        <w:right w:val="none" w:sz="0" w:space="0" w:color="auto"/>
      </w:divBdr>
    </w:div>
    <w:div w:id="1109548508">
      <w:bodyDiv w:val="1"/>
      <w:marLeft w:val="0"/>
      <w:marRight w:val="0"/>
      <w:marTop w:val="0"/>
      <w:marBottom w:val="0"/>
      <w:divBdr>
        <w:top w:val="none" w:sz="0" w:space="0" w:color="auto"/>
        <w:left w:val="none" w:sz="0" w:space="0" w:color="auto"/>
        <w:bottom w:val="none" w:sz="0" w:space="0" w:color="auto"/>
        <w:right w:val="none" w:sz="0" w:space="0" w:color="auto"/>
      </w:divBdr>
    </w:div>
    <w:div w:id="1170875172">
      <w:bodyDiv w:val="1"/>
      <w:marLeft w:val="0"/>
      <w:marRight w:val="0"/>
      <w:marTop w:val="0"/>
      <w:marBottom w:val="0"/>
      <w:divBdr>
        <w:top w:val="none" w:sz="0" w:space="0" w:color="auto"/>
        <w:left w:val="none" w:sz="0" w:space="0" w:color="auto"/>
        <w:bottom w:val="none" w:sz="0" w:space="0" w:color="auto"/>
        <w:right w:val="none" w:sz="0" w:space="0" w:color="auto"/>
      </w:divBdr>
    </w:div>
    <w:div w:id="1199470240">
      <w:bodyDiv w:val="1"/>
      <w:marLeft w:val="0"/>
      <w:marRight w:val="0"/>
      <w:marTop w:val="0"/>
      <w:marBottom w:val="0"/>
      <w:divBdr>
        <w:top w:val="none" w:sz="0" w:space="0" w:color="auto"/>
        <w:left w:val="none" w:sz="0" w:space="0" w:color="auto"/>
        <w:bottom w:val="none" w:sz="0" w:space="0" w:color="auto"/>
        <w:right w:val="none" w:sz="0" w:space="0" w:color="auto"/>
      </w:divBdr>
    </w:div>
    <w:div w:id="1206524543">
      <w:bodyDiv w:val="1"/>
      <w:marLeft w:val="0"/>
      <w:marRight w:val="0"/>
      <w:marTop w:val="0"/>
      <w:marBottom w:val="0"/>
      <w:divBdr>
        <w:top w:val="none" w:sz="0" w:space="0" w:color="auto"/>
        <w:left w:val="none" w:sz="0" w:space="0" w:color="auto"/>
        <w:bottom w:val="none" w:sz="0" w:space="0" w:color="auto"/>
        <w:right w:val="none" w:sz="0" w:space="0" w:color="auto"/>
      </w:divBdr>
    </w:div>
    <w:div w:id="1232813400">
      <w:bodyDiv w:val="1"/>
      <w:marLeft w:val="0"/>
      <w:marRight w:val="0"/>
      <w:marTop w:val="0"/>
      <w:marBottom w:val="0"/>
      <w:divBdr>
        <w:top w:val="none" w:sz="0" w:space="0" w:color="auto"/>
        <w:left w:val="none" w:sz="0" w:space="0" w:color="auto"/>
        <w:bottom w:val="none" w:sz="0" w:space="0" w:color="auto"/>
        <w:right w:val="none" w:sz="0" w:space="0" w:color="auto"/>
      </w:divBdr>
    </w:div>
    <w:div w:id="1274821219">
      <w:bodyDiv w:val="1"/>
      <w:marLeft w:val="0"/>
      <w:marRight w:val="0"/>
      <w:marTop w:val="0"/>
      <w:marBottom w:val="0"/>
      <w:divBdr>
        <w:top w:val="none" w:sz="0" w:space="0" w:color="auto"/>
        <w:left w:val="none" w:sz="0" w:space="0" w:color="auto"/>
        <w:bottom w:val="none" w:sz="0" w:space="0" w:color="auto"/>
        <w:right w:val="none" w:sz="0" w:space="0" w:color="auto"/>
      </w:divBdr>
    </w:div>
    <w:div w:id="1300527171">
      <w:bodyDiv w:val="1"/>
      <w:marLeft w:val="0"/>
      <w:marRight w:val="0"/>
      <w:marTop w:val="0"/>
      <w:marBottom w:val="0"/>
      <w:divBdr>
        <w:top w:val="none" w:sz="0" w:space="0" w:color="auto"/>
        <w:left w:val="none" w:sz="0" w:space="0" w:color="auto"/>
        <w:bottom w:val="none" w:sz="0" w:space="0" w:color="auto"/>
        <w:right w:val="none" w:sz="0" w:space="0" w:color="auto"/>
      </w:divBdr>
    </w:div>
    <w:div w:id="1325889792">
      <w:bodyDiv w:val="1"/>
      <w:marLeft w:val="0"/>
      <w:marRight w:val="0"/>
      <w:marTop w:val="0"/>
      <w:marBottom w:val="0"/>
      <w:divBdr>
        <w:top w:val="none" w:sz="0" w:space="0" w:color="auto"/>
        <w:left w:val="none" w:sz="0" w:space="0" w:color="auto"/>
        <w:bottom w:val="none" w:sz="0" w:space="0" w:color="auto"/>
        <w:right w:val="none" w:sz="0" w:space="0" w:color="auto"/>
      </w:divBdr>
    </w:div>
    <w:div w:id="1326205368">
      <w:bodyDiv w:val="1"/>
      <w:marLeft w:val="0"/>
      <w:marRight w:val="0"/>
      <w:marTop w:val="0"/>
      <w:marBottom w:val="0"/>
      <w:divBdr>
        <w:top w:val="none" w:sz="0" w:space="0" w:color="auto"/>
        <w:left w:val="none" w:sz="0" w:space="0" w:color="auto"/>
        <w:bottom w:val="none" w:sz="0" w:space="0" w:color="auto"/>
        <w:right w:val="none" w:sz="0" w:space="0" w:color="auto"/>
      </w:divBdr>
    </w:div>
    <w:div w:id="1337032658">
      <w:bodyDiv w:val="1"/>
      <w:marLeft w:val="0"/>
      <w:marRight w:val="0"/>
      <w:marTop w:val="0"/>
      <w:marBottom w:val="0"/>
      <w:divBdr>
        <w:top w:val="none" w:sz="0" w:space="0" w:color="auto"/>
        <w:left w:val="none" w:sz="0" w:space="0" w:color="auto"/>
        <w:bottom w:val="none" w:sz="0" w:space="0" w:color="auto"/>
        <w:right w:val="none" w:sz="0" w:space="0" w:color="auto"/>
      </w:divBdr>
    </w:div>
    <w:div w:id="1364480556">
      <w:bodyDiv w:val="1"/>
      <w:marLeft w:val="0"/>
      <w:marRight w:val="0"/>
      <w:marTop w:val="0"/>
      <w:marBottom w:val="0"/>
      <w:divBdr>
        <w:top w:val="none" w:sz="0" w:space="0" w:color="auto"/>
        <w:left w:val="none" w:sz="0" w:space="0" w:color="auto"/>
        <w:bottom w:val="none" w:sz="0" w:space="0" w:color="auto"/>
        <w:right w:val="none" w:sz="0" w:space="0" w:color="auto"/>
      </w:divBdr>
    </w:div>
    <w:div w:id="1372874189">
      <w:bodyDiv w:val="1"/>
      <w:marLeft w:val="0"/>
      <w:marRight w:val="0"/>
      <w:marTop w:val="0"/>
      <w:marBottom w:val="0"/>
      <w:divBdr>
        <w:top w:val="none" w:sz="0" w:space="0" w:color="auto"/>
        <w:left w:val="none" w:sz="0" w:space="0" w:color="auto"/>
        <w:bottom w:val="none" w:sz="0" w:space="0" w:color="auto"/>
        <w:right w:val="none" w:sz="0" w:space="0" w:color="auto"/>
      </w:divBdr>
    </w:div>
    <w:div w:id="1394816318">
      <w:bodyDiv w:val="1"/>
      <w:marLeft w:val="0"/>
      <w:marRight w:val="0"/>
      <w:marTop w:val="0"/>
      <w:marBottom w:val="0"/>
      <w:divBdr>
        <w:top w:val="none" w:sz="0" w:space="0" w:color="auto"/>
        <w:left w:val="none" w:sz="0" w:space="0" w:color="auto"/>
        <w:bottom w:val="none" w:sz="0" w:space="0" w:color="auto"/>
        <w:right w:val="none" w:sz="0" w:space="0" w:color="auto"/>
      </w:divBdr>
    </w:div>
    <w:div w:id="1411004368">
      <w:bodyDiv w:val="1"/>
      <w:marLeft w:val="0"/>
      <w:marRight w:val="0"/>
      <w:marTop w:val="0"/>
      <w:marBottom w:val="0"/>
      <w:divBdr>
        <w:top w:val="none" w:sz="0" w:space="0" w:color="auto"/>
        <w:left w:val="none" w:sz="0" w:space="0" w:color="auto"/>
        <w:bottom w:val="none" w:sz="0" w:space="0" w:color="auto"/>
        <w:right w:val="none" w:sz="0" w:space="0" w:color="auto"/>
      </w:divBdr>
    </w:div>
    <w:div w:id="1489638292">
      <w:bodyDiv w:val="1"/>
      <w:marLeft w:val="0"/>
      <w:marRight w:val="0"/>
      <w:marTop w:val="0"/>
      <w:marBottom w:val="0"/>
      <w:divBdr>
        <w:top w:val="none" w:sz="0" w:space="0" w:color="auto"/>
        <w:left w:val="none" w:sz="0" w:space="0" w:color="auto"/>
        <w:bottom w:val="none" w:sz="0" w:space="0" w:color="auto"/>
        <w:right w:val="none" w:sz="0" w:space="0" w:color="auto"/>
      </w:divBdr>
    </w:div>
    <w:div w:id="1575433567">
      <w:bodyDiv w:val="1"/>
      <w:marLeft w:val="0"/>
      <w:marRight w:val="0"/>
      <w:marTop w:val="0"/>
      <w:marBottom w:val="0"/>
      <w:divBdr>
        <w:top w:val="none" w:sz="0" w:space="0" w:color="auto"/>
        <w:left w:val="none" w:sz="0" w:space="0" w:color="auto"/>
        <w:bottom w:val="none" w:sz="0" w:space="0" w:color="auto"/>
        <w:right w:val="none" w:sz="0" w:space="0" w:color="auto"/>
      </w:divBdr>
    </w:div>
    <w:div w:id="1582331696">
      <w:bodyDiv w:val="1"/>
      <w:marLeft w:val="0"/>
      <w:marRight w:val="0"/>
      <w:marTop w:val="0"/>
      <w:marBottom w:val="0"/>
      <w:divBdr>
        <w:top w:val="none" w:sz="0" w:space="0" w:color="auto"/>
        <w:left w:val="none" w:sz="0" w:space="0" w:color="auto"/>
        <w:bottom w:val="none" w:sz="0" w:space="0" w:color="auto"/>
        <w:right w:val="none" w:sz="0" w:space="0" w:color="auto"/>
      </w:divBdr>
    </w:div>
    <w:div w:id="1606839688">
      <w:bodyDiv w:val="1"/>
      <w:marLeft w:val="0"/>
      <w:marRight w:val="0"/>
      <w:marTop w:val="0"/>
      <w:marBottom w:val="0"/>
      <w:divBdr>
        <w:top w:val="none" w:sz="0" w:space="0" w:color="auto"/>
        <w:left w:val="none" w:sz="0" w:space="0" w:color="auto"/>
        <w:bottom w:val="none" w:sz="0" w:space="0" w:color="auto"/>
        <w:right w:val="none" w:sz="0" w:space="0" w:color="auto"/>
      </w:divBdr>
    </w:div>
    <w:div w:id="1666476462">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30517167">
      <w:bodyDiv w:val="1"/>
      <w:marLeft w:val="0"/>
      <w:marRight w:val="0"/>
      <w:marTop w:val="0"/>
      <w:marBottom w:val="0"/>
      <w:divBdr>
        <w:top w:val="none" w:sz="0" w:space="0" w:color="auto"/>
        <w:left w:val="none" w:sz="0" w:space="0" w:color="auto"/>
        <w:bottom w:val="none" w:sz="0" w:space="0" w:color="auto"/>
        <w:right w:val="none" w:sz="0" w:space="0" w:color="auto"/>
      </w:divBdr>
    </w:div>
    <w:div w:id="1875535555">
      <w:bodyDiv w:val="1"/>
      <w:marLeft w:val="0"/>
      <w:marRight w:val="0"/>
      <w:marTop w:val="0"/>
      <w:marBottom w:val="0"/>
      <w:divBdr>
        <w:top w:val="none" w:sz="0" w:space="0" w:color="auto"/>
        <w:left w:val="none" w:sz="0" w:space="0" w:color="auto"/>
        <w:bottom w:val="none" w:sz="0" w:space="0" w:color="auto"/>
        <w:right w:val="none" w:sz="0" w:space="0" w:color="auto"/>
      </w:divBdr>
    </w:div>
    <w:div w:id="1918440024">
      <w:bodyDiv w:val="1"/>
      <w:marLeft w:val="0"/>
      <w:marRight w:val="0"/>
      <w:marTop w:val="0"/>
      <w:marBottom w:val="0"/>
      <w:divBdr>
        <w:top w:val="none" w:sz="0" w:space="0" w:color="auto"/>
        <w:left w:val="none" w:sz="0" w:space="0" w:color="auto"/>
        <w:bottom w:val="none" w:sz="0" w:space="0" w:color="auto"/>
        <w:right w:val="none" w:sz="0" w:space="0" w:color="auto"/>
      </w:divBdr>
    </w:div>
    <w:div w:id="1958947430">
      <w:bodyDiv w:val="1"/>
      <w:marLeft w:val="0"/>
      <w:marRight w:val="0"/>
      <w:marTop w:val="0"/>
      <w:marBottom w:val="0"/>
      <w:divBdr>
        <w:top w:val="none" w:sz="0" w:space="0" w:color="auto"/>
        <w:left w:val="none" w:sz="0" w:space="0" w:color="auto"/>
        <w:bottom w:val="none" w:sz="0" w:space="0" w:color="auto"/>
        <w:right w:val="none" w:sz="0" w:space="0" w:color="auto"/>
      </w:divBdr>
    </w:div>
    <w:div w:id="1991130962">
      <w:bodyDiv w:val="1"/>
      <w:marLeft w:val="0"/>
      <w:marRight w:val="0"/>
      <w:marTop w:val="0"/>
      <w:marBottom w:val="0"/>
      <w:divBdr>
        <w:top w:val="none" w:sz="0" w:space="0" w:color="auto"/>
        <w:left w:val="none" w:sz="0" w:space="0" w:color="auto"/>
        <w:bottom w:val="none" w:sz="0" w:space="0" w:color="auto"/>
        <w:right w:val="none" w:sz="0" w:space="0" w:color="auto"/>
      </w:divBdr>
    </w:div>
    <w:div w:id="2052026388">
      <w:bodyDiv w:val="1"/>
      <w:marLeft w:val="0"/>
      <w:marRight w:val="0"/>
      <w:marTop w:val="0"/>
      <w:marBottom w:val="0"/>
      <w:divBdr>
        <w:top w:val="none" w:sz="0" w:space="0" w:color="auto"/>
        <w:left w:val="none" w:sz="0" w:space="0" w:color="auto"/>
        <w:bottom w:val="none" w:sz="0" w:space="0" w:color="auto"/>
        <w:right w:val="none" w:sz="0" w:space="0" w:color="auto"/>
      </w:divBdr>
    </w:div>
    <w:div w:id="21214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4266</Words>
  <Characters>25600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Dzikliński</dc:creator>
  <cp:keywords/>
  <dc:description/>
  <cp:lastModifiedBy>Adrian Gazarkiewicz</cp:lastModifiedBy>
  <cp:revision>4</cp:revision>
  <dcterms:created xsi:type="dcterms:W3CDTF">2025-10-09T12:57:00Z</dcterms:created>
  <dcterms:modified xsi:type="dcterms:W3CDTF">2025-10-09T14:13:00Z</dcterms:modified>
</cp:coreProperties>
</file>