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C4B3" w14:textId="77777777" w:rsidR="00BC1719" w:rsidRPr="0009210B" w:rsidRDefault="00BC1719" w:rsidP="0009210B">
      <w:pPr>
        <w:pStyle w:val="Nagwek1"/>
        <w:spacing w:before="240" w:line="23" w:lineRule="atLeast"/>
        <w:rPr>
          <w:rFonts w:ascii="Open Sans Light" w:hAnsi="Open Sans Light" w:cs="Open Sans Light"/>
          <w:sz w:val="22"/>
          <w:szCs w:val="22"/>
        </w:rPr>
      </w:pPr>
      <w:r w:rsidRPr="0009210B">
        <w:rPr>
          <w:rFonts w:ascii="Open Sans Light" w:hAnsi="Open Sans Light" w:cs="Open Sans Light"/>
          <w:noProof/>
          <w:sz w:val="22"/>
          <w:szCs w:val="22"/>
          <w:lang w:eastAsia="pl-PL"/>
        </w:rPr>
        <w:drawing>
          <wp:inline distT="0" distB="0" distL="0" distR="0" wp14:anchorId="5C24E53B" wp14:editId="5A6F55F4">
            <wp:extent cx="5715000" cy="857250"/>
            <wp:effectExtent l="0" t="0" r="0" b="0"/>
            <wp:docPr id="4" name="Obraz 4" descr="Logo Funduszy Europejskich na Infrastrukturę, Klimat, Środowisko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Funduszy Europejskich na Infrastrukturę, Klimat, Środowisko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0964" w14:textId="77777777" w:rsidR="00565F3D" w:rsidRPr="0009210B" w:rsidRDefault="00565F3D" w:rsidP="0009210B">
      <w:pPr>
        <w:pStyle w:val="Nagwek1"/>
        <w:spacing w:before="0" w:line="23" w:lineRule="atLeast"/>
        <w:jc w:val="center"/>
        <w:rPr>
          <w:rFonts w:ascii="Open Sans Light" w:hAnsi="Open Sans Light" w:cs="Open Sans Light"/>
          <w:sz w:val="22"/>
          <w:szCs w:val="22"/>
        </w:rPr>
      </w:pPr>
    </w:p>
    <w:p w14:paraId="10518879" w14:textId="6A38BE80" w:rsidR="003645CA" w:rsidRPr="0009210B" w:rsidRDefault="002B0B04" w:rsidP="0009210B">
      <w:pPr>
        <w:pStyle w:val="Tekstpodstawowy"/>
        <w:spacing w:line="23" w:lineRule="atLeast"/>
        <w:jc w:val="center"/>
        <w:rPr>
          <w:rFonts w:ascii="Open Sans Light" w:eastAsiaTheme="majorEastAsia" w:hAnsi="Open Sans Light" w:cs="Open Sans Light"/>
          <w:b/>
          <w:color w:val="1F3864" w:themeColor="accent1" w:themeShade="80"/>
          <w:szCs w:val="24"/>
        </w:rPr>
      </w:pPr>
      <w:r w:rsidRPr="0009210B">
        <w:rPr>
          <w:rFonts w:ascii="Open Sans Light" w:eastAsiaTheme="majorEastAsia" w:hAnsi="Open Sans Light" w:cs="Open Sans Light"/>
          <w:b/>
          <w:color w:val="1F3864" w:themeColor="accent1" w:themeShade="80"/>
          <w:szCs w:val="24"/>
        </w:rPr>
        <w:t>MECHANIZM UMOŻLIWIAJĄCY SYGNALIZOWANIE O POTENCJALNYCH NIEPRAWIDŁOWOŚCIACH LUB NADUŻYCIACH FINANSOWYCH</w:t>
      </w:r>
    </w:p>
    <w:p w14:paraId="46285800" w14:textId="77777777" w:rsidR="002B0B04" w:rsidRPr="0009210B" w:rsidRDefault="002B0B04" w:rsidP="0009210B">
      <w:pPr>
        <w:pStyle w:val="Tekstpodstawowy"/>
        <w:spacing w:line="23" w:lineRule="atLeast"/>
        <w:jc w:val="center"/>
        <w:rPr>
          <w:rFonts w:ascii="Open Sans Light" w:hAnsi="Open Sans Light" w:cs="Open Sans Light"/>
          <w:sz w:val="22"/>
        </w:rPr>
      </w:pPr>
    </w:p>
    <w:p w14:paraId="5ECCB854" w14:textId="483914F7" w:rsidR="003645CA" w:rsidRPr="0009210B" w:rsidRDefault="003645CA" w:rsidP="0009210B">
      <w:pPr>
        <w:pStyle w:val="Nagwek2"/>
        <w:spacing w:before="0" w:after="0" w:line="23" w:lineRule="atLeast"/>
        <w:rPr>
          <w:rFonts w:ascii="Open Sans Light" w:hAnsi="Open Sans Light" w:cs="Open Sans Light"/>
          <w:b w:val="0"/>
          <w:color w:val="1B1B1B"/>
          <w:sz w:val="22"/>
          <w:szCs w:val="22"/>
          <w:lang w:eastAsia="pl-PL"/>
        </w:rPr>
      </w:pPr>
      <w:r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Ministerstwo Finansów</w:t>
      </w:r>
      <w:r w:rsidR="0092519C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 xml:space="preserve"> z siedzibą w Warszawie przy ul. Świętokrzyskiej 12</w:t>
      </w:r>
      <w:r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, jako beneficjent projektu</w:t>
      </w:r>
      <w:r w:rsidR="002B0B04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 xml:space="preserve"> </w:t>
      </w:r>
      <w:r w:rsidR="0092519C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nr</w:t>
      </w:r>
      <w:r w:rsidR="0092519C" w:rsidRPr="0009210B">
        <w:rPr>
          <w:rFonts w:ascii="Open Sans Light" w:hAnsi="Open Sans Light" w:cs="Open Sans Light"/>
          <w:sz w:val="22"/>
          <w:szCs w:val="22"/>
        </w:rPr>
        <w:t xml:space="preserve"> </w:t>
      </w:r>
      <w:r w:rsidR="0092519C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FENX.01.01-IW.01-0017/24 pn. „</w:t>
      </w:r>
      <w:r w:rsidR="0092519C" w:rsidRPr="0009210B">
        <w:rPr>
          <w:rFonts w:ascii="Open Sans Light" w:hAnsi="Open Sans Light" w:cs="Open Sans Light"/>
          <w:bCs/>
          <w:color w:val="000000"/>
          <w:sz w:val="22"/>
          <w:szCs w:val="22"/>
          <w:lang w:eastAsia="pl-PL"/>
        </w:rPr>
        <w:t>Zwiększenie efektywności energetycznej budynku Ministerstwa Finansów</w:t>
      </w:r>
      <w:r w:rsidR="0092519C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”, </w:t>
      </w:r>
      <w:r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 xml:space="preserve">współfinansowanego w ramach </w:t>
      </w:r>
      <w:r w:rsidR="002B0B04"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 xml:space="preserve">programu Fundusze Europejskie na Infrastrukturę, Klimat, Środowisko 2021-2027, priorytet  FENX.01 Wsparcie sektorów energetyka i środowisko z Funduszu Spójności, działanie  FENX.01.01 Efektywność energetyczna, typ projektu Poprawa efektywności energetycznej w zabytkowych budynkach użyteczności publicznej (wraz z instalacją OZE), </w:t>
      </w:r>
      <w:r w:rsidRPr="0009210B">
        <w:rPr>
          <w:rFonts w:ascii="Open Sans Light" w:hAnsi="Open Sans Light" w:cs="Open Sans Light"/>
          <w:b w:val="0"/>
          <w:color w:val="000000"/>
          <w:sz w:val="22"/>
          <w:szCs w:val="22"/>
          <w:lang w:eastAsia="pl-PL"/>
        </w:rPr>
        <w:t>informuje o funkcjonowaniu mechanizmu umożliwiającego sygnalizowanie o potencjalnych nieprawidłowościach lub nadużyciach finansowych.</w:t>
      </w:r>
      <w:r w:rsidRPr="0009210B">
        <w:rPr>
          <w:rFonts w:ascii="Open Sans Light" w:hAnsi="Open Sans Light" w:cs="Open Sans Light"/>
          <w:b w:val="0"/>
          <w:color w:val="1B1B1B"/>
          <w:sz w:val="22"/>
          <w:szCs w:val="22"/>
          <w:lang w:eastAsia="pl-PL"/>
        </w:rPr>
        <w:br/>
        <w:t> </w:t>
      </w:r>
    </w:p>
    <w:p w14:paraId="6EC86187" w14:textId="77777777" w:rsidR="003645CA" w:rsidRPr="0009210B" w:rsidRDefault="003645CA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  <w:lang w:eastAsia="pl-PL"/>
        </w:rPr>
      </w:pPr>
      <w:r w:rsidRPr="0009210B">
        <w:rPr>
          <w:rFonts w:ascii="Open Sans Light" w:hAnsi="Open Sans Light" w:cs="Open Sans Light"/>
          <w:color w:val="000000"/>
          <w:lang w:eastAsia="pl-PL"/>
        </w:rPr>
        <w:t>Mechanizm ten został opracowany i udostępniony przez Instytucję Zarządzającą i stanowi narzędzie informatyczne umożliwiające przekazanie informacji o podejrzeniu wystąpienia nieprawidłowości lub nadużycia finansowego.</w:t>
      </w:r>
    </w:p>
    <w:p w14:paraId="42649B7E" w14:textId="77777777" w:rsidR="00BD1158" w:rsidRPr="0009210B" w:rsidRDefault="00BD1158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  <w:lang w:eastAsia="pl-PL"/>
        </w:rPr>
      </w:pPr>
    </w:p>
    <w:p w14:paraId="36B61E06" w14:textId="5C6C50CC" w:rsidR="008A11A9" w:rsidRPr="0009210B" w:rsidRDefault="00BD1158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b/>
          <w:bCs/>
          <w:color w:val="000000"/>
          <w:lang w:eastAsia="pl-PL"/>
        </w:rPr>
      </w:pPr>
      <w:r w:rsidRPr="0009210B">
        <w:rPr>
          <w:rFonts w:ascii="Open Sans Light" w:hAnsi="Open Sans Light" w:cs="Open Sans Light"/>
          <w:color w:val="1B1B1B"/>
          <w:lang w:eastAsia="pl-PL"/>
        </w:rPr>
        <w:t>Przekazywane sygnały o nieprawidłowościach pozwolą na wprowadzenie odpowiednich środków zaradczych oraz przyczynią się do zapewnienia najwyższych standardów realizacji projektów, w szczególności w sposób etyczny, jawny i przejrzysty.</w:t>
      </w:r>
      <w:r w:rsidR="003645CA" w:rsidRPr="0009210B">
        <w:rPr>
          <w:rFonts w:ascii="Open Sans Light" w:hAnsi="Open Sans Light" w:cs="Open Sans Light"/>
          <w:color w:val="1B1B1B"/>
          <w:lang w:eastAsia="pl-PL"/>
        </w:rPr>
        <w:br/>
      </w:r>
    </w:p>
    <w:p w14:paraId="54C05CA4" w14:textId="33CC1108" w:rsidR="0092519C" w:rsidRPr="0009210B" w:rsidRDefault="003645CA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  <w:lang w:eastAsia="pl-PL"/>
        </w:rPr>
      </w:pPr>
      <w:r w:rsidRPr="0009210B">
        <w:rPr>
          <w:rFonts w:ascii="Open Sans Light" w:hAnsi="Open Sans Light" w:cs="Open Sans Light"/>
          <w:b/>
          <w:bCs/>
          <w:color w:val="000000"/>
          <w:lang w:eastAsia="pl-PL"/>
        </w:rPr>
        <w:t>Wszelkie nieprawidłowości można zgłaszać za pośrednictwem poniższych mechanizmów:</w:t>
      </w:r>
      <w:r w:rsidRPr="0009210B">
        <w:rPr>
          <w:rFonts w:ascii="Open Sans Light" w:hAnsi="Open Sans Light" w:cs="Open Sans Light"/>
          <w:color w:val="1B1B1B"/>
          <w:lang w:eastAsia="pl-PL"/>
        </w:rPr>
        <w:br/>
      </w:r>
    </w:p>
    <w:p w14:paraId="173F0BF1" w14:textId="47CFEABD" w:rsidR="008A11A9" w:rsidRDefault="0092519C" w:rsidP="0009210B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714" w:hanging="357"/>
        <w:textAlignment w:val="baseline"/>
        <w:rPr>
          <w:rFonts w:ascii="Open Sans Light" w:hAnsi="Open Sans Light" w:cs="Open Sans Light"/>
          <w:lang w:eastAsia="pl-PL"/>
        </w:rPr>
      </w:pPr>
      <w:r w:rsidRPr="0009210B">
        <w:rPr>
          <w:rFonts w:ascii="Open Sans Light" w:hAnsi="Open Sans Light" w:cs="Open Sans Light"/>
          <w:b/>
          <w:bCs/>
        </w:rPr>
        <w:t>poczty tradycyjnej</w:t>
      </w:r>
      <w:r w:rsidRPr="0009210B">
        <w:rPr>
          <w:rFonts w:ascii="Open Sans Light" w:hAnsi="Open Sans Light" w:cs="Open Sans Light"/>
        </w:rPr>
        <w:t xml:space="preserve"> – w postaci przesyłki listowej na adres ministerstwa: Ministerstwo Funduszy i Polityki Regionalnej, ul. Wspólna 2/4, 00-926 Warszawa lub Ministerstwo Klimatu i Środowiska, ul. Wawelska 52/54 lub </w:t>
      </w:r>
      <w:r w:rsidRPr="0009210B">
        <w:rPr>
          <w:rFonts w:ascii="Open Sans Light" w:hAnsi="Open Sans Light" w:cs="Open Sans Light"/>
          <w:bCs/>
        </w:rPr>
        <w:t xml:space="preserve">Narodowy Fundusz Ochrony Środowiska i Gospodarki Wodnej </w:t>
      </w:r>
      <w:r w:rsidRPr="0009210B">
        <w:rPr>
          <w:rFonts w:ascii="Open Sans Light" w:hAnsi="Open Sans Light" w:cs="Open Sans Light"/>
        </w:rPr>
        <w:t>ul. Konstruktorska 3a</w:t>
      </w:r>
      <w:r w:rsidR="00565F3D" w:rsidRPr="0009210B">
        <w:rPr>
          <w:rFonts w:ascii="Open Sans Light" w:hAnsi="Open Sans Light" w:cs="Open Sans Light"/>
        </w:rPr>
        <w:t xml:space="preserve"> </w:t>
      </w:r>
      <w:r w:rsidRPr="0009210B">
        <w:rPr>
          <w:rFonts w:ascii="Open Sans Light" w:hAnsi="Open Sans Light" w:cs="Open Sans Light"/>
        </w:rPr>
        <w:t>02-673 Warszawa</w:t>
      </w:r>
      <w:r w:rsidR="008A11A9" w:rsidRPr="0009210B">
        <w:rPr>
          <w:rFonts w:ascii="Open Sans Light" w:hAnsi="Open Sans Light" w:cs="Open Sans Light"/>
        </w:rPr>
        <w:t>,</w:t>
      </w:r>
    </w:p>
    <w:p w14:paraId="0E6D3505" w14:textId="77777777" w:rsidR="0009210B" w:rsidRPr="0009210B" w:rsidRDefault="0009210B" w:rsidP="0009210B">
      <w:pPr>
        <w:pStyle w:val="Akapitzlist"/>
        <w:shd w:val="clear" w:color="auto" w:fill="FFFFFF"/>
        <w:spacing w:after="0" w:line="23" w:lineRule="atLeast"/>
        <w:ind w:left="714"/>
        <w:textAlignment w:val="baseline"/>
        <w:rPr>
          <w:rFonts w:ascii="Open Sans Light" w:hAnsi="Open Sans Light" w:cs="Open Sans Light"/>
          <w:lang w:eastAsia="pl-PL"/>
        </w:rPr>
      </w:pPr>
    </w:p>
    <w:p w14:paraId="783152E6" w14:textId="0E97CAED" w:rsidR="008A11A9" w:rsidRDefault="008A11A9" w:rsidP="0009210B">
      <w:pPr>
        <w:pStyle w:val="Akapitzlist"/>
        <w:numPr>
          <w:ilvl w:val="0"/>
          <w:numId w:val="17"/>
        </w:numPr>
        <w:spacing w:after="0" w:line="23" w:lineRule="atLeast"/>
        <w:ind w:left="714" w:hanging="357"/>
        <w:rPr>
          <w:rFonts w:ascii="Open Sans Light" w:hAnsi="Open Sans Light" w:cs="Open Sans Light"/>
          <w:lang w:eastAsia="pl-PL"/>
        </w:rPr>
      </w:pPr>
      <w:r w:rsidRPr="0009210B">
        <w:rPr>
          <w:rFonts w:ascii="Open Sans Light" w:hAnsi="Open Sans Light" w:cs="Open Sans Light"/>
          <w:b/>
          <w:bCs/>
          <w:lang w:eastAsia="pl-PL"/>
        </w:rPr>
        <w:t>skrzynki nadawczej e-PUAP</w:t>
      </w:r>
      <w:r w:rsidRPr="0009210B">
        <w:rPr>
          <w:rFonts w:ascii="Open Sans Light" w:hAnsi="Open Sans Light" w:cs="Open Sans Light"/>
          <w:lang w:eastAsia="pl-PL"/>
        </w:rPr>
        <w:t xml:space="preserve"> Ministerstwa Funduszy i Polityki Regionalnej lub Ministerstwa Klimatu i Środowiska lub Narodowego Funduszu Ochrony Środowiska i Gospodarki Wodnej,</w:t>
      </w:r>
    </w:p>
    <w:p w14:paraId="70508BDC" w14:textId="77777777" w:rsidR="0009210B" w:rsidRPr="0009210B" w:rsidRDefault="0009210B" w:rsidP="0009210B">
      <w:pPr>
        <w:pStyle w:val="Akapitzlist"/>
        <w:spacing w:after="0" w:line="23" w:lineRule="atLeast"/>
        <w:ind w:left="714"/>
        <w:rPr>
          <w:rFonts w:ascii="Open Sans Light" w:hAnsi="Open Sans Light" w:cs="Open Sans Light"/>
          <w:lang w:eastAsia="pl-PL"/>
        </w:rPr>
      </w:pPr>
    </w:p>
    <w:p w14:paraId="711108F7" w14:textId="77777777" w:rsidR="008A11A9" w:rsidRPr="0009210B" w:rsidRDefault="008A11A9" w:rsidP="0009210B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714" w:hanging="357"/>
        <w:textAlignment w:val="baseline"/>
        <w:rPr>
          <w:rFonts w:ascii="Open Sans Light" w:hAnsi="Open Sans Light" w:cs="Open Sans Light"/>
          <w:color w:val="1F3864" w:themeColor="accent1" w:themeShade="80"/>
          <w:lang w:eastAsia="pl-PL"/>
        </w:rPr>
      </w:pPr>
      <w:r w:rsidRPr="0009210B">
        <w:rPr>
          <w:rFonts w:ascii="Open Sans Light" w:hAnsi="Open Sans Light" w:cs="Open Sans Light"/>
          <w:b/>
          <w:bCs/>
          <w:color w:val="1B1B1B"/>
          <w:lang w:eastAsia="pl-PL"/>
        </w:rPr>
        <w:t>formularza internetowego e-Nieprawidłowości</w:t>
      </w:r>
      <w:r w:rsidRPr="0009210B">
        <w:rPr>
          <w:rFonts w:ascii="Open Sans Light" w:hAnsi="Open Sans Light" w:cs="Open Sans Light"/>
          <w:color w:val="1B1B1B"/>
          <w:lang w:eastAsia="pl-PL"/>
        </w:rPr>
        <w:t>, dostępnego na stronie: </w:t>
      </w:r>
    </w:p>
    <w:p w14:paraId="64398A42" w14:textId="22684B38" w:rsidR="008A11A9" w:rsidRPr="003B4909" w:rsidRDefault="005D5CAD" w:rsidP="0009210B">
      <w:pPr>
        <w:pStyle w:val="Akapitzlist"/>
        <w:shd w:val="clear" w:color="auto" w:fill="FFFFFF"/>
        <w:spacing w:after="0" w:line="23" w:lineRule="atLeast"/>
        <w:ind w:left="714"/>
        <w:textAlignment w:val="baseline"/>
        <w:rPr>
          <w:rFonts w:ascii="Open Sans Light" w:hAnsi="Open Sans Light" w:cs="Open Sans Light"/>
          <w:color w:val="1F3864" w:themeColor="accent1" w:themeShade="80"/>
          <w:lang w:eastAsia="pl-PL"/>
        </w:rPr>
      </w:pPr>
      <w:hyperlink r:id="rId12" w:history="1">
        <w:r w:rsidR="008A11A9" w:rsidRPr="003B4909">
          <w:rPr>
            <w:rStyle w:val="Hipercze"/>
            <w:rFonts w:ascii="Open Sans Light" w:hAnsi="Open Sans Light" w:cs="Open Sans Light"/>
            <w:lang w:eastAsia="pl-PL"/>
          </w:rPr>
          <w:t>https://nieprawidlowosci.mfipr.gov.pl</w:t>
        </w:r>
      </w:hyperlink>
      <w:r w:rsidR="008A11A9" w:rsidRPr="003B4909">
        <w:rPr>
          <w:rFonts w:ascii="Open Sans Light" w:hAnsi="Open Sans Light" w:cs="Open Sans Light"/>
          <w:color w:val="1B1B1B"/>
          <w:lang w:eastAsia="pl-PL"/>
        </w:rPr>
        <w:t xml:space="preserve"> </w:t>
      </w:r>
      <w:r w:rsidR="008A11A9" w:rsidRPr="003B4909">
        <w:rPr>
          <w:rFonts w:ascii="Open Sans Light" w:hAnsi="Open Sans Light" w:cs="Open Sans Light"/>
          <w:color w:val="1F3864" w:themeColor="accent1" w:themeShade="80"/>
          <w:lang w:eastAsia="pl-PL"/>
        </w:rPr>
        <w:t xml:space="preserve"> </w:t>
      </w:r>
    </w:p>
    <w:p w14:paraId="27D0E614" w14:textId="64A2C984" w:rsidR="008A11A9" w:rsidRPr="0009210B" w:rsidRDefault="008A11A9" w:rsidP="0009210B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714" w:hanging="357"/>
        <w:textAlignment w:val="baseline"/>
        <w:rPr>
          <w:rStyle w:val="Hipercze"/>
          <w:rFonts w:ascii="Open Sans Light" w:hAnsi="Open Sans Light" w:cs="Open Sans Light"/>
          <w:color w:val="1F3864" w:themeColor="accent1" w:themeShade="80"/>
          <w:u w:val="none"/>
          <w:lang w:eastAsia="pl-PL"/>
        </w:rPr>
      </w:pPr>
      <w:r w:rsidRPr="0009210B">
        <w:rPr>
          <w:rFonts w:ascii="Open Sans Light" w:hAnsi="Open Sans Light" w:cs="Open Sans Light"/>
          <w:b/>
          <w:bCs/>
          <w:color w:val="1B1B1B"/>
          <w:lang w:eastAsia="pl-PL"/>
        </w:rPr>
        <w:t>adresu e-mail</w:t>
      </w:r>
      <w:r w:rsidRPr="0009210B">
        <w:rPr>
          <w:rFonts w:ascii="Open Sans Light" w:hAnsi="Open Sans Light" w:cs="Open Sans Light"/>
          <w:color w:val="1B1B1B"/>
          <w:lang w:eastAsia="pl-PL"/>
        </w:rPr>
        <w:t>:</w:t>
      </w:r>
      <w:r w:rsidRPr="0009210B">
        <w:rPr>
          <w:rFonts w:ascii="Open Sans Light" w:hAnsi="Open Sans Light" w:cs="Open Sans Light"/>
          <w:color w:val="1F3864" w:themeColor="accent1" w:themeShade="80"/>
          <w:lang w:eastAsia="pl-PL"/>
        </w:rPr>
        <w:t> </w:t>
      </w:r>
      <w:r w:rsidRPr="0009210B">
        <w:rPr>
          <w:rFonts w:ascii="Open Sans Light" w:hAnsi="Open Sans Light" w:cs="Open Sans Light"/>
          <w:color w:val="1B1B1B"/>
          <w:lang w:eastAsia="pl-PL"/>
        </w:rPr>
        <w:t xml:space="preserve"> </w:t>
      </w:r>
      <w:hyperlink r:id="rId13" w:history="1">
        <w:r w:rsidRPr="0009210B">
          <w:rPr>
            <w:rStyle w:val="Hipercze"/>
            <w:rFonts w:ascii="Open Sans Light" w:hAnsi="Open Sans Light" w:cs="Open Sans Light"/>
          </w:rPr>
          <w:t>naduzycia.feniks@mfipr.gov.pl</w:t>
        </w:r>
      </w:hyperlink>
    </w:p>
    <w:p w14:paraId="5419BCE5" w14:textId="77777777" w:rsidR="0009210B" w:rsidRPr="0009210B" w:rsidRDefault="0009210B" w:rsidP="0009210B">
      <w:pPr>
        <w:pStyle w:val="Akapitzlist"/>
        <w:shd w:val="clear" w:color="auto" w:fill="FFFFFF"/>
        <w:spacing w:after="0" w:line="23" w:lineRule="atLeast"/>
        <w:ind w:left="714"/>
        <w:textAlignment w:val="baseline"/>
        <w:rPr>
          <w:rStyle w:val="Hipercze"/>
          <w:rFonts w:ascii="Open Sans Light" w:hAnsi="Open Sans Light" w:cs="Open Sans Light"/>
          <w:color w:val="1F3864" w:themeColor="accent1" w:themeShade="80"/>
          <w:u w:val="none"/>
          <w:lang w:eastAsia="pl-PL"/>
        </w:rPr>
      </w:pPr>
    </w:p>
    <w:p w14:paraId="3DF9A501" w14:textId="77777777" w:rsidR="008A11A9" w:rsidRPr="0009210B" w:rsidRDefault="008A11A9" w:rsidP="0009210B">
      <w:pPr>
        <w:pStyle w:val="Tekstpodstawowy2"/>
        <w:numPr>
          <w:ilvl w:val="0"/>
          <w:numId w:val="17"/>
        </w:numPr>
        <w:spacing w:after="0" w:line="23" w:lineRule="atLeast"/>
        <w:ind w:left="714" w:hanging="357"/>
        <w:jc w:val="both"/>
        <w:rPr>
          <w:rFonts w:ascii="Open Sans Light" w:hAnsi="Open Sans Light" w:cs="Open Sans Light"/>
        </w:rPr>
      </w:pPr>
      <w:r w:rsidRPr="0009210B">
        <w:rPr>
          <w:rFonts w:ascii="Open Sans Light" w:hAnsi="Open Sans Light" w:cs="Open Sans Light"/>
          <w:b/>
          <w:bCs/>
        </w:rPr>
        <w:t>doręczenia osobistego</w:t>
      </w:r>
      <w:r w:rsidRPr="0009210B">
        <w:rPr>
          <w:rFonts w:ascii="Open Sans Light" w:hAnsi="Open Sans Light" w:cs="Open Sans Light"/>
        </w:rPr>
        <w:t xml:space="preserve"> do kancelarii Ministerstwa Funduszy i Polityki Regionalnej, ul. Wspólna 2/4, 00-926 Warszawa lub kancelarii Ministerstwa Klimatu i Środowiska lub kancelarii Narodowego Funduszu Ochrony Środowiska i Gospodarki Wodnej.</w:t>
      </w:r>
    </w:p>
    <w:p w14:paraId="16CE63FC" w14:textId="77777777" w:rsidR="00B13EE1" w:rsidRPr="0009210B" w:rsidRDefault="00B13EE1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  <w:lang w:eastAsia="pl-PL"/>
        </w:rPr>
      </w:pPr>
    </w:p>
    <w:p w14:paraId="49B56702" w14:textId="77777777" w:rsidR="0009210B" w:rsidRDefault="0009210B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b/>
          <w:bCs/>
          <w:color w:val="222222"/>
        </w:rPr>
      </w:pPr>
    </w:p>
    <w:p w14:paraId="1FCD9B3B" w14:textId="7A708543" w:rsidR="00B13EE1" w:rsidRPr="0009210B" w:rsidRDefault="003645CA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b/>
          <w:bCs/>
          <w:color w:val="222222"/>
        </w:rPr>
      </w:pPr>
      <w:r w:rsidRPr="0009210B">
        <w:rPr>
          <w:rFonts w:ascii="Open Sans Light" w:hAnsi="Open Sans Light" w:cs="Open Sans Light"/>
          <w:b/>
          <w:bCs/>
          <w:color w:val="222222"/>
        </w:rPr>
        <w:lastRenderedPageBreak/>
        <w:t>Zasady, jakimi kierujemy się przy rozpatrywaniu przekazanych zgłoszeń</w:t>
      </w:r>
    </w:p>
    <w:p w14:paraId="4869B0BB" w14:textId="77777777" w:rsidR="00B13EE1" w:rsidRPr="0009210B" w:rsidRDefault="00B13EE1" w:rsidP="0009210B">
      <w:p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b/>
          <w:bCs/>
          <w:color w:val="222222"/>
        </w:rPr>
      </w:pPr>
    </w:p>
    <w:p w14:paraId="14883117" w14:textId="77777777" w:rsidR="0009210B" w:rsidRDefault="003645CA" w:rsidP="0009210B">
      <w:pPr>
        <w:pStyle w:val="Akapitzlist"/>
        <w:numPr>
          <w:ilvl w:val="0"/>
          <w:numId w:val="18"/>
        </w:numPr>
        <w:shd w:val="clear" w:color="auto" w:fill="FFFFFF"/>
        <w:spacing w:after="0" w:line="23" w:lineRule="atLeast"/>
        <w:rPr>
          <w:rFonts w:ascii="Open Sans Light" w:hAnsi="Open Sans Light" w:cs="Open Sans Light"/>
          <w:color w:val="000000"/>
        </w:rPr>
      </w:pPr>
      <w:r w:rsidRPr="0009210B">
        <w:rPr>
          <w:rFonts w:ascii="Open Sans Light" w:hAnsi="Open Sans Light" w:cs="Open Sans Light"/>
          <w:color w:val="000000"/>
        </w:rPr>
        <w:t>Każde zgłoszenie podlega ochronie przed udostępnieniem osobom nieuprawnionym. Informacje objęte zgłoszeniem, umożliwiające identyfikację osoby dokonującej zgłoszenie, będą chronione zarówno na etapie wyjaśniania sprawy, podczas prowadzenia ewentualnych działań zapobiegawczych, jak również w przyszłości i udostępniane wyłącznie uprawnionym urzędnikom oraz funkcjonariuszom odpowiednich służb.</w:t>
      </w:r>
    </w:p>
    <w:p w14:paraId="4B9D1A0B" w14:textId="7BE4D339" w:rsidR="00B13EE1" w:rsidRPr="0009210B" w:rsidRDefault="003645CA" w:rsidP="0009210B">
      <w:pPr>
        <w:pStyle w:val="Akapitzlist"/>
        <w:shd w:val="clear" w:color="auto" w:fill="FFFFFF"/>
        <w:spacing w:after="0" w:line="23" w:lineRule="atLeast"/>
        <w:rPr>
          <w:rFonts w:ascii="Open Sans Light" w:hAnsi="Open Sans Light" w:cs="Open Sans Light"/>
          <w:color w:val="000000"/>
        </w:rPr>
      </w:pPr>
      <w:r w:rsidRPr="0009210B">
        <w:rPr>
          <w:rFonts w:ascii="Open Sans Light" w:hAnsi="Open Sans Light" w:cs="Open Sans Light"/>
          <w:color w:val="000000"/>
        </w:rPr>
        <w:t> </w:t>
      </w:r>
    </w:p>
    <w:p w14:paraId="00983416" w14:textId="7A360A86" w:rsidR="003645CA" w:rsidRDefault="003645CA" w:rsidP="0009210B">
      <w:pPr>
        <w:pStyle w:val="Akapitzlist"/>
        <w:numPr>
          <w:ilvl w:val="0"/>
          <w:numId w:val="18"/>
        </w:numPr>
        <w:shd w:val="clear" w:color="auto" w:fill="FFFFFF"/>
        <w:spacing w:after="0" w:line="23" w:lineRule="atLeast"/>
        <w:rPr>
          <w:rFonts w:ascii="Open Sans Light" w:hAnsi="Open Sans Light" w:cs="Open Sans Light"/>
          <w:color w:val="000000"/>
        </w:rPr>
      </w:pPr>
      <w:r w:rsidRPr="0009210B">
        <w:rPr>
          <w:rFonts w:ascii="Open Sans Light" w:hAnsi="Open Sans Light" w:cs="Open Sans Light"/>
          <w:color w:val="000000"/>
        </w:rPr>
        <w:t xml:space="preserve">Wszelkie zgłoszenia będą skrupulatnie rozpatrywane zgodnie z wewnętrznymi procedurami Instytucji Zarządzającej Programem </w:t>
      </w:r>
      <w:r w:rsidR="00B13EE1" w:rsidRPr="0009210B">
        <w:rPr>
          <w:rFonts w:ascii="Open Sans Light" w:hAnsi="Open Sans Light" w:cs="Open Sans Light"/>
          <w:color w:val="000000"/>
        </w:rPr>
        <w:t>Fundusze Europejskie na Infrastrukturę, Klimat, Środowisko 2021-2027</w:t>
      </w:r>
      <w:r w:rsidRPr="0009210B">
        <w:rPr>
          <w:rFonts w:ascii="Open Sans Light" w:hAnsi="Open Sans Light" w:cs="Open Sans Light"/>
          <w:color w:val="000000"/>
        </w:rPr>
        <w:t xml:space="preserve"> oraz przepisami prawa powszechnie obowiązującego.    </w:t>
      </w:r>
    </w:p>
    <w:p w14:paraId="063EBF6D" w14:textId="77777777" w:rsidR="0009210B" w:rsidRPr="0009210B" w:rsidRDefault="0009210B" w:rsidP="0009210B">
      <w:pPr>
        <w:pStyle w:val="Akapitzlist"/>
        <w:shd w:val="clear" w:color="auto" w:fill="FFFFFF"/>
        <w:spacing w:after="0" w:line="23" w:lineRule="atLeast"/>
        <w:rPr>
          <w:rFonts w:ascii="Open Sans Light" w:hAnsi="Open Sans Light" w:cs="Open Sans Light"/>
          <w:color w:val="000000"/>
        </w:rPr>
      </w:pPr>
    </w:p>
    <w:p w14:paraId="021305BB" w14:textId="77777777" w:rsidR="0009210B" w:rsidRDefault="003645CA" w:rsidP="0009210B">
      <w:pPr>
        <w:pStyle w:val="Akapitzlist"/>
        <w:numPr>
          <w:ilvl w:val="0"/>
          <w:numId w:val="18"/>
        </w:numPr>
        <w:shd w:val="clear" w:color="auto" w:fill="FFFFFF"/>
        <w:spacing w:after="0" w:line="23" w:lineRule="atLeast"/>
        <w:rPr>
          <w:rFonts w:ascii="Open Sans Light" w:hAnsi="Open Sans Light" w:cs="Open Sans Light"/>
          <w:color w:val="000000"/>
        </w:rPr>
      </w:pPr>
      <w:r w:rsidRPr="0009210B">
        <w:rPr>
          <w:rFonts w:ascii="Open Sans Light" w:hAnsi="Open Sans Light" w:cs="Open Sans Light"/>
          <w:color w:val="000000"/>
        </w:rPr>
        <w:t>W przypadku wyrażenia chęci pozostania anonimowym przez osobę dokonującą zgłoszenia za pośrednictwem poczty elektronicznej, dokonywana będzie pełna anonimizacja zgłoszenia (ze zgłoszenia usunięte zostaną dane osobowe zgłaszającego i inne cechy pozwalające na identyfikację jego tożsamości) przed jej ewentualnym przekazaniem w celu wyjaśnienia sprawy.   </w:t>
      </w:r>
    </w:p>
    <w:p w14:paraId="2ECF7F06" w14:textId="77777777" w:rsidR="0009210B" w:rsidRPr="0009210B" w:rsidRDefault="0009210B" w:rsidP="0009210B">
      <w:pPr>
        <w:pStyle w:val="Akapitzlist"/>
        <w:rPr>
          <w:rFonts w:ascii="Open Sans Light" w:hAnsi="Open Sans Light" w:cs="Open Sans Light"/>
          <w:color w:val="000000"/>
        </w:rPr>
      </w:pPr>
    </w:p>
    <w:p w14:paraId="3E594A25" w14:textId="0EDF7D6B" w:rsidR="000926E0" w:rsidRPr="0009210B" w:rsidRDefault="003645CA" w:rsidP="0009210B">
      <w:pPr>
        <w:pStyle w:val="Akapitzlist"/>
        <w:numPr>
          <w:ilvl w:val="0"/>
          <w:numId w:val="18"/>
        </w:numPr>
        <w:shd w:val="clear" w:color="auto" w:fill="FFFFFF"/>
        <w:spacing w:after="300" w:line="23" w:lineRule="atLeast"/>
        <w:rPr>
          <w:rFonts w:ascii="Open Sans Light" w:hAnsi="Open Sans Light" w:cs="Open Sans Light"/>
        </w:rPr>
      </w:pPr>
      <w:r w:rsidRPr="0009210B">
        <w:rPr>
          <w:rFonts w:ascii="Open Sans Light" w:hAnsi="Open Sans Light" w:cs="Open Sans Light"/>
          <w:color w:val="000000"/>
        </w:rPr>
        <w:t>W przypadku zgłoszeń (głównie anonimowych), które będą niepełne i nie będzie możliwości uzupełnienia tych informacji, istnieje ryzyko, że takie Zgłoszenie nie będzie mogło zostać rozpatrzone.</w:t>
      </w:r>
    </w:p>
    <w:p w14:paraId="68F02126" w14:textId="77777777" w:rsidR="00BD1158" w:rsidRPr="0009210B" w:rsidRDefault="00BD1158" w:rsidP="0009210B">
      <w:pPr>
        <w:pStyle w:val="Nagwek3"/>
        <w:shd w:val="clear" w:color="auto" w:fill="FFFFFF"/>
        <w:spacing w:before="408" w:after="144" w:line="23" w:lineRule="atLeast"/>
        <w:textAlignment w:val="baseline"/>
        <w:rPr>
          <w:rFonts w:ascii="Open Sans Light" w:hAnsi="Open Sans Light" w:cs="Open Sans Light"/>
          <w:color w:val="1B1B1B"/>
          <w:szCs w:val="22"/>
        </w:rPr>
      </w:pPr>
      <w:r w:rsidRPr="0009210B">
        <w:rPr>
          <w:rFonts w:ascii="Open Sans Light" w:hAnsi="Open Sans Light" w:cs="Open Sans Light"/>
          <w:color w:val="1B1B1B"/>
          <w:szCs w:val="22"/>
        </w:rPr>
        <w:t>Zgłaszanie podejrzenia o niezgodności Projektu lub działań Beneficjenta z KPON lub KPP</w:t>
      </w:r>
    </w:p>
    <w:p w14:paraId="5F349E99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Instytucja Zarządzająca Programem Fundusze Europejskie na Infrastrukturę, Klimat, Środowisko 2021-2027 (</w:t>
      </w:r>
      <w:proofErr w:type="spellStart"/>
      <w:r w:rsidRPr="0009210B">
        <w:rPr>
          <w:rFonts w:ascii="Open Sans Light" w:hAnsi="Open Sans Light" w:cs="Open Sans Light"/>
          <w:color w:val="1B1B1B"/>
          <w:sz w:val="22"/>
          <w:szCs w:val="22"/>
        </w:rPr>
        <w:t>FEnIKS</w:t>
      </w:r>
      <w:proofErr w:type="spellEnd"/>
      <w:r w:rsidRPr="0009210B">
        <w:rPr>
          <w:rFonts w:ascii="Open Sans Light" w:hAnsi="Open Sans Light" w:cs="Open Sans Light"/>
          <w:color w:val="1B1B1B"/>
          <w:sz w:val="22"/>
          <w:szCs w:val="22"/>
        </w:rPr>
        <w:t>), przywiązuje szczególną wagę do zapewnienia realizacji projektów w sposób:</w:t>
      </w:r>
    </w:p>
    <w:p w14:paraId="00B52DBA" w14:textId="77777777" w:rsidR="00BD1158" w:rsidRPr="0009210B" w:rsidRDefault="00BD1158" w:rsidP="0009210B">
      <w:pPr>
        <w:numPr>
          <w:ilvl w:val="0"/>
          <w:numId w:val="19"/>
        </w:num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</w:rPr>
      </w:pPr>
      <w:r w:rsidRPr="0009210B">
        <w:rPr>
          <w:rFonts w:ascii="Open Sans Light" w:hAnsi="Open Sans Light" w:cs="Open Sans Light"/>
          <w:color w:val="1B1B1B"/>
        </w:rPr>
        <w:t>etyczny,</w:t>
      </w:r>
    </w:p>
    <w:p w14:paraId="41A7D964" w14:textId="77777777" w:rsidR="00BD1158" w:rsidRPr="0009210B" w:rsidRDefault="00BD1158" w:rsidP="0009210B">
      <w:pPr>
        <w:numPr>
          <w:ilvl w:val="0"/>
          <w:numId w:val="19"/>
        </w:num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</w:rPr>
      </w:pPr>
      <w:r w:rsidRPr="0009210B">
        <w:rPr>
          <w:rFonts w:ascii="Open Sans Light" w:hAnsi="Open Sans Light" w:cs="Open Sans Light"/>
          <w:color w:val="1B1B1B"/>
        </w:rPr>
        <w:t>jawny,</w:t>
      </w:r>
    </w:p>
    <w:p w14:paraId="5F4B9A3C" w14:textId="4F3D8161" w:rsidR="00BD1158" w:rsidRDefault="00BD1158" w:rsidP="0009210B">
      <w:pPr>
        <w:numPr>
          <w:ilvl w:val="0"/>
          <w:numId w:val="19"/>
        </w:num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</w:rPr>
      </w:pPr>
      <w:r w:rsidRPr="0009210B">
        <w:rPr>
          <w:rFonts w:ascii="Open Sans Light" w:hAnsi="Open Sans Light" w:cs="Open Sans Light"/>
          <w:color w:val="1B1B1B"/>
        </w:rPr>
        <w:t>przejrzysty.</w:t>
      </w:r>
    </w:p>
    <w:p w14:paraId="05995549" w14:textId="77777777" w:rsidR="0009210B" w:rsidRPr="0009210B" w:rsidRDefault="0009210B" w:rsidP="0009210B">
      <w:pPr>
        <w:shd w:val="clear" w:color="auto" w:fill="FFFFFF"/>
        <w:spacing w:after="0" w:line="23" w:lineRule="atLeast"/>
        <w:ind w:left="720"/>
        <w:textAlignment w:val="baseline"/>
        <w:rPr>
          <w:rFonts w:ascii="Open Sans Light" w:hAnsi="Open Sans Light" w:cs="Open Sans Light"/>
          <w:color w:val="1B1B1B"/>
        </w:rPr>
      </w:pPr>
    </w:p>
    <w:p w14:paraId="7268CAFB" w14:textId="5ED330EC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 xml:space="preserve">Wychodząc temu naprzeciw udostępniono proste narzędzie do zgłaszania wszelkich nieprawidłowości dotyczących projektów w programie </w:t>
      </w:r>
      <w:proofErr w:type="spellStart"/>
      <w:r w:rsidRPr="0009210B">
        <w:rPr>
          <w:rFonts w:ascii="Open Sans Light" w:hAnsi="Open Sans Light" w:cs="Open Sans Light"/>
          <w:color w:val="1B1B1B"/>
          <w:sz w:val="22"/>
          <w:szCs w:val="22"/>
        </w:rPr>
        <w:t>FEnIKS</w:t>
      </w:r>
      <w:proofErr w:type="spellEnd"/>
      <w:r w:rsidRPr="0009210B">
        <w:rPr>
          <w:rFonts w:ascii="Open Sans Light" w:hAnsi="Open Sans Light" w:cs="Open Sans Light"/>
          <w:color w:val="1B1B1B"/>
          <w:sz w:val="22"/>
          <w:szCs w:val="22"/>
        </w:rPr>
        <w:t>.</w:t>
      </w:r>
    </w:p>
    <w:p w14:paraId="3940018F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Przekazywane sygnały o nieprawidłowościach pozwolą na wprowadzenie odpowiednich środków zaradczych oraz przyczynią się do zapewnienia najwyższych standardów realizacji projektów.</w:t>
      </w:r>
    </w:p>
    <w:p w14:paraId="6788A6E2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W celu zgłoszenia nieprawidłowości należy:</w:t>
      </w:r>
    </w:p>
    <w:p w14:paraId="00772770" w14:textId="77777777" w:rsidR="00BD1158" w:rsidRPr="0009210B" w:rsidRDefault="00BD1158" w:rsidP="0009210B">
      <w:pPr>
        <w:numPr>
          <w:ilvl w:val="0"/>
          <w:numId w:val="20"/>
        </w:num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</w:rPr>
      </w:pPr>
      <w:r w:rsidRPr="0009210B">
        <w:rPr>
          <w:rFonts w:ascii="Open Sans Light" w:hAnsi="Open Sans Light" w:cs="Open Sans Light"/>
          <w:color w:val="1B1B1B"/>
        </w:rPr>
        <w:t>skorzystać z </w:t>
      </w:r>
      <w:hyperlink r:id="rId14" w:tgtFrame="_blank" w:tooltip="przekierowanie do strony zewnętrznej" w:history="1">
        <w:r w:rsidRPr="003B4909">
          <w:rPr>
            <w:rStyle w:val="Hipercze"/>
            <w:rFonts w:ascii="Open Sans Light" w:hAnsi="Open Sans Light" w:cs="Open Sans Light"/>
            <w:color w:val="0052A5"/>
          </w:rPr>
          <w:t>formularza</w:t>
        </w:r>
      </w:hyperlink>
    </w:p>
    <w:p w14:paraId="7630A669" w14:textId="38EFB3D8" w:rsidR="00BD1158" w:rsidRPr="0009210B" w:rsidRDefault="00BD1158" w:rsidP="0009210B">
      <w:pPr>
        <w:numPr>
          <w:ilvl w:val="0"/>
          <w:numId w:val="20"/>
        </w:numPr>
        <w:shd w:val="clear" w:color="auto" w:fill="FFFFFF"/>
        <w:spacing w:after="0" w:line="23" w:lineRule="atLeast"/>
        <w:textAlignment w:val="baseline"/>
        <w:rPr>
          <w:rFonts w:ascii="Open Sans Light" w:hAnsi="Open Sans Light" w:cs="Open Sans Light"/>
          <w:color w:val="1B1B1B"/>
        </w:rPr>
      </w:pPr>
      <w:r w:rsidRPr="0009210B">
        <w:rPr>
          <w:rFonts w:ascii="Open Sans Light" w:hAnsi="Open Sans Light" w:cs="Open Sans Light"/>
          <w:color w:val="1B1B1B"/>
        </w:rPr>
        <w:t>wysłać wiadomość na adres mail: </w:t>
      </w:r>
      <w:hyperlink r:id="rId15" w:history="1">
        <w:r w:rsidRPr="003B4909">
          <w:rPr>
            <w:rStyle w:val="Hipercze"/>
            <w:rFonts w:ascii="Open Sans Light" w:hAnsi="Open Sans Light" w:cs="Open Sans Light"/>
            <w:color w:val="0052A5"/>
          </w:rPr>
          <w:t>naduzycia.feniks@mfipr.gov.pl</w:t>
        </w:r>
      </w:hyperlink>
      <w:r w:rsidRPr="0009210B">
        <w:rPr>
          <w:rFonts w:ascii="Open Sans Light" w:hAnsi="Open Sans Light" w:cs="Open Sans Light"/>
          <w:color w:val="1B1B1B"/>
        </w:rPr>
        <w:t> lub </w:t>
      </w:r>
      <w:hyperlink r:id="rId16" w:history="1">
        <w:r w:rsidRPr="003B4909">
          <w:rPr>
            <w:rStyle w:val="Hipercze"/>
            <w:rFonts w:ascii="Open Sans Light" w:hAnsi="Open Sans Light" w:cs="Open Sans Light"/>
            <w:color w:val="0052A5"/>
          </w:rPr>
          <w:t>rownosc.feniks@mfipr.gov.pl</w:t>
        </w:r>
      </w:hyperlink>
    </w:p>
    <w:p w14:paraId="2B64F447" w14:textId="77777777" w:rsidR="00417537" w:rsidRPr="0009210B" w:rsidRDefault="00417537" w:rsidP="0009210B">
      <w:pPr>
        <w:spacing w:line="23" w:lineRule="atLeast"/>
        <w:ind w:left="360"/>
        <w:rPr>
          <w:rFonts w:ascii="Open Sans Light" w:hAnsi="Open Sans Light" w:cs="Open Sans Light"/>
        </w:rPr>
      </w:pPr>
    </w:p>
    <w:p w14:paraId="1B6B5C2D" w14:textId="77777777" w:rsidR="00BD1158" w:rsidRPr="0009210B" w:rsidRDefault="00BD1158" w:rsidP="0009210B">
      <w:pPr>
        <w:pStyle w:val="Nagwek2"/>
        <w:shd w:val="clear" w:color="auto" w:fill="FFFFFF"/>
        <w:spacing w:before="0" w:after="18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lastRenderedPageBreak/>
        <w:t>Co można zgłaszać?</w:t>
      </w:r>
    </w:p>
    <w:p w14:paraId="00BBF1D5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Podejrzenia nieprawidłowości, które dotyczą przedstawicieli instytucji wdrażających Program lub podmiotów realizujących i wykonujących projekty (np. Beneficjentów, Wykonawców).</w:t>
      </w:r>
    </w:p>
    <w:p w14:paraId="453936CB" w14:textId="77777777" w:rsidR="00BD1158" w:rsidRPr="0009210B" w:rsidRDefault="00BD1158" w:rsidP="0009210B">
      <w:pPr>
        <w:pStyle w:val="Nagwek2"/>
        <w:shd w:val="clear" w:color="auto" w:fill="FFFFFF"/>
        <w:spacing w:before="0" w:after="18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Czy można przekazać zgłoszenie anonimowo?</w:t>
      </w:r>
    </w:p>
    <w:p w14:paraId="3EF7EF5A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Oczywiście istnieje taka możliwość. Takie zgłoszenia również są rozpatrywane. Niemniej w przypadku zgłoszeń, które będą niepełne i nie będzie możliwości kontaktu z osobą dokonującą zgłoszenia w celu uzupełnienia informacji, istnieje ryzyko, że takie zgłoszenie nie będzie mogło zostać wyjaśnione.</w:t>
      </w:r>
    </w:p>
    <w:p w14:paraId="48A61A53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 xml:space="preserve">W przypadku wyrażenia chęci pozostania anonimowym przez osobę dokonującą zgłoszenia za pośrednictwem poczty elektronicznej, dokonywana będzie pełna </w:t>
      </w:r>
      <w:proofErr w:type="spellStart"/>
      <w:r w:rsidRPr="0009210B">
        <w:rPr>
          <w:rFonts w:ascii="Open Sans Light" w:hAnsi="Open Sans Light" w:cs="Open Sans Light"/>
          <w:color w:val="1B1B1B"/>
          <w:sz w:val="22"/>
          <w:szCs w:val="22"/>
        </w:rPr>
        <w:t>anonimizacja</w:t>
      </w:r>
      <w:proofErr w:type="spellEnd"/>
      <w:r w:rsidRPr="0009210B">
        <w:rPr>
          <w:rFonts w:ascii="Open Sans Light" w:hAnsi="Open Sans Light" w:cs="Open Sans Light"/>
          <w:color w:val="1B1B1B"/>
          <w:sz w:val="22"/>
          <w:szCs w:val="22"/>
        </w:rPr>
        <w:t xml:space="preserve"> zgłoszenia (ze zgłoszenia usunięte zostaną dane osobowe zgłaszającego i inne cechy pozwalające na identyfikację jego tożsamości) przed jej ewentualnym przekazaniem w celu wyjaśnienia sprawy.</w:t>
      </w:r>
    </w:p>
    <w:p w14:paraId="274CB8B2" w14:textId="77777777" w:rsidR="00BD1158" w:rsidRPr="0009210B" w:rsidRDefault="00BD1158" w:rsidP="0009210B">
      <w:pPr>
        <w:pStyle w:val="Nagwek2"/>
        <w:shd w:val="clear" w:color="auto" w:fill="FFFFFF"/>
        <w:spacing w:before="0" w:after="18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Zasady, jakimi kierujemy się przy rozpatrywaniu przekazanych zgłoszeń:</w:t>
      </w:r>
    </w:p>
    <w:p w14:paraId="455656A3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>Każde zgłoszenie podlega ochronie przed udostępnieniem osobom nieuprawnionym. Informacje objęte zgłoszeniem, umożliwiające identyfikację osoby dokonującej zgłoszenie, będą chronione zarówno na etapie wyjaśniania sprawy, podczas prowadzenia ewentualnych działań zapobiegawczych, jak również w przyszłości i udostępniane wyłącznie uprawnionym urzędnikom oraz funkcjonariuszom odpowiednich służb.   </w:t>
      </w:r>
    </w:p>
    <w:p w14:paraId="1C467A1E" w14:textId="77777777" w:rsidR="00BD1158" w:rsidRPr="0009210B" w:rsidRDefault="00BD1158" w:rsidP="0009210B">
      <w:pPr>
        <w:pStyle w:val="NormalnyWeb"/>
        <w:shd w:val="clear" w:color="auto" w:fill="FFFFFF"/>
        <w:spacing w:before="0" w:beforeAutospacing="0" w:after="240" w:afterAutospacing="0" w:line="23" w:lineRule="atLeast"/>
        <w:textAlignment w:val="baseline"/>
        <w:rPr>
          <w:rFonts w:ascii="Open Sans Light" w:hAnsi="Open Sans Light" w:cs="Open Sans Light"/>
          <w:color w:val="1B1B1B"/>
          <w:sz w:val="22"/>
          <w:szCs w:val="22"/>
        </w:rPr>
      </w:pPr>
      <w:r w:rsidRPr="0009210B">
        <w:rPr>
          <w:rFonts w:ascii="Open Sans Light" w:hAnsi="Open Sans Light" w:cs="Open Sans Light"/>
          <w:color w:val="1B1B1B"/>
          <w:sz w:val="22"/>
          <w:szCs w:val="22"/>
        </w:rPr>
        <w:t xml:space="preserve">Wszelkie zgłoszenia będą skrupulatnie rozpatrywane zgodnie z wewnętrznymi procedurami Instytucji Zarządzającej </w:t>
      </w:r>
      <w:proofErr w:type="spellStart"/>
      <w:r w:rsidRPr="0009210B">
        <w:rPr>
          <w:rFonts w:ascii="Open Sans Light" w:hAnsi="Open Sans Light" w:cs="Open Sans Light"/>
          <w:color w:val="1B1B1B"/>
          <w:sz w:val="22"/>
          <w:szCs w:val="22"/>
        </w:rPr>
        <w:t>FEnIKS</w:t>
      </w:r>
      <w:proofErr w:type="spellEnd"/>
      <w:r w:rsidRPr="0009210B">
        <w:rPr>
          <w:rFonts w:ascii="Open Sans Light" w:hAnsi="Open Sans Light" w:cs="Open Sans Light"/>
          <w:color w:val="1B1B1B"/>
          <w:sz w:val="22"/>
          <w:szCs w:val="22"/>
        </w:rPr>
        <w:t xml:space="preserve"> oraz przepisami prawa powszechnie obowiązującego.   </w:t>
      </w:r>
    </w:p>
    <w:p w14:paraId="2EDB3AA1" w14:textId="5AFC0DB3" w:rsidR="00417537" w:rsidRPr="0009210B" w:rsidRDefault="00417537" w:rsidP="0009210B">
      <w:pPr>
        <w:shd w:val="clear" w:color="auto" w:fill="FFFFFF"/>
        <w:spacing w:after="300" w:line="23" w:lineRule="atLeast"/>
        <w:rPr>
          <w:rFonts w:ascii="Open Sans Light" w:hAnsi="Open Sans Light" w:cs="Open Sans Light"/>
        </w:rPr>
      </w:pPr>
    </w:p>
    <w:p w14:paraId="12A677ED" w14:textId="4BF580A7" w:rsidR="00417537" w:rsidRPr="0009210B" w:rsidRDefault="00417537" w:rsidP="0009210B">
      <w:pPr>
        <w:shd w:val="clear" w:color="auto" w:fill="FFFFFF"/>
        <w:spacing w:after="0" w:line="23" w:lineRule="atLeast"/>
        <w:rPr>
          <w:rFonts w:ascii="Open Sans Light" w:hAnsi="Open Sans Light" w:cs="Open Sans Light"/>
          <w:b/>
          <w:bCs/>
        </w:rPr>
      </w:pPr>
      <w:r w:rsidRPr="0009210B">
        <w:rPr>
          <w:rFonts w:ascii="Open Sans Light" w:hAnsi="Open Sans Light" w:cs="Open Sans Light"/>
          <w:b/>
          <w:bCs/>
        </w:rPr>
        <w:t>Biuro Logistyki</w:t>
      </w:r>
    </w:p>
    <w:p w14:paraId="24556AA0" w14:textId="46E81F0D" w:rsidR="00417537" w:rsidRPr="0009210B" w:rsidRDefault="00417537" w:rsidP="0009210B">
      <w:pPr>
        <w:shd w:val="clear" w:color="auto" w:fill="FFFFFF"/>
        <w:spacing w:after="0" w:line="23" w:lineRule="atLeast"/>
        <w:rPr>
          <w:rFonts w:ascii="Open Sans Light" w:hAnsi="Open Sans Light" w:cs="Open Sans Light"/>
          <w:b/>
          <w:bCs/>
        </w:rPr>
      </w:pPr>
      <w:r w:rsidRPr="0009210B">
        <w:rPr>
          <w:rFonts w:ascii="Open Sans Light" w:hAnsi="Open Sans Light" w:cs="Open Sans Light"/>
          <w:b/>
          <w:bCs/>
        </w:rPr>
        <w:t>Ministerstwa Finansów</w:t>
      </w:r>
    </w:p>
    <w:sectPr w:rsidR="00417537" w:rsidRPr="0009210B" w:rsidSect="0089188F">
      <w:footerReference w:type="default" r:id="rId17"/>
      <w:footerReference w:type="first" r:id="rId18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8281" w14:textId="77777777" w:rsidR="00905F4C" w:rsidRDefault="00AE6ABC">
      <w:pPr>
        <w:spacing w:after="0" w:line="240" w:lineRule="auto"/>
      </w:pPr>
      <w:r>
        <w:separator/>
      </w:r>
    </w:p>
  </w:endnote>
  <w:endnote w:type="continuationSeparator" w:id="0">
    <w:p w14:paraId="3FCE70C0" w14:textId="77777777" w:rsidR="00905F4C" w:rsidRDefault="00AE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9D8A" w14:textId="576D7568" w:rsidR="00037C10" w:rsidRPr="002A38F5" w:rsidRDefault="00AE6ABC" w:rsidP="002A38F5">
    <w:pPr>
      <w:tabs>
        <w:tab w:val="right" w:pos="9071"/>
      </w:tabs>
      <w:spacing w:after="0" w:line="240" w:lineRule="auto"/>
    </w:pPr>
    <w:r w:rsidRPr="00437A4F">
      <w:tab/>
    </w:r>
    <w:r w:rsidRPr="009B136E"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16DB" w14:textId="1D3DFFD5" w:rsidR="00BE3008" w:rsidRPr="00437A4F" w:rsidRDefault="00AE6ABC" w:rsidP="00437A4F">
    <w:pPr>
      <w:tabs>
        <w:tab w:val="right" w:pos="9071"/>
      </w:tabs>
      <w:spacing w:after="0" w:line="240" w:lineRule="auto"/>
    </w:pPr>
    <w:r w:rsidRPr="00437A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133E" w14:textId="77777777" w:rsidR="00905F4C" w:rsidRDefault="00AE6ABC">
      <w:pPr>
        <w:spacing w:after="0" w:line="240" w:lineRule="auto"/>
      </w:pPr>
      <w:r>
        <w:separator/>
      </w:r>
    </w:p>
  </w:footnote>
  <w:footnote w:type="continuationSeparator" w:id="0">
    <w:p w14:paraId="7ABCA571" w14:textId="77777777" w:rsidR="00905F4C" w:rsidRDefault="00AE6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D74"/>
    <w:multiLevelType w:val="hybridMultilevel"/>
    <w:tmpl w:val="52FA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C66"/>
    <w:multiLevelType w:val="hybridMultilevel"/>
    <w:tmpl w:val="C98EEEF4"/>
    <w:lvl w:ilvl="0" w:tplc="FD7033C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C01277E"/>
    <w:multiLevelType w:val="hybridMultilevel"/>
    <w:tmpl w:val="D8FE248C"/>
    <w:lvl w:ilvl="0" w:tplc="0A3CEE28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3B383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4D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A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7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E3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08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C4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0A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1B9E"/>
    <w:multiLevelType w:val="multilevel"/>
    <w:tmpl w:val="6F02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A17A1"/>
    <w:multiLevelType w:val="hybridMultilevel"/>
    <w:tmpl w:val="7B20E014"/>
    <w:lvl w:ilvl="0" w:tplc="B64031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1678"/>
    <w:multiLevelType w:val="multilevel"/>
    <w:tmpl w:val="3C6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411B9"/>
    <w:multiLevelType w:val="multilevel"/>
    <w:tmpl w:val="400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44E34"/>
    <w:multiLevelType w:val="hybridMultilevel"/>
    <w:tmpl w:val="AE7079D2"/>
    <w:lvl w:ilvl="0" w:tplc="E2C64DAE">
      <w:start w:val="1"/>
      <w:numFmt w:val="decimal"/>
      <w:lvlText w:val="%1."/>
      <w:lvlJc w:val="left"/>
      <w:pPr>
        <w:ind w:left="720" w:hanging="360"/>
      </w:pPr>
    </w:lvl>
    <w:lvl w:ilvl="1" w:tplc="7BDACC3A" w:tentative="1">
      <w:start w:val="1"/>
      <w:numFmt w:val="lowerLetter"/>
      <w:lvlText w:val="%2."/>
      <w:lvlJc w:val="left"/>
      <w:pPr>
        <w:ind w:left="1440" w:hanging="360"/>
      </w:pPr>
    </w:lvl>
    <w:lvl w:ilvl="2" w:tplc="679AF7AC" w:tentative="1">
      <w:start w:val="1"/>
      <w:numFmt w:val="lowerRoman"/>
      <w:lvlText w:val="%3."/>
      <w:lvlJc w:val="right"/>
      <w:pPr>
        <w:ind w:left="2160" w:hanging="180"/>
      </w:pPr>
    </w:lvl>
    <w:lvl w:ilvl="3" w:tplc="13341900" w:tentative="1">
      <w:start w:val="1"/>
      <w:numFmt w:val="decimal"/>
      <w:lvlText w:val="%4."/>
      <w:lvlJc w:val="left"/>
      <w:pPr>
        <w:ind w:left="2880" w:hanging="360"/>
      </w:pPr>
    </w:lvl>
    <w:lvl w:ilvl="4" w:tplc="5F524ECA" w:tentative="1">
      <w:start w:val="1"/>
      <w:numFmt w:val="lowerLetter"/>
      <w:lvlText w:val="%5."/>
      <w:lvlJc w:val="left"/>
      <w:pPr>
        <w:ind w:left="3600" w:hanging="360"/>
      </w:pPr>
    </w:lvl>
    <w:lvl w:ilvl="5" w:tplc="03B454F6" w:tentative="1">
      <w:start w:val="1"/>
      <w:numFmt w:val="lowerRoman"/>
      <w:lvlText w:val="%6."/>
      <w:lvlJc w:val="right"/>
      <w:pPr>
        <w:ind w:left="4320" w:hanging="180"/>
      </w:pPr>
    </w:lvl>
    <w:lvl w:ilvl="6" w:tplc="E1749AAE" w:tentative="1">
      <w:start w:val="1"/>
      <w:numFmt w:val="decimal"/>
      <w:lvlText w:val="%7."/>
      <w:lvlJc w:val="left"/>
      <w:pPr>
        <w:ind w:left="5040" w:hanging="360"/>
      </w:pPr>
    </w:lvl>
    <w:lvl w:ilvl="7" w:tplc="8EEEC03C" w:tentative="1">
      <w:start w:val="1"/>
      <w:numFmt w:val="lowerLetter"/>
      <w:lvlText w:val="%8."/>
      <w:lvlJc w:val="left"/>
      <w:pPr>
        <w:ind w:left="5760" w:hanging="360"/>
      </w:pPr>
    </w:lvl>
    <w:lvl w:ilvl="8" w:tplc="70C25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C7C"/>
    <w:multiLevelType w:val="hybridMultilevel"/>
    <w:tmpl w:val="DA9ADC7C"/>
    <w:lvl w:ilvl="0" w:tplc="93CA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EE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C2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3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4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EB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B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B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06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3DBE525D"/>
    <w:multiLevelType w:val="hybridMultilevel"/>
    <w:tmpl w:val="CBD2B4E8"/>
    <w:lvl w:ilvl="0" w:tplc="AA0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305D"/>
    <w:multiLevelType w:val="hybridMultilevel"/>
    <w:tmpl w:val="2ACE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70E83"/>
    <w:multiLevelType w:val="hybridMultilevel"/>
    <w:tmpl w:val="50ECF2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326CE4">
      <w:start w:val="1"/>
      <w:numFmt w:val="bullet"/>
      <w:lvlText w:val="ꟷ"/>
      <w:lvlJc w:val="left"/>
      <w:pPr>
        <w:ind w:left="1440" w:hanging="360"/>
      </w:pPr>
      <w:rPr>
        <w:rFonts w:ascii="Arial" w:hAnsi="Aria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90558"/>
    <w:multiLevelType w:val="hybridMultilevel"/>
    <w:tmpl w:val="A51CC55E"/>
    <w:lvl w:ilvl="0" w:tplc="4670AF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D7330"/>
    <w:multiLevelType w:val="hybridMultilevel"/>
    <w:tmpl w:val="8D6E4A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A4A94"/>
    <w:multiLevelType w:val="hybridMultilevel"/>
    <w:tmpl w:val="2F74ED86"/>
    <w:lvl w:ilvl="0" w:tplc="E2521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51BB0"/>
    <w:multiLevelType w:val="hybridMultilevel"/>
    <w:tmpl w:val="C0BA3188"/>
    <w:lvl w:ilvl="0" w:tplc="26E20C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40EE18" w:tentative="1">
      <w:start w:val="1"/>
      <w:numFmt w:val="lowerLetter"/>
      <w:lvlText w:val="%2."/>
      <w:lvlJc w:val="left"/>
      <w:pPr>
        <w:ind w:left="1440" w:hanging="360"/>
      </w:pPr>
    </w:lvl>
    <w:lvl w:ilvl="2" w:tplc="BA96C166" w:tentative="1">
      <w:start w:val="1"/>
      <w:numFmt w:val="lowerRoman"/>
      <w:lvlText w:val="%3."/>
      <w:lvlJc w:val="right"/>
      <w:pPr>
        <w:ind w:left="2160" w:hanging="180"/>
      </w:pPr>
    </w:lvl>
    <w:lvl w:ilvl="3" w:tplc="04464580" w:tentative="1">
      <w:start w:val="1"/>
      <w:numFmt w:val="decimal"/>
      <w:lvlText w:val="%4."/>
      <w:lvlJc w:val="left"/>
      <w:pPr>
        <w:ind w:left="2880" w:hanging="360"/>
      </w:pPr>
    </w:lvl>
    <w:lvl w:ilvl="4" w:tplc="C052B408" w:tentative="1">
      <w:start w:val="1"/>
      <w:numFmt w:val="lowerLetter"/>
      <w:lvlText w:val="%5."/>
      <w:lvlJc w:val="left"/>
      <w:pPr>
        <w:ind w:left="3600" w:hanging="360"/>
      </w:pPr>
    </w:lvl>
    <w:lvl w:ilvl="5" w:tplc="0A1061D0" w:tentative="1">
      <w:start w:val="1"/>
      <w:numFmt w:val="lowerRoman"/>
      <w:lvlText w:val="%6."/>
      <w:lvlJc w:val="right"/>
      <w:pPr>
        <w:ind w:left="4320" w:hanging="180"/>
      </w:pPr>
    </w:lvl>
    <w:lvl w:ilvl="6" w:tplc="F7063B22" w:tentative="1">
      <w:start w:val="1"/>
      <w:numFmt w:val="decimal"/>
      <w:lvlText w:val="%7."/>
      <w:lvlJc w:val="left"/>
      <w:pPr>
        <w:ind w:left="5040" w:hanging="360"/>
      </w:pPr>
    </w:lvl>
    <w:lvl w:ilvl="7" w:tplc="1294F796" w:tentative="1">
      <w:start w:val="1"/>
      <w:numFmt w:val="lowerLetter"/>
      <w:lvlText w:val="%8."/>
      <w:lvlJc w:val="left"/>
      <w:pPr>
        <w:ind w:left="5760" w:hanging="360"/>
      </w:pPr>
    </w:lvl>
    <w:lvl w:ilvl="8" w:tplc="DAC41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E36A7"/>
    <w:multiLevelType w:val="hybridMultilevel"/>
    <w:tmpl w:val="FEE2EEF2"/>
    <w:lvl w:ilvl="0" w:tplc="796E0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E8619C" w:tentative="1">
      <w:start w:val="1"/>
      <w:numFmt w:val="lowerLetter"/>
      <w:lvlText w:val="%2."/>
      <w:lvlJc w:val="left"/>
      <w:pPr>
        <w:ind w:left="1440" w:hanging="360"/>
      </w:pPr>
    </w:lvl>
    <w:lvl w:ilvl="2" w:tplc="07023F5A" w:tentative="1">
      <w:start w:val="1"/>
      <w:numFmt w:val="lowerRoman"/>
      <w:lvlText w:val="%3."/>
      <w:lvlJc w:val="right"/>
      <w:pPr>
        <w:ind w:left="2160" w:hanging="180"/>
      </w:pPr>
    </w:lvl>
    <w:lvl w:ilvl="3" w:tplc="DC7C08BA" w:tentative="1">
      <w:start w:val="1"/>
      <w:numFmt w:val="decimal"/>
      <w:lvlText w:val="%4."/>
      <w:lvlJc w:val="left"/>
      <w:pPr>
        <w:ind w:left="2880" w:hanging="360"/>
      </w:pPr>
    </w:lvl>
    <w:lvl w:ilvl="4" w:tplc="0EB6A646" w:tentative="1">
      <w:start w:val="1"/>
      <w:numFmt w:val="lowerLetter"/>
      <w:lvlText w:val="%5."/>
      <w:lvlJc w:val="left"/>
      <w:pPr>
        <w:ind w:left="3600" w:hanging="360"/>
      </w:pPr>
    </w:lvl>
    <w:lvl w:ilvl="5" w:tplc="3C4A2EEE" w:tentative="1">
      <w:start w:val="1"/>
      <w:numFmt w:val="lowerRoman"/>
      <w:lvlText w:val="%6."/>
      <w:lvlJc w:val="right"/>
      <w:pPr>
        <w:ind w:left="4320" w:hanging="180"/>
      </w:pPr>
    </w:lvl>
    <w:lvl w:ilvl="6" w:tplc="C910165C" w:tentative="1">
      <w:start w:val="1"/>
      <w:numFmt w:val="decimal"/>
      <w:lvlText w:val="%7."/>
      <w:lvlJc w:val="left"/>
      <w:pPr>
        <w:ind w:left="5040" w:hanging="360"/>
      </w:pPr>
    </w:lvl>
    <w:lvl w:ilvl="7" w:tplc="2E666EC0" w:tentative="1">
      <w:start w:val="1"/>
      <w:numFmt w:val="lowerLetter"/>
      <w:lvlText w:val="%8."/>
      <w:lvlJc w:val="left"/>
      <w:pPr>
        <w:ind w:left="5760" w:hanging="360"/>
      </w:pPr>
    </w:lvl>
    <w:lvl w:ilvl="8" w:tplc="2AAAF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81992"/>
    <w:multiLevelType w:val="hybridMultilevel"/>
    <w:tmpl w:val="678A9356"/>
    <w:lvl w:ilvl="0" w:tplc="4ED6B786">
      <w:start w:val="1"/>
      <w:numFmt w:val="decimal"/>
      <w:lvlText w:val="%1)"/>
      <w:lvlJc w:val="left"/>
      <w:pPr>
        <w:ind w:left="720" w:hanging="360"/>
      </w:pPr>
    </w:lvl>
    <w:lvl w:ilvl="1" w:tplc="42669CAA" w:tentative="1">
      <w:start w:val="1"/>
      <w:numFmt w:val="lowerLetter"/>
      <w:lvlText w:val="%2."/>
      <w:lvlJc w:val="left"/>
      <w:pPr>
        <w:ind w:left="1440" w:hanging="360"/>
      </w:pPr>
    </w:lvl>
    <w:lvl w:ilvl="2" w:tplc="AF4EB9A4" w:tentative="1">
      <w:start w:val="1"/>
      <w:numFmt w:val="lowerRoman"/>
      <w:lvlText w:val="%3."/>
      <w:lvlJc w:val="right"/>
      <w:pPr>
        <w:ind w:left="2160" w:hanging="180"/>
      </w:pPr>
    </w:lvl>
    <w:lvl w:ilvl="3" w:tplc="59C8C3BA" w:tentative="1">
      <w:start w:val="1"/>
      <w:numFmt w:val="decimal"/>
      <w:lvlText w:val="%4."/>
      <w:lvlJc w:val="left"/>
      <w:pPr>
        <w:ind w:left="2880" w:hanging="360"/>
      </w:pPr>
    </w:lvl>
    <w:lvl w:ilvl="4" w:tplc="5D3E8D32" w:tentative="1">
      <w:start w:val="1"/>
      <w:numFmt w:val="lowerLetter"/>
      <w:lvlText w:val="%5."/>
      <w:lvlJc w:val="left"/>
      <w:pPr>
        <w:ind w:left="3600" w:hanging="360"/>
      </w:pPr>
    </w:lvl>
    <w:lvl w:ilvl="5" w:tplc="41C0C540" w:tentative="1">
      <w:start w:val="1"/>
      <w:numFmt w:val="lowerRoman"/>
      <w:lvlText w:val="%6."/>
      <w:lvlJc w:val="right"/>
      <w:pPr>
        <w:ind w:left="4320" w:hanging="180"/>
      </w:pPr>
    </w:lvl>
    <w:lvl w:ilvl="6" w:tplc="C40C95DE" w:tentative="1">
      <w:start w:val="1"/>
      <w:numFmt w:val="decimal"/>
      <w:lvlText w:val="%7."/>
      <w:lvlJc w:val="left"/>
      <w:pPr>
        <w:ind w:left="5040" w:hanging="360"/>
      </w:pPr>
    </w:lvl>
    <w:lvl w:ilvl="7" w:tplc="13784408" w:tentative="1">
      <w:start w:val="1"/>
      <w:numFmt w:val="lowerLetter"/>
      <w:lvlText w:val="%8."/>
      <w:lvlJc w:val="left"/>
      <w:pPr>
        <w:ind w:left="5760" w:hanging="360"/>
      </w:pPr>
    </w:lvl>
    <w:lvl w:ilvl="8" w:tplc="4BDCA3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6"/>
  </w:num>
  <w:num w:numId="5">
    <w:abstractNumId w:val="7"/>
  </w:num>
  <w:num w:numId="6">
    <w:abstractNumId w:val="17"/>
  </w:num>
  <w:num w:numId="7">
    <w:abstractNumId w:val="0"/>
  </w:num>
  <w:num w:numId="8">
    <w:abstractNumId w:val="12"/>
  </w:num>
  <w:num w:numId="9">
    <w:abstractNumId w:val="1"/>
  </w:num>
  <w:num w:numId="10">
    <w:abstractNumId w:val="15"/>
  </w:num>
  <w:num w:numId="11">
    <w:abstractNumId w:val="15"/>
  </w:num>
  <w:num w:numId="12">
    <w:abstractNumId w:val="10"/>
  </w:num>
  <w:num w:numId="13">
    <w:abstractNumId w:val="14"/>
  </w:num>
  <w:num w:numId="14">
    <w:abstractNumId w:val="3"/>
  </w:num>
  <w:num w:numId="15">
    <w:abstractNumId w:val="4"/>
  </w:num>
  <w:num w:numId="16">
    <w:abstractNumId w:val="9"/>
  </w:num>
  <w:num w:numId="17">
    <w:abstractNumId w:val="13"/>
  </w:num>
  <w:num w:numId="18">
    <w:abstractNumId w:val="1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F8"/>
    <w:rsid w:val="0000225D"/>
    <w:rsid w:val="00017D59"/>
    <w:rsid w:val="0009210B"/>
    <w:rsid w:val="000A3087"/>
    <w:rsid w:val="00136FF2"/>
    <w:rsid w:val="00256119"/>
    <w:rsid w:val="00277537"/>
    <w:rsid w:val="002917F9"/>
    <w:rsid w:val="002B0B04"/>
    <w:rsid w:val="002C1355"/>
    <w:rsid w:val="003017CD"/>
    <w:rsid w:val="00302F4D"/>
    <w:rsid w:val="003645CA"/>
    <w:rsid w:val="003B4909"/>
    <w:rsid w:val="003F4ED3"/>
    <w:rsid w:val="003F7416"/>
    <w:rsid w:val="00417537"/>
    <w:rsid w:val="00565F3D"/>
    <w:rsid w:val="006655F8"/>
    <w:rsid w:val="0068365A"/>
    <w:rsid w:val="006942DB"/>
    <w:rsid w:val="006F2B2E"/>
    <w:rsid w:val="006F309A"/>
    <w:rsid w:val="007428B8"/>
    <w:rsid w:val="007916C0"/>
    <w:rsid w:val="00801A4B"/>
    <w:rsid w:val="008A11A9"/>
    <w:rsid w:val="00905F4C"/>
    <w:rsid w:val="00910AFB"/>
    <w:rsid w:val="0092519C"/>
    <w:rsid w:val="00A00E5D"/>
    <w:rsid w:val="00AE6ABC"/>
    <w:rsid w:val="00B0438D"/>
    <w:rsid w:val="00B13EE1"/>
    <w:rsid w:val="00B216C1"/>
    <w:rsid w:val="00BB0CC8"/>
    <w:rsid w:val="00BC1719"/>
    <w:rsid w:val="00BD1158"/>
    <w:rsid w:val="00D4084A"/>
    <w:rsid w:val="00DE1F0A"/>
    <w:rsid w:val="00E44106"/>
    <w:rsid w:val="00EB35C1"/>
    <w:rsid w:val="00EE4623"/>
    <w:rsid w:val="00F639D8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131C10"/>
  <w15:docId w15:val="{764A9933-6E95-4C9C-9557-64813035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0926E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6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B0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duzycia.feniks@mfipr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ieprawidlowosci.mfipr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ownosc.feniks@mfip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naduzycia.feniks@mfipr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ieprawidlowosci.mfipr.gov.pl/bazy/konsultacje-spoleczne/eaplikacja-konsultacje.nsf/document.xsp?unid=9B0502CE55377495C1257C0D0026120B&amp;titleMenu=Dokument&amp;uniddoc=ADA9C402D35F17C2C1258998002042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DF4B03DA3C4196BAE2648E5DFBF3" ma:contentTypeVersion="" ma:contentTypeDescription="Utwórz nowy dokument." ma:contentTypeScope="" ma:versionID="3a2a039b0ecf3011db036457f4033a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06DB48-92D1-4A31-BFA4-6B9016C70B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2D7D4-9BA9-47FB-95AC-6031FF25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</Template>
  <TotalTime>35</TotalTime>
  <Pages>3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Mechanizm zglaszania nieprowidlowosci w projekcie</vt:lpstr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Mechanizm zglaszania nieprowidlowosci w projekcie</dc:title>
  <dc:creator>---</dc:creator>
  <cp:revision>14</cp:revision>
  <cp:lastPrinted>2025-02-27T14:00:00Z</cp:lastPrinted>
  <dcterms:created xsi:type="dcterms:W3CDTF">2025-02-25T08:33:00Z</dcterms:created>
  <dcterms:modified xsi:type="dcterms:W3CDTF">2025-03-06T09:43:00Z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0x0101004702DF4B03DA3C4196BAE2648E5DFBF3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UxC4dwLulzfINJ8nQH+xvX5LNGipWa4BRSZhPgxsCvlDbcN9wfe60/R2RBjyUP2t1HBZnnSUobi4NBEkuswAFg==</vt:lpwstr>
  </property>
  <property fmtid="{D5CDD505-2E9C-101B-9397-08002B2CF9AE}" pid="5" name="MFClassificationDate">
    <vt:lpwstr>2022-03-22T15:47:15.2929536+01:00</vt:lpwstr>
  </property>
  <property fmtid="{D5CDD505-2E9C-101B-9397-08002B2CF9AE}" pid="6" name="MFClassifiedBySID">
    <vt:lpwstr>UxC4dwLulzfINJ8nQH+xvX5LNGipWa4BRSZhPgxsCvm42mrIC/DSDv0ggS+FjUN/2v1BBotkLlY5aAiEhoi6uR7X1JALSNAQpXoMUHdQZRdmsIHkZg1YK7SU+z4h1Xx0</vt:lpwstr>
  </property>
  <property fmtid="{D5CDD505-2E9C-101B-9397-08002B2CF9AE}" pid="7" name="MFGRNItemId">
    <vt:lpwstr>GRN-0364bf0d-52bd-451d-8192-4e7ff2d68ead</vt:lpwstr>
  </property>
  <property fmtid="{D5CDD505-2E9C-101B-9397-08002B2CF9AE}" pid="8" name="MFHash">
    <vt:lpwstr>zPjveW5e27nECXZ2FvF+zax8PYrrP0/rWbGlUL6PRto=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