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A4" w:rsidRPr="0099203D" w:rsidRDefault="00D811E3">
      <w:pPr>
        <w:spacing w:after="151" w:line="317" w:lineRule="auto"/>
        <w:ind w:left="0" w:right="0" w:firstLine="0"/>
        <w:jc w:val="center"/>
        <w:rPr>
          <w:rFonts w:ascii="Verdana" w:hAnsi="Verdana"/>
          <w:color w:val="auto"/>
          <w:sz w:val="20"/>
          <w:szCs w:val="20"/>
        </w:rPr>
      </w:pPr>
      <w:bookmarkStart w:id="0" w:name="_GoBack"/>
      <w:bookmarkEnd w:id="0"/>
      <w:r w:rsidRPr="0099203D">
        <w:rPr>
          <w:rFonts w:ascii="Verdana" w:hAnsi="Verdana"/>
          <w:b/>
          <w:color w:val="auto"/>
          <w:sz w:val="20"/>
          <w:szCs w:val="20"/>
        </w:rPr>
        <w:t xml:space="preserve">Wytyczne dla rzeczoznawców majątkowych w zakresie sporządzania operatu szacunkowego nieruchomości </w:t>
      </w:r>
      <w:r w:rsidR="00384054" w:rsidRPr="0099203D">
        <w:rPr>
          <w:rFonts w:ascii="Verdana" w:hAnsi="Verdana"/>
          <w:b/>
          <w:color w:val="auto"/>
          <w:sz w:val="20"/>
          <w:szCs w:val="20"/>
        </w:rPr>
        <w:t xml:space="preserve">na potrzeby procedury związanej z </w:t>
      </w:r>
      <w:r w:rsidR="00495CAE" w:rsidRPr="0099203D">
        <w:rPr>
          <w:rFonts w:ascii="Verdana" w:hAnsi="Verdana"/>
          <w:b/>
          <w:color w:val="auto"/>
          <w:sz w:val="20"/>
          <w:szCs w:val="20"/>
        </w:rPr>
        <w:t xml:space="preserve">przejęciem </w:t>
      </w:r>
      <w:r w:rsidR="00384054" w:rsidRPr="0099203D">
        <w:rPr>
          <w:rFonts w:ascii="Verdana" w:hAnsi="Verdana"/>
          <w:b/>
          <w:color w:val="auto"/>
          <w:sz w:val="20"/>
          <w:szCs w:val="20"/>
        </w:rPr>
        <w:t xml:space="preserve">przez Krajowy Ośrodek Wsparcia Rolnictwa, </w:t>
      </w:r>
      <w:r w:rsidR="00495CAE" w:rsidRPr="0099203D">
        <w:rPr>
          <w:rFonts w:ascii="Verdana" w:hAnsi="Verdana"/>
          <w:b/>
          <w:color w:val="auto"/>
          <w:sz w:val="20"/>
          <w:szCs w:val="20"/>
        </w:rPr>
        <w:t xml:space="preserve">długu podmiotu prowadzącego gospodarstwo rolne powstałe w związku </w:t>
      </w:r>
      <w:r w:rsidR="00384054" w:rsidRPr="0099203D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99203D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95CAE" w:rsidRPr="0099203D">
        <w:rPr>
          <w:rFonts w:ascii="Verdana" w:hAnsi="Verdana"/>
          <w:b/>
          <w:color w:val="auto"/>
          <w:sz w:val="20"/>
          <w:szCs w:val="20"/>
        </w:rPr>
        <w:t xml:space="preserve">z prowadzeniem działalności rolniczej pod warunkiem przeniesienia własności całości albo części nieruchomości rolnej na rzecz </w:t>
      </w:r>
      <w:r w:rsidR="00F066BF">
        <w:rPr>
          <w:rFonts w:ascii="Verdana" w:hAnsi="Verdana"/>
          <w:b/>
          <w:color w:val="auto"/>
          <w:sz w:val="20"/>
          <w:szCs w:val="20"/>
        </w:rPr>
        <w:br/>
      </w:r>
      <w:r w:rsidR="00495CAE" w:rsidRPr="0099203D">
        <w:rPr>
          <w:rFonts w:ascii="Verdana" w:hAnsi="Verdana"/>
          <w:b/>
          <w:color w:val="auto"/>
          <w:sz w:val="20"/>
          <w:szCs w:val="20"/>
        </w:rPr>
        <w:t>Skarbu Państwa</w:t>
      </w:r>
    </w:p>
    <w:p w:rsidR="000957A4" w:rsidRPr="0099203D" w:rsidRDefault="00D811E3">
      <w:pPr>
        <w:pStyle w:val="Nagwek1"/>
        <w:ind w:left="694" w:hanging="425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>Zasady ogólne</w:t>
      </w:r>
      <w:r w:rsidRPr="0099203D">
        <w:rPr>
          <w:rFonts w:ascii="Verdana" w:hAnsi="Verdana"/>
          <w:color w:val="auto"/>
          <w:sz w:val="20"/>
          <w:szCs w:val="20"/>
          <w:u w:val="none"/>
        </w:rPr>
        <w:t xml:space="preserve"> </w:t>
      </w:r>
    </w:p>
    <w:p w:rsidR="0049480C" w:rsidRPr="0099203D" w:rsidRDefault="00D811E3" w:rsidP="0099203D">
      <w:pPr>
        <w:numPr>
          <w:ilvl w:val="0"/>
          <w:numId w:val="2"/>
        </w:numPr>
        <w:ind w:left="695" w:right="0" w:hanging="411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 xml:space="preserve">Operat szacunkowy powinien:  </w:t>
      </w:r>
    </w:p>
    <w:p w:rsidR="0049480C" w:rsidRPr="0099203D" w:rsidRDefault="00D811E3" w:rsidP="0023055E">
      <w:pPr>
        <w:pStyle w:val="Akapitzlist"/>
        <w:numPr>
          <w:ilvl w:val="0"/>
          <w:numId w:val="11"/>
        </w:numPr>
        <w:ind w:right="0"/>
        <w:rPr>
          <w:rFonts w:ascii="Verdana" w:hAnsi="Verdana"/>
          <w:bCs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>być sporządzony zgodnie z obowiązującymi przepisami prawa i zasadami dobrej praktyki zawodowej</w:t>
      </w:r>
      <w:r w:rsidR="0049480C" w:rsidRPr="0099203D">
        <w:rPr>
          <w:rFonts w:ascii="Verdana" w:hAnsi="Verdana"/>
          <w:color w:val="auto"/>
          <w:sz w:val="20"/>
          <w:szCs w:val="20"/>
        </w:rPr>
        <w:t xml:space="preserve">, a w szczególności uwzględniać regulacje zawarte w ustawie z dnia 19 października 1991 r. o gospodarowaniu nieruchomościami rolnymi Skarbu Państwa (Dz.U. z 2018r. poz. 81 ze zm.), </w:t>
      </w:r>
      <w:r w:rsidR="0023055E" w:rsidRPr="0099203D">
        <w:rPr>
          <w:rFonts w:ascii="Verdana" w:hAnsi="Verdana"/>
          <w:bCs/>
          <w:color w:val="auto"/>
          <w:sz w:val="20"/>
          <w:szCs w:val="20"/>
        </w:rPr>
        <w:t>Rozporządzeniu</w:t>
      </w:r>
      <w:r w:rsidR="0049480C" w:rsidRPr="0099203D">
        <w:rPr>
          <w:rFonts w:ascii="Verdana" w:hAnsi="Verdana"/>
          <w:bCs/>
          <w:color w:val="auto"/>
          <w:sz w:val="20"/>
          <w:szCs w:val="20"/>
        </w:rPr>
        <w:t xml:space="preserve"> Rady Ministrów z dnia 21 września 2004 </w:t>
      </w:r>
      <w:r w:rsidR="0023055E" w:rsidRPr="0099203D">
        <w:rPr>
          <w:rFonts w:ascii="Verdana" w:hAnsi="Verdana"/>
          <w:bCs/>
          <w:color w:val="auto"/>
          <w:sz w:val="20"/>
          <w:szCs w:val="20"/>
        </w:rPr>
        <w:t xml:space="preserve">r. </w:t>
      </w:r>
      <w:r w:rsidR="0049480C" w:rsidRPr="0099203D">
        <w:rPr>
          <w:rFonts w:ascii="Verdana" w:hAnsi="Verdana"/>
          <w:bCs/>
          <w:color w:val="auto"/>
          <w:sz w:val="20"/>
          <w:szCs w:val="20"/>
        </w:rPr>
        <w:t>w sprawie wyceny nieruchomości i sporządzania operatu szacunkowego (Dz.U. Nr 207 poz. 2109 ze zm.), obwieszczeniu Ministra Infrastruktury i Budownictwa z dnia 1 września 2017 r. w sprawie standardu zawodowego rzeczoznawców majątkowych nr 1 Wycena dla zabezpieczenia wierzytelności</w:t>
      </w:r>
      <w:r w:rsidR="0023055E" w:rsidRPr="0099203D">
        <w:rPr>
          <w:rFonts w:ascii="Verdana" w:hAnsi="Verdana"/>
          <w:bCs/>
          <w:color w:val="auto"/>
          <w:sz w:val="20"/>
          <w:szCs w:val="20"/>
        </w:rPr>
        <w:t>,</w:t>
      </w:r>
    </w:p>
    <w:p w:rsidR="0023055E" w:rsidRPr="0099203D" w:rsidRDefault="0023055E" w:rsidP="0023055E">
      <w:pPr>
        <w:pStyle w:val="Default"/>
        <w:numPr>
          <w:ilvl w:val="0"/>
          <w:numId w:val="11"/>
        </w:numPr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99203D">
        <w:rPr>
          <w:rFonts w:ascii="Verdana" w:hAnsi="Verdana" w:cs="Times New Roman"/>
          <w:color w:val="auto"/>
          <w:sz w:val="20"/>
          <w:szCs w:val="20"/>
        </w:rPr>
        <w:t>operat szacunkowy powinien być przejrzysty i zrozumiały w swojej treści,</w:t>
      </w:r>
      <w:r w:rsidR="003F1B5B" w:rsidRPr="0099203D">
        <w:rPr>
          <w:rFonts w:ascii="Verdana" w:hAnsi="Verdana" w:cs="Times New Roman"/>
          <w:color w:val="auto"/>
          <w:sz w:val="20"/>
          <w:szCs w:val="20"/>
        </w:rPr>
        <w:t xml:space="preserve"> a także możliwy do całkowitego </w:t>
      </w:r>
      <w:r w:rsidRPr="0099203D">
        <w:rPr>
          <w:rFonts w:ascii="Verdana" w:hAnsi="Verdana" w:cs="Times New Roman"/>
          <w:color w:val="auto"/>
          <w:sz w:val="20"/>
          <w:szCs w:val="20"/>
        </w:rPr>
        <w:t xml:space="preserve">zweryfikowania (powinien zawierać wszystkie obliczenia pozwalające sprawdzić, czy wycena nie zawiera błędów rachunkowych), użyte w obliczeniach oznaczenia i symbole powinny zostać objaśnione, </w:t>
      </w:r>
    </w:p>
    <w:p w:rsidR="0023055E" w:rsidRPr="0099203D" w:rsidRDefault="0023055E" w:rsidP="0023055E">
      <w:pPr>
        <w:pStyle w:val="Default"/>
        <w:ind w:left="644"/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23055E" w:rsidRPr="0099203D" w:rsidRDefault="00D811E3" w:rsidP="0099203D">
      <w:pPr>
        <w:numPr>
          <w:ilvl w:val="0"/>
          <w:numId w:val="11"/>
        </w:numPr>
        <w:ind w:right="0"/>
        <w:contextualSpacing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>być sporządzony zgodnie ze stanem faktycznym i prawnym nieruchomości, po sprawdzeniu przez rzeczoznawcę wiarygodności dokumentów stanowiących podstawę wyceny (dotyczących m.in. stanu prawnego, parametrów technicznych naniesień budowlanych, parametrów ekonomicznych),</w:t>
      </w:r>
    </w:p>
    <w:p w:rsidR="0023055E" w:rsidRPr="0099203D" w:rsidRDefault="0023055E" w:rsidP="0023055E">
      <w:pPr>
        <w:pStyle w:val="Akapitzlist"/>
        <w:numPr>
          <w:ilvl w:val="0"/>
          <w:numId w:val="12"/>
        </w:numPr>
        <w:spacing w:after="145"/>
        <w:ind w:right="0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 xml:space="preserve">Rzeczoznawca majątkowy powinien być osobą niezależną, nie powinien pozostawać w żadnym stosunku osobistym lub służbowym z właścicielem nieruchomości, nie </w:t>
      </w:r>
      <w:r w:rsidR="006F48A3" w:rsidRPr="0099203D">
        <w:rPr>
          <w:rFonts w:ascii="Verdana" w:hAnsi="Verdana"/>
          <w:color w:val="auto"/>
          <w:sz w:val="20"/>
          <w:szCs w:val="20"/>
        </w:rPr>
        <w:t>być</w:t>
      </w:r>
      <w:r w:rsidRPr="0099203D">
        <w:rPr>
          <w:rFonts w:ascii="Verdana" w:hAnsi="Verdana"/>
          <w:color w:val="auto"/>
          <w:sz w:val="20"/>
          <w:szCs w:val="20"/>
        </w:rPr>
        <w:t xml:space="preserve"> sam </w:t>
      </w:r>
      <w:r w:rsidR="006F48A3" w:rsidRPr="0099203D">
        <w:rPr>
          <w:rFonts w:ascii="Verdana" w:hAnsi="Verdana"/>
          <w:color w:val="auto"/>
          <w:sz w:val="20"/>
          <w:szCs w:val="20"/>
        </w:rPr>
        <w:t xml:space="preserve">jego </w:t>
      </w:r>
      <w:r w:rsidRPr="0099203D">
        <w:rPr>
          <w:rFonts w:ascii="Verdana" w:hAnsi="Verdana"/>
          <w:color w:val="auto"/>
          <w:sz w:val="20"/>
          <w:szCs w:val="20"/>
        </w:rPr>
        <w:t>kredytobiorcą lub jego małżonkiem albo krewnym lub powinowatym,</w:t>
      </w:r>
    </w:p>
    <w:p w:rsidR="0023055E" w:rsidRPr="0099203D" w:rsidRDefault="00B751F5" w:rsidP="0023055E">
      <w:pPr>
        <w:pStyle w:val="Default"/>
        <w:numPr>
          <w:ilvl w:val="0"/>
          <w:numId w:val="12"/>
        </w:numPr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99203D">
        <w:rPr>
          <w:rFonts w:ascii="Verdana" w:hAnsi="Verdana" w:cs="Times New Roman"/>
          <w:color w:val="auto"/>
          <w:sz w:val="20"/>
          <w:szCs w:val="20"/>
        </w:rPr>
        <w:t>C</w:t>
      </w:r>
      <w:r w:rsidR="0023055E" w:rsidRPr="0099203D">
        <w:rPr>
          <w:rFonts w:ascii="Verdana" w:hAnsi="Verdana" w:cs="Times New Roman"/>
          <w:color w:val="auto"/>
          <w:sz w:val="20"/>
          <w:szCs w:val="20"/>
        </w:rPr>
        <w:t xml:space="preserve">el wyceny powinien być precyzyjnie określony, nie budzić wątpliwości odbiorców operatu szacunkowego, </w:t>
      </w:r>
    </w:p>
    <w:p w:rsidR="006F48A3" w:rsidRPr="0099203D" w:rsidRDefault="006F48A3" w:rsidP="006F48A3">
      <w:pPr>
        <w:pStyle w:val="Default"/>
        <w:ind w:left="644"/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D16C11" w:rsidRPr="0099203D" w:rsidRDefault="00B751F5" w:rsidP="00D16C11">
      <w:pPr>
        <w:pStyle w:val="Default"/>
        <w:numPr>
          <w:ilvl w:val="0"/>
          <w:numId w:val="12"/>
        </w:numPr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99203D">
        <w:rPr>
          <w:rFonts w:ascii="Verdana" w:hAnsi="Verdana" w:cs="Times New Roman"/>
          <w:color w:val="auto"/>
          <w:sz w:val="20"/>
          <w:szCs w:val="20"/>
        </w:rPr>
        <w:t xml:space="preserve">Podstawą </w:t>
      </w:r>
      <w:r w:rsidR="0023055E" w:rsidRPr="0099203D">
        <w:rPr>
          <w:rFonts w:ascii="Verdana" w:hAnsi="Verdana" w:cs="Times New Roman"/>
          <w:color w:val="auto"/>
          <w:sz w:val="20"/>
          <w:szCs w:val="20"/>
        </w:rPr>
        <w:t xml:space="preserve">wycen sporządzonych do celów zabezpieczenia wierzytelności jest wartość rynkowa nieruchomości, </w:t>
      </w:r>
    </w:p>
    <w:p w:rsidR="006F48A3" w:rsidRPr="0099203D" w:rsidRDefault="006F48A3" w:rsidP="006F48A3">
      <w:pPr>
        <w:pStyle w:val="Default"/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D16C11" w:rsidRPr="0099203D" w:rsidRDefault="003F1B5B" w:rsidP="00D16C11">
      <w:pPr>
        <w:pStyle w:val="Default"/>
        <w:numPr>
          <w:ilvl w:val="0"/>
          <w:numId w:val="12"/>
        </w:numPr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99203D">
        <w:rPr>
          <w:rFonts w:ascii="Verdana" w:hAnsi="Verdana" w:cs="Times New Roman"/>
          <w:color w:val="auto"/>
          <w:sz w:val="20"/>
          <w:szCs w:val="20"/>
        </w:rPr>
        <w:t>W</w:t>
      </w:r>
      <w:r w:rsidR="00D16C11" w:rsidRPr="0099203D">
        <w:rPr>
          <w:rFonts w:ascii="Verdana" w:hAnsi="Verdana" w:cs="Times New Roman"/>
          <w:color w:val="auto"/>
          <w:sz w:val="20"/>
          <w:szCs w:val="20"/>
        </w:rPr>
        <w:t>yboru</w:t>
      </w:r>
      <w:r w:rsidRPr="0099203D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="00D16C11" w:rsidRPr="0099203D">
        <w:rPr>
          <w:rFonts w:ascii="Verdana" w:hAnsi="Verdana" w:cs="Times New Roman"/>
          <w:color w:val="auto"/>
          <w:sz w:val="20"/>
          <w:szCs w:val="20"/>
        </w:rPr>
        <w:t xml:space="preserve"> sposobu wyceny nieruchomości dokonuje rzeczoznawca majątkowy, uwzględniając przepisy prawa, cel wyceny, stan i przeznaczenie nieruchomości oraz stan rynku. </w:t>
      </w:r>
    </w:p>
    <w:p w:rsidR="006F48A3" w:rsidRPr="0099203D" w:rsidRDefault="006F48A3" w:rsidP="006F48A3">
      <w:pPr>
        <w:pStyle w:val="Default"/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23055E" w:rsidRDefault="003F1B5B" w:rsidP="0023055E">
      <w:pPr>
        <w:pStyle w:val="Default"/>
        <w:numPr>
          <w:ilvl w:val="0"/>
          <w:numId w:val="12"/>
        </w:numPr>
        <w:contextualSpacing/>
        <w:jc w:val="both"/>
        <w:rPr>
          <w:rFonts w:ascii="Verdana" w:hAnsi="Verdana" w:cs="Times New Roman"/>
          <w:color w:val="auto"/>
          <w:sz w:val="20"/>
          <w:szCs w:val="20"/>
        </w:rPr>
      </w:pPr>
      <w:r w:rsidRPr="0099203D">
        <w:rPr>
          <w:rFonts w:ascii="Verdana" w:hAnsi="Verdana" w:cs="Times New Roman"/>
          <w:color w:val="auto"/>
          <w:sz w:val="20"/>
          <w:szCs w:val="20"/>
        </w:rPr>
        <w:t>R</w:t>
      </w:r>
      <w:r w:rsidR="0023055E" w:rsidRPr="0099203D">
        <w:rPr>
          <w:rFonts w:ascii="Verdana" w:hAnsi="Verdana" w:cs="Times New Roman"/>
          <w:color w:val="auto"/>
          <w:sz w:val="20"/>
          <w:szCs w:val="20"/>
        </w:rPr>
        <w:t>zeczoznawca</w:t>
      </w:r>
      <w:r w:rsidRPr="0099203D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="0023055E" w:rsidRPr="0099203D">
        <w:rPr>
          <w:rFonts w:ascii="Verdana" w:hAnsi="Verdana" w:cs="Times New Roman"/>
          <w:color w:val="auto"/>
          <w:sz w:val="20"/>
          <w:szCs w:val="20"/>
        </w:rPr>
        <w:t xml:space="preserve"> majątkowy dokonuje osobistej inspekcji nieruchomości zarówno wewnątrz i na zewnątrz obiektów budowlanych wraz z bezpośrednim otoczeniem oraz </w:t>
      </w:r>
      <w:r w:rsidR="006F48A3" w:rsidRPr="0099203D">
        <w:rPr>
          <w:rFonts w:ascii="Verdana" w:hAnsi="Verdana" w:cs="Times New Roman"/>
          <w:color w:val="auto"/>
          <w:sz w:val="20"/>
          <w:szCs w:val="20"/>
        </w:rPr>
        <w:t xml:space="preserve">na </w:t>
      </w:r>
      <w:r w:rsidR="0023055E" w:rsidRPr="0099203D">
        <w:rPr>
          <w:rFonts w:ascii="Verdana" w:hAnsi="Verdana" w:cs="Times New Roman"/>
          <w:color w:val="auto"/>
          <w:sz w:val="20"/>
          <w:szCs w:val="20"/>
        </w:rPr>
        <w:t xml:space="preserve">potwierdzenie tego faktu </w:t>
      </w:r>
      <w:r w:rsidR="00D16C11" w:rsidRPr="0099203D">
        <w:rPr>
          <w:rFonts w:ascii="Verdana" w:hAnsi="Verdana" w:cs="Times New Roman"/>
          <w:color w:val="auto"/>
          <w:sz w:val="20"/>
          <w:szCs w:val="20"/>
        </w:rPr>
        <w:t>zamieszcza w operacie szacunkowym stosowną dokumentacje zdjęciową</w:t>
      </w:r>
      <w:r w:rsidR="0099203D">
        <w:rPr>
          <w:rFonts w:ascii="Verdana" w:hAnsi="Verdana" w:cs="Times New Roman"/>
          <w:color w:val="auto"/>
          <w:sz w:val="20"/>
          <w:szCs w:val="20"/>
        </w:rPr>
        <w:t>.</w:t>
      </w:r>
    </w:p>
    <w:p w:rsidR="0099203D" w:rsidRDefault="0099203D" w:rsidP="0099203D">
      <w:pPr>
        <w:pStyle w:val="Akapitzlist"/>
        <w:rPr>
          <w:rFonts w:ascii="Verdana" w:hAnsi="Verdana"/>
          <w:color w:val="auto"/>
          <w:sz w:val="20"/>
          <w:szCs w:val="20"/>
        </w:rPr>
      </w:pPr>
    </w:p>
    <w:p w:rsidR="000957A4" w:rsidRPr="0099203D" w:rsidRDefault="00D811E3" w:rsidP="0023055E">
      <w:pPr>
        <w:pStyle w:val="Akapitzlist"/>
        <w:numPr>
          <w:ilvl w:val="0"/>
          <w:numId w:val="12"/>
        </w:numPr>
        <w:spacing w:after="145"/>
        <w:ind w:right="0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 xml:space="preserve">Przedstawiona w </w:t>
      </w:r>
      <w:r w:rsidR="0023055E" w:rsidRPr="0099203D">
        <w:rPr>
          <w:rFonts w:ascii="Verdana" w:hAnsi="Verdana"/>
          <w:color w:val="auto"/>
          <w:sz w:val="20"/>
          <w:szCs w:val="20"/>
        </w:rPr>
        <w:t>operacie</w:t>
      </w:r>
      <w:r w:rsidRPr="0099203D">
        <w:rPr>
          <w:rFonts w:ascii="Verdana" w:hAnsi="Verdana"/>
          <w:color w:val="auto"/>
          <w:sz w:val="20"/>
          <w:szCs w:val="20"/>
        </w:rPr>
        <w:t xml:space="preserve"> wartość rynkowa nieruchomości nie powinna obejmować podatków i opłat towarzyszących transakcji kupna/sprzedaży. </w:t>
      </w:r>
    </w:p>
    <w:p w:rsidR="003F1B5B" w:rsidRPr="0099203D" w:rsidRDefault="0023055E" w:rsidP="006F48A3">
      <w:pPr>
        <w:numPr>
          <w:ilvl w:val="0"/>
          <w:numId w:val="12"/>
        </w:numPr>
        <w:spacing w:after="342"/>
        <w:ind w:left="695" w:right="0"/>
        <w:contextualSpacing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lastRenderedPageBreak/>
        <w:t>Do Krajowego Ośrodka</w:t>
      </w:r>
      <w:r w:rsidR="00D811E3" w:rsidRPr="0099203D">
        <w:rPr>
          <w:rFonts w:ascii="Verdana" w:hAnsi="Verdana"/>
          <w:color w:val="auto"/>
          <w:sz w:val="20"/>
          <w:szCs w:val="20"/>
        </w:rPr>
        <w:t xml:space="preserve"> </w:t>
      </w:r>
      <w:r w:rsidRPr="0099203D">
        <w:rPr>
          <w:rFonts w:ascii="Verdana" w:hAnsi="Verdana"/>
          <w:color w:val="auto"/>
          <w:sz w:val="20"/>
          <w:szCs w:val="20"/>
        </w:rPr>
        <w:t xml:space="preserve">Wsparcia Rolnictwa </w:t>
      </w:r>
      <w:r w:rsidR="00D811E3" w:rsidRPr="0099203D">
        <w:rPr>
          <w:rFonts w:ascii="Verdana" w:hAnsi="Verdana"/>
          <w:color w:val="auto"/>
          <w:sz w:val="20"/>
          <w:szCs w:val="20"/>
        </w:rPr>
        <w:t>należy dostarczyć oryginał operatu szacunkowego w wersji papierowej</w:t>
      </w:r>
      <w:r w:rsidR="003F1B5B" w:rsidRPr="0099203D">
        <w:rPr>
          <w:rFonts w:ascii="Verdana" w:hAnsi="Verdana"/>
          <w:color w:val="auto"/>
          <w:sz w:val="20"/>
          <w:szCs w:val="20"/>
        </w:rPr>
        <w:t xml:space="preserve"> w jednym egzemplarzu</w:t>
      </w:r>
      <w:r w:rsidR="00D811E3" w:rsidRPr="0099203D">
        <w:rPr>
          <w:rFonts w:ascii="Verdana" w:hAnsi="Verdana"/>
          <w:color w:val="auto"/>
          <w:sz w:val="20"/>
          <w:szCs w:val="20"/>
        </w:rPr>
        <w:t xml:space="preserve">. </w:t>
      </w:r>
    </w:p>
    <w:p w:rsidR="000957A4" w:rsidRPr="0099203D" w:rsidRDefault="00D811E3">
      <w:pPr>
        <w:pStyle w:val="Nagwek1"/>
        <w:spacing w:after="245"/>
        <w:ind w:left="694" w:hanging="425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>Zasady szczegółowe obowiązujące przy sporządzaniu operatu szacunkowego</w:t>
      </w:r>
      <w:r w:rsidRPr="0099203D">
        <w:rPr>
          <w:rFonts w:ascii="Verdana" w:hAnsi="Verdana"/>
          <w:color w:val="auto"/>
          <w:sz w:val="20"/>
          <w:szCs w:val="20"/>
          <w:u w:val="none"/>
        </w:rPr>
        <w:t xml:space="preserve"> </w:t>
      </w:r>
    </w:p>
    <w:p w:rsidR="004D5E4D" w:rsidRPr="0099203D" w:rsidRDefault="00D811E3">
      <w:pPr>
        <w:numPr>
          <w:ilvl w:val="0"/>
          <w:numId w:val="3"/>
        </w:numPr>
        <w:ind w:left="695" w:right="0" w:hanging="350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 xml:space="preserve">W przypadku nieruchomości gruntowych niezabudowanych konieczne jest potwierdzenie przeznaczenia nieruchomości w miejscowym planie zagospodarowania przestrzennego, zaś w przypadku jego braku - w studium uwarunkowań i kierunków zagospodarowania przestrzennego gminy lub w decyzji o warunkach zabudowy i zagospodarowaniu terenu. </w:t>
      </w:r>
    </w:p>
    <w:p w:rsidR="004D5E4D" w:rsidRPr="0099203D" w:rsidRDefault="004D5E4D">
      <w:pPr>
        <w:numPr>
          <w:ilvl w:val="0"/>
          <w:numId w:val="3"/>
        </w:numPr>
        <w:ind w:left="695" w:right="0" w:hanging="350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>W przypadku wyceny nieruchomości gruntowych niezabudowanych lub zabudowanych należy opisać prawo dostępu do drogi publicznej.</w:t>
      </w:r>
    </w:p>
    <w:p w:rsidR="004D5E4D" w:rsidRPr="0099203D" w:rsidRDefault="004D5E4D" w:rsidP="004D5E4D">
      <w:pPr>
        <w:numPr>
          <w:ilvl w:val="0"/>
          <w:numId w:val="3"/>
        </w:numPr>
        <w:ind w:left="695" w:right="0" w:hanging="350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 xml:space="preserve"> W przypadku wyceny nieruchomości niezabudowanej użytkowanej na cele rolne na której znajdują się uprawy, zasiewy lub plantacje kultur wieloletnich, należy podać szczegółowy zakres wyceny.</w:t>
      </w:r>
    </w:p>
    <w:p w:rsidR="005D0A69" w:rsidRPr="0099203D" w:rsidRDefault="005D0A69" w:rsidP="004D5E4D">
      <w:pPr>
        <w:numPr>
          <w:ilvl w:val="0"/>
          <w:numId w:val="3"/>
        </w:numPr>
        <w:ind w:left="695" w:right="0" w:hanging="350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 xml:space="preserve">W przypadku gdy w skład nieruchomości wycenianej wchodzi kilka działek ewidencyjnych, w osobnej pozycji należy rozbić uzyskaną wartość z podziałem na  poszczególne działki ewidencyjne. </w:t>
      </w:r>
    </w:p>
    <w:p w:rsidR="006F48A3" w:rsidRPr="0099203D" w:rsidRDefault="006F48A3" w:rsidP="006F48A3">
      <w:pPr>
        <w:numPr>
          <w:ilvl w:val="0"/>
          <w:numId w:val="3"/>
        </w:numPr>
        <w:spacing w:after="43"/>
        <w:ind w:left="695" w:right="0" w:hanging="350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>Rzeczoznawca przeprowadza badanie stanu prawnego nieruchomości (przede wszystkim wskazuje i opisuje istniejące na nieruchomości obciążenia, np. hipoteki, służebności, umowy najmu/dzierżawy/użyczenia, zamieszcza informacje o toczących się postępowaniach spadkowych).</w:t>
      </w:r>
    </w:p>
    <w:p w:rsidR="003F1B5B" w:rsidRPr="0099203D" w:rsidRDefault="00B751F5" w:rsidP="003F1B5B">
      <w:pPr>
        <w:numPr>
          <w:ilvl w:val="0"/>
          <w:numId w:val="3"/>
        </w:numPr>
        <w:spacing w:after="43"/>
        <w:ind w:left="695" w:right="0" w:hanging="350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 xml:space="preserve">W przypadku, gdy wyceniana nieruchomość obciążona jest ograniczonymi prawami rzeczowymi lub prawami obligacyjnymi (w przypadku nieruchomości będącej przedmiotem umowy najmu, dzierżawy, użyczenia albo innej umowy, której przedmiotem jest korzystanie z nieruchomości), ograniczeniami związanymi z położeniem nieruchomości w strefie ochronnej z uwagi na istniejącą lub projektowaną infrastrukturę techniczną, itp., należy wskazać, w jakim stopniu mają one wpływ na wartość rynkową wycenianej nieruchomości i uwzględnić je w wycenie. </w:t>
      </w:r>
    </w:p>
    <w:p w:rsidR="000957A4" w:rsidRPr="0099203D" w:rsidRDefault="00D811E3">
      <w:pPr>
        <w:numPr>
          <w:ilvl w:val="0"/>
          <w:numId w:val="3"/>
        </w:numPr>
        <w:ind w:left="695" w:right="0" w:hanging="350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 xml:space="preserve">W operacie szacunkowym powinno zostać zawarte zestawienie nieruchomości przyjętych w wyniku analizy cen jednostkowych sprzedaży lub stawek czynszów najmu uwzględniających warunki umów najmu/dzierżawy na rynku właściwym – stanowiących bazę danych zastosowaną w podejściu porównawczym lub dochodowym. </w:t>
      </w:r>
    </w:p>
    <w:p w:rsidR="003F1B5B" w:rsidRPr="0099203D" w:rsidRDefault="00D811E3" w:rsidP="009B4FF1">
      <w:pPr>
        <w:numPr>
          <w:ilvl w:val="0"/>
          <w:numId w:val="3"/>
        </w:numPr>
        <w:ind w:left="695" w:right="0" w:hanging="350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>W przypadku nieruchomości zabudowanych należy osobnej pozycji operatu wyodrębnić wartość rynkową prawa własności gruntu</w:t>
      </w:r>
      <w:r w:rsidR="00495CAE" w:rsidRPr="0099203D">
        <w:rPr>
          <w:rFonts w:ascii="Verdana" w:hAnsi="Verdana"/>
          <w:color w:val="auto"/>
          <w:sz w:val="20"/>
          <w:szCs w:val="20"/>
        </w:rPr>
        <w:t xml:space="preserve">, </w:t>
      </w:r>
      <w:r w:rsidR="003F1B5B" w:rsidRPr="0099203D">
        <w:rPr>
          <w:rFonts w:ascii="Verdana" w:hAnsi="Verdana"/>
          <w:color w:val="auto"/>
          <w:sz w:val="20"/>
          <w:szCs w:val="20"/>
        </w:rPr>
        <w:t>obiektów budowlanych</w:t>
      </w:r>
      <w:r w:rsidRPr="0099203D">
        <w:rPr>
          <w:rFonts w:ascii="Verdana" w:hAnsi="Verdana"/>
          <w:color w:val="auto"/>
          <w:sz w:val="20"/>
          <w:szCs w:val="20"/>
        </w:rPr>
        <w:t xml:space="preserve"> </w:t>
      </w:r>
      <w:r w:rsidR="003F1B5B" w:rsidRPr="0099203D">
        <w:rPr>
          <w:rFonts w:ascii="Verdana" w:hAnsi="Verdana"/>
          <w:color w:val="auto"/>
          <w:sz w:val="20"/>
          <w:szCs w:val="20"/>
        </w:rPr>
        <w:t>znajdujących się na nieruchomości</w:t>
      </w:r>
      <w:r w:rsidR="00495CAE" w:rsidRPr="0099203D">
        <w:rPr>
          <w:rFonts w:ascii="Verdana" w:hAnsi="Verdana"/>
          <w:color w:val="auto"/>
          <w:sz w:val="20"/>
          <w:szCs w:val="20"/>
        </w:rPr>
        <w:t xml:space="preserve"> oraz innych części składowych gruntu np. drzewostanu</w:t>
      </w:r>
      <w:r w:rsidR="003F1B5B" w:rsidRPr="0099203D">
        <w:rPr>
          <w:rFonts w:ascii="Verdana" w:hAnsi="Verdana"/>
          <w:color w:val="auto"/>
          <w:sz w:val="20"/>
          <w:szCs w:val="20"/>
        </w:rPr>
        <w:t xml:space="preserve">. </w:t>
      </w:r>
      <w:r w:rsidR="00495CAE" w:rsidRPr="0099203D">
        <w:rPr>
          <w:rFonts w:ascii="Verdana" w:hAnsi="Verdana"/>
          <w:color w:val="auto"/>
          <w:sz w:val="20"/>
          <w:szCs w:val="20"/>
        </w:rPr>
        <w:t xml:space="preserve">Dodatkowo w operacie należy podać osobno wartość poszczególnych obiektów budowalnych z rozbiciem na wartość poszczególnych </w:t>
      </w:r>
      <w:r w:rsidR="003F1A7C" w:rsidRPr="0099203D">
        <w:rPr>
          <w:rFonts w:ascii="Verdana" w:hAnsi="Verdana"/>
          <w:color w:val="auto"/>
          <w:sz w:val="20"/>
          <w:szCs w:val="20"/>
        </w:rPr>
        <w:t>budynków, budowli oraz urządzeń.</w:t>
      </w:r>
    </w:p>
    <w:p w:rsidR="000957A4" w:rsidRPr="0099203D" w:rsidRDefault="00D811E3" w:rsidP="009B4FF1">
      <w:pPr>
        <w:numPr>
          <w:ilvl w:val="0"/>
          <w:numId w:val="3"/>
        </w:numPr>
        <w:ind w:left="695" w:right="0" w:hanging="350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>W podejściu dochodowym należy przedstawić w sposób szczegółowy szacowanie stóp kapitalizacji/dyskonta przyjętych do określenia wartości rynkowej nieruchomości oraz wszystkie inne założenia przyjęte do procesu wyceny</w:t>
      </w:r>
      <w:r w:rsidRPr="0099203D">
        <w:rPr>
          <w:rFonts w:ascii="Verdana" w:eastAsia="Calibri" w:hAnsi="Verdana"/>
          <w:color w:val="auto"/>
          <w:sz w:val="20"/>
          <w:szCs w:val="20"/>
        </w:rPr>
        <w:t xml:space="preserve"> </w:t>
      </w:r>
      <w:r w:rsidRPr="0099203D">
        <w:rPr>
          <w:rFonts w:ascii="Verdana" w:hAnsi="Verdana"/>
          <w:color w:val="auto"/>
          <w:sz w:val="20"/>
          <w:szCs w:val="20"/>
        </w:rPr>
        <w:t xml:space="preserve">oraz uwzględnić wydatki operacyjne zwyczajowo ponoszone przez właścicieli nieruchomości na danym rynku. </w:t>
      </w:r>
    </w:p>
    <w:p w:rsidR="000957A4" w:rsidRPr="0099203D" w:rsidRDefault="00D811E3">
      <w:pPr>
        <w:numPr>
          <w:ilvl w:val="0"/>
          <w:numId w:val="3"/>
        </w:numPr>
        <w:ind w:left="695" w:right="0" w:hanging="350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lastRenderedPageBreak/>
        <w:t xml:space="preserve">Obiekty budowlane </w:t>
      </w:r>
      <w:r w:rsidR="003F1B5B" w:rsidRPr="0099203D">
        <w:rPr>
          <w:rFonts w:ascii="Verdana" w:hAnsi="Verdana"/>
          <w:color w:val="auto"/>
          <w:sz w:val="20"/>
          <w:szCs w:val="20"/>
        </w:rPr>
        <w:t>wchodzące w skład nieruchomości</w:t>
      </w:r>
      <w:r w:rsidRPr="0099203D">
        <w:rPr>
          <w:rFonts w:ascii="Verdana" w:hAnsi="Verdana"/>
          <w:color w:val="auto"/>
          <w:sz w:val="20"/>
          <w:szCs w:val="20"/>
        </w:rPr>
        <w:t xml:space="preserve"> należy scharakteryzować pod względem ich wieku, rodzaju konstrukcji, technologii wykonania, standardu wykończenia, sposobu użytkowania, stanu technicznego i użytkowego, itp. </w:t>
      </w:r>
    </w:p>
    <w:p w:rsidR="000957A4" w:rsidRPr="0099203D" w:rsidRDefault="00D811E3">
      <w:pPr>
        <w:numPr>
          <w:ilvl w:val="0"/>
          <w:numId w:val="3"/>
        </w:numPr>
        <w:spacing w:after="140"/>
        <w:ind w:left="695" w:right="0" w:hanging="350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 xml:space="preserve">Parametry techniczno-użytkowe przyjęte do wyceny powinny być zgodne z: </w:t>
      </w:r>
    </w:p>
    <w:p w:rsidR="000957A4" w:rsidRPr="0099203D" w:rsidRDefault="00D811E3">
      <w:pPr>
        <w:numPr>
          <w:ilvl w:val="1"/>
          <w:numId w:val="4"/>
        </w:numPr>
        <w:ind w:right="0" w:hanging="286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 xml:space="preserve">w przypadku inwestycji w trakcie realizacji - z pozwoleniem na budowę/projektem budowlanym; </w:t>
      </w:r>
    </w:p>
    <w:p w:rsidR="003F1B5B" w:rsidRPr="0099203D" w:rsidRDefault="00D811E3" w:rsidP="006F48A3">
      <w:pPr>
        <w:numPr>
          <w:ilvl w:val="1"/>
          <w:numId w:val="4"/>
        </w:numPr>
        <w:ind w:right="0" w:hanging="286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 xml:space="preserve">w przypadku inwestycji oddanych do użytkowania (zakończonych) – ze stanem faktycznym (dokumentacja powykonawcza, inwentaryzacja, inny dokument stanowiący podstawę do wydania zaświadczeń o samodzielności lokali pozwoleniem na budowę lub pozwoleniem na użytkowanie.  </w:t>
      </w:r>
    </w:p>
    <w:p w:rsidR="003F1B5B" w:rsidRPr="0099203D" w:rsidRDefault="00D811E3" w:rsidP="003F1B5B">
      <w:pPr>
        <w:numPr>
          <w:ilvl w:val="0"/>
          <w:numId w:val="3"/>
        </w:numPr>
        <w:spacing w:after="119"/>
        <w:ind w:left="695" w:right="0" w:hanging="350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 xml:space="preserve">W przypadku nieruchomości będących w trakcie budowy, nadbudowy, rozbudowy, przebudowy oraz remontu należy określić wartość rynkową docelową oraz wg aktualnego stanu z uwzględnieniem stanu zaawansowania robót (wykazanego procentowo i opisowo), oraz z wyszczególnieniem wartości rynkowej prawa własności gruntu (lub prawa użytkowania wieczystego gruntu). </w:t>
      </w:r>
    </w:p>
    <w:p w:rsidR="003F1B5B" w:rsidRPr="0099203D" w:rsidRDefault="003F1B5B" w:rsidP="003F1B5B">
      <w:pPr>
        <w:pStyle w:val="Nagwek1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 xml:space="preserve">Niezbędne załączniki do wyceny </w:t>
      </w:r>
    </w:p>
    <w:p w:rsidR="003F1B5B" w:rsidRPr="0099203D" w:rsidRDefault="003F1B5B" w:rsidP="00AD5E31">
      <w:pPr>
        <w:pStyle w:val="Nagwek1"/>
        <w:numPr>
          <w:ilvl w:val="0"/>
          <w:numId w:val="13"/>
        </w:numPr>
        <w:jc w:val="both"/>
        <w:rPr>
          <w:rFonts w:ascii="Verdana" w:hAnsi="Verdana"/>
          <w:b w:val="0"/>
          <w:color w:val="auto"/>
          <w:sz w:val="20"/>
          <w:szCs w:val="20"/>
          <w:u w:val="none"/>
        </w:rPr>
      </w:pPr>
      <w:r w:rsidRPr="0099203D">
        <w:rPr>
          <w:rFonts w:ascii="Verdana" w:hAnsi="Verdana"/>
          <w:b w:val="0"/>
          <w:color w:val="auto"/>
          <w:sz w:val="20"/>
          <w:szCs w:val="20"/>
          <w:u w:val="none"/>
        </w:rPr>
        <w:t xml:space="preserve">dokumentacja fotograficzna nieruchomości (wewnątrz i na zewnątrz) oraz najbliższej okolicy, </w:t>
      </w:r>
    </w:p>
    <w:p w:rsidR="003F1B5B" w:rsidRPr="0099203D" w:rsidRDefault="003F1B5B" w:rsidP="00AD5E31">
      <w:pPr>
        <w:pStyle w:val="Nagwek1"/>
        <w:numPr>
          <w:ilvl w:val="0"/>
          <w:numId w:val="13"/>
        </w:numPr>
        <w:jc w:val="both"/>
        <w:rPr>
          <w:rFonts w:ascii="Verdana" w:hAnsi="Verdana"/>
          <w:b w:val="0"/>
          <w:color w:val="auto"/>
          <w:sz w:val="20"/>
          <w:szCs w:val="20"/>
          <w:u w:val="none"/>
        </w:rPr>
      </w:pPr>
      <w:r w:rsidRPr="0099203D">
        <w:rPr>
          <w:rFonts w:ascii="Verdana" w:hAnsi="Verdana"/>
          <w:b w:val="0"/>
          <w:color w:val="auto"/>
          <w:sz w:val="20"/>
          <w:szCs w:val="20"/>
          <w:u w:val="none"/>
        </w:rPr>
        <w:t xml:space="preserve">wypis i </w:t>
      </w:r>
      <w:proofErr w:type="spellStart"/>
      <w:r w:rsidRPr="0099203D">
        <w:rPr>
          <w:rFonts w:ascii="Verdana" w:hAnsi="Verdana"/>
          <w:b w:val="0"/>
          <w:color w:val="auto"/>
          <w:sz w:val="20"/>
          <w:szCs w:val="20"/>
          <w:u w:val="none"/>
        </w:rPr>
        <w:t>wyrys</w:t>
      </w:r>
      <w:proofErr w:type="spellEnd"/>
      <w:r w:rsidRPr="0099203D">
        <w:rPr>
          <w:rFonts w:ascii="Verdana" w:hAnsi="Verdana"/>
          <w:b w:val="0"/>
          <w:color w:val="auto"/>
          <w:sz w:val="20"/>
          <w:szCs w:val="20"/>
          <w:u w:val="none"/>
        </w:rPr>
        <w:t xml:space="preserve"> z ewidencji gruntów i budynków (z wyłączeniem nieruchomości stanowiących lokale), </w:t>
      </w:r>
    </w:p>
    <w:p w:rsidR="003F1B5B" w:rsidRPr="0099203D" w:rsidRDefault="003F1B5B" w:rsidP="00AD5E31">
      <w:pPr>
        <w:pStyle w:val="Nagwek1"/>
        <w:numPr>
          <w:ilvl w:val="0"/>
          <w:numId w:val="13"/>
        </w:numPr>
        <w:jc w:val="both"/>
        <w:rPr>
          <w:rFonts w:ascii="Verdana" w:hAnsi="Verdana"/>
          <w:b w:val="0"/>
          <w:color w:val="auto"/>
          <w:sz w:val="20"/>
          <w:szCs w:val="20"/>
          <w:u w:val="none"/>
        </w:rPr>
      </w:pPr>
      <w:r w:rsidRPr="0099203D">
        <w:rPr>
          <w:rFonts w:ascii="Verdana" w:hAnsi="Verdana"/>
          <w:b w:val="0"/>
          <w:color w:val="auto"/>
          <w:sz w:val="20"/>
          <w:szCs w:val="20"/>
          <w:u w:val="none"/>
        </w:rPr>
        <w:t xml:space="preserve">odpisy/wypisy z ksiąg wieczystych, protokoły z badania ksiąg wieczystych, bądź inne dokumenty stwierdzające prawa do nieruchomości, </w:t>
      </w:r>
    </w:p>
    <w:p w:rsidR="003F1B5B" w:rsidRPr="0099203D" w:rsidRDefault="003F1B5B" w:rsidP="00AD5E31">
      <w:pPr>
        <w:pStyle w:val="Nagwek1"/>
        <w:numPr>
          <w:ilvl w:val="0"/>
          <w:numId w:val="13"/>
        </w:numPr>
        <w:jc w:val="both"/>
        <w:rPr>
          <w:rFonts w:ascii="Verdana" w:hAnsi="Verdana"/>
          <w:b w:val="0"/>
          <w:color w:val="auto"/>
          <w:sz w:val="20"/>
          <w:szCs w:val="20"/>
          <w:u w:val="none"/>
        </w:rPr>
      </w:pPr>
      <w:r w:rsidRPr="0099203D">
        <w:rPr>
          <w:rFonts w:ascii="Verdana" w:hAnsi="Verdana"/>
          <w:b w:val="0"/>
          <w:color w:val="auto"/>
          <w:sz w:val="20"/>
          <w:szCs w:val="20"/>
          <w:u w:val="none"/>
        </w:rPr>
        <w:t>dokumenty potwierdzające przyjęte parametry techniczne budynku w operacie szacunkowym (m.in. fragmenty dokumentacji architektoniczno-budowlanej/inwentaryzacji zawierające m.in. zestawienie powierzchni budynku, decyzja pozwolenia na użytkowanie/ zgłoszenie zakończenia budowy i przystąpienia do użytkowania z adnotacją iż właściwy organ nie wniósł sprzeciwu i przystąpienia do użytkowania obiektu budowlanego zawierające informacje o parametrach technicznych budynku, (dotyczy tylko nieruchomości gruntowej zabudowanej budynkiem)</w:t>
      </w:r>
      <w:r w:rsidR="00E50E1B" w:rsidRPr="0099203D">
        <w:rPr>
          <w:rFonts w:ascii="Verdana" w:hAnsi="Verdana"/>
          <w:b w:val="0"/>
          <w:color w:val="auto"/>
          <w:sz w:val="20"/>
          <w:szCs w:val="20"/>
          <w:u w:val="none"/>
        </w:rPr>
        <w:t>,</w:t>
      </w:r>
      <w:r w:rsidRPr="0099203D">
        <w:rPr>
          <w:rFonts w:ascii="Verdana" w:hAnsi="Verdana"/>
          <w:b w:val="0"/>
          <w:color w:val="auto"/>
          <w:sz w:val="20"/>
          <w:szCs w:val="20"/>
          <w:u w:val="none"/>
        </w:rPr>
        <w:t xml:space="preserve"> </w:t>
      </w:r>
    </w:p>
    <w:p w:rsidR="0099203D" w:rsidRDefault="00CD57F9" w:rsidP="0099203D">
      <w:pPr>
        <w:pStyle w:val="Akapitzlist"/>
        <w:numPr>
          <w:ilvl w:val="0"/>
          <w:numId w:val="13"/>
        </w:numPr>
        <w:spacing w:line="271" w:lineRule="auto"/>
        <w:ind w:left="714" w:right="6" w:hanging="357"/>
        <w:contextualSpacing w:val="0"/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>z</w:t>
      </w:r>
      <w:r w:rsidR="003F1B5B" w:rsidRPr="0099203D">
        <w:rPr>
          <w:rFonts w:ascii="Verdana" w:hAnsi="Verdana"/>
          <w:color w:val="auto"/>
          <w:sz w:val="20"/>
          <w:szCs w:val="20"/>
        </w:rPr>
        <w:t>aświadczenie o przeznaczeniu nieruchomości w Miejscowym Planie Zagospodarowania przestrzennego lub Studium uwarunkowań i kierunków zagospodarowania nieruchomości wraz z informacją czy w stosunku do nieruchomości będącej przedmiotem wyceny zostały wydane warunki zabudowy i zagospodarowania terenu lub pr</w:t>
      </w:r>
      <w:r w:rsidR="00E50E1B" w:rsidRPr="0099203D">
        <w:rPr>
          <w:rFonts w:ascii="Verdana" w:hAnsi="Verdana"/>
          <w:color w:val="auto"/>
          <w:sz w:val="20"/>
          <w:szCs w:val="20"/>
        </w:rPr>
        <w:t>otokoły z badań ww. dokumentów,</w:t>
      </w:r>
    </w:p>
    <w:p w:rsidR="003F1B5B" w:rsidRPr="0099203D" w:rsidRDefault="003F1B5B" w:rsidP="0038234F">
      <w:pPr>
        <w:pStyle w:val="Akapitzlist"/>
        <w:numPr>
          <w:ilvl w:val="0"/>
          <w:numId w:val="13"/>
        </w:numPr>
        <w:rPr>
          <w:rFonts w:ascii="Verdana" w:hAnsi="Verdana"/>
          <w:color w:val="auto"/>
          <w:sz w:val="20"/>
          <w:szCs w:val="20"/>
        </w:rPr>
      </w:pPr>
      <w:r w:rsidRPr="0099203D">
        <w:rPr>
          <w:rFonts w:ascii="Verdana" w:hAnsi="Verdana"/>
          <w:color w:val="auto"/>
          <w:sz w:val="20"/>
          <w:szCs w:val="20"/>
        </w:rPr>
        <w:t xml:space="preserve">pozwolenie na budowę/rozbudowę/nadbudowę budynku (jeśli dotyczy), </w:t>
      </w:r>
    </w:p>
    <w:p w:rsidR="003F1B5B" w:rsidRPr="0099203D" w:rsidRDefault="003F1B5B" w:rsidP="00AD5E31">
      <w:pPr>
        <w:pStyle w:val="Nagwek1"/>
        <w:numPr>
          <w:ilvl w:val="0"/>
          <w:numId w:val="13"/>
        </w:numPr>
        <w:jc w:val="both"/>
        <w:rPr>
          <w:rFonts w:ascii="Verdana" w:hAnsi="Verdana"/>
          <w:b w:val="0"/>
          <w:color w:val="auto"/>
          <w:sz w:val="20"/>
          <w:szCs w:val="20"/>
          <w:u w:val="none"/>
        </w:rPr>
      </w:pPr>
      <w:r w:rsidRPr="0099203D">
        <w:rPr>
          <w:rFonts w:ascii="Verdana" w:hAnsi="Verdana"/>
          <w:b w:val="0"/>
          <w:color w:val="auto"/>
          <w:sz w:val="20"/>
          <w:szCs w:val="20"/>
          <w:u w:val="none"/>
        </w:rPr>
        <w:t xml:space="preserve">inne dokumenty istotne do sporządzenia wyceny. </w:t>
      </w:r>
    </w:p>
    <w:p w:rsidR="000957A4" w:rsidRPr="0099203D" w:rsidRDefault="000957A4" w:rsidP="005D0A69">
      <w:pPr>
        <w:pStyle w:val="Nagwek1"/>
        <w:numPr>
          <w:ilvl w:val="0"/>
          <w:numId w:val="0"/>
        </w:numPr>
        <w:rPr>
          <w:rFonts w:ascii="Verdana" w:hAnsi="Verdana"/>
          <w:color w:val="auto"/>
          <w:sz w:val="20"/>
          <w:szCs w:val="20"/>
        </w:rPr>
      </w:pPr>
    </w:p>
    <w:sectPr w:rsidR="000957A4" w:rsidRPr="0099203D" w:rsidSect="0099203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1" w:bottom="1276" w:left="113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0E" w:rsidRDefault="00B1220E">
      <w:pPr>
        <w:spacing w:after="0" w:line="240" w:lineRule="auto"/>
      </w:pPr>
      <w:r>
        <w:separator/>
      </w:r>
    </w:p>
  </w:endnote>
  <w:endnote w:type="continuationSeparator" w:id="0">
    <w:p w:rsidR="00B1220E" w:rsidRDefault="00B1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A4" w:rsidRDefault="00D811E3">
    <w:pPr>
      <w:spacing w:after="223" w:line="259" w:lineRule="auto"/>
      <w:ind w:left="0" w:right="0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 \* MERGEFORMAT </w:instrText>
    </w:r>
    <w:r>
      <w:rPr>
        <w:sz w:val="22"/>
      </w:rPr>
      <w:fldChar w:fldCharType="separate"/>
    </w:r>
    <w:r w:rsidR="003F1A7C">
      <w:rPr>
        <w:noProof/>
        <w:sz w:val="22"/>
      </w:rPr>
      <w:t>5</w:t>
    </w:r>
    <w:r>
      <w:rPr>
        <w:sz w:val="22"/>
      </w:rPr>
      <w:fldChar w:fldCharType="end"/>
    </w:r>
    <w:r>
      <w:rPr>
        <w:sz w:val="22"/>
      </w:rPr>
      <w:t xml:space="preserve"> </w:t>
    </w:r>
  </w:p>
  <w:p w:rsidR="000957A4" w:rsidRDefault="00D811E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A4" w:rsidRDefault="000957A4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A4" w:rsidRDefault="000957A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0E" w:rsidRDefault="00B1220E">
      <w:pPr>
        <w:spacing w:after="0" w:line="240" w:lineRule="auto"/>
      </w:pPr>
      <w:r>
        <w:separator/>
      </w:r>
    </w:p>
  </w:footnote>
  <w:footnote w:type="continuationSeparator" w:id="0">
    <w:p w:rsidR="00B1220E" w:rsidRDefault="00B1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15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02"/>
      <w:gridCol w:w="5670"/>
      <w:gridCol w:w="1843"/>
    </w:tblGrid>
    <w:tr w:rsidR="0099203D" w:rsidRPr="0099203D" w:rsidTr="0009495B">
      <w:trPr>
        <w:cantSplit/>
        <w:trHeight w:val="592"/>
      </w:trPr>
      <w:tc>
        <w:tcPr>
          <w:tcW w:w="2202" w:type="dxa"/>
          <w:vMerge w:val="restart"/>
          <w:vAlign w:val="center"/>
        </w:tcPr>
        <w:p w:rsidR="0099203D" w:rsidRPr="0099203D" w:rsidRDefault="0099203D" w:rsidP="0099203D">
          <w:pPr>
            <w:pStyle w:val="Nagwek"/>
            <w:rPr>
              <w:b/>
            </w:rPr>
          </w:pPr>
          <w:r w:rsidRPr="0099203D">
            <w:rPr>
              <w:b/>
              <w:noProof/>
            </w:rPr>
            <w:drawing>
              <wp:inline distT="0" distB="0" distL="0" distR="0" wp14:anchorId="0477E305" wp14:editId="064CE32E">
                <wp:extent cx="1085215" cy="648335"/>
                <wp:effectExtent l="0" t="0" r="635" b="0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648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99203D" w:rsidRPr="00F066BF" w:rsidRDefault="00F066BF" w:rsidP="0099203D">
          <w:pPr>
            <w:pStyle w:val="Nagwek"/>
            <w:jc w:val="center"/>
            <w:rPr>
              <w:rFonts w:ascii="Verdana" w:hAnsi="Verdana"/>
              <w:b/>
              <w:sz w:val="18"/>
              <w:szCs w:val="18"/>
            </w:rPr>
          </w:pPr>
          <w:r w:rsidRPr="00F066BF">
            <w:rPr>
              <w:rFonts w:ascii="Verdana" w:hAnsi="Verdana"/>
              <w:b/>
              <w:color w:val="auto"/>
              <w:sz w:val="18"/>
              <w:szCs w:val="18"/>
            </w:rPr>
            <w:t xml:space="preserve">Wytyczne dla rzeczoznawców majątkowych </w:t>
          </w:r>
          <w:r>
            <w:rPr>
              <w:rFonts w:ascii="Verdana" w:hAnsi="Verdana"/>
              <w:b/>
              <w:color w:val="auto"/>
              <w:sz w:val="18"/>
              <w:szCs w:val="18"/>
            </w:rPr>
            <w:br/>
          </w:r>
          <w:r w:rsidRPr="00F066BF">
            <w:rPr>
              <w:rFonts w:ascii="Verdana" w:hAnsi="Verdana"/>
              <w:b/>
              <w:color w:val="auto"/>
              <w:sz w:val="18"/>
              <w:szCs w:val="18"/>
            </w:rPr>
            <w:t>w zakresie sporządzania operatu szacunkowego nieruchomości</w:t>
          </w:r>
        </w:p>
      </w:tc>
      <w:tc>
        <w:tcPr>
          <w:tcW w:w="1843" w:type="dxa"/>
          <w:vAlign w:val="center"/>
        </w:tcPr>
        <w:p w:rsidR="0099203D" w:rsidRPr="0099203D" w:rsidRDefault="0099203D" w:rsidP="00A2596D">
          <w:pPr>
            <w:pStyle w:val="Nagwek"/>
            <w:ind w:hanging="156"/>
            <w:rPr>
              <w:rFonts w:ascii="Verdana" w:hAnsi="Verdana"/>
              <w:sz w:val="18"/>
              <w:szCs w:val="18"/>
            </w:rPr>
          </w:pPr>
          <w:r w:rsidRPr="0099203D">
            <w:rPr>
              <w:rFonts w:ascii="Verdana" w:hAnsi="Verdana"/>
              <w:sz w:val="18"/>
              <w:szCs w:val="18"/>
            </w:rPr>
            <w:t xml:space="preserve">Strona </w:t>
          </w:r>
          <w:r w:rsidRPr="0099203D">
            <w:rPr>
              <w:rFonts w:ascii="Verdana" w:hAnsi="Verdana"/>
              <w:sz w:val="18"/>
              <w:szCs w:val="18"/>
            </w:rPr>
            <w:fldChar w:fldCharType="begin"/>
          </w:r>
          <w:r w:rsidRPr="0099203D">
            <w:rPr>
              <w:rFonts w:ascii="Verdana" w:hAnsi="Verdana"/>
              <w:sz w:val="18"/>
              <w:szCs w:val="18"/>
            </w:rPr>
            <w:instrText xml:space="preserve"> PAGE </w:instrText>
          </w:r>
          <w:r w:rsidRPr="0099203D">
            <w:rPr>
              <w:rFonts w:ascii="Verdana" w:hAnsi="Verdana"/>
              <w:sz w:val="18"/>
              <w:szCs w:val="18"/>
            </w:rPr>
            <w:fldChar w:fldCharType="separate"/>
          </w:r>
          <w:r w:rsidR="0009495B">
            <w:rPr>
              <w:rFonts w:ascii="Verdana" w:hAnsi="Verdana"/>
              <w:noProof/>
              <w:sz w:val="18"/>
              <w:szCs w:val="18"/>
            </w:rPr>
            <w:t>2</w:t>
          </w:r>
          <w:r w:rsidRPr="0099203D">
            <w:rPr>
              <w:rFonts w:ascii="Verdana" w:hAnsi="Verdana"/>
              <w:sz w:val="18"/>
              <w:szCs w:val="18"/>
            </w:rPr>
            <w:fldChar w:fldCharType="end"/>
          </w:r>
          <w:r w:rsidR="0009495B">
            <w:rPr>
              <w:rFonts w:ascii="Verdana" w:hAnsi="Verdana"/>
              <w:sz w:val="18"/>
              <w:szCs w:val="18"/>
            </w:rPr>
            <w:t xml:space="preserve"> z 3</w:t>
          </w:r>
        </w:p>
      </w:tc>
    </w:tr>
    <w:tr w:rsidR="0099203D" w:rsidRPr="0099203D" w:rsidTr="0009495B">
      <w:trPr>
        <w:cantSplit/>
        <w:trHeight w:val="593"/>
      </w:trPr>
      <w:tc>
        <w:tcPr>
          <w:tcW w:w="2202" w:type="dxa"/>
          <w:vMerge/>
        </w:tcPr>
        <w:p w:rsidR="0099203D" w:rsidRPr="0099203D" w:rsidRDefault="0099203D" w:rsidP="0099203D">
          <w:pPr>
            <w:pStyle w:val="Nagwek"/>
          </w:pPr>
        </w:p>
      </w:tc>
      <w:tc>
        <w:tcPr>
          <w:tcW w:w="5670" w:type="dxa"/>
          <w:vAlign w:val="center"/>
        </w:tcPr>
        <w:p w:rsidR="0099203D" w:rsidRPr="0099203D" w:rsidRDefault="0099203D" w:rsidP="00F066BF">
          <w:pPr>
            <w:pStyle w:val="Nagwek"/>
            <w:ind w:left="-2" w:firstLine="0"/>
            <w:jc w:val="center"/>
            <w:rPr>
              <w:rFonts w:ascii="Verdana" w:hAnsi="Verdana"/>
              <w:bCs/>
              <w:i/>
              <w:sz w:val="18"/>
              <w:szCs w:val="18"/>
            </w:rPr>
          </w:pPr>
          <w:r w:rsidRPr="0099203D">
            <w:rPr>
              <w:rFonts w:ascii="Verdana" w:hAnsi="Verdana"/>
              <w:bCs/>
              <w:sz w:val="18"/>
              <w:szCs w:val="18"/>
            </w:rPr>
            <w:t xml:space="preserve">Załącznik nr </w:t>
          </w:r>
          <w:r w:rsidR="00A2596D">
            <w:rPr>
              <w:rFonts w:ascii="Verdana" w:hAnsi="Verdana"/>
              <w:bCs/>
              <w:sz w:val="18"/>
              <w:szCs w:val="18"/>
            </w:rPr>
            <w:t>2</w:t>
          </w:r>
          <w:r w:rsidRPr="0099203D">
            <w:rPr>
              <w:rFonts w:ascii="Verdana" w:hAnsi="Verdana"/>
              <w:bCs/>
              <w:sz w:val="18"/>
              <w:szCs w:val="18"/>
            </w:rPr>
            <w:t xml:space="preserve"> do Zasad przejmowania długu podmiotu prowadzącego gospodarstwo rolne przez Krajowy Ośrodek Wsparcia Rolnictwa</w:t>
          </w:r>
        </w:p>
      </w:tc>
      <w:tc>
        <w:tcPr>
          <w:tcW w:w="1843" w:type="dxa"/>
          <w:vAlign w:val="center"/>
        </w:tcPr>
        <w:p w:rsidR="0099203D" w:rsidRPr="0099203D" w:rsidRDefault="0099203D" w:rsidP="0009495B">
          <w:pPr>
            <w:pStyle w:val="Nagwek"/>
            <w:ind w:left="0" w:firstLine="0"/>
            <w:jc w:val="left"/>
            <w:rPr>
              <w:rFonts w:ascii="Verdana" w:hAnsi="Verdana"/>
              <w:sz w:val="18"/>
              <w:szCs w:val="18"/>
            </w:rPr>
          </w:pPr>
          <w:r w:rsidRPr="0099203D">
            <w:rPr>
              <w:rFonts w:ascii="Verdana" w:hAnsi="Verdana"/>
              <w:sz w:val="18"/>
              <w:szCs w:val="18"/>
            </w:rPr>
            <w:t>Wersja 1.0</w:t>
          </w:r>
        </w:p>
        <w:p w:rsidR="0099203D" w:rsidRPr="0099203D" w:rsidRDefault="0099203D" w:rsidP="0009495B">
          <w:pPr>
            <w:pStyle w:val="Nagwek"/>
            <w:ind w:left="0" w:firstLine="0"/>
            <w:jc w:val="left"/>
            <w:rPr>
              <w:rFonts w:ascii="Verdana" w:hAnsi="Verdana"/>
              <w:sz w:val="18"/>
              <w:szCs w:val="18"/>
            </w:rPr>
          </w:pPr>
          <w:r w:rsidRPr="0099203D">
            <w:rPr>
              <w:rFonts w:ascii="Verdana" w:hAnsi="Verdana"/>
              <w:sz w:val="18"/>
              <w:szCs w:val="18"/>
            </w:rPr>
            <w:t>z dnia</w:t>
          </w:r>
          <w:r w:rsidR="0009495B">
            <w:rPr>
              <w:rFonts w:ascii="Verdana" w:hAnsi="Verdana"/>
              <w:sz w:val="18"/>
              <w:szCs w:val="18"/>
            </w:rPr>
            <w:t xml:space="preserve"> </w:t>
          </w:r>
          <w:r w:rsidR="0009495B">
            <w:rPr>
              <w:rFonts w:ascii="Verdana" w:hAnsi="Verdana"/>
              <w:sz w:val="18"/>
            </w:rPr>
            <w:t>08-02-2019</w:t>
          </w:r>
        </w:p>
      </w:tc>
    </w:tr>
  </w:tbl>
  <w:p w:rsidR="0099203D" w:rsidRPr="0099203D" w:rsidRDefault="0099203D" w:rsidP="009920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4"/>
      <w:gridCol w:w="5953"/>
      <w:gridCol w:w="1768"/>
    </w:tblGrid>
    <w:tr w:rsidR="0099203D" w:rsidRPr="0099203D" w:rsidTr="0099203D">
      <w:trPr>
        <w:cantSplit/>
        <w:trHeight w:val="592"/>
      </w:trPr>
      <w:tc>
        <w:tcPr>
          <w:tcW w:w="2344" w:type="dxa"/>
          <w:vMerge w:val="restart"/>
          <w:vAlign w:val="center"/>
        </w:tcPr>
        <w:p w:rsidR="0099203D" w:rsidRPr="0099203D" w:rsidRDefault="0099203D" w:rsidP="0099203D">
          <w:pPr>
            <w:pStyle w:val="Nagwek"/>
            <w:rPr>
              <w:b/>
            </w:rPr>
          </w:pPr>
          <w:r w:rsidRPr="0099203D">
            <w:rPr>
              <w:b/>
              <w:noProof/>
            </w:rPr>
            <w:drawing>
              <wp:inline distT="0" distB="0" distL="0" distR="0" wp14:anchorId="212335BB" wp14:editId="5ED10D5D">
                <wp:extent cx="1085215" cy="648335"/>
                <wp:effectExtent l="0" t="0" r="635" b="0"/>
                <wp:docPr id="26" name="Obraz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648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center"/>
        </w:tcPr>
        <w:p w:rsidR="0099203D" w:rsidRPr="0099203D" w:rsidRDefault="0099203D" w:rsidP="0099203D">
          <w:pPr>
            <w:pStyle w:val="Nagwek"/>
            <w:rPr>
              <w:b/>
            </w:rPr>
          </w:pPr>
          <w:r w:rsidRPr="0099203D">
            <w:rPr>
              <w:b/>
            </w:rPr>
            <w:t>Zgoda wierzyciela na przejęcie długu</w:t>
          </w:r>
        </w:p>
      </w:tc>
      <w:tc>
        <w:tcPr>
          <w:tcW w:w="1768" w:type="dxa"/>
          <w:vAlign w:val="center"/>
        </w:tcPr>
        <w:p w:rsidR="0099203D" w:rsidRPr="0099203D" w:rsidRDefault="0099203D" w:rsidP="0099203D">
          <w:pPr>
            <w:pStyle w:val="Nagwek"/>
          </w:pPr>
          <w:r w:rsidRPr="0099203D">
            <w:t xml:space="preserve">Strona </w:t>
          </w:r>
          <w:r w:rsidRPr="0099203D">
            <w:fldChar w:fldCharType="begin"/>
          </w:r>
          <w:r w:rsidRPr="0099203D">
            <w:instrText xml:space="preserve"> PAGE </w:instrText>
          </w:r>
          <w:r w:rsidRPr="0099203D">
            <w:fldChar w:fldCharType="separate"/>
          </w:r>
          <w:r>
            <w:rPr>
              <w:noProof/>
            </w:rPr>
            <w:t>1</w:t>
          </w:r>
          <w:r w:rsidRPr="0099203D">
            <w:fldChar w:fldCharType="end"/>
          </w:r>
          <w:r w:rsidRPr="0099203D">
            <w:t xml:space="preserve"> z 2</w:t>
          </w:r>
        </w:p>
      </w:tc>
    </w:tr>
    <w:tr w:rsidR="0099203D" w:rsidRPr="0099203D" w:rsidTr="0099203D">
      <w:trPr>
        <w:cantSplit/>
        <w:trHeight w:val="593"/>
      </w:trPr>
      <w:tc>
        <w:tcPr>
          <w:tcW w:w="2344" w:type="dxa"/>
          <w:vMerge/>
        </w:tcPr>
        <w:p w:rsidR="0099203D" w:rsidRPr="0099203D" w:rsidRDefault="0099203D" w:rsidP="0099203D">
          <w:pPr>
            <w:pStyle w:val="Nagwek"/>
          </w:pPr>
        </w:p>
      </w:tc>
      <w:tc>
        <w:tcPr>
          <w:tcW w:w="5953" w:type="dxa"/>
          <w:vAlign w:val="center"/>
        </w:tcPr>
        <w:p w:rsidR="0099203D" w:rsidRPr="0099203D" w:rsidRDefault="0099203D" w:rsidP="0099203D">
          <w:pPr>
            <w:pStyle w:val="Nagwek"/>
            <w:rPr>
              <w:bCs/>
              <w:i/>
            </w:rPr>
          </w:pPr>
          <w:bookmarkStart w:id="1" w:name="_Toc536781040"/>
          <w:r w:rsidRPr="0099203D">
            <w:rPr>
              <w:bCs/>
            </w:rPr>
            <w:t>Załącznik nr 7 do Zasad przejmowania długu podmiotu prowadzącego gospodarstwo rolne przez Krajowy Ośrodek Wsparcia Rolnictwa</w:t>
          </w:r>
          <w:bookmarkEnd w:id="1"/>
          <w:r w:rsidRPr="0099203D">
            <w:rPr>
              <w:bCs/>
            </w:rPr>
            <w:t xml:space="preserve"> </w:t>
          </w:r>
        </w:p>
      </w:tc>
      <w:tc>
        <w:tcPr>
          <w:tcW w:w="1768" w:type="dxa"/>
          <w:vAlign w:val="center"/>
        </w:tcPr>
        <w:p w:rsidR="0099203D" w:rsidRPr="0099203D" w:rsidRDefault="0099203D" w:rsidP="0099203D">
          <w:pPr>
            <w:pStyle w:val="Nagwek"/>
          </w:pPr>
          <w:r w:rsidRPr="0099203D">
            <w:t>Wersja 1.0</w:t>
          </w:r>
        </w:p>
        <w:p w:rsidR="0099203D" w:rsidRPr="0099203D" w:rsidRDefault="0099203D" w:rsidP="0099203D">
          <w:pPr>
            <w:pStyle w:val="Nagwek"/>
          </w:pPr>
          <w:r w:rsidRPr="0099203D">
            <w:t xml:space="preserve">z dnia </w:t>
          </w:r>
        </w:p>
      </w:tc>
    </w:tr>
  </w:tbl>
  <w:p w:rsidR="0099203D" w:rsidRPr="0099203D" w:rsidRDefault="0099203D" w:rsidP="0099203D">
    <w:pPr>
      <w:pStyle w:val="Nagwek"/>
    </w:pPr>
  </w:p>
  <w:p w:rsidR="0099203D" w:rsidRDefault="009920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E67"/>
    <w:multiLevelType w:val="hybridMultilevel"/>
    <w:tmpl w:val="6660EB5E"/>
    <w:lvl w:ilvl="0" w:tplc="F8126232">
      <w:start w:val="4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38507C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BA6A6E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64CFA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802B0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23144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A9A16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8E10C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B6FA8C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CD178D"/>
    <w:multiLevelType w:val="hybridMultilevel"/>
    <w:tmpl w:val="94864E70"/>
    <w:lvl w:ilvl="0" w:tplc="300A5D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BF229F"/>
    <w:multiLevelType w:val="hybridMultilevel"/>
    <w:tmpl w:val="D64E2EF8"/>
    <w:lvl w:ilvl="0" w:tplc="5164F092">
      <w:start w:val="1"/>
      <w:numFmt w:val="decimal"/>
      <w:lvlText w:val="%1)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01B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8E77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8F8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8B3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0813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200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DC93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A85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6C4A79"/>
    <w:multiLevelType w:val="hybridMultilevel"/>
    <w:tmpl w:val="9A3A2A12"/>
    <w:lvl w:ilvl="0" w:tplc="08EA61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4D1D7D"/>
    <w:multiLevelType w:val="hybridMultilevel"/>
    <w:tmpl w:val="6B0E82E0"/>
    <w:lvl w:ilvl="0" w:tplc="F5EC29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6A1CAA">
      <w:start w:val="1"/>
      <w:numFmt w:val="decimal"/>
      <w:lvlText w:val="%2)"/>
      <w:lvlJc w:val="left"/>
      <w:pPr>
        <w:ind w:left="994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2AAE34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0D2CE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146172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42A12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28756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E7A02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273B4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B20372"/>
    <w:multiLevelType w:val="hybridMultilevel"/>
    <w:tmpl w:val="91EC7FE8"/>
    <w:lvl w:ilvl="0" w:tplc="4E50BD1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C3ACC">
      <w:start w:val="1"/>
      <w:numFmt w:val="decimal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46750">
      <w:start w:val="1"/>
      <w:numFmt w:val="lowerLetter"/>
      <w:lvlText w:val="%3)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8E4E08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C1920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47498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860DF4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C2064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0819C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7F21AB"/>
    <w:multiLevelType w:val="hybridMultilevel"/>
    <w:tmpl w:val="402C5DEA"/>
    <w:lvl w:ilvl="0" w:tplc="68027DDE">
      <w:start w:val="1"/>
      <w:numFmt w:val="decimal"/>
      <w:lvlText w:val="%1."/>
      <w:lvlJc w:val="left"/>
      <w:pPr>
        <w:ind w:left="69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AEA2CA">
      <w:start w:val="23"/>
      <w:numFmt w:val="upperLetter"/>
      <w:lvlText w:val="%2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F459A0">
      <w:start w:val="1"/>
      <w:numFmt w:val="decimal"/>
      <w:lvlText w:val="%3)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A0670">
      <w:start w:val="1"/>
      <w:numFmt w:val="lowerLetter"/>
      <w:lvlText w:val="%4)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6E357C">
      <w:start w:val="1"/>
      <w:numFmt w:val="lowerLetter"/>
      <w:lvlText w:val="%5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8655C">
      <w:start w:val="1"/>
      <w:numFmt w:val="lowerRoman"/>
      <w:lvlText w:val="%6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60812">
      <w:start w:val="1"/>
      <w:numFmt w:val="decimal"/>
      <w:lvlText w:val="%7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CF0F2">
      <w:start w:val="1"/>
      <w:numFmt w:val="lowerLetter"/>
      <w:lvlText w:val="%8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41B2E">
      <w:start w:val="1"/>
      <w:numFmt w:val="lowerRoman"/>
      <w:lvlText w:val="%9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8E4758A"/>
    <w:multiLevelType w:val="hybridMultilevel"/>
    <w:tmpl w:val="2526983A"/>
    <w:lvl w:ilvl="0" w:tplc="78D4FED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A993E">
      <w:start w:val="1"/>
      <w:numFmt w:val="decimal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A293E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06A44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AB6BC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E7904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F04CFA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4E0BE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A3476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05B1DEB"/>
    <w:multiLevelType w:val="hybridMultilevel"/>
    <w:tmpl w:val="EDD48426"/>
    <w:lvl w:ilvl="0" w:tplc="4E0A63C4">
      <w:start w:val="1"/>
      <w:numFmt w:val="decimal"/>
      <w:lvlText w:val="%1."/>
      <w:lvlJc w:val="left"/>
      <w:pPr>
        <w:ind w:left="69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4C194C">
      <w:start w:val="1"/>
      <w:numFmt w:val="decimal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187D82">
      <w:start w:val="1"/>
      <w:numFmt w:val="lowerRoman"/>
      <w:lvlText w:val="%3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FCD394">
      <w:start w:val="1"/>
      <w:numFmt w:val="decimal"/>
      <w:lvlText w:val="%4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AA6608">
      <w:start w:val="1"/>
      <w:numFmt w:val="lowerLetter"/>
      <w:lvlText w:val="%5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627D8">
      <w:start w:val="1"/>
      <w:numFmt w:val="lowerRoman"/>
      <w:lvlText w:val="%6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CEA88">
      <w:start w:val="1"/>
      <w:numFmt w:val="decimal"/>
      <w:lvlText w:val="%7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C4987C">
      <w:start w:val="1"/>
      <w:numFmt w:val="lowerLetter"/>
      <w:lvlText w:val="%8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C2B264">
      <w:start w:val="1"/>
      <w:numFmt w:val="lowerRoman"/>
      <w:lvlText w:val="%9"/>
      <w:lvlJc w:val="left"/>
      <w:pPr>
        <w:ind w:left="6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1D06E6A"/>
    <w:multiLevelType w:val="hybridMultilevel"/>
    <w:tmpl w:val="F634B922"/>
    <w:lvl w:ilvl="0" w:tplc="A8F8CF6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30C2F31"/>
    <w:multiLevelType w:val="hybridMultilevel"/>
    <w:tmpl w:val="5894A530"/>
    <w:lvl w:ilvl="0" w:tplc="9F1440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AF414">
      <w:start w:val="1"/>
      <w:numFmt w:val="lowerLetter"/>
      <w:lvlText w:val="%2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C6C6A">
      <w:start w:val="1"/>
      <w:numFmt w:val="lowerLetter"/>
      <w:lvlText w:val="%3)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6EEEE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AC65A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643D22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F8489C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219AC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67C8E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0C3299A"/>
    <w:multiLevelType w:val="hybridMultilevel"/>
    <w:tmpl w:val="5D0C2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12741"/>
    <w:multiLevelType w:val="hybridMultilevel"/>
    <w:tmpl w:val="49409504"/>
    <w:lvl w:ilvl="0" w:tplc="49E897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2A408">
      <w:start w:val="1"/>
      <w:numFmt w:val="lowerLetter"/>
      <w:lvlText w:val="%2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846964">
      <w:start w:val="3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8B4AC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E939C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68D5C4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2CBF2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F20308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D29566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D9177C0"/>
    <w:multiLevelType w:val="hybridMultilevel"/>
    <w:tmpl w:val="2E221C62"/>
    <w:lvl w:ilvl="0" w:tplc="20B889A6">
      <w:start w:val="1"/>
      <w:numFmt w:val="upperRoman"/>
      <w:pStyle w:val="Nagwek1"/>
      <w:lvlText w:val="%1."/>
      <w:lvlJc w:val="left"/>
      <w:pPr>
        <w:ind w:left="0"/>
      </w:pPr>
      <w:rPr>
        <w:rFonts w:ascii="Verdana" w:eastAsia="Times New Roman" w:hAnsi="Verdana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62176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6EE6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2424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84124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429E8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C1FB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84B39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4C09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12"/>
  </w:num>
  <w:num w:numId="8">
    <w:abstractNumId w:val="0"/>
  </w:num>
  <w:num w:numId="9">
    <w:abstractNumId w:val="7"/>
  </w:num>
  <w:num w:numId="10">
    <w:abstractNumId w:val="13"/>
  </w:num>
  <w:num w:numId="11">
    <w:abstractNumId w:val="1"/>
  </w:num>
  <w:num w:numId="12">
    <w:abstractNumId w:val="9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A4"/>
    <w:rsid w:val="0009495B"/>
    <w:rsid w:val="000957A4"/>
    <w:rsid w:val="0023055E"/>
    <w:rsid w:val="00337A63"/>
    <w:rsid w:val="00384054"/>
    <w:rsid w:val="003F1A7C"/>
    <w:rsid w:val="003F1B5B"/>
    <w:rsid w:val="0049480C"/>
    <w:rsid w:val="00495CAE"/>
    <w:rsid w:val="004B5784"/>
    <w:rsid w:val="004D5E4D"/>
    <w:rsid w:val="00585484"/>
    <w:rsid w:val="005D0A69"/>
    <w:rsid w:val="005D0B66"/>
    <w:rsid w:val="006F48A3"/>
    <w:rsid w:val="00784B5B"/>
    <w:rsid w:val="008817C9"/>
    <w:rsid w:val="00983FB3"/>
    <w:rsid w:val="0099203D"/>
    <w:rsid w:val="009B31DF"/>
    <w:rsid w:val="00A2596D"/>
    <w:rsid w:val="00AD5E31"/>
    <w:rsid w:val="00B1220E"/>
    <w:rsid w:val="00B751F5"/>
    <w:rsid w:val="00C35FBD"/>
    <w:rsid w:val="00CD57F9"/>
    <w:rsid w:val="00D16C11"/>
    <w:rsid w:val="00D811E3"/>
    <w:rsid w:val="00E50E1B"/>
    <w:rsid w:val="00ED2220"/>
    <w:rsid w:val="00F066BF"/>
    <w:rsid w:val="00F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5" w:line="270" w:lineRule="auto"/>
      <w:ind w:left="294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0"/>
      </w:numPr>
      <w:spacing w:after="214"/>
      <w:ind w:left="294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8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8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49480C"/>
    <w:pPr>
      <w:ind w:left="720"/>
      <w:contextualSpacing/>
    </w:pPr>
  </w:style>
  <w:style w:type="paragraph" w:customStyle="1" w:styleId="Default">
    <w:name w:val="Default"/>
    <w:rsid w:val="002305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A7C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03D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5" w:line="270" w:lineRule="auto"/>
      <w:ind w:left="294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0"/>
      </w:numPr>
      <w:spacing w:after="214"/>
      <w:ind w:left="294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8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8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49480C"/>
    <w:pPr>
      <w:ind w:left="720"/>
      <w:contextualSpacing/>
    </w:pPr>
  </w:style>
  <w:style w:type="paragraph" w:customStyle="1" w:styleId="Default">
    <w:name w:val="Default"/>
    <w:rsid w:val="002305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A7C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03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1114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Delega Maryla</dc:creator>
  <cp:keywords/>
  <cp:lastModifiedBy>Tarnawska Agnieszka</cp:lastModifiedBy>
  <cp:revision>5</cp:revision>
  <cp:lastPrinted>2019-01-16T10:14:00Z</cp:lastPrinted>
  <dcterms:created xsi:type="dcterms:W3CDTF">2019-02-08T09:56:00Z</dcterms:created>
  <dcterms:modified xsi:type="dcterms:W3CDTF">2019-02-08T15:59:00Z</dcterms:modified>
</cp:coreProperties>
</file>