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360" w:lineRule="exact"/>
      </w:pPr>
      <w:r>
        <w:drawing>
          <wp:anchor distT="0" distB="0" distL="0" distR="0" simplePos="0" relativeHeight="62914690" behindDoc="1" locked="0" layoutInCell="1" allowOverlap="1">
            <wp:simplePos x="0" y="0"/>
            <wp:positionH relativeFrom="page">
              <wp:posOffset>325755</wp:posOffset>
            </wp:positionH>
            <wp:positionV relativeFrom="margin">
              <wp:posOffset>0</wp:posOffset>
            </wp:positionV>
            <wp:extent cx="3151505" cy="106045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3151505" cy="1060450"/>
                    </a:xfrm>
                    <a:prstGeom prst="rect"/>
                  </pic:spPr>
                </pic:pic>
              </a:graphicData>
            </a:graphic>
          </wp:anchor>
        </w:drawing>
      </w:r>
    </w:p>
    <w:p>
      <w:pPr>
        <w:widowControl w:val="0"/>
        <w:spacing w:line="360" w:lineRule="exact"/>
      </w:pPr>
    </w:p>
    <w:p>
      <w:pPr>
        <w:widowControl w:val="0"/>
        <w:spacing w:line="360" w:lineRule="exact"/>
      </w:pPr>
    </w:p>
    <w:p>
      <w:pPr>
        <w:widowControl w:val="0"/>
        <w:spacing w:after="589" w:line="1" w:lineRule="exact"/>
      </w:pPr>
    </w:p>
    <w:p>
      <w:pPr>
        <w:widowControl w:val="0"/>
        <w:spacing w:line="1" w:lineRule="exact"/>
        <w:sectPr>
          <w:footnotePr>
            <w:pos w:val="pageBottom"/>
            <w:numFmt w:val="decimal"/>
            <w:numRestart w:val="continuous"/>
          </w:footnotePr>
          <w:pgSz w:w="11900" w:h="16840"/>
          <w:pgMar w:top="591" w:right="1955" w:bottom="487" w:left="513" w:header="163" w:footer="59" w:gutter="0"/>
          <w:pgNumType w:start="1"/>
          <w:cols w:space="720"/>
          <w:noEndnote/>
          <w:rtlGutter w:val="0"/>
          <w:docGrid w:linePitch="360"/>
        </w:sectPr>
      </w:pPr>
    </w:p>
    <w:p>
      <w:pPr>
        <w:widowControl w:val="0"/>
        <w:spacing w:line="99" w:lineRule="exact"/>
        <w:rPr>
          <w:sz w:val="8"/>
          <w:szCs w:val="8"/>
        </w:rPr>
      </w:pPr>
    </w:p>
    <w:p>
      <w:pPr>
        <w:widowControl w:val="0"/>
        <w:spacing w:line="1" w:lineRule="exact"/>
        <w:sectPr>
          <w:footnotePr>
            <w:pos w:val="pageBottom"/>
            <w:numFmt w:val="decimal"/>
            <w:numRestart w:val="continuous"/>
          </w:footnotePr>
          <w:type w:val="continuous"/>
          <w:pgSz w:w="11900" w:h="16840"/>
          <w:pgMar w:top="591" w:right="0" w:bottom="487" w:left="0"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rStyle w:val="CharStyle10"/>
        </w:rPr>
        <w:t>DGL-WOP.053.5.2025.MJ</w:t>
      </w:r>
    </w:p>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sz w:val="18"/>
          <w:szCs w:val="18"/>
        </w:rPr>
        <w:t>3945849.16049658.13325821</w:t>
      </w:r>
    </w:p>
    <w:p>
      <w:pPr>
        <w:pStyle w:val="Style9"/>
        <w:keepNext w:val="0"/>
        <w:keepLines w:val="0"/>
        <w:widowControl w:val="0"/>
        <w:shd w:val="clear" w:color="auto" w:fill="auto"/>
        <w:bidi w:val="0"/>
        <w:spacing w:before="0" w:after="700" w:line="240" w:lineRule="auto"/>
        <w:ind w:left="0" w:right="0" w:firstLine="0"/>
        <w:jc w:val="left"/>
      </w:pPr>
      <w:r>
        <w:rPr>
          <w:rStyle w:val="CharStyle10"/>
        </w:rPr>
        <w:t>Warszawa, 06-11-2025</w:t>
      </w:r>
    </w:p>
    <w:p>
      <w:pPr>
        <w:pStyle w:val="Style12"/>
        <w:keepNext w:val="0"/>
        <w:keepLines w:val="0"/>
        <w:widowControl w:val="0"/>
        <w:shd w:val="clear" w:color="auto" w:fill="auto"/>
        <w:bidi w:val="0"/>
        <w:spacing w:before="0" w:after="440" w:line="240" w:lineRule="auto"/>
        <w:ind w:left="0" w:right="0" w:firstLine="0"/>
        <w:jc w:val="left"/>
      </w:pPr>
      <w:r>
        <w:rPr>
          <w:rStyle w:val="CharStyle13"/>
        </w:rPr>
        <w:t>Odpowiedź na petycję w sprawie propozycji zmian przepisów ustawy – Prawo geologiczne i górnicze oraz rozporządzenia Ministra Klimatu i Środowiska w sprawie innych dokumentacji geologicznych</w:t>
      </w:r>
    </w:p>
    <w:p>
      <w:pPr>
        <w:pStyle w:val="Style12"/>
        <w:keepNext w:val="0"/>
        <w:keepLines w:val="0"/>
        <w:widowControl w:val="0"/>
        <w:shd w:val="clear" w:color="auto" w:fill="auto"/>
        <w:bidi w:val="0"/>
        <w:spacing w:before="0" w:after="1580" w:line="240" w:lineRule="auto"/>
        <w:ind w:left="0" w:right="0" w:firstLine="0"/>
        <w:jc w:val="left"/>
      </w:pPr>
      <w:r>
        <w:rPr>
          <w:rStyle w:val="CharStyle13"/>
          <w:b/>
          <w:bCs/>
        </w:rPr>
        <w:t>Pan</w:t>
      </w:r>
    </w:p>
    <w:p>
      <w:pPr>
        <w:pStyle w:val="Style12"/>
        <w:keepNext w:val="0"/>
        <w:keepLines w:val="0"/>
        <w:widowControl w:val="0"/>
        <w:shd w:val="clear" w:color="auto" w:fill="auto"/>
        <w:bidi w:val="0"/>
        <w:spacing w:before="0" w:after="320" w:line="240" w:lineRule="auto"/>
        <w:ind w:left="0" w:right="0" w:firstLine="0"/>
        <w:jc w:val="left"/>
      </w:pPr>
      <w:r>
        <w:rPr>
          <w:rStyle w:val="CharStyle13"/>
        </w:rPr>
        <w:t>Szanowny Panie Prezesie</w:t>
      </w:r>
    </w:p>
    <w:p>
      <w:pPr>
        <w:pStyle w:val="Style12"/>
        <w:keepNext w:val="0"/>
        <w:keepLines w:val="0"/>
        <w:widowControl w:val="0"/>
        <w:shd w:val="clear" w:color="auto" w:fill="auto"/>
        <w:bidi w:val="0"/>
        <w:spacing w:before="0" w:after="440" w:line="240" w:lineRule="auto"/>
        <w:ind w:left="0" w:right="0" w:firstLine="0"/>
        <w:jc w:val="left"/>
      </w:pPr>
      <w:r>
        <w:rPr>
          <w:rStyle w:val="CharStyle13"/>
        </w:rPr>
        <w:t>w nawiązaniu do przekazanych postulatów odnoszących się do potrzeby zmiany/ uzupełnienia brzmienia przepisów ustawy z dnia 9 czerwca 2011 r. - Prawo geologiczne i górnicze</w:t>
      </w:r>
      <w:r>
        <w:rPr>
          <w:rStyle w:val="CharStyle13"/>
          <w:vertAlign w:val="superscript"/>
        </w:rPr>
        <w:footnoteReference w:id="2"/>
      </w:r>
      <w:r>
        <w:rPr>
          <w:rStyle w:val="CharStyle13"/>
        </w:rPr>
        <w:t xml:space="preserve"> („P.g.g.”) oraz rozporządzenia Ministra Klimatu i Środowiska z dnia 23 grudnia 2020 r. w sprawie innych dokumentacji geologicznych</w:t>
      </w:r>
      <w:r>
        <w:rPr>
          <w:rStyle w:val="CharStyle13"/>
          <w:vertAlign w:val="superscript"/>
        </w:rPr>
        <w:footnoteReference w:id="3"/>
      </w:r>
      <w:r>
        <w:rPr>
          <w:rStyle w:val="CharStyle13"/>
        </w:rPr>
        <w:t xml:space="preserve"> („rozporządzenie MKIŚ”) - w zakresie który mógłby w Państwa ocenie, usprawnić proces wyboru i oceny lokalizacji inwestycji związanych z budową obiektów energetyki jądrowej, przy jednoczesnym zachowaniu maksymalnej możliwej kontroli organów administracji geologicznej nad tym procesem – przedstawiam, co następuje.</w:t>
      </w:r>
    </w:p>
    <w:p>
      <w:pPr>
        <w:pStyle w:val="Style12"/>
        <w:keepNext w:val="0"/>
        <w:keepLines w:val="0"/>
        <w:widowControl w:val="0"/>
        <w:shd w:val="clear" w:color="auto" w:fill="auto"/>
        <w:bidi w:val="0"/>
        <w:spacing w:before="0" w:after="100" w:line="240" w:lineRule="auto"/>
        <w:ind w:left="0" w:right="0" w:firstLine="0"/>
        <w:jc w:val="left"/>
      </w:pPr>
      <w:r>
        <w:rPr>
          <w:rStyle w:val="CharStyle13"/>
        </w:rPr>
        <w:t>Niewątpliwie za ważną należy uznać podniesiona w Państwa korespondencji kwestię powiązaną z wyzwaniami wynikającymi z transformacji sektora elektroenergetycznego, w tym m.in. z kierunków działań określanych przez Unię Europejską, a tym samym potrzebą rozwoju projektów energetycznych pozwalających osiągnąć neutralność klimatyczną - przykładowo na bazie budowy nowych mocy wytwórczych na potrzeby energetyki, ciepłownictwa i przemysłu.</w:t>
      </w:r>
    </w:p>
    <w:p>
      <w:pPr>
        <w:pStyle w:val="Style12"/>
        <w:keepNext w:val="0"/>
        <w:keepLines w:val="0"/>
        <w:widowControl w:val="0"/>
        <w:shd w:val="clear" w:color="auto" w:fill="auto"/>
        <w:bidi w:val="0"/>
        <w:spacing w:before="0" w:after="100" w:line="240" w:lineRule="auto"/>
        <w:ind w:left="0" w:right="0" w:firstLine="0"/>
        <w:jc w:val="left"/>
      </w:pPr>
      <w:r>
        <w:rPr>
          <w:rStyle w:val="CharStyle13"/>
        </w:rPr>
        <w:t>Mając na względzie przedstawione w 2 załącznikach do Państwa korespondencji propozycji zmian przepisów P.g.g. oraz zmiany w rozporządzeniu MKIŚ - po ich gruntownej analizie przedstawiam następujące stanowisko.</w:t>
      </w:r>
    </w:p>
    <w:p>
      <w:pPr>
        <w:pStyle w:val="Style12"/>
        <w:keepNext w:val="0"/>
        <w:keepLines w:val="0"/>
        <w:widowControl w:val="0"/>
        <w:shd w:val="clear" w:color="auto" w:fill="auto"/>
        <w:bidi w:val="0"/>
        <w:spacing w:before="0" w:after="240" w:line="240" w:lineRule="auto"/>
        <w:ind w:left="0" w:right="0" w:firstLine="0"/>
        <w:jc w:val="left"/>
      </w:pPr>
      <w:r>
        <w:rPr>
          <w:rStyle w:val="CharStyle13"/>
        </w:rPr>
        <w:t>W ocenie Ministerstwa po analizie propozycji wraz z ich uzasadnieniem - tylko jedna z przedstawionych propozycji jednakże w nieco zmodyfikowanej formule zostanie poddana dalszym pracom legislacyjnym. Jednocześnie odnosząc się kolejno do pozostałych przedstawionych propozycji zmian przedstawiam szczegółowe wyjaśnienia.</w:t>
      </w:r>
    </w:p>
    <w:p>
      <w:pPr>
        <w:pStyle w:val="Style15"/>
        <w:keepNext/>
        <w:keepLines/>
        <w:widowControl w:val="0"/>
        <w:shd w:val="clear" w:color="auto" w:fill="auto"/>
        <w:bidi w:val="0"/>
        <w:spacing w:before="0" w:line="264" w:lineRule="auto"/>
        <w:ind w:left="0" w:right="0" w:firstLine="0"/>
        <w:jc w:val="left"/>
      </w:pPr>
      <w:bookmarkStart w:id="0" w:name="bookmark0"/>
      <w:r>
        <w:rPr>
          <w:rStyle w:val="CharStyle16"/>
          <w:b/>
          <w:bCs/>
        </w:rPr>
        <w:t>Ad. 1 dodania w P.g.g. w art. 92 nowego pkt 8 oraz w rozporządzeniu MKIŚ dodania nowego § 9a – (propozycje odrzucone)</w:t>
      </w:r>
      <w:bookmarkEnd w:id="0"/>
    </w:p>
    <w:p>
      <w:pPr>
        <w:pStyle w:val="Style9"/>
        <w:keepNext w:val="0"/>
        <w:keepLines w:val="0"/>
        <w:widowControl w:val="0"/>
        <w:shd w:val="clear" w:color="auto" w:fill="auto"/>
        <w:bidi w:val="0"/>
        <w:spacing w:before="0" w:after="440"/>
        <w:ind w:left="0" w:right="0" w:firstLine="0"/>
        <w:jc w:val="left"/>
      </w:pPr>
      <w:r>
        <w:rPr>
          <w:rStyle w:val="CharStyle10"/>
        </w:rPr>
        <w:t>W toku obecnie prowadzonych prac koncepcyjnych nad kierunkami zmian w P.g.g. (etap praw wewnętrznych) rozważana jest podobna do zaproponowanej w Państwa</w:t>
      </w:r>
    </w:p>
    <w:p>
      <w:pPr>
        <w:pStyle w:val="Style9"/>
        <w:keepNext w:val="0"/>
        <w:keepLines w:val="0"/>
        <w:widowControl w:val="0"/>
        <w:numPr>
          <w:ilvl w:val="0"/>
          <w:numId w:val="1"/>
        </w:numPr>
        <w:shd w:val="clear" w:color="auto" w:fill="auto"/>
        <w:tabs>
          <w:tab w:pos="215" w:val="left"/>
        </w:tabs>
        <w:bidi w:val="0"/>
        <w:spacing w:before="0" w:after="0" w:line="240" w:lineRule="auto"/>
        <w:ind w:left="0" w:right="0" w:firstLine="0"/>
        <w:jc w:val="left"/>
        <w:rPr>
          <w:sz w:val="18"/>
          <w:szCs w:val="18"/>
        </w:rPr>
      </w:pPr>
      <w:r>
        <w:rPr>
          <w:rStyle w:val="CharStyle10"/>
          <w:sz w:val="18"/>
          <w:szCs w:val="18"/>
        </w:rPr>
        <w:t>Dz. U. z 2025 r., poz. 1290 z późn. zm.</w:t>
      </w:r>
    </w:p>
    <w:p>
      <w:pPr>
        <w:pStyle w:val="Style9"/>
        <w:keepNext w:val="0"/>
        <w:keepLines w:val="0"/>
        <w:widowControl w:val="0"/>
        <w:numPr>
          <w:ilvl w:val="0"/>
          <w:numId w:val="1"/>
        </w:numPr>
        <w:shd w:val="clear" w:color="auto" w:fill="auto"/>
        <w:tabs>
          <w:tab w:pos="220" w:val="left"/>
        </w:tabs>
        <w:bidi w:val="0"/>
        <w:spacing w:before="0" w:after="280" w:line="240" w:lineRule="auto"/>
        <w:ind w:left="0" w:right="0" w:firstLine="0"/>
        <w:jc w:val="left"/>
        <w:rPr>
          <w:sz w:val="18"/>
          <w:szCs w:val="18"/>
        </w:rPr>
        <w:sectPr>
          <w:footnotePr>
            <w:pos w:val="pageBottom"/>
            <w:numFmt w:val="decimal"/>
            <w:numStart w:val="1"/>
            <w:numRestart w:val="continuous"/>
            <w15:footnoteColumns w:val="1"/>
          </w:footnotePr>
          <w:type w:val="continuous"/>
          <w:pgSz w:w="11900" w:h="16840"/>
          <w:pgMar w:top="591" w:right="1955" w:bottom="487" w:left="1948" w:header="0" w:footer="3" w:gutter="0"/>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4486275</wp:posOffset>
                </wp:positionH>
                <wp:positionV relativeFrom="paragraph">
                  <wp:posOffset>482600</wp:posOffset>
                </wp:positionV>
                <wp:extent cx="1761490" cy="250190"/>
                <wp:wrapSquare wrapText="left"/>
                <wp:docPr id="3" name="Shape 3"/>
                <a:graphic xmlns:a="http://schemas.openxmlformats.org/drawingml/2006/main">
                  <a:graphicData uri="http://schemas.microsoft.com/office/word/2010/wordprocessingShape">
                    <wps:wsp>
                      <wps:cNvSpPr txBox="1"/>
                      <wps:spPr>
                        <a:xfrm>
                          <a:ext cx="1761490" cy="2501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right"/>
                            </w:pPr>
                            <w:r>
                              <w:rPr>
                                <w:rStyle w:val="CharStyle6"/>
                              </w:rPr>
                              <w:t>ul. Wawelska 52/54, 00-922 Warszawa Ministerstwo Klimatu i Środowiska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53.25pt;margin-top:38.pt;width:138.70000000000002pt;height:19.699999999999999pt;z-index:-125829375;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right"/>
                      </w:pPr>
                      <w:r>
                        <w:rPr>
                          <w:rStyle w:val="CharStyle6"/>
                        </w:rPr>
                        <w:t>ul. Wawelska 52/54, 00-922 Warszawa Ministerstwo Klimatu i Środowiska</w:t>
                      </w:r>
                    </w:p>
                  </w:txbxContent>
                </v:textbox>
                <w10:wrap type="square" side="left"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2392045</wp:posOffset>
                </wp:positionH>
                <wp:positionV relativeFrom="paragraph">
                  <wp:posOffset>850900</wp:posOffset>
                </wp:positionV>
                <wp:extent cx="2776855" cy="115570"/>
                <wp:wrapTopAndBottom/>
                <wp:docPr id="5" name="Shape 5"/>
                <a:graphic xmlns:a="http://schemas.openxmlformats.org/drawingml/2006/main">
                  <a:graphicData uri="http://schemas.microsoft.com/office/word/2010/wordprocessingShape">
                    <wps:wsp>
                      <wps:cNvSpPr txBox="1"/>
                      <wps:spPr>
                        <a:xfrm>
                          <a:ext cx="2776855" cy="1155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center"/>
                            </w:pPr>
                            <w:r>
                              <w:rPr>
                                <w:rStyle w:val="CharStyle8"/>
                              </w:rPr>
                              <w:t>Działamy zgodnie z EMAS - zarządzając instytucją, dbamy o środowisko</w:t>
                            </w:r>
                          </w:p>
                        </w:txbxContent>
                      </wps:txbx>
                      <wps:bodyPr wrap="none" lIns="0" tIns="0" rIns="0" bIns="0">
                        <a:noAutoFit/>
                      </wps:bodyPr>
                    </wps:wsp>
                  </a:graphicData>
                </a:graphic>
              </wp:anchor>
            </w:drawing>
          </mc:Choice>
          <mc:Fallback>
            <w:pict>
              <v:shape id="_x0000_s1031" type="#_x0000_t202" style="position:absolute;margin-left:188.34999999999999pt;margin-top:67.pt;width:218.65000000000001pt;height:9.0999999999999996pt;z-index:-125829373;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center"/>
                      </w:pPr>
                      <w:r>
                        <w:rPr>
                          <w:rStyle w:val="CharStyle8"/>
                        </w:rPr>
                        <w:t>Działamy zgodnie z EMAS - zarządzając instytucją, dbamy o środowisko</w:t>
                      </w:r>
                    </w:p>
                  </w:txbxContent>
                </v:textbox>
                <w10:wrap type="topAndBottom" anchorx="page"/>
              </v:shape>
            </w:pict>
          </mc:Fallback>
        </mc:AlternateContent>
      </w:r>
      <w:r>
        <w:rPr>
          <w:rStyle w:val="CharStyle10"/>
          <w:sz w:val="18"/>
          <w:szCs w:val="18"/>
        </w:rPr>
        <w:t>Dz. U. z 2020 r., poz. 2449</w:t>
      </w:r>
    </w:p>
    <w:p>
      <w:pPr>
        <w:pStyle w:val="Style9"/>
        <w:keepNext w:val="0"/>
        <w:keepLines w:val="0"/>
        <w:widowControl w:val="0"/>
        <w:shd w:val="clear" w:color="auto" w:fill="auto"/>
        <w:bidi w:val="0"/>
        <w:spacing w:before="0"/>
        <w:ind w:left="0" w:right="0" w:firstLine="0"/>
        <w:jc w:val="both"/>
      </w:pPr>
      <w:r>
        <w:rPr>
          <w:rStyle w:val="CharStyle10"/>
        </w:rPr>
        <w:t>korespondencji propozycja wprowadzenia dokumentacji geologicznej innej dla wstępnego rozpoznania warunków geologicznych. Przewiduje się, że ww. dokumentacja miałaby zastosowanie do wszelkich inwestycji, a nie tylko inwestycji jądrowych. Zastosowanie nowego rodzaju dokumentacji byłoby możliwe również w stosunku do inwestycji jądrowych. Celem przedstawionego rozwiązania jest to, aby nie tworzyć wyjątków, mających zastosowanie tylko do konkretnego rodzaju inwestycji, lecz stworzyć przepisy ogólne, które będą miały zastosowanie w wielu przypadkach, aby unikać nadmiernej kazuistyki prawa.</w:t>
      </w:r>
    </w:p>
    <w:p>
      <w:pPr>
        <w:pStyle w:val="Style9"/>
        <w:keepNext w:val="0"/>
        <w:keepLines w:val="0"/>
        <w:widowControl w:val="0"/>
        <w:shd w:val="clear" w:color="auto" w:fill="auto"/>
        <w:bidi w:val="0"/>
        <w:spacing w:before="0"/>
        <w:ind w:left="0" w:right="0" w:firstLine="0"/>
        <w:jc w:val="both"/>
      </w:pPr>
      <w:r>
        <w:rPr>
          <w:rStyle w:val="CharStyle10"/>
        </w:rPr>
        <w:t>Inwestorzy dużych przedsięwzięć zarówno na obszarze morskim, jak i na lądzie, potrzebują wykonywać wstępne rozpoznanie geologiczne, które ma na celu dostarczenie ogólnych danych dla terenu inwestycji, niewystarczających np. do sporządzenia szczegółowej dokumentacji geologiczno-inżynierskiej dla posadowienia obiektu budowlanego. Obecnie w P.g.g. nie ma takiego typu dokumentacji, który mógłby być sporządzony w takiej sytuacji.</w:t>
      </w:r>
    </w:p>
    <w:p>
      <w:pPr>
        <w:pStyle w:val="Style9"/>
        <w:keepNext w:val="0"/>
        <w:keepLines w:val="0"/>
        <w:widowControl w:val="0"/>
        <w:shd w:val="clear" w:color="auto" w:fill="auto"/>
        <w:bidi w:val="0"/>
        <w:spacing w:before="0"/>
        <w:ind w:left="0" w:right="0" w:firstLine="0"/>
        <w:jc w:val="both"/>
      </w:pPr>
      <w:r>
        <w:rPr>
          <w:rStyle w:val="CharStyle10"/>
        </w:rPr>
        <w:t>Tym samym zasadne jest wprowadzenie do P.g.g. nowego typu dokumentacji geologicznej innej dla udokumentowania prac geologicznych wykonywanych dla wstępnego rozpoznania budowy geologicznej terenu inwestycji. Umożliwi to przedsiębiorcom zaprojektowanie potrzebnych na wstępnym etapie inwestycji badań i udokumentowanie ich w innej dokumentacji, niepodlegającej zatwierdzeniu, a następnie przystąpienie do szczegółowego projektowania i wykonywania robót geologicznych, w szczególności w celu rozpoznania warunków geologiczno – inżynierskich. W toku procesu legislacyjnego będzie rozważane, czy dokumentacje geologiczne inne dla wstępnego rozpoznania terenu inwestycji mogą dotyczyć także warunków hydrogeologicznych. Z tego względu też propozycja wprowadzenia § 9a w rozporządzeniu MKIŚ jest również niezasadna.</w:t>
      </w:r>
    </w:p>
    <w:p>
      <w:pPr>
        <w:pStyle w:val="Style15"/>
        <w:keepNext/>
        <w:keepLines/>
        <w:widowControl w:val="0"/>
        <w:shd w:val="clear" w:color="auto" w:fill="auto"/>
        <w:bidi w:val="0"/>
        <w:spacing w:before="0" w:line="264" w:lineRule="auto"/>
        <w:ind w:left="0" w:right="0" w:firstLine="0"/>
        <w:jc w:val="both"/>
      </w:pPr>
      <w:bookmarkStart w:id="2" w:name="bookmark2"/>
      <w:r>
        <w:rPr>
          <w:rStyle w:val="CharStyle16"/>
          <w:b/>
          <w:bCs/>
        </w:rPr>
        <w:t>Ad. 2 dodania w P.g.g. nowego art. 85ac - (propozycja odrzucona)</w:t>
      </w:r>
      <w:bookmarkEnd w:id="2"/>
    </w:p>
    <w:p>
      <w:pPr>
        <w:pStyle w:val="Style9"/>
        <w:keepNext w:val="0"/>
        <w:keepLines w:val="0"/>
        <w:widowControl w:val="0"/>
        <w:shd w:val="clear" w:color="auto" w:fill="auto"/>
        <w:bidi w:val="0"/>
        <w:spacing w:before="0"/>
        <w:ind w:left="0" w:right="0" w:firstLine="0"/>
        <w:jc w:val="both"/>
      </w:pPr>
      <w:r>
        <w:rPr>
          <w:rStyle w:val="CharStyle10"/>
        </w:rPr>
        <w:t>W ocenie MKiŚ nie ma możliwości rezygnacji z zatwierdzania projektów robót geologicznych („PRG”) dla wstępnego rozpoznania budowy geologicznej lub warunków hydrogeologicznych przewidywanego terenu lokalizacji inwestycji w zakresie budowy obiektu energetyki jądrowej.</w:t>
      </w:r>
    </w:p>
    <w:p>
      <w:pPr>
        <w:pStyle w:val="Style9"/>
        <w:keepNext w:val="0"/>
        <w:keepLines w:val="0"/>
        <w:widowControl w:val="0"/>
        <w:shd w:val="clear" w:color="auto" w:fill="auto"/>
        <w:bidi w:val="0"/>
        <w:spacing w:before="0"/>
        <w:ind w:left="0" w:right="0" w:firstLine="0"/>
        <w:jc w:val="both"/>
      </w:pPr>
      <w:r>
        <w:rPr>
          <w:rStyle w:val="CharStyle10"/>
        </w:rPr>
        <w:t>Właściwe zaprojektowanie robót geologicznych dla tego celu wpływa w istotny sposób na ich bezpieczeństwo, a przez to bezpieczeństwo ludzi i środowiska naturalnego. Dodatkowo etap projektowania badań geologicznych jest niezwykle istotny przez to, że organ ocenia także celowość zaprojektowanych robót. O ile w przypadku nieskomplikowanych PRG związanych np. z wykorzystaniem ciepła Ziemi możliwe jest zapewnienie jakości takich projektów przez instytucję sprzeciwu, o tyle w przypadku skomplikowanych inwestycji w zakresie budowy obiektu energetyki jądrowej, gdzie zakres robót geologicznych może być bardzo obszerny (np. dotyczyć kilkuset otworów) byłoby to niemożliwe.</w:t>
      </w:r>
    </w:p>
    <w:p>
      <w:pPr>
        <w:pStyle w:val="Style9"/>
        <w:keepNext w:val="0"/>
        <w:keepLines w:val="0"/>
        <w:widowControl w:val="0"/>
        <w:shd w:val="clear" w:color="auto" w:fill="auto"/>
        <w:bidi w:val="0"/>
        <w:spacing w:before="0" w:after="0"/>
        <w:ind w:left="0" w:right="0" w:firstLine="0"/>
        <w:jc w:val="both"/>
      </w:pPr>
      <w:r>
        <w:rPr>
          <w:rStyle w:val="CharStyle10"/>
        </w:rPr>
        <w:t>Dodatkowym argumentem jest kwestia możliwości udziału stron w postępowaniu administracyjnym o zatwierdzenie PRG, co umożliwia im zapoznanie się z planowanymi na ich nieruchomościach robotami geologicznymi oraz obronę swoich interesów w postępowaniu. Jest niezwykle istotne, aby interes prawny właścicieli nieruchomości został rozważony w postępowaniu.</w:t>
      </w:r>
    </w:p>
    <w:p>
      <w:pPr>
        <w:pStyle w:val="Style9"/>
        <w:keepNext w:val="0"/>
        <w:keepLines w:val="0"/>
        <w:widowControl w:val="0"/>
        <w:shd w:val="clear" w:color="auto" w:fill="auto"/>
        <w:bidi w:val="0"/>
        <w:spacing w:before="0" w:after="220"/>
        <w:ind w:left="0" w:right="0" w:firstLine="0"/>
        <w:jc w:val="both"/>
      </w:pPr>
      <w:r>
        <w:rPr>
          <w:rStyle w:val="CharStyle10"/>
        </w:rPr>
        <w:t>Ponadto należy uwzględnić, że rezygnacja z zatwierdzania PRG wiązałaby się brakiem ich opiniowania i uzgadniania, które jest wymagane dla zatwierdzanych PRG zgodnie z art. 8, 9 i 80 pkt. 5 P.g.g. Dodatkowo analogicznie uniemożliwiałoby to proponowane w pkt. 9 uzgodnienia z prezesem PAA. Wprowadzenie opiniowania i uzgadniania dla projektów przyjmowanych nie jest wykonalne ze względu na czas ich trwania i odczekanie na ostateczność odpowiednich postanowień przy zachowaniu terminu 30 dni.</w:t>
      </w:r>
    </w:p>
    <w:p>
      <w:pPr>
        <w:pStyle w:val="Style15"/>
        <w:keepNext/>
        <w:keepLines/>
        <w:widowControl w:val="0"/>
        <w:shd w:val="clear" w:color="auto" w:fill="auto"/>
        <w:bidi w:val="0"/>
        <w:spacing w:before="0" w:line="264" w:lineRule="auto"/>
        <w:ind w:left="0" w:right="0" w:firstLine="0"/>
        <w:jc w:val="both"/>
      </w:pPr>
      <w:bookmarkStart w:id="4" w:name="bookmark4"/>
      <w:r>
        <w:rPr>
          <w:rStyle w:val="CharStyle16"/>
          <w:b/>
          <w:bCs/>
        </w:rPr>
        <w:t>Ad. 3 zmiany brzmienia art. 85aa ust.1 i 4 P.g.g. - (propozycja odrzucona)</w:t>
      </w:r>
      <w:bookmarkEnd w:id="4"/>
    </w:p>
    <w:p>
      <w:pPr>
        <w:pStyle w:val="Style9"/>
        <w:keepNext w:val="0"/>
        <w:keepLines w:val="0"/>
        <w:widowControl w:val="0"/>
        <w:shd w:val="clear" w:color="auto" w:fill="auto"/>
        <w:bidi w:val="0"/>
        <w:spacing w:before="0" w:after="140" w:line="286" w:lineRule="auto"/>
        <w:ind w:left="0" w:right="0" w:firstLine="0"/>
        <w:jc w:val="left"/>
      </w:pPr>
      <w:r>
        <w:rPr>
          <w:rStyle w:val="CharStyle10"/>
        </w:rPr>
        <w:t>Przedstawione brzmienie przepisów art. 85aa ust. 1 i 4 polega na dodaniu odwołania do zaproponowanego w pkt 2 nowego przepisu art. 85ac ust. 1. Ze względu na odrzucenie propozycji wprowadzenia przepisu art. 85ac, zmiana art. 85aa jest zbędna.</w:t>
      </w:r>
    </w:p>
    <w:p>
      <w:pPr>
        <w:pStyle w:val="Style15"/>
        <w:keepNext/>
        <w:keepLines/>
        <w:widowControl w:val="0"/>
        <w:shd w:val="clear" w:color="auto" w:fill="auto"/>
        <w:bidi w:val="0"/>
        <w:spacing w:before="0" w:after="80" w:line="283" w:lineRule="auto"/>
        <w:ind w:left="0" w:right="0" w:firstLine="0"/>
        <w:jc w:val="left"/>
      </w:pPr>
      <w:bookmarkStart w:id="6" w:name="bookmark6"/>
      <w:r>
        <w:rPr>
          <w:rStyle w:val="CharStyle16"/>
          <w:b/>
          <w:bCs/>
        </w:rPr>
        <w:t>Ad. 4 zmiany brzmienia art. 80a ust. 2 P.g.g. - (propozycja odrzucona)</w:t>
      </w:r>
      <w:bookmarkEnd w:id="6"/>
    </w:p>
    <w:p>
      <w:pPr>
        <w:pStyle w:val="Style9"/>
        <w:keepNext w:val="0"/>
        <w:keepLines w:val="0"/>
        <w:widowControl w:val="0"/>
        <w:shd w:val="clear" w:color="auto" w:fill="auto"/>
        <w:bidi w:val="0"/>
        <w:spacing w:before="0" w:after="140" w:line="283" w:lineRule="auto"/>
        <w:ind w:left="0" w:right="0" w:firstLine="0"/>
        <w:jc w:val="left"/>
      </w:pPr>
      <w:r>
        <w:rPr>
          <w:rStyle w:val="CharStyle10"/>
        </w:rPr>
        <w:t>Obecne brzmienie przepisów nie powinno budzić wątpliwości. Zgodnie z ogólną zasadą wyrażoną w art. 110 § 1 ustawy z dnia 14 czerwca 1964 r. - Kodeksu postępowania administracyjnego</w:t>
      </w:r>
      <w:r>
        <w:rPr>
          <w:rStyle w:val="CharStyle10"/>
          <w:vertAlign w:val="superscript"/>
        </w:rPr>
        <w:footnoteReference w:id="4"/>
      </w:r>
      <w:r>
        <w:rPr>
          <w:rStyle w:val="CharStyle10"/>
        </w:rPr>
        <w:t xml:space="preserve"> („K.p.a.”) organ administracji publicznej, który wydał decyzję, jest nią związany od chwili jej doręczenia lub ogłoszenia, o ile kodeks nie stanowi inaczej. Z tego względu każda zmiana decyzji administracyjnej, w tym zatwierdzającej PRG wymaga podstawy prawnej. Taką funkcję pełni przepis art. 80a ust. 2 P.g.g., a co za tym idzie może mieć on zastosowanie wyłącznie do PRG zatwierdzanych decyzją administracyjną, nie zaś do tych projektów, które są jedynie zgłaszane i nie wymagają wydania przez organ wiążącego aktu, jakim jest decyzja. Z uwagi jednak na wątpliwości, jakie rodzi stosowanie tego przepisu przez organy administracji geologicznej MKiŚ rozważy – po przeanalizowaniu praktyki stosowania tego przepisu, stosowne działania legislacyjne w celu jego modyfikacji.</w:t>
      </w:r>
    </w:p>
    <w:p>
      <w:pPr>
        <w:pStyle w:val="Style15"/>
        <w:keepNext/>
        <w:keepLines/>
        <w:widowControl w:val="0"/>
        <w:shd w:val="clear" w:color="auto" w:fill="auto"/>
        <w:bidi w:val="0"/>
        <w:spacing w:before="0" w:after="80" w:line="283" w:lineRule="auto"/>
        <w:ind w:left="0" w:right="0" w:firstLine="0"/>
        <w:jc w:val="left"/>
      </w:pPr>
      <w:bookmarkStart w:id="8" w:name="bookmark8"/>
      <w:r>
        <w:rPr>
          <w:rStyle w:val="CharStyle16"/>
          <w:b/>
          <w:bCs/>
        </w:rPr>
        <w:t>Ad. 5 nowy art. 80b ust. 1 - 3 P.g.g. - (propozycja odrzucona)</w:t>
      </w:r>
      <w:bookmarkEnd w:id="8"/>
    </w:p>
    <w:p>
      <w:pPr>
        <w:pStyle w:val="Style9"/>
        <w:keepNext w:val="0"/>
        <w:keepLines w:val="0"/>
        <w:widowControl w:val="0"/>
        <w:shd w:val="clear" w:color="auto" w:fill="auto"/>
        <w:bidi w:val="0"/>
        <w:spacing w:before="0" w:after="140" w:line="286" w:lineRule="auto"/>
        <w:ind w:left="0" w:right="0" w:firstLine="0"/>
        <w:jc w:val="left"/>
      </w:pPr>
      <w:r>
        <w:rPr>
          <w:rStyle w:val="CharStyle10"/>
        </w:rPr>
        <w:t>Uwagi do tej propozycji są analogiczne jak do pkt 4. Ponieważ propozycja wprowadzenia art. 85ac została odrzucona przepis ten miałby zastosowanie wyłącznie do obowiązujących obecnie art. 85 i 85a. Brzmienie tych przepisów nie budzi wątpliwości, a ich ewentualne doprecyzowanie mogłoby nastąpić po przeanalizowaniu sposobu ich zastosowania w praktyce. Ubocznie należy dodać, że propozycja brzmienia przepisu w zaproponowanym kształcie budzi wątpliwości z punktu widzenia techniki legislacyjnej, np. art. 80b ust. 3 P.g.g. w końcowej części jest powtórzeniem brzmienia art. 85 ust. 3 i art. 85a ust. 3. Ewentualne, bardziej drobiazgowe uregulowanie zagadnienia sporządzenia dodatku do PRG podlegającego jedynie zgłoszeniu powinno raczej nastąpić w drodze nowelizacji art. 85 i art. 85a P.g.g.</w:t>
      </w:r>
    </w:p>
    <w:p>
      <w:pPr>
        <w:pStyle w:val="Style15"/>
        <w:keepNext/>
        <w:keepLines/>
        <w:widowControl w:val="0"/>
        <w:shd w:val="clear" w:color="auto" w:fill="auto"/>
        <w:bidi w:val="0"/>
        <w:spacing w:before="0" w:after="80" w:line="283" w:lineRule="auto"/>
        <w:ind w:left="0" w:right="0" w:firstLine="0"/>
        <w:jc w:val="left"/>
      </w:pPr>
      <w:bookmarkStart w:id="10" w:name="bookmark10"/>
      <w:r>
        <w:rPr>
          <w:rStyle w:val="CharStyle16"/>
          <w:b/>
          <w:bCs/>
        </w:rPr>
        <w:t>Ad. 6 zmiany brzmienia art. 80a ust. 1 P.g.g. - (propozycja odrzucona)</w:t>
      </w:r>
      <w:bookmarkEnd w:id="10"/>
    </w:p>
    <w:p>
      <w:pPr>
        <w:pStyle w:val="Style9"/>
        <w:keepNext w:val="0"/>
        <w:keepLines w:val="0"/>
        <w:widowControl w:val="0"/>
        <w:shd w:val="clear" w:color="auto" w:fill="auto"/>
        <w:bidi w:val="0"/>
        <w:spacing w:before="0" w:after="140" w:line="286" w:lineRule="auto"/>
        <w:ind w:left="0" w:right="0" w:firstLine="0"/>
        <w:jc w:val="left"/>
      </w:pPr>
      <w:r>
        <w:rPr>
          <w:rStyle w:val="CharStyle10"/>
        </w:rPr>
        <w:t>Z uwagi na odrzucenie propozycji dodania art. 80c, także ww. propozycja powinna zostać odrzucona, gdyż jest konsekwencją ww. art.</w:t>
      </w:r>
    </w:p>
    <w:p>
      <w:pPr>
        <w:pStyle w:val="Style15"/>
        <w:keepNext/>
        <w:keepLines/>
        <w:widowControl w:val="0"/>
        <w:shd w:val="clear" w:color="auto" w:fill="auto"/>
        <w:bidi w:val="0"/>
        <w:spacing w:before="0" w:after="80" w:line="283" w:lineRule="auto"/>
        <w:ind w:left="0" w:right="0" w:firstLine="0"/>
        <w:jc w:val="left"/>
      </w:pPr>
      <w:bookmarkStart w:id="12" w:name="bookmark12"/>
      <w:r>
        <w:rPr>
          <w:rStyle w:val="CharStyle16"/>
          <w:b/>
          <w:bCs/>
        </w:rPr>
        <w:t>Ad. 7 dodania nowego art. 80b P.g.g. - (propozycja odrzucona)</w:t>
      </w:r>
      <w:bookmarkEnd w:id="12"/>
    </w:p>
    <w:p>
      <w:pPr>
        <w:pStyle w:val="Style9"/>
        <w:keepNext w:val="0"/>
        <w:keepLines w:val="0"/>
        <w:widowControl w:val="0"/>
        <w:shd w:val="clear" w:color="auto" w:fill="auto"/>
        <w:bidi w:val="0"/>
        <w:spacing w:before="0" w:after="80"/>
        <w:ind w:left="0" w:right="0" w:firstLine="0"/>
        <w:jc w:val="left"/>
      </w:pPr>
      <w:r>
        <w:rPr>
          <w:rStyle w:val="CharStyle10"/>
        </w:rPr>
        <w:t>Na wstępie należy podkreślić, że wydaje się, że autorom propozycji chodziło o dodanie po art. 80b nowego art. 80c P.g.g. Abstrahując od powyższego, w ocenie MKIŚ wprowadzenie takiego przepisu jest nieuzasadnione. W PRG można zawrzeć pewne postanowienia, które umożliwiają dokonywanie zmian w toku prowadzenia robót, które są uzależnione od okoliczności, w tym warunków napotkanych w podłożu. Wówczas podlega to ocenie organu administracji geologicznej zatwierdzającego projekt. Nie jest zasadne pozwalanie na dokonywanie zmian, które nie będą kontrolowane przez organ, skutkuje to większym ryzykiem wykrycia nieprawidłowości na etapie zatwierdzania dokumentacji geologicznej, co może prowadzić do odmowy jej zatwierdzenia z powodu jej powstania w wyniku działań niezgodnych z prawem.</w:t>
      </w:r>
    </w:p>
    <w:p>
      <w:pPr>
        <w:pStyle w:val="Style9"/>
        <w:keepNext w:val="0"/>
        <w:keepLines w:val="0"/>
        <w:widowControl w:val="0"/>
        <w:shd w:val="clear" w:color="auto" w:fill="auto"/>
        <w:bidi w:val="0"/>
        <w:spacing w:before="0" w:after="120"/>
        <w:ind w:left="0" w:right="0" w:firstLine="0"/>
        <w:jc w:val="left"/>
      </w:pPr>
      <w:r>
        <w:rPr>
          <w:rStyle w:val="CharStyle10"/>
        </w:rPr>
        <w:t>Trudno jest konkretnie (wyczerpująco) wskazać, co może stanowić nieistotne zmiany w PRG. Inne zmiany będę dotyczyły geologii inżynierskiej, inne hydrogeologii oraz inne pozostałych otworów geologicznych. Nie jest wskazane pozostawianie wyłącznej decyzji w</w:t>
      </w:r>
    </w:p>
    <w:p>
      <w:pPr>
        <w:pStyle w:val="Style9"/>
        <w:keepNext w:val="0"/>
        <w:keepLines w:val="0"/>
        <w:widowControl w:val="0"/>
        <w:shd w:val="clear" w:color="auto" w:fill="auto"/>
        <w:bidi w:val="0"/>
        <w:spacing w:before="0"/>
        <w:ind w:left="0" w:right="0" w:firstLine="0"/>
        <w:jc w:val="left"/>
      </w:pPr>
      <w:r>
        <w:rPr>
          <w:rStyle w:val="CharStyle10"/>
        </w:rPr>
        <w:t>zakresie celowości zmian lub zagrożeń dla środowiska - geologowi pełniącemu dozór lub wnioskodawcy, jak też pozbawiania praw właścicieli nieruchomości, na których miałyby być zlokalizowane dodatkowe roboty geologiczne.</w:t>
      </w:r>
    </w:p>
    <w:p>
      <w:pPr>
        <w:pStyle w:val="Style9"/>
        <w:keepNext w:val="0"/>
        <w:keepLines w:val="0"/>
        <w:widowControl w:val="0"/>
        <w:shd w:val="clear" w:color="auto" w:fill="auto"/>
        <w:bidi w:val="0"/>
        <w:spacing w:before="0" w:line="276" w:lineRule="auto"/>
        <w:ind w:left="0" w:right="0" w:firstLine="0"/>
        <w:jc w:val="left"/>
      </w:pPr>
      <w:r>
        <w:rPr>
          <w:rStyle w:val="CharStyle10"/>
          <w:b/>
          <w:bCs/>
        </w:rPr>
        <w:t>Ad. 8 zmiany brzmienia art. 81 ust. 2a i 3a P.g.g. - (propozycja odrzucona)</w:t>
      </w:r>
    </w:p>
    <w:p>
      <w:pPr>
        <w:pStyle w:val="Style9"/>
        <w:keepNext w:val="0"/>
        <w:keepLines w:val="0"/>
        <w:widowControl w:val="0"/>
        <w:shd w:val="clear" w:color="auto" w:fill="auto"/>
        <w:bidi w:val="0"/>
        <w:spacing w:before="0" w:after="140" w:line="286" w:lineRule="auto"/>
        <w:ind w:left="0" w:right="0" w:firstLine="0"/>
        <w:jc w:val="left"/>
      </w:pPr>
      <w:r>
        <w:rPr>
          <w:rStyle w:val="CharStyle10"/>
        </w:rPr>
        <w:t>Odnosząc się do zaproponowanego brzmienia art. 81 ust. 2a, należy podkreślić, że Ministerstwo w toku prowadzonych prac koncepcyjnych nad zmianami w P.g.g. przewidziało skrócenie terminu na zgłoszenie zamiaru rozpoczęcia robót geologicznych dla wszelkich inwestycji, a nie tylko inwestycji jądrowych. Celem takiego rozwiązania jest to, aby nie tworzyć wyjątków mających zastosowanie tylko do konkretnego rodzaju inwestycji - tylko stworzyć przepisy ogólne, które będą miały zastosowanie w wielu przypadkach, aby unikać nadmiernej kazuistyki prawa.</w:t>
      </w:r>
    </w:p>
    <w:p>
      <w:pPr>
        <w:pStyle w:val="Style9"/>
        <w:keepNext w:val="0"/>
        <w:keepLines w:val="0"/>
        <w:widowControl w:val="0"/>
        <w:shd w:val="clear" w:color="auto" w:fill="auto"/>
        <w:bidi w:val="0"/>
        <w:spacing w:before="0"/>
        <w:ind w:left="0" w:right="0" w:firstLine="0"/>
        <w:jc w:val="left"/>
      </w:pPr>
      <w:r>
        <w:rPr>
          <w:rStyle w:val="CharStyle10"/>
        </w:rPr>
        <w:t>Aktualnie w myśl art. 81 ust. 1 P.g.g., ten, kto uzyskał koncesję na poszukiwanie lub rozpoznawanie złoża kopaliny, z wyłączeniem złoża węglowodorów, lub koncesję na poszukiwanie i rozpoznawanie złóż węglowodorów oraz wydobywanie węglowodorów ze złóż albo uzyskał decyzję o zatwierdzeniu projektu robót geologicznych, zgłasza zamiar rozpoczęcia robót geologicznych właściwemu organowi administracji geologicznej, wójtowi (burmistrzowi, prezydentowi miasta), a na obszarach morskich Rzeczypospolitej Polskiej - terenowemu organowi administracji morskiej oraz organowi nadzoru górniczego - jeżeli do robót geologicznych stosuje się wymagania dotyczące ruchu zakładu górniczego. Jak stanowi art. 81 ust. 2 P.g.g. zgłoszenia dokonuje się na piśmie utrwalonym w postaci papierowej lub elektronicznej, opatrzonym odpowiednio do sposobu utrwalenia podpisem własnoręcznym, kwalifikowanym podpisem elektronicznym, podpisem zaufanym albo podpisem osobistym, najpóźniej na 14 dni przed zamierzonym terminem rozpoczęcia robót geologicznych, określając:</w:t>
      </w:r>
    </w:p>
    <w:p>
      <w:pPr>
        <w:pStyle w:val="Style9"/>
        <w:keepNext w:val="0"/>
        <w:keepLines w:val="0"/>
        <w:widowControl w:val="0"/>
        <w:numPr>
          <w:ilvl w:val="0"/>
          <w:numId w:val="3"/>
        </w:numPr>
        <w:shd w:val="clear" w:color="auto" w:fill="auto"/>
        <w:tabs>
          <w:tab w:pos="188" w:val="left"/>
        </w:tabs>
        <w:bidi w:val="0"/>
        <w:spacing w:before="0" w:line="276" w:lineRule="auto"/>
        <w:ind w:left="0" w:right="0" w:firstLine="0"/>
        <w:jc w:val="left"/>
      </w:pPr>
      <w:r>
        <w:rPr>
          <w:rStyle w:val="CharStyle10"/>
        </w:rPr>
        <w:t>zamierzone terminy rozpoczęcia i zakończenia robót geologicznych,</w:t>
      </w:r>
    </w:p>
    <w:p>
      <w:pPr>
        <w:pStyle w:val="Style9"/>
        <w:keepNext w:val="0"/>
        <w:keepLines w:val="0"/>
        <w:widowControl w:val="0"/>
        <w:numPr>
          <w:ilvl w:val="0"/>
          <w:numId w:val="3"/>
        </w:numPr>
        <w:shd w:val="clear" w:color="auto" w:fill="auto"/>
        <w:tabs>
          <w:tab w:pos="188" w:val="left"/>
        </w:tabs>
        <w:bidi w:val="0"/>
        <w:spacing w:before="0" w:line="276" w:lineRule="auto"/>
        <w:ind w:left="0" w:right="0" w:firstLine="0"/>
        <w:jc w:val="left"/>
      </w:pPr>
      <w:r>
        <w:rPr>
          <w:rStyle w:val="CharStyle10"/>
        </w:rPr>
        <w:t>ich rodzaj i podstawowe dane dotyczące robót geologicznych oraz</w:t>
      </w:r>
    </w:p>
    <w:p>
      <w:pPr>
        <w:pStyle w:val="Style9"/>
        <w:keepNext w:val="0"/>
        <w:keepLines w:val="0"/>
        <w:widowControl w:val="0"/>
        <w:numPr>
          <w:ilvl w:val="0"/>
          <w:numId w:val="3"/>
        </w:numPr>
        <w:shd w:val="clear" w:color="auto" w:fill="auto"/>
        <w:tabs>
          <w:tab w:pos="188" w:val="left"/>
        </w:tabs>
        <w:bidi w:val="0"/>
        <w:spacing w:before="0" w:line="276" w:lineRule="auto"/>
        <w:ind w:left="0" w:right="0" w:firstLine="0"/>
        <w:jc w:val="left"/>
      </w:pPr>
      <w:r>
        <w:rPr>
          <w:rStyle w:val="CharStyle10"/>
        </w:rPr>
        <w:t>imiona i nazwiska osób sprawujących dozór i kierownictwo, a także</w:t>
      </w:r>
    </w:p>
    <w:p>
      <w:pPr>
        <w:pStyle w:val="Style9"/>
        <w:keepNext w:val="0"/>
        <w:keepLines w:val="0"/>
        <w:widowControl w:val="0"/>
        <w:numPr>
          <w:ilvl w:val="0"/>
          <w:numId w:val="3"/>
        </w:numPr>
        <w:shd w:val="clear" w:color="auto" w:fill="auto"/>
        <w:tabs>
          <w:tab w:pos="188" w:val="left"/>
        </w:tabs>
        <w:bidi w:val="0"/>
        <w:spacing w:before="0" w:line="276" w:lineRule="auto"/>
        <w:ind w:left="0" w:right="0" w:firstLine="0"/>
        <w:jc w:val="left"/>
      </w:pPr>
      <w:r>
        <w:rPr>
          <w:rStyle w:val="CharStyle10"/>
        </w:rPr>
        <w:t>numery świadectw stwierdzających kwalifikacje do wykonywania tych czynności.</w:t>
      </w:r>
    </w:p>
    <w:p>
      <w:pPr>
        <w:pStyle w:val="Style9"/>
        <w:keepNext w:val="0"/>
        <w:keepLines w:val="0"/>
        <w:widowControl w:val="0"/>
        <w:shd w:val="clear" w:color="auto" w:fill="auto"/>
        <w:bidi w:val="0"/>
        <w:spacing w:before="0"/>
        <w:ind w:left="0" w:right="0" w:firstLine="0"/>
        <w:jc w:val="left"/>
      </w:pPr>
      <w:r>
        <w:rPr>
          <w:rStyle w:val="CharStyle10"/>
        </w:rPr>
        <w:t>W ocenie inwestorów oraz wykonawców robót geologicznych, w szczególności prowadzonych w celu realizacji inwestycji w zakresie obiektów budowlanych, termin zgłaszania zamiaru rozpoczęcia robót geologicznych z minimum 14 dniowym wyprzedzeniem bywa zbyt długi i blokuje możliwość wcześniejszego rozpoczęcia wykonywania robót geologicznych.</w:t>
      </w:r>
    </w:p>
    <w:p>
      <w:pPr>
        <w:pStyle w:val="Style9"/>
        <w:keepNext w:val="0"/>
        <w:keepLines w:val="0"/>
        <w:widowControl w:val="0"/>
        <w:shd w:val="clear" w:color="auto" w:fill="auto"/>
        <w:bidi w:val="0"/>
        <w:spacing w:before="0" w:after="140" w:line="286" w:lineRule="auto"/>
        <w:ind w:left="0" w:right="0" w:firstLine="0"/>
        <w:jc w:val="left"/>
      </w:pPr>
      <w:r>
        <w:rPr>
          <w:rStyle w:val="CharStyle10"/>
        </w:rPr>
        <w:t>Tym samym Ministerstwo zaproponowało skrócenie terminu na zgłoszenie zamiaru rozpoczęcia robót geologicznych – z obecnie obowiązującego terminu 14 dni na 7 dni. Dodatkowo w przypadku inwestycji, dla których decyzja zatwierdzająca PRG posiada rygor natychmiastowej wykonalności nadany przez organ na podstawie przepisów art. 108 K.p.a. lub przyznany z mocy ustawy, zasadne jest umożliwienie dokonania zgłoszenia zamiaru rozpoczęcia robót geologicznych bez konieczności zachowania terminu (zgłoszenie musi być dokonane, ale nie trzeba czekać z wykonywaniem robót geologicznych do upływu ww. terminu). Należałoby zmienić art. 81 ust. 2 P.g.g. oraz dodać w tym przepisie ust. 2a. Propozycja skrócenia terminu na zgłoszenie zamiaru rozpoczęcia robót geologicznych wynika z analizy wielu różnych propozycji uproszczeń dotyczących głównie obszaru geologii inżynierskiej.</w:t>
      </w:r>
    </w:p>
    <w:p>
      <w:pPr>
        <w:pStyle w:val="Style9"/>
        <w:keepNext w:val="0"/>
        <w:keepLines w:val="0"/>
        <w:widowControl w:val="0"/>
        <w:shd w:val="clear" w:color="auto" w:fill="auto"/>
        <w:bidi w:val="0"/>
        <w:spacing w:before="0" w:line="286" w:lineRule="auto"/>
        <w:ind w:left="0" w:right="0" w:firstLine="0"/>
        <w:jc w:val="left"/>
      </w:pPr>
      <w:r>
        <w:rPr>
          <w:rStyle w:val="CharStyle10"/>
        </w:rPr>
        <w:t>Tym samym, skrócony termin 7 dni na zgłoszenie zamiaru rozpoczęcia wykonywania robót geologicznych miałby zastosowanie do zgłaszania zamiaru rozpoczęcia wszelkiego typu</w:t>
      </w:r>
    </w:p>
    <w:p>
      <w:pPr>
        <w:pStyle w:val="Style9"/>
        <w:keepNext w:val="0"/>
        <w:keepLines w:val="0"/>
        <w:widowControl w:val="0"/>
        <w:shd w:val="clear" w:color="auto" w:fill="auto"/>
        <w:bidi w:val="0"/>
        <w:spacing w:before="0" w:after="140" w:line="286" w:lineRule="auto"/>
        <w:ind w:left="0" w:right="0" w:firstLine="0"/>
        <w:jc w:val="left"/>
      </w:pPr>
      <w:r>
        <w:rPr>
          <w:rStyle w:val="CharStyle10"/>
        </w:rPr>
        <w:t>robót, nie tylko do proponowanych przez poszczególne podmioty rodzajów inwestycji. Wydaje się uzasadnione, aby wszystkich przedsiębiorców potraktować jednakowo. Jednakże w przypadku, gdy decyzja zatwierdzająca PRG posiada rygor natychmiastowej wykonalności, wówczas oznacza to, że mamy do czynienia ze szczególną sytuacją. Z art. 108 K.p.a. wynika bowiem, że decyzji, od której służy odwołanie, może być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 Przesłanki do nadania decyzji rygoru natychmiastowej wykonalności są wskazane w ustawie i oceniane przez organ, który może nie uwzględnić takiego wniosku. Jeśli jednak tak ważne przyczyny przemawiają za możliwością wykonania decyzji mimo tego, że nie jest ostateczna (lub gdy postanowił o tym ustawodawca), wówczas należy przyjąć, że roboty geologiczne wykonywane na podstawie takiej decyzji nie powinny być opóźniane przez obowiązek zgłoszenia zamiaru rozpoczęcia robót geologicznych. Stąd propozycja, aby w takich przypadkach to zgłoszenie musiało być dokonane, ale przedsiębiorca nie musiał zachowywać określonego terminu na jego dokonanie.</w:t>
      </w:r>
    </w:p>
    <w:p>
      <w:pPr>
        <w:pStyle w:val="Style9"/>
        <w:keepNext w:val="0"/>
        <w:keepLines w:val="0"/>
        <w:widowControl w:val="0"/>
        <w:shd w:val="clear" w:color="auto" w:fill="auto"/>
        <w:bidi w:val="0"/>
        <w:spacing w:before="0" w:after="140" w:line="283" w:lineRule="auto"/>
        <w:ind w:left="0" w:right="0" w:firstLine="0"/>
        <w:jc w:val="left"/>
      </w:pPr>
      <w:r>
        <w:rPr>
          <w:rStyle w:val="CharStyle10"/>
        </w:rPr>
        <w:t>Nie należy całkowicie zrezygnować z obowiązku zgłaszania zamiaru rozpoczęcia robót geologicznych, ponieważ w wielu przypadkach uniemożliwiłoby to przeprowadzanie kontroli tych robót. Głównym celem przepisów o obowiązku zawiadomienia odpowiednich organów o zamiarze rozpoczęcia wykonywania robót geologicznych jest umożliwienie tym organom przeprowadzenia ewentualnej kontroli zaprojektowanych robót geologicznych. Należy bowiem zauważyć, że projekty robót geologicznych są zatwierdzane niejednokrotnie na stosunkowo długi czas (do 5 lat), co wiąże się często z koniecznością pozyskania finansowania na wykonanie zaprojektowanych robót geologicznych, albo względami związanymi z możliwością wykonywania robót geologicznych w określonym czasie w roku kalendarzowym. Nie wiedząc, kiedy inwestor zamierza wykonywać roboty geologiczne, organ administracji geologicznej byłby de facto pozbawiony możliwości ich skontrolowania.</w:t>
      </w:r>
    </w:p>
    <w:p>
      <w:pPr>
        <w:pStyle w:val="Style9"/>
        <w:keepNext w:val="0"/>
        <w:keepLines w:val="0"/>
        <w:widowControl w:val="0"/>
        <w:shd w:val="clear" w:color="auto" w:fill="auto"/>
        <w:bidi w:val="0"/>
        <w:spacing w:before="0" w:after="140" w:line="283" w:lineRule="auto"/>
        <w:ind w:left="0" w:right="0" w:firstLine="0"/>
        <w:jc w:val="left"/>
      </w:pPr>
      <w:r>
        <w:rPr>
          <w:rStyle w:val="CharStyle10"/>
        </w:rPr>
        <w:t>Skrócenie terminu do 7 dni wyważy interesy przedsiębiorcy, który chce szybciej zacząć wykonywać roboty geologiczne, ale też umożliwi organom podjęcie kontroli wykonywania tych robót, zwłaszcza w dobie coraz bardziej powszechnych doręczeń elektronicznych, które skracają czas potrzebny na przygotowanie kontroli. Natomiast rezygnacja z zachowania terminu w przypadku zgłoszenia zamiaru rozpoczęcia robót geologicznych, które miałyby być wykonywane na podstawie decyzji zatwierdzającej PRG, która posiada rygor natychmiastowej wykonalności - wiązałaby się z tym, że jeśli ze zgłoszenia będą wynikać nieprawidłowości, wówczas organ ma co prawda mniej czasu na przeprowadzenie kontroli, ale zachowuje wynikającą z obecnie obowiązujących przepisów możliwość zastosowania przepisów wykroczeniowych uregulowanych w P.g.g. np. w sytuacji, gdy w zgłoszeniu zostanie wskazana osoba nie posiadająca wymaganych kwalifikacji, wówczas można zastosować art. 178 P.g.g.</w:t>
      </w:r>
    </w:p>
    <w:p>
      <w:pPr>
        <w:pStyle w:val="Style9"/>
        <w:keepNext w:val="0"/>
        <w:keepLines w:val="0"/>
        <w:widowControl w:val="0"/>
        <w:shd w:val="clear" w:color="auto" w:fill="auto"/>
        <w:bidi w:val="0"/>
        <w:spacing w:before="0" w:after="140" w:line="283" w:lineRule="auto"/>
        <w:ind w:left="0" w:right="0" w:firstLine="0"/>
        <w:jc w:val="left"/>
      </w:pPr>
      <w:r>
        <w:rPr>
          <w:rStyle w:val="CharStyle10"/>
        </w:rPr>
        <w:t>Odnosząc się do propozycji nowego brzmienia art. 81 ust. 3a P.g.g., również należy ją odrzucić w tym momencie i w zaproponowanym brzmieniu. W toku prowadzonych w MKiŚ prac legislacyjnych została zgłoszona propozycja rezygnacji z art. 81 ust. 3 P.g.g. Będzie ona analizowana i opiniowana w toku dalszych prac legislacyjnych. Podczas analizowania tej kwestii zostanie wzięta również pod uwagę propozycja zaproponowanego brzmienia art. 81 ust. 3a P.g.g.</w:t>
      </w:r>
    </w:p>
    <w:p>
      <w:pPr>
        <w:pStyle w:val="Style15"/>
        <w:keepNext/>
        <w:keepLines/>
        <w:widowControl w:val="0"/>
        <w:shd w:val="clear" w:color="auto" w:fill="auto"/>
        <w:bidi w:val="0"/>
        <w:spacing w:before="0" w:line="264" w:lineRule="auto"/>
        <w:ind w:left="0" w:right="0" w:firstLine="0"/>
        <w:jc w:val="left"/>
      </w:pPr>
      <w:bookmarkStart w:id="14" w:name="bookmark14"/>
      <w:r>
        <w:rPr>
          <w:rStyle w:val="CharStyle16"/>
          <w:b/>
          <w:bCs/>
        </w:rPr>
        <w:t>Ad. 9 dodania nowego art. 8a P.g.g. - (propozycja do przyjęcia po modyfikacji brzmienia)</w:t>
      </w:r>
      <w:bookmarkEnd w:id="14"/>
    </w:p>
    <w:p>
      <w:pPr>
        <w:pStyle w:val="Style9"/>
        <w:keepNext w:val="0"/>
        <w:keepLines w:val="0"/>
        <w:widowControl w:val="0"/>
        <w:shd w:val="clear" w:color="auto" w:fill="auto"/>
        <w:bidi w:val="0"/>
        <w:spacing w:before="0"/>
        <w:ind w:left="0" w:right="0" w:firstLine="0"/>
        <w:jc w:val="left"/>
      </w:pPr>
      <w:r>
        <w:rPr>
          <w:rStyle w:val="CharStyle10"/>
        </w:rPr>
        <w:t>Proponuje się wprowadzenie zobowiązania organu administracji geologicznej do uzgodnienia z Prezesem Państwowej Agencji Atomistyki („Prezes PAA”) decyzji w postępowaniach dotyczących zatwierdzenia PRG, dokumentacji geologicznych i dodatków do nich w sprawach dotyczących obiektów jądrowych i składowisk odpadów promieniotwórczych. Po art. 8 dodaje się art. 8a. w brzmieniu „Art. 8a. Decyzje wydawane na podstawie art. 80 ust. 1, art. 80a ust. 2, art. 93 ust. 2, art. 93 ust. 4 ustawy, które dotyczą obiektów jądrowych lub obiektów energetyki jądrowej, wymagają uzgodnienia z Prezesem Państwowej Agencji Atomistyki.”.</w:t>
      </w:r>
    </w:p>
    <w:p>
      <w:pPr>
        <w:pStyle w:val="Style9"/>
        <w:keepNext w:val="0"/>
        <w:keepLines w:val="0"/>
        <w:widowControl w:val="0"/>
        <w:shd w:val="clear" w:color="auto" w:fill="auto"/>
        <w:bidi w:val="0"/>
        <w:spacing w:before="0"/>
        <w:ind w:left="0" w:right="0" w:firstLine="0"/>
        <w:jc w:val="left"/>
      </w:pPr>
      <w:r>
        <w:rPr>
          <w:rStyle w:val="CharStyle10"/>
        </w:rPr>
        <w:t>Do zakresu zadań Prezesa PAA (art. 110 ustawy z 29 listopada 2000 - Prawo atomowe</w:t>
      </w:r>
      <w:r>
        <w:rPr>
          <w:rStyle w:val="CharStyle10"/>
          <w:vertAlign w:val="superscript"/>
        </w:rPr>
        <w:footnoteReference w:id="5"/>
      </w:r>
      <w:r>
        <w:rPr>
          <w:rStyle w:val="CharStyle10"/>
          <w:vertAlign w:val="superscript"/>
        </w:rPr>
        <w:t xml:space="preserve"> </w:t>
      </w:r>
      <w:r>
        <w:rPr>
          <w:rStyle w:val="CharStyle10"/>
        </w:rPr>
        <w:t>„u.p.a.”) należy wykonywanie zadań związanych z zapewnieniem bezpieczeństwa jądrowego i ochrony radiologicznej kraju, w tym m.in. przygotowywanie opinii, w zakresie bezpieczeństwa jądrowego i ochrony radiologicznej do projektów działań technicznych związanych z pokojowym wykorzystywaniem energii atomowej, na potrzeby organów administracji rządowej i samorządowej. Prezes PAA jest organem wyspecjalizowanym w zakresie bezpieczeństwa jądrowego oraz w sprawach związanych z udzielaniem zgód na lokalizowanie, budowę, eksploatację i zamknięcie obiektów jądrowych oraz obiektów energetyki jądrowej.</w:t>
      </w:r>
    </w:p>
    <w:p>
      <w:pPr>
        <w:pStyle w:val="Style9"/>
        <w:keepNext w:val="0"/>
        <w:keepLines w:val="0"/>
        <w:widowControl w:val="0"/>
        <w:shd w:val="clear" w:color="auto" w:fill="auto"/>
        <w:bidi w:val="0"/>
        <w:spacing w:before="0"/>
        <w:ind w:left="0" w:right="0" w:firstLine="0"/>
        <w:jc w:val="left"/>
      </w:pPr>
      <w:r>
        <w:rPr>
          <w:rStyle w:val="CharStyle10"/>
        </w:rPr>
        <w:t>Zgodnie z art. 35b ust. 1 u.p.a., obiekt jądrowy lokalizuje się na terenie, który umożliwia zapewnienie bezpieczeństwa jądrowego, ochrony radiologicznej i ochrony fizycznej podczas rozruchu, eksploatacji i likwidacji tego obiektu, a także przeprowadzenie sprawnego postępowania awaryjnego w przypadku wystąpienia zdarzenia radiacyjnego. Przed wyborem lokalizacji obiektu jądrowego inwestor przeprowadza badania i pomiary terenu, a na ich podstawie ocenę terenu przeznaczonego pod lokalizację obiektu jądrowego. Ocena ta dotyczy m.in. warunków sejsmicznych, tektonicznych, geologiczno- inżynierskich, hydrogeologicznych, hydrologicznych i meteorologicznych (art. 35b ust. 2 pkt 1 u.p.a.). Na podstawie oceny terenu przeznaczonego pod lokalizację obiektu jądrowego inwestor opracowuje m.in. raport lokalizacyjny i przedstawia go Prezesowi Agencji. Raport lokalizacyjny podlega ocenie Prezesa PAA w toku postępowania o wydanie zezwolenia na budowę obiektu jądrowego (art. 35b ust. 3 u.p.a.).</w:t>
      </w:r>
    </w:p>
    <w:p>
      <w:pPr>
        <w:pStyle w:val="Style9"/>
        <w:keepNext w:val="0"/>
        <w:keepLines w:val="0"/>
        <w:widowControl w:val="0"/>
        <w:shd w:val="clear" w:color="auto" w:fill="auto"/>
        <w:bidi w:val="0"/>
        <w:spacing w:before="0"/>
        <w:ind w:left="0" w:right="0" w:firstLine="0"/>
        <w:jc w:val="left"/>
      </w:pPr>
      <w:r>
        <w:rPr>
          <w:rStyle w:val="CharStyle10"/>
        </w:rPr>
        <w:t>Z kolei, zgodnie z art. 53c u.p.a. wybór lokalizacji składowiska odpadów promieniotwórczych poprzedza analiza i badania terenu, obejmujące m.in. budowę geologiczną, występowanie złóż kopalin, warunków hydrogeologicznych czy geochemicznych. Z przeprowadzonych badań inwestor sporządza raport bezpieczeństwa składowiska odpadów promieniotwórczych i dołącza go do wniosku o wydanie zezwolenia na budowę składowiska (art. 53 d u.p.a.).</w:t>
      </w:r>
    </w:p>
    <w:p>
      <w:pPr>
        <w:pStyle w:val="Style9"/>
        <w:keepNext w:val="0"/>
        <w:keepLines w:val="0"/>
        <w:widowControl w:val="0"/>
        <w:shd w:val="clear" w:color="auto" w:fill="auto"/>
        <w:bidi w:val="0"/>
        <w:spacing w:before="0"/>
        <w:ind w:left="0" w:right="0" w:firstLine="0"/>
        <w:jc w:val="left"/>
      </w:pPr>
      <w:r>
        <w:rPr>
          <w:rStyle w:val="CharStyle10"/>
        </w:rPr>
        <w:t>Należy uznać, że prezes PAA, jako organ wyspecjalizowany, będzie w stanie ocenić czy projektowane roboty geologiczne uwzględniają badania umożliwiające przeprowadzenie oceny terenu przeznaczonego pod lokalizację obiektu jądrowego lub składowiska odpadów promieniotwórczych zgodnie z u.p.a.</w:t>
      </w:r>
    </w:p>
    <w:p>
      <w:pPr>
        <w:pStyle w:val="Style9"/>
        <w:keepNext w:val="0"/>
        <w:keepLines w:val="0"/>
        <w:widowControl w:val="0"/>
        <w:shd w:val="clear" w:color="auto" w:fill="auto"/>
        <w:bidi w:val="0"/>
        <w:spacing w:before="0"/>
        <w:ind w:left="0" w:right="0" w:firstLine="0"/>
        <w:jc w:val="left"/>
      </w:pPr>
      <w:r>
        <w:rPr>
          <w:rStyle w:val="CharStyle10"/>
        </w:rPr>
        <w:t>Jak sami Państwo zauważyli - uzgadnianie decyzji przez Prezesa PAA może także przełożyć się na poprawę efektywności procesu inwestycyjnego, ponieważ w zakresie właściwości tego organu leży ocena opracowań, które są wykonywane na podstawie dokumentacji geologicznej albo których częścią jest dokumentacja geologiczna. Zapewnienie udziału Prezesa PAA od pierwszych etapów procesu, którego rezultatem jest zatwierdzenie projektu robót geologicznych czy dokumentacji geologicznej pozwoli bowiem na wczesne wychwycenie ewentualnych braków lub niedociągnięć w tym zakresie. Wczesne zapoznanie się przez Prezesa PAA z warunkami geologicznymi lokalizacji, w której planuje</w:t>
      </w:r>
    </w:p>
    <w:p>
      <w:pPr>
        <w:pStyle w:val="Style9"/>
        <w:keepNext w:val="0"/>
        <w:keepLines w:val="0"/>
        <w:widowControl w:val="0"/>
        <w:shd w:val="clear" w:color="auto" w:fill="auto"/>
        <w:bidi w:val="0"/>
        <w:spacing w:before="0" w:after="120"/>
        <w:ind w:left="0" w:right="0" w:firstLine="0"/>
        <w:jc w:val="left"/>
      </w:pPr>
      <w:r>
        <w:rPr>
          <w:rStyle w:val="CharStyle10"/>
        </w:rPr>
        <w:t>się realizację inwestycji w zakresie budowy obiektu energetyki jądrowej może także przyczynić się do usprawnienia kolejnych postępowań administracyjnych prowadzonych już przez ten organ.</w:t>
      </w:r>
    </w:p>
    <w:p>
      <w:pPr>
        <w:pStyle w:val="Style9"/>
        <w:keepNext w:val="0"/>
        <w:keepLines w:val="0"/>
        <w:widowControl w:val="0"/>
        <w:shd w:val="clear" w:color="auto" w:fill="auto"/>
        <w:bidi w:val="0"/>
        <w:spacing w:before="0" w:after="120"/>
        <w:ind w:left="0" w:right="0" w:firstLine="0"/>
        <w:jc w:val="left"/>
      </w:pPr>
      <w:r>
        <w:rPr>
          <w:rStyle w:val="CharStyle10"/>
        </w:rPr>
        <w:t>Zakres decyzji podlegających uzgodnieniu oraz kryteria uzgodnienia do wypracowania z PAA w toku procesu legislacyjnego, ponieważ w P.g.g. uregulowano wydawanie szeregu innych decyzji niż te zatwierdzające PRG czy dokumentacje geologiczne, np. decyzje dotyczące planu ruchu zakładu górniczego czy nakładające opłaty podwyższone.</w:t>
      </w:r>
    </w:p>
    <w:p>
      <w:pPr>
        <w:pStyle w:val="Style9"/>
        <w:keepNext w:val="0"/>
        <w:keepLines w:val="0"/>
        <w:widowControl w:val="0"/>
        <w:shd w:val="clear" w:color="auto" w:fill="auto"/>
        <w:bidi w:val="0"/>
        <w:spacing w:before="0" w:after="460"/>
        <w:ind w:left="0" w:right="0" w:firstLine="0"/>
        <w:jc w:val="left"/>
      </w:pPr>
      <w:r>
        <w:rPr>
          <w:rStyle w:val="CharStyle10"/>
        </w:rPr>
        <w:t>Jednocześnie należy podkreślić, że wszystkie sygnały dotyczące stosowania przepisów P.g.g. w praktyce stanowią dla projektodawcy ważny głos analizowany na etapie oceny obowiązujących rozwiązań prawnych, tym bardziej, że jak już wcześniej zostało wspomniane - aktualnie prowadzone są prace koncepcyjne nad kolejną nowelizacją tej ustawy. Ze swojej strony mogę Państwa zapewnić, że Państwa Spółka zostanie uwzględniona - na etapie konsultacji publicznych nowelizacji P.g.g. - w pracach legislacyjnych.</w:t>
      </w:r>
    </w:p>
    <w:p>
      <w:pPr>
        <w:pStyle w:val="Style9"/>
        <w:keepNext w:val="0"/>
        <w:keepLines w:val="0"/>
        <w:widowControl w:val="0"/>
        <w:shd w:val="clear" w:color="auto" w:fill="auto"/>
        <w:bidi w:val="0"/>
        <w:spacing w:before="0" w:after="180"/>
        <w:ind w:left="0" w:right="0" w:firstLine="0"/>
        <w:jc w:val="left"/>
      </w:pPr>
      <w:r>
        <w:rPr>
          <w:rStyle w:val="CharStyle10"/>
        </w:rPr>
        <w:t>Z wyrazami szacunku</w:t>
      </w:r>
    </w:p>
    <w:p>
      <w:pPr>
        <w:pStyle w:val="Style9"/>
        <w:keepNext w:val="0"/>
        <w:keepLines w:val="0"/>
        <w:widowControl w:val="0"/>
        <w:shd w:val="clear" w:color="auto" w:fill="auto"/>
        <w:bidi w:val="0"/>
        <w:spacing w:before="0" w:after="420"/>
        <w:ind w:left="0" w:right="0" w:firstLine="0"/>
        <w:jc w:val="left"/>
      </w:pPr>
      <w:r>
        <w:rPr>
          <w:rStyle w:val="CharStyle10"/>
        </w:rPr>
        <w:t>Z up. Ministra</w:t>
      </w:r>
    </w:p>
    <w:p>
      <w:pPr>
        <w:pStyle w:val="Style9"/>
        <w:keepNext w:val="0"/>
        <w:keepLines w:val="0"/>
        <w:widowControl w:val="0"/>
        <w:shd w:val="clear" w:color="auto" w:fill="auto"/>
        <w:bidi w:val="0"/>
        <w:spacing w:before="0" w:after="0"/>
        <w:ind w:left="0" w:right="0" w:firstLine="0"/>
        <w:jc w:val="left"/>
      </w:pPr>
      <w:r>
        <w:rPr>
          <w:rStyle w:val="CharStyle10"/>
        </w:rPr>
        <w:t>Zastępca Dyrektora</w:t>
      </w:r>
    </w:p>
    <w:p>
      <w:pPr>
        <w:pStyle w:val="Style9"/>
        <w:keepNext w:val="0"/>
        <w:keepLines w:val="0"/>
        <w:widowControl w:val="0"/>
        <w:shd w:val="clear" w:color="auto" w:fill="auto"/>
        <w:bidi w:val="0"/>
        <w:spacing w:before="0" w:after="0"/>
        <w:ind w:left="0" w:right="0" w:firstLine="0"/>
        <w:jc w:val="left"/>
      </w:pPr>
      <w:r>
        <w:rPr>
          <w:rStyle w:val="CharStyle10"/>
        </w:rPr>
        <w:t>Departament Geologii</w:t>
      </w:r>
    </w:p>
    <w:p>
      <w:pPr>
        <w:pStyle w:val="Style9"/>
        <w:keepNext w:val="0"/>
        <w:keepLines w:val="0"/>
        <w:widowControl w:val="0"/>
        <w:shd w:val="clear" w:color="auto" w:fill="auto"/>
        <w:bidi w:val="0"/>
        <w:spacing w:before="0" w:after="0"/>
        <w:ind w:left="0" w:right="0" w:firstLine="0"/>
        <w:jc w:val="left"/>
      </w:pPr>
      <w:r>
        <w:rPr>
          <w:rStyle w:val="CharStyle10"/>
        </w:rPr>
        <w:t>Ministerstwo Klimatu i Środowiska</w:t>
      </w:r>
    </w:p>
    <w:p>
      <w:pPr>
        <w:pStyle w:val="Style9"/>
        <w:keepNext w:val="0"/>
        <w:keepLines w:val="0"/>
        <w:widowControl w:val="0"/>
        <w:shd w:val="clear" w:color="auto" w:fill="auto"/>
        <w:bidi w:val="0"/>
        <w:spacing w:before="0" w:after="700"/>
        <w:ind w:left="0" w:right="0" w:firstLine="0"/>
        <w:jc w:val="left"/>
      </w:pPr>
      <w:r>
        <w:rPr>
          <w:rStyle w:val="CharStyle10"/>
        </w:rPr>
        <w:t>/ – podpisany cyfrowo/</w:t>
      </w:r>
    </w:p>
    <w:p>
      <w:pPr>
        <w:pStyle w:val="Style9"/>
        <w:keepNext w:val="0"/>
        <w:keepLines w:val="0"/>
        <w:widowControl w:val="0"/>
        <w:shd w:val="clear" w:color="auto" w:fill="auto"/>
        <w:bidi w:val="0"/>
        <w:spacing w:before="0" w:after="120" w:line="240" w:lineRule="auto"/>
        <w:ind w:left="0" w:right="0" w:firstLine="0"/>
        <w:jc w:val="left"/>
      </w:pPr>
      <w:r>
        <w:rPr>
          <w:rStyle w:val="CharStyle10"/>
        </w:rPr>
        <w:t>Do wiadomości:</w:t>
      </w:r>
    </w:p>
    <w:p>
      <w:pPr>
        <w:pStyle w:val="Style9"/>
        <w:keepNext w:val="0"/>
        <w:keepLines w:val="0"/>
        <w:widowControl w:val="0"/>
        <w:numPr>
          <w:ilvl w:val="0"/>
          <w:numId w:val="5"/>
        </w:numPr>
        <w:shd w:val="clear" w:color="auto" w:fill="auto"/>
        <w:tabs>
          <w:tab w:pos="355" w:val="left"/>
        </w:tabs>
        <w:bidi w:val="0"/>
        <w:spacing w:before="0" w:after="0" w:line="240" w:lineRule="auto"/>
        <w:ind w:left="0" w:right="0" w:firstLine="0"/>
        <w:jc w:val="left"/>
      </w:pPr>
      <w:r>
        <w:rPr>
          <w:rStyle w:val="CharStyle10"/>
        </w:rPr>
        <w:t>Biuro Kontroli i Audytu – w miejscu,</w:t>
      </w:r>
    </w:p>
    <w:p>
      <w:pPr>
        <w:pStyle w:val="Style9"/>
        <w:keepNext w:val="0"/>
        <w:keepLines w:val="0"/>
        <w:widowControl w:val="0"/>
        <w:numPr>
          <w:ilvl w:val="0"/>
          <w:numId w:val="5"/>
        </w:numPr>
        <w:shd w:val="clear" w:color="auto" w:fill="auto"/>
        <w:tabs>
          <w:tab w:pos="355" w:val="left"/>
        </w:tabs>
        <w:bidi w:val="0"/>
        <w:spacing w:before="0" w:after="140" w:line="240" w:lineRule="auto"/>
        <w:ind w:left="0" w:right="0" w:firstLine="0"/>
        <w:jc w:val="left"/>
      </w:pPr>
      <w:r>
        <w:rPr>
          <w:rStyle w:val="CharStyle10"/>
        </w:rPr>
        <w:t>aa.</w:t>
      </w:r>
    </w:p>
    <w:sectPr>
      <w:footerReference w:type="default" r:id="rId7"/>
      <w:footnotePr>
        <w:pos w:val="pageBottom"/>
        <w:numFmt w:val="decimal"/>
        <w:numStart w:val="1"/>
        <w:numRestart w:val="continuous"/>
        <w15:footnoteColumns w:val="1"/>
      </w:footnotePr>
      <w:pgSz w:w="11900" w:h="16840"/>
      <w:pgMar w:top="2122" w:right="1960" w:bottom="1768" w:left="1943" w:header="1694"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6242050</wp:posOffset>
              </wp:positionH>
              <wp:positionV relativeFrom="page">
                <wp:posOffset>10025380</wp:posOffset>
              </wp:positionV>
              <wp:extent cx="48895" cy="73025"/>
              <wp:wrapNone/>
              <wp:docPr id="7" name="Shape 7"/>
              <a:graphic xmlns:a="http://schemas.openxmlformats.org/drawingml/2006/main">
                <a:graphicData uri="http://schemas.microsoft.com/office/word/2010/wordprocessingShape">
                  <wps:wsp>
                    <wps:cNvSpPr txBox="1"/>
                    <wps:spPr>
                      <a:xfrm>
                        <a:ext cx="48895" cy="7302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Style w:val="CharStyle18"/>
                                <w:rFonts w:ascii="Arial" w:eastAsia="Arial" w:hAnsi="Arial" w:cs="Arial"/>
                                <w:sz w:val="16"/>
                                <w:szCs w:val="16"/>
                              </w:rPr>
                              <w:t>#</w:t>
                            </w:r>
                          </w:fldSimple>
                        </w:p>
                      </w:txbxContent>
                    </wps:txbx>
                    <wps:bodyPr wrap="none" lIns="0" tIns="0" rIns="0" bIns="0">
                      <a:spAutoFit/>
                    </wps:bodyPr>
                  </wps:wsp>
                </a:graphicData>
              </a:graphic>
            </wp:anchor>
          </w:drawing>
        </mc:Choice>
        <mc:Fallback>
          <w:pict>
            <v:shape id="_x0000_s1033" type="#_x0000_t202" style="position:absolute;margin-left:491.5pt;margin-top:789.39999999999998pt;width:3.8500000000000001pt;height:5.75pt;z-index:-188744062;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Style w:val="CharStyle18"/>
                          <w:rFonts w:ascii="Arial" w:eastAsia="Arial" w:hAnsi="Arial" w:cs="Arial"/>
                          <w:sz w:val="16"/>
                          <w:szCs w:val="16"/>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after="0" w:line="240" w:lineRule="auto"/>
        <w:ind w:left="0" w:right="0" w:firstLine="0"/>
        <w:jc w:val="left"/>
        <w:rPr>
          <w:sz w:val="16"/>
          <w:szCs w:val="16"/>
        </w:rPr>
      </w:pPr>
      <w:r>
        <w:rPr>
          <w:rStyle w:val="CharStyle3"/>
          <w:sz w:val="16"/>
          <w:szCs w:val="16"/>
        </w:rPr>
        <w:t>Telefon: (+48) 22 369 29 00</w:t>
      </w:r>
    </w:p>
  </w:footnote>
  <w:footnote w:id="3">
    <w:p>
      <w:pPr>
        <w:pStyle w:val="Style2"/>
        <w:keepNext w:val="0"/>
        <w:keepLines w:val="0"/>
        <w:widowControl w:val="0"/>
        <w:shd w:val="clear" w:color="auto" w:fill="auto"/>
        <w:bidi w:val="0"/>
        <w:spacing w:before="0" w:after="0" w:line="240" w:lineRule="auto"/>
        <w:ind w:left="0" w:right="0" w:firstLine="0"/>
        <w:jc w:val="left"/>
        <w:rPr>
          <w:sz w:val="16"/>
          <w:szCs w:val="16"/>
        </w:rPr>
      </w:pPr>
      <w:r>
        <w:fldChar w:fldCharType="begin"/>
      </w:r>
      <w:r>
        <w:rPr/>
        <w:instrText> HYPERLINK "mailto:info@klimat.gov.pl" </w:instrText>
      </w:r>
      <w:r>
        <w:fldChar w:fldCharType="separate"/>
      </w:r>
      <w:r>
        <w:rPr>
          <w:rStyle w:val="CharStyle3"/>
          <w:sz w:val="16"/>
          <w:szCs w:val="16"/>
        </w:rPr>
        <w:t>info@klimat.gov.pl</w:t>
      </w:r>
      <w:r>
        <w:fldChar w:fldCharType="end"/>
      </w:r>
    </w:p>
    <w:p>
      <w:pPr>
        <w:pStyle w:val="Style2"/>
        <w:keepNext w:val="0"/>
        <w:keepLines w:val="0"/>
        <w:widowControl w:val="0"/>
        <w:shd w:val="clear" w:color="auto" w:fill="auto"/>
        <w:bidi w:val="0"/>
        <w:spacing w:before="0" w:after="0" w:line="240" w:lineRule="auto"/>
        <w:ind w:left="0" w:right="0" w:firstLine="0"/>
        <w:jc w:val="left"/>
        <w:rPr>
          <w:sz w:val="16"/>
          <w:szCs w:val="16"/>
        </w:rPr>
      </w:pPr>
      <w:r>
        <w:fldChar w:fldCharType="begin"/>
      </w:r>
      <w:r>
        <w:rPr/>
        <w:instrText> HYPERLINK "http://www.gov.pl/klimat" </w:instrText>
      </w:r>
      <w:r>
        <w:fldChar w:fldCharType="separate"/>
      </w:r>
      <w:r>
        <w:rPr>
          <w:rStyle w:val="CharStyle3"/>
          <w:sz w:val="16"/>
          <w:szCs w:val="16"/>
        </w:rPr>
        <w:t>www.gov.pl/klimat</w:t>
      </w:r>
      <w:r>
        <w:fldChar w:fldCharType="end"/>
      </w:r>
    </w:p>
  </w:footnote>
  <w:footnote w:id="4">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Dz. U. z 2014, poz. 572 z późn. zm.</w:t>
      </w:r>
    </w:p>
  </w:footnote>
  <w:footnote w:id="5">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Dz. U z 2024 r., poz. 1277 z późn. zm.</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vertAlign w:val="superscript"/>
        <w:lang w:val="pl-PL" w:eastAsia="pl-PL"/>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Footnote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6">
    <w:name w:val="Body text (3)_"/>
    <w:basedOn w:val="DefaultParagraphFont"/>
    <w:link w:val="Style5"/>
    <w:rPr>
      <w:rFonts w:ascii="Arial" w:eastAsia="Arial" w:hAnsi="Arial" w:cs="Arial"/>
      <w:b w:val="0"/>
      <w:bCs w:val="0"/>
      <w:i w:val="0"/>
      <w:iCs w:val="0"/>
      <w:smallCaps w:val="0"/>
      <w:strike w:val="0"/>
      <w:sz w:val="16"/>
      <w:szCs w:val="16"/>
      <w:u w:val="none"/>
    </w:rPr>
  </w:style>
  <w:style w:type="character" w:customStyle="1" w:styleId="CharStyle8">
    <w:name w:val="Body text (4)_"/>
    <w:basedOn w:val="DefaultParagraphFont"/>
    <w:link w:val="Style7"/>
    <w:rPr>
      <w:rFonts w:ascii="Arial" w:eastAsia="Arial" w:hAnsi="Arial" w:cs="Arial"/>
      <w:b w:val="0"/>
      <w:bCs w:val="0"/>
      <w:i w:val="0"/>
      <w:iCs w:val="0"/>
      <w:smallCaps w:val="0"/>
      <w:strike w:val="0"/>
      <w:sz w:val="13"/>
      <w:szCs w:val="13"/>
      <w:u w:val="none"/>
    </w:rPr>
  </w:style>
  <w:style w:type="character" w:customStyle="1" w:styleId="CharStyle10">
    <w:name w:val="Body text_"/>
    <w:basedOn w:val="DefaultParagraphFont"/>
    <w:link w:val="Style9"/>
    <w:rPr>
      <w:rFonts w:ascii="Arial" w:eastAsia="Arial" w:hAnsi="Arial" w:cs="Arial"/>
      <w:b w:val="0"/>
      <w:bCs w:val="0"/>
      <w:i w:val="0"/>
      <w:iCs w:val="0"/>
      <w:smallCaps w:val="0"/>
      <w:strike w:val="0"/>
      <w:sz w:val="19"/>
      <w:szCs w:val="19"/>
      <w:u w:val="none"/>
    </w:rPr>
  </w:style>
  <w:style w:type="character" w:customStyle="1" w:styleId="CharStyle13">
    <w:name w:val="Body text (2)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character" w:customStyle="1" w:styleId="CharStyle16">
    <w:name w:val="Heading #1_"/>
    <w:basedOn w:val="DefaultParagraphFont"/>
    <w:link w:val="Style15"/>
    <w:rPr>
      <w:rFonts w:ascii="Arial" w:eastAsia="Arial" w:hAnsi="Arial" w:cs="Arial"/>
      <w:b/>
      <w:bCs/>
      <w:i w:val="0"/>
      <w:iCs w:val="0"/>
      <w:smallCaps w:val="0"/>
      <w:strike w:val="0"/>
      <w:sz w:val="19"/>
      <w:szCs w:val="19"/>
      <w:u w:val="none"/>
    </w:rPr>
  </w:style>
  <w:style w:type="character" w:customStyle="1" w:styleId="CharStyle18">
    <w:name w:val="Header or footer (2)_"/>
    <w:basedOn w:val="DefaultParagraphFont"/>
    <w:link w:val="Style17"/>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Footnote"/>
    <w:basedOn w:val="Normal"/>
    <w:link w:val="CharStyle3"/>
    <w:pPr>
      <w:widowControl w:val="0"/>
      <w:shd w:val="clear" w:color="auto" w:fill="auto"/>
    </w:pPr>
    <w:rPr>
      <w:rFonts w:ascii="Arial" w:eastAsia="Arial" w:hAnsi="Arial" w:cs="Arial"/>
      <w:b w:val="0"/>
      <w:bCs w:val="0"/>
      <w:i w:val="0"/>
      <w:iCs w:val="0"/>
      <w:smallCaps w:val="0"/>
      <w:strike w:val="0"/>
      <w:sz w:val="18"/>
      <w:szCs w:val="18"/>
      <w:u w:val="none"/>
    </w:rPr>
  </w:style>
  <w:style w:type="paragraph" w:customStyle="1" w:styleId="Style5">
    <w:name w:val="Body text (3)"/>
    <w:basedOn w:val="Normal"/>
    <w:link w:val="CharStyle6"/>
    <w:pPr>
      <w:widowControl w:val="0"/>
      <w:shd w:val="clear" w:color="auto" w:fill="auto"/>
      <w:jc w:val="right"/>
    </w:pPr>
    <w:rPr>
      <w:rFonts w:ascii="Arial" w:eastAsia="Arial" w:hAnsi="Arial" w:cs="Arial"/>
      <w:b w:val="0"/>
      <w:bCs w:val="0"/>
      <w:i w:val="0"/>
      <w:iCs w:val="0"/>
      <w:smallCaps w:val="0"/>
      <w:strike w:val="0"/>
      <w:sz w:val="16"/>
      <w:szCs w:val="16"/>
      <w:u w:val="none"/>
    </w:rPr>
  </w:style>
  <w:style w:type="paragraph" w:customStyle="1" w:styleId="Style7">
    <w:name w:val="Body text (4)"/>
    <w:basedOn w:val="Normal"/>
    <w:link w:val="CharStyle8"/>
    <w:pPr>
      <w:widowControl w:val="0"/>
      <w:shd w:val="clear" w:color="auto" w:fill="auto"/>
      <w:jc w:val="center"/>
    </w:pPr>
    <w:rPr>
      <w:rFonts w:ascii="Arial" w:eastAsia="Arial" w:hAnsi="Arial" w:cs="Arial"/>
      <w:b w:val="0"/>
      <w:bCs w:val="0"/>
      <w:i w:val="0"/>
      <w:iCs w:val="0"/>
      <w:smallCaps w:val="0"/>
      <w:strike w:val="0"/>
      <w:sz w:val="13"/>
      <w:szCs w:val="13"/>
      <w:u w:val="none"/>
    </w:rPr>
  </w:style>
  <w:style w:type="paragraph" w:styleId="Style9">
    <w:name w:val="Body text"/>
    <w:basedOn w:val="Normal"/>
    <w:link w:val="CharStyle10"/>
    <w:qFormat/>
    <w:pPr>
      <w:widowControl w:val="0"/>
      <w:shd w:val="clear" w:color="auto" w:fill="auto"/>
      <w:spacing w:after="100" w:line="264" w:lineRule="auto"/>
    </w:pPr>
    <w:rPr>
      <w:rFonts w:ascii="Arial" w:eastAsia="Arial" w:hAnsi="Arial" w:cs="Arial"/>
      <w:b w:val="0"/>
      <w:bCs w:val="0"/>
      <w:i w:val="0"/>
      <w:iCs w:val="0"/>
      <w:smallCaps w:val="0"/>
      <w:strike w:val="0"/>
      <w:sz w:val="19"/>
      <w:szCs w:val="19"/>
      <w:u w:val="none"/>
    </w:rPr>
  </w:style>
  <w:style w:type="paragraph" w:customStyle="1" w:styleId="Style12">
    <w:name w:val="Body text (2)"/>
    <w:basedOn w:val="Normal"/>
    <w:link w:val="CharStyle13"/>
    <w:pPr>
      <w:widowControl w:val="0"/>
      <w:shd w:val="clear" w:color="auto" w:fill="auto"/>
      <w:spacing w:after="280"/>
    </w:pPr>
    <w:rPr>
      <w:rFonts w:ascii="Times New Roman" w:eastAsia="Times New Roman" w:hAnsi="Times New Roman" w:cs="Times New Roman"/>
      <w:b w:val="0"/>
      <w:bCs w:val="0"/>
      <w:i w:val="0"/>
      <w:iCs w:val="0"/>
      <w:smallCaps w:val="0"/>
      <w:strike w:val="0"/>
      <w:sz w:val="20"/>
      <w:szCs w:val="20"/>
      <w:u w:val="none"/>
    </w:rPr>
  </w:style>
  <w:style w:type="paragraph" w:customStyle="1" w:styleId="Style15">
    <w:name w:val="Heading #1"/>
    <w:basedOn w:val="Normal"/>
    <w:link w:val="CharStyle16"/>
    <w:pPr>
      <w:widowControl w:val="0"/>
      <w:shd w:val="clear" w:color="auto" w:fill="auto"/>
      <w:spacing w:after="100" w:line="274" w:lineRule="auto"/>
      <w:outlineLvl w:val="0"/>
    </w:pPr>
    <w:rPr>
      <w:rFonts w:ascii="Arial" w:eastAsia="Arial" w:hAnsi="Arial" w:cs="Arial"/>
      <w:b/>
      <w:bCs/>
      <w:i w:val="0"/>
      <w:iCs w:val="0"/>
      <w:smallCaps w:val="0"/>
      <w:strike w:val="0"/>
      <w:sz w:val="19"/>
      <w:szCs w:val="19"/>
      <w:u w:val="none"/>
    </w:rPr>
  </w:style>
  <w:style w:type="paragraph" w:customStyle="1" w:styleId="Style17">
    <w:name w:val="Header or footer (2)"/>
    <w:basedOn w:val="Normal"/>
    <w:link w:val="CharStyle18"/>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Z upoważnienia Ministra Klimatu i Środowiska departament_kolor</dc:title>
  <dc:subject/>
  <dc:creator/>
  <cp:keywords>PL, KOLOR</cp:keywords>
</cp:coreProperties>
</file>