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4A1C" w14:textId="6B30C740" w:rsidR="00EA4F0E" w:rsidRDefault="00EA4F0E" w:rsidP="00EA4F0E">
      <w:pPr>
        <w:pStyle w:val="Nagwek1"/>
        <w:spacing w:line="240" w:lineRule="auto"/>
        <w:rPr>
          <w:rFonts w:cstheme="majorHAnsi"/>
          <w:color w:val="1F4E79"/>
          <w:sz w:val="20"/>
          <w:szCs w:val="20"/>
          <w:lang w:val="pl-PL"/>
        </w:rPr>
      </w:pPr>
      <w:r>
        <w:rPr>
          <w:rFonts w:cstheme="majorHAnsi"/>
          <w:color w:val="1F4E79"/>
          <w:sz w:val="20"/>
          <w:szCs w:val="20"/>
          <w:lang w:val="pl-PL"/>
        </w:rPr>
        <w:t xml:space="preserve">ZAŁĄCZNIK DO ZAPOROSZENIA </w:t>
      </w:r>
      <w:r w:rsidR="0006316E">
        <w:rPr>
          <w:rFonts w:cstheme="majorHAnsi"/>
          <w:color w:val="1F4E79"/>
          <w:sz w:val="20"/>
          <w:szCs w:val="20"/>
          <w:lang w:val="pl-PL"/>
        </w:rPr>
        <w:t xml:space="preserve">- </w:t>
      </w:r>
      <w:r>
        <w:rPr>
          <w:rFonts w:cstheme="majorHAnsi"/>
          <w:color w:val="1F4E79"/>
          <w:sz w:val="20"/>
          <w:szCs w:val="20"/>
          <w:lang w:val="pl-PL"/>
        </w:rPr>
        <w:t xml:space="preserve">Opis przedmiotu zamówienia </w:t>
      </w:r>
    </w:p>
    <w:p w14:paraId="5741BB5F" w14:textId="274C30BF" w:rsidR="00FD7503" w:rsidRDefault="00FD7503" w:rsidP="00EA4F0E">
      <w:pPr>
        <w:pStyle w:val="Nagwek1"/>
        <w:spacing w:line="240" w:lineRule="auto"/>
        <w:rPr>
          <w:rFonts w:cstheme="majorHAnsi"/>
          <w:color w:val="1F4E79"/>
          <w:sz w:val="20"/>
          <w:szCs w:val="20"/>
          <w:lang w:val="pl-PL"/>
        </w:rPr>
      </w:pPr>
      <w:r>
        <w:rPr>
          <w:rFonts w:cstheme="majorHAnsi"/>
          <w:color w:val="1F4E79"/>
          <w:sz w:val="20"/>
          <w:szCs w:val="20"/>
          <w:lang w:val="pl-PL"/>
        </w:rPr>
        <w:t>Zakup komponentów do uruchomienia platformy AI</w:t>
      </w:r>
    </w:p>
    <w:p w14:paraId="25936A88" w14:textId="22AE5C83" w:rsidR="006E5BF7" w:rsidRDefault="001F5289" w:rsidP="008F16AC">
      <w:pPr>
        <w:pStyle w:val="Nagwek1"/>
        <w:numPr>
          <w:ilvl w:val="0"/>
          <w:numId w:val="10"/>
        </w:numPr>
        <w:rPr>
          <w:rFonts w:cstheme="majorHAnsi"/>
          <w:color w:val="1F4E79"/>
          <w:sz w:val="20"/>
          <w:szCs w:val="20"/>
          <w:lang w:val="pl-PL"/>
        </w:rPr>
      </w:pPr>
      <w:r w:rsidRPr="00915D0B">
        <w:rPr>
          <w:rFonts w:cstheme="majorHAnsi"/>
          <w:color w:val="1F4E79"/>
          <w:sz w:val="20"/>
          <w:szCs w:val="20"/>
          <w:lang w:val="pl-PL"/>
        </w:rPr>
        <w:t xml:space="preserve">Minimalne parametry techniczne poszczególnych </w:t>
      </w:r>
      <w:r w:rsidR="00FD7503">
        <w:rPr>
          <w:rFonts w:cstheme="majorHAnsi"/>
          <w:color w:val="1F4E79"/>
          <w:sz w:val="20"/>
          <w:szCs w:val="20"/>
          <w:lang w:val="pl-PL"/>
        </w:rPr>
        <w:t>komponentów</w:t>
      </w:r>
    </w:p>
    <w:p w14:paraId="0E566005" w14:textId="3E3E1291" w:rsidR="008F16AC" w:rsidRPr="008F16AC" w:rsidRDefault="008F16AC" w:rsidP="008F16AC">
      <w:pPr>
        <w:rPr>
          <w:color w:val="1F497D" w:themeColor="text2"/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                         </w:t>
      </w:r>
      <w:r w:rsidRPr="0006316E">
        <w:rPr>
          <w:color w:val="1F497D" w:themeColor="text2"/>
          <w:u w:val="single"/>
          <w:lang w:val="pl-PL"/>
        </w:rPr>
        <w:t>Pola w formularzu powinny być wypełnione realnymi danymi oferowanego sprzętu</w:t>
      </w:r>
      <w:r w:rsidRPr="008F16AC">
        <w:rPr>
          <w:color w:val="1F497D" w:themeColor="text2"/>
          <w:lang w:val="pl-PL"/>
        </w:rPr>
        <w:t>.</w:t>
      </w:r>
    </w:p>
    <w:p w14:paraId="236AA7F8" w14:textId="77777777" w:rsidR="006E5BF7" w:rsidRPr="00EA4F0E" w:rsidRDefault="001F5289">
      <w:pPr>
        <w:pStyle w:val="Nagwek2"/>
        <w:rPr>
          <w:rFonts w:cstheme="majorHAnsi"/>
          <w:sz w:val="24"/>
          <w:szCs w:val="24"/>
          <w:lang w:val="pl-PL"/>
        </w:rPr>
      </w:pPr>
      <w:r w:rsidRPr="00EA4F0E">
        <w:rPr>
          <w:rFonts w:cstheme="majorHAnsi"/>
          <w:color w:val="1F4E79"/>
          <w:sz w:val="24"/>
          <w:szCs w:val="24"/>
          <w:lang w:val="pl-PL"/>
        </w:rPr>
        <w:t>1.1. Płyta główna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518E3B56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BA904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E2D6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02C3F" w14:textId="3A84942F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proofErr w:type="spellEnd"/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Pola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28B10277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732E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Klasa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urządzenia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8878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Płyta główna klasy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workstation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/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server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przeznaczona do pracy ciągłej oraz obsługi konfiguracji wielokartowych GPU.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44E6A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9B3BE2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B84D6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Zgodność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procesorem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EF8EF" w14:textId="06D13166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Pełna kompatybilność z zaoferowanym procesorem oraz obsługa wszystkich wymaganych funkcji pamięci, PCI Express i zarządzania energią.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0B45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7E5194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1E53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Sloty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PCI Express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14023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Minimum 6 fizycznych slotów PCI Express pełnej długości. Wymagane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sloty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muszą pracować w standardzie PCI Express 5.0 x16 lub równoważnym. Dopuszcza się zastosowanie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riserów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PCI Express wyłącznie jako elementów zmiany położenia kart GPU, bez sztucznego zwiększania liczby slotów.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4F20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0F82C2E2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6CD5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Obsługa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GPU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0970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Obsługa konfiguracji wielokartowej GPU. Na etapie odbioru wymagany montaż i uruchomienie 2 kart GPU posiadanych przez Zamawiającego. Platforma musi umożliwiać dalszą rozbudowę do większej liczby kart, pod warunkiem dostawy odpowiedniej obudowy/stelaża,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riserów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okablowania.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F2DF4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695A829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B186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Pamięć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RAM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63885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Minimum 8 slotów DIMM; obsługa pamięci DDR5 ECC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Registered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; możliwość rozbudowy platformy do minimum 512 GB RAM.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1A36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C134E66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12AA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Dyski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AD0E0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Minimum 4 złącza M.2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w standardzie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4.0 x4 lub szybszym, albo rozwiązanie równoważne umożliwiające montaż i obsługę 4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objętych zamówieniem.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FC41D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0D4E4CFF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B36BE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Sieć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0713D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Minimum 2 interfejsy sieciowe, w tym minimum 1 interfejs o przepustowości 10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GbE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lub większej.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4FA97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7DFE77F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C99D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Zarządzanie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diagnostyka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D5D63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BIOS/UEFI z możliwością konfiguracji pracy PCI Express, profili wentylatorów, wirtualizacji, funkcji bezpieczeństwa i monitoringu temperatur.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870BE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AD8F5CF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0D06D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Format i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montaż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89E8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Format zgodny z zaoferowaną obudową/stelażem. W zestawie muszą znaleźć się wszystkie elementy montażowe wymagane do bezpiecznej instalacji płyty.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7162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A19A045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AEFC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Stabilność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D563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Płyta przystosowana do pracy długotrwałej pod obciążeniem CPU, RAM, GPU i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193A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0426388F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1.2.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Procesor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wielowątkowy</w:t>
      </w:r>
      <w:proofErr w:type="spellEnd"/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54F8492E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546FF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8EC9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783E3C" w14:textId="1FE5B00B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291FAA0A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1C4B3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Klasa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7D7CB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Procesor klasy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workstation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przeznaczony do pracy ciągłej i obsługi konfiguracji wielokartowych GPU.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25E06D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CD9212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CAFF7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Liczba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rdzeni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B6B30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Minimum 24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rdzenie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fizyczne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FDC0C5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5BF7" w:rsidRPr="00915D0B" w14:paraId="22AD2418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8C77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Liczba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wątków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9810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Minimum 48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wątków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logicznych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74D4C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5BF7" w:rsidRPr="00915D0B" w14:paraId="1897EA2F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E6B2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Linie PCI Express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70DCF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Obsługa minimum 128 linii PCI Express w standardzie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5.0 lub równoważnym, w celu zapewnienia przepustowości dla kart GPU,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kart rozszerzeń.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9622A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396BEC2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FFC98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Obsługa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pamięci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3A35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Obsługa DDR5 ECC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Registered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; minimum 8-kanałowy kontroler pamięci lub rozwiązanie równoważne zapewniające wysoką przepustowość pamięci.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FF7776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AD341FC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110F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Wirtualizacja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48A3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Sprzętowa obsługa wirtualizacji, w tym funkcji wymaganych do pracy środowisk kontenerowych, maszyn wirtualnych i ewentualnego przypisywania urządzeń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do VM.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6C8D4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A5C958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9739A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TDP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8AFAE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TDP zgodne z zaoferowanym układem chłodzenia; wymagane skuteczne odprowadzenie ciepła przy pracy pod długotrwałym obciążeniem.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C958B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83FC34C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064D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Kompatybilność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9199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Pełna kompatybilność z zaoferowaną płytą główną, pamięcią RAM ECC RDIMM i układem chłodzenia.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7AA5E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31340AB5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lastRenderedPageBreak/>
        <w:t xml:space="preserve">1.3.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Pamięć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operacyjna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RAM ECC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7245E7C3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BA24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DCBC6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33BF7D" w14:textId="0784A964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64AC596B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D91D5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Pojemność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8B753" w14:textId="7AB176AB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128 GB pamięci RAM</w:t>
            </w:r>
            <w:r w:rsidR="00580DC2"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 Realizowana maksymalnie w 4 kościach pamięci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DE810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0ED28F3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F532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Typ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pamięci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53A7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DDR5 ECC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Registered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DIMM (RDIMM) lub rozwiązanie równoważne z korekcją błędów, zgodne z zaoferowaną płytą główną i procesorem.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B0850D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EDB1520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8DB5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Konfiguracja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2F27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Konfiguracja wielomodułowa umożliwiająca pracę wielokanałową. Zamawiający dopuszcza obsadzenie 4 kanałów na etapie dostawy z uwagi na limit budżetu, przy zachowaniu możliwości późniejszej rozbudowy.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ECADF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87DCD9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66D8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Taktowanie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63B187" w14:textId="30EB5B91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4</w:t>
            </w:r>
            <w:r w:rsidR="00FD750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8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00 MT/s albo wartość zalecana przez producenta platformy dla stabilnej pracy z daną konfiguracją pamięci.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E3C58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005C7AFB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4061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Rozbudowa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AABF6E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Platforma musi umożliwiać rozbudowę do minimum 512 GB RAM przez wymianę i/lub uzupełnienie modułów zgodnie z listą kompatybilności producenta.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7EAA6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50C7F054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E693F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Kompatybilność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C7986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Moduły pamięci muszą być zgodne z zaoferowaną płytą główną i procesorem; Wykonawca odpowiada za stabilną pracę całego zestawu.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F046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215BA05B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1.4.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Zasilacz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serwerowy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/ workstation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7A86D5FD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394B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DA35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F7562" w14:textId="7F63EEAC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52F618D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CC3D4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Moc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znamionowa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6ACA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3000 W mocy znamionowej dla linii zasilania zestawu, przy pracy z siecią 230 V.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B15F5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A87EACC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2E85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Sprawność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7FFF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80 PLUS Platinum lub równoważny poziom sprawności energetycznej.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4511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07D28CCC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76F3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Standard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82B2C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Standard ATX 3.1 lub równoważny, przystosowany do nowoczesnych kart GPU i wysokiego obciążenia chwilowego.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104FCF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244AB2F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70245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Napięcie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zasilania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FA46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Praca z siecią 220–240 V / 230 V; przewód zasilający zgodny z mocą i typem złącza zasilacza.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1F79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75235CE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7F4A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Zabezpieczenia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941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Wymagane zabezpieczenia co najmniej: OVP, OCP, OPP, OTP, SCP lub równoważne.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CFFE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52FE94A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7077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Okablowanie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CPU i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płyty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61BB9" w14:textId="3DE011EC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Komplet przewodów zasilających płytę główną i procesor, w tym przewody EPS/CPU</w:t>
            </w:r>
            <w:r w:rsidR="00EA7DD5"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26A96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55B35572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158BD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Okablowanie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GPU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A23CF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Komplet przewodów lub adapterów wymaganych do bezpiecznego zasilenia posiadanych 2 kart GPU oraz dodatkowych złączy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płyty głównej.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Niedopuszczalne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jest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przeciążanie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pojedynczej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wiązki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przewodów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9168F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5BF7" w:rsidRPr="00915D0B" w14:paraId="305462BC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E1ED0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Stabilność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EEDA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Zasilacz musi zapewnić stabilną pracę serwera przy obciążeniu CPU, GPU, pamięci RAM,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wentylatorów.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EE2ED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3BDB436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5C887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Montaż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BD94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Zgodność mechaniczna z zaoferowaną obudową/stelażem; w zestawie wszystkie elementy montażowe.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A69E8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0FB747AC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1.5.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Obudowa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/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stelaż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GPU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55E85A52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4552F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CEAD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AA993" w14:textId="37C8339F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proofErr w:type="spellEnd"/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</w:p>
        </w:tc>
      </w:tr>
      <w:tr w:rsidR="006E5BF7" w:rsidRPr="00915D0B" w14:paraId="61A66068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DDE79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Typ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obudowy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0B341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Obudowa serwerowa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rack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4U,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tower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/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workstation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albo otwarty/stelażowy system montażowy GPU przystosowany do pracy z konfiguracją wielokartową GPU.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B6B0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A418029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D66B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Zgodność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płytą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9B09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Pełna zgodność mechaniczna z formatem zaoferowanej płyty głównej EEB 12" x 13" (30,5 x 33 cm).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28DA0A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9B5D2C4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DE662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Montaż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GPU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01EE63" w14:textId="0109C589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Możliwość fizycznego montażu minimum </w:t>
            </w:r>
            <w:r w:rsidR="00EA7DD5"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6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kart GPU. Obsługa kart o długości co najmniej 282 mm i grubości 50 mm.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232E5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43CC7CB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63792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Przepływ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powietrza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B9FBD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Konstrukcja zapewniająca wymuszony przepływ powietrza przez sekcje CPU, GPU, RAM,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zasilania.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BF617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57C1AE45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97EC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Wentylatory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107AF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6 wentylatorów systemowych albo równoważny system chłodzenia obudowy.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95EA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8849004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47795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Dyski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adaptery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6C42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Możliwość montażu wszystkich dysków, adapterów,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riserów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kart rozszerzeń objętych zamówieniem.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F622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19D6D06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959EE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Okablowanie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FCE4C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Możliwość uporządkowanego i bezpiecznego prowadzenia przewodów zasilających GPU, CPU, płytę główną, dyski i wentylatory.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13AE7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FAAC223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C4ABE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Elementy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montażowe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C4F2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Komplet śrub, dystansów, prowadnic, wsporników, ramek i innych elementów wymaganych do pełnego montażu.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F45698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14E6860B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lastRenderedPageBreak/>
        <w:t xml:space="preserve">1.6.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Dyski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SSD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NVMe</w:t>
      </w:r>
      <w:proofErr w:type="spellEnd"/>
    </w:p>
    <w:tbl>
      <w:tblPr>
        <w:tblStyle w:val="Tabela-Siatka"/>
        <w:tblW w:w="15194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0B5C9802" w14:textId="77777777" w:rsidTr="00101DF9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118D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1360A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EB683" w14:textId="1861FE8A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5F7E973B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0451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Liczba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dysków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A75E5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4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sztuki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A370C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5BF7" w:rsidRPr="00915D0B" w14:paraId="1FE18A43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7CA46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Pojemność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BBC17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4 TB każdy dysk; łączna pojemność minimalna 16 TB.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F98EA1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428CA63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1E2A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161A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4.0 x4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lub szybszy.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D4CD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07CB3A0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9175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Format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193F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M.2 2280 lub rozwiązanie równoważne zgodne z oferowaną platformą.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53986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CF71BC8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03FB5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Odczyt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sekwencyjny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DCF9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7000 MB/s dla każdego dysku.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26486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A422E83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19CD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Zapis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sekwencyjny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1B1ED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6500 MB/s dla każdego dysku.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A775E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D4CBC97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FF178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Typ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pamięci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35876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Pamięci TLC lub rozwiązanie o nie gorszej trwałości i wydajności.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977412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8CF8055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EBD5F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Trwałość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7CD20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Minimum 2400 TBW dla każdego dysku albo równoważna trwałość producenta dla wersji 4 TB.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23A3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52AF47A" w14:textId="77777777" w:rsidTr="00101DF9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7B137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Chłodzenie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7C81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Dyski muszą mieć zapewnione skuteczne chłodzenie poprzez radiatory płyty głównej, adaptery lub inny system odprowadzania ciepła.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B3720C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68027493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1.7.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Chłodzenie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procesora</w:t>
      </w:r>
      <w:proofErr w:type="spellEnd"/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0653837E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3F27DC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E8F17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838A0A" w14:textId="69B3AAAF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2A03CFF8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834C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Zgodność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3E162F" w14:textId="6EEBD9CE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Chłodzenie w pełni zgodne z procesorem, płytą główną i obudową/stelażem.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E5B2A8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36F0E58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4E2E1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Wydajność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cieplna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B0FC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Zdolność odprowadzenia ciepła zgodna z TDP zaoferowanego procesora, nie mniejsza niż 350 W.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8526D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394BB29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60B4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Pokrycie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B7D4E" w14:textId="38FA2CD3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Pełne lub konstrukcyjnie właściwe pokrycie powierzchni procesora zgodnie z wymaganiami platformy.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B3035C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51B6CD4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DCEC7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Rodzaj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chłodzenia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8392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Chłodzenie powietrzne klasy serwerowej 4U lub chłodzenie cieczą typu AIO, pod warunkiem pełnej zgodności.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65F958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E623622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ABBE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Akcesoria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77AAA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Komplet elementów montażowych oraz pasta termoprzewodząca lub materiał termoprzewodzący wymagany do montażu.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A3CF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23C090EA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3A51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Stabilność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1758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Chłodzenie musi zapewniać stabilną pracę procesora przy długotrwałym obciążeniu bez przekraczania dopuszczalnych temperatur pracy.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71796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3FDAFC59" w14:textId="77777777" w:rsidR="008F16AC" w:rsidRDefault="008F16AC">
      <w:pPr>
        <w:pStyle w:val="Nagwek2"/>
        <w:rPr>
          <w:rFonts w:cstheme="majorHAnsi"/>
          <w:color w:val="1F4E79"/>
          <w:sz w:val="20"/>
          <w:szCs w:val="20"/>
          <w:lang w:val="pl-PL"/>
        </w:rPr>
      </w:pPr>
    </w:p>
    <w:p w14:paraId="2D84160F" w14:textId="2CA7E3CD" w:rsidR="006E5BF7" w:rsidRPr="00EA4F0E" w:rsidRDefault="001F5289">
      <w:pPr>
        <w:pStyle w:val="Nagwek2"/>
        <w:rPr>
          <w:rFonts w:cstheme="majorHAnsi"/>
          <w:sz w:val="24"/>
          <w:szCs w:val="24"/>
          <w:lang w:val="pl-PL"/>
        </w:rPr>
      </w:pPr>
      <w:r w:rsidRPr="00EA4F0E">
        <w:rPr>
          <w:rFonts w:cstheme="majorHAnsi"/>
          <w:color w:val="1F4E79"/>
          <w:sz w:val="24"/>
          <w:szCs w:val="24"/>
          <w:lang w:val="pl-PL"/>
        </w:rPr>
        <w:t>1.8. Zestaw chłodzenia obudowy i przepływu powietrza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661896AE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4F0801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F2DDF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1647" w14:textId="202A13E1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r w:rsid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_</w:t>
            </w:r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Pola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w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formularzu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powinny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być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wypełnione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realnymi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danymi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oferowanego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sprzętu</w:t>
            </w:r>
            <w:proofErr w:type="spellEnd"/>
            <w:r w:rsidR="008F16AC" w:rsidRPr="008F16AC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6E5BF7" w:rsidRPr="00915D0B" w14:paraId="221F203D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5978D6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Wentylatory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D8B9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Komplet wentylatorów systemowych wymaganych do zapewnienia prawidłowego przepływu powietrza w zaoferowanej obudowie/stelażu.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614EF7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6B419B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49B1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Sterowanie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5E1CB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Sterowanie PWM lub równoważne, umożliwiające regulację prędkości w zależności od temperatury, albo stały przepływ powietrza klasy serwerowej.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0792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54FCB8E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A7D5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Sekcje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chłodzone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609A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Wymuszone chłodzenie CPU, GPU, pamięci RAM, sekcji zasilania płyty głównej, dysków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NVMe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i adapterów/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riserów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9D303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312034B7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40E00D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Kanały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powietrzne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027E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Jeżeli wymaga tego konstrukcja obudowy, należy dostarczyć kanały powietrzne, osłony, prowadnice lub inne elementy kierujące przepływem powietrza.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682A01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4DB5D8BB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932DD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Praca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ciągła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52776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Elementy chłodzenia muszą być przystosowane do pracy długotrwałej i podwyższonego obciążenia cieplnego.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AC21F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544863FC" w14:textId="77777777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1.9.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Okablowanie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zasilające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,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sygnałowe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i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montażowe</w:t>
      </w:r>
      <w:proofErr w:type="spellEnd"/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2EDDC292" w14:textId="77777777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0A38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FE118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2B385" w14:textId="77777777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proofErr w:type="spellEnd"/>
          </w:p>
        </w:tc>
      </w:tr>
      <w:tr w:rsidR="006E5BF7" w:rsidRPr="00915D0B" w14:paraId="0136305E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E18EF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Kompletność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F3DA6" w14:textId="4F9B15A0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Komplet przewodów wymaganych do zasilenia i uruchomienia płyty głównej, procesora, dysków, wentylatorów, adapterów oraz </w:t>
            </w:r>
            <w:r w:rsidR="005E1DF5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6 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kart GPU.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CE550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34A8AE5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EA34D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Zasilanie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GPU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F98913" w14:textId="53CA10CB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Przewody lub adaptery zasilania </w:t>
            </w:r>
            <w:r w:rsidR="005E1DF5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do kart 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GPU; niedopuszczalne jest stosowanie rozwiązań powodujących przeciążenie pojedynczej wiązki przewodów.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C7DFF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56AF027E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F60E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Zasilanie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płyty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i CPU</w:t>
            </w:r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F4BB50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Przewody ATX/EPS/CPU zgodne z wymaganiami płyty WRX90 i procesora 350 W.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C28D2F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7725260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F720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Zasilanie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serwera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5DFE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Przewód zasilający zewnętrzny zgodny z mocą zasilacza i wymaganiami elektrycznymi zestawu.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2BF36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6F36B7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FFD1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Sygnał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dane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0DE1AE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Przewody sygnałowe, jeśli są wymagane do podłączenia panelu przedniego, wentylatorów, kontrolerów lub innych elementów zestawu.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97A721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06E7BDB1" w14:textId="77777777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D885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Organizacja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przewodów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47DF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Opaski, uchwyty, prowadnice, osłony i inne elementy pozwalające na uporządkowane prowadzenie przewodów oraz zachowanie prawidłowego przepływu powietrza.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08EE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0364ED7F" w14:textId="77777777" w:rsidR="006E5BF7" w:rsidRPr="00EA4F0E" w:rsidRDefault="001F5289">
      <w:pPr>
        <w:pStyle w:val="Nagwek2"/>
        <w:rPr>
          <w:rFonts w:cstheme="majorHAnsi"/>
          <w:sz w:val="24"/>
          <w:szCs w:val="24"/>
          <w:lang w:val="pl-PL"/>
        </w:rPr>
      </w:pPr>
      <w:r w:rsidRPr="00EA4F0E">
        <w:rPr>
          <w:rFonts w:cstheme="majorHAnsi"/>
          <w:color w:val="1F4E79"/>
          <w:sz w:val="24"/>
          <w:szCs w:val="24"/>
          <w:lang w:val="pl-PL"/>
        </w:rPr>
        <w:t xml:space="preserve">1.10. Adaptery, </w:t>
      </w:r>
      <w:proofErr w:type="spellStart"/>
      <w:r w:rsidRPr="00EA4F0E">
        <w:rPr>
          <w:rFonts w:cstheme="majorHAnsi"/>
          <w:color w:val="1F4E79"/>
          <w:sz w:val="24"/>
          <w:szCs w:val="24"/>
          <w:lang w:val="pl-PL"/>
        </w:rPr>
        <w:t>risery</w:t>
      </w:r>
      <w:proofErr w:type="spellEnd"/>
      <w:r w:rsidRPr="00EA4F0E">
        <w:rPr>
          <w:rFonts w:cstheme="majorHAnsi"/>
          <w:color w:val="1F4E79"/>
          <w:sz w:val="24"/>
          <w:szCs w:val="24"/>
          <w:lang w:val="pl-PL"/>
        </w:rPr>
        <w:t>, wsporniki GPU i elementy rozszerzeń</w:t>
      </w:r>
    </w:p>
    <w:tbl>
      <w:tblPr>
        <w:tblStyle w:val="Tabela-Siatka"/>
        <w:tblW w:w="15194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5896"/>
        <w:gridCol w:w="6804"/>
      </w:tblGrid>
      <w:tr w:rsidR="006E5BF7" w:rsidRPr="00915D0B" w14:paraId="1527D1EF" w14:textId="77777777" w:rsidTr="005E1DF5">
        <w:trPr>
          <w:tblHeader/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F7CB78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5AC7D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F6EE7B" w14:textId="77777777" w:rsidR="006E5BF7" w:rsidRPr="00915D0B" w:rsidRDefault="001F5289">
            <w:pP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Oferowany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parametr</w:t>
            </w:r>
            <w:proofErr w:type="spellEnd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techniczny</w:t>
            </w:r>
            <w:proofErr w:type="spellEnd"/>
          </w:p>
        </w:tc>
      </w:tr>
      <w:tr w:rsidR="006E5BF7" w:rsidRPr="00915D0B" w14:paraId="3BE8A8AB" w14:textId="77777777" w:rsidTr="005E1DF5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D6ADB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Zakres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933C5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Adaptery,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risery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PCI Express, wsporniki GPU, kontrolery, uchwyty lub inne elementy rozszerzeń, jeżeli są wymagane do prawidłowego montażu i pracy serwera.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3C8BB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67F5C4BD" w14:textId="77777777" w:rsidTr="005E1DF5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9B6FFA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Przepustowość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23AB14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Elementy PCI Express muszą zapewniać przepustowość odpowiednią dla kart GPU i nie mogą ograniczać funkcjonalności wymaganej przy konfiguracji odbiorowej.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6EF4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591AA30A" w14:textId="77777777" w:rsidTr="005E1DF5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979F9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Kompatybilność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93433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Pełna zgodność z oferowaną płytą główną, obudową/stelażem, zasilaczem i posiadanymi kartami GPU.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47433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6E5BF7" w:rsidRPr="00915D0B" w14:paraId="1CD40181" w14:textId="77777777" w:rsidTr="005E1DF5">
        <w:trPr>
          <w:jc w:val="center"/>
        </w:trPr>
        <w:tc>
          <w:tcPr>
            <w:tcW w:w="249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DA0A7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Bezpieczeństwo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montażu</w:t>
            </w:r>
            <w:proofErr w:type="spellEnd"/>
          </w:p>
        </w:tc>
        <w:tc>
          <w:tcPr>
            <w:tcW w:w="589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927B2" w14:textId="77777777" w:rsidR="006E5BF7" w:rsidRPr="00915D0B" w:rsidRDefault="001F5289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Elementy muszą umożliwiać stabilny mechanicznie montaż kart GPU i kart rozszerzeń, bez ryzyka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naprężeń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lub kolizji z innymi komponentami.</w:t>
            </w:r>
          </w:p>
        </w:tc>
        <w:tc>
          <w:tcPr>
            <w:tcW w:w="6804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B4A969" w14:textId="77777777" w:rsidR="006E5BF7" w:rsidRPr="00915D0B" w:rsidRDefault="006E5BF7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67F51D29" w14:textId="6477ABD4" w:rsidR="006E5BF7" w:rsidRPr="00EA4F0E" w:rsidRDefault="001F5289">
      <w:pPr>
        <w:pStyle w:val="Nagwek2"/>
        <w:rPr>
          <w:rFonts w:cstheme="majorHAnsi"/>
          <w:sz w:val="24"/>
          <w:szCs w:val="24"/>
        </w:rPr>
      </w:pPr>
      <w:r w:rsidRPr="00EA4F0E">
        <w:rPr>
          <w:rFonts w:cstheme="majorHAnsi"/>
          <w:color w:val="1F4E79"/>
          <w:sz w:val="24"/>
          <w:szCs w:val="24"/>
        </w:rPr>
        <w:t xml:space="preserve">1.11. </w:t>
      </w:r>
      <w:proofErr w:type="spellStart"/>
      <w:r w:rsidR="005E1DF5" w:rsidRPr="00EA4F0E">
        <w:rPr>
          <w:rFonts w:cstheme="majorHAnsi"/>
          <w:color w:val="1F4E79"/>
          <w:sz w:val="24"/>
          <w:szCs w:val="24"/>
        </w:rPr>
        <w:t>Odbiór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, </w:t>
      </w:r>
      <w:proofErr w:type="spellStart"/>
      <w:r w:rsidRPr="00EA4F0E">
        <w:rPr>
          <w:rFonts w:cstheme="majorHAnsi"/>
          <w:color w:val="1F4E79"/>
          <w:sz w:val="24"/>
          <w:szCs w:val="24"/>
        </w:rPr>
        <w:t>uruchomienie</w:t>
      </w:r>
      <w:proofErr w:type="spellEnd"/>
      <w:r w:rsidRPr="00EA4F0E">
        <w:rPr>
          <w:rFonts w:cstheme="majorHAnsi"/>
          <w:color w:val="1F4E79"/>
          <w:sz w:val="24"/>
          <w:szCs w:val="24"/>
        </w:rPr>
        <w:t xml:space="preserve"> i testy</w:t>
      </w:r>
    </w:p>
    <w:tbl>
      <w:tblPr>
        <w:tblStyle w:val="Tabela-Siatka"/>
        <w:tblW w:w="15175" w:type="dxa"/>
        <w:jc w:val="center"/>
        <w:tblLayout w:type="fixed"/>
        <w:tblLook w:val="04A0" w:firstRow="1" w:lastRow="0" w:firstColumn="1" w:lastColumn="0" w:noHBand="0" w:noVBand="1"/>
      </w:tblPr>
      <w:tblGrid>
        <w:gridCol w:w="2475"/>
        <w:gridCol w:w="5953"/>
        <w:gridCol w:w="6747"/>
      </w:tblGrid>
      <w:tr w:rsidR="00915D0B" w:rsidRPr="00915D0B" w14:paraId="784E5551" w14:textId="0258DF47" w:rsidTr="00915D0B">
        <w:trPr>
          <w:tblHeader/>
          <w:jc w:val="center"/>
        </w:trPr>
        <w:tc>
          <w:tcPr>
            <w:tcW w:w="24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C984B" w14:textId="77777777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59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B4C62" w14:textId="77777777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Minimalne</w:t>
            </w:r>
            <w:proofErr w:type="spellEnd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wymaganie</w:t>
            </w:r>
            <w:proofErr w:type="spellEnd"/>
          </w:p>
        </w:tc>
        <w:tc>
          <w:tcPr>
            <w:tcW w:w="6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1F4E79"/>
          </w:tcPr>
          <w:p w14:paraId="267A6835" w14:textId="2EA0551C" w:rsidR="00915D0B" w:rsidRPr="00915D0B" w:rsidRDefault="005E1DF5" w:rsidP="00915D0B">
            <w:pP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Spełnienie</w:t>
            </w:r>
            <w:proofErr w:type="spellEnd"/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wymagań</w:t>
            </w:r>
            <w:proofErr w:type="spellEnd"/>
            <w:r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(TAK/NIE)</w:t>
            </w:r>
          </w:p>
        </w:tc>
      </w:tr>
      <w:tr w:rsidR="00915D0B" w:rsidRPr="00915D0B" w14:paraId="7D232419" w14:textId="40FC82B0" w:rsidTr="00915D0B">
        <w:trPr>
          <w:jc w:val="center"/>
        </w:trPr>
        <w:tc>
          <w:tcPr>
            <w:tcW w:w="24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2BFF3B" w14:textId="3B6507EC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Certyfikat</w:t>
            </w:r>
            <w:proofErr w:type="spellEnd"/>
          </w:p>
        </w:tc>
        <w:tc>
          <w:tcPr>
            <w:tcW w:w="59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B6F8B" w14:textId="407883F3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Certyfikat CE wymagany przy </w:t>
            </w:r>
            <w:r w:rsidR="005E1DF5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dostarczeniu sprzętu</w:t>
            </w:r>
            <w:r w:rsidRPr="00915D0B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22E64B8" w14:textId="77777777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915D0B" w:rsidRPr="00915D0B" w14:paraId="3D20901B" w14:textId="38DAA4F6" w:rsidTr="00915D0B">
        <w:trPr>
          <w:jc w:val="center"/>
        </w:trPr>
        <w:tc>
          <w:tcPr>
            <w:tcW w:w="24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CD5E8" w14:textId="1AD6782C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Możliwość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sprawdzenia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komponentów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pod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względem</w:t>
            </w:r>
            <w:proofErr w:type="spellEnd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15D0B">
              <w:rPr>
                <w:rFonts w:asciiTheme="majorHAnsi" w:hAnsiTheme="majorHAnsi" w:cstheme="majorHAnsi"/>
                <w:sz w:val="20"/>
                <w:szCs w:val="20"/>
              </w:rPr>
              <w:t>kompatybilności</w:t>
            </w:r>
            <w:proofErr w:type="spellEnd"/>
          </w:p>
        </w:tc>
        <w:tc>
          <w:tcPr>
            <w:tcW w:w="59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1704D0" w14:textId="4529A4AF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Możliwość sprawdzenia</w:t>
            </w:r>
            <w:r w:rsidR="00FD750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przez Zamawiającego</w:t>
            </w: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FD7503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kompatybilności produktów w terminie do 2 tygodni od dnia otrzymania zamówienia.</w:t>
            </w:r>
          </w:p>
        </w:tc>
        <w:tc>
          <w:tcPr>
            <w:tcW w:w="6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</w:tcPr>
          <w:p w14:paraId="36F73B19" w14:textId="77777777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915D0B" w:rsidRPr="00915D0B" w14:paraId="6B8187EB" w14:textId="4F5AC00A" w:rsidTr="00915D0B">
        <w:trPr>
          <w:jc w:val="center"/>
        </w:trPr>
        <w:tc>
          <w:tcPr>
            <w:tcW w:w="24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76601" w14:textId="2574137A" w:rsidR="00915D0B" w:rsidRPr="00915D0B" w:rsidRDefault="00FD7503" w:rsidP="00915D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Gwarancja</w:t>
            </w:r>
            <w:proofErr w:type="spellEnd"/>
          </w:p>
        </w:tc>
        <w:tc>
          <w:tcPr>
            <w:tcW w:w="595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D2154" w14:textId="77777777" w:rsidR="00915D0B" w:rsidRDefault="00FD7503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Oferowane komponenty są fabrycznie nowe</w:t>
            </w:r>
            <w:r w:rsidR="005E1DF5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. Gwarancja – 24 miesiące od dnia podpisania protokołu odbioru.</w:t>
            </w:r>
          </w:p>
          <w:p w14:paraId="5AECFD51" w14:textId="77777777" w:rsidR="005E1DF5" w:rsidRDefault="005E1DF5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Zamawiający nie dopuszcza podzespołów regenerowanych.</w:t>
            </w:r>
          </w:p>
          <w:p w14:paraId="76C4AE41" w14:textId="77777777" w:rsidR="005E1DF5" w:rsidRDefault="005E1DF5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W przypadku uszkodzenia dysku twardego pozostaje on u zamawiającego.</w:t>
            </w:r>
          </w:p>
          <w:p w14:paraId="36E0DCC0" w14:textId="6864A9F5" w:rsidR="005E1DF5" w:rsidRPr="00915D0B" w:rsidRDefault="005E1DF5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Czas reakcji na zgłoszenie serwisowe – 72 godziny w dni robocze.</w:t>
            </w:r>
          </w:p>
        </w:tc>
        <w:tc>
          <w:tcPr>
            <w:tcW w:w="674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F2F2F2"/>
          </w:tcPr>
          <w:p w14:paraId="678627A2" w14:textId="77777777" w:rsidR="00915D0B" w:rsidRPr="00915D0B" w:rsidRDefault="00915D0B" w:rsidP="00915D0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3F94C922" w14:textId="55CF2527" w:rsidR="003074D5" w:rsidRPr="00915D0B" w:rsidRDefault="003074D5" w:rsidP="00EA7DD5">
      <w:pPr>
        <w:pStyle w:val="Nagwek1"/>
        <w:rPr>
          <w:rFonts w:cstheme="majorHAnsi"/>
          <w:sz w:val="20"/>
          <w:szCs w:val="20"/>
        </w:rPr>
      </w:pPr>
    </w:p>
    <w:sectPr w:rsidR="003074D5" w:rsidRPr="00915D0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24" w:right="680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7CF1" w14:textId="77777777" w:rsidR="00FB4407" w:rsidRDefault="00FB4407">
      <w:pPr>
        <w:spacing w:after="0" w:line="240" w:lineRule="auto"/>
      </w:pPr>
      <w:r>
        <w:separator/>
      </w:r>
    </w:p>
  </w:endnote>
  <w:endnote w:type="continuationSeparator" w:id="0">
    <w:p w14:paraId="66267823" w14:textId="77777777" w:rsidR="00FB4407" w:rsidRDefault="00FB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FA64" w14:textId="77777777" w:rsidR="00580DC2" w:rsidRDefault="00580D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4D0C" w14:textId="1F984C30" w:rsidR="006E5BF7" w:rsidRPr="00580DC2" w:rsidRDefault="006E5BF7">
    <w:pPr>
      <w:pStyle w:val="Stopka"/>
      <w:jc w:val="cen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72F1" w14:textId="77777777" w:rsidR="00580DC2" w:rsidRDefault="00580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353D" w14:textId="77777777" w:rsidR="00FB4407" w:rsidRDefault="00FB4407">
      <w:pPr>
        <w:spacing w:after="0" w:line="240" w:lineRule="auto"/>
      </w:pPr>
      <w:r>
        <w:separator/>
      </w:r>
    </w:p>
  </w:footnote>
  <w:footnote w:type="continuationSeparator" w:id="0">
    <w:p w14:paraId="1D6A0245" w14:textId="77777777" w:rsidR="00FB4407" w:rsidRDefault="00FB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7BF2" w14:textId="77777777" w:rsidR="00580DC2" w:rsidRDefault="00580D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1E21" w14:textId="77777777" w:rsidR="00580DC2" w:rsidRDefault="00580D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EEA" w14:textId="77777777" w:rsidR="00580DC2" w:rsidRDefault="00580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A314C0"/>
    <w:multiLevelType w:val="hybridMultilevel"/>
    <w:tmpl w:val="5D723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0622">
    <w:abstractNumId w:val="8"/>
  </w:num>
  <w:num w:numId="2" w16cid:durableId="1404640245">
    <w:abstractNumId w:val="6"/>
  </w:num>
  <w:num w:numId="3" w16cid:durableId="1405225820">
    <w:abstractNumId w:val="5"/>
  </w:num>
  <w:num w:numId="4" w16cid:durableId="665285815">
    <w:abstractNumId w:val="4"/>
  </w:num>
  <w:num w:numId="5" w16cid:durableId="692726949">
    <w:abstractNumId w:val="7"/>
  </w:num>
  <w:num w:numId="6" w16cid:durableId="432631390">
    <w:abstractNumId w:val="3"/>
  </w:num>
  <w:num w:numId="7" w16cid:durableId="1063941742">
    <w:abstractNumId w:val="2"/>
  </w:num>
  <w:num w:numId="8" w16cid:durableId="1251236264">
    <w:abstractNumId w:val="1"/>
  </w:num>
  <w:num w:numId="9" w16cid:durableId="1701126528">
    <w:abstractNumId w:val="0"/>
  </w:num>
  <w:num w:numId="10" w16cid:durableId="1585413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16E"/>
    <w:rsid w:val="00101DF9"/>
    <w:rsid w:val="0015074B"/>
    <w:rsid w:val="001F5289"/>
    <w:rsid w:val="0029639D"/>
    <w:rsid w:val="0030434E"/>
    <w:rsid w:val="003074D5"/>
    <w:rsid w:val="00326F90"/>
    <w:rsid w:val="003A0D56"/>
    <w:rsid w:val="003C7F0D"/>
    <w:rsid w:val="00580DC2"/>
    <w:rsid w:val="005A0A8F"/>
    <w:rsid w:val="005E1DF5"/>
    <w:rsid w:val="006E5BF7"/>
    <w:rsid w:val="0089146D"/>
    <w:rsid w:val="008F16AC"/>
    <w:rsid w:val="00915D0B"/>
    <w:rsid w:val="00AA1D8D"/>
    <w:rsid w:val="00AE6210"/>
    <w:rsid w:val="00B47730"/>
    <w:rsid w:val="00CB0664"/>
    <w:rsid w:val="00E816A1"/>
    <w:rsid w:val="00EA4F0E"/>
    <w:rsid w:val="00EA7DD5"/>
    <w:rsid w:val="00EF63FC"/>
    <w:rsid w:val="00FB4407"/>
    <w:rsid w:val="00FB576E"/>
    <w:rsid w:val="00FC693F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EC633"/>
  <w14:defaultImageDpi w14:val="300"/>
  <w15:docId w15:val="{412C25A5-8CB4-49BC-9ECA-B9F02A02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1664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Pilarska-Zamiela</cp:lastModifiedBy>
  <cp:revision>4</cp:revision>
  <dcterms:created xsi:type="dcterms:W3CDTF">2026-06-29T08:31:00Z</dcterms:created>
  <dcterms:modified xsi:type="dcterms:W3CDTF">2026-06-29T09:51:00Z</dcterms:modified>
  <cp:category/>
</cp:coreProperties>
</file>