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FE46" w14:textId="38879CA1" w:rsidR="000453EF" w:rsidRPr="005F2138" w:rsidRDefault="000453EF" w:rsidP="00990CE8">
      <w:pPr>
        <w:spacing w:before="120" w:after="120" w:line="240" w:lineRule="auto"/>
        <w:jc w:val="right"/>
        <w:rPr>
          <w:rFonts w:ascii="Lato" w:eastAsia="Times New Roman" w:hAnsi="Lato" w:cs="Arial"/>
          <w:b/>
          <w:bCs/>
          <w:sz w:val="20"/>
          <w:szCs w:val="20"/>
        </w:rPr>
      </w:pPr>
      <w:r w:rsidRPr="005F2138">
        <w:rPr>
          <w:rFonts w:ascii="Lato" w:eastAsia="Times New Roman" w:hAnsi="Lato" w:cs="Arial"/>
          <w:b/>
          <w:bCs/>
          <w:sz w:val="20"/>
          <w:szCs w:val="20"/>
        </w:rPr>
        <w:t>Załącznik nr 11 do Porozumienia</w:t>
      </w:r>
    </w:p>
    <w:p w14:paraId="7C9A7BC8" w14:textId="77777777" w:rsidR="00FA33AC" w:rsidRPr="005F2138" w:rsidRDefault="00FA33AC" w:rsidP="00990CE8">
      <w:pPr>
        <w:pStyle w:val="ARTartustawynprozporzdzenia"/>
        <w:spacing w:after="120"/>
        <w:rPr>
          <w:rFonts w:ascii="Lato" w:hAnsi="Lato"/>
          <w:i/>
          <w:sz w:val="20"/>
        </w:rPr>
      </w:pPr>
    </w:p>
    <w:p w14:paraId="366D5CEF" w14:textId="1B96C04A" w:rsidR="00572C39" w:rsidRPr="005F2138" w:rsidRDefault="00990CE8" w:rsidP="00990CE8">
      <w:pPr>
        <w:pStyle w:val="ARTartustawynprozporzdzenia"/>
        <w:tabs>
          <w:tab w:val="left" w:pos="1678"/>
        </w:tabs>
        <w:spacing w:after="120"/>
        <w:rPr>
          <w:rFonts w:ascii="Lato" w:hAnsi="Lato"/>
          <w:i/>
          <w:sz w:val="20"/>
        </w:rPr>
      </w:pPr>
      <w:r>
        <w:rPr>
          <w:rFonts w:ascii="Lato" w:hAnsi="Lato"/>
          <w:i/>
          <w:sz w:val="20"/>
        </w:rPr>
        <w:tab/>
      </w:r>
    </w:p>
    <w:p w14:paraId="5A45CBA3" w14:textId="2FFFB210" w:rsidR="00B0370F" w:rsidRPr="005F2138" w:rsidRDefault="00FA33AC" w:rsidP="00990CE8">
      <w:pPr>
        <w:spacing w:before="120" w:after="120"/>
        <w:jc w:val="center"/>
        <w:rPr>
          <w:rFonts w:ascii="Lato" w:hAnsi="Lato"/>
          <w:b/>
          <w:bCs/>
        </w:rPr>
      </w:pPr>
      <w:r w:rsidRPr="005F2138">
        <w:rPr>
          <w:rFonts w:ascii="Lato" w:hAnsi="Lato"/>
          <w:b/>
          <w:bCs/>
        </w:rPr>
        <w:t xml:space="preserve">Wytyczne </w:t>
      </w:r>
      <w:r w:rsidRPr="00990CE8">
        <w:rPr>
          <w:rFonts w:ascii="Lato" w:hAnsi="Lato"/>
        </w:rPr>
        <w:br/>
      </w:r>
      <w:r w:rsidR="16BD8E01" w:rsidRPr="00990CE8">
        <w:rPr>
          <w:rFonts w:ascii="Lato" w:hAnsi="Lato"/>
          <w:b/>
          <w:bCs/>
        </w:rPr>
        <w:t>dotyczące</w:t>
      </w:r>
      <w:r w:rsidR="16BD8E01" w:rsidRPr="00990CE8">
        <w:rPr>
          <w:rFonts w:ascii="Lato" w:hAnsi="Lato"/>
        </w:rPr>
        <w:t xml:space="preserve"> </w:t>
      </w:r>
      <w:r w:rsidR="006F0FEC" w:rsidRPr="005F2138">
        <w:rPr>
          <w:rFonts w:ascii="Lato" w:hAnsi="Lato"/>
          <w:b/>
          <w:bCs/>
        </w:rPr>
        <w:t>kwalifikowalności wydatków</w:t>
      </w:r>
      <w:r w:rsidR="2DCA0EF9" w:rsidRPr="005F2138">
        <w:rPr>
          <w:rFonts w:ascii="Lato" w:hAnsi="Lato"/>
          <w:b/>
          <w:bCs/>
        </w:rPr>
        <w:t xml:space="preserve"> finansowanych </w:t>
      </w:r>
      <w:r w:rsidRPr="005F2138">
        <w:rPr>
          <w:rFonts w:ascii="Lato" w:hAnsi="Lato"/>
          <w:b/>
          <w:bCs/>
        </w:rPr>
        <w:t xml:space="preserve"> </w:t>
      </w:r>
      <w:r w:rsidRPr="00990CE8">
        <w:rPr>
          <w:rFonts w:ascii="Lato" w:hAnsi="Lato"/>
        </w:rPr>
        <w:br/>
      </w:r>
      <w:r w:rsidR="00537D28" w:rsidRPr="005F2138">
        <w:rPr>
          <w:rFonts w:ascii="Lato" w:hAnsi="Lato"/>
          <w:b/>
          <w:bCs/>
        </w:rPr>
        <w:t xml:space="preserve">ze środków </w:t>
      </w:r>
      <w:r w:rsidR="00520688">
        <w:rPr>
          <w:rFonts w:ascii="Lato" w:hAnsi="Lato"/>
          <w:b/>
          <w:bCs/>
        </w:rPr>
        <w:t>I</w:t>
      </w:r>
      <w:r w:rsidR="00520688" w:rsidRPr="005F2138">
        <w:rPr>
          <w:rFonts w:ascii="Lato" w:hAnsi="Lato"/>
          <w:b/>
          <w:bCs/>
        </w:rPr>
        <w:t xml:space="preserve">nstrumentu </w:t>
      </w:r>
      <w:r w:rsidR="00537D28" w:rsidRPr="005F2138">
        <w:rPr>
          <w:rFonts w:ascii="Lato" w:hAnsi="Lato"/>
          <w:b/>
          <w:bCs/>
        </w:rPr>
        <w:t>na rzecz Odbudowy i Zwiększania Odporności</w:t>
      </w:r>
      <w:r w:rsidR="006F0FEC" w:rsidRPr="005F2138">
        <w:rPr>
          <w:rFonts w:ascii="Lato" w:hAnsi="Lato"/>
          <w:b/>
          <w:bCs/>
        </w:rPr>
        <w:t xml:space="preserve"> </w:t>
      </w:r>
      <w:r w:rsidRPr="00990CE8">
        <w:rPr>
          <w:rFonts w:ascii="Lato" w:hAnsi="Lato"/>
        </w:rPr>
        <w:br/>
      </w:r>
      <w:r w:rsidR="006F0FEC" w:rsidRPr="005F2138">
        <w:rPr>
          <w:rFonts w:ascii="Lato" w:hAnsi="Lato"/>
          <w:b/>
          <w:bCs/>
        </w:rPr>
        <w:t xml:space="preserve">dla </w:t>
      </w:r>
      <w:r w:rsidR="004F4F68" w:rsidRPr="005F2138">
        <w:rPr>
          <w:rFonts w:ascii="Lato" w:hAnsi="Lato"/>
          <w:b/>
          <w:bCs/>
        </w:rPr>
        <w:t>przedsięwzię</w:t>
      </w:r>
      <w:r w:rsidR="002F2AE0" w:rsidRPr="00EC4DFE">
        <w:rPr>
          <w:rFonts w:ascii="Lato" w:hAnsi="Lato"/>
          <w:b/>
          <w:bCs/>
        </w:rPr>
        <w:t>cia</w:t>
      </w:r>
      <w:r w:rsidR="004F4F68" w:rsidRPr="005F2138">
        <w:rPr>
          <w:rFonts w:ascii="Lato" w:hAnsi="Lato"/>
          <w:b/>
          <w:bCs/>
        </w:rPr>
        <w:t xml:space="preserve"> </w:t>
      </w:r>
      <w:r w:rsidR="004B0FFC" w:rsidRPr="005F2138">
        <w:rPr>
          <w:rFonts w:ascii="Lato" w:hAnsi="Lato"/>
          <w:b/>
          <w:bCs/>
        </w:rPr>
        <w:t>realizowan</w:t>
      </w:r>
      <w:r w:rsidR="002F2AE0" w:rsidRPr="005F2138">
        <w:rPr>
          <w:rFonts w:ascii="Lato" w:hAnsi="Lato"/>
          <w:b/>
          <w:bCs/>
        </w:rPr>
        <w:t>ego</w:t>
      </w:r>
      <w:r w:rsidR="004B0FFC" w:rsidRPr="005F2138">
        <w:rPr>
          <w:rFonts w:ascii="Lato" w:hAnsi="Lato"/>
          <w:b/>
          <w:bCs/>
        </w:rPr>
        <w:t xml:space="preserve"> w ramach inwestycji D1.1.2 „Przyspieszenie procesów transformacji cyfrowej ochrony zdrowia poprzez dalszy rozwój usług cyfrowych w ochronie zdrowia” będącej elementem komponentu D „Efektywność, dostępność i jakość systemu ochrony zdrowia” </w:t>
      </w:r>
    </w:p>
    <w:p w14:paraId="676F0482" w14:textId="77777777" w:rsidR="00BD2412" w:rsidRPr="005F2138" w:rsidRDefault="00BD2412" w:rsidP="00990CE8">
      <w:pPr>
        <w:spacing w:before="120" w:after="120"/>
        <w:jc w:val="center"/>
        <w:rPr>
          <w:rFonts w:ascii="Lato" w:hAnsi="Lato"/>
        </w:rPr>
      </w:pPr>
      <w:r w:rsidRPr="005F2138">
        <w:rPr>
          <w:rFonts w:ascii="Lato" w:hAnsi="Lato"/>
        </w:rPr>
        <w:t xml:space="preserve">Wytyczne dla naboru w trybie niekonkurencyjnym – I nabór. </w:t>
      </w:r>
    </w:p>
    <w:p w14:paraId="0C32789A" w14:textId="77777777" w:rsidR="00B0370F" w:rsidRPr="005F2138" w:rsidRDefault="00B0370F" w:rsidP="00990CE8">
      <w:pPr>
        <w:spacing w:before="120" w:after="120"/>
        <w:jc w:val="center"/>
        <w:rPr>
          <w:rFonts w:ascii="Lato" w:hAnsi="Lato"/>
          <w:b/>
          <w:bCs/>
        </w:rPr>
      </w:pPr>
    </w:p>
    <w:p w14:paraId="1D37B3B4" w14:textId="77777777" w:rsidR="00B0370F" w:rsidRPr="005F2138" w:rsidRDefault="00B0370F" w:rsidP="00990CE8">
      <w:pPr>
        <w:pStyle w:val="ROZDZODDZOZNoznaczenierozdziauluboddziau"/>
        <w:spacing w:after="120"/>
        <w:rPr>
          <w:rFonts w:ascii="Lato" w:hAnsi="Lato"/>
          <w:iCs/>
        </w:rPr>
      </w:pPr>
    </w:p>
    <w:p w14:paraId="18F66D02" w14:textId="77777777" w:rsidR="00B0370F" w:rsidRPr="005F2138" w:rsidRDefault="00B0370F" w:rsidP="00990CE8">
      <w:pPr>
        <w:pStyle w:val="ROZDZODDZOZNoznaczenierozdziauluboddziau"/>
        <w:spacing w:after="120"/>
        <w:rPr>
          <w:rFonts w:ascii="Lato" w:hAnsi="Lato"/>
          <w:iCs/>
        </w:rPr>
      </w:pPr>
    </w:p>
    <w:p w14:paraId="119C94D6" w14:textId="77777777" w:rsidR="00B0370F" w:rsidRPr="005F2138" w:rsidRDefault="00B0370F" w:rsidP="00990CE8">
      <w:pPr>
        <w:pStyle w:val="ROZDZODDZOZNoznaczenierozdziauluboddziau"/>
        <w:spacing w:after="120"/>
        <w:rPr>
          <w:rFonts w:ascii="Lato" w:hAnsi="Lato"/>
          <w:iCs/>
        </w:rPr>
      </w:pPr>
    </w:p>
    <w:p w14:paraId="59491F8F" w14:textId="77777777" w:rsidR="00B0370F" w:rsidRPr="005F2138" w:rsidRDefault="00B0370F" w:rsidP="00990CE8">
      <w:pPr>
        <w:pStyle w:val="ROZDZODDZOZNoznaczenierozdziauluboddziau"/>
        <w:spacing w:after="120"/>
        <w:rPr>
          <w:rFonts w:ascii="Lato" w:hAnsi="Lato"/>
          <w:iCs/>
        </w:rPr>
      </w:pPr>
    </w:p>
    <w:p w14:paraId="0B4C931D" w14:textId="77777777" w:rsidR="00B0370F" w:rsidRPr="005F2138" w:rsidRDefault="00B0370F" w:rsidP="00990CE8">
      <w:pPr>
        <w:pStyle w:val="ROZDZODDZOZNoznaczenierozdziauluboddziau"/>
        <w:spacing w:after="120"/>
        <w:rPr>
          <w:rFonts w:ascii="Lato" w:hAnsi="Lato"/>
          <w:iCs/>
        </w:rPr>
      </w:pPr>
    </w:p>
    <w:p w14:paraId="5534168C" w14:textId="77777777" w:rsidR="00B0370F" w:rsidRPr="005F2138" w:rsidRDefault="00B0370F" w:rsidP="00990CE8">
      <w:pPr>
        <w:pStyle w:val="ROZDZODDZOZNoznaczenierozdziauluboddziau"/>
        <w:spacing w:after="120"/>
        <w:rPr>
          <w:rFonts w:ascii="Lato" w:hAnsi="Lato"/>
          <w:iCs/>
        </w:rPr>
      </w:pPr>
    </w:p>
    <w:p w14:paraId="4B263DB5" w14:textId="77777777" w:rsidR="00B0370F" w:rsidRPr="005F2138" w:rsidRDefault="00B0370F" w:rsidP="00990CE8">
      <w:pPr>
        <w:pStyle w:val="ROZDZODDZOZNoznaczenierozdziauluboddziau"/>
        <w:spacing w:after="120"/>
        <w:rPr>
          <w:rFonts w:ascii="Lato" w:hAnsi="Lato"/>
          <w:iCs/>
        </w:rPr>
      </w:pPr>
    </w:p>
    <w:p w14:paraId="57E9253E" w14:textId="77777777" w:rsidR="00B0370F" w:rsidRPr="005F2138" w:rsidRDefault="00B0370F" w:rsidP="00990CE8">
      <w:pPr>
        <w:pStyle w:val="ROZDZODDZOZNoznaczenierozdziauluboddziau"/>
        <w:spacing w:after="120"/>
        <w:rPr>
          <w:rFonts w:ascii="Lato" w:hAnsi="Lato"/>
          <w:iCs/>
        </w:rPr>
      </w:pPr>
    </w:p>
    <w:p w14:paraId="7716C73D" w14:textId="77777777" w:rsidR="00B0370F" w:rsidRPr="005F2138" w:rsidRDefault="00B0370F" w:rsidP="00990CE8">
      <w:pPr>
        <w:pStyle w:val="ROZDZODDZOZNoznaczenierozdziauluboddziau"/>
        <w:spacing w:after="120"/>
        <w:jc w:val="left"/>
        <w:rPr>
          <w:rFonts w:ascii="Lato" w:hAnsi="Lato"/>
          <w:iCs/>
        </w:rPr>
      </w:pPr>
    </w:p>
    <w:p w14:paraId="269BCB4B" w14:textId="18BAB781" w:rsidR="00283174" w:rsidRPr="005F2138" w:rsidRDefault="00283174" w:rsidP="00990CE8">
      <w:pPr>
        <w:pStyle w:val="ROZDZODDZOZNoznaczenierozdziauluboddziau"/>
        <w:spacing w:after="120"/>
        <w:rPr>
          <w:rFonts w:ascii="Lato" w:hAnsi="Lato"/>
          <w:iCs/>
        </w:rPr>
      </w:pPr>
    </w:p>
    <w:p w14:paraId="0C002FC9" w14:textId="7F5EE334" w:rsidR="00FA33AC" w:rsidRPr="005F2138" w:rsidRDefault="00813E7E" w:rsidP="00990CE8">
      <w:pPr>
        <w:pStyle w:val="ROZDZODDZOZNoznaczenierozdziauluboddziau"/>
        <w:spacing w:after="120"/>
        <w:rPr>
          <w:rFonts w:ascii="Lato" w:hAnsi="Lato"/>
        </w:rPr>
      </w:pPr>
      <w:r w:rsidRPr="005F2138">
        <w:rPr>
          <w:rFonts w:ascii="Lato" w:hAnsi="Lato"/>
          <w:iCs/>
        </w:rPr>
        <w:br/>
        <w:t xml:space="preserve">Warszawa, </w:t>
      </w:r>
      <w:r w:rsidR="00520688">
        <w:rPr>
          <w:rFonts w:ascii="Lato" w:hAnsi="Lato"/>
          <w:iCs/>
        </w:rPr>
        <w:t>22.04.2025</w:t>
      </w:r>
      <w:r w:rsidR="00CE1F6F" w:rsidRPr="005F2138">
        <w:rPr>
          <w:rFonts w:ascii="Lato" w:hAnsi="Lato"/>
          <w:iCs/>
        </w:rPr>
        <w:t xml:space="preserve"> </w:t>
      </w:r>
      <w:r w:rsidR="00A93B3B" w:rsidRPr="005F2138">
        <w:rPr>
          <w:rFonts w:ascii="Lato" w:hAnsi="Lato"/>
          <w:iCs/>
        </w:rPr>
        <w:t>r.</w:t>
      </w:r>
    </w:p>
    <w:p w14:paraId="64B882E9" w14:textId="48CC5A7D" w:rsidR="00E36230" w:rsidRPr="005F2138" w:rsidRDefault="00FA33AC" w:rsidP="00990CE8">
      <w:pPr>
        <w:spacing w:before="120" w:after="120" w:line="259" w:lineRule="auto"/>
        <w:rPr>
          <w:rFonts w:ascii="Lato" w:eastAsia="Times New Roman" w:hAnsi="Lato" w:cs="Arial"/>
          <w:bCs/>
          <w:szCs w:val="24"/>
          <w:lang w:eastAsia="pl-PL"/>
        </w:rPr>
      </w:pPr>
      <w:r w:rsidRPr="005F2138">
        <w:rPr>
          <w:rFonts w:ascii="Lato" w:hAnsi="Lato" w:cs="Arial"/>
        </w:rPr>
        <w:br w:type="page"/>
      </w:r>
    </w:p>
    <w:bookmarkStart w:id="0" w:name="_Toc107473009" w:displacedByCustomXml="next"/>
    <w:bookmarkStart w:id="1" w:name="_Toc107472842" w:displacedByCustomXml="next"/>
    <w:sdt>
      <w:sdtPr>
        <w:rPr>
          <w:rFonts w:ascii="Lato" w:eastAsia="Calibri" w:hAnsi="Lato" w:cs="Times New Roman"/>
          <w:b w:val="0"/>
          <w:noProof/>
          <w:sz w:val="24"/>
          <w:szCs w:val="22"/>
          <w:lang w:eastAsia="en-US"/>
        </w:rPr>
        <w:id w:val="-140883151"/>
        <w:docPartObj>
          <w:docPartGallery w:val="Table of Contents"/>
          <w:docPartUnique/>
        </w:docPartObj>
      </w:sdtPr>
      <w:sdtEndPr>
        <w:rPr>
          <w:rFonts w:cs="Arial"/>
          <w:lang w:eastAsia="pl-PL"/>
        </w:rPr>
      </w:sdtEndPr>
      <w:sdtContent>
        <w:sdt>
          <w:sdtPr>
            <w:rPr>
              <w:rFonts w:ascii="Lato" w:eastAsia="Calibri" w:hAnsi="Lato" w:cs="Times New Roman"/>
              <w:b w:val="0"/>
              <w:noProof/>
              <w:sz w:val="24"/>
              <w:szCs w:val="22"/>
              <w:lang w:eastAsia="en-US"/>
            </w:rPr>
            <w:id w:val="1644999735"/>
            <w:docPartObj>
              <w:docPartGallery w:val="Table of Contents"/>
              <w:docPartUnique/>
            </w:docPartObj>
          </w:sdtPr>
          <w:sdtEndPr>
            <w:rPr>
              <w:rFonts w:cs="Arial"/>
              <w:szCs w:val="24"/>
              <w:lang w:eastAsia="pl-PL"/>
            </w:rPr>
          </w:sdtEndPr>
          <w:sdtContent>
            <w:p w14:paraId="5A817D8A" w14:textId="0863E828" w:rsidR="00283FAC" w:rsidRPr="00990CE8" w:rsidRDefault="00283FAC" w:rsidP="00990CE8">
              <w:pPr>
                <w:pStyle w:val="Nagwekspisutreci"/>
                <w:spacing w:before="120" w:after="120"/>
                <w:rPr>
                  <w:rFonts w:ascii="Lato" w:hAnsi="Lato"/>
                </w:rPr>
              </w:pPr>
              <w:r w:rsidRPr="005F2138">
                <w:rPr>
                  <w:rFonts w:ascii="Lato" w:hAnsi="Lato"/>
                </w:rPr>
                <w:t>Spis treści</w:t>
              </w:r>
            </w:p>
            <w:p w14:paraId="39049C2C" w14:textId="204AE605" w:rsidR="008F1628" w:rsidRPr="00990CE8" w:rsidRDefault="00283FAC" w:rsidP="00990CE8">
              <w:pPr>
                <w:pStyle w:val="Spistreci1"/>
                <w:spacing w:before="120" w:after="120"/>
                <w:rPr>
                  <w:rFonts w:ascii="Lato" w:eastAsiaTheme="minorEastAsia" w:hAnsi="Lato" w:cstheme="minorBidi"/>
                  <w:kern w:val="2"/>
                  <w:szCs w:val="24"/>
                  <w14:ligatures w14:val="standardContextual"/>
                </w:rPr>
              </w:pPr>
              <w:r w:rsidRPr="00990CE8">
                <w:rPr>
                  <w:rFonts w:ascii="Lato" w:hAnsi="Lato"/>
                </w:rPr>
                <w:fldChar w:fldCharType="begin"/>
              </w:r>
              <w:r w:rsidRPr="00990CE8">
                <w:rPr>
                  <w:rFonts w:ascii="Lato" w:hAnsi="Lato"/>
                </w:rPr>
                <w:instrText xml:space="preserve"> TOC \o "1-3" \h \z \u </w:instrText>
              </w:r>
              <w:r w:rsidRPr="00990CE8">
                <w:rPr>
                  <w:rFonts w:ascii="Lato" w:hAnsi="Lato"/>
                </w:rPr>
                <w:fldChar w:fldCharType="separate"/>
              </w:r>
              <w:hyperlink w:anchor="_Toc181699358" w:history="1">
                <w:r w:rsidR="008F1628" w:rsidRPr="00990CE8">
                  <w:rPr>
                    <w:rStyle w:val="Hipercze"/>
                    <w:rFonts w:ascii="Lato" w:hAnsi="Lato"/>
                  </w:rPr>
                  <w:t>Rozdział 1 Podstawa prawna</w:t>
                </w:r>
                <w:r w:rsidR="008F1628" w:rsidRPr="00990CE8">
                  <w:rPr>
                    <w:rFonts w:ascii="Lato" w:hAnsi="Lato"/>
                    <w:webHidden/>
                  </w:rPr>
                  <w:tab/>
                </w:r>
                <w:r w:rsidR="008F1628" w:rsidRPr="00990CE8">
                  <w:rPr>
                    <w:rFonts w:ascii="Lato" w:hAnsi="Lato"/>
                    <w:webHidden/>
                  </w:rPr>
                  <w:fldChar w:fldCharType="begin"/>
                </w:r>
                <w:r w:rsidR="008F1628" w:rsidRPr="00990CE8">
                  <w:rPr>
                    <w:rFonts w:ascii="Lato" w:hAnsi="Lato"/>
                    <w:webHidden/>
                  </w:rPr>
                  <w:instrText xml:space="preserve"> PAGEREF _Toc181699358 \h </w:instrText>
                </w:r>
                <w:r w:rsidR="008F1628" w:rsidRPr="00990CE8">
                  <w:rPr>
                    <w:rFonts w:ascii="Lato" w:hAnsi="Lato"/>
                    <w:webHidden/>
                  </w:rPr>
                </w:r>
                <w:r w:rsidR="008F1628" w:rsidRPr="00990CE8">
                  <w:rPr>
                    <w:rFonts w:ascii="Lato" w:hAnsi="Lato"/>
                    <w:webHidden/>
                  </w:rPr>
                  <w:fldChar w:fldCharType="separate"/>
                </w:r>
                <w:r w:rsidR="008D0944">
                  <w:rPr>
                    <w:rFonts w:ascii="Lato" w:hAnsi="Lato"/>
                    <w:webHidden/>
                  </w:rPr>
                  <w:t>3</w:t>
                </w:r>
                <w:r w:rsidR="008F1628" w:rsidRPr="00990CE8">
                  <w:rPr>
                    <w:rFonts w:ascii="Lato" w:hAnsi="Lato"/>
                    <w:webHidden/>
                  </w:rPr>
                  <w:fldChar w:fldCharType="end"/>
                </w:r>
              </w:hyperlink>
            </w:p>
            <w:p w14:paraId="00E826AB" w14:textId="3FB6EC95" w:rsidR="008F1628" w:rsidRPr="00990CE8" w:rsidRDefault="008F1628" w:rsidP="00990CE8">
              <w:pPr>
                <w:pStyle w:val="Spistreci1"/>
                <w:spacing w:before="120" w:after="120"/>
                <w:rPr>
                  <w:rFonts w:ascii="Lato" w:eastAsiaTheme="minorEastAsia" w:hAnsi="Lato" w:cstheme="minorBidi"/>
                  <w:kern w:val="2"/>
                  <w:szCs w:val="24"/>
                  <w14:ligatures w14:val="standardContextual"/>
                </w:rPr>
              </w:pPr>
              <w:hyperlink w:anchor="_Toc181699359" w:history="1">
                <w:r w:rsidRPr="00990CE8">
                  <w:rPr>
                    <w:rStyle w:val="Hipercze"/>
                    <w:rFonts w:ascii="Lato" w:hAnsi="Lato"/>
                  </w:rPr>
                  <w:t>Rozdział 2 Wykaz skrótów i pojęć</w:t>
                </w:r>
                <w:r w:rsidRPr="00990CE8">
                  <w:rPr>
                    <w:rFonts w:ascii="Lato" w:hAnsi="Lato"/>
                    <w:webHidden/>
                  </w:rPr>
                  <w:tab/>
                </w:r>
                <w:r w:rsidRPr="00990CE8">
                  <w:rPr>
                    <w:rFonts w:ascii="Lato" w:hAnsi="Lato"/>
                    <w:webHidden/>
                  </w:rPr>
                  <w:fldChar w:fldCharType="begin"/>
                </w:r>
                <w:r w:rsidRPr="00990CE8">
                  <w:rPr>
                    <w:rFonts w:ascii="Lato" w:hAnsi="Lato"/>
                    <w:webHidden/>
                  </w:rPr>
                  <w:instrText xml:space="preserve"> PAGEREF _Toc181699359 \h </w:instrText>
                </w:r>
                <w:r w:rsidRPr="00990CE8">
                  <w:rPr>
                    <w:rFonts w:ascii="Lato" w:hAnsi="Lato"/>
                    <w:webHidden/>
                  </w:rPr>
                </w:r>
                <w:r w:rsidRPr="00990CE8">
                  <w:rPr>
                    <w:rFonts w:ascii="Lato" w:hAnsi="Lato"/>
                    <w:webHidden/>
                  </w:rPr>
                  <w:fldChar w:fldCharType="separate"/>
                </w:r>
                <w:r w:rsidR="008D0944">
                  <w:rPr>
                    <w:rFonts w:ascii="Lato" w:hAnsi="Lato"/>
                    <w:webHidden/>
                  </w:rPr>
                  <w:t>5</w:t>
                </w:r>
                <w:r w:rsidRPr="00990CE8">
                  <w:rPr>
                    <w:rFonts w:ascii="Lato" w:hAnsi="Lato"/>
                    <w:webHidden/>
                  </w:rPr>
                  <w:fldChar w:fldCharType="end"/>
                </w:r>
              </w:hyperlink>
            </w:p>
            <w:p w14:paraId="65202A10" w14:textId="54ED5300" w:rsidR="008F1628" w:rsidRPr="00990CE8" w:rsidRDefault="008F1628" w:rsidP="00990CE8">
              <w:pPr>
                <w:pStyle w:val="Spistreci1"/>
                <w:spacing w:before="120" w:after="120"/>
                <w:rPr>
                  <w:rFonts w:ascii="Lato" w:eastAsiaTheme="minorEastAsia" w:hAnsi="Lato" w:cstheme="minorBidi"/>
                  <w:kern w:val="2"/>
                  <w:szCs w:val="24"/>
                  <w14:ligatures w14:val="standardContextual"/>
                </w:rPr>
              </w:pPr>
              <w:hyperlink w:anchor="_Toc181699360" w:history="1">
                <w:r w:rsidRPr="00990CE8">
                  <w:rPr>
                    <w:rStyle w:val="Hipercze"/>
                    <w:rFonts w:ascii="Lato" w:hAnsi="Lato"/>
                  </w:rPr>
                  <w:t>Rozdział 3 Warunki kwalifikowalności wydatków</w:t>
                </w:r>
                <w:r w:rsidRPr="00990CE8">
                  <w:rPr>
                    <w:rFonts w:ascii="Lato" w:hAnsi="Lato"/>
                    <w:webHidden/>
                  </w:rPr>
                  <w:tab/>
                </w:r>
                <w:r w:rsidRPr="00990CE8">
                  <w:rPr>
                    <w:rFonts w:ascii="Lato" w:hAnsi="Lato"/>
                    <w:webHidden/>
                  </w:rPr>
                  <w:fldChar w:fldCharType="begin"/>
                </w:r>
                <w:r w:rsidRPr="00990CE8">
                  <w:rPr>
                    <w:rFonts w:ascii="Lato" w:hAnsi="Lato"/>
                    <w:webHidden/>
                  </w:rPr>
                  <w:instrText xml:space="preserve"> PAGEREF _Toc181699360 \h </w:instrText>
                </w:r>
                <w:r w:rsidRPr="00990CE8">
                  <w:rPr>
                    <w:rFonts w:ascii="Lato" w:hAnsi="Lato"/>
                    <w:webHidden/>
                  </w:rPr>
                </w:r>
                <w:r w:rsidRPr="00990CE8">
                  <w:rPr>
                    <w:rFonts w:ascii="Lato" w:hAnsi="Lato"/>
                    <w:webHidden/>
                  </w:rPr>
                  <w:fldChar w:fldCharType="separate"/>
                </w:r>
                <w:r w:rsidR="008D0944">
                  <w:rPr>
                    <w:rFonts w:ascii="Lato" w:hAnsi="Lato"/>
                    <w:webHidden/>
                  </w:rPr>
                  <w:t>7</w:t>
                </w:r>
                <w:r w:rsidRPr="00990CE8">
                  <w:rPr>
                    <w:rFonts w:ascii="Lato" w:hAnsi="Lato"/>
                    <w:webHidden/>
                  </w:rPr>
                  <w:fldChar w:fldCharType="end"/>
                </w:r>
              </w:hyperlink>
            </w:p>
            <w:p w14:paraId="1DFA8DA5" w14:textId="297160DB"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1" w:history="1">
                <w:r w:rsidRPr="00990CE8">
                  <w:rPr>
                    <w:rStyle w:val="Hipercze"/>
                    <w:rFonts w:ascii="Lato" w:hAnsi="Lato"/>
                    <w:noProof/>
                  </w:rPr>
                  <w:t>3.1 Ocena kwalifikowalności przedsięwzięcia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_Toc181699361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7</w:t>
                </w:r>
                <w:r w:rsidRPr="00990CE8">
                  <w:rPr>
                    <w:rFonts w:ascii="Lato" w:hAnsi="Lato"/>
                    <w:noProof/>
                    <w:webHidden/>
                  </w:rPr>
                  <w:fldChar w:fldCharType="end"/>
                </w:r>
              </w:hyperlink>
            </w:p>
            <w:p w14:paraId="3018AC1D" w14:textId="1D89D5CB"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2" w:history="1">
                <w:r w:rsidRPr="00990CE8">
                  <w:rPr>
                    <w:rStyle w:val="Hipercze"/>
                    <w:rFonts w:ascii="Lato" w:hAnsi="Lato"/>
                    <w:noProof/>
                  </w:rPr>
                  <w:t>3.2 Ramy czasowe kwalifikowalności</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_Toc181699362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8</w:t>
                </w:r>
                <w:r w:rsidRPr="00990CE8">
                  <w:rPr>
                    <w:rFonts w:ascii="Lato" w:hAnsi="Lato"/>
                    <w:noProof/>
                    <w:webHidden/>
                  </w:rPr>
                  <w:fldChar w:fldCharType="end"/>
                </w:r>
              </w:hyperlink>
            </w:p>
            <w:p w14:paraId="3D8F9EB7" w14:textId="408D8877"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3" w:history="1">
                <w:r w:rsidRPr="00990CE8">
                  <w:rPr>
                    <w:rStyle w:val="Hipercze"/>
                    <w:rFonts w:ascii="Lato" w:hAnsi="Lato"/>
                    <w:noProof/>
                  </w:rPr>
                  <w:t>3.3 Ocena kwalifikowalności wydatku</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_Toc181699363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9</w:t>
                </w:r>
                <w:r w:rsidRPr="00990CE8">
                  <w:rPr>
                    <w:rFonts w:ascii="Lato" w:hAnsi="Lato"/>
                    <w:noProof/>
                    <w:webHidden/>
                  </w:rPr>
                  <w:fldChar w:fldCharType="end"/>
                </w:r>
              </w:hyperlink>
            </w:p>
            <w:p w14:paraId="49C8A593" w14:textId="248683F1"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4" w:history="1">
                <w:r w:rsidRPr="00990CE8">
                  <w:rPr>
                    <w:rStyle w:val="Hipercze"/>
                    <w:rFonts w:ascii="Lato" w:hAnsi="Lato"/>
                    <w:noProof/>
                  </w:rPr>
                  <w:t>3.4 Wydatki niekwalifikowalne</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_Toc181699364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11</w:t>
                </w:r>
                <w:r w:rsidRPr="00990CE8">
                  <w:rPr>
                    <w:rFonts w:ascii="Lato" w:hAnsi="Lato"/>
                    <w:noProof/>
                    <w:webHidden/>
                  </w:rPr>
                  <w:fldChar w:fldCharType="end"/>
                </w:r>
              </w:hyperlink>
            </w:p>
            <w:p w14:paraId="3184E31A" w14:textId="76FDC55D"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5" w:history="1">
                <w:r w:rsidRPr="00990CE8">
                  <w:rPr>
                    <w:rStyle w:val="Hipercze"/>
                    <w:rFonts w:ascii="Lato" w:hAnsi="Lato"/>
                    <w:noProof/>
                  </w:rPr>
                  <w:t>3.5 Zasada faktycznego poniesienia wydatku</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_Toc181699365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12</w:t>
                </w:r>
                <w:r w:rsidRPr="00990CE8">
                  <w:rPr>
                    <w:rFonts w:ascii="Lato" w:hAnsi="Lato"/>
                    <w:noProof/>
                    <w:webHidden/>
                  </w:rPr>
                  <w:fldChar w:fldCharType="end"/>
                </w:r>
              </w:hyperlink>
            </w:p>
            <w:p w14:paraId="52092919" w14:textId="34714F51"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6" w:history="1">
                <w:r w:rsidRPr="00990CE8">
                  <w:rPr>
                    <w:rStyle w:val="Hipercze"/>
                    <w:rFonts w:ascii="Lato" w:hAnsi="Lato"/>
                    <w:noProof/>
                  </w:rPr>
                  <w:t>3.6 Zakaz podwójnego finansowania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_Toc181699366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20</w:t>
                </w:r>
                <w:r w:rsidRPr="00990CE8">
                  <w:rPr>
                    <w:rFonts w:ascii="Lato" w:hAnsi="Lato"/>
                    <w:noProof/>
                    <w:webHidden/>
                  </w:rPr>
                  <w:fldChar w:fldCharType="end"/>
                </w:r>
              </w:hyperlink>
            </w:p>
            <w:p w14:paraId="447A76F4" w14:textId="6B203F1C"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7" w:history="1">
                <w:r w:rsidRPr="00990CE8">
                  <w:rPr>
                    <w:rStyle w:val="Hipercze"/>
                    <w:rFonts w:ascii="Lato" w:hAnsi="Lato"/>
                    <w:noProof/>
                  </w:rPr>
                  <w:t>3.7 Dochód wygenerowany podczas realizacji przedsięwzięcia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_Toc181699367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21</w:t>
                </w:r>
                <w:r w:rsidRPr="00990CE8">
                  <w:rPr>
                    <w:rFonts w:ascii="Lato" w:hAnsi="Lato"/>
                    <w:noProof/>
                    <w:webHidden/>
                  </w:rPr>
                  <w:fldChar w:fldCharType="end"/>
                </w:r>
              </w:hyperlink>
            </w:p>
            <w:p w14:paraId="2932446F" w14:textId="697E16EA"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68" w:history="1">
                <w:r w:rsidRPr="00990CE8">
                  <w:rPr>
                    <w:rStyle w:val="Hipercze"/>
                    <w:rFonts w:ascii="Lato" w:hAnsi="Lato"/>
                    <w:noProof/>
                  </w:rPr>
                  <w:t>3.8 Trwałość przedsięwzięć</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_Toc181699368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22</w:t>
                </w:r>
                <w:r w:rsidRPr="00990CE8">
                  <w:rPr>
                    <w:rFonts w:ascii="Lato" w:hAnsi="Lato"/>
                    <w:noProof/>
                    <w:webHidden/>
                  </w:rPr>
                  <w:fldChar w:fldCharType="end"/>
                </w:r>
              </w:hyperlink>
            </w:p>
            <w:p w14:paraId="08782F58" w14:textId="6DF5EE56" w:rsidR="008F1628" w:rsidRPr="00990CE8" w:rsidRDefault="008F1628" w:rsidP="00990CE8">
              <w:pPr>
                <w:pStyle w:val="Spistreci1"/>
                <w:spacing w:before="120" w:after="120"/>
                <w:rPr>
                  <w:rFonts w:ascii="Lato" w:eastAsiaTheme="minorEastAsia" w:hAnsi="Lato" w:cstheme="minorBidi"/>
                  <w:kern w:val="2"/>
                  <w:szCs w:val="24"/>
                  <w14:ligatures w14:val="standardContextual"/>
                </w:rPr>
              </w:pPr>
              <w:hyperlink w:anchor="_Toc181699369" w:history="1">
                <w:r w:rsidRPr="00990CE8">
                  <w:rPr>
                    <w:rStyle w:val="Hipercze"/>
                    <w:rFonts w:ascii="Lato" w:hAnsi="Lato"/>
                  </w:rPr>
                  <w:t>Rozdział 4 Wydatki kwalifikowalne</w:t>
                </w:r>
                <w:r w:rsidRPr="00990CE8">
                  <w:rPr>
                    <w:rFonts w:ascii="Lato" w:hAnsi="Lato"/>
                    <w:webHidden/>
                  </w:rPr>
                  <w:tab/>
                </w:r>
                <w:r w:rsidRPr="00990CE8">
                  <w:rPr>
                    <w:rFonts w:ascii="Lato" w:hAnsi="Lato"/>
                    <w:webHidden/>
                  </w:rPr>
                  <w:fldChar w:fldCharType="begin"/>
                </w:r>
                <w:r w:rsidRPr="00990CE8">
                  <w:rPr>
                    <w:rFonts w:ascii="Lato" w:hAnsi="Lato"/>
                    <w:webHidden/>
                  </w:rPr>
                  <w:instrText xml:space="preserve"> PAGEREF _Toc181699369 \h </w:instrText>
                </w:r>
                <w:r w:rsidRPr="00990CE8">
                  <w:rPr>
                    <w:rFonts w:ascii="Lato" w:hAnsi="Lato"/>
                    <w:webHidden/>
                  </w:rPr>
                </w:r>
                <w:r w:rsidRPr="00990CE8">
                  <w:rPr>
                    <w:rFonts w:ascii="Lato" w:hAnsi="Lato"/>
                    <w:webHidden/>
                  </w:rPr>
                  <w:fldChar w:fldCharType="separate"/>
                </w:r>
                <w:r w:rsidR="008D0944">
                  <w:rPr>
                    <w:rFonts w:ascii="Lato" w:hAnsi="Lato"/>
                    <w:webHidden/>
                  </w:rPr>
                  <w:t>22</w:t>
                </w:r>
                <w:r w:rsidRPr="00990CE8">
                  <w:rPr>
                    <w:rFonts w:ascii="Lato" w:hAnsi="Lato"/>
                    <w:webHidden/>
                  </w:rPr>
                  <w:fldChar w:fldCharType="end"/>
                </w:r>
              </w:hyperlink>
            </w:p>
            <w:p w14:paraId="05BCEE5B" w14:textId="417E7956"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70" w:history="1">
                <w:r w:rsidRPr="00990CE8">
                  <w:rPr>
                    <w:rStyle w:val="Hipercze"/>
                    <w:rFonts w:ascii="Lato" w:hAnsi="Lato"/>
                    <w:noProof/>
                  </w:rPr>
                  <w:t>4.1 Opłaty finansowe, doradztwo i inne usługi związane z realizacją przedsięwzięcia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_Toc181699370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22</w:t>
                </w:r>
                <w:r w:rsidRPr="00990CE8">
                  <w:rPr>
                    <w:rFonts w:ascii="Lato" w:hAnsi="Lato"/>
                    <w:noProof/>
                    <w:webHidden/>
                  </w:rPr>
                  <w:fldChar w:fldCharType="end"/>
                </w:r>
              </w:hyperlink>
            </w:p>
            <w:p w14:paraId="3C10D30E" w14:textId="555960FC" w:rsidR="008F1628" w:rsidRPr="00990CE8" w:rsidRDefault="008F1628" w:rsidP="00990CE8">
              <w:pPr>
                <w:pStyle w:val="Spistreci2"/>
                <w:spacing w:before="120" w:after="120"/>
                <w:rPr>
                  <w:rFonts w:ascii="Lato" w:eastAsiaTheme="minorEastAsia" w:hAnsi="Lato" w:cstheme="minorBidi"/>
                  <w:noProof/>
                  <w:kern w:val="2"/>
                  <w:szCs w:val="24"/>
                  <w:lang w:eastAsia="pl-PL"/>
                  <w14:ligatures w14:val="standardContextual"/>
                </w:rPr>
              </w:pPr>
              <w:hyperlink w:anchor="_Toc181699371" w:history="1">
                <w:r w:rsidRPr="00990CE8">
                  <w:rPr>
                    <w:rStyle w:val="Hipercze"/>
                    <w:rFonts w:ascii="Lato" w:hAnsi="Lato"/>
                    <w:noProof/>
                  </w:rPr>
                  <w:t>4.2 Koszty związane z angażowaniem personelu przedsięwzięcia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_Toc181699371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24</w:t>
                </w:r>
                <w:r w:rsidRPr="00990CE8">
                  <w:rPr>
                    <w:rFonts w:ascii="Lato" w:hAnsi="Lato"/>
                    <w:noProof/>
                    <w:webHidden/>
                  </w:rPr>
                  <w:fldChar w:fldCharType="end"/>
                </w:r>
              </w:hyperlink>
            </w:p>
            <w:p w14:paraId="6C7D8A30" w14:textId="209C5C56"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2" w:history="1">
                <w:r w:rsidRPr="00990CE8">
                  <w:rPr>
                    <w:rStyle w:val="Hipercze"/>
                    <w:rFonts w:ascii="Lato" w:hAnsi="Lato"/>
                    <w:noProof/>
                  </w:rPr>
                  <w:t>4.3</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Kwalifikowalność działań informacyjno-promocyjnych</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_Toc181699372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27</w:t>
                </w:r>
                <w:r w:rsidRPr="00990CE8">
                  <w:rPr>
                    <w:rFonts w:ascii="Lato" w:hAnsi="Lato"/>
                    <w:noProof/>
                    <w:webHidden/>
                  </w:rPr>
                  <w:fldChar w:fldCharType="end"/>
                </w:r>
              </w:hyperlink>
            </w:p>
            <w:p w14:paraId="272B45EE" w14:textId="6F1D365E"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3" w:history="1">
                <w:r w:rsidRPr="00990CE8">
                  <w:rPr>
                    <w:rStyle w:val="Hipercze"/>
                    <w:rFonts w:ascii="Lato" w:hAnsi="Lato"/>
                    <w:noProof/>
                  </w:rPr>
                  <w:t>4.4</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Techniki finansowania środków trwałych oraz wartości niematerialnych i praw</w:t>
                </w:r>
                <w:r w:rsidR="00E81E08" w:rsidRPr="00990CE8">
                  <w:rPr>
                    <w:rStyle w:val="Hipercze"/>
                    <w:rFonts w:ascii="Lato" w:hAnsi="Lato"/>
                    <w:noProof/>
                  </w:rPr>
                  <w:t>n</w:t>
                </w:r>
                <w:r w:rsidRPr="00990CE8">
                  <w:rPr>
                    <w:rStyle w:val="Hipercze"/>
                    <w:rFonts w:ascii="Lato" w:hAnsi="Lato"/>
                    <w:noProof/>
                  </w:rPr>
                  <w:t>ych</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_Toc181699373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27</w:t>
                </w:r>
                <w:r w:rsidRPr="00990CE8">
                  <w:rPr>
                    <w:rFonts w:ascii="Lato" w:hAnsi="Lato"/>
                    <w:noProof/>
                    <w:webHidden/>
                  </w:rPr>
                  <w:fldChar w:fldCharType="end"/>
                </w:r>
              </w:hyperlink>
            </w:p>
            <w:p w14:paraId="422683EB" w14:textId="0D87C5F9"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4" w:history="1">
                <w:r w:rsidRPr="00990CE8">
                  <w:rPr>
                    <w:rStyle w:val="Hipercze"/>
                    <w:rFonts w:ascii="Lato" w:hAnsi="Lato"/>
                    <w:noProof/>
                  </w:rPr>
                  <w:t>4.5</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Zakup środków trwałych i wartości niematerialnych i prawnych</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_Toc181699374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29</w:t>
                </w:r>
                <w:r w:rsidRPr="00990CE8">
                  <w:rPr>
                    <w:rFonts w:ascii="Lato" w:hAnsi="Lato"/>
                    <w:noProof/>
                    <w:webHidden/>
                  </w:rPr>
                  <w:fldChar w:fldCharType="end"/>
                </w:r>
              </w:hyperlink>
            </w:p>
            <w:p w14:paraId="5A9F9AA6" w14:textId="3EFB1074"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5" w:history="1">
                <w:r w:rsidRPr="00990CE8">
                  <w:rPr>
                    <w:rStyle w:val="Hipercze"/>
                    <w:rFonts w:ascii="Lato" w:hAnsi="Lato"/>
                    <w:iCs/>
                    <w:noProof/>
                  </w:rPr>
                  <w:t>4.6</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Wydatki w zakresie nieruchomości</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_Toc181699375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36</w:t>
                </w:r>
                <w:r w:rsidRPr="00990CE8">
                  <w:rPr>
                    <w:rFonts w:ascii="Lato" w:hAnsi="Lato"/>
                    <w:noProof/>
                    <w:webHidden/>
                  </w:rPr>
                  <w:fldChar w:fldCharType="end"/>
                </w:r>
              </w:hyperlink>
            </w:p>
            <w:p w14:paraId="37FCA8B3" w14:textId="315DBCA8"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6" w:history="1">
                <w:r w:rsidRPr="00990CE8">
                  <w:rPr>
                    <w:rStyle w:val="Hipercze"/>
                    <w:rFonts w:ascii="Lato" w:hAnsi="Lato"/>
                    <w:noProof/>
                  </w:rPr>
                  <w:t>4.7</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Roboty budowlane, prace przygotowawcze, prace modernizacyjne.</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_Toc181699376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40</w:t>
                </w:r>
                <w:r w:rsidRPr="00990CE8">
                  <w:rPr>
                    <w:rFonts w:ascii="Lato" w:hAnsi="Lato"/>
                    <w:noProof/>
                    <w:webHidden/>
                  </w:rPr>
                  <w:fldChar w:fldCharType="end"/>
                </w:r>
              </w:hyperlink>
            </w:p>
            <w:p w14:paraId="72E09F0F" w14:textId="558F3A78"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7" w:history="1">
                <w:r w:rsidRPr="00990CE8">
                  <w:rPr>
                    <w:rStyle w:val="Hipercze"/>
                    <w:rFonts w:ascii="Lato" w:hAnsi="Lato"/>
                    <w:noProof/>
                  </w:rPr>
                  <w:t>4.8</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Amortyzacja środków trwałych oraz wartości niematerialnych i prawnych</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_Toc181699377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43</w:t>
                </w:r>
                <w:r w:rsidRPr="00990CE8">
                  <w:rPr>
                    <w:rFonts w:ascii="Lato" w:hAnsi="Lato"/>
                    <w:noProof/>
                    <w:webHidden/>
                  </w:rPr>
                  <w:fldChar w:fldCharType="end"/>
                </w:r>
              </w:hyperlink>
            </w:p>
            <w:p w14:paraId="2E42FFF5" w14:textId="3CA802CE"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78" w:history="1">
                <w:r w:rsidRPr="00990CE8">
                  <w:rPr>
                    <w:rStyle w:val="Hipercze"/>
                    <w:rFonts w:ascii="Lato" w:hAnsi="Lato"/>
                    <w:noProof/>
                  </w:rPr>
                  <w:t>4.9</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Leasing i inne techniki finansowania niepowodujące przeniesienia prawa własności lub natychmiastowego przeniesienia prawa własności</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_Toc181699378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44</w:t>
                </w:r>
                <w:r w:rsidRPr="00990CE8">
                  <w:rPr>
                    <w:rFonts w:ascii="Lato" w:hAnsi="Lato"/>
                    <w:noProof/>
                    <w:webHidden/>
                  </w:rPr>
                  <w:fldChar w:fldCharType="end"/>
                </w:r>
              </w:hyperlink>
            </w:p>
            <w:p w14:paraId="5B621712" w14:textId="1C43C4F9" w:rsidR="008F1628" w:rsidRPr="00990CE8" w:rsidRDefault="008F1628" w:rsidP="00990CE8">
              <w:pPr>
                <w:pStyle w:val="Spistreci2"/>
                <w:tabs>
                  <w:tab w:val="left" w:pos="1100"/>
                </w:tabs>
                <w:spacing w:before="120" w:after="120"/>
                <w:rPr>
                  <w:rFonts w:ascii="Lato" w:eastAsiaTheme="minorEastAsia" w:hAnsi="Lato" w:cstheme="minorBidi"/>
                  <w:noProof/>
                  <w:kern w:val="2"/>
                  <w:szCs w:val="24"/>
                  <w:lang w:eastAsia="pl-PL"/>
                  <w14:ligatures w14:val="standardContextual"/>
                </w:rPr>
              </w:pPr>
              <w:hyperlink w:anchor="_Toc181699379" w:history="1">
                <w:r w:rsidRPr="00990CE8">
                  <w:rPr>
                    <w:rStyle w:val="Hipercze"/>
                    <w:rFonts w:ascii="Lato" w:hAnsi="Lato"/>
                    <w:noProof/>
                  </w:rPr>
                  <w:t>4.10</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Umowa IRU</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_Toc181699379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46</w:t>
                </w:r>
                <w:r w:rsidRPr="00990CE8">
                  <w:rPr>
                    <w:rFonts w:ascii="Lato" w:hAnsi="Lato"/>
                    <w:noProof/>
                    <w:webHidden/>
                  </w:rPr>
                  <w:fldChar w:fldCharType="end"/>
                </w:r>
              </w:hyperlink>
            </w:p>
            <w:p w14:paraId="5D1BE8CD" w14:textId="6148B45E" w:rsidR="008F1628" w:rsidRPr="00990CE8" w:rsidRDefault="008F1628" w:rsidP="00990CE8">
              <w:pPr>
                <w:pStyle w:val="Spistreci2"/>
                <w:tabs>
                  <w:tab w:val="left" w:pos="1100"/>
                </w:tabs>
                <w:spacing w:before="120" w:after="120"/>
                <w:rPr>
                  <w:rFonts w:ascii="Lato" w:eastAsiaTheme="minorEastAsia" w:hAnsi="Lato" w:cstheme="minorBidi"/>
                  <w:noProof/>
                  <w:kern w:val="2"/>
                  <w:szCs w:val="24"/>
                  <w:lang w:eastAsia="pl-PL"/>
                  <w14:ligatures w14:val="standardContextual"/>
                </w:rPr>
              </w:pPr>
              <w:hyperlink w:anchor="_Toc181699380" w:history="1">
                <w:r w:rsidRPr="00990CE8">
                  <w:rPr>
                    <w:rStyle w:val="Hipercze"/>
                    <w:rFonts w:ascii="Lato" w:hAnsi="Lato"/>
                    <w:noProof/>
                  </w:rPr>
                  <w:t>4.11</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Inne techniki finansowania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_Toc181699380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47</w:t>
                </w:r>
                <w:r w:rsidRPr="00990CE8">
                  <w:rPr>
                    <w:rFonts w:ascii="Lato" w:hAnsi="Lato"/>
                    <w:noProof/>
                    <w:webHidden/>
                  </w:rPr>
                  <w:fldChar w:fldCharType="end"/>
                </w:r>
              </w:hyperlink>
            </w:p>
            <w:p w14:paraId="12BEE375" w14:textId="5331ABBF" w:rsidR="008F1628" w:rsidRPr="00990CE8" w:rsidRDefault="008F1628" w:rsidP="00990CE8">
              <w:pPr>
                <w:pStyle w:val="Spistreci2"/>
                <w:tabs>
                  <w:tab w:val="left" w:pos="1100"/>
                </w:tabs>
                <w:spacing w:before="120" w:after="120"/>
                <w:rPr>
                  <w:rFonts w:ascii="Lato" w:eastAsiaTheme="minorEastAsia" w:hAnsi="Lato" w:cstheme="minorBidi"/>
                  <w:noProof/>
                  <w:kern w:val="2"/>
                  <w:szCs w:val="24"/>
                  <w:lang w:eastAsia="pl-PL"/>
                  <w14:ligatures w14:val="standardContextual"/>
                </w:rPr>
              </w:pPr>
              <w:hyperlink w:anchor="_Toc181699381" w:history="1">
                <w:r w:rsidRPr="00990CE8">
                  <w:rPr>
                    <w:rStyle w:val="Hipercze"/>
                    <w:rFonts w:ascii="Lato" w:hAnsi="Lato"/>
                    <w:noProof/>
                  </w:rPr>
                  <w:t>4.12</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Koszty pośrednie</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_Toc181699381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47</w:t>
                </w:r>
                <w:r w:rsidRPr="00990CE8">
                  <w:rPr>
                    <w:rFonts w:ascii="Lato" w:hAnsi="Lato"/>
                    <w:noProof/>
                    <w:webHidden/>
                  </w:rPr>
                  <w:fldChar w:fldCharType="end"/>
                </w:r>
              </w:hyperlink>
            </w:p>
            <w:p w14:paraId="4028B0F5" w14:textId="35E45D84" w:rsidR="008F1628" w:rsidRPr="00990CE8" w:rsidRDefault="008F1628" w:rsidP="00990CE8">
              <w:pPr>
                <w:pStyle w:val="Spistreci1"/>
                <w:spacing w:before="120" w:after="120"/>
                <w:rPr>
                  <w:rFonts w:ascii="Lato" w:eastAsiaTheme="minorEastAsia" w:hAnsi="Lato" w:cstheme="minorBidi"/>
                  <w:kern w:val="2"/>
                  <w:szCs w:val="24"/>
                  <w14:ligatures w14:val="standardContextual"/>
                </w:rPr>
              </w:pPr>
              <w:hyperlink w:anchor="_Toc181699382" w:history="1">
                <w:r w:rsidRPr="00990CE8">
                  <w:rPr>
                    <w:rStyle w:val="Hipercze"/>
                    <w:rFonts w:ascii="Lato" w:hAnsi="Lato"/>
                  </w:rPr>
                  <w:t xml:space="preserve">Rozdział 5 Zamówienia udzielane w ramach </w:t>
                </w:r>
                <w:r w:rsidR="00520688" w:rsidRPr="00990CE8">
                  <w:rPr>
                    <w:rStyle w:val="Hipercze"/>
                    <w:rFonts w:ascii="Lato" w:hAnsi="Lato"/>
                  </w:rPr>
                  <w:t>przedsięwzię</w:t>
                </w:r>
                <w:r w:rsidR="00520688">
                  <w:rPr>
                    <w:rStyle w:val="Hipercze"/>
                    <w:rFonts w:ascii="Lato" w:hAnsi="Lato"/>
                  </w:rPr>
                  <w:t>cia</w:t>
                </w:r>
                <w:r w:rsidRPr="00990CE8">
                  <w:rPr>
                    <w:rFonts w:ascii="Lato" w:hAnsi="Lato"/>
                    <w:webHidden/>
                  </w:rPr>
                  <w:tab/>
                </w:r>
                <w:r w:rsidRPr="00990CE8">
                  <w:rPr>
                    <w:rFonts w:ascii="Lato" w:hAnsi="Lato"/>
                    <w:webHidden/>
                  </w:rPr>
                  <w:fldChar w:fldCharType="begin"/>
                </w:r>
                <w:r w:rsidRPr="00990CE8">
                  <w:rPr>
                    <w:rFonts w:ascii="Lato" w:hAnsi="Lato"/>
                    <w:webHidden/>
                  </w:rPr>
                  <w:instrText xml:space="preserve"> PAGEREF _Toc181699382 \h </w:instrText>
                </w:r>
                <w:r w:rsidRPr="00990CE8">
                  <w:rPr>
                    <w:rFonts w:ascii="Lato" w:hAnsi="Lato"/>
                    <w:webHidden/>
                  </w:rPr>
                </w:r>
                <w:r w:rsidRPr="00990CE8">
                  <w:rPr>
                    <w:rFonts w:ascii="Lato" w:hAnsi="Lato"/>
                    <w:webHidden/>
                  </w:rPr>
                  <w:fldChar w:fldCharType="separate"/>
                </w:r>
                <w:r w:rsidR="008D0944">
                  <w:rPr>
                    <w:rFonts w:ascii="Lato" w:hAnsi="Lato"/>
                    <w:webHidden/>
                  </w:rPr>
                  <w:t>49</w:t>
                </w:r>
                <w:r w:rsidRPr="00990CE8">
                  <w:rPr>
                    <w:rFonts w:ascii="Lato" w:hAnsi="Lato"/>
                    <w:webHidden/>
                  </w:rPr>
                  <w:fldChar w:fldCharType="end"/>
                </w:r>
              </w:hyperlink>
            </w:p>
            <w:p w14:paraId="74197C58" w14:textId="18385290"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83" w:history="1">
                <w:r w:rsidRPr="00990CE8">
                  <w:rPr>
                    <w:rStyle w:val="Hipercze"/>
                    <w:rFonts w:ascii="Lato" w:hAnsi="Lato"/>
                    <w:noProof/>
                  </w:rPr>
                  <w:t>5.1</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Zasady ogólne</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_Toc181699383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49</w:t>
                </w:r>
                <w:r w:rsidRPr="00990CE8">
                  <w:rPr>
                    <w:rFonts w:ascii="Lato" w:hAnsi="Lato"/>
                    <w:noProof/>
                    <w:webHidden/>
                  </w:rPr>
                  <w:fldChar w:fldCharType="end"/>
                </w:r>
              </w:hyperlink>
            </w:p>
            <w:p w14:paraId="10C437E7" w14:textId="53448B8E"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84" w:history="1">
                <w:r w:rsidRPr="005F2138">
                  <w:rPr>
                    <w:rStyle w:val="Hipercze"/>
                    <w:rFonts w:ascii="Lato" w:hAnsi="Lato"/>
                    <w:noProof/>
                  </w:rPr>
                  <w:t>5.2</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Postępowanie o udzielenie zamówienia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_Toc181699384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49</w:t>
                </w:r>
                <w:r w:rsidRPr="00990CE8">
                  <w:rPr>
                    <w:rFonts w:ascii="Lato" w:hAnsi="Lato"/>
                    <w:noProof/>
                    <w:webHidden/>
                  </w:rPr>
                  <w:fldChar w:fldCharType="end"/>
                </w:r>
              </w:hyperlink>
            </w:p>
            <w:p w14:paraId="52A15D2D" w14:textId="391B38C9"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85" w:history="1">
                <w:r w:rsidRPr="00990CE8">
                  <w:rPr>
                    <w:rStyle w:val="Hipercze"/>
                    <w:rFonts w:ascii="Lato" w:hAnsi="Lato"/>
                    <w:noProof/>
                  </w:rPr>
                  <w:t>5.3</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Ogłoszenia zapytań ofertowych</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_Toc181699385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55</w:t>
                </w:r>
                <w:r w:rsidRPr="00990CE8">
                  <w:rPr>
                    <w:rFonts w:ascii="Lato" w:hAnsi="Lato"/>
                    <w:noProof/>
                    <w:webHidden/>
                  </w:rPr>
                  <w:fldChar w:fldCharType="end"/>
                </w:r>
              </w:hyperlink>
            </w:p>
            <w:p w14:paraId="13807366" w14:textId="11119C71" w:rsidR="008F1628" w:rsidRPr="00990CE8" w:rsidRDefault="008F1628" w:rsidP="00990CE8">
              <w:pPr>
                <w:pStyle w:val="Spistreci2"/>
                <w:tabs>
                  <w:tab w:val="left" w:pos="880"/>
                </w:tabs>
                <w:spacing w:before="120" w:after="120"/>
                <w:rPr>
                  <w:rFonts w:ascii="Lato" w:eastAsiaTheme="minorEastAsia" w:hAnsi="Lato" w:cstheme="minorBidi"/>
                  <w:noProof/>
                  <w:kern w:val="2"/>
                  <w:szCs w:val="24"/>
                  <w:lang w:eastAsia="pl-PL"/>
                  <w14:ligatures w14:val="standardContextual"/>
                </w:rPr>
              </w:pPr>
              <w:hyperlink w:anchor="_Toc181699386" w:history="1">
                <w:r w:rsidRPr="00990CE8">
                  <w:rPr>
                    <w:rStyle w:val="Hipercze"/>
                    <w:rFonts w:ascii="Lato" w:hAnsi="Lato"/>
                    <w:noProof/>
                  </w:rPr>
                  <w:t>5.4</w:t>
                </w:r>
                <w:r w:rsidR="008D523C">
                  <w:rPr>
                    <w:rFonts w:ascii="Lato" w:eastAsiaTheme="minorEastAsia" w:hAnsi="Lato" w:cstheme="minorBidi"/>
                    <w:noProof/>
                    <w:kern w:val="2"/>
                    <w:szCs w:val="24"/>
                    <w:lang w:eastAsia="pl-PL"/>
                    <w14:ligatures w14:val="standardContextual"/>
                  </w:rPr>
                  <w:t xml:space="preserve"> </w:t>
                </w:r>
                <w:r w:rsidRPr="00990CE8">
                  <w:rPr>
                    <w:rStyle w:val="Hipercze"/>
                    <w:rFonts w:ascii="Lato" w:hAnsi="Lato"/>
                    <w:noProof/>
                  </w:rPr>
                  <w:t>Umowa w sprawie zamówienia</w:t>
                </w:r>
                <w:r w:rsidRPr="00990CE8">
                  <w:rPr>
                    <w:rFonts w:ascii="Lato" w:hAnsi="Lato"/>
                    <w:noProof/>
                    <w:webHidden/>
                  </w:rPr>
                  <w:tab/>
                </w:r>
                <w:r w:rsidRPr="00990CE8">
                  <w:rPr>
                    <w:rFonts w:ascii="Lato" w:hAnsi="Lato"/>
                    <w:noProof/>
                    <w:webHidden/>
                  </w:rPr>
                  <w:fldChar w:fldCharType="begin"/>
                </w:r>
                <w:r w:rsidRPr="00990CE8">
                  <w:rPr>
                    <w:rFonts w:ascii="Lato" w:hAnsi="Lato"/>
                    <w:noProof/>
                    <w:webHidden/>
                  </w:rPr>
                  <w:instrText xml:space="preserve"> PAGEREF _Toc181699386 \h </w:instrText>
                </w:r>
                <w:r w:rsidRPr="00990CE8">
                  <w:rPr>
                    <w:rFonts w:ascii="Lato" w:hAnsi="Lato"/>
                    <w:noProof/>
                    <w:webHidden/>
                  </w:rPr>
                </w:r>
                <w:r w:rsidRPr="00990CE8">
                  <w:rPr>
                    <w:rFonts w:ascii="Lato" w:hAnsi="Lato"/>
                    <w:noProof/>
                    <w:webHidden/>
                  </w:rPr>
                  <w:fldChar w:fldCharType="separate"/>
                </w:r>
                <w:r w:rsidR="008D0944">
                  <w:rPr>
                    <w:rFonts w:ascii="Lato" w:hAnsi="Lato"/>
                    <w:noProof/>
                    <w:webHidden/>
                  </w:rPr>
                  <w:t>57</w:t>
                </w:r>
                <w:r w:rsidRPr="00990CE8">
                  <w:rPr>
                    <w:rFonts w:ascii="Lato" w:hAnsi="Lato"/>
                    <w:noProof/>
                    <w:webHidden/>
                  </w:rPr>
                  <w:fldChar w:fldCharType="end"/>
                </w:r>
              </w:hyperlink>
            </w:p>
            <w:p w14:paraId="34BA105E" w14:textId="079F3B38" w:rsidR="00283FAC" w:rsidRPr="00990CE8" w:rsidRDefault="00283FAC" w:rsidP="00990CE8">
              <w:pPr>
                <w:pStyle w:val="Spistreci1"/>
                <w:spacing w:before="120" w:after="120"/>
                <w:rPr>
                  <w:rFonts w:ascii="Lato" w:hAnsi="Lato"/>
                </w:rPr>
              </w:pPr>
              <w:r w:rsidRPr="00990CE8">
                <w:rPr>
                  <w:rFonts w:ascii="Lato" w:hAnsi="Lato"/>
                  <w:b/>
                </w:rPr>
                <w:fldChar w:fldCharType="end"/>
              </w:r>
            </w:p>
          </w:sdtContent>
        </w:sdt>
      </w:sdtContent>
    </w:sdt>
    <w:p w14:paraId="6F404139" w14:textId="1396FF45" w:rsidR="00283923" w:rsidRPr="005F2138" w:rsidRDefault="00283923" w:rsidP="00990CE8">
      <w:pPr>
        <w:spacing w:before="120" w:after="120" w:line="259" w:lineRule="auto"/>
        <w:rPr>
          <w:rFonts w:ascii="Lato" w:eastAsia="Times New Roman" w:hAnsi="Lato" w:cs="Arial"/>
          <w:b/>
          <w:bCs/>
          <w:kern w:val="32"/>
          <w:szCs w:val="32"/>
        </w:rPr>
      </w:pPr>
      <w:r w:rsidRPr="005F2138">
        <w:rPr>
          <w:rFonts w:ascii="Lato" w:hAnsi="Lato" w:cs="Arial"/>
        </w:rPr>
        <w:br w:type="page"/>
      </w:r>
    </w:p>
    <w:p w14:paraId="73D20E0B" w14:textId="1630AD19" w:rsidR="00097D73" w:rsidRPr="00990CE8" w:rsidRDefault="00097D73" w:rsidP="00990CE8">
      <w:pPr>
        <w:pStyle w:val="Nagwek1"/>
        <w:spacing w:before="120" w:after="120"/>
        <w:rPr>
          <w:rFonts w:ascii="Lato" w:hAnsi="Lato"/>
        </w:rPr>
      </w:pPr>
      <w:bookmarkStart w:id="2" w:name="_Toc181699358"/>
      <w:r w:rsidRPr="00990CE8">
        <w:rPr>
          <w:rFonts w:ascii="Lato" w:hAnsi="Lato"/>
        </w:rPr>
        <w:lastRenderedPageBreak/>
        <w:t>Rozdział 1 Podstawa prawna</w:t>
      </w:r>
      <w:bookmarkEnd w:id="2"/>
    </w:p>
    <w:p w14:paraId="5C71A904" w14:textId="2C069E71" w:rsidR="00097D73" w:rsidRPr="005F2138" w:rsidRDefault="00097D73"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Krajowy Plan Odbudowy i Zwiększania Odporności</w:t>
      </w:r>
      <w:r w:rsidR="00997E64" w:rsidRPr="005F2138">
        <w:rPr>
          <w:rFonts w:ascii="Lato" w:hAnsi="Lato"/>
          <w:lang w:eastAsia="pl-PL"/>
        </w:rPr>
        <w:t>,</w:t>
      </w:r>
      <w:r w:rsidRPr="005F2138">
        <w:rPr>
          <w:rFonts w:ascii="Lato" w:hAnsi="Lato"/>
          <w:lang w:eastAsia="pl-PL"/>
        </w:rPr>
        <w:t xml:space="preserve"> zwany dalej „</w:t>
      </w:r>
      <w:r w:rsidR="0054079F" w:rsidRPr="005F2138">
        <w:rPr>
          <w:rFonts w:ascii="Lato" w:hAnsi="Lato"/>
          <w:lang w:eastAsia="pl-PL"/>
        </w:rPr>
        <w:t>KPO</w:t>
      </w:r>
      <w:r w:rsidR="00D17FDB" w:rsidRPr="005F2138">
        <w:rPr>
          <w:rFonts w:ascii="Lato" w:hAnsi="Lato"/>
          <w:lang w:eastAsia="pl-PL"/>
        </w:rPr>
        <w:t>”</w:t>
      </w:r>
      <w:r w:rsidR="0054079F" w:rsidRPr="005F2138">
        <w:rPr>
          <w:rFonts w:ascii="Lato" w:hAnsi="Lato"/>
          <w:lang w:eastAsia="pl-PL"/>
        </w:rPr>
        <w:t xml:space="preserve"> lub </w:t>
      </w:r>
      <w:r w:rsidR="00D17FDB" w:rsidRPr="005F2138">
        <w:rPr>
          <w:rFonts w:ascii="Lato" w:hAnsi="Lato"/>
          <w:lang w:eastAsia="pl-PL"/>
        </w:rPr>
        <w:t>„</w:t>
      </w:r>
      <w:r w:rsidRPr="005F2138">
        <w:rPr>
          <w:rFonts w:ascii="Lato" w:hAnsi="Lato"/>
          <w:lang w:eastAsia="pl-PL"/>
        </w:rPr>
        <w:t>planem rozwojowym”;</w:t>
      </w:r>
    </w:p>
    <w:p w14:paraId="0F6DE363" w14:textId="63966CEC" w:rsidR="00097D73" w:rsidRPr="005F2138" w:rsidRDefault="00097D73"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Rozporządzenie Parlamentu Europejskiego i Rady (UE) nr 2021/241 z dnia 12 lutego 2021 r. ustanawiające Instrument na rzecz Odbudowy i Zwiększenia Odporności. (Dz. U</w:t>
      </w:r>
      <w:r w:rsidR="00B93C0C" w:rsidRPr="005F2138">
        <w:rPr>
          <w:rFonts w:ascii="Lato" w:hAnsi="Lato"/>
          <w:lang w:eastAsia="pl-PL"/>
        </w:rPr>
        <w:t>.</w:t>
      </w:r>
      <w:r w:rsidRPr="005F2138">
        <w:rPr>
          <w:rFonts w:ascii="Lato" w:hAnsi="Lato"/>
          <w:lang w:eastAsia="pl-PL"/>
        </w:rPr>
        <w:t xml:space="preserve"> UE. L</w:t>
      </w:r>
      <w:r w:rsidR="00B93C0C" w:rsidRPr="005F2138">
        <w:rPr>
          <w:rFonts w:ascii="Lato" w:hAnsi="Lato"/>
          <w:lang w:eastAsia="pl-PL"/>
        </w:rPr>
        <w:t>.</w:t>
      </w:r>
      <w:r w:rsidRPr="005F2138">
        <w:rPr>
          <w:rFonts w:ascii="Lato" w:hAnsi="Lato"/>
          <w:lang w:eastAsia="pl-PL"/>
        </w:rPr>
        <w:t xml:space="preserve"> </w:t>
      </w:r>
      <w:r w:rsidR="00370DAA" w:rsidRPr="005F2138">
        <w:rPr>
          <w:rFonts w:ascii="Lato" w:hAnsi="Lato"/>
          <w:lang w:eastAsia="pl-PL"/>
        </w:rPr>
        <w:t xml:space="preserve"> z 2021</w:t>
      </w:r>
      <w:r w:rsidR="00C03C77" w:rsidRPr="005F2138">
        <w:rPr>
          <w:rFonts w:ascii="Lato" w:hAnsi="Lato"/>
          <w:lang w:eastAsia="pl-PL"/>
        </w:rPr>
        <w:t xml:space="preserve"> </w:t>
      </w:r>
      <w:r w:rsidR="00B93C0C" w:rsidRPr="005F2138">
        <w:rPr>
          <w:rFonts w:ascii="Lato" w:hAnsi="Lato"/>
          <w:lang w:eastAsia="pl-PL"/>
        </w:rPr>
        <w:t>r.</w:t>
      </w:r>
      <w:r w:rsidR="00B93C0C" w:rsidRPr="00990CE8">
        <w:rPr>
          <w:rFonts w:ascii="Lato" w:hAnsi="Lato"/>
        </w:rPr>
        <w:t xml:space="preserve"> </w:t>
      </w:r>
      <w:r w:rsidR="00B93C0C" w:rsidRPr="005F2138">
        <w:rPr>
          <w:rFonts w:ascii="Lato" w:hAnsi="Lato"/>
          <w:lang w:eastAsia="pl-PL"/>
        </w:rPr>
        <w:t xml:space="preserve">Nr 57, </w:t>
      </w:r>
      <w:r w:rsidRPr="005F2138">
        <w:rPr>
          <w:rFonts w:ascii="Lato" w:hAnsi="Lato"/>
          <w:lang w:eastAsia="pl-PL"/>
        </w:rPr>
        <w:t xml:space="preserve">str. 17 z </w:t>
      </w:r>
      <w:proofErr w:type="spellStart"/>
      <w:r w:rsidRPr="005F2138">
        <w:rPr>
          <w:rFonts w:ascii="Lato" w:hAnsi="Lato"/>
          <w:lang w:eastAsia="pl-PL"/>
        </w:rPr>
        <w:t>późn</w:t>
      </w:r>
      <w:proofErr w:type="spellEnd"/>
      <w:r w:rsidRPr="005F2138">
        <w:rPr>
          <w:rFonts w:ascii="Lato" w:hAnsi="Lato"/>
          <w:lang w:eastAsia="pl-PL"/>
        </w:rPr>
        <w:t>. zm.)</w:t>
      </w:r>
      <w:r w:rsidR="00997E64" w:rsidRPr="005F2138">
        <w:rPr>
          <w:rFonts w:ascii="Lato" w:hAnsi="Lato"/>
          <w:lang w:eastAsia="pl-PL"/>
        </w:rPr>
        <w:t>,</w:t>
      </w:r>
      <w:r w:rsidR="00997E64" w:rsidRPr="00990CE8">
        <w:rPr>
          <w:rFonts w:ascii="Lato" w:hAnsi="Lato"/>
        </w:rPr>
        <w:t xml:space="preserve"> </w:t>
      </w:r>
      <w:r w:rsidR="00997E64" w:rsidRPr="005F2138">
        <w:rPr>
          <w:rFonts w:ascii="Lato" w:hAnsi="Lato"/>
          <w:lang w:eastAsia="pl-PL"/>
        </w:rPr>
        <w:t>zwane dalej „rozporządzeniem 2021/241”;</w:t>
      </w:r>
    </w:p>
    <w:p w14:paraId="05B8F3C8" w14:textId="2937CB26" w:rsidR="00097D73" w:rsidRPr="005F2138" w:rsidRDefault="00737D80"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Rozporządzenie Parlamentu Europejskiego i Rady (UE, </w:t>
      </w:r>
      <w:proofErr w:type="spellStart"/>
      <w:r w:rsidRPr="005F2138">
        <w:rPr>
          <w:rFonts w:ascii="Lato" w:hAnsi="Lato"/>
          <w:lang w:eastAsia="pl-PL"/>
        </w:rPr>
        <w:t>Euratom</w:t>
      </w:r>
      <w:proofErr w:type="spellEnd"/>
      <w:r w:rsidRPr="005F2138">
        <w:rPr>
          <w:rFonts w:ascii="Lato" w:hAnsi="Lato"/>
          <w:lang w:eastAsia="pl-PL"/>
        </w:rPr>
        <w:t>) 2024/2509 z dnia 23 września 2024r. w sprawie zasad finansowych mających zastosowanie do budżetu ogólnego Unii (Dz.</w:t>
      </w:r>
      <w:r w:rsidR="00472324" w:rsidRPr="005F2138">
        <w:rPr>
          <w:rFonts w:ascii="Lato" w:hAnsi="Lato"/>
          <w:lang w:eastAsia="pl-PL"/>
        </w:rPr>
        <w:t xml:space="preserve"> </w:t>
      </w:r>
      <w:r w:rsidRPr="005F2138">
        <w:rPr>
          <w:rFonts w:ascii="Lato" w:hAnsi="Lato"/>
          <w:lang w:eastAsia="pl-PL"/>
        </w:rPr>
        <w:t>U.</w:t>
      </w:r>
      <w:r w:rsidR="00B93C0C" w:rsidRPr="005F2138">
        <w:rPr>
          <w:rFonts w:ascii="Lato" w:hAnsi="Lato"/>
          <w:lang w:eastAsia="pl-PL"/>
        </w:rPr>
        <w:t xml:space="preserve"> UE.</w:t>
      </w:r>
      <w:r w:rsidRPr="005F2138">
        <w:rPr>
          <w:rFonts w:ascii="Lato" w:hAnsi="Lato"/>
          <w:lang w:eastAsia="pl-PL"/>
        </w:rPr>
        <w:t xml:space="preserve"> L</w:t>
      </w:r>
      <w:r w:rsidR="00B93C0C" w:rsidRPr="005F2138">
        <w:rPr>
          <w:rFonts w:ascii="Lato" w:hAnsi="Lato"/>
          <w:lang w:eastAsia="pl-PL"/>
        </w:rPr>
        <w:t>. z 2024r. poz. 2509)</w:t>
      </w:r>
      <w:r w:rsidR="00287E47" w:rsidRPr="005F2138">
        <w:rPr>
          <w:rFonts w:ascii="Lato" w:hAnsi="Lato"/>
          <w:lang w:eastAsia="pl-PL"/>
        </w:rPr>
        <w:t>;</w:t>
      </w:r>
      <w:r w:rsidRPr="005F2138">
        <w:rPr>
          <w:rFonts w:ascii="Lato" w:hAnsi="Lato"/>
          <w:lang w:eastAsia="pl-PL"/>
        </w:rPr>
        <w:t xml:space="preserve"> </w:t>
      </w:r>
    </w:p>
    <w:p w14:paraId="236CF695" w14:textId="1F18BFAB" w:rsidR="00097D73" w:rsidRPr="005F2138" w:rsidRDefault="00097D73"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Rozporządzenie Parlamentu Europejskiego i Rady (UE) nr 2016/679 z dnia 27</w:t>
      </w:r>
      <w:r w:rsidR="00153E0A" w:rsidRPr="005F2138">
        <w:rPr>
          <w:rFonts w:ascii="Lato" w:hAnsi="Lato"/>
          <w:lang w:eastAsia="pl-PL"/>
        </w:rPr>
        <w:t> </w:t>
      </w:r>
      <w:r w:rsidRPr="005F2138">
        <w:rPr>
          <w:rFonts w:ascii="Lato" w:hAnsi="Lato"/>
          <w:lang w:eastAsia="pl-PL"/>
        </w:rPr>
        <w:t>kwietnia 2016 r. w sprawie ochrony osób fizycznych w związku z</w:t>
      </w:r>
      <w:r w:rsidR="00610CA3">
        <w:rPr>
          <w:rFonts w:ascii="Lato" w:hAnsi="Lato"/>
          <w:lang w:eastAsia="pl-PL"/>
        </w:rPr>
        <w:t> </w:t>
      </w:r>
      <w:r w:rsidRPr="005F2138">
        <w:rPr>
          <w:rFonts w:ascii="Lato" w:hAnsi="Lato"/>
          <w:lang w:eastAsia="pl-PL"/>
        </w:rPr>
        <w:t>przetwarzaniem danych osobowych i w sprawie swobodnego przepływu takich danych oraz uchylenia dyrektywy 95/46/WE (ogólne rozporządzenie o ochronie danych) (Dz.</w:t>
      </w:r>
      <w:r w:rsidR="00572C39" w:rsidRPr="005F2138">
        <w:rPr>
          <w:rFonts w:ascii="Lato" w:hAnsi="Lato"/>
          <w:lang w:eastAsia="pl-PL"/>
        </w:rPr>
        <w:t> </w:t>
      </w:r>
      <w:r w:rsidRPr="005F2138">
        <w:rPr>
          <w:rFonts w:ascii="Lato" w:hAnsi="Lato"/>
          <w:lang w:eastAsia="pl-PL"/>
        </w:rPr>
        <w:t>U</w:t>
      </w:r>
      <w:r w:rsidR="00B93C0C" w:rsidRPr="005F2138">
        <w:rPr>
          <w:rFonts w:ascii="Lato" w:hAnsi="Lato"/>
          <w:lang w:eastAsia="pl-PL"/>
        </w:rPr>
        <w:t>.</w:t>
      </w:r>
      <w:r w:rsidR="00CF328E" w:rsidRPr="005F2138">
        <w:rPr>
          <w:rFonts w:ascii="Lato" w:hAnsi="Lato"/>
          <w:lang w:eastAsia="pl-PL"/>
        </w:rPr>
        <w:t> </w:t>
      </w:r>
      <w:r w:rsidRPr="005F2138">
        <w:rPr>
          <w:rFonts w:ascii="Lato" w:hAnsi="Lato"/>
          <w:lang w:eastAsia="pl-PL"/>
        </w:rPr>
        <w:t>UE</w:t>
      </w:r>
      <w:r w:rsidR="00B93C0C" w:rsidRPr="005F2138">
        <w:rPr>
          <w:rFonts w:ascii="Lato" w:hAnsi="Lato"/>
          <w:lang w:eastAsia="pl-PL"/>
        </w:rPr>
        <w:t>.</w:t>
      </w:r>
      <w:r w:rsidRPr="005F2138">
        <w:rPr>
          <w:rFonts w:ascii="Lato" w:hAnsi="Lato"/>
          <w:lang w:eastAsia="pl-PL"/>
        </w:rPr>
        <w:t xml:space="preserve"> L</w:t>
      </w:r>
      <w:r w:rsidR="00B93C0C" w:rsidRPr="005F2138">
        <w:rPr>
          <w:rFonts w:ascii="Lato" w:hAnsi="Lato"/>
          <w:lang w:eastAsia="pl-PL"/>
        </w:rPr>
        <w:t>. z 2016</w:t>
      </w:r>
      <w:r w:rsidR="00321EE7" w:rsidRPr="005F2138">
        <w:rPr>
          <w:rFonts w:ascii="Lato" w:hAnsi="Lato"/>
          <w:lang w:eastAsia="pl-PL"/>
        </w:rPr>
        <w:t xml:space="preserve"> </w:t>
      </w:r>
      <w:r w:rsidR="00B93C0C" w:rsidRPr="005F2138">
        <w:rPr>
          <w:rFonts w:ascii="Lato" w:hAnsi="Lato"/>
          <w:lang w:eastAsia="pl-PL"/>
        </w:rPr>
        <w:t>r.</w:t>
      </w:r>
      <w:r w:rsidR="00326D75">
        <w:rPr>
          <w:rFonts w:ascii="Lato" w:hAnsi="Lato"/>
          <w:lang w:eastAsia="pl-PL"/>
        </w:rPr>
        <w:t xml:space="preserve"> </w:t>
      </w:r>
      <w:r w:rsidR="00651072" w:rsidRPr="005F2138">
        <w:rPr>
          <w:rFonts w:ascii="Lato" w:hAnsi="Lato"/>
          <w:lang w:eastAsia="pl-PL"/>
        </w:rPr>
        <w:t xml:space="preserve">Nr </w:t>
      </w:r>
      <w:r w:rsidRPr="005F2138">
        <w:rPr>
          <w:rFonts w:ascii="Lato" w:hAnsi="Lato"/>
          <w:lang w:eastAsia="pl-PL"/>
        </w:rPr>
        <w:t>119</w:t>
      </w:r>
      <w:r w:rsidR="00B93C0C" w:rsidRPr="005F2138">
        <w:rPr>
          <w:rFonts w:ascii="Lato" w:hAnsi="Lato"/>
          <w:lang w:eastAsia="pl-PL"/>
        </w:rPr>
        <w:t>,</w:t>
      </w:r>
      <w:r w:rsidRPr="005F2138">
        <w:rPr>
          <w:rFonts w:ascii="Lato" w:hAnsi="Lato"/>
          <w:lang w:eastAsia="pl-PL"/>
        </w:rPr>
        <w:t xml:space="preserve">  str. 1 z </w:t>
      </w:r>
      <w:proofErr w:type="spellStart"/>
      <w:r w:rsidRPr="005F2138">
        <w:rPr>
          <w:rFonts w:ascii="Lato" w:hAnsi="Lato"/>
          <w:lang w:eastAsia="pl-PL"/>
        </w:rPr>
        <w:t>późn</w:t>
      </w:r>
      <w:proofErr w:type="spellEnd"/>
      <w:r w:rsidRPr="005F2138">
        <w:rPr>
          <w:rFonts w:ascii="Lato" w:hAnsi="Lato"/>
          <w:lang w:eastAsia="pl-PL"/>
        </w:rPr>
        <w:t>. zm.)</w:t>
      </w:r>
      <w:r w:rsidR="00EB1162" w:rsidRPr="005F2138">
        <w:rPr>
          <w:rFonts w:ascii="Lato" w:hAnsi="Lato"/>
          <w:lang w:eastAsia="pl-PL"/>
        </w:rPr>
        <w:t>;</w:t>
      </w:r>
    </w:p>
    <w:p w14:paraId="77BF33AE" w14:textId="4D0CB1A2" w:rsidR="00765703" w:rsidRPr="005F2138" w:rsidRDefault="00097D73"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Rozporządzenie Parlamentu Europejskiego i Rady (UE) 2020/852 z dnia 18 czerwca 2020 r. w sprawie ustanowienia ram ułatwiających zrównoważone inwestycje, zmieniające rozporządzenie (UE) 2019/2088 (Dz. U</w:t>
      </w:r>
      <w:r w:rsidR="00B93C0C" w:rsidRPr="005F2138">
        <w:rPr>
          <w:rFonts w:ascii="Lato" w:hAnsi="Lato"/>
          <w:lang w:eastAsia="pl-PL"/>
        </w:rPr>
        <w:t>.</w:t>
      </w:r>
      <w:r w:rsidRPr="005F2138">
        <w:rPr>
          <w:rFonts w:ascii="Lato" w:hAnsi="Lato"/>
          <w:lang w:eastAsia="pl-PL"/>
        </w:rPr>
        <w:t xml:space="preserve"> UE</w:t>
      </w:r>
      <w:r w:rsidR="00B93C0C" w:rsidRPr="005F2138">
        <w:rPr>
          <w:rFonts w:ascii="Lato" w:hAnsi="Lato"/>
          <w:lang w:eastAsia="pl-PL"/>
        </w:rPr>
        <w:t>.</w:t>
      </w:r>
      <w:r w:rsidRPr="005F2138">
        <w:rPr>
          <w:rFonts w:ascii="Lato" w:hAnsi="Lato"/>
          <w:lang w:eastAsia="pl-PL"/>
        </w:rPr>
        <w:t xml:space="preserve"> L</w:t>
      </w:r>
      <w:r w:rsidR="00B93C0C" w:rsidRPr="005F2138">
        <w:rPr>
          <w:rFonts w:ascii="Lato" w:hAnsi="Lato"/>
          <w:lang w:eastAsia="pl-PL"/>
        </w:rPr>
        <w:t>.</w:t>
      </w:r>
      <w:r w:rsidRPr="005F2138">
        <w:rPr>
          <w:rFonts w:ascii="Lato" w:hAnsi="Lato"/>
          <w:lang w:eastAsia="pl-PL"/>
        </w:rPr>
        <w:t xml:space="preserve"> </w:t>
      </w:r>
      <w:r w:rsidR="00A37280" w:rsidRPr="005F2138">
        <w:rPr>
          <w:rFonts w:ascii="Lato" w:hAnsi="Lato"/>
          <w:lang w:eastAsia="pl-PL"/>
        </w:rPr>
        <w:t>z</w:t>
      </w:r>
      <w:r w:rsidRPr="005F2138">
        <w:rPr>
          <w:rFonts w:ascii="Lato" w:hAnsi="Lato"/>
          <w:lang w:eastAsia="pl-PL"/>
        </w:rPr>
        <w:t xml:space="preserve"> 2020</w:t>
      </w:r>
      <w:r w:rsidR="00B93C0C" w:rsidRPr="005F2138">
        <w:rPr>
          <w:rFonts w:ascii="Lato" w:hAnsi="Lato"/>
          <w:lang w:eastAsia="pl-PL"/>
        </w:rPr>
        <w:t>r.</w:t>
      </w:r>
      <w:r w:rsidR="00B93C0C" w:rsidRPr="00990CE8">
        <w:rPr>
          <w:rFonts w:ascii="Lato" w:hAnsi="Lato"/>
        </w:rPr>
        <w:t xml:space="preserve"> </w:t>
      </w:r>
      <w:r w:rsidR="00B93C0C" w:rsidRPr="005F2138">
        <w:rPr>
          <w:rFonts w:ascii="Lato" w:hAnsi="Lato"/>
          <w:lang w:eastAsia="pl-PL"/>
        </w:rPr>
        <w:t>Nr 198</w:t>
      </w:r>
      <w:r w:rsidRPr="005F2138">
        <w:rPr>
          <w:rFonts w:ascii="Lato" w:hAnsi="Lato"/>
          <w:lang w:eastAsia="pl-PL"/>
        </w:rPr>
        <w:t xml:space="preserve"> str.</w:t>
      </w:r>
      <w:r w:rsidR="005B6E9B" w:rsidRPr="005F2138">
        <w:rPr>
          <w:rFonts w:ascii="Lato" w:hAnsi="Lato"/>
          <w:lang w:eastAsia="pl-PL"/>
        </w:rPr>
        <w:t> </w:t>
      </w:r>
      <w:r w:rsidRPr="005F2138">
        <w:rPr>
          <w:rFonts w:ascii="Lato" w:hAnsi="Lato"/>
          <w:lang w:eastAsia="pl-PL"/>
        </w:rPr>
        <w:t>13 z</w:t>
      </w:r>
      <w:r w:rsidR="00F17297" w:rsidRPr="005F2138">
        <w:rPr>
          <w:rFonts w:ascii="Lato" w:hAnsi="Lato"/>
          <w:lang w:eastAsia="pl-PL"/>
        </w:rPr>
        <w:t> </w:t>
      </w:r>
      <w:proofErr w:type="spellStart"/>
      <w:r w:rsidRPr="005F2138">
        <w:rPr>
          <w:rFonts w:ascii="Lato" w:hAnsi="Lato"/>
          <w:lang w:eastAsia="pl-PL"/>
        </w:rPr>
        <w:t>późn</w:t>
      </w:r>
      <w:proofErr w:type="spellEnd"/>
      <w:r w:rsidRPr="005F2138">
        <w:rPr>
          <w:rFonts w:ascii="Lato" w:hAnsi="Lato"/>
          <w:lang w:eastAsia="pl-PL"/>
        </w:rPr>
        <w:t>. zm.)</w:t>
      </w:r>
      <w:r w:rsidR="00EB1162" w:rsidRPr="005F2138">
        <w:rPr>
          <w:rFonts w:ascii="Lato" w:hAnsi="Lato"/>
          <w:lang w:eastAsia="pl-PL"/>
        </w:rPr>
        <w:t>;</w:t>
      </w:r>
    </w:p>
    <w:p w14:paraId="34AB15AD" w14:textId="502D6D75" w:rsidR="00765703" w:rsidRPr="005F2138" w:rsidRDefault="00765703"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Rozporządzenie delegowane Komisji (UE) 2023/2486 z dnia 27 czerwca 2023 r. uzupełniające rozporządzenie Parlamentu Europejskiego i Rady (UE) 2020/852 poprzez ustanowienie technicznych kryteriów kwalifikacji służących określeniu warunków, na jakich dana działalność gospodarcza kwalifikuje się jako wnosząca istotny wkład w zrównoważone wykorzystywanie i ochronę zasobów wodnych i</w:t>
      </w:r>
      <w:r w:rsidR="00CA5757" w:rsidRPr="00990CE8">
        <w:rPr>
          <w:rFonts w:ascii="Lato" w:hAnsi="Lato"/>
        </w:rPr>
        <w:t> </w:t>
      </w:r>
      <w:r w:rsidRPr="005F2138">
        <w:rPr>
          <w:rFonts w:ascii="Lato" w:hAnsi="Lato"/>
          <w:lang w:eastAsia="pl-PL"/>
        </w:rPr>
        <w:t>morskich, w przejście na gospodarkę o obiegu zamkniętym, w zapobieganie zanieczyszczeniu i jego kontrolę lub w ochronę i odbudow</w:t>
      </w:r>
      <w:r w:rsidR="00157FE7" w:rsidRPr="005F2138">
        <w:rPr>
          <w:rFonts w:ascii="Lato" w:hAnsi="Lato"/>
          <w:lang w:eastAsia="pl-PL"/>
        </w:rPr>
        <w:t>a</w:t>
      </w:r>
      <w:r w:rsidR="00C11870" w:rsidRPr="005F2138">
        <w:rPr>
          <w:rFonts w:ascii="Lato" w:hAnsi="Lato"/>
          <w:lang w:eastAsia="pl-PL"/>
        </w:rPr>
        <w:t>nie</w:t>
      </w:r>
      <w:r w:rsidRPr="005F2138">
        <w:rPr>
          <w:rFonts w:ascii="Lato" w:hAnsi="Lato"/>
          <w:lang w:eastAsia="pl-PL"/>
        </w:rPr>
        <w:t xml:space="preserve"> bioróżnorodności i</w:t>
      </w:r>
      <w:r w:rsidR="00CA5757" w:rsidRPr="005F2138">
        <w:rPr>
          <w:rFonts w:ascii="Lato" w:hAnsi="Lato"/>
          <w:lang w:eastAsia="pl-PL"/>
        </w:rPr>
        <w:t> </w:t>
      </w:r>
      <w:r w:rsidRPr="005F2138">
        <w:rPr>
          <w:rFonts w:ascii="Lato" w:hAnsi="Lato"/>
          <w:lang w:eastAsia="pl-PL"/>
        </w:rPr>
        <w:t>ekosystemów, a także określeniu, czy ta działalność gospodarcza nie wyrządza poważnych szkód względem któregokolwiek z innych celów środowiskowych, i</w:t>
      </w:r>
      <w:r w:rsidR="00CA5757" w:rsidRPr="005F2138">
        <w:rPr>
          <w:rFonts w:ascii="Lato" w:hAnsi="Lato"/>
          <w:lang w:eastAsia="pl-PL"/>
        </w:rPr>
        <w:t> </w:t>
      </w:r>
      <w:r w:rsidRPr="005F2138">
        <w:rPr>
          <w:rFonts w:ascii="Lato" w:hAnsi="Lato"/>
          <w:lang w:eastAsia="pl-PL"/>
        </w:rPr>
        <w:t xml:space="preserve">zmieniające rozporządzenie delegowane Komisji (UE) 2021/2178 w odniesieniu do publicznego ujawniania szczególnych informacji w odniesieniu do tych rodzajów </w:t>
      </w:r>
      <w:r w:rsidRPr="005F2138">
        <w:rPr>
          <w:rFonts w:ascii="Lato" w:hAnsi="Lato"/>
          <w:lang w:eastAsia="pl-PL"/>
        </w:rPr>
        <w:lastRenderedPageBreak/>
        <w:t xml:space="preserve">działalności gospodarczej </w:t>
      </w:r>
      <w:r w:rsidR="0056605E" w:rsidRPr="005F2138">
        <w:rPr>
          <w:rFonts w:ascii="Lato" w:hAnsi="Lato"/>
          <w:lang w:eastAsia="pl-PL"/>
        </w:rPr>
        <w:t xml:space="preserve"> </w:t>
      </w:r>
      <w:r w:rsidR="00157FE7" w:rsidRPr="005F2138">
        <w:rPr>
          <w:rFonts w:ascii="Lato" w:hAnsi="Lato"/>
          <w:lang w:eastAsia="pl-PL"/>
        </w:rPr>
        <w:t>(Dz. U</w:t>
      </w:r>
      <w:r w:rsidR="00B93C0C" w:rsidRPr="005F2138">
        <w:rPr>
          <w:rFonts w:ascii="Lato" w:hAnsi="Lato"/>
          <w:lang w:eastAsia="pl-PL"/>
        </w:rPr>
        <w:t>.</w:t>
      </w:r>
      <w:r w:rsidR="00157FE7" w:rsidRPr="005F2138">
        <w:rPr>
          <w:rFonts w:ascii="Lato" w:hAnsi="Lato"/>
          <w:lang w:eastAsia="pl-PL"/>
        </w:rPr>
        <w:t xml:space="preserve"> UE. L</w:t>
      </w:r>
      <w:r w:rsidR="00B93C0C" w:rsidRPr="005F2138">
        <w:rPr>
          <w:rFonts w:ascii="Lato" w:hAnsi="Lato"/>
          <w:lang w:eastAsia="pl-PL"/>
        </w:rPr>
        <w:t>.</w:t>
      </w:r>
      <w:r w:rsidR="00157FE7" w:rsidRPr="005F2138">
        <w:rPr>
          <w:rFonts w:ascii="Lato" w:hAnsi="Lato"/>
          <w:lang w:eastAsia="pl-PL"/>
        </w:rPr>
        <w:t xml:space="preserve"> </w:t>
      </w:r>
      <w:r w:rsidR="00B93C0C" w:rsidRPr="005F2138">
        <w:rPr>
          <w:rFonts w:ascii="Lato" w:hAnsi="Lato"/>
          <w:lang w:eastAsia="pl-PL"/>
        </w:rPr>
        <w:t>z</w:t>
      </w:r>
      <w:r w:rsidR="00157FE7" w:rsidRPr="005F2138">
        <w:rPr>
          <w:rFonts w:ascii="Lato" w:hAnsi="Lato"/>
          <w:lang w:eastAsia="pl-PL"/>
        </w:rPr>
        <w:t xml:space="preserve"> 2023</w:t>
      </w:r>
      <w:r w:rsidR="00534428" w:rsidRPr="005F2138">
        <w:rPr>
          <w:rFonts w:ascii="Lato" w:hAnsi="Lato"/>
          <w:lang w:eastAsia="pl-PL"/>
        </w:rPr>
        <w:t xml:space="preserve"> </w:t>
      </w:r>
      <w:r w:rsidR="00B93C0C" w:rsidRPr="005F2138">
        <w:rPr>
          <w:rFonts w:ascii="Lato" w:hAnsi="Lato"/>
          <w:lang w:eastAsia="pl-PL"/>
        </w:rPr>
        <w:t>r.</w:t>
      </w:r>
      <w:r w:rsidR="00287E47" w:rsidRPr="005F2138">
        <w:rPr>
          <w:rFonts w:ascii="Lato" w:hAnsi="Lato"/>
          <w:lang w:eastAsia="pl-PL"/>
        </w:rPr>
        <w:t>,</w:t>
      </w:r>
      <w:r w:rsidR="00157FE7" w:rsidRPr="005F2138">
        <w:rPr>
          <w:rFonts w:ascii="Lato" w:hAnsi="Lato"/>
          <w:lang w:eastAsia="pl-PL"/>
        </w:rPr>
        <w:t xml:space="preserve"> poz. 2486), </w:t>
      </w:r>
      <w:r w:rsidR="0056605E" w:rsidRPr="005F2138">
        <w:rPr>
          <w:rFonts w:ascii="Lato" w:hAnsi="Lato"/>
          <w:lang w:eastAsia="pl-PL"/>
        </w:rPr>
        <w:t>zwane dalej „</w:t>
      </w:r>
      <w:bookmarkStart w:id="3" w:name="_Hlk180582008"/>
      <w:r w:rsidR="0056605E" w:rsidRPr="005F2138">
        <w:rPr>
          <w:rFonts w:ascii="Lato" w:hAnsi="Lato"/>
          <w:lang w:eastAsia="pl-PL"/>
        </w:rPr>
        <w:t>rozporządzeniem 2023/2486”;</w:t>
      </w:r>
      <w:bookmarkEnd w:id="3"/>
    </w:p>
    <w:p w14:paraId="19D62382" w14:textId="15BF6C50" w:rsidR="007D121C" w:rsidRPr="005F2138" w:rsidRDefault="001316C5"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Decyzja wykonawcza Rady UE </w:t>
      </w:r>
      <w:r w:rsidR="00A37280" w:rsidRPr="005F2138">
        <w:rPr>
          <w:rFonts w:ascii="Lato" w:hAnsi="Lato"/>
          <w:lang w:eastAsia="pl-PL"/>
        </w:rPr>
        <w:t xml:space="preserve">(UE) 2022/0181 (NLE) </w:t>
      </w:r>
      <w:r w:rsidR="00937343" w:rsidRPr="00937343">
        <w:rPr>
          <w:rFonts w:ascii="Lato" w:hAnsi="Lato"/>
          <w:lang w:eastAsia="pl-PL"/>
        </w:rPr>
        <w:t xml:space="preserve">z dnia 17 czerwca 2022 r. </w:t>
      </w:r>
      <w:r w:rsidRPr="005F2138">
        <w:rPr>
          <w:rFonts w:ascii="Lato" w:hAnsi="Lato"/>
          <w:lang w:eastAsia="pl-PL"/>
        </w:rPr>
        <w:t>w sprawie zatwierdzenia oceny planu odbudowy i</w:t>
      </w:r>
      <w:r w:rsidR="00153E0A" w:rsidRPr="005F2138">
        <w:rPr>
          <w:rFonts w:ascii="Lato" w:hAnsi="Lato"/>
          <w:lang w:eastAsia="pl-PL"/>
        </w:rPr>
        <w:t> </w:t>
      </w:r>
      <w:r w:rsidRPr="005F2138">
        <w:rPr>
          <w:rFonts w:ascii="Lato" w:hAnsi="Lato"/>
          <w:lang w:eastAsia="pl-PL"/>
        </w:rPr>
        <w:t>zwiększania odporności Polski (COM</w:t>
      </w:r>
      <w:r w:rsidR="62F61482" w:rsidRPr="005F2138">
        <w:rPr>
          <w:rFonts w:ascii="Lato" w:hAnsi="Lato"/>
          <w:lang w:eastAsia="pl-PL"/>
        </w:rPr>
        <w:t xml:space="preserve"> </w:t>
      </w:r>
      <w:r w:rsidRPr="005F2138">
        <w:rPr>
          <w:rFonts w:ascii="Lato" w:hAnsi="Lato"/>
          <w:lang w:eastAsia="pl-PL"/>
        </w:rPr>
        <w:t xml:space="preserve">(2022) 268 </w:t>
      </w:r>
      <w:proofErr w:type="spellStart"/>
      <w:r w:rsidRPr="005F2138">
        <w:rPr>
          <w:rFonts w:ascii="Lato" w:hAnsi="Lato"/>
          <w:lang w:eastAsia="pl-PL"/>
        </w:rPr>
        <w:t>final</w:t>
      </w:r>
      <w:proofErr w:type="spellEnd"/>
      <w:r w:rsidRPr="005F2138">
        <w:rPr>
          <w:rFonts w:ascii="Lato" w:hAnsi="Lato"/>
          <w:lang w:eastAsia="pl-PL"/>
        </w:rPr>
        <w:t>)</w:t>
      </w:r>
      <w:r w:rsidR="00937343" w:rsidRPr="00937343">
        <w:t xml:space="preserve"> </w:t>
      </w:r>
      <w:r w:rsidR="00937343" w:rsidRPr="00937343">
        <w:rPr>
          <w:rFonts w:ascii="Lato" w:hAnsi="Lato"/>
          <w:lang w:eastAsia="pl-PL"/>
        </w:rPr>
        <w:t xml:space="preserve">wraz z późniejszymi zmianami;  </w:t>
      </w:r>
      <w:r w:rsidRPr="005F2138">
        <w:rPr>
          <w:rFonts w:ascii="Lato" w:hAnsi="Lato"/>
          <w:lang w:eastAsia="pl-PL"/>
        </w:rPr>
        <w:t xml:space="preserve"> </w:t>
      </w:r>
    </w:p>
    <w:p w14:paraId="39FCF498" w14:textId="17EAD42D" w:rsidR="00097D73" w:rsidRPr="005F2138" w:rsidRDefault="5162D3A0"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Ustawa </w:t>
      </w:r>
      <w:r w:rsidR="7EB8043C" w:rsidRPr="005F2138">
        <w:rPr>
          <w:rFonts w:ascii="Lato" w:hAnsi="Lato"/>
          <w:lang w:eastAsia="pl-PL"/>
        </w:rPr>
        <w:t>z dnia 6 grudnia 2006 r. o zasadach prowadzenia polityki rozwoju (Dz.U.</w:t>
      </w:r>
      <w:r w:rsidR="00514F99" w:rsidRPr="005F2138">
        <w:rPr>
          <w:rFonts w:ascii="Lato" w:hAnsi="Lato"/>
          <w:lang w:eastAsia="pl-PL"/>
        </w:rPr>
        <w:t> </w:t>
      </w:r>
      <w:r w:rsidR="7EB8043C" w:rsidRPr="005F2138">
        <w:rPr>
          <w:rFonts w:ascii="Lato" w:hAnsi="Lato"/>
          <w:lang w:eastAsia="pl-PL"/>
        </w:rPr>
        <w:t>z</w:t>
      </w:r>
      <w:r w:rsidR="2BE23CC1" w:rsidRPr="005F2138">
        <w:rPr>
          <w:rFonts w:ascii="Lato" w:hAnsi="Lato"/>
          <w:lang w:eastAsia="pl-PL"/>
        </w:rPr>
        <w:t> </w:t>
      </w:r>
      <w:r w:rsidR="259CD3FD" w:rsidRPr="005F2138">
        <w:rPr>
          <w:rFonts w:ascii="Lato" w:hAnsi="Lato"/>
          <w:lang w:eastAsia="pl-PL"/>
        </w:rPr>
        <w:t>202</w:t>
      </w:r>
      <w:r w:rsidR="00957F6E">
        <w:rPr>
          <w:rFonts w:ascii="Lato" w:hAnsi="Lato"/>
          <w:lang w:eastAsia="pl-PL"/>
        </w:rPr>
        <w:t xml:space="preserve">5 </w:t>
      </w:r>
      <w:r w:rsidR="259CD3FD" w:rsidRPr="005F2138">
        <w:rPr>
          <w:rFonts w:ascii="Lato" w:hAnsi="Lato"/>
          <w:lang w:eastAsia="pl-PL"/>
        </w:rPr>
        <w:t xml:space="preserve"> </w:t>
      </w:r>
      <w:r w:rsidR="7EB8043C" w:rsidRPr="005F2138">
        <w:rPr>
          <w:rFonts w:ascii="Lato" w:hAnsi="Lato"/>
          <w:lang w:eastAsia="pl-PL"/>
        </w:rPr>
        <w:t xml:space="preserve">r. poz. </w:t>
      </w:r>
      <w:r w:rsidR="00957F6E">
        <w:rPr>
          <w:rFonts w:ascii="Lato" w:hAnsi="Lato"/>
          <w:lang w:eastAsia="pl-PL"/>
        </w:rPr>
        <w:t xml:space="preserve">198 </w:t>
      </w:r>
      <w:r w:rsidR="00287E47" w:rsidRPr="005F2138">
        <w:rPr>
          <w:rFonts w:ascii="Lato" w:hAnsi="Lato"/>
          <w:lang w:eastAsia="pl-PL"/>
        </w:rPr>
        <w:t xml:space="preserve"> z późn.zm.)</w:t>
      </w:r>
      <w:r w:rsidR="7EB8043C" w:rsidRPr="005F2138">
        <w:rPr>
          <w:rFonts w:ascii="Lato" w:hAnsi="Lato"/>
          <w:lang w:eastAsia="pl-PL"/>
        </w:rPr>
        <w:t xml:space="preserve">, </w:t>
      </w:r>
      <w:r w:rsidR="0A0A0E83" w:rsidRPr="005F2138">
        <w:rPr>
          <w:rFonts w:ascii="Lato" w:hAnsi="Lato"/>
          <w:lang w:eastAsia="pl-PL"/>
        </w:rPr>
        <w:t xml:space="preserve">zwana </w:t>
      </w:r>
      <w:r w:rsidR="7EB8043C" w:rsidRPr="005F2138">
        <w:rPr>
          <w:rFonts w:ascii="Lato" w:hAnsi="Lato"/>
          <w:lang w:eastAsia="pl-PL"/>
        </w:rPr>
        <w:t>dalej „ustawą o zasadach prowadzenia polityki rozwoju”;</w:t>
      </w:r>
    </w:p>
    <w:p w14:paraId="38402E95" w14:textId="7B4C994D"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Horyzontalne zasady i kryteria wyboru </w:t>
      </w:r>
      <w:r w:rsidR="5162D3A0" w:rsidRPr="005F2138">
        <w:rPr>
          <w:rFonts w:ascii="Lato" w:hAnsi="Lato"/>
          <w:lang w:eastAsia="pl-PL"/>
        </w:rPr>
        <w:t>p</w:t>
      </w:r>
      <w:r w:rsidRPr="005F2138">
        <w:rPr>
          <w:rFonts w:ascii="Lato" w:hAnsi="Lato"/>
          <w:lang w:eastAsia="pl-PL"/>
        </w:rPr>
        <w:t>rzedsięwzięć dla Krajowego Planu Odbudowy i Zwiększenia Odporności;</w:t>
      </w:r>
    </w:p>
    <w:p w14:paraId="1147C8EC" w14:textId="29A70622"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Porozumienie </w:t>
      </w:r>
      <w:r w:rsidR="0A0A0E83" w:rsidRPr="005F2138">
        <w:rPr>
          <w:rFonts w:ascii="Lato" w:hAnsi="Lato"/>
          <w:lang w:eastAsia="pl-PL"/>
        </w:rPr>
        <w:t xml:space="preserve">z dnia 12 maja 2023 r. </w:t>
      </w:r>
      <w:r w:rsidRPr="005F2138">
        <w:rPr>
          <w:rFonts w:ascii="Lato" w:hAnsi="Lato"/>
          <w:lang w:eastAsia="pl-PL"/>
        </w:rPr>
        <w:t xml:space="preserve">o realizacji reform i inwestycji w ramach planu rozwojowego (KPO) zawarte pomiędzy </w:t>
      </w:r>
      <w:r w:rsidR="06DEFCAE" w:rsidRPr="005F2138">
        <w:rPr>
          <w:rFonts w:ascii="Lato" w:hAnsi="Lato"/>
          <w:lang w:eastAsia="pl-PL"/>
        </w:rPr>
        <w:t>Ministrem Funduszy i Polityki Regionalnej a</w:t>
      </w:r>
      <w:r w:rsidR="00153E0A" w:rsidRPr="005F2138">
        <w:rPr>
          <w:rFonts w:ascii="Lato" w:hAnsi="Lato"/>
          <w:lang w:eastAsia="pl-PL"/>
        </w:rPr>
        <w:t> </w:t>
      </w:r>
      <w:r w:rsidR="04BF75A9" w:rsidRPr="005F2138">
        <w:rPr>
          <w:rFonts w:ascii="Lato" w:hAnsi="Lato"/>
          <w:lang w:eastAsia="pl-PL"/>
        </w:rPr>
        <w:t>M</w:t>
      </w:r>
      <w:r w:rsidRPr="005F2138">
        <w:rPr>
          <w:rFonts w:ascii="Lato" w:hAnsi="Lato"/>
          <w:lang w:eastAsia="pl-PL"/>
        </w:rPr>
        <w:t xml:space="preserve">inistrem </w:t>
      </w:r>
      <w:r w:rsidR="7886AF39" w:rsidRPr="005F2138">
        <w:rPr>
          <w:rFonts w:ascii="Lato" w:hAnsi="Lato"/>
          <w:lang w:eastAsia="pl-PL"/>
        </w:rPr>
        <w:t>Z</w:t>
      </w:r>
      <w:r w:rsidRPr="005F2138">
        <w:rPr>
          <w:rFonts w:ascii="Lato" w:hAnsi="Lato"/>
          <w:lang w:eastAsia="pl-PL"/>
        </w:rPr>
        <w:t>drowia</w:t>
      </w:r>
      <w:r w:rsidR="00A82E52" w:rsidRPr="005F2138">
        <w:rPr>
          <w:rFonts w:ascii="Lato" w:hAnsi="Lato"/>
          <w:lang w:eastAsia="pl-PL"/>
        </w:rPr>
        <w:t>, zmienione aneksem nr 1 zawartym w dniu 28 maja 2024 r.</w:t>
      </w:r>
      <w:r w:rsidR="0043323F">
        <w:rPr>
          <w:rFonts w:ascii="Lato" w:hAnsi="Lato"/>
          <w:lang w:eastAsia="pl-PL"/>
        </w:rPr>
        <w:t xml:space="preserve">, </w:t>
      </w:r>
      <w:r w:rsidR="00FA07FB" w:rsidRPr="005F2138">
        <w:rPr>
          <w:rFonts w:ascii="Lato" w:hAnsi="Lato"/>
          <w:lang w:eastAsia="pl-PL"/>
        </w:rPr>
        <w:t xml:space="preserve"> aneksem nr 2 zawartym w dniu 17 września 2024r.</w:t>
      </w:r>
      <w:r w:rsidR="0043323F">
        <w:rPr>
          <w:rFonts w:ascii="Lato" w:hAnsi="Lato"/>
          <w:lang w:eastAsia="pl-PL"/>
        </w:rPr>
        <w:t xml:space="preserve"> i aneksem nr 3 zawartym w dniu 8 czerwca 2025r. </w:t>
      </w:r>
      <w:r w:rsidR="0A0A0E83" w:rsidRPr="005F2138">
        <w:rPr>
          <w:rFonts w:ascii="Lato" w:hAnsi="Lato"/>
          <w:lang w:eastAsia="pl-PL"/>
        </w:rPr>
        <w:t>;</w:t>
      </w:r>
      <w:r w:rsidRPr="005F2138">
        <w:rPr>
          <w:rFonts w:ascii="Lato" w:hAnsi="Lato"/>
          <w:lang w:eastAsia="pl-PL"/>
        </w:rPr>
        <w:t xml:space="preserve"> </w:t>
      </w:r>
    </w:p>
    <w:p w14:paraId="09F3C175" w14:textId="61F74818"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 z dnia 14 czerwca 1960 r. – Kodeks postępowania administracyjnego (Dz.U.</w:t>
      </w:r>
      <w:r w:rsidR="00514F99" w:rsidRPr="005F2138">
        <w:rPr>
          <w:rFonts w:ascii="Lato" w:hAnsi="Lato"/>
          <w:lang w:eastAsia="pl-PL"/>
        </w:rPr>
        <w:t> </w:t>
      </w:r>
      <w:r w:rsidRPr="005F2138">
        <w:rPr>
          <w:rFonts w:ascii="Lato" w:hAnsi="Lato"/>
          <w:lang w:eastAsia="pl-PL"/>
        </w:rPr>
        <w:t xml:space="preserve">z </w:t>
      </w:r>
      <w:r w:rsidR="00DC730E" w:rsidRPr="005F2138">
        <w:rPr>
          <w:rFonts w:ascii="Lato" w:hAnsi="Lato"/>
          <w:lang w:eastAsia="pl-PL"/>
        </w:rPr>
        <w:t>202</w:t>
      </w:r>
      <w:r w:rsidR="00C27C69">
        <w:rPr>
          <w:rFonts w:ascii="Lato" w:hAnsi="Lato"/>
          <w:lang w:eastAsia="pl-PL"/>
        </w:rPr>
        <w:t>5</w:t>
      </w:r>
      <w:r w:rsidR="00DC730E" w:rsidRPr="005F2138">
        <w:rPr>
          <w:rFonts w:ascii="Lato" w:hAnsi="Lato"/>
          <w:lang w:eastAsia="pl-PL"/>
        </w:rPr>
        <w:t xml:space="preserve"> r.</w:t>
      </w:r>
      <w:r w:rsidRPr="005F2138">
        <w:rPr>
          <w:rFonts w:ascii="Lato" w:hAnsi="Lato"/>
          <w:lang w:eastAsia="pl-PL"/>
        </w:rPr>
        <w:t xml:space="preserve"> poz. </w:t>
      </w:r>
      <w:r w:rsidR="00C27C69">
        <w:rPr>
          <w:rFonts w:ascii="Lato" w:hAnsi="Lato"/>
          <w:lang w:eastAsia="pl-PL"/>
        </w:rPr>
        <w:t>1691)</w:t>
      </w:r>
    </w:p>
    <w:p w14:paraId="67515010" w14:textId="5025F04D"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 z dnia 10 maja 2018 r. o ochronie danych osobowych (Dz. U. z 2019 r. poz.</w:t>
      </w:r>
      <w:r w:rsidR="00153E0A" w:rsidRPr="005F2138">
        <w:rPr>
          <w:rFonts w:ascii="Lato" w:hAnsi="Lato"/>
          <w:lang w:eastAsia="pl-PL"/>
        </w:rPr>
        <w:t> </w:t>
      </w:r>
      <w:r w:rsidRPr="005F2138">
        <w:rPr>
          <w:rFonts w:ascii="Lato" w:hAnsi="Lato"/>
          <w:lang w:eastAsia="pl-PL"/>
        </w:rPr>
        <w:t>1781</w:t>
      </w:r>
      <w:r w:rsidR="00C27C69">
        <w:rPr>
          <w:rFonts w:ascii="Lato" w:hAnsi="Lato"/>
          <w:lang w:eastAsia="pl-PL"/>
        </w:rPr>
        <w:t xml:space="preserve"> z późn.zm.</w:t>
      </w:r>
      <w:r w:rsidRPr="005F2138">
        <w:rPr>
          <w:rFonts w:ascii="Lato" w:hAnsi="Lato"/>
          <w:lang w:eastAsia="pl-PL"/>
        </w:rPr>
        <w:t>)</w:t>
      </w:r>
      <w:r w:rsidR="0A0A0E83" w:rsidRPr="005F2138">
        <w:rPr>
          <w:rFonts w:ascii="Lato" w:hAnsi="Lato"/>
          <w:lang w:eastAsia="pl-PL"/>
        </w:rPr>
        <w:t>;</w:t>
      </w:r>
    </w:p>
    <w:p w14:paraId="3579563F" w14:textId="172B9109"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 xml:space="preserve">Ustawa z dnia 27 sierpnia 2009 r. o finansach publicznych (Dz. U. z </w:t>
      </w:r>
      <w:r w:rsidR="00997EA3" w:rsidRPr="005F2138">
        <w:rPr>
          <w:rFonts w:ascii="Lato" w:hAnsi="Lato"/>
          <w:lang w:eastAsia="pl-PL"/>
        </w:rPr>
        <w:t>202</w:t>
      </w:r>
      <w:r w:rsidR="00C27C69">
        <w:rPr>
          <w:rFonts w:ascii="Lato" w:hAnsi="Lato"/>
          <w:lang w:eastAsia="pl-PL"/>
        </w:rPr>
        <w:t>5</w:t>
      </w:r>
      <w:r w:rsidR="00997EA3" w:rsidRPr="005F2138">
        <w:rPr>
          <w:rFonts w:ascii="Lato" w:hAnsi="Lato"/>
          <w:lang w:eastAsia="pl-PL"/>
        </w:rPr>
        <w:t xml:space="preserve"> </w:t>
      </w:r>
      <w:r w:rsidRPr="005F2138">
        <w:rPr>
          <w:rFonts w:ascii="Lato" w:hAnsi="Lato"/>
          <w:lang w:eastAsia="pl-PL"/>
        </w:rPr>
        <w:t xml:space="preserve">r. poz. </w:t>
      </w:r>
      <w:r w:rsidR="00C27C69">
        <w:rPr>
          <w:rFonts w:ascii="Lato" w:hAnsi="Lato"/>
          <w:lang w:eastAsia="pl-PL"/>
        </w:rPr>
        <w:t xml:space="preserve">1483 </w:t>
      </w:r>
      <w:r w:rsidR="00E81E08" w:rsidRPr="005F2138">
        <w:rPr>
          <w:rFonts w:ascii="Lato" w:hAnsi="Lato"/>
          <w:lang w:eastAsia="pl-PL"/>
        </w:rPr>
        <w:t xml:space="preserve"> z </w:t>
      </w:r>
      <w:proofErr w:type="spellStart"/>
      <w:r w:rsidR="00E81E08" w:rsidRPr="005F2138">
        <w:rPr>
          <w:rFonts w:ascii="Lato" w:hAnsi="Lato"/>
          <w:lang w:eastAsia="pl-PL"/>
        </w:rPr>
        <w:t>późn</w:t>
      </w:r>
      <w:proofErr w:type="spellEnd"/>
      <w:r w:rsidR="00E81E08" w:rsidRPr="005F2138">
        <w:rPr>
          <w:rFonts w:ascii="Lato" w:hAnsi="Lato"/>
          <w:lang w:eastAsia="pl-PL"/>
        </w:rPr>
        <w:t>. zm.</w:t>
      </w:r>
      <w:r w:rsidRPr="005F2138">
        <w:rPr>
          <w:rFonts w:ascii="Lato" w:hAnsi="Lato"/>
          <w:lang w:eastAsia="pl-PL"/>
        </w:rPr>
        <w:t>)</w:t>
      </w:r>
      <w:r w:rsidR="0A0A0E83" w:rsidRPr="005F2138">
        <w:rPr>
          <w:rFonts w:ascii="Lato" w:hAnsi="Lato"/>
          <w:lang w:eastAsia="pl-PL"/>
        </w:rPr>
        <w:t>;</w:t>
      </w:r>
    </w:p>
    <w:p w14:paraId="0AEE7FF6" w14:textId="4BB1FC4E"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 z dnia 29 września 1994 r. o rachunkowości (Dz. U. z 202</w:t>
      </w:r>
      <w:r w:rsidR="00C27C69">
        <w:rPr>
          <w:rFonts w:ascii="Lato" w:hAnsi="Lato"/>
          <w:lang w:eastAsia="pl-PL"/>
        </w:rPr>
        <w:t xml:space="preserve">6 </w:t>
      </w:r>
      <w:r w:rsidRPr="005F2138">
        <w:rPr>
          <w:rFonts w:ascii="Lato" w:hAnsi="Lato"/>
          <w:lang w:eastAsia="pl-PL"/>
        </w:rPr>
        <w:t xml:space="preserve"> r. poz. </w:t>
      </w:r>
      <w:r w:rsidR="00C27C69">
        <w:rPr>
          <w:rFonts w:ascii="Lato" w:hAnsi="Lato"/>
          <w:lang w:eastAsia="pl-PL"/>
        </w:rPr>
        <w:t>522),</w:t>
      </w:r>
      <w:r w:rsidR="3FB85B56" w:rsidRPr="005F2138">
        <w:rPr>
          <w:rFonts w:ascii="Lato" w:hAnsi="Lato"/>
          <w:lang w:eastAsia="pl-PL"/>
        </w:rPr>
        <w:t xml:space="preserve"> </w:t>
      </w:r>
      <w:r w:rsidRPr="005F2138">
        <w:rPr>
          <w:rFonts w:ascii="Lato" w:hAnsi="Lato"/>
          <w:lang w:eastAsia="pl-PL"/>
        </w:rPr>
        <w:t xml:space="preserve"> zwana dalej </w:t>
      </w:r>
      <w:r w:rsidR="5DD1CBC1" w:rsidRPr="005F2138">
        <w:rPr>
          <w:rFonts w:ascii="Lato" w:hAnsi="Lato"/>
          <w:lang w:eastAsia="pl-PL"/>
        </w:rPr>
        <w:t>„</w:t>
      </w:r>
      <w:r w:rsidRPr="005F2138">
        <w:rPr>
          <w:rFonts w:ascii="Lato" w:hAnsi="Lato"/>
          <w:lang w:eastAsia="pl-PL"/>
        </w:rPr>
        <w:t>ustawą o rachunkowości</w:t>
      </w:r>
      <w:r w:rsidR="5DD1CBC1" w:rsidRPr="005F2138">
        <w:rPr>
          <w:rFonts w:ascii="Lato" w:hAnsi="Lato"/>
          <w:lang w:eastAsia="pl-PL"/>
        </w:rPr>
        <w:t>”</w:t>
      </w:r>
      <w:r w:rsidR="0A0A0E83" w:rsidRPr="005F2138">
        <w:rPr>
          <w:rFonts w:ascii="Lato" w:hAnsi="Lato"/>
          <w:lang w:eastAsia="pl-PL"/>
        </w:rPr>
        <w:t>;</w:t>
      </w:r>
    </w:p>
    <w:p w14:paraId="7AAFC85F" w14:textId="534E0321" w:rsidR="00097D73" w:rsidRPr="005F2138" w:rsidRDefault="7EB8043C"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 z dnia 11 września 2019 r. - Prawo zamówień publicznych</w:t>
      </w:r>
      <w:r w:rsidR="3FB85B56" w:rsidRPr="00990CE8">
        <w:rPr>
          <w:rFonts w:ascii="Lato" w:hAnsi="Lato"/>
        </w:rPr>
        <w:t xml:space="preserve"> (</w:t>
      </w:r>
      <w:r w:rsidR="3FB85B56" w:rsidRPr="005F2138">
        <w:rPr>
          <w:rFonts w:ascii="Lato" w:hAnsi="Lato"/>
          <w:lang w:eastAsia="pl-PL"/>
        </w:rPr>
        <w:t>Dz. U. z 202</w:t>
      </w:r>
      <w:r w:rsidR="008C7536" w:rsidRPr="005F2138">
        <w:rPr>
          <w:rFonts w:ascii="Lato" w:hAnsi="Lato"/>
          <w:lang w:eastAsia="pl-PL"/>
        </w:rPr>
        <w:t>4</w:t>
      </w:r>
      <w:r w:rsidR="3FB85B56" w:rsidRPr="005F2138">
        <w:rPr>
          <w:rFonts w:ascii="Lato" w:hAnsi="Lato"/>
          <w:lang w:eastAsia="pl-PL"/>
        </w:rPr>
        <w:t xml:space="preserve"> r. poz. </w:t>
      </w:r>
      <w:r w:rsidR="008C7536" w:rsidRPr="005F2138">
        <w:rPr>
          <w:rFonts w:ascii="Lato" w:hAnsi="Lato"/>
          <w:lang w:eastAsia="pl-PL"/>
        </w:rPr>
        <w:t>1320</w:t>
      </w:r>
      <w:r w:rsidR="008B5D4B" w:rsidRPr="008B5D4B">
        <w:t xml:space="preserve"> </w:t>
      </w:r>
      <w:r w:rsidR="008B5D4B" w:rsidRPr="008B5D4B">
        <w:rPr>
          <w:rFonts w:ascii="Lato" w:hAnsi="Lato"/>
          <w:lang w:eastAsia="pl-PL"/>
        </w:rPr>
        <w:t>z późn.zm.</w:t>
      </w:r>
      <w:r w:rsidR="3FB85B56" w:rsidRPr="005F2138">
        <w:rPr>
          <w:rFonts w:ascii="Lato" w:hAnsi="Lato"/>
          <w:lang w:eastAsia="pl-PL"/>
        </w:rPr>
        <w:t>)</w:t>
      </w:r>
      <w:r w:rsidR="0A0A0E83" w:rsidRPr="005F2138">
        <w:rPr>
          <w:rFonts w:ascii="Lato" w:hAnsi="Lato"/>
          <w:lang w:eastAsia="pl-PL"/>
        </w:rPr>
        <w:t>,</w:t>
      </w:r>
      <w:r w:rsidRPr="005F2138">
        <w:rPr>
          <w:rFonts w:ascii="Lato" w:hAnsi="Lato"/>
          <w:lang w:eastAsia="pl-PL"/>
        </w:rPr>
        <w:t xml:space="preserve"> zwana dalej </w:t>
      </w:r>
      <w:r w:rsidR="0A0A0E83" w:rsidRPr="005F2138">
        <w:rPr>
          <w:rFonts w:ascii="Lato" w:hAnsi="Lato"/>
          <w:lang w:eastAsia="pl-PL"/>
        </w:rPr>
        <w:t>„</w:t>
      </w:r>
      <w:r w:rsidRPr="005F2138">
        <w:rPr>
          <w:rFonts w:ascii="Lato" w:hAnsi="Lato"/>
          <w:lang w:eastAsia="pl-PL"/>
        </w:rPr>
        <w:t>PZP</w:t>
      </w:r>
      <w:r w:rsidR="0A0A0E83" w:rsidRPr="005F2138">
        <w:rPr>
          <w:rFonts w:ascii="Lato" w:hAnsi="Lato"/>
          <w:lang w:eastAsia="pl-PL"/>
        </w:rPr>
        <w:t>”</w:t>
      </w:r>
      <w:r w:rsidR="004122E2" w:rsidRPr="005F2138">
        <w:rPr>
          <w:rFonts w:ascii="Lato" w:hAnsi="Lato"/>
          <w:lang w:eastAsia="pl-PL"/>
        </w:rPr>
        <w:t>;</w:t>
      </w:r>
      <w:r w:rsidRPr="005F2138">
        <w:rPr>
          <w:rFonts w:ascii="Lato" w:hAnsi="Lato"/>
          <w:lang w:eastAsia="pl-PL"/>
        </w:rPr>
        <w:t xml:space="preserve"> </w:t>
      </w:r>
    </w:p>
    <w:p w14:paraId="0CF2621D" w14:textId="4C7F5DC6" w:rsidR="004122E2" w:rsidRPr="005F2138" w:rsidRDefault="004122E2"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 z  dnia 7 lipca 1994</w:t>
      </w:r>
      <w:r w:rsidR="00E81E08" w:rsidRPr="005F2138">
        <w:rPr>
          <w:rFonts w:ascii="Lato" w:hAnsi="Lato"/>
          <w:lang w:eastAsia="pl-PL"/>
        </w:rPr>
        <w:t xml:space="preserve"> </w:t>
      </w:r>
      <w:r w:rsidRPr="005F2138">
        <w:rPr>
          <w:rFonts w:ascii="Lato" w:hAnsi="Lato"/>
          <w:lang w:eastAsia="pl-PL"/>
        </w:rPr>
        <w:t>r. Prawo budowlane (Dz.U. z 202</w:t>
      </w:r>
      <w:r w:rsidR="008B5D4B">
        <w:rPr>
          <w:rFonts w:ascii="Lato" w:hAnsi="Lato"/>
          <w:lang w:eastAsia="pl-PL"/>
        </w:rPr>
        <w:t xml:space="preserve">6 </w:t>
      </w:r>
      <w:r w:rsidR="00E81E08" w:rsidRPr="005F2138">
        <w:rPr>
          <w:rFonts w:ascii="Lato" w:hAnsi="Lato"/>
          <w:lang w:eastAsia="pl-PL"/>
        </w:rPr>
        <w:t xml:space="preserve"> </w:t>
      </w:r>
      <w:r w:rsidRPr="005F2138">
        <w:rPr>
          <w:rFonts w:ascii="Lato" w:hAnsi="Lato"/>
          <w:lang w:eastAsia="pl-PL"/>
        </w:rPr>
        <w:t>r. poz.</w:t>
      </w:r>
      <w:r w:rsidR="00E81E08" w:rsidRPr="005F2138">
        <w:rPr>
          <w:rFonts w:ascii="Lato" w:hAnsi="Lato"/>
          <w:lang w:eastAsia="pl-PL"/>
        </w:rPr>
        <w:t xml:space="preserve"> </w:t>
      </w:r>
      <w:r w:rsidR="008B5D4B">
        <w:rPr>
          <w:rFonts w:ascii="Lato" w:hAnsi="Lato"/>
          <w:lang w:eastAsia="pl-PL"/>
        </w:rPr>
        <w:t xml:space="preserve"> 524) </w:t>
      </w:r>
    </w:p>
    <w:p w14:paraId="641386FF" w14:textId="5ACCDBB2" w:rsidR="00D51D36" w:rsidRPr="005F2138" w:rsidRDefault="00D51D36" w:rsidP="005F2138">
      <w:pPr>
        <w:pStyle w:val="Akapitzlist"/>
        <w:numPr>
          <w:ilvl w:val="0"/>
          <w:numId w:val="67"/>
        </w:numPr>
        <w:spacing w:before="120" w:after="120"/>
        <w:ind w:left="426" w:hanging="426"/>
        <w:jc w:val="both"/>
        <w:rPr>
          <w:rFonts w:ascii="Lato" w:hAnsi="Lato"/>
          <w:lang w:eastAsia="pl-PL"/>
        </w:rPr>
      </w:pPr>
      <w:r w:rsidRPr="005F2138">
        <w:rPr>
          <w:rFonts w:ascii="Lato" w:hAnsi="Lato"/>
          <w:lang w:eastAsia="pl-PL"/>
        </w:rPr>
        <w:t>Ustawa</w:t>
      </w:r>
      <w:r w:rsidR="009D6B90" w:rsidRPr="005F2138">
        <w:rPr>
          <w:rFonts w:ascii="Lato" w:hAnsi="Lato"/>
          <w:lang w:eastAsia="pl-PL"/>
        </w:rPr>
        <w:t xml:space="preserve"> z dnia 21 sierpnia 1997r.</w:t>
      </w:r>
      <w:r w:rsidRPr="005F2138">
        <w:rPr>
          <w:rFonts w:ascii="Lato" w:hAnsi="Lato"/>
          <w:lang w:eastAsia="pl-PL"/>
        </w:rPr>
        <w:t xml:space="preserve"> o gospodarce nieruchomościami</w:t>
      </w:r>
      <w:r w:rsidR="009D6B90" w:rsidRPr="005F2138">
        <w:rPr>
          <w:rFonts w:ascii="Lato" w:hAnsi="Lato"/>
          <w:lang w:eastAsia="pl-PL"/>
        </w:rPr>
        <w:t xml:space="preserve"> (Dz.</w:t>
      </w:r>
      <w:r w:rsidR="00E81E08" w:rsidRPr="005F2138">
        <w:rPr>
          <w:rFonts w:ascii="Lato" w:hAnsi="Lato"/>
          <w:lang w:eastAsia="pl-PL"/>
        </w:rPr>
        <w:t xml:space="preserve"> </w:t>
      </w:r>
      <w:r w:rsidR="009D6B90" w:rsidRPr="005F2138">
        <w:rPr>
          <w:rFonts w:ascii="Lato" w:hAnsi="Lato"/>
          <w:lang w:eastAsia="pl-PL"/>
        </w:rPr>
        <w:t>U. z 202</w:t>
      </w:r>
      <w:r w:rsidR="00A61461">
        <w:rPr>
          <w:rFonts w:ascii="Lato" w:hAnsi="Lato"/>
          <w:lang w:eastAsia="pl-PL"/>
        </w:rPr>
        <w:t xml:space="preserve">6 </w:t>
      </w:r>
      <w:r w:rsidR="009D6B90" w:rsidRPr="005F2138">
        <w:rPr>
          <w:rFonts w:ascii="Lato" w:hAnsi="Lato"/>
          <w:lang w:eastAsia="pl-PL"/>
        </w:rPr>
        <w:t>r. poz.</w:t>
      </w:r>
      <w:r w:rsidR="00E81E08" w:rsidRPr="005F2138">
        <w:rPr>
          <w:rFonts w:ascii="Lato" w:hAnsi="Lato"/>
          <w:lang w:eastAsia="pl-PL"/>
        </w:rPr>
        <w:t xml:space="preserve"> </w:t>
      </w:r>
      <w:r w:rsidR="00A61461">
        <w:rPr>
          <w:rFonts w:ascii="Lato" w:hAnsi="Lato"/>
          <w:lang w:eastAsia="pl-PL"/>
        </w:rPr>
        <w:t xml:space="preserve"> 399).</w:t>
      </w:r>
      <w:r w:rsidRPr="005F2138">
        <w:rPr>
          <w:rFonts w:ascii="Lato" w:hAnsi="Lato"/>
          <w:lang w:eastAsia="pl-PL"/>
        </w:rPr>
        <w:t xml:space="preserve"> </w:t>
      </w:r>
    </w:p>
    <w:p w14:paraId="44A6D3B5" w14:textId="77777777" w:rsidR="00097D73" w:rsidRPr="005F2138" w:rsidRDefault="00097D73" w:rsidP="00990CE8">
      <w:pPr>
        <w:spacing w:before="120" w:after="120" w:line="259" w:lineRule="auto"/>
        <w:rPr>
          <w:rFonts w:ascii="Lato" w:hAnsi="Lato"/>
          <w:lang w:eastAsia="pl-PL"/>
        </w:rPr>
      </w:pPr>
      <w:r w:rsidRPr="005F2138">
        <w:rPr>
          <w:rFonts w:ascii="Lato" w:hAnsi="Lato"/>
          <w:lang w:eastAsia="pl-PL"/>
        </w:rPr>
        <w:br w:type="page"/>
      </w:r>
    </w:p>
    <w:p w14:paraId="55C9A8DE" w14:textId="085AEC39" w:rsidR="004B3FAA" w:rsidRPr="00990CE8" w:rsidRDefault="00335AD4" w:rsidP="00990CE8">
      <w:pPr>
        <w:pStyle w:val="Nagwek1"/>
        <w:tabs>
          <w:tab w:val="left" w:pos="5544"/>
        </w:tabs>
        <w:spacing w:before="120" w:after="120"/>
        <w:rPr>
          <w:rFonts w:ascii="Lato" w:hAnsi="Lato"/>
        </w:rPr>
      </w:pPr>
      <w:bookmarkStart w:id="4" w:name="_Toc181699359"/>
      <w:r w:rsidRPr="00990CE8">
        <w:rPr>
          <w:rFonts w:ascii="Lato" w:hAnsi="Lato"/>
        </w:rPr>
        <w:lastRenderedPageBreak/>
        <w:t>Rozd</w:t>
      </w:r>
      <w:r w:rsidR="00D016CD" w:rsidRPr="00990CE8">
        <w:rPr>
          <w:rFonts w:ascii="Lato" w:hAnsi="Lato"/>
        </w:rPr>
        <w:t>z</w:t>
      </w:r>
      <w:r w:rsidRPr="00990CE8">
        <w:rPr>
          <w:rFonts w:ascii="Lato" w:hAnsi="Lato"/>
        </w:rPr>
        <w:t xml:space="preserve">iał </w:t>
      </w:r>
      <w:r w:rsidR="00097D73" w:rsidRPr="00990CE8">
        <w:rPr>
          <w:rFonts w:ascii="Lato" w:hAnsi="Lato"/>
        </w:rPr>
        <w:t xml:space="preserve">2 </w:t>
      </w:r>
      <w:r w:rsidRPr="00990CE8">
        <w:rPr>
          <w:rFonts w:ascii="Lato" w:hAnsi="Lato"/>
        </w:rPr>
        <w:t>Wykaz skrótów i pojęć</w:t>
      </w:r>
      <w:bookmarkEnd w:id="1"/>
      <w:bookmarkEnd w:id="0"/>
      <w:bookmarkEnd w:id="4"/>
      <w:r w:rsidRPr="00990CE8">
        <w:rPr>
          <w:rFonts w:ascii="Lato" w:hAnsi="Lato"/>
        </w:rPr>
        <w:tab/>
      </w:r>
    </w:p>
    <w:p w14:paraId="56F5C7AA" w14:textId="0844016B" w:rsidR="001D7865" w:rsidRPr="005F2138" w:rsidRDefault="001D7865"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 xml:space="preserve">BK2021 – </w:t>
      </w:r>
      <w:r w:rsidR="00C13E84" w:rsidRPr="005F2138">
        <w:rPr>
          <w:rFonts w:ascii="Lato" w:hAnsi="Lato"/>
          <w:lang w:eastAsia="pl-PL"/>
        </w:rPr>
        <w:t xml:space="preserve">portal Baza Konkurencyjności, dostępny pod adresem </w:t>
      </w:r>
      <w:hyperlink r:id="rId10" w:history="1">
        <w:r w:rsidR="00C13E84" w:rsidRPr="005F2138">
          <w:rPr>
            <w:rStyle w:val="Hipercze"/>
            <w:rFonts w:ascii="Lato" w:hAnsi="Lato"/>
            <w:lang w:eastAsia="pl-PL"/>
          </w:rPr>
          <w:t>https://bazakonkurencyjnosci.funduszeeuropejskie.gov.pl/</w:t>
        </w:r>
      </w:hyperlink>
      <w:r w:rsidR="00C13E84" w:rsidRPr="005F2138">
        <w:rPr>
          <w:rFonts w:ascii="Lato" w:hAnsi="Lato"/>
          <w:lang w:eastAsia="pl-PL"/>
        </w:rPr>
        <w:t>;</w:t>
      </w:r>
    </w:p>
    <w:p w14:paraId="06F77968" w14:textId="79C91D43" w:rsidR="007F6A3E" w:rsidRPr="005F2138" w:rsidRDefault="007F6A3E"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Budynek</w:t>
      </w:r>
      <w:r w:rsidRPr="005F2138">
        <w:rPr>
          <w:rFonts w:ascii="Lato" w:hAnsi="Lato"/>
          <w:lang w:eastAsia="pl-PL"/>
        </w:rPr>
        <w:t xml:space="preserve"> -</w:t>
      </w:r>
      <w:r w:rsidRPr="00990CE8">
        <w:rPr>
          <w:rFonts w:ascii="Lato" w:hAnsi="Lato"/>
        </w:rPr>
        <w:t xml:space="preserve"> </w:t>
      </w:r>
      <w:r w:rsidRPr="005F2138">
        <w:rPr>
          <w:rFonts w:ascii="Lato" w:hAnsi="Lato"/>
          <w:lang w:eastAsia="pl-PL"/>
        </w:rPr>
        <w:t>należy przez to rozumieć taki obiekt budowlany, który jest trwale związany z gruntem, wydzielony z przestrzeni za pomocą przegród budowlanych oraz posiada fundamenty i dach (w rozumieniu art. 3 pkt 2 ustawy z 7 lipca 1994r. Prawo budowlane) ;</w:t>
      </w:r>
    </w:p>
    <w:p w14:paraId="42788B76" w14:textId="77777777" w:rsidR="00046FE4" w:rsidRPr="005F2138" w:rsidRDefault="00046FE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DNSH</w:t>
      </w:r>
      <w:r w:rsidRPr="005F2138">
        <w:rPr>
          <w:rFonts w:ascii="Lato" w:hAnsi="Lato"/>
          <w:lang w:eastAsia="pl-PL"/>
        </w:rPr>
        <w:t xml:space="preserve"> - zasada „nie czyń poważnych szkód” (ang. do no </w:t>
      </w:r>
      <w:proofErr w:type="spellStart"/>
      <w:r w:rsidRPr="005F2138">
        <w:rPr>
          <w:rFonts w:ascii="Lato" w:hAnsi="Lato"/>
          <w:lang w:eastAsia="pl-PL"/>
        </w:rPr>
        <w:t>significant</w:t>
      </w:r>
      <w:proofErr w:type="spellEnd"/>
      <w:r w:rsidRPr="005F2138">
        <w:rPr>
          <w:rFonts w:ascii="Lato" w:hAnsi="Lato"/>
          <w:lang w:eastAsia="pl-PL"/>
        </w:rPr>
        <w:t xml:space="preserve"> </w:t>
      </w:r>
      <w:proofErr w:type="spellStart"/>
      <w:r w:rsidRPr="005F2138">
        <w:rPr>
          <w:rFonts w:ascii="Lato" w:hAnsi="Lato"/>
          <w:lang w:eastAsia="pl-PL"/>
        </w:rPr>
        <w:t>harm</w:t>
      </w:r>
      <w:proofErr w:type="spellEnd"/>
      <w:r w:rsidRPr="005F2138">
        <w:rPr>
          <w:rFonts w:ascii="Lato" w:hAnsi="Lato"/>
          <w:lang w:eastAsia="pl-PL"/>
        </w:rPr>
        <w:t>);</w:t>
      </w:r>
    </w:p>
    <w:p w14:paraId="6AF967F6" w14:textId="5EE73E9D" w:rsidR="00097D73" w:rsidRPr="005F2138" w:rsidRDefault="00097D73"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 xml:space="preserve">Instytucja Koordynująca </w:t>
      </w:r>
      <w:r w:rsidR="00185170" w:rsidRPr="005F2138">
        <w:rPr>
          <w:rFonts w:ascii="Lato" w:hAnsi="Lato"/>
          <w:b/>
          <w:bCs/>
          <w:lang w:eastAsia="pl-PL"/>
        </w:rPr>
        <w:t>r</w:t>
      </w:r>
      <w:r w:rsidRPr="005F2138">
        <w:rPr>
          <w:rFonts w:ascii="Lato" w:hAnsi="Lato"/>
          <w:b/>
          <w:bCs/>
          <w:lang w:eastAsia="pl-PL"/>
        </w:rPr>
        <w:t xml:space="preserve">ealizację </w:t>
      </w:r>
      <w:r w:rsidR="00185170" w:rsidRPr="005F2138">
        <w:rPr>
          <w:rFonts w:ascii="Lato" w:hAnsi="Lato"/>
          <w:b/>
          <w:bCs/>
          <w:lang w:eastAsia="pl-PL"/>
        </w:rPr>
        <w:t>p</w:t>
      </w:r>
      <w:r w:rsidRPr="005F2138">
        <w:rPr>
          <w:rFonts w:ascii="Lato" w:hAnsi="Lato"/>
          <w:b/>
          <w:bCs/>
          <w:lang w:eastAsia="pl-PL"/>
        </w:rPr>
        <w:t xml:space="preserve">lanu </w:t>
      </w:r>
      <w:r w:rsidR="00185170" w:rsidRPr="005F2138">
        <w:rPr>
          <w:rFonts w:ascii="Lato" w:hAnsi="Lato"/>
          <w:b/>
          <w:bCs/>
          <w:lang w:eastAsia="pl-PL"/>
        </w:rPr>
        <w:t>r</w:t>
      </w:r>
      <w:r w:rsidRPr="005F2138">
        <w:rPr>
          <w:rFonts w:ascii="Lato" w:hAnsi="Lato"/>
          <w:b/>
          <w:bCs/>
          <w:lang w:eastAsia="pl-PL"/>
        </w:rPr>
        <w:t>ozwojowego</w:t>
      </w:r>
      <w:r w:rsidR="00043661" w:rsidRPr="005F2138">
        <w:rPr>
          <w:rFonts w:ascii="Lato" w:hAnsi="Lato"/>
          <w:b/>
          <w:bCs/>
          <w:lang w:eastAsia="pl-PL"/>
        </w:rPr>
        <w:t xml:space="preserve"> lub </w:t>
      </w:r>
      <w:r w:rsidRPr="005F2138">
        <w:rPr>
          <w:rFonts w:ascii="Lato" w:hAnsi="Lato"/>
          <w:b/>
          <w:bCs/>
          <w:lang w:eastAsia="pl-PL"/>
        </w:rPr>
        <w:t>IK</w:t>
      </w:r>
      <w:r w:rsidRPr="005F2138">
        <w:rPr>
          <w:rFonts w:ascii="Lato" w:hAnsi="Lato"/>
          <w:lang w:eastAsia="pl-PL"/>
        </w:rPr>
        <w:t xml:space="preserve"> – minist</w:t>
      </w:r>
      <w:r w:rsidR="00C35C01" w:rsidRPr="005F2138">
        <w:rPr>
          <w:rFonts w:ascii="Lato" w:hAnsi="Lato"/>
          <w:lang w:eastAsia="pl-PL"/>
        </w:rPr>
        <w:t>e</w:t>
      </w:r>
      <w:r w:rsidRPr="005F2138">
        <w:rPr>
          <w:rFonts w:ascii="Lato" w:hAnsi="Lato"/>
          <w:lang w:eastAsia="pl-PL"/>
        </w:rPr>
        <w:t>r właściw</w:t>
      </w:r>
      <w:r w:rsidR="00C35C01" w:rsidRPr="005F2138">
        <w:rPr>
          <w:rFonts w:ascii="Lato" w:hAnsi="Lato"/>
          <w:lang w:eastAsia="pl-PL"/>
        </w:rPr>
        <w:t>y</w:t>
      </w:r>
      <w:r w:rsidRPr="005F2138">
        <w:rPr>
          <w:rFonts w:ascii="Lato" w:hAnsi="Lato"/>
          <w:lang w:eastAsia="pl-PL"/>
        </w:rPr>
        <w:t xml:space="preserve"> do spraw rozwoju regionalnego w zakresie zadań, o których mowa w</w:t>
      </w:r>
      <w:r w:rsidR="00572C39" w:rsidRPr="005F2138">
        <w:rPr>
          <w:rFonts w:ascii="Lato" w:hAnsi="Lato"/>
          <w:lang w:eastAsia="pl-PL"/>
        </w:rPr>
        <w:t> </w:t>
      </w:r>
      <w:r w:rsidRPr="005F2138">
        <w:rPr>
          <w:rFonts w:ascii="Lato" w:hAnsi="Lato"/>
          <w:lang w:eastAsia="pl-PL"/>
        </w:rPr>
        <w:t>art.</w:t>
      </w:r>
      <w:r w:rsidR="00572C39" w:rsidRPr="005F2138">
        <w:rPr>
          <w:rFonts w:ascii="Lato" w:hAnsi="Lato"/>
          <w:lang w:eastAsia="pl-PL"/>
        </w:rPr>
        <w:t> </w:t>
      </w:r>
      <w:r w:rsidRPr="005F2138">
        <w:rPr>
          <w:rFonts w:ascii="Lato" w:hAnsi="Lato"/>
          <w:lang w:eastAsia="pl-PL"/>
        </w:rPr>
        <w:t>14le ust. 1 i 2 ustawy o zasadach prowadzenia polityki rozwoju;</w:t>
      </w:r>
    </w:p>
    <w:p w14:paraId="3958B1CF" w14:textId="24A10898" w:rsidR="00283174" w:rsidRPr="005F2138" w:rsidRDefault="0028317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Instytucja Odpowiedzialna za realizację Inwestycji lub IOI</w:t>
      </w:r>
      <w:r w:rsidRPr="005F2138">
        <w:rPr>
          <w:rFonts w:ascii="Lato" w:hAnsi="Lato"/>
          <w:lang w:eastAsia="pl-PL"/>
        </w:rPr>
        <w:t xml:space="preserve"> – </w:t>
      </w:r>
      <w:r w:rsidR="008B7151" w:rsidRPr="005F2138">
        <w:rPr>
          <w:rFonts w:ascii="Lato" w:hAnsi="Lato"/>
          <w:lang w:eastAsia="pl-PL"/>
        </w:rPr>
        <w:t>minist</w:t>
      </w:r>
      <w:r w:rsidR="00C35C01" w:rsidRPr="005F2138">
        <w:rPr>
          <w:rFonts w:ascii="Lato" w:hAnsi="Lato"/>
          <w:lang w:eastAsia="pl-PL"/>
        </w:rPr>
        <w:t>e</w:t>
      </w:r>
      <w:r w:rsidR="008B7151" w:rsidRPr="005F2138">
        <w:rPr>
          <w:rFonts w:ascii="Lato" w:hAnsi="Lato"/>
          <w:lang w:eastAsia="pl-PL"/>
        </w:rPr>
        <w:t>r kierując</w:t>
      </w:r>
      <w:r w:rsidR="00C35C01" w:rsidRPr="005F2138">
        <w:rPr>
          <w:rFonts w:ascii="Lato" w:hAnsi="Lato"/>
          <w:lang w:eastAsia="pl-PL"/>
        </w:rPr>
        <w:t>y</w:t>
      </w:r>
      <w:r w:rsidR="008B7151" w:rsidRPr="005F2138">
        <w:rPr>
          <w:rFonts w:ascii="Lato" w:hAnsi="Lato"/>
          <w:lang w:eastAsia="pl-PL"/>
        </w:rPr>
        <w:t xml:space="preserve"> działem administracji rządowej, któremu zgodnie z planem rozwojowym zostało powierzone zadanie realizacji inwestycji</w:t>
      </w:r>
      <w:r w:rsidRPr="005F2138">
        <w:rPr>
          <w:rFonts w:ascii="Lato" w:hAnsi="Lato"/>
          <w:lang w:eastAsia="pl-PL"/>
        </w:rPr>
        <w:t>;</w:t>
      </w:r>
    </w:p>
    <w:p w14:paraId="234F59EE" w14:textId="46495814" w:rsidR="004F5C64" w:rsidRPr="005F2138" w:rsidRDefault="004F5C6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 xml:space="preserve">IRU – </w:t>
      </w:r>
      <w:r w:rsidRPr="005F2138">
        <w:rPr>
          <w:rFonts w:ascii="Lato" w:hAnsi="Lato"/>
          <w:lang w:eastAsia="pl-PL"/>
        </w:rPr>
        <w:t xml:space="preserve">nieodwoływalne prawo używania (ang. </w:t>
      </w:r>
      <w:proofErr w:type="spellStart"/>
      <w:r w:rsidRPr="005F2138">
        <w:rPr>
          <w:rFonts w:ascii="Lato" w:hAnsi="Lato"/>
          <w:lang w:eastAsia="pl-PL"/>
        </w:rPr>
        <w:t>Indefeasible</w:t>
      </w:r>
      <w:proofErr w:type="spellEnd"/>
      <w:r w:rsidRPr="005F2138">
        <w:rPr>
          <w:rFonts w:ascii="Lato" w:hAnsi="Lato"/>
          <w:lang w:eastAsia="pl-PL"/>
        </w:rPr>
        <w:t xml:space="preserve"> Right of </w:t>
      </w:r>
      <w:proofErr w:type="spellStart"/>
      <w:r w:rsidRPr="005F2138">
        <w:rPr>
          <w:rFonts w:ascii="Lato" w:hAnsi="Lato"/>
          <w:lang w:eastAsia="pl-PL"/>
        </w:rPr>
        <w:t>Use</w:t>
      </w:r>
      <w:proofErr w:type="spellEnd"/>
      <w:r w:rsidRPr="005F2138">
        <w:rPr>
          <w:rFonts w:ascii="Lato" w:hAnsi="Lato"/>
          <w:lang w:eastAsia="pl-PL"/>
        </w:rPr>
        <w:t>);</w:t>
      </w:r>
    </w:p>
    <w:p w14:paraId="15EFB19A" w14:textId="154EE4EC" w:rsidR="00FA11F5" w:rsidRPr="005F2138" w:rsidRDefault="00FA11F5" w:rsidP="00990CE8">
      <w:pPr>
        <w:pStyle w:val="Akapitzlist"/>
        <w:numPr>
          <w:ilvl w:val="0"/>
          <w:numId w:val="65"/>
        </w:numPr>
        <w:spacing w:before="120" w:after="120"/>
        <w:ind w:left="426" w:hanging="426"/>
        <w:jc w:val="both"/>
        <w:rPr>
          <w:rFonts w:ascii="Lato" w:hAnsi="Lato"/>
          <w:lang w:eastAsia="pl-PL"/>
        </w:rPr>
      </w:pPr>
      <w:r w:rsidRPr="005F2138">
        <w:rPr>
          <w:rFonts w:ascii="Lato" w:hAnsi="Lato"/>
          <w:b/>
          <w:bCs/>
          <w:lang w:eastAsia="pl-PL"/>
        </w:rPr>
        <w:t>Koszty pośrednie –</w:t>
      </w:r>
      <w:r w:rsidRPr="005F2138">
        <w:rPr>
          <w:rFonts w:ascii="Lato" w:hAnsi="Lato"/>
          <w:lang w:eastAsia="pl-PL"/>
        </w:rPr>
        <w:t xml:space="preserve"> wszystkie kwalifikowalne koszty, które nie mogą być jednoznacznie wskazane przez wnioskodawcę, jako bezpośrednio związane </w:t>
      </w:r>
      <w:r w:rsidR="00185170" w:rsidRPr="005F2138">
        <w:rPr>
          <w:rFonts w:ascii="Lato" w:hAnsi="Lato"/>
          <w:lang w:eastAsia="pl-PL"/>
        </w:rPr>
        <w:t>z</w:t>
      </w:r>
      <w:r w:rsidR="00153E0A" w:rsidRPr="005F2138">
        <w:rPr>
          <w:rFonts w:ascii="Lato" w:hAnsi="Lato"/>
          <w:lang w:eastAsia="pl-PL"/>
        </w:rPr>
        <w:t> </w:t>
      </w:r>
      <w:r w:rsidRPr="005F2138">
        <w:rPr>
          <w:rFonts w:ascii="Lato" w:hAnsi="Lato"/>
          <w:lang w:eastAsia="pl-PL"/>
        </w:rPr>
        <w:t xml:space="preserve"> realizacją przedsięwzięcia, ale które można wskazać i uzasadnić w ramach systemu rachunkowości jako poniesione w związku z bezpośrednimi kosztami kwalifikowalnymi;</w:t>
      </w:r>
    </w:p>
    <w:p w14:paraId="7E8D6F0F" w14:textId="5D635FF3" w:rsidR="00283174" w:rsidRPr="005F2138" w:rsidRDefault="0028317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 xml:space="preserve">Ostateczny </w:t>
      </w:r>
      <w:r w:rsidR="00185170" w:rsidRPr="005F2138">
        <w:rPr>
          <w:rFonts w:ascii="Lato" w:hAnsi="Lato"/>
          <w:b/>
          <w:bCs/>
          <w:lang w:eastAsia="pl-PL"/>
        </w:rPr>
        <w:t>o</w:t>
      </w:r>
      <w:r w:rsidRPr="005F2138">
        <w:rPr>
          <w:rFonts w:ascii="Lato" w:hAnsi="Lato"/>
          <w:b/>
          <w:bCs/>
          <w:lang w:eastAsia="pl-PL"/>
        </w:rPr>
        <w:t xml:space="preserve">dbiorca </w:t>
      </w:r>
      <w:r w:rsidR="00185170" w:rsidRPr="005F2138">
        <w:rPr>
          <w:rFonts w:ascii="Lato" w:hAnsi="Lato"/>
          <w:b/>
          <w:bCs/>
          <w:lang w:eastAsia="pl-PL"/>
        </w:rPr>
        <w:t>w</w:t>
      </w:r>
      <w:r w:rsidRPr="005F2138">
        <w:rPr>
          <w:rFonts w:ascii="Lato" w:hAnsi="Lato"/>
          <w:b/>
          <w:bCs/>
          <w:lang w:eastAsia="pl-PL"/>
        </w:rPr>
        <w:t>sparcia lub OOW</w:t>
      </w:r>
      <w:r w:rsidRPr="005F2138">
        <w:rPr>
          <w:rFonts w:ascii="Lato" w:hAnsi="Lato"/>
          <w:lang w:eastAsia="pl-PL"/>
        </w:rPr>
        <w:t xml:space="preserve"> –</w:t>
      </w:r>
      <w:r w:rsidR="00561752" w:rsidRPr="005F2138">
        <w:rPr>
          <w:rFonts w:ascii="Lato" w:hAnsi="Lato"/>
          <w:lang w:eastAsia="pl-PL"/>
        </w:rPr>
        <w:t xml:space="preserve"> </w:t>
      </w:r>
      <w:r w:rsidR="003716F1" w:rsidRPr="005F2138">
        <w:rPr>
          <w:rFonts w:ascii="Lato" w:hAnsi="Lato"/>
          <w:lang w:eastAsia="pl-PL"/>
        </w:rPr>
        <w:t>podmiot realizujący przedsięwzięcie na podstawie Porozumienia z IOI</w:t>
      </w:r>
      <w:r w:rsidR="00DF7C23" w:rsidRPr="005F2138">
        <w:rPr>
          <w:rFonts w:ascii="Lato" w:hAnsi="Lato"/>
          <w:lang w:eastAsia="pl-PL"/>
        </w:rPr>
        <w:t>;</w:t>
      </w:r>
    </w:p>
    <w:p w14:paraId="13EA5984" w14:textId="377F38BD" w:rsidR="00097D73" w:rsidRPr="005F2138" w:rsidRDefault="00097D73" w:rsidP="00990CE8">
      <w:pPr>
        <w:pStyle w:val="Akapitzlist"/>
        <w:numPr>
          <w:ilvl w:val="0"/>
          <w:numId w:val="65"/>
        </w:numPr>
        <w:spacing w:before="120" w:after="120"/>
        <w:ind w:left="425" w:hanging="425"/>
        <w:jc w:val="both"/>
        <w:rPr>
          <w:rFonts w:ascii="Lato" w:hAnsi="Lato"/>
          <w:szCs w:val="24"/>
          <w:lang w:eastAsia="pl-PL"/>
        </w:rPr>
      </w:pPr>
      <w:r w:rsidRPr="005F2138">
        <w:rPr>
          <w:rFonts w:ascii="Lato" w:hAnsi="Lato"/>
          <w:b/>
          <w:bCs/>
          <w:lang w:eastAsia="pl-PL"/>
        </w:rPr>
        <w:t xml:space="preserve">Polski Fundusz Rozwoju Spółka Akcyjna </w:t>
      </w:r>
      <w:r w:rsidR="00043661" w:rsidRPr="005F2138">
        <w:rPr>
          <w:rFonts w:ascii="Lato" w:hAnsi="Lato"/>
          <w:b/>
          <w:bCs/>
          <w:lang w:eastAsia="pl-PL"/>
        </w:rPr>
        <w:t xml:space="preserve">lub </w:t>
      </w:r>
      <w:r w:rsidRPr="005F2138">
        <w:rPr>
          <w:rFonts w:ascii="Lato" w:hAnsi="Lato"/>
          <w:b/>
          <w:bCs/>
          <w:lang w:eastAsia="pl-PL"/>
        </w:rPr>
        <w:t>PFR</w:t>
      </w:r>
      <w:r w:rsidRPr="005F2138">
        <w:rPr>
          <w:rFonts w:ascii="Lato" w:hAnsi="Lato"/>
          <w:lang w:eastAsia="pl-PL"/>
        </w:rPr>
        <w:t xml:space="preserve"> –</w:t>
      </w:r>
      <w:r w:rsidR="00561752" w:rsidRPr="005F2138">
        <w:rPr>
          <w:rFonts w:ascii="Lato" w:hAnsi="Lato"/>
          <w:lang w:eastAsia="pl-PL"/>
        </w:rPr>
        <w:t xml:space="preserve"> </w:t>
      </w:r>
      <w:r w:rsidRPr="005F2138">
        <w:rPr>
          <w:rFonts w:ascii="Lato" w:hAnsi="Lato"/>
          <w:lang w:eastAsia="pl-PL"/>
        </w:rPr>
        <w:t>podmiot dokonujący wypłaty środków na inwestycje w ramach planu rozwojowego, których realizacja jest finansowana ze środków wsparcia bezzwrotnego, o którym mowa w art. 6 lit. a rozporządzenia</w:t>
      </w:r>
      <w:r w:rsidR="5B3F8DD1" w:rsidRPr="005F2138">
        <w:rPr>
          <w:rFonts w:ascii="Lato" w:hAnsi="Lato"/>
          <w:lang w:eastAsia="pl-PL"/>
        </w:rPr>
        <w:t xml:space="preserve"> 2021/241</w:t>
      </w:r>
      <w:r w:rsidRPr="005F2138">
        <w:rPr>
          <w:rFonts w:ascii="Lato" w:hAnsi="Lato"/>
          <w:lang w:eastAsia="pl-PL"/>
        </w:rPr>
        <w:t xml:space="preserve"> ;</w:t>
      </w:r>
    </w:p>
    <w:p w14:paraId="3B4F2556" w14:textId="77777777" w:rsidR="00A55DD9" w:rsidRPr="005F2138" w:rsidRDefault="0028317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 xml:space="preserve">Porozumienie </w:t>
      </w:r>
      <w:r w:rsidRPr="005F2138">
        <w:rPr>
          <w:rFonts w:ascii="Lato" w:hAnsi="Lato"/>
          <w:lang w:eastAsia="pl-PL"/>
        </w:rPr>
        <w:t>– Porozumienie o objęcie przedsięwzięcia wsparciem zawarte pomiędzy IOI i OOW;</w:t>
      </w:r>
    </w:p>
    <w:p w14:paraId="40B676E0" w14:textId="5E17D17B" w:rsidR="00261234" w:rsidRPr="005F2138" w:rsidRDefault="0026123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Przebudowa</w:t>
      </w:r>
      <w:r w:rsidRPr="005F2138">
        <w:rPr>
          <w:rFonts w:ascii="Lato" w:hAnsi="Lato"/>
          <w:lang w:eastAsia="pl-PL"/>
        </w:rPr>
        <w:t xml:space="preserve"> -</w:t>
      </w:r>
      <w:r w:rsidRPr="00990CE8">
        <w:rPr>
          <w:rFonts w:ascii="Lato" w:hAnsi="Lato"/>
        </w:rPr>
        <w:t xml:space="preserve"> </w:t>
      </w:r>
      <w:r w:rsidRPr="005F2138">
        <w:rPr>
          <w:rFonts w:ascii="Lato" w:hAnsi="Lato"/>
          <w:lang w:eastAsia="pl-PL"/>
        </w:rPr>
        <w:t>należy przez to rozumieć wykonywanie robót budowlanych, w</w:t>
      </w:r>
      <w:r w:rsidR="00CA5757" w:rsidRPr="005F2138">
        <w:rPr>
          <w:rFonts w:ascii="Lato" w:hAnsi="Lato"/>
          <w:lang w:eastAsia="pl-PL"/>
        </w:rPr>
        <w:t> </w:t>
      </w:r>
      <w:r w:rsidRPr="005F2138">
        <w:rPr>
          <w:rFonts w:ascii="Lato" w:hAnsi="Lato"/>
          <w:lang w:eastAsia="pl-PL"/>
        </w:rPr>
        <w:t xml:space="preserve">wyniku których następuje zmiana parametrów użytkowych lub technicznych istniejącego obiektu budowlanego, z wyjątkiem charakterystycznych parametrów, </w:t>
      </w:r>
      <w:r w:rsidRPr="005F2138">
        <w:rPr>
          <w:rFonts w:ascii="Lato" w:hAnsi="Lato"/>
          <w:lang w:eastAsia="pl-PL"/>
        </w:rPr>
        <w:lastRenderedPageBreak/>
        <w:t>jak: kubatura, powierzchnia zabudowy, wysokość, długość, szerokość bądź liczba kondygnacji</w:t>
      </w:r>
      <w:r w:rsidR="00824EB3" w:rsidRPr="00990CE8">
        <w:rPr>
          <w:rFonts w:ascii="Lato" w:hAnsi="Lato"/>
        </w:rPr>
        <w:t xml:space="preserve"> </w:t>
      </w:r>
      <w:r w:rsidR="00824EB3" w:rsidRPr="005F2138">
        <w:rPr>
          <w:rFonts w:ascii="Lato" w:hAnsi="Lato"/>
          <w:lang w:eastAsia="pl-PL"/>
        </w:rPr>
        <w:t>(w</w:t>
      </w:r>
      <w:r w:rsidR="008D523C">
        <w:rPr>
          <w:rFonts w:ascii="Lato" w:hAnsi="Lato"/>
          <w:lang w:eastAsia="pl-PL"/>
        </w:rPr>
        <w:t> </w:t>
      </w:r>
      <w:r w:rsidR="00824EB3" w:rsidRPr="005F2138">
        <w:rPr>
          <w:rFonts w:ascii="Lato" w:hAnsi="Lato"/>
          <w:lang w:eastAsia="pl-PL"/>
        </w:rPr>
        <w:t>rozumieniu art. 3 pkt 7a ustawy z dnia 7 lipca 1994r. Prawo budowlane);</w:t>
      </w:r>
    </w:p>
    <w:p w14:paraId="23AFD8B0" w14:textId="458D6E57" w:rsidR="00530500" w:rsidRPr="005F2138" w:rsidRDefault="00A55DD9"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Przedsięwzięcie</w:t>
      </w:r>
      <w:r w:rsidRPr="005F2138">
        <w:rPr>
          <w:rFonts w:ascii="Lato" w:hAnsi="Lato"/>
          <w:lang w:eastAsia="pl-PL"/>
        </w:rPr>
        <w:t xml:space="preserve"> – wybrany do objęcia wsparciem z planu rozwojowego element inwestycji realizowany przez OOW, zmierzający do osiągnięcia założonego celu określonego kamieniami milowymi i wskaźnikami, z określonym początkiem i</w:t>
      </w:r>
      <w:r w:rsidR="00F17297" w:rsidRPr="005F2138">
        <w:rPr>
          <w:rFonts w:ascii="Lato" w:hAnsi="Lato"/>
          <w:lang w:eastAsia="pl-PL"/>
        </w:rPr>
        <w:t> </w:t>
      </w:r>
      <w:r w:rsidRPr="005F2138">
        <w:rPr>
          <w:rFonts w:ascii="Lato" w:hAnsi="Lato"/>
          <w:lang w:eastAsia="pl-PL"/>
        </w:rPr>
        <w:t>końcem realizacji;</w:t>
      </w:r>
    </w:p>
    <w:p w14:paraId="51F72E86" w14:textId="49CA7EEC" w:rsidR="000E0446" w:rsidRPr="005F2138" w:rsidRDefault="000E0446"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Remont</w:t>
      </w:r>
      <w:r w:rsidRPr="005F2138">
        <w:rPr>
          <w:rFonts w:ascii="Lato" w:hAnsi="Lato"/>
          <w:lang w:eastAsia="pl-PL"/>
        </w:rPr>
        <w:t xml:space="preserve"> - należy przez to rozumieć wykonywanie w istniejącym obiekcie budowlanym robót budowlanych polegających na odtworzeniu stanu pierwotnego, a niestanowiących bieżącej konserwacji, przy czym dopuszcza się stosowanie wyrobów budowlanych innych niż użyto w stanie pierwotnym (w rozumieniu art. 3 pkt 8 ustawy z dnia 7 lipca 1994r. Prawo budowlane);</w:t>
      </w:r>
    </w:p>
    <w:p w14:paraId="3381A96D" w14:textId="52CC4CE6" w:rsidR="00A81C04" w:rsidRPr="005F2138" w:rsidRDefault="00A81C04"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Roboty budowlane</w:t>
      </w:r>
      <w:r w:rsidRPr="005F2138">
        <w:rPr>
          <w:rFonts w:ascii="Lato" w:hAnsi="Lato"/>
          <w:lang w:eastAsia="pl-PL"/>
        </w:rPr>
        <w:t xml:space="preserve"> – należy przez to rozumieć budowę, a także prace polegające na przebudowie, montażu, remoncie lub rozbiórce obiektu budowlanego (w</w:t>
      </w:r>
      <w:r w:rsidR="00CA5757" w:rsidRPr="005F2138">
        <w:rPr>
          <w:rFonts w:ascii="Lato" w:hAnsi="Lato"/>
          <w:lang w:eastAsia="pl-PL"/>
        </w:rPr>
        <w:t> </w:t>
      </w:r>
      <w:r w:rsidRPr="005F2138">
        <w:rPr>
          <w:rFonts w:ascii="Lato" w:hAnsi="Lato"/>
          <w:lang w:eastAsia="pl-PL"/>
        </w:rPr>
        <w:t>rozumieniu art. 3 pkt 7 ustawy z 7 lipca 1994r. Prawo budowlane)</w:t>
      </w:r>
      <w:r w:rsidR="008F1628" w:rsidRPr="005F2138">
        <w:rPr>
          <w:rFonts w:ascii="Lato" w:hAnsi="Lato"/>
          <w:lang w:eastAsia="pl-PL"/>
        </w:rPr>
        <w:t>;</w:t>
      </w:r>
    </w:p>
    <w:p w14:paraId="5953F30D" w14:textId="57D1A306" w:rsidR="00EA7948" w:rsidRPr="005F2138" w:rsidRDefault="00EA7948" w:rsidP="00990CE8">
      <w:pPr>
        <w:pStyle w:val="Akapitzlist"/>
        <w:numPr>
          <w:ilvl w:val="0"/>
          <w:numId w:val="65"/>
        </w:numPr>
        <w:spacing w:before="120" w:after="120"/>
        <w:ind w:left="425" w:hanging="425"/>
        <w:jc w:val="both"/>
        <w:rPr>
          <w:rFonts w:ascii="Lato" w:hAnsi="Lato"/>
          <w:lang w:eastAsia="pl-PL"/>
        </w:rPr>
      </w:pPr>
      <w:r w:rsidRPr="005F2138">
        <w:rPr>
          <w:rFonts w:ascii="Lato" w:hAnsi="Lato"/>
          <w:b/>
          <w:bCs/>
          <w:lang w:eastAsia="pl-PL"/>
        </w:rPr>
        <w:t>Wniosek –</w:t>
      </w:r>
      <w:r w:rsidRPr="005F2138">
        <w:rPr>
          <w:rFonts w:ascii="Lato" w:hAnsi="Lato"/>
          <w:lang w:eastAsia="pl-PL"/>
        </w:rPr>
        <w:t xml:space="preserve"> wniosek o objęcie przedsięwzięcia wsparciem w ramach inwestycji wraz z załącznikami;</w:t>
      </w:r>
    </w:p>
    <w:p w14:paraId="40AC9EB8" w14:textId="7A5B7D39" w:rsidR="001E72B2" w:rsidRPr="005F2138" w:rsidRDefault="00043661" w:rsidP="00990CE8">
      <w:pPr>
        <w:pStyle w:val="Akapitzlist"/>
        <w:numPr>
          <w:ilvl w:val="0"/>
          <w:numId w:val="65"/>
        </w:numPr>
        <w:spacing w:before="120" w:after="120"/>
        <w:ind w:left="426" w:hanging="426"/>
        <w:jc w:val="both"/>
        <w:rPr>
          <w:rFonts w:ascii="Lato" w:hAnsi="Lato"/>
          <w:lang w:eastAsia="pl-PL"/>
        </w:rPr>
      </w:pPr>
      <w:r w:rsidRPr="005F2138">
        <w:rPr>
          <w:rFonts w:ascii="Lato" w:hAnsi="Lato"/>
          <w:b/>
          <w:bCs/>
          <w:lang w:eastAsia="pl-PL"/>
        </w:rPr>
        <w:t>Wytyczne</w:t>
      </w:r>
      <w:r w:rsidRPr="005F2138">
        <w:rPr>
          <w:rFonts w:ascii="Lato" w:hAnsi="Lato"/>
          <w:lang w:eastAsia="pl-PL"/>
        </w:rPr>
        <w:t xml:space="preserve"> </w:t>
      </w:r>
      <w:r w:rsidR="004A5922" w:rsidRPr="005F2138">
        <w:rPr>
          <w:rFonts w:ascii="Lato" w:hAnsi="Lato"/>
          <w:lang w:eastAsia="pl-PL"/>
        </w:rPr>
        <w:t>–</w:t>
      </w:r>
      <w:r w:rsidRPr="005F2138">
        <w:rPr>
          <w:rFonts w:ascii="Lato" w:hAnsi="Lato"/>
          <w:lang w:eastAsia="pl-PL"/>
        </w:rPr>
        <w:t xml:space="preserve"> </w:t>
      </w:r>
      <w:r w:rsidR="004A5922" w:rsidRPr="005F2138">
        <w:rPr>
          <w:rFonts w:ascii="Lato" w:hAnsi="Lato"/>
          <w:lang w:eastAsia="pl-PL"/>
        </w:rPr>
        <w:t xml:space="preserve">niniejsze </w:t>
      </w:r>
      <w:r w:rsidRPr="005F2138">
        <w:rPr>
          <w:rFonts w:ascii="Lato" w:hAnsi="Lato"/>
          <w:lang w:eastAsia="pl-PL"/>
        </w:rPr>
        <w:t>wytyczne</w:t>
      </w:r>
      <w:r w:rsidR="004A5922" w:rsidRPr="005F2138">
        <w:rPr>
          <w:rFonts w:ascii="Lato" w:hAnsi="Lato"/>
          <w:lang w:eastAsia="pl-PL"/>
        </w:rPr>
        <w:t>,</w:t>
      </w:r>
      <w:r w:rsidRPr="005F2138">
        <w:rPr>
          <w:rFonts w:ascii="Lato" w:hAnsi="Lato"/>
          <w:lang w:eastAsia="pl-PL"/>
        </w:rPr>
        <w:t xml:space="preserve"> </w:t>
      </w:r>
      <w:r w:rsidR="00725E88" w:rsidRPr="005F2138">
        <w:rPr>
          <w:rFonts w:ascii="Lato" w:hAnsi="Lato"/>
          <w:lang w:eastAsia="pl-PL"/>
        </w:rPr>
        <w:t xml:space="preserve">dotyczące </w:t>
      </w:r>
      <w:r w:rsidRPr="005F2138">
        <w:rPr>
          <w:rFonts w:ascii="Lato" w:hAnsi="Lato"/>
          <w:lang w:eastAsia="pl-PL"/>
        </w:rPr>
        <w:t xml:space="preserve">kwalifikowalności wydatków </w:t>
      </w:r>
      <w:r w:rsidR="00725E88" w:rsidRPr="005F2138">
        <w:rPr>
          <w:rFonts w:ascii="Lato" w:hAnsi="Lato"/>
          <w:lang w:eastAsia="pl-PL"/>
        </w:rPr>
        <w:t xml:space="preserve">ze środków </w:t>
      </w:r>
      <w:r w:rsidR="00472324" w:rsidRPr="005F2138">
        <w:rPr>
          <w:rFonts w:ascii="Lato" w:hAnsi="Lato"/>
          <w:lang w:eastAsia="pl-PL"/>
        </w:rPr>
        <w:t>I</w:t>
      </w:r>
      <w:r w:rsidR="00725E88" w:rsidRPr="005F2138">
        <w:rPr>
          <w:rFonts w:ascii="Lato" w:hAnsi="Lato"/>
          <w:lang w:eastAsia="pl-PL"/>
        </w:rPr>
        <w:t>nstrumentu na rzecz Odbudowy i Zwiększania Odporności dla przedsięwzię</w:t>
      </w:r>
      <w:r w:rsidR="00185170" w:rsidRPr="005F2138">
        <w:rPr>
          <w:rFonts w:ascii="Lato" w:hAnsi="Lato"/>
          <w:lang w:eastAsia="pl-PL"/>
        </w:rPr>
        <w:t>cia</w:t>
      </w:r>
      <w:r w:rsidR="00725E88" w:rsidRPr="005F2138">
        <w:rPr>
          <w:rFonts w:ascii="Lato" w:hAnsi="Lato"/>
          <w:lang w:eastAsia="pl-PL"/>
        </w:rPr>
        <w:t xml:space="preserve"> realizowan</w:t>
      </w:r>
      <w:r w:rsidR="00185170" w:rsidRPr="005F2138">
        <w:rPr>
          <w:rFonts w:ascii="Lato" w:hAnsi="Lato"/>
          <w:lang w:eastAsia="pl-PL"/>
        </w:rPr>
        <w:t>ego</w:t>
      </w:r>
      <w:r w:rsidR="00725E88" w:rsidRPr="005F2138">
        <w:rPr>
          <w:rFonts w:ascii="Lato" w:hAnsi="Lato"/>
          <w:lang w:eastAsia="pl-PL"/>
        </w:rPr>
        <w:t xml:space="preserve"> w ramach inwestycji D1.1.2 „Przyspieszenie procesów transformacji cyfrowej ochrony zdrowia poprzez dalszy rozwój usług cyfrowych w ochronie zdrowia” będącej elementem komponentu D „Efektywność, dostępność i jakość systemu ochrony zdrowia” </w:t>
      </w:r>
      <w:r w:rsidR="004C4059" w:rsidRPr="005F2138">
        <w:rPr>
          <w:rFonts w:ascii="Lato" w:hAnsi="Lato"/>
          <w:lang w:eastAsia="pl-PL"/>
        </w:rPr>
        <w:t>dotyczące realizacji następujących</w:t>
      </w:r>
      <w:r w:rsidR="00B0370F" w:rsidRPr="005F2138">
        <w:rPr>
          <w:rFonts w:ascii="Lato" w:hAnsi="Lato"/>
          <w:lang w:eastAsia="pl-PL"/>
        </w:rPr>
        <w:t xml:space="preserve"> kamieni milowych i</w:t>
      </w:r>
      <w:r w:rsidR="00153E0A" w:rsidRPr="005F2138">
        <w:rPr>
          <w:rFonts w:ascii="Lato" w:hAnsi="Lato"/>
          <w:lang w:eastAsia="pl-PL"/>
        </w:rPr>
        <w:t> </w:t>
      </w:r>
      <w:r w:rsidR="00B0370F" w:rsidRPr="005F2138">
        <w:rPr>
          <w:rFonts w:ascii="Lato" w:hAnsi="Lato"/>
          <w:lang w:eastAsia="pl-PL"/>
        </w:rPr>
        <w:t>wskaźników:</w:t>
      </w:r>
    </w:p>
    <w:p w14:paraId="36E69CC3" w14:textId="2129D45A" w:rsidR="00B0370F" w:rsidRPr="005F2138" w:rsidRDefault="00FC2F4C" w:rsidP="00990CE8">
      <w:pPr>
        <w:pStyle w:val="Akapitzlist"/>
        <w:numPr>
          <w:ilvl w:val="0"/>
          <w:numId w:val="58"/>
        </w:numPr>
        <w:spacing w:before="120" w:after="120"/>
        <w:ind w:left="1134" w:hanging="283"/>
        <w:jc w:val="both"/>
        <w:rPr>
          <w:rFonts w:ascii="Lato" w:hAnsi="Lato" w:cs="Arial"/>
          <w:szCs w:val="24"/>
        </w:rPr>
      </w:pPr>
      <w:r>
        <w:rPr>
          <w:rFonts w:ascii="Lato" w:hAnsi="Lato" w:cs="Arial"/>
          <w:szCs w:val="24"/>
        </w:rPr>
        <w:t>uruchomienie</w:t>
      </w:r>
      <w:r w:rsidR="00A557F1" w:rsidRPr="005F2138">
        <w:rPr>
          <w:rFonts w:ascii="Lato" w:hAnsi="Lato" w:cs="Arial"/>
          <w:szCs w:val="24"/>
        </w:rPr>
        <w:t xml:space="preserve"> nowych usług cyfrowych: </w:t>
      </w:r>
    </w:p>
    <w:p w14:paraId="4818C559" w14:textId="2E1815F8" w:rsidR="00B0370F" w:rsidRPr="005F2138" w:rsidRDefault="004F592E" w:rsidP="00990CE8">
      <w:pPr>
        <w:pStyle w:val="Akapitzlist"/>
        <w:numPr>
          <w:ilvl w:val="1"/>
          <w:numId w:val="59"/>
        </w:numPr>
        <w:spacing w:before="120" w:after="120"/>
        <w:ind w:left="1701" w:hanging="283"/>
        <w:jc w:val="both"/>
        <w:rPr>
          <w:rFonts w:ascii="Lato" w:hAnsi="Lato" w:cs="Arial"/>
          <w:szCs w:val="24"/>
        </w:rPr>
      </w:pPr>
      <w:r w:rsidRPr="005F2138">
        <w:rPr>
          <w:rFonts w:ascii="Lato" w:hAnsi="Lato" w:cs="Arial"/>
          <w:szCs w:val="24"/>
        </w:rPr>
        <w:t>N</w:t>
      </w:r>
      <w:r w:rsidR="00B0370F" w:rsidRPr="005F2138">
        <w:rPr>
          <w:rFonts w:ascii="Lato" w:hAnsi="Lato" w:cs="Arial"/>
          <w:szCs w:val="24"/>
        </w:rPr>
        <w:t>arzędzi</w:t>
      </w:r>
      <w:r w:rsidRPr="005F2138">
        <w:rPr>
          <w:rFonts w:ascii="Lato" w:hAnsi="Lato" w:cs="Arial"/>
          <w:szCs w:val="24"/>
        </w:rPr>
        <w:t xml:space="preserve">a </w:t>
      </w:r>
      <w:r w:rsidR="00B0370F" w:rsidRPr="005F2138">
        <w:rPr>
          <w:rFonts w:ascii="Lato" w:hAnsi="Lato" w:cs="Arial"/>
          <w:szCs w:val="24"/>
        </w:rPr>
        <w:t>analizy</w:t>
      </w:r>
      <w:r w:rsidR="0019315E" w:rsidRPr="005F2138">
        <w:rPr>
          <w:rFonts w:ascii="Lato" w:hAnsi="Lato" w:cs="Arial"/>
          <w:szCs w:val="24"/>
        </w:rPr>
        <w:t xml:space="preserve"> </w:t>
      </w:r>
      <w:r w:rsidR="00B0370F" w:rsidRPr="005F2138">
        <w:rPr>
          <w:rFonts w:ascii="Lato" w:hAnsi="Lato" w:cs="Arial"/>
          <w:szCs w:val="24"/>
        </w:rPr>
        <w:t xml:space="preserve">zdrowia pacjenta, </w:t>
      </w:r>
    </w:p>
    <w:p w14:paraId="7957BF5F" w14:textId="4782F663" w:rsidR="00B0370F" w:rsidRPr="005F2138" w:rsidRDefault="004F592E" w:rsidP="00990CE8">
      <w:pPr>
        <w:pStyle w:val="Akapitzlist"/>
        <w:numPr>
          <w:ilvl w:val="1"/>
          <w:numId w:val="59"/>
        </w:numPr>
        <w:spacing w:before="120" w:after="120"/>
        <w:ind w:left="1701" w:hanging="283"/>
        <w:jc w:val="both"/>
        <w:rPr>
          <w:rFonts w:ascii="Lato" w:hAnsi="Lato" w:cs="Arial"/>
          <w:szCs w:val="24"/>
        </w:rPr>
      </w:pPr>
      <w:r w:rsidRPr="005F2138">
        <w:rPr>
          <w:rFonts w:ascii="Lato" w:hAnsi="Lato" w:cs="Arial"/>
          <w:szCs w:val="24"/>
        </w:rPr>
        <w:t>N</w:t>
      </w:r>
      <w:r w:rsidR="00B0370F" w:rsidRPr="005F2138">
        <w:rPr>
          <w:rFonts w:ascii="Lato" w:hAnsi="Lato" w:cs="Arial"/>
          <w:szCs w:val="24"/>
        </w:rPr>
        <w:t>arzędzi</w:t>
      </w:r>
      <w:r w:rsidRPr="005F2138">
        <w:rPr>
          <w:rFonts w:ascii="Lato" w:hAnsi="Lato" w:cs="Arial"/>
          <w:szCs w:val="24"/>
        </w:rPr>
        <w:t xml:space="preserve">a </w:t>
      </w:r>
      <w:r w:rsidR="00B0370F" w:rsidRPr="005F2138">
        <w:rPr>
          <w:rFonts w:ascii="Lato" w:hAnsi="Lato" w:cs="Arial"/>
          <w:szCs w:val="24"/>
        </w:rPr>
        <w:t>wspomagając</w:t>
      </w:r>
      <w:r w:rsidRPr="005F2138">
        <w:rPr>
          <w:rFonts w:ascii="Lato" w:hAnsi="Lato" w:cs="Arial"/>
          <w:szCs w:val="24"/>
        </w:rPr>
        <w:t xml:space="preserve">ego </w:t>
      </w:r>
      <w:r w:rsidR="00B0370F" w:rsidRPr="005F2138">
        <w:rPr>
          <w:rFonts w:ascii="Lato" w:hAnsi="Lato" w:cs="Arial"/>
          <w:szCs w:val="24"/>
        </w:rPr>
        <w:t>podejmowanie decyzji dla lekarzy w</w:t>
      </w:r>
      <w:r w:rsidR="00153E0A" w:rsidRPr="005F2138">
        <w:rPr>
          <w:rFonts w:ascii="Lato" w:hAnsi="Lato" w:cs="Arial"/>
          <w:szCs w:val="24"/>
        </w:rPr>
        <w:t> </w:t>
      </w:r>
      <w:r w:rsidR="00B0370F" w:rsidRPr="005F2138">
        <w:rPr>
          <w:rFonts w:ascii="Lato" w:hAnsi="Lato" w:cs="Arial"/>
          <w:szCs w:val="24"/>
        </w:rPr>
        <w:t xml:space="preserve">oparciu o algorytmy AI, </w:t>
      </w:r>
    </w:p>
    <w:p w14:paraId="365589C3" w14:textId="1B225E6C" w:rsidR="00B0370F" w:rsidRPr="005F2138" w:rsidRDefault="00B0370F" w:rsidP="00990CE8">
      <w:pPr>
        <w:pStyle w:val="Akapitzlist"/>
        <w:numPr>
          <w:ilvl w:val="1"/>
          <w:numId w:val="59"/>
        </w:numPr>
        <w:spacing w:before="120" w:after="120"/>
        <w:ind w:left="1701" w:hanging="283"/>
        <w:jc w:val="both"/>
        <w:rPr>
          <w:rFonts w:ascii="Lato" w:hAnsi="Lato" w:cs="Arial"/>
        </w:rPr>
      </w:pPr>
      <w:r w:rsidRPr="005F2138">
        <w:rPr>
          <w:rFonts w:ascii="Lato" w:hAnsi="Lato" w:cs="Arial"/>
        </w:rPr>
        <w:t>centralnego repozytorium danych medycznych zintegrowane</w:t>
      </w:r>
      <w:r w:rsidR="7533E799" w:rsidRPr="005F2138">
        <w:rPr>
          <w:rFonts w:ascii="Lato" w:hAnsi="Lato" w:cs="Arial"/>
        </w:rPr>
        <w:t>go</w:t>
      </w:r>
      <w:r w:rsidRPr="005F2138">
        <w:rPr>
          <w:rFonts w:ascii="Lato" w:hAnsi="Lato" w:cs="Arial"/>
        </w:rPr>
        <w:t xml:space="preserve"> z</w:t>
      </w:r>
      <w:r w:rsidR="00153E0A" w:rsidRPr="005F2138">
        <w:rPr>
          <w:rFonts w:ascii="Lato" w:hAnsi="Lato" w:cs="Arial"/>
        </w:rPr>
        <w:t> </w:t>
      </w:r>
      <w:r w:rsidRPr="005F2138">
        <w:rPr>
          <w:rFonts w:ascii="Lato" w:hAnsi="Lato" w:cs="Arial"/>
        </w:rPr>
        <w:t>innymi kluczowymi systemami ochrony zdrowia,</w:t>
      </w:r>
    </w:p>
    <w:p w14:paraId="6A5DC33B" w14:textId="001526D1" w:rsidR="00A557F1" w:rsidRDefault="00A557F1" w:rsidP="00990CE8">
      <w:pPr>
        <w:spacing w:before="120" w:after="120"/>
        <w:ind w:left="1134"/>
        <w:jc w:val="both"/>
        <w:rPr>
          <w:rFonts w:ascii="Lato" w:hAnsi="Lato" w:cs="Arial"/>
        </w:rPr>
      </w:pPr>
      <w:r w:rsidRPr="005F2138">
        <w:rPr>
          <w:rFonts w:ascii="Lato" w:hAnsi="Lato" w:cs="Arial"/>
        </w:rPr>
        <w:t>- kamie</w:t>
      </w:r>
      <w:r w:rsidR="00F31666" w:rsidRPr="005F2138">
        <w:rPr>
          <w:rFonts w:ascii="Lato" w:hAnsi="Lato" w:cs="Arial"/>
        </w:rPr>
        <w:t>ń</w:t>
      </w:r>
      <w:r w:rsidRPr="005F2138">
        <w:rPr>
          <w:rFonts w:ascii="Lato" w:hAnsi="Lato" w:cs="Arial"/>
        </w:rPr>
        <w:t xml:space="preserve"> milow</w:t>
      </w:r>
      <w:r w:rsidR="00F31666" w:rsidRPr="005F2138">
        <w:rPr>
          <w:rFonts w:ascii="Lato" w:hAnsi="Lato" w:cs="Arial"/>
        </w:rPr>
        <w:t>y</w:t>
      </w:r>
      <w:r w:rsidRPr="005F2138">
        <w:rPr>
          <w:rFonts w:ascii="Lato" w:hAnsi="Lato" w:cs="Arial"/>
        </w:rPr>
        <w:t xml:space="preserve"> D15G, w terminie do </w:t>
      </w:r>
      <w:r w:rsidR="004631B7">
        <w:rPr>
          <w:rFonts w:ascii="Lato" w:hAnsi="Lato" w:cs="Arial"/>
        </w:rPr>
        <w:t xml:space="preserve"> 31 maja</w:t>
      </w:r>
      <w:r w:rsidRPr="005F2138">
        <w:rPr>
          <w:rFonts w:ascii="Lato" w:hAnsi="Lato" w:cs="Arial"/>
        </w:rPr>
        <w:t xml:space="preserve"> 2026</w:t>
      </w:r>
      <w:r w:rsidR="00153E0A" w:rsidRPr="005F2138">
        <w:rPr>
          <w:rFonts w:ascii="Lato" w:hAnsi="Lato" w:cs="Arial"/>
        </w:rPr>
        <w:t xml:space="preserve"> </w:t>
      </w:r>
      <w:r w:rsidRPr="005F2138">
        <w:rPr>
          <w:rFonts w:ascii="Lato" w:hAnsi="Lato" w:cs="Arial"/>
        </w:rPr>
        <w:t>r.</w:t>
      </w:r>
    </w:p>
    <w:p w14:paraId="4C327548" w14:textId="4FF99CE1" w:rsidR="00960C06" w:rsidRPr="005F2138" w:rsidRDefault="00960C06" w:rsidP="00990CE8">
      <w:pPr>
        <w:spacing w:before="120" w:after="120"/>
        <w:ind w:left="1134"/>
        <w:jc w:val="both"/>
        <w:rPr>
          <w:rFonts w:ascii="Lato" w:hAnsi="Lato" w:cs="Arial"/>
        </w:rPr>
      </w:pPr>
      <w:r w:rsidRPr="00960C06">
        <w:rPr>
          <w:rFonts w:ascii="Lato" w:hAnsi="Lato" w:cs="Arial"/>
        </w:rPr>
        <w:lastRenderedPageBreak/>
        <w:t>z zastrzeżeniem, że podzadanie pn. „Działania informacyjno-promocyjne dotyczące całego projektu e-Zdrowie KPO” oraz podzadanie pn. „Główne obszary szkoleń dla całego projektu e-Zdrowie KPO” zostaną zrealizowane w terminie do 31 sierpnia 2026 r.;</w:t>
      </w:r>
    </w:p>
    <w:p w14:paraId="0A92C733" w14:textId="0E92DB99" w:rsidR="00B0370F" w:rsidRPr="005F2138" w:rsidRDefault="00A557F1" w:rsidP="00990CE8">
      <w:pPr>
        <w:pStyle w:val="Akapitzlist"/>
        <w:numPr>
          <w:ilvl w:val="0"/>
          <w:numId w:val="58"/>
        </w:numPr>
        <w:spacing w:before="120" w:after="120"/>
        <w:ind w:left="1134" w:hanging="283"/>
        <w:jc w:val="both"/>
        <w:rPr>
          <w:rFonts w:ascii="Lato" w:hAnsi="Lato" w:cs="Arial"/>
          <w:szCs w:val="24"/>
        </w:rPr>
      </w:pPr>
      <w:r w:rsidRPr="005F2138">
        <w:rPr>
          <w:rFonts w:ascii="Lato" w:hAnsi="Lato" w:cs="Arial"/>
          <w:szCs w:val="24"/>
        </w:rPr>
        <w:t>Centrum Operacji Bezpieczeństwa w Centrum</w:t>
      </w:r>
      <w:r w:rsidR="00153E0A" w:rsidRPr="005F2138">
        <w:rPr>
          <w:rFonts w:ascii="Lato" w:hAnsi="Lato" w:cs="Arial"/>
          <w:szCs w:val="24"/>
        </w:rPr>
        <w:t xml:space="preserve"> </w:t>
      </w:r>
      <w:r w:rsidRPr="005F2138">
        <w:rPr>
          <w:rFonts w:ascii="Lato" w:hAnsi="Lato" w:cs="Arial"/>
          <w:szCs w:val="24"/>
        </w:rPr>
        <w:t>e-Zdrowia – kamie</w:t>
      </w:r>
      <w:r w:rsidR="00A64183" w:rsidRPr="005F2138">
        <w:rPr>
          <w:rFonts w:ascii="Lato" w:hAnsi="Lato" w:cs="Arial"/>
          <w:szCs w:val="24"/>
        </w:rPr>
        <w:t>ń</w:t>
      </w:r>
      <w:r w:rsidRPr="005F2138">
        <w:rPr>
          <w:rFonts w:ascii="Lato" w:hAnsi="Lato" w:cs="Arial"/>
          <w:szCs w:val="24"/>
        </w:rPr>
        <w:t xml:space="preserve"> milow</w:t>
      </w:r>
      <w:r w:rsidR="00A64183" w:rsidRPr="005F2138">
        <w:rPr>
          <w:rFonts w:ascii="Lato" w:hAnsi="Lato" w:cs="Arial"/>
          <w:szCs w:val="24"/>
        </w:rPr>
        <w:t>y</w:t>
      </w:r>
      <w:r w:rsidRPr="005F2138">
        <w:rPr>
          <w:rFonts w:ascii="Lato" w:hAnsi="Lato" w:cs="Arial"/>
          <w:szCs w:val="24"/>
        </w:rPr>
        <w:t xml:space="preserve"> D16G, w terminie do </w:t>
      </w:r>
      <w:r w:rsidR="006B7708" w:rsidRPr="006B7708">
        <w:rPr>
          <w:rFonts w:ascii="Lato" w:hAnsi="Lato" w:cs="Arial"/>
          <w:szCs w:val="24"/>
        </w:rPr>
        <w:t xml:space="preserve"> 31 maja 2026 r.</w:t>
      </w:r>
    </w:p>
    <w:p w14:paraId="3BF09C56" w14:textId="32FF42B7" w:rsidR="00B0370F" w:rsidRPr="00990CE8" w:rsidRDefault="00B0370F" w:rsidP="00990CE8">
      <w:pPr>
        <w:pStyle w:val="Akapitzlist"/>
        <w:numPr>
          <w:ilvl w:val="0"/>
          <w:numId w:val="58"/>
        </w:numPr>
        <w:spacing w:before="120" w:after="120"/>
        <w:ind w:left="1134" w:hanging="283"/>
        <w:jc w:val="both"/>
        <w:rPr>
          <w:rFonts w:ascii="Lato" w:hAnsi="Lato"/>
        </w:rPr>
      </w:pPr>
      <w:r w:rsidRPr="00990CE8">
        <w:rPr>
          <w:rFonts w:ascii="Lato" w:hAnsi="Lato"/>
        </w:rPr>
        <w:t xml:space="preserve">Centrum </w:t>
      </w:r>
      <w:r w:rsidR="0019315E" w:rsidRPr="00990CE8">
        <w:rPr>
          <w:rFonts w:ascii="Lato" w:hAnsi="Lato"/>
        </w:rPr>
        <w:t>c</w:t>
      </w:r>
      <w:r w:rsidRPr="00990CE8">
        <w:rPr>
          <w:rFonts w:ascii="Lato" w:hAnsi="Lato"/>
        </w:rPr>
        <w:t xml:space="preserve">yfryzacji </w:t>
      </w:r>
      <w:r w:rsidR="0019315E" w:rsidRPr="00990CE8">
        <w:rPr>
          <w:rFonts w:ascii="Lato" w:hAnsi="Lato"/>
        </w:rPr>
        <w:t>d</w:t>
      </w:r>
      <w:r w:rsidRPr="00990CE8">
        <w:rPr>
          <w:rFonts w:ascii="Lato" w:hAnsi="Lato"/>
        </w:rPr>
        <w:t xml:space="preserve">okumentacji </w:t>
      </w:r>
      <w:r w:rsidR="0019315E" w:rsidRPr="00990CE8">
        <w:rPr>
          <w:rFonts w:ascii="Lato" w:hAnsi="Lato"/>
        </w:rPr>
        <w:t>m</w:t>
      </w:r>
      <w:r w:rsidRPr="00990CE8">
        <w:rPr>
          <w:rFonts w:ascii="Lato" w:hAnsi="Lato"/>
        </w:rPr>
        <w:t>edycznej</w:t>
      </w:r>
      <w:r w:rsidR="00F31666" w:rsidRPr="00990CE8">
        <w:rPr>
          <w:rFonts w:ascii="Lato" w:hAnsi="Lato"/>
        </w:rPr>
        <w:t xml:space="preserve"> -</w:t>
      </w:r>
      <w:r w:rsidR="00A557F1" w:rsidRPr="00990CE8">
        <w:rPr>
          <w:rFonts w:ascii="Lato" w:hAnsi="Lato"/>
        </w:rPr>
        <w:t xml:space="preserve"> kamie</w:t>
      </w:r>
      <w:r w:rsidR="005E49D6" w:rsidRPr="00990CE8">
        <w:rPr>
          <w:rFonts w:ascii="Lato" w:hAnsi="Lato"/>
        </w:rPr>
        <w:t>ń</w:t>
      </w:r>
      <w:r w:rsidR="00A557F1" w:rsidRPr="00990CE8">
        <w:rPr>
          <w:rFonts w:ascii="Lato" w:hAnsi="Lato"/>
        </w:rPr>
        <w:t xml:space="preserve"> milow</w:t>
      </w:r>
      <w:r w:rsidR="005E49D6" w:rsidRPr="00990CE8">
        <w:rPr>
          <w:rFonts w:ascii="Lato" w:hAnsi="Lato"/>
        </w:rPr>
        <w:t xml:space="preserve">y </w:t>
      </w:r>
      <w:r w:rsidR="00A557F1" w:rsidRPr="00990CE8">
        <w:rPr>
          <w:rFonts w:ascii="Lato" w:hAnsi="Lato"/>
        </w:rPr>
        <w:t>D17G, w</w:t>
      </w:r>
      <w:r w:rsidR="00CA5757" w:rsidRPr="00990CE8">
        <w:rPr>
          <w:rFonts w:ascii="Lato" w:hAnsi="Lato"/>
        </w:rPr>
        <w:t> </w:t>
      </w:r>
      <w:r w:rsidR="00A557F1" w:rsidRPr="00990CE8">
        <w:rPr>
          <w:rFonts w:ascii="Lato" w:hAnsi="Lato"/>
        </w:rPr>
        <w:t>terminie do</w:t>
      </w:r>
      <w:r w:rsidR="00F04243">
        <w:rPr>
          <w:rFonts w:ascii="Lato" w:hAnsi="Lato"/>
        </w:rPr>
        <w:t xml:space="preserve"> 31 maja 2026r.</w:t>
      </w:r>
      <w:r w:rsidR="00A557F1" w:rsidRPr="00990CE8">
        <w:rPr>
          <w:rFonts w:ascii="Lato" w:hAnsi="Lato"/>
        </w:rPr>
        <w:t xml:space="preserve"> i wsparcie realizacji procesu cyfryzacji historycznej dokumentacji medycznej w </w:t>
      </w:r>
      <w:r w:rsidR="005E49D6" w:rsidRPr="00990CE8">
        <w:rPr>
          <w:rFonts w:ascii="Lato" w:hAnsi="Lato"/>
        </w:rPr>
        <w:t>zakresie</w:t>
      </w:r>
      <w:r w:rsidR="00A557F1" w:rsidRPr="00990CE8">
        <w:rPr>
          <w:rFonts w:ascii="Lato" w:hAnsi="Lato"/>
        </w:rPr>
        <w:t xml:space="preserve"> wskaźnika D18G, w terminie do </w:t>
      </w:r>
      <w:r w:rsidR="006B7708" w:rsidRPr="006B7708">
        <w:rPr>
          <w:rFonts w:ascii="Lato" w:hAnsi="Lato"/>
        </w:rPr>
        <w:t xml:space="preserve">31 maja </w:t>
      </w:r>
      <w:r w:rsidR="00A557F1" w:rsidRPr="00990CE8">
        <w:rPr>
          <w:rFonts w:ascii="Lato" w:hAnsi="Lato"/>
        </w:rPr>
        <w:t>2026</w:t>
      </w:r>
      <w:r w:rsidR="00153E0A" w:rsidRPr="00990CE8">
        <w:rPr>
          <w:rFonts w:ascii="Lato" w:hAnsi="Lato"/>
        </w:rPr>
        <w:t xml:space="preserve"> </w:t>
      </w:r>
      <w:r w:rsidR="00A557F1" w:rsidRPr="00990CE8">
        <w:rPr>
          <w:rFonts w:ascii="Lato" w:hAnsi="Lato"/>
        </w:rPr>
        <w:t>r.</w:t>
      </w:r>
    </w:p>
    <w:p w14:paraId="2250D931" w14:textId="5F8F8A98" w:rsidR="00960C06" w:rsidRPr="00CF3CAD" w:rsidRDefault="00A557F1" w:rsidP="00990CE8">
      <w:pPr>
        <w:pStyle w:val="Akapitzlist"/>
        <w:numPr>
          <w:ilvl w:val="0"/>
          <w:numId w:val="58"/>
        </w:numPr>
        <w:spacing w:before="120" w:after="120"/>
        <w:ind w:left="1134" w:hanging="283"/>
        <w:jc w:val="both"/>
        <w:rPr>
          <w:rFonts w:ascii="Lato" w:hAnsi="Lato" w:cs="Arial"/>
          <w:szCs w:val="24"/>
        </w:rPr>
      </w:pPr>
      <w:r w:rsidRPr="005F2138">
        <w:rPr>
          <w:rFonts w:ascii="Lato" w:hAnsi="Lato" w:cs="Arial"/>
          <w:szCs w:val="24"/>
        </w:rPr>
        <w:t xml:space="preserve">realizacja procesu elektronizacji nowych rodzajów dokumentacji medycznej – wskaźnik D19G W1, w terminie do </w:t>
      </w:r>
      <w:r w:rsidR="00B7411F">
        <w:rPr>
          <w:rFonts w:ascii="Lato" w:hAnsi="Lato" w:cs="Arial"/>
          <w:szCs w:val="24"/>
        </w:rPr>
        <w:t xml:space="preserve">31 maja 2026r. </w:t>
      </w:r>
      <w:r w:rsidRPr="005F2138">
        <w:rPr>
          <w:rFonts w:ascii="Lato" w:hAnsi="Lato" w:cs="Arial"/>
          <w:szCs w:val="24"/>
        </w:rPr>
        <w:t xml:space="preserve"> i wskaźnik D20G W2</w:t>
      </w:r>
      <w:r w:rsidR="00AE1873" w:rsidRPr="005F2138">
        <w:rPr>
          <w:rFonts w:ascii="Lato" w:hAnsi="Lato" w:cs="Arial"/>
          <w:szCs w:val="24"/>
        </w:rPr>
        <w:t xml:space="preserve">, w terminie do </w:t>
      </w:r>
      <w:r w:rsidR="006B7708" w:rsidRPr="006B7708">
        <w:t xml:space="preserve"> </w:t>
      </w:r>
      <w:r w:rsidR="006B7708" w:rsidRPr="006B7708">
        <w:rPr>
          <w:rFonts w:ascii="Lato" w:hAnsi="Lato" w:cs="Arial"/>
          <w:szCs w:val="24"/>
        </w:rPr>
        <w:t>31 maja</w:t>
      </w:r>
      <w:r w:rsidR="00AE1873" w:rsidRPr="005F2138">
        <w:rPr>
          <w:rFonts w:ascii="Lato" w:hAnsi="Lato" w:cs="Arial"/>
          <w:szCs w:val="24"/>
        </w:rPr>
        <w:t>2026</w:t>
      </w:r>
      <w:r w:rsidR="00153E0A" w:rsidRPr="005F2138">
        <w:rPr>
          <w:rFonts w:ascii="Lato" w:hAnsi="Lato" w:cs="Arial"/>
          <w:szCs w:val="24"/>
        </w:rPr>
        <w:t xml:space="preserve"> </w:t>
      </w:r>
      <w:r w:rsidR="00AE1873" w:rsidRPr="005F2138">
        <w:rPr>
          <w:rFonts w:ascii="Lato" w:hAnsi="Lato" w:cs="Arial"/>
          <w:szCs w:val="24"/>
        </w:rPr>
        <w:t>r.</w:t>
      </w:r>
      <w:r w:rsidR="00960C06" w:rsidRPr="00960C06">
        <w:t xml:space="preserve"> </w:t>
      </w:r>
    </w:p>
    <w:p w14:paraId="41845093" w14:textId="01CFF75A" w:rsidR="00B0370F" w:rsidRPr="005F2138" w:rsidRDefault="00960C06" w:rsidP="00CF3CAD">
      <w:pPr>
        <w:pStyle w:val="Akapitzlist"/>
        <w:spacing w:before="120" w:after="120"/>
        <w:ind w:left="1134"/>
        <w:jc w:val="both"/>
        <w:rPr>
          <w:rFonts w:ascii="Lato" w:hAnsi="Lato" w:cs="Arial"/>
          <w:szCs w:val="24"/>
        </w:rPr>
      </w:pPr>
      <w:r w:rsidRPr="00960C06">
        <w:rPr>
          <w:rFonts w:ascii="Lato" w:hAnsi="Lato" w:cs="Arial"/>
          <w:szCs w:val="24"/>
        </w:rPr>
        <w:t xml:space="preserve">z zastrzeżeniem, że podzadanie pn. </w:t>
      </w:r>
      <w:r w:rsidRPr="00274D89">
        <w:rPr>
          <w:rFonts w:ascii="Lato" w:hAnsi="Lato" w:cs="Arial"/>
          <w:szCs w:val="24"/>
        </w:rPr>
        <w:t>„e-KOK”</w:t>
      </w:r>
      <w:r w:rsidRPr="00960C06">
        <w:rPr>
          <w:rFonts w:ascii="Lato" w:hAnsi="Lato" w:cs="Arial"/>
          <w:szCs w:val="24"/>
        </w:rPr>
        <w:t xml:space="preserve"> zostanie zrealizowane w terminie do 31 lipca 2026 r.;</w:t>
      </w:r>
    </w:p>
    <w:p w14:paraId="0C13E9AD" w14:textId="3972F17D" w:rsidR="00B0370F" w:rsidRPr="005F2138" w:rsidRDefault="00AE1873" w:rsidP="00990CE8">
      <w:pPr>
        <w:pStyle w:val="Akapitzlist"/>
        <w:numPr>
          <w:ilvl w:val="0"/>
          <w:numId w:val="58"/>
        </w:numPr>
        <w:spacing w:before="120" w:after="120"/>
        <w:ind w:left="1134" w:hanging="283"/>
        <w:jc w:val="both"/>
        <w:rPr>
          <w:rFonts w:ascii="Lato" w:hAnsi="Lato" w:cs="Arial"/>
          <w:szCs w:val="24"/>
        </w:rPr>
      </w:pPr>
      <w:r w:rsidRPr="005F2138">
        <w:rPr>
          <w:rFonts w:ascii="Lato" w:hAnsi="Lato" w:cs="Arial"/>
          <w:szCs w:val="24"/>
        </w:rPr>
        <w:t>podłączenie ogólnokrajowych/regionalnych</w:t>
      </w:r>
      <w:r w:rsidR="00B0370F" w:rsidRPr="005F2138">
        <w:rPr>
          <w:rFonts w:ascii="Lato" w:hAnsi="Lato" w:cs="Arial"/>
          <w:szCs w:val="24"/>
        </w:rPr>
        <w:t xml:space="preserve"> </w:t>
      </w:r>
      <w:r w:rsidRPr="005F2138">
        <w:rPr>
          <w:rFonts w:ascii="Lato" w:hAnsi="Lato" w:cs="Arial"/>
          <w:szCs w:val="24"/>
        </w:rPr>
        <w:t>p</w:t>
      </w:r>
      <w:r w:rsidR="00B0370F" w:rsidRPr="005F2138">
        <w:rPr>
          <w:rFonts w:ascii="Lato" w:hAnsi="Lato" w:cs="Arial"/>
          <w:szCs w:val="24"/>
        </w:rPr>
        <w:t>odmiot</w:t>
      </w:r>
      <w:r w:rsidRPr="005F2138">
        <w:rPr>
          <w:rFonts w:ascii="Lato" w:hAnsi="Lato" w:cs="Arial"/>
          <w:szCs w:val="24"/>
        </w:rPr>
        <w:t xml:space="preserve">ów </w:t>
      </w:r>
      <w:r w:rsidR="00B0370F" w:rsidRPr="005F2138">
        <w:rPr>
          <w:rFonts w:ascii="Lato" w:hAnsi="Lato" w:cs="Arial"/>
          <w:szCs w:val="24"/>
        </w:rPr>
        <w:t>lecznicz</w:t>
      </w:r>
      <w:r w:rsidRPr="005F2138">
        <w:rPr>
          <w:rFonts w:ascii="Lato" w:hAnsi="Lato" w:cs="Arial"/>
          <w:szCs w:val="24"/>
        </w:rPr>
        <w:t>ych</w:t>
      </w:r>
      <w:r w:rsidR="00B0370F" w:rsidRPr="005F2138">
        <w:rPr>
          <w:rFonts w:ascii="Lato" w:hAnsi="Lato" w:cs="Arial"/>
          <w:szCs w:val="24"/>
        </w:rPr>
        <w:t xml:space="preserve"> do centralnego repozytorium danych medycznych i wyposaż</w:t>
      </w:r>
      <w:r w:rsidRPr="005F2138">
        <w:rPr>
          <w:rFonts w:ascii="Lato" w:hAnsi="Lato" w:cs="Arial"/>
          <w:szCs w:val="24"/>
        </w:rPr>
        <w:t>enie ich</w:t>
      </w:r>
      <w:r w:rsidR="00B0370F" w:rsidRPr="005F2138">
        <w:rPr>
          <w:rFonts w:ascii="Lato" w:hAnsi="Lato" w:cs="Arial"/>
          <w:szCs w:val="24"/>
        </w:rPr>
        <w:t xml:space="preserve"> w</w:t>
      </w:r>
      <w:r w:rsidR="00153E0A" w:rsidRPr="005F2138">
        <w:rPr>
          <w:rFonts w:ascii="Lato" w:hAnsi="Lato" w:cs="Arial"/>
          <w:szCs w:val="24"/>
        </w:rPr>
        <w:t> </w:t>
      </w:r>
      <w:r w:rsidR="00B0370F" w:rsidRPr="005F2138">
        <w:rPr>
          <w:rFonts w:ascii="Lato" w:hAnsi="Lato" w:cs="Arial"/>
          <w:szCs w:val="24"/>
        </w:rPr>
        <w:t>narzędzie wspomagające podejmowanie decyzji</w:t>
      </w:r>
      <w:r w:rsidRPr="005F2138">
        <w:rPr>
          <w:rFonts w:ascii="Lato" w:hAnsi="Lato" w:cs="Arial"/>
          <w:szCs w:val="24"/>
        </w:rPr>
        <w:t xml:space="preserve"> przez lekarzy – w </w:t>
      </w:r>
      <w:r w:rsidR="00530CB6" w:rsidRPr="005F2138">
        <w:rPr>
          <w:rFonts w:ascii="Lato" w:hAnsi="Lato" w:cs="Arial"/>
          <w:szCs w:val="24"/>
        </w:rPr>
        <w:t>zakresie</w:t>
      </w:r>
      <w:r w:rsidRPr="005F2138">
        <w:rPr>
          <w:rFonts w:ascii="Lato" w:hAnsi="Lato" w:cs="Arial"/>
          <w:szCs w:val="24"/>
        </w:rPr>
        <w:t xml:space="preserve"> wskaźnika D21G, w terminie do </w:t>
      </w:r>
      <w:r w:rsidR="0087626F" w:rsidRPr="0087626F">
        <w:t xml:space="preserve"> </w:t>
      </w:r>
      <w:r w:rsidR="0087626F" w:rsidRPr="0087626F">
        <w:rPr>
          <w:rFonts w:ascii="Lato" w:hAnsi="Lato" w:cs="Arial"/>
          <w:szCs w:val="24"/>
        </w:rPr>
        <w:t>31 maja</w:t>
      </w:r>
      <w:r w:rsidRPr="005F2138">
        <w:rPr>
          <w:rFonts w:ascii="Lato" w:hAnsi="Lato" w:cs="Arial"/>
          <w:szCs w:val="24"/>
        </w:rPr>
        <w:t>2026</w:t>
      </w:r>
      <w:r w:rsidR="00153E0A" w:rsidRPr="005F2138">
        <w:rPr>
          <w:rFonts w:ascii="Lato" w:hAnsi="Lato" w:cs="Arial"/>
          <w:szCs w:val="24"/>
        </w:rPr>
        <w:t xml:space="preserve"> </w:t>
      </w:r>
      <w:r w:rsidRPr="005F2138">
        <w:rPr>
          <w:rFonts w:ascii="Lato" w:hAnsi="Lato" w:cs="Arial"/>
          <w:szCs w:val="24"/>
        </w:rPr>
        <w:t>r.</w:t>
      </w:r>
    </w:p>
    <w:p w14:paraId="72F85641" w14:textId="6CF09660" w:rsidR="00B0370F" w:rsidRDefault="00AE1873" w:rsidP="00990CE8">
      <w:pPr>
        <w:pStyle w:val="Akapitzlist"/>
        <w:numPr>
          <w:ilvl w:val="0"/>
          <w:numId w:val="58"/>
        </w:numPr>
        <w:spacing w:before="120" w:after="120"/>
        <w:ind w:left="1134" w:hanging="283"/>
        <w:jc w:val="both"/>
        <w:rPr>
          <w:rFonts w:ascii="Lato" w:hAnsi="Lato" w:cs="Arial"/>
          <w:szCs w:val="24"/>
        </w:rPr>
      </w:pPr>
      <w:r w:rsidRPr="005F2138">
        <w:rPr>
          <w:rFonts w:ascii="Lato" w:hAnsi="Lato" w:cs="Arial"/>
          <w:szCs w:val="24"/>
        </w:rPr>
        <w:t>zapewnienie d</w:t>
      </w:r>
      <w:r w:rsidR="00B0370F" w:rsidRPr="005F2138">
        <w:rPr>
          <w:rFonts w:ascii="Lato" w:hAnsi="Lato" w:cs="Arial"/>
          <w:szCs w:val="24"/>
        </w:rPr>
        <w:t>oro</w:t>
      </w:r>
      <w:r w:rsidRPr="005F2138">
        <w:rPr>
          <w:rFonts w:ascii="Lato" w:hAnsi="Lato" w:cs="Arial"/>
          <w:szCs w:val="24"/>
        </w:rPr>
        <w:t>słym</w:t>
      </w:r>
      <w:r w:rsidR="00B0370F" w:rsidRPr="005F2138">
        <w:rPr>
          <w:rFonts w:ascii="Lato" w:hAnsi="Lato" w:cs="Arial"/>
          <w:szCs w:val="24"/>
        </w:rPr>
        <w:t xml:space="preserve"> pacjen</w:t>
      </w:r>
      <w:r w:rsidRPr="005F2138">
        <w:rPr>
          <w:rFonts w:ascii="Lato" w:hAnsi="Lato" w:cs="Arial"/>
          <w:szCs w:val="24"/>
        </w:rPr>
        <w:t xml:space="preserve">tom </w:t>
      </w:r>
      <w:r w:rsidR="00B0370F" w:rsidRPr="005F2138">
        <w:rPr>
          <w:rFonts w:ascii="Lato" w:hAnsi="Lato" w:cs="Arial"/>
          <w:szCs w:val="24"/>
        </w:rPr>
        <w:t>narzędzi</w:t>
      </w:r>
      <w:r w:rsidRPr="005F2138">
        <w:rPr>
          <w:rFonts w:ascii="Lato" w:hAnsi="Lato" w:cs="Arial"/>
          <w:szCs w:val="24"/>
        </w:rPr>
        <w:t xml:space="preserve">a </w:t>
      </w:r>
      <w:r w:rsidR="00B0370F" w:rsidRPr="005F2138">
        <w:rPr>
          <w:rFonts w:ascii="Lato" w:hAnsi="Lato" w:cs="Arial"/>
          <w:szCs w:val="24"/>
        </w:rPr>
        <w:t>analiz</w:t>
      </w:r>
      <w:r w:rsidRPr="005F2138">
        <w:rPr>
          <w:rFonts w:ascii="Lato" w:hAnsi="Lato" w:cs="Arial"/>
          <w:szCs w:val="24"/>
        </w:rPr>
        <w:t xml:space="preserve">y </w:t>
      </w:r>
      <w:r w:rsidR="00B0370F" w:rsidRPr="005F2138">
        <w:rPr>
          <w:rFonts w:ascii="Lato" w:hAnsi="Lato" w:cs="Arial"/>
          <w:szCs w:val="24"/>
        </w:rPr>
        <w:t xml:space="preserve">stanu zdrowia </w:t>
      </w:r>
      <w:r w:rsidRPr="005F2138">
        <w:rPr>
          <w:rFonts w:ascii="Lato" w:hAnsi="Lato" w:cs="Arial"/>
          <w:szCs w:val="24"/>
        </w:rPr>
        <w:t xml:space="preserve">– </w:t>
      </w:r>
      <w:r w:rsidRPr="00DB4A67">
        <w:rPr>
          <w:rFonts w:ascii="Lato" w:hAnsi="Lato" w:cs="Arial"/>
          <w:color w:val="000000" w:themeColor="text1"/>
          <w:szCs w:val="24"/>
        </w:rPr>
        <w:t>wskaźnik D22G</w:t>
      </w:r>
      <w:r w:rsidRPr="005F2138">
        <w:rPr>
          <w:rFonts w:ascii="Lato" w:hAnsi="Lato" w:cs="Arial"/>
          <w:szCs w:val="24"/>
        </w:rPr>
        <w:t xml:space="preserve">, w terminie do </w:t>
      </w:r>
      <w:r w:rsidR="0087626F" w:rsidRPr="0087626F">
        <w:rPr>
          <w:rFonts w:ascii="Lato" w:hAnsi="Lato" w:cs="Arial"/>
          <w:szCs w:val="24"/>
        </w:rPr>
        <w:t xml:space="preserve"> 31 maja</w:t>
      </w:r>
      <w:r w:rsidRPr="005F2138">
        <w:rPr>
          <w:rFonts w:ascii="Lato" w:hAnsi="Lato" w:cs="Arial"/>
          <w:szCs w:val="24"/>
        </w:rPr>
        <w:t>2026r.</w:t>
      </w:r>
    </w:p>
    <w:p w14:paraId="21B01E1D" w14:textId="77777777" w:rsidR="00886DC5" w:rsidRPr="00886DC5" w:rsidRDefault="00886DC5" w:rsidP="00886DC5">
      <w:pPr>
        <w:pStyle w:val="Akapitzlist"/>
        <w:spacing w:before="120" w:after="120"/>
        <w:ind w:left="1134"/>
        <w:jc w:val="both"/>
        <w:rPr>
          <w:rFonts w:ascii="Lato" w:hAnsi="Lato" w:cs="Arial"/>
          <w:szCs w:val="24"/>
        </w:rPr>
      </w:pPr>
      <w:r w:rsidRPr="00886DC5">
        <w:rPr>
          <w:rFonts w:ascii="Lato" w:hAnsi="Lato" w:cs="Arial"/>
          <w:szCs w:val="24"/>
        </w:rPr>
        <w:t>z zastrzeżeniem, że:</w:t>
      </w:r>
    </w:p>
    <w:p w14:paraId="7C7FF8D3" w14:textId="77777777" w:rsidR="00886DC5" w:rsidRPr="00886DC5" w:rsidRDefault="00886DC5" w:rsidP="00886DC5">
      <w:pPr>
        <w:pStyle w:val="Akapitzlist"/>
        <w:spacing w:before="120" w:after="120"/>
        <w:ind w:left="1134"/>
        <w:jc w:val="both"/>
        <w:rPr>
          <w:rFonts w:ascii="Lato" w:hAnsi="Lato" w:cs="Arial"/>
          <w:szCs w:val="24"/>
        </w:rPr>
      </w:pPr>
      <w:r w:rsidRPr="00886DC5">
        <w:rPr>
          <w:rFonts w:ascii="Lato" w:hAnsi="Lato" w:cs="Arial"/>
          <w:szCs w:val="24"/>
        </w:rPr>
        <w:t xml:space="preserve"> - podzadanie pn. „Rozwój systemu e-Rejestracji” zostanie zrealizowane w terminie do 31 sierpnia 2026 r.;</w:t>
      </w:r>
    </w:p>
    <w:p w14:paraId="5479C2FE" w14:textId="77777777" w:rsidR="00886DC5" w:rsidRPr="00886DC5" w:rsidRDefault="00886DC5" w:rsidP="00886DC5">
      <w:pPr>
        <w:pStyle w:val="Akapitzlist"/>
        <w:spacing w:before="120" w:after="120"/>
        <w:ind w:left="1134"/>
        <w:jc w:val="both"/>
        <w:rPr>
          <w:rFonts w:ascii="Lato" w:hAnsi="Lato" w:cs="Arial"/>
          <w:szCs w:val="24"/>
        </w:rPr>
      </w:pPr>
      <w:r w:rsidRPr="00886DC5">
        <w:rPr>
          <w:rFonts w:ascii="Lato" w:hAnsi="Lato" w:cs="Arial"/>
          <w:szCs w:val="24"/>
        </w:rPr>
        <w:t>- podzadanie pn. „Platforma e-Konsylium” zostanie zrealizowane w terminie do 1 sierpnia 2026 r.;</w:t>
      </w:r>
    </w:p>
    <w:p w14:paraId="5B417C36" w14:textId="5E3A6C5A" w:rsidR="00886DC5" w:rsidRPr="005F2138" w:rsidRDefault="00886DC5" w:rsidP="00CF3CAD">
      <w:pPr>
        <w:pStyle w:val="Akapitzlist"/>
        <w:spacing w:before="120" w:after="120"/>
        <w:ind w:left="1134"/>
        <w:jc w:val="both"/>
        <w:rPr>
          <w:rFonts w:ascii="Lato" w:hAnsi="Lato" w:cs="Arial"/>
          <w:szCs w:val="24"/>
        </w:rPr>
      </w:pPr>
      <w:r w:rsidRPr="00886DC5">
        <w:rPr>
          <w:rFonts w:ascii="Lato" w:hAnsi="Lato" w:cs="Arial"/>
          <w:szCs w:val="24"/>
        </w:rPr>
        <w:t>- podzadanie pn. „Rozbudowa hurtowni analitycznej” zostanie zrealizowane w terminie do 31 sierpnia 2026 r.</w:t>
      </w:r>
    </w:p>
    <w:p w14:paraId="658DA273" w14:textId="77777777" w:rsidR="00B0370F" w:rsidRPr="005F2138" w:rsidRDefault="00B0370F" w:rsidP="00990CE8">
      <w:pPr>
        <w:pStyle w:val="Akapitzlist"/>
        <w:spacing w:before="120" w:after="120"/>
        <w:ind w:left="425"/>
        <w:rPr>
          <w:rFonts w:ascii="Lato" w:hAnsi="Lato"/>
          <w:lang w:eastAsia="pl-PL"/>
        </w:rPr>
      </w:pPr>
    </w:p>
    <w:p w14:paraId="3377993A" w14:textId="72FB66D6" w:rsidR="00335AD4" w:rsidRPr="00990CE8" w:rsidRDefault="00335AD4" w:rsidP="00990CE8">
      <w:pPr>
        <w:pStyle w:val="Nagwek1"/>
        <w:shd w:val="clear" w:color="auto" w:fill="FFFFFF" w:themeFill="background1"/>
        <w:spacing w:before="120" w:after="120"/>
        <w:rPr>
          <w:rFonts w:ascii="Lato" w:hAnsi="Lato"/>
        </w:rPr>
      </w:pPr>
      <w:bookmarkStart w:id="5" w:name="_Toc181699360"/>
      <w:r w:rsidRPr="00990CE8">
        <w:rPr>
          <w:rFonts w:ascii="Lato" w:hAnsi="Lato"/>
        </w:rPr>
        <w:lastRenderedPageBreak/>
        <w:t xml:space="preserve">Rozdział </w:t>
      </w:r>
      <w:r w:rsidR="00D016CD" w:rsidRPr="00990CE8">
        <w:rPr>
          <w:rFonts w:ascii="Lato" w:hAnsi="Lato"/>
        </w:rPr>
        <w:t xml:space="preserve">3 </w:t>
      </w:r>
      <w:r w:rsidRPr="00990CE8">
        <w:rPr>
          <w:rFonts w:ascii="Lato" w:hAnsi="Lato"/>
        </w:rPr>
        <w:t>Warunki kwalifikowalności</w:t>
      </w:r>
      <w:r w:rsidR="005E0A2A" w:rsidRPr="00990CE8">
        <w:rPr>
          <w:rFonts w:ascii="Lato" w:hAnsi="Lato"/>
        </w:rPr>
        <w:t xml:space="preserve"> wydatków</w:t>
      </w:r>
      <w:bookmarkEnd w:id="5"/>
    </w:p>
    <w:p w14:paraId="67E0A975" w14:textId="476CBDF2" w:rsidR="00335AD4" w:rsidRPr="00990CE8" w:rsidRDefault="00814A8C" w:rsidP="00990CE8">
      <w:pPr>
        <w:pStyle w:val="Nagwek2"/>
        <w:spacing w:before="120" w:after="120"/>
        <w:rPr>
          <w:rFonts w:ascii="Lato" w:hAnsi="Lato"/>
        </w:rPr>
      </w:pPr>
      <w:bookmarkStart w:id="6" w:name="_Toc181699361"/>
      <w:r w:rsidRPr="00990CE8">
        <w:rPr>
          <w:rFonts w:ascii="Lato" w:hAnsi="Lato"/>
        </w:rPr>
        <w:t>3</w:t>
      </w:r>
      <w:r w:rsidR="00335AD4" w:rsidRPr="00990CE8">
        <w:rPr>
          <w:rFonts w:ascii="Lato" w:hAnsi="Lato"/>
        </w:rPr>
        <w:t>.1 Ocena kwalifikowalności przedsięwzięcia</w:t>
      </w:r>
      <w:bookmarkEnd w:id="6"/>
    </w:p>
    <w:p w14:paraId="77A8AF39" w14:textId="792018E7" w:rsidR="00FF38A4" w:rsidRPr="005F2138" w:rsidRDefault="00FF38A4" w:rsidP="00990CE8">
      <w:pPr>
        <w:pStyle w:val="Akapitzlist"/>
        <w:numPr>
          <w:ilvl w:val="0"/>
          <w:numId w:val="48"/>
        </w:numPr>
        <w:spacing w:before="120" w:after="120"/>
        <w:ind w:left="426" w:hanging="426"/>
        <w:contextualSpacing w:val="0"/>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 xml:space="preserve">Ocena kwalifikowalności przedsięwzięcia następuje na etapie oceny </w:t>
      </w:r>
      <w:r w:rsidR="0067200A"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niosku i</w:t>
      </w:r>
      <w:r w:rsidR="00F77DD5"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polega na sprawdzeniu, czy przedstawione przedsięwzięcie może stanowić przedmiot </w:t>
      </w:r>
      <w:r w:rsidR="00896488" w:rsidRPr="005F2138">
        <w:rPr>
          <w:rStyle w:val="normaltextrun"/>
          <w:rFonts w:ascii="Lato" w:eastAsiaTheme="majorEastAsia" w:hAnsi="Lato" w:cstheme="majorBidi"/>
          <w:iCs/>
          <w:kern w:val="32"/>
          <w:szCs w:val="26"/>
        </w:rPr>
        <w:t xml:space="preserve">objęcia wsparciem </w:t>
      </w:r>
      <w:r w:rsidRPr="005F2138">
        <w:rPr>
          <w:rStyle w:val="normaltextrun"/>
          <w:rFonts w:ascii="Lato" w:eastAsiaTheme="majorEastAsia" w:hAnsi="Lato" w:cstheme="majorBidi"/>
          <w:iCs/>
          <w:kern w:val="32"/>
          <w:szCs w:val="26"/>
        </w:rPr>
        <w:t>w ramach KPO</w:t>
      </w:r>
      <w:r w:rsidR="00665B70" w:rsidRPr="005F2138">
        <w:rPr>
          <w:rStyle w:val="normaltextrun"/>
          <w:rFonts w:ascii="Lato" w:eastAsiaTheme="majorEastAsia" w:hAnsi="Lato" w:cstheme="majorBidi"/>
          <w:iCs/>
          <w:kern w:val="32"/>
          <w:szCs w:val="26"/>
        </w:rPr>
        <w:t>.</w:t>
      </w:r>
    </w:p>
    <w:p w14:paraId="4ABC2D99" w14:textId="61B93AA5" w:rsidR="00D96068" w:rsidRPr="005F2138" w:rsidRDefault="00477B5F" w:rsidP="00990CE8">
      <w:pPr>
        <w:pStyle w:val="Akapitzlist"/>
        <w:numPr>
          <w:ilvl w:val="0"/>
          <w:numId w:val="48"/>
        </w:numPr>
        <w:spacing w:before="120" w:after="120"/>
        <w:ind w:left="426" w:hanging="426"/>
        <w:contextualSpacing w:val="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Ocena kwalifikowalności </w:t>
      </w:r>
      <w:r w:rsidR="00EA7948" w:rsidRPr="005F2138">
        <w:rPr>
          <w:rStyle w:val="normaltextrun"/>
          <w:rFonts w:ascii="Lato" w:eastAsiaTheme="majorEastAsia" w:hAnsi="Lato" w:cstheme="majorBidi"/>
          <w:iCs/>
          <w:kern w:val="32"/>
          <w:szCs w:val="26"/>
        </w:rPr>
        <w:t>przedsięwzięcia</w:t>
      </w:r>
      <w:r w:rsidRPr="005F2138">
        <w:rPr>
          <w:rStyle w:val="normaltextrun"/>
          <w:rFonts w:ascii="Lato" w:eastAsiaTheme="majorEastAsia" w:hAnsi="Lato" w:cstheme="majorBidi"/>
          <w:iCs/>
          <w:kern w:val="32"/>
          <w:szCs w:val="26"/>
        </w:rPr>
        <w:t xml:space="preserve"> polega </w:t>
      </w:r>
      <w:r w:rsidR="000E65F0" w:rsidRPr="005F2138">
        <w:rPr>
          <w:rStyle w:val="normaltextrun"/>
          <w:rFonts w:ascii="Lato" w:eastAsiaTheme="majorEastAsia" w:hAnsi="Lato" w:cstheme="majorBidi"/>
          <w:iCs/>
          <w:kern w:val="32"/>
          <w:szCs w:val="26"/>
        </w:rPr>
        <w:t xml:space="preserve">m.in. </w:t>
      </w:r>
      <w:r w:rsidRPr="005F2138">
        <w:rPr>
          <w:rStyle w:val="normaltextrun"/>
          <w:rFonts w:ascii="Lato" w:eastAsiaTheme="majorEastAsia" w:hAnsi="Lato" w:cstheme="majorBidi"/>
          <w:iCs/>
          <w:kern w:val="32"/>
          <w:szCs w:val="26"/>
        </w:rPr>
        <w:t>na</w:t>
      </w:r>
      <w:r w:rsidR="00D96068" w:rsidRPr="005F2138">
        <w:rPr>
          <w:rStyle w:val="normaltextrun"/>
          <w:rFonts w:ascii="Lato" w:eastAsiaTheme="majorEastAsia" w:hAnsi="Lato" w:cstheme="majorBidi"/>
          <w:iCs/>
          <w:kern w:val="32"/>
          <w:szCs w:val="26"/>
        </w:rPr>
        <w:t>:</w:t>
      </w:r>
    </w:p>
    <w:p w14:paraId="78B4C172" w14:textId="2B5CB7EB" w:rsidR="00D96068" w:rsidRPr="005F2138" w:rsidRDefault="00477B5F" w:rsidP="00990CE8">
      <w:pPr>
        <w:pStyle w:val="Akapitzlist"/>
        <w:numPr>
          <w:ilvl w:val="1"/>
          <w:numId w:val="48"/>
        </w:numPr>
        <w:spacing w:before="120" w:after="120"/>
        <w:ind w:left="1134" w:hanging="283"/>
        <w:contextualSpacing w:val="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analizie </w:t>
      </w:r>
      <w:r w:rsidR="00EA7948" w:rsidRPr="005F2138">
        <w:rPr>
          <w:rStyle w:val="normaltextrun"/>
          <w:rFonts w:ascii="Lato" w:eastAsiaTheme="majorEastAsia" w:hAnsi="Lato" w:cstheme="majorBidi"/>
          <w:iCs/>
          <w:kern w:val="32"/>
          <w:szCs w:val="26"/>
        </w:rPr>
        <w:t xml:space="preserve">jego </w:t>
      </w:r>
      <w:r w:rsidRPr="005F2138">
        <w:rPr>
          <w:rStyle w:val="normaltextrun"/>
          <w:rFonts w:ascii="Lato" w:eastAsiaTheme="majorEastAsia" w:hAnsi="Lato" w:cstheme="majorBidi"/>
          <w:iCs/>
          <w:kern w:val="32"/>
          <w:szCs w:val="26"/>
        </w:rPr>
        <w:t xml:space="preserve">zgodności </w:t>
      </w:r>
      <w:r w:rsidR="00EA7948" w:rsidRPr="005F2138">
        <w:rPr>
          <w:rStyle w:val="normaltextrun"/>
          <w:rFonts w:ascii="Lato" w:eastAsiaTheme="majorEastAsia" w:hAnsi="Lato" w:cstheme="majorBidi"/>
          <w:iCs/>
          <w:kern w:val="32"/>
          <w:szCs w:val="26"/>
        </w:rPr>
        <w:t xml:space="preserve">z </w:t>
      </w:r>
      <w:r w:rsidR="007C3E28" w:rsidRPr="005F2138">
        <w:rPr>
          <w:rStyle w:val="normaltextrun"/>
          <w:rFonts w:ascii="Lato" w:eastAsiaTheme="majorEastAsia" w:hAnsi="Lato" w:cstheme="majorBidi"/>
          <w:iCs/>
          <w:kern w:val="32"/>
          <w:szCs w:val="26"/>
        </w:rPr>
        <w:t>prawem unijnym, w szczególności z</w:t>
      </w:r>
      <w:r w:rsidR="00FF7280" w:rsidRPr="005F2138">
        <w:rPr>
          <w:rFonts w:ascii="Lato" w:hAnsi="Lato"/>
        </w:rPr>
        <w:t> </w:t>
      </w:r>
      <w:r w:rsidR="004F1F85" w:rsidRPr="005F2138">
        <w:rPr>
          <w:rStyle w:val="normaltextrun"/>
          <w:rFonts w:ascii="Lato" w:eastAsiaTheme="majorEastAsia" w:hAnsi="Lato" w:cstheme="majorBidi"/>
          <w:iCs/>
          <w:kern w:val="32"/>
          <w:szCs w:val="26"/>
        </w:rPr>
        <w:t xml:space="preserve">rozporządzeniem </w:t>
      </w:r>
      <w:r w:rsidR="007C3E28" w:rsidRPr="005F2138">
        <w:rPr>
          <w:rFonts w:ascii="Lato" w:eastAsiaTheme="majorEastAsia" w:hAnsi="Lato" w:cstheme="majorBidi"/>
          <w:iCs/>
          <w:kern w:val="32"/>
          <w:szCs w:val="26"/>
        </w:rPr>
        <w:t>2021/241</w:t>
      </w:r>
      <w:r w:rsidR="009A1BFF" w:rsidRPr="005F2138">
        <w:rPr>
          <w:rFonts w:ascii="Lato" w:eastAsiaTheme="majorEastAsia" w:hAnsi="Lato" w:cstheme="majorBidi"/>
          <w:iCs/>
          <w:kern w:val="32"/>
          <w:szCs w:val="26"/>
        </w:rPr>
        <w:t>,</w:t>
      </w:r>
      <w:r w:rsidR="007C3E28" w:rsidRPr="005F2138">
        <w:rPr>
          <w:rFonts w:ascii="Lato" w:eastAsiaTheme="majorEastAsia" w:hAnsi="Lato" w:cstheme="majorBidi"/>
          <w:iCs/>
          <w:kern w:val="32"/>
          <w:szCs w:val="26"/>
        </w:rPr>
        <w:t xml:space="preserve"> </w:t>
      </w:r>
    </w:p>
    <w:p w14:paraId="2681E3D4" w14:textId="68C79155" w:rsidR="00D96068" w:rsidRPr="005F2138" w:rsidRDefault="00D96068" w:rsidP="00990CE8">
      <w:pPr>
        <w:pStyle w:val="Akapitzlist"/>
        <w:numPr>
          <w:ilvl w:val="1"/>
          <w:numId w:val="48"/>
        </w:numPr>
        <w:spacing w:before="120" w:after="120"/>
        <w:ind w:left="1134" w:hanging="283"/>
        <w:contextualSpacing w:val="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analizie jego zgodności z </w:t>
      </w:r>
      <w:r w:rsidR="007C3E28" w:rsidRPr="005F2138">
        <w:rPr>
          <w:rStyle w:val="normaltextrun"/>
          <w:rFonts w:ascii="Lato" w:eastAsiaTheme="majorEastAsia" w:hAnsi="Lato" w:cstheme="majorBidi"/>
          <w:iCs/>
          <w:kern w:val="32"/>
          <w:szCs w:val="26"/>
        </w:rPr>
        <w:t>prawem krajowym, w szczególności ustawą o</w:t>
      </w:r>
      <w:r w:rsidR="00FF7280" w:rsidRPr="005F2138">
        <w:rPr>
          <w:rStyle w:val="normaltextrun"/>
          <w:rFonts w:ascii="Lato" w:eastAsiaTheme="majorEastAsia" w:hAnsi="Lato" w:cstheme="majorBidi"/>
          <w:iCs/>
          <w:kern w:val="32"/>
          <w:szCs w:val="26"/>
        </w:rPr>
        <w:t> </w:t>
      </w:r>
      <w:r w:rsidR="007C3E28" w:rsidRPr="005F2138">
        <w:rPr>
          <w:rStyle w:val="normaltextrun"/>
          <w:rFonts w:ascii="Lato" w:eastAsiaTheme="majorEastAsia" w:hAnsi="Lato" w:cstheme="majorBidi"/>
          <w:iCs/>
          <w:kern w:val="32"/>
          <w:szCs w:val="26"/>
        </w:rPr>
        <w:t xml:space="preserve">zasadach prowadzenia polityki rozwoju oraz </w:t>
      </w:r>
      <w:r w:rsidR="00EA7948" w:rsidRPr="005F2138">
        <w:rPr>
          <w:rStyle w:val="normaltextrun"/>
          <w:rFonts w:ascii="Lato" w:eastAsiaTheme="majorEastAsia" w:hAnsi="Lato" w:cstheme="majorBidi"/>
          <w:iCs/>
          <w:kern w:val="32"/>
          <w:szCs w:val="26"/>
        </w:rPr>
        <w:t>planem rozwojowy</w:t>
      </w:r>
      <w:r w:rsidR="007C3E28" w:rsidRPr="005F2138">
        <w:rPr>
          <w:rStyle w:val="normaltextrun"/>
          <w:rFonts w:ascii="Lato" w:eastAsiaTheme="majorEastAsia" w:hAnsi="Lato" w:cstheme="majorBidi"/>
          <w:iCs/>
          <w:kern w:val="32"/>
          <w:szCs w:val="26"/>
        </w:rPr>
        <w:t xml:space="preserve">m, </w:t>
      </w:r>
    </w:p>
    <w:p w14:paraId="6EBC3A3F" w14:textId="77777777" w:rsidR="00D96068" w:rsidRPr="005F2138" w:rsidRDefault="00D96068" w:rsidP="00990CE8">
      <w:pPr>
        <w:pStyle w:val="Akapitzlist"/>
        <w:numPr>
          <w:ilvl w:val="1"/>
          <w:numId w:val="48"/>
        </w:numPr>
        <w:spacing w:before="120" w:after="120"/>
        <w:ind w:left="1134" w:hanging="283"/>
        <w:contextualSpacing w:val="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analizie </w:t>
      </w:r>
      <w:r w:rsidR="007C3E28" w:rsidRPr="005F2138">
        <w:rPr>
          <w:rStyle w:val="normaltextrun"/>
          <w:rFonts w:ascii="Lato" w:eastAsiaTheme="majorEastAsia" w:hAnsi="Lato" w:cstheme="majorBidi"/>
          <w:iCs/>
          <w:kern w:val="32"/>
          <w:szCs w:val="26"/>
        </w:rPr>
        <w:t>osiągnięcia założonego w planie rozwojowym celu określonego kamieniami milowymi i wskaźnikami</w:t>
      </w:r>
      <w:r w:rsidRPr="005F2138">
        <w:rPr>
          <w:rStyle w:val="normaltextrun"/>
          <w:rFonts w:ascii="Lato" w:eastAsiaTheme="majorEastAsia" w:hAnsi="Lato" w:cstheme="majorBidi"/>
          <w:iCs/>
          <w:kern w:val="32"/>
          <w:szCs w:val="26"/>
        </w:rPr>
        <w:t>,</w:t>
      </w:r>
    </w:p>
    <w:p w14:paraId="4604FB17" w14:textId="5F68566B" w:rsidR="007C3E28" w:rsidRPr="005F2138" w:rsidRDefault="00D96068" w:rsidP="00990CE8">
      <w:pPr>
        <w:pStyle w:val="Akapitzlist"/>
        <w:numPr>
          <w:ilvl w:val="1"/>
          <w:numId w:val="48"/>
        </w:numPr>
        <w:spacing w:before="120" w:after="120"/>
        <w:ind w:left="1134" w:hanging="283"/>
        <w:contextualSpacing w:val="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analizie </w:t>
      </w:r>
      <w:r w:rsidR="000E65F0" w:rsidRPr="005F2138">
        <w:rPr>
          <w:rStyle w:val="normaltextrun"/>
          <w:rFonts w:ascii="Lato" w:eastAsiaTheme="majorEastAsia" w:hAnsi="Lato" w:cstheme="majorBidi"/>
          <w:iCs/>
          <w:kern w:val="32"/>
          <w:szCs w:val="26"/>
        </w:rPr>
        <w:t>kwalifikowalności wydatków zaplanowanych do poniesienia w</w:t>
      </w:r>
      <w:r w:rsidR="00FF7280" w:rsidRPr="005F2138">
        <w:rPr>
          <w:rStyle w:val="normaltextrun"/>
          <w:rFonts w:ascii="Lato" w:eastAsiaTheme="majorEastAsia" w:hAnsi="Lato" w:cstheme="majorBidi"/>
          <w:iCs/>
          <w:kern w:val="32"/>
          <w:szCs w:val="26"/>
        </w:rPr>
        <w:t> </w:t>
      </w:r>
      <w:r w:rsidR="000E65F0" w:rsidRPr="005F2138">
        <w:rPr>
          <w:rStyle w:val="normaltextrun"/>
          <w:rFonts w:ascii="Lato" w:eastAsiaTheme="majorEastAsia" w:hAnsi="Lato" w:cstheme="majorBidi"/>
          <w:iCs/>
          <w:kern w:val="32"/>
          <w:szCs w:val="26"/>
        </w:rPr>
        <w:t xml:space="preserve">ramach przedsięwzięcia, wskazanych we </w:t>
      </w:r>
      <w:r w:rsidR="0067200A" w:rsidRPr="005F2138">
        <w:rPr>
          <w:rStyle w:val="normaltextrun"/>
          <w:rFonts w:ascii="Lato" w:eastAsiaTheme="majorEastAsia" w:hAnsi="Lato" w:cstheme="majorBidi"/>
          <w:iCs/>
          <w:kern w:val="32"/>
          <w:szCs w:val="26"/>
        </w:rPr>
        <w:t>W</w:t>
      </w:r>
      <w:r w:rsidR="000E65F0" w:rsidRPr="005F2138">
        <w:rPr>
          <w:rStyle w:val="normaltextrun"/>
          <w:rFonts w:ascii="Lato" w:eastAsiaTheme="majorEastAsia" w:hAnsi="Lato" w:cstheme="majorBidi"/>
          <w:iCs/>
          <w:kern w:val="32"/>
          <w:szCs w:val="26"/>
        </w:rPr>
        <w:t>niosku</w:t>
      </w:r>
      <w:r w:rsidR="007C3E28" w:rsidRPr="005F2138">
        <w:rPr>
          <w:rStyle w:val="normaltextrun"/>
          <w:rFonts w:ascii="Lato" w:eastAsiaTheme="majorEastAsia" w:hAnsi="Lato" w:cstheme="majorBidi"/>
          <w:iCs/>
          <w:kern w:val="32"/>
          <w:szCs w:val="26"/>
        </w:rPr>
        <w:t xml:space="preserve">. </w:t>
      </w:r>
    </w:p>
    <w:p w14:paraId="2B7182DB" w14:textId="40C8347E" w:rsidR="00D96068" w:rsidRPr="005F2138" w:rsidRDefault="00D96068" w:rsidP="00990CE8">
      <w:pPr>
        <w:pStyle w:val="Default"/>
        <w:numPr>
          <w:ilvl w:val="0"/>
          <w:numId w:val="48"/>
        </w:numPr>
        <w:spacing w:before="120" w:after="120" w:line="360" w:lineRule="auto"/>
        <w:ind w:left="426" w:hanging="426"/>
        <w:jc w:val="both"/>
        <w:rPr>
          <w:rStyle w:val="normaltextrun"/>
          <w:rFonts w:ascii="Lato" w:eastAsia="Calibri" w:hAnsi="Lato" w:cs="Times New Roman"/>
          <w:color w:val="auto"/>
          <w:szCs w:val="22"/>
        </w:rPr>
      </w:pPr>
      <w:r w:rsidRPr="005F2138">
        <w:rPr>
          <w:rFonts w:ascii="Lato" w:hAnsi="Lato"/>
        </w:rPr>
        <w:t xml:space="preserve">Do oceny kwalifikowalności wydatków zaplanowanych we </w:t>
      </w:r>
      <w:r w:rsidR="0067200A" w:rsidRPr="005F2138">
        <w:rPr>
          <w:rFonts w:ascii="Lato" w:hAnsi="Lato"/>
        </w:rPr>
        <w:t>W</w:t>
      </w:r>
      <w:r w:rsidRPr="005F2138">
        <w:rPr>
          <w:rFonts w:ascii="Lato" w:hAnsi="Lato"/>
        </w:rPr>
        <w:t xml:space="preserve">niosku stosuje się </w:t>
      </w:r>
      <w:r w:rsidR="00C41A18" w:rsidRPr="005F2138">
        <w:rPr>
          <w:rFonts w:ascii="Lato" w:hAnsi="Lato"/>
        </w:rPr>
        <w:t xml:space="preserve">Wytyczne </w:t>
      </w:r>
      <w:r w:rsidRPr="005F2138">
        <w:rPr>
          <w:rFonts w:ascii="Lato" w:hAnsi="Lato"/>
        </w:rPr>
        <w:t>w wersji obowiązującej w dniu ogłoszenia naboru.</w:t>
      </w:r>
    </w:p>
    <w:p w14:paraId="68E6D2B4" w14:textId="1AD5F920" w:rsidR="00FF38A4" w:rsidRPr="005F2138" w:rsidRDefault="00FF38A4" w:rsidP="00990CE8">
      <w:pPr>
        <w:pStyle w:val="Akapitzlist"/>
        <w:numPr>
          <w:ilvl w:val="0"/>
          <w:numId w:val="48"/>
        </w:numPr>
        <w:spacing w:before="120" w:after="120"/>
        <w:ind w:left="426" w:hanging="426"/>
        <w:jc w:val="both"/>
        <w:rPr>
          <w:rStyle w:val="normaltextrun"/>
          <w:rFonts w:ascii="Lato" w:eastAsiaTheme="majorEastAsia" w:hAnsi="Lato" w:cstheme="majorBidi"/>
          <w:color w:val="000000"/>
          <w:kern w:val="32"/>
          <w:szCs w:val="24"/>
        </w:rPr>
      </w:pPr>
      <w:r w:rsidRPr="005F2138">
        <w:rPr>
          <w:rStyle w:val="normaltextrun"/>
          <w:rFonts w:ascii="Lato" w:eastAsiaTheme="majorEastAsia" w:hAnsi="Lato" w:cstheme="majorBidi"/>
          <w:kern w:val="32"/>
        </w:rPr>
        <w:t xml:space="preserve">Fakt, że dane przedsięwzięcie kwalifikuje się do </w:t>
      </w:r>
      <w:r w:rsidR="00896488" w:rsidRPr="005F2138">
        <w:rPr>
          <w:rStyle w:val="normaltextrun"/>
          <w:rFonts w:ascii="Lato" w:eastAsiaTheme="majorEastAsia" w:hAnsi="Lato" w:cstheme="majorBidi"/>
        </w:rPr>
        <w:t xml:space="preserve">objęcia wsparciem </w:t>
      </w:r>
      <w:r w:rsidRPr="005F2138">
        <w:rPr>
          <w:rStyle w:val="normaltextrun"/>
          <w:rFonts w:ascii="Lato" w:eastAsiaTheme="majorEastAsia" w:hAnsi="Lato" w:cstheme="majorBidi"/>
          <w:kern w:val="32"/>
        </w:rPr>
        <w:t xml:space="preserve">w ramach KPO nie oznacza, że wszystkie wydatki poniesione podczas jego realizacji </w:t>
      </w:r>
      <w:r w:rsidR="00987694" w:rsidRPr="005F2138">
        <w:rPr>
          <w:rStyle w:val="normaltextrun"/>
          <w:rFonts w:ascii="Lato" w:eastAsiaTheme="majorEastAsia" w:hAnsi="Lato" w:cstheme="majorBidi"/>
          <w:kern w:val="32"/>
        </w:rPr>
        <w:t xml:space="preserve">zostaną </w:t>
      </w:r>
      <w:r w:rsidRPr="005F2138">
        <w:rPr>
          <w:rStyle w:val="normaltextrun"/>
          <w:rFonts w:ascii="Lato" w:eastAsiaTheme="majorEastAsia" w:hAnsi="Lato" w:cstheme="majorBidi"/>
          <w:kern w:val="32"/>
        </w:rPr>
        <w:t>uzna</w:t>
      </w:r>
      <w:r w:rsidR="00987694" w:rsidRPr="005F2138">
        <w:rPr>
          <w:rStyle w:val="normaltextrun"/>
          <w:rFonts w:ascii="Lato" w:eastAsiaTheme="majorEastAsia" w:hAnsi="Lato" w:cstheme="majorBidi"/>
          <w:kern w:val="32"/>
        </w:rPr>
        <w:t>ne</w:t>
      </w:r>
      <w:r w:rsidRPr="005F2138">
        <w:rPr>
          <w:rStyle w:val="normaltextrun"/>
          <w:rFonts w:ascii="Lato" w:eastAsiaTheme="majorEastAsia" w:hAnsi="Lato" w:cstheme="majorBidi"/>
          <w:kern w:val="32"/>
        </w:rPr>
        <w:t xml:space="preserve"> za kwalifikowalne.</w:t>
      </w:r>
    </w:p>
    <w:p w14:paraId="496ED20F" w14:textId="1093E184" w:rsidR="008978B4" w:rsidRPr="005F2138" w:rsidRDefault="00896488" w:rsidP="00990CE8">
      <w:pPr>
        <w:pStyle w:val="Akapitzlist"/>
        <w:numPr>
          <w:ilvl w:val="0"/>
          <w:numId w:val="48"/>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Wsparcia </w:t>
      </w:r>
      <w:r w:rsidR="008978B4" w:rsidRPr="005F2138">
        <w:rPr>
          <w:rStyle w:val="normaltextrun"/>
          <w:rFonts w:ascii="Lato" w:eastAsiaTheme="majorEastAsia" w:hAnsi="Lato" w:cstheme="majorBidi"/>
          <w:iCs/>
          <w:kern w:val="32"/>
          <w:szCs w:val="26"/>
        </w:rPr>
        <w:t>nie może uzyskać przedsięwzięcie, które zostało w pełni wdrożone (w</w:t>
      </w:r>
      <w:r w:rsidR="00153E0A" w:rsidRPr="005F2138">
        <w:rPr>
          <w:rStyle w:val="normaltextrun"/>
          <w:rFonts w:ascii="Lato" w:eastAsiaTheme="majorEastAsia" w:hAnsi="Lato" w:cstheme="majorBidi"/>
          <w:iCs/>
          <w:kern w:val="32"/>
          <w:szCs w:val="26"/>
        </w:rPr>
        <w:t> </w:t>
      </w:r>
      <w:r w:rsidR="008978B4" w:rsidRPr="005F2138">
        <w:rPr>
          <w:rStyle w:val="normaltextrun"/>
          <w:rFonts w:ascii="Lato" w:eastAsiaTheme="majorEastAsia" w:hAnsi="Lato" w:cstheme="majorBidi"/>
          <w:iCs/>
          <w:kern w:val="32"/>
          <w:szCs w:val="26"/>
        </w:rPr>
        <w:t>przypadku dostaw</w:t>
      </w:r>
      <w:r w:rsidR="0067200A" w:rsidRPr="005F2138">
        <w:rPr>
          <w:rStyle w:val="normaltextrun"/>
          <w:rFonts w:ascii="Lato" w:eastAsiaTheme="majorEastAsia" w:hAnsi="Lato" w:cstheme="majorBidi"/>
          <w:iCs/>
          <w:kern w:val="32"/>
          <w:szCs w:val="26"/>
        </w:rPr>
        <w:t>,</w:t>
      </w:r>
      <w:r w:rsidR="008978B4" w:rsidRPr="005F2138">
        <w:rPr>
          <w:rStyle w:val="normaltextrun"/>
          <w:rFonts w:ascii="Lato" w:eastAsiaTheme="majorEastAsia" w:hAnsi="Lato" w:cstheme="majorBidi"/>
          <w:iCs/>
          <w:kern w:val="32"/>
          <w:szCs w:val="26"/>
        </w:rPr>
        <w:t xml:space="preserve"> usług</w:t>
      </w:r>
      <w:r w:rsidR="0067200A" w:rsidRPr="005F2138">
        <w:rPr>
          <w:rStyle w:val="normaltextrun"/>
          <w:rFonts w:ascii="Lato" w:eastAsiaTheme="majorEastAsia" w:hAnsi="Lato" w:cstheme="majorBidi"/>
          <w:iCs/>
          <w:kern w:val="32"/>
          <w:szCs w:val="26"/>
        </w:rPr>
        <w:t xml:space="preserve"> i robót budowlanych</w:t>
      </w:r>
      <w:r w:rsidR="008978B4" w:rsidRPr="005F2138">
        <w:rPr>
          <w:rStyle w:val="normaltextrun"/>
          <w:rFonts w:ascii="Lato" w:eastAsiaTheme="majorEastAsia" w:hAnsi="Lato" w:cstheme="majorBidi"/>
          <w:iCs/>
          <w:kern w:val="32"/>
          <w:szCs w:val="26"/>
        </w:rPr>
        <w:t xml:space="preserve">) przed przedłożeniem </w:t>
      </w:r>
      <w:r w:rsidR="0067200A" w:rsidRPr="005F2138">
        <w:rPr>
          <w:rStyle w:val="normaltextrun"/>
          <w:rFonts w:ascii="Lato" w:eastAsiaTheme="majorEastAsia" w:hAnsi="Lato" w:cstheme="majorBidi"/>
          <w:iCs/>
          <w:kern w:val="32"/>
          <w:szCs w:val="26"/>
        </w:rPr>
        <w:t>W</w:t>
      </w:r>
      <w:r w:rsidR="008978B4" w:rsidRPr="005F2138">
        <w:rPr>
          <w:rStyle w:val="normaltextrun"/>
          <w:rFonts w:ascii="Lato" w:eastAsiaTheme="majorEastAsia" w:hAnsi="Lato" w:cstheme="majorBidi"/>
          <w:iCs/>
          <w:kern w:val="32"/>
          <w:szCs w:val="26"/>
        </w:rPr>
        <w:t>niosku, niezależnie od tego, czy wszystkie dotyczące tego przedsięwzięcia płatnośc</w:t>
      </w:r>
      <w:r w:rsidR="002D42C7" w:rsidRPr="005F2138">
        <w:rPr>
          <w:rStyle w:val="normaltextrun"/>
          <w:rFonts w:ascii="Lato" w:eastAsiaTheme="majorEastAsia" w:hAnsi="Lato" w:cstheme="majorBidi"/>
          <w:iCs/>
          <w:kern w:val="32"/>
          <w:szCs w:val="26"/>
        </w:rPr>
        <w:t>i</w:t>
      </w:r>
      <w:r w:rsidR="008978B4" w:rsidRPr="005F2138">
        <w:rPr>
          <w:rStyle w:val="normaltextrun"/>
          <w:rFonts w:ascii="Lato" w:eastAsiaTheme="majorEastAsia" w:hAnsi="Lato" w:cstheme="majorBidi"/>
          <w:iCs/>
          <w:kern w:val="32"/>
          <w:szCs w:val="26"/>
        </w:rPr>
        <w:t xml:space="preserve"> zostały przez OOW dokonane – z zastrzeżeniem zasad określonych dla pomocy publicznej. Przez przedsięwzięcie w pełni wdrożone należy rozumieć przedsięwzięcie, dla</w:t>
      </w:r>
      <w:r w:rsidR="00610CA3">
        <w:rPr>
          <w:rStyle w:val="normaltextrun"/>
          <w:rFonts w:ascii="Lato" w:eastAsiaTheme="majorEastAsia" w:hAnsi="Lato" w:cstheme="majorBidi"/>
          <w:iCs/>
          <w:kern w:val="32"/>
          <w:szCs w:val="26"/>
        </w:rPr>
        <w:t> </w:t>
      </w:r>
      <w:r w:rsidR="008978B4" w:rsidRPr="005F2138">
        <w:rPr>
          <w:rStyle w:val="normaltextrun"/>
          <w:rFonts w:ascii="Lato" w:eastAsiaTheme="majorEastAsia" w:hAnsi="Lato" w:cstheme="majorBidi"/>
          <w:iCs/>
          <w:kern w:val="32"/>
          <w:szCs w:val="26"/>
        </w:rPr>
        <w:t xml:space="preserve">którego przed dniem złożenia </w:t>
      </w:r>
      <w:r w:rsidR="0067200A" w:rsidRPr="005F2138">
        <w:rPr>
          <w:rStyle w:val="normaltextrun"/>
          <w:rFonts w:ascii="Lato" w:eastAsiaTheme="majorEastAsia" w:hAnsi="Lato" w:cstheme="majorBidi"/>
          <w:iCs/>
          <w:kern w:val="32"/>
          <w:szCs w:val="26"/>
        </w:rPr>
        <w:t>W</w:t>
      </w:r>
      <w:r w:rsidR="008978B4" w:rsidRPr="005F2138">
        <w:rPr>
          <w:rStyle w:val="normaltextrun"/>
          <w:rFonts w:ascii="Lato" w:eastAsiaTheme="majorEastAsia" w:hAnsi="Lato" w:cstheme="majorBidi"/>
          <w:iCs/>
          <w:kern w:val="32"/>
          <w:szCs w:val="26"/>
        </w:rPr>
        <w:t>niosku nastąpił odbiór ostatnich dostaw</w:t>
      </w:r>
      <w:r w:rsidR="00EF4426" w:rsidRPr="005F2138">
        <w:rPr>
          <w:rStyle w:val="normaltextrun"/>
          <w:rFonts w:ascii="Lato" w:eastAsiaTheme="majorEastAsia" w:hAnsi="Lato" w:cstheme="majorBidi"/>
          <w:iCs/>
          <w:kern w:val="32"/>
          <w:szCs w:val="26"/>
        </w:rPr>
        <w:t>,</w:t>
      </w:r>
      <w:r w:rsidR="008978B4" w:rsidRPr="005F2138">
        <w:rPr>
          <w:rStyle w:val="normaltextrun"/>
          <w:rFonts w:ascii="Lato" w:eastAsiaTheme="majorEastAsia" w:hAnsi="Lato" w:cstheme="majorBidi"/>
          <w:iCs/>
          <w:kern w:val="32"/>
          <w:szCs w:val="26"/>
        </w:rPr>
        <w:t xml:space="preserve"> usłu</w:t>
      </w:r>
      <w:r w:rsidR="00B818E9" w:rsidRPr="005F2138">
        <w:rPr>
          <w:rStyle w:val="normaltextrun"/>
          <w:rFonts w:ascii="Lato" w:eastAsiaTheme="majorEastAsia" w:hAnsi="Lato" w:cstheme="majorBidi"/>
          <w:iCs/>
          <w:kern w:val="32"/>
          <w:szCs w:val="26"/>
        </w:rPr>
        <w:t>g</w:t>
      </w:r>
      <w:r w:rsidR="00EF4426" w:rsidRPr="005F2138">
        <w:rPr>
          <w:rStyle w:val="normaltextrun"/>
          <w:rFonts w:ascii="Lato" w:eastAsiaTheme="majorEastAsia" w:hAnsi="Lato" w:cstheme="majorBidi"/>
          <w:iCs/>
          <w:kern w:val="32"/>
          <w:szCs w:val="26"/>
        </w:rPr>
        <w:t xml:space="preserve"> i</w:t>
      </w:r>
      <w:r w:rsidR="008D523C">
        <w:rPr>
          <w:rStyle w:val="normaltextrun"/>
          <w:rFonts w:ascii="Lato" w:eastAsiaTheme="majorEastAsia" w:hAnsi="Lato" w:cstheme="majorBidi"/>
          <w:iCs/>
          <w:kern w:val="32"/>
          <w:szCs w:val="26"/>
        </w:rPr>
        <w:t> </w:t>
      </w:r>
      <w:r w:rsidR="00EF4426" w:rsidRPr="005F2138">
        <w:rPr>
          <w:rStyle w:val="normaltextrun"/>
          <w:rFonts w:ascii="Lato" w:eastAsiaTheme="majorEastAsia" w:hAnsi="Lato" w:cstheme="majorBidi"/>
          <w:iCs/>
          <w:kern w:val="32"/>
          <w:szCs w:val="26"/>
        </w:rPr>
        <w:t>robót budowlanych</w:t>
      </w:r>
      <w:r w:rsidR="008978B4" w:rsidRPr="005F2138">
        <w:rPr>
          <w:rStyle w:val="normaltextrun"/>
          <w:rFonts w:ascii="Lato" w:eastAsiaTheme="majorEastAsia" w:hAnsi="Lato" w:cstheme="majorBidi"/>
          <w:iCs/>
          <w:kern w:val="32"/>
          <w:szCs w:val="26"/>
        </w:rPr>
        <w:t xml:space="preserve"> przewidzianych do realizacji w jego zakresie rzeczowym. </w:t>
      </w:r>
    </w:p>
    <w:p w14:paraId="257CBC5C" w14:textId="282CA9C6" w:rsidR="00335AD4" w:rsidRPr="00990CE8" w:rsidRDefault="00814A8C" w:rsidP="00990CE8">
      <w:pPr>
        <w:pStyle w:val="Nagwek2"/>
        <w:spacing w:before="120" w:after="120"/>
        <w:rPr>
          <w:rFonts w:ascii="Lato" w:hAnsi="Lato"/>
        </w:rPr>
      </w:pPr>
      <w:bookmarkStart w:id="7" w:name="_Toc181699362"/>
      <w:r w:rsidRPr="00990CE8">
        <w:rPr>
          <w:rFonts w:ascii="Lato" w:hAnsi="Lato"/>
        </w:rPr>
        <w:lastRenderedPageBreak/>
        <w:t>3</w:t>
      </w:r>
      <w:r w:rsidR="00335AD4" w:rsidRPr="00990CE8">
        <w:rPr>
          <w:rFonts w:ascii="Lato" w:hAnsi="Lato"/>
        </w:rPr>
        <w:t>.2 Ramy czasowe kwalifikowalności</w:t>
      </w:r>
      <w:bookmarkEnd w:id="7"/>
    </w:p>
    <w:p w14:paraId="7924AC60" w14:textId="0FEBA116" w:rsidR="00477B5F" w:rsidRPr="00990CE8" w:rsidRDefault="00477B5F" w:rsidP="00990CE8">
      <w:pPr>
        <w:pStyle w:val="Akapitzlist"/>
        <w:numPr>
          <w:ilvl w:val="0"/>
          <w:numId w:val="49"/>
        </w:numPr>
        <w:spacing w:before="120" w:after="120"/>
        <w:ind w:left="426" w:hanging="426"/>
        <w:jc w:val="both"/>
        <w:rPr>
          <w:rStyle w:val="normaltextrun"/>
          <w:rFonts w:ascii="Lato" w:eastAsiaTheme="majorEastAsia" w:hAnsi="Lato" w:cstheme="majorBidi"/>
          <w:kern w:val="32"/>
          <w:szCs w:val="26"/>
        </w:rPr>
      </w:pPr>
      <w:r w:rsidRPr="00990CE8">
        <w:rPr>
          <w:rStyle w:val="normaltextrun"/>
          <w:rFonts w:ascii="Lato" w:eastAsiaTheme="majorEastAsia" w:hAnsi="Lato" w:cstheme="majorBidi"/>
          <w:kern w:val="32"/>
        </w:rPr>
        <w:t>Początkiem okresu kwalifikowalności wydatków jest 1 lutego 2020 r.</w:t>
      </w:r>
      <w:r w:rsidR="00153E0A" w:rsidRPr="00990CE8">
        <w:rPr>
          <w:rStyle w:val="normaltextrun"/>
          <w:rFonts w:ascii="Lato" w:eastAsiaTheme="majorEastAsia" w:hAnsi="Lato" w:cstheme="majorBidi"/>
          <w:kern w:val="32"/>
        </w:rPr>
        <w:t xml:space="preserve"> W </w:t>
      </w:r>
      <w:r w:rsidR="006B65A1" w:rsidRPr="00990CE8">
        <w:rPr>
          <w:rStyle w:val="normaltextrun"/>
          <w:rFonts w:ascii="Lato" w:eastAsiaTheme="majorEastAsia" w:hAnsi="Lato" w:cstheme="majorBidi"/>
          <w:kern w:val="32"/>
        </w:rPr>
        <w:t xml:space="preserve">przypadku </w:t>
      </w:r>
      <w:r w:rsidR="002D42C7" w:rsidRPr="00990CE8">
        <w:rPr>
          <w:rStyle w:val="normaltextrun"/>
          <w:rFonts w:ascii="Lato" w:eastAsiaTheme="majorEastAsia" w:hAnsi="Lato" w:cstheme="majorBidi"/>
          <w:kern w:val="32"/>
        </w:rPr>
        <w:t>przedsięwzięć</w:t>
      </w:r>
      <w:r w:rsidR="006B65A1" w:rsidRPr="00990CE8">
        <w:rPr>
          <w:rStyle w:val="normaltextrun"/>
          <w:rFonts w:ascii="Lato" w:eastAsiaTheme="majorEastAsia" w:hAnsi="Lato" w:cstheme="majorBidi"/>
          <w:kern w:val="32"/>
        </w:rPr>
        <w:t xml:space="preserve"> rozpoczętych przed początkową datą kwalifikowalności wydatków, </w:t>
      </w:r>
      <w:r w:rsidR="00473FBD" w:rsidRPr="00990CE8">
        <w:rPr>
          <w:rStyle w:val="normaltextrun"/>
          <w:rFonts w:ascii="Lato" w:eastAsiaTheme="majorEastAsia" w:hAnsi="Lato" w:cstheme="majorBidi"/>
          <w:kern w:val="32"/>
        </w:rPr>
        <w:t>kwalifikowa</w:t>
      </w:r>
      <w:r w:rsidR="00F57356" w:rsidRPr="00990CE8">
        <w:rPr>
          <w:rStyle w:val="normaltextrun"/>
          <w:rFonts w:ascii="Lato" w:eastAsiaTheme="majorEastAsia" w:hAnsi="Lato" w:cstheme="majorBidi"/>
          <w:kern w:val="32"/>
        </w:rPr>
        <w:t>l</w:t>
      </w:r>
      <w:r w:rsidR="00473FBD" w:rsidRPr="00990CE8">
        <w:rPr>
          <w:rStyle w:val="normaltextrun"/>
          <w:rFonts w:ascii="Lato" w:eastAsiaTheme="majorEastAsia" w:hAnsi="Lato" w:cstheme="majorBidi"/>
          <w:kern w:val="32"/>
        </w:rPr>
        <w:t>ne są</w:t>
      </w:r>
      <w:r w:rsidR="006B65A1" w:rsidRPr="00990CE8">
        <w:rPr>
          <w:rStyle w:val="normaltextrun"/>
          <w:rFonts w:ascii="Lato" w:eastAsiaTheme="majorEastAsia" w:hAnsi="Lato" w:cstheme="majorBidi"/>
          <w:kern w:val="32"/>
        </w:rPr>
        <w:t xml:space="preserve"> jedynie wydatki faktycznie poniesione od tej daty. Wydatki poniesione wcześniej nie stanowią wydatku kwalifikowalnego.</w:t>
      </w:r>
    </w:p>
    <w:p w14:paraId="0EF5D5F0" w14:textId="64C5D084" w:rsidR="00477B5F" w:rsidRPr="00990CE8" w:rsidRDefault="00477B5F" w:rsidP="00990CE8">
      <w:pPr>
        <w:pStyle w:val="Akapitzlist"/>
        <w:numPr>
          <w:ilvl w:val="0"/>
          <w:numId w:val="49"/>
        </w:numPr>
        <w:spacing w:before="120" w:after="120"/>
        <w:ind w:left="426" w:hanging="426"/>
        <w:jc w:val="both"/>
        <w:rPr>
          <w:rStyle w:val="normaltextrun"/>
          <w:rFonts w:ascii="Lato" w:eastAsiaTheme="majorEastAsia" w:hAnsi="Lato" w:cstheme="majorBidi"/>
          <w:kern w:val="32"/>
        </w:rPr>
      </w:pPr>
      <w:r w:rsidRPr="00990CE8">
        <w:rPr>
          <w:rStyle w:val="normaltextrun"/>
          <w:rFonts w:ascii="Lato" w:eastAsiaTheme="majorEastAsia" w:hAnsi="Lato" w:cstheme="majorBidi"/>
          <w:kern w:val="32"/>
        </w:rPr>
        <w:t xml:space="preserve">Końcową datą kwalifikowalności wydatków jest </w:t>
      </w:r>
      <w:r w:rsidR="0016712C">
        <w:rPr>
          <w:rStyle w:val="normaltextrun"/>
          <w:rFonts w:ascii="Lato" w:eastAsiaTheme="majorEastAsia" w:hAnsi="Lato" w:cstheme="majorBidi"/>
          <w:kern w:val="32"/>
        </w:rPr>
        <w:t xml:space="preserve">31 sierpnia </w:t>
      </w:r>
      <w:r w:rsidRPr="00990CE8">
        <w:rPr>
          <w:rStyle w:val="normaltextrun"/>
          <w:rFonts w:ascii="Lato" w:eastAsiaTheme="majorEastAsia" w:hAnsi="Lato" w:cstheme="majorBidi"/>
          <w:kern w:val="32"/>
        </w:rPr>
        <w:t>2026 r.</w:t>
      </w:r>
    </w:p>
    <w:p w14:paraId="081D23CB" w14:textId="62BA5BEA" w:rsidR="00477B5F" w:rsidRPr="00990CE8" w:rsidRDefault="00477B5F" w:rsidP="00990CE8">
      <w:pPr>
        <w:pStyle w:val="Akapitzlist"/>
        <w:numPr>
          <w:ilvl w:val="0"/>
          <w:numId w:val="49"/>
        </w:numPr>
        <w:spacing w:before="120" w:after="120"/>
        <w:ind w:left="426" w:hanging="426"/>
        <w:jc w:val="both"/>
        <w:rPr>
          <w:rStyle w:val="normaltextrun"/>
          <w:rFonts w:ascii="Lato" w:eastAsiaTheme="majorEastAsia" w:hAnsi="Lato" w:cstheme="majorBidi"/>
          <w:kern w:val="32"/>
        </w:rPr>
      </w:pPr>
      <w:r w:rsidRPr="00990CE8">
        <w:rPr>
          <w:rStyle w:val="normaltextrun"/>
          <w:rFonts w:ascii="Lato" w:eastAsiaTheme="majorEastAsia" w:hAnsi="Lato" w:cstheme="majorBidi"/>
          <w:kern w:val="32"/>
        </w:rPr>
        <w:t xml:space="preserve">Okres kwalifikowalności wydatków w ramach danego przedsięwzięcia określony jest w </w:t>
      </w:r>
      <w:r w:rsidR="00F77DD5" w:rsidRPr="00990CE8">
        <w:rPr>
          <w:rStyle w:val="normaltextrun"/>
          <w:rFonts w:ascii="Lato" w:eastAsiaTheme="majorEastAsia" w:hAnsi="Lato" w:cstheme="majorBidi"/>
          <w:kern w:val="32"/>
        </w:rPr>
        <w:t>P</w:t>
      </w:r>
      <w:r w:rsidR="00987694" w:rsidRPr="00990CE8">
        <w:rPr>
          <w:rStyle w:val="normaltextrun"/>
          <w:rFonts w:ascii="Lato" w:eastAsiaTheme="majorEastAsia" w:hAnsi="Lato" w:cstheme="majorBidi"/>
          <w:kern w:val="32"/>
        </w:rPr>
        <w:t>orozumieniu</w:t>
      </w:r>
      <w:r w:rsidRPr="00990CE8">
        <w:rPr>
          <w:rStyle w:val="normaltextrun"/>
          <w:rFonts w:ascii="Lato" w:eastAsiaTheme="majorEastAsia" w:hAnsi="Lato" w:cstheme="majorBidi"/>
          <w:kern w:val="32"/>
        </w:rPr>
        <w:t xml:space="preserve">, przy czym okres ten nie może wykraczać poza daty graniczne określone w </w:t>
      </w:r>
      <w:r w:rsidR="00492B74" w:rsidRPr="00990CE8">
        <w:rPr>
          <w:rStyle w:val="normaltextrun"/>
          <w:rFonts w:ascii="Lato" w:eastAsiaTheme="majorEastAsia" w:hAnsi="Lato" w:cstheme="majorBidi"/>
          <w:kern w:val="32"/>
        </w:rPr>
        <w:t>ust.</w:t>
      </w:r>
      <w:r w:rsidRPr="00990CE8">
        <w:rPr>
          <w:rStyle w:val="normaltextrun"/>
          <w:rFonts w:ascii="Lato" w:eastAsiaTheme="majorEastAsia" w:hAnsi="Lato" w:cstheme="majorBidi"/>
          <w:kern w:val="32"/>
        </w:rPr>
        <w:t xml:space="preserve"> 1 – 2.</w:t>
      </w:r>
    </w:p>
    <w:p w14:paraId="60F2E0C9" w14:textId="143F3B0E" w:rsidR="00477B5F" w:rsidRPr="005F2138" w:rsidRDefault="00477B5F" w:rsidP="00990CE8">
      <w:pPr>
        <w:pStyle w:val="Akapitzlist"/>
        <w:numPr>
          <w:ilvl w:val="0"/>
          <w:numId w:val="49"/>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Okres kwalifikowalności wydatków w ramach przedsięwzięcia może przypadać na okres przed podpisaniem </w:t>
      </w:r>
      <w:r w:rsidR="00F77DD5" w:rsidRPr="005F2138">
        <w:rPr>
          <w:rStyle w:val="normaltextrun"/>
          <w:rFonts w:ascii="Lato" w:eastAsiaTheme="majorEastAsia" w:hAnsi="Lato" w:cstheme="majorBidi"/>
          <w:iCs/>
          <w:kern w:val="32"/>
          <w:szCs w:val="26"/>
        </w:rPr>
        <w:t>P</w:t>
      </w:r>
      <w:r w:rsidR="00987694" w:rsidRPr="005F2138">
        <w:rPr>
          <w:rStyle w:val="normaltextrun"/>
          <w:rFonts w:ascii="Lato" w:eastAsiaTheme="majorEastAsia" w:hAnsi="Lato" w:cstheme="majorBidi"/>
          <w:iCs/>
          <w:kern w:val="32"/>
          <w:szCs w:val="26"/>
        </w:rPr>
        <w:t>orozumienia</w:t>
      </w:r>
      <w:r w:rsidRPr="005F2138">
        <w:rPr>
          <w:rStyle w:val="normaltextrun"/>
          <w:rFonts w:ascii="Lato" w:eastAsiaTheme="majorEastAsia" w:hAnsi="Lato" w:cstheme="majorBidi"/>
          <w:iCs/>
          <w:kern w:val="32"/>
          <w:szCs w:val="26"/>
        </w:rPr>
        <w:t xml:space="preserve">, jednak nie wcześniej niż wskazuje data określona w </w:t>
      </w:r>
      <w:r w:rsidR="00492B74" w:rsidRPr="005F2138">
        <w:rPr>
          <w:rStyle w:val="normaltextrun"/>
          <w:rFonts w:ascii="Lato" w:eastAsiaTheme="majorEastAsia" w:hAnsi="Lato" w:cstheme="majorBidi"/>
          <w:iCs/>
          <w:kern w:val="32"/>
          <w:szCs w:val="26"/>
        </w:rPr>
        <w:t>ust.</w:t>
      </w:r>
      <w:r w:rsidRPr="005F2138">
        <w:rPr>
          <w:rStyle w:val="normaltextrun"/>
          <w:rFonts w:ascii="Lato" w:eastAsiaTheme="majorEastAsia" w:hAnsi="Lato" w:cstheme="majorBidi"/>
          <w:iCs/>
          <w:kern w:val="32"/>
          <w:szCs w:val="26"/>
        </w:rPr>
        <w:t xml:space="preserve"> 1. </w:t>
      </w:r>
      <w:r w:rsidR="000C508C" w:rsidRPr="005F2138">
        <w:rPr>
          <w:rStyle w:val="normaltextrun"/>
          <w:rFonts w:ascii="Lato" w:eastAsiaTheme="majorEastAsia" w:hAnsi="Lato" w:cstheme="majorBidi"/>
          <w:iCs/>
          <w:kern w:val="32"/>
          <w:szCs w:val="26"/>
        </w:rPr>
        <w:t xml:space="preserve">Wydatki poniesione przed podpisaniem </w:t>
      </w:r>
      <w:r w:rsidR="00F77DD5" w:rsidRPr="005F2138">
        <w:rPr>
          <w:rStyle w:val="normaltextrun"/>
          <w:rFonts w:ascii="Lato" w:eastAsiaTheme="majorEastAsia" w:hAnsi="Lato" w:cstheme="majorBidi"/>
          <w:iCs/>
          <w:kern w:val="32"/>
          <w:szCs w:val="26"/>
        </w:rPr>
        <w:t>P</w:t>
      </w:r>
      <w:r w:rsidR="000C508C" w:rsidRPr="005F2138">
        <w:rPr>
          <w:rStyle w:val="normaltextrun"/>
          <w:rFonts w:ascii="Lato" w:eastAsiaTheme="majorEastAsia" w:hAnsi="Lato" w:cstheme="majorBidi"/>
          <w:iCs/>
          <w:kern w:val="32"/>
          <w:szCs w:val="26"/>
        </w:rPr>
        <w:t>orozumienia mogą zostać uznane za kwalifikowalne</w:t>
      </w:r>
      <w:r w:rsidR="00EF6A81" w:rsidRPr="005F2138">
        <w:rPr>
          <w:rStyle w:val="normaltextrun"/>
          <w:rFonts w:ascii="Lato" w:eastAsiaTheme="majorEastAsia" w:hAnsi="Lato" w:cstheme="majorBidi"/>
          <w:iCs/>
          <w:kern w:val="32"/>
          <w:szCs w:val="26"/>
        </w:rPr>
        <w:t xml:space="preserve"> </w:t>
      </w:r>
      <w:r w:rsidR="000C508C" w:rsidRPr="005F2138">
        <w:rPr>
          <w:rStyle w:val="normaltextrun"/>
          <w:rFonts w:ascii="Lato" w:eastAsiaTheme="majorEastAsia" w:hAnsi="Lato" w:cstheme="majorBidi"/>
          <w:iCs/>
          <w:kern w:val="32"/>
          <w:szCs w:val="26"/>
        </w:rPr>
        <w:t>wyłącznie w</w:t>
      </w:r>
      <w:r w:rsidR="00153E0A" w:rsidRPr="005F2138">
        <w:rPr>
          <w:rStyle w:val="normaltextrun"/>
          <w:rFonts w:ascii="Lato" w:eastAsiaTheme="majorEastAsia" w:hAnsi="Lato" w:cstheme="majorBidi"/>
          <w:iCs/>
          <w:kern w:val="32"/>
          <w:szCs w:val="26"/>
        </w:rPr>
        <w:t> </w:t>
      </w:r>
      <w:r w:rsidR="000C508C" w:rsidRPr="005F2138">
        <w:rPr>
          <w:rStyle w:val="normaltextrun"/>
          <w:rFonts w:ascii="Lato" w:eastAsiaTheme="majorEastAsia" w:hAnsi="Lato" w:cstheme="majorBidi"/>
          <w:iCs/>
          <w:kern w:val="32"/>
          <w:szCs w:val="26"/>
        </w:rPr>
        <w:t>przypadku spełnienia warunków kwalifikowalności określonych w</w:t>
      </w:r>
      <w:r w:rsidR="00153E0A" w:rsidRPr="005F2138">
        <w:rPr>
          <w:rStyle w:val="normaltextrun"/>
          <w:rFonts w:ascii="Lato" w:eastAsiaTheme="majorEastAsia" w:hAnsi="Lato" w:cstheme="majorBidi"/>
          <w:iCs/>
          <w:kern w:val="32"/>
          <w:szCs w:val="26"/>
        </w:rPr>
        <w:t> </w:t>
      </w:r>
      <w:r w:rsidR="00C41A18" w:rsidRPr="005F2138">
        <w:rPr>
          <w:rStyle w:val="normaltextrun"/>
          <w:rFonts w:ascii="Lato" w:eastAsiaTheme="majorEastAsia" w:hAnsi="Lato" w:cstheme="majorBidi"/>
          <w:iCs/>
          <w:kern w:val="32"/>
          <w:szCs w:val="26"/>
        </w:rPr>
        <w:t xml:space="preserve">Wytycznych </w:t>
      </w:r>
      <w:r w:rsidR="000C508C" w:rsidRPr="005F2138">
        <w:rPr>
          <w:rStyle w:val="normaltextrun"/>
          <w:rFonts w:ascii="Lato" w:eastAsiaTheme="majorEastAsia" w:hAnsi="Lato" w:cstheme="majorBidi"/>
          <w:iCs/>
          <w:kern w:val="32"/>
          <w:szCs w:val="26"/>
        </w:rPr>
        <w:t xml:space="preserve">i </w:t>
      </w:r>
      <w:r w:rsidR="00F77DD5" w:rsidRPr="005F2138">
        <w:rPr>
          <w:rStyle w:val="normaltextrun"/>
          <w:rFonts w:ascii="Lato" w:eastAsiaTheme="majorEastAsia" w:hAnsi="Lato" w:cstheme="majorBidi"/>
          <w:iCs/>
          <w:kern w:val="32"/>
          <w:szCs w:val="26"/>
        </w:rPr>
        <w:t>P</w:t>
      </w:r>
      <w:r w:rsidR="000C508C" w:rsidRPr="005F2138">
        <w:rPr>
          <w:rStyle w:val="normaltextrun"/>
          <w:rFonts w:ascii="Lato" w:eastAsiaTheme="majorEastAsia" w:hAnsi="Lato" w:cstheme="majorBidi"/>
          <w:iCs/>
          <w:kern w:val="32"/>
          <w:szCs w:val="26"/>
        </w:rPr>
        <w:t xml:space="preserve">orozumieniu. </w:t>
      </w:r>
      <w:r w:rsidR="00FC4E10" w:rsidRPr="005F2138">
        <w:rPr>
          <w:rStyle w:val="normaltextrun"/>
          <w:rFonts w:ascii="Lato" w:eastAsiaTheme="majorEastAsia" w:hAnsi="Lato" w:cstheme="majorBidi"/>
          <w:iCs/>
          <w:kern w:val="32"/>
          <w:szCs w:val="26"/>
        </w:rPr>
        <w:t>IOI</w:t>
      </w:r>
      <w:r w:rsidR="00511074"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może ograniczyć możliwość </w:t>
      </w:r>
      <w:r w:rsidR="00846BB9" w:rsidRPr="005F2138">
        <w:rPr>
          <w:rStyle w:val="normaltextrun"/>
          <w:rFonts w:ascii="Lato" w:eastAsiaTheme="majorEastAsia" w:hAnsi="Lato" w:cstheme="majorBidi"/>
          <w:iCs/>
          <w:kern w:val="32"/>
          <w:szCs w:val="26"/>
        </w:rPr>
        <w:t>kwalifikowalności</w:t>
      </w:r>
      <w:r w:rsidRPr="005F2138">
        <w:rPr>
          <w:rStyle w:val="normaltextrun"/>
          <w:rFonts w:ascii="Lato" w:eastAsiaTheme="majorEastAsia" w:hAnsi="Lato" w:cstheme="majorBidi"/>
          <w:iCs/>
          <w:kern w:val="32"/>
          <w:szCs w:val="26"/>
        </w:rPr>
        <w:t xml:space="preserve"> wydatków przed podpisaniem </w:t>
      </w:r>
      <w:r w:rsidR="00F77DD5" w:rsidRPr="005F2138">
        <w:rPr>
          <w:rStyle w:val="normaltextrun"/>
          <w:rFonts w:ascii="Lato" w:eastAsiaTheme="majorEastAsia" w:hAnsi="Lato" w:cstheme="majorBidi"/>
          <w:iCs/>
          <w:kern w:val="32"/>
          <w:szCs w:val="26"/>
        </w:rPr>
        <w:t>P</w:t>
      </w:r>
      <w:r w:rsidR="001E2B6F" w:rsidRPr="005F2138">
        <w:rPr>
          <w:rStyle w:val="normaltextrun"/>
          <w:rFonts w:ascii="Lato" w:eastAsiaTheme="majorEastAsia" w:hAnsi="Lato" w:cstheme="majorBidi"/>
          <w:iCs/>
          <w:kern w:val="32"/>
          <w:szCs w:val="26"/>
        </w:rPr>
        <w:t>orozumienia</w:t>
      </w:r>
      <w:r w:rsidRPr="005F2138">
        <w:rPr>
          <w:rStyle w:val="normaltextrun"/>
          <w:rFonts w:ascii="Lato" w:eastAsiaTheme="majorEastAsia" w:hAnsi="Lato" w:cstheme="majorBidi"/>
          <w:iCs/>
          <w:kern w:val="32"/>
          <w:szCs w:val="26"/>
        </w:rPr>
        <w:t>, przy</w:t>
      </w:r>
      <w:r w:rsidR="00514F9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czym ma obowiązek poinformowania o tym </w:t>
      </w:r>
      <w:r w:rsidR="00FC4E10" w:rsidRPr="005F2138">
        <w:rPr>
          <w:rStyle w:val="normaltextrun"/>
          <w:rFonts w:ascii="Lato" w:eastAsiaTheme="majorEastAsia" w:hAnsi="Lato" w:cstheme="majorBidi"/>
          <w:iCs/>
          <w:kern w:val="32"/>
          <w:szCs w:val="26"/>
        </w:rPr>
        <w:t xml:space="preserve">OOW </w:t>
      </w:r>
      <w:r w:rsidRPr="005F2138">
        <w:rPr>
          <w:rStyle w:val="normaltextrun"/>
          <w:rFonts w:ascii="Lato" w:eastAsiaTheme="majorEastAsia" w:hAnsi="Lato" w:cstheme="majorBidi"/>
          <w:iCs/>
          <w:kern w:val="32"/>
          <w:szCs w:val="26"/>
        </w:rPr>
        <w:t>odpowiednio wcześniej.</w:t>
      </w:r>
    </w:p>
    <w:p w14:paraId="33DA7134" w14:textId="3BD38B6A" w:rsidR="00477608" w:rsidRPr="005F2138" w:rsidRDefault="007A5E74" w:rsidP="00990CE8">
      <w:pPr>
        <w:pStyle w:val="Akapitzlist"/>
        <w:numPr>
          <w:ilvl w:val="0"/>
          <w:numId w:val="49"/>
        </w:numPr>
        <w:spacing w:before="120" w:after="120"/>
        <w:ind w:left="426" w:hanging="426"/>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W przypadku zmian w KPO, wydatki, które stają się kwalifikowalne dzięki zmianie KPO, </w:t>
      </w:r>
      <w:r w:rsidR="00473FBD" w:rsidRPr="005F2138">
        <w:rPr>
          <w:rStyle w:val="normaltextrun"/>
          <w:rFonts w:ascii="Lato" w:eastAsiaTheme="majorEastAsia" w:hAnsi="Lato" w:cstheme="majorBidi"/>
          <w:kern w:val="32"/>
        </w:rPr>
        <w:t xml:space="preserve">są </w:t>
      </w:r>
      <w:r w:rsidRPr="005F2138">
        <w:rPr>
          <w:rStyle w:val="normaltextrun"/>
          <w:rFonts w:ascii="Lato" w:eastAsiaTheme="majorEastAsia" w:hAnsi="Lato" w:cstheme="majorBidi"/>
          <w:kern w:val="32"/>
        </w:rPr>
        <w:t>kwalifik</w:t>
      </w:r>
      <w:r w:rsidR="00473FBD" w:rsidRPr="005F2138">
        <w:rPr>
          <w:rStyle w:val="normaltextrun"/>
          <w:rFonts w:ascii="Lato" w:eastAsiaTheme="majorEastAsia" w:hAnsi="Lato" w:cstheme="majorBidi"/>
          <w:kern w:val="32"/>
        </w:rPr>
        <w:t>owa</w:t>
      </w:r>
      <w:r w:rsidR="00F57356" w:rsidRPr="005F2138">
        <w:rPr>
          <w:rStyle w:val="normaltextrun"/>
          <w:rFonts w:ascii="Lato" w:eastAsiaTheme="majorEastAsia" w:hAnsi="Lato" w:cstheme="majorBidi"/>
          <w:kern w:val="32"/>
        </w:rPr>
        <w:t>l</w:t>
      </w:r>
      <w:r w:rsidR="00473FBD" w:rsidRPr="005F2138">
        <w:rPr>
          <w:rStyle w:val="normaltextrun"/>
          <w:rFonts w:ascii="Lato" w:eastAsiaTheme="majorEastAsia" w:hAnsi="Lato" w:cstheme="majorBidi"/>
          <w:kern w:val="32"/>
        </w:rPr>
        <w:t>ne</w:t>
      </w:r>
      <w:r w:rsidRPr="005F2138">
        <w:rPr>
          <w:rStyle w:val="normaltextrun"/>
          <w:rFonts w:ascii="Lato" w:eastAsiaTheme="majorEastAsia" w:hAnsi="Lato" w:cstheme="majorBidi"/>
          <w:kern w:val="32"/>
        </w:rPr>
        <w:t xml:space="preserve"> dopiero od daty </w:t>
      </w:r>
      <w:r w:rsidR="00B55F6D" w:rsidRPr="005F2138">
        <w:rPr>
          <w:rStyle w:val="normaltextrun"/>
          <w:rFonts w:ascii="Lato" w:eastAsiaTheme="majorEastAsia" w:hAnsi="Lato" w:cstheme="majorBidi"/>
          <w:kern w:val="32"/>
        </w:rPr>
        <w:t xml:space="preserve">zatwierdzenia przez </w:t>
      </w:r>
      <w:r w:rsidR="00775686" w:rsidRPr="005F2138">
        <w:rPr>
          <w:rStyle w:val="normaltextrun"/>
          <w:rFonts w:ascii="Lato" w:eastAsiaTheme="majorEastAsia" w:hAnsi="Lato" w:cstheme="majorBidi"/>
          <w:kern w:val="32"/>
        </w:rPr>
        <w:t>Radę UE</w:t>
      </w:r>
      <w:r w:rsidR="00E209BF" w:rsidRPr="005F2138">
        <w:rPr>
          <w:rStyle w:val="normaltextrun"/>
          <w:rFonts w:ascii="Lato" w:eastAsiaTheme="majorEastAsia" w:hAnsi="Lato" w:cstheme="majorBidi"/>
          <w:kern w:val="32"/>
        </w:rPr>
        <w:t xml:space="preserve"> </w:t>
      </w:r>
      <w:r w:rsidR="00B55F6D" w:rsidRPr="005F2138">
        <w:rPr>
          <w:rStyle w:val="normaltextrun"/>
          <w:rFonts w:ascii="Lato" w:eastAsiaTheme="majorEastAsia" w:hAnsi="Lato" w:cstheme="majorBidi"/>
          <w:kern w:val="32"/>
        </w:rPr>
        <w:t>wniosku o</w:t>
      </w:r>
      <w:r w:rsidR="008D523C">
        <w:rPr>
          <w:rStyle w:val="normaltextrun"/>
          <w:rFonts w:ascii="Lato" w:eastAsiaTheme="majorEastAsia" w:hAnsi="Lato" w:cstheme="majorBidi"/>
          <w:kern w:val="32"/>
        </w:rPr>
        <w:t> </w:t>
      </w:r>
      <w:r w:rsidR="009B7B99" w:rsidRPr="005F2138">
        <w:rPr>
          <w:rStyle w:val="normaltextrun"/>
          <w:rFonts w:ascii="Lato" w:eastAsiaTheme="majorEastAsia" w:hAnsi="Lato" w:cstheme="majorBidi"/>
          <w:kern w:val="32"/>
        </w:rPr>
        <w:t>zmianę lub zastąpienie decyzji wykonawczej Rady UE zgodnie z treścią art. 21 ust.1 w zw. z art. 20 ust.1 i 3</w:t>
      </w:r>
      <w:r w:rsidR="00B55F6D" w:rsidRPr="005F2138">
        <w:rPr>
          <w:rStyle w:val="normaltextrun"/>
          <w:rFonts w:ascii="Lato" w:eastAsiaTheme="majorEastAsia" w:hAnsi="Lato" w:cstheme="majorBidi"/>
          <w:kern w:val="32"/>
        </w:rPr>
        <w:t xml:space="preserve"> </w:t>
      </w:r>
      <w:r w:rsidR="00E7397D" w:rsidRPr="005F2138">
        <w:rPr>
          <w:rStyle w:val="normaltextrun"/>
          <w:rFonts w:ascii="Lato" w:eastAsiaTheme="majorEastAsia" w:hAnsi="Lato" w:cstheme="majorBidi"/>
          <w:kern w:val="32"/>
        </w:rPr>
        <w:t>rozporządzenia 2021/241</w:t>
      </w:r>
      <w:r w:rsidRPr="005F2138">
        <w:rPr>
          <w:rStyle w:val="normaltextrun"/>
          <w:rFonts w:ascii="Lato" w:eastAsiaTheme="majorEastAsia" w:hAnsi="Lato" w:cstheme="majorBidi"/>
          <w:kern w:val="32"/>
        </w:rPr>
        <w:t xml:space="preserve"> lub w przypadku zmiany </w:t>
      </w:r>
      <w:r w:rsidR="00B55F6D" w:rsidRPr="005F2138">
        <w:rPr>
          <w:rStyle w:val="normaltextrun"/>
          <w:rFonts w:ascii="Lato" w:eastAsiaTheme="majorEastAsia" w:hAnsi="Lato" w:cstheme="majorBidi"/>
          <w:kern w:val="32"/>
        </w:rPr>
        <w:t>poszczególnych komponentów KPO nieobjętych ww. wnioskiem</w:t>
      </w:r>
      <w:r w:rsidRPr="005F2138">
        <w:rPr>
          <w:rStyle w:val="normaltextrun"/>
          <w:rFonts w:ascii="Lato" w:eastAsiaTheme="majorEastAsia" w:hAnsi="Lato" w:cstheme="majorBidi"/>
          <w:kern w:val="32"/>
        </w:rPr>
        <w:t xml:space="preserve"> od daty wejścia w</w:t>
      </w:r>
      <w:r w:rsidR="008D523C">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 xml:space="preserve">życie decyzji </w:t>
      </w:r>
      <w:r w:rsidR="00A71A12" w:rsidRPr="005F2138">
        <w:rPr>
          <w:rStyle w:val="normaltextrun"/>
          <w:rFonts w:ascii="Lato" w:eastAsiaTheme="majorEastAsia" w:hAnsi="Lato" w:cstheme="majorBidi"/>
          <w:kern w:val="32"/>
        </w:rPr>
        <w:t xml:space="preserve">zatwierdzającej </w:t>
      </w:r>
      <w:r w:rsidRPr="005F2138">
        <w:rPr>
          <w:rStyle w:val="normaltextrun"/>
          <w:rFonts w:ascii="Lato" w:eastAsiaTheme="majorEastAsia" w:hAnsi="Lato" w:cstheme="majorBidi"/>
          <w:kern w:val="32"/>
        </w:rPr>
        <w:t xml:space="preserve">te zmiany. </w:t>
      </w:r>
    </w:p>
    <w:p w14:paraId="634D2860" w14:textId="61ED5C30" w:rsidR="00335AD4" w:rsidRPr="00990CE8" w:rsidRDefault="00814A8C" w:rsidP="00990CE8">
      <w:pPr>
        <w:pStyle w:val="Nagwek2"/>
        <w:spacing w:before="120" w:after="120"/>
        <w:rPr>
          <w:rFonts w:ascii="Lato" w:hAnsi="Lato"/>
        </w:rPr>
      </w:pPr>
      <w:bookmarkStart w:id="8" w:name="_Toc181699363"/>
      <w:r w:rsidRPr="00990CE8">
        <w:rPr>
          <w:rFonts w:ascii="Lato" w:hAnsi="Lato"/>
        </w:rPr>
        <w:t>3</w:t>
      </w:r>
      <w:r w:rsidR="00335AD4" w:rsidRPr="00990CE8">
        <w:rPr>
          <w:rFonts w:ascii="Lato" w:hAnsi="Lato"/>
        </w:rPr>
        <w:t>.3 Ocena kwalifikowalności wydatku</w:t>
      </w:r>
      <w:bookmarkEnd w:id="8"/>
    </w:p>
    <w:p w14:paraId="0CEA6683" w14:textId="1463146C" w:rsidR="009E70E1" w:rsidRPr="005F2138" w:rsidRDefault="009E70E1" w:rsidP="00990CE8">
      <w:pPr>
        <w:pStyle w:val="Default"/>
        <w:numPr>
          <w:ilvl w:val="0"/>
          <w:numId w:val="54"/>
        </w:numPr>
        <w:spacing w:before="120" w:after="120" w:line="360" w:lineRule="auto"/>
        <w:ind w:left="426" w:hanging="426"/>
        <w:jc w:val="both"/>
        <w:rPr>
          <w:rFonts w:ascii="Lato" w:hAnsi="Lato"/>
        </w:rPr>
      </w:pPr>
      <w:r w:rsidRPr="005F2138">
        <w:rPr>
          <w:rFonts w:ascii="Lato" w:hAnsi="Lato"/>
        </w:rPr>
        <w:t>Ocena kwalifikowalności wydatku polega na analizie zgodności jego poniesienia z</w:t>
      </w:r>
      <w:r w:rsidR="008D523C">
        <w:rPr>
          <w:rFonts w:ascii="Lato" w:hAnsi="Lato"/>
        </w:rPr>
        <w:t> </w:t>
      </w:r>
      <w:r w:rsidRPr="005F2138">
        <w:rPr>
          <w:rFonts w:ascii="Lato" w:hAnsi="Lato"/>
        </w:rPr>
        <w:t xml:space="preserve">obowiązującymi przepisami prawa unijnego i prawa krajowego, </w:t>
      </w:r>
      <w:r w:rsidR="00F77DD5" w:rsidRPr="005F2138">
        <w:rPr>
          <w:rFonts w:ascii="Lato" w:hAnsi="Lato"/>
        </w:rPr>
        <w:t>P</w:t>
      </w:r>
      <w:r w:rsidR="00283174" w:rsidRPr="005F2138">
        <w:rPr>
          <w:rFonts w:ascii="Lato" w:hAnsi="Lato"/>
        </w:rPr>
        <w:t xml:space="preserve">orozumieniem, </w:t>
      </w:r>
      <w:r w:rsidR="00C41A18" w:rsidRPr="005F2138">
        <w:rPr>
          <w:rFonts w:ascii="Lato" w:hAnsi="Lato"/>
        </w:rPr>
        <w:t>W</w:t>
      </w:r>
      <w:r w:rsidRPr="005F2138">
        <w:rPr>
          <w:rFonts w:ascii="Lato" w:hAnsi="Lato"/>
        </w:rPr>
        <w:t>ytycznymi</w:t>
      </w:r>
      <w:r w:rsidRPr="005F2138">
        <w:rPr>
          <w:rFonts w:ascii="Lato" w:hAnsi="Lato"/>
          <w:i/>
          <w:iCs/>
        </w:rPr>
        <w:t xml:space="preserve"> </w:t>
      </w:r>
      <w:r w:rsidRPr="005F2138">
        <w:rPr>
          <w:rFonts w:ascii="Lato" w:hAnsi="Lato"/>
        </w:rPr>
        <w:t xml:space="preserve">oraz innymi dokumentami, do których stosowania </w:t>
      </w:r>
      <w:r w:rsidR="00283174" w:rsidRPr="005F2138">
        <w:rPr>
          <w:rFonts w:ascii="Lato" w:hAnsi="Lato"/>
        </w:rPr>
        <w:t xml:space="preserve">OOW </w:t>
      </w:r>
      <w:r w:rsidRPr="005F2138">
        <w:rPr>
          <w:rFonts w:ascii="Lato" w:hAnsi="Lato"/>
        </w:rPr>
        <w:t>zobowiązał się w</w:t>
      </w:r>
      <w:r w:rsidR="00DC0BE8" w:rsidRPr="005F2138">
        <w:rPr>
          <w:rFonts w:ascii="Lato" w:hAnsi="Lato"/>
        </w:rPr>
        <w:t>e</w:t>
      </w:r>
      <w:r w:rsidRPr="005F2138">
        <w:rPr>
          <w:rFonts w:ascii="Lato" w:hAnsi="Lato"/>
        </w:rPr>
        <w:t xml:space="preserve"> </w:t>
      </w:r>
      <w:r w:rsidR="0067200A" w:rsidRPr="005F2138">
        <w:rPr>
          <w:rFonts w:ascii="Lato" w:hAnsi="Lato"/>
        </w:rPr>
        <w:t>W</w:t>
      </w:r>
      <w:r w:rsidR="00DC0BE8" w:rsidRPr="005F2138">
        <w:rPr>
          <w:rFonts w:ascii="Lato" w:hAnsi="Lato"/>
        </w:rPr>
        <w:t>niosku</w:t>
      </w:r>
      <w:r w:rsidRPr="005F2138">
        <w:rPr>
          <w:rFonts w:ascii="Lato" w:hAnsi="Lato"/>
        </w:rPr>
        <w:t xml:space="preserve">. </w:t>
      </w:r>
    </w:p>
    <w:p w14:paraId="799369BF" w14:textId="38132091" w:rsidR="009E70E1" w:rsidRPr="005F2138" w:rsidRDefault="009E70E1" w:rsidP="00990CE8">
      <w:pPr>
        <w:pStyle w:val="Default"/>
        <w:numPr>
          <w:ilvl w:val="0"/>
          <w:numId w:val="54"/>
        </w:numPr>
        <w:spacing w:before="120" w:after="120" w:line="360" w:lineRule="auto"/>
        <w:ind w:left="426" w:hanging="426"/>
        <w:jc w:val="both"/>
        <w:rPr>
          <w:rFonts w:ascii="Lato" w:hAnsi="Lato"/>
        </w:rPr>
      </w:pPr>
      <w:r w:rsidRPr="005F2138">
        <w:rPr>
          <w:rFonts w:ascii="Lato" w:hAnsi="Lato"/>
        </w:rPr>
        <w:t xml:space="preserve">Ocena kwalifikowalności poniesionego wydatku dokonywana jest przede wszystkim w trakcie realizacji </w:t>
      </w:r>
      <w:r w:rsidR="009B5137" w:rsidRPr="005F2138">
        <w:rPr>
          <w:rFonts w:ascii="Lato" w:hAnsi="Lato"/>
        </w:rPr>
        <w:t>przedsięwzięcia</w:t>
      </w:r>
      <w:r w:rsidRPr="005F2138">
        <w:rPr>
          <w:rFonts w:ascii="Lato" w:hAnsi="Lato"/>
        </w:rPr>
        <w:t xml:space="preserve"> poprzez weryfikację wniosków o</w:t>
      </w:r>
      <w:r w:rsidR="00FF7280" w:rsidRPr="005F2138">
        <w:rPr>
          <w:rFonts w:ascii="Lato" w:hAnsi="Lato"/>
        </w:rPr>
        <w:t> </w:t>
      </w:r>
      <w:r w:rsidRPr="005F2138">
        <w:rPr>
          <w:rFonts w:ascii="Lato" w:hAnsi="Lato"/>
        </w:rPr>
        <w:t>płatność oraz w trakcie kontroli</w:t>
      </w:r>
      <w:r w:rsidR="00DC0BE8" w:rsidRPr="005F2138">
        <w:rPr>
          <w:rFonts w:ascii="Lato" w:hAnsi="Lato"/>
        </w:rPr>
        <w:t xml:space="preserve"> </w:t>
      </w:r>
      <w:r w:rsidR="007C2E5D" w:rsidRPr="005F2138">
        <w:rPr>
          <w:rFonts w:ascii="Lato" w:hAnsi="Lato"/>
        </w:rPr>
        <w:t>przedsięwzięcia</w:t>
      </w:r>
      <w:r w:rsidRPr="005F2138">
        <w:rPr>
          <w:rFonts w:ascii="Lato" w:hAnsi="Lato"/>
        </w:rPr>
        <w:t xml:space="preserve">, w szczególności kontroli </w:t>
      </w:r>
      <w:r w:rsidRPr="005F2138">
        <w:rPr>
          <w:rFonts w:ascii="Lato" w:hAnsi="Lato"/>
        </w:rPr>
        <w:lastRenderedPageBreak/>
        <w:t>w</w:t>
      </w:r>
      <w:r w:rsidR="00FF7280" w:rsidRPr="005F2138">
        <w:rPr>
          <w:rFonts w:ascii="Lato" w:hAnsi="Lato"/>
        </w:rPr>
        <w:t> </w:t>
      </w:r>
      <w:r w:rsidRPr="005F2138">
        <w:rPr>
          <w:rFonts w:ascii="Lato" w:hAnsi="Lato"/>
        </w:rPr>
        <w:t xml:space="preserve">miejscu realizacji </w:t>
      </w:r>
      <w:r w:rsidR="009B5137" w:rsidRPr="005F2138">
        <w:rPr>
          <w:rFonts w:ascii="Lato" w:hAnsi="Lato"/>
        </w:rPr>
        <w:t xml:space="preserve">przedsięwzięcia </w:t>
      </w:r>
      <w:r w:rsidRPr="005F2138">
        <w:rPr>
          <w:rFonts w:ascii="Lato" w:hAnsi="Lato"/>
        </w:rPr>
        <w:t xml:space="preserve">lub siedzibie </w:t>
      </w:r>
      <w:r w:rsidR="00DC0BE8" w:rsidRPr="005F2138">
        <w:rPr>
          <w:rFonts w:ascii="Lato" w:hAnsi="Lato"/>
        </w:rPr>
        <w:t>OOW</w:t>
      </w:r>
      <w:r w:rsidRPr="005F2138">
        <w:rPr>
          <w:rFonts w:ascii="Lato" w:hAnsi="Lato"/>
        </w:rPr>
        <w:t xml:space="preserve">. Niemniej, na etapie oceny </w:t>
      </w:r>
      <w:r w:rsidR="002D42C7" w:rsidRPr="005F2138">
        <w:rPr>
          <w:rFonts w:ascii="Lato" w:hAnsi="Lato"/>
        </w:rPr>
        <w:t>w</w:t>
      </w:r>
      <w:r w:rsidRPr="005F2138">
        <w:rPr>
          <w:rFonts w:ascii="Lato" w:hAnsi="Lato"/>
        </w:rPr>
        <w:t xml:space="preserve">niosku dokonywana jest ocena kwalifikowalności planowanych wydatków. Przyjęcie danego </w:t>
      </w:r>
      <w:r w:rsidR="009B5137" w:rsidRPr="005F2138">
        <w:rPr>
          <w:rFonts w:ascii="Lato" w:hAnsi="Lato"/>
        </w:rPr>
        <w:t xml:space="preserve">przedsięwzięcia </w:t>
      </w:r>
      <w:r w:rsidRPr="005F2138">
        <w:rPr>
          <w:rFonts w:ascii="Lato" w:hAnsi="Lato"/>
        </w:rPr>
        <w:t xml:space="preserve">do realizacji i podpisanie z </w:t>
      </w:r>
      <w:r w:rsidR="00DC0BE8" w:rsidRPr="005F2138">
        <w:rPr>
          <w:rFonts w:ascii="Lato" w:hAnsi="Lato"/>
        </w:rPr>
        <w:t xml:space="preserve">OOW </w:t>
      </w:r>
      <w:r w:rsidR="00F77DD5" w:rsidRPr="005F2138">
        <w:rPr>
          <w:rFonts w:ascii="Lato" w:hAnsi="Lato"/>
        </w:rPr>
        <w:t>P</w:t>
      </w:r>
      <w:r w:rsidR="00DC0BE8" w:rsidRPr="005F2138">
        <w:rPr>
          <w:rFonts w:ascii="Lato" w:hAnsi="Lato"/>
        </w:rPr>
        <w:t xml:space="preserve">orozumienia </w:t>
      </w:r>
      <w:r w:rsidRPr="005F2138">
        <w:rPr>
          <w:rFonts w:ascii="Lato" w:hAnsi="Lato"/>
        </w:rPr>
        <w:t xml:space="preserve">nie oznacza, że wszystkie wydatki, które </w:t>
      </w:r>
      <w:r w:rsidR="00DC0BE8" w:rsidRPr="005F2138">
        <w:rPr>
          <w:rFonts w:ascii="Lato" w:hAnsi="Lato"/>
        </w:rPr>
        <w:t xml:space="preserve">OOW </w:t>
      </w:r>
      <w:r w:rsidRPr="005F2138">
        <w:rPr>
          <w:rFonts w:ascii="Lato" w:hAnsi="Lato"/>
        </w:rPr>
        <w:t>przedstawi we wniosku o płatność w</w:t>
      </w:r>
      <w:r w:rsidR="00610CA3">
        <w:rPr>
          <w:rFonts w:ascii="Lato" w:hAnsi="Lato"/>
        </w:rPr>
        <w:t> </w:t>
      </w:r>
      <w:r w:rsidRPr="005F2138">
        <w:rPr>
          <w:rFonts w:ascii="Lato" w:hAnsi="Lato"/>
        </w:rPr>
        <w:t>trakcie realizacji</w:t>
      </w:r>
      <w:r w:rsidR="00DC0BE8" w:rsidRPr="005F2138">
        <w:rPr>
          <w:rFonts w:ascii="Lato" w:hAnsi="Lato"/>
        </w:rPr>
        <w:t xml:space="preserve"> </w:t>
      </w:r>
      <w:r w:rsidR="009B5137" w:rsidRPr="005F2138">
        <w:rPr>
          <w:rFonts w:ascii="Lato" w:hAnsi="Lato"/>
        </w:rPr>
        <w:t>przedsięwzięcia</w:t>
      </w:r>
      <w:r w:rsidRPr="005F2138">
        <w:rPr>
          <w:rFonts w:ascii="Lato" w:hAnsi="Lato"/>
        </w:rPr>
        <w:t xml:space="preserve">, zostaną </w:t>
      </w:r>
      <w:r w:rsidR="00D96068" w:rsidRPr="005F2138">
        <w:rPr>
          <w:rFonts w:ascii="Lato" w:hAnsi="Lato"/>
        </w:rPr>
        <w:t>uznane za kwalifikowalne</w:t>
      </w:r>
      <w:r w:rsidRPr="005F2138">
        <w:rPr>
          <w:rFonts w:ascii="Lato" w:hAnsi="Lato"/>
        </w:rPr>
        <w:t xml:space="preserve">. Ocena kwalifikowalności poniesionych wydatków jest prowadzona także po zakończeniu realizacji </w:t>
      </w:r>
      <w:r w:rsidR="009B5137" w:rsidRPr="005F2138">
        <w:rPr>
          <w:rFonts w:ascii="Lato" w:hAnsi="Lato"/>
        </w:rPr>
        <w:t>przedsięwzięcia</w:t>
      </w:r>
      <w:r w:rsidR="00D96068" w:rsidRPr="005F2138">
        <w:rPr>
          <w:rFonts w:ascii="Lato" w:hAnsi="Lato"/>
        </w:rPr>
        <w:t>,</w:t>
      </w:r>
      <w:r w:rsidR="009B5137" w:rsidRPr="005F2138">
        <w:rPr>
          <w:rFonts w:ascii="Lato" w:hAnsi="Lato"/>
        </w:rPr>
        <w:t xml:space="preserve"> </w:t>
      </w:r>
      <w:r w:rsidRPr="005F2138">
        <w:rPr>
          <w:rFonts w:ascii="Lato" w:hAnsi="Lato"/>
        </w:rPr>
        <w:t xml:space="preserve">w zakresie obowiązków nałożonych na </w:t>
      </w:r>
      <w:r w:rsidR="00DC0BE8" w:rsidRPr="005F2138">
        <w:rPr>
          <w:rFonts w:ascii="Lato" w:hAnsi="Lato"/>
        </w:rPr>
        <w:t xml:space="preserve">OOW </w:t>
      </w:r>
      <w:r w:rsidR="00F77DD5" w:rsidRPr="005F2138">
        <w:rPr>
          <w:rFonts w:ascii="Lato" w:hAnsi="Lato"/>
        </w:rPr>
        <w:t>P</w:t>
      </w:r>
      <w:r w:rsidR="00DC0BE8" w:rsidRPr="005F2138">
        <w:rPr>
          <w:rFonts w:ascii="Lato" w:hAnsi="Lato"/>
        </w:rPr>
        <w:t xml:space="preserve">orozumieniem </w:t>
      </w:r>
      <w:r w:rsidRPr="005F2138">
        <w:rPr>
          <w:rFonts w:ascii="Lato" w:hAnsi="Lato"/>
        </w:rPr>
        <w:t>oraz wynikających z</w:t>
      </w:r>
      <w:r w:rsidR="00FF7280" w:rsidRPr="005F2138">
        <w:rPr>
          <w:rFonts w:ascii="Lato" w:hAnsi="Lato"/>
        </w:rPr>
        <w:t> </w:t>
      </w:r>
      <w:r w:rsidRPr="005F2138">
        <w:rPr>
          <w:rFonts w:ascii="Lato" w:hAnsi="Lato"/>
        </w:rPr>
        <w:t>przepisów prawa.</w:t>
      </w:r>
    </w:p>
    <w:p w14:paraId="1108F0B5" w14:textId="6A5697BC" w:rsidR="008978B4" w:rsidRPr="005F2138" w:rsidRDefault="008E3A9E" w:rsidP="00990CE8">
      <w:pPr>
        <w:pStyle w:val="Default"/>
        <w:numPr>
          <w:ilvl w:val="0"/>
          <w:numId w:val="54"/>
        </w:numPr>
        <w:spacing w:before="120" w:after="120" w:line="360" w:lineRule="auto"/>
        <w:ind w:left="426" w:hanging="426"/>
        <w:jc w:val="both"/>
        <w:rPr>
          <w:rFonts w:ascii="Lato" w:hAnsi="Lato"/>
        </w:rPr>
      </w:pPr>
      <w:r w:rsidRPr="005F2138">
        <w:rPr>
          <w:rFonts w:ascii="Lato" w:hAnsi="Lato"/>
        </w:rPr>
        <w:t>D</w:t>
      </w:r>
      <w:r w:rsidR="00441807" w:rsidRPr="005F2138">
        <w:rPr>
          <w:rFonts w:ascii="Lato" w:hAnsi="Lato"/>
        </w:rPr>
        <w:t xml:space="preserve">o oceny kwalifikowalności poniesionych wydatków stosuje się </w:t>
      </w:r>
      <w:r w:rsidR="00C41A18" w:rsidRPr="005F2138">
        <w:rPr>
          <w:rFonts w:ascii="Lato" w:hAnsi="Lato"/>
        </w:rPr>
        <w:t>W</w:t>
      </w:r>
      <w:r w:rsidR="00441807" w:rsidRPr="005F2138">
        <w:rPr>
          <w:rFonts w:ascii="Lato" w:hAnsi="Lato"/>
        </w:rPr>
        <w:t>ytyczne w</w:t>
      </w:r>
      <w:r w:rsidR="00FF7280" w:rsidRPr="005F2138">
        <w:rPr>
          <w:rFonts w:ascii="Lato" w:hAnsi="Lato"/>
        </w:rPr>
        <w:t> </w:t>
      </w:r>
      <w:r w:rsidR="00441807" w:rsidRPr="005F2138">
        <w:rPr>
          <w:rFonts w:ascii="Lato" w:hAnsi="Lato"/>
        </w:rPr>
        <w:t xml:space="preserve">wersji obowiązującej w dniu poniesienia wydatku. </w:t>
      </w:r>
    </w:p>
    <w:p w14:paraId="7D9F9178" w14:textId="50D53065" w:rsidR="00441807" w:rsidRPr="005F2138" w:rsidRDefault="00441807" w:rsidP="00990CE8">
      <w:pPr>
        <w:pStyle w:val="Default"/>
        <w:numPr>
          <w:ilvl w:val="0"/>
          <w:numId w:val="54"/>
        </w:numPr>
        <w:spacing w:before="120" w:after="120" w:line="360" w:lineRule="auto"/>
        <w:ind w:left="426" w:hanging="426"/>
        <w:jc w:val="both"/>
        <w:rPr>
          <w:rFonts w:ascii="Lato" w:hAnsi="Lato"/>
        </w:rPr>
      </w:pPr>
      <w:r w:rsidRPr="005F2138">
        <w:rPr>
          <w:rFonts w:ascii="Lato" w:hAnsi="Lato"/>
        </w:rPr>
        <w:t xml:space="preserve">Do oceny prawidłowości zawartych umów w ramach realizacji </w:t>
      </w:r>
      <w:r w:rsidR="003C53BA" w:rsidRPr="005F2138">
        <w:rPr>
          <w:rFonts w:ascii="Lato" w:hAnsi="Lato"/>
        </w:rPr>
        <w:t>przedsięwzięcia</w:t>
      </w:r>
      <w:r w:rsidRPr="005F2138">
        <w:rPr>
          <w:rFonts w:ascii="Lato" w:hAnsi="Lato"/>
        </w:rPr>
        <w:t xml:space="preserve"> w</w:t>
      </w:r>
      <w:r w:rsidR="00FF7280" w:rsidRPr="005F2138">
        <w:rPr>
          <w:rFonts w:ascii="Lato" w:hAnsi="Lato"/>
        </w:rPr>
        <w:t> </w:t>
      </w:r>
      <w:r w:rsidRPr="005F2138">
        <w:rPr>
          <w:rFonts w:ascii="Lato" w:hAnsi="Lato"/>
        </w:rPr>
        <w:t xml:space="preserve">wyniku przeprowadzonych postępowań, stosuje się </w:t>
      </w:r>
      <w:r w:rsidR="00C41A18" w:rsidRPr="005F2138">
        <w:rPr>
          <w:rFonts w:ascii="Lato" w:hAnsi="Lato"/>
        </w:rPr>
        <w:t>W</w:t>
      </w:r>
      <w:r w:rsidRPr="005F2138">
        <w:rPr>
          <w:rFonts w:ascii="Lato" w:hAnsi="Lato"/>
        </w:rPr>
        <w:t>ytyczne w wersji obowiązującej w dniu wszczęcia postępowania, które zakończyło się podpisaniem danej umowy. Wszczęcie postępowania jest tożsame z publikacją ogłoszenia o</w:t>
      </w:r>
      <w:r w:rsidR="008D523C">
        <w:rPr>
          <w:rFonts w:ascii="Lato" w:hAnsi="Lato"/>
        </w:rPr>
        <w:t> </w:t>
      </w:r>
      <w:r w:rsidRPr="005F2138">
        <w:rPr>
          <w:rFonts w:ascii="Lato" w:hAnsi="Lato"/>
        </w:rPr>
        <w:t xml:space="preserve">wszczęciu postępowania lub zamiarze udzielenia zamówienia publicznego. </w:t>
      </w:r>
    </w:p>
    <w:p w14:paraId="0F0FDABE" w14:textId="1BA4BA07" w:rsidR="009E70E1" w:rsidRPr="005F2138" w:rsidRDefault="009E70E1" w:rsidP="00990CE8">
      <w:pPr>
        <w:pStyle w:val="Default"/>
        <w:numPr>
          <w:ilvl w:val="0"/>
          <w:numId w:val="54"/>
        </w:numPr>
        <w:spacing w:before="120" w:after="120" w:line="360" w:lineRule="auto"/>
        <w:ind w:left="426" w:hanging="426"/>
        <w:jc w:val="both"/>
        <w:rPr>
          <w:rFonts w:ascii="Lato" w:hAnsi="Lato"/>
        </w:rPr>
      </w:pPr>
      <w:r w:rsidRPr="005F2138">
        <w:rPr>
          <w:rFonts w:ascii="Lato" w:hAnsi="Lato"/>
        </w:rPr>
        <w:t xml:space="preserve">Wydatkiem kwalifikowalnym jest wydatek spełniający łącznie następujące warunki: </w:t>
      </w:r>
    </w:p>
    <w:p w14:paraId="41607DF5" w14:textId="2BC8AABD"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został faktycznie poniesiony w okresie wskazanym w</w:t>
      </w:r>
      <w:r w:rsidR="00D05DDC" w:rsidRPr="005F2138">
        <w:rPr>
          <w:rFonts w:ascii="Lato" w:hAnsi="Lato"/>
        </w:rPr>
        <w:t> </w:t>
      </w:r>
      <w:r w:rsidR="001858D6" w:rsidRPr="005F2138">
        <w:rPr>
          <w:rFonts w:ascii="Lato" w:hAnsi="Lato"/>
        </w:rPr>
        <w:t>Po</w:t>
      </w:r>
      <w:r w:rsidR="000E65F0" w:rsidRPr="005F2138">
        <w:rPr>
          <w:rFonts w:ascii="Lato" w:hAnsi="Lato"/>
        </w:rPr>
        <w:t>rozumieniu</w:t>
      </w:r>
      <w:r w:rsidRPr="005F2138">
        <w:rPr>
          <w:rFonts w:ascii="Lato" w:hAnsi="Lato"/>
        </w:rPr>
        <w:t>,</w:t>
      </w:r>
      <w:r w:rsidR="000C508C" w:rsidRPr="005F2138">
        <w:rPr>
          <w:rFonts w:ascii="Lato" w:hAnsi="Lato"/>
        </w:rPr>
        <w:t xml:space="preserve"> zgodnie z zasadą określoną w podrozdziale </w:t>
      </w:r>
      <w:r w:rsidR="00814A8C" w:rsidRPr="005F2138">
        <w:rPr>
          <w:rFonts w:ascii="Lato" w:hAnsi="Lato"/>
        </w:rPr>
        <w:t>3</w:t>
      </w:r>
      <w:r w:rsidR="000C508C" w:rsidRPr="005F2138">
        <w:rPr>
          <w:rFonts w:ascii="Lato" w:hAnsi="Lato"/>
        </w:rPr>
        <w:t>.5,</w:t>
      </w:r>
      <w:r w:rsidRPr="005F2138">
        <w:rPr>
          <w:rFonts w:ascii="Lato" w:hAnsi="Lato"/>
        </w:rPr>
        <w:t xml:space="preserve"> </w:t>
      </w:r>
    </w:p>
    <w:p w14:paraId="7BFEA66F" w14:textId="1B95EF88"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 xml:space="preserve">jest zgodny z obowiązującymi przepisami prawa unijnego oraz prawa krajowego, w tym przepisami regulującymi udzielanie pomocy publicznej, jeśli mają zastosowanie, </w:t>
      </w:r>
    </w:p>
    <w:p w14:paraId="5B89D913" w14:textId="1DAE64BE"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 xml:space="preserve">został uwzględniony w zakresie rzeczowym </w:t>
      </w:r>
      <w:r w:rsidR="00631DEC" w:rsidRPr="005F2138">
        <w:rPr>
          <w:rFonts w:ascii="Lato" w:hAnsi="Lato"/>
        </w:rPr>
        <w:t>przedsięwzięcia</w:t>
      </w:r>
      <w:r w:rsidRPr="005F2138">
        <w:rPr>
          <w:rFonts w:ascii="Lato" w:hAnsi="Lato"/>
        </w:rPr>
        <w:t xml:space="preserve"> </w:t>
      </w:r>
      <w:r w:rsidR="001858D6" w:rsidRPr="005F2138">
        <w:rPr>
          <w:rFonts w:ascii="Lato" w:hAnsi="Lato"/>
        </w:rPr>
        <w:t xml:space="preserve">określonym </w:t>
      </w:r>
      <w:r w:rsidRPr="005F2138">
        <w:rPr>
          <w:rFonts w:ascii="Lato" w:hAnsi="Lato"/>
        </w:rPr>
        <w:t xml:space="preserve">we </w:t>
      </w:r>
      <w:r w:rsidR="009530E6" w:rsidRPr="005F2138">
        <w:rPr>
          <w:rFonts w:ascii="Lato" w:hAnsi="Lato"/>
        </w:rPr>
        <w:t>W</w:t>
      </w:r>
      <w:r w:rsidRPr="005F2138">
        <w:rPr>
          <w:rFonts w:ascii="Lato" w:hAnsi="Lato"/>
        </w:rPr>
        <w:t>niosku,</w:t>
      </w:r>
    </w:p>
    <w:p w14:paraId="53E31052" w14:textId="6998D1B9" w:rsidR="00631DEC" w:rsidRPr="005F2138" w:rsidRDefault="00631DEC"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 xml:space="preserve">został poniesiony zgodnie z postanowieniami </w:t>
      </w:r>
      <w:r w:rsidR="00F77DD5" w:rsidRPr="005F2138">
        <w:rPr>
          <w:rFonts w:ascii="Lato" w:hAnsi="Lato"/>
        </w:rPr>
        <w:t>P</w:t>
      </w:r>
      <w:r w:rsidRPr="005F2138">
        <w:rPr>
          <w:rFonts w:ascii="Lato" w:hAnsi="Lato"/>
        </w:rPr>
        <w:t>orozumienia,</w:t>
      </w:r>
    </w:p>
    <w:p w14:paraId="77C7266B" w14:textId="48E2736A"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 xml:space="preserve">jest niezbędny do realizacji celów </w:t>
      </w:r>
      <w:r w:rsidR="007C2E5D" w:rsidRPr="005F2138">
        <w:rPr>
          <w:rFonts w:ascii="Lato" w:hAnsi="Lato"/>
        </w:rPr>
        <w:t>przedsięwzięcia</w:t>
      </w:r>
      <w:r w:rsidR="000E65F0" w:rsidRPr="005F2138">
        <w:rPr>
          <w:rFonts w:ascii="Lato" w:hAnsi="Lato"/>
        </w:rPr>
        <w:t xml:space="preserve"> </w:t>
      </w:r>
      <w:r w:rsidRPr="005F2138">
        <w:rPr>
          <w:rFonts w:ascii="Lato" w:hAnsi="Lato"/>
        </w:rPr>
        <w:t>i został poniesiony w</w:t>
      </w:r>
      <w:r w:rsidR="00FF7280" w:rsidRPr="005F2138">
        <w:rPr>
          <w:rFonts w:ascii="Lato" w:hAnsi="Lato"/>
        </w:rPr>
        <w:t> </w:t>
      </w:r>
      <w:r w:rsidRPr="005F2138">
        <w:rPr>
          <w:rFonts w:ascii="Lato" w:hAnsi="Lato"/>
        </w:rPr>
        <w:t>związku z realizacją</w:t>
      </w:r>
      <w:r w:rsidR="000E65F0" w:rsidRPr="005F2138">
        <w:rPr>
          <w:rFonts w:ascii="Lato" w:hAnsi="Lato"/>
        </w:rPr>
        <w:t xml:space="preserve"> </w:t>
      </w:r>
      <w:r w:rsidR="007C2E5D" w:rsidRPr="005F2138">
        <w:rPr>
          <w:rFonts w:ascii="Lato" w:hAnsi="Lato"/>
        </w:rPr>
        <w:t>przedsięwzięcia</w:t>
      </w:r>
      <w:r w:rsidRPr="005F2138">
        <w:rPr>
          <w:rFonts w:ascii="Lato" w:hAnsi="Lato"/>
        </w:rPr>
        <w:t xml:space="preserve">, </w:t>
      </w:r>
    </w:p>
    <w:p w14:paraId="3D504CF2" w14:textId="32729508"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został dokonany w sposób przejrzysty, racjonalny i efektywny, z</w:t>
      </w:r>
      <w:r w:rsidR="00FF7280" w:rsidRPr="005F2138">
        <w:rPr>
          <w:rFonts w:ascii="Lato" w:hAnsi="Lato"/>
        </w:rPr>
        <w:t> </w:t>
      </w:r>
      <w:r w:rsidRPr="005F2138">
        <w:rPr>
          <w:rFonts w:ascii="Lato" w:hAnsi="Lato"/>
        </w:rPr>
        <w:t xml:space="preserve">zachowaniem zasad uzyskiwania najlepszych efektów z danych nakładów, </w:t>
      </w:r>
    </w:p>
    <w:p w14:paraId="13B58213" w14:textId="4C4AD70C"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lastRenderedPageBreak/>
        <w:t>został należycie udokumentowany, zgodnie z wymogami określonymi w</w:t>
      </w:r>
      <w:r w:rsidR="00D05DDC" w:rsidRPr="005F2138">
        <w:rPr>
          <w:rFonts w:ascii="Lato" w:hAnsi="Lato"/>
        </w:rPr>
        <w:t> </w:t>
      </w:r>
      <w:r w:rsidR="00C41A18" w:rsidRPr="005F2138">
        <w:rPr>
          <w:rFonts w:ascii="Lato" w:hAnsi="Lato"/>
        </w:rPr>
        <w:t>W</w:t>
      </w:r>
      <w:r w:rsidRPr="005F2138">
        <w:rPr>
          <w:rFonts w:ascii="Lato" w:hAnsi="Lato"/>
        </w:rPr>
        <w:t xml:space="preserve">ytycznych, </w:t>
      </w:r>
      <w:r w:rsidR="00B457B0" w:rsidRPr="005F2138">
        <w:rPr>
          <w:rFonts w:ascii="Lato" w:hAnsi="Lato"/>
        </w:rPr>
        <w:t xml:space="preserve">w szczególności zgodnie z treścią rozdziału 3.5 </w:t>
      </w:r>
      <w:r w:rsidR="00492B74" w:rsidRPr="005F2138">
        <w:rPr>
          <w:rFonts w:ascii="Lato" w:hAnsi="Lato"/>
        </w:rPr>
        <w:t xml:space="preserve">ust. </w:t>
      </w:r>
      <w:r w:rsidR="00B457B0" w:rsidRPr="005F2138">
        <w:rPr>
          <w:rFonts w:ascii="Lato" w:hAnsi="Lato"/>
        </w:rPr>
        <w:t>5-11,</w:t>
      </w:r>
    </w:p>
    <w:p w14:paraId="68763007" w14:textId="465B7C87" w:rsidR="00BF3A07" w:rsidRPr="005F2138" w:rsidRDefault="009E70E1"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 xml:space="preserve">został </w:t>
      </w:r>
      <w:r w:rsidR="00E625E3" w:rsidRPr="005F2138">
        <w:rPr>
          <w:rFonts w:ascii="Lato" w:hAnsi="Lato"/>
        </w:rPr>
        <w:t>rozliczony</w:t>
      </w:r>
      <w:r w:rsidRPr="005F2138">
        <w:rPr>
          <w:rFonts w:ascii="Lato" w:hAnsi="Lato"/>
        </w:rPr>
        <w:t xml:space="preserve"> we wniosku o płatność</w:t>
      </w:r>
      <w:r w:rsidR="00631DEC" w:rsidRPr="005F2138">
        <w:rPr>
          <w:rFonts w:ascii="Lato" w:hAnsi="Lato"/>
        </w:rPr>
        <w:t xml:space="preserve"> złożonym przez OOW</w:t>
      </w:r>
      <w:r w:rsidRPr="005F2138">
        <w:rPr>
          <w:rFonts w:ascii="Lato" w:hAnsi="Lato"/>
        </w:rPr>
        <w:t xml:space="preserve"> zgodnie z</w:t>
      </w:r>
      <w:r w:rsidR="00FF7280" w:rsidRPr="005F2138">
        <w:rPr>
          <w:rFonts w:ascii="Lato" w:hAnsi="Lato"/>
        </w:rPr>
        <w:t> </w:t>
      </w:r>
      <w:r w:rsidR="00E830B0" w:rsidRPr="005F2138">
        <w:rPr>
          <w:rFonts w:ascii="Lato" w:hAnsi="Lato"/>
        </w:rPr>
        <w:t xml:space="preserve">Wytycznymi </w:t>
      </w:r>
      <w:r w:rsidRPr="005F2138">
        <w:rPr>
          <w:rFonts w:ascii="Lato" w:hAnsi="Lato"/>
        </w:rPr>
        <w:t>w zakresie warunków gromadzenia i przekazywania danych w</w:t>
      </w:r>
      <w:r w:rsidR="008D523C">
        <w:rPr>
          <w:rFonts w:ascii="Lato" w:hAnsi="Lato"/>
        </w:rPr>
        <w:t> </w:t>
      </w:r>
      <w:r w:rsidRPr="005F2138">
        <w:rPr>
          <w:rFonts w:ascii="Lato" w:hAnsi="Lato"/>
        </w:rPr>
        <w:t>postaci elektronicznej</w:t>
      </w:r>
      <w:r w:rsidR="00E830B0" w:rsidRPr="005F2138">
        <w:rPr>
          <w:rFonts w:ascii="Lato" w:hAnsi="Lato"/>
        </w:rPr>
        <w:t xml:space="preserve"> na lata 2021-2027</w:t>
      </w:r>
      <w:r w:rsidRPr="005F2138">
        <w:rPr>
          <w:rFonts w:ascii="Lato" w:hAnsi="Lato"/>
        </w:rPr>
        <w:t xml:space="preserve">, </w:t>
      </w:r>
    </w:p>
    <w:p w14:paraId="37B83DC2" w14:textId="4442537D" w:rsidR="00631DEC" w:rsidRPr="005F2138" w:rsidRDefault="00631DEC" w:rsidP="00990CE8">
      <w:pPr>
        <w:pStyle w:val="Akapitzlist"/>
        <w:numPr>
          <w:ilvl w:val="0"/>
          <w:numId w:val="55"/>
        </w:numPr>
        <w:spacing w:before="120" w:after="120"/>
        <w:ind w:left="1134" w:hanging="283"/>
        <w:jc w:val="both"/>
        <w:rPr>
          <w:rFonts w:ascii="Lato" w:eastAsiaTheme="minorHAnsi" w:hAnsi="Lato" w:cs="Arial"/>
          <w:color w:val="000000"/>
          <w:szCs w:val="24"/>
        </w:rPr>
      </w:pPr>
      <w:r w:rsidRPr="005F2138">
        <w:rPr>
          <w:rFonts w:ascii="Lato" w:eastAsiaTheme="minorHAnsi" w:hAnsi="Lato" w:cs="Arial"/>
          <w:color w:val="000000"/>
          <w:szCs w:val="24"/>
        </w:rPr>
        <w:t>dotyczy towarów dostarczonych lub usług wykonanych, w tym zaliczek dla wykonawców,</w:t>
      </w:r>
    </w:p>
    <w:p w14:paraId="566F8115" w14:textId="27CA5256" w:rsidR="00C26C00" w:rsidRPr="005F2138" w:rsidRDefault="009E70E1" w:rsidP="00990CE8">
      <w:pPr>
        <w:pStyle w:val="Akapitzlist"/>
        <w:numPr>
          <w:ilvl w:val="0"/>
          <w:numId w:val="55"/>
        </w:numPr>
        <w:spacing w:before="120" w:after="120"/>
        <w:ind w:left="1134" w:hanging="283"/>
        <w:jc w:val="both"/>
        <w:rPr>
          <w:rFonts w:ascii="Lato" w:hAnsi="Lato"/>
        </w:rPr>
      </w:pPr>
      <w:r w:rsidRPr="005F2138">
        <w:rPr>
          <w:rFonts w:ascii="Lato" w:hAnsi="Lato"/>
        </w:rPr>
        <w:t xml:space="preserve">jest zgodny z innymi warunkami uznania go za wydatek kwalifikowalny określonymi w </w:t>
      </w:r>
      <w:r w:rsidR="00C41A18" w:rsidRPr="005F2138">
        <w:rPr>
          <w:rFonts w:ascii="Lato" w:hAnsi="Lato"/>
        </w:rPr>
        <w:t>W</w:t>
      </w:r>
      <w:r w:rsidRPr="005F2138">
        <w:rPr>
          <w:rFonts w:ascii="Lato" w:hAnsi="Lato"/>
        </w:rPr>
        <w:t>ytycznych</w:t>
      </w:r>
      <w:r w:rsidR="00A544A4" w:rsidRPr="005F2138">
        <w:rPr>
          <w:rFonts w:ascii="Lato" w:hAnsi="Lato"/>
        </w:rPr>
        <w:t xml:space="preserve"> oraz</w:t>
      </w:r>
      <w:r w:rsidR="00A544A4" w:rsidRPr="005F2138">
        <w:rPr>
          <w:rFonts w:ascii="Lato" w:hAnsi="Lato"/>
          <w:i/>
          <w:iCs/>
        </w:rPr>
        <w:t xml:space="preserve"> </w:t>
      </w:r>
      <w:r w:rsidR="00444B61" w:rsidRPr="005F2138">
        <w:rPr>
          <w:rFonts w:ascii="Lato" w:hAnsi="Lato"/>
        </w:rPr>
        <w:t>r</w:t>
      </w:r>
      <w:r w:rsidRPr="005F2138">
        <w:rPr>
          <w:rFonts w:ascii="Lato" w:hAnsi="Lato"/>
        </w:rPr>
        <w:t xml:space="preserve">egulaminie </w:t>
      </w:r>
      <w:r w:rsidR="002F182F" w:rsidRPr="005F2138">
        <w:rPr>
          <w:rFonts w:ascii="Lato" w:hAnsi="Lato"/>
        </w:rPr>
        <w:t>wy</w:t>
      </w:r>
      <w:r w:rsidR="00A544A4" w:rsidRPr="005F2138">
        <w:rPr>
          <w:rFonts w:ascii="Lato" w:hAnsi="Lato"/>
        </w:rPr>
        <w:t>boru</w:t>
      </w:r>
      <w:r w:rsidRPr="005F2138">
        <w:rPr>
          <w:rFonts w:ascii="Lato" w:hAnsi="Lato"/>
        </w:rPr>
        <w:t xml:space="preserve"> </w:t>
      </w:r>
      <w:r w:rsidR="007C2E5D" w:rsidRPr="005F2138">
        <w:rPr>
          <w:rFonts w:ascii="Lato" w:hAnsi="Lato"/>
        </w:rPr>
        <w:t>przedsięwzięć</w:t>
      </w:r>
      <w:r w:rsidR="00C26C00" w:rsidRPr="005F2138">
        <w:rPr>
          <w:rFonts w:ascii="Lato" w:hAnsi="Lato"/>
        </w:rPr>
        <w:t>,</w:t>
      </w:r>
      <w:r w:rsidR="00044305" w:rsidRPr="00990CE8">
        <w:rPr>
          <w:rFonts w:ascii="Lato" w:hAnsi="Lato"/>
        </w:rPr>
        <w:t xml:space="preserve"> </w:t>
      </w:r>
    </w:p>
    <w:p w14:paraId="7058DE3B" w14:textId="28E1D906" w:rsidR="00477B5F" w:rsidRPr="005F2138" w:rsidRDefault="00C26C00" w:rsidP="00990CE8">
      <w:pPr>
        <w:pStyle w:val="Default"/>
        <w:numPr>
          <w:ilvl w:val="0"/>
          <w:numId w:val="55"/>
        </w:numPr>
        <w:spacing w:before="120" w:after="120" w:line="360" w:lineRule="auto"/>
        <w:ind w:left="1134" w:hanging="283"/>
        <w:jc w:val="both"/>
        <w:rPr>
          <w:rFonts w:ascii="Lato" w:hAnsi="Lato"/>
        </w:rPr>
      </w:pPr>
      <w:r w:rsidRPr="005F2138">
        <w:rPr>
          <w:rFonts w:ascii="Lato" w:hAnsi="Lato"/>
        </w:rPr>
        <w:t>jest zgodny z zasadą DNSH.</w:t>
      </w:r>
    </w:p>
    <w:p w14:paraId="6F365FF5" w14:textId="6D0E235A" w:rsidR="007A1E2D" w:rsidRDefault="007A1E2D" w:rsidP="00990CE8">
      <w:pPr>
        <w:pStyle w:val="Default"/>
        <w:numPr>
          <w:ilvl w:val="0"/>
          <w:numId w:val="54"/>
        </w:numPr>
        <w:spacing w:before="120" w:after="120" w:line="360" w:lineRule="auto"/>
        <w:jc w:val="both"/>
        <w:rPr>
          <w:rFonts w:ascii="Lato" w:hAnsi="Lato"/>
        </w:rPr>
      </w:pPr>
      <w:r w:rsidRPr="005F2138">
        <w:rPr>
          <w:rFonts w:ascii="Lato" w:hAnsi="Lato"/>
        </w:rPr>
        <w:t xml:space="preserve">OOW nie może rozliczać tego samego wydatku w kosztach pośrednich oraz kosztach bezpośrednich przedsięwzięcia.  </w:t>
      </w:r>
    </w:p>
    <w:p w14:paraId="23F78941" w14:textId="77777777" w:rsidR="008D523C" w:rsidRPr="005F2138" w:rsidRDefault="008D523C" w:rsidP="00990CE8">
      <w:pPr>
        <w:pStyle w:val="Default"/>
        <w:spacing w:before="120" w:after="120" w:line="360" w:lineRule="auto"/>
        <w:ind w:left="720"/>
        <w:jc w:val="both"/>
        <w:rPr>
          <w:rFonts w:ascii="Lato" w:hAnsi="Lato"/>
        </w:rPr>
      </w:pPr>
    </w:p>
    <w:p w14:paraId="60E06D99" w14:textId="337AE03A" w:rsidR="00335AD4" w:rsidRPr="00990CE8" w:rsidRDefault="00814A8C" w:rsidP="00990CE8">
      <w:pPr>
        <w:pStyle w:val="Nagwek2"/>
        <w:spacing w:before="120" w:after="120"/>
        <w:rPr>
          <w:rFonts w:ascii="Lato" w:hAnsi="Lato"/>
        </w:rPr>
      </w:pPr>
      <w:bookmarkStart w:id="9" w:name="_Toc181699364"/>
      <w:r w:rsidRPr="00990CE8">
        <w:rPr>
          <w:rFonts w:ascii="Lato" w:hAnsi="Lato"/>
        </w:rPr>
        <w:t>3</w:t>
      </w:r>
      <w:r w:rsidR="00335AD4" w:rsidRPr="00990CE8">
        <w:rPr>
          <w:rFonts w:ascii="Lato" w:hAnsi="Lato"/>
        </w:rPr>
        <w:t>.4 Wydatki niekwalifikowalne</w:t>
      </w:r>
      <w:bookmarkEnd w:id="9"/>
    </w:p>
    <w:p w14:paraId="4D9B63F8" w14:textId="77777777" w:rsidR="00477B5F" w:rsidRPr="00990CE8" w:rsidRDefault="00477B5F" w:rsidP="00990CE8">
      <w:pPr>
        <w:pStyle w:val="Akapitzlist"/>
        <w:numPr>
          <w:ilvl w:val="0"/>
          <w:numId w:val="50"/>
        </w:numPr>
        <w:spacing w:before="120" w:after="120"/>
        <w:ind w:left="426" w:hanging="426"/>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Następujące wydatki są niekwalifikowalne:</w:t>
      </w:r>
    </w:p>
    <w:p w14:paraId="64B8D474" w14:textId="4B58E1DB" w:rsidR="00044305" w:rsidRPr="00990CE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rPr>
      </w:pPr>
      <w:r w:rsidRPr="00990CE8">
        <w:rPr>
          <w:rStyle w:val="normaltextrun"/>
          <w:rFonts w:ascii="Lato" w:eastAsiaTheme="majorEastAsia" w:hAnsi="Lato" w:cstheme="majorBidi"/>
          <w:iCs/>
          <w:kern w:val="32"/>
        </w:rPr>
        <w:t>podatek od towarów i usług (VAT),</w:t>
      </w:r>
      <w:r w:rsidR="00CB442A" w:rsidRPr="00990CE8">
        <w:rPr>
          <w:rStyle w:val="normaltextrun"/>
          <w:rFonts w:ascii="Lato" w:eastAsiaTheme="majorEastAsia" w:hAnsi="Lato" w:cstheme="majorBidi"/>
          <w:iCs/>
          <w:kern w:val="32"/>
        </w:rPr>
        <w:t xml:space="preserve"> </w:t>
      </w:r>
    </w:p>
    <w:p w14:paraId="6DBD0ACB" w14:textId="77777777" w:rsidR="00477B5F" w:rsidRPr="00990CE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prowizje pobierane w ramach operacji wymiany walut,</w:t>
      </w:r>
    </w:p>
    <w:p w14:paraId="08540B54" w14:textId="7D3A00BF" w:rsidR="00477B5F" w:rsidRPr="00990CE8" w:rsidRDefault="35633B38"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rPr>
      </w:pPr>
      <w:r w:rsidRPr="00990CE8">
        <w:rPr>
          <w:rStyle w:val="normaltextrun"/>
          <w:rFonts w:ascii="Lato" w:eastAsiaTheme="majorEastAsia" w:hAnsi="Lato" w:cstheme="majorBidi"/>
          <w:iCs/>
          <w:kern w:val="32"/>
        </w:rPr>
        <w:t>odsetki od zadłużenia,</w:t>
      </w:r>
      <w:r w:rsidR="68F981DB" w:rsidRPr="00990CE8">
        <w:rPr>
          <w:rFonts w:ascii="Lato" w:hAnsi="Lato"/>
          <w:iCs/>
        </w:rPr>
        <w:t xml:space="preserve"> </w:t>
      </w:r>
      <w:r w:rsidR="68F981DB" w:rsidRPr="00990CE8">
        <w:rPr>
          <w:rStyle w:val="normaltextrun"/>
          <w:rFonts w:ascii="Lato" w:eastAsiaTheme="majorEastAsia" w:hAnsi="Lato" w:cstheme="majorBidi"/>
          <w:iCs/>
          <w:kern w:val="32"/>
        </w:rPr>
        <w:t>z wyjątkiem wydatków ponoszonych na subsydiowanie odsetek lub na dotacje na opłaty gwarancyjne w przypadku udzielania wsparcia,</w:t>
      </w:r>
    </w:p>
    <w:p w14:paraId="1B43597A" w14:textId="22F4A4BA" w:rsidR="00477B5F" w:rsidRPr="00990CE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koszty pożyczki lub kredytu zaciągniętego na prefinansowanie</w:t>
      </w:r>
      <w:r w:rsidR="000A164D" w:rsidRPr="00990CE8">
        <w:rPr>
          <w:rStyle w:val="normaltextrun"/>
          <w:rFonts w:ascii="Lato" w:eastAsiaTheme="majorEastAsia" w:hAnsi="Lato" w:cstheme="majorBidi"/>
          <w:iCs/>
          <w:kern w:val="32"/>
          <w:szCs w:val="26"/>
        </w:rPr>
        <w:t xml:space="preserve"> realizacji przedsięwzięcia</w:t>
      </w:r>
      <w:r w:rsidRPr="00990CE8">
        <w:rPr>
          <w:rStyle w:val="normaltextrun"/>
          <w:rFonts w:ascii="Lato" w:eastAsiaTheme="majorEastAsia" w:hAnsi="Lato" w:cstheme="majorBidi"/>
          <w:iCs/>
          <w:kern w:val="32"/>
          <w:szCs w:val="26"/>
        </w:rPr>
        <w:t>,</w:t>
      </w:r>
    </w:p>
    <w:p w14:paraId="01CC6D7F" w14:textId="77777777" w:rsidR="00477B5F" w:rsidRPr="00990CE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kary i grzywny,</w:t>
      </w:r>
    </w:p>
    <w:p w14:paraId="1A916241" w14:textId="0F792D22" w:rsidR="00477B5F" w:rsidRPr="00990CE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 xml:space="preserve">świadczenia </w:t>
      </w:r>
      <w:r w:rsidR="00A544A4" w:rsidRPr="00990CE8">
        <w:rPr>
          <w:rStyle w:val="normaltextrun"/>
          <w:rFonts w:ascii="Lato" w:eastAsiaTheme="majorEastAsia" w:hAnsi="Lato" w:cstheme="majorBidi"/>
          <w:iCs/>
          <w:kern w:val="32"/>
          <w:szCs w:val="26"/>
        </w:rPr>
        <w:t xml:space="preserve">na rzecz personelu przedsięwzięcia </w:t>
      </w:r>
      <w:r w:rsidRPr="00990CE8">
        <w:rPr>
          <w:rStyle w:val="normaltextrun"/>
          <w:rFonts w:ascii="Lato" w:eastAsiaTheme="majorEastAsia" w:hAnsi="Lato" w:cstheme="majorBidi"/>
          <w:iCs/>
          <w:kern w:val="32"/>
          <w:szCs w:val="26"/>
        </w:rPr>
        <w:t>realizowane ze środków Zakładowego Funduszu Świadczeń Socjalnych (ZFŚS),</w:t>
      </w:r>
    </w:p>
    <w:p w14:paraId="5EEE5B16" w14:textId="273AD181" w:rsidR="00A544A4" w:rsidRPr="005F2138" w:rsidRDefault="00A544A4"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990CE8">
        <w:rPr>
          <w:rStyle w:val="normaltextrun"/>
          <w:rFonts w:ascii="Lato" w:eastAsiaTheme="majorEastAsia" w:hAnsi="Lato" w:cstheme="majorBidi"/>
          <w:iCs/>
          <w:kern w:val="32"/>
          <w:szCs w:val="26"/>
        </w:rPr>
        <w:t>nagrody</w:t>
      </w:r>
      <w:r w:rsidRPr="005F2138">
        <w:rPr>
          <w:rStyle w:val="normaltextrun"/>
          <w:rFonts w:ascii="Lato" w:eastAsiaTheme="majorEastAsia" w:hAnsi="Lato" w:cstheme="majorBidi"/>
          <w:iCs/>
          <w:kern w:val="32"/>
          <w:szCs w:val="26"/>
        </w:rPr>
        <w:t xml:space="preserve"> jubileuszowe personelu przedsięwzięcia,</w:t>
      </w:r>
    </w:p>
    <w:p w14:paraId="1D45AB07" w14:textId="77777777" w:rsidR="00593E3A" w:rsidRPr="005F213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odprawy </w:t>
      </w:r>
      <w:proofErr w:type="spellStart"/>
      <w:r w:rsidRPr="005F2138">
        <w:rPr>
          <w:rStyle w:val="normaltextrun"/>
          <w:rFonts w:ascii="Lato" w:eastAsiaTheme="majorEastAsia" w:hAnsi="Lato" w:cstheme="majorBidi"/>
          <w:iCs/>
          <w:kern w:val="32"/>
          <w:szCs w:val="26"/>
        </w:rPr>
        <w:t>emerytalno</w:t>
      </w:r>
      <w:proofErr w:type="spellEnd"/>
      <w:r w:rsidRPr="005F2138">
        <w:rPr>
          <w:rStyle w:val="normaltextrun"/>
          <w:rFonts w:ascii="Lato" w:eastAsiaTheme="majorEastAsia" w:hAnsi="Lato" w:cstheme="majorBidi"/>
          <w:iCs/>
          <w:kern w:val="32"/>
          <w:szCs w:val="26"/>
        </w:rPr>
        <w:t xml:space="preserve"> – rentowe personelu przedsięwzięcia</w:t>
      </w:r>
      <w:r w:rsidR="00593E3A" w:rsidRPr="005F2138">
        <w:rPr>
          <w:rStyle w:val="normaltextrun"/>
          <w:rFonts w:ascii="Lato" w:eastAsiaTheme="majorEastAsia" w:hAnsi="Lato" w:cstheme="majorBidi"/>
          <w:iCs/>
          <w:kern w:val="32"/>
          <w:szCs w:val="26"/>
        </w:rPr>
        <w:t xml:space="preserve">, </w:t>
      </w:r>
    </w:p>
    <w:p w14:paraId="159A4440" w14:textId="18840F25" w:rsidR="00477B5F" w:rsidRPr="005F213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rozliczony notą księgową koszt zakupu środka trwałego będącego własnością </w:t>
      </w:r>
      <w:r w:rsidR="00A544A4"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 xml:space="preserve"> lub prawa przysługującego </w:t>
      </w:r>
      <w:r w:rsidR="00A544A4"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w:t>
      </w:r>
    </w:p>
    <w:p w14:paraId="5A3907DE" w14:textId="77777777" w:rsidR="00477B5F" w:rsidRPr="005F213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wpłaty na Państwowy Fundusz Rehabilitacji Osób Niepełnosprawnych (PFRON),</w:t>
      </w:r>
    </w:p>
    <w:p w14:paraId="58EFA777" w14:textId="077389D9" w:rsidR="00477B5F" w:rsidRPr="005F2138" w:rsidRDefault="35633B38" w:rsidP="00990CE8">
      <w:pPr>
        <w:pStyle w:val="Akapitzlist"/>
        <w:numPr>
          <w:ilvl w:val="1"/>
          <w:numId w:val="50"/>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koszty postępowania sądowego, wydatki związane z przygotowaniem i</w:t>
      </w:r>
      <w:r w:rsidR="2280030F"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 xml:space="preserve">obsługą prawną spraw sądowych oraz wydatki poniesione na funkcjonowanie komisji rozjemczych, </w:t>
      </w:r>
    </w:p>
    <w:p w14:paraId="7CF85592" w14:textId="6E28BEA6" w:rsidR="00477B5F" w:rsidRPr="005F2138" w:rsidRDefault="00477B5F" w:rsidP="00990CE8">
      <w:pPr>
        <w:pStyle w:val="Akapitzlist"/>
        <w:numPr>
          <w:ilvl w:val="1"/>
          <w:numId w:val="50"/>
        </w:numPr>
        <w:spacing w:before="120" w:after="120"/>
        <w:ind w:left="1134" w:hanging="283"/>
        <w:jc w:val="both"/>
        <w:rPr>
          <w:rStyle w:val="normaltextrun"/>
          <w:rFonts w:ascii="Lato" w:hAnsi="Lato"/>
        </w:rPr>
      </w:pPr>
      <w:r w:rsidRPr="005F2138">
        <w:rPr>
          <w:rStyle w:val="normaltextrun"/>
          <w:rFonts w:ascii="Lato" w:hAnsi="Lato"/>
        </w:rPr>
        <w:t>wydatki poniesione na zakup używanego środka trwałego, który był współfinansowany ze środków unijnych</w:t>
      </w:r>
      <w:r w:rsidR="003A53EE" w:rsidRPr="005F2138">
        <w:rPr>
          <w:rStyle w:val="normaltextrun"/>
          <w:rFonts w:ascii="Lato" w:hAnsi="Lato"/>
        </w:rPr>
        <w:t>,</w:t>
      </w:r>
    </w:p>
    <w:p w14:paraId="3D9A2E79" w14:textId="0991512F" w:rsidR="00055E08" w:rsidRPr="005F2138" w:rsidRDefault="00055E08" w:rsidP="00990CE8">
      <w:pPr>
        <w:pStyle w:val="Akapitzlist"/>
        <w:numPr>
          <w:ilvl w:val="1"/>
          <w:numId w:val="50"/>
        </w:numPr>
        <w:spacing w:before="120" w:after="120"/>
        <w:ind w:left="1134" w:hanging="283"/>
        <w:jc w:val="both"/>
        <w:rPr>
          <w:rStyle w:val="normaltextrun"/>
          <w:rFonts w:ascii="Lato" w:hAnsi="Lato"/>
        </w:rPr>
      </w:pPr>
      <w:r w:rsidRPr="005F2138">
        <w:rPr>
          <w:rStyle w:val="normaltextrun"/>
          <w:rFonts w:ascii="Lato" w:hAnsi="Lato"/>
        </w:rPr>
        <w:t>inne niż część kapitałowa raty leasingowej wydatki związane z umową leasingu, w szczególności marża finansującego, odsetki od refinansowania kosztów, koszty ogólne, opłaty ubezpieczeniowe,</w:t>
      </w:r>
    </w:p>
    <w:p w14:paraId="1C5E0188" w14:textId="526F20A4" w:rsidR="00477B5F" w:rsidRPr="005F2138" w:rsidRDefault="00477B5F"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transakcje, bez względu na liczbę wynikających z nich płatności, dokonane w</w:t>
      </w:r>
      <w:r w:rsidR="008D523C">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gotówce, których wartość przekracza kwotę, o której mowa w art. 19 ustawy z dnia 6 marca 2018 r. Prawo przedsiębiorców (Dz. U. z </w:t>
      </w:r>
      <w:r w:rsidR="004B0FFC" w:rsidRPr="005F2138">
        <w:rPr>
          <w:rStyle w:val="normaltextrun"/>
          <w:rFonts w:ascii="Lato" w:eastAsiaTheme="majorEastAsia" w:hAnsi="Lato" w:cstheme="majorBidi"/>
          <w:iCs/>
          <w:kern w:val="32"/>
          <w:szCs w:val="26"/>
        </w:rPr>
        <w:t>202</w:t>
      </w:r>
      <w:r w:rsidR="0050045B" w:rsidRPr="005F2138">
        <w:rPr>
          <w:rStyle w:val="normaltextrun"/>
          <w:rFonts w:ascii="Lato" w:eastAsiaTheme="majorEastAsia" w:hAnsi="Lato" w:cstheme="majorBidi"/>
          <w:iCs/>
          <w:kern w:val="32"/>
          <w:szCs w:val="26"/>
        </w:rPr>
        <w:t>4</w:t>
      </w:r>
      <w:r w:rsidR="004B0FFC"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r. poz.</w:t>
      </w:r>
      <w:r w:rsidR="00D05DDC" w:rsidRPr="005F2138">
        <w:rPr>
          <w:rStyle w:val="normaltextrun"/>
          <w:rFonts w:ascii="Lato" w:eastAsiaTheme="majorEastAsia" w:hAnsi="Lato" w:cstheme="majorBidi"/>
          <w:iCs/>
          <w:kern w:val="32"/>
          <w:szCs w:val="26"/>
        </w:rPr>
        <w:t> </w:t>
      </w:r>
      <w:r w:rsidR="0050045B" w:rsidRPr="005F2138">
        <w:rPr>
          <w:rStyle w:val="normaltextrun"/>
          <w:rFonts w:ascii="Lato" w:eastAsiaTheme="majorEastAsia" w:hAnsi="Lato" w:cstheme="majorBidi"/>
          <w:iCs/>
          <w:kern w:val="32"/>
          <w:szCs w:val="26"/>
        </w:rPr>
        <w:t>236</w:t>
      </w:r>
      <w:r w:rsidR="00CD1F48" w:rsidRPr="005F2138">
        <w:rPr>
          <w:rStyle w:val="normaltextrun"/>
          <w:rFonts w:ascii="Lato" w:eastAsiaTheme="majorEastAsia" w:hAnsi="Lato" w:cstheme="majorBidi"/>
          <w:iCs/>
          <w:kern w:val="32"/>
          <w:szCs w:val="26"/>
        </w:rPr>
        <w:t xml:space="preserve"> z późn.zm.</w:t>
      </w:r>
      <w:r w:rsidRPr="005F2138">
        <w:rPr>
          <w:rStyle w:val="normaltextrun"/>
          <w:rFonts w:ascii="Lato" w:eastAsiaTheme="majorEastAsia" w:hAnsi="Lato" w:cstheme="majorBidi"/>
          <w:iCs/>
          <w:kern w:val="32"/>
          <w:szCs w:val="26"/>
        </w:rPr>
        <w:t>),</w:t>
      </w:r>
    </w:p>
    <w:p w14:paraId="5CFC4BAC" w14:textId="78DA60A8" w:rsidR="00593E3A" w:rsidRPr="005F2138" w:rsidRDefault="00593E3A" w:rsidP="00990CE8">
      <w:pPr>
        <w:pStyle w:val="Akapitzlist"/>
        <w:numPr>
          <w:ilvl w:val="1"/>
          <w:numId w:val="50"/>
        </w:numPr>
        <w:spacing w:before="120" w:after="120"/>
        <w:ind w:left="1134" w:hanging="283"/>
        <w:jc w:val="both"/>
        <w:rPr>
          <w:rFonts w:ascii="Lato" w:eastAsiaTheme="majorEastAsia" w:hAnsi="Lato" w:cstheme="majorBidi"/>
          <w:iCs/>
          <w:kern w:val="32"/>
          <w:szCs w:val="26"/>
        </w:rPr>
      </w:pPr>
      <w:r w:rsidRPr="005F2138">
        <w:rPr>
          <w:rFonts w:ascii="Lato" w:eastAsiaTheme="minorHAnsi" w:hAnsi="Lato" w:cs="ArialMT"/>
          <w:szCs w:val="24"/>
        </w:rPr>
        <w:t xml:space="preserve">koszty składek i opłat fakultatywnych na rzecz personelu </w:t>
      </w:r>
      <w:r w:rsidR="004B0FFC" w:rsidRPr="005F2138">
        <w:rPr>
          <w:rFonts w:ascii="Lato" w:eastAsiaTheme="minorHAnsi" w:hAnsi="Lato" w:cs="ArialMT"/>
          <w:szCs w:val="24"/>
        </w:rPr>
        <w:t>przedsięwzięcia</w:t>
      </w:r>
      <w:r w:rsidRPr="005F2138">
        <w:rPr>
          <w:rFonts w:ascii="Lato" w:eastAsiaTheme="minorHAnsi" w:hAnsi="Lato" w:cs="ArialMT"/>
          <w:szCs w:val="24"/>
        </w:rPr>
        <w:t>, niewymaganych obowiązującymi przepisami prawa, chyba że:</w:t>
      </w:r>
    </w:p>
    <w:p w14:paraId="0CA32A8E" w14:textId="24090473" w:rsidR="00593E3A" w:rsidRPr="005F2138" w:rsidRDefault="00593E3A" w:rsidP="00990CE8">
      <w:pPr>
        <w:pStyle w:val="Akapitzlist"/>
        <w:numPr>
          <w:ilvl w:val="2"/>
          <w:numId w:val="50"/>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zostały przewidziane w regulaminie pracy lub regulaminie wynagradzania lub innych właściwych przepisach prawa pracy,</w:t>
      </w:r>
    </w:p>
    <w:p w14:paraId="39F83E49" w14:textId="0C44119E" w:rsidR="00593E3A" w:rsidRPr="005F2138" w:rsidRDefault="00593E3A" w:rsidP="00990CE8">
      <w:pPr>
        <w:pStyle w:val="Akapitzlist"/>
        <w:numPr>
          <w:ilvl w:val="2"/>
          <w:numId w:val="50"/>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zostały wprowadzone co najmniej </w:t>
      </w:r>
      <w:r w:rsidR="00127E41" w:rsidRPr="005F2138">
        <w:rPr>
          <w:rStyle w:val="normaltextrun"/>
          <w:rFonts w:ascii="Lato" w:eastAsiaTheme="majorEastAsia" w:hAnsi="Lato" w:cstheme="majorBidi"/>
          <w:iCs/>
          <w:kern w:val="32"/>
          <w:szCs w:val="26"/>
        </w:rPr>
        <w:t>6</w:t>
      </w:r>
      <w:r w:rsidRPr="005F2138">
        <w:rPr>
          <w:rStyle w:val="normaltextrun"/>
          <w:rFonts w:ascii="Lato" w:eastAsiaTheme="majorEastAsia" w:hAnsi="Lato" w:cstheme="majorBidi"/>
          <w:iCs/>
          <w:kern w:val="32"/>
          <w:szCs w:val="26"/>
        </w:rPr>
        <w:t xml:space="preserve"> miesięcy przed złożeniem </w:t>
      </w:r>
      <w:r w:rsidR="002402F8"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niosku,</w:t>
      </w:r>
    </w:p>
    <w:p w14:paraId="31F3471F" w14:textId="35F3049A" w:rsidR="00593E3A" w:rsidRPr="005F2138" w:rsidRDefault="00593E3A" w:rsidP="00990CE8">
      <w:pPr>
        <w:pStyle w:val="Akapitzlist"/>
        <w:numPr>
          <w:ilvl w:val="2"/>
          <w:numId w:val="50"/>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potencjalnie obejmują wszystkich pracowników, a zasady ich przyznawania są takie same w przypadku personelu </w:t>
      </w:r>
      <w:r w:rsidR="004B0FFC" w:rsidRPr="005F2138">
        <w:rPr>
          <w:rStyle w:val="normaltextrun"/>
          <w:rFonts w:ascii="Lato" w:eastAsiaTheme="majorEastAsia" w:hAnsi="Lato" w:cstheme="majorBidi"/>
          <w:iCs/>
          <w:kern w:val="32"/>
          <w:szCs w:val="26"/>
        </w:rPr>
        <w:t xml:space="preserve">przedsięwzięcia </w:t>
      </w:r>
      <w:r w:rsidRPr="005F2138">
        <w:rPr>
          <w:rStyle w:val="normaltextrun"/>
          <w:rFonts w:ascii="Lato" w:eastAsiaTheme="majorEastAsia" w:hAnsi="Lato" w:cstheme="majorBidi"/>
          <w:iCs/>
          <w:kern w:val="32"/>
          <w:szCs w:val="26"/>
        </w:rPr>
        <w:t>oraz pozostałych pracowników OOW,</w:t>
      </w:r>
    </w:p>
    <w:p w14:paraId="1725AD0B" w14:textId="3AC10392" w:rsidR="00593E3A" w:rsidRPr="005F2138" w:rsidRDefault="00593E3A" w:rsidP="00990CE8">
      <w:pPr>
        <w:pStyle w:val="Akapitzlist"/>
        <w:numPr>
          <w:ilvl w:val="1"/>
          <w:numId w:val="50"/>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koszt zaangażowania personelu </w:t>
      </w:r>
      <w:r w:rsidR="004B0FFC" w:rsidRPr="005F2138">
        <w:rPr>
          <w:rStyle w:val="normaltextrun"/>
          <w:rFonts w:ascii="Lato" w:eastAsiaTheme="majorEastAsia" w:hAnsi="Lato" w:cstheme="majorBidi"/>
          <w:iCs/>
          <w:kern w:val="32"/>
          <w:szCs w:val="26"/>
        </w:rPr>
        <w:t xml:space="preserve">przedsięwzięcia </w:t>
      </w:r>
      <w:r w:rsidRPr="005F2138">
        <w:rPr>
          <w:rStyle w:val="normaltextrun"/>
          <w:rFonts w:ascii="Lato" w:eastAsiaTheme="majorEastAsia" w:hAnsi="Lato" w:cstheme="majorBidi"/>
          <w:iCs/>
          <w:kern w:val="32"/>
          <w:szCs w:val="26"/>
        </w:rPr>
        <w:t>zatrudnionego jednocześnie na podstawie stosunku pracy w IOI i OOW, gdy zachodzi konflikt interesów rozumiany jako naruszenie zasady bezinteresowności i</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jakimkolwiek krajem, interes </w:t>
      </w:r>
      <w:r w:rsidRPr="005F2138">
        <w:rPr>
          <w:rStyle w:val="normaltextrun"/>
          <w:rFonts w:ascii="Lato" w:eastAsiaTheme="majorEastAsia" w:hAnsi="Lato" w:cstheme="majorBidi"/>
          <w:iCs/>
          <w:kern w:val="32"/>
          <w:szCs w:val="26"/>
        </w:rPr>
        <w:lastRenderedPageBreak/>
        <w:t>gospodarczy lub jakiekolwiek inne</w:t>
      </w:r>
      <w:r w:rsidR="003B0BFA"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bezpośrednie lub pośrednie interesy osobiste</w:t>
      </w:r>
      <w:r w:rsidR="00F77D1B" w:rsidRPr="005F2138">
        <w:rPr>
          <w:rStyle w:val="normaltextrun"/>
          <w:rFonts w:ascii="Lato" w:eastAsiaTheme="majorEastAsia" w:hAnsi="Lato" w:cstheme="majorBidi"/>
          <w:iCs/>
          <w:kern w:val="32"/>
          <w:szCs w:val="26"/>
        </w:rPr>
        <w:t>,</w:t>
      </w:r>
    </w:p>
    <w:p w14:paraId="6E07A85F" w14:textId="09DFA20C" w:rsidR="00477B5F" w:rsidRPr="005F2138" w:rsidRDefault="002402F8" w:rsidP="00990CE8">
      <w:pPr>
        <w:pStyle w:val="Akapitzlist"/>
        <w:numPr>
          <w:ilvl w:val="0"/>
          <w:numId w:val="50"/>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B</w:t>
      </w:r>
      <w:r w:rsidR="00F77D1B" w:rsidRPr="005F2138">
        <w:rPr>
          <w:rStyle w:val="normaltextrun"/>
          <w:rFonts w:ascii="Lato" w:eastAsiaTheme="majorEastAsia" w:hAnsi="Lato" w:cstheme="majorBidi"/>
          <w:iCs/>
          <w:kern w:val="32"/>
          <w:szCs w:val="26"/>
        </w:rPr>
        <w:t>ieżące naprawy i konserwacje budynku</w:t>
      </w:r>
      <w:r w:rsidR="00A53B37" w:rsidRPr="005F2138">
        <w:rPr>
          <w:rStyle w:val="normaltextrun"/>
          <w:rFonts w:ascii="Lato" w:eastAsiaTheme="majorEastAsia" w:hAnsi="Lato" w:cstheme="majorBidi"/>
          <w:iCs/>
          <w:kern w:val="32"/>
          <w:szCs w:val="26"/>
        </w:rPr>
        <w:t>, którego własność została przeniesiona na Ostatecznego odbiorcę wsparcia na podstawie umowy sprzedaży lub który został nabyty przez Ostatecznego odbiorcę wsparcia równocześnie z objęciem w</w:t>
      </w:r>
      <w:r w:rsidR="00CF328E" w:rsidRPr="005F2138">
        <w:rPr>
          <w:rStyle w:val="normaltextrun"/>
          <w:rFonts w:ascii="Lato" w:eastAsiaTheme="majorEastAsia" w:hAnsi="Lato" w:cstheme="majorBidi"/>
          <w:iCs/>
          <w:kern w:val="32"/>
          <w:szCs w:val="26"/>
        </w:rPr>
        <w:t> </w:t>
      </w:r>
      <w:r w:rsidR="00A53B37" w:rsidRPr="005F2138">
        <w:rPr>
          <w:rStyle w:val="normaltextrun"/>
          <w:rFonts w:ascii="Lato" w:eastAsiaTheme="majorEastAsia" w:hAnsi="Lato" w:cstheme="majorBidi"/>
          <w:iCs/>
          <w:kern w:val="32"/>
          <w:szCs w:val="26"/>
        </w:rPr>
        <w:t>użytkowanie wieczyste nieruchomości gruntowej zabudowanej</w:t>
      </w:r>
      <w:r w:rsidR="00F77D1B" w:rsidRPr="005F2138">
        <w:rPr>
          <w:rStyle w:val="normaltextrun"/>
          <w:rFonts w:ascii="Lato" w:eastAsiaTheme="majorEastAsia" w:hAnsi="Lato" w:cstheme="majorBidi"/>
          <w:iCs/>
          <w:kern w:val="32"/>
          <w:szCs w:val="26"/>
        </w:rPr>
        <w:t xml:space="preserve"> zgodnie z</w:t>
      </w:r>
      <w:r w:rsidR="00CF328E" w:rsidRPr="005F2138">
        <w:rPr>
          <w:rStyle w:val="normaltextrun"/>
          <w:rFonts w:ascii="Lato" w:eastAsiaTheme="majorEastAsia" w:hAnsi="Lato" w:cstheme="majorBidi"/>
          <w:iCs/>
          <w:kern w:val="32"/>
          <w:szCs w:val="26"/>
        </w:rPr>
        <w:t> </w:t>
      </w:r>
      <w:r w:rsidR="00F77D1B" w:rsidRPr="005F2138">
        <w:rPr>
          <w:rStyle w:val="normaltextrun"/>
          <w:rFonts w:ascii="Lato" w:eastAsiaTheme="majorEastAsia" w:hAnsi="Lato" w:cstheme="majorBidi"/>
          <w:iCs/>
          <w:kern w:val="32"/>
          <w:szCs w:val="26"/>
        </w:rPr>
        <w:t xml:space="preserve">treścią podrozdziału 4.6.2 i </w:t>
      </w:r>
      <w:r w:rsidR="007A0956" w:rsidRPr="005F2138">
        <w:rPr>
          <w:rStyle w:val="normaltextrun"/>
          <w:rFonts w:ascii="Lato" w:eastAsiaTheme="majorEastAsia" w:hAnsi="Lato" w:cstheme="majorBidi"/>
          <w:iCs/>
          <w:kern w:val="32"/>
          <w:szCs w:val="26"/>
        </w:rPr>
        <w:t xml:space="preserve">podrozdziału </w:t>
      </w:r>
      <w:r w:rsidR="00F77D1B" w:rsidRPr="005F2138">
        <w:rPr>
          <w:rStyle w:val="normaltextrun"/>
          <w:rFonts w:ascii="Lato" w:eastAsiaTheme="majorEastAsia" w:hAnsi="Lato" w:cstheme="majorBidi"/>
          <w:iCs/>
          <w:kern w:val="32"/>
          <w:szCs w:val="26"/>
        </w:rPr>
        <w:t>4.6.3 niniejszych Wytycznych.</w:t>
      </w:r>
      <w:r w:rsidR="007C464B" w:rsidRPr="005F2138">
        <w:rPr>
          <w:rStyle w:val="normaltextrun"/>
          <w:rFonts w:ascii="Lato" w:eastAsiaTheme="majorEastAsia" w:hAnsi="Lato" w:cstheme="majorBidi"/>
          <w:iCs/>
          <w:kern w:val="32"/>
          <w:szCs w:val="26"/>
        </w:rPr>
        <w:t xml:space="preserve"> </w:t>
      </w:r>
      <w:r w:rsidR="00477B5F" w:rsidRPr="005F2138">
        <w:rPr>
          <w:rStyle w:val="normaltextrun"/>
          <w:rFonts w:ascii="Lato" w:eastAsiaTheme="majorEastAsia" w:hAnsi="Lato" w:cstheme="majorBidi"/>
          <w:iCs/>
          <w:kern w:val="32"/>
          <w:szCs w:val="26"/>
        </w:rPr>
        <w:t xml:space="preserve">Wydatki uznane </w:t>
      </w:r>
      <w:r w:rsidR="009850DB" w:rsidRPr="005F2138">
        <w:rPr>
          <w:rStyle w:val="normaltextrun"/>
          <w:rFonts w:ascii="Lato" w:eastAsiaTheme="majorEastAsia" w:hAnsi="Lato" w:cstheme="majorBidi"/>
          <w:iCs/>
          <w:kern w:val="32"/>
          <w:szCs w:val="26"/>
        </w:rPr>
        <w:t xml:space="preserve">przez IOI </w:t>
      </w:r>
      <w:r w:rsidR="00477B5F" w:rsidRPr="005F2138">
        <w:rPr>
          <w:rStyle w:val="normaltextrun"/>
          <w:rFonts w:ascii="Lato" w:eastAsiaTheme="majorEastAsia" w:hAnsi="Lato" w:cstheme="majorBidi"/>
          <w:iCs/>
          <w:kern w:val="32"/>
          <w:szCs w:val="26"/>
        </w:rPr>
        <w:t>za niekwalifikowalne</w:t>
      </w:r>
      <w:r w:rsidR="009850DB" w:rsidRPr="005F2138">
        <w:rPr>
          <w:rStyle w:val="normaltextrun"/>
          <w:rFonts w:ascii="Lato" w:eastAsiaTheme="majorEastAsia" w:hAnsi="Lato" w:cstheme="majorBidi"/>
          <w:iCs/>
          <w:kern w:val="32"/>
          <w:szCs w:val="26"/>
        </w:rPr>
        <w:t xml:space="preserve"> </w:t>
      </w:r>
      <w:r w:rsidR="00477B5F" w:rsidRPr="005F2138">
        <w:rPr>
          <w:rStyle w:val="normaltextrun"/>
          <w:rFonts w:ascii="Lato" w:eastAsiaTheme="majorEastAsia" w:hAnsi="Lato" w:cstheme="majorBidi"/>
          <w:iCs/>
          <w:kern w:val="32"/>
          <w:szCs w:val="26"/>
        </w:rPr>
        <w:t xml:space="preserve">ponosi </w:t>
      </w:r>
      <w:r w:rsidR="003B0BFA" w:rsidRPr="005F2138">
        <w:rPr>
          <w:rStyle w:val="normaltextrun"/>
          <w:rFonts w:ascii="Lato" w:eastAsiaTheme="majorEastAsia" w:hAnsi="Lato" w:cstheme="majorBidi"/>
          <w:iCs/>
          <w:kern w:val="32"/>
          <w:szCs w:val="26"/>
        </w:rPr>
        <w:t xml:space="preserve">OOW </w:t>
      </w:r>
      <w:r w:rsidR="00477B5F" w:rsidRPr="005F2138">
        <w:rPr>
          <w:rStyle w:val="normaltextrun"/>
          <w:rFonts w:ascii="Lato" w:eastAsiaTheme="majorEastAsia" w:hAnsi="Lato" w:cstheme="majorBidi"/>
          <w:iCs/>
          <w:kern w:val="32"/>
          <w:szCs w:val="26"/>
        </w:rPr>
        <w:t xml:space="preserve">jako strona </w:t>
      </w:r>
      <w:r w:rsidR="00F77DD5" w:rsidRPr="005F2138">
        <w:rPr>
          <w:rStyle w:val="normaltextrun"/>
          <w:rFonts w:ascii="Lato" w:eastAsiaTheme="majorEastAsia" w:hAnsi="Lato" w:cstheme="majorBidi"/>
          <w:iCs/>
          <w:kern w:val="32"/>
          <w:szCs w:val="26"/>
        </w:rPr>
        <w:t>P</w:t>
      </w:r>
      <w:r w:rsidR="003B0BFA" w:rsidRPr="005F2138">
        <w:rPr>
          <w:rStyle w:val="normaltextrun"/>
          <w:rFonts w:ascii="Lato" w:eastAsiaTheme="majorEastAsia" w:hAnsi="Lato" w:cstheme="majorBidi"/>
          <w:iCs/>
          <w:kern w:val="32"/>
          <w:szCs w:val="26"/>
        </w:rPr>
        <w:t>orozumienia</w:t>
      </w:r>
      <w:r w:rsidR="00892F0D" w:rsidRPr="005F2138">
        <w:rPr>
          <w:rStyle w:val="normaltextrun"/>
          <w:rFonts w:ascii="Lato" w:eastAsiaTheme="majorEastAsia" w:hAnsi="Lato" w:cstheme="majorBidi"/>
          <w:iCs/>
          <w:kern w:val="32"/>
          <w:szCs w:val="26"/>
        </w:rPr>
        <w:t>.</w:t>
      </w:r>
    </w:p>
    <w:p w14:paraId="1C95443E" w14:textId="66E2E39E" w:rsidR="00335AD4" w:rsidRPr="00990CE8" w:rsidRDefault="00814A8C" w:rsidP="00990CE8">
      <w:pPr>
        <w:pStyle w:val="Nagwek2"/>
        <w:spacing w:before="120" w:after="120"/>
        <w:rPr>
          <w:rFonts w:ascii="Lato" w:hAnsi="Lato"/>
        </w:rPr>
      </w:pPr>
      <w:bookmarkStart w:id="10" w:name="_Toc181699365"/>
      <w:r w:rsidRPr="00990CE8">
        <w:rPr>
          <w:rFonts w:ascii="Lato" w:hAnsi="Lato"/>
        </w:rPr>
        <w:t>3</w:t>
      </w:r>
      <w:r w:rsidR="00335AD4" w:rsidRPr="00990CE8">
        <w:rPr>
          <w:rFonts w:ascii="Lato" w:hAnsi="Lato"/>
        </w:rPr>
        <w:t>.5 Zasada faktycznego poniesienia wydatku</w:t>
      </w:r>
      <w:bookmarkEnd w:id="10"/>
    </w:p>
    <w:p w14:paraId="726F5F26" w14:textId="524F97D3" w:rsidR="00477B5F" w:rsidRPr="00990CE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kern w:val="32"/>
          <w:szCs w:val="26"/>
        </w:rPr>
      </w:pPr>
      <w:r w:rsidRPr="00990CE8">
        <w:rPr>
          <w:rStyle w:val="normaltextrun"/>
          <w:rFonts w:ascii="Lato" w:eastAsiaTheme="majorEastAsia" w:hAnsi="Lato" w:cstheme="majorBidi"/>
          <w:kern w:val="32"/>
        </w:rPr>
        <w:t xml:space="preserve">Z zastrzeżeniem szczegółowych warunków i procedur ponoszenia wydatków określonych </w:t>
      </w:r>
      <w:r w:rsidR="00DD0056" w:rsidRPr="00990CE8">
        <w:rPr>
          <w:rStyle w:val="normaltextrun"/>
          <w:rFonts w:ascii="Lato" w:eastAsiaTheme="majorEastAsia" w:hAnsi="Lato" w:cstheme="majorBidi"/>
          <w:kern w:val="32"/>
        </w:rPr>
        <w:t xml:space="preserve">w </w:t>
      </w:r>
      <w:r w:rsidR="00444B61" w:rsidRPr="00990CE8">
        <w:rPr>
          <w:rFonts w:ascii="Lato" w:hAnsi="Lato"/>
        </w:rPr>
        <w:t>r</w:t>
      </w:r>
      <w:r w:rsidR="00DD0056" w:rsidRPr="00990CE8">
        <w:rPr>
          <w:rFonts w:ascii="Lato" w:hAnsi="Lato"/>
        </w:rPr>
        <w:t xml:space="preserve">egulaminie </w:t>
      </w:r>
      <w:r w:rsidR="002F182F" w:rsidRPr="00990CE8">
        <w:rPr>
          <w:rFonts w:ascii="Lato" w:hAnsi="Lato"/>
        </w:rPr>
        <w:t>wy</w:t>
      </w:r>
      <w:r w:rsidR="00DD0056" w:rsidRPr="00990CE8">
        <w:rPr>
          <w:rFonts w:ascii="Lato" w:hAnsi="Lato"/>
        </w:rPr>
        <w:t>boru przedsięwzię</w:t>
      </w:r>
      <w:r w:rsidR="002402F8" w:rsidRPr="00990CE8">
        <w:rPr>
          <w:rFonts w:ascii="Lato" w:hAnsi="Lato"/>
        </w:rPr>
        <w:t>cia</w:t>
      </w:r>
      <w:r w:rsidR="00DD0056" w:rsidRPr="00990CE8">
        <w:rPr>
          <w:rFonts w:ascii="Lato" w:hAnsi="Lato"/>
        </w:rPr>
        <w:t xml:space="preserve"> </w:t>
      </w:r>
      <w:r w:rsidRPr="00990CE8">
        <w:rPr>
          <w:rStyle w:val="normaltextrun"/>
          <w:rFonts w:ascii="Lato" w:eastAsiaTheme="majorEastAsia" w:hAnsi="Lato" w:cstheme="majorBidi"/>
          <w:kern w:val="32"/>
        </w:rPr>
        <w:t xml:space="preserve">lub w </w:t>
      </w:r>
      <w:r w:rsidR="00F77DD5" w:rsidRPr="00990CE8">
        <w:rPr>
          <w:rStyle w:val="normaltextrun"/>
          <w:rFonts w:ascii="Lato" w:eastAsiaTheme="majorEastAsia" w:hAnsi="Lato" w:cstheme="majorBidi"/>
          <w:kern w:val="32"/>
        </w:rPr>
        <w:t>P</w:t>
      </w:r>
      <w:r w:rsidR="00DD0056" w:rsidRPr="00990CE8">
        <w:rPr>
          <w:rStyle w:val="normaltextrun"/>
          <w:rFonts w:ascii="Lato" w:eastAsiaTheme="majorEastAsia" w:hAnsi="Lato" w:cstheme="majorBidi"/>
          <w:kern w:val="32"/>
        </w:rPr>
        <w:t>orozumieniu</w:t>
      </w:r>
      <w:r w:rsidRPr="00990CE8">
        <w:rPr>
          <w:rStyle w:val="normaltextrun"/>
          <w:rFonts w:ascii="Lato" w:eastAsiaTheme="majorEastAsia" w:hAnsi="Lato" w:cstheme="majorBidi"/>
          <w:kern w:val="32"/>
        </w:rPr>
        <w:t>, do</w:t>
      </w:r>
      <w:r w:rsidR="008D523C" w:rsidRPr="00990CE8">
        <w:rPr>
          <w:rStyle w:val="normaltextrun"/>
          <w:rFonts w:ascii="Lato" w:eastAsiaTheme="majorEastAsia" w:hAnsi="Lato" w:cstheme="majorBidi"/>
          <w:kern w:val="32"/>
        </w:rPr>
        <w:t> </w:t>
      </w:r>
      <w:r w:rsidRPr="00990CE8">
        <w:rPr>
          <w:rStyle w:val="normaltextrun"/>
          <w:rFonts w:ascii="Lato" w:eastAsiaTheme="majorEastAsia" w:hAnsi="Lato" w:cstheme="majorBidi"/>
          <w:kern w:val="32"/>
        </w:rPr>
        <w:t>finansowania kwalifikuje się wydatek, który został faktycznie poniesiony</w:t>
      </w:r>
      <w:r w:rsidR="00515534" w:rsidRPr="00990CE8">
        <w:rPr>
          <w:rStyle w:val="normaltextrun"/>
          <w:rFonts w:ascii="Lato" w:eastAsiaTheme="majorEastAsia" w:hAnsi="Lato" w:cstheme="majorBidi"/>
        </w:rPr>
        <w:t xml:space="preserve"> </w:t>
      </w:r>
      <w:r w:rsidR="00B315A5" w:rsidRPr="00990CE8">
        <w:rPr>
          <w:rStyle w:val="normaltextrun"/>
          <w:rFonts w:ascii="Lato" w:eastAsiaTheme="majorEastAsia" w:hAnsi="Lato" w:cstheme="majorBidi"/>
        </w:rPr>
        <w:t>lub</w:t>
      </w:r>
      <w:r w:rsidR="6DBC2027" w:rsidRPr="00990CE8">
        <w:rPr>
          <w:rStyle w:val="normaltextrun"/>
          <w:rFonts w:ascii="Lato" w:eastAsiaTheme="majorEastAsia" w:hAnsi="Lato" w:cstheme="majorBidi"/>
        </w:rPr>
        <w:t xml:space="preserve"> </w:t>
      </w:r>
      <w:r w:rsidR="00B315A5" w:rsidRPr="00990CE8">
        <w:rPr>
          <w:rStyle w:val="normaltextrun"/>
          <w:rFonts w:ascii="Lato" w:eastAsiaTheme="majorEastAsia" w:hAnsi="Lato" w:cstheme="majorBidi"/>
        </w:rPr>
        <w:t>amortyzacja</w:t>
      </w:r>
      <w:r w:rsidRPr="00990CE8">
        <w:rPr>
          <w:rStyle w:val="normaltextrun"/>
          <w:rFonts w:ascii="Lato" w:eastAsiaTheme="majorEastAsia" w:hAnsi="Lato" w:cstheme="majorBidi"/>
          <w:kern w:val="32"/>
        </w:rPr>
        <w:t>.</w:t>
      </w:r>
      <w:r w:rsidR="00044305" w:rsidRPr="00990CE8">
        <w:rPr>
          <w:rFonts w:ascii="Lato" w:hAnsi="Lato"/>
        </w:rPr>
        <w:t xml:space="preserve"> </w:t>
      </w:r>
    </w:p>
    <w:p w14:paraId="35A23A2E" w14:textId="050CD512" w:rsidR="00477B5F" w:rsidRPr="005F213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kern w:val="32"/>
        </w:rPr>
      </w:pPr>
      <w:r w:rsidRPr="00990CE8">
        <w:rPr>
          <w:rStyle w:val="normaltextrun"/>
          <w:rFonts w:ascii="Lato" w:eastAsiaTheme="majorEastAsia" w:hAnsi="Lato" w:cstheme="majorBidi"/>
          <w:kern w:val="32"/>
        </w:rPr>
        <w:t>Pod pojęciem wydatku faktycznie</w:t>
      </w:r>
      <w:r w:rsidRPr="005F2138">
        <w:rPr>
          <w:rStyle w:val="normaltextrun"/>
          <w:rFonts w:ascii="Lato" w:eastAsiaTheme="majorEastAsia" w:hAnsi="Lato" w:cstheme="majorBidi"/>
          <w:kern w:val="32"/>
        </w:rPr>
        <w:t xml:space="preserve"> poniesionego należy rozumieć wydatek poniesiony w znaczeniu kasowym, tj. jako rozchód środków pieniężnych z kasy lub rachunku płatniczego (obciążenie rachunku płatniczego</w:t>
      </w:r>
      <w:r w:rsidR="002402F8" w:rsidRPr="005F2138">
        <w:rPr>
          <w:rStyle w:val="normaltextrun"/>
          <w:rFonts w:ascii="Lato" w:eastAsiaTheme="majorEastAsia" w:hAnsi="Lato" w:cstheme="majorBidi"/>
          <w:kern w:val="32"/>
        </w:rPr>
        <w:t xml:space="preserve"> OOW</w:t>
      </w:r>
      <w:r w:rsidRPr="005F2138">
        <w:rPr>
          <w:rStyle w:val="normaltextrun"/>
          <w:rFonts w:ascii="Lato" w:eastAsiaTheme="majorEastAsia" w:hAnsi="Lato" w:cstheme="majorBidi"/>
          <w:kern w:val="32"/>
        </w:rPr>
        <w:t xml:space="preserve"> kwotą transakcji)</w:t>
      </w:r>
      <w:r w:rsidR="38B734AC" w:rsidRPr="005F2138">
        <w:rPr>
          <w:rStyle w:val="normaltextrun"/>
          <w:rFonts w:ascii="Lato" w:eastAsiaTheme="majorEastAsia" w:hAnsi="Lato" w:cstheme="majorBidi"/>
          <w:kern w:val="32"/>
        </w:rPr>
        <w:t>, z</w:t>
      </w:r>
      <w:r w:rsidR="008D523C">
        <w:rPr>
          <w:rStyle w:val="normaltextrun"/>
          <w:rFonts w:ascii="Lato" w:eastAsiaTheme="majorEastAsia" w:hAnsi="Lato" w:cstheme="majorBidi"/>
          <w:kern w:val="32"/>
        </w:rPr>
        <w:t> </w:t>
      </w:r>
      <w:r w:rsidR="5E2A6FF8" w:rsidRPr="005F2138">
        <w:rPr>
          <w:rStyle w:val="normaltextrun"/>
          <w:rFonts w:ascii="Lato" w:eastAsiaTheme="majorEastAsia" w:hAnsi="Lato" w:cstheme="majorBidi"/>
          <w:kern w:val="32"/>
        </w:rPr>
        <w:t>zastrzeżeniem</w:t>
      </w:r>
      <w:r w:rsidR="38B734AC" w:rsidRPr="005F2138">
        <w:rPr>
          <w:rStyle w:val="normaltextrun"/>
          <w:rFonts w:ascii="Lato" w:eastAsiaTheme="majorEastAsia" w:hAnsi="Lato" w:cstheme="majorBidi"/>
          <w:kern w:val="32"/>
        </w:rPr>
        <w:t xml:space="preserve">, że w przypadku amortyzacji uznaje się </w:t>
      </w:r>
      <w:r w:rsidR="214DCF56" w:rsidRPr="005F2138">
        <w:rPr>
          <w:rStyle w:val="normaltextrun"/>
          <w:rFonts w:ascii="Lato" w:eastAsiaTheme="majorEastAsia" w:hAnsi="Lato" w:cstheme="majorBidi"/>
          <w:kern w:val="32"/>
        </w:rPr>
        <w:t xml:space="preserve">za </w:t>
      </w:r>
      <w:r w:rsidR="0B9F770D" w:rsidRPr="005F2138">
        <w:rPr>
          <w:rStyle w:val="normaltextrun"/>
          <w:rFonts w:ascii="Lato" w:eastAsiaTheme="majorEastAsia" w:hAnsi="Lato" w:cstheme="majorBidi"/>
          <w:kern w:val="32"/>
        </w:rPr>
        <w:t>kwalifikowalne</w:t>
      </w:r>
      <w:r w:rsidR="214DCF56" w:rsidRPr="005F2138">
        <w:rPr>
          <w:rStyle w:val="normaltextrun"/>
          <w:rFonts w:ascii="Lato" w:eastAsiaTheme="majorEastAsia" w:hAnsi="Lato" w:cstheme="majorBidi"/>
          <w:kern w:val="32"/>
        </w:rPr>
        <w:t xml:space="preserve"> </w:t>
      </w:r>
      <w:r w:rsidR="38B734AC" w:rsidRPr="005F2138">
        <w:rPr>
          <w:rStyle w:val="normaltextrun"/>
          <w:rFonts w:ascii="Lato" w:eastAsiaTheme="majorEastAsia" w:hAnsi="Lato" w:cstheme="majorBidi"/>
          <w:kern w:val="32"/>
        </w:rPr>
        <w:t xml:space="preserve">odpisy </w:t>
      </w:r>
      <w:r w:rsidR="675C278B" w:rsidRPr="005F2138">
        <w:rPr>
          <w:rStyle w:val="normaltextrun"/>
          <w:rFonts w:ascii="Lato" w:eastAsiaTheme="majorEastAsia" w:hAnsi="Lato" w:cstheme="majorBidi"/>
          <w:kern w:val="32"/>
        </w:rPr>
        <w:t>amortyzacyjne</w:t>
      </w:r>
      <w:r w:rsidR="15EF8E98" w:rsidRPr="005F2138">
        <w:rPr>
          <w:rStyle w:val="normaltextrun"/>
          <w:rFonts w:ascii="Lato" w:eastAsiaTheme="majorEastAsia" w:hAnsi="Lato" w:cstheme="majorBidi"/>
          <w:kern w:val="32"/>
        </w:rPr>
        <w:t xml:space="preserve">, które zostały dokonane </w:t>
      </w:r>
      <w:r w:rsidR="7FE53AF9" w:rsidRPr="005F2138">
        <w:rPr>
          <w:rStyle w:val="normaltextrun"/>
          <w:rFonts w:ascii="Lato" w:eastAsiaTheme="majorEastAsia" w:hAnsi="Lato" w:cstheme="majorBidi"/>
          <w:kern w:val="32"/>
        </w:rPr>
        <w:t>zgodnie z</w:t>
      </w:r>
      <w:r w:rsidR="00D05DDC" w:rsidRPr="005F2138">
        <w:rPr>
          <w:rStyle w:val="normaltextrun"/>
          <w:rFonts w:ascii="Lato" w:eastAsiaTheme="majorEastAsia" w:hAnsi="Lato" w:cstheme="majorBidi"/>
          <w:kern w:val="32"/>
        </w:rPr>
        <w:t> </w:t>
      </w:r>
      <w:r w:rsidR="15EF8E98" w:rsidRPr="005F2138">
        <w:rPr>
          <w:rStyle w:val="normaltextrun"/>
          <w:rFonts w:ascii="Lato" w:eastAsiaTheme="majorEastAsia" w:hAnsi="Lato" w:cstheme="majorBidi"/>
          <w:kern w:val="32"/>
        </w:rPr>
        <w:t>zasadami określonymi w</w:t>
      </w:r>
      <w:r w:rsidR="008D523C">
        <w:rPr>
          <w:rStyle w:val="normaltextrun"/>
          <w:rFonts w:ascii="Lato" w:eastAsiaTheme="majorEastAsia" w:hAnsi="Lato" w:cstheme="majorBidi"/>
          <w:kern w:val="32"/>
        </w:rPr>
        <w:t> </w:t>
      </w:r>
      <w:r w:rsidR="15EF8E98" w:rsidRPr="005F2138">
        <w:rPr>
          <w:rStyle w:val="normaltextrun"/>
          <w:rFonts w:ascii="Lato" w:eastAsiaTheme="majorEastAsia" w:hAnsi="Lato" w:cstheme="majorBidi"/>
          <w:kern w:val="32"/>
        </w:rPr>
        <w:t xml:space="preserve">niniejszych </w:t>
      </w:r>
      <w:r w:rsidR="002402F8" w:rsidRPr="005F2138">
        <w:rPr>
          <w:rStyle w:val="normaltextrun"/>
          <w:rFonts w:ascii="Lato" w:eastAsiaTheme="majorEastAsia" w:hAnsi="Lato" w:cstheme="majorBidi"/>
          <w:kern w:val="32"/>
        </w:rPr>
        <w:t>W</w:t>
      </w:r>
      <w:r w:rsidR="15EF8E98" w:rsidRPr="005F2138">
        <w:rPr>
          <w:rStyle w:val="normaltextrun"/>
          <w:rFonts w:ascii="Lato" w:eastAsiaTheme="majorEastAsia" w:hAnsi="Lato" w:cstheme="majorBidi"/>
          <w:kern w:val="32"/>
        </w:rPr>
        <w:t xml:space="preserve">ytycznych oraz </w:t>
      </w:r>
      <w:r w:rsidR="00D077FB" w:rsidRPr="005F2138">
        <w:rPr>
          <w:rStyle w:val="normaltextrun"/>
          <w:rFonts w:ascii="Lato" w:eastAsiaTheme="majorEastAsia" w:hAnsi="Lato" w:cstheme="majorBidi"/>
          <w:kern w:val="32"/>
        </w:rPr>
        <w:t>zgodnie z właściwymi przepisami prawa krajowego</w:t>
      </w:r>
      <w:r w:rsidR="15EF8E98" w:rsidRPr="005F2138">
        <w:rPr>
          <w:rStyle w:val="normaltextrun"/>
          <w:rFonts w:ascii="Lato" w:eastAsiaTheme="majorEastAsia" w:hAnsi="Lato" w:cstheme="majorBidi"/>
          <w:kern w:val="32"/>
        </w:rPr>
        <w:t>.</w:t>
      </w:r>
      <w:r w:rsidR="675C278B" w:rsidRPr="005F2138">
        <w:rPr>
          <w:rStyle w:val="normaltextrun"/>
          <w:rFonts w:ascii="Lato" w:eastAsiaTheme="majorEastAsia" w:hAnsi="Lato" w:cstheme="majorBidi"/>
          <w:kern w:val="32"/>
        </w:rPr>
        <w:t xml:space="preserve"> </w:t>
      </w:r>
      <w:r w:rsidR="38B734AC" w:rsidRPr="005F2138">
        <w:rPr>
          <w:rStyle w:val="normaltextrun"/>
          <w:rFonts w:ascii="Lato" w:eastAsiaTheme="majorEastAsia" w:hAnsi="Lato" w:cstheme="majorBidi"/>
          <w:kern w:val="32"/>
        </w:rPr>
        <w:t xml:space="preserve"> </w:t>
      </w:r>
    </w:p>
    <w:p w14:paraId="2B9EB67A" w14:textId="5856CE95" w:rsidR="00477B5F" w:rsidRPr="005F213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 kwalifikowalne mogą być uznane zaliczki (na określony cel) wypłacone wykonawcy zgodnie z postanowieniami umowy w sprawie realizacji zamówienia w</w:t>
      </w:r>
      <w:r w:rsidR="008D523C">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ramach przedsięwzięcia. Jeśli element objęty zaliczką nie jest w ramach tego przedsięwzięcia kwalifikowalny lub nie zostanie faktycznie wykonany w okresie kwalifikowalności przedsięwzięcia, zaliczka przestaje być wydatkiem kwalifikowalnym.</w:t>
      </w:r>
    </w:p>
    <w:p w14:paraId="02CB2FE7" w14:textId="436BD2C1" w:rsidR="00477B5F" w:rsidRPr="005F213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Co do zasady, za kwalifikowalne uznawane są wydatki ponoszone przez </w:t>
      </w:r>
      <w:r w:rsidR="00DD0056" w:rsidRPr="005F2138">
        <w:rPr>
          <w:rStyle w:val="normaltextrun"/>
          <w:rFonts w:ascii="Lato" w:eastAsiaTheme="majorEastAsia" w:hAnsi="Lato" w:cstheme="majorBidi"/>
          <w:iCs/>
          <w:kern w:val="32"/>
          <w:szCs w:val="26"/>
        </w:rPr>
        <w:t xml:space="preserve">OOW </w:t>
      </w:r>
      <w:r w:rsidRPr="005F2138">
        <w:rPr>
          <w:rStyle w:val="normaltextrun"/>
          <w:rFonts w:ascii="Lato" w:eastAsiaTheme="majorEastAsia" w:hAnsi="Lato" w:cstheme="majorBidi"/>
          <w:iCs/>
          <w:kern w:val="32"/>
          <w:szCs w:val="26"/>
        </w:rPr>
        <w:t>na rzecz wykonawcy będącego stroną umowy w sprawie realizacji zamówienia w</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ramach przedsięwzięcia</w:t>
      </w:r>
      <w:r w:rsidR="00DD0056" w:rsidRPr="005F2138">
        <w:rPr>
          <w:rStyle w:val="normaltextrun"/>
          <w:rFonts w:ascii="Lato" w:eastAsiaTheme="majorEastAsia" w:hAnsi="Lato" w:cstheme="majorBidi"/>
          <w:iCs/>
          <w:kern w:val="32"/>
          <w:szCs w:val="26"/>
        </w:rPr>
        <w:t>,</w:t>
      </w:r>
      <w:r w:rsidRPr="005F2138">
        <w:rPr>
          <w:rStyle w:val="normaltextrun"/>
          <w:rFonts w:ascii="Lato" w:eastAsiaTheme="majorEastAsia" w:hAnsi="Lato" w:cstheme="majorBidi"/>
          <w:iCs/>
          <w:kern w:val="32"/>
          <w:szCs w:val="26"/>
        </w:rPr>
        <w:t xml:space="preserve"> zawartej z </w:t>
      </w:r>
      <w:r w:rsidR="00DD0056"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 xml:space="preserve">. Wydatki ponoszone przez </w:t>
      </w:r>
      <w:r w:rsidR="00DD0056"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 xml:space="preserve"> na rzecz innych podmiotów uczestniczących w realizacji tej umowy, w tym </w:t>
      </w:r>
      <w:r w:rsidRPr="005F2138">
        <w:rPr>
          <w:rStyle w:val="normaltextrun"/>
          <w:rFonts w:ascii="Lato" w:eastAsiaTheme="majorEastAsia" w:hAnsi="Lato" w:cstheme="majorBidi"/>
          <w:iCs/>
          <w:kern w:val="32"/>
          <w:szCs w:val="26"/>
        </w:rPr>
        <w:lastRenderedPageBreak/>
        <w:t>podwykonawców, mogą zostać uznane za kwalifikowalne w następujących przypadkach:</w:t>
      </w:r>
    </w:p>
    <w:p w14:paraId="47F972A1" w14:textId="60C1E328"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w przypadku dokonania przez wykonawcę cesji wierzytelności, wydatki poniesione przez </w:t>
      </w:r>
      <w:r w:rsidR="002C62DF" w:rsidRPr="005F2138">
        <w:rPr>
          <w:rStyle w:val="normaltextrun"/>
          <w:rFonts w:ascii="Lato" w:eastAsiaTheme="majorEastAsia" w:hAnsi="Lato" w:cstheme="majorBidi"/>
          <w:kern w:val="32"/>
        </w:rPr>
        <w:t>OOW</w:t>
      </w:r>
      <w:r w:rsidRPr="005F2138">
        <w:rPr>
          <w:rStyle w:val="normaltextrun"/>
          <w:rFonts w:ascii="Lato" w:eastAsiaTheme="majorEastAsia" w:hAnsi="Lato" w:cstheme="majorBidi"/>
          <w:kern w:val="32"/>
        </w:rPr>
        <w:t xml:space="preserve"> (zamawiającego) na rachunek płatniczy cesjonariusza mogą być uznane za kwalifikowalne, jeśli zostaną poniesione zgodnie z pozostałymi wymogami dotyczącymi</w:t>
      </w:r>
      <w:r w:rsidR="00F57356" w:rsidRPr="005F2138">
        <w:rPr>
          <w:rStyle w:val="normaltextrun"/>
          <w:rFonts w:ascii="Lato" w:eastAsiaTheme="majorEastAsia" w:hAnsi="Lato" w:cstheme="majorBidi"/>
          <w:kern w:val="32"/>
        </w:rPr>
        <w:t xml:space="preserve"> </w:t>
      </w:r>
      <w:r w:rsidRPr="005F2138">
        <w:rPr>
          <w:rStyle w:val="normaltextrun"/>
          <w:rFonts w:ascii="Lato" w:eastAsiaTheme="majorEastAsia" w:hAnsi="Lato" w:cstheme="majorBidi"/>
          <w:kern w:val="32"/>
        </w:rPr>
        <w:t>kwalifik</w:t>
      </w:r>
      <w:r w:rsidR="00846BB9" w:rsidRPr="005F2138">
        <w:rPr>
          <w:rStyle w:val="normaltextrun"/>
          <w:rFonts w:ascii="Lato" w:eastAsiaTheme="majorEastAsia" w:hAnsi="Lato" w:cstheme="majorBidi"/>
          <w:kern w:val="32"/>
        </w:rPr>
        <w:t xml:space="preserve">owalności </w:t>
      </w:r>
      <w:r w:rsidRPr="005F2138">
        <w:rPr>
          <w:rStyle w:val="normaltextrun"/>
          <w:rFonts w:ascii="Lato" w:eastAsiaTheme="majorEastAsia" w:hAnsi="Lato" w:cstheme="majorBidi"/>
          <w:kern w:val="32"/>
        </w:rPr>
        <w:t>wydatków, pod warunkiem dokonania cesji zgodnie z</w:t>
      </w:r>
      <w:r w:rsidR="00514F99"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prawem, w tym zgodnie z</w:t>
      </w:r>
      <w:r w:rsidR="008D523C">
        <w:rPr>
          <w:rStyle w:val="normaltextrun"/>
          <w:rFonts w:ascii="Lato" w:eastAsiaTheme="majorEastAsia" w:hAnsi="Lato" w:cstheme="majorBidi"/>
          <w:kern w:val="32"/>
        </w:rPr>
        <w:t> </w:t>
      </w:r>
      <w:r w:rsidR="002402F8" w:rsidRPr="005F2138">
        <w:rPr>
          <w:rStyle w:val="normaltextrun"/>
          <w:rFonts w:ascii="Lato" w:eastAsiaTheme="majorEastAsia" w:hAnsi="Lato" w:cstheme="majorBidi"/>
          <w:kern w:val="32"/>
        </w:rPr>
        <w:t>k</w:t>
      </w:r>
      <w:r w:rsidRPr="005F2138">
        <w:rPr>
          <w:rStyle w:val="normaltextrun"/>
          <w:rFonts w:ascii="Lato" w:eastAsiaTheme="majorEastAsia" w:hAnsi="Lato" w:cstheme="majorBidi"/>
          <w:kern w:val="32"/>
        </w:rPr>
        <w:t>odeks</w:t>
      </w:r>
      <w:r w:rsidR="0068049F" w:rsidRPr="005F2138">
        <w:rPr>
          <w:rStyle w:val="normaltextrun"/>
          <w:rFonts w:ascii="Lato" w:eastAsiaTheme="majorEastAsia" w:hAnsi="Lato" w:cstheme="majorBidi"/>
          <w:kern w:val="32"/>
        </w:rPr>
        <w:t>em</w:t>
      </w:r>
      <w:r w:rsidRPr="005F2138">
        <w:rPr>
          <w:rStyle w:val="normaltextrun"/>
          <w:rFonts w:ascii="Lato" w:eastAsiaTheme="majorEastAsia" w:hAnsi="Lato" w:cstheme="majorBidi"/>
          <w:kern w:val="32"/>
        </w:rPr>
        <w:t xml:space="preserve"> </w:t>
      </w:r>
      <w:r w:rsidR="002402F8" w:rsidRPr="005F2138">
        <w:rPr>
          <w:rStyle w:val="normaltextrun"/>
          <w:rFonts w:ascii="Lato" w:eastAsiaTheme="majorEastAsia" w:hAnsi="Lato" w:cstheme="majorBidi"/>
          <w:kern w:val="32"/>
        </w:rPr>
        <w:t>c</w:t>
      </w:r>
      <w:r w:rsidRPr="005F2138">
        <w:rPr>
          <w:rStyle w:val="normaltextrun"/>
          <w:rFonts w:ascii="Lato" w:eastAsiaTheme="majorEastAsia" w:hAnsi="Lato" w:cstheme="majorBidi"/>
          <w:kern w:val="32"/>
        </w:rPr>
        <w:t>ywilny</w:t>
      </w:r>
      <w:r w:rsidR="0068049F" w:rsidRPr="005F2138">
        <w:rPr>
          <w:rStyle w:val="normaltextrun"/>
          <w:rFonts w:ascii="Lato" w:eastAsiaTheme="majorEastAsia" w:hAnsi="Lato" w:cstheme="majorBidi"/>
          <w:kern w:val="32"/>
        </w:rPr>
        <w:t>m</w:t>
      </w:r>
      <w:r w:rsidRPr="005F2138">
        <w:rPr>
          <w:rStyle w:val="normaltextrun"/>
          <w:rFonts w:ascii="Lato" w:eastAsiaTheme="majorEastAsia" w:hAnsi="Lato" w:cstheme="majorBidi"/>
          <w:kern w:val="32"/>
        </w:rPr>
        <w:t>,</w:t>
      </w:r>
    </w:p>
    <w:p w14:paraId="47AF6FCB" w14:textId="38E98942"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w przypadku, gdy </w:t>
      </w:r>
      <w:r w:rsidR="002C62DF" w:rsidRPr="005F2138">
        <w:rPr>
          <w:rStyle w:val="normaltextrun"/>
          <w:rFonts w:ascii="Lato" w:eastAsiaTheme="majorEastAsia" w:hAnsi="Lato" w:cstheme="majorBidi"/>
          <w:kern w:val="32"/>
        </w:rPr>
        <w:t xml:space="preserve">OOW </w:t>
      </w:r>
      <w:r w:rsidRPr="005F2138">
        <w:rPr>
          <w:rStyle w:val="normaltextrun"/>
          <w:rFonts w:ascii="Lato" w:eastAsiaTheme="majorEastAsia" w:hAnsi="Lato" w:cstheme="majorBidi"/>
          <w:kern w:val="32"/>
        </w:rPr>
        <w:t xml:space="preserve">dokonuje płatności bezpośrednio na rzecz podwykonawcy, zgodnie z art. 647¹ </w:t>
      </w:r>
      <w:r w:rsidR="002402F8" w:rsidRPr="005F2138">
        <w:rPr>
          <w:rStyle w:val="normaltextrun"/>
          <w:rFonts w:ascii="Lato" w:eastAsiaTheme="majorEastAsia" w:hAnsi="Lato" w:cstheme="majorBidi"/>
          <w:kern w:val="32"/>
        </w:rPr>
        <w:t>k</w:t>
      </w:r>
      <w:r w:rsidRPr="005F2138">
        <w:rPr>
          <w:rStyle w:val="normaltextrun"/>
          <w:rFonts w:ascii="Lato" w:eastAsiaTheme="majorEastAsia" w:hAnsi="Lato" w:cstheme="majorBidi"/>
          <w:kern w:val="32"/>
        </w:rPr>
        <w:t>odeks</w:t>
      </w:r>
      <w:r w:rsidR="0068049F" w:rsidRPr="005F2138">
        <w:rPr>
          <w:rStyle w:val="normaltextrun"/>
          <w:rFonts w:ascii="Lato" w:eastAsiaTheme="majorEastAsia" w:hAnsi="Lato" w:cstheme="majorBidi"/>
          <w:kern w:val="32"/>
        </w:rPr>
        <w:t>u</w:t>
      </w:r>
      <w:r w:rsidRPr="005F2138">
        <w:rPr>
          <w:rStyle w:val="normaltextrun"/>
          <w:rFonts w:ascii="Lato" w:eastAsiaTheme="majorEastAsia" w:hAnsi="Lato" w:cstheme="majorBidi"/>
          <w:kern w:val="32"/>
        </w:rPr>
        <w:t xml:space="preserve"> </w:t>
      </w:r>
      <w:r w:rsidR="002402F8" w:rsidRPr="005F2138">
        <w:rPr>
          <w:rStyle w:val="normaltextrun"/>
          <w:rFonts w:ascii="Lato" w:eastAsiaTheme="majorEastAsia" w:hAnsi="Lato" w:cstheme="majorBidi"/>
          <w:kern w:val="32"/>
        </w:rPr>
        <w:t>c</w:t>
      </w:r>
      <w:r w:rsidR="0068049F" w:rsidRPr="005F2138">
        <w:rPr>
          <w:rStyle w:val="normaltextrun"/>
          <w:rFonts w:ascii="Lato" w:eastAsiaTheme="majorEastAsia" w:hAnsi="Lato" w:cstheme="majorBidi"/>
          <w:kern w:val="32"/>
        </w:rPr>
        <w:t xml:space="preserve">ywilnego </w:t>
      </w:r>
      <w:r w:rsidRPr="005F2138">
        <w:rPr>
          <w:rStyle w:val="normaltextrun"/>
          <w:rFonts w:ascii="Lato" w:eastAsiaTheme="majorEastAsia" w:hAnsi="Lato" w:cstheme="majorBidi"/>
          <w:kern w:val="32"/>
        </w:rPr>
        <w:t xml:space="preserve">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02C62DF" w:rsidRPr="005F2138">
        <w:rPr>
          <w:rStyle w:val="normaltextrun"/>
          <w:rFonts w:ascii="Lato" w:eastAsiaTheme="majorEastAsia" w:hAnsi="Lato" w:cstheme="majorBidi"/>
          <w:kern w:val="32"/>
        </w:rPr>
        <w:t>OOW</w:t>
      </w:r>
      <w:r w:rsidRPr="005F2138">
        <w:rPr>
          <w:rStyle w:val="normaltextrun"/>
          <w:rFonts w:ascii="Lato" w:eastAsiaTheme="majorEastAsia" w:hAnsi="Lato" w:cstheme="majorBidi"/>
          <w:kern w:val="32"/>
        </w:rPr>
        <w:t xml:space="preserve"> nie dokonał dwukrotnej płatności za ten sam zakres wykonanych robót,</w:t>
      </w:r>
    </w:p>
    <w:p w14:paraId="30609F68" w14:textId="7243873C"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zajęcia płatności na rzecz wykonawcy przez komornika wydatek poniesiony na rachunek płatniczy wskazany przez komornika może być uznany za kwalifikowalny, jeżeli został poniesiony zgodnie z</w:t>
      </w:r>
      <w:r w:rsidR="00FF7280" w:rsidRPr="005F2138">
        <w:rPr>
          <w:rStyle w:val="normaltextrun"/>
          <w:rFonts w:ascii="Lato" w:eastAsiaTheme="majorEastAsia" w:hAnsi="Lato" w:cstheme="majorBidi"/>
          <w:iCs/>
          <w:kern w:val="32"/>
          <w:szCs w:val="26"/>
        </w:rPr>
        <w:t> </w:t>
      </w:r>
      <w:r w:rsidR="00846BB9"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pozostałymi warunkami dotyczącymi kwalifik</w:t>
      </w:r>
      <w:r w:rsidR="00846BB9" w:rsidRPr="005F2138">
        <w:rPr>
          <w:rStyle w:val="normaltextrun"/>
          <w:rFonts w:ascii="Lato" w:eastAsiaTheme="majorEastAsia" w:hAnsi="Lato" w:cstheme="majorBidi"/>
          <w:iCs/>
          <w:kern w:val="32"/>
          <w:szCs w:val="26"/>
        </w:rPr>
        <w:t xml:space="preserve">owalności </w:t>
      </w:r>
      <w:r w:rsidRPr="005F2138">
        <w:rPr>
          <w:rStyle w:val="normaltextrun"/>
          <w:rFonts w:ascii="Lato" w:eastAsiaTheme="majorEastAsia" w:hAnsi="Lato" w:cstheme="majorBidi"/>
          <w:iCs/>
          <w:kern w:val="32"/>
          <w:szCs w:val="26"/>
        </w:rPr>
        <w:t>wydatków.</w:t>
      </w:r>
    </w:p>
    <w:p w14:paraId="3707E8FC" w14:textId="21D51457" w:rsidR="00477B5F" w:rsidRPr="005F213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Dowodem poniesienia wydatku </w:t>
      </w:r>
      <w:r w:rsidR="00B315A5" w:rsidRPr="005F2138">
        <w:rPr>
          <w:rStyle w:val="normaltextrun"/>
          <w:rFonts w:ascii="Lato" w:eastAsiaTheme="majorEastAsia" w:hAnsi="Lato" w:cstheme="majorBidi"/>
        </w:rPr>
        <w:t xml:space="preserve">lub amortyzacji </w:t>
      </w:r>
      <w:r w:rsidRPr="005F2138">
        <w:rPr>
          <w:rStyle w:val="normaltextrun"/>
          <w:rFonts w:ascii="Lato" w:eastAsiaTheme="majorEastAsia" w:hAnsi="Lato" w:cstheme="majorBidi"/>
          <w:kern w:val="32"/>
        </w:rPr>
        <w:t>jest zapłacona faktura</w:t>
      </w:r>
      <w:r w:rsidR="11D2F79B" w:rsidRPr="005F2138">
        <w:rPr>
          <w:rStyle w:val="normaltextrun"/>
          <w:rFonts w:ascii="Lato" w:eastAsiaTheme="majorEastAsia" w:hAnsi="Lato" w:cstheme="majorBidi"/>
          <w:kern w:val="32"/>
        </w:rPr>
        <w:t xml:space="preserve"> lub</w:t>
      </w:r>
      <w:r w:rsidR="00BD4DDF" w:rsidRPr="005F2138">
        <w:rPr>
          <w:rStyle w:val="normaltextrun"/>
          <w:rFonts w:ascii="Lato" w:eastAsiaTheme="majorEastAsia" w:hAnsi="Lato" w:cstheme="majorBidi"/>
          <w:kern w:val="32"/>
        </w:rPr>
        <w:t xml:space="preserve"> </w:t>
      </w:r>
      <w:r w:rsidRPr="005F2138">
        <w:rPr>
          <w:rStyle w:val="normaltextrun"/>
          <w:rFonts w:ascii="Lato" w:eastAsiaTheme="majorEastAsia" w:hAnsi="Lato" w:cstheme="majorBidi"/>
          <w:kern w:val="32"/>
        </w:rPr>
        <w:t>inny dokument księgowy o równoważnej wartości dowodowej</w:t>
      </w:r>
      <w:r w:rsidRPr="005F2138">
        <w:rPr>
          <w:rFonts w:ascii="Lato" w:hAnsi="Lato"/>
        </w:rPr>
        <w:t xml:space="preserve"> </w:t>
      </w:r>
      <w:r w:rsidRPr="005F2138">
        <w:rPr>
          <w:rStyle w:val="normaltextrun"/>
          <w:rFonts w:ascii="Lato" w:eastAsiaTheme="majorEastAsia" w:hAnsi="Lato" w:cstheme="majorBidi"/>
          <w:kern w:val="32"/>
        </w:rPr>
        <w:t>wraz z odpowiednim dokumentem potwierdzającym dokonanie płatności (o ile dotyczy).</w:t>
      </w:r>
    </w:p>
    <w:p w14:paraId="2FA95CB6" w14:textId="29E32E0E" w:rsidR="005E0A2A" w:rsidRPr="005F2138" w:rsidRDefault="005E0A2A"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Wydatek faktycznie poniesiony przedkładany do rozliczenia powinien być poparty w szczególności:</w:t>
      </w:r>
    </w:p>
    <w:p w14:paraId="15B71F95" w14:textId="6293293A" w:rsidR="005E0A2A" w:rsidRPr="005F2138" w:rsidRDefault="005E0A2A"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fakturą/rachunkiem z oznaczeniem zapłaty lub dokumentem księgowym o</w:t>
      </w:r>
      <w:r w:rsidR="00D05DDC"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równoważnej wartości dowodowej</w:t>
      </w:r>
      <w:r w:rsidR="00BF7416" w:rsidRPr="005F2138">
        <w:rPr>
          <w:rStyle w:val="normaltextrun"/>
          <w:rFonts w:ascii="Lato" w:eastAsiaTheme="majorEastAsia" w:hAnsi="Lato" w:cstheme="majorBidi"/>
          <w:iCs/>
          <w:kern w:val="32"/>
          <w:szCs w:val="26"/>
        </w:rPr>
        <w:t>,</w:t>
      </w:r>
    </w:p>
    <w:p w14:paraId="43EE86BE" w14:textId="630C3EFC" w:rsidR="00BF7416" w:rsidRPr="005F2138" w:rsidRDefault="00BF7416"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potwierdzeniem płatności na rzecz wykonawcy w postaci wyciągu z</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rachunku płatniczego lub tzw. historii rachunku lub potwierdzeniem dokonania (zrealizowania) przelewu lub dokumentami potwierdzającymi dokonanie płatności gotówką. Dowodem potwierdzającym poniesienie wydatku jest również wydrukowany wyciąg bankowy lub historia rachunku </w:t>
      </w:r>
      <w:r w:rsidRPr="005F2138">
        <w:rPr>
          <w:rStyle w:val="normaltextrun"/>
          <w:rFonts w:ascii="Lato" w:eastAsiaTheme="majorEastAsia" w:hAnsi="Lato" w:cstheme="majorBidi"/>
          <w:iCs/>
          <w:kern w:val="32"/>
          <w:szCs w:val="26"/>
        </w:rPr>
        <w:lastRenderedPageBreak/>
        <w:t>wygenerowana elektronicznie na podstawie art. 7 ustawy</w:t>
      </w:r>
      <w:r w:rsidR="006D75A8" w:rsidRPr="00990CE8">
        <w:rPr>
          <w:rFonts w:ascii="Lato" w:hAnsi="Lato"/>
        </w:rPr>
        <w:t xml:space="preserve"> </w:t>
      </w:r>
      <w:r w:rsidR="006D75A8" w:rsidRPr="005F2138">
        <w:rPr>
          <w:rStyle w:val="normaltextrun"/>
          <w:rFonts w:ascii="Lato" w:eastAsiaTheme="majorEastAsia" w:hAnsi="Lato" w:cstheme="majorBidi"/>
          <w:iCs/>
          <w:kern w:val="32"/>
          <w:szCs w:val="26"/>
        </w:rPr>
        <w:t>z dnia 29 sierpnia 1997 r.</w:t>
      </w:r>
      <w:r w:rsidRPr="005F2138">
        <w:rPr>
          <w:rStyle w:val="normaltextrun"/>
          <w:rFonts w:ascii="Lato" w:eastAsiaTheme="majorEastAsia" w:hAnsi="Lato" w:cstheme="majorBidi"/>
          <w:iCs/>
          <w:kern w:val="32"/>
          <w:szCs w:val="26"/>
        </w:rPr>
        <w:t xml:space="preserve"> Prawo bankowe (Dz. U. z </w:t>
      </w:r>
      <w:r w:rsidR="004F4F68" w:rsidRPr="005F2138">
        <w:rPr>
          <w:rStyle w:val="normaltextrun"/>
          <w:rFonts w:ascii="Lato" w:eastAsiaTheme="majorEastAsia" w:hAnsi="Lato" w:cstheme="majorBidi"/>
          <w:iCs/>
          <w:kern w:val="32"/>
          <w:szCs w:val="26"/>
        </w:rPr>
        <w:t>202</w:t>
      </w:r>
      <w:r w:rsidR="00EA21DA" w:rsidRPr="005F2138">
        <w:rPr>
          <w:rStyle w:val="normaltextrun"/>
          <w:rFonts w:ascii="Lato" w:eastAsiaTheme="majorEastAsia" w:hAnsi="Lato" w:cstheme="majorBidi"/>
          <w:iCs/>
          <w:kern w:val="32"/>
          <w:szCs w:val="26"/>
        </w:rPr>
        <w:t>4</w:t>
      </w:r>
      <w:r w:rsidR="002F374A" w:rsidRPr="005F2138">
        <w:rPr>
          <w:rStyle w:val="normaltextrun"/>
          <w:rFonts w:ascii="Lato" w:eastAsiaTheme="majorEastAsia" w:hAnsi="Lato" w:cstheme="majorBidi"/>
          <w:iCs/>
          <w:kern w:val="32"/>
          <w:szCs w:val="26"/>
        </w:rPr>
        <w:t xml:space="preserve"> r. poz. </w:t>
      </w:r>
      <w:r w:rsidR="00EA21DA" w:rsidRPr="005F2138">
        <w:rPr>
          <w:rStyle w:val="normaltextrun"/>
          <w:rFonts w:ascii="Lato" w:eastAsiaTheme="majorEastAsia" w:hAnsi="Lato" w:cstheme="majorBidi"/>
          <w:iCs/>
          <w:kern w:val="32"/>
          <w:szCs w:val="26"/>
        </w:rPr>
        <w:t>1646)</w:t>
      </w:r>
      <w:r w:rsidR="002F2AE0" w:rsidRPr="005F2138">
        <w:rPr>
          <w:rStyle w:val="normaltextrun"/>
          <w:rFonts w:ascii="Lato" w:eastAsiaTheme="majorEastAsia" w:hAnsi="Lato" w:cstheme="majorBidi"/>
          <w:iCs/>
          <w:kern w:val="32"/>
          <w:szCs w:val="26"/>
        </w:rPr>
        <w:t>,</w:t>
      </w:r>
      <w:r w:rsidRPr="005F2138">
        <w:rPr>
          <w:rStyle w:val="normaltextrun"/>
          <w:rFonts w:ascii="Lato" w:eastAsiaTheme="majorEastAsia" w:hAnsi="Lato" w:cstheme="majorBidi"/>
          <w:iCs/>
          <w:kern w:val="32"/>
          <w:szCs w:val="26"/>
        </w:rPr>
        <w:t xml:space="preserve"> która nie wymaga podpisu ani stempla. Warunkiem rozliczenia wydatku jest opłacenie faktury lub innego dokumentu księgowego o równoważnej wartości dowodowej w</w:t>
      </w:r>
      <w:r w:rsidR="008D523C">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całości, tj. zarówno w części kwalifikowalnej jak i</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niekwalifikowalnej,</w:t>
      </w:r>
    </w:p>
    <w:p w14:paraId="6B92E961" w14:textId="67D9482C" w:rsidR="00BF7416" w:rsidRPr="005F2138" w:rsidRDefault="00BF7416"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umową, porozumieniem lub innym dokumentem potwierdzającym wzajemne zobowiązanie stron związane z realizacją dostaw</w:t>
      </w:r>
      <w:r w:rsidR="002F2AE0" w:rsidRPr="005F2138">
        <w:rPr>
          <w:rStyle w:val="normaltextrun"/>
          <w:rFonts w:ascii="Lato" w:eastAsiaTheme="majorEastAsia" w:hAnsi="Lato" w:cstheme="majorBidi"/>
          <w:iCs/>
          <w:kern w:val="32"/>
          <w:szCs w:val="26"/>
        </w:rPr>
        <w:t>,</w:t>
      </w:r>
      <w:r w:rsidR="004C4059"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 xml:space="preserve"> usług,</w:t>
      </w:r>
      <w:r w:rsidR="002F2AE0" w:rsidRPr="005F2138">
        <w:rPr>
          <w:rStyle w:val="normaltextrun"/>
          <w:rFonts w:ascii="Lato" w:eastAsiaTheme="majorEastAsia" w:hAnsi="Lato" w:cstheme="majorBidi"/>
          <w:iCs/>
          <w:kern w:val="32"/>
          <w:szCs w:val="26"/>
        </w:rPr>
        <w:t xml:space="preserve"> robót budowlanych,</w:t>
      </w:r>
    </w:p>
    <w:p w14:paraId="41B191C7" w14:textId="15B2BF24" w:rsidR="00BF7416" w:rsidRPr="005F2138" w:rsidRDefault="00BF7416" w:rsidP="00990CE8">
      <w:pPr>
        <w:pStyle w:val="Akapitzlist"/>
        <w:numPr>
          <w:ilvl w:val="1"/>
          <w:numId w:val="51"/>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kopiami protokołów odbioru dokumentujących </w:t>
      </w:r>
      <w:r w:rsidR="38F4D0C8" w:rsidRPr="005F2138">
        <w:rPr>
          <w:rStyle w:val="normaltextrun"/>
          <w:rFonts w:ascii="Lato" w:eastAsiaTheme="majorEastAsia" w:hAnsi="Lato" w:cstheme="majorBidi"/>
          <w:kern w:val="32"/>
        </w:rPr>
        <w:t>realizacj</w:t>
      </w:r>
      <w:r w:rsidR="00EA21DA" w:rsidRPr="005F2138">
        <w:rPr>
          <w:rStyle w:val="normaltextrun"/>
          <w:rFonts w:ascii="Lato" w:eastAsiaTheme="majorEastAsia" w:hAnsi="Lato" w:cstheme="majorBidi"/>
          <w:kern w:val="32"/>
        </w:rPr>
        <w:t>ę</w:t>
      </w:r>
      <w:r w:rsidR="38F4D0C8" w:rsidRPr="005F2138">
        <w:rPr>
          <w:rStyle w:val="normaltextrun"/>
          <w:rFonts w:ascii="Lato" w:eastAsiaTheme="majorEastAsia" w:hAnsi="Lato" w:cstheme="majorBidi"/>
          <w:kern w:val="32"/>
        </w:rPr>
        <w:t xml:space="preserve"> </w:t>
      </w:r>
      <w:r w:rsidRPr="005F2138">
        <w:rPr>
          <w:rStyle w:val="normaltextrun"/>
          <w:rFonts w:ascii="Lato" w:eastAsiaTheme="majorEastAsia" w:hAnsi="Lato" w:cstheme="majorBidi"/>
          <w:kern w:val="32"/>
        </w:rPr>
        <w:t>dostaw, usług</w:t>
      </w:r>
      <w:r w:rsidR="00192A57" w:rsidRPr="005F2138">
        <w:rPr>
          <w:rStyle w:val="normaltextrun"/>
          <w:rFonts w:ascii="Lato" w:eastAsiaTheme="majorEastAsia" w:hAnsi="Lato" w:cstheme="majorBidi"/>
          <w:kern w:val="32"/>
        </w:rPr>
        <w:t>, robót budowlanych</w:t>
      </w:r>
      <w:r w:rsidRPr="005F2138">
        <w:rPr>
          <w:rStyle w:val="normaltextrun"/>
          <w:rFonts w:ascii="Lato" w:eastAsiaTheme="majorEastAsia" w:hAnsi="Lato" w:cstheme="majorBidi"/>
          <w:kern w:val="32"/>
        </w:rPr>
        <w:t xml:space="preserve"> lub innych dokumentów potwierdzających spełnienie świadczenia pomiędzy stronami,</w:t>
      </w:r>
    </w:p>
    <w:p w14:paraId="61C78DDB" w14:textId="49044184" w:rsidR="00BF7416" w:rsidRPr="005F2138" w:rsidRDefault="00BF7416"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środków trwałych, poza wskazanymi w lit. a) - d):</w:t>
      </w:r>
    </w:p>
    <w:p w14:paraId="47566B5D" w14:textId="3577FD34" w:rsidR="00BF7416" w:rsidRPr="005F2138" w:rsidRDefault="00BF7416"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dokumentem przyjęcia środka trwałego oraz wartości niematerialnych i prawnych (OT) (jeśli dotyczy),</w:t>
      </w:r>
    </w:p>
    <w:p w14:paraId="57182B33" w14:textId="77777777" w:rsidR="00BF7416" w:rsidRPr="005F2138" w:rsidRDefault="00BF7416"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zakupu nowego środka trwałego należy udokumentować fakt, że środek ten jest fabrycznie nowy. Warunek ten jest spełniony, gdy zastosowane zostanie jedno z poniższych rozwiązań:</w:t>
      </w:r>
    </w:p>
    <w:p w14:paraId="395DED56" w14:textId="623419B2" w:rsidR="00BF7416" w:rsidRPr="005F2138" w:rsidRDefault="00BF7416" w:rsidP="00990CE8">
      <w:pPr>
        <w:pStyle w:val="Akapitzlist"/>
        <w:spacing w:before="120" w:after="120"/>
        <w:ind w:left="2268" w:hanging="141"/>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umowa podpisana z dostawcą tego środka trwałego zawiera</w:t>
      </w:r>
      <w:r w:rsidR="00EA21DA" w:rsidRPr="005F2138">
        <w:rPr>
          <w:rStyle w:val="normaltextrun"/>
          <w:rFonts w:ascii="Lato" w:eastAsiaTheme="majorEastAsia" w:hAnsi="Lato" w:cstheme="majorBidi"/>
          <w:iCs/>
          <w:kern w:val="32"/>
          <w:szCs w:val="26"/>
        </w:rPr>
        <w:t xml:space="preserve"> postanowienie</w:t>
      </w:r>
      <w:r w:rsidRPr="005F2138">
        <w:rPr>
          <w:rStyle w:val="normaltextrun"/>
          <w:rFonts w:ascii="Lato" w:eastAsiaTheme="majorEastAsia" w:hAnsi="Lato" w:cstheme="majorBidi"/>
          <w:iCs/>
          <w:kern w:val="32"/>
          <w:szCs w:val="26"/>
        </w:rPr>
        <w:t xml:space="preserve"> jednoznacznie wskazując</w:t>
      </w:r>
      <w:r w:rsidR="00EA21DA" w:rsidRPr="005F2138">
        <w:rPr>
          <w:rStyle w:val="normaltextrun"/>
          <w:rFonts w:ascii="Lato" w:eastAsiaTheme="majorEastAsia" w:hAnsi="Lato" w:cstheme="majorBidi"/>
          <w:iCs/>
          <w:kern w:val="32"/>
          <w:szCs w:val="26"/>
        </w:rPr>
        <w:t>e</w:t>
      </w:r>
      <w:r w:rsidRPr="005F2138">
        <w:rPr>
          <w:rStyle w:val="normaltextrun"/>
          <w:rFonts w:ascii="Lato" w:eastAsiaTheme="majorEastAsia" w:hAnsi="Lato" w:cstheme="majorBidi"/>
          <w:iCs/>
          <w:kern w:val="32"/>
          <w:szCs w:val="26"/>
        </w:rPr>
        <w:t>, że nabywany środek trwały jest fabrycznie nowy,</w:t>
      </w:r>
    </w:p>
    <w:p w14:paraId="45170526" w14:textId="178945E3" w:rsidR="00BF7416" w:rsidRPr="005F2138" w:rsidRDefault="00BF7416" w:rsidP="00990CE8">
      <w:pPr>
        <w:pStyle w:val="Akapitzlist"/>
        <w:spacing w:before="120" w:after="120"/>
        <w:ind w:left="2268" w:hanging="141"/>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do dokumentacji dołączono oświadczenie OOW potwierdzające, że nabyty środek trwały jest fabrycznie nowy,</w:t>
      </w:r>
    </w:p>
    <w:p w14:paraId="5FFAA255" w14:textId="1D6B79DF" w:rsidR="00BF7416" w:rsidRPr="005F2138" w:rsidRDefault="00BF7416"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zakupu używanych środków trwałych:</w:t>
      </w:r>
    </w:p>
    <w:p w14:paraId="40363BEB" w14:textId="643C4AC5" w:rsidR="00BF7416" w:rsidRPr="00990CE8" w:rsidRDefault="00BF7416" w:rsidP="00990CE8">
      <w:pPr>
        <w:pStyle w:val="Akapitzlist"/>
        <w:spacing w:before="120" w:after="120"/>
        <w:ind w:left="2268" w:hanging="108"/>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 oświadczeniem podmiotu zbywającego, że </w:t>
      </w:r>
      <w:r w:rsidR="003A53EE" w:rsidRPr="005F2138">
        <w:rPr>
          <w:rStyle w:val="normaltextrun"/>
          <w:rFonts w:ascii="Lato" w:eastAsiaTheme="majorEastAsia" w:hAnsi="Lato" w:cstheme="majorBidi"/>
          <w:iCs/>
          <w:kern w:val="32"/>
          <w:szCs w:val="26"/>
        </w:rPr>
        <w:t xml:space="preserve">środek trwały </w:t>
      </w:r>
      <w:r w:rsidRPr="005F2138">
        <w:rPr>
          <w:rStyle w:val="normaltextrun"/>
          <w:rFonts w:ascii="Lato" w:eastAsiaTheme="majorEastAsia" w:hAnsi="Lato" w:cstheme="majorBidi"/>
          <w:iCs/>
          <w:kern w:val="32"/>
          <w:szCs w:val="26"/>
        </w:rPr>
        <w:t>nie był finansowany ze środków unijnych,</w:t>
      </w:r>
    </w:p>
    <w:p w14:paraId="7BA56BFA" w14:textId="741CB9C0" w:rsidR="00BF7416" w:rsidRPr="005F2138" w:rsidRDefault="00BF7416" w:rsidP="00990CE8">
      <w:pPr>
        <w:pStyle w:val="Akapitzlist"/>
        <w:spacing w:before="120" w:after="120"/>
        <w:ind w:left="2268" w:hanging="108"/>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oświadczeniem OOW, że cena używanego środka trwałego nie przekracza jego wartości rynkowej i jest niższa niż cena podobnego, nowego środka trwałego,</w:t>
      </w:r>
    </w:p>
    <w:p w14:paraId="18D8AB6D" w14:textId="780D4C6B" w:rsidR="00BF7416" w:rsidRPr="005F2138" w:rsidRDefault="00BF7416" w:rsidP="00990CE8">
      <w:pPr>
        <w:pStyle w:val="Akapitzlist"/>
        <w:spacing w:before="120" w:after="120"/>
        <w:ind w:left="2268" w:hanging="108"/>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deklaracją sprzeda</w:t>
      </w:r>
      <w:r w:rsidR="00DF7984" w:rsidRPr="005F2138">
        <w:rPr>
          <w:rStyle w:val="normaltextrun"/>
          <w:rFonts w:ascii="Lato" w:eastAsiaTheme="majorEastAsia" w:hAnsi="Lato" w:cstheme="majorBidi"/>
          <w:iCs/>
          <w:kern w:val="32"/>
          <w:szCs w:val="26"/>
        </w:rPr>
        <w:t xml:space="preserve">wcy </w:t>
      </w:r>
      <w:r w:rsidRPr="005F2138">
        <w:rPr>
          <w:rStyle w:val="normaltextrun"/>
          <w:rFonts w:ascii="Lato" w:eastAsiaTheme="majorEastAsia" w:hAnsi="Lato" w:cstheme="majorBidi"/>
          <w:iCs/>
          <w:kern w:val="32"/>
          <w:szCs w:val="26"/>
        </w:rPr>
        <w:t>określającą pochodzenie danego używanego środka trwałego,</w:t>
      </w:r>
    </w:p>
    <w:p w14:paraId="5D248F28" w14:textId="04B78F21" w:rsidR="00BF7416" w:rsidRPr="005F2138" w:rsidRDefault="00BF7416"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 xml:space="preserve">w przypadku analiz, ekspertyz, badań, opracowań itp., poza dokumentami wskazanymi w lit. a) - d) </w:t>
      </w:r>
      <w:r w:rsidR="00786C67"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 xml:space="preserve"> musi być </w:t>
      </w:r>
      <w:r w:rsidR="00786C67" w:rsidRPr="005F2138">
        <w:rPr>
          <w:rStyle w:val="normaltextrun"/>
          <w:rFonts w:ascii="Lato" w:eastAsiaTheme="majorEastAsia" w:hAnsi="Lato" w:cstheme="majorBidi"/>
          <w:iCs/>
          <w:kern w:val="32"/>
          <w:szCs w:val="26"/>
        </w:rPr>
        <w:t xml:space="preserve">także </w:t>
      </w:r>
      <w:r w:rsidRPr="005F2138">
        <w:rPr>
          <w:rStyle w:val="normaltextrun"/>
          <w:rFonts w:ascii="Lato" w:eastAsiaTheme="majorEastAsia" w:hAnsi="Lato" w:cstheme="majorBidi"/>
          <w:iCs/>
          <w:kern w:val="32"/>
          <w:szCs w:val="26"/>
        </w:rPr>
        <w:t>w posiadaniu dokumentu będącego wynikiem zleconej usługi,</w:t>
      </w:r>
    </w:p>
    <w:p w14:paraId="3457D4B1" w14:textId="64915292" w:rsidR="00786C67" w:rsidRPr="005F2138" w:rsidRDefault="00786C67"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wydatków na wynagrodzenia pracowników wykonujących czynności bezpośrednio związane z realizacją danego przedsięwzięcia oraz wynagrodzeń ujętych w kosztach pośrednich:</w:t>
      </w:r>
    </w:p>
    <w:p w14:paraId="1B060CB6" w14:textId="31399172"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wszystkimi umowami o pracę oraz decyzjami o przyznanie dodatków, premii lub innych form wynagradzania pracownika zatrudnionego w danej instytucji obowiązującymi w okresie zaangażowania pracownika w związku z realizacją przedsięwzięcia i</w:t>
      </w:r>
      <w:r w:rsidR="00CF328E"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innymi dokumentami</w:t>
      </w:r>
      <w:r w:rsidR="00FF4C46" w:rsidRPr="005F2138">
        <w:rPr>
          <w:rStyle w:val="normaltextrun"/>
          <w:rFonts w:ascii="Lato" w:eastAsiaTheme="majorEastAsia" w:hAnsi="Lato" w:cstheme="majorBidi"/>
          <w:iCs/>
          <w:kern w:val="32"/>
          <w:szCs w:val="26"/>
        </w:rPr>
        <w:t>,</w:t>
      </w:r>
      <w:r w:rsidRPr="005F2138">
        <w:rPr>
          <w:rStyle w:val="normaltextrun"/>
          <w:rFonts w:ascii="Lato" w:eastAsiaTheme="majorEastAsia" w:hAnsi="Lato" w:cstheme="majorBidi"/>
          <w:iCs/>
          <w:kern w:val="32"/>
          <w:szCs w:val="26"/>
        </w:rPr>
        <w:t xml:space="preserve"> na podstawie których następuje wypłata wynagrodzenia w ramach przedsięwzięcia,</w:t>
      </w:r>
    </w:p>
    <w:p w14:paraId="52226D7F" w14:textId="1708C06F"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regulaminem pracy i/lub regulaminem wynagradzania w instytucji,</w:t>
      </w:r>
    </w:p>
    <w:p w14:paraId="0DCF70A4" w14:textId="3B0A3349"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kartami czasu pracy i/lub listami obecności</w:t>
      </w:r>
      <w:r w:rsidR="00FF4C46" w:rsidRPr="005F2138">
        <w:rPr>
          <w:rStyle w:val="normaltextrun"/>
          <w:rFonts w:ascii="Lato" w:eastAsiaTheme="majorEastAsia" w:hAnsi="Lato" w:cstheme="majorBidi"/>
          <w:iCs/>
          <w:kern w:val="32"/>
          <w:szCs w:val="26"/>
        </w:rPr>
        <w:t>,</w:t>
      </w:r>
      <w:r w:rsidRPr="005F2138">
        <w:rPr>
          <w:rStyle w:val="normaltextrun"/>
          <w:rFonts w:ascii="Lato" w:eastAsiaTheme="majorEastAsia" w:hAnsi="Lato" w:cstheme="majorBidi"/>
          <w:iCs/>
          <w:kern w:val="32"/>
          <w:szCs w:val="26"/>
        </w:rPr>
        <w:t xml:space="preserve"> jeżeli pracownik jest rozliczany w systemie godzinowym,</w:t>
      </w:r>
    </w:p>
    <w:p w14:paraId="6A20EC56" w14:textId="305E9DBD"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dowodami zapłaty (bankowymi lub kasowymi) potwierdzającymi zapłatę wynagrodzenia wraz z potrąceniami oraz pochodnych od wynagrodzenia, w tym m.in. kwoty netto, składki</w:t>
      </w:r>
      <w:r w:rsidR="00EA21DA" w:rsidRPr="005F2138">
        <w:rPr>
          <w:rStyle w:val="normaltextrun"/>
          <w:rFonts w:ascii="Lato" w:eastAsiaTheme="majorEastAsia" w:hAnsi="Lato" w:cstheme="majorBidi"/>
          <w:iCs/>
          <w:kern w:val="32"/>
          <w:szCs w:val="26"/>
        </w:rPr>
        <w:t xml:space="preserve"> na dobrowolne ubezpieczenie pracownicze,</w:t>
      </w:r>
      <w:r w:rsidRPr="005F2138">
        <w:rPr>
          <w:rStyle w:val="normaltextrun"/>
          <w:rFonts w:ascii="Lato" w:eastAsiaTheme="majorEastAsia" w:hAnsi="Lato" w:cstheme="majorBidi"/>
          <w:iCs/>
          <w:kern w:val="32"/>
          <w:szCs w:val="26"/>
        </w:rPr>
        <w:t xml:space="preserve"> składki i</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spłaty pożyczek mieszkaniowych, składki na ubezpieczenia społeczne, składki na ubezpieczenia zdrowotne, składki na Fundusz Pracy, podatek dochodowy od osób fizycznych,</w:t>
      </w:r>
    </w:p>
    <w:p w14:paraId="0C179841" w14:textId="433D1D28"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listami płac,</w:t>
      </w:r>
    </w:p>
    <w:p w14:paraId="0038B681" w14:textId="1A9454EF"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zakresem obowiązków lub opisem stanowisk pracy, z których bezpośrednio wynika zakres czynności realizowanych przez pracownika,</w:t>
      </w:r>
    </w:p>
    <w:p w14:paraId="1ABE31E1" w14:textId="38D6197A"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dokumentacją potwierdzającą procentowe zaangażowanie pracownika w </w:t>
      </w:r>
      <w:r w:rsidR="00F5744C" w:rsidRPr="005F2138">
        <w:rPr>
          <w:rStyle w:val="normaltextrun"/>
          <w:rFonts w:ascii="Lato" w:eastAsiaTheme="majorEastAsia" w:hAnsi="Lato" w:cstheme="majorBidi"/>
          <w:iCs/>
          <w:kern w:val="32"/>
          <w:szCs w:val="26"/>
        </w:rPr>
        <w:t>przedsięwzięcie</w:t>
      </w:r>
      <w:r w:rsidRPr="005F2138">
        <w:rPr>
          <w:rStyle w:val="normaltextrun"/>
          <w:rFonts w:ascii="Lato" w:eastAsiaTheme="majorEastAsia" w:hAnsi="Lato" w:cstheme="majorBidi"/>
          <w:iCs/>
          <w:kern w:val="32"/>
          <w:szCs w:val="26"/>
        </w:rPr>
        <w:t xml:space="preserve"> w odniesieniu do jego zakresu obowiązków (jeśli nie wynika to z dokumentów wskazanych w</w:t>
      </w:r>
      <w:r w:rsidR="00D05DDC" w:rsidRPr="005F2138">
        <w:rPr>
          <w:rStyle w:val="normaltextrun"/>
          <w:rFonts w:ascii="Lato" w:eastAsiaTheme="majorEastAsia" w:hAnsi="Lato" w:cstheme="majorBidi"/>
          <w:iCs/>
          <w:kern w:val="32"/>
          <w:szCs w:val="26"/>
        </w:rPr>
        <w:t> </w:t>
      </w:r>
      <w:proofErr w:type="spellStart"/>
      <w:r w:rsidR="00D05DDC" w:rsidRPr="005F2138">
        <w:rPr>
          <w:rStyle w:val="normaltextrun"/>
          <w:rFonts w:ascii="Lato" w:eastAsiaTheme="majorEastAsia" w:hAnsi="Lato" w:cstheme="majorBidi"/>
          <w:iCs/>
          <w:kern w:val="32"/>
          <w:szCs w:val="26"/>
        </w:rPr>
        <w:t>ppkt</w:t>
      </w:r>
      <w:proofErr w:type="spellEnd"/>
      <w:r w:rsidR="00D05DDC"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vi),</w:t>
      </w:r>
    </w:p>
    <w:p w14:paraId="59980019" w14:textId="58D84C42"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 xml:space="preserve">oświadczeniem pracownika, że łączne zaangażowanie zawodowe tej osoby w realizację wszystkich </w:t>
      </w:r>
      <w:r w:rsidR="00F5744C" w:rsidRPr="005F2138">
        <w:rPr>
          <w:rStyle w:val="normaltextrun"/>
          <w:rFonts w:ascii="Lato" w:eastAsiaTheme="majorEastAsia" w:hAnsi="Lato" w:cstheme="majorBidi"/>
          <w:iCs/>
          <w:kern w:val="32"/>
          <w:szCs w:val="26"/>
        </w:rPr>
        <w:t>przedsięwzięć/</w:t>
      </w:r>
      <w:r w:rsidRPr="005F2138">
        <w:rPr>
          <w:rStyle w:val="normaltextrun"/>
          <w:rFonts w:ascii="Lato" w:eastAsiaTheme="majorEastAsia" w:hAnsi="Lato" w:cstheme="majorBidi"/>
          <w:iCs/>
          <w:kern w:val="32"/>
          <w:szCs w:val="26"/>
        </w:rPr>
        <w:t>projektów finansowanych z funduszy strukturalnych i F</w:t>
      </w:r>
      <w:r w:rsidR="001858D6" w:rsidRPr="005F2138">
        <w:rPr>
          <w:rStyle w:val="normaltextrun"/>
          <w:rFonts w:ascii="Lato" w:eastAsiaTheme="majorEastAsia" w:hAnsi="Lato" w:cstheme="majorBidi"/>
          <w:iCs/>
          <w:kern w:val="32"/>
          <w:szCs w:val="26"/>
        </w:rPr>
        <w:t xml:space="preserve">unduszu </w:t>
      </w:r>
      <w:r w:rsidRPr="005F2138">
        <w:rPr>
          <w:rStyle w:val="normaltextrun"/>
          <w:rFonts w:ascii="Lato" w:eastAsiaTheme="majorEastAsia" w:hAnsi="Lato" w:cstheme="majorBidi"/>
          <w:iCs/>
          <w:kern w:val="32"/>
          <w:szCs w:val="26"/>
        </w:rPr>
        <w:t>S</w:t>
      </w:r>
      <w:r w:rsidR="001858D6" w:rsidRPr="005F2138">
        <w:rPr>
          <w:rStyle w:val="normaltextrun"/>
          <w:rFonts w:ascii="Lato" w:eastAsiaTheme="majorEastAsia" w:hAnsi="Lato" w:cstheme="majorBidi"/>
          <w:iCs/>
          <w:kern w:val="32"/>
          <w:szCs w:val="26"/>
        </w:rPr>
        <w:t>pójności</w:t>
      </w:r>
      <w:r w:rsidRPr="005F2138">
        <w:rPr>
          <w:rStyle w:val="normaltextrun"/>
          <w:rFonts w:ascii="Lato" w:eastAsiaTheme="majorEastAsia" w:hAnsi="Lato" w:cstheme="majorBidi"/>
          <w:iCs/>
          <w:kern w:val="32"/>
          <w:szCs w:val="26"/>
        </w:rPr>
        <w:t xml:space="preserve"> oraz działań finansowanych z innych źródeł, w tym środków własnych OOW i</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innych podmiotów, nie przekracza 276 godzin miesięcznie,</w:t>
      </w:r>
    </w:p>
    <w:p w14:paraId="1D460317" w14:textId="70B576D7" w:rsidR="00786C67" w:rsidRPr="005F2138" w:rsidRDefault="00786C67"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wydatków dotyczących podróży służbowych i</w:t>
      </w:r>
      <w:r w:rsidR="00FF7280"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zakwaterowania pracowników:</w:t>
      </w:r>
    </w:p>
    <w:p w14:paraId="2D8AF348" w14:textId="056639DF"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wnioskiem/poleceniem wyjazdu służbowego </w:t>
      </w:r>
      <w:r w:rsidR="00C452BC" w:rsidRPr="005F2138">
        <w:rPr>
          <w:rStyle w:val="normaltextrun"/>
          <w:rFonts w:ascii="Lato" w:eastAsiaTheme="majorEastAsia" w:hAnsi="Lato" w:cstheme="majorBidi"/>
          <w:iCs/>
          <w:kern w:val="32"/>
          <w:szCs w:val="26"/>
        </w:rPr>
        <w:t xml:space="preserve">wskazującym na związek wyjazdu służbowego z przedsięwzięciem </w:t>
      </w:r>
      <w:r w:rsidRPr="005F2138">
        <w:rPr>
          <w:rStyle w:val="normaltextrun"/>
          <w:rFonts w:ascii="Lato" w:eastAsiaTheme="majorEastAsia" w:hAnsi="Lato" w:cstheme="majorBidi"/>
          <w:iCs/>
          <w:kern w:val="32"/>
          <w:szCs w:val="26"/>
        </w:rPr>
        <w:t>wraz z</w:t>
      </w:r>
      <w:r w:rsidR="00D7035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rozliczeniem delegacji,</w:t>
      </w:r>
      <w:r w:rsidR="00053594" w:rsidRPr="005F2138">
        <w:rPr>
          <w:rStyle w:val="normaltextrun"/>
          <w:rFonts w:ascii="Lato" w:eastAsiaTheme="majorEastAsia" w:hAnsi="Lato" w:cstheme="majorBidi"/>
          <w:iCs/>
          <w:kern w:val="32"/>
          <w:szCs w:val="26"/>
        </w:rPr>
        <w:t xml:space="preserve"> </w:t>
      </w:r>
    </w:p>
    <w:p w14:paraId="46A3D9E9" w14:textId="4EB69685"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dowodami zapłaty kwot związanych z delegacją (kwot faktur VAT/rachunków/diet/ryczałtów), a jeśli były wypłacane zaliczki także dowodami wypłaty zaliczek,</w:t>
      </w:r>
    </w:p>
    <w:p w14:paraId="16EBA7CC" w14:textId="79CCDA24"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biletami lotniczymi wystawionymi w formie papierowej lub elektronicznej, wraz z fakturami VAT i dowodami zapłaty,</w:t>
      </w:r>
    </w:p>
    <w:p w14:paraId="69910304" w14:textId="261EA5BD"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biletami kolejowymi, autobusowymi, promowymi i innymi,</w:t>
      </w:r>
    </w:p>
    <w:p w14:paraId="7B2D9C59" w14:textId="4E31708F"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fakturami VAT za bilety kolejowe, autobusowe, promowe i inne (jeśli takie wystawiono),</w:t>
      </w:r>
    </w:p>
    <w:p w14:paraId="1FD3F1C1" w14:textId="003488FF"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fakturami VAT/rachunkami za nocleg,</w:t>
      </w:r>
    </w:p>
    <w:p w14:paraId="0BE686BB" w14:textId="2122BA98" w:rsidR="00993F8D"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agendą spotkania/seminarium/konferencji,</w:t>
      </w:r>
    </w:p>
    <w:p w14:paraId="25B78CC0" w14:textId="729C8FCA" w:rsidR="00786C67" w:rsidRPr="005F2138" w:rsidRDefault="00D70359"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 </w:t>
      </w:r>
      <w:r w:rsidR="00786C67" w:rsidRPr="005F2138">
        <w:rPr>
          <w:rStyle w:val="normaltextrun"/>
          <w:rFonts w:ascii="Lato" w:eastAsiaTheme="majorEastAsia" w:hAnsi="Lato" w:cstheme="majorBidi"/>
          <w:iCs/>
          <w:kern w:val="32"/>
          <w:szCs w:val="26"/>
        </w:rPr>
        <w:t>przypadku rozliczania diet za podróże służbowe należy przedstawić informację o zapewnionych/niezapewnionych posiłkach i przejazdach,</w:t>
      </w:r>
    </w:p>
    <w:p w14:paraId="0D9F5D2C" w14:textId="6B255B43"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rozliczania ubezpieczenia na czas podróży zagranicznej należy przedstawić polisę ubezpieczeniową wraz z</w:t>
      </w:r>
      <w:r w:rsidR="00D7035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dowodem zapłaty za nią. Ubezpieczenie powinno dotyczyć tylko takich sytuacji, w</w:t>
      </w:r>
      <w:r w:rsidR="008D523C">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związku z którymi poniesienie wydatku było zasadne, konieczne i</w:t>
      </w:r>
      <w:r w:rsidR="008D523C">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nie zostało wykluczone na podstawie obowiązujących przepisów krajowych i wewnętrznych,</w:t>
      </w:r>
    </w:p>
    <w:p w14:paraId="35C61609" w14:textId="132B1B45"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rozliczania paliwa do samochodu służbowego/</w:t>
      </w:r>
      <w:r w:rsidR="00253436">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prywatnego – fakturą VAT wystawioną za zakup paliwa</w:t>
      </w:r>
      <w:r w:rsidR="00DC6B5A" w:rsidRPr="005F2138">
        <w:rPr>
          <w:rStyle w:val="normaltextrun"/>
          <w:rFonts w:ascii="Lato" w:eastAsiaTheme="majorEastAsia" w:hAnsi="Lato" w:cstheme="majorBidi"/>
          <w:iCs/>
          <w:kern w:val="32"/>
          <w:szCs w:val="26"/>
        </w:rPr>
        <w:t xml:space="preserve"> (z</w:t>
      </w:r>
      <w:r w:rsidRPr="005F2138">
        <w:rPr>
          <w:rStyle w:val="normaltextrun"/>
          <w:rFonts w:ascii="Lato" w:eastAsiaTheme="majorEastAsia" w:hAnsi="Lato" w:cstheme="majorBidi"/>
          <w:iCs/>
          <w:kern w:val="32"/>
          <w:szCs w:val="26"/>
        </w:rPr>
        <w:t xml:space="preserve"> kartą </w:t>
      </w:r>
      <w:r w:rsidRPr="005F2138">
        <w:rPr>
          <w:rStyle w:val="normaltextrun"/>
          <w:rFonts w:ascii="Lato" w:eastAsiaTheme="majorEastAsia" w:hAnsi="Lato" w:cstheme="majorBidi"/>
          <w:iCs/>
          <w:kern w:val="32"/>
          <w:szCs w:val="26"/>
        </w:rPr>
        <w:lastRenderedPageBreak/>
        <w:t xml:space="preserve">drogową samochodu służbowego </w:t>
      </w:r>
      <w:r w:rsidR="00DC6B5A" w:rsidRPr="005F2138">
        <w:rPr>
          <w:rStyle w:val="normaltextrun"/>
          <w:rFonts w:ascii="Lato" w:eastAsiaTheme="majorEastAsia" w:hAnsi="Lato" w:cstheme="majorBidi"/>
          <w:iCs/>
          <w:kern w:val="32"/>
          <w:szCs w:val="26"/>
        </w:rPr>
        <w:t xml:space="preserve">i </w:t>
      </w:r>
      <w:r w:rsidRPr="005F2138">
        <w:rPr>
          <w:rStyle w:val="normaltextrun"/>
          <w:rFonts w:ascii="Lato" w:eastAsiaTheme="majorEastAsia" w:hAnsi="Lato" w:cstheme="majorBidi"/>
          <w:iCs/>
          <w:kern w:val="32"/>
          <w:szCs w:val="26"/>
        </w:rPr>
        <w:t xml:space="preserve">kalkulacją kosztów paliwa zużytego na cel delegacji w ramach </w:t>
      </w:r>
      <w:r w:rsidR="00F5744C" w:rsidRPr="005F2138">
        <w:rPr>
          <w:rStyle w:val="normaltextrun"/>
          <w:rFonts w:ascii="Lato" w:eastAsiaTheme="majorEastAsia" w:hAnsi="Lato" w:cstheme="majorBidi"/>
          <w:iCs/>
          <w:kern w:val="32"/>
          <w:szCs w:val="26"/>
        </w:rPr>
        <w:t>przedsięwzięcia</w:t>
      </w:r>
      <w:r w:rsidR="00DC6B5A" w:rsidRPr="005F2138">
        <w:rPr>
          <w:rStyle w:val="normaltextrun"/>
          <w:rFonts w:ascii="Lato" w:eastAsiaTheme="majorEastAsia" w:hAnsi="Lato" w:cstheme="majorBidi"/>
          <w:iCs/>
          <w:kern w:val="32"/>
          <w:szCs w:val="26"/>
        </w:rPr>
        <w:t>)</w:t>
      </w:r>
      <w:r w:rsidR="001B377C" w:rsidRPr="005F2138">
        <w:rPr>
          <w:rStyle w:val="normaltextrun"/>
          <w:rFonts w:ascii="Lato" w:eastAsiaTheme="majorEastAsia" w:hAnsi="Lato" w:cstheme="majorBidi"/>
          <w:iCs/>
          <w:kern w:val="32"/>
          <w:szCs w:val="26"/>
        </w:rPr>
        <w:t xml:space="preserve"> albo innym dokumentem </w:t>
      </w:r>
      <w:r w:rsidR="00DC6B5A" w:rsidRPr="005F2138">
        <w:rPr>
          <w:rStyle w:val="normaltextrun"/>
          <w:rFonts w:ascii="Lato" w:eastAsiaTheme="majorEastAsia" w:hAnsi="Lato" w:cstheme="majorBidi"/>
          <w:iCs/>
          <w:kern w:val="32"/>
          <w:szCs w:val="26"/>
        </w:rPr>
        <w:t>(np. „</w:t>
      </w:r>
      <w:r w:rsidR="00A31E28" w:rsidRPr="005F2138">
        <w:rPr>
          <w:rStyle w:val="normaltextrun"/>
          <w:rFonts w:ascii="Lato" w:eastAsiaTheme="majorEastAsia" w:hAnsi="Lato" w:cstheme="majorBidi"/>
          <w:iCs/>
          <w:kern w:val="32"/>
          <w:szCs w:val="26"/>
        </w:rPr>
        <w:t>ewidencją przebiegu pojazdu</w:t>
      </w:r>
      <w:r w:rsidR="00DC6B5A" w:rsidRPr="005F2138">
        <w:rPr>
          <w:rStyle w:val="normaltextrun"/>
          <w:rFonts w:ascii="Lato" w:eastAsiaTheme="majorEastAsia" w:hAnsi="Lato" w:cstheme="majorBidi"/>
          <w:iCs/>
          <w:kern w:val="32"/>
          <w:szCs w:val="26"/>
        </w:rPr>
        <w:t xml:space="preserve">”) </w:t>
      </w:r>
      <w:r w:rsidR="001B377C" w:rsidRPr="005F2138">
        <w:rPr>
          <w:rStyle w:val="normaltextrun"/>
          <w:rFonts w:ascii="Lato" w:eastAsiaTheme="majorEastAsia" w:hAnsi="Lato" w:cstheme="majorBidi"/>
          <w:iCs/>
          <w:kern w:val="32"/>
          <w:szCs w:val="26"/>
        </w:rPr>
        <w:t>rozliczającym koszty używania pojazdów prywatnych/służbowych, zgodnie z</w:t>
      </w:r>
      <w:r w:rsidR="00CD0385" w:rsidRPr="005F2138">
        <w:rPr>
          <w:rStyle w:val="normaltextrun"/>
          <w:rFonts w:ascii="Lato" w:eastAsiaTheme="majorEastAsia" w:hAnsi="Lato" w:cstheme="majorBidi"/>
          <w:iCs/>
          <w:kern w:val="32"/>
          <w:szCs w:val="26"/>
        </w:rPr>
        <w:t> </w:t>
      </w:r>
      <w:r w:rsidR="001B377C" w:rsidRPr="005F2138">
        <w:rPr>
          <w:rStyle w:val="normaltextrun"/>
          <w:rFonts w:ascii="Lato" w:eastAsiaTheme="majorEastAsia" w:hAnsi="Lato" w:cstheme="majorBidi"/>
          <w:iCs/>
          <w:kern w:val="32"/>
          <w:szCs w:val="26"/>
        </w:rPr>
        <w:t xml:space="preserve">zasadami obowiązującymi </w:t>
      </w:r>
      <w:r w:rsidR="007C0A36" w:rsidRPr="005F2138">
        <w:rPr>
          <w:rStyle w:val="normaltextrun"/>
          <w:rFonts w:ascii="Lato" w:eastAsiaTheme="majorEastAsia" w:hAnsi="Lato" w:cstheme="majorBidi"/>
          <w:iCs/>
          <w:kern w:val="32"/>
          <w:szCs w:val="26"/>
        </w:rPr>
        <w:t>w</w:t>
      </w:r>
      <w:r w:rsidR="00D70359" w:rsidRPr="005F2138">
        <w:rPr>
          <w:rStyle w:val="normaltextrun"/>
          <w:rFonts w:ascii="Lato" w:eastAsiaTheme="majorEastAsia" w:hAnsi="Lato" w:cstheme="majorBidi"/>
          <w:iCs/>
          <w:kern w:val="32"/>
          <w:szCs w:val="26"/>
        </w:rPr>
        <w:t> </w:t>
      </w:r>
      <w:r w:rsidR="001B377C" w:rsidRPr="005F2138">
        <w:rPr>
          <w:rStyle w:val="normaltextrun"/>
          <w:rFonts w:ascii="Lato" w:eastAsiaTheme="majorEastAsia" w:hAnsi="Lato" w:cstheme="majorBidi"/>
          <w:iCs/>
          <w:kern w:val="32"/>
          <w:szCs w:val="26"/>
        </w:rPr>
        <w:t>OOW</w:t>
      </w:r>
      <w:r w:rsidR="007C0A36" w:rsidRPr="005F2138">
        <w:rPr>
          <w:rStyle w:val="normaltextrun"/>
          <w:rFonts w:ascii="Lato" w:eastAsiaTheme="majorEastAsia" w:hAnsi="Lato" w:cstheme="majorBidi"/>
          <w:iCs/>
          <w:kern w:val="32"/>
          <w:szCs w:val="26"/>
        </w:rPr>
        <w:t>,</w:t>
      </w:r>
    </w:p>
    <w:p w14:paraId="0B4821D4" w14:textId="0DA2F252"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rozliczenia kosztu winiet i parkingów należy przedstawić faktury VAT wystawione za winiety i parking, a gdy nie było takich faktur – wydruki poświadczające opłacenie winiety i</w:t>
      </w:r>
      <w:r w:rsidR="00D7035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parkingu,</w:t>
      </w:r>
    </w:p>
    <w:p w14:paraId="4952FBC6" w14:textId="3BDF4482" w:rsidR="00786C67" w:rsidRPr="005F2138" w:rsidRDefault="00786C67"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przekroczenia limitu hotelowego – zgodą kierownika jednostki na przekroczenie limitu hotelowego.</w:t>
      </w:r>
    </w:p>
    <w:p w14:paraId="381CB2C8" w14:textId="61A37EFB" w:rsidR="001B377C" w:rsidRPr="005F2138" w:rsidRDefault="007347D2" w:rsidP="00990CE8">
      <w:pPr>
        <w:spacing w:before="120" w:after="120"/>
        <w:ind w:left="113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Dla udokumentowani</w:t>
      </w:r>
      <w:r w:rsidR="00993F8D" w:rsidRPr="005F2138">
        <w:rPr>
          <w:rStyle w:val="normaltextrun"/>
          <w:rFonts w:ascii="Lato" w:eastAsiaTheme="majorEastAsia" w:hAnsi="Lato" w:cstheme="majorBidi"/>
          <w:iCs/>
          <w:kern w:val="32"/>
          <w:szCs w:val="26"/>
        </w:rPr>
        <w:t>a</w:t>
      </w:r>
      <w:r w:rsidRPr="005F2138">
        <w:rPr>
          <w:rStyle w:val="normaltextrun"/>
          <w:rFonts w:ascii="Lato" w:eastAsiaTheme="majorEastAsia" w:hAnsi="Lato" w:cstheme="majorBidi"/>
          <w:iCs/>
          <w:kern w:val="32"/>
          <w:szCs w:val="26"/>
        </w:rPr>
        <w:t xml:space="preserve"> wydatków </w:t>
      </w:r>
      <w:r w:rsidR="00094DED" w:rsidRPr="005F2138">
        <w:rPr>
          <w:rStyle w:val="normaltextrun"/>
          <w:rFonts w:ascii="Lato" w:eastAsiaTheme="majorEastAsia" w:hAnsi="Lato" w:cstheme="majorBidi"/>
          <w:iCs/>
          <w:kern w:val="32"/>
          <w:szCs w:val="26"/>
        </w:rPr>
        <w:t>dotyczących podróży służbowych i</w:t>
      </w:r>
      <w:r w:rsidR="00B169DB" w:rsidRPr="005F2138">
        <w:rPr>
          <w:rStyle w:val="normaltextrun"/>
          <w:rFonts w:ascii="Lato" w:eastAsiaTheme="majorEastAsia" w:hAnsi="Lato" w:cstheme="majorBidi"/>
          <w:iCs/>
          <w:kern w:val="32"/>
          <w:szCs w:val="26"/>
        </w:rPr>
        <w:t> </w:t>
      </w:r>
      <w:r w:rsidR="00094DED" w:rsidRPr="005F2138">
        <w:rPr>
          <w:rStyle w:val="normaltextrun"/>
          <w:rFonts w:ascii="Lato" w:eastAsiaTheme="majorEastAsia" w:hAnsi="Lato" w:cstheme="majorBidi"/>
          <w:iCs/>
          <w:kern w:val="32"/>
          <w:szCs w:val="26"/>
        </w:rPr>
        <w:t>zakwaterowania pracowników</w:t>
      </w:r>
      <w:r w:rsidR="00B169DB" w:rsidRPr="005F2138">
        <w:rPr>
          <w:rStyle w:val="normaltextrun"/>
          <w:rFonts w:ascii="Lato" w:eastAsiaTheme="majorEastAsia" w:hAnsi="Lato" w:cstheme="majorBidi"/>
          <w:iCs/>
          <w:kern w:val="32"/>
          <w:szCs w:val="26"/>
        </w:rPr>
        <w:t>,</w:t>
      </w:r>
      <w:r w:rsidR="00094DED"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 xml:space="preserve">dopuszczalne jest </w:t>
      </w:r>
      <w:r w:rsidR="007C0A36" w:rsidRPr="005F2138">
        <w:rPr>
          <w:rStyle w:val="normaltextrun"/>
          <w:rFonts w:ascii="Lato" w:eastAsiaTheme="majorEastAsia" w:hAnsi="Lato" w:cstheme="majorBidi"/>
          <w:iCs/>
          <w:kern w:val="32"/>
          <w:szCs w:val="26"/>
        </w:rPr>
        <w:t xml:space="preserve">przedstawienie </w:t>
      </w:r>
      <w:r w:rsidRPr="005F2138">
        <w:rPr>
          <w:rStyle w:val="normaltextrun"/>
          <w:rFonts w:ascii="Lato" w:eastAsiaTheme="majorEastAsia" w:hAnsi="Lato" w:cstheme="majorBidi"/>
          <w:iCs/>
          <w:kern w:val="32"/>
          <w:szCs w:val="26"/>
        </w:rPr>
        <w:t xml:space="preserve">jednego </w:t>
      </w:r>
      <w:r w:rsidR="00094DED" w:rsidRPr="005F2138">
        <w:rPr>
          <w:rStyle w:val="normaltextrun"/>
          <w:rFonts w:ascii="Lato" w:eastAsiaTheme="majorEastAsia" w:hAnsi="Lato" w:cstheme="majorBidi"/>
          <w:iCs/>
          <w:kern w:val="32"/>
          <w:szCs w:val="26"/>
        </w:rPr>
        <w:t xml:space="preserve">lub kilku </w:t>
      </w:r>
      <w:r w:rsidRPr="005F2138">
        <w:rPr>
          <w:rStyle w:val="normaltextrun"/>
          <w:rFonts w:ascii="Lato" w:eastAsiaTheme="majorEastAsia" w:hAnsi="Lato" w:cstheme="majorBidi"/>
          <w:iCs/>
          <w:kern w:val="32"/>
          <w:szCs w:val="26"/>
        </w:rPr>
        <w:t>dokument</w:t>
      </w:r>
      <w:r w:rsidR="00094DED" w:rsidRPr="005F2138">
        <w:rPr>
          <w:rStyle w:val="normaltextrun"/>
          <w:rFonts w:ascii="Lato" w:eastAsiaTheme="majorEastAsia" w:hAnsi="Lato" w:cstheme="majorBidi"/>
          <w:iCs/>
          <w:kern w:val="32"/>
          <w:szCs w:val="26"/>
        </w:rPr>
        <w:t>ów</w:t>
      </w:r>
      <w:r w:rsidRPr="005F2138">
        <w:rPr>
          <w:rStyle w:val="normaltextrun"/>
          <w:rFonts w:ascii="Lato" w:eastAsiaTheme="majorEastAsia" w:hAnsi="Lato" w:cstheme="majorBidi"/>
          <w:iCs/>
          <w:kern w:val="32"/>
          <w:szCs w:val="26"/>
        </w:rPr>
        <w:t xml:space="preserve"> </w:t>
      </w:r>
      <w:r w:rsidR="00DC6B5A" w:rsidRPr="005F2138">
        <w:rPr>
          <w:rStyle w:val="normaltextrun"/>
          <w:rFonts w:ascii="Lato" w:eastAsiaTheme="majorEastAsia" w:hAnsi="Lato" w:cstheme="majorBidi"/>
          <w:iCs/>
          <w:kern w:val="32"/>
          <w:szCs w:val="26"/>
        </w:rPr>
        <w:t>potwierdzając</w:t>
      </w:r>
      <w:r w:rsidR="00094DED" w:rsidRPr="005F2138">
        <w:rPr>
          <w:rStyle w:val="normaltextrun"/>
          <w:rFonts w:ascii="Lato" w:eastAsiaTheme="majorEastAsia" w:hAnsi="Lato" w:cstheme="majorBidi"/>
          <w:iCs/>
          <w:kern w:val="32"/>
          <w:szCs w:val="26"/>
        </w:rPr>
        <w:t>ych</w:t>
      </w:r>
      <w:r w:rsidRPr="005F2138">
        <w:rPr>
          <w:rStyle w:val="normaltextrun"/>
          <w:rFonts w:ascii="Lato" w:eastAsiaTheme="majorEastAsia" w:hAnsi="Lato" w:cstheme="majorBidi"/>
          <w:iCs/>
          <w:kern w:val="32"/>
          <w:szCs w:val="26"/>
        </w:rPr>
        <w:t xml:space="preserve"> </w:t>
      </w:r>
      <w:r w:rsidR="00B169DB" w:rsidRPr="005F2138">
        <w:rPr>
          <w:rStyle w:val="normaltextrun"/>
          <w:rFonts w:ascii="Lato" w:eastAsiaTheme="majorEastAsia" w:hAnsi="Lato" w:cstheme="majorBidi"/>
          <w:iCs/>
          <w:kern w:val="32"/>
          <w:szCs w:val="26"/>
        </w:rPr>
        <w:t xml:space="preserve">łączne </w:t>
      </w:r>
      <w:r w:rsidRPr="005F2138">
        <w:rPr>
          <w:rStyle w:val="normaltextrun"/>
          <w:rFonts w:ascii="Lato" w:eastAsiaTheme="majorEastAsia" w:hAnsi="Lato" w:cstheme="majorBidi"/>
          <w:iCs/>
          <w:kern w:val="32"/>
          <w:szCs w:val="26"/>
        </w:rPr>
        <w:t xml:space="preserve">poniesienie </w:t>
      </w:r>
      <w:r w:rsidR="00B169DB" w:rsidRPr="005F2138">
        <w:rPr>
          <w:rStyle w:val="normaltextrun"/>
          <w:rFonts w:ascii="Lato" w:eastAsiaTheme="majorEastAsia" w:hAnsi="Lato" w:cstheme="majorBidi"/>
          <w:iCs/>
          <w:kern w:val="32"/>
          <w:szCs w:val="26"/>
        </w:rPr>
        <w:t xml:space="preserve">kilku </w:t>
      </w:r>
      <w:r w:rsidRPr="005F2138">
        <w:rPr>
          <w:rStyle w:val="normaltextrun"/>
          <w:rFonts w:ascii="Lato" w:eastAsiaTheme="majorEastAsia" w:hAnsi="Lato" w:cstheme="majorBidi"/>
          <w:iCs/>
          <w:kern w:val="32"/>
          <w:szCs w:val="26"/>
        </w:rPr>
        <w:t xml:space="preserve">wydatków wskazanych w </w:t>
      </w:r>
      <w:proofErr w:type="spellStart"/>
      <w:r w:rsidR="00993F8D" w:rsidRPr="005F2138">
        <w:rPr>
          <w:rStyle w:val="normaltextrun"/>
          <w:rFonts w:ascii="Lato" w:eastAsiaTheme="majorEastAsia" w:hAnsi="Lato" w:cstheme="majorBidi"/>
          <w:iCs/>
          <w:kern w:val="32"/>
          <w:szCs w:val="26"/>
        </w:rPr>
        <w:t>ppkt</w:t>
      </w:r>
      <w:proofErr w:type="spellEnd"/>
      <w:r w:rsidRPr="005F2138">
        <w:rPr>
          <w:rStyle w:val="normaltextrun"/>
          <w:rFonts w:ascii="Lato" w:eastAsiaTheme="majorEastAsia" w:hAnsi="Lato" w:cstheme="majorBidi"/>
          <w:iCs/>
          <w:kern w:val="32"/>
          <w:szCs w:val="26"/>
        </w:rPr>
        <w:t xml:space="preserve"> i)-xii). Dotyczy to w szczególności sytuacji, gdy wzór wniosku/polecenia wyjazdu służbowego obowiązujący w danym OOW zawiera</w:t>
      </w:r>
      <w:r w:rsidR="00094DED" w:rsidRPr="005F2138">
        <w:rPr>
          <w:rStyle w:val="normaltextrun"/>
          <w:rFonts w:ascii="Lato" w:eastAsiaTheme="majorEastAsia" w:hAnsi="Lato" w:cstheme="majorBidi"/>
          <w:iCs/>
          <w:kern w:val="32"/>
          <w:szCs w:val="26"/>
        </w:rPr>
        <w:t xml:space="preserve"> także</w:t>
      </w:r>
      <w:r w:rsidRPr="005F2138">
        <w:rPr>
          <w:rStyle w:val="normaltextrun"/>
          <w:rFonts w:ascii="Lato" w:eastAsiaTheme="majorEastAsia" w:hAnsi="Lato" w:cstheme="majorBidi"/>
          <w:iCs/>
          <w:kern w:val="32"/>
          <w:szCs w:val="26"/>
        </w:rPr>
        <w:t xml:space="preserve"> rozliczenie innych wydatków wskazanych w </w:t>
      </w:r>
      <w:proofErr w:type="spellStart"/>
      <w:r w:rsidRPr="005F2138">
        <w:rPr>
          <w:rStyle w:val="normaltextrun"/>
          <w:rFonts w:ascii="Lato" w:eastAsiaTheme="majorEastAsia" w:hAnsi="Lato" w:cstheme="majorBidi"/>
          <w:iCs/>
          <w:kern w:val="32"/>
          <w:szCs w:val="26"/>
        </w:rPr>
        <w:t>ppkt</w:t>
      </w:r>
      <w:proofErr w:type="spellEnd"/>
      <w:r w:rsidRPr="005F2138">
        <w:rPr>
          <w:rStyle w:val="normaltextrun"/>
          <w:rFonts w:ascii="Lato" w:eastAsiaTheme="majorEastAsia" w:hAnsi="Lato" w:cstheme="majorBidi"/>
          <w:iCs/>
          <w:kern w:val="32"/>
          <w:szCs w:val="26"/>
        </w:rPr>
        <w:t xml:space="preserve"> i</w:t>
      </w:r>
      <w:r w:rsidR="00ED2384" w:rsidRPr="005F2138">
        <w:rPr>
          <w:rStyle w:val="normaltextrun"/>
          <w:rFonts w:ascii="Lato" w:eastAsiaTheme="majorEastAsia" w:hAnsi="Lato" w:cstheme="majorBidi"/>
          <w:iCs/>
          <w:kern w:val="32"/>
          <w:szCs w:val="26"/>
        </w:rPr>
        <w:t>i</w:t>
      </w:r>
      <w:r w:rsidRPr="005F2138">
        <w:rPr>
          <w:rStyle w:val="normaltextrun"/>
          <w:rFonts w:ascii="Lato" w:eastAsiaTheme="majorEastAsia" w:hAnsi="Lato" w:cstheme="majorBidi"/>
          <w:iCs/>
          <w:kern w:val="32"/>
          <w:szCs w:val="26"/>
        </w:rPr>
        <w:t>)-xii)</w:t>
      </w:r>
      <w:r w:rsidR="00DC6B5A" w:rsidRPr="005F2138">
        <w:rPr>
          <w:rStyle w:val="normaltextrun"/>
          <w:rFonts w:ascii="Lato" w:eastAsiaTheme="majorEastAsia" w:hAnsi="Lato" w:cstheme="majorBidi"/>
          <w:iCs/>
          <w:kern w:val="32"/>
          <w:szCs w:val="26"/>
        </w:rPr>
        <w:t>.</w:t>
      </w:r>
    </w:p>
    <w:p w14:paraId="7C6F3249" w14:textId="4F431413" w:rsidR="006664B1" w:rsidRPr="005F2138" w:rsidRDefault="006664B1"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Przez dokument o równoważnej wartości dowodowej należy rozumieć każdy dokument przedstawiony przez OOW w celu potwierdzenia, że zapis księgowy podaje prawdziwy i rzetelny obraz transakcji faktycznie wykonanych, zgodnie z</w:t>
      </w:r>
      <w:r w:rsidR="00D7035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ustawą o rachunkowości.</w:t>
      </w:r>
    </w:p>
    <w:p w14:paraId="4581C9BD" w14:textId="77777777" w:rsidR="00477B5F" w:rsidRPr="005F2138" w:rsidRDefault="00477B5F"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 datę poniesienia wydatku przyjmuje się:</w:t>
      </w:r>
    </w:p>
    <w:p w14:paraId="1F25285C" w14:textId="77777777"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wydatków pieniężnych:</w:t>
      </w:r>
    </w:p>
    <w:p w14:paraId="6F8A1CF2" w14:textId="77777777" w:rsidR="00477B5F" w:rsidRPr="005F2138" w:rsidRDefault="00477B5F"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dokonanych przelewem lub obciążeniową kartą płatniczą – datę obciążenia rachunku płatniczego, tj. datę księgowania operacji,</w:t>
      </w:r>
    </w:p>
    <w:p w14:paraId="208573B7" w14:textId="77777777" w:rsidR="00477B5F" w:rsidRPr="005F2138" w:rsidRDefault="00477B5F"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dokonanych kartą kredytową lub podobnym instrumentem płatniczym o odroczonej płatności – datę transakcji skutkującej obciążeniem rachunku karty kredytowej lub podobnego instrumentu,</w:t>
      </w:r>
    </w:p>
    <w:p w14:paraId="3AB4FA70" w14:textId="77777777" w:rsidR="00477B5F" w:rsidRPr="005F2138" w:rsidRDefault="00477B5F"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dokonanych gotówką – datę faktycznego dokonania płatności,</w:t>
      </w:r>
    </w:p>
    <w:p w14:paraId="4BF8750D" w14:textId="77777777"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w przypadku amortyzacji – datę dokonania odpisu amortyzacyjnego,</w:t>
      </w:r>
    </w:p>
    <w:p w14:paraId="15AF4FD0" w14:textId="62957D3C"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w przypadku potrącenia – datę, w której potrącenie staje się możliwe zgodnie z art. 499 </w:t>
      </w:r>
      <w:r w:rsidR="003D0A86" w:rsidRPr="005F2138">
        <w:rPr>
          <w:rStyle w:val="normaltextrun"/>
          <w:rFonts w:ascii="Lato" w:eastAsiaTheme="majorEastAsia" w:hAnsi="Lato" w:cstheme="majorBidi"/>
          <w:kern w:val="32"/>
        </w:rPr>
        <w:t>k</w:t>
      </w:r>
      <w:r w:rsidRPr="005F2138">
        <w:rPr>
          <w:rStyle w:val="normaltextrun"/>
          <w:rFonts w:ascii="Lato" w:eastAsiaTheme="majorEastAsia" w:hAnsi="Lato" w:cstheme="majorBidi"/>
          <w:kern w:val="32"/>
        </w:rPr>
        <w:t>odeks</w:t>
      </w:r>
      <w:r w:rsidR="002C62DF" w:rsidRPr="005F2138">
        <w:rPr>
          <w:rStyle w:val="normaltextrun"/>
          <w:rFonts w:ascii="Lato" w:eastAsiaTheme="majorEastAsia" w:hAnsi="Lato" w:cstheme="majorBidi"/>
          <w:kern w:val="32"/>
        </w:rPr>
        <w:t>u</w:t>
      </w:r>
      <w:r w:rsidRPr="005F2138">
        <w:rPr>
          <w:rStyle w:val="normaltextrun"/>
          <w:rFonts w:ascii="Lato" w:eastAsiaTheme="majorEastAsia" w:hAnsi="Lato" w:cstheme="majorBidi"/>
          <w:kern w:val="32"/>
        </w:rPr>
        <w:t xml:space="preserve"> </w:t>
      </w:r>
      <w:r w:rsidR="003D0A86" w:rsidRPr="005F2138">
        <w:rPr>
          <w:rStyle w:val="normaltextrun"/>
          <w:rFonts w:ascii="Lato" w:eastAsiaTheme="majorEastAsia" w:hAnsi="Lato" w:cstheme="majorBidi"/>
          <w:kern w:val="32"/>
        </w:rPr>
        <w:t>c</w:t>
      </w:r>
      <w:r w:rsidRPr="005F2138">
        <w:rPr>
          <w:rStyle w:val="normaltextrun"/>
          <w:rFonts w:ascii="Lato" w:eastAsiaTheme="majorEastAsia" w:hAnsi="Lato" w:cstheme="majorBidi"/>
          <w:kern w:val="32"/>
        </w:rPr>
        <w:t>ywiln</w:t>
      </w:r>
      <w:r w:rsidR="002C62DF" w:rsidRPr="005F2138">
        <w:rPr>
          <w:rStyle w:val="normaltextrun"/>
          <w:rFonts w:ascii="Lato" w:eastAsiaTheme="majorEastAsia" w:hAnsi="Lato" w:cstheme="majorBidi"/>
          <w:kern w:val="32"/>
        </w:rPr>
        <w:t>ego</w:t>
      </w:r>
      <w:r w:rsidRPr="005F2138">
        <w:rPr>
          <w:rStyle w:val="normaltextrun"/>
          <w:rFonts w:ascii="Lato" w:eastAsiaTheme="majorEastAsia" w:hAnsi="Lato" w:cstheme="majorBidi"/>
          <w:kern w:val="32"/>
        </w:rPr>
        <w:t>,</w:t>
      </w:r>
    </w:p>
    <w:p w14:paraId="01959B1C" w14:textId="77777777"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depozytu sądowego – datę faktycznego wniesienia depozytu do sądu,</w:t>
      </w:r>
    </w:p>
    <w:p w14:paraId="636C2BA8" w14:textId="77777777" w:rsidR="00477B5F" w:rsidRPr="005F2138" w:rsidRDefault="00477B5F"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rozliczeń na podstawie noty księgowej – datę zaksięgowania noty.</w:t>
      </w:r>
    </w:p>
    <w:p w14:paraId="56D4652E" w14:textId="3F42E097" w:rsidR="00EF7586" w:rsidRPr="005F2138" w:rsidRDefault="006664B1"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Dokumenty potwierdzające poniesione wydatki powinny być opisane w taki sposób, aby widoczny był związek danego wydatku z realizowanym przedsięwzięciem oraz powinny odnosić się do konkretnego </w:t>
      </w:r>
      <w:r w:rsidR="00EF7586" w:rsidRPr="005F2138">
        <w:rPr>
          <w:rStyle w:val="normaltextrun"/>
          <w:rFonts w:ascii="Lato" w:eastAsiaTheme="majorEastAsia" w:hAnsi="Lato" w:cstheme="majorBidi"/>
          <w:iCs/>
          <w:kern w:val="32"/>
          <w:szCs w:val="26"/>
        </w:rPr>
        <w:t>kamienia milowego/wskaźnika/z</w:t>
      </w:r>
      <w:r w:rsidRPr="005F2138">
        <w:rPr>
          <w:rStyle w:val="normaltextrun"/>
          <w:rFonts w:ascii="Lato" w:eastAsiaTheme="majorEastAsia" w:hAnsi="Lato" w:cstheme="majorBidi"/>
          <w:iCs/>
          <w:kern w:val="32"/>
          <w:szCs w:val="26"/>
        </w:rPr>
        <w:t>adania/</w:t>
      </w:r>
      <w:r w:rsidR="00B32B03">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podzadania</w:t>
      </w:r>
      <w:r w:rsidR="00EF7586" w:rsidRPr="005F2138">
        <w:rPr>
          <w:rStyle w:val="normaltextrun"/>
          <w:rFonts w:ascii="Lato" w:eastAsiaTheme="majorEastAsia" w:hAnsi="Lato" w:cstheme="majorBidi"/>
          <w:iCs/>
          <w:kern w:val="32"/>
          <w:szCs w:val="26"/>
        </w:rPr>
        <w:t xml:space="preserve"> </w:t>
      </w:r>
      <w:r w:rsidRPr="005F2138">
        <w:rPr>
          <w:rStyle w:val="normaltextrun"/>
          <w:rFonts w:ascii="Lato" w:eastAsiaTheme="majorEastAsia" w:hAnsi="Lato" w:cstheme="majorBidi"/>
          <w:iCs/>
          <w:kern w:val="32"/>
          <w:szCs w:val="26"/>
        </w:rPr>
        <w:t xml:space="preserve">wynikającego z </w:t>
      </w:r>
      <w:r w:rsidR="003D0A86"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niosku. Oryginał dowodu księgowego powinien zawierać dekretację (lub trwałe dołączenie wydruku dekretu do dokumentu)</w:t>
      </w:r>
      <w:r w:rsidR="00EF7586" w:rsidRPr="005F2138">
        <w:rPr>
          <w:rStyle w:val="normaltextrun"/>
          <w:rFonts w:ascii="Lato" w:eastAsiaTheme="majorEastAsia" w:hAnsi="Lato" w:cstheme="majorBidi"/>
          <w:iCs/>
          <w:kern w:val="32"/>
          <w:szCs w:val="26"/>
        </w:rPr>
        <w:t xml:space="preserve"> i</w:t>
      </w:r>
      <w:r w:rsidR="00B32B03">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numer księgowy. Na oryginale dokumentu należy zawrzeć numer </w:t>
      </w:r>
      <w:r w:rsidR="00F77DD5" w:rsidRPr="005F2138">
        <w:rPr>
          <w:rStyle w:val="normaltextrun"/>
          <w:rFonts w:ascii="Lato" w:eastAsiaTheme="majorEastAsia" w:hAnsi="Lato" w:cstheme="majorBidi"/>
          <w:iCs/>
          <w:kern w:val="32"/>
          <w:szCs w:val="26"/>
        </w:rPr>
        <w:t>P</w:t>
      </w:r>
      <w:r w:rsidR="00473204" w:rsidRPr="005F2138">
        <w:rPr>
          <w:rStyle w:val="normaltextrun"/>
          <w:rFonts w:ascii="Lato" w:eastAsiaTheme="majorEastAsia" w:hAnsi="Lato" w:cstheme="majorBidi"/>
          <w:iCs/>
          <w:kern w:val="32"/>
          <w:szCs w:val="26"/>
        </w:rPr>
        <w:t>orozumienia</w:t>
      </w:r>
      <w:r w:rsidRPr="005F2138">
        <w:rPr>
          <w:rStyle w:val="normaltextrun"/>
          <w:rFonts w:ascii="Lato" w:eastAsiaTheme="majorEastAsia" w:hAnsi="Lato" w:cstheme="majorBidi"/>
          <w:iCs/>
          <w:kern w:val="32"/>
          <w:szCs w:val="26"/>
        </w:rPr>
        <w:t xml:space="preserve">, informację o finansowaniu z KPO oraz kwotę wydatków kwalifikowalnych w ramach </w:t>
      </w:r>
      <w:r w:rsidR="00F5744C" w:rsidRPr="005F2138">
        <w:rPr>
          <w:rStyle w:val="normaltextrun"/>
          <w:rFonts w:ascii="Lato" w:eastAsiaTheme="majorEastAsia" w:hAnsi="Lato" w:cstheme="majorBidi"/>
          <w:iCs/>
          <w:kern w:val="32"/>
          <w:szCs w:val="26"/>
        </w:rPr>
        <w:t>przedsięwzięcia</w:t>
      </w:r>
      <w:r w:rsidRPr="005F2138">
        <w:rPr>
          <w:rStyle w:val="normaltextrun"/>
          <w:rFonts w:ascii="Lato" w:eastAsiaTheme="majorEastAsia" w:hAnsi="Lato" w:cstheme="majorBidi"/>
          <w:iCs/>
          <w:kern w:val="32"/>
          <w:szCs w:val="26"/>
        </w:rPr>
        <w:t xml:space="preserve">. Dodatkowo na oryginale dokumentu lub w formie załącznika należy przedstawić opis potwierdzający związek danego wydatku z realizowanym przedsięwzięciem, odniesienie do daty zawarcia i numeru umowy z wykonawcą oraz odniesienie do konkretnej pozycji wynikającej z harmonogramu </w:t>
      </w:r>
      <w:r w:rsidR="003D0A86" w:rsidRPr="005F2138">
        <w:rPr>
          <w:rStyle w:val="normaltextrun"/>
          <w:rFonts w:ascii="Lato" w:eastAsiaTheme="majorEastAsia" w:hAnsi="Lato" w:cstheme="majorBidi"/>
          <w:iCs/>
          <w:kern w:val="32"/>
          <w:szCs w:val="26"/>
        </w:rPr>
        <w:t>realizacji</w:t>
      </w:r>
      <w:r w:rsidRPr="005F2138">
        <w:rPr>
          <w:rStyle w:val="normaltextrun"/>
          <w:rFonts w:ascii="Lato" w:eastAsiaTheme="majorEastAsia" w:hAnsi="Lato" w:cstheme="majorBidi"/>
          <w:iCs/>
          <w:kern w:val="32"/>
          <w:szCs w:val="26"/>
        </w:rPr>
        <w:t xml:space="preserve"> przedsięwzięcia, w</w:t>
      </w:r>
      <w:r w:rsidR="007A0956"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której wydatek jest ujęty. W przypadku opisu w formie załącznika należy na oryginale dokumentu księgowego umieścić informację, że</w:t>
      </w:r>
      <w:r w:rsidR="00D05DDC"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dokument posiada załącznik </w:t>
      </w:r>
      <w:r w:rsidR="002B72F6" w:rsidRPr="005F2138">
        <w:rPr>
          <w:rStyle w:val="normaltextrun"/>
          <w:rFonts w:ascii="Lato" w:eastAsiaTheme="majorEastAsia" w:hAnsi="Lato" w:cstheme="majorBidi"/>
          <w:iCs/>
          <w:kern w:val="32"/>
          <w:szCs w:val="26"/>
        </w:rPr>
        <w:t>–</w:t>
      </w:r>
      <w:r w:rsidRPr="005F2138">
        <w:rPr>
          <w:rStyle w:val="normaltextrun"/>
          <w:rFonts w:ascii="Lato" w:eastAsiaTheme="majorEastAsia" w:hAnsi="Lato" w:cstheme="majorBidi"/>
          <w:iCs/>
          <w:kern w:val="32"/>
          <w:szCs w:val="26"/>
        </w:rPr>
        <w:t xml:space="preserve"> opis merytoryczny.</w:t>
      </w:r>
      <w:r w:rsidR="00EF7586" w:rsidRPr="005F2138">
        <w:rPr>
          <w:rStyle w:val="normaltextrun"/>
          <w:rFonts w:ascii="Lato" w:eastAsiaTheme="majorEastAsia" w:hAnsi="Lato" w:cstheme="majorBidi"/>
          <w:iCs/>
          <w:kern w:val="32"/>
          <w:szCs w:val="26"/>
        </w:rPr>
        <w:t xml:space="preserve"> </w:t>
      </w:r>
    </w:p>
    <w:p w14:paraId="13F47BE6" w14:textId="3584D0FA" w:rsidR="00477B5F" w:rsidRPr="005F2138" w:rsidRDefault="00EF7586" w:rsidP="00990CE8">
      <w:pPr>
        <w:pStyle w:val="Akapitzlist"/>
        <w:spacing w:before="120" w:after="120"/>
        <w:ind w:left="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 przypadku dokumentowania wydatków za pomocą faktury elektronicznej należy przedstawić wydruk (wizualizację) dokumentu księgowego, co jest równoważne kopii tradycyjnego dokumentu księgowego. OOW dokonuje ww.</w:t>
      </w:r>
      <w:r w:rsidR="00CD0385"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opisu na wydruku (wizualizacji) faktury elektronicznej.</w:t>
      </w:r>
    </w:p>
    <w:p w14:paraId="3E02F380" w14:textId="4351CC47" w:rsidR="00791C9F" w:rsidRPr="005F2138" w:rsidRDefault="00791C9F" w:rsidP="00990CE8">
      <w:pPr>
        <w:pStyle w:val="Akapitzlist"/>
        <w:spacing w:before="120" w:after="120"/>
        <w:ind w:left="426"/>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W przypadku dokumentowania wydatków za pomocą dowodu księgowego w</w:t>
      </w:r>
      <w:r w:rsidR="00017729"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postaci elektronicznej, którego obieg, kontrola i akceptacja realizowane są w</w:t>
      </w:r>
      <w:r w:rsidR="00017729" w:rsidRPr="005F2138">
        <w:rPr>
          <w:rStyle w:val="normaltextrun"/>
          <w:rFonts w:ascii="Lato" w:eastAsiaTheme="majorEastAsia" w:hAnsi="Lato" w:cstheme="majorBidi"/>
          <w:kern w:val="32"/>
        </w:rPr>
        <w:t> </w:t>
      </w:r>
      <w:r w:rsidR="37424E5B" w:rsidRPr="005F2138">
        <w:rPr>
          <w:rStyle w:val="normaltextrun"/>
          <w:rFonts w:ascii="Lato" w:eastAsiaTheme="majorEastAsia" w:hAnsi="Lato" w:cstheme="majorBidi"/>
          <w:kern w:val="32"/>
        </w:rPr>
        <w:t xml:space="preserve">przeznaczonym </w:t>
      </w:r>
      <w:r w:rsidRPr="005F2138">
        <w:rPr>
          <w:rStyle w:val="normaltextrun"/>
          <w:rFonts w:ascii="Lato" w:eastAsiaTheme="majorEastAsia" w:hAnsi="Lato" w:cstheme="majorBidi"/>
          <w:kern w:val="32"/>
        </w:rPr>
        <w:t>systemie informatycznym:</w:t>
      </w:r>
    </w:p>
    <w:p w14:paraId="12443C76" w14:textId="77777777" w:rsidR="00791C9F" w:rsidRPr="005F2138" w:rsidRDefault="00791C9F" w:rsidP="00990CE8">
      <w:pPr>
        <w:pStyle w:val="Akapitzlist"/>
        <w:numPr>
          <w:ilvl w:val="0"/>
          <w:numId w:val="86"/>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dowód księgowy wraz </w:t>
      </w:r>
      <w:r w:rsidR="00A14800" w:rsidRPr="005F2138">
        <w:rPr>
          <w:rStyle w:val="normaltextrun"/>
          <w:rFonts w:ascii="Lato" w:eastAsiaTheme="majorEastAsia" w:hAnsi="Lato" w:cstheme="majorBidi"/>
          <w:iCs/>
          <w:kern w:val="32"/>
          <w:szCs w:val="26"/>
        </w:rPr>
        <w:t>z</w:t>
      </w:r>
      <w:r w:rsidRPr="005F2138">
        <w:rPr>
          <w:rStyle w:val="normaltextrun"/>
          <w:rFonts w:ascii="Lato" w:eastAsiaTheme="majorEastAsia" w:hAnsi="Lato" w:cstheme="majorBidi"/>
          <w:iCs/>
          <w:kern w:val="32"/>
          <w:szCs w:val="26"/>
        </w:rPr>
        <w:t xml:space="preserve"> opisem, dekretacją oraz pozostałymi dokumentami zapewniającymi poprawną ścieżkę audytu i kontroli ma nadany przez system </w:t>
      </w:r>
      <w:r w:rsidRPr="005F2138">
        <w:rPr>
          <w:rStyle w:val="normaltextrun"/>
          <w:rFonts w:ascii="Lato" w:eastAsiaTheme="majorEastAsia" w:hAnsi="Lato" w:cstheme="majorBidi"/>
          <w:iCs/>
          <w:kern w:val="32"/>
          <w:szCs w:val="26"/>
        </w:rPr>
        <w:lastRenderedPageBreak/>
        <w:t xml:space="preserve">informatyczny indywidualny identyfikator, będący unikatowym w całym zbiorze dokumentów zarejestrowanych w tym systemie, </w:t>
      </w:r>
    </w:p>
    <w:p w14:paraId="5ED02EDE" w14:textId="77777777" w:rsidR="00791C9F" w:rsidRPr="005F2138" w:rsidRDefault="00791C9F" w:rsidP="00990CE8">
      <w:pPr>
        <w:pStyle w:val="Akapitzlist"/>
        <w:numPr>
          <w:ilvl w:val="0"/>
          <w:numId w:val="86"/>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dopuszczalny jest opis dowodu księgowego w formie zapisu w systemie informatycznym, trwale związany z opisywanym dowodem poprzez identyfikator,</w:t>
      </w:r>
    </w:p>
    <w:p w14:paraId="73A2D6BC" w14:textId="38F623FC" w:rsidR="00791C9F" w:rsidRPr="005F2138" w:rsidRDefault="00791C9F" w:rsidP="00990CE8">
      <w:pPr>
        <w:pStyle w:val="Akapitzlist"/>
        <w:numPr>
          <w:ilvl w:val="0"/>
          <w:numId w:val="86"/>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OOW do celów dowodowych zapewni wydruk dokumentów rozumiany jako obrazowanie w formacie </w:t>
      </w:r>
      <w:proofErr w:type="spellStart"/>
      <w:r w:rsidRPr="005F2138">
        <w:rPr>
          <w:rStyle w:val="normaltextrun"/>
          <w:rFonts w:ascii="Lato" w:eastAsiaTheme="majorEastAsia" w:hAnsi="Lato" w:cstheme="majorBidi"/>
          <w:iCs/>
          <w:kern w:val="32"/>
          <w:szCs w:val="26"/>
        </w:rPr>
        <w:t>Portable</w:t>
      </w:r>
      <w:proofErr w:type="spellEnd"/>
      <w:r w:rsidRPr="005F2138">
        <w:rPr>
          <w:rStyle w:val="normaltextrun"/>
          <w:rFonts w:ascii="Lato" w:eastAsiaTheme="majorEastAsia" w:hAnsi="Lato" w:cstheme="majorBidi"/>
          <w:iCs/>
          <w:kern w:val="32"/>
          <w:szCs w:val="26"/>
        </w:rPr>
        <w:t xml:space="preserve"> </w:t>
      </w:r>
      <w:proofErr w:type="spellStart"/>
      <w:r w:rsidRPr="005F2138">
        <w:rPr>
          <w:rStyle w:val="normaltextrun"/>
          <w:rFonts w:ascii="Lato" w:eastAsiaTheme="majorEastAsia" w:hAnsi="Lato" w:cstheme="majorBidi"/>
          <w:iCs/>
          <w:kern w:val="32"/>
          <w:szCs w:val="26"/>
        </w:rPr>
        <w:t>Document</w:t>
      </w:r>
      <w:proofErr w:type="spellEnd"/>
      <w:r w:rsidRPr="005F2138">
        <w:rPr>
          <w:rStyle w:val="normaltextrun"/>
          <w:rFonts w:ascii="Lato" w:eastAsiaTheme="majorEastAsia" w:hAnsi="Lato" w:cstheme="majorBidi"/>
          <w:iCs/>
          <w:kern w:val="32"/>
          <w:szCs w:val="26"/>
        </w:rPr>
        <w:t xml:space="preserve"> Format (PDF) wraz z listą akceptacji i uwierzytelnieniem, tj. potwierdzeniem zgodności wydruku z</w:t>
      </w:r>
      <w:r w:rsidR="00AC36E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dokumentem elektronicznym, wygenerowanym w systemie informatycznym przeznaczonym do elektronicznego zarządzania dokumentami,</w:t>
      </w:r>
    </w:p>
    <w:p w14:paraId="4914CD34" w14:textId="77777777" w:rsidR="00791C9F" w:rsidRPr="005F2138" w:rsidRDefault="00791C9F" w:rsidP="00990CE8">
      <w:pPr>
        <w:pStyle w:val="Akapitzlist"/>
        <w:numPr>
          <w:ilvl w:val="0"/>
          <w:numId w:val="86"/>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wszelkie etapy kontroli formalno-rachunkowej i merytorycznej oraz akceptacje dokumentowane są w systemie informatycznym ze wskazaniem osoby wykonującej czynność oraz daty czynności,</w:t>
      </w:r>
    </w:p>
    <w:p w14:paraId="7A684F3B" w14:textId="51F87223" w:rsidR="00791C9F" w:rsidRPr="005F2138" w:rsidRDefault="00791C9F" w:rsidP="00990CE8">
      <w:pPr>
        <w:pStyle w:val="Akapitzlist"/>
        <w:numPr>
          <w:ilvl w:val="0"/>
          <w:numId w:val="86"/>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 dowód księgowy uznawany jest również dokument stanowiący odwzorowanie cyfrowe dokumentu nieelektronicznego.</w:t>
      </w:r>
    </w:p>
    <w:p w14:paraId="7178F3C1" w14:textId="11D59D53" w:rsidR="006664B1" w:rsidRPr="005F2138" w:rsidRDefault="006664B1"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 ramach przedsięwzięcia należy prowadzić wyodrębnioną ewidencję księgową kosztów, wydatków i przychodów, polegającą w szczególności na </w:t>
      </w:r>
      <w:r w:rsidR="00D70359" w:rsidRPr="005F2138">
        <w:rPr>
          <w:rStyle w:val="normaltextrun"/>
          <w:rFonts w:ascii="Lato" w:eastAsiaTheme="majorEastAsia" w:hAnsi="Lato" w:cstheme="majorBidi"/>
          <w:iCs/>
          <w:kern w:val="32"/>
          <w:szCs w:val="26"/>
        </w:rPr>
        <w:t>wprowadzeniu dodatkowych rejestrów dokumentów księgowych, kont syntetycznych, analitycznych i pozabilansowych, pozwalających na wyodrębnienie operacji związanych z danym przedsięwzięciem, w układzie umożliwiającym uzyskanie informacji wymaganych w zakresie rozliczania i kontroli przedsięwzięcia</w:t>
      </w:r>
      <w:r w:rsidRPr="005F2138">
        <w:rPr>
          <w:rStyle w:val="normaltextrun"/>
          <w:rFonts w:ascii="Lato" w:eastAsiaTheme="majorEastAsia" w:hAnsi="Lato" w:cstheme="majorBidi"/>
          <w:iCs/>
          <w:kern w:val="32"/>
          <w:szCs w:val="26"/>
        </w:rPr>
        <w:t xml:space="preserve"> lub stosowaniu w ramach istniejącego systemu księgowego odrębnego kodu księgowego umożliwiającego identyfikację wszystkich transakcji oraz poszczególnych operacji bankowych związanych z przedsięwzięciem oraz zapewnić, że operacje gospodarcze są ewidencjonowane zgodnie z</w:t>
      </w:r>
      <w:r w:rsidR="00AC36E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obowiązującymi przepisami.</w:t>
      </w:r>
    </w:p>
    <w:p w14:paraId="14055A82" w14:textId="683B0DB8" w:rsidR="006664B1" w:rsidRPr="005F2138" w:rsidRDefault="006664B1" w:rsidP="00990CE8">
      <w:pPr>
        <w:pStyle w:val="Akapitzlist"/>
        <w:numPr>
          <w:ilvl w:val="0"/>
          <w:numId w:val="51"/>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Dokumenty związane z realizacją przedsięwzięcia powinny być przechowywane przez okres wskazany w </w:t>
      </w:r>
      <w:r w:rsidR="00F77DD5" w:rsidRPr="005F2138">
        <w:rPr>
          <w:rStyle w:val="normaltextrun"/>
          <w:rFonts w:ascii="Lato" w:eastAsiaTheme="majorEastAsia" w:hAnsi="Lato" w:cstheme="majorBidi"/>
          <w:iCs/>
          <w:kern w:val="32"/>
          <w:szCs w:val="26"/>
        </w:rPr>
        <w:t>P</w:t>
      </w:r>
      <w:r w:rsidRPr="005F2138">
        <w:rPr>
          <w:rStyle w:val="normaltextrun"/>
          <w:rFonts w:ascii="Lato" w:eastAsiaTheme="majorEastAsia" w:hAnsi="Lato" w:cstheme="majorBidi"/>
          <w:iCs/>
          <w:kern w:val="32"/>
          <w:szCs w:val="26"/>
        </w:rPr>
        <w:t>orozumieniu</w:t>
      </w:r>
      <w:r w:rsidR="00892F0D" w:rsidRPr="005F2138">
        <w:rPr>
          <w:rStyle w:val="normaltextrun"/>
          <w:rFonts w:ascii="Lato" w:eastAsiaTheme="majorEastAsia" w:hAnsi="Lato" w:cstheme="majorBidi"/>
          <w:iCs/>
          <w:kern w:val="32"/>
          <w:szCs w:val="26"/>
        </w:rPr>
        <w:t>.</w:t>
      </w:r>
    </w:p>
    <w:p w14:paraId="5B27C8EE" w14:textId="0C6201D7" w:rsidR="00477B5F" w:rsidRPr="00990CE8" w:rsidRDefault="00814A8C" w:rsidP="00990CE8">
      <w:pPr>
        <w:pStyle w:val="Nagwek2"/>
        <w:spacing w:before="120" w:after="120"/>
        <w:rPr>
          <w:rFonts w:ascii="Lato" w:hAnsi="Lato"/>
        </w:rPr>
      </w:pPr>
      <w:bookmarkStart w:id="11" w:name="_Toc181699366"/>
      <w:r w:rsidRPr="00990CE8">
        <w:rPr>
          <w:rFonts w:ascii="Lato" w:hAnsi="Lato"/>
        </w:rPr>
        <w:lastRenderedPageBreak/>
        <w:t>3</w:t>
      </w:r>
      <w:r w:rsidR="00072A24" w:rsidRPr="00990CE8">
        <w:rPr>
          <w:rFonts w:ascii="Lato" w:hAnsi="Lato"/>
        </w:rPr>
        <w:t xml:space="preserve">.6 </w:t>
      </w:r>
      <w:r w:rsidR="00335AD4" w:rsidRPr="00990CE8">
        <w:rPr>
          <w:rFonts w:ascii="Lato" w:hAnsi="Lato"/>
        </w:rPr>
        <w:t>Zakaz podwójnego finansowania</w:t>
      </w:r>
      <w:bookmarkEnd w:id="11"/>
    </w:p>
    <w:p w14:paraId="4E76A342" w14:textId="21F26A0E" w:rsidR="00477B5F" w:rsidRPr="00990CE8" w:rsidRDefault="001C36DF" w:rsidP="00990CE8">
      <w:pPr>
        <w:pStyle w:val="Akapitzlist"/>
        <w:numPr>
          <w:ilvl w:val="0"/>
          <w:numId w:val="1"/>
        </w:numPr>
        <w:spacing w:before="120" w:after="120"/>
        <w:ind w:left="426" w:hanging="426"/>
        <w:jc w:val="both"/>
        <w:rPr>
          <w:rStyle w:val="normaltextrun"/>
          <w:rFonts w:ascii="Lato" w:eastAsiaTheme="majorEastAsia" w:hAnsi="Lato" w:cstheme="majorBidi"/>
          <w:iCs/>
          <w:kern w:val="32"/>
          <w:szCs w:val="26"/>
        </w:rPr>
      </w:pPr>
      <w:r w:rsidRPr="00990CE8">
        <w:rPr>
          <w:rStyle w:val="normaltextrun"/>
          <w:rFonts w:ascii="Lato" w:hAnsi="Lato"/>
          <w:iCs/>
        </w:rPr>
        <w:t>Niedozwolone jest podwójne finansowanie wydatków. </w:t>
      </w:r>
      <w:r w:rsidR="00AB4AB9" w:rsidRPr="00990CE8">
        <w:rPr>
          <w:rStyle w:val="normaltextrun"/>
          <w:rFonts w:ascii="Lato" w:hAnsi="Lato"/>
          <w:iCs/>
        </w:rPr>
        <w:t>Zgodnie z art. 14la pkt 7 ustawy o zasadach prowadzenia polityki rozwoju</w:t>
      </w:r>
      <w:r w:rsidRPr="00990CE8">
        <w:rPr>
          <w:rStyle w:val="normaltextrun"/>
          <w:rFonts w:ascii="Lato" w:hAnsi="Lato"/>
          <w:iCs/>
        </w:rPr>
        <w:t> </w:t>
      </w:r>
      <w:r w:rsidR="00AB4AB9" w:rsidRPr="00990CE8">
        <w:rPr>
          <w:rStyle w:val="normaltextrun"/>
          <w:rFonts w:ascii="Lato" w:hAnsi="Lato"/>
          <w:iCs/>
        </w:rPr>
        <w:t>podwójnym finansowaniem jest deklarowanie do rozliczenia w ramach planu rozwojowego wydatków zadeklarowanych wcześniej w ramach tego planu lub jako kwalifikowalne w</w:t>
      </w:r>
      <w:r w:rsidR="00514F99" w:rsidRPr="00990CE8">
        <w:rPr>
          <w:rStyle w:val="normaltextrun"/>
          <w:rFonts w:ascii="Lato" w:hAnsi="Lato"/>
          <w:iCs/>
        </w:rPr>
        <w:t> </w:t>
      </w:r>
      <w:r w:rsidR="00AB4AB9" w:rsidRPr="00990CE8">
        <w:rPr>
          <w:rStyle w:val="normaltextrun"/>
          <w:rFonts w:ascii="Lato" w:hAnsi="Lato"/>
          <w:iCs/>
        </w:rPr>
        <w:t>innych programach unijnych.</w:t>
      </w:r>
    </w:p>
    <w:p w14:paraId="151605DE" w14:textId="3416A83E" w:rsidR="00477B5F" w:rsidRPr="00990CE8" w:rsidRDefault="00AB4AB9" w:rsidP="00990CE8">
      <w:pPr>
        <w:pStyle w:val="Akapitzlist"/>
        <w:numPr>
          <w:ilvl w:val="0"/>
          <w:numId w:val="1"/>
        </w:numPr>
        <w:spacing w:before="120" w:after="120"/>
        <w:ind w:left="426" w:hanging="426"/>
        <w:jc w:val="both"/>
        <w:rPr>
          <w:rStyle w:val="normaltextrun"/>
          <w:rFonts w:ascii="Lato" w:eastAsiaTheme="majorEastAsia" w:hAnsi="Lato" w:cstheme="majorBidi"/>
          <w:iCs/>
          <w:kern w:val="32"/>
          <w:szCs w:val="26"/>
        </w:rPr>
      </w:pPr>
      <w:r w:rsidRPr="00990CE8">
        <w:rPr>
          <w:rStyle w:val="normaltextrun"/>
          <w:rFonts w:ascii="Lato" w:hAnsi="Lato"/>
          <w:iCs/>
        </w:rPr>
        <w:t>Na gruncie niniejszych Wytycznych przez p</w:t>
      </w:r>
      <w:r w:rsidR="001C36DF" w:rsidRPr="00990CE8">
        <w:rPr>
          <w:rStyle w:val="normaltextrun"/>
          <w:rFonts w:ascii="Lato" w:hAnsi="Lato"/>
          <w:iCs/>
        </w:rPr>
        <w:t xml:space="preserve">odwójne finansowanie </w:t>
      </w:r>
      <w:r w:rsidRPr="00990CE8">
        <w:rPr>
          <w:rStyle w:val="normaltextrun"/>
          <w:rFonts w:ascii="Lato" w:hAnsi="Lato"/>
          <w:iCs/>
        </w:rPr>
        <w:t>należy traktować następujące sytuacje</w:t>
      </w:r>
      <w:r w:rsidR="001C36DF" w:rsidRPr="00990CE8">
        <w:rPr>
          <w:rStyle w:val="normaltextrun"/>
          <w:rFonts w:ascii="Lato" w:hAnsi="Lato"/>
          <w:iCs/>
        </w:rPr>
        <w:t>: </w:t>
      </w:r>
    </w:p>
    <w:p w14:paraId="73209473" w14:textId="35300063" w:rsidR="00477B5F" w:rsidRPr="005F2138" w:rsidRDefault="001C36DF" w:rsidP="00990CE8">
      <w:pPr>
        <w:pStyle w:val="Akapitzlist"/>
        <w:numPr>
          <w:ilvl w:val="0"/>
          <w:numId w:val="53"/>
        </w:numPr>
        <w:spacing w:before="120" w:after="120"/>
        <w:ind w:left="1134" w:hanging="283"/>
        <w:jc w:val="both"/>
        <w:rPr>
          <w:rStyle w:val="normaltextrun"/>
          <w:rFonts w:ascii="Lato" w:eastAsiaTheme="majorEastAsia" w:hAnsi="Lato" w:cstheme="majorBidi"/>
          <w:kern w:val="32"/>
        </w:rPr>
      </w:pPr>
      <w:r w:rsidRPr="005F2138">
        <w:rPr>
          <w:rStyle w:val="normaltextrun"/>
          <w:rFonts w:ascii="Lato" w:hAnsi="Lato"/>
        </w:rPr>
        <w:t>całkowite lub częściowe, więcej niż jednokrotne poświadczenie</w:t>
      </w:r>
      <w:r w:rsidR="002237F4" w:rsidRPr="005F2138">
        <w:rPr>
          <w:rStyle w:val="normaltextrun"/>
          <w:rFonts w:ascii="Lato" w:hAnsi="Lato"/>
        </w:rPr>
        <w:t xml:space="preserve"> </w:t>
      </w:r>
      <w:r w:rsidRPr="005F2138">
        <w:rPr>
          <w:rStyle w:val="normaltextrun"/>
          <w:rFonts w:ascii="Lato" w:hAnsi="Lato"/>
        </w:rPr>
        <w:t>lub rozliczenie tego samego wydatku w ramach</w:t>
      </w:r>
      <w:r w:rsidR="00157FE7" w:rsidRPr="005F2138">
        <w:rPr>
          <w:rStyle w:val="normaltextrun"/>
          <w:rFonts w:ascii="Lato" w:hAnsi="Lato"/>
        </w:rPr>
        <w:t xml:space="preserve"> inwestycji D 1.1.2, całego Instrumentu na rzecz Odbudowy i Zwiększania Odporności lub innych unijnych programów, instrumentów oraz funduszy w ramach budżetu Unii Europejskiej, </w:t>
      </w:r>
    </w:p>
    <w:p w14:paraId="5485825D" w14:textId="0D8BA7CA" w:rsidR="00477B5F" w:rsidRPr="005F2138" w:rsidRDefault="00DC68BA" w:rsidP="00990CE8">
      <w:pPr>
        <w:pStyle w:val="Akapitzlist"/>
        <w:numPr>
          <w:ilvl w:val="0"/>
          <w:numId w:val="53"/>
        </w:numPr>
        <w:spacing w:before="120" w:after="120"/>
        <w:ind w:left="1134" w:hanging="283"/>
        <w:jc w:val="both"/>
        <w:rPr>
          <w:rStyle w:val="normaltextrun"/>
          <w:rFonts w:ascii="Lato" w:hAnsi="Lato"/>
          <w:iCs/>
        </w:rPr>
      </w:pPr>
      <w:r w:rsidRPr="005F2138">
        <w:rPr>
          <w:rStyle w:val="normaltextrun"/>
          <w:rFonts w:ascii="Lato" w:hAnsi="Lato"/>
          <w:iCs/>
        </w:rPr>
        <w:t>rozliczenie zakupu używanego środka trwałego, który był uprzednio współfinansowany z udziałem środków UE,</w:t>
      </w:r>
    </w:p>
    <w:p w14:paraId="5FBF57B2" w14:textId="41B0B159" w:rsidR="00DC68BA" w:rsidRPr="005F2138" w:rsidRDefault="00DC68BA" w:rsidP="00990CE8">
      <w:pPr>
        <w:pStyle w:val="Akapitzlist"/>
        <w:numPr>
          <w:ilvl w:val="0"/>
          <w:numId w:val="53"/>
        </w:numPr>
        <w:spacing w:before="120" w:after="120"/>
        <w:ind w:left="1134" w:hanging="283"/>
        <w:jc w:val="both"/>
        <w:rPr>
          <w:rStyle w:val="normaltextrun"/>
          <w:rFonts w:ascii="Lato" w:hAnsi="Lato"/>
          <w:iCs/>
        </w:rPr>
      </w:pPr>
      <w:r w:rsidRPr="005F2138">
        <w:rPr>
          <w:rStyle w:val="normaltextrun"/>
          <w:rFonts w:ascii="Lato" w:hAnsi="Lato"/>
          <w:iCs/>
        </w:rPr>
        <w:t>rozliczenie kosztów amortyzacji środka trwałego uprzednio zakupionego z</w:t>
      </w:r>
      <w:r w:rsidR="00B32B03">
        <w:rPr>
          <w:rStyle w:val="normaltextrun"/>
          <w:rFonts w:ascii="Lato" w:hAnsi="Lato"/>
          <w:iCs/>
        </w:rPr>
        <w:t> </w:t>
      </w:r>
      <w:r w:rsidRPr="005F2138">
        <w:rPr>
          <w:rStyle w:val="normaltextrun"/>
          <w:rFonts w:ascii="Lato" w:hAnsi="Lato"/>
          <w:iCs/>
        </w:rPr>
        <w:t>udziałem środków UE,</w:t>
      </w:r>
    </w:p>
    <w:p w14:paraId="13B3469B" w14:textId="32906951" w:rsidR="00477B5F" w:rsidRPr="005F2138" w:rsidRDefault="001C36DF" w:rsidP="00990CE8">
      <w:pPr>
        <w:pStyle w:val="Akapitzlist"/>
        <w:numPr>
          <w:ilvl w:val="0"/>
          <w:numId w:val="5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hAnsi="Lato"/>
          <w:iCs/>
        </w:rPr>
        <w:t xml:space="preserve">zrefundowanie wydatku poniesionego przez leasingodawcę na zakup przedmiotu leasingu w ramach leasingu finansowego, a następnie zrefundowanie rat opłacanych przez </w:t>
      </w:r>
      <w:r w:rsidR="00473204" w:rsidRPr="005F2138">
        <w:rPr>
          <w:rStyle w:val="normaltextrun"/>
          <w:rFonts w:ascii="Lato" w:hAnsi="Lato"/>
          <w:iCs/>
        </w:rPr>
        <w:t xml:space="preserve">OOW </w:t>
      </w:r>
      <w:r w:rsidRPr="005F2138">
        <w:rPr>
          <w:rStyle w:val="normaltextrun"/>
          <w:rFonts w:ascii="Lato" w:hAnsi="Lato"/>
          <w:iCs/>
        </w:rPr>
        <w:t>w związku z leasingiem tego przedmiotu,</w:t>
      </w:r>
    </w:p>
    <w:p w14:paraId="6376E4BB" w14:textId="692514ED" w:rsidR="00477B5F" w:rsidRPr="005F2138" w:rsidRDefault="001C36DF" w:rsidP="00990CE8">
      <w:pPr>
        <w:pStyle w:val="Akapitzlist"/>
        <w:numPr>
          <w:ilvl w:val="0"/>
          <w:numId w:val="5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hAnsi="Lato"/>
          <w:iCs/>
        </w:rPr>
        <w:t>sytuacja, w której środki na prefinansowanie wkładu unijnego zostały pozyskane w formie kredytu lub pożyczki, które następnie zostały umorzone,</w:t>
      </w:r>
    </w:p>
    <w:p w14:paraId="0F407993" w14:textId="09A842D7" w:rsidR="00044305" w:rsidRPr="005F2138" w:rsidRDefault="009850DB" w:rsidP="00990CE8">
      <w:pPr>
        <w:pStyle w:val="Akapitzlist"/>
        <w:numPr>
          <w:ilvl w:val="0"/>
          <w:numId w:val="53"/>
        </w:numPr>
        <w:spacing w:before="120" w:after="120"/>
        <w:ind w:left="1134" w:hanging="283"/>
        <w:jc w:val="both"/>
        <w:rPr>
          <w:rStyle w:val="normaltextrun"/>
          <w:rFonts w:ascii="Lato" w:hAnsi="Lato"/>
          <w:iCs/>
        </w:rPr>
      </w:pPr>
      <w:r w:rsidRPr="005F2138">
        <w:rPr>
          <w:rStyle w:val="normaltextrun"/>
          <w:rFonts w:ascii="Lato" w:hAnsi="Lato"/>
          <w:iCs/>
        </w:rPr>
        <w:t>rozliczenie zakupu używanego środka trwałego, który był uprzednio współfinansowany z udziałem środków UE</w:t>
      </w:r>
      <w:r w:rsidR="003D0A86" w:rsidRPr="005F2138">
        <w:rPr>
          <w:rStyle w:val="normaltextrun"/>
          <w:rFonts w:ascii="Lato" w:hAnsi="Lato"/>
          <w:iCs/>
        </w:rPr>
        <w:t>.</w:t>
      </w:r>
      <w:bookmarkStart w:id="12" w:name="_Hlk181562346"/>
    </w:p>
    <w:p w14:paraId="4F8DC020" w14:textId="47AB3C98" w:rsidR="00E3214F" w:rsidRPr="00990CE8" w:rsidRDefault="00E3214F" w:rsidP="00990CE8">
      <w:pPr>
        <w:spacing w:before="120" w:after="120"/>
        <w:jc w:val="both"/>
        <w:rPr>
          <w:rStyle w:val="normaltextrun"/>
          <w:rFonts w:ascii="Lato" w:eastAsiaTheme="majorEastAsia" w:hAnsi="Lato" w:cs="Arial"/>
          <w:b/>
          <w:bCs/>
          <w:i/>
          <w:kern w:val="32"/>
          <w:szCs w:val="26"/>
        </w:rPr>
      </w:pPr>
      <w:r w:rsidRPr="00990CE8">
        <w:rPr>
          <w:rStyle w:val="normaltextrun"/>
          <w:rFonts w:ascii="Lato" w:eastAsiaTheme="majorEastAsia" w:hAnsi="Lato" w:cs="Arial"/>
          <w:b/>
          <w:bCs/>
          <w:i/>
          <w:kern w:val="32"/>
          <w:szCs w:val="26"/>
        </w:rPr>
        <w:t>3.6.1 Zakaz finansowania ze środków budżetu państwa</w:t>
      </w:r>
    </w:p>
    <w:p w14:paraId="694EAC48" w14:textId="1718E489" w:rsidR="00E3214F" w:rsidRPr="005F2138" w:rsidRDefault="00E3214F" w:rsidP="00990CE8">
      <w:pPr>
        <w:spacing w:before="120" w:after="120"/>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Wydatkiem kwalifikowalnym nie może być wydatek, który został całkowicie lub częściowo</w:t>
      </w:r>
      <w:r w:rsidRPr="00990CE8">
        <w:rPr>
          <w:rFonts w:ascii="Lato" w:hAnsi="Lato"/>
        </w:rPr>
        <w:t xml:space="preserve"> </w:t>
      </w:r>
      <w:r w:rsidRPr="005F2138">
        <w:rPr>
          <w:rStyle w:val="normaltextrun"/>
          <w:rFonts w:ascii="Lato" w:eastAsiaTheme="majorEastAsia" w:hAnsi="Lato" w:cstheme="majorBidi"/>
          <w:iCs/>
          <w:kern w:val="32"/>
          <w:szCs w:val="26"/>
        </w:rPr>
        <w:t>pokryty lub rozliczony w ramach środków z budżetu państwa.</w:t>
      </w:r>
    </w:p>
    <w:p w14:paraId="1D7ABE0D" w14:textId="7A4DD38B" w:rsidR="00335AD4" w:rsidRPr="00990CE8" w:rsidRDefault="00814A8C" w:rsidP="00990CE8">
      <w:pPr>
        <w:pStyle w:val="Nagwek2"/>
        <w:spacing w:before="120" w:after="120"/>
        <w:rPr>
          <w:rFonts w:ascii="Lato" w:hAnsi="Lato"/>
        </w:rPr>
      </w:pPr>
      <w:bookmarkStart w:id="13" w:name="_Toc181699367"/>
      <w:bookmarkEnd w:id="12"/>
      <w:r w:rsidRPr="00990CE8">
        <w:rPr>
          <w:rFonts w:ascii="Lato" w:hAnsi="Lato"/>
        </w:rPr>
        <w:lastRenderedPageBreak/>
        <w:t>3</w:t>
      </w:r>
      <w:r w:rsidR="00335AD4" w:rsidRPr="00990CE8">
        <w:rPr>
          <w:rFonts w:ascii="Lato" w:hAnsi="Lato"/>
        </w:rPr>
        <w:t>.7 Dochód wygenerowany podczas realizacji przedsięwzięcia</w:t>
      </w:r>
      <w:bookmarkEnd w:id="13"/>
    </w:p>
    <w:p w14:paraId="2211B66C" w14:textId="3104189D" w:rsidR="00492CC9" w:rsidRPr="005F2138" w:rsidRDefault="00492CC9" w:rsidP="00990CE8">
      <w:pPr>
        <w:pStyle w:val="Akapitzlist"/>
        <w:numPr>
          <w:ilvl w:val="0"/>
          <w:numId w:val="60"/>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Dochody wygenerowane podczas realizacji przedsięwzięcia, które nie zostały wzięte pod uwagę w czasie jego zatwierdzania, wykazuje się nie później niż w</w:t>
      </w:r>
      <w:r w:rsidR="008E25BE"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momencie złożenia wniosku o płatność końcową. Dochody te pomniejszają wydatki kwalifikowalne przedsięwzięcia, z zastrzeżeniem sytuacji, o której mowa w </w:t>
      </w:r>
      <w:r w:rsidR="00492B74" w:rsidRPr="005F2138">
        <w:rPr>
          <w:rStyle w:val="normaltextrun"/>
          <w:rFonts w:ascii="Lato" w:eastAsiaTheme="majorEastAsia" w:hAnsi="Lato" w:cstheme="majorBidi"/>
          <w:iCs/>
          <w:kern w:val="32"/>
          <w:szCs w:val="26"/>
        </w:rPr>
        <w:t>ust.</w:t>
      </w:r>
      <w:r w:rsidRPr="005F2138">
        <w:rPr>
          <w:rStyle w:val="normaltextrun"/>
          <w:rFonts w:ascii="Lato" w:eastAsiaTheme="majorEastAsia" w:hAnsi="Lato" w:cstheme="majorBidi"/>
          <w:iCs/>
          <w:kern w:val="32"/>
          <w:szCs w:val="26"/>
        </w:rPr>
        <w:t xml:space="preserve"> 2. </w:t>
      </w:r>
    </w:p>
    <w:p w14:paraId="1C8FFFD0" w14:textId="05310566" w:rsidR="00492CC9" w:rsidRPr="005F2138" w:rsidRDefault="00492CC9" w:rsidP="00990CE8">
      <w:pPr>
        <w:pStyle w:val="Akapitzlist"/>
        <w:numPr>
          <w:ilvl w:val="0"/>
          <w:numId w:val="60"/>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W przypadku, gdy nie wszystkie koszty w ramach przedsięwzięcia są kwalifikowalne, dochód zostaje przyporządkowany proporcjonalnie (z</w:t>
      </w:r>
      <w:r w:rsidR="008E25BE"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zastrzeżeniem sytuacji, gdy możliwe jest bezpośrednie przyporządkowanie) do kwalifikowalnych i niekwalifikowalnych wydatków przedsięwzięcia. </w:t>
      </w:r>
    </w:p>
    <w:p w14:paraId="5B559957" w14:textId="44A8BCAC" w:rsidR="00492CC9" w:rsidRPr="005F2138" w:rsidRDefault="00492CC9" w:rsidP="00990CE8">
      <w:pPr>
        <w:pStyle w:val="Akapitzlist"/>
        <w:numPr>
          <w:ilvl w:val="0"/>
          <w:numId w:val="60"/>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 xml:space="preserve">W przypadku, gdy dochód związany z przedsięwzięciem został osiągnięty przy współudziale kosztów ponoszonych poza przedsięwzięciem i możliwe jest określenie udziału kosztów realizacji przedsięwzięcia w osiągnięciu tego dochodu, należy pomniejszyć wydatki kwalifikowalne o ten udział. </w:t>
      </w:r>
    </w:p>
    <w:p w14:paraId="15C95ED2" w14:textId="7002019C" w:rsidR="00D25695" w:rsidRPr="005F2138" w:rsidRDefault="00492CC9" w:rsidP="00990CE8">
      <w:pPr>
        <w:pStyle w:val="Akapitzlist"/>
        <w:numPr>
          <w:ilvl w:val="0"/>
          <w:numId w:val="60"/>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 dochód nie uznaje się zatrzymanego wadium wpłaconego przez podmiot ubiegający się o realizację zamówienia, kar umownych (w tym kar</w:t>
      </w:r>
      <w:r w:rsidR="00C11581" w:rsidRPr="005F2138">
        <w:rPr>
          <w:rStyle w:val="normaltextrun"/>
          <w:rFonts w:ascii="Lato" w:eastAsiaTheme="majorEastAsia" w:hAnsi="Lato" w:cstheme="majorBidi"/>
          <w:iCs/>
          <w:kern w:val="32"/>
          <w:szCs w:val="26"/>
        </w:rPr>
        <w:t xml:space="preserve"> umownych</w:t>
      </w:r>
      <w:r w:rsidRPr="005F2138">
        <w:rPr>
          <w:rStyle w:val="normaltextrun"/>
          <w:rFonts w:ascii="Lato" w:eastAsiaTheme="majorEastAsia" w:hAnsi="Lato" w:cstheme="majorBidi"/>
          <w:iCs/>
          <w:kern w:val="32"/>
          <w:szCs w:val="26"/>
        </w:rPr>
        <w:t xml:space="preserve"> z</w:t>
      </w:r>
      <w:r w:rsidR="007A0956" w:rsidRPr="005F2138">
        <w:rPr>
          <w:rStyle w:val="normaltextrun"/>
          <w:rFonts w:ascii="Lato" w:eastAsiaTheme="majorEastAsia" w:hAnsi="Lato" w:cstheme="majorBidi"/>
          <w:iCs/>
          <w:kern w:val="32"/>
          <w:szCs w:val="26"/>
        </w:rPr>
        <w:t> </w:t>
      </w:r>
      <w:r w:rsidR="00C11581" w:rsidRPr="005F2138">
        <w:rPr>
          <w:rStyle w:val="normaltextrun"/>
          <w:rFonts w:ascii="Lato" w:eastAsiaTheme="majorEastAsia" w:hAnsi="Lato" w:cstheme="majorBidi"/>
          <w:iCs/>
          <w:kern w:val="32"/>
          <w:szCs w:val="26"/>
        </w:rPr>
        <w:t>tytułu</w:t>
      </w:r>
      <w:r w:rsidRPr="005F2138">
        <w:rPr>
          <w:rStyle w:val="normaltextrun"/>
          <w:rFonts w:ascii="Lato" w:eastAsiaTheme="majorEastAsia" w:hAnsi="Lato" w:cstheme="majorBidi"/>
          <w:iCs/>
          <w:kern w:val="32"/>
          <w:szCs w:val="26"/>
        </w:rPr>
        <w:t xml:space="preserve"> odstąpieni</w:t>
      </w:r>
      <w:r w:rsidR="00C11581" w:rsidRPr="005F2138">
        <w:rPr>
          <w:rStyle w:val="normaltextrun"/>
          <w:rFonts w:ascii="Lato" w:eastAsiaTheme="majorEastAsia" w:hAnsi="Lato" w:cstheme="majorBidi"/>
          <w:iCs/>
          <w:kern w:val="32"/>
          <w:szCs w:val="26"/>
        </w:rPr>
        <w:t>a</w:t>
      </w:r>
      <w:r w:rsidRPr="005F2138">
        <w:rPr>
          <w:rStyle w:val="normaltextrun"/>
          <w:rFonts w:ascii="Lato" w:eastAsiaTheme="majorEastAsia" w:hAnsi="Lato" w:cstheme="majorBidi"/>
          <w:iCs/>
          <w:kern w:val="32"/>
          <w:szCs w:val="26"/>
        </w:rPr>
        <w:t xml:space="preserve"> od umowy i kar</w:t>
      </w:r>
      <w:r w:rsidR="00C11581" w:rsidRPr="005F2138">
        <w:rPr>
          <w:rStyle w:val="normaltextrun"/>
          <w:rFonts w:ascii="Lato" w:eastAsiaTheme="majorEastAsia" w:hAnsi="Lato" w:cstheme="majorBidi"/>
          <w:iCs/>
          <w:kern w:val="32"/>
          <w:szCs w:val="26"/>
        </w:rPr>
        <w:t xml:space="preserve"> umownych</w:t>
      </w:r>
      <w:r w:rsidRPr="005F2138">
        <w:rPr>
          <w:rStyle w:val="normaltextrun"/>
          <w:rFonts w:ascii="Lato" w:eastAsiaTheme="majorEastAsia" w:hAnsi="Lato" w:cstheme="majorBidi"/>
          <w:iCs/>
          <w:kern w:val="32"/>
          <w:szCs w:val="26"/>
        </w:rPr>
        <w:t xml:space="preserve"> z</w:t>
      </w:r>
      <w:r w:rsidR="00C11581" w:rsidRPr="005F2138">
        <w:rPr>
          <w:rStyle w:val="normaltextrun"/>
          <w:rFonts w:ascii="Lato" w:eastAsiaTheme="majorEastAsia" w:hAnsi="Lato" w:cstheme="majorBidi"/>
          <w:iCs/>
          <w:kern w:val="32"/>
          <w:szCs w:val="26"/>
        </w:rPr>
        <w:t>a</w:t>
      </w:r>
      <w:r w:rsidRPr="005F2138">
        <w:rPr>
          <w:rStyle w:val="normaltextrun"/>
          <w:rFonts w:ascii="Lato" w:eastAsiaTheme="majorEastAsia" w:hAnsi="Lato" w:cstheme="majorBidi"/>
          <w:iCs/>
          <w:kern w:val="32"/>
          <w:szCs w:val="26"/>
        </w:rPr>
        <w:t xml:space="preserve"> </w:t>
      </w:r>
      <w:r w:rsidR="00C11581" w:rsidRPr="005F2138">
        <w:rPr>
          <w:rStyle w:val="normaltextrun"/>
          <w:rFonts w:ascii="Lato" w:eastAsiaTheme="majorEastAsia" w:hAnsi="Lato" w:cstheme="majorBidi"/>
          <w:iCs/>
          <w:kern w:val="32"/>
          <w:szCs w:val="26"/>
        </w:rPr>
        <w:t xml:space="preserve"> zwłokę)</w:t>
      </w:r>
      <w:r w:rsidRPr="005F2138">
        <w:rPr>
          <w:rStyle w:val="normaltextrun"/>
          <w:rFonts w:ascii="Lato" w:eastAsiaTheme="majorEastAsia" w:hAnsi="Lato" w:cstheme="majorBidi"/>
          <w:iCs/>
          <w:kern w:val="32"/>
          <w:szCs w:val="26"/>
        </w:rPr>
        <w:t xml:space="preserve">, zatrzymanych kaucji zwrotnych rozumianych jako sumy pieniężne złożone jako gwarancja dotrzymania zobowiązania, premii za otwarcie rachunku płatniczego, gwarancji bankowych oraz ulg z tytułu terminowego odprowadzania składek do ZUS/US. Płatności otrzymane przez </w:t>
      </w:r>
      <w:r w:rsidR="00A06A26" w:rsidRPr="005F2138">
        <w:rPr>
          <w:rStyle w:val="normaltextrun"/>
          <w:rFonts w:ascii="Lato" w:eastAsiaTheme="majorEastAsia" w:hAnsi="Lato" w:cstheme="majorBidi"/>
          <w:iCs/>
          <w:kern w:val="32"/>
          <w:szCs w:val="26"/>
        </w:rPr>
        <w:t>OOW</w:t>
      </w:r>
      <w:r w:rsidRPr="005F2138">
        <w:rPr>
          <w:rStyle w:val="normaltextrun"/>
          <w:rFonts w:ascii="Lato" w:eastAsiaTheme="majorEastAsia" w:hAnsi="Lato" w:cstheme="majorBidi"/>
          <w:iCs/>
          <w:kern w:val="32"/>
          <w:szCs w:val="26"/>
        </w:rPr>
        <w:t xml:space="preserve"> w powyższych przypadkach nie pomniejszają wydatków kwalifikowalnych w ramach przedsięwzięcia.  </w:t>
      </w:r>
    </w:p>
    <w:p w14:paraId="402F31B1" w14:textId="2D312F2F" w:rsidR="00E842A2" w:rsidRPr="00990CE8" w:rsidRDefault="00E842A2" w:rsidP="00990CE8">
      <w:pPr>
        <w:pStyle w:val="Nagwek2"/>
        <w:spacing w:before="120" w:after="120"/>
        <w:rPr>
          <w:rFonts w:ascii="Lato" w:hAnsi="Lato"/>
        </w:rPr>
      </w:pPr>
      <w:bookmarkStart w:id="14" w:name="_Toc181699368"/>
      <w:r w:rsidRPr="00990CE8">
        <w:rPr>
          <w:rFonts w:ascii="Lato" w:hAnsi="Lato"/>
        </w:rPr>
        <w:t>3.8 Trwałość przedsięwzięć</w:t>
      </w:r>
      <w:bookmarkEnd w:id="14"/>
    </w:p>
    <w:p w14:paraId="588E06A2" w14:textId="5A1F050D" w:rsidR="009075DA" w:rsidRPr="005F2138" w:rsidRDefault="00E842A2" w:rsidP="00990CE8">
      <w:pPr>
        <w:pStyle w:val="Akapitzlist"/>
        <w:numPr>
          <w:ilvl w:val="0"/>
          <w:numId w:val="122"/>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 xml:space="preserve">Trwałość </w:t>
      </w:r>
      <w:r w:rsidR="007E0FDA" w:rsidRPr="005F2138">
        <w:rPr>
          <w:rStyle w:val="normaltextrun"/>
          <w:rFonts w:ascii="Lato" w:eastAsiaTheme="majorEastAsia" w:hAnsi="Lato" w:cstheme="majorBidi"/>
          <w:iCs/>
          <w:kern w:val="32"/>
          <w:szCs w:val="26"/>
        </w:rPr>
        <w:t>przedsięwzięć finansowanych ze środków planu rozwojowego w</w:t>
      </w:r>
      <w:r w:rsidR="00D05DDC" w:rsidRPr="005F2138">
        <w:rPr>
          <w:rStyle w:val="normaltextrun"/>
          <w:rFonts w:ascii="Lato" w:eastAsiaTheme="majorEastAsia" w:hAnsi="Lato" w:cstheme="majorBidi"/>
          <w:iCs/>
          <w:kern w:val="32"/>
          <w:szCs w:val="26"/>
        </w:rPr>
        <w:t> </w:t>
      </w:r>
      <w:r w:rsidR="007E0FDA" w:rsidRPr="005F2138">
        <w:rPr>
          <w:rStyle w:val="normaltextrun"/>
          <w:rFonts w:ascii="Lato" w:eastAsiaTheme="majorEastAsia" w:hAnsi="Lato" w:cstheme="majorBidi"/>
          <w:iCs/>
          <w:kern w:val="32"/>
          <w:szCs w:val="26"/>
        </w:rPr>
        <w:t xml:space="preserve">ramach inwestycji D1.1.2 musi być zachowana przez okres 5 lat od daty zatwierdzenia przez IOI wniosku </w:t>
      </w:r>
      <w:r w:rsidR="0060279C" w:rsidRPr="005F2138">
        <w:rPr>
          <w:rStyle w:val="normaltextrun"/>
          <w:rFonts w:ascii="Lato" w:eastAsiaTheme="majorEastAsia" w:hAnsi="Lato" w:cstheme="majorBidi"/>
          <w:iCs/>
          <w:kern w:val="32"/>
          <w:szCs w:val="26"/>
        </w:rPr>
        <w:t xml:space="preserve">końcowego </w:t>
      </w:r>
      <w:r w:rsidR="007E0FDA" w:rsidRPr="005F2138">
        <w:rPr>
          <w:rStyle w:val="normaltextrun"/>
          <w:rFonts w:ascii="Lato" w:eastAsiaTheme="majorEastAsia" w:hAnsi="Lato" w:cstheme="majorBidi"/>
          <w:iCs/>
          <w:kern w:val="32"/>
          <w:szCs w:val="26"/>
        </w:rPr>
        <w:t xml:space="preserve">o płatność, składanego przez OOW za pośrednictwem systemu CST2021. </w:t>
      </w:r>
    </w:p>
    <w:p w14:paraId="532275C4" w14:textId="77777777" w:rsidR="009075DA" w:rsidRPr="005F2138" w:rsidRDefault="009075DA" w:rsidP="00990CE8">
      <w:pPr>
        <w:pStyle w:val="Akapitzlist"/>
        <w:numPr>
          <w:ilvl w:val="0"/>
          <w:numId w:val="122"/>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Naruszenie zasady trwałości następuje w sytuacji wystąpienia w okresie trwałości co najmniej jednej z poniższych przesłanek:</w:t>
      </w:r>
    </w:p>
    <w:p w14:paraId="6644486A" w14:textId="77777777" w:rsidR="009075DA" w:rsidRPr="005F2138" w:rsidRDefault="009075DA" w:rsidP="00990CE8">
      <w:pPr>
        <w:pStyle w:val="Akapitzlist"/>
        <w:numPr>
          <w:ilvl w:val="1"/>
          <w:numId w:val="122"/>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 xml:space="preserve">nastąpiła istotna zmiana wpływająca na charakter przedsięwzięcia, jego cele lub warunki realizacji, która mogłaby doprowadzić do naruszenia jego pierwotnych celów, </w:t>
      </w:r>
    </w:p>
    <w:p w14:paraId="5D955412" w14:textId="77777777" w:rsidR="009075DA" w:rsidRPr="005F2138" w:rsidRDefault="009075DA" w:rsidP="00990CE8">
      <w:pPr>
        <w:pStyle w:val="Akapitzlist"/>
        <w:numPr>
          <w:ilvl w:val="1"/>
          <w:numId w:val="122"/>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nastąpiła zmiana własności elementu współfinansowanej infrastruktury, która daje przedsiębiorstwu lub podmiotowi publicznemu nienależną korzyść,</w:t>
      </w:r>
    </w:p>
    <w:p w14:paraId="773D23C9" w14:textId="52228810" w:rsidR="009075DA" w:rsidRPr="005F2138" w:rsidRDefault="009075DA" w:rsidP="00990CE8">
      <w:pPr>
        <w:pStyle w:val="Akapitzlist"/>
        <w:numPr>
          <w:ilvl w:val="1"/>
          <w:numId w:val="122"/>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zaprzestano lub przeniesiono działalność produkcyjną poza </w:t>
      </w:r>
      <w:r w:rsidR="00583C5C" w:rsidRPr="005F2138">
        <w:rPr>
          <w:rStyle w:val="normaltextrun"/>
          <w:rFonts w:ascii="Lato" w:eastAsiaTheme="majorEastAsia" w:hAnsi="Lato" w:cstheme="majorBidi"/>
          <w:iCs/>
          <w:kern w:val="32"/>
          <w:szCs w:val="26"/>
        </w:rPr>
        <w:t>terytorium Rzeczpospolitej</w:t>
      </w:r>
      <w:r w:rsidRPr="005F2138">
        <w:rPr>
          <w:rStyle w:val="normaltextrun"/>
          <w:rFonts w:ascii="Lato" w:eastAsiaTheme="majorEastAsia" w:hAnsi="Lato" w:cstheme="majorBidi"/>
          <w:iCs/>
          <w:kern w:val="32"/>
          <w:szCs w:val="26"/>
        </w:rPr>
        <w:t>,</w:t>
      </w:r>
    </w:p>
    <w:p w14:paraId="2D53B93B" w14:textId="6201CE69" w:rsidR="009075DA" w:rsidRPr="005F2138" w:rsidRDefault="00583C5C" w:rsidP="00990CE8">
      <w:pPr>
        <w:pStyle w:val="Akapitzlist"/>
        <w:numPr>
          <w:ilvl w:val="0"/>
          <w:numId w:val="122"/>
        </w:numPr>
        <w:spacing w:before="120" w:after="120"/>
        <w:ind w:left="567" w:hanging="567"/>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Upadłość wynikająca z oszustwa potwierdzonego prawomocnym wyrokiem sądu oznacza naruszenie zasady trwałości przedsięwzięcia. Naruszeniem trwałości przedsięwzięcia jest również brak ogłoszenia upadłości OOW, który zaprzestał prowadzenia działalności produkcyjnej. </w:t>
      </w:r>
    </w:p>
    <w:p w14:paraId="2BF9DBD5" w14:textId="18049FE8" w:rsidR="00117D08" w:rsidRPr="005F2138" w:rsidRDefault="00117D08" w:rsidP="00990CE8">
      <w:pPr>
        <w:spacing w:before="120" w:after="120"/>
        <w:jc w:val="both"/>
        <w:rPr>
          <w:rStyle w:val="normaltextrun"/>
          <w:rFonts w:ascii="Lato" w:eastAsiaTheme="majorEastAsia" w:hAnsi="Lato" w:cstheme="majorBidi"/>
          <w:iCs/>
          <w:kern w:val="32"/>
          <w:szCs w:val="26"/>
        </w:rPr>
      </w:pPr>
    </w:p>
    <w:p w14:paraId="3F28FB28" w14:textId="65D6A7AB" w:rsidR="00335AD4" w:rsidRPr="00990CE8" w:rsidRDefault="00335AD4" w:rsidP="00990CE8">
      <w:pPr>
        <w:pStyle w:val="Nagwek1"/>
        <w:spacing w:before="120" w:after="120"/>
        <w:rPr>
          <w:rFonts w:ascii="Lato" w:hAnsi="Lato"/>
        </w:rPr>
      </w:pPr>
      <w:bookmarkStart w:id="15" w:name="_Toc181699369"/>
      <w:r w:rsidRPr="00990CE8">
        <w:rPr>
          <w:rFonts w:ascii="Lato" w:hAnsi="Lato"/>
        </w:rPr>
        <w:t xml:space="preserve">Rozdział </w:t>
      </w:r>
      <w:r w:rsidR="00814A8C" w:rsidRPr="00990CE8">
        <w:rPr>
          <w:rFonts w:ascii="Lato" w:hAnsi="Lato"/>
        </w:rPr>
        <w:t>4</w:t>
      </w:r>
      <w:r w:rsidRPr="00990CE8">
        <w:rPr>
          <w:rFonts w:ascii="Lato" w:hAnsi="Lato"/>
        </w:rPr>
        <w:t xml:space="preserve"> Wydatki kwalifikowalne</w:t>
      </w:r>
      <w:bookmarkEnd w:id="15"/>
    </w:p>
    <w:p w14:paraId="125237AC" w14:textId="30783289" w:rsidR="00FE020C" w:rsidRPr="00990CE8" w:rsidRDefault="008B523B" w:rsidP="00990CE8">
      <w:pPr>
        <w:pStyle w:val="Nagwek2"/>
        <w:spacing w:before="120" w:after="120"/>
        <w:rPr>
          <w:rFonts w:ascii="Lato" w:hAnsi="Lato"/>
        </w:rPr>
      </w:pPr>
      <w:bookmarkStart w:id="16" w:name="_Toc181699370"/>
      <w:r w:rsidRPr="00990CE8">
        <w:rPr>
          <w:rFonts w:ascii="Lato" w:hAnsi="Lato"/>
        </w:rPr>
        <w:t>4</w:t>
      </w:r>
      <w:r w:rsidR="00335AD4" w:rsidRPr="00990CE8">
        <w:rPr>
          <w:rFonts w:ascii="Lato" w:hAnsi="Lato"/>
        </w:rPr>
        <w:t>.1 Opłaty finansowe, doradztwo i inne usługi związane z realizacją przedsięwzięcia</w:t>
      </w:r>
      <w:bookmarkEnd w:id="16"/>
    </w:p>
    <w:p w14:paraId="7C1A89F6" w14:textId="04773FDB" w:rsidR="00604410" w:rsidRPr="005F2138" w:rsidRDefault="00604410" w:rsidP="00990CE8">
      <w:pPr>
        <w:pStyle w:val="Akapitzlist"/>
        <w:numPr>
          <w:ilvl w:val="0"/>
          <w:numId w:val="62"/>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 xml:space="preserve">Niżej wymienione kategorie wydatków kwalifikują się do finansowania ze środków Instrumentu na rzecz Odbudowy i </w:t>
      </w:r>
      <w:r w:rsidR="00473204" w:rsidRPr="005F2138">
        <w:rPr>
          <w:rStyle w:val="normaltextrun"/>
          <w:rFonts w:ascii="Lato" w:eastAsiaTheme="majorEastAsia" w:hAnsi="Lato" w:cstheme="majorBidi"/>
          <w:iCs/>
          <w:kern w:val="32"/>
          <w:szCs w:val="26"/>
        </w:rPr>
        <w:t>Z</w:t>
      </w:r>
      <w:r w:rsidRPr="005F2138">
        <w:rPr>
          <w:rStyle w:val="normaltextrun"/>
          <w:rFonts w:ascii="Lato" w:eastAsiaTheme="majorEastAsia" w:hAnsi="Lato" w:cstheme="majorBidi"/>
          <w:iCs/>
          <w:kern w:val="32"/>
          <w:szCs w:val="26"/>
        </w:rPr>
        <w:t>większania Odporności, o ile spełniają pozostałe warunki kwalifikowalności wydatków określone w</w:t>
      </w:r>
      <w:r w:rsidR="007A60E9" w:rsidRPr="005F2138">
        <w:rPr>
          <w:rStyle w:val="normaltextrun"/>
          <w:rFonts w:ascii="Lato" w:eastAsiaTheme="majorEastAsia" w:hAnsi="Lato" w:cstheme="majorBidi"/>
          <w:iCs/>
          <w:kern w:val="32"/>
          <w:szCs w:val="26"/>
        </w:rPr>
        <w:t> </w:t>
      </w:r>
      <w:r w:rsidR="00C41A18"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ytycznych:</w:t>
      </w:r>
    </w:p>
    <w:p w14:paraId="610E6EF1" w14:textId="0999302D" w:rsidR="00FE020C" w:rsidRPr="005F2138" w:rsidRDefault="008B523B" w:rsidP="00990CE8">
      <w:pPr>
        <w:pStyle w:val="Akapitzlist"/>
        <w:numPr>
          <w:ilvl w:val="0"/>
          <w:numId w:val="72"/>
        </w:numPr>
        <w:spacing w:before="120" w:after="120"/>
        <w:ind w:left="1134" w:hanging="283"/>
        <w:jc w:val="both"/>
        <w:rPr>
          <w:rStyle w:val="normaltextrun"/>
          <w:rFonts w:ascii="Lato" w:hAnsi="Lato"/>
          <w:iCs/>
        </w:rPr>
      </w:pPr>
      <w:r w:rsidRPr="005F2138">
        <w:rPr>
          <w:rStyle w:val="normaltextrun"/>
          <w:rFonts w:ascii="Lato" w:hAnsi="Lato"/>
          <w:iCs/>
        </w:rPr>
        <w:t xml:space="preserve">następujące opłaty finansowe:  </w:t>
      </w:r>
    </w:p>
    <w:p w14:paraId="74CA9082" w14:textId="63828973" w:rsidR="008B523B" w:rsidRPr="005F2138" w:rsidRDefault="008B523B"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wydatki związane z otwarciem oraz prowadzenie</w:t>
      </w:r>
      <w:r w:rsidR="00230E4A" w:rsidRPr="005F2138">
        <w:rPr>
          <w:rStyle w:val="normaltextrun"/>
          <w:rFonts w:ascii="Lato" w:eastAsiaTheme="majorEastAsia" w:hAnsi="Lato" w:cstheme="majorBidi"/>
          <w:iCs/>
          <w:kern w:val="32"/>
          <w:szCs w:val="26"/>
        </w:rPr>
        <w:t>m</w:t>
      </w:r>
      <w:r w:rsidRPr="005F2138">
        <w:rPr>
          <w:rStyle w:val="normaltextrun"/>
          <w:rFonts w:ascii="Lato" w:eastAsiaTheme="majorEastAsia" w:hAnsi="Lato" w:cstheme="majorBidi"/>
          <w:iCs/>
          <w:kern w:val="32"/>
          <w:szCs w:val="26"/>
        </w:rPr>
        <w:t xml:space="preserve"> wyodrębnionego na rzecz przedsięwzięcia subkonta na rachunku płatniczym </w:t>
      </w:r>
      <w:r w:rsidR="00473204" w:rsidRPr="005F2138">
        <w:rPr>
          <w:rStyle w:val="normaltextrun"/>
          <w:rFonts w:ascii="Lato" w:eastAsiaTheme="majorEastAsia" w:hAnsi="Lato" w:cstheme="majorBidi"/>
          <w:iCs/>
          <w:kern w:val="32"/>
          <w:szCs w:val="26"/>
        </w:rPr>
        <w:t xml:space="preserve">OOW </w:t>
      </w:r>
      <w:r w:rsidRPr="005F2138">
        <w:rPr>
          <w:rStyle w:val="normaltextrun"/>
          <w:rFonts w:ascii="Lato" w:eastAsiaTheme="majorEastAsia" w:hAnsi="Lato" w:cstheme="majorBidi"/>
          <w:iCs/>
          <w:kern w:val="32"/>
          <w:szCs w:val="26"/>
        </w:rPr>
        <w:t xml:space="preserve">lub odrębnego rachunku płatniczego przeznaczonego do obsługi przedsięwzięcia, </w:t>
      </w:r>
    </w:p>
    <w:p w14:paraId="1A16BE8B" w14:textId="47F1AA90" w:rsidR="008B523B" w:rsidRPr="005F2138" w:rsidRDefault="008B523B" w:rsidP="00990CE8">
      <w:pPr>
        <w:pStyle w:val="Akapitzlist"/>
        <w:numPr>
          <w:ilvl w:val="2"/>
          <w:numId w:val="51"/>
        </w:numPr>
        <w:spacing w:before="120" w:after="120"/>
        <w:ind w:left="1985" w:hanging="28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opłaty pobierane od dokonywanych transakcji płatniczych (krajowych lub zagranicznych), z wyjątkiem prowizji pobieranych w</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ramach wymiany walut,  </w:t>
      </w:r>
    </w:p>
    <w:p w14:paraId="2ABF6D23" w14:textId="1D2931A7" w:rsidR="007B3AFC" w:rsidRPr="005F2138" w:rsidRDefault="007B3AFC"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wydatki prawne, finansowe i techniczne poniesione na doradztwo związane z obsługą przedsięwzięcia (z wyjątkiem wydatków związanych z</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przygotowaniem i obsługą spraw sądowych), </w:t>
      </w:r>
    </w:p>
    <w:p w14:paraId="3C25AA38" w14:textId="201E9DB6" w:rsidR="007B3AFC" w:rsidRPr="005F2138" w:rsidRDefault="007B3AFC" w:rsidP="00990CE8">
      <w:pPr>
        <w:pStyle w:val="Akapitzlist"/>
        <w:numPr>
          <w:ilvl w:val="1"/>
          <w:numId w:val="51"/>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lastRenderedPageBreak/>
        <w:t>opłaty notarialne, opłaty administracyjne związane z uzyskiwaniem wszelkiego rodzaju pozwoleń czy zgód niezbędnych do realizacji przedsięwzięcia, o ile faktycznie zostały poniesione przez OOW,</w:t>
      </w:r>
    </w:p>
    <w:p w14:paraId="38334855" w14:textId="56AA00BD" w:rsidR="007B3AFC" w:rsidRPr="005F2138" w:rsidRDefault="007B3AFC"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koszty ubezpieczeń lub gwarancji bankowych,</w:t>
      </w:r>
      <w:r w:rsidRPr="00990CE8">
        <w:rPr>
          <w:rFonts w:ascii="Lato" w:hAnsi="Lato"/>
        </w:rPr>
        <w:t xml:space="preserve"> </w:t>
      </w:r>
      <w:r w:rsidRPr="005F2138">
        <w:rPr>
          <w:rStyle w:val="normaltextrun"/>
          <w:rFonts w:ascii="Lato" w:eastAsiaTheme="majorEastAsia" w:hAnsi="Lato" w:cstheme="majorBidi"/>
          <w:iCs/>
          <w:kern w:val="32"/>
          <w:szCs w:val="26"/>
        </w:rPr>
        <w:t>o ile są wymagane przez przepisy prawa,</w:t>
      </w:r>
    </w:p>
    <w:p w14:paraId="07E72B63" w14:textId="636FD688" w:rsidR="007B3AFC" w:rsidRPr="005F2138" w:rsidRDefault="007B3AFC"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wydatki na ewaluację, </w:t>
      </w:r>
    </w:p>
    <w:p w14:paraId="4A7825BE" w14:textId="50629741" w:rsidR="007B3AFC" w:rsidRPr="005F2138" w:rsidRDefault="007B3AFC" w:rsidP="00990CE8">
      <w:pPr>
        <w:pStyle w:val="Akapitzlist"/>
        <w:numPr>
          <w:ilvl w:val="1"/>
          <w:numId w:val="51"/>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wydatki poniesione z tytułu korzystania z infrastruktury udostępnionej w</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technologii chmury obliczeniowej.  </w:t>
      </w:r>
    </w:p>
    <w:p w14:paraId="02F6A236" w14:textId="7DE4D0A8" w:rsidR="007B3AFC" w:rsidRPr="005F2138" w:rsidRDefault="00FD1B85" w:rsidP="00990CE8">
      <w:pPr>
        <w:pStyle w:val="Akapitzlist"/>
        <w:numPr>
          <w:ilvl w:val="0"/>
          <w:numId w:val="62"/>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Wydatki poniesione na ubezpieczenia mogą być kwalifikowalne jedynie w okresie realizacji przedsięwzięcia. </w:t>
      </w:r>
    </w:p>
    <w:p w14:paraId="6A29CAE6" w14:textId="6A5A0B50" w:rsidR="00B86A67" w:rsidRPr="005F2138" w:rsidRDefault="00B86A67" w:rsidP="00990CE8">
      <w:pPr>
        <w:pStyle w:val="Akapitzlist"/>
        <w:numPr>
          <w:ilvl w:val="0"/>
          <w:numId w:val="62"/>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 sytuacji uzyskania odszkodowania, środki powinny być w pierwszej kolejności przeznaczone na odtworzenie zniszczonej infrastruktury. W innym wypadku wszelkie korzyści finansowe uzyskane przez OOW, w tym z tytułu wypłat ubezpieczenia związanego z przedsięwzięciem, muszą być zwrócone proporcjonalnie do wysokości udziału środków pochodzących z Instrumentu na rzecz Odbudowy i </w:t>
      </w:r>
      <w:r w:rsidR="00473204" w:rsidRPr="005F2138">
        <w:rPr>
          <w:rStyle w:val="normaltextrun"/>
          <w:rFonts w:ascii="Lato" w:eastAsiaTheme="majorEastAsia" w:hAnsi="Lato" w:cstheme="majorBidi"/>
          <w:iCs/>
          <w:kern w:val="32"/>
          <w:szCs w:val="26"/>
        </w:rPr>
        <w:t>Z</w:t>
      </w:r>
      <w:r w:rsidRPr="005F2138">
        <w:rPr>
          <w:rStyle w:val="normaltextrun"/>
          <w:rFonts w:ascii="Lato" w:eastAsiaTheme="majorEastAsia" w:hAnsi="Lato" w:cstheme="majorBidi"/>
          <w:iCs/>
          <w:kern w:val="32"/>
          <w:szCs w:val="26"/>
        </w:rPr>
        <w:t>większania Odporności w wydatkach kwalifikowalnych przedsięwzięcia.</w:t>
      </w:r>
    </w:p>
    <w:p w14:paraId="274946B5" w14:textId="7879EBC0" w:rsidR="00CD663F" w:rsidRPr="00990CE8" w:rsidRDefault="00CD663F" w:rsidP="00990CE8">
      <w:pPr>
        <w:pStyle w:val="Nagwek2"/>
        <w:spacing w:before="120" w:after="120"/>
        <w:rPr>
          <w:rFonts w:ascii="Lato" w:hAnsi="Lato"/>
        </w:rPr>
      </w:pPr>
      <w:bookmarkStart w:id="17" w:name="_Toc181699371"/>
      <w:r w:rsidRPr="00990CE8">
        <w:rPr>
          <w:rFonts w:ascii="Lato" w:hAnsi="Lato"/>
        </w:rPr>
        <w:t xml:space="preserve">4.2 Koszty związane z </w:t>
      </w:r>
      <w:r w:rsidR="00E05529" w:rsidRPr="00990CE8">
        <w:rPr>
          <w:rFonts w:ascii="Lato" w:hAnsi="Lato"/>
        </w:rPr>
        <w:t>za</w:t>
      </w:r>
      <w:r w:rsidRPr="00990CE8">
        <w:rPr>
          <w:rFonts w:ascii="Lato" w:hAnsi="Lato"/>
        </w:rPr>
        <w:t>angażowaniem personelu przedsięwzięcia</w:t>
      </w:r>
      <w:bookmarkEnd w:id="17"/>
    </w:p>
    <w:p w14:paraId="786DE929" w14:textId="285AFC36" w:rsidR="00CD663F" w:rsidRPr="005F2138" w:rsidRDefault="00CD663F" w:rsidP="00990CE8">
      <w:pPr>
        <w:pStyle w:val="Akapitzlist"/>
        <w:numPr>
          <w:ilvl w:val="0"/>
          <w:numId w:val="73"/>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 xml:space="preserve">Koszty związane z zaangażowaniem personelu przedsięwzięcia mogą być kwalifikowalne, o ile konieczność zaangażowania personelu wynika z charakteru przedsięwzięcia. </w:t>
      </w:r>
    </w:p>
    <w:p w14:paraId="68D9F2C4" w14:textId="3F96A68A" w:rsidR="00CD663F" w:rsidRPr="005F2138" w:rsidRDefault="00CD663F"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Kwalifikowalnymi składnikami wynagrodzenia personelu przedsięwzięcia są wynagrodzenie brutto oraz koszty ponoszone przez pracodawcę zgodnie z</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właściwymi przepisami prawa, w szczególności składki na ubezpieczenia społeczne, Fundusz Pracy, Fundusz Gwarantowanych Świadczeń Pracowniczych, Pracownicze Plany Kapitałowe, odpisy na ZFŚS </w:t>
      </w:r>
      <w:r w:rsidR="00F86153" w:rsidRPr="005F2138">
        <w:rPr>
          <w:rStyle w:val="normaltextrun"/>
          <w:rFonts w:ascii="Lato" w:eastAsiaTheme="majorEastAsia" w:hAnsi="Lato" w:cstheme="majorBidi"/>
          <w:iCs/>
          <w:kern w:val="32"/>
          <w:szCs w:val="26"/>
        </w:rPr>
        <w:t xml:space="preserve">oraz </w:t>
      </w:r>
      <w:r w:rsidRPr="005F2138">
        <w:rPr>
          <w:rStyle w:val="normaltextrun"/>
          <w:rFonts w:ascii="Lato" w:eastAsiaTheme="majorEastAsia" w:hAnsi="Lato" w:cstheme="majorBidi"/>
          <w:iCs/>
          <w:kern w:val="32"/>
          <w:szCs w:val="26"/>
        </w:rPr>
        <w:t>wydatki ponoszone na Pracowniczy Program Emerytalny.</w:t>
      </w:r>
    </w:p>
    <w:p w14:paraId="3476B545" w14:textId="6DD96D5A" w:rsidR="00CD663F" w:rsidRPr="005F2138" w:rsidRDefault="00CD663F"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Zatrudnienie lub oddelegowanie personelu przedsięwzięcia do pełnienia zadań związanych z realizacją przedsięwzięcia OOW jest odpowiednio udokumentowane postanowieniami umowy o pracę, porozumienia</w:t>
      </w:r>
      <w:r w:rsidR="004926E0" w:rsidRPr="005F2138">
        <w:rPr>
          <w:rStyle w:val="normaltextrun"/>
          <w:rFonts w:ascii="Lato" w:eastAsiaTheme="majorEastAsia" w:hAnsi="Lato" w:cstheme="majorBidi"/>
          <w:iCs/>
          <w:kern w:val="32"/>
          <w:szCs w:val="26"/>
        </w:rPr>
        <w:t>mi</w:t>
      </w:r>
      <w:r w:rsidRPr="005F2138">
        <w:rPr>
          <w:rStyle w:val="normaltextrun"/>
          <w:rFonts w:ascii="Lato" w:eastAsiaTheme="majorEastAsia" w:hAnsi="Lato" w:cstheme="majorBidi"/>
          <w:iCs/>
          <w:kern w:val="32"/>
          <w:szCs w:val="26"/>
        </w:rPr>
        <w:t xml:space="preserve"> lub zakresem czynności </w:t>
      </w:r>
      <w:r w:rsidRPr="005F2138">
        <w:rPr>
          <w:rStyle w:val="normaltextrun"/>
          <w:rFonts w:ascii="Lato" w:eastAsiaTheme="majorEastAsia" w:hAnsi="Lato" w:cstheme="majorBidi"/>
          <w:iCs/>
          <w:kern w:val="32"/>
          <w:szCs w:val="26"/>
        </w:rPr>
        <w:lastRenderedPageBreak/>
        <w:t>służbowych pracownika lub opisem stanowiska pracy poprzez wskazanie w</w:t>
      </w:r>
      <w:r w:rsidR="00B32B03">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szczególności zadań wykonywanych w ramach przedsięwzięcia. Dokumenty te powinny obejmować wszystkie zadania personelu przedsięwzięcia.</w:t>
      </w:r>
    </w:p>
    <w:p w14:paraId="23271E93" w14:textId="117FCBA3" w:rsidR="00CD663F" w:rsidRPr="005F2138" w:rsidRDefault="00CD663F"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Jeżeli stosunek pracy pracownika OOW jedynie w części obejmuje zadania w</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ramach przedsięwzięcia, koszt wynagrodzenia personelu przedsięwzięcia jest kwalifikowalny, o ile: </w:t>
      </w:r>
    </w:p>
    <w:p w14:paraId="42F5836D" w14:textId="11E044CB" w:rsidR="00CD663F" w:rsidRPr="005F2138" w:rsidRDefault="00CD663F"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zadania związane z realizacją przedsięwzięcia zostaną wyraźnie wyodrębnione w umowie o pracę, porozumieniu lub zakresie czynności służbowych pracownika lub opisie stanowiska pracy,</w:t>
      </w:r>
    </w:p>
    <w:p w14:paraId="6A8105C8" w14:textId="03FE4D78" w:rsidR="00CD663F" w:rsidRPr="005F2138" w:rsidRDefault="00CD663F"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zakres zadań związanych z realizacją przedsięwzięcia stanowi podstawę do określenia proporcji faktycznego zaangażowania pracownika w</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realizację przedsięwzięcia w stosunku do czasu pracy wynikającego z</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umowy o pracę tego pracownika,</w:t>
      </w:r>
    </w:p>
    <w:p w14:paraId="6C6D53BB" w14:textId="494509C2" w:rsidR="00CD663F" w:rsidRPr="005F2138" w:rsidRDefault="00CD663F"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koszt wynagrodzenia personelu przedsięwzięcia odpowiada proporcji, o</w:t>
      </w:r>
      <w:r w:rsidR="004B4C7F"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której mowa w lit. b, chyba że zakres odpowiedzialności, złożoność lub poziom wymaganych kompetencji na danym stanowisku uzasadnia różnicę w</w:t>
      </w:r>
      <w:r w:rsidR="00B32B03">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udziale wydatku do czasu pracy wynikającego ze stosunku pracy.</w:t>
      </w:r>
    </w:p>
    <w:p w14:paraId="590EAC3F" w14:textId="69051715" w:rsidR="003716F1" w:rsidRPr="005F2138" w:rsidRDefault="003716F1" w:rsidP="00990CE8">
      <w:pPr>
        <w:spacing w:before="120" w:after="120"/>
        <w:ind w:left="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Ostateczną decyzję w zakresie uznania kwalifikowalności wynagrodzenia personelu przedsięwzięcia podejmuje IOI po przeprowadzeniu weryfikacji dokumentacji przedstawionej przez OOW. </w:t>
      </w:r>
    </w:p>
    <w:p w14:paraId="67F9FB9E" w14:textId="5B9D6B3A" w:rsidR="00CD663F" w:rsidRPr="005F2138" w:rsidRDefault="00CD663F"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Koszt wynagrodzenia personelu przedsięwzięcia nie może przekroczyć kwoty wynagrodzenia pracowników OOW na analogicznych stanowiskach lub na</w:t>
      </w:r>
      <w:r w:rsidR="00514F99"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stanowiskach wymagających analogicznych kwalifikacji. </w:t>
      </w:r>
    </w:p>
    <w:p w14:paraId="131C6D12" w14:textId="6A4B6A0A" w:rsidR="00CD663F" w:rsidRPr="005F2138" w:rsidRDefault="006A3FF3"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We </w:t>
      </w:r>
      <w:r w:rsidR="00E05529"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niosku  w ramach inwestycji OOW wskaże:</w:t>
      </w:r>
    </w:p>
    <w:p w14:paraId="641E9AFA" w14:textId="382B8584"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formę zaangażowania i szacunkowy wymiar czasu pracy personelu przedsięwzięcia niezbędnego do realizacji zadań merytorycznych (etat/liczba godzin),</w:t>
      </w:r>
    </w:p>
    <w:p w14:paraId="4F567EEA" w14:textId="793876B1"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uzasadnienie proponowanej kwoty wynagrodzenia personelu przedsięwzięcia odnoszące się do zwyczajowej praktyki OOW w zakresie wynagrodzeń na danym stanowisku. </w:t>
      </w:r>
    </w:p>
    <w:p w14:paraId="39770134" w14:textId="242158FF" w:rsidR="006A3FF3" w:rsidRPr="005F2138" w:rsidRDefault="006A3FF3"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Z zastrzeżeniem podrozdziału 3.4, nagrody i premie personelu przedsięwzięcia mogą być kwalifikowalne, jeżeli:</w:t>
      </w:r>
    </w:p>
    <w:p w14:paraId="305559FE" w14:textId="6A300222"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zostały określone w regulaminie pracy lub regulaminie wynagradzania co</w:t>
      </w:r>
      <w:r w:rsidR="00D05DDC"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 xml:space="preserve">najmniej </w:t>
      </w:r>
      <w:r w:rsidR="00127E41" w:rsidRPr="005F2138">
        <w:rPr>
          <w:rStyle w:val="normaltextrun"/>
          <w:rFonts w:ascii="Lato" w:eastAsiaTheme="majorEastAsia" w:hAnsi="Lato" w:cstheme="majorBidi"/>
          <w:kern w:val="32"/>
        </w:rPr>
        <w:t>6</w:t>
      </w:r>
      <w:r w:rsidRPr="005F2138">
        <w:rPr>
          <w:rStyle w:val="normaltextrun"/>
          <w:rFonts w:ascii="Lato" w:eastAsiaTheme="majorEastAsia" w:hAnsi="Lato" w:cstheme="majorBidi"/>
          <w:kern w:val="32"/>
        </w:rPr>
        <w:t xml:space="preserve"> miesięcy przed złożeniem </w:t>
      </w:r>
      <w:r w:rsidR="00E05529" w:rsidRPr="005F2138">
        <w:rPr>
          <w:rStyle w:val="normaltextrun"/>
          <w:rFonts w:ascii="Lato" w:eastAsiaTheme="majorEastAsia" w:hAnsi="Lato" w:cstheme="majorBidi"/>
          <w:kern w:val="32"/>
        </w:rPr>
        <w:t>W</w:t>
      </w:r>
      <w:r w:rsidRPr="005F2138">
        <w:rPr>
          <w:rStyle w:val="normaltextrun"/>
          <w:rFonts w:ascii="Lato" w:eastAsiaTheme="majorEastAsia" w:hAnsi="Lato" w:cstheme="majorBidi"/>
          <w:kern w:val="32"/>
        </w:rPr>
        <w:t>niosku, chyba, że możliwość przyznania nagrody została przewidziana w aktach prawa powszechnie obowiązującego oraz</w:t>
      </w:r>
    </w:p>
    <w:p w14:paraId="62B5053C" w14:textId="4AB5CFF8"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potencjalnie obejmują wszystkich pracowników, a zasady ich przyznawania są takie same w przypadku personelu przedsięwzięcia oraz pozostałych pracowników OOW oraz</w:t>
      </w:r>
    </w:p>
    <w:p w14:paraId="3F685D94" w14:textId="12963012"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przyznawane są w związku z realizacją zadań w ramach przedsięwzięcia na podstawie stosunku pracy</w:t>
      </w:r>
      <w:r w:rsidR="00DD2F75" w:rsidRPr="005F2138">
        <w:rPr>
          <w:rStyle w:val="normaltextrun"/>
          <w:rFonts w:ascii="Lato" w:eastAsiaTheme="majorEastAsia" w:hAnsi="Lato" w:cstheme="majorBidi"/>
          <w:iCs/>
          <w:kern w:val="32"/>
          <w:szCs w:val="26"/>
        </w:rPr>
        <w:t>.</w:t>
      </w:r>
    </w:p>
    <w:p w14:paraId="241E3710" w14:textId="4ECEBFE5" w:rsidR="00DD2F75" w:rsidRPr="005F2138" w:rsidRDefault="00DD2F75" w:rsidP="00990CE8">
      <w:pPr>
        <w:spacing w:before="120" w:after="120"/>
        <w:ind w:left="426"/>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Nagrody i premie </w:t>
      </w:r>
      <w:r w:rsidR="00245BBD" w:rsidRPr="005F2138">
        <w:rPr>
          <w:rStyle w:val="normaltextrun"/>
          <w:rFonts w:ascii="Lato" w:eastAsiaTheme="majorEastAsia" w:hAnsi="Lato" w:cstheme="majorBidi"/>
          <w:kern w:val="32"/>
        </w:rPr>
        <w:t>za szczególne osiągni</w:t>
      </w:r>
      <w:r w:rsidR="00B60992" w:rsidRPr="005F2138">
        <w:rPr>
          <w:rStyle w:val="normaltextrun"/>
          <w:rFonts w:ascii="Lato" w:eastAsiaTheme="majorEastAsia" w:hAnsi="Lato" w:cstheme="majorBidi"/>
          <w:kern w:val="32"/>
        </w:rPr>
        <w:t>ę</w:t>
      </w:r>
      <w:r w:rsidR="00245BBD" w:rsidRPr="005F2138">
        <w:rPr>
          <w:rStyle w:val="normaltextrun"/>
          <w:rFonts w:ascii="Lato" w:eastAsiaTheme="majorEastAsia" w:hAnsi="Lato" w:cstheme="majorBidi"/>
          <w:kern w:val="32"/>
        </w:rPr>
        <w:t xml:space="preserve">cia </w:t>
      </w:r>
      <w:r w:rsidR="004B4C7F" w:rsidRPr="005F2138">
        <w:rPr>
          <w:rStyle w:val="normaltextrun"/>
          <w:rFonts w:ascii="Lato" w:eastAsiaTheme="majorEastAsia" w:hAnsi="Lato" w:cstheme="majorBidi"/>
          <w:kern w:val="32"/>
        </w:rPr>
        <w:t>w</w:t>
      </w:r>
      <w:r w:rsidR="00245BBD" w:rsidRPr="005F2138">
        <w:rPr>
          <w:rStyle w:val="normaltextrun"/>
          <w:rFonts w:ascii="Lato" w:eastAsiaTheme="majorEastAsia" w:hAnsi="Lato" w:cstheme="majorBidi"/>
          <w:kern w:val="32"/>
        </w:rPr>
        <w:t xml:space="preserve"> realizacj</w:t>
      </w:r>
      <w:r w:rsidR="004B4C7F" w:rsidRPr="005F2138">
        <w:rPr>
          <w:rStyle w:val="normaltextrun"/>
          <w:rFonts w:ascii="Lato" w:eastAsiaTheme="majorEastAsia" w:hAnsi="Lato" w:cstheme="majorBidi"/>
          <w:kern w:val="32"/>
        </w:rPr>
        <w:t>i</w:t>
      </w:r>
      <w:r w:rsidR="00245BBD" w:rsidRPr="005F2138">
        <w:rPr>
          <w:rStyle w:val="normaltextrun"/>
          <w:rFonts w:ascii="Lato" w:eastAsiaTheme="majorEastAsia" w:hAnsi="Lato" w:cstheme="majorBidi"/>
          <w:kern w:val="32"/>
        </w:rPr>
        <w:t xml:space="preserve"> zadań w przedsięwzięciu</w:t>
      </w:r>
      <w:r w:rsidR="004B4C7F" w:rsidRPr="005F2138">
        <w:rPr>
          <w:rStyle w:val="normaltextrun"/>
          <w:rFonts w:ascii="Lato" w:eastAsiaTheme="majorEastAsia" w:hAnsi="Lato" w:cstheme="majorBidi"/>
          <w:kern w:val="32"/>
        </w:rPr>
        <w:t>,</w:t>
      </w:r>
      <w:r w:rsidR="00245BBD" w:rsidRPr="005F2138">
        <w:rPr>
          <w:rStyle w:val="normaltextrun"/>
          <w:rFonts w:ascii="Lato" w:eastAsiaTheme="majorEastAsia" w:hAnsi="Lato" w:cstheme="majorBidi"/>
          <w:kern w:val="32"/>
        </w:rPr>
        <w:t xml:space="preserve"> mogą zostać </w:t>
      </w:r>
      <w:r w:rsidR="008C499D" w:rsidRPr="005F2138">
        <w:rPr>
          <w:rStyle w:val="normaltextrun"/>
          <w:rFonts w:ascii="Lato" w:eastAsiaTheme="majorEastAsia" w:hAnsi="Lato" w:cstheme="majorBidi"/>
          <w:kern w:val="32"/>
        </w:rPr>
        <w:t xml:space="preserve">w uzasadnionych przypadkach </w:t>
      </w:r>
      <w:r w:rsidR="00245BBD" w:rsidRPr="005F2138">
        <w:rPr>
          <w:rStyle w:val="normaltextrun"/>
          <w:rFonts w:ascii="Lato" w:eastAsiaTheme="majorEastAsia" w:hAnsi="Lato" w:cstheme="majorBidi"/>
          <w:kern w:val="32"/>
        </w:rPr>
        <w:t>sfinansowane w całości</w:t>
      </w:r>
      <w:r w:rsidR="003B239C" w:rsidRPr="005F2138">
        <w:rPr>
          <w:rStyle w:val="normaltextrun"/>
          <w:rFonts w:ascii="Lato" w:eastAsiaTheme="majorEastAsia" w:hAnsi="Lato" w:cstheme="majorBidi"/>
          <w:kern w:val="32"/>
        </w:rPr>
        <w:t xml:space="preserve"> ze środków wsparcia</w:t>
      </w:r>
      <w:r w:rsidR="008C499D" w:rsidRPr="005F2138">
        <w:rPr>
          <w:rStyle w:val="normaltextrun"/>
          <w:rFonts w:ascii="Lato" w:eastAsiaTheme="majorEastAsia" w:hAnsi="Lato" w:cstheme="majorBidi"/>
          <w:kern w:val="32"/>
        </w:rPr>
        <w:t>;</w:t>
      </w:r>
      <w:r w:rsidR="00245BBD" w:rsidRPr="005F2138">
        <w:rPr>
          <w:rStyle w:val="normaltextrun"/>
          <w:rFonts w:ascii="Lato" w:eastAsiaTheme="majorEastAsia" w:hAnsi="Lato" w:cstheme="majorBidi"/>
          <w:kern w:val="32"/>
        </w:rPr>
        <w:t xml:space="preserve"> w</w:t>
      </w:r>
      <w:r w:rsidR="008C499D" w:rsidRPr="005F2138">
        <w:rPr>
          <w:rStyle w:val="normaltextrun"/>
          <w:rFonts w:ascii="Lato" w:eastAsiaTheme="majorEastAsia" w:hAnsi="Lato" w:cstheme="majorBidi"/>
          <w:kern w:val="32"/>
        </w:rPr>
        <w:t> </w:t>
      </w:r>
      <w:r w:rsidR="00245BBD" w:rsidRPr="005F2138">
        <w:rPr>
          <w:rStyle w:val="normaltextrun"/>
          <w:rFonts w:ascii="Lato" w:eastAsiaTheme="majorEastAsia" w:hAnsi="Lato" w:cstheme="majorBidi"/>
          <w:kern w:val="32"/>
        </w:rPr>
        <w:t xml:space="preserve">pozostałych przypadkach powinny </w:t>
      </w:r>
      <w:r w:rsidRPr="005F2138">
        <w:rPr>
          <w:rStyle w:val="normaltextrun"/>
          <w:rFonts w:ascii="Lato" w:eastAsiaTheme="majorEastAsia" w:hAnsi="Lato" w:cstheme="majorBidi"/>
          <w:kern w:val="32"/>
        </w:rPr>
        <w:t>zostać przyznane proporcjonalnie do zaangażowania personelu w dane przedsięwzięcie.</w:t>
      </w:r>
    </w:p>
    <w:p w14:paraId="1AB1EA71" w14:textId="192B1325" w:rsidR="006A3FF3" w:rsidRPr="005F2138" w:rsidRDefault="006A3FF3"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Dodatek do wynagrodzenia personelu przedsięwzięcia może być kwalifikowalny, jeżeli:</w:t>
      </w:r>
    </w:p>
    <w:p w14:paraId="6713698B" w14:textId="6CA4A375"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został określony w regulaminie pracy lub regulaminie wynagradzania </w:t>
      </w:r>
      <w:r w:rsidR="0068049F" w:rsidRPr="005F2138">
        <w:rPr>
          <w:rStyle w:val="normaltextrun"/>
          <w:rFonts w:ascii="Lato" w:eastAsiaTheme="majorEastAsia" w:hAnsi="Lato" w:cstheme="majorBidi"/>
          <w:iCs/>
          <w:kern w:val="32"/>
          <w:szCs w:val="26"/>
        </w:rPr>
        <w:t>co</w:t>
      </w:r>
      <w:r w:rsidR="00D05DDC"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najmniej </w:t>
      </w:r>
      <w:r w:rsidR="00127E41" w:rsidRPr="005F2138">
        <w:rPr>
          <w:rStyle w:val="normaltextrun"/>
          <w:rFonts w:ascii="Lato" w:eastAsiaTheme="majorEastAsia" w:hAnsi="Lato" w:cstheme="majorBidi"/>
          <w:iCs/>
          <w:kern w:val="32"/>
          <w:szCs w:val="26"/>
        </w:rPr>
        <w:t>6</w:t>
      </w:r>
      <w:r w:rsidRPr="005F2138">
        <w:rPr>
          <w:rStyle w:val="normaltextrun"/>
          <w:rFonts w:ascii="Lato" w:eastAsiaTheme="majorEastAsia" w:hAnsi="Lato" w:cstheme="majorBidi"/>
          <w:iCs/>
          <w:kern w:val="32"/>
          <w:szCs w:val="26"/>
        </w:rPr>
        <w:t xml:space="preserve"> miesięcy przed złożeniem </w:t>
      </w:r>
      <w:r w:rsidR="00B60992"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niosku, chyba, że możliwość przyznania dodatku została przewidziana w aktach prawa powszechnie obowiązującego,</w:t>
      </w:r>
    </w:p>
    <w:p w14:paraId="149DD47E" w14:textId="46D182BA" w:rsidR="006A3FF3"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potencjalnie obejmuje wszystkich pracowników, a zasady jego przyznawania są takie same w przypadku personelu przedsięwzięcia oraz pozostałych pracowników OOW,</w:t>
      </w:r>
    </w:p>
    <w:p w14:paraId="2BB0CCBB" w14:textId="77777777" w:rsidR="004C7D5B" w:rsidRPr="005F2138" w:rsidRDefault="006A3FF3"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jest kwalifikowalny wyłącznie w okresie zaangażowania danej osoby do przedsięwzięcia,</w:t>
      </w:r>
    </w:p>
    <w:p w14:paraId="74164AE4" w14:textId="031FB598" w:rsidR="004C7D5B" w:rsidRPr="005F2138" w:rsidRDefault="004C7D5B"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jego wysokość uzależniona jest od zakresu dodatkowych obowiązków i</w:t>
      </w:r>
      <w:r w:rsidR="008C499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wynika z zatwierdzonego </w:t>
      </w:r>
      <w:r w:rsidR="00B60992"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 xml:space="preserve">niosku. </w:t>
      </w:r>
    </w:p>
    <w:p w14:paraId="25101F5C" w14:textId="2433DBC1" w:rsidR="004C7D5B" w:rsidRPr="005F2138" w:rsidRDefault="004C7D5B" w:rsidP="00990CE8">
      <w:pPr>
        <w:spacing w:before="120" w:after="120"/>
        <w:ind w:left="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lastRenderedPageBreak/>
        <w:t>W przypadku przyznania dodatku w związku z realizacją przedsięwzię</w:t>
      </w:r>
      <w:r w:rsidR="00B60992" w:rsidRPr="005F2138">
        <w:rPr>
          <w:rStyle w:val="normaltextrun"/>
          <w:rFonts w:ascii="Lato" w:eastAsiaTheme="majorEastAsia" w:hAnsi="Lato" w:cstheme="majorBidi"/>
          <w:iCs/>
          <w:kern w:val="32"/>
          <w:szCs w:val="26"/>
        </w:rPr>
        <w:t>cia</w:t>
      </w:r>
      <w:r w:rsidRPr="005F2138">
        <w:rPr>
          <w:rStyle w:val="normaltextrun"/>
          <w:rFonts w:ascii="Lato" w:eastAsiaTheme="majorEastAsia" w:hAnsi="Lato" w:cstheme="majorBidi"/>
          <w:iCs/>
          <w:kern w:val="32"/>
          <w:szCs w:val="26"/>
        </w:rPr>
        <w:t xml:space="preserve"> </w:t>
      </w:r>
      <w:r w:rsidR="000B0D68" w:rsidRPr="005F2138">
        <w:rPr>
          <w:rStyle w:val="normaltextrun"/>
          <w:rFonts w:ascii="Lato" w:eastAsiaTheme="majorEastAsia" w:hAnsi="Lato" w:cstheme="majorBidi"/>
          <w:iCs/>
          <w:kern w:val="32"/>
          <w:szCs w:val="26"/>
        </w:rPr>
        <w:t>finansowan</w:t>
      </w:r>
      <w:r w:rsidR="00B60992" w:rsidRPr="005F2138">
        <w:rPr>
          <w:rStyle w:val="normaltextrun"/>
          <w:rFonts w:ascii="Lato" w:eastAsiaTheme="majorEastAsia" w:hAnsi="Lato" w:cstheme="majorBidi"/>
          <w:iCs/>
          <w:kern w:val="32"/>
          <w:szCs w:val="26"/>
        </w:rPr>
        <w:t>ego</w:t>
      </w:r>
      <w:r w:rsidR="000B0D68" w:rsidRPr="005F2138">
        <w:rPr>
          <w:rStyle w:val="normaltextrun"/>
          <w:rFonts w:ascii="Lato" w:eastAsiaTheme="majorEastAsia" w:hAnsi="Lato" w:cstheme="majorBidi"/>
          <w:iCs/>
          <w:kern w:val="32"/>
          <w:szCs w:val="26"/>
        </w:rPr>
        <w:t xml:space="preserve"> ze środków planu rozwojowego</w:t>
      </w:r>
      <w:r w:rsidRPr="005F2138">
        <w:rPr>
          <w:rStyle w:val="normaltextrun"/>
          <w:rFonts w:ascii="Lato" w:eastAsiaTheme="majorEastAsia" w:hAnsi="Lato" w:cstheme="majorBidi"/>
          <w:iCs/>
          <w:kern w:val="32"/>
          <w:szCs w:val="26"/>
        </w:rPr>
        <w:t>, dodatek ten rozliczany jest proporcjonalnie do zaangażowania w dane przedsięwzięcie.</w:t>
      </w:r>
    </w:p>
    <w:p w14:paraId="5A74E9B8" w14:textId="74822DD6" w:rsidR="004C7D5B" w:rsidRPr="005F2138" w:rsidRDefault="004C7D5B"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Dodatkowe wynagrodzenie roczne personelu przedsięwzięcia, wynikające z</w:t>
      </w:r>
      <w:r w:rsidR="008C499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 xml:space="preserve">przepisów prawa pracy w rozumieniu art. 9 § 1 </w:t>
      </w:r>
      <w:r w:rsidR="00B60992" w:rsidRPr="005F2138">
        <w:rPr>
          <w:rStyle w:val="normaltextrun"/>
          <w:rFonts w:ascii="Lato" w:eastAsiaTheme="majorEastAsia" w:hAnsi="Lato" w:cstheme="majorBidi"/>
          <w:iCs/>
          <w:kern w:val="32"/>
          <w:szCs w:val="26"/>
        </w:rPr>
        <w:t>k</w:t>
      </w:r>
      <w:r w:rsidRPr="005F2138">
        <w:rPr>
          <w:rStyle w:val="normaltextrun"/>
          <w:rFonts w:ascii="Lato" w:eastAsiaTheme="majorEastAsia" w:hAnsi="Lato" w:cstheme="majorBidi"/>
          <w:iCs/>
          <w:kern w:val="32"/>
          <w:szCs w:val="26"/>
        </w:rPr>
        <w:t xml:space="preserve">odeksu pracy, może być kwalifikowalne w ramach przedsięwzięcia w proporcji, w której wynagrodzenie pracownika jest rozliczane w ramach przedsięwzięcia. </w:t>
      </w:r>
    </w:p>
    <w:p w14:paraId="1B507118" w14:textId="274A7DCC" w:rsidR="004C7D5B" w:rsidRPr="005F2138" w:rsidRDefault="00220BC7"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Wydatki związane z zaangażowaniem zawodowym personelu przedsięwzięcia w</w:t>
      </w:r>
      <w:r w:rsidR="008C499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przedsięwzięciu lub przedsięwzięciach są kwalifikowalne, o ile:</w:t>
      </w:r>
    </w:p>
    <w:p w14:paraId="6E2CDD7C" w14:textId="6FC8D578" w:rsidR="00220BC7" w:rsidRPr="005F2138" w:rsidRDefault="00220BC7"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obciążenie z tego wynikające nie wyklucza możliwości prawidłowej i</w:t>
      </w:r>
      <w:r w:rsidR="008C499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efektywnej realizacji wszystkich zadań powierzonych danej osobie,</w:t>
      </w:r>
    </w:p>
    <w:p w14:paraId="1AE9DC68" w14:textId="2A054E68" w:rsidR="00220BC7" w:rsidRPr="005F2138" w:rsidRDefault="00220BC7" w:rsidP="00990CE8">
      <w:pPr>
        <w:pStyle w:val="Akapitzlist"/>
        <w:numPr>
          <w:ilvl w:val="1"/>
          <w:numId w:val="73"/>
        </w:numPr>
        <w:spacing w:before="120" w:after="120"/>
        <w:ind w:left="1134" w:hanging="283"/>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łączne zaangażowanie zawodowe personelu przedsięwzięcia w realizację wszystkich przedsięwzięć/projektów finansowanych z funduszy UE oraz działań finansowanych z innych źródeł, w tym środków własnych OOW i</w:t>
      </w:r>
      <w:r w:rsidR="008C499D"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w:t>
      </w:r>
    </w:p>
    <w:p w14:paraId="1BEB90D1" w14:textId="2372AF4A" w:rsidR="00220BC7" w:rsidRPr="005F2138" w:rsidRDefault="00220BC7" w:rsidP="00990CE8">
      <w:pPr>
        <w:pStyle w:val="Akapitzlist"/>
        <w:spacing w:before="120" w:after="120"/>
        <w:ind w:left="1134"/>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Spełnienie tego warunku należy zweryfikować przed zaangażowaniem osoby do przedsięwzięcia. Weryfikacji można dokonać posiłkując się pisemnym oświadczeniem złożonym przez tę osobę. Warunek ten powinien być spełniony w całym okresie kwalifik</w:t>
      </w:r>
      <w:r w:rsidR="00846BB9" w:rsidRPr="005F2138">
        <w:rPr>
          <w:rStyle w:val="normaltextrun"/>
          <w:rFonts w:ascii="Lato" w:eastAsiaTheme="majorEastAsia" w:hAnsi="Lato" w:cstheme="majorBidi"/>
          <w:iCs/>
          <w:kern w:val="32"/>
          <w:szCs w:val="26"/>
        </w:rPr>
        <w:t xml:space="preserve">owalności </w:t>
      </w:r>
      <w:r w:rsidRPr="005F2138">
        <w:rPr>
          <w:rStyle w:val="normaltextrun"/>
          <w:rFonts w:ascii="Lato" w:eastAsiaTheme="majorEastAsia" w:hAnsi="Lato" w:cstheme="majorBidi"/>
          <w:iCs/>
          <w:kern w:val="32"/>
          <w:szCs w:val="26"/>
        </w:rPr>
        <w:t>wynagrodzenia danej osoby w</w:t>
      </w:r>
      <w:r w:rsidR="00610CA3">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tym pr</w:t>
      </w:r>
      <w:r w:rsidR="00B60992" w:rsidRPr="005F2138">
        <w:rPr>
          <w:rStyle w:val="normaltextrun"/>
          <w:rFonts w:ascii="Lato" w:eastAsiaTheme="majorEastAsia" w:hAnsi="Lato" w:cstheme="majorBidi"/>
          <w:iCs/>
          <w:kern w:val="32"/>
          <w:szCs w:val="26"/>
        </w:rPr>
        <w:t>zedsięwzięciu</w:t>
      </w:r>
      <w:r w:rsidRPr="005F2138">
        <w:rPr>
          <w:rStyle w:val="normaltextrun"/>
          <w:rFonts w:ascii="Lato" w:eastAsiaTheme="majorEastAsia" w:hAnsi="Lato" w:cstheme="majorBidi"/>
          <w:iCs/>
          <w:kern w:val="32"/>
          <w:szCs w:val="26"/>
        </w:rPr>
        <w:t>, przy czym w</w:t>
      </w:r>
      <w:r w:rsidR="00AE3138" w:rsidRPr="005F2138">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przypadku wystąpienia nieprawidłowości w zakresie spełnienia tego warunku za niekwalifikowalne należy uznać wynagrodzenie personelu przedsięwzięcia (w całości lub w</w:t>
      </w:r>
      <w:r w:rsidR="00610CA3">
        <w:rPr>
          <w:rStyle w:val="normaltextrun"/>
          <w:rFonts w:ascii="Lato" w:eastAsiaTheme="majorEastAsia" w:hAnsi="Lato" w:cstheme="majorBidi"/>
          <w:iCs/>
          <w:kern w:val="32"/>
          <w:szCs w:val="26"/>
        </w:rPr>
        <w:t> </w:t>
      </w:r>
      <w:r w:rsidRPr="005F2138">
        <w:rPr>
          <w:rStyle w:val="normaltextrun"/>
          <w:rFonts w:ascii="Lato" w:eastAsiaTheme="majorEastAsia" w:hAnsi="Lato" w:cstheme="majorBidi"/>
          <w:iCs/>
          <w:kern w:val="32"/>
          <w:szCs w:val="26"/>
        </w:rPr>
        <w:t>części) w tym przedsięwzięciu, w ramach którego zaangażowanie personelu przedsięwzięcia spowodowało naruszenie tego warunku.</w:t>
      </w:r>
    </w:p>
    <w:p w14:paraId="7E0A80B2" w14:textId="01BB5DBD" w:rsidR="00D32C2B" w:rsidRPr="005F2138" w:rsidRDefault="001801EC" w:rsidP="00990CE8">
      <w:pPr>
        <w:pStyle w:val="Akapitzlist"/>
        <w:numPr>
          <w:ilvl w:val="0"/>
          <w:numId w:val="73"/>
        </w:numPr>
        <w:spacing w:before="120" w:after="120"/>
        <w:ind w:left="426" w:hanging="426"/>
        <w:jc w:val="both"/>
        <w:rPr>
          <w:rStyle w:val="normaltextrun"/>
          <w:rFonts w:ascii="Lato" w:eastAsiaTheme="majorEastAsia" w:hAnsi="Lato" w:cstheme="majorBidi"/>
          <w:iCs/>
          <w:kern w:val="32"/>
          <w:szCs w:val="26"/>
        </w:rPr>
      </w:pPr>
      <w:r w:rsidRPr="005F2138">
        <w:rPr>
          <w:rStyle w:val="normaltextrun"/>
          <w:rFonts w:ascii="Lato" w:eastAsiaTheme="majorEastAsia" w:hAnsi="Lato" w:cstheme="majorBidi"/>
          <w:iCs/>
          <w:kern w:val="32"/>
          <w:szCs w:val="26"/>
        </w:rPr>
        <w:t xml:space="preserve">Koszty delegacji służbowych oraz koszty związane z podnoszeniem kwalifikacji zawodowych personelu przedsięwzięcia mogą być kwalifikowalne, o ile zostały </w:t>
      </w:r>
      <w:r w:rsidRPr="005F2138">
        <w:rPr>
          <w:rStyle w:val="normaltextrun"/>
          <w:rFonts w:ascii="Lato" w:eastAsiaTheme="majorEastAsia" w:hAnsi="Lato" w:cstheme="majorBidi"/>
          <w:iCs/>
          <w:kern w:val="32"/>
          <w:szCs w:val="26"/>
        </w:rPr>
        <w:lastRenderedPageBreak/>
        <w:t xml:space="preserve">uwzględnione w zatwierdzonym </w:t>
      </w:r>
      <w:r w:rsidR="00B60992" w:rsidRPr="005F2138">
        <w:rPr>
          <w:rStyle w:val="normaltextrun"/>
          <w:rFonts w:ascii="Lato" w:eastAsiaTheme="majorEastAsia" w:hAnsi="Lato" w:cstheme="majorBidi"/>
          <w:iCs/>
          <w:kern w:val="32"/>
          <w:szCs w:val="26"/>
        </w:rPr>
        <w:t>W</w:t>
      </w:r>
      <w:r w:rsidRPr="005F2138">
        <w:rPr>
          <w:rStyle w:val="normaltextrun"/>
          <w:rFonts w:ascii="Lato" w:eastAsiaTheme="majorEastAsia" w:hAnsi="Lato" w:cstheme="majorBidi"/>
          <w:iCs/>
          <w:kern w:val="32"/>
          <w:szCs w:val="26"/>
        </w:rPr>
        <w:t xml:space="preserve">niosku jako niezbędne dla prawidłowej realizacji przedsięwzięcia. </w:t>
      </w:r>
    </w:p>
    <w:p w14:paraId="5112ECFA" w14:textId="40E9BBF8" w:rsidR="00CD663F" w:rsidRPr="00990CE8" w:rsidRDefault="00CD663F" w:rsidP="00990CE8">
      <w:pPr>
        <w:pStyle w:val="Nagwek2"/>
        <w:numPr>
          <w:ilvl w:val="1"/>
          <w:numId w:val="75"/>
        </w:numPr>
        <w:spacing w:before="120" w:after="120"/>
        <w:rPr>
          <w:rFonts w:ascii="Lato" w:hAnsi="Lato"/>
        </w:rPr>
      </w:pPr>
      <w:bookmarkStart w:id="18" w:name="_Toc181699372"/>
      <w:r w:rsidRPr="00990CE8">
        <w:rPr>
          <w:rFonts w:ascii="Lato" w:hAnsi="Lato"/>
        </w:rPr>
        <w:t>Kwalifikowalność działań informacyjno-promocyjnych</w:t>
      </w:r>
      <w:bookmarkEnd w:id="18"/>
    </w:p>
    <w:p w14:paraId="051E64EB" w14:textId="13179668" w:rsidR="00D43353" w:rsidRPr="005F2138" w:rsidRDefault="003E36DC" w:rsidP="00990CE8">
      <w:pPr>
        <w:pStyle w:val="Akapitzlist"/>
        <w:numPr>
          <w:ilvl w:val="0"/>
          <w:numId w:val="74"/>
        </w:numPr>
        <w:spacing w:before="120" w:after="120"/>
        <w:ind w:left="426" w:hanging="426"/>
        <w:jc w:val="both"/>
        <w:rPr>
          <w:rStyle w:val="normaltextrun"/>
          <w:rFonts w:ascii="Lato" w:eastAsiaTheme="majorEastAsia" w:hAnsi="Lato" w:cstheme="majorBidi"/>
          <w:b/>
          <w:bCs/>
          <w:i/>
          <w:iCs/>
          <w:kern w:val="32"/>
          <w:szCs w:val="26"/>
        </w:rPr>
      </w:pPr>
      <w:r w:rsidRPr="005F2138">
        <w:rPr>
          <w:rStyle w:val="normaltextrun"/>
          <w:rFonts w:ascii="Lato" w:eastAsiaTheme="majorEastAsia" w:hAnsi="Lato" w:cstheme="majorBidi"/>
          <w:iCs/>
          <w:kern w:val="32"/>
          <w:szCs w:val="26"/>
        </w:rPr>
        <w:t>Wydatki związane z działaniami informacyjno-promocyjnymi mogą stanowić wydatki kwalifikowalne w ramach realizowan</w:t>
      </w:r>
      <w:r w:rsidR="00B60992" w:rsidRPr="005F2138">
        <w:rPr>
          <w:rStyle w:val="normaltextrun"/>
          <w:rFonts w:ascii="Lato" w:eastAsiaTheme="majorEastAsia" w:hAnsi="Lato" w:cstheme="majorBidi"/>
          <w:iCs/>
          <w:kern w:val="32"/>
          <w:szCs w:val="26"/>
        </w:rPr>
        <w:t>ego</w:t>
      </w:r>
      <w:r w:rsidRPr="005F2138">
        <w:rPr>
          <w:rStyle w:val="normaltextrun"/>
          <w:rFonts w:ascii="Lato" w:eastAsiaTheme="majorEastAsia" w:hAnsi="Lato" w:cstheme="majorBidi"/>
          <w:iCs/>
          <w:kern w:val="32"/>
          <w:szCs w:val="26"/>
        </w:rPr>
        <w:t xml:space="preserve"> przedsięwzię</w:t>
      </w:r>
      <w:r w:rsidR="00B60992" w:rsidRPr="005F2138">
        <w:rPr>
          <w:rStyle w:val="normaltextrun"/>
          <w:rFonts w:ascii="Lato" w:eastAsiaTheme="majorEastAsia" w:hAnsi="Lato" w:cstheme="majorBidi"/>
          <w:iCs/>
          <w:kern w:val="32"/>
          <w:szCs w:val="26"/>
        </w:rPr>
        <w:t>cia</w:t>
      </w:r>
      <w:r w:rsidR="00580F38" w:rsidRPr="005F2138">
        <w:rPr>
          <w:rStyle w:val="normaltextrun"/>
          <w:rFonts w:ascii="Lato" w:eastAsiaTheme="majorEastAsia" w:hAnsi="Lato" w:cstheme="majorBidi"/>
          <w:iCs/>
          <w:kern w:val="32"/>
          <w:szCs w:val="26"/>
        </w:rPr>
        <w:t xml:space="preserve">, o ile zostały uwzględnione w zatwierdzonym </w:t>
      </w:r>
      <w:r w:rsidR="00B60992" w:rsidRPr="005F2138">
        <w:rPr>
          <w:rStyle w:val="normaltextrun"/>
          <w:rFonts w:ascii="Lato" w:eastAsiaTheme="majorEastAsia" w:hAnsi="Lato" w:cstheme="majorBidi"/>
          <w:iCs/>
          <w:kern w:val="32"/>
          <w:szCs w:val="26"/>
        </w:rPr>
        <w:t>W</w:t>
      </w:r>
      <w:r w:rsidR="00580F38" w:rsidRPr="005F2138">
        <w:rPr>
          <w:rStyle w:val="normaltextrun"/>
          <w:rFonts w:ascii="Lato" w:eastAsiaTheme="majorEastAsia" w:hAnsi="Lato" w:cstheme="majorBidi"/>
          <w:iCs/>
          <w:kern w:val="32"/>
          <w:szCs w:val="26"/>
        </w:rPr>
        <w:t>niosku jako niezbędne dla prawidłowej realizacji przedsięwzięcia</w:t>
      </w:r>
      <w:r w:rsidR="00E768A2" w:rsidRPr="005F2138">
        <w:rPr>
          <w:rStyle w:val="normaltextrun"/>
          <w:rFonts w:ascii="Lato" w:eastAsiaTheme="majorEastAsia" w:hAnsi="Lato" w:cstheme="majorBidi"/>
          <w:iCs/>
          <w:kern w:val="32"/>
          <w:szCs w:val="26"/>
        </w:rPr>
        <w:t>,</w:t>
      </w:r>
      <w:r w:rsidR="00580F38" w:rsidRPr="005F2138">
        <w:rPr>
          <w:rStyle w:val="normaltextrun"/>
          <w:rFonts w:ascii="Lato" w:eastAsiaTheme="majorEastAsia" w:hAnsi="Lato" w:cstheme="majorBidi"/>
          <w:iCs/>
          <w:kern w:val="32"/>
          <w:szCs w:val="26"/>
        </w:rPr>
        <w:t xml:space="preserve"> a </w:t>
      </w:r>
      <w:r w:rsidRPr="005F2138">
        <w:rPr>
          <w:rStyle w:val="normaltextrun"/>
          <w:rFonts w:ascii="Lato" w:eastAsiaTheme="majorEastAsia" w:hAnsi="Lato" w:cstheme="majorBidi"/>
          <w:iCs/>
          <w:kern w:val="32"/>
          <w:szCs w:val="26"/>
        </w:rPr>
        <w:t xml:space="preserve">środki na ten cel </w:t>
      </w:r>
      <w:r w:rsidR="00580F38" w:rsidRPr="005F2138">
        <w:rPr>
          <w:rStyle w:val="normaltextrun"/>
          <w:rFonts w:ascii="Lato" w:eastAsiaTheme="majorEastAsia" w:hAnsi="Lato" w:cstheme="majorBidi"/>
          <w:iCs/>
          <w:kern w:val="32"/>
          <w:szCs w:val="26"/>
        </w:rPr>
        <w:t xml:space="preserve">zostały </w:t>
      </w:r>
      <w:r w:rsidRPr="005F2138">
        <w:rPr>
          <w:rStyle w:val="normaltextrun"/>
          <w:rFonts w:ascii="Lato" w:eastAsiaTheme="majorEastAsia" w:hAnsi="Lato" w:cstheme="majorBidi"/>
          <w:iCs/>
          <w:kern w:val="32"/>
          <w:szCs w:val="26"/>
        </w:rPr>
        <w:t>przewidziane w budżecie danego przedsięwzięcia.</w:t>
      </w:r>
    </w:p>
    <w:p w14:paraId="63CD7BAC" w14:textId="0A70F30E" w:rsidR="000B0D68" w:rsidRPr="005F2138" w:rsidRDefault="000B0D68" w:rsidP="00990CE8">
      <w:pPr>
        <w:pStyle w:val="Akapitzlist"/>
        <w:numPr>
          <w:ilvl w:val="0"/>
          <w:numId w:val="74"/>
        </w:numPr>
        <w:spacing w:before="120" w:after="120"/>
        <w:ind w:left="426" w:hanging="426"/>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 xml:space="preserve">Wydatki, o których mowa w </w:t>
      </w:r>
      <w:r w:rsidR="00492B74" w:rsidRPr="005F2138">
        <w:rPr>
          <w:rStyle w:val="normaltextrun"/>
          <w:rFonts w:ascii="Lato" w:eastAsiaTheme="majorEastAsia" w:hAnsi="Lato" w:cstheme="majorBidi"/>
          <w:kern w:val="32"/>
        </w:rPr>
        <w:t xml:space="preserve">ust. </w:t>
      </w:r>
      <w:r w:rsidRPr="005F2138">
        <w:rPr>
          <w:rStyle w:val="normaltextrun"/>
          <w:rFonts w:ascii="Lato" w:eastAsiaTheme="majorEastAsia" w:hAnsi="Lato" w:cstheme="majorBidi"/>
          <w:kern w:val="32"/>
        </w:rPr>
        <w:t xml:space="preserve"> 1, ponoszone są zgodnie ze Strategią Promocji i</w:t>
      </w:r>
      <w:r w:rsidR="008C499D"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Informacji Krajowego Planu Odbudowy i Zwiększania Odporności</w:t>
      </w:r>
      <w:r w:rsidR="00D70359" w:rsidRPr="005F2138">
        <w:rPr>
          <w:rStyle w:val="normaltextrun"/>
          <w:rFonts w:ascii="Lato" w:eastAsiaTheme="majorEastAsia" w:hAnsi="Lato" w:cstheme="majorBidi"/>
          <w:kern w:val="32"/>
        </w:rPr>
        <w:t>.</w:t>
      </w:r>
    </w:p>
    <w:p w14:paraId="0EDC8CB8" w14:textId="3D03E1D4" w:rsidR="00D43353" w:rsidRPr="00990CE8" w:rsidRDefault="00D43353" w:rsidP="00990CE8">
      <w:pPr>
        <w:pStyle w:val="Nagwek2"/>
        <w:numPr>
          <w:ilvl w:val="1"/>
          <w:numId w:val="75"/>
        </w:numPr>
        <w:spacing w:before="120" w:after="120"/>
        <w:jc w:val="both"/>
        <w:rPr>
          <w:rFonts w:ascii="Lato" w:hAnsi="Lato"/>
        </w:rPr>
      </w:pPr>
      <w:bookmarkStart w:id="19" w:name="_Toc181699373"/>
      <w:r w:rsidRPr="00990CE8">
        <w:rPr>
          <w:rFonts w:ascii="Lato" w:hAnsi="Lato"/>
        </w:rPr>
        <w:t>Techniki finansowania środków trwałych oraz wartości niematerialnych i</w:t>
      </w:r>
      <w:r w:rsidR="008C499D" w:rsidRPr="00990CE8">
        <w:rPr>
          <w:rFonts w:ascii="Lato" w:hAnsi="Lato"/>
        </w:rPr>
        <w:t> </w:t>
      </w:r>
      <w:r w:rsidRPr="00990CE8">
        <w:rPr>
          <w:rFonts w:ascii="Lato" w:hAnsi="Lato"/>
        </w:rPr>
        <w:t>praw</w:t>
      </w:r>
      <w:r w:rsidR="006361EC" w:rsidRPr="00990CE8">
        <w:rPr>
          <w:rFonts w:ascii="Lato" w:hAnsi="Lato"/>
        </w:rPr>
        <w:t>n</w:t>
      </w:r>
      <w:r w:rsidRPr="00990CE8">
        <w:rPr>
          <w:rFonts w:ascii="Lato" w:hAnsi="Lato"/>
        </w:rPr>
        <w:t>ych</w:t>
      </w:r>
      <w:bookmarkEnd w:id="19"/>
    </w:p>
    <w:p w14:paraId="51067E63" w14:textId="7B90CCE3" w:rsidR="00CA276C" w:rsidRPr="005F2138" w:rsidRDefault="002F182F" w:rsidP="00990CE8">
      <w:pPr>
        <w:pStyle w:val="Akapitzlist"/>
        <w:numPr>
          <w:ilvl w:val="0"/>
          <w:numId w:val="76"/>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Koszty pozyskania środków trwałych lub wartości niematerialnych i prawnych niezbędnych do realizacji przedsięwzięcia mogą zostać uznane za kwalifikowalne, o</w:t>
      </w:r>
      <w:r w:rsidR="00B32B0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ile we </w:t>
      </w:r>
      <w:r w:rsidR="00B60992"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zostanie uzasadniona konieczność pozyskania środków trwałych lub wartości niematerialnych i prawnych niezbędnych do realizacji przedsięwzięcia z zastosowaniem najbardziej efektywnej dla danego przypadku metody (zakup, amortyzacja, leasing itp.), uwzględniając przedmiot i cel danego przedsięwzięcia. Wymóg uzasadnienia pozyskania dotyczy wyłącznie środków trwałych i wartości niematerialnych i prawnych o wartości początkowej wyższej niż 10 000 PLN netto. Uzasadnienie nie musi być sporządzane indywidualnie do każdego środka trwałego oraz wartości niematerialnej i prawnej, tzn. może dotyczyć grupy środków trwałych czy wartości niematerialnych i prawnych o tym samym przeznaczeniu. </w:t>
      </w:r>
    </w:p>
    <w:p w14:paraId="1B4ACC8B" w14:textId="27FB3D8E" w:rsidR="002F182F" w:rsidRPr="005F2138" w:rsidRDefault="002F182F" w:rsidP="00990CE8">
      <w:pPr>
        <w:pStyle w:val="Akapitzlist"/>
        <w:numPr>
          <w:ilvl w:val="0"/>
          <w:numId w:val="76"/>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Uzasadnienie konieczności pozyskania środków trwałych oraz wartości niematerialnych i prawnych niezbędnych do realizacji przedsięwzięcia, uwzględnia w szczególności: </w:t>
      </w:r>
    </w:p>
    <w:p w14:paraId="66E05754" w14:textId="6C753A63" w:rsidR="002F182F" w:rsidRPr="005F2138" w:rsidRDefault="002F182F" w:rsidP="00990CE8">
      <w:pPr>
        <w:pStyle w:val="Akapitzlist"/>
        <w:numPr>
          <w:ilvl w:val="1"/>
          <w:numId w:val="76"/>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okres realizacji przedsięwzięcia, </w:t>
      </w:r>
    </w:p>
    <w:p w14:paraId="47831E16" w14:textId="684DE4F1" w:rsidR="002F182F" w:rsidRPr="005F2138" w:rsidRDefault="002F182F" w:rsidP="00990CE8">
      <w:pPr>
        <w:pStyle w:val="Akapitzlist"/>
        <w:numPr>
          <w:ilvl w:val="1"/>
          <w:numId w:val="76"/>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tożsame lub zbliżone do planowanych do pozyskania w ramach przedsięwzięcia środki trwałe lub wartości niematerialne i prawne będące w</w:t>
      </w:r>
      <w:r w:rsidR="00B32B03">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 xml:space="preserve">posiadaniu </w:t>
      </w:r>
      <w:r w:rsidR="0068049F" w:rsidRPr="005F2138">
        <w:rPr>
          <w:rStyle w:val="normaltextrun"/>
          <w:rFonts w:ascii="Lato" w:eastAsiaTheme="majorEastAsia" w:hAnsi="Lato" w:cstheme="majorBidi"/>
          <w:kern w:val="32"/>
        </w:rPr>
        <w:t>OOW</w:t>
      </w:r>
      <w:r w:rsidRPr="005F2138">
        <w:rPr>
          <w:rStyle w:val="normaltextrun"/>
          <w:rFonts w:ascii="Lato" w:eastAsiaTheme="majorEastAsia" w:hAnsi="Lato" w:cstheme="majorBidi"/>
          <w:kern w:val="32"/>
        </w:rPr>
        <w:t>, w tym środki trwałe lub wartości niematerialne i</w:t>
      </w:r>
      <w:r w:rsidR="008C499D"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 xml:space="preserve">prawne nabyte w ramach przedsięwzięć współfinansowanych ze środków </w:t>
      </w:r>
      <w:r w:rsidRPr="005F2138">
        <w:rPr>
          <w:rStyle w:val="normaltextrun"/>
          <w:rFonts w:ascii="Lato" w:eastAsiaTheme="majorEastAsia" w:hAnsi="Lato" w:cstheme="majorBidi"/>
          <w:kern w:val="32"/>
        </w:rPr>
        <w:lastRenderedPageBreak/>
        <w:t>publicznych</w:t>
      </w:r>
      <w:r w:rsidR="00857966" w:rsidRPr="005F2138">
        <w:rPr>
          <w:rStyle w:val="normaltextrun"/>
          <w:rFonts w:ascii="Lato" w:eastAsiaTheme="majorEastAsia" w:hAnsi="Lato" w:cstheme="majorBidi"/>
          <w:kern w:val="32"/>
        </w:rPr>
        <w:t xml:space="preserve"> albo oświadczenie OOW</w:t>
      </w:r>
      <w:r w:rsidR="005544F2" w:rsidRPr="005F2138">
        <w:rPr>
          <w:rStyle w:val="normaltextrun"/>
          <w:rFonts w:ascii="Lato" w:eastAsiaTheme="majorEastAsia" w:hAnsi="Lato" w:cstheme="majorBidi"/>
          <w:kern w:val="32"/>
        </w:rPr>
        <w:t>,</w:t>
      </w:r>
      <w:r w:rsidR="00857966" w:rsidRPr="005F2138">
        <w:rPr>
          <w:rStyle w:val="normaltextrun"/>
          <w:rFonts w:ascii="Lato" w:eastAsiaTheme="majorEastAsia" w:hAnsi="Lato" w:cstheme="majorBidi"/>
          <w:kern w:val="32"/>
        </w:rPr>
        <w:t xml:space="preserve"> że posiadane środki trwałe oraz wartości niematerialne i prawne nie mogą być przeznaczone na realizację przedsięwzięcia</w:t>
      </w:r>
      <w:r w:rsidR="00B261CC" w:rsidRPr="005F2138">
        <w:rPr>
          <w:rStyle w:val="normaltextrun"/>
          <w:rFonts w:ascii="Lato" w:eastAsiaTheme="majorEastAsia" w:hAnsi="Lato" w:cstheme="majorBidi"/>
          <w:kern w:val="32"/>
        </w:rPr>
        <w:t xml:space="preserve"> wraz z krótkim uzasadnieniem</w:t>
      </w:r>
      <w:r w:rsidR="00857966" w:rsidRPr="005F2138">
        <w:rPr>
          <w:rStyle w:val="normaltextrun"/>
          <w:rFonts w:ascii="Lato" w:eastAsiaTheme="majorEastAsia" w:hAnsi="Lato" w:cstheme="majorBidi"/>
          <w:kern w:val="32"/>
        </w:rPr>
        <w:t>,</w:t>
      </w:r>
    </w:p>
    <w:p w14:paraId="5CE036AB" w14:textId="0F54F0DB" w:rsidR="002F182F" w:rsidRPr="005F2138" w:rsidRDefault="002F182F" w:rsidP="00990CE8">
      <w:pPr>
        <w:pStyle w:val="Akapitzlist"/>
        <w:numPr>
          <w:ilvl w:val="1"/>
          <w:numId w:val="76"/>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wybór metody pozyskania środków trwałych oraz wartości niematerialnych i prawnych niezbędnych do realizacji przedsięwzięcia. </w:t>
      </w:r>
    </w:p>
    <w:p w14:paraId="0335E049" w14:textId="48A8CC56" w:rsidR="002F182F" w:rsidRPr="005F2138" w:rsidRDefault="002F182F" w:rsidP="00990CE8">
      <w:pPr>
        <w:pStyle w:val="Akapitzlist"/>
        <w:numPr>
          <w:ilvl w:val="0"/>
          <w:numId w:val="76"/>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Koszty pozyskania środków trwałych oraz wartości niematerialnych i prawnych są wskazane w zatwierdzonym </w:t>
      </w:r>
      <w:r w:rsidR="00B60992"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IOI może określić w </w:t>
      </w:r>
      <w:r w:rsidR="00444B61" w:rsidRPr="005F2138">
        <w:rPr>
          <w:rStyle w:val="normaltextrun"/>
          <w:rFonts w:ascii="Lato" w:eastAsiaTheme="majorEastAsia" w:hAnsi="Lato" w:cstheme="majorBidi"/>
          <w:kern w:val="32"/>
          <w:szCs w:val="26"/>
        </w:rPr>
        <w:t>r</w:t>
      </w:r>
      <w:r w:rsidRPr="005F2138">
        <w:rPr>
          <w:rStyle w:val="normaltextrun"/>
          <w:rFonts w:ascii="Lato" w:eastAsiaTheme="majorEastAsia" w:hAnsi="Lato" w:cstheme="majorBidi"/>
          <w:kern w:val="32"/>
          <w:szCs w:val="26"/>
        </w:rPr>
        <w:t xml:space="preserve">egulaminie wyboru przedsięwzięć sposób dokumentowania faktycznego wykorzystania środka trwałego oraz wartości niematerialnych i prawnych w ramach przedsięwzięcia. </w:t>
      </w:r>
    </w:p>
    <w:p w14:paraId="44E9FEFA" w14:textId="379A1B07" w:rsidR="002F182F" w:rsidRPr="005F2138" w:rsidRDefault="002F182F" w:rsidP="00990CE8">
      <w:pPr>
        <w:pStyle w:val="Akapitzlist"/>
        <w:numPr>
          <w:ilvl w:val="0"/>
          <w:numId w:val="76"/>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gdy </w:t>
      </w:r>
      <w:r w:rsidR="00635F34" w:rsidRPr="005F2138">
        <w:rPr>
          <w:rStyle w:val="normaltextrun"/>
          <w:rFonts w:ascii="Lato" w:eastAsiaTheme="majorEastAsia" w:hAnsi="Lato" w:cstheme="majorBidi"/>
          <w:kern w:val="32"/>
          <w:szCs w:val="26"/>
        </w:rPr>
        <w:t>OOW</w:t>
      </w:r>
      <w:r w:rsidRPr="005F2138">
        <w:rPr>
          <w:rStyle w:val="normaltextrun"/>
          <w:rFonts w:ascii="Lato" w:eastAsiaTheme="majorEastAsia" w:hAnsi="Lato" w:cstheme="majorBidi"/>
          <w:kern w:val="32"/>
          <w:szCs w:val="26"/>
        </w:rPr>
        <w:t xml:space="preserve">, za zgodą IOI, w ramach przedsięwzięcia samodzielnie wykonuje całość lub część prac związanych z wytworzeniem lub przetworzeniem posiadanych środków trwałych, związane z tymi pracami wydatki powinny być rozliczane na warunkach określonych wg następujących zasad: </w:t>
      </w:r>
    </w:p>
    <w:p w14:paraId="1E61C670" w14:textId="3E5A631B" w:rsidR="00635F34" w:rsidRPr="005F2138" w:rsidRDefault="00635F34" w:rsidP="00990CE8">
      <w:pPr>
        <w:pStyle w:val="Akapitzlist"/>
        <w:numPr>
          <w:ilvl w:val="1"/>
          <w:numId w:val="76"/>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przypadku, gdy OOW samodzielnie wykonuje całość lub część prac związanych z wytworzeniem lub przetworzeniem posiadanych środków trwałych, związane z tymi pracami wydatki muszą być przypisane poprzez przejrzysty i oddzielny system rozliczania przedsięwzięcia oparty na dokumentach księgowych lub dokumentach o równoważnej wartości dowodowej,</w:t>
      </w:r>
    </w:p>
    <w:p w14:paraId="5DC16677" w14:textId="2633F9F0" w:rsidR="001D7865" w:rsidRPr="005F2138" w:rsidRDefault="00635F34" w:rsidP="00990CE8">
      <w:pPr>
        <w:pStyle w:val="Akapitzlist"/>
        <w:numPr>
          <w:ilvl w:val="1"/>
          <w:numId w:val="76"/>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decyzja dotycząca realizacji prac w ramach przedsięwzięcia siłami własnymi albo zlecenia realizacji prac wykonawcy zewnętrznemu powinna być </w:t>
      </w:r>
      <w:r w:rsidR="00477D5D" w:rsidRPr="005F2138">
        <w:rPr>
          <w:rStyle w:val="normaltextrun"/>
          <w:rFonts w:ascii="Lato" w:eastAsiaTheme="majorEastAsia" w:hAnsi="Lato" w:cstheme="majorBidi"/>
          <w:kern w:val="32"/>
          <w:szCs w:val="26"/>
        </w:rPr>
        <w:t xml:space="preserve">na etapie składania </w:t>
      </w:r>
      <w:r w:rsidR="00B60992" w:rsidRPr="005F2138">
        <w:rPr>
          <w:rStyle w:val="normaltextrun"/>
          <w:rFonts w:ascii="Lato" w:eastAsiaTheme="majorEastAsia" w:hAnsi="Lato" w:cstheme="majorBidi"/>
          <w:kern w:val="32"/>
          <w:szCs w:val="26"/>
        </w:rPr>
        <w:t>W</w:t>
      </w:r>
      <w:r w:rsidR="00477D5D" w:rsidRPr="005F2138">
        <w:rPr>
          <w:rStyle w:val="normaltextrun"/>
          <w:rFonts w:ascii="Lato" w:eastAsiaTheme="majorEastAsia" w:hAnsi="Lato" w:cstheme="majorBidi"/>
          <w:kern w:val="32"/>
          <w:szCs w:val="26"/>
        </w:rPr>
        <w:t xml:space="preserve">niosku </w:t>
      </w:r>
      <w:r w:rsidRPr="005F2138">
        <w:rPr>
          <w:rStyle w:val="normaltextrun"/>
          <w:rFonts w:ascii="Lato" w:eastAsiaTheme="majorEastAsia" w:hAnsi="Lato" w:cstheme="majorBidi"/>
          <w:kern w:val="32"/>
          <w:szCs w:val="26"/>
        </w:rPr>
        <w:t>poprzedzona analizą dotyczącą najbardziej efektywnego rozwiązania z punktu widzenia realizacji przedsięwzięcia, jak</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również powinna być przeanalizowana pod kątem obowiązku stosowania przepisów dotyczących zamówień publicznych, </w:t>
      </w:r>
    </w:p>
    <w:p w14:paraId="6EB940A0" w14:textId="0010DC7F" w:rsidR="001D7865" w:rsidRPr="00990CE8" w:rsidRDefault="00635F34" w:rsidP="00990CE8">
      <w:pPr>
        <w:pStyle w:val="Akapitzlist"/>
        <w:numPr>
          <w:ilvl w:val="1"/>
          <w:numId w:val="76"/>
        </w:numPr>
        <w:spacing w:before="120" w:after="120"/>
        <w:ind w:left="1134" w:hanging="283"/>
        <w:jc w:val="both"/>
        <w:rPr>
          <w:rFonts w:ascii="Lato" w:hAnsi="Lato"/>
        </w:rPr>
      </w:pPr>
      <w:r w:rsidRPr="005F2138">
        <w:rPr>
          <w:rStyle w:val="normaltextrun"/>
          <w:rFonts w:ascii="Lato" w:eastAsiaTheme="majorEastAsia" w:hAnsi="Lato" w:cstheme="majorBidi"/>
          <w:kern w:val="32"/>
          <w:szCs w:val="26"/>
        </w:rPr>
        <w:t xml:space="preserve">gdy w prace </w:t>
      </w:r>
      <w:r w:rsidR="006C1295" w:rsidRPr="005F2138">
        <w:rPr>
          <w:rStyle w:val="normaltextrun"/>
          <w:rFonts w:ascii="Lato" w:eastAsiaTheme="majorEastAsia" w:hAnsi="Lato" w:cstheme="majorBidi"/>
          <w:kern w:val="32"/>
          <w:szCs w:val="26"/>
        </w:rPr>
        <w:t xml:space="preserve">wytworzenia lub przetworzenia środków trwałych lub wartości niematerialnych i prawnych </w:t>
      </w:r>
      <w:r w:rsidRPr="005F2138">
        <w:rPr>
          <w:rStyle w:val="normaltextrun"/>
          <w:rFonts w:ascii="Lato" w:eastAsiaTheme="majorEastAsia" w:hAnsi="Lato" w:cstheme="majorBidi"/>
          <w:kern w:val="32"/>
          <w:szCs w:val="26"/>
        </w:rPr>
        <w:t xml:space="preserve">są zaangażowani pracownicy zatrudnieni przez OOW, stosuje się odpowiednio postanowienia podrozdziału </w:t>
      </w:r>
      <w:r w:rsidR="001D7865" w:rsidRPr="005F2138">
        <w:rPr>
          <w:rStyle w:val="normaltextrun"/>
          <w:rFonts w:ascii="Lato" w:eastAsiaTheme="majorEastAsia" w:hAnsi="Lato" w:cstheme="majorBidi"/>
          <w:kern w:val="32"/>
          <w:szCs w:val="26"/>
        </w:rPr>
        <w:t xml:space="preserve">4.2, określające zasady kwalifikowalności kosztów związanych z </w:t>
      </w:r>
      <w:r w:rsidR="00B60992" w:rsidRPr="005F2138">
        <w:rPr>
          <w:rStyle w:val="normaltextrun"/>
          <w:rFonts w:ascii="Lato" w:eastAsiaTheme="majorEastAsia" w:hAnsi="Lato" w:cstheme="majorBidi"/>
          <w:kern w:val="32"/>
          <w:szCs w:val="26"/>
        </w:rPr>
        <w:t>za</w:t>
      </w:r>
      <w:r w:rsidR="001D7865" w:rsidRPr="005F2138">
        <w:rPr>
          <w:rStyle w:val="normaltextrun"/>
          <w:rFonts w:ascii="Lato" w:eastAsiaTheme="majorEastAsia" w:hAnsi="Lato" w:cstheme="majorBidi"/>
          <w:kern w:val="32"/>
          <w:szCs w:val="26"/>
        </w:rPr>
        <w:t>angażowaniem personelu przedsięwzięcia</w:t>
      </w:r>
      <w:r w:rsidRPr="005F2138">
        <w:rPr>
          <w:rStyle w:val="normaltextrun"/>
          <w:rFonts w:ascii="Lato" w:eastAsiaTheme="majorEastAsia" w:hAnsi="Lato" w:cstheme="majorBidi"/>
          <w:kern w:val="32"/>
          <w:szCs w:val="26"/>
        </w:rPr>
        <w:t xml:space="preserve">. </w:t>
      </w:r>
    </w:p>
    <w:p w14:paraId="4A16613B" w14:textId="2934EEC8" w:rsidR="002F182F" w:rsidRPr="00990CE8" w:rsidRDefault="00635F34" w:rsidP="00990CE8">
      <w:pPr>
        <w:pStyle w:val="Nagwek2"/>
        <w:numPr>
          <w:ilvl w:val="1"/>
          <w:numId w:val="75"/>
        </w:numPr>
        <w:spacing w:before="120" w:after="120"/>
        <w:rPr>
          <w:rFonts w:ascii="Lato" w:hAnsi="Lato"/>
        </w:rPr>
      </w:pPr>
      <w:bookmarkStart w:id="20" w:name="_Toc181699374"/>
      <w:r w:rsidRPr="00990CE8">
        <w:rPr>
          <w:rFonts w:ascii="Lato" w:hAnsi="Lato"/>
        </w:rPr>
        <w:lastRenderedPageBreak/>
        <w:t>Zakup środków trwałych i wartości niematerialnych i prawnych</w:t>
      </w:r>
      <w:bookmarkEnd w:id="20"/>
    </w:p>
    <w:p w14:paraId="6C512790" w14:textId="33083BD6"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Środki trwałe oraz wartości niematerialne i prawne, ze względu na sposób ich wykorzystania w ramach i na rzecz przedsięwzięcia, dzielą się na: </w:t>
      </w:r>
    </w:p>
    <w:p w14:paraId="4BE38E90" w14:textId="5DEC5DCD" w:rsidR="00635F34" w:rsidRPr="005F2138" w:rsidRDefault="00635F34" w:rsidP="00990CE8">
      <w:pPr>
        <w:pStyle w:val="Akapitzlist"/>
        <w:numPr>
          <w:ilvl w:val="1"/>
          <w:numId w:val="7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środki trwałe oraz wartości niematerialne i prawne bezpośrednio powiązane z przedmiotem przedsięwzięcia (np. wyposażenie Centrum Operacji Bezpieczeństwa), </w:t>
      </w:r>
    </w:p>
    <w:p w14:paraId="0099B6E7" w14:textId="4FD7723D" w:rsidR="00635F34" w:rsidRPr="005F2138" w:rsidRDefault="00635F34" w:rsidP="00990CE8">
      <w:pPr>
        <w:pStyle w:val="Akapitzlist"/>
        <w:numPr>
          <w:ilvl w:val="1"/>
          <w:numId w:val="7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środki trwałe oraz wartości niematerialne i prawne wykorzystywane w</w:t>
      </w:r>
      <w:r w:rsidR="008C499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celu wspomagania procesu wdrażania przedsięwzięcia (np. rzutnik na szkolenia). </w:t>
      </w:r>
    </w:p>
    <w:p w14:paraId="23A63FDB" w14:textId="052FE13C"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o których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mogą być uznane za kwalifikowalne pod warunkiem ich bezpośredniego wskazania we </w:t>
      </w:r>
      <w:r w:rsidR="00F85088"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wraz z uzasadnieniem konieczności ich zakupu. </w:t>
      </w:r>
    </w:p>
    <w:p w14:paraId="4B43676C" w14:textId="59663770"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poniesione na zakup środków trwałych oraz wartości niematerialnych i</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prawnych, o których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lit. a, a także koszty ich dostawy, montażu i</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uruchomienia, mogą być kwalifikowalne w całości lub części swojej wartości zgodnie ze wskazaniem OOW opartym o ich faktyczne wykorzystanie na potrzeby przedsięwzięcia. IOI może określić dodatkowe warunki kwalifikowalności zakupu środków trwałych, o których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lit. a</w:t>
      </w:r>
      <w:r w:rsidR="00127E41" w:rsidRPr="005F2138">
        <w:rPr>
          <w:rStyle w:val="normaltextrun"/>
          <w:rFonts w:ascii="Lato" w:eastAsiaTheme="majorEastAsia" w:hAnsi="Lato" w:cstheme="majorBidi"/>
          <w:kern w:val="32"/>
          <w:szCs w:val="26"/>
        </w:rPr>
        <w:t>,</w:t>
      </w:r>
      <w:r w:rsidRPr="005F2138">
        <w:rPr>
          <w:rStyle w:val="normaltextrun"/>
          <w:rFonts w:ascii="Lato" w:eastAsiaTheme="majorEastAsia" w:hAnsi="Lato" w:cstheme="majorBidi"/>
          <w:kern w:val="32"/>
          <w:szCs w:val="26"/>
        </w:rPr>
        <w:t xml:space="preserve"> w</w:t>
      </w:r>
      <w:r w:rsidR="0090272D" w:rsidRPr="005F2138">
        <w:rPr>
          <w:rStyle w:val="normaltextrun"/>
          <w:rFonts w:ascii="Lato" w:eastAsiaTheme="majorEastAsia" w:hAnsi="Lato" w:cstheme="majorBidi"/>
          <w:kern w:val="32"/>
          <w:szCs w:val="26"/>
        </w:rPr>
        <w:t> </w:t>
      </w:r>
      <w:r w:rsidR="00444B61" w:rsidRPr="005F2138">
        <w:rPr>
          <w:rStyle w:val="normaltextrun"/>
          <w:rFonts w:ascii="Lato" w:eastAsiaTheme="majorEastAsia" w:hAnsi="Lato" w:cstheme="majorBidi"/>
          <w:kern w:val="32"/>
          <w:szCs w:val="26"/>
        </w:rPr>
        <w:t>r</w:t>
      </w:r>
      <w:r w:rsidRPr="005F2138">
        <w:rPr>
          <w:rStyle w:val="normaltextrun"/>
          <w:rFonts w:ascii="Lato" w:eastAsiaTheme="majorEastAsia" w:hAnsi="Lato" w:cstheme="majorBidi"/>
          <w:kern w:val="32"/>
          <w:szCs w:val="26"/>
        </w:rPr>
        <w:t>egulaminie wyboru przedsięwzię</w:t>
      </w:r>
      <w:r w:rsidR="00F85088" w:rsidRPr="005F2138">
        <w:rPr>
          <w:rStyle w:val="normaltextrun"/>
          <w:rFonts w:ascii="Lato" w:eastAsiaTheme="majorEastAsia" w:hAnsi="Lato" w:cstheme="majorBidi"/>
          <w:kern w:val="32"/>
          <w:szCs w:val="26"/>
        </w:rPr>
        <w:t>cia</w:t>
      </w:r>
      <w:r w:rsidR="00A259DB" w:rsidRPr="005F2138">
        <w:rPr>
          <w:rStyle w:val="normaltextrun"/>
          <w:rFonts w:ascii="Lato" w:eastAsiaTheme="majorEastAsia" w:hAnsi="Lato" w:cstheme="majorBidi"/>
          <w:kern w:val="32"/>
          <w:szCs w:val="26"/>
        </w:rPr>
        <w:t>.</w:t>
      </w:r>
      <w:r w:rsidRPr="005F2138">
        <w:rPr>
          <w:rStyle w:val="normaltextrun"/>
          <w:rFonts w:ascii="Lato" w:eastAsiaTheme="majorEastAsia" w:hAnsi="Lato" w:cstheme="majorBidi"/>
          <w:kern w:val="32"/>
          <w:szCs w:val="26"/>
        </w:rPr>
        <w:t xml:space="preserve"> </w:t>
      </w:r>
    </w:p>
    <w:p w14:paraId="73E371BF" w14:textId="67615FDF"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poniesione na zakup środków trwałych oraz wartości niematerialnych i</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prawnych, o których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lit. b, o wartości początkowej wyższej niż 10</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000 PLN netto, mogą być kwalifikowalne wyłącznie w wysokości odpowiadającej odpisom amortyzacyjnym za okres, w którym były one wykorzystywane na rzecz przedsięwzięcia. W takim przypadku rozlicza się wydatki do wysokości odpowiadającej odpisom amortyzacyjnym i stosuje warunki i procedury określone w </w:t>
      </w:r>
      <w:r w:rsidR="00F85088" w:rsidRPr="005F2138">
        <w:rPr>
          <w:rStyle w:val="normaltextrun"/>
          <w:rFonts w:ascii="Lato" w:eastAsiaTheme="majorEastAsia" w:hAnsi="Lato" w:cstheme="majorBidi"/>
          <w:kern w:val="32"/>
          <w:szCs w:val="26"/>
        </w:rPr>
        <w:t xml:space="preserve"> podrozdziale</w:t>
      </w:r>
      <w:r w:rsidRPr="005F2138">
        <w:rPr>
          <w:rStyle w:val="normaltextrun"/>
          <w:rFonts w:ascii="Lato" w:eastAsiaTheme="majorEastAsia" w:hAnsi="Lato" w:cstheme="majorBidi"/>
          <w:kern w:val="32"/>
          <w:szCs w:val="26"/>
        </w:rPr>
        <w:t xml:space="preserve"> dot. odpisów amortyzacyjnych. W</w:t>
      </w:r>
      <w:r w:rsidR="00AE313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takim przypadku wartość środków trwałych nie wchodzi do limitu środków trwałych. </w:t>
      </w:r>
    </w:p>
    <w:p w14:paraId="778FB295" w14:textId="1DA7D437"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Jeżeli środki trwałe oraz wartości niematerialne i prawne, o których mowa w</w:t>
      </w:r>
      <w:r w:rsidR="00514F99" w:rsidRPr="005F2138">
        <w:rPr>
          <w:rStyle w:val="normaltextrun"/>
          <w:rFonts w:ascii="Lato" w:eastAsiaTheme="majorEastAsia" w:hAnsi="Lato" w:cstheme="majorBidi"/>
          <w:kern w:val="32"/>
          <w:szCs w:val="26"/>
        </w:rPr>
        <w:t> </w:t>
      </w:r>
      <w:r w:rsidR="00492B74" w:rsidRPr="005F2138">
        <w:rPr>
          <w:rStyle w:val="normaltextrun"/>
          <w:rFonts w:ascii="Lato" w:eastAsiaTheme="majorEastAsia" w:hAnsi="Lato" w:cstheme="majorBidi"/>
          <w:kern w:val="32"/>
          <w:szCs w:val="26"/>
        </w:rPr>
        <w:t>ust.</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1 lit. b, wykorzystywane są także do innych zadań niż założone w</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przedsięwzięciu, wydatki na ich zakup </w:t>
      </w:r>
      <w:r w:rsidR="00F70D12" w:rsidRPr="005F2138">
        <w:rPr>
          <w:rStyle w:val="normaltextrun"/>
          <w:rFonts w:ascii="Lato" w:eastAsiaTheme="majorEastAsia" w:hAnsi="Lato" w:cstheme="majorBidi"/>
          <w:kern w:val="32"/>
          <w:szCs w:val="26"/>
        </w:rPr>
        <w:t>są kwalifikowa</w:t>
      </w:r>
      <w:r w:rsidR="00846BB9" w:rsidRPr="005F2138">
        <w:rPr>
          <w:rStyle w:val="normaltextrun"/>
          <w:rFonts w:ascii="Lato" w:eastAsiaTheme="majorEastAsia" w:hAnsi="Lato" w:cstheme="majorBidi"/>
          <w:kern w:val="32"/>
          <w:szCs w:val="26"/>
        </w:rPr>
        <w:t>l</w:t>
      </w:r>
      <w:r w:rsidR="00F70D12" w:rsidRPr="005F2138">
        <w:rPr>
          <w:rStyle w:val="normaltextrun"/>
          <w:rFonts w:ascii="Lato" w:eastAsiaTheme="majorEastAsia" w:hAnsi="Lato" w:cstheme="majorBidi"/>
          <w:kern w:val="32"/>
          <w:szCs w:val="26"/>
        </w:rPr>
        <w:t>ne</w:t>
      </w:r>
      <w:r w:rsidRPr="005F2138">
        <w:rPr>
          <w:rStyle w:val="normaltextrun"/>
          <w:rFonts w:ascii="Lato" w:eastAsiaTheme="majorEastAsia" w:hAnsi="Lato" w:cstheme="majorBidi"/>
          <w:kern w:val="32"/>
          <w:szCs w:val="26"/>
        </w:rPr>
        <w:t xml:space="preserve"> w wysokości odpowiadającej odpisom amortyzacyjnym dokonanym w okresie realizacji przedsięwzięcia, proporcjonalnie </w:t>
      </w:r>
      <w:r w:rsidRPr="005F2138">
        <w:rPr>
          <w:rStyle w:val="normaltextrun"/>
          <w:rFonts w:ascii="Lato" w:eastAsiaTheme="majorEastAsia" w:hAnsi="Lato" w:cstheme="majorBidi"/>
          <w:kern w:val="32"/>
          <w:szCs w:val="26"/>
        </w:rPr>
        <w:lastRenderedPageBreak/>
        <w:t>do ich wykorzystania w celu jego realizacji. W</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takim przypadku rozlicza się odpisy amortyzacyjne i stosuje </w:t>
      </w:r>
      <w:r w:rsidR="00DA1573" w:rsidRPr="005F2138">
        <w:rPr>
          <w:rStyle w:val="normaltextrun"/>
          <w:rFonts w:ascii="Lato" w:eastAsiaTheme="majorEastAsia" w:hAnsi="Lato" w:cstheme="majorBidi"/>
          <w:kern w:val="32"/>
          <w:szCs w:val="26"/>
        </w:rPr>
        <w:t>podrozdział 4.</w:t>
      </w:r>
      <w:r w:rsidR="00F85088" w:rsidRPr="005F2138">
        <w:rPr>
          <w:rStyle w:val="normaltextrun"/>
          <w:rFonts w:ascii="Lato" w:eastAsiaTheme="majorEastAsia" w:hAnsi="Lato" w:cstheme="majorBidi"/>
          <w:kern w:val="32"/>
          <w:szCs w:val="26"/>
        </w:rPr>
        <w:t>8</w:t>
      </w:r>
      <w:r w:rsidR="00DA1573" w:rsidRPr="005F2138">
        <w:rPr>
          <w:rStyle w:val="normaltextrun"/>
          <w:rFonts w:ascii="Lato" w:eastAsiaTheme="majorEastAsia" w:hAnsi="Lato" w:cstheme="majorBidi"/>
          <w:kern w:val="32"/>
          <w:szCs w:val="26"/>
        </w:rPr>
        <w:t xml:space="preserve"> </w:t>
      </w:r>
      <w:r w:rsidR="00C41A18" w:rsidRPr="005F2138">
        <w:rPr>
          <w:rStyle w:val="normaltextrun"/>
          <w:rFonts w:ascii="Lato" w:eastAsiaTheme="majorEastAsia" w:hAnsi="Lato" w:cstheme="majorBidi"/>
          <w:kern w:val="32"/>
          <w:szCs w:val="26"/>
        </w:rPr>
        <w:t>W</w:t>
      </w:r>
      <w:r w:rsidR="00DA1573" w:rsidRPr="005F2138">
        <w:rPr>
          <w:rStyle w:val="normaltextrun"/>
          <w:rFonts w:ascii="Lato" w:eastAsiaTheme="majorEastAsia" w:hAnsi="Lato" w:cstheme="majorBidi"/>
          <w:kern w:val="32"/>
          <w:szCs w:val="26"/>
        </w:rPr>
        <w:t>ytycznych.</w:t>
      </w:r>
      <w:r w:rsidRPr="005F2138">
        <w:rPr>
          <w:rStyle w:val="normaltextrun"/>
          <w:rFonts w:ascii="Lato" w:eastAsiaTheme="majorEastAsia" w:hAnsi="Lato" w:cstheme="majorBidi"/>
          <w:kern w:val="32"/>
          <w:szCs w:val="26"/>
        </w:rPr>
        <w:t xml:space="preserve">  </w:t>
      </w:r>
    </w:p>
    <w:p w14:paraId="75BB81A1" w14:textId="48FB509A"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ramach przedsięwzięć finansowanych ze środków KPO środki trwałe oraz wartości niematerialne i prawne nabyte w ramach przedsięwzięcia są wykorzystywane po zakończeniu realizacji przedsięwzięcia na działalność statutową </w:t>
      </w:r>
      <w:r w:rsidR="00DA1573" w:rsidRPr="005F2138">
        <w:rPr>
          <w:rStyle w:val="normaltextrun"/>
          <w:rFonts w:ascii="Lato" w:eastAsiaTheme="majorEastAsia" w:hAnsi="Lato" w:cstheme="majorBidi"/>
          <w:kern w:val="32"/>
          <w:szCs w:val="26"/>
        </w:rPr>
        <w:t>OOW</w:t>
      </w:r>
      <w:r w:rsidRPr="005F2138">
        <w:rPr>
          <w:rStyle w:val="normaltextrun"/>
          <w:rFonts w:ascii="Lato" w:eastAsiaTheme="majorEastAsia" w:hAnsi="Lato" w:cstheme="majorBidi"/>
          <w:kern w:val="32"/>
          <w:szCs w:val="26"/>
        </w:rPr>
        <w:t xml:space="preserve"> lub mogą zostać przekazane nieodpłatnie podmiotowi niedziałającemu dla zysku.  </w:t>
      </w:r>
    </w:p>
    <w:p w14:paraId="3568EC88" w14:textId="1C680760" w:rsidR="00635F34" w:rsidRPr="005F2138" w:rsidRDefault="00635F34"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poniesione na zakup używanych środków trwałych oraz wartości niematerialnych i prawnych są kwalifikowalne, jeśli spełnione są wszystkie wymienione poniżej warunki: </w:t>
      </w:r>
    </w:p>
    <w:p w14:paraId="1B976F4E" w14:textId="0F742451" w:rsidR="00DA1573" w:rsidRPr="005F2138" w:rsidRDefault="008C3AD2" w:rsidP="00990CE8">
      <w:pPr>
        <w:pStyle w:val="Akapitzlist"/>
        <w:numPr>
          <w:ilvl w:val="1"/>
          <w:numId w:val="7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s</w:t>
      </w:r>
      <w:r w:rsidR="00DA1573" w:rsidRPr="005F2138">
        <w:rPr>
          <w:rStyle w:val="normaltextrun"/>
          <w:rFonts w:ascii="Lato" w:eastAsiaTheme="majorEastAsia" w:hAnsi="Lato" w:cstheme="majorBidi"/>
          <w:kern w:val="32"/>
          <w:szCs w:val="26"/>
        </w:rPr>
        <w:t>przeda</w:t>
      </w:r>
      <w:r w:rsidRPr="005F2138">
        <w:rPr>
          <w:rStyle w:val="normaltextrun"/>
          <w:rFonts w:ascii="Lato" w:eastAsiaTheme="majorEastAsia" w:hAnsi="Lato" w:cstheme="majorBidi"/>
          <w:kern w:val="32"/>
          <w:szCs w:val="26"/>
        </w:rPr>
        <w:t xml:space="preserve">wca </w:t>
      </w:r>
      <w:r w:rsidR="00DA1573" w:rsidRPr="005F2138">
        <w:rPr>
          <w:rStyle w:val="normaltextrun"/>
          <w:rFonts w:ascii="Lato" w:eastAsiaTheme="majorEastAsia" w:hAnsi="Lato" w:cstheme="majorBidi"/>
          <w:kern w:val="32"/>
          <w:szCs w:val="26"/>
        </w:rPr>
        <w:t>środ</w:t>
      </w:r>
      <w:r w:rsidRPr="005F2138">
        <w:rPr>
          <w:rStyle w:val="normaltextrun"/>
          <w:rFonts w:ascii="Lato" w:eastAsiaTheme="majorEastAsia" w:hAnsi="Lato" w:cstheme="majorBidi"/>
          <w:kern w:val="32"/>
          <w:szCs w:val="26"/>
        </w:rPr>
        <w:t xml:space="preserve">ka </w:t>
      </w:r>
      <w:r w:rsidR="00DA1573" w:rsidRPr="005F2138">
        <w:rPr>
          <w:rStyle w:val="normaltextrun"/>
          <w:rFonts w:ascii="Lato" w:eastAsiaTheme="majorEastAsia" w:hAnsi="Lato" w:cstheme="majorBidi"/>
          <w:kern w:val="32"/>
          <w:szCs w:val="26"/>
        </w:rPr>
        <w:t>trwał</w:t>
      </w:r>
      <w:r w:rsidRPr="005F2138">
        <w:rPr>
          <w:rStyle w:val="normaltextrun"/>
          <w:rFonts w:ascii="Lato" w:eastAsiaTheme="majorEastAsia" w:hAnsi="Lato" w:cstheme="majorBidi"/>
          <w:kern w:val="32"/>
          <w:szCs w:val="26"/>
        </w:rPr>
        <w:t xml:space="preserve">ego </w:t>
      </w:r>
      <w:r w:rsidR="00DA1573" w:rsidRPr="005F2138">
        <w:rPr>
          <w:rStyle w:val="normaltextrun"/>
          <w:rFonts w:ascii="Lato" w:eastAsiaTheme="majorEastAsia" w:hAnsi="Lato" w:cstheme="majorBidi"/>
          <w:kern w:val="32"/>
          <w:szCs w:val="26"/>
        </w:rPr>
        <w:t xml:space="preserve"> wystawił deklarację określającą jego pochodzenie, </w:t>
      </w:r>
    </w:p>
    <w:p w14:paraId="1B95BA1C" w14:textId="4AC69CCE" w:rsidR="00DA1573" w:rsidRPr="005F2138" w:rsidRDefault="008C3AD2" w:rsidP="00990CE8">
      <w:pPr>
        <w:pStyle w:val="Akapitzlist"/>
        <w:numPr>
          <w:ilvl w:val="1"/>
          <w:numId w:val="7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s</w:t>
      </w:r>
      <w:r w:rsidR="00DA1573" w:rsidRPr="005F2138">
        <w:rPr>
          <w:rStyle w:val="normaltextrun"/>
          <w:rFonts w:ascii="Lato" w:eastAsiaTheme="majorEastAsia" w:hAnsi="Lato" w:cstheme="majorBidi"/>
          <w:kern w:val="32"/>
          <w:szCs w:val="26"/>
        </w:rPr>
        <w:t>przeda</w:t>
      </w:r>
      <w:r w:rsidRPr="005F2138">
        <w:rPr>
          <w:rStyle w:val="normaltextrun"/>
          <w:rFonts w:ascii="Lato" w:eastAsiaTheme="majorEastAsia" w:hAnsi="Lato" w:cstheme="majorBidi"/>
          <w:kern w:val="32"/>
          <w:szCs w:val="26"/>
        </w:rPr>
        <w:t xml:space="preserve">wca </w:t>
      </w:r>
      <w:r w:rsidR="00DA1573" w:rsidRPr="005F2138">
        <w:rPr>
          <w:rStyle w:val="normaltextrun"/>
          <w:rFonts w:ascii="Lato" w:eastAsiaTheme="majorEastAsia" w:hAnsi="Lato" w:cstheme="majorBidi"/>
          <w:kern w:val="32"/>
          <w:szCs w:val="26"/>
        </w:rPr>
        <w:t>środ</w:t>
      </w:r>
      <w:r w:rsidRPr="005F2138">
        <w:rPr>
          <w:rStyle w:val="normaltextrun"/>
          <w:rFonts w:ascii="Lato" w:eastAsiaTheme="majorEastAsia" w:hAnsi="Lato" w:cstheme="majorBidi"/>
          <w:kern w:val="32"/>
          <w:szCs w:val="26"/>
        </w:rPr>
        <w:t xml:space="preserve">ka </w:t>
      </w:r>
      <w:r w:rsidR="00DA1573" w:rsidRPr="005F2138">
        <w:rPr>
          <w:rStyle w:val="normaltextrun"/>
          <w:rFonts w:ascii="Lato" w:eastAsiaTheme="majorEastAsia" w:hAnsi="Lato" w:cstheme="majorBidi"/>
          <w:kern w:val="32"/>
          <w:szCs w:val="26"/>
        </w:rPr>
        <w:t>trwał</w:t>
      </w:r>
      <w:r w:rsidRPr="005F2138">
        <w:rPr>
          <w:rStyle w:val="normaltextrun"/>
          <w:rFonts w:ascii="Lato" w:eastAsiaTheme="majorEastAsia" w:hAnsi="Lato" w:cstheme="majorBidi"/>
          <w:kern w:val="32"/>
          <w:szCs w:val="26"/>
        </w:rPr>
        <w:t xml:space="preserve">ego </w:t>
      </w:r>
      <w:r w:rsidR="00DA1573" w:rsidRPr="005F2138">
        <w:rPr>
          <w:rStyle w:val="normaltextrun"/>
          <w:rFonts w:ascii="Lato" w:eastAsiaTheme="majorEastAsia" w:hAnsi="Lato" w:cstheme="majorBidi"/>
          <w:kern w:val="32"/>
          <w:szCs w:val="26"/>
        </w:rPr>
        <w:t>potwierdził w deklaracji, że dany środek nie był współfinansowany z</w:t>
      </w:r>
      <w:r w:rsidR="00C32D25" w:rsidRPr="005F2138">
        <w:rPr>
          <w:rStyle w:val="normaltextrun"/>
          <w:rFonts w:ascii="Lato" w:eastAsiaTheme="majorEastAsia" w:hAnsi="Lato" w:cstheme="majorBidi"/>
          <w:kern w:val="32"/>
          <w:szCs w:val="26"/>
        </w:rPr>
        <w:t>e środków unijnych</w:t>
      </w:r>
      <w:r w:rsidR="00DA1573" w:rsidRPr="005F2138">
        <w:rPr>
          <w:rStyle w:val="normaltextrun"/>
          <w:rFonts w:ascii="Lato" w:eastAsiaTheme="majorEastAsia" w:hAnsi="Lato" w:cstheme="majorBidi"/>
          <w:kern w:val="32"/>
          <w:szCs w:val="26"/>
        </w:rPr>
        <w:t xml:space="preserve">, </w:t>
      </w:r>
    </w:p>
    <w:p w14:paraId="16D6DB7B" w14:textId="407A5889" w:rsidR="00635F34" w:rsidRPr="005F2138" w:rsidRDefault="00DA1573" w:rsidP="00990CE8">
      <w:pPr>
        <w:pStyle w:val="Akapitzlist"/>
        <w:numPr>
          <w:ilvl w:val="1"/>
          <w:numId w:val="7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cena zakupu używanego środka trwałego nie przekracza jego wartości rynkowej i jest niższa niż koszt podobnego nowego sprzętu. </w:t>
      </w:r>
    </w:p>
    <w:p w14:paraId="0BDCF9DF" w14:textId="30A36779" w:rsidR="003716F1" w:rsidRPr="005F2138" w:rsidRDefault="003C53BA" w:rsidP="00990CE8">
      <w:pPr>
        <w:pStyle w:val="Akapitzlist"/>
        <w:numPr>
          <w:ilvl w:val="0"/>
          <w:numId w:val="7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ramach przedsięwzię</w:t>
      </w:r>
      <w:r w:rsidR="00A259DB" w:rsidRPr="005F2138">
        <w:rPr>
          <w:rStyle w:val="normaltextrun"/>
          <w:rFonts w:ascii="Lato" w:eastAsiaTheme="majorEastAsia" w:hAnsi="Lato" w:cstheme="majorBidi"/>
          <w:kern w:val="32"/>
          <w:szCs w:val="26"/>
        </w:rPr>
        <w:t>cia</w:t>
      </w:r>
      <w:r w:rsidRPr="005F2138">
        <w:rPr>
          <w:rStyle w:val="normaltextrun"/>
          <w:rFonts w:ascii="Lato" w:eastAsiaTheme="majorEastAsia" w:hAnsi="Lato" w:cstheme="majorBidi"/>
          <w:kern w:val="32"/>
          <w:szCs w:val="26"/>
        </w:rPr>
        <w:t>, kwalifikowalne mogą być w szczególności następujące kategorie wydatków:</w:t>
      </w:r>
    </w:p>
    <w:p w14:paraId="6BCB6B1F" w14:textId="5BFA12A3" w:rsidR="007B2306" w:rsidRPr="005F2138" w:rsidRDefault="007B2306" w:rsidP="00990CE8">
      <w:pPr>
        <w:pStyle w:val="Akapitzlist"/>
        <w:numPr>
          <w:ilvl w:val="1"/>
          <w:numId w:val="90"/>
        </w:numPr>
        <w:spacing w:before="120" w:after="120"/>
        <w:ind w:left="851" w:hanging="425"/>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Środki trwałe i wartości niematerialne i prawne</w:t>
      </w:r>
    </w:p>
    <w:p w14:paraId="75D9630B" w14:textId="07C54F6C" w:rsidR="007B2306" w:rsidRPr="005F2138" w:rsidRDefault="007B2306" w:rsidP="00990CE8">
      <w:pPr>
        <w:pStyle w:val="Akapitzlist"/>
        <w:numPr>
          <w:ilvl w:val="1"/>
          <w:numId w:val="89"/>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Oprogramowanie </w:t>
      </w:r>
    </w:p>
    <w:p w14:paraId="2FB994A8"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stworzenia, zakupu, leasingu, dzierżawy, najmu oraz dostawy oprogramowania, wydatki na wdrożenie oprogramowania,</w:t>
      </w:r>
    </w:p>
    <w:p w14:paraId="7D88CE04"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programy i systemy informatyczne współpracujące ze sprzętem do digitalizacji,</w:t>
      </w:r>
    </w:p>
    <w:p w14:paraId="04545941"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rozbudowę i aktualizację istniejącego oprogramowania,</w:t>
      </w:r>
    </w:p>
    <w:p w14:paraId="32F0D85F" w14:textId="37849A22"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prac instalacyjnych, konfiguracyjnych i</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optymalizacyjnych,</w:t>
      </w:r>
    </w:p>
    <w:p w14:paraId="5CA99278"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stworzenia domen (platform) i portali,</w:t>
      </w:r>
    </w:p>
    <w:p w14:paraId="7064FD40"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przygotowania zawartości portali, w tym wydatki na rozbudowę portali,</w:t>
      </w:r>
    </w:p>
    <w:p w14:paraId="6D548386"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wydatki na budowę lub rozbudowę zabezpieczeń logicznych (firewall, systemy IDS, IPS),</w:t>
      </w:r>
    </w:p>
    <w:p w14:paraId="5E468E82" w14:textId="3585A14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wydatki na zakup narzędzi warstwy programowej niezbędnych dla zapewnienia bezpieczeństwa przesyłanych informacji oraz identyfikacji (np. elektronicznego poświadczania tożsamości), </w:t>
      </w:r>
    </w:p>
    <w:p w14:paraId="53D6018B" w14:textId="639E7BBB"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amortyzacja wartości niematerialnych z zachowaniem zasad ogólnych dotyczących amortyzacji danego rodzaju wartości niematerialnych w zakresie i w czasie, w jakim są one wykorzystywane do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5406160D" w14:textId="292F9EF7" w:rsidR="007B2306" w:rsidRPr="005B368A" w:rsidRDefault="007B2306" w:rsidP="00990CE8">
      <w:pPr>
        <w:spacing w:before="120" w:after="120"/>
        <w:ind w:left="1134"/>
        <w:jc w:val="both"/>
        <w:rPr>
          <w:rFonts w:ascii="Lato" w:hAnsi="Lato" w:cs="Arial"/>
        </w:rPr>
      </w:pPr>
      <w:r w:rsidRPr="005F2138">
        <w:rPr>
          <w:rFonts w:ascii="Lato" w:hAnsi="Lato" w:cs="Arial"/>
        </w:rPr>
        <w:t>Przy zakupie, modernizacji, aktualizacji bądź stworzeniu oprogramowania kwalifikowalne są wydatki zakupu, rozszerzenia i aktualizacji licencji lub przejęcia autorskich praw majątkowych</w:t>
      </w:r>
      <w:r w:rsidR="00A43ED6">
        <w:rPr>
          <w:rFonts w:ascii="Lato" w:hAnsi="Lato" w:cs="Arial"/>
        </w:rPr>
        <w:t>.</w:t>
      </w:r>
      <w:r w:rsidR="00024AF4" w:rsidRPr="003268D6">
        <w:rPr>
          <w:rFonts w:ascii="Lato" w:hAnsi="Lato" w:cs="Arial"/>
          <w:color w:val="FF0000"/>
        </w:rPr>
        <w:t xml:space="preserve"> </w:t>
      </w:r>
      <w:r w:rsidR="005B368A" w:rsidRPr="005B368A">
        <w:rPr>
          <w:rFonts w:ascii="Lato" w:hAnsi="Lato" w:cs="Arial"/>
        </w:rPr>
        <w:t>Kwalifikowalny jest także koszt zakupu licencji udzielonych do zakończenia okresu trwałości przedsięwzięcia, dokonany w okresie kwalifikowalności wydatków, o którym mowa w treści § 1 pkt 8 Porozumienia.</w:t>
      </w:r>
    </w:p>
    <w:p w14:paraId="0888C16D" w14:textId="77777777" w:rsidR="007B2306" w:rsidRPr="005F2138" w:rsidRDefault="007B2306" w:rsidP="00990CE8">
      <w:pPr>
        <w:pStyle w:val="Akapitzlist"/>
        <w:numPr>
          <w:ilvl w:val="1"/>
          <w:numId w:val="89"/>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Sprzęt informatyczny  </w:t>
      </w:r>
    </w:p>
    <w:p w14:paraId="017117C4"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zakup i dostawę sprzętu informatycznego, w tym również teleinformatycznego,</w:t>
      </w:r>
    </w:p>
    <w:p w14:paraId="6AA97146" w14:textId="3493DF4D"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na urządzenia sieciowe i osprzęt sieciowy pozwalający na przyłączenie do szerokopasmowego </w:t>
      </w:r>
      <w:r w:rsidR="000066FA" w:rsidRPr="005F2138">
        <w:rPr>
          <w:rStyle w:val="normaltextrun"/>
          <w:rFonts w:ascii="Lato" w:eastAsiaTheme="majorEastAsia" w:hAnsi="Lato" w:cstheme="majorBidi"/>
          <w:kern w:val="32"/>
          <w:szCs w:val="26"/>
        </w:rPr>
        <w:t>Internetu</w:t>
      </w:r>
      <w:r w:rsidRPr="005F2138">
        <w:rPr>
          <w:rStyle w:val="normaltextrun"/>
          <w:rFonts w:ascii="Lato" w:eastAsiaTheme="majorEastAsia" w:hAnsi="Lato" w:cstheme="majorBidi"/>
          <w:kern w:val="32"/>
          <w:szCs w:val="26"/>
        </w:rPr>
        <w:t xml:space="preserve">, </w:t>
      </w:r>
    </w:p>
    <w:p w14:paraId="016B77AE" w14:textId="51FD912B"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na modernizację sprzętu informatycznego w zakresie w jakim jest to niezbędne do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12DB06B6" w14:textId="07B70F78"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utrzymanie sprzętu w okresie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779D25F1"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leasing sprzętu informatycznego,</w:t>
      </w:r>
    </w:p>
    <w:p w14:paraId="62C5923C"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najem sprzętu informatycznego,</w:t>
      </w:r>
    </w:p>
    <w:p w14:paraId="5087FDCF"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dzierżawę sprzętu informatycznego,</w:t>
      </w:r>
    </w:p>
    <w:p w14:paraId="0C20CB43" w14:textId="14D910D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amortyzacja sprzętu informatycznego z zachowaniem zasad ogólnych dotyczących amortyzacji danego rodzaju środków trwałych w zakresie i w czasie, w jakim są one wykorzystywane do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612293BE" w14:textId="77777777" w:rsidR="007B2306" w:rsidRPr="005F2138" w:rsidRDefault="007B2306" w:rsidP="00990CE8">
      <w:pPr>
        <w:pStyle w:val="Akapitzlist"/>
        <w:numPr>
          <w:ilvl w:val="2"/>
          <w:numId w:val="89"/>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wydatki na zakup narzędzi warstwy sprzętowej niezbędnych dla zapewnienia bezpieczeństwa przesyłanych informacji oraz identyfikacji (np. elektronicznego poświadczania tożsamości).</w:t>
      </w:r>
    </w:p>
    <w:p w14:paraId="068AC807" w14:textId="77777777" w:rsidR="007B2306" w:rsidRPr="005F2138" w:rsidRDefault="007B2306" w:rsidP="00990CE8">
      <w:pPr>
        <w:pStyle w:val="Akapitzlist"/>
        <w:numPr>
          <w:ilvl w:val="1"/>
          <w:numId w:val="89"/>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Sprzęt do digitalizacji</w:t>
      </w:r>
    </w:p>
    <w:p w14:paraId="15286C84" w14:textId="6667BBF4"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związane z zakupem infrastruktury do pozyskiwania udostępnianych w ramach </w:t>
      </w:r>
      <w:r w:rsidR="00641A61" w:rsidRPr="005F2138">
        <w:rPr>
          <w:rStyle w:val="normaltextrun"/>
          <w:rFonts w:ascii="Lato" w:eastAsiaTheme="majorEastAsia" w:hAnsi="Lato" w:cstheme="majorBidi"/>
          <w:kern w:val="32"/>
          <w:szCs w:val="26"/>
        </w:rPr>
        <w:t xml:space="preserve">przedsięwzięcia </w:t>
      </w:r>
      <w:r w:rsidRPr="005F2138">
        <w:rPr>
          <w:rStyle w:val="normaltextrun"/>
          <w:rFonts w:ascii="Lato" w:eastAsiaTheme="majorEastAsia" w:hAnsi="Lato" w:cstheme="majorBidi"/>
          <w:kern w:val="32"/>
          <w:szCs w:val="26"/>
        </w:rPr>
        <w:t>danych oraz do digitalizacji (skanery, kamery cyfrowe, oświetlenie, zestawy komputerowe, podzespoły komputerowe, kalibratory i</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spektrofotometry, akcesoria itp.),</w:t>
      </w:r>
    </w:p>
    <w:p w14:paraId="4AD7D1BA" w14:textId="34A27428"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na modernizację sprzętu do digitalizacji w zakresie w jakim jest to niezbędne do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xml:space="preserve">, </w:t>
      </w:r>
    </w:p>
    <w:p w14:paraId="5495BB3D" w14:textId="574EE750"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utrzymanie sprzętu w okresie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0F3CF7DE"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leasing sprzętu do digitalizacji,</w:t>
      </w:r>
    </w:p>
    <w:p w14:paraId="30FDB7EC"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najem sprzętu do digitalizacji,</w:t>
      </w:r>
    </w:p>
    <w:p w14:paraId="10859C06"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dzierżawę sprzętu do digitalizacji,</w:t>
      </w:r>
    </w:p>
    <w:p w14:paraId="70BF4A00" w14:textId="090CDE8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amortyzacja sprzętu do digitalizacji, z zachowaniem zasad ogólnych dotyczących amortyzacji danego rodzaju środków trwałych w zakresie i w czasie, w jakim są one wykorzystywane do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w:t>
      </w:r>
    </w:p>
    <w:p w14:paraId="011703B9" w14:textId="176B587B" w:rsidR="007B2306" w:rsidRPr="005F2138" w:rsidRDefault="00D66F63" w:rsidP="00990CE8">
      <w:pPr>
        <w:pStyle w:val="Akapitzlist"/>
        <w:numPr>
          <w:ilvl w:val="1"/>
          <w:numId w:val="89"/>
        </w:numPr>
        <w:spacing w:before="120" w:after="120"/>
        <w:ind w:left="1418"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S</w:t>
      </w:r>
      <w:r w:rsidR="007B2306" w:rsidRPr="005F2138">
        <w:rPr>
          <w:rStyle w:val="normaltextrun"/>
          <w:rFonts w:ascii="Lato" w:eastAsiaTheme="majorEastAsia" w:hAnsi="Lato" w:cstheme="majorBidi"/>
          <w:kern w:val="32"/>
          <w:szCs w:val="26"/>
        </w:rPr>
        <w:t xml:space="preserve">przęt </w:t>
      </w:r>
      <w:proofErr w:type="spellStart"/>
      <w:r w:rsidR="007B2306" w:rsidRPr="005F2138">
        <w:rPr>
          <w:rStyle w:val="normaltextrun"/>
          <w:rFonts w:ascii="Lato" w:eastAsiaTheme="majorEastAsia" w:hAnsi="Lato" w:cstheme="majorBidi"/>
          <w:kern w:val="32"/>
          <w:szCs w:val="26"/>
        </w:rPr>
        <w:t>telemedyczny</w:t>
      </w:r>
      <w:proofErr w:type="spellEnd"/>
      <w:r w:rsidR="007B2306" w:rsidRPr="005F2138">
        <w:rPr>
          <w:rStyle w:val="normaltextrun"/>
          <w:rFonts w:ascii="Lato" w:eastAsiaTheme="majorEastAsia" w:hAnsi="Lato" w:cstheme="majorBidi"/>
          <w:kern w:val="32"/>
          <w:szCs w:val="26"/>
        </w:rPr>
        <w:t xml:space="preserve"> do zdalnej diagnostyki i monitorowania pacjenta.</w:t>
      </w:r>
    </w:p>
    <w:p w14:paraId="6AF67020" w14:textId="77777777" w:rsidR="007B2306" w:rsidRPr="005F2138" w:rsidRDefault="007B2306" w:rsidP="00990CE8">
      <w:pPr>
        <w:pStyle w:val="Akapitzlist"/>
        <w:numPr>
          <w:ilvl w:val="1"/>
          <w:numId w:val="90"/>
        </w:numPr>
        <w:spacing w:before="120" w:after="120"/>
        <w:ind w:left="851" w:hanging="425"/>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zewnętrzne</w:t>
      </w:r>
    </w:p>
    <w:p w14:paraId="0B386401" w14:textId="0C2E2A92" w:rsidR="007B2306" w:rsidRPr="005F2138" w:rsidRDefault="007B2306" w:rsidP="00990CE8">
      <w:pPr>
        <w:pStyle w:val="Akapitzlist"/>
        <w:numPr>
          <w:ilvl w:val="0"/>
          <w:numId w:val="91"/>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Przygotowanie </w:t>
      </w:r>
      <w:r w:rsidR="00641A61" w:rsidRPr="005F2138">
        <w:rPr>
          <w:rStyle w:val="normaltextrun"/>
          <w:rFonts w:ascii="Lato" w:eastAsiaTheme="majorEastAsia" w:hAnsi="Lato" w:cstheme="majorBidi"/>
          <w:kern w:val="32"/>
          <w:szCs w:val="26"/>
        </w:rPr>
        <w:t>przedsięwzięcia</w:t>
      </w:r>
    </w:p>
    <w:p w14:paraId="0D613A6E" w14:textId="74A06520"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dokumentacja techniczna, finansowa o ile jej opracowanie jest niezbędne do przygotowania lub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z</w:t>
      </w:r>
      <w:r w:rsidR="0090272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wyjątkiem wypełnienia formularza </w:t>
      </w:r>
      <w:r w:rsidR="00AB4E89"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w:t>
      </w:r>
    </w:p>
    <w:p w14:paraId="660B4D0C"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studium wykonalności,</w:t>
      </w:r>
    </w:p>
    <w:p w14:paraId="5A97C350"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dokumentacja przetargowa,</w:t>
      </w:r>
    </w:p>
    <w:p w14:paraId="0B2CBADE" w14:textId="4D9B1D42"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uzyskanie niezbędnych decyzji administracyjnych na etapie przygotowania </w:t>
      </w:r>
      <w:r w:rsidR="00641A61" w:rsidRPr="005F2138">
        <w:rPr>
          <w:rStyle w:val="normaltextrun"/>
          <w:rFonts w:ascii="Lato" w:eastAsiaTheme="majorEastAsia" w:hAnsi="Lato" w:cstheme="majorBidi"/>
          <w:kern w:val="32"/>
          <w:szCs w:val="26"/>
        </w:rPr>
        <w:t>przedsięwzięcia</w:t>
      </w:r>
      <w:r w:rsidR="00641A61" w:rsidRPr="005F2138" w:rsidDel="00641A61">
        <w:rPr>
          <w:rStyle w:val="normaltextrun"/>
          <w:rFonts w:ascii="Lato" w:eastAsiaTheme="majorEastAsia" w:hAnsi="Lato" w:cstheme="majorBidi"/>
          <w:kern w:val="32"/>
          <w:szCs w:val="26"/>
        </w:rPr>
        <w:t xml:space="preserve"> </w:t>
      </w:r>
      <w:r w:rsidR="00AB4E89" w:rsidRPr="005F2138">
        <w:rPr>
          <w:rStyle w:val="normaltextrun"/>
          <w:rFonts w:ascii="Lato" w:eastAsiaTheme="majorEastAsia" w:hAnsi="Lato" w:cstheme="majorBidi"/>
          <w:kern w:val="32"/>
          <w:szCs w:val="26"/>
        </w:rPr>
        <w:t xml:space="preserve"> i/lub złożenia</w:t>
      </w:r>
      <w:r w:rsidRPr="005F2138">
        <w:rPr>
          <w:rStyle w:val="normaltextrun"/>
          <w:rFonts w:ascii="Lato" w:eastAsiaTheme="majorEastAsia" w:hAnsi="Lato" w:cstheme="majorBidi"/>
          <w:kern w:val="32"/>
          <w:szCs w:val="26"/>
        </w:rPr>
        <w:t xml:space="preserve"> </w:t>
      </w:r>
      <w:r w:rsidR="00AB4E89"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niosku ,</w:t>
      </w:r>
    </w:p>
    <w:p w14:paraId="603B3154" w14:textId="77777777" w:rsidR="007B2306" w:rsidRPr="005F2138" w:rsidRDefault="007B2306" w:rsidP="00990CE8">
      <w:pPr>
        <w:pStyle w:val="Akapitzlist"/>
        <w:numPr>
          <w:ilvl w:val="2"/>
          <w:numId w:val="8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ocena oddziaływania na środowisko,</w:t>
      </w:r>
    </w:p>
    <w:p w14:paraId="59E04C30" w14:textId="52BE41A5" w:rsidR="007B2306" w:rsidRPr="005F2138" w:rsidRDefault="007B2306" w:rsidP="00990CE8">
      <w:pPr>
        <w:pStyle w:val="Akapitzlist"/>
        <w:numPr>
          <w:ilvl w:val="2"/>
          <w:numId w:val="89"/>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 xml:space="preserve">mapy lub szkice sytuujące </w:t>
      </w:r>
      <w:r w:rsidR="00641A61" w:rsidRPr="005F2138">
        <w:rPr>
          <w:rStyle w:val="normaltextrun"/>
          <w:rFonts w:ascii="Lato" w:eastAsiaTheme="majorEastAsia" w:hAnsi="Lato" w:cstheme="majorBidi"/>
          <w:kern w:val="32"/>
          <w:szCs w:val="26"/>
        </w:rPr>
        <w:t>przedsięwzięci</w:t>
      </w:r>
      <w:r w:rsidR="00633FB1" w:rsidRPr="005F2138">
        <w:rPr>
          <w:rStyle w:val="normaltextrun"/>
          <w:rFonts w:ascii="Lato" w:eastAsiaTheme="majorEastAsia" w:hAnsi="Lato" w:cstheme="majorBidi"/>
          <w:kern w:val="32"/>
          <w:szCs w:val="26"/>
        </w:rPr>
        <w:t>e</w:t>
      </w:r>
      <w:r w:rsidR="00857966" w:rsidRPr="005F2138">
        <w:rPr>
          <w:rStyle w:val="normaltextrun"/>
          <w:rFonts w:ascii="Lato" w:eastAsiaTheme="majorEastAsia" w:hAnsi="Lato" w:cstheme="majorBidi"/>
          <w:kern w:val="32"/>
          <w:szCs w:val="26"/>
        </w:rPr>
        <w:t>.</w:t>
      </w:r>
    </w:p>
    <w:p w14:paraId="4C8BCEAD" w14:textId="77777777" w:rsidR="007B2306" w:rsidRPr="005F2138" w:rsidRDefault="007B2306" w:rsidP="00990CE8">
      <w:pPr>
        <w:pStyle w:val="Akapitzlist"/>
        <w:numPr>
          <w:ilvl w:val="0"/>
          <w:numId w:val="91"/>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informatyczne</w:t>
      </w:r>
    </w:p>
    <w:p w14:paraId="2A848E87"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opiekę serwisową posprzedażową (</w:t>
      </w:r>
      <w:proofErr w:type="spellStart"/>
      <w:r w:rsidRPr="005F2138">
        <w:rPr>
          <w:rStyle w:val="normaltextrun"/>
          <w:rFonts w:ascii="Lato" w:eastAsiaTheme="majorEastAsia" w:hAnsi="Lato" w:cstheme="majorBidi"/>
          <w:kern w:val="32"/>
          <w:szCs w:val="26"/>
        </w:rPr>
        <w:t>maintenance</w:t>
      </w:r>
      <w:proofErr w:type="spellEnd"/>
      <w:r w:rsidRPr="005F2138">
        <w:rPr>
          <w:rStyle w:val="normaltextrun"/>
          <w:rFonts w:ascii="Lato" w:eastAsiaTheme="majorEastAsia" w:hAnsi="Lato" w:cstheme="majorBidi"/>
          <w:kern w:val="32"/>
          <w:szCs w:val="26"/>
        </w:rPr>
        <w:t>) oprogramowania,</w:t>
      </w:r>
    </w:p>
    <w:p w14:paraId="3A5C960D"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programistyczne,</w:t>
      </w:r>
    </w:p>
    <w:p w14:paraId="0CF555BB"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opiekę serwisową posprzedażową (</w:t>
      </w:r>
      <w:proofErr w:type="spellStart"/>
      <w:r w:rsidRPr="005F2138">
        <w:rPr>
          <w:rStyle w:val="normaltextrun"/>
          <w:rFonts w:ascii="Lato" w:eastAsiaTheme="majorEastAsia" w:hAnsi="Lato" w:cstheme="majorBidi"/>
          <w:kern w:val="32"/>
          <w:szCs w:val="26"/>
        </w:rPr>
        <w:t>maintenance</w:t>
      </w:r>
      <w:proofErr w:type="spellEnd"/>
      <w:r w:rsidRPr="005F2138">
        <w:rPr>
          <w:rStyle w:val="normaltextrun"/>
          <w:rFonts w:ascii="Lato" w:eastAsiaTheme="majorEastAsia" w:hAnsi="Lato" w:cstheme="majorBidi"/>
          <w:kern w:val="32"/>
          <w:szCs w:val="26"/>
        </w:rPr>
        <w:t>) sprzętu informatycznego (konserwacja),</w:t>
      </w:r>
    </w:p>
    <w:p w14:paraId="3AE694B7"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opiekę serwisową posprzedażową (</w:t>
      </w:r>
      <w:proofErr w:type="spellStart"/>
      <w:r w:rsidRPr="005F2138">
        <w:rPr>
          <w:rStyle w:val="normaltextrun"/>
          <w:rFonts w:ascii="Lato" w:eastAsiaTheme="majorEastAsia" w:hAnsi="Lato" w:cstheme="majorBidi"/>
          <w:kern w:val="32"/>
          <w:szCs w:val="26"/>
        </w:rPr>
        <w:t>maintenance</w:t>
      </w:r>
      <w:proofErr w:type="spellEnd"/>
      <w:r w:rsidRPr="005F2138">
        <w:rPr>
          <w:rStyle w:val="normaltextrun"/>
          <w:rFonts w:ascii="Lato" w:eastAsiaTheme="majorEastAsia" w:hAnsi="Lato" w:cstheme="majorBidi"/>
          <w:kern w:val="32"/>
          <w:szCs w:val="26"/>
        </w:rPr>
        <w:t>) sprzętu do digitalizacji,</w:t>
      </w:r>
    </w:p>
    <w:p w14:paraId="3AE409A5" w14:textId="67E93A85"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na obsługę i serwis najmowanego w ramach </w:t>
      </w:r>
      <w:r w:rsidR="00641A61" w:rsidRPr="005F2138">
        <w:rPr>
          <w:rStyle w:val="normaltextrun"/>
          <w:rFonts w:ascii="Lato" w:eastAsiaTheme="majorEastAsia" w:hAnsi="Lato" w:cstheme="majorBidi"/>
          <w:kern w:val="32"/>
          <w:szCs w:val="26"/>
        </w:rPr>
        <w:t>przedsięwzięcia</w:t>
      </w:r>
      <w:r w:rsidR="00641A61" w:rsidRPr="005F2138" w:rsidDel="00641A61">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sprzętu informatycznego,</w:t>
      </w:r>
    </w:p>
    <w:p w14:paraId="5952DEA0" w14:textId="45200215"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utrzymania domen (platform) i</w:t>
      </w:r>
      <w:r w:rsidR="000602EC"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portali,</w:t>
      </w:r>
    </w:p>
    <w:p w14:paraId="5B33783D"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pokrycie kosztów usług: zapewnienia dostępu do sieci Internet, hostingu, kolokacji i innych,</w:t>
      </w:r>
    </w:p>
    <w:p w14:paraId="6098AD60"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zakup usług przetwarzania w chmurze obliczeniowej typu IaaS, SaaS, PaaS,</w:t>
      </w:r>
    </w:p>
    <w:p w14:paraId="5C402752" w14:textId="77777777" w:rsidR="007B2306" w:rsidRPr="005F2138" w:rsidRDefault="007B2306" w:rsidP="00990CE8">
      <w:pPr>
        <w:pStyle w:val="Akapitzlist"/>
        <w:numPr>
          <w:ilvl w:val="2"/>
          <w:numId w:val="93"/>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digitalizacja rejestrów i poprawa jakości danych, w tym czyszczenie danych oraz digitalizacja danych dostępnych w innych formach niż forma cyfrowa,</w:t>
      </w:r>
    </w:p>
    <w:p w14:paraId="243160C3" w14:textId="6A1EED1C" w:rsidR="007B2306" w:rsidRPr="005F2138" w:rsidRDefault="007B2306" w:rsidP="00990CE8">
      <w:pPr>
        <w:pStyle w:val="Akapitzlist"/>
        <w:numPr>
          <w:ilvl w:val="2"/>
          <w:numId w:val="93"/>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na usługi audytu zewnętrznego w zakresie sprzętu lub oprogramowania oraz audyty dostępności treści pod k</w:t>
      </w:r>
      <w:r w:rsidR="000066FA" w:rsidRPr="005F2138">
        <w:rPr>
          <w:rStyle w:val="normaltextrun"/>
          <w:rFonts w:ascii="Lato" w:eastAsiaTheme="majorEastAsia" w:hAnsi="Lato" w:cstheme="majorBidi"/>
          <w:kern w:val="32"/>
          <w:szCs w:val="26"/>
        </w:rPr>
        <w:t>ą</w:t>
      </w:r>
      <w:r w:rsidRPr="005F2138">
        <w:rPr>
          <w:rStyle w:val="normaltextrun"/>
          <w:rFonts w:ascii="Lato" w:eastAsiaTheme="majorEastAsia" w:hAnsi="Lato" w:cstheme="majorBidi"/>
          <w:kern w:val="32"/>
          <w:szCs w:val="26"/>
        </w:rPr>
        <w:t>tem zgodności z aktualnym standardem WCAG.</w:t>
      </w:r>
    </w:p>
    <w:p w14:paraId="1559E8DE" w14:textId="4CBBCC29" w:rsidR="007B2306" w:rsidRPr="005F2138" w:rsidRDefault="007B2306" w:rsidP="00990CE8">
      <w:pPr>
        <w:pStyle w:val="Akapitzlist"/>
        <w:numPr>
          <w:ilvl w:val="0"/>
          <w:numId w:val="91"/>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Usługi wspomagające realizację </w:t>
      </w:r>
      <w:r w:rsidR="00641A61" w:rsidRPr="005F2138">
        <w:rPr>
          <w:rStyle w:val="normaltextrun"/>
          <w:rFonts w:ascii="Lato" w:eastAsiaTheme="majorEastAsia" w:hAnsi="Lato" w:cstheme="majorBidi"/>
          <w:kern w:val="32"/>
          <w:szCs w:val="26"/>
        </w:rPr>
        <w:t>przedsięwzięcia</w:t>
      </w:r>
    </w:p>
    <w:p w14:paraId="35473FD3" w14:textId="5B942EF6"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usługi doradcze w trakcie realizacji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xml:space="preserve">, w tym zapewnienie wsparcia technicznego, </w:t>
      </w:r>
    </w:p>
    <w:p w14:paraId="03E3DE71" w14:textId="00D77D15"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ekspertyzy prawne, badania i analizy techniczne, finansowe, ekonomiczne oraz w zakresie wdrażania krajowych i</w:t>
      </w:r>
      <w:r w:rsidR="000602EC"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międzynarodowych standardów,</w:t>
      </w:r>
    </w:p>
    <w:p w14:paraId="1CA1797E" w14:textId="0B68F8C3" w:rsidR="007430D7" w:rsidRPr="005F2138" w:rsidRDefault="007430D7"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wynagrodzenie rzeczoznawcy związane  ze sporządzeniem operatu szacunkowego, jeżeli operat jest niezbędny do prawidłowej realizacji przedsięwzięcia,</w:t>
      </w:r>
    </w:p>
    <w:p w14:paraId="57D93B6A" w14:textId="77777777"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zarządcze,</w:t>
      </w:r>
    </w:p>
    <w:p w14:paraId="43C92B59" w14:textId="77777777"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tłumaczenia,</w:t>
      </w:r>
    </w:p>
    <w:p w14:paraId="282F4AC1" w14:textId="77777777"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usługi audytu zewnętrznego , </w:t>
      </w:r>
    </w:p>
    <w:p w14:paraId="69EC7266" w14:textId="43839B3A"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usługi ubezpieczenia, w tym sprzętu zakupionego lub zmodernizowanego w ramach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xml:space="preserve">, który ma wpływ na zapewnienie trwałości produktów </w:t>
      </w:r>
      <w:r w:rsidR="00641A61"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xml:space="preserve">, przy czym ubezpieczenie nie może wykraczać poza okres trwałości </w:t>
      </w:r>
      <w:r w:rsidR="00641A61" w:rsidRPr="005F2138">
        <w:rPr>
          <w:rStyle w:val="normaltextrun"/>
          <w:rFonts w:ascii="Lato" w:eastAsiaTheme="majorEastAsia" w:hAnsi="Lato" w:cstheme="majorBidi"/>
          <w:kern w:val="32"/>
          <w:szCs w:val="26"/>
        </w:rPr>
        <w:t>przedsięwzięcia</w:t>
      </w:r>
      <w:r w:rsidR="00583C5C" w:rsidRPr="005F2138">
        <w:rPr>
          <w:rStyle w:val="normaltextrun"/>
          <w:rFonts w:ascii="Lato" w:eastAsiaTheme="majorEastAsia" w:hAnsi="Lato" w:cstheme="majorBidi"/>
          <w:kern w:val="32"/>
          <w:szCs w:val="26"/>
        </w:rPr>
        <w:t xml:space="preserve"> określony w Rozdziale 3.8 Wytycznych</w:t>
      </w:r>
      <w:r w:rsidRPr="005F2138">
        <w:rPr>
          <w:rStyle w:val="normaltextrun"/>
          <w:rFonts w:ascii="Lato" w:eastAsiaTheme="majorEastAsia" w:hAnsi="Lato" w:cstheme="majorBidi"/>
          <w:kern w:val="32"/>
          <w:szCs w:val="26"/>
        </w:rPr>
        <w:t>,</w:t>
      </w:r>
    </w:p>
    <w:p w14:paraId="6B5132B4" w14:textId="77777777"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usługi ubezpieczenia kosztów odtworzenia danych i oprogramowania oraz wymiennych nośników danych, </w:t>
      </w:r>
    </w:p>
    <w:p w14:paraId="25131F66" w14:textId="7976E983" w:rsidR="007B2306" w:rsidRPr="005F2138" w:rsidRDefault="00C13834" w:rsidP="00990CE8">
      <w:pPr>
        <w:pStyle w:val="Akapitzlist"/>
        <w:numPr>
          <w:ilvl w:val="0"/>
          <w:numId w:val="94"/>
        </w:numPr>
        <w:spacing w:before="120" w:after="120"/>
        <w:ind w:left="1985" w:hanging="284"/>
        <w:jc w:val="both"/>
        <w:rPr>
          <w:rStyle w:val="normaltextrun"/>
          <w:rFonts w:ascii="Lato" w:eastAsiaTheme="majorEastAsia" w:hAnsi="Lato" w:cstheme="majorBidi"/>
          <w:kern w:val="32"/>
        </w:rPr>
      </w:pPr>
      <w:r w:rsidRPr="005F2138">
        <w:rPr>
          <w:rStyle w:val="normaltextrun"/>
          <w:rFonts w:ascii="Lato" w:eastAsiaTheme="majorEastAsia" w:hAnsi="Lato" w:cstheme="majorBidi"/>
        </w:rPr>
        <w:t>usługi gwarancyjne i</w:t>
      </w:r>
      <w:r w:rsidR="00E842A2" w:rsidRPr="005F2138">
        <w:rPr>
          <w:rStyle w:val="normaltextrun"/>
          <w:rFonts w:ascii="Lato" w:eastAsiaTheme="majorEastAsia" w:hAnsi="Lato" w:cstheme="majorBidi"/>
        </w:rPr>
        <w:t>/lub</w:t>
      </w:r>
      <w:r w:rsidRPr="005F2138">
        <w:rPr>
          <w:rStyle w:val="normaltextrun"/>
          <w:rFonts w:ascii="Lato" w:eastAsiaTheme="majorEastAsia" w:hAnsi="Lato" w:cstheme="majorBidi"/>
        </w:rPr>
        <w:t xml:space="preserve"> usługi serwisowe </w:t>
      </w:r>
      <w:r w:rsidR="007B2306" w:rsidRPr="005F2138">
        <w:rPr>
          <w:rStyle w:val="normaltextrun"/>
          <w:rFonts w:ascii="Lato" w:eastAsiaTheme="majorEastAsia" w:hAnsi="Lato" w:cstheme="majorBidi"/>
          <w:kern w:val="32"/>
        </w:rPr>
        <w:t xml:space="preserve">dotyczące zakupionego w projekcie sprzętu i oprogramowania - okres objęcia gwarancją </w:t>
      </w:r>
      <w:r w:rsidR="00E842A2" w:rsidRPr="005F2138">
        <w:rPr>
          <w:rStyle w:val="normaltextrun"/>
          <w:rFonts w:ascii="Lato" w:eastAsiaTheme="majorEastAsia" w:hAnsi="Lato" w:cstheme="majorBidi"/>
        </w:rPr>
        <w:t xml:space="preserve">i/lub serwisem </w:t>
      </w:r>
      <w:r w:rsidR="007B2306" w:rsidRPr="005F2138">
        <w:rPr>
          <w:rStyle w:val="normaltextrun"/>
          <w:rFonts w:ascii="Lato" w:eastAsiaTheme="majorEastAsia" w:hAnsi="Lato" w:cstheme="majorBidi"/>
          <w:kern w:val="32"/>
        </w:rPr>
        <w:t xml:space="preserve">nie może przekraczać okresu trwałości </w:t>
      </w:r>
      <w:r w:rsidR="00641A61" w:rsidRPr="005F2138">
        <w:rPr>
          <w:rStyle w:val="normaltextrun"/>
          <w:rFonts w:ascii="Lato" w:eastAsiaTheme="majorEastAsia" w:hAnsi="Lato" w:cstheme="majorBidi"/>
          <w:kern w:val="32"/>
        </w:rPr>
        <w:t>przedsięwzięcia</w:t>
      </w:r>
      <w:r w:rsidR="00583C5C" w:rsidRPr="005F2138">
        <w:rPr>
          <w:rStyle w:val="normaltextrun"/>
          <w:rFonts w:ascii="Lato" w:eastAsiaTheme="majorEastAsia" w:hAnsi="Lato" w:cstheme="majorBidi"/>
        </w:rPr>
        <w:t xml:space="preserve"> określonego w </w:t>
      </w:r>
      <w:r w:rsidR="00633FB1" w:rsidRPr="005F2138">
        <w:rPr>
          <w:rStyle w:val="normaltextrun"/>
          <w:rFonts w:ascii="Lato" w:eastAsiaTheme="majorEastAsia" w:hAnsi="Lato" w:cstheme="majorBidi"/>
        </w:rPr>
        <w:t>podr</w:t>
      </w:r>
      <w:r w:rsidR="00583C5C" w:rsidRPr="005F2138">
        <w:rPr>
          <w:rStyle w:val="normaltextrun"/>
          <w:rFonts w:ascii="Lato" w:eastAsiaTheme="majorEastAsia" w:hAnsi="Lato" w:cstheme="majorBidi"/>
        </w:rPr>
        <w:t>ozdziale 3.8 Wytycznych</w:t>
      </w:r>
      <w:r w:rsidR="007B2306" w:rsidRPr="005F2138">
        <w:rPr>
          <w:rStyle w:val="normaltextrun"/>
          <w:rFonts w:ascii="Lato" w:eastAsiaTheme="majorEastAsia" w:hAnsi="Lato" w:cstheme="majorBidi"/>
          <w:kern w:val="32"/>
        </w:rPr>
        <w:t xml:space="preserve">, </w:t>
      </w:r>
    </w:p>
    <w:p w14:paraId="69A85735" w14:textId="77777777" w:rsidR="007B2306" w:rsidRPr="005F2138" w:rsidRDefault="007B2306" w:rsidP="00990CE8">
      <w:pPr>
        <w:pStyle w:val="Akapitzlist"/>
        <w:numPr>
          <w:ilvl w:val="0"/>
          <w:numId w:val="94"/>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body leasingu, w szczególności specjalistów IT,</w:t>
      </w:r>
    </w:p>
    <w:p w14:paraId="7A266D35" w14:textId="4AA01ECE" w:rsidR="007B2306" w:rsidRPr="005F2138" w:rsidRDefault="007B2306" w:rsidP="00990CE8">
      <w:pPr>
        <w:pStyle w:val="Akapitzlist"/>
        <w:numPr>
          <w:ilvl w:val="0"/>
          <w:numId w:val="94"/>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dostawa sprzętu wymienionego w </w:t>
      </w:r>
      <w:r w:rsidR="00492B74" w:rsidRPr="005F2138">
        <w:rPr>
          <w:rStyle w:val="normaltextrun"/>
          <w:rFonts w:ascii="Lato" w:eastAsiaTheme="majorEastAsia" w:hAnsi="Lato" w:cstheme="majorBidi"/>
          <w:kern w:val="32"/>
          <w:szCs w:val="26"/>
        </w:rPr>
        <w:t xml:space="preserve">ust. 8, </w:t>
      </w:r>
      <w:r w:rsidR="000602EC" w:rsidRPr="005F2138">
        <w:rPr>
          <w:rStyle w:val="normaltextrun"/>
          <w:rFonts w:ascii="Lato" w:eastAsiaTheme="majorEastAsia" w:hAnsi="Lato" w:cstheme="majorBidi"/>
          <w:kern w:val="32"/>
          <w:szCs w:val="26"/>
        </w:rPr>
        <w:t>pkt</w:t>
      </w:r>
      <w:r w:rsidRPr="005F2138">
        <w:rPr>
          <w:rStyle w:val="normaltextrun"/>
          <w:rFonts w:ascii="Lato" w:eastAsiaTheme="majorEastAsia" w:hAnsi="Lato" w:cstheme="majorBidi"/>
          <w:kern w:val="32"/>
          <w:szCs w:val="26"/>
        </w:rPr>
        <w:t xml:space="preserve"> </w:t>
      </w:r>
      <w:r w:rsidR="000602EC" w:rsidRPr="005F2138">
        <w:rPr>
          <w:rStyle w:val="normaltextrun"/>
          <w:rFonts w:ascii="Lato" w:eastAsiaTheme="majorEastAsia" w:hAnsi="Lato" w:cstheme="majorBidi"/>
          <w:kern w:val="32"/>
          <w:szCs w:val="26"/>
        </w:rPr>
        <w:t>8.</w:t>
      </w:r>
      <w:r w:rsidRPr="005F2138">
        <w:rPr>
          <w:rStyle w:val="normaltextrun"/>
          <w:rFonts w:ascii="Lato" w:eastAsiaTheme="majorEastAsia" w:hAnsi="Lato" w:cstheme="majorBidi"/>
          <w:kern w:val="32"/>
          <w:szCs w:val="26"/>
        </w:rPr>
        <w:t xml:space="preserve">1 lit b i c. </w:t>
      </w:r>
    </w:p>
    <w:p w14:paraId="2763B968" w14:textId="77777777" w:rsidR="007B2306" w:rsidRPr="005F2138" w:rsidRDefault="007B2306" w:rsidP="00990CE8">
      <w:pPr>
        <w:pStyle w:val="Akapitzlist"/>
        <w:numPr>
          <w:ilvl w:val="0"/>
          <w:numId w:val="91"/>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Usługi dotyczące digitalizacji zasobów (w tym przygotowania do digitalizacji)</w:t>
      </w:r>
    </w:p>
    <w:p w14:paraId="37CC9D34" w14:textId="77777777" w:rsidR="007B2306" w:rsidRPr="005F2138" w:rsidRDefault="007B2306" w:rsidP="00990CE8">
      <w:pPr>
        <w:pStyle w:val="Akapitzlist"/>
        <w:numPr>
          <w:ilvl w:val="0"/>
          <w:numId w:val="95"/>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związane z digitalizacją obiektów (tworzenie, obróbka materiałów cyfrowych i weryfikacja jakości), </w:t>
      </w:r>
    </w:p>
    <w:p w14:paraId="3FB7A63D" w14:textId="77777777" w:rsidR="007B2306" w:rsidRPr="005F2138" w:rsidRDefault="007B2306" w:rsidP="00990CE8">
      <w:pPr>
        <w:pStyle w:val="Akapitzlist"/>
        <w:numPr>
          <w:ilvl w:val="0"/>
          <w:numId w:val="95"/>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zadania w zakresie selekcji i przygotowania obiektów i materiałów do digitalizacji, w tym np. wybór, przygotowanie, zabezpieczenie konserwatorskie obiektów i materiałów, wykonanie </w:t>
      </w:r>
      <w:proofErr w:type="spellStart"/>
      <w:r w:rsidRPr="005F2138">
        <w:rPr>
          <w:rStyle w:val="normaltextrun"/>
          <w:rFonts w:ascii="Lato" w:eastAsiaTheme="majorEastAsia" w:hAnsi="Lato" w:cstheme="majorBidi"/>
          <w:kern w:val="32"/>
          <w:szCs w:val="26"/>
        </w:rPr>
        <w:t>odwzorowań</w:t>
      </w:r>
      <w:proofErr w:type="spellEnd"/>
      <w:r w:rsidRPr="005F2138">
        <w:rPr>
          <w:rStyle w:val="normaltextrun"/>
          <w:rFonts w:ascii="Lato" w:eastAsiaTheme="majorEastAsia" w:hAnsi="Lato" w:cstheme="majorBidi"/>
          <w:kern w:val="32"/>
          <w:szCs w:val="26"/>
        </w:rPr>
        <w:t>, transport obiektów do pracowni digitalizacyjnej, wydatki poniesione na pokrycie kosztów wyjazdów terenowych, opracowanie merytoryczne materiałów, itp.</w:t>
      </w:r>
    </w:p>
    <w:p w14:paraId="03713D8B" w14:textId="77777777" w:rsidR="007B2306" w:rsidRPr="005F2138" w:rsidRDefault="007B2306" w:rsidP="00990CE8">
      <w:pPr>
        <w:pStyle w:val="Akapitzlist"/>
        <w:numPr>
          <w:ilvl w:val="0"/>
          <w:numId w:val="95"/>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związane z tworzeniem, wprowadzeniem do baz danych informacji o zasobach (opracowanie metadanych obiektów), </w:t>
      </w:r>
      <w:r w:rsidRPr="005F2138">
        <w:rPr>
          <w:rStyle w:val="normaltextrun"/>
          <w:rFonts w:ascii="Lato" w:eastAsiaTheme="majorEastAsia" w:hAnsi="Lato" w:cstheme="majorBidi"/>
          <w:kern w:val="32"/>
          <w:szCs w:val="26"/>
        </w:rPr>
        <w:lastRenderedPageBreak/>
        <w:t>strukturyzacja języka opisu, tłumaczenia słowników oraz weryfikacja jakości,</w:t>
      </w:r>
    </w:p>
    <w:p w14:paraId="3FCF63FA" w14:textId="34EDC1A8" w:rsidR="007B2306" w:rsidRPr="005F2138" w:rsidRDefault="007B2306" w:rsidP="00990CE8">
      <w:pPr>
        <w:pStyle w:val="Akapitzlist"/>
        <w:numPr>
          <w:ilvl w:val="0"/>
          <w:numId w:val="95"/>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digitalizacja rejestrów i poprawa jakości danych, w tym czyszczenie danych oraz digitalizacja danych dostępnych w innych formach niż forma cyfrowa.</w:t>
      </w:r>
    </w:p>
    <w:p w14:paraId="123B4078" w14:textId="77777777" w:rsidR="007B2306" w:rsidRPr="005F2138" w:rsidRDefault="007B2306" w:rsidP="00990CE8">
      <w:pPr>
        <w:pStyle w:val="Akapitzlist"/>
        <w:numPr>
          <w:ilvl w:val="0"/>
          <w:numId w:val="91"/>
        </w:numPr>
        <w:spacing w:before="120" w:after="120"/>
        <w:ind w:left="1134" w:hanging="283"/>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Pozostałe wydatki związane z digitalizacją </w:t>
      </w:r>
    </w:p>
    <w:p w14:paraId="0624FC7C" w14:textId="77777777" w:rsidR="007B2306" w:rsidRPr="005F2138" w:rsidRDefault="007B2306" w:rsidP="00990CE8">
      <w:pPr>
        <w:pStyle w:val="Akapitzlist"/>
        <w:numPr>
          <w:ilvl w:val="0"/>
          <w:numId w:val="96"/>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rzeczowe aktywa niestanowiące środków trwałych, w tym wydatki na zakup materiałów niezbędnych do digitalizacji zasobów, </w:t>
      </w:r>
    </w:p>
    <w:p w14:paraId="53F6E010" w14:textId="77777777" w:rsidR="007B2306" w:rsidRPr="005F2138" w:rsidRDefault="007B2306" w:rsidP="00990CE8">
      <w:pPr>
        <w:pStyle w:val="Akapitzlist"/>
        <w:numPr>
          <w:ilvl w:val="0"/>
          <w:numId w:val="96"/>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związane z transportem obiektów do digitalizacji do pracowni digitalizacyjnej realizowanym własnymi środkami transportu, </w:t>
      </w:r>
    </w:p>
    <w:p w14:paraId="01DE0B40" w14:textId="0E36EADB" w:rsidR="007B2306" w:rsidRPr="005F2138" w:rsidRDefault="007B2306" w:rsidP="00990CE8">
      <w:pPr>
        <w:pStyle w:val="Akapitzlist"/>
        <w:numPr>
          <w:ilvl w:val="0"/>
          <w:numId w:val="96"/>
        </w:numPr>
        <w:spacing w:before="120" w:after="120"/>
        <w:ind w:left="1985" w:hanging="284"/>
        <w:contextualSpacing w:val="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koszty delegacji związanych z wyjazdami terenowymi dotyczącymi przeprowadzenia procesu digitalizacji (z wyłączeniem spotkań związanych z zarządzaniem </w:t>
      </w:r>
      <w:r w:rsidR="00162B19" w:rsidRPr="005F2138">
        <w:rPr>
          <w:rStyle w:val="normaltextrun"/>
          <w:rFonts w:ascii="Lato" w:eastAsiaTheme="majorEastAsia" w:hAnsi="Lato" w:cstheme="majorBidi"/>
          <w:kern w:val="32"/>
          <w:szCs w:val="26"/>
        </w:rPr>
        <w:t>przedsięwzięciem</w:t>
      </w:r>
      <w:r w:rsidRPr="005F2138">
        <w:rPr>
          <w:rStyle w:val="normaltextrun"/>
          <w:rFonts w:ascii="Lato" w:eastAsiaTheme="majorEastAsia" w:hAnsi="Lato" w:cstheme="majorBidi"/>
          <w:kern w:val="32"/>
          <w:szCs w:val="26"/>
        </w:rPr>
        <w:t xml:space="preserve">). </w:t>
      </w:r>
    </w:p>
    <w:p w14:paraId="72D30CB5" w14:textId="405F9EBE" w:rsidR="00B261CC" w:rsidRPr="005F2138" w:rsidRDefault="1712C94C" w:rsidP="00990CE8">
      <w:pPr>
        <w:pStyle w:val="Akapitzlist"/>
        <w:numPr>
          <w:ilvl w:val="1"/>
          <w:numId w:val="90"/>
        </w:numPr>
        <w:spacing w:before="120" w:after="120"/>
        <w:ind w:left="851" w:hanging="425"/>
        <w:jc w:val="both"/>
        <w:rPr>
          <w:rFonts w:ascii="Lato" w:hAnsi="Lato" w:cs="Arial"/>
        </w:rPr>
      </w:pPr>
      <w:r w:rsidRPr="005F2138">
        <w:rPr>
          <w:rStyle w:val="normaltextrun"/>
          <w:rFonts w:ascii="Lato" w:eastAsiaTheme="majorEastAsia" w:hAnsi="Lato" w:cstheme="majorBidi"/>
          <w:kern w:val="32"/>
        </w:rPr>
        <w:t xml:space="preserve">Wynagrodzenia </w:t>
      </w:r>
      <w:r w:rsidR="13541266" w:rsidRPr="005F2138">
        <w:rPr>
          <w:rStyle w:val="normaltextrun"/>
          <w:rFonts w:ascii="Lato" w:eastAsiaTheme="majorEastAsia" w:hAnsi="Lato" w:cstheme="majorBidi"/>
          <w:kern w:val="32"/>
        </w:rPr>
        <w:t>na po</w:t>
      </w:r>
      <w:r w:rsidR="00633FB1" w:rsidRPr="005F2138">
        <w:rPr>
          <w:rStyle w:val="normaltextrun"/>
          <w:rFonts w:ascii="Lato" w:eastAsiaTheme="majorEastAsia" w:hAnsi="Lato" w:cstheme="majorBidi"/>
          <w:kern w:val="32"/>
        </w:rPr>
        <w:t>d</w:t>
      </w:r>
      <w:r w:rsidR="13541266" w:rsidRPr="005F2138">
        <w:rPr>
          <w:rStyle w:val="normaltextrun"/>
          <w:rFonts w:ascii="Lato" w:eastAsiaTheme="majorEastAsia" w:hAnsi="Lato" w:cstheme="majorBidi"/>
          <w:kern w:val="32"/>
        </w:rPr>
        <w:t>stawie umów cywilnoprawnych, w tym wynagrodzenie osób fizycznyc</w:t>
      </w:r>
      <w:r w:rsidR="34CD3F4C" w:rsidRPr="005F2138">
        <w:rPr>
          <w:rStyle w:val="normaltextrun"/>
          <w:rFonts w:ascii="Lato" w:eastAsiaTheme="majorEastAsia" w:hAnsi="Lato" w:cstheme="majorBidi"/>
          <w:kern w:val="32"/>
        </w:rPr>
        <w:t>h</w:t>
      </w:r>
      <w:r w:rsidRPr="005F2138">
        <w:rPr>
          <w:rStyle w:val="normaltextrun"/>
          <w:rFonts w:ascii="Lato" w:eastAsiaTheme="majorEastAsia" w:hAnsi="Lato" w:cstheme="majorBidi"/>
          <w:kern w:val="32"/>
        </w:rPr>
        <w:t xml:space="preserve"> </w:t>
      </w:r>
      <w:r w:rsidR="50A75283" w:rsidRPr="005F2138">
        <w:rPr>
          <w:rStyle w:val="normaltextrun"/>
          <w:rFonts w:ascii="Lato" w:eastAsiaTheme="majorEastAsia" w:hAnsi="Lato" w:cstheme="majorBidi"/>
          <w:kern w:val="32"/>
        </w:rPr>
        <w:t>świadczących usługi</w:t>
      </w:r>
      <w:r w:rsidRPr="005F2138">
        <w:rPr>
          <w:rStyle w:val="normaltextrun"/>
          <w:rFonts w:ascii="Lato" w:eastAsiaTheme="majorEastAsia" w:hAnsi="Lato" w:cstheme="majorBidi"/>
          <w:kern w:val="32"/>
        </w:rPr>
        <w:t xml:space="preserve"> bezpośrednio związane z głównymi celami i produktami </w:t>
      </w:r>
      <w:r w:rsidR="5F7723A0" w:rsidRPr="005F2138">
        <w:rPr>
          <w:rStyle w:val="normaltextrun"/>
          <w:rFonts w:ascii="Lato" w:eastAsiaTheme="majorEastAsia" w:hAnsi="Lato" w:cstheme="majorBidi"/>
          <w:kern w:val="32"/>
        </w:rPr>
        <w:t>przedsięwzięcia</w:t>
      </w:r>
      <w:r w:rsidRPr="005F2138">
        <w:rPr>
          <w:rStyle w:val="normaltextrun"/>
          <w:rFonts w:ascii="Lato" w:eastAsiaTheme="majorEastAsia" w:hAnsi="Lato" w:cstheme="majorBidi"/>
          <w:kern w:val="32"/>
        </w:rPr>
        <w:t>.</w:t>
      </w:r>
      <w:r w:rsidR="005C4271" w:rsidRPr="005F2138">
        <w:rPr>
          <w:rStyle w:val="normaltextrun"/>
          <w:rFonts w:ascii="Lato" w:eastAsiaTheme="majorEastAsia" w:hAnsi="Lato" w:cstheme="majorBidi"/>
          <w:kern w:val="32"/>
        </w:rPr>
        <w:t xml:space="preserve"> </w:t>
      </w:r>
      <w:r w:rsidRPr="005F2138">
        <w:rPr>
          <w:rFonts w:ascii="Lato" w:hAnsi="Lato" w:cs="Arial"/>
        </w:rPr>
        <w:t xml:space="preserve">W ramach tej kategorii uwzględnia się także koszty wynagrodzeń koordynatora/kierownika </w:t>
      </w:r>
      <w:r w:rsidR="5F7723A0" w:rsidRPr="005F2138">
        <w:rPr>
          <w:rStyle w:val="normaltextrun"/>
          <w:rFonts w:ascii="Lato" w:eastAsiaTheme="majorEastAsia" w:hAnsi="Lato" w:cstheme="majorBidi"/>
          <w:kern w:val="32"/>
        </w:rPr>
        <w:t>przedsięwzięcia</w:t>
      </w:r>
      <w:r w:rsidR="5F7723A0" w:rsidRPr="005F2138" w:rsidDel="00162B19">
        <w:rPr>
          <w:rFonts w:ascii="Lato" w:hAnsi="Lato" w:cs="Arial"/>
        </w:rPr>
        <w:t xml:space="preserve"> </w:t>
      </w:r>
      <w:r w:rsidRPr="005F2138">
        <w:rPr>
          <w:rFonts w:ascii="Lato" w:hAnsi="Lato" w:cs="Arial"/>
        </w:rPr>
        <w:t>oraz koordynatorów/kierowników</w:t>
      </w:r>
      <w:r w:rsidR="3DEE7DBD" w:rsidRPr="005F2138">
        <w:rPr>
          <w:rFonts w:ascii="Lato" w:hAnsi="Lato" w:cs="Arial"/>
        </w:rPr>
        <w:t xml:space="preserve"> </w:t>
      </w:r>
      <w:r w:rsidRPr="005F2138">
        <w:rPr>
          <w:rFonts w:ascii="Lato" w:hAnsi="Lato" w:cs="Arial"/>
        </w:rPr>
        <w:t>zespołów wraz z ich asystentami</w:t>
      </w:r>
      <w:r w:rsidR="57AB1493" w:rsidRPr="005F2138">
        <w:rPr>
          <w:rFonts w:ascii="Lato" w:hAnsi="Lato" w:cs="Arial"/>
        </w:rPr>
        <w:t xml:space="preserve">, którzy realizują zadania na podstawie umów cywilnoprawnych. </w:t>
      </w:r>
    </w:p>
    <w:p w14:paraId="1625D57D" w14:textId="19128972" w:rsidR="00686524" w:rsidRPr="005F2138" w:rsidRDefault="007B2306" w:rsidP="00990CE8">
      <w:pPr>
        <w:pStyle w:val="Akapitzlist"/>
        <w:numPr>
          <w:ilvl w:val="1"/>
          <w:numId w:val="90"/>
        </w:numPr>
        <w:spacing w:before="120" w:after="120"/>
        <w:ind w:left="851" w:hanging="425"/>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Szkolenia</w:t>
      </w:r>
      <w:bookmarkStart w:id="21" w:name="_Hlk129591174"/>
      <w:r w:rsidR="000F420A" w:rsidRPr="005F2138">
        <w:rPr>
          <w:rStyle w:val="normaltextrun"/>
          <w:rFonts w:ascii="Lato" w:eastAsiaTheme="majorEastAsia" w:hAnsi="Lato" w:cstheme="majorBidi"/>
          <w:kern w:val="32"/>
          <w:szCs w:val="26"/>
        </w:rPr>
        <w:t>, seminaria i warsztaty dla użytkowników korzystających z</w:t>
      </w:r>
      <w:r w:rsidR="00456834" w:rsidRPr="005F2138">
        <w:rPr>
          <w:rStyle w:val="normaltextrun"/>
          <w:rFonts w:ascii="Lato" w:eastAsiaTheme="majorEastAsia" w:hAnsi="Lato" w:cstheme="majorBidi"/>
          <w:kern w:val="32"/>
          <w:szCs w:val="26"/>
        </w:rPr>
        <w:t> </w:t>
      </w:r>
      <w:r w:rsidR="000F420A" w:rsidRPr="005F2138">
        <w:rPr>
          <w:rStyle w:val="normaltextrun"/>
          <w:rFonts w:ascii="Lato" w:eastAsiaTheme="majorEastAsia" w:hAnsi="Lato" w:cstheme="majorBidi"/>
          <w:kern w:val="32"/>
          <w:szCs w:val="26"/>
        </w:rPr>
        <w:t>produktów przedsięwzięcia, w tym e-learning</w:t>
      </w:r>
      <w:r w:rsidRPr="005F2138">
        <w:rPr>
          <w:rStyle w:val="normaltextrun"/>
          <w:rFonts w:ascii="Lato" w:eastAsiaTheme="majorEastAsia" w:hAnsi="Lato" w:cstheme="majorBidi"/>
          <w:kern w:val="32"/>
          <w:szCs w:val="26"/>
        </w:rPr>
        <w:t xml:space="preserve">. </w:t>
      </w:r>
      <w:bookmarkEnd w:id="21"/>
    </w:p>
    <w:p w14:paraId="2D9107C9" w14:textId="41FFC8A1" w:rsidR="00362786" w:rsidRPr="00990CE8" w:rsidRDefault="00431140" w:rsidP="00990CE8">
      <w:pPr>
        <w:pStyle w:val="Nagwek2"/>
        <w:numPr>
          <w:ilvl w:val="1"/>
          <w:numId w:val="75"/>
        </w:numPr>
        <w:spacing w:before="120" w:after="120"/>
        <w:rPr>
          <w:rFonts w:ascii="Lato" w:hAnsi="Lato"/>
        </w:rPr>
      </w:pPr>
      <w:bookmarkStart w:id="22" w:name="_Toc158964359"/>
      <w:bookmarkStart w:id="23" w:name="_Toc163808267"/>
      <w:bookmarkStart w:id="24" w:name="_Toc163817671"/>
      <w:bookmarkStart w:id="25" w:name="_Toc158964360"/>
      <w:bookmarkStart w:id="26" w:name="_Toc163808268"/>
      <w:bookmarkStart w:id="27" w:name="_Toc163817672"/>
      <w:bookmarkStart w:id="28" w:name="_Toc158964361"/>
      <w:bookmarkStart w:id="29" w:name="_Toc163808269"/>
      <w:bookmarkStart w:id="30" w:name="_Toc163817673"/>
      <w:bookmarkStart w:id="31" w:name="_Toc158964362"/>
      <w:bookmarkStart w:id="32" w:name="_Toc163808270"/>
      <w:bookmarkStart w:id="33" w:name="_Toc163817674"/>
      <w:bookmarkStart w:id="34" w:name="_Toc158964363"/>
      <w:bookmarkStart w:id="35" w:name="_Toc163808271"/>
      <w:bookmarkStart w:id="36" w:name="_Toc163817675"/>
      <w:bookmarkStart w:id="37" w:name="_Toc18169937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90CE8">
        <w:rPr>
          <w:rFonts w:ascii="Lato" w:hAnsi="Lato"/>
        </w:rPr>
        <w:t xml:space="preserve">Wydatki w zakresie </w:t>
      </w:r>
      <w:bookmarkStart w:id="38" w:name="_Hlk181010223"/>
      <w:r w:rsidR="0028282D" w:rsidRPr="00990CE8">
        <w:rPr>
          <w:rFonts w:ascii="Lato" w:hAnsi="Lato"/>
        </w:rPr>
        <w:t>nieruchomości</w:t>
      </w:r>
      <w:bookmarkEnd w:id="37"/>
      <w:r w:rsidR="0028282D" w:rsidRPr="00990CE8">
        <w:rPr>
          <w:rFonts w:ascii="Lato" w:hAnsi="Lato"/>
        </w:rPr>
        <w:t xml:space="preserve"> </w:t>
      </w:r>
      <w:r w:rsidR="004103DD" w:rsidRPr="00990CE8">
        <w:rPr>
          <w:rFonts w:ascii="Lato" w:hAnsi="Lato"/>
        </w:rPr>
        <w:t xml:space="preserve">  </w:t>
      </w:r>
      <w:bookmarkEnd w:id="38"/>
    </w:p>
    <w:p w14:paraId="4D9B4399" w14:textId="279EFFE4" w:rsidR="00B15150" w:rsidRPr="00990CE8" w:rsidRDefault="006F36CA" w:rsidP="00990CE8">
      <w:pPr>
        <w:spacing w:before="120" w:after="120"/>
        <w:rPr>
          <w:rFonts w:ascii="Lato" w:hAnsi="Lato"/>
          <w:b/>
          <w:bCs/>
          <w:i/>
          <w:iCs/>
        </w:rPr>
      </w:pPr>
      <w:r w:rsidRPr="00990CE8">
        <w:rPr>
          <w:rFonts w:ascii="Lato" w:hAnsi="Lato"/>
          <w:b/>
          <w:bCs/>
          <w:i/>
          <w:iCs/>
        </w:rPr>
        <w:t>4.6.1</w:t>
      </w:r>
      <w:r w:rsidR="00EF6A81" w:rsidRPr="00990CE8">
        <w:rPr>
          <w:rFonts w:ascii="Lato" w:hAnsi="Lato"/>
          <w:b/>
          <w:bCs/>
          <w:i/>
          <w:iCs/>
        </w:rPr>
        <w:t>.</w:t>
      </w:r>
      <w:r w:rsidR="00B531C6" w:rsidRPr="00990CE8">
        <w:rPr>
          <w:rFonts w:ascii="Lato" w:hAnsi="Lato"/>
          <w:b/>
          <w:bCs/>
          <w:i/>
          <w:iCs/>
        </w:rPr>
        <w:t xml:space="preserve"> </w:t>
      </w:r>
      <w:r w:rsidR="00155EF3" w:rsidRPr="00990CE8">
        <w:rPr>
          <w:rFonts w:ascii="Lato" w:hAnsi="Lato"/>
          <w:b/>
          <w:bCs/>
          <w:i/>
          <w:iCs/>
        </w:rPr>
        <w:t>Zasady ogóln</w:t>
      </w:r>
      <w:r w:rsidR="00F41ADA" w:rsidRPr="00990CE8">
        <w:rPr>
          <w:rFonts w:ascii="Lato" w:hAnsi="Lato"/>
          <w:b/>
          <w:bCs/>
          <w:i/>
          <w:iCs/>
        </w:rPr>
        <w:t>e</w:t>
      </w:r>
    </w:p>
    <w:p w14:paraId="26AB991C" w14:textId="61E947B1" w:rsidR="00141FD9" w:rsidRPr="00990CE8" w:rsidRDefault="00362786" w:rsidP="00990CE8">
      <w:pPr>
        <w:pStyle w:val="Akapitzlist"/>
        <w:numPr>
          <w:ilvl w:val="0"/>
          <w:numId w:val="126"/>
        </w:numPr>
        <w:spacing w:before="120" w:after="120"/>
        <w:ind w:left="426" w:hanging="426"/>
        <w:jc w:val="both"/>
        <w:rPr>
          <w:rFonts w:ascii="Lato" w:hAnsi="Lato"/>
        </w:rPr>
      </w:pPr>
      <w:r w:rsidRPr="00990CE8">
        <w:rPr>
          <w:rFonts w:ascii="Lato" w:hAnsi="Lato"/>
        </w:rPr>
        <w:t>Wydatki kwalifikowalne mogą stanowić wydatki</w:t>
      </w:r>
      <w:r w:rsidR="00141FD9" w:rsidRPr="00990CE8">
        <w:rPr>
          <w:rFonts w:ascii="Lato" w:hAnsi="Lato"/>
        </w:rPr>
        <w:t>:</w:t>
      </w:r>
    </w:p>
    <w:p w14:paraId="6697F2B2" w14:textId="6305D7D1" w:rsidR="00141FD9" w:rsidRPr="00990CE8" w:rsidRDefault="00141FD9" w:rsidP="00990CE8">
      <w:pPr>
        <w:pStyle w:val="Akapitzlist"/>
        <w:spacing w:before="120" w:after="120"/>
        <w:ind w:left="993" w:hanging="426"/>
        <w:jc w:val="both"/>
        <w:rPr>
          <w:rFonts w:ascii="Lato" w:hAnsi="Lato"/>
        </w:rPr>
      </w:pPr>
      <w:r w:rsidRPr="00990CE8">
        <w:rPr>
          <w:rFonts w:ascii="Lato" w:hAnsi="Lato"/>
        </w:rPr>
        <w:t>1)</w:t>
      </w:r>
      <w:r w:rsidR="00253436">
        <w:rPr>
          <w:rFonts w:ascii="Lato" w:hAnsi="Lato"/>
        </w:rPr>
        <w:tab/>
      </w:r>
      <w:r w:rsidR="00362786" w:rsidRPr="00990CE8">
        <w:rPr>
          <w:rFonts w:ascii="Lato" w:hAnsi="Lato"/>
        </w:rPr>
        <w:t>poniesione na</w:t>
      </w:r>
      <w:r w:rsidR="00EA5CA5" w:rsidRPr="00990CE8">
        <w:rPr>
          <w:rFonts w:ascii="Lato" w:hAnsi="Lato"/>
        </w:rPr>
        <w:t xml:space="preserve"> zakup</w:t>
      </w:r>
      <w:r w:rsidR="00362786" w:rsidRPr="00990CE8">
        <w:rPr>
          <w:rFonts w:ascii="Lato" w:hAnsi="Lato"/>
        </w:rPr>
        <w:t xml:space="preserve"> nieruchomości</w:t>
      </w:r>
      <w:r w:rsidR="00E64B64" w:rsidRPr="00990CE8">
        <w:rPr>
          <w:rFonts w:ascii="Lato" w:hAnsi="Lato"/>
        </w:rPr>
        <w:t>,</w:t>
      </w:r>
      <w:r w:rsidR="00A63C79" w:rsidRPr="00990CE8">
        <w:rPr>
          <w:rFonts w:ascii="Lato" w:hAnsi="Lato"/>
        </w:rPr>
        <w:t xml:space="preserve"> </w:t>
      </w:r>
      <w:r w:rsidR="006F36CA" w:rsidRPr="00990CE8">
        <w:rPr>
          <w:rFonts w:ascii="Lato" w:hAnsi="Lato"/>
        </w:rPr>
        <w:t xml:space="preserve"> </w:t>
      </w:r>
    </w:p>
    <w:p w14:paraId="762B0ABD" w14:textId="723561E3" w:rsidR="00141FD9" w:rsidRPr="00990CE8" w:rsidRDefault="00141FD9" w:rsidP="00990CE8">
      <w:pPr>
        <w:pStyle w:val="Akapitzlist"/>
        <w:spacing w:before="120" w:after="120"/>
        <w:ind w:left="993" w:hanging="426"/>
        <w:jc w:val="both"/>
        <w:rPr>
          <w:rFonts w:ascii="Lato" w:hAnsi="Lato"/>
          <w:highlight w:val="cyan"/>
        </w:rPr>
      </w:pPr>
      <w:r w:rsidRPr="00990CE8">
        <w:rPr>
          <w:rFonts w:ascii="Lato" w:hAnsi="Lato"/>
        </w:rPr>
        <w:t>2)</w:t>
      </w:r>
      <w:r w:rsidR="00253436">
        <w:rPr>
          <w:rFonts w:ascii="Lato" w:hAnsi="Lato"/>
        </w:rPr>
        <w:tab/>
      </w:r>
      <w:r w:rsidRPr="00990CE8">
        <w:rPr>
          <w:rFonts w:ascii="Lato" w:hAnsi="Lato"/>
        </w:rPr>
        <w:t xml:space="preserve">związane z </w:t>
      </w:r>
      <w:r w:rsidR="00E53757" w:rsidRPr="00990CE8">
        <w:rPr>
          <w:rFonts w:ascii="Lato" w:hAnsi="Lato"/>
        </w:rPr>
        <w:t>objęcie</w:t>
      </w:r>
      <w:r w:rsidRPr="00990CE8">
        <w:rPr>
          <w:rFonts w:ascii="Lato" w:hAnsi="Lato"/>
        </w:rPr>
        <w:t>m</w:t>
      </w:r>
      <w:r w:rsidR="00492DEE" w:rsidRPr="00990CE8">
        <w:rPr>
          <w:rFonts w:ascii="Lato" w:hAnsi="Lato"/>
        </w:rPr>
        <w:t xml:space="preserve"> nieruchomości</w:t>
      </w:r>
      <w:r w:rsidR="00C62740" w:rsidRPr="00990CE8">
        <w:rPr>
          <w:rFonts w:ascii="Lato" w:hAnsi="Lato"/>
        </w:rPr>
        <w:t xml:space="preserve"> grunt</w:t>
      </w:r>
      <w:r w:rsidR="00492DEE" w:rsidRPr="00990CE8">
        <w:rPr>
          <w:rFonts w:ascii="Lato" w:hAnsi="Lato"/>
        </w:rPr>
        <w:t>owej</w:t>
      </w:r>
      <w:r w:rsidR="00C62740" w:rsidRPr="00990CE8">
        <w:rPr>
          <w:rFonts w:ascii="Lato" w:hAnsi="Lato"/>
        </w:rPr>
        <w:t xml:space="preserve"> </w:t>
      </w:r>
      <w:r w:rsidR="00155EF3" w:rsidRPr="00990CE8">
        <w:rPr>
          <w:rFonts w:ascii="Lato" w:hAnsi="Lato"/>
        </w:rPr>
        <w:t xml:space="preserve"> w</w:t>
      </w:r>
      <w:r w:rsidR="00EA5CA5" w:rsidRPr="00990CE8">
        <w:rPr>
          <w:rFonts w:ascii="Lato" w:hAnsi="Lato"/>
        </w:rPr>
        <w:t xml:space="preserve"> </w:t>
      </w:r>
      <w:r w:rsidR="00F51980" w:rsidRPr="00990CE8">
        <w:rPr>
          <w:rFonts w:ascii="Lato" w:hAnsi="Lato"/>
        </w:rPr>
        <w:t>użytkowani</w:t>
      </w:r>
      <w:r w:rsidR="00155EF3" w:rsidRPr="00990CE8">
        <w:rPr>
          <w:rFonts w:ascii="Lato" w:hAnsi="Lato"/>
        </w:rPr>
        <w:t xml:space="preserve">e </w:t>
      </w:r>
      <w:r w:rsidR="00EA5CA5" w:rsidRPr="00990CE8">
        <w:rPr>
          <w:rFonts w:ascii="Lato" w:hAnsi="Lato"/>
        </w:rPr>
        <w:t>wieczyste</w:t>
      </w:r>
      <w:r w:rsidRPr="00990CE8">
        <w:rPr>
          <w:rFonts w:ascii="Lato" w:hAnsi="Lato"/>
        </w:rPr>
        <w:t xml:space="preserve"> wraz z</w:t>
      </w:r>
      <w:r w:rsidR="00C62740" w:rsidRPr="00990CE8">
        <w:rPr>
          <w:rFonts w:ascii="Lato" w:hAnsi="Lato"/>
        </w:rPr>
        <w:t xml:space="preserve"> </w:t>
      </w:r>
      <w:r w:rsidR="005B40DF" w:rsidRPr="00990CE8">
        <w:rPr>
          <w:rFonts w:ascii="Lato" w:hAnsi="Lato"/>
        </w:rPr>
        <w:t>równocze</w:t>
      </w:r>
      <w:r w:rsidRPr="00990CE8">
        <w:rPr>
          <w:rFonts w:ascii="Lato" w:hAnsi="Lato"/>
        </w:rPr>
        <w:t>snym nabyciem budynków i innych urządzeń</w:t>
      </w:r>
      <w:r w:rsidR="005B40DF" w:rsidRPr="00990CE8">
        <w:rPr>
          <w:rFonts w:ascii="Lato" w:hAnsi="Lato"/>
        </w:rPr>
        <w:t xml:space="preserve"> </w:t>
      </w:r>
      <w:r w:rsidRPr="00990CE8">
        <w:rPr>
          <w:rFonts w:ascii="Lato" w:hAnsi="Lato"/>
        </w:rPr>
        <w:t xml:space="preserve">położonych na tej </w:t>
      </w:r>
      <w:r w:rsidR="005B40DF" w:rsidRPr="00990CE8">
        <w:rPr>
          <w:rFonts w:ascii="Lato" w:hAnsi="Lato"/>
        </w:rPr>
        <w:t>nieruchomości</w:t>
      </w:r>
      <w:r w:rsidR="00E53757" w:rsidRPr="00990CE8">
        <w:rPr>
          <w:rFonts w:ascii="Lato" w:hAnsi="Lato"/>
        </w:rPr>
        <w:t>,</w:t>
      </w:r>
      <w:r w:rsidR="00F51980" w:rsidRPr="00990CE8">
        <w:rPr>
          <w:rFonts w:ascii="Lato" w:hAnsi="Lato"/>
          <w:highlight w:val="cyan"/>
        </w:rPr>
        <w:t xml:space="preserve"> </w:t>
      </w:r>
      <w:r w:rsidR="003458E2" w:rsidRPr="00990CE8">
        <w:rPr>
          <w:rFonts w:ascii="Lato" w:hAnsi="Lato"/>
          <w:highlight w:val="cyan"/>
        </w:rPr>
        <w:t xml:space="preserve"> </w:t>
      </w:r>
    </w:p>
    <w:p w14:paraId="4FEC6DDC" w14:textId="04F93010" w:rsidR="00033E26" w:rsidRPr="005F2138" w:rsidRDefault="00141FD9" w:rsidP="00990CE8">
      <w:pPr>
        <w:pStyle w:val="Akapitzlist"/>
        <w:spacing w:before="120" w:after="120"/>
        <w:ind w:left="993" w:hanging="426"/>
        <w:jc w:val="both"/>
        <w:rPr>
          <w:rFonts w:ascii="Lato" w:hAnsi="Lato"/>
        </w:rPr>
      </w:pPr>
      <w:r w:rsidRPr="00990CE8">
        <w:rPr>
          <w:rFonts w:ascii="Lato" w:hAnsi="Lato"/>
        </w:rPr>
        <w:lastRenderedPageBreak/>
        <w:t>3)</w:t>
      </w:r>
      <w:r w:rsidR="00253436">
        <w:rPr>
          <w:rFonts w:ascii="Lato" w:hAnsi="Lato"/>
        </w:rPr>
        <w:tab/>
      </w:r>
      <w:r w:rsidR="00EA5CA5" w:rsidRPr="00990CE8">
        <w:rPr>
          <w:rFonts w:ascii="Lato" w:hAnsi="Lato"/>
        </w:rPr>
        <w:t>wynikające z</w:t>
      </w:r>
      <w:r w:rsidR="003458E2" w:rsidRPr="00990CE8">
        <w:rPr>
          <w:rFonts w:ascii="Lato" w:hAnsi="Lato"/>
        </w:rPr>
        <w:t xml:space="preserve"> nawiązanego na podstawie</w:t>
      </w:r>
      <w:r w:rsidR="00EA5CA5" w:rsidRPr="00990CE8">
        <w:rPr>
          <w:rFonts w:ascii="Lato" w:hAnsi="Lato"/>
        </w:rPr>
        <w:t xml:space="preserve"> umowy</w:t>
      </w:r>
      <w:r w:rsidR="003458E2" w:rsidRPr="00990CE8">
        <w:rPr>
          <w:rFonts w:ascii="Lato" w:hAnsi="Lato"/>
        </w:rPr>
        <w:t xml:space="preserve"> stosunku</w:t>
      </w:r>
      <w:r w:rsidR="00EA5CA5" w:rsidRPr="00990CE8">
        <w:rPr>
          <w:rFonts w:ascii="Lato" w:hAnsi="Lato"/>
        </w:rPr>
        <w:t xml:space="preserve"> najmu</w:t>
      </w:r>
      <w:r w:rsidR="003458E2" w:rsidRPr="00990CE8">
        <w:rPr>
          <w:rFonts w:ascii="Lato" w:hAnsi="Lato"/>
        </w:rPr>
        <w:t xml:space="preserve"> lub dzierżawy</w:t>
      </w:r>
      <w:r w:rsidR="00F51980" w:rsidRPr="00990CE8">
        <w:rPr>
          <w:rFonts w:ascii="Lato" w:hAnsi="Lato"/>
        </w:rPr>
        <w:t xml:space="preserve"> nieruchomości, </w:t>
      </w:r>
    </w:p>
    <w:p w14:paraId="183AE80A" w14:textId="66B58D2F" w:rsidR="00B05E9C" w:rsidRPr="00990CE8" w:rsidRDefault="00033E26" w:rsidP="00990CE8">
      <w:pPr>
        <w:pStyle w:val="Akapitzlist"/>
        <w:spacing w:before="120" w:after="120"/>
        <w:ind w:left="426"/>
        <w:contextualSpacing w:val="0"/>
        <w:jc w:val="both"/>
        <w:rPr>
          <w:rFonts w:ascii="Lato" w:hAnsi="Lato"/>
        </w:rPr>
      </w:pPr>
      <w:r w:rsidRPr="005F2138">
        <w:rPr>
          <w:rFonts w:ascii="Lato" w:hAnsi="Lato"/>
        </w:rPr>
        <w:t xml:space="preserve">- </w:t>
      </w:r>
      <w:r w:rsidR="00E64B64" w:rsidRPr="00990CE8">
        <w:rPr>
          <w:rFonts w:ascii="Lato" w:hAnsi="Lato"/>
        </w:rPr>
        <w:t xml:space="preserve">po spełnieniu warunków określonych w niniejszym podrozdziale. </w:t>
      </w:r>
    </w:p>
    <w:p w14:paraId="2467E183" w14:textId="1BB1E94D" w:rsidR="00B8478A" w:rsidRPr="00990CE8" w:rsidRDefault="00B8478A" w:rsidP="00990CE8">
      <w:pPr>
        <w:pStyle w:val="Akapitzlist"/>
        <w:numPr>
          <w:ilvl w:val="0"/>
          <w:numId w:val="126"/>
        </w:numPr>
        <w:spacing w:before="120" w:after="120"/>
        <w:ind w:left="426" w:hanging="426"/>
        <w:contextualSpacing w:val="0"/>
        <w:jc w:val="both"/>
        <w:rPr>
          <w:rFonts w:ascii="Lato" w:hAnsi="Lato"/>
        </w:rPr>
      </w:pPr>
      <w:r w:rsidRPr="00990CE8">
        <w:rPr>
          <w:rFonts w:ascii="Lato" w:hAnsi="Lato"/>
        </w:rPr>
        <w:t>Wydatki określone w ust.1 będą uznane za kwalifikowalne</w:t>
      </w:r>
      <w:r w:rsidR="007C7DE3" w:rsidRPr="00990CE8">
        <w:rPr>
          <w:rFonts w:ascii="Lato" w:hAnsi="Lato"/>
        </w:rPr>
        <w:t>,</w:t>
      </w:r>
      <w:r w:rsidRPr="00990CE8">
        <w:rPr>
          <w:rFonts w:ascii="Lato" w:hAnsi="Lato"/>
        </w:rPr>
        <w:t xml:space="preserve"> jeżeli są bezpośrednio związane z realizacją i</w:t>
      </w:r>
      <w:r w:rsidR="006A47A8" w:rsidRPr="00990CE8">
        <w:rPr>
          <w:rFonts w:ascii="Lato" w:hAnsi="Lato"/>
        </w:rPr>
        <w:t xml:space="preserve"> niezbędne dla</w:t>
      </w:r>
      <w:r w:rsidRPr="00990CE8">
        <w:rPr>
          <w:rFonts w:ascii="Lato" w:hAnsi="Lato"/>
        </w:rPr>
        <w:t xml:space="preserve"> osiągnięci</w:t>
      </w:r>
      <w:r w:rsidR="006A47A8" w:rsidRPr="00990CE8">
        <w:rPr>
          <w:rFonts w:ascii="Lato" w:hAnsi="Lato"/>
        </w:rPr>
        <w:t xml:space="preserve">a </w:t>
      </w:r>
      <w:r w:rsidRPr="00990CE8">
        <w:rPr>
          <w:rFonts w:ascii="Lato" w:hAnsi="Lato"/>
        </w:rPr>
        <w:t xml:space="preserve"> kamienia milowego</w:t>
      </w:r>
      <w:r w:rsidR="00ED06F8" w:rsidRPr="00990CE8">
        <w:rPr>
          <w:rFonts w:ascii="Lato" w:hAnsi="Lato"/>
        </w:rPr>
        <w:t xml:space="preserve"> polegającego na </w:t>
      </w:r>
      <w:r w:rsidR="006A47A8" w:rsidRPr="00990CE8">
        <w:rPr>
          <w:rFonts w:ascii="Lato" w:hAnsi="Lato"/>
        </w:rPr>
        <w:t>budowie</w:t>
      </w:r>
      <w:r w:rsidR="00F45A19" w:rsidRPr="00990CE8">
        <w:rPr>
          <w:rFonts w:ascii="Lato" w:hAnsi="Lato"/>
        </w:rPr>
        <w:t xml:space="preserve"> </w:t>
      </w:r>
      <w:r w:rsidRPr="00990CE8">
        <w:rPr>
          <w:rFonts w:ascii="Lato" w:hAnsi="Lato"/>
        </w:rPr>
        <w:t xml:space="preserve">Centrum Operacji Bezpieczeństwa w Centrum e-Zdrowia (D16G) oraz </w:t>
      </w:r>
      <w:r w:rsidR="006A47A8" w:rsidRPr="00990CE8">
        <w:rPr>
          <w:rFonts w:ascii="Lato" w:hAnsi="Lato"/>
        </w:rPr>
        <w:t>ustanowieniu</w:t>
      </w:r>
      <w:r w:rsidR="00ED06F8" w:rsidRPr="00990CE8">
        <w:rPr>
          <w:rFonts w:ascii="Lato" w:hAnsi="Lato"/>
        </w:rPr>
        <w:t xml:space="preserve"> </w:t>
      </w:r>
      <w:r w:rsidRPr="00990CE8">
        <w:rPr>
          <w:rFonts w:ascii="Lato" w:hAnsi="Lato"/>
        </w:rPr>
        <w:t xml:space="preserve">Centrum  </w:t>
      </w:r>
      <w:r w:rsidR="00DD1D7F" w:rsidRPr="005F2138">
        <w:rPr>
          <w:rFonts w:ascii="Lato" w:hAnsi="Lato"/>
        </w:rPr>
        <w:t>c</w:t>
      </w:r>
      <w:r w:rsidRPr="00990CE8">
        <w:rPr>
          <w:rFonts w:ascii="Lato" w:hAnsi="Lato"/>
        </w:rPr>
        <w:t xml:space="preserve">yfryzacji  </w:t>
      </w:r>
      <w:r w:rsidR="00DD1D7F" w:rsidRPr="005F2138">
        <w:rPr>
          <w:rFonts w:ascii="Lato" w:hAnsi="Lato"/>
        </w:rPr>
        <w:t>d</w:t>
      </w:r>
      <w:r w:rsidRPr="00990CE8">
        <w:rPr>
          <w:rFonts w:ascii="Lato" w:hAnsi="Lato"/>
        </w:rPr>
        <w:t xml:space="preserve">okumentacji  </w:t>
      </w:r>
      <w:r w:rsidR="00DD1D7F" w:rsidRPr="005F2138">
        <w:rPr>
          <w:rFonts w:ascii="Lato" w:hAnsi="Lato"/>
        </w:rPr>
        <w:t>m</w:t>
      </w:r>
      <w:r w:rsidRPr="00990CE8">
        <w:rPr>
          <w:rFonts w:ascii="Lato" w:hAnsi="Lato"/>
        </w:rPr>
        <w:t>edycznej (D17G).</w:t>
      </w:r>
    </w:p>
    <w:p w14:paraId="2605640E" w14:textId="78A7D05D" w:rsidR="00B05E9C" w:rsidRPr="00990CE8" w:rsidRDefault="00A9638A" w:rsidP="00990CE8">
      <w:pPr>
        <w:pStyle w:val="Akapitzlist"/>
        <w:numPr>
          <w:ilvl w:val="0"/>
          <w:numId w:val="126"/>
        </w:numPr>
        <w:spacing w:before="120" w:after="120"/>
        <w:ind w:left="426" w:hanging="426"/>
        <w:jc w:val="both"/>
        <w:rPr>
          <w:rFonts w:ascii="Lato" w:hAnsi="Lato"/>
        </w:rPr>
      </w:pPr>
      <w:r w:rsidRPr="00990CE8">
        <w:rPr>
          <w:rFonts w:ascii="Lato" w:hAnsi="Lato"/>
        </w:rPr>
        <w:t>W</w:t>
      </w:r>
      <w:r w:rsidR="003D61E9" w:rsidRPr="00990CE8">
        <w:rPr>
          <w:rFonts w:ascii="Lato" w:hAnsi="Lato"/>
        </w:rPr>
        <w:t>ydatk</w:t>
      </w:r>
      <w:r w:rsidRPr="00990CE8">
        <w:rPr>
          <w:rFonts w:ascii="Lato" w:hAnsi="Lato"/>
        </w:rPr>
        <w:t>i</w:t>
      </w:r>
      <w:r w:rsidR="00AC2E69" w:rsidRPr="00990CE8">
        <w:rPr>
          <w:rFonts w:ascii="Lato" w:hAnsi="Lato"/>
        </w:rPr>
        <w:t>,</w:t>
      </w:r>
      <w:r w:rsidR="003D61E9" w:rsidRPr="00990CE8">
        <w:rPr>
          <w:rFonts w:ascii="Lato" w:hAnsi="Lato"/>
        </w:rPr>
        <w:t xml:space="preserve"> o</w:t>
      </w:r>
      <w:r w:rsidRPr="00990CE8">
        <w:rPr>
          <w:rFonts w:ascii="Lato" w:hAnsi="Lato"/>
        </w:rPr>
        <w:t xml:space="preserve"> których mowa</w:t>
      </w:r>
      <w:r w:rsidR="003D61E9" w:rsidRPr="00990CE8">
        <w:rPr>
          <w:rFonts w:ascii="Lato" w:hAnsi="Lato"/>
        </w:rPr>
        <w:t xml:space="preserve"> w ust.1</w:t>
      </w:r>
      <w:r w:rsidR="00AC2E69" w:rsidRPr="00990CE8">
        <w:rPr>
          <w:rFonts w:ascii="Lato" w:hAnsi="Lato"/>
        </w:rPr>
        <w:t>,</w:t>
      </w:r>
      <w:r w:rsidRPr="00990CE8">
        <w:rPr>
          <w:rFonts w:ascii="Lato" w:hAnsi="Lato"/>
        </w:rPr>
        <w:t xml:space="preserve"> zostaną określone w za</w:t>
      </w:r>
      <w:r w:rsidR="00FF00AD" w:rsidRPr="00990CE8">
        <w:rPr>
          <w:rFonts w:ascii="Lato" w:hAnsi="Lato"/>
        </w:rPr>
        <w:t>twierdzon</w:t>
      </w:r>
      <w:r w:rsidRPr="00990CE8">
        <w:rPr>
          <w:rFonts w:ascii="Lato" w:hAnsi="Lato"/>
        </w:rPr>
        <w:t xml:space="preserve">ej przez Instytucję odpowiedzialną za realizację </w:t>
      </w:r>
      <w:r w:rsidR="00033E26" w:rsidRPr="005F2138">
        <w:rPr>
          <w:rFonts w:ascii="Lato" w:hAnsi="Lato"/>
        </w:rPr>
        <w:t>I</w:t>
      </w:r>
      <w:r w:rsidRPr="00990CE8">
        <w:rPr>
          <w:rFonts w:ascii="Lato" w:hAnsi="Lato"/>
        </w:rPr>
        <w:t>nwestycji</w:t>
      </w:r>
      <w:r w:rsidR="00FF00AD" w:rsidRPr="00990CE8">
        <w:rPr>
          <w:rFonts w:ascii="Lato" w:hAnsi="Lato"/>
        </w:rPr>
        <w:t xml:space="preserve"> analiz</w:t>
      </w:r>
      <w:r w:rsidRPr="00990CE8">
        <w:rPr>
          <w:rFonts w:ascii="Lato" w:hAnsi="Lato"/>
        </w:rPr>
        <w:t>ie</w:t>
      </w:r>
      <w:r w:rsidR="00FF00AD" w:rsidRPr="00990CE8">
        <w:rPr>
          <w:rFonts w:ascii="Lato" w:hAnsi="Lato"/>
        </w:rPr>
        <w:t xml:space="preserve"> wariantowej,  którą Ostateczny odbiorca wsparcia jest zobowiązany przeprowadzić w sposób dostosowany do specyfiki zadania w ramach przedsięwzięcia. Analiza powinna zawierać co najmniej następujące elementy:</w:t>
      </w:r>
    </w:p>
    <w:p w14:paraId="43B8BCFE" w14:textId="55FDBFC6" w:rsidR="00FF00AD" w:rsidRPr="00990CE8" w:rsidRDefault="00FF00AD" w:rsidP="00990CE8">
      <w:pPr>
        <w:pStyle w:val="Akapitzlist"/>
        <w:numPr>
          <w:ilvl w:val="1"/>
          <w:numId w:val="126"/>
        </w:numPr>
        <w:spacing w:before="120" w:after="120"/>
        <w:ind w:left="993" w:hanging="426"/>
        <w:jc w:val="both"/>
        <w:rPr>
          <w:rFonts w:ascii="Lato" w:hAnsi="Lato"/>
        </w:rPr>
      </w:pPr>
      <w:r w:rsidRPr="00990CE8">
        <w:rPr>
          <w:rFonts w:ascii="Lato" w:hAnsi="Lato"/>
        </w:rPr>
        <w:t>określenie szczegółowych, operacyjnych celów  niezbędnych do realizacji kamieni milowych wskazanych w ust. 2 (w szczególności należy przeprowadzić analizę stanu obecnego, zidentyfikować potrzeby oraz dokonać porównania zasobów z potrzebami);</w:t>
      </w:r>
    </w:p>
    <w:p w14:paraId="2137307F" w14:textId="321B62A6" w:rsidR="00FF00AD" w:rsidRPr="00990CE8" w:rsidRDefault="00FF00AD" w:rsidP="00990CE8">
      <w:pPr>
        <w:pStyle w:val="Akapitzlist"/>
        <w:numPr>
          <w:ilvl w:val="1"/>
          <w:numId w:val="126"/>
        </w:numPr>
        <w:spacing w:before="120" w:after="120"/>
        <w:ind w:left="993" w:hanging="426"/>
        <w:jc w:val="both"/>
        <w:rPr>
          <w:rFonts w:ascii="Lato" w:hAnsi="Lato"/>
        </w:rPr>
      </w:pPr>
      <w:r w:rsidRPr="00990CE8">
        <w:rPr>
          <w:rFonts w:ascii="Lato" w:hAnsi="Lato"/>
        </w:rPr>
        <w:t>potwierdzenie zebrania odpowiednich danych i/lub dokumentów;</w:t>
      </w:r>
    </w:p>
    <w:p w14:paraId="491174EE" w14:textId="453D8DD8" w:rsidR="00253436" w:rsidRPr="00990CE8" w:rsidRDefault="00FF00AD" w:rsidP="00990CE8">
      <w:pPr>
        <w:pStyle w:val="Akapitzlist"/>
        <w:numPr>
          <w:ilvl w:val="1"/>
          <w:numId w:val="126"/>
        </w:numPr>
        <w:spacing w:before="120" w:after="120"/>
        <w:ind w:left="993" w:hanging="426"/>
        <w:jc w:val="both"/>
        <w:rPr>
          <w:rFonts w:ascii="Lato" w:hAnsi="Lato"/>
        </w:rPr>
      </w:pPr>
      <w:r w:rsidRPr="00990CE8">
        <w:rPr>
          <w:rFonts w:ascii="Lato" w:hAnsi="Lato"/>
        </w:rPr>
        <w:t xml:space="preserve">zidentyfikowanie każdego z wariantów realizacji zgodnie z zakresem merytorycznym realizacji przedsięwzięcia określonym w </w:t>
      </w:r>
      <w:r w:rsidR="00033E26" w:rsidRPr="005F2138">
        <w:rPr>
          <w:rFonts w:ascii="Lato" w:hAnsi="Lato"/>
        </w:rPr>
        <w:t>r</w:t>
      </w:r>
      <w:r w:rsidRPr="00990CE8">
        <w:rPr>
          <w:rFonts w:ascii="Lato" w:hAnsi="Lato"/>
        </w:rPr>
        <w:t>egulaminie naboru;</w:t>
      </w:r>
    </w:p>
    <w:p w14:paraId="575A5262" w14:textId="6577792C" w:rsidR="00FF00AD" w:rsidRPr="00990CE8" w:rsidRDefault="00FF00AD" w:rsidP="00990CE8">
      <w:pPr>
        <w:pStyle w:val="Akapitzlist"/>
        <w:numPr>
          <w:ilvl w:val="1"/>
          <w:numId w:val="126"/>
        </w:numPr>
        <w:spacing w:before="120" w:after="120"/>
        <w:ind w:left="993" w:hanging="426"/>
        <w:jc w:val="both"/>
        <w:rPr>
          <w:rFonts w:ascii="Lato" w:hAnsi="Lato"/>
        </w:rPr>
      </w:pPr>
      <w:r w:rsidRPr="00990CE8">
        <w:rPr>
          <w:rFonts w:ascii="Lato" w:hAnsi="Lato"/>
        </w:rPr>
        <w:t>określenie szacowanych kosztów realizacji każdego z wariantów;</w:t>
      </w:r>
    </w:p>
    <w:p w14:paraId="4D1E9BCC" w14:textId="337087CB" w:rsidR="00FF00AD" w:rsidRPr="00990CE8" w:rsidRDefault="00FF00AD" w:rsidP="00990CE8">
      <w:pPr>
        <w:spacing w:before="120" w:after="120"/>
        <w:ind w:left="993" w:hanging="426"/>
        <w:jc w:val="both"/>
        <w:rPr>
          <w:rFonts w:ascii="Lato" w:hAnsi="Lato"/>
        </w:rPr>
      </w:pPr>
      <w:r w:rsidRPr="00990CE8">
        <w:rPr>
          <w:rFonts w:ascii="Lato" w:hAnsi="Lato"/>
        </w:rPr>
        <w:t>5)</w:t>
      </w:r>
      <w:r w:rsidR="00253436">
        <w:rPr>
          <w:rFonts w:ascii="Lato" w:hAnsi="Lato"/>
        </w:rPr>
        <w:tab/>
      </w:r>
      <w:r w:rsidRPr="00990CE8">
        <w:rPr>
          <w:rFonts w:ascii="Lato" w:hAnsi="Lato"/>
        </w:rPr>
        <w:t>ocena technicznej i ekonomicznej wykonalności każdego z badanych wariantów w oparciu o porównywalne kryteria, w szczególności: kryteria techniczne, ekonomiczne, instytucjonalne, lokalizacyjne, jakościowe;</w:t>
      </w:r>
    </w:p>
    <w:p w14:paraId="1895C36B" w14:textId="14720F70" w:rsidR="00FF00AD" w:rsidRPr="00990CE8" w:rsidRDefault="00FF00AD" w:rsidP="00990CE8">
      <w:pPr>
        <w:spacing w:before="120" w:after="120"/>
        <w:ind w:left="993" w:hanging="426"/>
        <w:jc w:val="both"/>
        <w:rPr>
          <w:rFonts w:ascii="Lato" w:hAnsi="Lato"/>
        </w:rPr>
      </w:pPr>
      <w:r w:rsidRPr="00990CE8">
        <w:rPr>
          <w:rFonts w:ascii="Lato" w:hAnsi="Lato"/>
        </w:rPr>
        <w:t>6)</w:t>
      </w:r>
      <w:r w:rsidR="00253436">
        <w:rPr>
          <w:rFonts w:ascii="Lato" w:hAnsi="Lato"/>
        </w:rPr>
        <w:tab/>
      </w:r>
      <w:r w:rsidRPr="00990CE8">
        <w:rPr>
          <w:rFonts w:ascii="Lato" w:hAnsi="Lato"/>
        </w:rPr>
        <w:t>uzasadnienie wyboru optymalnego</w:t>
      </w:r>
      <w:r w:rsidR="00E66646" w:rsidRPr="00990CE8">
        <w:rPr>
          <w:rFonts w:ascii="Lato" w:hAnsi="Lato"/>
        </w:rPr>
        <w:t xml:space="preserve"> wariantu</w:t>
      </w:r>
      <w:r w:rsidRPr="00990CE8">
        <w:rPr>
          <w:rFonts w:ascii="Lato" w:hAnsi="Lato"/>
        </w:rPr>
        <w:t xml:space="preserve"> wraz ze wskazaniem wymiernych korzyści na podstawie przeprowadzonej analizy,</w:t>
      </w:r>
      <w:r w:rsidR="00E66646" w:rsidRPr="00990CE8">
        <w:rPr>
          <w:rFonts w:ascii="Lato" w:hAnsi="Lato"/>
        </w:rPr>
        <w:t xml:space="preserve"> w której </w:t>
      </w:r>
      <w:r w:rsidRPr="00990CE8">
        <w:rPr>
          <w:rFonts w:ascii="Lato" w:hAnsi="Lato"/>
        </w:rPr>
        <w:t>wartości kosztów i</w:t>
      </w:r>
      <w:r w:rsidR="00610CA3">
        <w:rPr>
          <w:rFonts w:ascii="Lato" w:hAnsi="Lato"/>
        </w:rPr>
        <w:t> </w:t>
      </w:r>
      <w:r w:rsidRPr="00990CE8">
        <w:rPr>
          <w:rFonts w:ascii="Lato" w:hAnsi="Lato"/>
        </w:rPr>
        <w:t>korzyści muszą być skwantyfikowane oraz stosunek korzyści do kosztów (wskaźnik</w:t>
      </w:r>
      <w:r w:rsidR="00E66646" w:rsidRPr="00990CE8">
        <w:rPr>
          <w:rFonts w:ascii="Lato" w:hAnsi="Lato"/>
        </w:rPr>
        <w:t>:</w:t>
      </w:r>
      <w:r w:rsidRPr="00990CE8">
        <w:rPr>
          <w:rFonts w:ascii="Lato" w:hAnsi="Lato"/>
        </w:rPr>
        <w:t xml:space="preserve"> korzyści/koszty) musi być większy od jedności;</w:t>
      </w:r>
    </w:p>
    <w:p w14:paraId="14F9D477" w14:textId="76C6EF03" w:rsidR="00FF00AD" w:rsidRPr="00990CE8" w:rsidRDefault="00FF00AD" w:rsidP="00990CE8">
      <w:pPr>
        <w:spacing w:before="120" w:after="120"/>
        <w:ind w:left="993" w:hanging="426"/>
        <w:jc w:val="both"/>
        <w:rPr>
          <w:rFonts w:ascii="Lato" w:hAnsi="Lato"/>
        </w:rPr>
      </w:pPr>
      <w:r w:rsidRPr="00990CE8">
        <w:rPr>
          <w:rFonts w:ascii="Lato" w:hAnsi="Lato"/>
        </w:rPr>
        <w:t>7)</w:t>
      </w:r>
      <w:r w:rsidR="00253436">
        <w:rPr>
          <w:rFonts w:ascii="Lato" w:hAnsi="Lato"/>
        </w:rPr>
        <w:tab/>
      </w:r>
      <w:r w:rsidRPr="00990CE8">
        <w:rPr>
          <w:rFonts w:ascii="Lato" w:hAnsi="Lato"/>
        </w:rPr>
        <w:t>analiza wrażliwości i ryzyka dla wybranego wariantu;</w:t>
      </w:r>
    </w:p>
    <w:p w14:paraId="65D0F81B" w14:textId="48CC3030" w:rsidR="00FF00AD" w:rsidRPr="00990CE8" w:rsidRDefault="00FF00AD" w:rsidP="00990CE8">
      <w:pPr>
        <w:spacing w:before="120" w:after="120"/>
        <w:ind w:left="993" w:hanging="426"/>
        <w:jc w:val="both"/>
        <w:rPr>
          <w:rFonts w:ascii="Lato" w:hAnsi="Lato"/>
        </w:rPr>
      </w:pPr>
      <w:r w:rsidRPr="00990CE8">
        <w:rPr>
          <w:rFonts w:ascii="Lato" w:hAnsi="Lato"/>
        </w:rPr>
        <w:t>8)</w:t>
      </w:r>
      <w:r w:rsidR="00253436">
        <w:rPr>
          <w:rFonts w:ascii="Lato" w:hAnsi="Lato"/>
        </w:rPr>
        <w:tab/>
      </w:r>
      <w:r w:rsidRPr="00990CE8">
        <w:rPr>
          <w:rFonts w:ascii="Lato" w:hAnsi="Lato"/>
        </w:rPr>
        <w:t xml:space="preserve">analiza zgodności wybranego wariantu z zasadą DNSH; </w:t>
      </w:r>
    </w:p>
    <w:p w14:paraId="03ACA02F" w14:textId="23EE1704" w:rsidR="003D61E9" w:rsidRPr="00990CE8" w:rsidRDefault="00FF00AD" w:rsidP="00990CE8">
      <w:pPr>
        <w:spacing w:before="120" w:after="120"/>
        <w:ind w:left="993" w:hanging="426"/>
        <w:jc w:val="both"/>
        <w:rPr>
          <w:rFonts w:ascii="Lato" w:hAnsi="Lato"/>
        </w:rPr>
      </w:pPr>
      <w:r w:rsidRPr="00990CE8">
        <w:rPr>
          <w:rFonts w:ascii="Lato" w:hAnsi="Lato"/>
        </w:rPr>
        <w:lastRenderedPageBreak/>
        <w:t>9)</w:t>
      </w:r>
      <w:r w:rsidR="00253436">
        <w:rPr>
          <w:rFonts w:ascii="Lato" w:hAnsi="Lato"/>
        </w:rPr>
        <w:tab/>
      </w:r>
      <w:r w:rsidRPr="00990CE8">
        <w:rPr>
          <w:rFonts w:ascii="Lato" w:hAnsi="Lato"/>
        </w:rPr>
        <w:t>przedstawienie planu działań w ramach wybranego wariantu, który uwzględnia również działania w zakresie monitorowania i dostosowania zrealizowanych i/lub rozpoczętych działań, w szczególności zapewniając</w:t>
      </w:r>
      <w:r w:rsidR="00E66646" w:rsidRPr="00990CE8">
        <w:rPr>
          <w:rFonts w:ascii="Lato" w:hAnsi="Lato"/>
        </w:rPr>
        <w:t xml:space="preserve">ych </w:t>
      </w:r>
      <w:r w:rsidRPr="00990CE8">
        <w:rPr>
          <w:rFonts w:ascii="Lato" w:hAnsi="Lato"/>
        </w:rPr>
        <w:t>odpowiedni</w:t>
      </w:r>
      <w:r w:rsidR="00E66646" w:rsidRPr="00990CE8">
        <w:rPr>
          <w:rFonts w:ascii="Lato" w:hAnsi="Lato"/>
        </w:rPr>
        <w:t>ą</w:t>
      </w:r>
      <w:r w:rsidRPr="00990CE8">
        <w:rPr>
          <w:rFonts w:ascii="Lato" w:hAnsi="Lato"/>
        </w:rPr>
        <w:t xml:space="preserve"> reakcj</w:t>
      </w:r>
      <w:r w:rsidR="00E66646" w:rsidRPr="00990CE8">
        <w:rPr>
          <w:rFonts w:ascii="Lato" w:hAnsi="Lato"/>
        </w:rPr>
        <w:t>ę</w:t>
      </w:r>
      <w:r w:rsidRPr="00990CE8">
        <w:rPr>
          <w:rFonts w:ascii="Lato" w:hAnsi="Lato"/>
        </w:rPr>
        <w:t xml:space="preserve"> na zmiany warunków otoczenia</w:t>
      </w:r>
      <w:r w:rsidR="00E66646" w:rsidRPr="00990CE8">
        <w:rPr>
          <w:rFonts w:ascii="Lato" w:hAnsi="Lato"/>
        </w:rPr>
        <w:t xml:space="preserve"> i </w:t>
      </w:r>
      <w:r w:rsidRPr="00990CE8">
        <w:rPr>
          <w:rFonts w:ascii="Lato" w:hAnsi="Lato"/>
        </w:rPr>
        <w:t xml:space="preserve"> </w:t>
      </w:r>
      <w:r w:rsidR="00E66646" w:rsidRPr="00990CE8">
        <w:rPr>
          <w:rFonts w:ascii="Lato" w:hAnsi="Lato"/>
        </w:rPr>
        <w:t>śledzenie rezultatów.</w:t>
      </w:r>
    </w:p>
    <w:p w14:paraId="22B0AAF0" w14:textId="0F8870C1" w:rsidR="00FC62CF" w:rsidRPr="00990CE8" w:rsidRDefault="003D61E9" w:rsidP="00990CE8">
      <w:pPr>
        <w:pStyle w:val="Akapitzlist"/>
        <w:spacing w:before="120" w:after="120"/>
        <w:ind w:left="0"/>
        <w:jc w:val="both"/>
        <w:rPr>
          <w:rStyle w:val="Ppogrubienie"/>
          <w:rFonts w:ascii="Lato" w:hAnsi="Lato"/>
          <w:i/>
          <w:iCs/>
        </w:rPr>
      </w:pPr>
      <w:r w:rsidRPr="00990CE8">
        <w:rPr>
          <w:rStyle w:val="Ppogrubienie"/>
          <w:rFonts w:ascii="Lato" w:hAnsi="Lato"/>
          <w:i/>
          <w:iCs/>
        </w:rPr>
        <w:t>4.6.</w:t>
      </w:r>
      <w:r w:rsidR="006F36CA" w:rsidRPr="00990CE8">
        <w:rPr>
          <w:rStyle w:val="Ppogrubienie"/>
          <w:rFonts w:ascii="Lato" w:hAnsi="Lato"/>
          <w:i/>
          <w:iCs/>
        </w:rPr>
        <w:t>2</w:t>
      </w:r>
      <w:r w:rsidRPr="00990CE8">
        <w:rPr>
          <w:rStyle w:val="Ppogrubienie"/>
          <w:rFonts w:ascii="Lato" w:hAnsi="Lato"/>
          <w:i/>
          <w:iCs/>
        </w:rPr>
        <w:t xml:space="preserve"> Zakup nieruchomości</w:t>
      </w:r>
    </w:p>
    <w:p w14:paraId="3D25871D" w14:textId="12E9B114" w:rsidR="00B15150" w:rsidRPr="00990CE8" w:rsidRDefault="00B8478A" w:rsidP="00990CE8">
      <w:pPr>
        <w:pStyle w:val="Akapitzlist"/>
        <w:spacing w:before="120" w:after="120"/>
        <w:ind w:left="426" w:hanging="426"/>
        <w:jc w:val="both"/>
        <w:rPr>
          <w:rFonts w:ascii="Lato" w:hAnsi="Lato"/>
        </w:rPr>
      </w:pPr>
      <w:r w:rsidRPr="00990CE8">
        <w:rPr>
          <w:rFonts w:ascii="Lato" w:hAnsi="Lato"/>
        </w:rPr>
        <w:t>1.</w:t>
      </w:r>
      <w:r w:rsidR="000916BC" w:rsidRPr="005F2138">
        <w:rPr>
          <w:rFonts w:ascii="Lato" w:hAnsi="Lato"/>
        </w:rPr>
        <w:tab/>
      </w:r>
      <w:r w:rsidR="00B15150" w:rsidRPr="00990CE8">
        <w:rPr>
          <w:rFonts w:ascii="Lato" w:hAnsi="Lato"/>
        </w:rPr>
        <w:t xml:space="preserve">Zakup nieruchomości </w:t>
      </w:r>
      <w:r w:rsidR="00585789" w:rsidRPr="00990CE8">
        <w:rPr>
          <w:rFonts w:ascii="Lato" w:hAnsi="Lato"/>
        </w:rPr>
        <w:t>będzie ostatecznie</w:t>
      </w:r>
      <w:r w:rsidR="00B15150" w:rsidRPr="00990CE8">
        <w:rPr>
          <w:rFonts w:ascii="Lato" w:hAnsi="Lato"/>
        </w:rPr>
        <w:t xml:space="preserve"> uznany za wydatek kwalifikowalny</w:t>
      </w:r>
      <w:r w:rsidR="00831F47" w:rsidRPr="00990CE8">
        <w:rPr>
          <w:rFonts w:ascii="Lato" w:hAnsi="Lato"/>
        </w:rPr>
        <w:t xml:space="preserve"> i</w:t>
      </w:r>
      <w:r w:rsidR="00AE3138" w:rsidRPr="00990CE8">
        <w:rPr>
          <w:rFonts w:ascii="Lato" w:hAnsi="Lato"/>
        </w:rPr>
        <w:t> </w:t>
      </w:r>
      <w:r w:rsidR="00831F47" w:rsidRPr="00990CE8">
        <w:rPr>
          <w:rFonts w:ascii="Lato" w:hAnsi="Lato"/>
        </w:rPr>
        <w:t>rozliczony w ramach wniosku o płatność</w:t>
      </w:r>
      <w:r w:rsidR="00F41ADA" w:rsidRPr="00990CE8">
        <w:rPr>
          <w:rFonts w:ascii="Lato" w:hAnsi="Lato"/>
        </w:rPr>
        <w:t xml:space="preserve">, </w:t>
      </w:r>
      <w:r w:rsidR="00B15150" w:rsidRPr="00990CE8">
        <w:rPr>
          <w:rFonts w:ascii="Lato" w:hAnsi="Lato"/>
        </w:rPr>
        <w:t xml:space="preserve">jeżeli spełnione </w:t>
      </w:r>
      <w:r w:rsidR="00BF06B1" w:rsidRPr="00990CE8">
        <w:rPr>
          <w:rFonts w:ascii="Lato" w:hAnsi="Lato"/>
        </w:rPr>
        <w:t xml:space="preserve">będą </w:t>
      </w:r>
      <w:r w:rsidR="00B15150" w:rsidRPr="00990CE8">
        <w:rPr>
          <w:rFonts w:ascii="Lato" w:hAnsi="Lato"/>
        </w:rPr>
        <w:t>łącznie następujące warunki:</w:t>
      </w:r>
    </w:p>
    <w:p w14:paraId="63BD2864" w14:textId="21C98F0E" w:rsidR="00B15150" w:rsidRPr="00990CE8" w:rsidRDefault="00B15150" w:rsidP="00990CE8">
      <w:pPr>
        <w:pStyle w:val="Akapitzlist"/>
        <w:numPr>
          <w:ilvl w:val="3"/>
          <w:numId w:val="126"/>
        </w:numPr>
        <w:spacing w:before="120" w:after="120"/>
        <w:ind w:left="993" w:hanging="426"/>
        <w:jc w:val="both"/>
        <w:rPr>
          <w:rFonts w:ascii="Lato" w:hAnsi="Lato"/>
        </w:rPr>
      </w:pPr>
      <w:r w:rsidRPr="00990CE8">
        <w:rPr>
          <w:rFonts w:ascii="Lato" w:hAnsi="Lato"/>
        </w:rPr>
        <w:t xml:space="preserve">cena </w:t>
      </w:r>
      <w:r w:rsidR="00B8478A" w:rsidRPr="00990CE8">
        <w:rPr>
          <w:rFonts w:ascii="Lato" w:hAnsi="Lato"/>
        </w:rPr>
        <w:t xml:space="preserve">nieruchomości </w:t>
      </w:r>
      <w:r w:rsidRPr="00990CE8">
        <w:rPr>
          <w:rFonts w:ascii="Lato" w:hAnsi="Lato"/>
        </w:rPr>
        <w:t>nie przekracza wartości rynkowej</w:t>
      </w:r>
      <w:r w:rsidR="00B8478A" w:rsidRPr="00990CE8">
        <w:rPr>
          <w:rFonts w:ascii="Lato" w:hAnsi="Lato"/>
        </w:rPr>
        <w:t xml:space="preserve"> przedmiotowej</w:t>
      </w:r>
      <w:r w:rsidRPr="00990CE8">
        <w:rPr>
          <w:rFonts w:ascii="Lato" w:hAnsi="Lato"/>
        </w:rPr>
        <w:t xml:space="preserve"> nieruchomości, a jej wartość potwierdzona jest operatem szacunkowym sporządzonym przez uprawnionego rzeczoznawcę w rozumieniu ustawy </w:t>
      </w:r>
      <w:r w:rsidR="00BD2412" w:rsidRPr="00990CE8">
        <w:rPr>
          <w:rFonts w:ascii="Lato" w:hAnsi="Lato"/>
        </w:rPr>
        <w:t>z</w:t>
      </w:r>
      <w:r w:rsidR="00AE3138" w:rsidRPr="005F2138">
        <w:rPr>
          <w:rFonts w:ascii="Lato" w:hAnsi="Lato"/>
        </w:rPr>
        <w:t> </w:t>
      </w:r>
      <w:r w:rsidR="00BD2412" w:rsidRPr="00990CE8">
        <w:rPr>
          <w:rFonts w:ascii="Lato" w:hAnsi="Lato"/>
        </w:rPr>
        <w:t xml:space="preserve">dnia 21 sierpnia 1997 r. </w:t>
      </w:r>
      <w:r w:rsidRPr="00990CE8">
        <w:rPr>
          <w:rFonts w:ascii="Lato" w:hAnsi="Lato"/>
        </w:rPr>
        <w:t>o gospodarce nieruchomościami</w:t>
      </w:r>
      <w:r w:rsidR="00BD2412" w:rsidRPr="00990CE8">
        <w:rPr>
          <w:rFonts w:ascii="Lato" w:hAnsi="Lato"/>
        </w:rPr>
        <w:t xml:space="preserve"> (Dz. U. z 2024</w:t>
      </w:r>
      <w:r w:rsidR="00AE3138" w:rsidRPr="005F2138">
        <w:rPr>
          <w:rFonts w:ascii="Lato" w:hAnsi="Lato"/>
        </w:rPr>
        <w:t> </w:t>
      </w:r>
      <w:r w:rsidR="00BD2412" w:rsidRPr="00990CE8">
        <w:rPr>
          <w:rFonts w:ascii="Lato" w:hAnsi="Lato"/>
        </w:rPr>
        <w:t>r. poz. 1145</w:t>
      </w:r>
      <w:r w:rsidR="00E81E08" w:rsidRPr="00990CE8">
        <w:rPr>
          <w:rFonts w:ascii="Lato" w:hAnsi="Lato"/>
        </w:rPr>
        <w:t xml:space="preserve"> z </w:t>
      </w:r>
      <w:proofErr w:type="spellStart"/>
      <w:r w:rsidR="00E81E08" w:rsidRPr="00990CE8">
        <w:rPr>
          <w:rFonts w:ascii="Lato" w:hAnsi="Lato"/>
        </w:rPr>
        <w:t>późn</w:t>
      </w:r>
      <w:proofErr w:type="spellEnd"/>
      <w:r w:rsidR="00E81E08" w:rsidRPr="00990CE8">
        <w:rPr>
          <w:rFonts w:ascii="Lato" w:hAnsi="Lato"/>
        </w:rPr>
        <w:t>. zm.</w:t>
      </w:r>
      <w:r w:rsidR="00BD2412" w:rsidRPr="00990CE8">
        <w:rPr>
          <w:rFonts w:ascii="Lato" w:hAnsi="Lato"/>
        </w:rPr>
        <w:t>),</w:t>
      </w:r>
      <w:r w:rsidRPr="00990CE8">
        <w:rPr>
          <w:rFonts w:ascii="Lato" w:hAnsi="Lato"/>
        </w:rPr>
        <w:t xml:space="preserve"> wartość nieruchomości powinna być określona na dzień jej zakupu zgodnie z art. 156 ust. 3 tej ustawy,</w:t>
      </w:r>
    </w:p>
    <w:p w14:paraId="5C3203FF" w14:textId="6FB7E641" w:rsidR="00086386" w:rsidRPr="00990CE8" w:rsidRDefault="00086386" w:rsidP="00990CE8">
      <w:pPr>
        <w:pStyle w:val="Akapitzlist"/>
        <w:numPr>
          <w:ilvl w:val="3"/>
          <w:numId w:val="126"/>
        </w:numPr>
        <w:spacing w:before="120" w:after="120"/>
        <w:ind w:left="993" w:hanging="426"/>
        <w:jc w:val="both"/>
        <w:rPr>
          <w:rFonts w:ascii="Lato" w:hAnsi="Lato"/>
        </w:rPr>
      </w:pPr>
      <w:r w:rsidRPr="00990CE8">
        <w:rPr>
          <w:rFonts w:ascii="Lato" w:hAnsi="Lato"/>
        </w:rPr>
        <w:t>cena nieruchomości nie może przekroczyć 10 % całkowitych wydatków kwalifikowalnych przedsięwzięcia</w:t>
      </w:r>
      <w:r w:rsidR="006361EC" w:rsidRPr="00990CE8">
        <w:rPr>
          <w:rFonts w:ascii="Lato" w:hAnsi="Lato"/>
        </w:rPr>
        <w:t>,</w:t>
      </w:r>
    </w:p>
    <w:p w14:paraId="530A26F1" w14:textId="1837295F" w:rsidR="00086386" w:rsidRPr="00990CE8" w:rsidRDefault="00B8478A" w:rsidP="00990CE8">
      <w:pPr>
        <w:pStyle w:val="Akapitzlist"/>
        <w:numPr>
          <w:ilvl w:val="3"/>
          <w:numId w:val="126"/>
        </w:numPr>
        <w:spacing w:before="120" w:after="120"/>
        <w:ind w:left="993" w:hanging="426"/>
        <w:jc w:val="both"/>
        <w:rPr>
          <w:rFonts w:ascii="Lato" w:hAnsi="Lato"/>
        </w:rPr>
      </w:pPr>
      <w:r w:rsidRPr="00990CE8">
        <w:rPr>
          <w:rFonts w:ascii="Lato" w:hAnsi="Lato"/>
        </w:rPr>
        <w:t>przedmiotowa</w:t>
      </w:r>
      <w:r w:rsidR="00B15150" w:rsidRPr="00990CE8">
        <w:rPr>
          <w:rFonts w:ascii="Lato" w:hAnsi="Lato"/>
        </w:rPr>
        <w:t xml:space="preserve"> nieruchomość jest niezbędna do realizacji przedsięwzięcia i</w:t>
      </w:r>
      <w:r w:rsidR="00F17046" w:rsidRPr="00990CE8">
        <w:rPr>
          <w:rFonts w:ascii="Lato" w:hAnsi="Lato"/>
        </w:rPr>
        <w:t> </w:t>
      </w:r>
      <w:r w:rsidR="00B15150" w:rsidRPr="00990CE8">
        <w:rPr>
          <w:rFonts w:ascii="Lato" w:hAnsi="Lato"/>
        </w:rPr>
        <w:t>kwalifikowalna wyłącznie w zakresie, w jakim jest wykorzystana</w:t>
      </w:r>
      <w:r w:rsidR="00086386" w:rsidRPr="00990CE8">
        <w:rPr>
          <w:rFonts w:ascii="Lato" w:hAnsi="Lato"/>
        </w:rPr>
        <w:t xml:space="preserve"> bezpośrednio</w:t>
      </w:r>
      <w:r w:rsidR="00B15150" w:rsidRPr="00990CE8">
        <w:rPr>
          <w:rFonts w:ascii="Lato" w:hAnsi="Lato"/>
        </w:rPr>
        <w:t xml:space="preserve"> do celów realizacji przedsięwzięcia zgodnie z</w:t>
      </w:r>
      <w:r w:rsidR="00FD7442" w:rsidRPr="00990CE8">
        <w:rPr>
          <w:rFonts w:ascii="Lato" w:hAnsi="Lato"/>
        </w:rPr>
        <w:t xml:space="preserve"> rekomendacją określoną przez Ostatecznego odbiorcę wsparcia w analizie wariantowej</w:t>
      </w:r>
      <w:r w:rsidR="00086386" w:rsidRPr="00990CE8">
        <w:rPr>
          <w:rFonts w:ascii="Lato" w:hAnsi="Lato"/>
        </w:rPr>
        <w:t>,</w:t>
      </w:r>
    </w:p>
    <w:p w14:paraId="7593521F" w14:textId="173AD60A" w:rsidR="00086386" w:rsidRPr="00990CE8" w:rsidRDefault="00086386" w:rsidP="00990CE8">
      <w:pPr>
        <w:pStyle w:val="Akapitzlist"/>
        <w:numPr>
          <w:ilvl w:val="3"/>
          <w:numId w:val="126"/>
        </w:numPr>
        <w:spacing w:before="120" w:after="120"/>
        <w:ind w:left="993" w:hanging="426"/>
        <w:jc w:val="both"/>
        <w:rPr>
          <w:rFonts w:ascii="Lato" w:hAnsi="Lato"/>
        </w:rPr>
      </w:pPr>
      <w:r w:rsidRPr="00990CE8">
        <w:rPr>
          <w:rFonts w:ascii="Lato" w:hAnsi="Lato"/>
        </w:rPr>
        <w:t>jeżeli część zakupionej nieruchomości nie będzie wykorzystywana bezpośrednio do realizacji przedsięwzięcia, wydatki dotyczące tej części stanowią wydatki niekwalifikowalne. Jeżeli nie można wyodrębnić całości wydatków kwalifikowalnych związanych bezpośrednio z realizowanym przedsięwzięciem za kwalifikowalne mogą być uznane wydatki w</w:t>
      </w:r>
      <w:r w:rsidR="000916BC" w:rsidRPr="005F2138">
        <w:rPr>
          <w:rFonts w:ascii="Lato" w:hAnsi="Lato"/>
        </w:rPr>
        <w:t> </w:t>
      </w:r>
      <w:r w:rsidRPr="00990CE8">
        <w:rPr>
          <w:rFonts w:ascii="Lato" w:hAnsi="Lato"/>
        </w:rPr>
        <w:t xml:space="preserve">proporcji w jakiej nieruchomość jest bezpośrednio wykorzystywana do realizacji przedsięwzięcia. </w:t>
      </w:r>
    </w:p>
    <w:p w14:paraId="145FDFBF" w14:textId="576C6F61" w:rsidR="00B05E9C" w:rsidRPr="00990CE8" w:rsidRDefault="00086386" w:rsidP="00990CE8">
      <w:pPr>
        <w:spacing w:before="120" w:after="120"/>
        <w:ind w:left="426"/>
        <w:jc w:val="both"/>
        <w:rPr>
          <w:rFonts w:ascii="Lato" w:hAnsi="Lato"/>
        </w:rPr>
      </w:pPr>
      <w:r w:rsidRPr="00990CE8">
        <w:rPr>
          <w:rFonts w:ascii="Lato" w:hAnsi="Lato"/>
        </w:rPr>
        <w:t xml:space="preserve">Proporcję ustala się jako stosunek powierzchni użytkowej nieruchomości wykorzystywanej do realizacji przedsięwzięcia do powierzchni użytkowej ogółem danej nieruchomości. Powierzchnię użytkową stanowi powierzchnia w rozumieniu </w:t>
      </w:r>
      <w:r w:rsidRPr="00990CE8">
        <w:rPr>
          <w:rFonts w:ascii="Lato" w:hAnsi="Lato"/>
        </w:rPr>
        <w:lastRenderedPageBreak/>
        <w:t>art. 1a ust. 1 pkt 5 ustawy z dnia 12 stycznia 1991 r. o podatkach i opłatach lokalnych (Dz. U. z 2023</w:t>
      </w:r>
      <w:r w:rsidR="006656E7" w:rsidRPr="00990CE8">
        <w:rPr>
          <w:rFonts w:ascii="Lato" w:hAnsi="Lato"/>
        </w:rPr>
        <w:t xml:space="preserve"> r.</w:t>
      </w:r>
      <w:r w:rsidRPr="00990CE8">
        <w:rPr>
          <w:rFonts w:ascii="Lato" w:hAnsi="Lato"/>
        </w:rPr>
        <w:t xml:space="preserve"> poz. 70</w:t>
      </w:r>
      <w:r w:rsidR="00E81E08" w:rsidRPr="00990CE8">
        <w:rPr>
          <w:rFonts w:ascii="Lato" w:hAnsi="Lato"/>
        </w:rPr>
        <w:t xml:space="preserve"> z </w:t>
      </w:r>
      <w:proofErr w:type="spellStart"/>
      <w:r w:rsidR="00E81E08" w:rsidRPr="00990CE8">
        <w:rPr>
          <w:rFonts w:ascii="Lato" w:hAnsi="Lato"/>
        </w:rPr>
        <w:t>późn</w:t>
      </w:r>
      <w:proofErr w:type="spellEnd"/>
      <w:r w:rsidR="00E81E08" w:rsidRPr="00990CE8">
        <w:rPr>
          <w:rFonts w:ascii="Lato" w:hAnsi="Lato"/>
        </w:rPr>
        <w:t>. zm.</w:t>
      </w:r>
      <w:r w:rsidRPr="00990CE8">
        <w:rPr>
          <w:rFonts w:ascii="Lato" w:hAnsi="Lato"/>
        </w:rPr>
        <w:t>). Powierzchnię oblicza się jak dla celów podatkowych zgodnie z art. 4 ust. 2 powyższej ustawy.</w:t>
      </w:r>
      <w:r w:rsidR="00B15150" w:rsidRPr="00990CE8">
        <w:rPr>
          <w:rFonts w:ascii="Lato" w:hAnsi="Lato"/>
        </w:rPr>
        <w:t xml:space="preserve"> </w:t>
      </w:r>
    </w:p>
    <w:p w14:paraId="2D29D031" w14:textId="77777777" w:rsidR="00410BC0" w:rsidRPr="00990CE8" w:rsidRDefault="00B15150" w:rsidP="00990CE8">
      <w:pPr>
        <w:pStyle w:val="Akapitzlist"/>
        <w:numPr>
          <w:ilvl w:val="0"/>
          <w:numId w:val="89"/>
        </w:numPr>
        <w:spacing w:before="120" w:after="120"/>
        <w:ind w:left="426" w:hanging="426"/>
        <w:jc w:val="both"/>
        <w:rPr>
          <w:rFonts w:ascii="Lato" w:hAnsi="Lato"/>
        </w:rPr>
      </w:pPr>
      <w:r w:rsidRPr="00990CE8">
        <w:rPr>
          <w:rFonts w:ascii="Lato" w:hAnsi="Lato"/>
        </w:rPr>
        <w:t>Jeżeli zakup nieruchomości stanowi wydatek kwalifikowalny</w:t>
      </w:r>
      <w:r w:rsidR="00FF5020" w:rsidRPr="00990CE8">
        <w:rPr>
          <w:rFonts w:ascii="Lato" w:hAnsi="Lato"/>
        </w:rPr>
        <w:t>,</w:t>
      </w:r>
      <w:r w:rsidRPr="00990CE8">
        <w:rPr>
          <w:rFonts w:ascii="Lato" w:hAnsi="Lato"/>
        </w:rPr>
        <w:t xml:space="preserve"> następujące wydatki bezpośrednio związane z</w:t>
      </w:r>
      <w:r w:rsidR="006F36CA" w:rsidRPr="00990CE8">
        <w:rPr>
          <w:rFonts w:ascii="Lato" w:hAnsi="Lato"/>
        </w:rPr>
        <w:t xml:space="preserve"> zakupem przedmiotowej</w:t>
      </w:r>
      <w:r w:rsidRPr="00990CE8">
        <w:rPr>
          <w:rFonts w:ascii="Lato" w:hAnsi="Lato"/>
        </w:rPr>
        <w:t xml:space="preserve">  nieruchomości mogą być uznane za wydatki kwalifikowalne:</w:t>
      </w:r>
    </w:p>
    <w:p w14:paraId="08B233BE" w14:textId="77777777" w:rsidR="00B05E9C" w:rsidRPr="00990CE8" w:rsidRDefault="00B15150" w:rsidP="00990CE8">
      <w:pPr>
        <w:pStyle w:val="Akapitzlist"/>
        <w:numPr>
          <w:ilvl w:val="3"/>
          <w:numId w:val="89"/>
        </w:numPr>
        <w:spacing w:before="120" w:after="120"/>
        <w:ind w:left="993" w:hanging="426"/>
        <w:jc w:val="both"/>
        <w:rPr>
          <w:rFonts w:ascii="Lato" w:hAnsi="Lato"/>
        </w:rPr>
      </w:pPr>
      <w:r w:rsidRPr="00990CE8">
        <w:rPr>
          <w:rFonts w:ascii="Lato" w:hAnsi="Lato"/>
        </w:rPr>
        <w:t>opracowanie niezbędnej dokumentacji geodezyjn</w:t>
      </w:r>
      <w:r w:rsidR="00391F85" w:rsidRPr="00990CE8">
        <w:rPr>
          <w:rFonts w:ascii="Lato" w:hAnsi="Lato"/>
        </w:rPr>
        <w:t>ej,</w:t>
      </w:r>
    </w:p>
    <w:p w14:paraId="78E80263" w14:textId="77777777" w:rsidR="00B05E9C" w:rsidRPr="00990CE8" w:rsidRDefault="00B15150" w:rsidP="00990CE8">
      <w:pPr>
        <w:pStyle w:val="Akapitzlist"/>
        <w:numPr>
          <w:ilvl w:val="3"/>
          <w:numId w:val="89"/>
        </w:numPr>
        <w:spacing w:before="120" w:after="120"/>
        <w:ind w:left="993" w:hanging="426"/>
        <w:jc w:val="both"/>
        <w:rPr>
          <w:rFonts w:ascii="Lato" w:hAnsi="Lato"/>
        </w:rPr>
      </w:pPr>
      <w:r w:rsidRPr="00990CE8">
        <w:rPr>
          <w:rFonts w:ascii="Lato" w:hAnsi="Lato"/>
        </w:rPr>
        <w:t xml:space="preserve">opłaty administracyjne i skarbowe, </w:t>
      </w:r>
      <w:bookmarkStart w:id="39" w:name="_Hlk181091126"/>
    </w:p>
    <w:p w14:paraId="491EF699" w14:textId="3D6F6183" w:rsidR="00B05E9C" w:rsidRPr="00990CE8" w:rsidRDefault="00B15150" w:rsidP="00990CE8">
      <w:pPr>
        <w:pStyle w:val="Akapitzlist"/>
        <w:numPr>
          <w:ilvl w:val="3"/>
          <w:numId w:val="89"/>
        </w:numPr>
        <w:spacing w:before="120" w:after="120"/>
        <w:ind w:left="993" w:hanging="426"/>
        <w:jc w:val="both"/>
        <w:rPr>
          <w:rFonts w:ascii="Lato" w:hAnsi="Lato"/>
        </w:rPr>
      </w:pPr>
      <w:r w:rsidRPr="00990CE8">
        <w:rPr>
          <w:rFonts w:ascii="Lato" w:hAnsi="Lato"/>
        </w:rPr>
        <w:t>wynagrodzenie rzeczoznawcy związane ze sporządzeniem operatu szacunkowego</w:t>
      </w:r>
      <w:bookmarkEnd w:id="39"/>
      <w:r w:rsidR="007430D7" w:rsidRPr="00990CE8">
        <w:rPr>
          <w:rFonts w:ascii="Lato" w:hAnsi="Lato"/>
        </w:rPr>
        <w:t>,</w:t>
      </w:r>
    </w:p>
    <w:p w14:paraId="6541B3CF" w14:textId="43761741" w:rsidR="00B15150" w:rsidRPr="00990CE8" w:rsidRDefault="00B15150" w:rsidP="00990CE8">
      <w:pPr>
        <w:pStyle w:val="Akapitzlist"/>
        <w:numPr>
          <w:ilvl w:val="3"/>
          <w:numId w:val="89"/>
        </w:numPr>
        <w:spacing w:before="120" w:after="120"/>
        <w:ind w:left="993" w:hanging="426"/>
        <w:jc w:val="both"/>
        <w:rPr>
          <w:rFonts w:ascii="Lato" w:hAnsi="Lato"/>
        </w:rPr>
      </w:pPr>
      <w:r w:rsidRPr="00990CE8">
        <w:rPr>
          <w:rFonts w:ascii="Lato" w:hAnsi="Lato"/>
        </w:rPr>
        <w:t>opłaty notarialne</w:t>
      </w:r>
    </w:p>
    <w:p w14:paraId="4DBC8FA8" w14:textId="3C32E71E" w:rsidR="00FC3E26" w:rsidRPr="00990CE8" w:rsidRDefault="00B15150" w:rsidP="00990CE8">
      <w:pPr>
        <w:spacing w:before="120" w:after="120"/>
        <w:ind w:left="426"/>
        <w:jc w:val="both"/>
        <w:rPr>
          <w:rFonts w:ascii="Lato" w:hAnsi="Lato"/>
        </w:rPr>
      </w:pPr>
      <w:r w:rsidRPr="00990CE8">
        <w:rPr>
          <w:rFonts w:ascii="Lato" w:hAnsi="Lato"/>
        </w:rPr>
        <w:t xml:space="preserve"> - jeżeli do ponoszenia powyższych wydatków jest zobowiązany</w:t>
      </w:r>
      <w:r w:rsidR="00F43B6E" w:rsidRPr="00990CE8">
        <w:rPr>
          <w:rFonts w:ascii="Lato" w:hAnsi="Lato"/>
        </w:rPr>
        <w:t xml:space="preserve"> kupujący</w:t>
      </w:r>
      <w:r w:rsidRPr="00990CE8">
        <w:rPr>
          <w:rFonts w:ascii="Lato" w:hAnsi="Lato"/>
        </w:rPr>
        <w:t xml:space="preserve"> nieruchomoś</w:t>
      </w:r>
      <w:r w:rsidR="00F43B6E" w:rsidRPr="00990CE8">
        <w:rPr>
          <w:rFonts w:ascii="Lato" w:hAnsi="Lato"/>
        </w:rPr>
        <w:t>ć</w:t>
      </w:r>
      <w:r w:rsidRPr="00990CE8">
        <w:rPr>
          <w:rFonts w:ascii="Lato" w:hAnsi="Lato"/>
        </w:rPr>
        <w:t xml:space="preserve"> na podstawie obowiązujących przepisów prawa krajowego oraz</w:t>
      </w:r>
      <w:r w:rsidR="00F43B6E" w:rsidRPr="00990CE8">
        <w:rPr>
          <w:rFonts w:ascii="Lato" w:hAnsi="Lato"/>
        </w:rPr>
        <w:t xml:space="preserve"> wydatki te</w:t>
      </w:r>
      <w:r w:rsidRPr="00990CE8">
        <w:rPr>
          <w:rFonts w:ascii="Lato" w:hAnsi="Lato"/>
        </w:rPr>
        <w:t xml:space="preserve"> są kwalifikowalne w proporcji w jakiej</w:t>
      </w:r>
      <w:r w:rsidR="00410BC0" w:rsidRPr="00990CE8">
        <w:rPr>
          <w:rFonts w:ascii="Lato" w:hAnsi="Lato"/>
        </w:rPr>
        <w:t xml:space="preserve"> </w:t>
      </w:r>
      <w:r w:rsidR="006F36CA" w:rsidRPr="00990CE8">
        <w:rPr>
          <w:rFonts w:ascii="Lato" w:hAnsi="Lato"/>
        </w:rPr>
        <w:t>zakupiona</w:t>
      </w:r>
      <w:r w:rsidRPr="00990CE8">
        <w:rPr>
          <w:rFonts w:ascii="Lato" w:hAnsi="Lato"/>
        </w:rPr>
        <w:t xml:space="preserve"> nieruchomość jest wykorzystana do celów realizacji przedsięwzięcia. </w:t>
      </w:r>
    </w:p>
    <w:p w14:paraId="58A4C244" w14:textId="31C9C0B5" w:rsidR="00155EF3" w:rsidRPr="00990CE8" w:rsidRDefault="00675E13" w:rsidP="00990CE8">
      <w:pPr>
        <w:pStyle w:val="Akapitzlist"/>
        <w:numPr>
          <w:ilvl w:val="2"/>
          <w:numId w:val="139"/>
        </w:numPr>
        <w:spacing w:before="120" w:after="120"/>
        <w:ind w:left="0" w:firstLine="0"/>
        <w:jc w:val="both"/>
        <w:rPr>
          <w:rFonts w:ascii="Lato" w:hAnsi="Lato"/>
          <w:b/>
          <w:bCs/>
          <w:i/>
          <w:iCs/>
        </w:rPr>
      </w:pPr>
      <w:r w:rsidRPr="00990CE8">
        <w:rPr>
          <w:rFonts w:ascii="Lato" w:hAnsi="Lato"/>
          <w:b/>
          <w:bCs/>
          <w:i/>
          <w:iCs/>
        </w:rPr>
        <w:t>Objęcie</w:t>
      </w:r>
      <w:r w:rsidR="00155EF3" w:rsidRPr="00990CE8">
        <w:rPr>
          <w:rFonts w:ascii="Lato" w:hAnsi="Lato"/>
          <w:b/>
          <w:bCs/>
          <w:i/>
          <w:iCs/>
        </w:rPr>
        <w:t xml:space="preserve"> </w:t>
      </w:r>
      <w:r w:rsidR="00492DEE" w:rsidRPr="00990CE8">
        <w:rPr>
          <w:rFonts w:ascii="Lato" w:hAnsi="Lato"/>
          <w:b/>
          <w:bCs/>
          <w:i/>
          <w:iCs/>
        </w:rPr>
        <w:t>nieruchomości gruntowej</w:t>
      </w:r>
      <w:r w:rsidR="00E70DDF" w:rsidRPr="00990CE8">
        <w:rPr>
          <w:rFonts w:ascii="Lato" w:hAnsi="Lato"/>
          <w:b/>
          <w:bCs/>
          <w:i/>
          <w:iCs/>
        </w:rPr>
        <w:t xml:space="preserve"> </w:t>
      </w:r>
      <w:r w:rsidR="00155EF3" w:rsidRPr="00990CE8">
        <w:rPr>
          <w:rFonts w:ascii="Lato" w:hAnsi="Lato"/>
          <w:b/>
          <w:bCs/>
          <w:i/>
          <w:iCs/>
        </w:rPr>
        <w:t xml:space="preserve">w użytkowanie wieczyste </w:t>
      </w:r>
      <w:r w:rsidR="00BD15E4" w:rsidRPr="00990CE8">
        <w:rPr>
          <w:rFonts w:ascii="Lato" w:hAnsi="Lato"/>
          <w:b/>
          <w:bCs/>
          <w:i/>
          <w:iCs/>
        </w:rPr>
        <w:t>wraz z</w:t>
      </w:r>
      <w:r w:rsidR="000916BC" w:rsidRPr="005F2138">
        <w:rPr>
          <w:rFonts w:ascii="Lato" w:hAnsi="Lato"/>
          <w:b/>
          <w:bCs/>
          <w:i/>
          <w:iCs/>
        </w:rPr>
        <w:t> </w:t>
      </w:r>
      <w:r w:rsidR="00BD15E4" w:rsidRPr="00990CE8">
        <w:rPr>
          <w:rFonts w:ascii="Lato" w:hAnsi="Lato"/>
          <w:b/>
          <w:bCs/>
          <w:i/>
          <w:iCs/>
        </w:rPr>
        <w:t xml:space="preserve">równoczesnym nabyciem budynków i innych urządzeń położonych na tej nieruchomości  </w:t>
      </w:r>
    </w:p>
    <w:p w14:paraId="7A0DAF7C" w14:textId="7B42EF03" w:rsidR="00170E13" w:rsidRPr="00990CE8" w:rsidRDefault="00155EF3" w:rsidP="00990CE8">
      <w:pPr>
        <w:spacing w:before="120" w:after="120"/>
        <w:ind w:left="426" w:hanging="426"/>
        <w:jc w:val="both"/>
        <w:rPr>
          <w:rFonts w:ascii="Lato" w:hAnsi="Lato"/>
        </w:rPr>
      </w:pPr>
      <w:r w:rsidRPr="00990CE8">
        <w:rPr>
          <w:rFonts w:ascii="Lato" w:hAnsi="Lato"/>
        </w:rPr>
        <w:t>1.</w:t>
      </w:r>
      <w:r w:rsidR="00FC3E26">
        <w:rPr>
          <w:rFonts w:ascii="Lato" w:hAnsi="Lato"/>
        </w:rPr>
        <w:tab/>
      </w:r>
      <w:r w:rsidR="00170E13" w:rsidRPr="00990CE8">
        <w:rPr>
          <w:rFonts w:ascii="Lato" w:hAnsi="Lato"/>
        </w:rPr>
        <w:t>W</w:t>
      </w:r>
      <w:r w:rsidR="00B15150" w:rsidRPr="00990CE8">
        <w:rPr>
          <w:rFonts w:ascii="Lato" w:hAnsi="Lato"/>
        </w:rPr>
        <w:t xml:space="preserve">ydatki </w:t>
      </w:r>
      <w:r w:rsidR="006F36CA" w:rsidRPr="00990CE8">
        <w:rPr>
          <w:rFonts w:ascii="Lato" w:hAnsi="Lato"/>
        </w:rPr>
        <w:t xml:space="preserve">związane z </w:t>
      </w:r>
      <w:r w:rsidR="00675E13" w:rsidRPr="00990CE8">
        <w:rPr>
          <w:rFonts w:ascii="Lato" w:hAnsi="Lato"/>
        </w:rPr>
        <w:t>objęciem</w:t>
      </w:r>
      <w:r w:rsidR="002B7ADC" w:rsidRPr="00990CE8">
        <w:rPr>
          <w:rFonts w:ascii="Lato" w:hAnsi="Lato"/>
        </w:rPr>
        <w:t xml:space="preserve"> nieruchomości gruntowej</w:t>
      </w:r>
      <w:r w:rsidR="00E70DDF" w:rsidRPr="00990CE8">
        <w:rPr>
          <w:rFonts w:ascii="Lato" w:hAnsi="Lato"/>
        </w:rPr>
        <w:t xml:space="preserve"> </w:t>
      </w:r>
      <w:r w:rsidR="006F36CA" w:rsidRPr="00990CE8">
        <w:rPr>
          <w:rFonts w:ascii="Lato" w:hAnsi="Lato"/>
        </w:rPr>
        <w:t>w</w:t>
      </w:r>
      <w:r w:rsidR="00B15150" w:rsidRPr="00990CE8">
        <w:rPr>
          <w:rFonts w:ascii="Lato" w:hAnsi="Lato"/>
        </w:rPr>
        <w:t xml:space="preserve"> użytkowani</w:t>
      </w:r>
      <w:r w:rsidR="006F36CA" w:rsidRPr="00990CE8">
        <w:rPr>
          <w:rFonts w:ascii="Lato" w:hAnsi="Lato"/>
        </w:rPr>
        <w:t xml:space="preserve">e </w:t>
      </w:r>
      <w:r w:rsidR="00B15150" w:rsidRPr="00990CE8">
        <w:rPr>
          <w:rFonts w:ascii="Lato" w:hAnsi="Lato"/>
        </w:rPr>
        <w:t>wieczyste</w:t>
      </w:r>
      <w:r w:rsidR="00E70DDF" w:rsidRPr="00990CE8">
        <w:rPr>
          <w:rFonts w:ascii="Lato" w:hAnsi="Lato"/>
        </w:rPr>
        <w:t xml:space="preserve"> </w:t>
      </w:r>
      <w:r w:rsidR="00170E13" w:rsidRPr="00990CE8">
        <w:rPr>
          <w:rFonts w:ascii="Lato" w:hAnsi="Lato"/>
        </w:rPr>
        <w:t xml:space="preserve">mogą być uznane za wydatek kwalifikowalny w następującym zakresie: </w:t>
      </w:r>
    </w:p>
    <w:p w14:paraId="0508E9B2" w14:textId="51D84910" w:rsidR="00E70DDF" w:rsidRPr="00990CE8" w:rsidRDefault="00170E13" w:rsidP="00990CE8">
      <w:pPr>
        <w:pStyle w:val="Akapitzlist"/>
        <w:spacing w:before="120" w:after="120"/>
        <w:ind w:left="993" w:hanging="426"/>
        <w:jc w:val="both"/>
        <w:rPr>
          <w:rFonts w:ascii="Lato" w:hAnsi="Lato"/>
        </w:rPr>
      </w:pPr>
      <w:r w:rsidRPr="00990CE8">
        <w:rPr>
          <w:rFonts w:ascii="Lato" w:hAnsi="Lato"/>
        </w:rPr>
        <w:t>1)</w:t>
      </w:r>
      <w:r w:rsidR="00253436">
        <w:rPr>
          <w:rFonts w:ascii="Lato" w:hAnsi="Lato"/>
        </w:rPr>
        <w:tab/>
      </w:r>
      <w:r w:rsidRPr="00990CE8">
        <w:rPr>
          <w:rFonts w:ascii="Lato" w:hAnsi="Lato"/>
        </w:rPr>
        <w:t>pierwsza</w:t>
      </w:r>
      <w:r w:rsidR="00B15150" w:rsidRPr="00990CE8">
        <w:rPr>
          <w:rFonts w:ascii="Lato" w:hAnsi="Lato"/>
        </w:rPr>
        <w:t xml:space="preserve"> opłat</w:t>
      </w:r>
      <w:r w:rsidRPr="00990CE8">
        <w:rPr>
          <w:rFonts w:ascii="Lato" w:hAnsi="Lato"/>
        </w:rPr>
        <w:t>a</w:t>
      </w:r>
      <w:r w:rsidR="00B15150" w:rsidRPr="00990CE8">
        <w:rPr>
          <w:rFonts w:ascii="Lato" w:hAnsi="Lato"/>
        </w:rPr>
        <w:t xml:space="preserve"> z</w:t>
      </w:r>
      <w:r w:rsidR="00E70DDF" w:rsidRPr="00990CE8">
        <w:rPr>
          <w:rFonts w:ascii="Lato" w:hAnsi="Lato"/>
        </w:rPr>
        <w:t xml:space="preserve">  tytułu</w:t>
      </w:r>
      <w:r w:rsidR="00B15150" w:rsidRPr="00990CE8">
        <w:rPr>
          <w:rFonts w:ascii="Lato" w:hAnsi="Lato"/>
        </w:rPr>
        <w:t xml:space="preserve"> </w:t>
      </w:r>
      <w:r w:rsidR="006B0017" w:rsidRPr="00990CE8">
        <w:rPr>
          <w:rFonts w:ascii="Lato" w:hAnsi="Lato"/>
        </w:rPr>
        <w:t>objęcia</w:t>
      </w:r>
      <w:r w:rsidR="002B7ADC" w:rsidRPr="00990CE8">
        <w:rPr>
          <w:rFonts w:ascii="Lato" w:hAnsi="Lato"/>
        </w:rPr>
        <w:t xml:space="preserve"> </w:t>
      </w:r>
      <w:r w:rsidR="00B15150" w:rsidRPr="00990CE8">
        <w:rPr>
          <w:rFonts w:ascii="Lato" w:hAnsi="Lato"/>
        </w:rPr>
        <w:t>nieruchomości grunt</w:t>
      </w:r>
      <w:r w:rsidR="006B0017" w:rsidRPr="00990CE8">
        <w:rPr>
          <w:rFonts w:ascii="Lato" w:hAnsi="Lato"/>
        </w:rPr>
        <w:t>owej</w:t>
      </w:r>
      <w:r w:rsidR="00BB4F3A" w:rsidRPr="00990CE8">
        <w:rPr>
          <w:rFonts w:ascii="Lato" w:hAnsi="Lato"/>
        </w:rPr>
        <w:t xml:space="preserve"> </w:t>
      </w:r>
      <w:r w:rsidR="00B15150" w:rsidRPr="00990CE8">
        <w:rPr>
          <w:rFonts w:ascii="Lato" w:hAnsi="Lato"/>
        </w:rPr>
        <w:t>w użytkowanie wieczyste</w:t>
      </w:r>
      <w:r w:rsidR="000F0007" w:rsidRPr="00990CE8">
        <w:rPr>
          <w:rFonts w:ascii="Lato" w:hAnsi="Lato"/>
        </w:rPr>
        <w:t>,</w:t>
      </w:r>
      <w:r w:rsidR="00B15150" w:rsidRPr="00990CE8">
        <w:rPr>
          <w:rFonts w:ascii="Lato" w:hAnsi="Lato"/>
        </w:rPr>
        <w:t xml:space="preserve"> </w:t>
      </w:r>
    </w:p>
    <w:p w14:paraId="101A9783" w14:textId="5429CAB7" w:rsidR="000F0007" w:rsidRPr="00990CE8" w:rsidRDefault="00170E13" w:rsidP="00990CE8">
      <w:pPr>
        <w:pStyle w:val="Akapitzlist"/>
        <w:spacing w:before="120" w:after="120"/>
        <w:ind w:left="993" w:hanging="426"/>
        <w:jc w:val="both"/>
        <w:rPr>
          <w:rFonts w:ascii="Lato" w:hAnsi="Lato"/>
        </w:rPr>
      </w:pPr>
      <w:r w:rsidRPr="00990CE8">
        <w:rPr>
          <w:rFonts w:ascii="Lato" w:hAnsi="Lato"/>
        </w:rPr>
        <w:t>2)</w:t>
      </w:r>
      <w:r w:rsidR="00253436">
        <w:rPr>
          <w:rFonts w:ascii="Lato" w:hAnsi="Lato"/>
        </w:rPr>
        <w:tab/>
      </w:r>
      <w:r w:rsidR="00B15150" w:rsidRPr="00990CE8">
        <w:rPr>
          <w:rFonts w:ascii="Lato" w:hAnsi="Lato"/>
        </w:rPr>
        <w:t xml:space="preserve">opłaty roczne wnoszone przez okres użytkowania wieczystego </w:t>
      </w:r>
      <w:r w:rsidR="00A234E5" w:rsidRPr="00990CE8">
        <w:rPr>
          <w:rFonts w:ascii="Lato" w:hAnsi="Lato"/>
        </w:rPr>
        <w:t xml:space="preserve">poniesione </w:t>
      </w:r>
      <w:r w:rsidR="00B15150" w:rsidRPr="00990CE8">
        <w:rPr>
          <w:rFonts w:ascii="Lato" w:hAnsi="Lato"/>
        </w:rPr>
        <w:t>w</w:t>
      </w:r>
      <w:r w:rsidR="000916BC" w:rsidRPr="005F2138">
        <w:rPr>
          <w:rFonts w:ascii="Lato" w:hAnsi="Lato"/>
        </w:rPr>
        <w:t> </w:t>
      </w:r>
      <w:r w:rsidR="00B15150" w:rsidRPr="00990CE8">
        <w:rPr>
          <w:rFonts w:ascii="Lato" w:hAnsi="Lato"/>
        </w:rPr>
        <w:t>okresie</w:t>
      </w:r>
      <w:r w:rsidR="003D6621" w:rsidRPr="00990CE8">
        <w:rPr>
          <w:rFonts w:ascii="Lato" w:hAnsi="Lato"/>
        </w:rPr>
        <w:t xml:space="preserve"> kwalifikowalności wydatków</w:t>
      </w:r>
      <w:r w:rsidRPr="00990CE8">
        <w:rPr>
          <w:rFonts w:ascii="Lato" w:hAnsi="Lato"/>
        </w:rPr>
        <w:t xml:space="preserve"> zgodnie z </w:t>
      </w:r>
      <w:r w:rsidR="00E66646" w:rsidRPr="00990CE8">
        <w:rPr>
          <w:rFonts w:ascii="Lato" w:hAnsi="Lato"/>
        </w:rPr>
        <w:t>treścią</w:t>
      </w:r>
      <w:r w:rsidRPr="00990CE8">
        <w:rPr>
          <w:rFonts w:ascii="Lato" w:hAnsi="Lato"/>
        </w:rPr>
        <w:t xml:space="preserve"> podrozdziału 3.2 Ramy czasowe kwalifikowalności</w:t>
      </w:r>
      <w:r w:rsidR="000F0007" w:rsidRPr="00990CE8">
        <w:rPr>
          <w:rFonts w:ascii="Lato" w:hAnsi="Lato"/>
        </w:rPr>
        <w:t>,</w:t>
      </w:r>
    </w:p>
    <w:p w14:paraId="00710D5F" w14:textId="1B829BC3" w:rsidR="00F51980" w:rsidRPr="00990CE8" w:rsidRDefault="000F0007" w:rsidP="00990CE8">
      <w:pPr>
        <w:pStyle w:val="Akapitzlist"/>
        <w:spacing w:before="120" w:after="120"/>
        <w:ind w:left="993" w:hanging="426"/>
        <w:jc w:val="both"/>
        <w:rPr>
          <w:rFonts w:ascii="Lato" w:hAnsi="Lato"/>
        </w:rPr>
      </w:pPr>
      <w:r w:rsidRPr="00990CE8">
        <w:rPr>
          <w:rFonts w:ascii="Lato" w:hAnsi="Lato"/>
        </w:rPr>
        <w:t>3)</w:t>
      </w:r>
      <w:r w:rsidR="00253436">
        <w:rPr>
          <w:rFonts w:ascii="Lato" w:hAnsi="Lato"/>
        </w:rPr>
        <w:tab/>
      </w:r>
      <w:r w:rsidRPr="00990CE8">
        <w:rPr>
          <w:rFonts w:ascii="Lato" w:hAnsi="Lato"/>
        </w:rPr>
        <w:t>wydatki są związane z równoczesnym  nabyciem  budynków i innych urządzeń położonych na tej nieruchomości stanowiącej przedmiot użytkowania wieczystego, przy czym wydatek zadeklarowany jako kwalifikowalny nie może przekraczać wartości rynkowej tych budynków i urządzeń.</w:t>
      </w:r>
    </w:p>
    <w:p w14:paraId="4319A8D7" w14:textId="7C9E3BB0" w:rsidR="0091435A" w:rsidRPr="00990CE8" w:rsidRDefault="0091435A" w:rsidP="00990CE8">
      <w:pPr>
        <w:pStyle w:val="Akapitzlist"/>
        <w:spacing w:before="120" w:after="120"/>
        <w:ind w:left="993" w:hanging="426"/>
        <w:jc w:val="both"/>
        <w:rPr>
          <w:rFonts w:ascii="Lato" w:hAnsi="Lato"/>
        </w:rPr>
      </w:pPr>
      <w:r w:rsidRPr="00990CE8">
        <w:rPr>
          <w:rFonts w:ascii="Lato" w:hAnsi="Lato"/>
        </w:rPr>
        <w:lastRenderedPageBreak/>
        <w:t>4)</w:t>
      </w:r>
      <w:r w:rsidR="00253436">
        <w:rPr>
          <w:rFonts w:ascii="Lato" w:hAnsi="Lato"/>
        </w:rPr>
        <w:tab/>
      </w:r>
      <w:r w:rsidRPr="00990CE8">
        <w:rPr>
          <w:rFonts w:ascii="Lato" w:hAnsi="Lato"/>
        </w:rPr>
        <w:t xml:space="preserve">wydatki związane z objęciem nieruchomości gruntowej w użytkowanie wieczyste z równoczesnym  nabyciem  budynków i innych urządzeń położonych na tej nieruchomości nie mogą przekroczyć 10 % całkowitych wydatków kwalifikowalnych przedsięwzięcia.  </w:t>
      </w:r>
    </w:p>
    <w:p w14:paraId="33764A30" w14:textId="23DF1D12" w:rsidR="00F51980" w:rsidRPr="00990CE8" w:rsidRDefault="00155EF3" w:rsidP="00990CE8">
      <w:pPr>
        <w:spacing w:before="120" w:after="120"/>
        <w:ind w:left="426" w:hanging="426"/>
        <w:jc w:val="both"/>
        <w:rPr>
          <w:rFonts w:ascii="Lato" w:hAnsi="Lato"/>
        </w:rPr>
      </w:pPr>
      <w:r w:rsidRPr="00990CE8">
        <w:rPr>
          <w:rFonts w:ascii="Lato" w:hAnsi="Lato"/>
        </w:rPr>
        <w:t>2.</w:t>
      </w:r>
      <w:r w:rsidR="00FC3E26">
        <w:rPr>
          <w:rFonts w:ascii="Lato" w:hAnsi="Lato"/>
        </w:rPr>
        <w:tab/>
      </w:r>
      <w:r w:rsidR="00F51980" w:rsidRPr="00990CE8">
        <w:rPr>
          <w:rFonts w:ascii="Lato" w:hAnsi="Lato"/>
        </w:rPr>
        <w:t>Opłaty związane z użytkowaniem wieczystym, o których mowa w ust.</w:t>
      </w:r>
      <w:r w:rsidRPr="00990CE8">
        <w:rPr>
          <w:rFonts w:ascii="Lato" w:hAnsi="Lato"/>
        </w:rPr>
        <w:t>1</w:t>
      </w:r>
      <w:r w:rsidR="0091435A" w:rsidRPr="00990CE8">
        <w:rPr>
          <w:rFonts w:ascii="Lato" w:hAnsi="Lato"/>
        </w:rPr>
        <w:t>,</w:t>
      </w:r>
      <w:r w:rsidR="00F51980" w:rsidRPr="00990CE8">
        <w:rPr>
          <w:rFonts w:ascii="Lato" w:hAnsi="Lato"/>
        </w:rPr>
        <w:t xml:space="preserve"> będą ostatecznie uznane za kwalifikowalne i rozliczone w ramach wniosku o płatność, jeżeli spełnione będą łącznie następujące warunki:</w:t>
      </w:r>
    </w:p>
    <w:p w14:paraId="29FE8847" w14:textId="3EC7B978" w:rsidR="00F51980" w:rsidRPr="00990CE8" w:rsidRDefault="00F51980" w:rsidP="00990CE8">
      <w:pPr>
        <w:pStyle w:val="Akapitzlist"/>
        <w:numPr>
          <w:ilvl w:val="0"/>
          <w:numId w:val="132"/>
        </w:numPr>
        <w:spacing w:before="120" w:after="120"/>
        <w:ind w:left="1134" w:hanging="283"/>
        <w:jc w:val="both"/>
        <w:rPr>
          <w:rFonts w:ascii="Lato" w:hAnsi="Lato"/>
        </w:rPr>
      </w:pPr>
      <w:r w:rsidRPr="00990CE8">
        <w:rPr>
          <w:rFonts w:ascii="Lato" w:hAnsi="Lato"/>
        </w:rPr>
        <w:t>wydatki są zgodne z</w:t>
      </w:r>
      <w:r w:rsidR="006F36CA" w:rsidRPr="00990CE8">
        <w:rPr>
          <w:rFonts w:ascii="Lato" w:hAnsi="Lato"/>
        </w:rPr>
        <w:t xml:space="preserve"> treścią</w:t>
      </w:r>
      <w:r w:rsidRPr="00990CE8">
        <w:rPr>
          <w:rFonts w:ascii="Lato" w:hAnsi="Lato"/>
        </w:rPr>
        <w:t xml:space="preserve"> postanowie</w:t>
      </w:r>
      <w:r w:rsidR="006F36CA" w:rsidRPr="00990CE8">
        <w:rPr>
          <w:rFonts w:ascii="Lato" w:hAnsi="Lato"/>
        </w:rPr>
        <w:t xml:space="preserve">ń </w:t>
      </w:r>
      <w:r w:rsidRPr="00990CE8">
        <w:rPr>
          <w:rFonts w:ascii="Lato" w:hAnsi="Lato"/>
        </w:rPr>
        <w:t xml:space="preserve">umowy </w:t>
      </w:r>
      <w:r w:rsidR="00F337EB" w:rsidRPr="00990CE8">
        <w:rPr>
          <w:rFonts w:ascii="Lato" w:hAnsi="Lato"/>
        </w:rPr>
        <w:t>o</w:t>
      </w:r>
      <w:r w:rsidRPr="00990CE8">
        <w:rPr>
          <w:rFonts w:ascii="Lato" w:hAnsi="Lato"/>
        </w:rPr>
        <w:t xml:space="preserve"> oddani</w:t>
      </w:r>
      <w:r w:rsidR="00F337EB" w:rsidRPr="00990CE8">
        <w:rPr>
          <w:rFonts w:ascii="Lato" w:hAnsi="Lato"/>
        </w:rPr>
        <w:t>e</w:t>
      </w:r>
      <w:r w:rsidRPr="00990CE8">
        <w:rPr>
          <w:rFonts w:ascii="Lato" w:hAnsi="Lato"/>
        </w:rPr>
        <w:t xml:space="preserve"> nieruchomości</w:t>
      </w:r>
      <w:r w:rsidR="00F337EB" w:rsidRPr="00990CE8">
        <w:rPr>
          <w:rFonts w:ascii="Lato" w:hAnsi="Lato"/>
        </w:rPr>
        <w:t xml:space="preserve"> grunt</w:t>
      </w:r>
      <w:r w:rsidR="00492DEE" w:rsidRPr="00990CE8">
        <w:rPr>
          <w:rFonts w:ascii="Lato" w:hAnsi="Lato"/>
        </w:rPr>
        <w:t>owej</w:t>
      </w:r>
      <w:r w:rsidR="00BB4F3A" w:rsidRPr="00990CE8">
        <w:rPr>
          <w:rFonts w:ascii="Lato" w:hAnsi="Lato"/>
        </w:rPr>
        <w:t xml:space="preserve"> </w:t>
      </w:r>
      <w:r w:rsidRPr="00990CE8">
        <w:rPr>
          <w:rFonts w:ascii="Lato" w:hAnsi="Lato"/>
        </w:rPr>
        <w:t>w użytkowanie wieczyste;</w:t>
      </w:r>
    </w:p>
    <w:p w14:paraId="0711839B" w14:textId="4F064DFA" w:rsidR="00EF6A81" w:rsidRPr="00990CE8" w:rsidRDefault="00DB314B" w:rsidP="00990CE8">
      <w:pPr>
        <w:pStyle w:val="Akapitzlist"/>
        <w:numPr>
          <w:ilvl w:val="0"/>
          <w:numId w:val="132"/>
        </w:numPr>
        <w:spacing w:before="120" w:after="120"/>
        <w:ind w:left="1134" w:hanging="283"/>
        <w:jc w:val="both"/>
        <w:rPr>
          <w:rFonts w:ascii="Lato" w:hAnsi="Lato"/>
        </w:rPr>
      </w:pPr>
      <w:r w:rsidRPr="00990CE8">
        <w:rPr>
          <w:rFonts w:ascii="Lato" w:hAnsi="Lato"/>
        </w:rPr>
        <w:t xml:space="preserve">wydatek zadeklarowany jako kwalifikowalny nie przekracza wartości rynkowej </w:t>
      </w:r>
      <w:r w:rsidR="00BB4F3A" w:rsidRPr="00990CE8">
        <w:rPr>
          <w:rFonts w:ascii="Lato" w:hAnsi="Lato"/>
        </w:rPr>
        <w:t>o</w:t>
      </w:r>
      <w:r w:rsidR="005D2762" w:rsidRPr="00990CE8">
        <w:rPr>
          <w:rFonts w:ascii="Lato" w:hAnsi="Lato"/>
        </w:rPr>
        <w:t>bjęc</w:t>
      </w:r>
      <w:r w:rsidR="00BB4F3A" w:rsidRPr="00990CE8">
        <w:rPr>
          <w:rFonts w:ascii="Lato" w:hAnsi="Lato"/>
        </w:rPr>
        <w:t>ia</w:t>
      </w:r>
      <w:r w:rsidR="00C06304" w:rsidRPr="00990CE8">
        <w:rPr>
          <w:rFonts w:ascii="Lato" w:hAnsi="Lato"/>
        </w:rPr>
        <w:t xml:space="preserve"> nieruchomości</w:t>
      </w:r>
      <w:r w:rsidR="00155EF3" w:rsidRPr="00990CE8">
        <w:rPr>
          <w:rFonts w:ascii="Lato" w:hAnsi="Lato"/>
        </w:rPr>
        <w:t xml:space="preserve"> </w:t>
      </w:r>
      <w:r w:rsidR="00BB4F3A" w:rsidRPr="00990CE8">
        <w:rPr>
          <w:rFonts w:ascii="Lato" w:hAnsi="Lato"/>
        </w:rPr>
        <w:t>grunt</w:t>
      </w:r>
      <w:r w:rsidR="00C06304" w:rsidRPr="00990CE8">
        <w:rPr>
          <w:rFonts w:ascii="Lato" w:hAnsi="Lato"/>
        </w:rPr>
        <w:t>owej</w:t>
      </w:r>
      <w:r w:rsidR="00BB4F3A" w:rsidRPr="00990CE8">
        <w:rPr>
          <w:rFonts w:ascii="Lato" w:hAnsi="Lato"/>
        </w:rPr>
        <w:t xml:space="preserve"> </w:t>
      </w:r>
      <w:r w:rsidR="00155EF3" w:rsidRPr="00990CE8">
        <w:rPr>
          <w:rFonts w:ascii="Lato" w:hAnsi="Lato"/>
        </w:rPr>
        <w:t xml:space="preserve">w </w:t>
      </w:r>
      <w:r w:rsidRPr="00990CE8">
        <w:rPr>
          <w:rFonts w:ascii="Lato" w:hAnsi="Lato"/>
        </w:rPr>
        <w:t>użytkowani</w:t>
      </w:r>
      <w:r w:rsidR="00155EF3" w:rsidRPr="00990CE8">
        <w:rPr>
          <w:rFonts w:ascii="Lato" w:hAnsi="Lato"/>
        </w:rPr>
        <w:t xml:space="preserve">e </w:t>
      </w:r>
      <w:r w:rsidRPr="00990CE8">
        <w:rPr>
          <w:rFonts w:ascii="Lato" w:hAnsi="Lato"/>
        </w:rPr>
        <w:t xml:space="preserve">wieczyste, </w:t>
      </w:r>
      <w:r w:rsidR="00155EF3" w:rsidRPr="00990CE8">
        <w:rPr>
          <w:rFonts w:ascii="Lato" w:hAnsi="Lato"/>
        </w:rPr>
        <w:t>co</w:t>
      </w:r>
      <w:r w:rsidR="000916BC" w:rsidRPr="005F2138">
        <w:rPr>
          <w:rFonts w:ascii="Lato" w:hAnsi="Lato"/>
        </w:rPr>
        <w:t> </w:t>
      </w:r>
      <w:r w:rsidR="00155EF3" w:rsidRPr="00990CE8">
        <w:rPr>
          <w:rFonts w:ascii="Lato" w:hAnsi="Lato"/>
        </w:rPr>
        <w:t xml:space="preserve">zostało </w:t>
      </w:r>
      <w:r w:rsidRPr="00990CE8">
        <w:rPr>
          <w:rFonts w:ascii="Lato" w:hAnsi="Lato"/>
        </w:rPr>
        <w:t>potwierdzone</w:t>
      </w:r>
      <w:r w:rsidR="00155EF3" w:rsidRPr="00990CE8">
        <w:rPr>
          <w:rFonts w:ascii="Lato" w:hAnsi="Lato"/>
        </w:rPr>
        <w:t xml:space="preserve"> </w:t>
      </w:r>
      <w:r w:rsidRPr="00990CE8">
        <w:rPr>
          <w:rFonts w:ascii="Lato" w:hAnsi="Lato"/>
        </w:rPr>
        <w:t xml:space="preserve"> operatem szacunkowym,</w:t>
      </w:r>
    </w:p>
    <w:p w14:paraId="3E240060" w14:textId="3FEA563F" w:rsidR="00EF6A81" w:rsidRPr="00990CE8" w:rsidRDefault="00F51980" w:rsidP="00990CE8">
      <w:pPr>
        <w:pStyle w:val="Akapitzlist"/>
        <w:numPr>
          <w:ilvl w:val="0"/>
          <w:numId w:val="132"/>
        </w:numPr>
        <w:spacing w:before="120" w:after="120"/>
        <w:ind w:left="1134" w:hanging="283"/>
        <w:jc w:val="both"/>
        <w:rPr>
          <w:rFonts w:ascii="Lato" w:hAnsi="Lato"/>
        </w:rPr>
      </w:pPr>
      <w:r w:rsidRPr="00990CE8">
        <w:rPr>
          <w:rFonts w:ascii="Lato" w:hAnsi="Lato"/>
        </w:rPr>
        <w:t>opłaty z tytułu użytkowania wieczystego zostały ustalone zgodnie z</w:t>
      </w:r>
      <w:r w:rsidR="000916BC" w:rsidRPr="005F2138">
        <w:rPr>
          <w:rFonts w:ascii="Lato" w:hAnsi="Lato"/>
        </w:rPr>
        <w:t> </w:t>
      </w:r>
      <w:r w:rsidR="006F36CA" w:rsidRPr="00990CE8">
        <w:rPr>
          <w:rFonts w:ascii="Lato" w:hAnsi="Lato"/>
        </w:rPr>
        <w:t xml:space="preserve">treścią </w:t>
      </w:r>
      <w:r w:rsidRPr="00990CE8">
        <w:rPr>
          <w:rFonts w:ascii="Lato" w:hAnsi="Lato"/>
        </w:rPr>
        <w:t>przepis</w:t>
      </w:r>
      <w:r w:rsidR="006F36CA" w:rsidRPr="00990CE8">
        <w:rPr>
          <w:rFonts w:ascii="Lato" w:hAnsi="Lato"/>
        </w:rPr>
        <w:t xml:space="preserve">ów </w:t>
      </w:r>
      <w:r w:rsidRPr="00990CE8">
        <w:rPr>
          <w:rFonts w:ascii="Lato" w:hAnsi="Lato"/>
        </w:rPr>
        <w:t>ustawy z dnia 21 sierpnia 1997 r. o gospodarce nieruchomościami</w:t>
      </w:r>
      <w:r w:rsidR="001C1BA0" w:rsidRPr="00990CE8">
        <w:rPr>
          <w:rFonts w:ascii="Lato" w:hAnsi="Lato"/>
        </w:rPr>
        <w:t>.</w:t>
      </w:r>
    </w:p>
    <w:p w14:paraId="35807227" w14:textId="6BAC55F7" w:rsidR="00EF6A81" w:rsidRPr="00990CE8" w:rsidRDefault="001C1BA0" w:rsidP="00990CE8">
      <w:pPr>
        <w:pStyle w:val="Akapitzlist"/>
        <w:numPr>
          <w:ilvl w:val="0"/>
          <w:numId w:val="89"/>
        </w:numPr>
        <w:spacing w:before="120" w:after="120"/>
        <w:ind w:left="426" w:hanging="426"/>
        <w:jc w:val="both"/>
        <w:rPr>
          <w:rFonts w:ascii="Lato" w:hAnsi="Lato"/>
        </w:rPr>
      </w:pPr>
      <w:r w:rsidRPr="00990CE8">
        <w:rPr>
          <w:rFonts w:ascii="Lato" w:hAnsi="Lato"/>
        </w:rPr>
        <w:t>Jeżeli opłaty związane z użytkowaniem wieczystym, o których mowa w ust.</w:t>
      </w:r>
      <w:r w:rsidR="00E81E08" w:rsidRPr="00990CE8">
        <w:rPr>
          <w:rFonts w:ascii="Lato" w:hAnsi="Lato"/>
        </w:rPr>
        <w:t xml:space="preserve"> </w:t>
      </w:r>
      <w:r w:rsidR="00155EF3" w:rsidRPr="00990CE8">
        <w:rPr>
          <w:rFonts w:ascii="Lato" w:hAnsi="Lato"/>
        </w:rPr>
        <w:t>1</w:t>
      </w:r>
      <w:r w:rsidR="00E81E08" w:rsidRPr="00990CE8">
        <w:rPr>
          <w:rFonts w:ascii="Lato" w:hAnsi="Lato"/>
        </w:rPr>
        <w:t xml:space="preserve"> </w:t>
      </w:r>
      <w:r w:rsidRPr="00990CE8">
        <w:rPr>
          <w:rFonts w:ascii="Lato" w:hAnsi="Lato"/>
        </w:rPr>
        <w:t>są wydatkami kwalifikowalnymi</w:t>
      </w:r>
      <w:r w:rsidR="00155EF3" w:rsidRPr="00990CE8">
        <w:rPr>
          <w:rFonts w:ascii="Lato" w:hAnsi="Lato"/>
        </w:rPr>
        <w:t>,</w:t>
      </w:r>
      <w:r w:rsidRPr="00990CE8">
        <w:rPr>
          <w:rFonts w:ascii="Lato" w:hAnsi="Lato"/>
        </w:rPr>
        <w:t xml:space="preserve"> następujące wydatki bezpośrednio związane z</w:t>
      </w:r>
      <w:r w:rsidR="000916BC" w:rsidRPr="00990CE8">
        <w:rPr>
          <w:rFonts w:ascii="Lato" w:hAnsi="Lato"/>
        </w:rPr>
        <w:t> </w:t>
      </w:r>
      <w:r w:rsidRPr="00990CE8">
        <w:rPr>
          <w:rFonts w:ascii="Lato" w:hAnsi="Lato"/>
        </w:rPr>
        <w:t>użytkowaniem wieczystym mogą być uznane za wydatki kwalifikowalne:</w:t>
      </w:r>
    </w:p>
    <w:p w14:paraId="75F0C709" w14:textId="77777777" w:rsidR="00EF6A81" w:rsidRPr="00990CE8" w:rsidRDefault="001C1BA0" w:rsidP="00990CE8">
      <w:pPr>
        <w:pStyle w:val="Akapitzlist"/>
        <w:numPr>
          <w:ilvl w:val="0"/>
          <w:numId w:val="136"/>
        </w:numPr>
        <w:spacing w:before="120" w:after="120"/>
        <w:ind w:left="1134" w:hanging="283"/>
        <w:jc w:val="both"/>
        <w:rPr>
          <w:rFonts w:ascii="Lato" w:hAnsi="Lato"/>
        </w:rPr>
      </w:pPr>
      <w:r w:rsidRPr="00990CE8">
        <w:rPr>
          <w:rFonts w:ascii="Lato" w:hAnsi="Lato"/>
        </w:rPr>
        <w:t>opracowanie niezbędnej dokumentacji geodezyjnej,</w:t>
      </w:r>
    </w:p>
    <w:p w14:paraId="375FDCE5" w14:textId="77777777" w:rsidR="00410BC0" w:rsidRPr="00990CE8" w:rsidRDefault="001C1BA0" w:rsidP="00990CE8">
      <w:pPr>
        <w:pStyle w:val="Akapitzlist"/>
        <w:numPr>
          <w:ilvl w:val="0"/>
          <w:numId w:val="136"/>
        </w:numPr>
        <w:spacing w:before="120" w:after="120"/>
        <w:ind w:left="1134" w:hanging="283"/>
        <w:jc w:val="both"/>
        <w:rPr>
          <w:rFonts w:ascii="Lato" w:hAnsi="Lato"/>
        </w:rPr>
      </w:pPr>
      <w:r w:rsidRPr="00990CE8">
        <w:rPr>
          <w:rFonts w:ascii="Lato" w:hAnsi="Lato"/>
        </w:rPr>
        <w:t xml:space="preserve">opłaty administracyjne i skarbowe, </w:t>
      </w:r>
    </w:p>
    <w:p w14:paraId="20BB1D71" w14:textId="77777777" w:rsidR="00410BC0" w:rsidRPr="00990CE8" w:rsidRDefault="001C1BA0" w:rsidP="00990CE8">
      <w:pPr>
        <w:pStyle w:val="Akapitzlist"/>
        <w:numPr>
          <w:ilvl w:val="0"/>
          <w:numId w:val="136"/>
        </w:numPr>
        <w:spacing w:before="120" w:after="120"/>
        <w:ind w:left="1134" w:hanging="283"/>
        <w:jc w:val="both"/>
        <w:rPr>
          <w:rFonts w:ascii="Lato" w:hAnsi="Lato"/>
        </w:rPr>
      </w:pPr>
      <w:r w:rsidRPr="00990CE8">
        <w:rPr>
          <w:rFonts w:ascii="Lato" w:hAnsi="Lato"/>
        </w:rPr>
        <w:t>wynagrodzenie rzeczoznawcy związane  ze sporządzeniem operatu szacunkowego,</w:t>
      </w:r>
    </w:p>
    <w:p w14:paraId="1D4E2808" w14:textId="77777777" w:rsidR="00410BC0" w:rsidRPr="00990CE8" w:rsidRDefault="001C1BA0" w:rsidP="00990CE8">
      <w:pPr>
        <w:pStyle w:val="Akapitzlist"/>
        <w:numPr>
          <w:ilvl w:val="0"/>
          <w:numId w:val="136"/>
        </w:numPr>
        <w:spacing w:before="120" w:after="120"/>
        <w:ind w:left="1134" w:hanging="283"/>
        <w:jc w:val="both"/>
        <w:rPr>
          <w:rFonts w:ascii="Lato" w:hAnsi="Lato"/>
        </w:rPr>
      </w:pPr>
      <w:r w:rsidRPr="00990CE8">
        <w:rPr>
          <w:rFonts w:ascii="Lato" w:hAnsi="Lato"/>
        </w:rPr>
        <w:t>opłaty notarialne</w:t>
      </w:r>
      <w:r w:rsidR="00A234E5" w:rsidRPr="00990CE8">
        <w:rPr>
          <w:rFonts w:ascii="Lato" w:hAnsi="Lato"/>
        </w:rPr>
        <w:t>,</w:t>
      </w:r>
    </w:p>
    <w:p w14:paraId="58D3D9AF" w14:textId="14542AD2" w:rsidR="00A234E5" w:rsidRPr="00990CE8" w:rsidRDefault="00A234E5" w:rsidP="00990CE8">
      <w:pPr>
        <w:pStyle w:val="Akapitzlist"/>
        <w:numPr>
          <w:ilvl w:val="0"/>
          <w:numId w:val="136"/>
        </w:numPr>
        <w:spacing w:before="120" w:after="120"/>
        <w:ind w:left="1134" w:hanging="283"/>
        <w:jc w:val="both"/>
        <w:rPr>
          <w:rFonts w:ascii="Lato" w:hAnsi="Lato"/>
        </w:rPr>
      </w:pPr>
      <w:r w:rsidRPr="00990CE8">
        <w:rPr>
          <w:rFonts w:ascii="Lato" w:hAnsi="Lato"/>
        </w:rPr>
        <w:t>wydatki poniesione na opłaty z tytułu</w:t>
      </w:r>
      <w:r w:rsidR="00410BC0" w:rsidRPr="00990CE8">
        <w:rPr>
          <w:rFonts w:ascii="Lato" w:hAnsi="Lato"/>
        </w:rPr>
        <w:t xml:space="preserve"> </w:t>
      </w:r>
      <w:r w:rsidRPr="00990CE8">
        <w:rPr>
          <w:rFonts w:ascii="Lato" w:hAnsi="Lato"/>
        </w:rPr>
        <w:t>trwał</w:t>
      </w:r>
      <w:r w:rsidR="00DE3FBD" w:rsidRPr="00990CE8">
        <w:rPr>
          <w:rFonts w:ascii="Lato" w:hAnsi="Lato"/>
        </w:rPr>
        <w:t xml:space="preserve">ego </w:t>
      </w:r>
      <w:r w:rsidRPr="00990CE8">
        <w:rPr>
          <w:rFonts w:ascii="Lato" w:hAnsi="Lato"/>
        </w:rPr>
        <w:t xml:space="preserve"> zarząd</w:t>
      </w:r>
      <w:r w:rsidR="00DE3FBD" w:rsidRPr="00990CE8">
        <w:rPr>
          <w:rFonts w:ascii="Lato" w:hAnsi="Lato"/>
        </w:rPr>
        <w:t>u</w:t>
      </w:r>
      <w:r w:rsidRPr="00990CE8">
        <w:rPr>
          <w:rFonts w:ascii="Lato" w:hAnsi="Lato"/>
        </w:rPr>
        <w:t>,</w:t>
      </w:r>
      <w:r w:rsidR="005218EE" w:rsidRPr="00990CE8">
        <w:rPr>
          <w:rFonts w:ascii="Lato" w:hAnsi="Lato"/>
        </w:rPr>
        <w:t xml:space="preserve"> jeżeli są zgodne z</w:t>
      </w:r>
      <w:r w:rsidR="00FC3E26">
        <w:rPr>
          <w:rFonts w:ascii="Lato" w:hAnsi="Lato"/>
        </w:rPr>
        <w:t> </w:t>
      </w:r>
      <w:r w:rsidR="005218EE" w:rsidRPr="00990CE8">
        <w:rPr>
          <w:rFonts w:ascii="Lato" w:hAnsi="Lato"/>
        </w:rPr>
        <w:t>treścią decyzji w przedmiocie ustalenia wysokości opłat z tytułu trwałego zarządu.</w:t>
      </w:r>
    </w:p>
    <w:p w14:paraId="552616A6" w14:textId="618DCE05" w:rsidR="00B05E9C" w:rsidRPr="00990CE8" w:rsidRDefault="00086386" w:rsidP="00990CE8">
      <w:pPr>
        <w:spacing w:before="120" w:after="120"/>
        <w:ind w:left="426" w:hanging="426"/>
        <w:jc w:val="both"/>
        <w:rPr>
          <w:rFonts w:ascii="Lato" w:hAnsi="Lato"/>
        </w:rPr>
      </w:pPr>
      <w:r w:rsidRPr="00990CE8">
        <w:rPr>
          <w:rFonts w:ascii="Lato" w:hAnsi="Lato"/>
        </w:rPr>
        <w:t>4.</w:t>
      </w:r>
      <w:r w:rsidR="00FC3E26">
        <w:rPr>
          <w:rFonts w:ascii="Lato" w:hAnsi="Lato"/>
        </w:rPr>
        <w:tab/>
      </w:r>
      <w:r w:rsidRPr="00990CE8">
        <w:rPr>
          <w:rFonts w:ascii="Lato" w:hAnsi="Lato"/>
        </w:rPr>
        <w:t>W przypadku wykorzystania d</w:t>
      </w:r>
      <w:r w:rsidR="003403CD" w:rsidRPr="00990CE8">
        <w:rPr>
          <w:rFonts w:ascii="Lato" w:hAnsi="Lato"/>
        </w:rPr>
        <w:t>o</w:t>
      </w:r>
      <w:r w:rsidRPr="00990CE8">
        <w:rPr>
          <w:rFonts w:ascii="Lato" w:hAnsi="Lato"/>
        </w:rPr>
        <w:t xml:space="preserve"> realizacji przedsięwzięcia nieruchomości, którą Ostateczny odbiorca wsparcia obejmuje w użytkowanie wieczyste</w:t>
      </w:r>
      <w:r w:rsidR="00F6655F" w:rsidRPr="00990CE8">
        <w:rPr>
          <w:rFonts w:ascii="Lato" w:hAnsi="Lato"/>
        </w:rPr>
        <w:t xml:space="preserve"> wraz z</w:t>
      </w:r>
      <w:r w:rsidR="000916BC" w:rsidRPr="005F2138">
        <w:rPr>
          <w:rFonts w:ascii="Lato" w:hAnsi="Lato"/>
        </w:rPr>
        <w:t> </w:t>
      </w:r>
      <w:r w:rsidR="00F6655F" w:rsidRPr="00990CE8">
        <w:rPr>
          <w:rFonts w:ascii="Lato" w:hAnsi="Lato"/>
        </w:rPr>
        <w:t>równoczesnym nabyciem budynków i innych urządzeń położonych na tej nieruchomości</w:t>
      </w:r>
      <w:r w:rsidRPr="00990CE8">
        <w:rPr>
          <w:rFonts w:ascii="Lato" w:hAnsi="Lato"/>
        </w:rPr>
        <w:t>, obowiązują wszystkie warunki dotyczące trwałości przedsięwzięcia określone w podrozdziale 3.8.</w:t>
      </w:r>
    </w:p>
    <w:p w14:paraId="0D5B8048" w14:textId="0A54FAA3" w:rsidR="00B05E9C" w:rsidRPr="00990CE8" w:rsidRDefault="00DE3FBD" w:rsidP="00990CE8">
      <w:pPr>
        <w:pStyle w:val="Akapitzlist"/>
        <w:numPr>
          <w:ilvl w:val="2"/>
          <w:numId w:val="139"/>
        </w:numPr>
        <w:spacing w:before="120" w:after="120"/>
        <w:ind w:left="0" w:firstLine="0"/>
        <w:jc w:val="both"/>
        <w:rPr>
          <w:rFonts w:ascii="Lato" w:hAnsi="Lato"/>
          <w:b/>
          <w:bCs/>
          <w:i/>
          <w:iCs/>
        </w:rPr>
      </w:pPr>
      <w:r w:rsidRPr="00990CE8">
        <w:rPr>
          <w:rFonts w:ascii="Lato" w:hAnsi="Lato"/>
          <w:b/>
          <w:bCs/>
          <w:i/>
          <w:iCs/>
        </w:rPr>
        <w:lastRenderedPageBreak/>
        <w:t xml:space="preserve">Wydatki wynikające z nawiązanego na podstawie umowy stosunku najmu lub dzierżawy nieruchomości </w:t>
      </w:r>
    </w:p>
    <w:p w14:paraId="50F5BC04" w14:textId="18258B62" w:rsidR="005218EE" w:rsidRPr="00990CE8" w:rsidRDefault="005218EE" w:rsidP="00990CE8">
      <w:pPr>
        <w:spacing w:before="120" w:after="120"/>
        <w:ind w:left="426" w:hanging="426"/>
        <w:jc w:val="both"/>
        <w:rPr>
          <w:rFonts w:ascii="Lato" w:hAnsi="Lato"/>
        </w:rPr>
      </w:pPr>
      <w:r w:rsidRPr="00990CE8">
        <w:rPr>
          <w:rFonts w:ascii="Lato" w:hAnsi="Lato"/>
        </w:rPr>
        <w:t>1</w:t>
      </w:r>
      <w:r w:rsidR="00B05E9C" w:rsidRPr="00990CE8">
        <w:rPr>
          <w:rFonts w:ascii="Lato" w:hAnsi="Lato"/>
        </w:rPr>
        <w:t>.</w:t>
      </w:r>
      <w:r w:rsidR="00E54410">
        <w:rPr>
          <w:rFonts w:ascii="Lato" w:hAnsi="Lato"/>
        </w:rPr>
        <w:tab/>
      </w:r>
      <w:r w:rsidRPr="00990CE8">
        <w:rPr>
          <w:rFonts w:ascii="Lato" w:hAnsi="Lato"/>
        </w:rPr>
        <w:t>Najem lub dzierżawa nieruchomości będzie ostatecznie uznany/ uznana za wydatek kwalifikowalny i rozliczony/ rozliczona w ramach wniosku o płatność, jeśli zostaną spełnione</w:t>
      </w:r>
      <w:r w:rsidR="00B72050" w:rsidRPr="00990CE8">
        <w:rPr>
          <w:rFonts w:ascii="Lato" w:hAnsi="Lato"/>
        </w:rPr>
        <w:t xml:space="preserve"> łącznie </w:t>
      </w:r>
      <w:r w:rsidRPr="00990CE8">
        <w:rPr>
          <w:rFonts w:ascii="Lato" w:hAnsi="Lato"/>
        </w:rPr>
        <w:t>następujące warunki:</w:t>
      </w:r>
    </w:p>
    <w:p w14:paraId="5E23B61E" w14:textId="66C54B53" w:rsidR="005218EE" w:rsidRPr="00990CE8" w:rsidRDefault="005218EE" w:rsidP="00990CE8">
      <w:pPr>
        <w:spacing w:before="120" w:after="120"/>
        <w:ind w:left="993" w:hanging="426"/>
        <w:jc w:val="both"/>
        <w:rPr>
          <w:rFonts w:ascii="Lato" w:hAnsi="Lato"/>
        </w:rPr>
      </w:pPr>
      <w:r w:rsidRPr="00990CE8">
        <w:rPr>
          <w:rFonts w:ascii="Lato" w:hAnsi="Lato"/>
        </w:rPr>
        <w:t>1)</w:t>
      </w:r>
      <w:r w:rsidR="00253436">
        <w:rPr>
          <w:rFonts w:ascii="Lato" w:hAnsi="Lato"/>
        </w:rPr>
        <w:tab/>
      </w:r>
      <w:r w:rsidRPr="00990CE8">
        <w:rPr>
          <w:rFonts w:ascii="Lato" w:hAnsi="Lato"/>
        </w:rPr>
        <w:t>przedmiotowa nieruchomość jest niezbędna do realizacji przedsięwzięcia i</w:t>
      </w:r>
      <w:r w:rsidR="000916BC" w:rsidRPr="005F2138">
        <w:rPr>
          <w:rFonts w:ascii="Lato" w:hAnsi="Lato"/>
        </w:rPr>
        <w:t> </w:t>
      </w:r>
      <w:r w:rsidRPr="00990CE8">
        <w:rPr>
          <w:rFonts w:ascii="Lato" w:hAnsi="Lato"/>
        </w:rPr>
        <w:t>kwalifikowalna wyłącznie w zakresie, w jakim jest wykorzystana do celów realizacji przedsięwzięcia  zgodnie z  rekomendacją określoną przez Ostatecznego odbiorcę wsparcia w analizie wariantowej</w:t>
      </w:r>
      <w:r w:rsidR="00B72050" w:rsidRPr="00990CE8">
        <w:rPr>
          <w:rFonts w:ascii="Lato" w:hAnsi="Lato"/>
        </w:rPr>
        <w:t>;</w:t>
      </w:r>
    </w:p>
    <w:p w14:paraId="6C153B1B" w14:textId="5446D0CF" w:rsidR="00656643" w:rsidRPr="00990CE8" w:rsidRDefault="005218EE" w:rsidP="00990CE8">
      <w:pPr>
        <w:spacing w:before="120" w:after="120"/>
        <w:ind w:left="993" w:hanging="426"/>
        <w:jc w:val="both"/>
        <w:rPr>
          <w:rFonts w:ascii="Lato" w:hAnsi="Lato"/>
        </w:rPr>
      </w:pPr>
      <w:r w:rsidRPr="00990CE8">
        <w:rPr>
          <w:rFonts w:ascii="Lato" w:hAnsi="Lato"/>
        </w:rPr>
        <w:t>2)</w:t>
      </w:r>
      <w:r w:rsidR="00253436">
        <w:rPr>
          <w:rFonts w:ascii="Lato" w:hAnsi="Lato"/>
        </w:rPr>
        <w:tab/>
      </w:r>
      <w:r w:rsidR="00E07D9E" w:rsidRPr="00990CE8">
        <w:rPr>
          <w:rFonts w:ascii="Lato" w:hAnsi="Lato"/>
        </w:rPr>
        <w:t>wydatki stanowiące sumę czynszu najmu lub dzierżawy poniesione w okresie</w:t>
      </w:r>
      <w:r w:rsidR="00B72050" w:rsidRPr="00990CE8">
        <w:rPr>
          <w:rFonts w:ascii="Lato" w:hAnsi="Lato"/>
        </w:rPr>
        <w:t xml:space="preserve"> ich</w:t>
      </w:r>
      <w:r w:rsidR="00E07D9E" w:rsidRPr="00990CE8">
        <w:rPr>
          <w:rFonts w:ascii="Lato" w:hAnsi="Lato"/>
        </w:rPr>
        <w:t xml:space="preserve"> </w:t>
      </w:r>
      <w:r w:rsidR="00B72050" w:rsidRPr="00990CE8">
        <w:rPr>
          <w:rFonts w:ascii="Lato" w:hAnsi="Lato"/>
        </w:rPr>
        <w:t xml:space="preserve">kwalifikowalności </w:t>
      </w:r>
      <w:r w:rsidR="00E07D9E" w:rsidRPr="00990CE8">
        <w:rPr>
          <w:rFonts w:ascii="Lato" w:hAnsi="Lato"/>
        </w:rPr>
        <w:t>nie mogą przekroczyć wartości rynkowej czynszu z</w:t>
      </w:r>
      <w:r w:rsidR="00610CA3">
        <w:rPr>
          <w:rFonts w:ascii="Lato" w:hAnsi="Lato"/>
        </w:rPr>
        <w:t> </w:t>
      </w:r>
      <w:r w:rsidR="00E07D9E" w:rsidRPr="00990CE8">
        <w:rPr>
          <w:rFonts w:ascii="Lato" w:hAnsi="Lato"/>
        </w:rPr>
        <w:t>tytułu umowy najmu lub dzierżawy z uwzględnieniem danej lokalizacji</w:t>
      </w:r>
      <w:r w:rsidR="00B72050" w:rsidRPr="00990CE8">
        <w:rPr>
          <w:rFonts w:ascii="Lato" w:hAnsi="Lato"/>
        </w:rPr>
        <w:t>, co</w:t>
      </w:r>
      <w:r w:rsidR="00610CA3">
        <w:rPr>
          <w:rFonts w:ascii="Lato" w:hAnsi="Lato"/>
        </w:rPr>
        <w:t> </w:t>
      </w:r>
      <w:r w:rsidR="00B72050" w:rsidRPr="00990CE8">
        <w:rPr>
          <w:rFonts w:ascii="Lato" w:hAnsi="Lato"/>
        </w:rPr>
        <w:t>zostanie potwierdzone operatem szacunkowym lub innym dokumentem umożliwiającym obiektywną ocenę spełnienia tego warunku.</w:t>
      </w:r>
    </w:p>
    <w:p w14:paraId="26E11A21" w14:textId="3BC57901" w:rsidR="00EF6A81" w:rsidRPr="00990CE8" w:rsidRDefault="00086386" w:rsidP="00990CE8">
      <w:pPr>
        <w:spacing w:before="120" w:after="120"/>
        <w:ind w:left="426" w:hanging="426"/>
        <w:jc w:val="both"/>
        <w:rPr>
          <w:rFonts w:ascii="Lato" w:hAnsi="Lato"/>
        </w:rPr>
      </w:pPr>
      <w:r w:rsidRPr="00990CE8">
        <w:rPr>
          <w:rFonts w:ascii="Lato" w:hAnsi="Lato"/>
        </w:rPr>
        <w:t>2.</w:t>
      </w:r>
      <w:r w:rsidR="00E54410">
        <w:rPr>
          <w:rFonts w:ascii="Lato" w:hAnsi="Lato"/>
        </w:rPr>
        <w:tab/>
      </w:r>
      <w:r w:rsidRPr="00990CE8">
        <w:rPr>
          <w:rFonts w:ascii="Lato" w:hAnsi="Lato"/>
        </w:rPr>
        <w:t>W przypadku wykorzystania d</w:t>
      </w:r>
      <w:r w:rsidR="0079104A" w:rsidRPr="00990CE8">
        <w:rPr>
          <w:rFonts w:ascii="Lato" w:hAnsi="Lato"/>
        </w:rPr>
        <w:t>o</w:t>
      </w:r>
      <w:r w:rsidRPr="00990CE8">
        <w:rPr>
          <w:rFonts w:ascii="Lato" w:hAnsi="Lato"/>
        </w:rPr>
        <w:t xml:space="preserve"> realizacji przedsięwzięcia nieruchomości stanowiącej przedmiot umowy najmu lub dzierżawy, obowiązują wszystkie warunki dotyczące trwałości przedsięwzięcia określone w podrozdziale 3.8.</w:t>
      </w:r>
    </w:p>
    <w:p w14:paraId="00781C0B" w14:textId="4F2288D0" w:rsidR="0028282D" w:rsidRPr="00990CE8" w:rsidRDefault="0028282D" w:rsidP="00990CE8">
      <w:pPr>
        <w:pStyle w:val="Nagwek2"/>
        <w:numPr>
          <w:ilvl w:val="1"/>
          <w:numId w:val="131"/>
        </w:numPr>
        <w:spacing w:before="120" w:after="120"/>
        <w:ind w:left="426" w:hanging="426"/>
        <w:rPr>
          <w:rFonts w:ascii="Lato" w:hAnsi="Lato"/>
        </w:rPr>
      </w:pPr>
      <w:bookmarkStart w:id="40" w:name="_Toc181699376"/>
      <w:r w:rsidRPr="00990CE8">
        <w:rPr>
          <w:rFonts w:ascii="Lato" w:hAnsi="Lato"/>
        </w:rPr>
        <w:t>Roboty budowlane</w:t>
      </w:r>
      <w:r w:rsidR="002E5ADD" w:rsidRPr="00990CE8">
        <w:rPr>
          <w:rFonts w:ascii="Lato" w:hAnsi="Lato"/>
        </w:rPr>
        <w:t xml:space="preserve">, </w:t>
      </w:r>
      <w:r w:rsidRPr="00990CE8">
        <w:rPr>
          <w:rFonts w:ascii="Lato" w:hAnsi="Lato"/>
        </w:rPr>
        <w:t>prace przygotowawcze</w:t>
      </w:r>
      <w:r w:rsidR="002E5ADD" w:rsidRPr="00990CE8">
        <w:rPr>
          <w:rFonts w:ascii="Lato" w:hAnsi="Lato"/>
        </w:rPr>
        <w:t>, prace modernizacyjne</w:t>
      </w:r>
      <w:r w:rsidRPr="00990CE8">
        <w:rPr>
          <w:rFonts w:ascii="Lato" w:hAnsi="Lato"/>
        </w:rPr>
        <w:t>.</w:t>
      </w:r>
      <w:bookmarkEnd w:id="40"/>
      <w:r w:rsidRPr="00990CE8">
        <w:rPr>
          <w:rFonts w:ascii="Lato" w:hAnsi="Lato"/>
        </w:rPr>
        <w:t xml:space="preserve"> </w:t>
      </w:r>
    </w:p>
    <w:p w14:paraId="3ABBC1FE" w14:textId="73ABE1C3" w:rsidR="0020195C" w:rsidRPr="00990CE8" w:rsidRDefault="0020195C" w:rsidP="00990CE8">
      <w:pPr>
        <w:spacing w:before="120" w:after="120"/>
        <w:ind w:left="426" w:hanging="426"/>
        <w:jc w:val="both"/>
        <w:rPr>
          <w:rFonts w:ascii="Lato" w:hAnsi="Lato"/>
        </w:rPr>
      </w:pPr>
      <w:r w:rsidRPr="00990CE8">
        <w:rPr>
          <w:rFonts w:ascii="Lato" w:hAnsi="Lato"/>
        </w:rPr>
        <w:t>1.</w:t>
      </w:r>
      <w:r w:rsidRPr="00990CE8">
        <w:rPr>
          <w:rFonts w:ascii="Lato" w:hAnsi="Lato"/>
        </w:rPr>
        <w:tab/>
        <w:t>Roboty budowlane enumeratywnie wyszczególnione w ust. 2 zostaną uznane za wydatek kwalifikowalny, jeżeli dotyczą budynku, któr</w:t>
      </w:r>
      <w:r w:rsidR="000D59AB" w:rsidRPr="00990CE8">
        <w:rPr>
          <w:rFonts w:ascii="Lato" w:hAnsi="Lato"/>
        </w:rPr>
        <w:t>ego własność</w:t>
      </w:r>
      <w:r w:rsidRPr="00990CE8">
        <w:rPr>
          <w:rFonts w:ascii="Lato" w:hAnsi="Lato"/>
        </w:rPr>
        <w:t xml:space="preserve"> został</w:t>
      </w:r>
      <w:r w:rsidR="000D59AB" w:rsidRPr="00990CE8">
        <w:rPr>
          <w:rFonts w:ascii="Lato" w:hAnsi="Lato"/>
        </w:rPr>
        <w:t>a przeniesiona</w:t>
      </w:r>
      <w:r w:rsidR="00010070" w:rsidRPr="00990CE8">
        <w:rPr>
          <w:rFonts w:ascii="Lato" w:hAnsi="Lato"/>
        </w:rPr>
        <w:t xml:space="preserve"> na Ostatecznego odbiorcę wsparcia</w:t>
      </w:r>
      <w:r w:rsidR="000D59AB" w:rsidRPr="00990CE8">
        <w:rPr>
          <w:rFonts w:ascii="Lato" w:hAnsi="Lato"/>
        </w:rPr>
        <w:t xml:space="preserve"> na podstawie umowy sprzedaży</w:t>
      </w:r>
      <w:r w:rsidRPr="00990CE8">
        <w:rPr>
          <w:rFonts w:ascii="Lato" w:hAnsi="Lato"/>
        </w:rPr>
        <w:t xml:space="preserve"> lub</w:t>
      </w:r>
      <w:r w:rsidR="00010070" w:rsidRPr="00990CE8">
        <w:rPr>
          <w:rFonts w:ascii="Lato" w:hAnsi="Lato"/>
        </w:rPr>
        <w:t xml:space="preserve"> który został</w:t>
      </w:r>
      <w:r w:rsidR="00E53757" w:rsidRPr="00990CE8">
        <w:rPr>
          <w:rFonts w:ascii="Lato" w:hAnsi="Lato"/>
        </w:rPr>
        <w:t xml:space="preserve"> nabyty</w:t>
      </w:r>
      <w:r w:rsidRPr="00990CE8">
        <w:rPr>
          <w:rFonts w:ascii="Lato" w:hAnsi="Lato"/>
        </w:rPr>
        <w:t xml:space="preserve"> </w:t>
      </w:r>
      <w:r w:rsidR="00E53757" w:rsidRPr="00990CE8">
        <w:rPr>
          <w:rFonts w:ascii="Lato" w:hAnsi="Lato"/>
        </w:rPr>
        <w:t xml:space="preserve">przez </w:t>
      </w:r>
      <w:r w:rsidRPr="00990CE8">
        <w:rPr>
          <w:rFonts w:ascii="Lato" w:hAnsi="Lato"/>
        </w:rPr>
        <w:t>Ostateczn</w:t>
      </w:r>
      <w:r w:rsidR="00E53757" w:rsidRPr="00990CE8">
        <w:rPr>
          <w:rFonts w:ascii="Lato" w:hAnsi="Lato"/>
        </w:rPr>
        <w:t>ego</w:t>
      </w:r>
      <w:r w:rsidRPr="00990CE8">
        <w:rPr>
          <w:rFonts w:ascii="Lato" w:hAnsi="Lato"/>
        </w:rPr>
        <w:t xml:space="preserve"> odbiorc</w:t>
      </w:r>
      <w:r w:rsidR="00E53757" w:rsidRPr="00990CE8">
        <w:rPr>
          <w:rFonts w:ascii="Lato" w:hAnsi="Lato"/>
        </w:rPr>
        <w:t>ę</w:t>
      </w:r>
      <w:r w:rsidRPr="00990CE8">
        <w:rPr>
          <w:rFonts w:ascii="Lato" w:hAnsi="Lato"/>
        </w:rPr>
        <w:t xml:space="preserve"> wsparcia</w:t>
      </w:r>
      <w:r w:rsidR="00925FC2" w:rsidRPr="00990CE8">
        <w:rPr>
          <w:rFonts w:ascii="Lato" w:hAnsi="Lato"/>
        </w:rPr>
        <w:t xml:space="preserve"> równocześnie</w:t>
      </w:r>
      <w:r w:rsidR="00E53757" w:rsidRPr="00990CE8">
        <w:rPr>
          <w:rFonts w:ascii="Lato" w:hAnsi="Lato"/>
        </w:rPr>
        <w:t xml:space="preserve"> </w:t>
      </w:r>
      <w:r w:rsidR="00925FC2" w:rsidRPr="00990CE8">
        <w:rPr>
          <w:rFonts w:ascii="Lato" w:hAnsi="Lato"/>
        </w:rPr>
        <w:t>z</w:t>
      </w:r>
      <w:r w:rsidR="00610CA3">
        <w:rPr>
          <w:rFonts w:ascii="Lato" w:hAnsi="Lato"/>
        </w:rPr>
        <w:t> </w:t>
      </w:r>
      <w:r w:rsidR="00925FC2" w:rsidRPr="00990CE8">
        <w:rPr>
          <w:rFonts w:ascii="Lato" w:hAnsi="Lato"/>
        </w:rPr>
        <w:t>o</w:t>
      </w:r>
      <w:r w:rsidR="00630B27" w:rsidRPr="00990CE8">
        <w:rPr>
          <w:rFonts w:ascii="Lato" w:hAnsi="Lato"/>
        </w:rPr>
        <w:t>bjęci</w:t>
      </w:r>
      <w:r w:rsidR="00925FC2" w:rsidRPr="00990CE8">
        <w:rPr>
          <w:rFonts w:ascii="Lato" w:hAnsi="Lato"/>
        </w:rPr>
        <w:t>em w użytkowanie wieczyste</w:t>
      </w:r>
      <w:r w:rsidR="00E53757" w:rsidRPr="00990CE8">
        <w:rPr>
          <w:rFonts w:ascii="Lato" w:hAnsi="Lato"/>
        </w:rPr>
        <w:t xml:space="preserve"> </w:t>
      </w:r>
      <w:r w:rsidR="00925FC2" w:rsidRPr="00990CE8">
        <w:rPr>
          <w:rFonts w:ascii="Lato" w:hAnsi="Lato"/>
        </w:rPr>
        <w:t xml:space="preserve">nieruchomości </w:t>
      </w:r>
      <w:r w:rsidR="00E53757" w:rsidRPr="00990CE8">
        <w:rPr>
          <w:rFonts w:ascii="Lato" w:hAnsi="Lato"/>
        </w:rPr>
        <w:t>grunt</w:t>
      </w:r>
      <w:r w:rsidR="00925FC2" w:rsidRPr="00990CE8">
        <w:rPr>
          <w:rFonts w:ascii="Lato" w:hAnsi="Lato"/>
        </w:rPr>
        <w:t>owej zabudowanej</w:t>
      </w:r>
      <w:r w:rsidR="00BB65AC" w:rsidRPr="00990CE8">
        <w:rPr>
          <w:rFonts w:ascii="Lato" w:hAnsi="Lato"/>
        </w:rPr>
        <w:t xml:space="preserve"> </w:t>
      </w:r>
      <w:r w:rsidRPr="00990CE8">
        <w:rPr>
          <w:rFonts w:ascii="Lato" w:hAnsi="Lato"/>
        </w:rPr>
        <w:t>zgodnie z treścią podrozdziału 4.6.2 i</w:t>
      </w:r>
      <w:r w:rsidR="000916BC" w:rsidRPr="005F2138">
        <w:rPr>
          <w:rFonts w:ascii="Lato" w:hAnsi="Lato"/>
        </w:rPr>
        <w:t> </w:t>
      </w:r>
      <w:r w:rsidRPr="00990CE8">
        <w:rPr>
          <w:rFonts w:ascii="Lato" w:hAnsi="Lato"/>
        </w:rPr>
        <w:t>4.6.3</w:t>
      </w:r>
      <w:r w:rsidR="00CF79AC" w:rsidRPr="00990CE8">
        <w:rPr>
          <w:rFonts w:ascii="Lato" w:hAnsi="Lato"/>
        </w:rPr>
        <w:t xml:space="preserve"> niniejszych Wytycznych</w:t>
      </w:r>
      <w:r w:rsidRPr="00990CE8">
        <w:rPr>
          <w:rFonts w:ascii="Lato" w:hAnsi="Lato"/>
        </w:rPr>
        <w:t xml:space="preserve">. W pozostałych przypadkach roboty budowlane oraz koszty prac przygotowawczych, o których mowa w ust. 3 są wydatkami niekwalifikowalnymi. </w:t>
      </w:r>
    </w:p>
    <w:p w14:paraId="43397E6C" w14:textId="2400DFF1" w:rsidR="00A66C4F" w:rsidRPr="00990CE8" w:rsidRDefault="0020195C" w:rsidP="00990CE8">
      <w:pPr>
        <w:spacing w:before="120" w:after="120"/>
        <w:ind w:left="426" w:hanging="426"/>
        <w:jc w:val="both"/>
        <w:rPr>
          <w:rFonts w:ascii="Lato" w:hAnsi="Lato"/>
        </w:rPr>
      </w:pPr>
      <w:r w:rsidRPr="00990CE8">
        <w:rPr>
          <w:rFonts w:ascii="Lato" w:hAnsi="Lato"/>
        </w:rPr>
        <w:t>2.</w:t>
      </w:r>
      <w:r w:rsidR="00E54410">
        <w:rPr>
          <w:rFonts w:ascii="Lato" w:hAnsi="Lato"/>
        </w:rPr>
        <w:tab/>
      </w:r>
      <w:r w:rsidR="009D6B90" w:rsidRPr="00990CE8">
        <w:rPr>
          <w:rFonts w:ascii="Lato" w:hAnsi="Lato"/>
        </w:rPr>
        <w:t>Niezbędne do prawidłowej realizacji przedsięwzięcia r</w:t>
      </w:r>
      <w:r w:rsidR="00A66C4F" w:rsidRPr="00990CE8">
        <w:rPr>
          <w:rFonts w:ascii="Lato" w:hAnsi="Lato"/>
        </w:rPr>
        <w:t xml:space="preserve">oboty budowlane mogą stanowić wydatki kwalifikowalne </w:t>
      </w:r>
      <w:r w:rsidR="009D6B90" w:rsidRPr="00990CE8">
        <w:rPr>
          <w:rFonts w:ascii="Lato" w:hAnsi="Lato"/>
        </w:rPr>
        <w:t>w poniższym zakresie:</w:t>
      </w:r>
      <w:r w:rsidR="00A66C4F" w:rsidRPr="00990CE8">
        <w:rPr>
          <w:rFonts w:ascii="Lato" w:hAnsi="Lato"/>
        </w:rPr>
        <w:t xml:space="preserve"> </w:t>
      </w:r>
    </w:p>
    <w:p w14:paraId="7694E5CC" w14:textId="064CD4C5" w:rsidR="00A66C4F"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lastRenderedPageBreak/>
        <w:t>roboty polegające na remoncie budynku</w:t>
      </w:r>
      <w:r w:rsidR="000E0446" w:rsidRPr="00990CE8">
        <w:rPr>
          <w:rFonts w:ascii="Lato" w:hAnsi="Lato"/>
        </w:rPr>
        <w:t xml:space="preserve"> w rozumieniu art.</w:t>
      </w:r>
      <w:r w:rsidR="00E81E08" w:rsidRPr="00990CE8">
        <w:rPr>
          <w:rFonts w:ascii="Lato" w:hAnsi="Lato"/>
        </w:rPr>
        <w:t xml:space="preserve"> </w:t>
      </w:r>
      <w:r w:rsidR="000E0446" w:rsidRPr="00990CE8">
        <w:rPr>
          <w:rFonts w:ascii="Lato" w:hAnsi="Lato"/>
        </w:rPr>
        <w:t xml:space="preserve">3 pkt 8 ustawy </w:t>
      </w:r>
      <w:r w:rsidR="00610CA3">
        <w:rPr>
          <w:rFonts w:ascii="Lato" w:hAnsi="Lato"/>
        </w:rPr>
        <w:t> </w:t>
      </w:r>
      <w:r w:rsidR="000E0446" w:rsidRPr="00990CE8">
        <w:rPr>
          <w:rFonts w:ascii="Lato" w:hAnsi="Lato"/>
        </w:rPr>
        <w:t xml:space="preserve"> dnia 7 lipca 1994 r. Prawo budowlane, </w:t>
      </w:r>
      <w:r w:rsidRPr="00990CE8">
        <w:rPr>
          <w:rFonts w:ascii="Lato" w:hAnsi="Lato"/>
        </w:rPr>
        <w:t xml:space="preserve"> </w:t>
      </w:r>
    </w:p>
    <w:p w14:paraId="7ECB8CB4" w14:textId="4C8B3600" w:rsidR="00A66C4F"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t xml:space="preserve">roboty polegające na </w:t>
      </w:r>
      <w:r w:rsidR="00466900" w:rsidRPr="00990CE8">
        <w:rPr>
          <w:rFonts w:ascii="Lato" w:hAnsi="Lato"/>
        </w:rPr>
        <w:t xml:space="preserve">przebudowie </w:t>
      </w:r>
      <w:r w:rsidRPr="00990CE8">
        <w:rPr>
          <w:rFonts w:ascii="Lato" w:hAnsi="Lato"/>
        </w:rPr>
        <w:t>budynku  zgodnie z celami przedsięwzięcia,</w:t>
      </w:r>
      <w:r w:rsidR="00466900" w:rsidRPr="00990CE8">
        <w:rPr>
          <w:rFonts w:ascii="Lato" w:hAnsi="Lato"/>
        </w:rPr>
        <w:t xml:space="preserve"> które obejmują: roboty ziemne, roboty konstrukcyjne i roboty wykończeniowe,</w:t>
      </w:r>
      <w:r w:rsidRPr="00990CE8">
        <w:rPr>
          <w:rFonts w:ascii="Lato" w:hAnsi="Lato"/>
        </w:rPr>
        <w:t xml:space="preserve"> </w:t>
      </w:r>
    </w:p>
    <w:p w14:paraId="61E1C495" w14:textId="0DA97442" w:rsidR="00A66C4F"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t xml:space="preserve">roboty w zakresie instalacji sanitarnych, </w:t>
      </w:r>
    </w:p>
    <w:p w14:paraId="2D3F7740" w14:textId="46F06B8F" w:rsidR="00A66C4F"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t xml:space="preserve">roboty w zakresie instalacji elektrycznych, </w:t>
      </w:r>
    </w:p>
    <w:p w14:paraId="384B0690" w14:textId="13A36CD4" w:rsidR="00466900"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t>roboty w zakresie instalacji teletechnicznych – niskoprądowych</w:t>
      </w:r>
      <w:r w:rsidR="00682DAB" w:rsidRPr="005F2138">
        <w:rPr>
          <w:rFonts w:ascii="Lato" w:hAnsi="Lato"/>
        </w:rPr>
        <w:t>,</w:t>
      </w:r>
    </w:p>
    <w:p w14:paraId="1266B60F" w14:textId="3AA191C1" w:rsidR="00CF79AC" w:rsidRPr="00990CE8" w:rsidRDefault="00A66C4F" w:rsidP="00990CE8">
      <w:pPr>
        <w:pStyle w:val="Akapitzlist"/>
        <w:numPr>
          <w:ilvl w:val="1"/>
          <w:numId w:val="129"/>
        </w:numPr>
        <w:spacing w:before="120" w:after="120"/>
        <w:ind w:left="993" w:hanging="426"/>
        <w:jc w:val="both"/>
        <w:rPr>
          <w:rFonts w:ascii="Lato" w:hAnsi="Lato"/>
        </w:rPr>
      </w:pPr>
      <w:r w:rsidRPr="00990CE8">
        <w:rPr>
          <w:rFonts w:ascii="Lato" w:hAnsi="Lato"/>
        </w:rPr>
        <w:t xml:space="preserve"> </w:t>
      </w:r>
      <w:r w:rsidR="00466900" w:rsidRPr="00990CE8">
        <w:rPr>
          <w:rFonts w:ascii="Lato" w:hAnsi="Lato"/>
        </w:rPr>
        <w:t>roboty w zakresie pozostałych instalacji</w:t>
      </w:r>
      <w:r w:rsidR="00CF79AC" w:rsidRPr="00990CE8">
        <w:rPr>
          <w:rFonts w:ascii="Lato" w:hAnsi="Lato"/>
        </w:rPr>
        <w:t xml:space="preserve"> niezbędnych do prawidłowego użytkowania przedmiotowego budynku. </w:t>
      </w:r>
    </w:p>
    <w:p w14:paraId="6E12098A" w14:textId="5889B5F1" w:rsidR="00A66C4F" w:rsidRPr="00990CE8" w:rsidRDefault="00CF79AC" w:rsidP="00990CE8">
      <w:pPr>
        <w:spacing w:before="120" w:after="120"/>
        <w:ind w:left="426" w:hanging="426"/>
        <w:jc w:val="both"/>
        <w:rPr>
          <w:rFonts w:ascii="Lato" w:hAnsi="Lato"/>
        </w:rPr>
      </w:pPr>
      <w:r w:rsidRPr="00990CE8">
        <w:rPr>
          <w:rFonts w:ascii="Lato" w:hAnsi="Lato"/>
        </w:rPr>
        <w:t>3.</w:t>
      </w:r>
      <w:r w:rsidR="00E54410">
        <w:rPr>
          <w:rFonts w:ascii="Lato" w:hAnsi="Lato"/>
        </w:rPr>
        <w:tab/>
      </w:r>
      <w:r w:rsidR="00A66C4F" w:rsidRPr="00990CE8">
        <w:rPr>
          <w:rFonts w:ascii="Lato" w:hAnsi="Lato"/>
        </w:rPr>
        <w:t>Jeżeli roboty budowlane wskazane w</w:t>
      </w:r>
      <w:r w:rsidR="004122E2" w:rsidRPr="00990CE8">
        <w:rPr>
          <w:rFonts w:ascii="Lato" w:hAnsi="Lato"/>
        </w:rPr>
        <w:t xml:space="preserve"> ust.</w:t>
      </w:r>
      <w:r w:rsidRPr="00990CE8">
        <w:rPr>
          <w:rFonts w:ascii="Lato" w:hAnsi="Lato"/>
        </w:rPr>
        <w:t xml:space="preserve"> 2</w:t>
      </w:r>
      <w:r w:rsidR="00A66C4F" w:rsidRPr="00990CE8">
        <w:rPr>
          <w:rFonts w:ascii="Lato" w:hAnsi="Lato"/>
        </w:rPr>
        <w:t xml:space="preserve"> stanow</w:t>
      </w:r>
      <w:r w:rsidR="00B55D43" w:rsidRPr="00990CE8">
        <w:rPr>
          <w:rFonts w:ascii="Lato" w:hAnsi="Lato"/>
        </w:rPr>
        <w:t>i</w:t>
      </w:r>
      <w:r w:rsidR="00A66C4F" w:rsidRPr="00990CE8">
        <w:rPr>
          <w:rFonts w:ascii="Lato" w:hAnsi="Lato"/>
        </w:rPr>
        <w:t>ą wydatki kwalifikowalne</w:t>
      </w:r>
      <w:r w:rsidR="00B55D43" w:rsidRPr="00990CE8">
        <w:rPr>
          <w:rFonts w:ascii="Lato" w:hAnsi="Lato"/>
        </w:rPr>
        <w:t>,</w:t>
      </w:r>
      <w:r w:rsidR="00A66C4F" w:rsidRPr="00990CE8">
        <w:rPr>
          <w:rFonts w:ascii="Lato" w:hAnsi="Lato"/>
        </w:rPr>
        <w:t xml:space="preserve"> następujące </w:t>
      </w:r>
      <w:r w:rsidRPr="00990CE8">
        <w:rPr>
          <w:rFonts w:ascii="Lato" w:hAnsi="Lato"/>
        </w:rPr>
        <w:t>prace</w:t>
      </w:r>
      <w:r w:rsidR="00A66C4F" w:rsidRPr="00990CE8">
        <w:rPr>
          <w:rFonts w:ascii="Lato" w:hAnsi="Lato"/>
        </w:rPr>
        <w:t xml:space="preserve"> przygotowawcze oraz związane z rozliczeniem inwestycji mogą zostać uznane za kwalifikowalne: </w:t>
      </w:r>
    </w:p>
    <w:p w14:paraId="4504DF1B" w14:textId="19879715" w:rsidR="00A66C4F" w:rsidRPr="00990CE8" w:rsidRDefault="00CF79AC" w:rsidP="00990CE8">
      <w:pPr>
        <w:spacing w:before="120" w:after="120"/>
        <w:ind w:left="993" w:hanging="426"/>
        <w:jc w:val="both"/>
        <w:rPr>
          <w:rFonts w:ascii="Lato" w:hAnsi="Lato"/>
          <w:highlight w:val="yellow"/>
        </w:rPr>
      </w:pPr>
      <w:r w:rsidRPr="00990CE8">
        <w:rPr>
          <w:rFonts w:ascii="Lato" w:hAnsi="Lato"/>
        </w:rPr>
        <w:t>1)</w:t>
      </w:r>
      <w:r w:rsidR="00BF71A2" w:rsidRPr="005F2138">
        <w:rPr>
          <w:rFonts w:ascii="Lato" w:hAnsi="Lato"/>
        </w:rPr>
        <w:tab/>
      </w:r>
      <w:r w:rsidR="00A66C4F" w:rsidRPr="00990CE8">
        <w:rPr>
          <w:rFonts w:ascii="Lato" w:hAnsi="Lato"/>
        </w:rPr>
        <w:t xml:space="preserve">wydatki w zakresie opracowania  </w:t>
      </w:r>
      <w:r w:rsidR="00A143B0" w:rsidRPr="00990CE8">
        <w:rPr>
          <w:rFonts w:ascii="Lato" w:hAnsi="Lato"/>
        </w:rPr>
        <w:t>niezbędnych na etapie przygotowawczym, realizacyjnym lub zakończenia robót ocen technicznych</w:t>
      </w:r>
      <w:r w:rsidR="005C0C59" w:rsidRPr="00990CE8">
        <w:rPr>
          <w:rFonts w:ascii="Lato" w:hAnsi="Lato"/>
        </w:rPr>
        <w:t>,</w:t>
      </w:r>
      <w:r w:rsidR="00A143B0" w:rsidRPr="00990CE8">
        <w:rPr>
          <w:rFonts w:ascii="Lato" w:hAnsi="Lato"/>
        </w:rPr>
        <w:t xml:space="preserve">  ekspertyz technicznych, w</w:t>
      </w:r>
      <w:r w:rsidR="000916BC" w:rsidRPr="005F2138">
        <w:rPr>
          <w:rFonts w:ascii="Lato" w:hAnsi="Lato"/>
        </w:rPr>
        <w:t> </w:t>
      </w:r>
      <w:r w:rsidR="00A143B0" w:rsidRPr="00990CE8">
        <w:rPr>
          <w:rFonts w:ascii="Lato" w:hAnsi="Lato"/>
        </w:rPr>
        <w:t>tym ekspertyz stanu technicznego konstrukcji budynku lub instalacji budynku,</w:t>
      </w:r>
    </w:p>
    <w:p w14:paraId="66EFDEE8" w14:textId="326ED75D"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 xml:space="preserve">wydatki w zakresie dokumentacji geodezyjnej, </w:t>
      </w:r>
    </w:p>
    <w:p w14:paraId="1B474ACB" w14:textId="495A4D8D"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wydatki w zakresie opracowania projektu budowlanego, pod warunkiem, że na etapie projektowania została uwzględniona zasada DNSH,</w:t>
      </w:r>
    </w:p>
    <w:p w14:paraId="190CFF6D" w14:textId="49130F71"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 xml:space="preserve">wydatki w zakresie przygotowania map do celów projektowych, </w:t>
      </w:r>
    </w:p>
    <w:p w14:paraId="22AFBC7C" w14:textId="1F8DFB80"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 xml:space="preserve">wydatki na opracowanie projektów wykonawczych, pod warunkiem, że na etapie projektowania została uwzględniona zasada DNSH, </w:t>
      </w:r>
    </w:p>
    <w:p w14:paraId="4ADEAA40" w14:textId="0212902C"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 xml:space="preserve">wydatki na opracowania przedmiaru robót i kosztorysu inwestorskiego, </w:t>
      </w:r>
    </w:p>
    <w:p w14:paraId="5B3644D8" w14:textId="4A3EBF7F"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wydatki na przygotowania informacji dotyczącej bezpieczeństwa i ochrony zdrowia, w przypadkach gdy jej opracowanie jest wymagane na podstawie odrębnych przepisów,</w:t>
      </w:r>
    </w:p>
    <w:p w14:paraId="4BFC0C60" w14:textId="504C3DC2"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 xml:space="preserve">wydatki na opracowanie specyfikacji technicznych wykonania i odbioru robót budowlanych, </w:t>
      </w:r>
    </w:p>
    <w:p w14:paraId="1F73AD06" w14:textId="17EA188A" w:rsidR="00A66C4F" w:rsidRPr="00990CE8" w:rsidRDefault="00A66C4F" w:rsidP="00990CE8">
      <w:pPr>
        <w:pStyle w:val="Akapitzlist"/>
        <w:numPr>
          <w:ilvl w:val="1"/>
          <w:numId w:val="138"/>
        </w:numPr>
        <w:spacing w:before="120" w:after="120"/>
        <w:ind w:left="993" w:hanging="426"/>
        <w:jc w:val="both"/>
        <w:rPr>
          <w:rFonts w:ascii="Lato" w:hAnsi="Lato"/>
        </w:rPr>
      </w:pPr>
      <w:r w:rsidRPr="00990CE8">
        <w:rPr>
          <w:rFonts w:ascii="Lato" w:hAnsi="Lato"/>
        </w:rPr>
        <w:t>wydatki na sporządzenie dokumentacji powykonawczej,</w:t>
      </w:r>
    </w:p>
    <w:p w14:paraId="23B31DF8" w14:textId="01BBC50B" w:rsidR="00B05E9C" w:rsidRPr="00990CE8" w:rsidRDefault="00D91940" w:rsidP="00990CE8">
      <w:pPr>
        <w:pStyle w:val="Akapitzlist"/>
        <w:numPr>
          <w:ilvl w:val="1"/>
          <w:numId w:val="138"/>
        </w:numPr>
        <w:spacing w:before="120" w:after="120"/>
        <w:ind w:left="993" w:hanging="426"/>
        <w:jc w:val="both"/>
        <w:rPr>
          <w:rFonts w:ascii="Lato" w:hAnsi="Lato"/>
        </w:rPr>
      </w:pPr>
      <w:r w:rsidRPr="00990CE8">
        <w:rPr>
          <w:rFonts w:ascii="Lato" w:hAnsi="Lato"/>
        </w:rPr>
        <w:lastRenderedPageBreak/>
        <w:t xml:space="preserve"> </w:t>
      </w:r>
      <w:r w:rsidR="00A66C4F" w:rsidRPr="00990CE8">
        <w:rPr>
          <w:rFonts w:ascii="Lato" w:hAnsi="Lato"/>
        </w:rPr>
        <w:t>wydatki związane z potwierdzeniem przestrzegania zasady DNSH na etapie przygotowania i realizacji robót, w tym przygotowanie ekspertyz i raportów.</w:t>
      </w:r>
    </w:p>
    <w:p w14:paraId="5C86F4A4" w14:textId="1B82E441" w:rsidR="00A143B0" w:rsidRPr="00990CE8" w:rsidRDefault="00A143B0" w:rsidP="00990CE8">
      <w:pPr>
        <w:pStyle w:val="Akapitzlist"/>
        <w:numPr>
          <w:ilvl w:val="0"/>
          <w:numId w:val="133"/>
        </w:numPr>
        <w:spacing w:before="120" w:after="120"/>
        <w:ind w:left="426" w:hanging="426"/>
        <w:jc w:val="both"/>
        <w:rPr>
          <w:rFonts w:ascii="Lato" w:hAnsi="Lato"/>
        </w:rPr>
      </w:pPr>
      <w:r w:rsidRPr="00990CE8">
        <w:rPr>
          <w:rFonts w:ascii="Lato" w:hAnsi="Lato"/>
        </w:rPr>
        <w:t>Wydatki związane ze sprawowaniem nadzoru inwestorskiego oraz związane ze sprawowaniem nadzoru autorskiego projektanta nad robotami budow</w:t>
      </w:r>
      <w:r w:rsidR="004122E2" w:rsidRPr="00990CE8">
        <w:rPr>
          <w:rFonts w:ascii="Lato" w:hAnsi="Lato"/>
        </w:rPr>
        <w:t>l</w:t>
      </w:r>
      <w:r w:rsidRPr="00990CE8">
        <w:rPr>
          <w:rFonts w:ascii="Lato" w:hAnsi="Lato"/>
        </w:rPr>
        <w:t>anymi, o</w:t>
      </w:r>
      <w:r w:rsidR="000916BC" w:rsidRPr="005F2138">
        <w:rPr>
          <w:rFonts w:ascii="Lato" w:hAnsi="Lato"/>
        </w:rPr>
        <w:t> </w:t>
      </w:r>
      <w:r w:rsidRPr="00990CE8">
        <w:rPr>
          <w:rFonts w:ascii="Lato" w:hAnsi="Lato"/>
        </w:rPr>
        <w:t xml:space="preserve">których mowa w </w:t>
      </w:r>
      <w:r w:rsidR="004122E2" w:rsidRPr="00990CE8">
        <w:rPr>
          <w:rFonts w:ascii="Lato" w:hAnsi="Lato"/>
        </w:rPr>
        <w:t xml:space="preserve"> ust.</w:t>
      </w:r>
      <w:r w:rsidR="00E81E08" w:rsidRPr="00990CE8">
        <w:rPr>
          <w:rFonts w:ascii="Lato" w:hAnsi="Lato"/>
        </w:rPr>
        <w:t xml:space="preserve"> </w:t>
      </w:r>
      <w:r w:rsidR="00F77D1B" w:rsidRPr="00990CE8">
        <w:rPr>
          <w:rFonts w:ascii="Lato" w:hAnsi="Lato"/>
        </w:rPr>
        <w:t>2</w:t>
      </w:r>
      <w:r w:rsidRPr="00990CE8">
        <w:rPr>
          <w:rFonts w:ascii="Lato" w:hAnsi="Lato"/>
        </w:rPr>
        <w:t xml:space="preserve"> </w:t>
      </w:r>
      <w:r w:rsidR="005C0C59" w:rsidRPr="00990CE8">
        <w:rPr>
          <w:rFonts w:ascii="Lato" w:hAnsi="Lato"/>
        </w:rPr>
        <w:t xml:space="preserve"> są wydatkami kwalifikowalnymi. </w:t>
      </w:r>
    </w:p>
    <w:p w14:paraId="451CCDA3" w14:textId="02233787" w:rsidR="001746B7" w:rsidRPr="00990CE8" w:rsidRDefault="001746B7" w:rsidP="00990CE8">
      <w:pPr>
        <w:pStyle w:val="Akapitzlist"/>
        <w:numPr>
          <w:ilvl w:val="0"/>
          <w:numId w:val="133"/>
        </w:numPr>
        <w:spacing w:before="120" w:after="120"/>
        <w:ind w:left="426" w:hanging="426"/>
        <w:jc w:val="both"/>
        <w:rPr>
          <w:rFonts w:ascii="Lato" w:hAnsi="Lato"/>
        </w:rPr>
      </w:pPr>
      <w:r w:rsidRPr="00990CE8">
        <w:rPr>
          <w:rFonts w:ascii="Lato" w:hAnsi="Lato"/>
        </w:rPr>
        <w:t>Wydatki</w:t>
      </w:r>
      <w:r w:rsidR="00071738" w:rsidRPr="00990CE8">
        <w:rPr>
          <w:rFonts w:ascii="Lato" w:hAnsi="Lato"/>
        </w:rPr>
        <w:t>,</w:t>
      </w:r>
      <w:r w:rsidRPr="00990CE8">
        <w:rPr>
          <w:rFonts w:ascii="Lato" w:hAnsi="Lato"/>
        </w:rPr>
        <w:t xml:space="preserve"> o których mowa w </w:t>
      </w:r>
      <w:r w:rsidR="004122E2" w:rsidRPr="00990CE8">
        <w:rPr>
          <w:rFonts w:ascii="Lato" w:hAnsi="Lato"/>
        </w:rPr>
        <w:t xml:space="preserve"> ust.</w:t>
      </w:r>
      <w:r w:rsidR="00F77D1B" w:rsidRPr="00990CE8">
        <w:rPr>
          <w:rFonts w:ascii="Lato" w:hAnsi="Lato"/>
        </w:rPr>
        <w:t xml:space="preserve"> 2</w:t>
      </w:r>
      <w:r w:rsidR="00AB4E89" w:rsidRPr="005F2138">
        <w:rPr>
          <w:rFonts w:ascii="Lato" w:hAnsi="Lato"/>
        </w:rPr>
        <w:t>,</w:t>
      </w:r>
      <w:r w:rsidRPr="00990CE8">
        <w:rPr>
          <w:rFonts w:ascii="Lato" w:hAnsi="Lato"/>
        </w:rPr>
        <w:t xml:space="preserve">  zostaną uznane za kwalifikowalne, jeżeli </w:t>
      </w:r>
      <w:r w:rsidR="00AB4E89" w:rsidRPr="005F2138">
        <w:rPr>
          <w:rFonts w:ascii="Lato" w:hAnsi="Lato"/>
        </w:rPr>
        <w:t>W</w:t>
      </w:r>
      <w:r w:rsidRPr="00990CE8">
        <w:rPr>
          <w:rFonts w:ascii="Lato" w:hAnsi="Lato"/>
        </w:rPr>
        <w:t xml:space="preserve">niosek będzie zawierał </w:t>
      </w:r>
      <w:r w:rsidR="00391F85" w:rsidRPr="00990CE8">
        <w:rPr>
          <w:rFonts w:ascii="Lato" w:hAnsi="Lato"/>
        </w:rPr>
        <w:t xml:space="preserve"> informację w zakresie sposobu realizacji przedsięwzięcia zgodnie z</w:t>
      </w:r>
      <w:r w:rsidR="000916BC" w:rsidRPr="005F2138">
        <w:rPr>
          <w:rFonts w:ascii="Lato" w:hAnsi="Lato"/>
        </w:rPr>
        <w:t> </w:t>
      </w:r>
      <w:r w:rsidR="00391F85" w:rsidRPr="00990CE8">
        <w:rPr>
          <w:rFonts w:ascii="Lato" w:hAnsi="Lato"/>
        </w:rPr>
        <w:t xml:space="preserve">zasadą DNSH, w treści której </w:t>
      </w:r>
      <w:r w:rsidR="0006420F" w:rsidRPr="005F2138">
        <w:rPr>
          <w:rFonts w:ascii="Lato" w:hAnsi="Lato"/>
        </w:rPr>
        <w:t>w</w:t>
      </w:r>
      <w:r w:rsidR="00391F85" w:rsidRPr="00990CE8">
        <w:rPr>
          <w:rFonts w:ascii="Lato" w:hAnsi="Lato"/>
        </w:rPr>
        <w:t>nioskodawca przedstawi dokumentację potwierdzającą tę zgodność</w:t>
      </w:r>
      <w:r w:rsidRPr="00990CE8">
        <w:rPr>
          <w:rFonts w:ascii="Lato" w:hAnsi="Lato"/>
        </w:rPr>
        <w:t xml:space="preserve"> </w:t>
      </w:r>
      <w:r w:rsidR="00790E28" w:rsidRPr="00990CE8">
        <w:rPr>
          <w:rFonts w:ascii="Lato" w:hAnsi="Lato"/>
        </w:rPr>
        <w:t xml:space="preserve">w świetle </w:t>
      </w:r>
      <w:r w:rsidRPr="00990CE8">
        <w:rPr>
          <w:rFonts w:ascii="Lato" w:hAnsi="Lato"/>
        </w:rPr>
        <w:t>wytyczny</w:t>
      </w:r>
      <w:r w:rsidR="00790E28" w:rsidRPr="00990CE8">
        <w:rPr>
          <w:rFonts w:ascii="Lato" w:hAnsi="Lato"/>
        </w:rPr>
        <w:t xml:space="preserve">ch </w:t>
      </w:r>
      <w:r w:rsidRPr="00990CE8">
        <w:rPr>
          <w:rFonts w:ascii="Lato" w:hAnsi="Lato"/>
        </w:rPr>
        <w:t xml:space="preserve"> określony</w:t>
      </w:r>
      <w:r w:rsidR="00790E28" w:rsidRPr="00990CE8">
        <w:rPr>
          <w:rFonts w:ascii="Lato" w:hAnsi="Lato"/>
        </w:rPr>
        <w:t xml:space="preserve">ch </w:t>
      </w:r>
      <w:r w:rsidRPr="00990CE8">
        <w:rPr>
          <w:rFonts w:ascii="Lato" w:hAnsi="Lato"/>
        </w:rPr>
        <w:t xml:space="preserve"> w </w:t>
      </w:r>
      <w:r w:rsidR="001305D0" w:rsidRPr="005F2138">
        <w:rPr>
          <w:rFonts w:ascii="Lato" w:hAnsi="Lato"/>
        </w:rPr>
        <w:t>pod</w:t>
      </w:r>
      <w:r w:rsidRPr="00990CE8">
        <w:rPr>
          <w:rFonts w:ascii="Lato" w:hAnsi="Lato"/>
        </w:rPr>
        <w:t>rozdziale 3.2. Renowacja istniejących budynków, z</w:t>
      </w:r>
      <w:r w:rsidR="00892F0D" w:rsidRPr="00990CE8">
        <w:rPr>
          <w:rFonts w:ascii="Lato" w:hAnsi="Lato"/>
        </w:rPr>
        <w:t>a</w:t>
      </w:r>
      <w:r w:rsidRPr="00990CE8">
        <w:rPr>
          <w:rFonts w:ascii="Lato" w:hAnsi="Lato"/>
        </w:rPr>
        <w:t>łącznika II Techniczne kryteria kwalifikacji służące określeniu warunków, na jakich działalność gospodarcza kwalifikuje się jako wnosząca istotny wkład w przejście na gospodarkę o obiegu zamkniętym, oraz określeniu, czy ta działalność gospodarcza nie wyrządza poważnych szkód względem żadnego z pozostałych celów środowiskowych do rozporządzenia</w:t>
      </w:r>
      <w:r w:rsidR="00533679" w:rsidRPr="00990CE8">
        <w:rPr>
          <w:rFonts w:ascii="Lato" w:hAnsi="Lato"/>
        </w:rPr>
        <w:t xml:space="preserve"> 2023/2486</w:t>
      </w:r>
      <w:r w:rsidR="00B77AAF" w:rsidRPr="00990CE8">
        <w:rPr>
          <w:rFonts w:ascii="Lato" w:hAnsi="Lato"/>
        </w:rPr>
        <w:t>.</w:t>
      </w:r>
      <w:r w:rsidRPr="00990CE8">
        <w:rPr>
          <w:rFonts w:ascii="Lato" w:hAnsi="Lato"/>
        </w:rPr>
        <w:t xml:space="preserve"> </w:t>
      </w:r>
    </w:p>
    <w:p w14:paraId="5DE7327E" w14:textId="29918717" w:rsidR="004103DD" w:rsidRPr="00990CE8" w:rsidRDefault="00F77D1B" w:rsidP="00990CE8">
      <w:pPr>
        <w:pStyle w:val="Akapitzlist"/>
        <w:numPr>
          <w:ilvl w:val="0"/>
          <w:numId w:val="133"/>
        </w:numPr>
        <w:spacing w:before="120" w:after="120"/>
        <w:ind w:left="426" w:hanging="426"/>
        <w:jc w:val="both"/>
        <w:rPr>
          <w:rFonts w:ascii="Lato" w:hAnsi="Lato"/>
        </w:rPr>
      </w:pPr>
      <w:r w:rsidRPr="00990CE8">
        <w:rPr>
          <w:rFonts w:ascii="Lato" w:hAnsi="Lato"/>
        </w:rPr>
        <w:t>Roboty</w:t>
      </w:r>
      <w:r w:rsidR="004E7407" w:rsidRPr="00990CE8">
        <w:rPr>
          <w:rFonts w:ascii="Lato" w:hAnsi="Lato"/>
        </w:rPr>
        <w:t xml:space="preserve"> </w:t>
      </w:r>
      <w:r w:rsidR="00C5294A" w:rsidRPr="00990CE8">
        <w:rPr>
          <w:rFonts w:ascii="Lato" w:hAnsi="Lato"/>
        </w:rPr>
        <w:t xml:space="preserve">budowlane </w:t>
      </w:r>
      <w:r w:rsidR="004E7407" w:rsidRPr="00990CE8">
        <w:rPr>
          <w:rFonts w:ascii="Lato" w:hAnsi="Lato"/>
        </w:rPr>
        <w:t xml:space="preserve">wskazane w </w:t>
      </w:r>
      <w:r w:rsidR="004122E2" w:rsidRPr="00990CE8">
        <w:rPr>
          <w:rFonts w:ascii="Lato" w:hAnsi="Lato"/>
        </w:rPr>
        <w:t xml:space="preserve"> ust.</w:t>
      </w:r>
      <w:r w:rsidRPr="00990CE8">
        <w:rPr>
          <w:rFonts w:ascii="Lato" w:hAnsi="Lato"/>
        </w:rPr>
        <w:t xml:space="preserve"> 2</w:t>
      </w:r>
      <w:r w:rsidR="004E7407" w:rsidRPr="00990CE8">
        <w:rPr>
          <w:rFonts w:ascii="Lato" w:hAnsi="Lato"/>
        </w:rPr>
        <w:t xml:space="preserve">  powinny być prowadzone zgodnie z zasadą DNSH oraz obowiązującymi przepisami prawa, w szczególności ustawą z dnia 7 lipca 1994 r. Prawo budowlane. </w:t>
      </w:r>
    </w:p>
    <w:p w14:paraId="2063B948" w14:textId="1C15EBFE" w:rsidR="002E5ADD" w:rsidRPr="00990CE8" w:rsidRDefault="002E5ADD" w:rsidP="00990CE8">
      <w:pPr>
        <w:pStyle w:val="Akapitzlist"/>
        <w:numPr>
          <w:ilvl w:val="0"/>
          <w:numId w:val="133"/>
        </w:numPr>
        <w:spacing w:before="120" w:after="120"/>
        <w:ind w:left="426" w:hanging="426"/>
        <w:jc w:val="both"/>
        <w:rPr>
          <w:rFonts w:ascii="Lato" w:hAnsi="Lato"/>
        </w:rPr>
      </w:pPr>
      <w:r w:rsidRPr="00990CE8">
        <w:rPr>
          <w:rFonts w:ascii="Lato" w:hAnsi="Lato"/>
        </w:rPr>
        <w:t>Za wydatki kwalifik</w:t>
      </w:r>
      <w:r w:rsidR="00C62740" w:rsidRPr="00990CE8">
        <w:rPr>
          <w:rFonts w:ascii="Lato" w:hAnsi="Lato"/>
        </w:rPr>
        <w:t xml:space="preserve">owalne </w:t>
      </w:r>
      <w:r w:rsidRPr="00990CE8">
        <w:rPr>
          <w:rFonts w:ascii="Lato" w:hAnsi="Lato"/>
        </w:rPr>
        <w:t>należy uznać prace modernizacyjne polegające na odnowieni</w:t>
      </w:r>
      <w:r w:rsidR="00C5730C" w:rsidRPr="00990CE8">
        <w:rPr>
          <w:rFonts w:ascii="Lato" w:hAnsi="Lato"/>
        </w:rPr>
        <w:t>u</w:t>
      </w:r>
      <w:r w:rsidR="00EF6A81" w:rsidRPr="00990CE8">
        <w:rPr>
          <w:rFonts w:ascii="Lato" w:hAnsi="Lato"/>
        </w:rPr>
        <w:t xml:space="preserve"> </w:t>
      </w:r>
      <w:r w:rsidRPr="00990CE8">
        <w:rPr>
          <w:rFonts w:ascii="Lato" w:hAnsi="Lato"/>
        </w:rPr>
        <w:t>istniejącego budynku, w tym prace obejmujące zmiany aranżacyjne, które nie stanowią robót budowlanych w rozumieniu ustawy Prawo budowlan</w:t>
      </w:r>
      <w:r w:rsidR="00C62740" w:rsidRPr="00990CE8">
        <w:rPr>
          <w:rFonts w:ascii="Lato" w:hAnsi="Lato"/>
        </w:rPr>
        <w:t>e</w:t>
      </w:r>
      <w:r w:rsidRPr="00990CE8">
        <w:rPr>
          <w:rFonts w:ascii="Lato" w:hAnsi="Lato"/>
        </w:rPr>
        <w:t>. Nie</w:t>
      </w:r>
      <w:r w:rsidR="000916BC" w:rsidRPr="005F2138">
        <w:rPr>
          <w:rFonts w:ascii="Lato" w:hAnsi="Lato"/>
        </w:rPr>
        <w:t> </w:t>
      </w:r>
      <w:r w:rsidRPr="00990CE8">
        <w:rPr>
          <w:rFonts w:ascii="Lato" w:hAnsi="Lato"/>
        </w:rPr>
        <w:t>są wydatkami kwalifikowalnymi prace wchodzące w zakres bieżącej konserwacji</w:t>
      </w:r>
      <w:r w:rsidR="00C5730C" w:rsidRPr="00990CE8">
        <w:rPr>
          <w:rFonts w:ascii="Lato" w:hAnsi="Lato"/>
        </w:rPr>
        <w:t xml:space="preserve"> budynku.</w:t>
      </w:r>
      <w:r w:rsidRPr="00990CE8">
        <w:rPr>
          <w:rFonts w:ascii="Lato" w:hAnsi="Lato"/>
        </w:rPr>
        <w:t xml:space="preserve">  </w:t>
      </w:r>
    </w:p>
    <w:p w14:paraId="71C1D945" w14:textId="34CA66D3" w:rsidR="00635F34" w:rsidRPr="00990CE8" w:rsidRDefault="00DA1573" w:rsidP="00990CE8">
      <w:pPr>
        <w:pStyle w:val="Nagwek2"/>
        <w:numPr>
          <w:ilvl w:val="1"/>
          <w:numId w:val="131"/>
        </w:numPr>
        <w:spacing w:before="120" w:after="120"/>
        <w:ind w:left="426" w:hanging="426"/>
        <w:rPr>
          <w:rFonts w:ascii="Lato" w:hAnsi="Lato"/>
        </w:rPr>
      </w:pPr>
      <w:bookmarkStart w:id="41" w:name="_Toc181699377"/>
      <w:r w:rsidRPr="00990CE8">
        <w:rPr>
          <w:rFonts w:ascii="Lato" w:hAnsi="Lato"/>
        </w:rPr>
        <w:t>Amortyzacja środków trwałych oraz wartości niematerialnych i prawnych</w:t>
      </w:r>
      <w:bookmarkEnd w:id="41"/>
    </w:p>
    <w:p w14:paraId="4F38BC6A" w14:textId="618B4F4F" w:rsidR="00DA1573" w:rsidRPr="005F2138" w:rsidRDefault="00DA1573" w:rsidP="00990CE8">
      <w:pPr>
        <w:pStyle w:val="Akapitzlist"/>
        <w:numPr>
          <w:ilvl w:val="0"/>
          <w:numId w:val="97"/>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Koszty amortyzacji środków trwałych oraz wartości niematerialnych i</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prawnych, </w:t>
      </w:r>
      <w:r w:rsidR="00473FBD" w:rsidRPr="005F2138">
        <w:rPr>
          <w:rStyle w:val="normaltextrun"/>
          <w:rFonts w:ascii="Lato" w:eastAsiaTheme="majorEastAsia" w:hAnsi="Lato" w:cstheme="majorBidi"/>
          <w:kern w:val="32"/>
          <w:szCs w:val="26"/>
        </w:rPr>
        <w:t>są kwalifikowa</w:t>
      </w:r>
      <w:r w:rsidR="00846BB9"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ne</w:t>
      </w:r>
      <w:r w:rsidRPr="005F2138">
        <w:rPr>
          <w:rStyle w:val="normaltextrun"/>
          <w:rFonts w:ascii="Lato" w:eastAsiaTheme="majorEastAsia" w:hAnsi="Lato" w:cstheme="majorBidi"/>
          <w:kern w:val="32"/>
          <w:szCs w:val="26"/>
        </w:rPr>
        <w:t xml:space="preserve"> jeżeli spełnione są łącznie następujące warunki:</w:t>
      </w:r>
    </w:p>
    <w:p w14:paraId="313C6A4D" w14:textId="100B40BA" w:rsidR="00DA1573" w:rsidRPr="005F2138" w:rsidRDefault="00DA1573" w:rsidP="00990CE8">
      <w:pPr>
        <w:pStyle w:val="Akapitzlist"/>
        <w:numPr>
          <w:ilvl w:val="1"/>
          <w:numId w:val="9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odpisy amortyzacyjne dotyczą środków trwałych oraz wartości niematerialnych i prawnych, które są niezbędne do prawidłowej realizacji przedsięwzięcia i bezpośrednio wykorzystywane do jego wdrażania, </w:t>
      </w:r>
    </w:p>
    <w:p w14:paraId="75C6E2D0" w14:textId="1A98F5E7" w:rsidR="00DA1573" w:rsidRPr="005F2138" w:rsidRDefault="00DA1573" w:rsidP="00990CE8">
      <w:pPr>
        <w:pStyle w:val="Akapitzlist"/>
        <w:numPr>
          <w:ilvl w:val="1"/>
          <w:numId w:val="9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 xml:space="preserve">kwalifikowalna wartość odpisów amortyzacyjnych odnosi się wyłącznie do okresu realizacji danego przedsięwzięcia i faktycznego wykorzystania w nim środka trwałego, </w:t>
      </w:r>
    </w:p>
    <w:p w14:paraId="69F83368" w14:textId="791E58C2" w:rsidR="00DA1573" w:rsidRPr="005F2138" w:rsidRDefault="00DA1573" w:rsidP="00990CE8">
      <w:pPr>
        <w:pStyle w:val="Akapitzlist"/>
        <w:numPr>
          <w:ilvl w:val="1"/>
          <w:numId w:val="9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odpisy amortyzacyjne zostały dokonane zgodnie z właściwymi przepisami prawa krajowego, </w:t>
      </w:r>
    </w:p>
    <w:p w14:paraId="71D901B5" w14:textId="75D6EFC1" w:rsidR="00DA1573" w:rsidRPr="005F2138" w:rsidRDefault="00DA1573" w:rsidP="00990CE8">
      <w:pPr>
        <w:pStyle w:val="Akapitzlist"/>
        <w:numPr>
          <w:ilvl w:val="1"/>
          <w:numId w:val="97"/>
        </w:numPr>
        <w:tabs>
          <w:tab w:val="left" w:pos="3969"/>
        </w:tabs>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wydatki poniesione na zakup środków trwałych oraz wartości niematerialnych i prawnych nie zostały zgłoszone jako wydatki kwalifikowalne przedsięwzięcia, ani też ich zakup nie był współfinansowany ze środków unijnych (dotyczy to sytuacji, w której OOW kupuje aktywa na potrzeby przedsięwzięcia, ale nie może zrefundować kosztów zakupu),  </w:t>
      </w:r>
    </w:p>
    <w:p w14:paraId="2D23704B" w14:textId="1ABED4B2" w:rsidR="00DA1573" w:rsidRPr="005F2138" w:rsidRDefault="00DA1573" w:rsidP="00990CE8">
      <w:pPr>
        <w:pStyle w:val="Akapitzlist"/>
        <w:numPr>
          <w:ilvl w:val="1"/>
          <w:numId w:val="9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odpisy amortyzacyjne dotyczą środków trwałych oraz wartości niematerialnych i prawnych, które zostały zakupione w sposób racjonalny i</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efektywny, tj. ich ceny nie są zawyżone w stosunku do cen i stawek rynkowych,  </w:t>
      </w:r>
    </w:p>
    <w:p w14:paraId="64FFCBBC" w14:textId="48B83331" w:rsidR="00DA1573" w:rsidRPr="005F2138" w:rsidRDefault="00DA1573" w:rsidP="00990CE8">
      <w:pPr>
        <w:pStyle w:val="Akapitzlist"/>
        <w:numPr>
          <w:ilvl w:val="1"/>
          <w:numId w:val="9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  </w:t>
      </w:r>
    </w:p>
    <w:p w14:paraId="31017F52" w14:textId="7E7E34A5" w:rsidR="00DA1573" w:rsidRPr="005F2138" w:rsidRDefault="00DA1573" w:rsidP="00990CE8">
      <w:pPr>
        <w:pStyle w:val="Akapitzlist"/>
        <w:numPr>
          <w:ilvl w:val="0"/>
          <w:numId w:val="97"/>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o którym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lit. f, wartość rezydualna (księgowa wartość likwidacyjna) środków trwałych oraz wartości niematerialnych i</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prawnych po zakończeniu realizacji przedsięwzięcia nie jest wydatkiem kwalifikowalnym.  </w:t>
      </w:r>
    </w:p>
    <w:p w14:paraId="166015B8" w14:textId="3C3B9F4C" w:rsidR="00C8010D" w:rsidRPr="005F2138" w:rsidRDefault="00DA1573" w:rsidP="00990CE8">
      <w:pPr>
        <w:pStyle w:val="Akapitzlist"/>
        <w:numPr>
          <w:ilvl w:val="0"/>
          <w:numId w:val="97"/>
        </w:numPr>
        <w:spacing w:before="120" w:after="120"/>
        <w:ind w:left="426" w:hanging="426"/>
        <w:jc w:val="both"/>
        <w:rPr>
          <w:rFonts w:ascii="Lato" w:eastAsiaTheme="majorEastAsia" w:hAnsi="Lato" w:cstheme="majorBidi"/>
          <w:kern w:val="32"/>
          <w:szCs w:val="26"/>
        </w:rPr>
      </w:pPr>
      <w:r w:rsidRPr="005F2138">
        <w:rPr>
          <w:rStyle w:val="normaltextrun"/>
          <w:rFonts w:ascii="Lato" w:eastAsiaTheme="majorEastAsia" w:hAnsi="Lato" w:cstheme="majorBidi"/>
          <w:kern w:val="32"/>
          <w:szCs w:val="26"/>
        </w:rPr>
        <w:t>Odpisy amortyzacyjne mogą być kwalifikowalne do wysokości nabycia przedmiotu leasingu, o którym mowa w podrozdziale 4.</w:t>
      </w:r>
      <w:r w:rsidR="001305D0" w:rsidRPr="005F2138">
        <w:rPr>
          <w:rStyle w:val="normaltextrun"/>
          <w:rFonts w:ascii="Lato" w:eastAsiaTheme="majorEastAsia" w:hAnsi="Lato" w:cstheme="majorBidi"/>
          <w:kern w:val="32"/>
          <w:szCs w:val="26"/>
        </w:rPr>
        <w:t>9.</w:t>
      </w:r>
      <w:r w:rsidRPr="005F2138">
        <w:rPr>
          <w:rStyle w:val="normaltextrun"/>
          <w:rFonts w:ascii="Lato" w:eastAsiaTheme="majorEastAsia" w:hAnsi="Lato" w:cstheme="majorBidi"/>
          <w:kern w:val="32"/>
          <w:szCs w:val="26"/>
        </w:rPr>
        <w:t xml:space="preserve"> </w:t>
      </w:r>
    </w:p>
    <w:p w14:paraId="3E025AEB" w14:textId="5BC35160" w:rsidR="00DA1573" w:rsidRPr="00990CE8" w:rsidRDefault="00DA1573" w:rsidP="00990CE8">
      <w:pPr>
        <w:pStyle w:val="Nagwek2"/>
        <w:numPr>
          <w:ilvl w:val="1"/>
          <w:numId w:val="131"/>
        </w:numPr>
        <w:spacing w:before="120" w:after="120"/>
        <w:ind w:left="426" w:hanging="426"/>
        <w:rPr>
          <w:rFonts w:ascii="Lato" w:hAnsi="Lato"/>
        </w:rPr>
      </w:pPr>
      <w:bookmarkStart w:id="42" w:name="_Toc181699378"/>
      <w:r w:rsidRPr="00990CE8">
        <w:rPr>
          <w:rFonts w:ascii="Lato" w:hAnsi="Lato"/>
        </w:rPr>
        <w:t>Leasing i inne techniki finansowania niepowodujące przeniesienia prawa własności lub natychmiastowego przeniesienia prawa własności</w:t>
      </w:r>
      <w:bookmarkEnd w:id="42"/>
    </w:p>
    <w:p w14:paraId="0F8188ED" w14:textId="3B4F19DA" w:rsidR="00EB531C" w:rsidRPr="005F2138" w:rsidRDefault="00473FBD" w:rsidP="00990CE8">
      <w:pPr>
        <w:pStyle w:val="Akapitzlist"/>
        <w:numPr>
          <w:ilvl w:val="0"/>
          <w:numId w:val="79"/>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Pr="005F2138">
        <w:rPr>
          <w:rStyle w:val="normaltextrun"/>
          <w:rFonts w:ascii="Lato" w:eastAsiaTheme="majorEastAsia" w:hAnsi="Lato" w:cstheme="majorBidi"/>
          <w:kern w:val="32"/>
          <w:szCs w:val="26"/>
        </w:rPr>
        <w:t>ne są</w:t>
      </w:r>
      <w:r w:rsidR="00EB531C" w:rsidRPr="005F2138">
        <w:rPr>
          <w:rStyle w:val="normaltextrun"/>
          <w:rFonts w:ascii="Lato" w:eastAsiaTheme="majorEastAsia" w:hAnsi="Lato" w:cstheme="majorBidi"/>
          <w:kern w:val="32"/>
          <w:szCs w:val="26"/>
        </w:rPr>
        <w:t xml:space="preserve"> wydatki poniesione w związku z</w:t>
      </w:r>
      <w:r w:rsidR="000F420A" w:rsidRPr="005F2138">
        <w:rPr>
          <w:rStyle w:val="normaltextrun"/>
          <w:rFonts w:ascii="Lato" w:eastAsiaTheme="majorEastAsia" w:hAnsi="Lato" w:cstheme="majorBidi"/>
          <w:kern w:val="32"/>
          <w:szCs w:val="26"/>
        </w:rPr>
        <w:t> </w:t>
      </w:r>
      <w:r w:rsidR="00EB531C" w:rsidRPr="005F2138">
        <w:rPr>
          <w:rStyle w:val="normaltextrun"/>
          <w:rFonts w:ascii="Lato" w:eastAsiaTheme="majorEastAsia" w:hAnsi="Lato" w:cstheme="majorBidi"/>
          <w:kern w:val="32"/>
          <w:szCs w:val="26"/>
        </w:rPr>
        <w:t xml:space="preserve">zastosowaniem technik finansowania, które nie powodują natychmiastowego przeniesienia prawa własności do danego dobra na OOW, w tym w szczególności wydatki poniesione w związku z zastosowaniem leasingu oraz IRU.  </w:t>
      </w:r>
    </w:p>
    <w:p w14:paraId="776EB06E" w14:textId="40DDC3ED" w:rsidR="00EB531C" w:rsidRPr="005F2138" w:rsidRDefault="00473FBD"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Pr="005F2138">
        <w:rPr>
          <w:rStyle w:val="normaltextrun"/>
          <w:rFonts w:ascii="Lato" w:eastAsiaTheme="majorEastAsia" w:hAnsi="Lato" w:cstheme="majorBidi"/>
          <w:kern w:val="32"/>
          <w:szCs w:val="26"/>
        </w:rPr>
        <w:t>ne są</w:t>
      </w:r>
      <w:r w:rsidR="00EB531C" w:rsidRPr="005F2138">
        <w:rPr>
          <w:rStyle w:val="normaltextrun"/>
          <w:rFonts w:ascii="Lato" w:eastAsiaTheme="majorEastAsia" w:hAnsi="Lato" w:cstheme="majorBidi"/>
          <w:kern w:val="32"/>
          <w:szCs w:val="26"/>
        </w:rPr>
        <w:t xml:space="preserve"> wydatki poniesione w związku z</w:t>
      </w:r>
      <w:r w:rsidR="000F420A" w:rsidRPr="005F2138">
        <w:rPr>
          <w:rStyle w:val="normaltextrun"/>
          <w:rFonts w:ascii="Lato" w:eastAsiaTheme="majorEastAsia" w:hAnsi="Lato" w:cstheme="majorBidi"/>
          <w:kern w:val="32"/>
          <w:szCs w:val="26"/>
        </w:rPr>
        <w:t> </w:t>
      </w:r>
      <w:r w:rsidR="00EB531C" w:rsidRPr="005F2138">
        <w:rPr>
          <w:rStyle w:val="normaltextrun"/>
          <w:rFonts w:ascii="Lato" w:eastAsiaTheme="majorEastAsia" w:hAnsi="Lato" w:cstheme="majorBidi"/>
          <w:kern w:val="32"/>
          <w:szCs w:val="26"/>
        </w:rPr>
        <w:t>następującymi formami leasingu:</w:t>
      </w:r>
    </w:p>
    <w:p w14:paraId="363E6342" w14:textId="64D308D7"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 xml:space="preserve">leasing finansowy – istotą leasingu finansowego jest taka umowa leasingu, w ramach której ryzyko oraz pożytki z tytułu korzystania z przedmiotu leasingu przeniesione są na leasingobiorcę (OOW). Umowa ta często zawiera opcję nabycia przedmiotu leasingu lub przewiduje minimalny okres leasingowy odpowiadający okresowi użytkowania aktywów, będących przedmiotem leasingu,  </w:t>
      </w:r>
    </w:p>
    <w:p w14:paraId="12729CFE" w14:textId="42BF7236"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leasing operacyjny – istotą leasingu operacyjnego jest taka umowa leasingu, w ramach której ryzyko oraz pożytki z tytułu posiadania przedmiotu leasingu nie są zasadniczo w całości przeniesione na leasingobiorcę (OOW), a okres użytkowania przedmiotu leasingu może być krótszy niż okres jego gospodarczej używalności (okres amortyzacji),  </w:t>
      </w:r>
    </w:p>
    <w:p w14:paraId="3CC88B5F" w14:textId="565AF19D"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leasing zwrotny – istotą leasingu zwrotnego jest powiązanie umowy leasingu z poprzedzającą ją umową sprzedaży. W przypadku zawarcia transakcji leasingu zwrotnego, OOW sprzedaje posiadane dobro firmie leasingowej i</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równocześnie uzyskuje prawo do jego dalszego użytkowania na warunkach ustalonych w umowie leasingu. Dzięki takiej operacji OOW, pomimo sprzedaży danego dobra leasingodawcy, nadal z niego korzysta, płacąc raty leasingowe związane z jego użytkowaniem.  </w:t>
      </w:r>
    </w:p>
    <w:p w14:paraId="34DEAFC5" w14:textId="089CBC0F" w:rsidR="00EB531C" w:rsidRPr="005F2138" w:rsidRDefault="00EB531C"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zastosowania w ramach przedsięwzięcia finansowania w drodze leasingu, wydatkiem </w:t>
      </w:r>
      <w:r w:rsidR="00473FBD"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nym</w:t>
      </w:r>
      <w:r w:rsidRPr="005F2138">
        <w:rPr>
          <w:rStyle w:val="normaltextrun"/>
          <w:rFonts w:ascii="Lato" w:eastAsiaTheme="majorEastAsia" w:hAnsi="Lato" w:cstheme="majorBidi"/>
          <w:kern w:val="32"/>
          <w:szCs w:val="26"/>
        </w:rPr>
        <w:t xml:space="preserve"> jest: </w:t>
      </w:r>
    </w:p>
    <w:p w14:paraId="1F934075" w14:textId="77777777"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leasingu finansowego, alternatywnie:  </w:t>
      </w:r>
    </w:p>
    <w:p w14:paraId="6A855173" w14:textId="79F3E70D" w:rsidR="00EB531C" w:rsidRPr="005F2138" w:rsidRDefault="00EB531C" w:rsidP="00990CE8">
      <w:pPr>
        <w:pStyle w:val="Akapitzlist"/>
        <w:numPr>
          <w:ilvl w:val="2"/>
          <w:numId w:val="7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kwota przypadająca na część raty leasingowej wystawionej na rzecz OOW, związanej ze spłatą kapitału przedmiotu umowy leasingu, o ile we </w:t>
      </w:r>
      <w:r w:rsidR="001305D0"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OOW jest wskazany jako podmiot ponoszący wydatki, albo  </w:t>
      </w:r>
    </w:p>
    <w:p w14:paraId="1792919B" w14:textId="1CF3E7D1" w:rsidR="00EB531C" w:rsidRPr="005F2138" w:rsidRDefault="00EB531C" w:rsidP="00990CE8">
      <w:pPr>
        <w:pStyle w:val="Akapitzlist"/>
        <w:numPr>
          <w:ilvl w:val="2"/>
          <w:numId w:val="7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kwota przypadająca na fakturę nabycia przedmiotu leasingu, wystawiona na rzecz leasingodawcy, o ile we </w:t>
      </w:r>
      <w:r w:rsidR="001305D0"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leasingodawca jest wskazany przez OOW jako podmiot upoważniony do poniesienia wydatku na zakup leasingowanego dobra. </w:t>
      </w:r>
    </w:p>
    <w:p w14:paraId="2C83812E" w14:textId="42C2F058"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 xml:space="preserve">w przypadku leasingu operacyjnego – kwota przypadająca na część raty leasingowej wystawionej na rzecz OOW, związanej ze spłatą kapitału przedmiotu umowy leasingu,  </w:t>
      </w:r>
    </w:p>
    <w:p w14:paraId="755A5E9F" w14:textId="7C9731F4"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leasingu zwrotnego – w zależności od ostatecznej formy jaką przybierze leasing zwrotny, wydatki, o których mowa w lit. a-b.  </w:t>
      </w:r>
    </w:p>
    <w:p w14:paraId="44BDB8D8" w14:textId="52301F22" w:rsidR="00EB531C" w:rsidRPr="005F2138" w:rsidRDefault="00EB531C"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Dowodem faktycznego poniesienia wydatku jest dokument potwierdzający opłacenie raty leasingowej, z wyjątkiem rozwiązania, o którym mowa </w:t>
      </w:r>
      <w:r w:rsidR="001305D0" w:rsidRPr="005F2138">
        <w:rPr>
          <w:rStyle w:val="normaltextrun"/>
          <w:rFonts w:ascii="Lato" w:eastAsiaTheme="majorEastAsia" w:hAnsi="Lato" w:cstheme="majorBidi"/>
          <w:kern w:val="32"/>
          <w:szCs w:val="26"/>
        </w:rPr>
        <w:t xml:space="preserve">w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8. </w:t>
      </w:r>
    </w:p>
    <w:p w14:paraId="3D690D50" w14:textId="58E0FA27" w:rsidR="00EB531C" w:rsidRPr="005F2138" w:rsidRDefault="00EB531C"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Maksymalna kwota wydatków kwalifikowalnych nie może przekroczyć rynkowej wartości dobra będącego przedmiotem leasingu. Oznacza to, że kwota </w:t>
      </w:r>
      <w:r w:rsidR="00473FBD" w:rsidRPr="005F2138">
        <w:rPr>
          <w:rStyle w:val="normaltextrun"/>
          <w:rFonts w:ascii="Lato" w:eastAsiaTheme="majorEastAsia" w:hAnsi="Lato" w:cstheme="majorBidi"/>
          <w:kern w:val="32"/>
          <w:szCs w:val="26"/>
        </w:rPr>
        <w:t>wydatków 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 xml:space="preserve">nych </w:t>
      </w:r>
      <w:r w:rsidRPr="005F2138">
        <w:rPr>
          <w:rStyle w:val="normaltextrun"/>
          <w:rFonts w:ascii="Lato" w:eastAsiaTheme="majorEastAsia" w:hAnsi="Lato" w:cstheme="majorBidi"/>
          <w:kern w:val="32"/>
          <w:szCs w:val="26"/>
        </w:rPr>
        <w:t xml:space="preserve">nie może być wyższa, niż:  </w:t>
      </w:r>
    </w:p>
    <w:p w14:paraId="01880526" w14:textId="54110DC6" w:rsidR="00EB531C"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kwota, na którą opiewa dowód zakupu wystawiony leasingodawcy przez dostawcę finansowanego dobra – w przypadku dóbr zakupionych nie wcześniej niż w okresie 12 miesięcy przed złożeniem przez OOW </w:t>
      </w:r>
      <w:r w:rsidR="00270BB4"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niosku,  </w:t>
      </w:r>
    </w:p>
    <w:p w14:paraId="20605755" w14:textId="14487DE3" w:rsidR="00C8010D" w:rsidRPr="005F2138" w:rsidRDefault="00EB531C" w:rsidP="00990CE8">
      <w:pPr>
        <w:pStyle w:val="Akapitzlist"/>
        <w:numPr>
          <w:ilvl w:val="1"/>
          <w:numId w:val="7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rynkowa wartość dobra będącego przedmiotem leasingu określona w</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wycenie sporządzonej przez uprawnionego rzeczoznawcę lub w</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wycenie sporządzonej w oparciu o metodologię przedstawioną przez </w:t>
      </w:r>
      <w:r w:rsidR="004F5C64" w:rsidRPr="005F2138">
        <w:rPr>
          <w:rStyle w:val="normaltextrun"/>
          <w:rFonts w:ascii="Lato" w:eastAsiaTheme="majorEastAsia" w:hAnsi="Lato" w:cstheme="majorBidi"/>
          <w:kern w:val="32"/>
          <w:szCs w:val="26"/>
        </w:rPr>
        <w:t>OOW</w:t>
      </w:r>
      <w:r w:rsidRPr="005F2138">
        <w:rPr>
          <w:rStyle w:val="normaltextrun"/>
          <w:rFonts w:ascii="Lato" w:eastAsiaTheme="majorEastAsia" w:hAnsi="Lato" w:cstheme="majorBidi"/>
          <w:kern w:val="32"/>
          <w:szCs w:val="26"/>
        </w:rPr>
        <w:t xml:space="preserve"> – w</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przypadku dóbr zakupionych wcześniej niż w okresie 12</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miesięcy przed złożeniem przez </w:t>
      </w:r>
      <w:r w:rsidR="004F5C64" w:rsidRPr="005F2138">
        <w:rPr>
          <w:rStyle w:val="normaltextrun"/>
          <w:rFonts w:ascii="Lato" w:eastAsiaTheme="majorEastAsia" w:hAnsi="Lato" w:cstheme="majorBidi"/>
          <w:kern w:val="32"/>
          <w:szCs w:val="26"/>
        </w:rPr>
        <w:t xml:space="preserve">OOW </w:t>
      </w:r>
      <w:r w:rsidR="00270BB4"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niosku. Wycena może zostać zastąpiona udokumentowaniem wyboru przedmiotu leasingu w</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procedurze przetargowej zapewniającej zachowanie uczciwej konkurencji. Decyzję dotyczącą dopuszczalnych sposobów wyceny dobra będącego przedmiotem leasingu podejmuje IOI.  </w:t>
      </w:r>
    </w:p>
    <w:p w14:paraId="353F871B" w14:textId="49E99205" w:rsidR="004F5C64" w:rsidRPr="005F2138" w:rsidRDefault="004F5C64"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Środki na realizację umów leasingu są wypłacane leasingobiorcy zgodnie z</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faktycznie spłacanymi ratami leasingu, z zastrzeżeniem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8.  </w:t>
      </w:r>
    </w:p>
    <w:p w14:paraId="612ED958" w14:textId="3C123519" w:rsidR="004F5C64" w:rsidRPr="005F2138" w:rsidRDefault="004F5C64"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gdy okres obowiązywania umowy leasingu przekracza końcową datę kwalifikowalności wydatków, wydatkami </w:t>
      </w:r>
      <w:r w:rsidR="00473FBD"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 xml:space="preserve">nymi </w:t>
      </w:r>
      <w:r w:rsidRPr="005F2138">
        <w:rPr>
          <w:rStyle w:val="normaltextrun"/>
          <w:rFonts w:ascii="Lato" w:eastAsiaTheme="majorEastAsia" w:hAnsi="Lato" w:cstheme="majorBidi"/>
          <w:kern w:val="32"/>
          <w:szCs w:val="26"/>
        </w:rPr>
        <w:t xml:space="preserve">są, z wyjątkiem rozwiązania, o którym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8, wyłącznie raty leasingowe, których termin płatności przypada na okres ponoszenia wydatków kwalifikowalnych określonych w</w:t>
      </w:r>
      <w:r w:rsidR="00610CA3">
        <w:rPr>
          <w:rStyle w:val="normaltextrun"/>
          <w:rFonts w:ascii="Lato" w:eastAsiaTheme="majorEastAsia" w:hAnsi="Lato" w:cstheme="majorBidi"/>
          <w:kern w:val="32"/>
          <w:szCs w:val="26"/>
        </w:rPr>
        <w:t> </w:t>
      </w:r>
      <w:r w:rsidR="00F77DD5" w:rsidRPr="005F2138">
        <w:rPr>
          <w:rStyle w:val="normaltextrun"/>
          <w:rFonts w:ascii="Lato" w:eastAsiaTheme="majorEastAsia" w:hAnsi="Lato" w:cstheme="majorBidi"/>
          <w:kern w:val="32"/>
          <w:szCs w:val="26"/>
        </w:rPr>
        <w:t>P</w:t>
      </w:r>
      <w:r w:rsidRPr="005F2138">
        <w:rPr>
          <w:rStyle w:val="normaltextrun"/>
          <w:rFonts w:ascii="Lato" w:eastAsiaTheme="majorEastAsia" w:hAnsi="Lato" w:cstheme="majorBidi"/>
          <w:kern w:val="32"/>
          <w:szCs w:val="26"/>
        </w:rPr>
        <w:t xml:space="preserve">orozumieniu oraz faktycznie zapłacone w tym okresie.  </w:t>
      </w:r>
    </w:p>
    <w:p w14:paraId="5D54EA32" w14:textId="218BCC70" w:rsidR="004F5C64" w:rsidRPr="005F2138" w:rsidRDefault="004F5C64"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leasingu finansowego, </w:t>
      </w:r>
      <w:r w:rsidR="00473FBD"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 xml:space="preserve">ny może być </w:t>
      </w:r>
      <w:r w:rsidRPr="005F2138">
        <w:rPr>
          <w:rStyle w:val="normaltextrun"/>
          <w:rFonts w:ascii="Lato" w:eastAsiaTheme="majorEastAsia" w:hAnsi="Lato" w:cstheme="majorBidi"/>
          <w:kern w:val="32"/>
          <w:szCs w:val="26"/>
        </w:rPr>
        <w:t>również wydatek poniesiony przez leasingodawcę na zakup dobra leasingowanego</w:t>
      </w:r>
      <w:r w:rsidR="001305D0" w:rsidRPr="005F2138">
        <w:rPr>
          <w:rStyle w:val="normaltextrun"/>
          <w:rFonts w:ascii="Lato" w:eastAsiaTheme="majorEastAsia" w:hAnsi="Lato" w:cstheme="majorBidi"/>
          <w:kern w:val="32"/>
          <w:szCs w:val="26"/>
        </w:rPr>
        <w:t xml:space="preserve"> przez</w:t>
      </w:r>
      <w:r w:rsidRPr="005F2138">
        <w:rPr>
          <w:rStyle w:val="normaltextrun"/>
          <w:rFonts w:ascii="Lato" w:eastAsiaTheme="majorEastAsia" w:hAnsi="Lato" w:cstheme="majorBidi"/>
          <w:kern w:val="32"/>
          <w:szCs w:val="26"/>
        </w:rPr>
        <w:t xml:space="preserve"> OOW </w:t>
      </w:r>
      <w:r w:rsidRPr="005F2138">
        <w:rPr>
          <w:rStyle w:val="normaltextrun"/>
          <w:rFonts w:ascii="Lato" w:eastAsiaTheme="majorEastAsia" w:hAnsi="Lato" w:cstheme="majorBidi"/>
          <w:kern w:val="32"/>
          <w:szCs w:val="26"/>
        </w:rPr>
        <w:lastRenderedPageBreak/>
        <w:t>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związku z realizacją przedsięwzięcia. Warunkiem umożliwiającym kwalifikowa</w:t>
      </w:r>
      <w:r w:rsidR="00846BB9" w:rsidRPr="005F2138">
        <w:rPr>
          <w:rStyle w:val="normaltextrun"/>
          <w:rFonts w:ascii="Lato" w:eastAsiaTheme="majorEastAsia" w:hAnsi="Lato" w:cstheme="majorBidi"/>
          <w:kern w:val="32"/>
          <w:szCs w:val="26"/>
        </w:rPr>
        <w:t>lność</w:t>
      </w:r>
      <w:r w:rsidRPr="005F2138">
        <w:rPr>
          <w:rStyle w:val="normaltextrun"/>
          <w:rFonts w:ascii="Lato" w:eastAsiaTheme="majorEastAsia" w:hAnsi="Lato" w:cstheme="majorBidi"/>
          <w:kern w:val="32"/>
          <w:szCs w:val="26"/>
        </w:rPr>
        <w:t xml:space="preserve"> tego wydatku jest wskazanie we </w:t>
      </w:r>
      <w:r w:rsidR="001305D0"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niosku rozwiązania, o</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którym mowa w </w:t>
      </w:r>
      <w:r w:rsidR="00492B74"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3 lit. a </w:t>
      </w:r>
      <w:proofErr w:type="spellStart"/>
      <w:r w:rsidRPr="005F2138">
        <w:rPr>
          <w:rStyle w:val="normaltextrun"/>
          <w:rFonts w:ascii="Lato" w:eastAsiaTheme="majorEastAsia" w:hAnsi="Lato" w:cstheme="majorBidi"/>
          <w:kern w:val="32"/>
          <w:szCs w:val="26"/>
        </w:rPr>
        <w:t>tiret</w:t>
      </w:r>
      <w:proofErr w:type="spellEnd"/>
      <w:r w:rsidRPr="005F2138">
        <w:rPr>
          <w:rStyle w:val="normaltextrun"/>
          <w:rFonts w:ascii="Lato" w:eastAsiaTheme="majorEastAsia" w:hAnsi="Lato" w:cstheme="majorBidi"/>
          <w:kern w:val="32"/>
          <w:szCs w:val="26"/>
        </w:rPr>
        <w:t xml:space="preserve"> ii, co stanowi jednocześnie upoważnienie dla firmy leasingowej do poniesienia wydatku na rzecz OOW. W</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takim przypadku wydatki poniesione przez OOW na opłacenie rat związanych z leasingiem tego dobra stanowią wydatki niekwalifikowalne.  </w:t>
      </w:r>
    </w:p>
    <w:p w14:paraId="1DA96937" w14:textId="0B2E9BB0" w:rsidR="004F5C64" w:rsidRPr="005F2138" w:rsidRDefault="004F5C64"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sytuacji, o której mowa w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8, dowodem poniesienia wydatku jest faktura zakupu wystawiona na leasingodawcę lub równoważny dokument księgowy wraz z</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dokumentem potwierdzającym dokonanie płatności. </w:t>
      </w:r>
    </w:p>
    <w:p w14:paraId="030D989D" w14:textId="16176EDB" w:rsidR="004F5C64" w:rsidRPr="005F2138" w:rsidRDefault="004F5C64" w:rsidP="00990CE8">
      <w:pPr>
        <w:pStyle w:val="Akapitzlist"/>
        <w:numPr>
          <w:ilvl w:val="0"/>
          <w:numId w:val="79"/>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Część kapitałowa raty leasingowej, płacona przez leasingobiorcę w ramach leasingu zwrotnego, jest wydatkiem </w:t>
      </w:r>
      <w:r w:rsidR="00473FBD" w:rsidRPr="005F2138">
        <w:rPr>
          <w:rStyle w:val="normaltextrun"/>
          <w:rFonts w:ascii="Lato" w:eastAsiaTheme="majorEastAsia" w:hAnsi="Lato" w:cstheme="majorBidi"/>
          <w:kern w:val="32"/>
          <w:szCs w:val="26"/>
        </w:rPr>
        <w:t>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nym</w:t>
      </w:r>
      <w:r w:rsidRPr="005F2138">
        <w:rPr>
          <w:rStyle w:val="normaltextrun"/>
          <w:rFonts w:ascii="Lato" w:eastAsiaTheme="majorEastAsia" w:hAnsi="Lato" w:cstheme="majorBidi"/>
          <w:kern w:val="32"/>
          <w:szCs w:val="26"/>
        </w:rPr>
        <w:t>. Należy jednak pamiętać, że</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finansowanie nie może posłużyć do ponownego nabycia danego dobra, jeśli jego zakup był wcześniej współfinansowany ze środków UE lub w ramach krajowych środków publicznych.  </w:t>
      </w:r>
    </w:p>
    <w:p w14:paraId="641B279F" w14:textId="45876CA0" w:rsidR="004F5C64" w:rsidRPr="00990CE8" w:rsidRDefault="004F5C64" w:rsidP="00990CE8">
      <w:pPr>
        <w:pStyle w:val="Nagwek2"/>
        <w:numPr>
          <w:ilvl w:val="1"/>
          <w:numId w:val="131"/>
        </w:numPr>
        <w:spacing w:before="120" w:after="120"/>
        <w:ind w:left="426" w:hanging="426"/>
        <w:rPr>
          <w:rFonts w:ascii="Lato" w:hAnsi="Lato"/>
        </w:rPr>
      </w:pPr>
      <w:bookmarkStart w:id="43" w:name="_Toc181699379"/>
      <w:r w:rsidRPr="00990CE8">
        <w:rPr>
          <w:rFonts w:ascii="Lato" w:hAnsi="Lato"/>
        </w:rPr>
        <w:t>Umowa IRU</w:t>
      </w:r>
      <w:bookmarkEnd w:id="43"/>
    </w:p>
    <w:p w14:paraId="05EB5ACD" w14:textId="28DEDDC7" w:rsidR="004F5C64" w:rsidRPr="005F2138" w:rsidRDefault="004F5C64" w:rsidP="00990CE8">
      <w:pPr>
        <w:pStyle w:val="Akapitzlist"/>
        <w:numPr>
          <w:ilvl w:val="0"/>
          <w:numId w:val="80"/>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W przypadku umowy IRU wydatek kwalifikowalny stanowi wyłącznie płatność zasadnicza poniesiona w okresie kwalifikowalności wydatków w przedsięwzięciu.  </w:t>
      </w:r>
    </w:p>
    <w:p w14:paraId="31072D3C" w14:textId="53F1FA03" w:rsidR="004F5C64" w:rsidRPr="005F2138" w:rsidRDefault="004F5C64" w:rsidP="00990CE8">
      <w:pPr>
        <w:pStyle w:val="Akapitzlist"/>
        <w:numPr>
          <w:ilvl w:val="0"/>
          <w:numId w:val="80"/>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Koszt utrzymania infrastruktury użytkowanej w drodze IRU w trakcie oraz po zakończeniu przedsięwzięcia ponoszony jest przez </w:t>
      </w:r>
      <w:r w:rsidR="00BD76E4" w:rsidRPr="005F2138">
        <w:rPr>
          <w:rStyle w:val="normaltextrun"/>
          <w:rFonts w:ascii="Lato" w:eastAsiaTheme="majorEastAsia" w:hAnsi="Lato" w:cstheme="majorBidi"/>
          <w:kern w:val="32"/>
          <w:szCs w:val="26"/>
        </w:rPr>
        <w:t>OOW</w:t>
      </w:r>
      <w:r w:rsidRPr="005F2138">
        <w:rPr>
          <w:rStyle w:val="normaltextrun"/>
          <w:rFonts w:ascii="Lato" w:eastAsiaTheme="majorEastAsia" w:hAnsi="Lato" w:cstheme="majorBidi"/>
          <w:kern w:val="32"/>
          <w:szCs w:val="26"/>
        </w:rPr>
        <w:t xml:space="preserve">. </w:t>
      </w:r>
    </w:p>
    <w:p w14:paraId="7B5F2A90" w14:textId="055A5C36" w:rsidR="004F5C64" w:rsidRPr="005F2138" w:rsidRDefault="004F5C64" w:rsidP="00990CE8">
      <w:pPr>
        <w:pStyle w:val="Akapitzlist"/>
        <w:numPr>
          <w:ilvl w:val="0"/>
          <w:numId w:val="80"/>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Warunkiem umożliwiającym zastosowanie przedmiotowej techniki finansowania jest udowodnienie, iż jest ona najbardziej uzasadniona ekonomiczn</w:t>
      </w:r>
      <w:r w:rsidR="00270BB4" w:rsidRPr="005F2138">
        <w:rPr>
          <w:rStyle w:val="normaltextrun"/>
          <w:rFonts w:ascii="Lato" w:eastAsiaTheme="majorEastAsia" w:hAnsi="Lato" w:cstheme="majorBidi"/>
          <w:kern w:val="32"/>
          <w:szCs w:val="26"/>
        </w:rPr>
        <w:t>i</w:t>
      </w:r>
      <w:r w:rsidRPr="005F2138">
        <w:rPr>
          <w:rStyle w:val="normaltextrun"/>
          <w:rFonts w:ascii="Lato" w:eastAsiaTheme="majorEastAsia" w:hAnsi="Lato" w:cstheme="majorBidi"/>
          <w:kern w:val="32"/>
          <w:szCs w:val="26"/>
        </w:rPr>
        <w:t xml:space="preserve">e (najkorzystniejsza z punktu widzenia celów przedsięwzięcia).  </w:t>
      </w:r>
    </w:p>
    <w:p w14:paraId="183A35E6" w14:textId="1DEB2C86" w:rsidR="00623F14" w:rsidRPr="005F2138" w:rsidRDefault="004F5C64" w:rsidP="00990CE8">
      <w:pPr>
        <w:pStyle w:val="Akapitzlist"/>
        <w:numPr>
          <w:ilvl w:val="0"/>
          <w:numId w:val="80"/>
        </w:numPr>
        <w:spacing w:before="120" w:after="120"/>
        <w:ind w:left="426" w:hanging="426"/>
        <w:jc w:val="both"/>
        <w:rPr>
          <w:rFonts w:ascii="Lato" w:eastAsiaTheme="majorEastAsia" w:hAnsi="Lato" w:cstheme="majorBidi"/>
          <w:kern w:val="32"/>
          <w:szCs w:val="26"/>
        </w:rPr>
      </w:pPr>
      <w:r w:rsidRPr="005F2138">
        <w:rPr>
          <w:rStyle w:val="normaltextrun"/>
          <w:rFonts w:ascii="Lato" w:eastAsiaTheme="majorEastAsia" w:hAnsi="Lato" w:cstheme="majorBidi"/>
          <w:kern w:val="32"/>
          <w:szCs w:val="26"/>
        </w:rPr>
        <w:t>W zależności od szczegółowych postanowień, umowę IRU można również kształtować jako specyficzną umowę leasingu operacyjnego lub umowę leasingu finansowego</w:t>
      </w:r>
      <w:r w:rsidR="00BD76E4" w:rsidRPr="005F2138">
        <w:rPr>
          <w:rStyle w:val="normaltextrun"/>
          <w:rFonts w:ascii="Lato" w:eastAsiaTheme="majorEastAsia" w:hAnsi="Lato" w:cstheme="majorBidi"/>
          <w:kern w:val="32"/>
          <w:szCs w:val="26"/>
        </w:rPr>
        <w:t>.</w:t>
      </w:r>
    </w:p>
    <w:p w14:paraId="1158035B" w14:textId="53B2CC86" w:rsidR="00335AD4" w:rsidRPr="00990CE8" w:rsidRDefault="00335AD4" w:rsidP="00990CE8">
      <w:pPr>
        <w:pStyle w:val="Nagwek2"/>
        <w:numPr>
          <w:ilvl w:val="1"/>
          <w:numId w:val="131"/>
        </w:numPr>
        <w:spacing w:before="120" w:after="120"/>
        <w:ind w:left="426" w:hanging="426"/>
        <w:rPr>
          <w:rFonts w:ascii="Lato" w:hAnsi="Lato"/>
        </w:rPr>
      </w:pPr>
      <w:bookmarkStart w:id="44" w:name="_Toc181699380"/>
      <w:r w:rsidRPr="00990CE8">
        <w:rPr>
          <w:rFonts w:ascii="Lato" w:hAnsi="Lato"/>
        </w:rPr>
        <w:t>Inne techniki finansowania</w:t>
      </w:r>
      <w:bookmarkEnd w:id="44"/>
    </w:p>
    <w:p w14:paraId="0D1B43A5" w14:textId="4942B2CF" w:rsidR="00BD76E4" w:rsidRPr="005F2138" w:rsidRDefault="00623F14" w:rsidP="00990CE8">
      <w:pPr>
        <w:pStyle w:val="Akapitzlist"/>
        <w:numPr>
          <w:ilvl w:val="0"/>
          <w:numId w:val="81"/>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Wydatki poniesione w związku z zastosowaniem innych technik finansowania </w:t>
      </w:r>
      <w:r w:rsidR="00473FBD" w:rsidRPr="005F2138">
        <w:rPr>
          <w:rStyle w:val="normaltextrun"/>
          <w:rFonts w:ascii="Lato" w:eastAsiaTheme="majorEastAsia" w:hAnsi="Lato" w:cstheme="majorBidi"/>
          <w:kern w:val="32"/>
          <w:szCs w:val="26"/>
        </w:rPr>
        <w:t>są kwalifikowa</w:t>
      </w:r>
      <w:r w:rsidR="00F57356" w:rsidRPr="005F2138">
        <w:rPr>
          <w:rStyle w:val="normaltextrun"/>
          <w:rFonts w:ascii="Lato" w:eastAsiaTheme="majorEastAsia" w:hAnsi="Lato" w:cstheme="majorBidi"/>
          <w:kern w:val="32"/>
          <w:szCs w:val="26"/>
        </w:rPr>
        <w:t>l</w:t>
      </w:r>
      <w:r w:rsidR="00473FBD" w:rsidRPr="005F2138">
        <w:rPr>
          <w:rStyle w:val="normaltextrun"/>
          <w:rFonts w:ascii="Lato" w:eastAsiaTheme="majorEastAsia" w:hAnsi="Lato" w:cstheme="majorBidi"/>
          <w:kern w:val="32"/>
          <w:szCs w:val="26"/>
        </w:rPr>
        <w:t>ne</w:t>
      </w:r>
      <w:r w:rsidRPr="005F2138">
        <w:rPr>
          <w:rStyle w:val="normaltextrun"/>
          <w:rFonts w:ascii="Lato" w:eastAsiaTheme="majorEastAsia" w:hAnsi="Lato" w:cstheme="majorBidi"/>
          <w:kern w:val="32"/>
          <w:szCs w:val="26"/>
        </w:rPr>
        <w:t xml:space="preserve"> z KPO, jeśli zostaną spełnione następujące warunki:  </w:t>
      </w:r>
    </w:p>
    <w:p w14:paraId="5051566F" w14:textId="1C0478B7" w:rsidR="00BD76E4" w:rsidRPr="00990CE8" w:rsidRDefault="00623F14" w:rsidP="00990CE8">
      <w:pPr>
        <w:pStyle w:val="Akapitzlist"/>
        <w:numPr>
          <w:ilvl w:val="1"/>
          <w:numId w:val="81"/>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hAnsi="Lato"/>
          <w:iCs/>
        </w:rPr>
        <w:lastRenderedPageBreak/>
        <w:t xml:space="preserve">wydatki związane z zastosowaniem technik finansowania zostaną wskazane we </w:t>
      </w:r>
      <w:r w:rsidR="00270BB4" w:rsidRPr="005F2138">
        <w:rPr>
          <w:rStyle w:val="normaltextrun"/>
          <w:rFonts w:ascii="Lato" w:hAnsi="Lato"/>
          <w:iCs/>
        </w:rPr>
        <w:t>W</w:t>
      </w:r>
      <w:r w:rsidRPr="005F2138">
        <w:rPr>
          <w:rStyle w:val="normaltextrun"/>
          <w:rFonts w:ascii="Lato" w:hAnsi="Lato"/>
          <w:iCs/>
        </w:rPr>
        <w:t>niosku oraz zostaną odpowiednio udokumentowane w</w:t>
      </w:r>
      <w:r w:rsidR="000F420A" w:rsidRPr="005F2138">
        <w:rPr>
          <w:rStyle w:val="normaltextrun"/>
          <w:rFonts w:ascii="Lato" w:hAnsi="Lato"/>
          <w:iCs/>
        </w:rPr>
        <w:t> </w:t>
      </w:r>
      <w:r w:rsidRPr="005F2138">
        <w:rPr>
          <w:rStyle w:val="normaltextrun"/>
          <w:rFonts w:ascii="Lato" w:hAnsi="Lato"/>
          <w:iCs/>
        </w:rPr>
        <w:t>toku realizacji przedsięwzięcia,  </w:t>
      </w:r>
    </w:p>
    <w:p w14:paraId="24F24C6A" w14:textId="50A461C1" w:rsidR="00BD76E4" w:rsidRPr="00990CE8" w:rsidRDefault="00623F14" w:rsidP="00990CE8">
      <w:pPr>
        <w:pStyle w:val="Akapitzlist"/>
        <w:numPr>
          <w:ilvl w:val="1"/>
          <w:numId w:val="81"/>
        </w:numPr>
        <w:spacing w:before="120" w:after="120"/>
        <w:ind w:left="1134" w:hanging="283"/>
        <w:jc w:val="both"/>
        <w:rPr>
          <w:rFonts w:ascii="Lato" w:eastAsiaTheme="majorEastAsia" w:hAnsi="Lato" w:cstheme="majorBidi"/>
          <w:kern w:val="32"/>
          <w:szCs w:val="26"/>
        </w:rPr>
      </w:pPr>
      <w:r w:rsidRPr="005F2138">
        <w:rPr>
          <w:rStyle w:val="normaltextrun"/>
          <w:rFonts w:ascii="Lato" w:hAnsi="Lato"/>
          <w:iCs/>
        </w:rPr>
        <w:t>zastosowanie tych technik finansowania jest najbardziej efektywną metodą pozyskania danego dobra. </w:t>
      </w:r>
    </w:p>
    <w:p w14:paraId="5D7E0FBB" w14:textId="17A05F70" w:rsidR="00BD76E4" w:rsidRPr="00990CE8" w:rsidRDefault="00BD76E4" w:rsidP="00990CE8">
      <w:pPr>
        <w:pStyle w:val="Nagwek2"/>
        <w:numPr>
          <w:ilvl w:val="1"/>
          <w:numId w:val="131"/>
        </w:numPr>
        <w:spacing w:before="120" w:after="120"/>
        <w:ind w:left="426" w:hanging="426"/>
        <w:rPr>
          <w:rFonts w:ascii="Lato" w:hAnsi="Lato"/>
        </w:rPr>
      </w:pPr>
      <w:bookmarkStart w:id="45" w:name="_Toc181699381"/>
      <w:r w:rsidRPr="00990CE8">
        <w:rPr>
          <w:rFonts w:ascii="Lato" w:hAnsi="Lato"/>
        </w:rPr>
        <w:t>Koszty pośrednie</w:t>
      </w:r>
      <w:bookmarkEnd w:id="45"/>
    </w:p>
    <w:p w14:paraId="2D24330E" w14:textId="7297BDF3" w:rsidR="00BD76E4" w:rsidRPr="005F2138" w:rsidRDefault="00BD76E4" w:rsidP="00990CE8">
      <w:pPr>
        <w:pStyle w:val="Akapitzlist"/>
        <w:numPr>
          <w:ilvl w:val="0"/>
          <w:numId w:val="82"/>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Koszty pośrednie </w:t>
      </w:r>
      <w:r w:rsidR="00444B61" w:rsidRPr="005F2138">
        <w:rPr>
          <w:rStyle w:val="normaltextrun"/>
          <w:rFonts w:ascii="Lato" w:eastAsiaTheme="majorEastAsia" w:hAnsi="Lato" w:cstheme="majorBidi"/>
          <w:kern w:val="32"/>
          <w:szCs w:val="26"/>
        </w:rPr>
        <w:t xml:space="preserve">przedsięwzięcia </w:t>
      </w:r>
      <w:r w:rsidRPr="005F2138">
        <w:rPr>
          <w:rStyle w:val="normaltextrun"/>
          <w:rFonts w:ascii="Lato" w:eastAsiaTheme="majorEastAsia" w:hAnsi="Lato" w:cstheme="majorBidi"/>
          <w:kern w:val="32"/>
          <w:szCs w:val="26"/>
        </w:rPr>
        <w:t xml:space="preserve">są kwalifikowalne, chyba że co innego stanowią </w:t>
      </w:r>
      <w:r w:rsidR="00C41A18"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ytyczne, </w:t>
      </w:r>
      <w:r w:rsidR="00444B61" w:rsidRPr="005F2138">
        <w:rPr>
          <w:rStyle w:val="normaltextrun"/>
          <w:rFonts w:ascii="Lato" w:eastAsiaTheme="majorEastAsia" w:hAnsi="Lato" w:cstheme="majorBidi"/>
          <w:kern w:val="32"/>
          <w:szCs w:val="26"/>
        </w:rPr>
        <w:t>r</w:t>
      </w:r>
      <w:r w:rsidRPr="005F2138">
        <w:rPr>
          <w:rStyle w:val="normaltextrun"/>
          <w:rFonts w:ascii="Lato" w:eastAsiaTheme="majorEastAsia" w:hAnsi="Lato" w:cstheme="majorBidi"/>
          <w:kern w:val="32"/>
          <w:szCs w:val="26"/>
        </w:rPr>
        <w:t xml:space="preserve">egulamin wyboru </w:t>
      </w:r>
      <w:r w:rsidR="00444B61" w:rsidRPr="005F2138">
        <w:rPr>
          <w:rStyle w:val="normaltextrun"/>
          <w:rFonts w:ascii="Lato" w:eastAsiaTheme="majorEastAsia" w:hAnsi="Lato" w:cstheme="majorBidi"/>
          <w:kern w:val="32"/>
          <w:szCs w:val="26"/>
        </w:rPr>
        <w:t>przedsięwzię</w:t>
      </w:r>
      <w:r w:rsidR="00270BB4" w:rsidRPr="005F2138">
        <w:rPr>
          <w:rStyle w:val="normaltextrun"/>
          <w:rFonts w:ascii="Lato" w:eastAsiaTheme="majorEastAsia" w:hAnsi="Lato" w:cstheme="majorBidi"/>
          <w:kern w:val="32"/>
          <w:szCs w:val="26"/>
        </w:rPr>
        <w:t>cia</w:t>
      </w:r>
      <w:r w:rsidR="00444B61"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lub </w:t>
      </w:r>
      <w:r w:rsidR="00F77DD5" w:rsidRPr="005F2138">
        <w:rPr>
          <w:rStyle w:val="normaltextrun"/>
          <w:rFonts w:ascii="Lato" w:eastAsiaTheme="majorEastAsia" w:hAnsi="Lato" w:cstheme="majorBidi"/>
          <w:kern w:val="32"/>
          <w:szCs w:val="26"/>
        </w:rPr>
        <w:t>P</w:t>
      </w:r>
      <w:r w:rsidR="00A95FE9" w:rsidRPr="005F2138">
        <w:rPr>
          <w:rStyle w:val="normaltextrun"/>
          <w:rFonts w:ascii="Lato" w:eastAsiaTheme="majorEastAsia" w:hAnsi="Lato" w:cstheme="majorBidi"/>
          <w:kern w:val="32"/>
          <w:szCs w:val="26"/>
        </w:rPr>
        <w:t>orozumienie</w:t>
      </w:r>
      <w:r w:rsidR="00270BB4" w:rsidRPr="005F2138">
        <w:rPr>
          <w:rStyle w:val="normaltextrun"/>
          <w:rFonts w:ascii="Lato" w:eastAsiaTheme="majorEastAsia" w:hAnsi="Lato" w:cstheme="majorBidi"/>
          <w:kern w:val="32"/>
          <w:szCs w:val="26"/>
        </w:rPr>
        <w:t>.</w:t>
      </w:r>
    </w:p>
    <w:p w14:paraId="4A2507A0" w14:textId="638080C3" w:rsidR="00BD76E4" w:rsidRPr="005F2138" w:rsidRDefault="00A95FE9"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pośrednie przedsięwzięcia stanowią następujące kategorie kosztów:</w:t>
      </w:r>
    </w:p>
    <w:p w14:paraId="1148ABEC" w14:textId="509B3481" w:rsidR="00A95FE9" w:rsidRPr="005F2138" w:rsidRDefault="492DF402" w:rsidP="00990CE8">
      <w:pPr>
        <w:pStyle w:val="Akapitzlist"/>
        <w:numPr>
          <w:ilvl w:val="1"/>
          <w:numId w:val="82"/>
        </w:numPr>
        <w:spacing w:before="120" w:after="120"/>
        <w:ind w:left="1134" w:hanging="283"/>
        <w:jc w:val="both"/>
        <w:rPr>
          <w:rStyle w:val="normaltextrun"/>
          <w:rFonts w:ascii="Lato" w:eastAsiaTheme="majorEastAsia" w:hAnsi="Lato" w:cstheme="majorBidi"/>
          <w:kern w:val="32"/>
        </w:rPr>
      </w:pPr>
      <w:r w:rsidRPr="005F2138">
        <w:rPr>
          <w:rStyle w:val="normaltextrun"/>
          <w:rFonts w:ascii="Lato" w:eastAsiaTheme="majorEastAsia" w:hAnsi="Lato" w:cstheme="majorBidi"/>
          <w:kern w:val="32"/>
        </w:rPr>
        <w:t>koszty koordynatora przedsięwzięcia oraz innego personelu</w:t>
      </w:r>
      <w:r w:rsidR="19908275" w:rsidRPr="005F2138">
        <w:rPr>
          <w:rStyle w:val="normaltextrun"/>
          <w:rFonts w:ascii="Lato" w:eastAsiaTheme="majorEastAsia" w:hAnsi="Lato" w:cstheme="majorBidi"/>
          <w:kern w:val="32"/>
        </w:rPr>
        <w:t xml:space="preserve"> OOW</w:t>
      </w:r>
      <w:r w:rsidRPr="005F2138">
        <w:rPr>
          <w:rStyle w:val="normaltextrun"/>
          <w:rFonts w:ascii="Lato" w:eastAsiaTheme="majorEastAsia" w:hAnsi="Lato" w:cstheme="majorBidi"/>
          <w:kern w:val="32"/>
        </w:rPr>
        <w:t xml:space="preserve"> zaangażowanego w zarządzanie, rozliczanie, monitorowanie przedsięwzięcia lub prowadzenie innych działań administracyjnych, w</w:t>
      </w:r>
      <w:r w:rsidR="00E93FF9" w:rsidRPr="005F2138">
        <w:rPr>
          <w:rStyle w:val="normaltextrun"/>
          <w:rFonts w:ascii="Lato" w:eastAsiaTheme="majorEastAsia" w:hAnsi="Lato" w:cstheme="majorBidi"/>
          <w:kern w:val="32"/>
        </w:rPr>
        <w:t> </w:t>
      </w:r>
      <w:r w:rsidRPr="005F2138">
        <w:rPr>
          <w:rStyle w:val="normaltextrun"/>
          <w:rFonts w:ascii="Lato" w:eastAsiaTheme="majorEastAsia" w:hAnsi="Lato" w:cstheme="majorBidi"/>
          <w:kern w:val="32"/>
        </w:rPr>
        <w:t>szczególności koszty wynagrodzenia tych osób, ich delegacji służbowych i szkoleń,</w:t>
      </w:r>
    </w:p>
    <w:p w14:paraId="3B70B5FB" w14:textId="425EF954" w:rsidR="00A95FE9" w:rsidRPr="005F2138" w:rsidRDefault="00A95FE9"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personelu obsługowego (obsługa kadrowa, finansowa, administracyjna, sekretariat, kancelaria, obsługa prawna, w tym dotycząca zamówień) na potrzeby funkcjonowania</w:t>
      </w:r>
      <w:r w:rsidR="00270BB4" w:rsidRPr="005F2138">
        <w:rPr>
          <w:rStyle w:val="normaltextrun"/>
          <w:rFonts w:ascii="Lato" w:eastAsiaTheme="majorEastAsia" w:hAnsi="Lato" w:cstheme="majorBidi"/>
          <w:kern w:val="32"/>
          <w:szCs w:val="26"/>
        </w:rPr>
        <w:t xml:space="preserve"> OOW,</w:t>
      </w:r>
      <w:r w:rsidRPr="005F2138">
        <w:rPr>
          <w:rStyle w:val="normaltextrun"/>
          <w:rFonts w:ascii="Lato" w:eastAsiaTheme="majorEastAsia" w:hAnsi="Lato" w:cstheme="majorBidi"/>
          <w:kern w:val="32"/>
          <w:szCs w:val="26"/>
        </w:rPr>
        <w:t xml:space="preserve"> </w:t>
      </w:r>
    </w:p>
    <w:p w14:paraId="07309F5A" w14:textId="11F8A518" w:rsidR="00A95FE9" w:rsidRPr="005F2138" w:rsidRDefault="00A95FE9"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obsługi księgowej (wynagrodzenia osób księgujących wydatki),</w:t>
      </w:r>
    </w:p>
    <w:p w14:paraId="7F94CFB1" w14:textId="54521142" w:rsidR="00A95FE9" w:rsidRPr="005F2138" w:rsidRDefault="00A95FE9"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utrzymania powierzchni biurowych (czynsz, najem, opłaty administracyjne),</w:t>
      </w:r>
    </w:p>
    <w:p w14:paraId="61327481" w14:textId="3FF161D4" w:rsidR="00A95FE9" w:rsidRPr="005F2138" w:rsidRDefault="00A95FE9"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wydatki związane z otworzeniem lub prowadzeniem wyodrębnionego na rzecz przedsięwzięcia subkonta na rachunku płatniczym lub odrębnego rachunku płatniczego,</w:t>
      </w:r>
    </w:p>
    <w:p w14:paraId="779480B5" w14:textId="3DA90B59"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odpisy amortyzac</w:t>
      </w:r>
      <w:r w:rsidR="00270BB4" w:rsidRPr="005F2138">
        <w:rPr>
          <w:rStyle w:val="normaltextrun"/>
          <w:rFonts w:ascii="Lato" w:eastAsiaTheme="majorEastAsia" w:hAnsi="Lato" w:cstheme="majorBidi"/>
          <w:kern w:val="32"/>
          <w:szCs w:val="26"/>
        </w:rPr>
        <w:t>yjne,</w:t>
      </w:r>
      <w:r w:rsidRPr="005F2138">
        <w:rPr>
          <w:rStyle w:val="normaltextrun"/>
          <w:rFonts w:ascii="Lato" w:eastAsiaTheme="majorEastAsia" w:hAnsi="Lato" w:cstheme="majorBidi"/>
          <w:kern w:val="32"/>
          <w:szCs w:val="26"/>
        </w:rPr>
        <w:t xml:space="preserve"> koszty najmu lub zakupu aktywów (środków trwałych i wartości niematerialnych i prawnych) używanych na potrzeby osób, o</w:t>
      </w:r>
      <w:r w:rsidR="000F420A"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których mowa w lit. a - </w:t>
      </w:r>
      <w:r w:rsidR="00270BB4" w:rsidRPr="005F2138">
        <w:rPr>
          <w:rStyle w:val="normaltextrun"/>
          <w:rFonts w:ascii="Lato" w:eastAsiaTheme="majorEastAsia" w:hAnsi="Lato" w:cstheme="majorBidi"/>
          <w:kern w:val="32"/>
          <w:szCs w:val="26"/>
        </w:rPr>
        <w:t>c,</w:t>
      </w:r>
    </w:p>
    <w:p w14:paraId="742F4379" w14:textId="4414C7D4"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opłaty za energię elektryczną, cieplną, gaz i wodę, opłaty przesyłowe, opłaty za odprowadzanie ścieków, opłaty za wywóz odpadów komunalnych,</w:t>
      </w:r>
    </w:p>
    <w:p w14:paraId="543C5E1C" w14:textId="5709C772"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usług pocztowych, telefonicznych, internetowych, kurierskich,</w:t>
      </w:r>
    </w:p>
    <w:p w14:paraId="2AF33A68" w14:textId="62324A6B"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usług powielania dokumentów,</w:t>
      </w:r>
    </w:p>
    <w:p w14:paraId="50146047" w14:textId="2964B61A"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materiałów biurowych i artykułów piśmienniczych,</w:t>
      </w:r>
    </w:p>
    <w:p w14:paraId="38BE5BFC" w14:textId="2E7EACB5"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koszty ochrony,</w:t>
      </w:r>
    </w:p>
    <w:p w14:paraId="60610498" w14:textId="508FC989" w:rsidR="00C71C10" w:rsidRPr="005F2138" w:rsidRDefault="00C71C10" w:rsidP="00990CE8">
      <w:pPr>
        <w:pStyle w:val="Akapitzlist"/>
        <w:numPr>
          <w:ilvl w:val="1"/>
          <w:numId w:val="8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koszty sprzątania pomieszczeń, w tym środków czystości, dezynsekcji, dezynfekcji, deratyzacji tych pomieszczeń. </w:t>
      </w:r>
    </w:p>
    <w:p w14:paraId="4AF414D5" w14:textId="18B31F4D" w:rsidR="00C71C10" w:rsidRPr="005F2138" w:rsidRDefault="00C71C10"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Koszty pośrednie przedsięwzięcia są rozliczane za pomocą staw</w:t>
      </w:r>
      <w:r w:rsidR="00A6453F" w:rsidRPr="005F2138">
        <w:rPr>
          <w:rStyle w:val="normaltextrun"/>
          <w:rFonts w:ascii="Lato" w:eastAsiaTheme="majorEastAsia" w:hAnsi="Lato" w:cstheme="majorBidi"/>
          <w:kern w:val="32"/>
          <w:szCs w:val="26"/>
        </w:rPr>
        <w:t>ki</w:t>
      </w:r>
      <w:r w:rsidRPr="005F2138">
        <w:rPr>
          <w:rStyle w:val="normaltextrun"/>
          <w:rFonts w:ascii="Lato" w:eastAsiaTheme="majorEastAsia" w:hAnsi="Lato" w:cstheme="majorBidi"/>
          <w:kern w:val="32"/>
          <w:szCs w:val="26"/>
        </w:rPr>
        <w:t xml:space="preserve"> ryczałtow</w:t>
      </w:r>
      <w:r w:rsidR="00A6453F" w:rsidRPr="005F2138">
        <w:rPr>
          <w:rStyle w:val="normaltextrun"/>
          <w:rFonts w:ascii="Lato" w:eastAsiaTheme="majorEastAsia" w:hAnsi="Lato" w:cstheme="majorBidi"/>
          <w:kern w:val="32"/>
          <w:szCs w:val="26"/>
        </w:rPr>
        <w:t>ej</w:t>
      </w:r>
      <w:r w:rsidR="00046FE4" w:rsidRPr="00990CE8">
        <w:rPr>
          <w:rFonts w:ascii="Lato" w:hAnsi="Lato"/>
        </w:rPr>
        <w:t xml:space="preserve"> </w:t>
      </w:r>
      <w:r w:rsidR="00046FE4" w:rsidRPr="005F2138">
        <w:rPr>
          <w:rStyle w:val="normaltextrun"/>
          <w:rFonts w:ascii="Lato" w:eastAsiaTheme="majorEastAsia" w:hAnsi="Lato" w:cstheme="majorBidi"/>
          <w:kern w:val="32"/>
          <w:szCs w:val="26"/>
        </w:rPr>
        <w:t>7% kosztów bezpośrednich</w:t>
      </w:r>
      <w:r w:rsidR="00A6453F" w:rsidRPr="005F2138">
        <w:rPr>
          <w:rStyle w:val="normaltextrun"/>
          <w:rFonts w:ascii="Lato" w:eastAsiaTheme="majorEastAsia" w:hAnsi="Lato" w:cstheme="majorBidi"/>
          <w:kern w:val="32"/>
          <w:szCs w:val="26"/>
        </w:rPr>
        <w:t xml:space="preserve">. </w:t>
      </w:r>
    </w:p>
    <w:p w14:paraId="71CF547B" w14:textId="42FCB7BE" w:rsidR="00C71C10" w:rsidRPr="005F2138" w:rsidRDefault="00C71C10"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Niedopuszczalna jest sytuacja, w której koszty pośrednie zostaną rozliczone w</w:t>
      </w:r>
      <w:r w:rsidR="00A624C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ramach kosztów bezpośrednich. IOI dokonując oceny kwalifikowalności na etapie wyboru przedsięwzięcia weryfikuje, czy w ramach zadań obejmujących koszty bezpośrednie nie zostały wykazane koszty, które stanowią koszty pośrednie. Dodatkowo, na etapie realizacji </w:t>
      </w:r>
      <w:r w:rsidR="00F5744C" w:rsidRPr="005F2138">
        <w:rPr>
          <w:rStyle w:val="normaltextrun"/>
          <w:rFonts w:ascii="Lato" w:eastAsiaTheme="majorEastAsia" w:hAnsi="Lato" w:cstheme="majorBidi"/>
          <w:kern w:val="32"/>
          <w:szCs w:val="26"/>
        </w:rPr>
        <w:t xml:space="preserve">przedsięwzięcia </w:t>
      </w:r>
      <w:r w:rsidRPr="005F2138">
        <w:rPr>
          <w:rStyle w:val="normaltextrun"/>
          <w:rFonts w:ascii="Lato" w:eastAsiaTheme="majorEastAsia" w:hAnsi="Lato" w:cstheme="majorBidi"/>
          <w:kern w:val="32"/>
          <w:szCs w:val="26"/>
        </w:rPr>
        <w:t>IOI zatwierdzając wniosek  o</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płatność weryfikuje, czy w zestawieniu poniesionych kosztów bezpośrednich załączanym do wniosku o płatność nie zostały wykazane koszty pośrednie. </w:t>
      </w:r>
      <w:bookmarkStart w:id="46" w:name="_Hlk181562283"/>
      <w:r w:rsidRPr="005F2138">
        <w:rPr>
          <w:rStyle w:val="normaltextrun"/>
          <w:rFonts w:ascii="Lato" w:eastAsiaTheme="majorEastAsia" w:hAnsi="Lato" w:cstheme="majorBidi"/>
          <w:kern w:val="32"/>
          <w:szCs w:val="26"/>
        </w:rPr>
        <w:t>Koszty pośrednie rozliczone w ramach kosztów bezpośrednich są niekwalifikowalne</w:t>
      </w:r>
      <w:r w:rsidR="00AA77C5" w:rsidRPr="005F2138">
        <w:rPr>
          <w:rStyle w:val="normaltextrun"/>
          <w:rFonts w:ascii="Lato" w:eastAsiaTheme="majorEastAsia" w:hAnsi="Lato" w:cstheme="majorBidi"/>
          <w:kern w:val="32"/>
          <w:szCs w:val="26"/>
        </w:rPr>
        <w:t xml:space="preserve">. </w:t>
      </w:r>
    </w:p>
    <w:bookmarkEnd w:id="46"/>
    <w:p w14:paraId="24F613A3" w14:textId="372EFAF5" w:rsidR="00AA77C5" w:rsidRPr="005F2138" w:rsidRDefault="00AA77C5"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Podstawa wyliczenia kosztów pośrednich rozliczanych stawką ryczałtową ulega pomniejszeniu (poprzez pomniejszenie kwoty kosztów bezpośrednich) o kwotę stawek jednostkowych i kwot ryczałtowych, jeśli uwzględniają koszty pośrednie. </w:t>
      </w:r>
    </w:p>
    <w:p w14:paraId="5D7A39E2" w14:textId="40B57E17" w:rsidR="00C71C10" w:rsidRPr="005F2138" w:rsidRDefault="00AA77C5"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Do personelu </w:t>
      </w:r>
      <w:r w:rsidR="00F5744C"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którego koszt zaangażowania rozliczany jest w</w:t>
      </w:r>
      <w:r w:rsidR="00A624C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ramach kosztów pośrednich </w:t>
      </w:r>
      <w:r w:rsidR="00F5744C" w:rsidRPr="005F2138">
        <w:rPr>
          <w:rStyle w:val="normaltextrun"/>
          <w:rFonts w:ascii="Lato" w:eastAsiaTheme="majorEastAsia" w:hAnsi="Lato" w:cstheme="majorBidi"/>
          <w:kern w:val="32"/>
          <w:szCs w:val="26"/>
        </w:rPr>
        <w:t>przedsięwzięcia</w:t>
      </w:r>
      <w:r w:rsidRPr="005F2138">
        <w:rPr>
          <w:rStyle w:val="normaltextrun"/>
          <w:rFonts w:ascii="Lato" w:eastAsiaTheme="majorEastAsia" w:hAnsi="Lato" w:cstheme="majorBidi"/>
          <w:kern w:val="32"/>
          <w:szCs w:val="26"/>
        </w:rPr>
        <w:t>, nie ma zastosowania podrozdział 4.2.</w:t>
      </w:r>
    </w:p>
    <w:p w14:paraId="43613564" w14:textId="3FF5A6C2" w:rsidR="00AA77C5" w:rsidRPr="005F2138" w:rsidRDefault="00AA77C5" w:rsidP="00990CE8">
      <w:pPr>
        <w:pStyle w:val="Akapitzlist"/>
        <w:numPr>
          <w:ilvl w:val="0"/>
          <w:numId w:val="8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IOI może obniżyć stawkę ryczałtową kosztów pośrednich w przypadku rażącego naruszenia przez OOW postanowień </w:t>
      </w:r>
      <w:r w:rsidR="00F77DD5" w:rsidRPr="005F2138">
        <w:rPr>
          <w:rStyle w:val="normaltextrun"/>
          <w:rFonts w:ascii="Lato" w:eastAsiaTheme="majorEastAsia" w:hAnsi="Lato" w:cstheme="majorBidi"/>
          <w:kern w:val="32"/>
          <w:szCs w:val="26"/>
        </w:rPr>
        <w:t>P</w:t>
      </w:r>
      <w:r w:rsidRPr="005F2138">
        <w:rPr>
          <w:rStyle w:val="normaltextrun"/>
          <w:rFonts w:ascii="Lato" w:eastAsiaTheme="majorEastAsia" w:hAnsi="Lato" w:cstheme="majorBidi"/>
          <w:kern w:val="32"/>
          <w:szCs w:val="26"/>
        </w:rPr>
        <w:t xml:space="preserve">orozumienia w zakresie zarządzania </w:t>
      </w:r>
      <w:r w:rsidR="00444B61" w:rsidRPr="005F2138">
        <w:rPr>
          <w:rStyle w:val="normaltextrun"/>
          <w:rFonts w:ascii="Lato" w:eastAsiaTheme="majorEastAsia" w:hAnsi="Lato" w:cstheme="majorBidi"/>
          <w:kern w:val="32"/>
          <w:szCs w:val="26"/>
        </w:rPr>
        <w:t>przedsięwzięciem</w:t>
      </w:r>
      <w:r w:rsidRPr="005F2138">
        <w:rPr>
          <w:rStyle w:val="normaltextrun"/>
          <w:rFonts w:ascii="Lato" w:eastAsiaTheme="majorEastAsia" w:hAnsi="Lato" w:cstheme="majorBidi"/>
          <w:kern w:val="32"/>
          <w:szCs w:val="26"/>
        </w:rPr>
        <w:t xml:space="preserve">. </w:t>
      </w:r>
    </w:p>
    <w:p w14:paraId="4478E161" w14:textId="7421CA43" w:rsidR="001C3339" w:rsidRPr="00990CE8" w:rsidRDefault="001C3339" w:rsidP="00990CE8">
      <w:pPr>
        <w:spacing w:before="120" w:after="120" w:line="259" w:lineRule="auto"/>
        <w:rPr>
          <w:rStyle w:val="normaltextrun"/>
          <w:rFonts w:ascii="Lato" w:eastAsiaTheme="majorEastAsia" w:hAnsi="Lato" w:cstheme="majorBidi"/>
          <w:kern w:val="32"/>
          <w:szCs w:val="26"/>
        </w:rPr>
      </w:pPr>
    </w:p>
    <w:p w14:paraId="1941A1D3" w14:textId="4F596F2A" w:rsidR="00A97DE4" w:rsidRPr="00990CE8" w:rsidRDefault="00A97DE4" w:rsidP="00990CE8">
      <w:pPr>
        <w:pStyle w:val="Nagwek1"/>
        <w:spacing w:before="120" w:after="120"/>
        <w:rPr>
          <w:rFonts w:ascii="Lato" w:hAnsi="Lato"/>
        </w:rPr>
      </w:pPr>
      <w:bookmarkStart w:id="47" w:name="_Toc181699382"/>
      <w:bookmarkStart w:id="48" w:name="_Hlk196216762"/>
      <w:r w:rsidRPr="00990CE8">
        <w:rPr>
          <w:rFonts w:ascii="Lato" w:hAnsi="Lato"/>
        </w:rPr>
        <w:t>Rozdział 5 Zamówienia udzielane w ramach przedsięwzię</w:t>
      </w:r>
      <w:r w:rsidR="00A75C80" w:rsidRPr="00990CE8">
        <w:rPr>
          <w:rFonts w:ascii="Lato" w:hAnsi="Lato"/>
        </w:rPr>
        <w:t>cia</w:t>
      </w:r>
      <w:bookmarkEnd w:id="47"/>
    </w:p>
    <w:p w14:paraId="0B672966" w14:textId="0EBED13F" w:rsidR="00676637" w:rsidRPr="00990CE8" w:rsidRDefault="00676637" w:rsidP="00990CE8">
      <w:pPr>
        <w:pStyle w:val="Nagwek2"/>
        <w:numPr>
          <w:ilvl w:val="1"/>
          <w:numId w:val="110"/>
        </w:numPr>
        <w:spacing w:before="120" w:after="120"/>
        <w:ind w:left="426" w:hanging="426"/>
        <w:rPr>
          <w:rFonts w:ascii="Lato" w:hAnsi="Lato"/>
        </w:rPr>
      </w:pPr>
      <w:bookmarkStart w:id="49" w:name="_Toc181699383"/>
      <w:bookmarkEnd w:id="48"/>
      <w:r w:rsidRPr="00990CE8">
        <w:rPr>
          <w:rFonts w:ascii="Lato" w:hAnsi="Lato"/>
        </w:rPr>
        <w:t>Zasady ogólne</w:t>
      </w:r>
      <w:bookmarkEnd w:id="49"/>
    </w:p>
    <w:p w14:paraId="05E9CDA2" w14:textId="350A7DCB" w:rsidR="00A97DE4" w:rsidRPr="005F2138" w:rsidRDefault="00A97DE4" w:rsidP="00990CE8">
      <w:pPr>
        <w:pStyle w:val="Akapitzlist"/>
        <w:numPr>
          <w:ilvl w:val="0"/>
          <w:numId w:val="83"/>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OOW </w:t>
      </w:r>
      <w:r w:rsidR="00676637" w:rsidRPr="005F2138">
        <w:rPr>
          <w:rStyle w:val="normaltextrun"/>
          <w:rFonts w:ascii="Lato" w:eastAsiaTheme="majorEastAsia" w:hAnsi="Lato" w:cstheme="majorBidi"/>
          <w:kern w:val="32"/>
          <w:szCs w:val="26"/>
        </w:rPr>
        <w:t xml:space="preserve">zobowiązany jest </w:t>
      </w:r>
      <w:r w:rsidRPr="005F2138">
        <w:rPr>
          <w:rStyle w:val="normaltextrun"/>
          <w:rFonts w:ascii="Lato" w:eastAsiaTheme="majorEastAsia" w:hAnsi="Lato" w:cstheme="majorBidi"/>
          <w:kern w:val="32"/>
          <w:szCs w:val="26"/>
        </w:rPr>
        <w:t xml:space="preserve">do </w:t>
      </w:r>
      <w:r w:rsidR="007E5D62" w:rsidRPr="005F2138">
        <w:rPr>
          <w:rStyle w:val="normaltextrun"/>
          <w:rFonts w:ascii="Lato" w:eastAsiaTheme="majorEastAsia" w:hAnsi="Lato" w:cstheme="majorBidi"/>
          <w:kern w:val="32"/>
          <w:szCs w:val="26"/>
        </w:rPr>
        <w:t xml:space="preserve">ponoszenia w </w:t>
      </w:r>
      <w:r w:rsidR="00AA1036" w:rsidRPr="005F2138">
        <w:rPr>
          <w:rStyle w:val="normaltextrun"/>
          <w:rFonts w:ascii="Lato" w:eastAsiaTheme="majorEastAsia" w:hAnsi="Lato" w:cstheme="majorBidi"/>
          <w:kern w:val="32"/>
          <w:szCs w:val="26"/>
        </w:rPr>
        <w:t xml:space="preserve">ramach </w:t>
      </w:r>
      <w:r w:rsidR="007E5D62" w:rsidRPr="005F2138">
        <w:rPr>
          <w:rStyle w:val="normaltextrun"/>
          <w:rFonts w:ascii="Lato" w:eastAsiaTheme="majorEastAsia" w:hAnsi="Lato" w:cstheme="majorBidi"/>
          <w:kern w:val="32"/>
          <w:szCs w:val="26"/>
        </w:rPr>
        <w:t>przedsięwzięci</w:t>
      </w:r>
      <w:r w:rsidR="00AA1036" w:rsidRPr="005F2138">
        <w:rPr>
          <w:rStyle w:val="normaltextrun"/>
          <w:rFonts w:ascii="Lato" w:eastAsiaTheme="majorEastAsia" w:hAnsi="Lato" w:cstheme="majorBidi"/>
          <w:kern w:val="32"/>
          <w:szCs w:val="26"/>
        </w:rPr>
        <w:t>a</w:t>
      </w:r>
      <w:r w:rsidR="007E5D62" w:rsidRPr="005F2138">
        <w:rPr>
          <w:rStyle w:val="normaltextrun"/>
          <w:rFonts w:ascii="Lato" w:eastAsiaTheme="majorEastAsia" w:hAnsi="Lato" w:cstheme="majorBidi"/>
          <w:kern w:val="32"/>
          <w:szCs w:val="26"/>
        </w:rPr>
        <w:t xml:space="preserve"> </w:t>
      </w:r>
      <w:r w:rsidR="00AA1036" w:rsidRPr="005F2138">
        <w:rPr>
          <w:rStyle w:val="normaltextrun"/>
          <w:rFonts w:ascii="Lato" w:eastAsiaTheme="majorEastAsia" w:hAnsi="Lato" w:cstheme="majorBidi"/>
          <w:kern w:val="32"/>
          <w:szCs w:val="26"/>
        </w:rPr>
        <w:t xml:space="preserve">wydatków </w:t>
      </w:r>
      <w:r w:rsidR="007E5D62" w:rsidRPr="005F2138">
        <w:rPr>
          <w:rStyle w:val="normaltextrun"/>
          <w:rFonts w:ascii="Lato" w:eastAsiaTheme="majorEastAsia" w:hAnsi="Lato" w:cstheme="majorBidi"/>
          <w:kern w:val="32"/>
          <w:szCs w:val="26"/>
        </w:rPr>
        <w:t>w</w:t>
      </w:r>
      <w:r w:rsidR="00036598" w:rsidRPr="005F2138">
        <w:rPr>
          <w:rStyle w:val="normaltextrun"/>
          <w:rFonts w:ascii="Lato" w:eastAsiaTheme="majorEastAsia" w:hAnsi="Lato" w:cstheme="majorBidi"/>
          <w:kern w:val="32"/>
          <w:szCs w:val="26"/>
        </w:rPr>
        <w:t> </w:t>
      </w:r>
      <w:r w:rsidR="007E5D62" w:rsidRPr="005F2138">
        <w:rPr>
          <w:rStyle w:val="normaltextrun"/>
          <w:rFonts w:ascii="Lato" w:eastAsiaTheme="majorEastAsia" w:hAnsi="Lato" w:cstheme="majorBidi"/>
          <w:kern w:val="32"/>
          <w:szCs w:val="26"/>
        </w:rPr>
        <w:t xml:space="preserve">sposób w przejrzysty, racjonalny i efektywny, z zachowaniem zasad uzyskiwania najlepszych efektów z danych nakładów, a także z </w:t>
      </w:r>
      <w:r w:rsidRPr="005F2138">
        <w:rPr>
          <w:rStyle w:val="normaltextrun"/>
          <w:rFonts w:ascii="Lato" w:eastAsiaTheme="majorEastAsia" w:hAnsi="Lato" w:cstheme="majorBidi"/>
          <w:kern w:val="32"/>
          <w:szCs w:val="26"/>
        </w:rPr>
        <w:t>zachowanie</w:t>
      </w:r>
      <w:r w:rsidR="007E5D62" w:rsidRPr="005F2138">
        <w:rPr>
          <w:rStyle w:val="normaltextrun"/>
          <w:rFonts w:ascii="Lato" w:eastAsiaTheme="majorEastAsia" w:hAnsi="Lato" w:cstheme="majorBidi"/>
          <w:kern w:val="32"/>
          <w:szCs w:val="26"/>
        </w:rPr>
        <w:t>m</w:t>
      </w:r>
      <w:r w:rsidRPr="005F2138">
        <w:rPr>
          <w:rStyle w:val="normaltextrun"/>
          <w:rFonts w:ascii="Lato" w:eastAsiaTheme="majorEastAsia" w:hAnsi="Lato" w:cstheme="majorBidi"/>
          <w:kern w:val="32"/>
          <w:szCs w:val="26"/>
        </w:rPr>
        <w:t xml:space="preserve"> uczciwej konkurencji i równego traktowania wykonawców. Spełnienie powyższych </w:t>
      </w:r>
      <w:r w:rsidRPr="005F2138">
        <w:rPr>
          <w:rStyle w:val="normaltextrun"/>
          <w:rFonts w:ascii="Lato" w:eastAsiaTheme="majorEastAsia" w:hAnsi="Lato" w:cstheme="majorBidi"/>
          <w:kern w:val="32"/>
          <w:szCs w:val="26"/>
        </w:rPr>
        <w:lastRenderedPageBreak/>
        <w:t xml:space="preserve">wymogów następuje w drodze zastosowania PZP </w:t>
      </w:r>
      <w:r w:rsidR="007E5D62" w:rsidRPr="005F2138">
        <w:rPr>
          <w:rStyle w:val="normaltextrun"/>
          <w:rFonts w:ascii="Lato" w:eastAsiaTheme="majorEastAsia" w:hAnsi="Lato" w:cstheme="majorBidi"/>
          <w:kern w:val="32"/>
          <w:szCs w:val="26"/>
        </w:rPr>
        <w:t xml:space="preserve">lub </w:t>
      </w:r>
      <w:r w:rsidRPr="005F2138">
        <w:rPr>
          <w:rStyle w:val="normaltextrun"/>
          <w:rFonts w:ascii="Lato" w:eastAsiaTheme="majorEastAsia" w:hAnsi="Lato" w:cstheme="majorBidi"/>
          <w:kern w:val="32"/>
          <w:szCs w:val="26"/>
        </w:rPr>
        <w:t xml:space="preserve">zasad </w:t>
      </w:r>
      <w:r w:rsidR="00676637" w:rsidRPr="005F2138">
        <w:rPr>
          <w:rStyle w:val="normaltextrun"/>
          <w:rFonts w:ascii="Lato" w:eastAsiaTheme="majorEastAsia" w:hAnsi="Lato" w:cstheme="majorBidi"/>
          <w:kern w:val="32"/>
          <w:szCs w:val="26"/>
        </w:rPr>
        <w:t>określonych w</w:t>
      </w:r>
      <w:r w:rsidR="00610CA3">
        <w:rPr>
          <w:rStyle w:val="normaltextrun"/>
          <w:rFonts w:ascii="Lato" w:eastAsiaTheme="majorEastAsia" w:hAnsi="Lato" w:cstheme="majorBidi"/>
          <w:kern w:val="32"/>
          <w:szCs w:val="26"/>
        </w:rPr>
        <w:t> </w:t>
      </w:r>
      <w:r w:rsidR="00676637" w:rsidRPr="005F2138">
        <w:rPr>
          <w:rStyle w:val="normaltextrun"/>
          <w:rFonts w:ascii="Lato" w:eastAsiaTheme="majorEastAsia" w:hAnsi="Lato" w:cstheme="majorBidi"/>
          <w:kern w:val="32"/>
          <w:szCs w:val="26"/>
        </w:rPr>
        <w:t>niniejszym rozdziale</w:t>
      </w:r>
      <w:r w:rsidRPr="005F2138">
        <w:rPr>
          <w:rStyle w:val="normaltextrun"/>
          <w:rFonts w:ascii="Lato" w:eastAsiaTheme="majorEastAsia" w:hAnsi="Lato" w:cstheme="majorBidi"/>
          <w:kern w:val="32"/>
          <w:szCs w:val="26"/>
        </w:rPr>
        <w:t>.</w:t>
      </w:r>
    </w:p>
    <w:p w14:paraId="297244F9" w14:textId="6E889EEC" w:rsidR="00A97DE4" w:rsidRPr="005F2138" w:rsidRDefault="00A97DE4" w:rsidP="00990CE8">
      <w:pPr>
        <w:pStyle w:val="Akapitzlist"/>
        <w:numPr>
          <w:ilvl w:val="0"/>
          <w:numId w:val="83"/>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Zgodnie z zasadami regulującymi wydatkowanie środków z Instrumentu na rzecz Odbudowy i Zwiększania Odporności, wydatkowane środki z KPO mają na celu promocję spójności gospodarczej, społecznej i terytorialnej UE poprzez zwiększenie odporności i zdolności do dostosowania się, łagodzenie społecznych i</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gospodarczych skutków kryzysu jak również wspieranie transformacji cyfrowej.</w:t>
      </w:r>
    </w:p>
    <w:p w14:paraId="217BD442" w14:textId="77777777" w:rsidR="005739AB" w:rsidRPr="005F2138" w:rsidRDefault="5D8816FA" w:rsidP="00990CE8">
      <w:pPr>
        <w:pStyle w:val="Akapitzlist"/>
        <w:numPr>
          <w:ilvl w:val="0"/>
          <w:numId w:val="83"/>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rPr>
        <w:t>Zasad określonych w podrozdziale 5.2-5.4 nie stosuje się do:</w:t>
      </w:r>
    </w:p>
    <w:p w14:paraId="71370EF3" w14:textId="4A4CB65D" w:rsidR="005739AB" w:rsidRPr="005F2138" w:rsidRDefault="005739AB" w:rsidP="00990CE8">
      <w:pPr>
        <w:pStyle w:val="Akapitzlist"/>
        <w:spacing w:before="120" w:after="120"/>
        <w:ind w:left="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zamówień, których wartość nie przekracza kwoty </w:t>
      </w:r>
      <w:r w:rsidR="00520688">
        <w:rPr>
          <w:rStyle w:val="normaltextrun"/>
          <w:rFonts w:ascii="Lato" w:eastAsiaTheme="majorEastAsia" w:hAnsi="Lato" w:cstheme="majorBidi"/>
          <w:kern w:val="32"/>
          <w:szCs w:val="26"/>
        </w:rPr>
        <w:t>8</w:t>
      </w:r>
      <w:r w:rsidR="00520688" w:rsidRPr="005F2138">
        <w:rPr>
          <w:rStyle w:val="normaltextrun"/>
          <w:rFonts w:ascii="Lato" w:eastAsiaTheme="majorEastAsia" w:hAnsi="Lato" w:cstheme="majorBidi"/>
          <w:kern w:val="32"/>
          <w:szCs w:val="26"/>
        </w:rPr>
        <w:t>0</w:t>
      </w:r>
      <w:r w:rsidR="0052068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000 </w:t>
      </w:r>
      <w:r w:rsidR="00A75C80" w:rsidRPr="005F2138">
        <w:rPr>
          <w:rStyle w:val="normaltextrun"/>
          <w:rFonts w:ascii="Lato" w:eastAsiaTheme="majorEastAsia" w:hAnsi="Lato" w:cstheme="majorBidi"/>
          <w:kern w:val="32"/>
          <w:szCs w:val="26"/>
        </w:rPr>
        <w:t xml:space="preserve"> PLN </w:t>
      </w:r>
      <w:r w:rsidRPr="005F2138">
        <w:rPr>
          <w:rStyle w:val="normaltextrun"/>
          <w:rFonts w:ascii="Lato" w:eastAsiaTheme="majorEastAsia" w:hAnsi="Lato" w:cstheme="majorBidi"/>
          <w:kern w:val="32"/>
          <w:szCs w:val="26"/>
        </w:rPr>
        <w:t xml:space="preserve"> netto;</w:t>
      </w:r>
    </w:p>
    <w:p w14:paraId="303C64FF" w14:textId="03953A07" w:rsidR="00CE1F6F" w:rsidRPr="005F2138" w:rsidRDefault="005739AB" w:rsidP="00990CE8">
      <w:pPr>
        <w:pStyle w:val="Akapitzlist"/>
        <w:spacing w:before="120" w:after="120"/>
        <w:ind w:left="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 zamówień udzielanych na podstawie </w:t>
      </w:r>
      <w:r w:rsidR="00952AC6" w:rsidRPr="005F2138">
        <w:rPr>
          <w:rStyle w:val="normaltextrun"/>
          <w:rFonts w:ascii="Lato" w:eastAsiaTheme="majorEastAsia" w:hAnsi="Lato" w:cstheme="majorBidi"/>
          <w:kern w:val="32"/>
          <w:szCs w:val="26"/>
        </w:rPr>
        <w:t>PZP</w:t>
      </w:r>
      <w:r w:rsidR="00A75C80" w:rsidRPr="005F2138">
        <w:rPr>
          <w:rStyle w:val="normaltextrun"/>
          <w:rFonts w:ascii="Lato" w:eastAsiaTheme="majorEastAsia" w:hAnsi="Lato" w:cstheme="majorBidi"/>
          <w:kern w:val="32"/>
          <w:szCs w:val="26"/>
        </w:rPr>
        <w:t>.</w:t>
      </w:r>
    </w:p>
    <w:p w14:paraId="05C55F96" w14:textId="54E5EC73" w:rsidR="00A97DE4" w:rsidRPr="005F2138" w:rsidRDefault="00036598" w:rsidP="00990CE8">
      <w:pPr>
        <w:pStyle w:val="Nagwek2"/>
        <w:numPr>
          <w:ilvl w:val="1"/>
          <w:numId w:val="110"/>
        </w:numPr>
        <w:spacing w:before="120" w:after="120"/>
        <w:ind w:left="426" w:hanging="426"/>
        <w:rPr>
          <w:rStyle w:val="normaltextrun"/>
          <w:rFonts w:ascii="Lato" w:eastAsia="Calibri" w:hAnsi="Lato" w:cs="Times New Roman"/>
          <w:b w:val="0"/>
          <w:bCs w:val="0"/>
          <w:i w:val="0"/>
          <w:kern w:val="0"/>
          <w:szCs w:val="22"/>
        </w:rPr>
      </w:pPr>
      <w:r w:rsidRPr="00990CE8">
        <w:rPr>
          <w:rFonts w:ascii="Lato" w:hAnsi="Lato"/>
        </w:rPr>
        <w:t xml:space="preserve"> </w:t>
      </w:r>
      <w:bookmarkStart w:id="50" w:name="_Toc181699384"/>
      <w:r w:rsidR="00AA1036" w:rsidRPr="00990CE8">
        <w:rPr>
          <w:rFonts w:ascii="Lato" w:hAnsi="Lato"/>
        </w:rPr>
        <w:t>Postępowanie o udzielenie zamówienia</w:t>
      </w:r>
      <w:bookmarkEnd w:id="50"/>
    </w:p>
    <w:p w14:paraId="48036BD7" w14:textId="2DCE33CC" w:rsidR="001361AB" w:rsidRPr="005F2138" w:rsidRDefault="001361AB" w:rsidP="00990CE8">
      <w:pPr>
        <w:pStyle w:val="Akapitzlist"/>
        <w:numPr>
          <w:ilvl w:val="0"/>
          <w:numId w:val="112"/>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 xml:space="preserve">Przed przystąpieniem do realizacji postępowania o udzielenie zamówienia, OOW zobowiązany jest do dokonania rozeznania rynku mającego na celu </w:t>
      </w:r>
      <w:r w:rsidR="00FA743D" w:rsidRPr="005F2138">
        <w:rPr>
          <w:rStyle w:val="normaltextrun"/>
          <w:rFonts w:ascii="Lato" w:eastAsiaTheme="majorEastAsia" w:hAnsi="Lato" w:cstheme="majorBidi"/>
          <w:kern w:val="32"/>
          <w:szCs w:val="26"/>
        </w:rPr>
        <w:t xml:space="preserve">obliczenie szacunkowej wartości zamówienia oraz </w:t>
      </w:r>
      <w:r w:rsidRPr="005F2138">
        <w:rPr>
          <w:rStyle w:val="normaltextrun"/>
          <w:rFonts w:ascii="Lato" w:eastAsiaTheme="majorEastAsia" w:hAnsi="Lato" w:cstheme="majorBidi"/>
          <w:kern w:val="32"/>
          <w:szCs w:val="26"/>
        </w:rPr>
        <w:t>zapewnienie, że zamówienie zostanie udzielone po cenach rynkowych.</w:t>
      </w:r>
    </w:p>
    <w:p w14:paraId="464CE841" w14:textId="4BA3EBFB" w:rsidR="001361AB" w:rsidRPr="005F2138" w:rsidRDefault="001361AB"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Potwierdzeniem przeprowadzenia rozeznania rynku jest pozyskanie minimum </w:t>
      </w:r>
      <w:r w:rsidR="00A75C80" w:rsidRPr="005F2138">
        <w:rPr>
          <w:rStyle w:val="normaltextrun"/>
          <w:rFonts w:ascii="Lato" w:eastAsiaTheme="majorEastAsia" w:hAnsi="Lato" w:cstheme="majorBidi"/>
          <w:kern w:val="32"/>
          <w:szCs w:val="26"/>
        </w:rPr>
        <w:t>dwóch</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ofert cenowych dla przedmiotu zamówienia lub dla towarów i usług podobnych jakościowo i ilościowo do przedmiotu zamówienia, z zastrzeżeniem </w:t>
      </w:r>
      <w:r w:rsidR="00020EE9" w:rsidRPr="005F2138">
        <w:rPr>
          <w:rStyle w:val="normaltextrun"/>
          <w:rFonts w:ascii="Lato" w:eastAsiaTheme="majorEastAsia" w:hAnsi="Lato" w:cstheme="majorBidi"/>
          <w:kern w:val="32"/>
          <w:szCs w:val="26"/>
        </w:rPr>
        <w:t>ust.</w:t>
      </w:r>
      <w:r w:rsidR="000145FA">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4.</w:t>
      </w:r>
    </w:p>
    <w:p w14:paraId="0F76D497" w14:textId="77777777" w:rsidR="001361AB" w:rsidRPr="005F2138" w:rsidRDefault="001361AB"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Pozyskanie ofert następuje w szczególności przez ogłoszenie na stronie internetowej OOW, uzyskanie ofert i cenników dostępnych w Internecie, analizę ofert z podobnych postępowań, skierowanie zapytań mailowych do potencjalnych wykonawców.</w:t>
      </w:r>
    </w:p>
    <w:p w14:paraId="304103E9" w14:textId="6650F7AE" w:rsidR="001361AB" w:rsidRPr="005F2138" w:rsidRDefault="001361AB"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Jeżeli prowadzenie rozeznania rynku było upublicznione na stronie internetowej OOW, zamówienie może zostać udzielone nawet jeżeli udało się pozyskać tylko jedną ofertę.</w:t>
      </w:r>
    </w:p>
    <w:p w14:paraId="7D2AA2D0" w14:textId="6AA0DFB0" w:rsidR="00515380" w:rsidRPr="005F2138" w:rsidRDefault="00AA1036"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Podstawą obliczenia szacunkowej wartości zamówienia w ramach przedsięwzięcia jest całkowite szacunkowe wynagrodzenie wykonawcy, bez podatku od towarów</w:t>
      </w:r>
      <w:r w:rsidR="00515380" w:rsidRPr="005F2138">
        <w:rPr>
          <w:rStyle w:val="normaltextrun"/>
          <w:rFonts w:ascii="Lato" w:eastAsiaTheme="majorEastAsia" w:hAnsi="Lato" w:cstheme="majorBidi"/>
          <w:kern w:val="32"/>
          <w:szCs w:val="26"/>
        </w:rPr>
        <w:t xml:space="preserve"> i</w:t>
      </w:r>
      <w:r w:rsidR="00610CA3">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usług, ustalone z należytą starannością. Szacowanie jest dokumentowane w</w:t>
      </w:r>
      <w:r w:rsidR="00515380"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sposób </w:t>
      </w:r>
      <w:r w:rsidRPr="005F2138">
        <w:rPr>
          <w:rStyle w:val="normaltextrun"/>
          <w:rFonts w:ascii="Lato" w:eastAsiaTheme="majorEastAsia" w:hAnsi="Lato" w:cstheme="majorBidi"/>
          <w:kern w:val="32"/>
          <w:szCs w:val="26"/>
        </w:rPr>
        <w:lastRenderedPageBreak/>
        <w:t>zapewniający właściwą ścieżkę audytu (np.</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zatwierdzonym wniosku lub w notatce z szacowania).</w:t>
      </w:r>
    </w:p>
    <w:p w14:paraId="3D3BD945" w14:textId="47CEA35A" w:rsidR="00515380" w:rsidRPr="005F2138" w:rsidRDefault="0051538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OOW będący zamawiającymi w rozumieniu PZP w pierwszej kolejności dokonują szacowania wartości zamówienia zgodnie z przepisami tej ustawy, natomiast po stwierdzeniu, że szacunkowa wartość zamówienia ustalona na podstawie PZP nie przekracza wartości, od której istnieje obowiązek stosowania PZP, ustalają wartość zamówienia w ramach przedsięwzięcia.</w:t>
      </w:r>
    </w:p>
    <w:p w14:paraId="38E14238" w14:textId="226DB8D3" w:rsidR="00515380" w:rsidRPr="005F2138" w:rsidRDefault="0051538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Wyboru metody wykorzystywanej do obliczania szacunkowej wartości zamówienia nie można dokonywać z zamiarem wyłączenia zamówienia z zakresu stosowania zasady konkurencyjności. Zabronione jest zaniżanie wartości szacunkowej zamówienia lub jego podział skutkujący zaniżeniem jego wartości szacunkowej.</w:t>
      </w:r>
    </w:p>
    <w:p w14:paraId="29422D5C" w14:textId="77777777" w:rsidR="00515380" w:rsidRPr="005F2138" w:rsidRDefault="0051538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Obliczając szacunkową wartość zamówienia należy wziąć pod uwagę konieczność łącznego spełnienia trzech przesłanek (tożsamości):</w:t>
      </w:r>
    </w:p>
    <w:p w14:paraId="704DC0DC" w14:textId="6AEC83DF" w:rsidR="00515380" w:rsidRPr="005F2138" w:rsidRDefault="00A75C8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w:t>
      </w:r>
      <w:r w:rsidR="00515380" w:rsidRPr="005F2138">
        <w:rPr>
          <w:rStyle w:val="normaltextrun"/>
          <w:rFonts w:ascii="Lato" w:eastAsiaTheme="majorEastAsia" w:hAnsi="Lato" w:cstheme="majorBidi"/>
          <w:kern w:val="32"/>
          <w:szCs w:val="26"/>
        </w:rPr>
        <w:t>sługi</w:t>
      </w:r>
      <w:r w:rsidR="003D5F83" w:rsidRPr="005F2138">
        <w:rPr>
          <w:rStyle w:val="normaltextrun"/>
          <w:rFonts w:ascii="Lato" w:eastAsiaTheme="majorEastAsia" w:hAnsi="Lato" w:cstheme="majorBidi"/>
          <w:kern w:val="32"/>
          <w:szCs w:val="26"/>
        </w:rPr>
        <w:t>,</w:t>
      </w:r>
      <w:r w:rsidR="004C4059" w:rsidRPr="005F2138">
        <w:rPr>
          <w:rStyle w:val="normaltextrun"/>
          <w:rFonts w:ascii="Lato" w:eastAsiaTheme="majorEastAsia" w:hAnsi="Lato" w:cstheme="majorBidi"/>
          <w:kern w:val="32"/>
          <w:szCs w:val="26"/>
        </w:rPr>
        <w:t xml:space="preserve"> </w:t>
      </w:r>
      <w:r w:rsidR="00515380" w:rsidRPr="005F2138">
        <w:rPr>
          <w:rStyle w:val="normaltextrun"/>
          <w:rFonts w:ascii="Lato" w:eastAsiaTheme="majorEastAsia" w:hAnsi="Lato" w:cstheme="majorBidi"/>
          <w:kern w:val="32"/>
          <w:szCs w:val="26"/>
        </w:rPr>
        <w:t>dostawy</w:t>
      </w:r>
      <w:r w:rsidR="003D5F83" w:rsidRPr="005F2138">
        <w:rPr>
          <w:rStyle w:val="normaltextrun"/>
          <w:rFonts w:ascii="Lato" w:eastAsiaTheme="majorEastAsia" w:hAnsi="Lato" w:cstheme="majorBidi"/>
          <w:kern w:val="32"/>
          <w:szCs w:val="26"/>
        </w:rPr>
        <w:t xml:space="preserve"> oraz roboty budowlane</w:t>
      </w:r>
      <w:r w:rsidR="00515380" w:rsidRPr="005F2138">
        <w:rPr>
          <w:rStyle w:val="normaltextrun"/>
          <w:rFonts w:ascii="Lato" w:eastAsiaTheme="majorEastAsia" w:hAnsi="Lato" w:cstheme="majorBidi"/>
          <w:kern w:val="32"/>
          <w:szCs w:val="26"/>
        </w:rPr>
        <w:t xml:space="preserve"> są tożsame rodzajowo lub funkcjonalnie (tożsamość przedmiotowa), przy czym tożsamość rodzajowa dostaw obejmuje dostawy podobne,</w:t>
      </w:r>
    </w:p>
    <w:p w14:paraId="53C8CA05" w14:textId="77777777" w:rsidR="00515380" w:rsidRPr="005F2138" w:rsidRDefault="0051538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możliwe jest udzielenie zamówienia w tym samym czasie (tożsamość czasowa),</w:t>
      </w:r>
    </w:p>
    <w:p w14:paraId="76C6ADFA" w14:textId="77777777" w:rsidR="00515380" w:rsidRPr="005F2138" w:rsidRDefault="0051538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możliwe jest wykonanie zamówienia przez jednego wykonawcę (tożsamość podmiotowa).</w:t>
      </w:r>
    </w:p>
    <w:p w14:paraId="0371307D" w14:textId="538ADC50" w:rsidR="00E16E33" w:rsidRPr="005F2138" w:rsidRDefault="00515380" w:rsidP="00990CE8">
      <w:pPr>
        <w:pStyle w:val="Akapitzlist"/>
        <w:spacing w:before="120" w:after="120"/>
        <w:ind w:left="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Tożsamości należy rozumieć zgodnie z wykładnią przepisów PZP dotyczących szacowania wartości zamówienia.</w:t>
      </w:r>
    </w:p>
    <w:p w14:paraId="08E42AE7" w14:textId="696A0BC0" w:rsidR="00E16E33" w:rsidRPr="005F2138" w:rsidRDefault="00E16E33"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przypadku udzielania zamówienia w częściach z określonych względów ekonomicznych, organizacyjnych, celowościowych – wartość zamówienia ustala się jako łączną wartość poszczególnych jego części. W przypadku, gdy łączna wartość części przekracza próg </w:t>
      </w:r>
      <w:r w:rsidR="00520688">
        <w:rPr>
          <w:rStyle w:val="normaltextrun"/>
          <w:rFonts w:ascii="Lato" w:eastAsiaTheme="majorEastAsia" w:hAnsi="Lato" w:cstheme="majorBidi"/>
          <w:kern w:val="32"/>
          <w:szCs w:val="26"/>
        </w:rPr>
        <w:t>8</w:t>
      </w:r>
      <w:r w:rsidR="00520688" w:rsidRPr="005F2138">
        <w:rPr>
          <w:rStyle w:val="normaltextrun"/>
          <w:rFonts w:ascii="Lato" w:eastAsiaTheme="majorEastAsia" w:hAnsi="Lato" w:cstheme="majorBidi"/>
          <w:kern w:val="32"/>
          <w:szCs w:val="26"/>
        </w:rPr>
        <w:t xml:space="preserve">0 </w:t>
      </w:r>
      <w:r w:rsidR="00520688">
        <w:rPr>
          <w:rStyle w:val="normaltextrun"/>
          <w:rFonts w:ascii="Lato" w:eastAsiaTheme="majorEastAsia" w:hAnsi="Lato" w:cstheme="majorBidi"/>
          <w:kern w:val="32"/>
          <w:szCs w:val="26"/>
        </w:rPr>
        <w:t>000</w:t>
      </w:r>
      <w:r w:rsidR="00A75C80" w:rsidRPr="005F2138">
        <w:rPr>
          <w:rStyle w:val="normaltextrun"/>
          <w:rFonts w:ascii="Lato" w:eastAsiaTheme="majorEastAsia" w:hAnsi="Lato" w:cstheme="majorBidi"/>
          <w:kern w:val="32"/>
          <w:szCs w:val="26"/>
        </w:rPr>
        <w:t xml:space="preserve"> PLN netto</w:t>
      </w:r>
      <w:r w:rsidR="002E61A0"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zasadę konkurencyjności stosuje się do udzielenia każdej części zamówienia.</w:t>
      </w:r>
    </w:p>
    <w:p w14:paraId="5F8981BF" w14:textId="2B0A377E" w:rsidR="00E16E33" w:rsidRPr="005F2138" w:rsidRDefault="00E16E33"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OOW zobowiązany jest podjąć odpowiednie środki, aby skutecznie zapobiegać konfliktom interesów, a także rozpoznawać i likwidować je, gdy powstają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związku z prowadzeniem postępowania o udzielenie zamówienia lub na etapie wykonywania zamówienia – by nie dopuścić do zakłócenia konkurencji oraz zapewnić równe </w:t>
      </w:r>
      <w:r w:rsidRPr="005F2138">
        <w:rPr>
          <w:rStyle w:val="normaltextrun"/>
          <w:rFonts w:ascii="Lato" w:eastAsiaTheme="majorEastAsia" w:hAnsi="Lato" w:cstheme="majorBidi"/>
          <w:kern w:val="32"/>
          <w:szCs w:val="26"/>
        </w:rPr>
        <w:lastRenderedPageBreak/>
        <w:t>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postępowaniem o udzielenie zamówienia.</w:t>
      </w:r>
    </w:p>
    <w:p w14:paraId="5B1D2BD4" w14:textId="1AAC3A1F" w:rsidR="00E16E33" w:rsidRPr="005F2138" w:rsidRDefault="00E16E33"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Czynności związane z przygotowaniem oraz przeprowadzeniem postępowania o</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udzielenie zamówienia wykonują osoby zapewniające bezstronność i</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obiektywizm. Osoby te składają oświadczenie w formie pisemnej lub w formie elektronicznej (w rozumieniu odpowiednio art. 78 i art. 78¹ </w:t>
      </w:r>
      <w:r w:rsidR="003D5F83" w:rsidRPr="005F2138">
        <w:rPr>
          <w:rStyle w:val="normaltextrun"/>
          <w:rFonts w:ascii="Lato" w:eastAsiaTheme="majorEastAsia" w:hAnsi="Lato" w:cstheme="majorBidi"/>
          <w:kern w:val="32"/>
          <w:szCs w:val="26"/>
        </w:rPr>
        <w:t>k</w:t>
      </w:r>
      <w:r w:rsidRPr="005F2138">
        <w:rPr>
          <w:rStyle w:val="normaltextrun"/>
          <w:rFonts w:ascii="Lato" w:eastAsiaTheme="majorEastAsia" w:hAnsi="Lato" w:cstheme="majorBidi"/>
          <w:kern w:val="32"/>
          <w:szCs w:val="26"/>
        </w:rPr>
        <w:t>odeksu cywilnego) o</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braku istnienia  powiązań osobowych lub kapitałowych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wykonawcami</w:t>
      </w:r>
      <w:r w:rsidR="001E660E" w:rsidRPr="00990CE8">
        <w:rPr>
          <w:rFonts w:ascii="Lato" w:hAnsi="Lato"/>
        </w:rPr>
        <w:t xml:space="preserve"> </w:t>
      </w:r>
      <w:r w:rsidR="001E660E" w:rsidRPr="005F2138">
        <w:rPr>
          <w:rStyle w:val="normaltextrun"/>
          <w:rFonts w:ascii="Lato" w:eastAsiaTheme="majorEastAsia" w:hAnsi="Lato" w:cstheme="majorBidi"/>
          <w:kern w:val="32"/>
          <w:szCs w:val="26"/>
        </w:rPr>
        <w:t xml:space="preserve">albo </w:t>
      </w:r>
      <w:r w:rsidR="004272F4">
        <w:rPr>
          <w:rStyle w:val="normaltextrun"/>
          <w:rFonts w:ascii="Lato" w:eastAsiaTheme="majorEastAsia" w:hAnsi="Lato" w:cstheme="majorBidi"/>
          <w:kern w:val="32"/>
          <w:szCs w:val="26"/>
        </w:rPr>
        <w:t> </w:t>
      </w:r>
      <w:r w:rsidR="001E660E" w:rsidRPr="005F2138">
        <w:rPr>
          <w:rStyle w:val="normaltextrun"/>
          <w:rFonts w:ascii="Lato" w:eastAsiaTheme="majorEastAsia" w:hAnsi="Lato" w:cstheme="majorBidi"/>
          <w:kern w:val="32"/>
          <w:szCs w:val="26"/>
        </w:rPr>
        <w:t xml:space="preserve"> braku wpływu takich powiązań</w:t>
      </w:r>
      <w:r w:rsidRPr="005F2138">
        <w:rPr>
          <w:rStyle w:val="normaltextrun"/>
          <w:rFonts w:ascii="Lato" w:eastAsiaTheme="majorEastAsia" w:hAnsi="Lato" w:cstheme="majorBidi"/>
          <w:kern w:val="32"/>
          <w:szCs w:val="26"/>
        </w:rPr>
        <w:t xml:space="preserve"> na bezstronność postępowania, polegających na:</w:t>
      </w:r>
    </w:p>
    <w:p w14:paraId="05B0387D" w14:textId="5C3E6EEF" w:rsidR="00E16E33" w:rsidRPr="005F2138" w:rsidRDefault="00E16E33"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uczestniczeniu w spółce jako wspólnik spółki cywilnej lub spółki osobowej, posiadaniu co najmniej 10% udziałów lub akcji (o ile niższy próg nie wynika z</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przepisów prawa), pełnieniu funkcji członka organu nadzorczego lub zarządzającego, prokurenta, pełnomocnika,</w:t>
      </w:r>
    </w:p>
    <w:p w14:paraId="5473BAD2" w14:textId="2C5C1B49" w:rsidR="00E16E33" w:rsidRPr="005F2138" w:rsidRDefault="00E16E33"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7384561" w14:textId="62329F17" w:rsidR="00E16E33" w:rsidRPr="005F2138" w:rsidRDefault="00E16E33"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pozostawaniu z wykonawcą w takim stosunku prawnym lub faktycznym, że</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istnieje uzasadniona wątpliwość co do ich bezstronności lub niezależności w związku z postępowaniem o udzielenie zamówienia.</w:t>
      </w:r>
    </w:p>
    <w:p w14:paraId="79C73320" w14:textId="2B8F4E3C" w:rsidR="002E61A0" w:rsidRPr="005F2138" w:rsidRDefault="002E61A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Przedmiot zamówienia opisuje się w sposób jednoznaczny i wyczerpujący, za</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pomocą dokładnych i zrozumiałych określeń, uwzględniając wszystkie wymagania i okoliczności mogące mieć wpływ na sporządzenie oferty. Przedmiotu zamówienia nie można opisać w sposób, który mógłby utrudniać uczciwą konkurencję.</w:t>
      </w:r>
    </w:p>
    <w:p w14:paraId="7C534E9F" w14:textId="4B0E0E25" w:rsidR="002E61A0" w:rsidRPr="00990CE8" w:rsidRDefault="002E61A0" w:rsidP="00990CE8">
      <w:pPr>
        <w:pStyle w:val="Akapitzlist"/>
        <w:numPr>
          <w:ilvl w:val="0"/>
          <w:numId w:val="112"/>
        </w:numPr>
        <w:spacing w:before="120" w:after="120"/>
        <w:ind w:left="426" w:hanging="426"/>
        <w:jc w:val="both"/>
        <w:rPr>
          <w:rStyle w:val="normaltextrun"/>
          <w:rFonts w:ascii="Lato" w:hAnsi="Lato"/>
        </w:rPr>
      </w:pPr>
      <w:r w:rsidRPr="005F2138">
        <w:rPr>
          <w:rStyle w:val="normaltextrun"/>
          <w:rFonts w:ascii="Lato" w:eastAsiaTheme="majorEastAsia" w:hAnsi="Lato" w:cstheme="majorBidi"/>
          <w:kern w:val="32"/>
          <w:szCs w:val="26"/>
        </w:rPr>
        <w:lastRenderedPageBreak/>
        <w:t>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wyjątkowych przypadkach dopuszcza się stosowanie takich odniesień, jeżeli niemożliwe jest opisanie przedmiotu zamówienia w wystarczająco precyzyjny i</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zrozumiały sposób zgodnie ze zdaniem pierwszym. Takim odniesieniom w opisie przedmiotu zamówienia muszą towarzyszyć słowa „lub równoważne”.</w:t>
      </w:r>
    </w:p>
    <w:p w14:paraId="549AAA54" w14:textId="2E5E4AF0" w:rsidR="002E61A0" w:rsidRPr="005F2138" w:rsidRDefault="002E61A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 uwagi na konieczność ochrony tajemnicy przedsiębiorstwa w rozumieniu przepisów ustawy z dnia 16 kwietnia 1993 r. o zwalczaniu nieuczciwej konkurencji</w:t>
      </w:r>
      <w:r w:rsidR="00952AC6" w:rsidRPr="005F2138">
        <w:rPr>
          <w:rStyle w:val="normaltextrun"/>
          <w:rFonts w:ascii="Lato" w:eastAsiaTheme="majorEastAsia" w:hAnsi="Lato" w:cstheme="majorBidi"/>
          <w:kern w:val="32"/>
          <w:szCs w:val="26"/>
        </w:rPr>
        <w:t xml:space="preserve"> (Dz. U. z 2022 r. poz. 1233)</w:t>
      </w:r>
      <w:r w:rsidRPr="005F2138">
        <w:rPr>
          <w:rStyle w:val="normaltextrun"/>
          <w:rFonts w:ascii="Lato" w:eastAsiaTheme="majorEastAsia" w:hAnsi="Lato" w:cstheme="majorBidi"/>
          <w:kern w:val="32"/>
          <w:szCs w:val="26"/>
        </w:rPr>
        <w:t xml:space="preserve"> dopuszcza się możliwość ograniczenia zakresu opisu przedmiotu zamówienia, przy czym wymagane jest udostępnienie uzupełnienia wyłączonego opisu przedmiotu zamówienia wykonawcy, który zobowiązał się do zachowania poufności w odniesieniu do przedstawionych informacji, w terminie</w:t>
      </w:r>
      <w:r w:rsidR="00AD5250"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umożliwiającym przygotowanie i złożenie oferty.</w:t>
      </w:r>
    </w:p>
    <w:p w14:paraId="5C40F90A" w14:textId="2B3FCE3E" w:rsidR="002E61A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Do opisu przedmiotu zamówienia stosuje się nazwy i kody określone we Wspólnym Słowniku Zamówień, o którym mowa w rozporządzeniu (WE)</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nr</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2195/2002 Parlamentu Europejskiego i Rady z dnia 5 listopada 2002 r.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sprawie Wspólnego Słownika Zamówień (CPV) (Dz. U</w:t>
      </w:r>
      <w:r w:rsidR="00933995" w:rsidRPr="005F2138">
        <w:rPr>
          <w:rStyle w:val="normaltextrun"/>
          <w:rFonts w:ascii="Lato" w:eastAsiaTheme="majorEastAsia" w:hAnsi="Lato" w:cstheme="majorBidi"/>
          <w:kern w:val="32"/>
          <w:szCs w:val="26"/>
        </w:rPr>
        <w:t>.</w:t>
      </w:r>
      <w:r w:rsidRPr="005F2138">
        <w:rPr>
          <w:rStyle w:val="normaltextrun"/>
          <w:rFonts w:ascii="Lato" w:eastAsiaTheme="majorEastAsia" w:hAnsi="Lato" w:cstheme="majorBidi"/>
          <w:kern w:val="32"/>
          <w:szCs w:val="26"/>
        </w:rPr>
        <w:t xml:space="preserve"> </w:t>
      </w:r>
      <w:r w:rsidR="00933995" w:rsidRPr="005F2138">
        <w:rPr>
          <w:rStyle w:val="normaltextrun"/>
          <w:rFonts w:ascii="Lato" w:eastAsiaTheme="majorEastAsia" w:hAnsi="Lato" w:cstheme="majorBidi"/>
          <w:kern w:val="32"/>
          <w:szCs w:val="26"/>
        </w:rPr>
        <w:t xml:space="preserve"> UE.</w:t>
      </w:r>
      <w:r w:rsidRPr="005F2138">
        <w:rPr>
          <w:rStyle w:val="normaltextrun"/>
          <w:rFonts w:ascii="Lato" w:eastAsiaTheme="majorEastAsia" w:hAnsi="Lato" w:cstheme="majorBidi"/>
          <w:kern w:val="32"/>
          <w:szCs w:val="26"/>
        </w:rPr>
        <w:t xml:space="preserve"> L</w:t>
      </w:r>
      <w:r w:rsidR="00933995" w:rsidRPr="005F2138">
        <w:rPr>
          <w:rStyle w:val="normaltextrun"/>
          <w:rFonts w:ascii="Lato" w:eastAsiaTheme="majorEastAsia" w:hAnsi="Lato" w:cstheme="majorBidi"/>
          <w:kern w:val="32"/>
          <w:szCs w:val="26"/>
        </w:rPr>
        <w:t>. z 2002 r.</w:t>
      </w:r>
      <w:r w:rsidRPr="005F2138">
        <w:rPr>
          <w:rStyle w:val="normaltextrun"/>
          <w:rFonts w:ascii="Lato" w:eastAsiaTheme="majorEastAsia" w:hAnsi="Lato" w:cstheme="majorBidi"/>
          <w:kern w:val="32"/>
          <w:szCs w:val="26"/>
        </w:rPr>
        <w:t xml:space="preserve"> </w:t>
      </w:r>
      <w:r w:rsidR="00933995" w:rsidRPr="005F2138">
        <w:rPr>
          <w:rStyle w:val="normaltextrun"/>
          <w:rFonts w:ascii="Lato" w:eastAsiaTheme="majorEastAsia" w:hAnsi="Lato" w:cstheme="majorBidi"/>
          <w:kern w:val="32"/>
          <w:szCs w:val="26"/>
        </w:rPr>
        <w:t xml:space="preserve">Nr </w:t>
      </w:r>
      <w:r w:rsidRPr="005F2138">
        <w:rPr>
          <w:rStyle w:val="normaltextrun"/>
          <w:rFonts w:ascii="Lato" w:eastAsiaTheme="majorEastAsia" w:hAnsi="Lato" w:cstheme="majorBidi"/>
          <w:kern w:val="32"/>
          <w:szCs w:val="26"/>
        </w:rPr>
        <w:t>340</w:t>
      </w:r>
      <w:r w:rsidR="00933995" w:rsidRPr="005F2138">
        <w:rPr>
          <w:rStyle w:val="normaltextrun"/>
          <w:rFonts w:ascii="Lato" w:eastAsiaTheme="majorEastAsia" w:hAnsi="Lato" w:cstheme="majorBidi"/>
          <w:kern w:val="32"/>
          <w:szCs w:val="26"/>
        </w:rPr>
        <w:t>,</w:t>
      </w:r>
      <w:r w:rsidRPr="005F2138">
        <w:rPr>
          <w:rStyle w:val="normaltextrun"/>
          <w:rFonts w:ascii="Lato" w:eastAsiaTheme="majorEastAsia" w:hAnsi="Lato" w:cstheme="majorBidi"/>
          <w:kern w:val="32"/>
          <w:szCs w:val="26"/>
        </w:rPr>
        <w:t xml:space="preserve">  str. 1 z </w:t>
      </w:r>
      <w:proofErr w:type="spellStart"/>
      <w:r w:rsidRPr="005F2138">
        <w:rPr>
          <w:rStyle w:val="normaltextrun"/>
          <w:rFonts w:ascii="Lato" w:eastAsiaTheme="majorEastAsia" w:hAnsi="Lato" w:cstheme="majorBidi"/>
          <w:kern w:val="32"/>
          <w:szCs w:val="26"/>
        </w:rPr>
        <w:t>późn</w:t>
      </w:r>
      <w:proofErr w:type="spellEnd"/>
      <w:r w:rsidRPr="005F2138">
        <w:rPr>
          <w:rStyle w:val="normaltextrun"/>
          <w:rFonts w:ascii="Lato" w:eastAsiaTheme="majorEastAsia" w:hAnsi="Lato" w:cstheme="majorBidi"/>
          <w:kern w:val="32"/>
          <w:szCs w:val="26"/>
        </w:rPr>
        <w:t>. zm.</w:t>
      </w:r>
      <w:r w:rsidR="00933995" w:rsidRPr="005F2138">
        <w:rPr>
          <w:rStyle w:val="normaltextrun"/>
          <w:rFonts w:ascii="Lato" w:eastAsiaTheme="majorEastAsia" w:hAnsi="Lato" w:cstheme="majorBidi"/>
          <w:kern w:val="32"/>
          <w:szCs w:val="26"/>
        </w:rPr>
        <w:t>).</w:t>
      </w:r>
    </w:p>
    <w:p w14:paraId="093DF0E0" w14:textId="55076114" w:rsidR="00AD525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Zamawiający może wymagać od wykonawców spełnienia warunków udziału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postępowaniu o udzielenie zamówienia. Warunki te zamawiający określa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sposób zapewniający zachowanie uczciwej konkurencji i równego traktowania wykonawców. Warunki udziału oraz opis sposobu dokonywania oceny ich spełniania muszą być związane z przedmiotem zamówienia i proporcjonalne do niego oraz umożliwiać ocenę zdolności wykonawcy do należytego wykonania zamówienia. Zamawiający nie może formułować warunków przewyższających wymagania wystarczające do należytego wykonania zamówienia.</w:t>
      </w:r>
    </w:p>
    <w:p w14:paraId="581805F0" w14:textId="77777777" w:rsidR="00AD525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Kryteria oceny ofert są formułowane w sposób zapewniający zachowanie uczciwej konkurencji oraz równego traktowania wykonawców, przy czym:</w:t>
      </w:r>
    </w:p>
    <w:p w14:paraId="17B13E2A" w14:textId="77777777" w:rsidR="00AD5250" w:rsidRPr="005F2138" w:rsidRDefault="00AD525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każde kryterium oceny ofert musi być związane z przedmiotem zamówienia, </w:t>
      </w:r>
    </w:p>
    <w:p w14:paraId="62028236" w14:textId="77777777" w:rsidR="00AD5250" w:rsidRPr="005F2138" w:rsidRDefault="00AD525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każde kryterium i opis jego stosowania musi być sformułowane w sposób jednoznaczny i zrozumiały,</w:t>
      </w:r>
    </w:p>
    <w:p w14:paraId="4C0D8E9F" w14:textId="66BE8375" w:rsidR="00AD5250" w:rsidRPr="005F2138" w:rsidRDefault="00AD5250"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wagi poszczególnych kryteriów powinny być określone w sposób umożliwiający wybór najkorzystniejszej oferty.</w:t>
      </w:r>
    </w:p>
    <w:p w14:paraId="089D1108" w14:textId="54D5BEF5" w:rsidR="00AD525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Kryteria oceny ofert nie mogą dotyczyć właściwości wykonawcy, a</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szczególności jego wiarygodności ekonomicznej, technicznej lub finansowej oraz doświadczenia.</w:t>
      </w:r>
    </w:p>
    <w:p w14:paraId="0E18AF17" w14:textId="49D7FC03" w:rsidR="00AD525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Minimalny termin składania ofert wynosi 7 dni, z tym, że wyznaczony termin składania ofert powinien uwzględniać złożoność zamówienia oraz czas potrzebny na sporządzenie ofert. W przypadku zamówień, których szacunkowa wartość jest równa lub przekracza 750 000 EUR minimalny termin składania ofert wynosi 30 dni. Bieg terminu składania ofert rozpoczyna się dnia następującego po dniu upublicznienia zapytania ofertowego, a kończy się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upływem ostatniego dnia (zastosowanie ma art. 115 </w:t>
      </w:r>
      <w:r w:rsidR="00786C64" w:rsidRPr="005F2138">
        <w:rPr>
          <w:rStyle w:val="normaltextrun"/>
          <w:rFonts w:ascii="Lato" w:eastAsiaTheme="majorEastAsia" w:hAnsi="Lato" w:cstheme="majorBidi"/>
          <w:kern w:val="32"/>
          <w:szCs w:val="26"/>
        </w:rPr>
        <w:t>k</w:t>
      </w:r>
      <w:r w:rsidRPr="005F2138">
        <w:rPr>
          <w:rStyle w:val="normaltextrun"/>
          <w:rFonts w:ascii="Lato" w:eastAsiaTheme="majorEastAsia" w:hAnsi="Lato" w:cstheme="majorBidi"/>
          <w:kern w:val="32"/>
          <w:szCs w:val="26"/>
        </w:rPr>
        <w:t>odeksu cywilnego). O</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terminowym złożeniu oferty decyduje data złożenia oferty za pośrednictwem BK2021.</w:t>
      </w:r>
    </w:p>
    <w:p w14:paraId="083A01DF" w14:textId="3036DFB4" w:rsidR="00AD5250" w:rsidRPr="005F2138" w:rsidRDefault="00AD5250"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Zamawiający wybiera najkorzystniejszą ofertę zgodną z opisem przedmiotu zamówienia, złożoną przez wykonawcę spełniającego warunki udziału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postępowaniu (o ile zamawiający postawił takie warunki), w oparciu o ustalone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zapytaniu ofertowym kryteria oceny, spośród ofert złożonych w sposób, o</w:t>
      </w:r>
      <w:r w:rsidR="00C82DAD"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którym</w:t>
      </w:r>
      <w:r w:rsidR="00C82DAD"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mowa w </w:t>
      </w:r>
      <w:r w:rsidR="00C82DAD" w:rsidRPr="005F2138">
        <w:rPr>
          <w:rStyle w:val="normaltextrun"/>
          <w:rFonts w:ascii="Lato" w:eastAsiaTheme="majorEastAsia" w:hAnsi="Lato" w:cstheme="majorBidi"/>
          <w:kern w:val="32"/>
          <w:szCs w:val="26"/>
        </w:rPr>
        <w:t>podrozdziale 5.3</w:t>
      </w:r>
      <w:r w:rsidRPr="005F2138">
        <w:rPr>
          <w:rStyle w:val="normaltextrun"/>
          <w:rFonts w:ascii="Lato" w:eastAsiaTheme="majorEastAsia" w:hAnsi="Lato" w:cstheme="majorBidi"/>
          <w:kern w:val="32"/>
          <w:szCs w:val="26"/>
        </w:rPr>
        <w:t>. Zamawiający analizuje treść ofert po upływie terminu</w:t>
      </w:r>
      <w:r w:rsidR="00C82DAD"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wyznaczonego na ich składanie.</w:t>
      </w:r>
    </w:p>
    <w:p w14:paraId="5DDF95F2" w14:textId="7DEBD09C" w:rsidR="00C82DAD" w:rsidRPr="005F2138" w:rsidRDefault="00C82DAD"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wykonawcą i może odrzucić tę ofertę wyłącznie w przypadku, gdy złożone wyjaśnienia wraz z dowodami nie uzasadniają podanej ceny lub kosztu w tej ofercie.</w:t>
      </w:r>
    </w:p>
    <w:p w14:paraId="04DB9B53" w14:textId="562B54C7" w:rsidR="00C82DAD" w:rsidRPr="005F2138" w:rsidRDefault="00C82DAD" w:rsidP="00990CE8">
      <w:pPr>
        <w:pStyle w:val="Akapitzlist"/>
        <w:numPr>
          <w:ilvl w:val="0"/>
          <w:numId w:val="112"/>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Wybór najkorzystniejszej oferty jest dokumentowany pisemnie za pomocą protokołu postępowania o udzielenie zamówienia, zawierającego co najmniej:</w:t>
      </w:r>
    </w:p>
    <w:p w14:paraId="0721F10B" w14:textId="417FCB45"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wykaz wszystkich ofert, które wpłynęły w odpowiedzi na zapytanie ofertowe (w szczególności imię i nazwisko albo nazwa wykonawcy, jego siedziba oraz cena),</w:t>
      </w:r>
    </w:p>
    <w:p w14:paraId="060D996E" w14:textId="0F59232A"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wykryte przypadki konfliktu interesów i podjęte w związku z tym środki albo informację o braku występowania konfliktu interesów,</w:t>
      </w:r>
    </w:p>
    <w:p w14:paraId="39E99EA8" w14:textId="20D976DA"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informację o spełnieniu warunków udziału w postępowaniu przez wykonawców, o ile takie warunki były stawiane,</w:t>
      </w:r>
    </w:p>
    <w:p w14:paraId="7906BDA4" w14:textId="2C89F338"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informację o wagach punktowych lub procentowych przypisanych do poszczególnych kryteriów oceny i przyznanej punktacji poszczególnym wykonawcom za spełnienie danego kryterium,</w:t>
      </w:r>
    </w:p>
    <w:p w14:paraId="0A8883AC" w14:textId="43E7E5A7"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uzasadnienie rezygnacji z dopuszczenia możliwości składania ofert częściowych (jeśli dotyczy),</w:t>
      </w:r>
    </w:p>
    <w:p w14:paraId="14B4A639" w14:textId="0E5FAB41"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powody odrzucenia ofert, w tym ofert uznanych za rażąco niskie (o</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ile</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dotyczy),</w:t>
      </w:r>
    </w:p>
    <w:p w14:paraId="1C330324" w14:textId="5AAEE27D"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wskazanie wybranej oferty (imię i nazwisko albo nazwa wykonawcy) wraz z</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uzasadnieniem wyboru albo powodów, dla których zamawiający postanowił zrezygnować z udzielenia zamówienia,</w:t>
      </w:r>
    </w:p>
    <w:p w14:paraId="2DB6A7A9" w14:textId="5FEB86F4"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imiona i nazwiska osób, które wykonywały czynności w prowadzonym postępowaniu,</w:t>
      </w:r>
    </w:p>
    <w:p w14:paraId="534AC87F" w14:textId="1577083E"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datę sporządzenia protokołu,</w:t>
      </w:r>
    </w:p>
    <w:p w14:paraId="55B2DD5F" w14:textId="77777777" w:rsidR="00C82DAD" w:rsidRPr="005F2138" w:rsidRDefault="00C82DAD" w:rsidP="00990CE8">
      <w:pPr>
        <w:pStyle w:val="Akapitzlist"/>
        <w:numPr>
          <w:ilvl w:val="1"/>
          <w:numId w:val="112"/>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następujące załączniki:</w:t>
      </w:r>
    </w:p>
    <w:p w14:paraId="429E04F3" w14:textId="457132F0" w:rsidR="00C82DAD" w:rsidRPr="005F2138" w:rsidRDefault="00C82DAD" w:rsidP="00990CE8">
      <w:pPr>
        <w:pStyle w:val="Akapitzlist"/>
        <w:numPr>
          <w:ilvl w:val="2"/>
          <w:numId w:val="112"/>
        </w:numPr>
        <w:spacing w:before="120" w:after="120"/>
        <w:ind w:left="1560"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dokument będący podstawą szacowania wartości, chyba, że</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szacow</w:t>
      </w:r>
      <w:r w:rsidR="005E021F" w:rsidRPr="005F2138">
        <w:rPr>
          <w:rStyle w:val="normaltextrun"/>
          <w:rFonts w:ascii="Lato" w:eastAsiaTheme="majorEastAsia" w:hAnsi="Lato" w:cstheme="majorBidi"/>
          <w:kern w:val="32"/>
          <w:szCs w:val="26"/>
        </w:rPr>
        <w:t>a</w:t>
      </w:r>
      <w:r w:rsidRPr="005F2138">
        <w:rPr>
          <w:rStyle w:val="normaltextrun"/>
          <w:rFonts w:ascii="Lato" w:eastAsiaTheme="majorEastAsia" w:hAnsi="Lato" w:cstheme="majorBidi"/>
          <w:kern w:val="32"/>
          <w:szCs w:val="26"/>
        </w:rPr>
        <w:t>n</w:t>
      </w:r>
      <w:r w:rsidR="005E021F" w:rsidRPr="005F2138">
        <w:rPr>
          <w:rStyle w:val="normaltextrun"/>
          <w:rFonts w:ascii="Lato" w:eastAsiaTheme="majorEastAsia" w:hAnsi="Lato" w:cstheme="majorBidi"/>
          <w:kern w:val="32"/>
          <w:szCs w:val="26"/>
        </w:rPr>
        <w:t>i</w:t>
      </w:r>
      <w:r w:rsidRPr="005F2138">
        <w:rPr>
          <w:rStyle w:val="normaltextrun"/>
          <w:rFonts w:ascii="Lato" w:eastAsiaTheme="majorEastAsia" w:hAnsi="Lato" w:cstheme="majorBidi"/>
          <w:kern w:val="32"/>
          <w:szCs w:val="26"/>
        </w:rPr>
        <w:t xml:space="preserve">e wartości zamówienia wynika z zatwierdzonego </w:t>
      </w:r>
      <w:r w:rsidR="005E021F"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niosku ,</w:t>
      </w:r>
    </w:p>
    <w:p w14:paraId="1144EACC" w14:textId="7093ACCF" w:rsidR="00C82DAD" w:rsidRPr="005F2138" w:rsidRDefault="00C82DAD" w:rsidP="00990CE8">
      <w:pPr>
        <w:pStyle w:val="Akapitzlist"/>
        <w:numPr>
          <w:ilvl w:val="2"/>
          <w:numId w:val="112"/>
        </w:numPr>
        <w:spacing w:before="120" w:after="120"/>
        <w:ind w:left="1560"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oświadczenia, o których mowa w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w:t>
      </w:r>
      <w:r w:rsidR="00BD2412" w:rsidRPr="005F2138">
        <w:rPr>
          <w:rStyle w:val="normaltextrun"/>
          <w:rFonts w:ascii="Lato" w:eastAsiaTheme="majorEastAsia" w:hAnsi="Lato" w:cstheme="majorBidi"/>
          <w:kern w:val="32"/>
          <w:szCs w:val="26"/>
        </w:rPr>
        <w:t>11</w:t>
      </w:r>
      <w:r w:rsidRPr="005F2138">
        <w:rPr>
          <w:rStyle w:val="normaltextrun"/>
          <w:rFonts w:ascii="Lato" w:eastAsiaTheme="majorEastAsia" w:hAnsi="Lato" w:cstheme="majorBidi"/>
          <w:kern w:val="32"/>
          <w:szCs w:val="26"/>
        </w:rPr>
        <w:t>,</w:t>
      </w:r>
    </w:p>
    <w:p w14:paraId="75936BD8" w14:textId="22BBF5EF" w:rsidR="00C82DAD" w:rsidRPr="005F2138" w:rsidRDefault="00C82DAD" w:rsidP="00990CE8">
      <w:pPr>
        <w:pStyle w:val="Akapitzlist"/>
        <w:numPr>
          <w:ilvl w:val="2"/>
          <w:numId w:val="112"/>
        </w:numPr>
        <w:spacing w:before="120" w:after="120"/>
        <w:ind w:left="1560"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dowód ogłoszenia zapytania ofertowego zgodnie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podrozdziałem 5.3 oraz jego zmian (o ile zostały dokonane) wraz ze złożonymi ofertami, oraz dowody wymiany informacji pomiędzy zamawiającym a wykonawcą.</w:t>
      </w:r>
    </w:p>
    <w:p w14:paraId="6C8F2190" w14:textId="339D2386" w:rsidR="00C82DAD" w:rsidRPr="005F2138" w:rsidRDefault="00C82DAD" w:rsidP="00990CE8">
      <w:pPr>
        <w:pStyle w:val="Akapitzlist"/>
        <w:spacing w:before="120" w:after="120"/>
        <w:ind w:left="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Protokół jest udostępniany na wniosek wykonawcy.</w:t>
      </w:r>
    </w:p>
    <w:p w14:paraId="0EB84541" w14:textId="17F4ABFB" w:rsidR="00A97DE4" w:rsidRPr="00990CE8" w:rsidRDefault="000B455E" w:rsidP="00990CE8">
      <w:pPr>
        <w:pStyle w:val="Nagwek2"/>
        <w:numPr>
          <w:ilvl w:val="1"/>
          <w:numId w:val="110"/>
        </w:numPr>
        <w:spacing w:before="120" w:after="120"/>
        <w:ind w:left="426" w:hanging="426"/>
        <w:rPr>
          <w:rFonts w:ascii="Lato" w:hAnsi="Lato"/>
        </w:rPr>
      </w:pPr>
      <w:bookmarkStart w:id="51" w:name="_Toc163808280"/>
      <w:bookmarkStart w:id="52" w:name="_Toc163817684"/>
      <w:bookmarkStart w:id="53" w:name="_Toc163808281"/>
      <w:bookmarkStart w:id="54" w:name="_Toc163817685"/>
      <w:bookmarkStart w:id="55" w:name="_Toc163808282"/>
      <w:bookmarkStart w:id="56" w:name="_Toc163817686"/>
      <w:bookmarkStart w:id="57" w:name="_Toc181699385"/>
      <w:bookmarkEnd w:id="51"/>
      <w:bookmarkEnd w:id="52"/>
      <w:bookmarkEnd w:id="53"/>
      <w:bookmarkEnd w:id="54"/>
      <w:bookmarkEnd w:id="55"/>
      <w:bookmarkEnd w:id="56"/>
      <w:r w:rsidRPr="00990CE8">
        <w:rPr>
          <w:rFonts w:ascii="Lato" w:hAnsi="Lato"/>
        </w:rPr>
        <w:lastRenderedPageBreak/>
        <w:t>Ogłoszenia zapytań ofertowych</w:t>
      </w:r>
      <w:bookmarkEnd w:id="57"/>
    </w:p>
    <w:p w14:paraId="5B06816F" w14:textId="1FD69603" w:rsidR="006C5073" w:rsidRPr="005F2138" w:rsidRDefault="000B455E" w:rsidP="00990CE8">
      <w:pPr>
        <w:pStyle w:val="Akapitzlist"/>
        <w:numPr>
          <w:ilvl w:val="0"/>
          <w:numId w:val="115"/>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Komunikacja w postępowaniu o udzielenie zamówienia, w tym ogłoszenie zapytania ofertowego, składanie ofert, wymiana informacji między zamawiającym a</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wykonawcą oraz przekazywanie dokumentów i oświadczeń odbywa się</w:t>
      </w:r>
      <w:r w:rsidR="006C5073"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pisemnie za pomocą BK2021, z zastrzeżeniem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2 i 3.</w:t>
      </w:r>
    </w:p>
    <w:p w14:paraId="6145E7A5" w14:textId="3DEEDEF6" w:rsidR="006C5073" w:rsidRPr="005F2138" w:rsidRDefault="006C5073"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Odstąpienie od komunikacji określonej w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 jest dopuszczalne w zakresie,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jakim nie jest możliwe dotrzymanie sposobu komunikacji w BK2021. Zamawiający określa w zapytaniu ofertowym sposób komunikacji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postępowaniu o udzielenie zamówienia wynikający z zakresu odstąpienia od komunikacji w BK2021. </w:t>
      </w:r>
    </w:p>
    <w:p w14:paraId="20961F65" w14:textId="0645AFCF" w:rsidR="009C45AC" w:rsidRPr="005F2138" w:rsidRDefault="006C5073"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postępowaniu o</w:t>
      </w:r>
      <w:r w:rsidR="004272F4">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udzielenie zamówienia.</w:t>
      </w:r>
    </w:p>
    <w:p w14:paraId="35B3D8D4" w14:textId="3A764CF3" w:rsidR="009C45AC" w:rsidRPr="005F2138" w:rsidRDefault="009C45AC"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przypadku</w:t>
      </w:r>
      <w:r w:rsidR="00192A57" w:rsidRPr="005F2138">
        <w:rPr>
          <w:rStyle w:val="normaltextrun"/>
          <w:rFonts w:ascii="Lato" w:eastAsiaTheme="majorEastAsia" w:hAnsi="Lato" w:cstheme="majorBidi"/>
          <w:kern w:val="32"/>
          <w:szCs w:val="26"/>
        </w:rPr>
        <w:t>,</w:t>
      </w:r>
      <w:r w:rsidRPr="005F2138">
        <w:rPr>
          <w:rStyle w:val="normaltextrun"/>
          <w:rFonts w:ascii="Lato" w:eastAsiaTheme="majorEastAsia" w:hAnsi="Lato" w:cstheme="majorBidi"/>
          <w:kern w:val="32"/>
          <w:szCs w:val="26"/>
        </w:rPr>
        <w:t xml:space="preserve"> gdy </w:t>
      </w:r>
      <w:r w:rsidR="0006420F" w:rsidRPr="005F2138">
        <w:rPr>
          <w:rStyle w:val="normaltextrun"/>
          <w:rFonts w:ascii="Lato" w:eastAsiaTheme="majorEastAsia" w:hAnsi="Lato" w:cstheme="majorBidi"/>
          <w:kern w:val="32"/>
          <w:szCs w:val="26"/>
        </w:rPr>
        <w:t>w</w:t>
      </w:r>
      <w:r w:rsidRPr="005F2138">
        <w:rPr>
          <w:rStyle w:val="normaltextrun"/>
          <w:rFonts w:ascii="Lato" w:eastAsiaTheme="majorEastAsia" w:hAnsi="Lato" w:cstheme="majorBidi"/>
          <w:kern w:val="32"/>
          <w:szCs w:val="26"/>
        </w:rPr>
        <w:t xml:space="preserve">nioskodawca rozpoczyna realizację </w:t>
      </w:r>
      <w:r w:rsidR="00896488" w:rsidRPr="005F2138">
        <w:rPr>
          <w:rStyle w:val="normaltextrun"/>
          <w:rFonts w:ascii="Lato" w:eastAsiaTheme="majorEastAsia" w:hAnsi="Lato" w:cstheme="majorBidi"/>
          <w:kern w:val="32"/>
          <w:szCs w:val="26"/>
        </w:rPr>
        <w:t xml:space="preserve">przedsięwzięcia </w:t>
      </w:r>
      <w:r w:rsidRPr="005F2138">
        <w:rPr>
          <w:rStyle w:val="normaltextrun"/>
          <w:rFonts w:ascii="Lato" w:eastAsiaTheme="majorEastAsia" w:hAnsi="Lato" w:cstheme="majorBidi"/>
          <w:kern w:val="32"/>
          <w:szCs w:val="26"/>
        </w:rPr>
        <w:t xml:space="preserve">na własne ryzyko przed podpisaniem </w:t>
      </w:r>
      <w:r w:rsidR="008339C1" w:rsidRPr="005F2138">
        <w:rPr>
          <w:rStyle w:val="normaltextrun"/>
          <w:rFonts w:ascii="Lato" w:eastAsiaTheme="majorEastAsia" w:hAnsi="Lato" w:cstheme="majorBidi"/>
          <w:kern w:val="32"/>
          <w:szCs w:val="26"/>
        </w:rPr>
        <w:t>P</w:t>
      </w:r>
      <w:r w:rsidRPr="005F2138">
        <w:rPr>
          <w:rStyle w:val="normaltextrun"/>
          <w:rFonts w:ascii="Lato" w:eastAsiaTheme="majorEastAsia" w:hAnsi="Lato" w:cstheme="majorBidi"/>
          <w:kern w:val="32"/>
          <w:szCs w:val="26"/>
        </w:rPr>
        <w:t xml:space="preserve">orozumienia, upublicznia zapytanie ofertowe w sposób określony w </w:t>
      </w:r>
      <w:r w:rsidR="00020EE9" w:rsidRPr="005F2138">
        <w:rPr>
          <w:rStyle w:val="normaltextrun"/>
          <w:rFonts w:ascii="Lato" w:eastAsiaTheme="majorEastAsia" w:hAnsi="Lato" w:cstheme="majorBidi"/>
          <w:kern w:val="32"/>
          <w:szCs w:val="26"/>
        </w:rPr>
        <w:t>ust.</w:t>
      </w:r>
      <w:r w:rsidRPr="005F2138">
        <w:rPr>
          <w:rStyle w:val="normaltextrun"/>
          <w:rFonts w:ascii="Lato" w:eastAsiaTheme="majorEastAsia" w:hAnsi="Lato" w:cstheme="majorBidi"/>
          <w:kern w:val="32"/>
          <w:szCs w:val="26"/>
        </w:rPr>
        <w:t xml:space="preserve"> 1.</w:t>
      </w:r>
    </w:p>
    <w:p w14:paraId="49896D28" w14:textId="77777777" w:rsidR="000C4885" w:rsidRPr="005F2138" w:rsidRDefault="000C4885"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Zapytanie ofertowe zawiera w szczególności:</w:t>
      </w:r>
    </w:p>
    <w:p w14:paraId="6CC8A6EF" w14:textId="77777777" w:rsidR="00FE02B2" w:rsidRPr="005F2138" w:rsidRDefault="000C4885"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opis przedmiotu zamówienia,</w:t>
      </w:r>
      <w:r w:rsidR="00FE02B2" w:rsidRPr="005F2138">
        <w:rPr>
          <w:rStyle w:val="normaltextrun"/>
          <w:rFonts w:ascii="Lato" w:eastAsiaTheme="majorEastAsia" w:hAnsi="Lato" w:cstheme="majorBidi"/>
          <w:kern w:val="32"/>
          <w:szCs w:val="26"/>
        </w:rPr>
        <w:t xml:space="preserve"> </w:t>
      </w:r>
    </w:p>
    <w:p w14:paraId="1C1AFA7F" w14:textId="77777777" w:rsidR="00FE02B2" w:rsidRPr="005F2138" w:rsidRDefault="000C4885"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warunki udziału w postępowaniu oraz opis sposobu dokonywania oceny ic</w:t>
      </w:r>
      <w:r w:rsidR="00FE02B2" w:rsidRPr="005F2138">
        <w:rPr>
          <w:rStyle w:val="normaltextrun"/>
          <w:rFonts w:ascii="Lato" w:eastAsiaTheme="majorEastAsia" w:hAnsi="Lato" w:cstheme="majorBidi"/>
          <w:kern w:val="32"/>
          <w:szCs w:val="26"/>
        </w:rPr>
        <w:t xml:space="preserve">h </w:t>
      </w:r>
      <w:r w:rsidRPr="005F2138">
        <w:rPr>
          <w:rStyle w:val="normaltextrun"/>
          <w:rFonts w:ascii="Lato" w:eastAsiaTheme="majorEastAsia" w:hAnsi="Lato" w:cstheme="majorBidi"/>
          <w:kern w:val="32"/>
          <w:szCs w:val="26"/>
        </w:rPr>
        <w:t>spełniania, o ile warunki te są wymagane przez zamawiającego,</w:t>
      </w:r>
    </w:p>
    <w:p w14:paraId="2B64338B" w14:textId="77777777" w:rsidR="00FE02B2" w:rsidRPr="005F2138" w:rsidRDefault="000C4885"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kryteria oceny ofert, informację o wagach punktowych lub procentowych</w:t>
      </w:r>
      <w:r w:rsidR="00FE02B2"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przypisanych do poszczególnych kryteriów oceny ofert oraz opis sposobu</w:t>
      </w:r>
      <w:r w:rsidR="00FE02B2"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przyznawania punktacji za spełnienie danego kryterium oceny ofert,</w:t>
      </w:r>
    </w:p>
    <w:p w14:paraId="50EA58C5" w14:textId="44D7F1CE" w:rsidR="000C4885" w:rsidRPr="005F2138" w:rsidRDefault="000C4885"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termin i sposób składania ofert,</w:t>
      </w:r>
    </w:p>
    <w:p w14:paraId="5656F2A7" w14:textId="35199A15"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termin wykonania zamówienia,</w:t>
      </w:r>
    </w:p>
    <w:p w14:paraId="69BF31ED" w14:textId="36E28EA7"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informację na temat zakazu konfliktu interesów,</w:t>
      </w:r>
    </w:p>
    <w:p w14:paraId="11284004" w14:textId="33894334"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określenie warunków istotnych zmian umowy zawartej w wyniku przeprowadzonego postępowania o udzielenie zamówienia, o</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ile</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zamawiający przewiduje możliwość zmiany umowy,</w:t>
      </w:r>
    </w:p>
    <w:p w14:paraId="7FD5D847" w14:textId="571E0234"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większej niż maksymalna liczbie części,</w:t>
      </w:r>
    </w:p>
    <w:p w14:paraId="1CB6AA05" w14:textId="0DC500B6"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sytuacji, gdy zamawiający udziela zamówienia w częściach, informację, że dane postępowanie obejmuje jedynie część zamówienia, wraz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określeniem zakresu lub wartości całego zamówienia oraz informacjami co do pozostałych części zamówienia,</w:t>
      </w:r>
    </w:p>
    <w:p w14:paraId="6EF42341" w14:textId="2B8DA863" w:rsidR="00FE02B2" w:rsidRPr="005F2138" w:rsidRDefault="00FE02B2" w:rsidP="00990CE8">
      <w:pPr>
        <w:pStyle w:val="Akapitzlist"/>
        <w:numPr>
          <w:ilvl w:val="0"/>
          <w:numId w:val="117"/>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informacje dotyczące ofert wariantowych, jeżeli zamawiający wymaga lub dopuszcza ich składanie, w tym opis sposobu przedstawiania ofert wariantowych oraz minimalne warunki, jakim muszą odpowiadać oferty wariantowe wraz z wybranymi kryteriami oceny oraz informacja, czy</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oferta wariantowa powinna być złożona wraz z ofertą albo zamiast oferty.</w:t>
      </w:r>
    </w:p>
    <w:p w14:paraId="28F5BBA9" w14:textId="77777777" w:rsidR="00FE02B2" w:rsidRPr="005F2138" w:rsidRDefault="00FE02B2"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709F7DBC" w14:textId="3F37A988" w:rsidR="000B455E" w:rsidRPr="005F2138" w:rsidRDefault="00FE02B2" w:rsidP="00990CE8">
      <w:pPr>
        <w:pStyle w:val="Akapitzlist"/>
        <w:numPr>
          <w:ilvl w:val="0"/>
          <w:numId w:val="115"/>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Informację o wyniku postępowania ogłasza się w taki sposób, w jaki zostało upublicznione zapytanie ofertowe. Informacja ta zawiera imię i nazwisko albo nazwę wybranego wykonawcy, jego siedzibę (miejscowość) oraz cenę najkorzystniejszej oferty.</w:t>
      </w:r>
    </w:p>
    <w:p w14:paraId="60D6CD55" w14:textId="6B0DE9E0" w:rsidR="000B455E" w:rsidRPr="00990CE8" w:rsidRDefault="00F34BC3" w:rsidP="00990CE8">
      <w:pPr>
        <w:pStyle w:val="Nagwek2"/>
        <w:numPr>
          <w:ilvl w:val="1"/>
          <w:numId w:val="110"/>
        </w:numPr>
        <w:spacing w:before="120" w:after="120"/>
        <w:ind w:left="426" w:hanging="426"/>
        <w:rPr>
          <w:rFonts w:ascii="Lato" w:hAnsi="Lato"/>
        </w:rPr>
      </w:pPr>
      <w:bookmarkStart w:id="58" w:name="_Toc181699386"/>
      <w:r w:rsidRPr="00990CE8">
        <w:rPr>
          <w:rFonts w:ascii="Lato" w:hAnsi="Lato"/>
        </w:rPr>
        <w:t>Umowa w sprawie zamówienia</w:t>
      </w:r>
      <w:bookmarkEnd w:id="58"/>
    </w:p>
    <w:p w14:paraId="5E52772A" w14:textId="6772DB52" w:rsidR="00F051C1" w:rsidRPr="005F2138" w:rsidRDefault="00F051C1" w:rsidP="00990CE8">
      <w:pPr>
        <w:pStyle w:val="Akapitzlist"/>
        <w:numPr>
          <w:ilvl w:val="0"/>
          <w:numId w:val="118"/>
        </w:numPr>
        <w:spacing w:before="120" w:after="120"/>
        <w:ind w:left="426" w:hanging="426"/>
        <w:jc w:val="both"/>
        <w:rPr>
          <w:rStyle w:val="normaltextrun"/>
          <w:rFonts w:ascii="Lato" w:eastAsiaTheme="majorEastAsia" w:hAnsi="Lato" w:cstheme="majorBidi"/>
          <w:b/>
          <w:bCs/>
          <w:i/>
          <w:kern w:val="32"/>
          <w:szCs w:val="26"/>
        </w:rPr>
      </w:pPr>
      <w:r w:rsidRPr="005F2138">
        <w:rPr>
          <w:rStyle w:val="normaltextrun"/>
          <w:rFonts w:ascii="Lato" w:eastAsiaTheme="majorEastAsia" w:hAnsi="Lato" w:cstheme="majorBidi"/>
          <w:kern w:val="32"/>
          <w:szCs w:val="26"/>
        </w:rPr>
        <w:t>Zawarcie umowy w sprawie zamówienia następuje w formie pisemnej lub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 xml:space="preserve">formie elektronicznej, o których mowa w art. 78 i art. 78¹ </w:t>
      </w:r>
      <w:r w:rsidR="0006420F" w:rsidRPr="005F2138">
        <w:rPr>
          <w:rStyle w:val="normaltextrun"/>
          <w:rFonts w:ascii="Lato" w:eastAsiaTheme="majorEastAsia" w:hAnsi="Lato" w:cstheme="majorBidi"/>
          <w:kern w:val="32"/>
          <w:szCs w:val="26"/>
        </w:rPr>
        <w:t>k</w:t>
      </w:r>
      <w:r w:rsidRPr="005F2138">
        <w:rPr>
          <w:rStyle w:val="normaltextrun"/>
          <w:rFonts w:ascii="Lato" w:eastAsiaTheme="majorEastAsia" w:hAnsi="Lato" w:cstheme="majorBidi"/>
          <w:kern w:val="32"/>
          <w:szCs w:val="26"/>
        </w:rPr>
        <w:t>odeksu cywilnego.</w:t>
      </w:r>
    </w:p>
    <w:p w14:paraId="1A78E8AC" w14:textId="77777777" w:rsidR="00F051C1" w:rsidRPr="005F2138" w:rsidRDefault="00F051C1" w:rsidP="00990CE8">
      <w:pPr>
        <w:pStyle w:val="Akapitzlist"/>
        <w:numPr>
          <w:ilvl w:val="0"/>
          <w:numId w:val="118"/>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W przypadku gdy zamawiający dopuszcza składanie ofert częściowych, postępowanie może zakończyć się zawarciem umowy na część zamówienia.</w:t>
      </w:r>
    </w:p>
    <w:p w14:paraId="1D42C6C5" w14:textId="06143156" w:rsidR="00F051C1" w:rsidRPr="005F2138" w:rsidRDefault="00F051C1" w:rsidP="00990CE8">
      <w:pPr>
        <w:pStyle w:val="Akapitzlist"/>
        <w:numPr>
          <w:ilvl w:val="0"/>
          <w:numId w:val="118"/>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przypadku gdy wybrany wykonawca odstąpi od zawarcia umowy w sprawie zamówienia, zamawiający może zawrzeć umowę z wykonawcą, który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prawidłowo przeprowadzonym postępowaniu o udzielenie zamówienia uzyskał kolejną najwyższą liczbę punktów.</w:t>
      </w:r>
    </w:p>
    <w:p w14:paraId="5D23997D" w14:textId="4962E774" w:rsidR="000B455E" w:rsidRPr="005F2138" w:rsidRDefault="00F051C1" w:rsidP="00990CE8">
      <w:pPr>
        <w:pStyle w:val="Akapitzlist"/>
        <w:numPr>
          <w:ilvl w:val="0"/>
          <w:numId w:val="118"/>
        </w:numPr>
        <w:spacing w:before="120" w:after="120"/>
        <w:ind w:left="426" w:hanging="426"/>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Nie jest możliwe dokonywanie istotnych zmian postanowień zawartej umowy w</w:t>
      </w:r>
      <w:r w:rsidR="00514F99"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stosunku do treści oferty, na podstawie której dokonano wyboru wykonawcy, chyba że:</w:t>
      </w:r>
    </w:p>
    <w:p w14:paraId="4E447C01" w14:textId="7D7D12FA" w:rsidR="00F051C1" w:rsidRPr="005F2138" w:rsidRDefault="00F051C1" w:rsidP="00990CE8">
      <w:pPr>
        <w:pStyle w:val="Akapitzlist"/>
        <w:numPr>
          <w:ilvl w:val="0"/>
          <w:numId w:val="11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zmiany zostały przewidziane w zapytaniu ofertowym w postaci jednoznacznych postanowień umownych, które określają ich zakres i</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charakter oraz warunki wprowadzenia zmian,</w:t>
      </w:r>
    </w:p>
    <w:p w14:paraId="7DB18064" w14:textId="3C54B8D9" w:rsidR="00F051C1" w:rsidRPr="005F2138" w:rsidRDefault="00F051C1" w:rsidP="00990CE8">
      <w:pPr>
        <w:pStyle w:val="Akapitzlist"/>
        <w:numPr>
          <w:ilvl w:val="0"/>
          <w:numId w:val="11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zmiany dotyczą realizacji dodatkowych dostaw</w:t>
      </w:r>
      <w:r w:rsidR="00EF4426" w:rsidRPr="005F2138">
        <w:rPr>
          <w:rStyle w:val="normaltextrun"/>
          <w:rFonts w:ascii="Lato" w:eastAsiaTheme="majorEastAsia" w:hAnsi="Lato" w:cstheme="majorBidi"/>
          <w:kern w:val="32"/>
          <w:szCs w:val="26"/>
        </w:rPr>
        <w:t>,</w:t>
      </w:r>
      <w:r w:rsidR="004C4059" w:rsidRPr="005F2138">
        <w:rPr>
          <w:rStyle w:val="normaltextrun"/>
          <w:rFonts w:ascii="Lato" w:eastAsiaTheme="majorEastAsia" w:hAnsi="Lato" w:cstheme="majorBidi"/>
          <w:kern w:val="32"/>
          <w:szCs w:val="26"/>
        </w:rPr>
        <w:t xml:space="preserve"> </w:t>
      </w:r>
      <w:r w:rsidRPr="005F2138">
        <w:rPr>
          <w:rStyle w:val="normaltextrun"/>
          <w:rFonts w:ascii="Lato" w:eastAsiaTheme="majorEastAsia" w:hAnsi="Lato" w:cstheme="majorBidi"/>
          <w:kern w:val="32"/>
          <w:szCs w:val="26"/>
        </w:rPr>
        <w:t xml:space="preserve"> usług</w:t>
      </w:r>
      <w:r w:rsidR="00EF4426" w:rsidRPr="005F2138">
        <w:rPr>
          <w:rStyle w:val="normaltextrun"/>
          <w:rFonts w:ascii="Lato" w:eastAsiaTheme="majorEastAsia" w:hAnsi="Lato" w:cstheme="majorBidi"/>
          <w:kern w:val="32"/>
          <w:szCs w:val="26"/>
        </w:rPr>
        <w:t xml:space="preserve"> lub robót budowlanych</w:t>
      </w:r>
      <w:r w:rsidRPr="005F2138">
        <w:rPr>
          <w:rStyle w:val="normaltextrun"/>
          <w:rFonts w:ascii="Lato" w:eastAsiaTheme="majorEastAsia" w:hAnsi="Lato" w:cstheme="majorBidi"/>
          <w:kern w:val="32"/>
          <w:szCs w:val="26"/>
        </w:rPr>
        <w:t xml:space="preserve"> od dotychczasowego wykonawcy, nieobjętych zamówieniem podstawowym, o ile stały się niezbędne i zostały spełnione łącznie następujące warunki:</w:t>
      </w:r>
    </w:p>
    <w:p w14:paraId="51760881" w14:textId="403E5F64" w:rsidR="00F051C1" w:rsidRPr="005F2138" w:rsidRDefault="00F051C1"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zmiana wykonawcy nie może zostać dokonana z powodów ekonomicznych lub technicznych, w szczególności dotyczących zamienności lub interoperacyjności sprzętu, usług lub instalacji, zamówionych w ramach zamówienia podstawowego,</w:t>
      </w:r>
    </w:p>
    <w:p w14:paraId="51E13F4A" w14:textId="063E9A15" w:rsidR="00F051C1" w:rsidRPr="005F2138" w:rsidRDefault="00F051C1"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zmiana wykonawcy spowodowałaby istotną niedogodność lub znaczne zwiększenie kosztów dla zamawiającego,</w:t>
      </w:r>
    </w:p>
    <w:p w14:paraId="2E2E025A" w14:textId="218DC091" w:rsidR="00F051C1" w:rsidRPr="005F2138" w:rsidRDefault="00F051C1"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wartość zmian nie przekracza 50% wartości zamówienia określonej pierwotnie w umowie,</w:t>
      </w:r>
    </w:p>
    <w:p w14:paraId="7C78AD97" w14:textId="30207EC3" w:rsidR="00F051C1" w:rsidRPr="005F2138" w:rsidRDefault="00F051C1" w:rsidP="00990CE8">
      <w:pPr>
        <w:pStyle w:val="Akapitzlist"/>
        <w:numPr>
          <w:ilvl w:val="0"/>
          <w:numId w:val="11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zmiana nie prowadzi do zmiany ogólnego charakteru umowy i zostały spełnione łącznie następujące warunki:</w:t>
      </w:r>
    </w:p>
    <w:p w14:paraId="2C4DE5C6" w14:textId="07428F49" w:rsidR="00F051C1" w:rsidRPr="005F2138" w:rsidRDefault="00F051C1"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konieczność zmiany umowy spowodowana jest okolicznościami, których zamawiający, działając z należytą starannością, nie mógł przewidzieć,</w:t>
      </w:r>
    </w:p>
    <w:p w14:paraId="5F1DDFC6" w14:textId="5C4E5828" w:rsidR="00F051C1" w:rsidRPr="005F2138" w:rsidRDefault="00F051C1"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wartość zmian nie przekracza 50% wartości zamówienia określonej pierwotnie w umowie,</w:t>
      </w:r>
    </w:p>
    <w:p w14:paraId="58D4374D" w14:textId="77777777" w:rsidR="00CB442A" w:rsidRPr="005F2138" w:rsidRDefault="00F051C1" w:rsidP="00990CE8">
      <w:pPr>
        <w:pStyle w:val="Akapitzlist"/>
        <w:numPr>
          <w:ilvl w:val="0"/>
          <w:numId w:val="119"/>
        </w:numPr>
        <w:spacing w:before="120" w:after="120"/>
        <w:ind w:left="1134" w:hanging="283"/>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lastRenderedPageBreak/>
        <w:t xml:space="preserve">wykonawcę, któremu zamawiający udzielił zamówienia, ma zastąpić nowy wykonawca, </w:t>
      </w:r>
    </w:p>
    <w:p w14:paraId="64E2AF26" w14:textId="77777777" w:rsidR="00CB442A" w:rsidRPr="005F2138" w:rsidRDefault="00CB442A"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 xml:space="preserve">w wyniku sukcesji, wstępując w prawa i obowiązki wykonawcy o ile nowy wykonawca spełnia warunki udziału w postępowaniu oraz nie pociąga to za sobą innych istotnych zmian umowy, a także nie ma na celu uniknięcia stosowania zasady konkurencyjności, lub </w:t>
      </w:r>
    </w:p>
    <w:p w14:paraId="004F42D5" w14:textId="44F49BA7" w:rsidR="00F051C1" w:rsidRPr="005F2138" w:rsidRDefault="00CB442A" w:rsidP="00990CE8">
      <w:pPr>
        <w:pStyle w:val="Akapitzlist"/>
        <w:numPr>
          <w:ilvl w:val="2"/>
          <w:numId w:val="119"/>
        </w:numPr>
        <w:spacing w:before="120" w:after="120"/>
        <w:ind w:left="1985" w:hanging="284"/>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w wyniku przejęcia przez zamawiającego zobowiązań wykonawcy względem jego podwykonawców – w przypadku zmiany podwykonawcy, zamawiający może zawrzeć umowę z nowym podwykonawcą bez zmiany warunków realizacji zamówienia z</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uwzględnieniem dokonanych płatności z tytułu dotychczas zrealizowanych prac.</w:t>
      </w:r>
    </w:p>
    <w:p w14:paraId="55554B47" w14:textId="1944316E" w:rsidR="00D67167" w:rsidRPr="000145FA" w:rsidRDefault="00F051C1" w:rsidP="00990CE8">
      <w:pPr>
        <w:pStyle w:val="Akapitzlist"/>
        <w:spacing w:before="120" w:after="120"/>
        <w:ind w:left="360"/>
        <w:jc w:val="both"/>
        <w:rPr>
          <w:rStyle w:val="normaltextrun"/>
          <w:rFonts w:ascii="Lato" w:eastAsiaTheme="majorEastAsia" w:hAnsi="Lato" w:cstheme="majorBidi"/>
          <w:kern w:val="32"/>
          <w:szCs w:val="26"/>
        </w:rPr>
      </w:pPr>
      <w:r w:rsidRPr="005F2138">
        <w:rPr>
          <w:rStyle w:val="normaltextrun"/>
          <w:rFonts w:ascii="Lato" w:eastAsiaTheme="majorEastAsia" w:hAnsi="Lato" w:cstheme="majorBidi"/>
          <w:kern w:val="32"/>
          <w:szCs w:val="26"/>
        </w:rPr>
        <w:t>Zmiana umowy w sprawie zamówienia jest istotna, jeżeli powoduje, że charakter umowy zmienia się w sposób istotny w stosunku do pierwotnej umowy,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w:t>
      </w:r>
      <w:r w:rsidR="00036598" w:rsidRPr="005F2138">
        <w:rPr>
          <w:rStyle w:val="normaltextrun"/>
          <w:rFonts w:ascii="Lato" w:eastAsiaTheme="majorEastAsia" w:hAnsi="Lato" w:cstheme="majorBidi"/>
          <w:kern w:val="32"/>
          <w:szCs w:val="26"/>
        </w:rPr>
        <w:t> </w:t>
      </w:r>
      <w:r w:rsidRPr="005F2138">
        <w:rPr>
          <w:rStyle w:val="normaltextrun"/>
          <w:rFonts w:ascii="Lato" w:eastAsiaTheme="majorEastAsia" w:hAnsi="Lato" w:cstheme="majorBidi"/>
          <w:kern w:val="32"/>
          <w:szCs w:val="26"/>
        </w:rPr>
        <w:t>przypadkach innych, niż wskazane w lit. d.</w:t>
      </w:r>
    </w:p>
    <w:sectPr w:rsidR="00D67167" w:rsidRPr="000145FA" w:rsidSect="00990CE8">
      <w:footerReference w:type="default" r:id="rId11"/>
      <w:headerReference w:type="first" r:id="rId12"/>
      <w:pgSz w:w="11906" w:h="16838"/>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D59A" w14:textId="77777777" w:rsidR="0080410E" w:rsidRDefault="0080410E">
      <w:pPr>
        <w:spacing w:after="0" w:line="240" w:lineRule="auto"/>
      </w:pPr>
      <w:r>
        <w:separator/>
      </w:r>
    </w:p>
  </w:endnote>
  <w:endnote w:type="continuationSeparator" w:id="0">
    <w:p w14:paraId="03F78D0C" w14:textId="77777777" w:rsidR="0080410E" w:rsidRDefault="0080410E">
      <w:pPr>
        <w:spacing w:after="0" w:line="240" w:lineRule="auto"/>
      </w:pPr>
      <w:r>
        <w:continuationSeparator/>
      </w:r>
    </w:p>
  </w:endnote>
  <w:endnote w:type="continuationNotice" w:id="1">
    <w:p w14:paraId="2C345F39" w14:textId="77777777" w:rsidR="0080410E" w:rsidRDefault="00804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08964"/>
      <w:docPartObj>
        <w:docPartGallery w:val="Page Numbers (Bottom of Page)"/>
        <w:docPartUnique/>
      </w:docPartObj>
    </w:sdtPr>
    <w:sdtContent>
      <w:p w14:paraId="6F823C5E" w14:textId="777D121A" w:rsidR="00F17046" w:rsidRDefault="00F17046">
        <w:pPr>
          <w:pStyle w:val="Stopka"/>
          <w:jc w:val="center"/>
        </w:pPr>
      </w:p>
      <w:p w14:paraId="33CAA23C" w14:textId="0D0EDB6B" w:rsidR="002B13DD" w:rsidRDefault="00FA33AC" w:rsidP="00B531C6">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D4C2" w14:textId="77777777" w:rsidR="0080410E" w:rsidRDefault="0080410E">
      <w:pPr>
        <w:spacing w:after="0" w:line="240" w:lineRule="auto"/>
      </w:pPr>
      <w:r>
        <w:separator/>
      </w:r>
    </w:p>
  </w:footnote>
  <w:footnote w:type="continuationSeparator" w:id="0">
    <w:p w14:paraId="69C115C8" w14:textId="77777777" w:rsidR="0080410E" w:rsidRDefault="0080410E">
      <w:pPr>
        <w:spacing w:after="0" w:line="240" w:lineRule="auto"/>
      </w:pPr>
      <w:r>
        <w:continuationSeparator/>
      </w:r>
    </w:p>
  </w:footnote>
  <w:footnote w:type="continuationNotice" w:id="1">
    <w:p w14:paraId="1A4CE341" w14:textId="77777777" w:rsidR="0080410E" w:rsidRDefault="00804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74A" w14:textId="706DA4CE" w:rsidR="005617E9" w:rsidRDefault="00896488" w:rsidP="00EC461F">
    <w:pPr>
      <w:pStyle w:val="Nagwek"/>
      <w:jc w:val="center"/>
    </w:pPr>
    <w:r>
      <w:rPr>
        <w:noProof/>
      </w:rPr>
      <w:drawing>
        <wp:inline distT="0" distB="0" distL="0" distR="0" wp14:anchorId="7981DC8E" wp14:editId="1A3300CD">
          <wp:extent cx="5760720" cy="575945"/>
          <wp:effectExtent l="0" t="0" r="0" b="0"/>
          <wp:docPr id="11789489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94025"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p w14:paraId="0513B730" w14:textId="77777777" w:rsidR="00C15A48" w:rsidRPr="001A0C6B" w:rsidRDefault="00C15A48" w:rsidP="00EC461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52"/>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21B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531EAC"/>
    <w:multiLevelType w:val="hybridMultilevel"/>
    <w:tmpl w:val="B590F5C0"/>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507CE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53421"/>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FD2466"/>
    <w:multiLevelType w:val="hybridMultilevel"/>
    <w:tmpl w:val="0D32A1E2"/>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D70476"/>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F161F5"/>
    <w:multiLevelType w:val="hybridMultilevel"/>
    <w:tmpl w:val="989280E2"/>
    <w:lvl w:ilvl="0" w:tplc="FFFFFFFF">
      <w:start w:val="1"/>
      <w:numFmt w:val="lowerLetter"/>
      <w:lvlText w:val="%1."/>
      <w:lvlJc w:val="left"/>
      <w:pPr>
        <w:ind w:left="234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 w15:restartNumberingAfterBreak="0">
    <w:nsid w:val="08F964CB"/>
    <w:multiLevelType w:val="hybridMultilevel"/>
    <w:tmpl w:val="21680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7F005E"/>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53D37"/>
    <w:multiLevelType w:val="multilevel"/>
    <w:tmpl w:val="5D482C74"/>
    <w:styleLink w:val="Biecalista1"/>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Calibri" w:cs="Times New Roman" w:hint="default"/>
      </w:r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1" w15:restartNumberingAfterBreak="0">
    <w:nsid w:val="0E5A3792"/>
    <w:multiLevelType w:val="hybridMultilevel"/>
    <w:tmpl w:val="187E0DB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ED47BEB"/>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6C43B8"/>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3E1E81"/>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5E6C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189598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33804C3"/>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3B01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386490"/>
    <w:multiLevelType w:val="multilevel"/>
    <w:tmpl w:val="82CC46EA"/>
    <w:lvl w:ilvl="0">
      <w:start w:val="5"/>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3E3F89"/>
    <w:multiLevelType w:val="multilevel"/>
    <w:tmpl w:val="66961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4524E9A"/>
    <w:multiLevelType w:val="hybridMultilevel"/>
    <w:tmpl w:val="7910BA88"/>
    <w:lvl w:ilvl="0" w:tplc="727A32C8">
      <w:start w:val="1"/>
      <w:numFmt w:val="decimal"/>
      <w:lvlText w:val="%1."/>
      <w:lvlJc w:val="left"/>
      <w:pPr>
        <w:ind w:left="1020" w:hanging="360"/>
      </w:pPr>
    </w:lvl>
    <w:lvl w:ilvl="1" w:tplc="8A263830">
      <w:start w:val="1"/>
      <w:numFmt w:val="decimal"/>
      <w:lvlText w:val="%2."/>
      <w:lvlJc w:val="left"/>
      <w:pPr>
        <w:ind w:left="1020" w:hanging="360"/>
      </w:pPr>
    </w:lvl>
    <w:lvl w:ilvl="2" w:tplc="1256E2F0">
      <w:start w:val="1"/>
      <w:numFmt w:val="decimal"/>
      <w:lvlText w:val="%3."/>
      <w:lvlJc w:val="left"/>
      <w:pPr>
        <w:ind w:left="1020" w:hanging="360"/>
      </w:pPr>
    </w:lvl>
    <w:lvl w:ilvl="3" w:tplc="9A702B84">
      <w:start w:val="1"/>
      <w:numFmt w:val="decimal"/>
      <w:lvlText w:val="%4."/>
      <w:lvlJc w:val="left"/>
      <w:pPr>
        <w:ind w:left="1020" w:hanging="360"/>
      </w:pPr>
    </w:lvl>
    <w:lvl w:ilvl="4" w:tplc="B2109906">
      <w:start w:val="1"/>
      <w:numFmt w:val="decimal"/>
      <w:lvlText w:val="%5."/>
      <w:lvlJc w:val="left"/>
      <w:pPr>
        <w:ind w:left="1020" w:hanging="360"/>
      </w:pPr>
    </w:lvl>
    <w:lvl w:ilvl="5" w:tplc="1DF83830">
      <w:start w:val="1"/>
      <w:numFmt w:val="decimal"/>
      <w:lvlText w:val="%6."/>
      <w:lvlJc w:val="left"/>
      <w:pPr>
        <w:ind w:left="1020" w:hanging="360"/>
      </w:pPr>
    </w:lvl>
    <w:lvl w:ilvl="6" w:tplc="DF4CF1D6">
      <w:start w:val="1"/>
      <w:numFmt w:val="decimal"/>
      <w:lvlText w:val="%7."/>
      <w:lvlJc w:val="left"/>
      <w:pPr>
        <w:ind w:left="1020" w:hanging="360"/>
      </w:pPr>
    </w:lvl>
    <w:lvl w:ilvl="7" w:tplc="66BE2776">
      <w:start w:val="1"/>
      <w:numFmt w:val="decimal"/>
      <w:lvlText w:val="%8."/>
      <w:lvlJc w:val="left"/>
      <w:pPr>
        <w:ind w:left="1020" w:hanging="360"/>
      </w:pPr>
    </w:lvl>
    <w:lvl w:ilvl="8" w:tplc="23CED702">
      <w:start w:val="1"/>
      <w:numFmt w:val="decimal"/>
      <w:lvlText w:val="%9."/>
      <w:lvlJc w:val="left"/>
      <w:pPr>
        <w:ind w:left="1020" w:hanging="360"/>
      </w:pPr>
    </w:lvl>
  </w:abstractNum>
  <w:abstractNum w:abstractNumId="22" w15:restartNumberingAfterBreak="0">
    <w:nsid w:val="148A1C96"/>
    <w:multiLevelType w:val="hybridMultilevel"/>
    <w:tmpl w:val="4EF436A8"/>
    <w:lvl w:ilvl="0" w:tplc="FD4CFD9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04457"/>
    <w:multiLevelType w:val="hybridMultilevel"/>
    <w:tmpl w:val="A790D5D8"/>
    <w:lvl w:ilvl="0" w:tplc="786E77B6">
      <w:start w:val="1"/>
      <w:numFmt w:val="lowerRoman"/>
      <w:lvlText w:val="%1."/>
      <w:lvlJc w:val="right"/>
      <w:pPr>
        <w:ind w:left="2160" w:hanging="180"/>
      </w:pPr>
      <w:rPr>
        <w:rFonts w:hint="default"/>
      </w:rPr>
    </w:lvl>
    <w:lvl w:ilvl="1" w:tplc="4392A9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5B7014"/>
    <w:multiLevelType w:val="multilevel"/>
    <w:tmpl w:val="E70899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615905"/>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1F4725"/>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BF120F3"/>
    <w:multiLevelType w:val="hybridMultilevel"/>
    <w:tmpl w:val="C682FA1E"/>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96E0196">
      <w:start w:val="7"/>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C1459CF"/>
    <w:multiLevelType w:val="hybridMultilevel"/>
    <w:tmpl w:val="48F8C358"/>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2D28FC"/>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C897582"/>
    <w:multiLevelType w:val="hybridMultilevel"/>
    <w:tmpl w:val="92F8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B3784E"/>
    <w:multiLevelType w:val="hybridMultilevel"/>
    <w:tmpl w:val="213A10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B7B98"/>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2B6B59"/>
    <w:multiLevelType w:val="multilevel"/>
    <w:tmpl w:val="1ADEFB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F2D32AD"/>
    <w:multiLevelType w:val="hybridMultilevel"/>
    <w:tmpl w:val="86F264DE"/>
    <w:lvl w:ilvl="0" w:tplc="DD34ADF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342BB1"/>
    <w:multiLevelType w:val="multilevel"/>
    <w:tmpl w:val="4F1EB9D6"/>
    <w:lvl w:ilvl="0">
      <w:start w:val="1"/>
      <w:numFmt w:val="decimal"/>
      <w:lvlText w:val="%1."/>
      <w:lvlJc w:val="left"/>
      <w:pPr>
        <w:ind w:left="360" w:hanging="360"/>
      </w:pPr>
      <w:rPr>
        <w:rFonts w:ascii="Arial" w:eastAsia="Calibri" w:hAnsi="Arial"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1AE4E4D"/>
    <w:multiLevelType w:val="hybridMultilevel"/>
    <w:tmpl w:val="69520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FA2D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2136E2C"/>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3F656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C54E53"/>
    <w:multiLevelType w:val="hybridMultilevel"/>
    <w:tmpl w:val="0B74A0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5B41DC9"/>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F82FFB"/>
    <w:multiLevelType w:val="hybridMultilevel"/>
    <w:tmpl w:val="4356A4F0"/>
    <w:lvl w:ilvl="0" w:tplc="0415000F">
      <w:start w:val="1"/>
      <w:numFmt w:val="decimal"/>
      <w:lvlText w:val="%1."/>
      <w:lvlJc w:val="left"/>
      <w:pPr>
        <w:ind w:left="720" w:hanging="360"/>
      </w:pPr>
    </w:lvl>
    <w:lvl w:ilvl="1" w:tplc="3DE03F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354EE6"/>
    <w:multiLevelType w:val="hybridMultilevel"/>
    <w:tmpl w:val="5D18CB4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7617EED"/>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7AA4C87"/>
    <w:multiLevelType w:val="hybridMultilevel"/>
    <w:tmpl w:val="2E56E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5A164C"/>
    <w:multiLevelType w:val="hybridMultilevel"/>
    <w:tmpl w:val="6DD2AB5A"/>
    <w:lvl w:ilvl="0" w:tplc="4EE87202">
      <w:start w:val="1"/>
      <w:numFmt w:val="lowerLetter"/>
      <w:lvlText w:val="%1)"/>
      <w:lvlJc w:val="left"/>
      <w:pPr>
        <w:ind w:left="1080" w:hanging="360"/>
      </w:pPr>
      <w:rPr>
        <w:rFonts w:cstheme="majorBidi" w:hint="default"/>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A9008B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2DD037DC"/>
    <w:multiLevelType w:val="hybridMultilevel"/>
    <w:tmpl w:val="FCDAC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DEF6BE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E510F72"/>
    <w:multiLevelType w:val="multilevel"/>
    <w:tmpl w:val="EBD85094"/>
    <w:lvl w:ilvl="0">
      <w:start w:val="4"/>
      <w:numFmt w:val="decimal"/>
      <w:lvlText w:val="%1"/>
      <w:lvlJc w:val="left"/>
      <w:pPr>
        <w:ind w:left="530" w:hanging="530"/>
      </w:pPr>
      <w:rPr>
        <w:rFonts w:hint="default"/>
      </w:rPr>
    </w:lvl>
    <w:lvl w:ilvl="1">
      <w:start w:val="7"/>
      <w:numFmt w:val="decimal"/>
      <w:lvlText w:val="%1.%2"/>
      <w:lvlJc w:val="left"/>
      <w:pPr>
        <w:ind w:left="1239" w:hanging="53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2EE1254D"/>
    <w:multiLevelType w:val="hybridMultilevel"/>
    <w:tmpl w:val="F13AF63A"/>
    <w:lvl w:ilvl="0" w:tplc="5F743FE8">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302D79D1"/>
    <w:multiLevelType w:val="hybridMultilevel"/>
    <w:tmpl w:val="0922DC74"/>
    <w:lvl w:ilvl="0" w:tplc="49A21C9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185666F"/>
    <w:multiLevelType w:val="hybridMultilevel"/>
    <w:tmpl w:val="95CE963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337E3E"/>
    <w:multiLevelType w:val="hybridMultilevel"/>
    <w:tmpl w:val="0922DC74"/>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18C0E9D6">
      <w:start w:val="1"/>
      <w:numFmt w:val="lowerLetter"/>
      <w:lvlText w:val="%3)"/>
      <w:lvlJc w:val="left"/>
      <w:pPr>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2DD72AB"/>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2F5319F"/>
    <w:multiLevelType w:val="hybridMultilevel"/>
    <w:tmpl w:val="AC4EA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F3270B"/>
    <w:multiLevelType w:val="hybridMultilevel"/>
    <w:tmpl w:val="22D25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4527C3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8923AE"/>
    <w:multiLevelType w:val="hybridMultilevel"/>
    <w:tmpl w:val="FD847216"/>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35314F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5CA397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3707368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79A5A39"/>
    <w:multiLevelType w:val="hybridMultilevel"/>
    <w:tmpl w:val="96F48530"/>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7FE51B5"/>
    <w:multiLevelType w:val="hybridMultilevel"/>
    <w:tmpl w:val="95CE9632"/>
    <w:lvl w:ilvl="0" w:tplc="786E77B6">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8EB5E4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90A731B"/>
    <w:multiLevelType w:val="multilevel"/>
    <w:tmpl w:val="B3FC59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BB12C2A"/>
    <w:multiLevelType w:val="hybridMultilevel"/>
    <w:tmpl w:val="16BED79A"/>
    <w:lvl w:ilvl="0" w:tplc="B156C8EE">
      <w:start w:val="1"/>
      <w:numFmt w:val="decimal"/>
      <w:lvlText w:val="%1."/>
      <w:lvlJc w:val="left"/>
      <w:pPr>
        <w:ind w:left="1020" w:hanging="360"/>
      </w:pPr>
    </w:lvl>
    <w:lvl w:ilvl="1" w:tplc="C604156E">
      <w:start w:val="1"/>
      <w:numFmt w:val="decimal"/>
      <w:lvlText w:val="%2."/>
      <w:lvlJc w:val="left"/>
      <w:pPr>
        <w:ind w:left="1020" w:hanging="360"/>
      </w:pPr>
    </w:lvl>
    <w:lvl w:ilvl="2" w:tplc="92E02C28">
      <w:start w:val="1"/>
      <w:numFmt w:val="decimal"/>
      <w:lvlText w:val="%3."/>
      <w:lvlJc w:val="left"/>
      <w:pPr>
        <w:ind w:left="1020" w:hanging="360"/>
      </w:pPr>
    </w:lvl>
    <w:lvl w:ilvl="3" w:tplc="4536739A">
      <w:start w:val="1"/>
      <w:numFmt w:val="decimal"/>
      <w:lvlText w:val="%4."/>
      <w:lvlJc w:val="left"/>
      <w:pPr>
        <w:ind w:left="1020" w:hanging="360"/>
      </w:pPr>
    </w:lvl>
    <w:lvl w:ilvl="4" w:tplc="70A87CBC">
      <w:start w:val="1"/>
      <w:numFmt w:val="decimal"/>
      <w:lvlText w:val="%5."/>
      <w:lvlJc w:val="left"/>
      <w:pPr>
        <w:ind w:left="1020" w:hanging="360"/>
      </w:pPr>
    </w:lvl>
    <w:lvl w:ilvl="5" w:tplc="9ED86D34">
      <w:start w:val="1"/>
      <w:numFmt w:val="decimal"/>
      <w:lvlText w:val="%6."/>
      <w:lvlJc w:val="left"/>
      <w:pPr>
        <w:ind w:left="1020" w:hanging="360"/>
      </w:pPr>
    </w:lvl>
    <w:lvl w:ilvl="6" w:tplc="E7A2CE84">
      <w:start w:val="1"/>
      <w:numFmt w:val="decimal"/>
      <w:lvlText w:val="%7."/>
      <w:lvlJc w:val="left"/>
      <w:pPr>
        <w:ind w:left="1020" w:hanging="360"/>
      </w:pPr>
    </w:lvl>
    <w:lvl w:ilvl="7" w:tplc="1FF0ACDC">
      <w:start w:val="1"/>
      <w:numFmt w:val="decimal"/>
      <w:lvlText w:val="%8."/>
      <w:lvlJc w:val="left"/>
      <w:pPr>
        <w:ind w:left="1020" w:hanging="360"/>
      </w:pPr>
    </w:lvl>
    <w:lvl w:ilvl="8" w:tplc="EFA8984E">
      <w:start w:val="1"/>
      <w:numFmt w:val="decimal"/>
      <w:lvlText w:val="%9."/>
      <w:lvlJc w:val="left"/>
      <w:pPr>
        <w:ind w:left="1020" w:hanging="360"/>
      </w:pPr>
    </w:lvl>
  </w:abstractNum>
  <w:abstractNum w:abstractNumId="69" w15:restartNumberingAfterBreak="0">
    <w:nsid w:val="3C554353"/>
    <w:multiLevelType w:val="hybridMultilevel"/>
    <w:tmpl w:val="1D64EE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D385CB4"/>
    <w:multiLevelType w:val="hybridMultilevel"/>
    <w:tmpl w:val="1CECE182"/>
    <w:lvl w:ilvl="0" w:tplc="2356F740">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3DAA6349"/>
    <w:multiLevelType w:val="hybridMultilevel"/>
    <w:tmpl w:val="83EC85E0"/>
    <w:lvl w:ilvl="0" w:tplc="5AACD30C">
      <w:start w:val="1"/>
      <w:numFmt w:val="decimal"/>
      <w:lvlText w:val="%1."/>
      <w:lvlJc w:val="left"/>
      <w:pPr>
        <w:ind w:left="1020" w:hanging="360"/>
      </w:pPr>
    </w:lvl>
    <w:lvl w:ilvl="1" w:tplc="F12020E8">
      <w:start w:val="1"/>
      <w:numFmt w:val="decimal"/>
      <w:lvlText w:val="%2."/>
      <w:lvlJc w:val="left"/>
      <w:pPr>
        <w:ind w:left="1020" w:hanging="360"/>
      </w:pPr>
    </w:lvl>
    <w:lvl w:ilvl="2" w:tplc="E89428F2">
      <w:start w:val="1"/>
      <w:numFmt w:val="decimal"/>
      <w:lvlText w:val="%3."/>
      <w:lvlJc w:val="left"/>
      <w:pPr>
        <w:ind w:left="1020" w:hanging="360"/>
      </w:pPr>
    </w:lvl>
    <w:lvl w:ilvl="3" w:tplc="19F4033E">
      <w:start w:val="1"/>
      <w:numFmt w:val="decimal"/>
      <w:lvlText w:val="%4."/>
      <w:lvlJc w:val="left"/>
      <w:pPr>
        <w:ind w:left="1020" w:hanging="360"/>
      </w:pPr>
    </w:lvl>
    <w:lvl w:ilvl="4" w:tplc="D30AE46E">
      <w:start w:val="1"/>
      <w:numFmt w:val="decimal"/>
      <w:lvlText w:val="%5."/>
      <w:lvlJc w:val="left"/>
      <w:pPr>
        <w:ind w:left="1020" w:hanging="360"/>
      </w:pPr>
    </w:lvl>
    <w:lvl w:ilvl="5" w:tplc="02061DBC">
      <w:start w:val="1"/>
      <w:numFmt w:val="decimal"/>
      <w:lvlText w:val="%6."/>
      <w:lvlJc w:val="left"/>
      <w:pPr>
        <w:ind w:left="1020" w:hanging="360"/>
      </w:pPr>
    </w:lvl>
    <w:lvl w:ilvl="6" w:tplc="12BC27D6">
      <w:start w:val="1"/>
      <w:numFmt w:val="decimal"/>
      <w:lvlText w:val="%7."/>
      <w:lvlJc w:val="left"/>
      <w:pPr>
        <w:ind w:left="1020" w:hanging="360"/>
      </w:pPr>
    </w:lvl>
    <w:lvl w:ilvl="7" w:tplc="9DBE1EC4">
      <w:start w:val="1"/>
      <w:numFmt w:val="decimal"/>
      <w:lvlText w:val="%8."/>
      <w:lvlJc w:val="left"/>
      <w:pPr>
        <w:ind w:left="1020" w:hanging="360"/>
      </w:pPr>
    </w:lvl>
    <w:lvl w:ilvl="8" w:tplc="9266EB4E">
      <w:start w:val="1"/>
      <w:numFmt w:val="decimal"/>
      <w:lvlText w:val="%9."/>
      <w:lvlJc w:val="left"/>
      <w:pPr>
        <w:ind w:left="1020" w:hanging="360"/>
      </w:pPr>
    </w:lvl>
  </w:abstractNum>
  <w:abstractNum w:abstractNumId="72" w15:restartNumberingAfterBreak="0">
    <w:nsid w:val="3DB039AC"/>
    <w:multiLevelType w:val="hybridMultilevel"/>
    <w:tmpl w:val="50E27EE4"/>
    <w:lvl w:ilvl="0" w:tplc="7C184B76">
      <w:start w:val="1"/>
      <w:numFmt w:val="decimal"/>
      <w:lvlText w:val="%1."/>
      <w:lvlJc w:val="left"/>
      <w:pPr>
        <w:ind w:left="1020" w:hanging="360"/>
      </w:pPr>
    </w:lvl>
    <w:lvl w:ilvl="1" w:tplc="842ABC32">
      <w:start w:val="1"/>
      <w:numFmt w:val="decimal"/>
      <w:lvlText w:val="%2."/>
      <w:lvlJc w:val="left"/>
      <w:pPr>
        <w:ind w:left="1020" w:hanging="360"/>
      </w:pPr>
    </w:lvl>
    <w:lvl w:ilvl="2" w:tplc="40A0CB8C">
      <w:start w:val="1"/>
      <w:numFmt w:val="decimal"/>
      <w:lvlText w:val="%3."/>
      <w:lvlJc w:val="left"/>
      <w:pPr>
        <w:ind w:left="1020" w:hanging="360"/>
      </w:pPr>
    </w:lvl>
    <w:lvl w:ilvl="3" w:tplc="67908CB8">
      <w:start w:val="1"/>
      <w:numFmt w:val="decimal"/>
      <w:lvlText w:val="%4."/>
      <w:lvlJc w:val="left"/>
      <w:pPr>
        <w:ind w:left="1020" w:hanging="360"/>
      </w:pPr>
    </w:lvl>
    <w:lvl w:ilvl="4" w:tplc="E8F46B96">
      <w:start w:val="1"/>
      <w:numFmt w:val="decimal"/>
      <w:lvlText w:val="%5."/>
      <w:lvlJc w:val="left"/>
      <w:pPr>
        <w:ind w:left="1020" w:hanging="360"/>
      </w:pPr>
    </w:lvl>
    <w:lvl w:ilvl="5" w:tplc="DB2814EC">
      <w:start w:val="1"/>
      <w:numFmt w:val="decimal"/>
      <w:lvlText w:val="%6."/>
      <w:lvlJc w:val="left"/>
      <w:pPr>
        <w:ind w:left="1020" w:hanging="360"/>
      </w:pPr>
    </w:lvl>
    <w:lvl w:ilvl="6" w:tplc="214A7860">
      <w:start w:val="1"/>
      <w:numFmt w:val="decimal"/>
      <w:lvlText w:val="%7."/>
      <w:lvlJc w:val="left"/>
      <w:pPr>
        <w:ind w:left="1020" w:hanging="360"/>
      </w:pPr>
    </w:lvl>
    <w:lvl w:ilvl="7" w:tplc="91BC3D82">
      <w:start w:val="1"/>
      <w:numFmt w:val="decimal"/>
      <w:lvlText w:val="%8."/>
      <w:lvlJc w:val="left"/>
      <w:pPr>
        <w:ind w:left="1020" w:hanging="360"/>
      </w:pPr>
    </w:lvl>
    <w:lvl w:ilvl="8" w:tplc="F6FCA5CE">
      <w:start w:val="1"/>
      <w:numFmt w:val="decimal"/>
      <w:lvlText w:val="%9."/>
      <w:lvlJc w:val="left"/>
      <w:pPr>
        <w:ind w:left="1020" w:hanging="360"/>
      </w:pPr>
    </w:lvl>
  </w:abstractNum>
  <w:abstractNum w:abstractNumId="73" w15:restartNumberingAfterBreak="0">
    <w:nsid w:val="3E0E5BC4"/>
    <w:multiLevelType w:val="hybridMultilevel"/>
    <w:tmpl w:val="D8B06560"/>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E3716B8"/>
    <w:multiLevelType w:val="multilevel"/>
    <w:tmpl w:val="4F1EB9D6"/>
    <w:lvl w:ilvl="0">
      <w:start w:val="1"/>
      <w:numFmt w:val="decimal"/>
      <w:lvlText w:val="%1."/>
      <w:lvlJc w:val="left"/>
      <w:pPr>
        <w:ind w:left="644" w:hanging="360"/>
      </w:pPr>
      <w:rPr>
        <w:rFonts w:ascii="Arial" w:eastAsia="Calibri" w:hAnsi="Arial"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42A315A"/>
    <w:multiLevelType w:val="hybridMultilevel"/>
    <w:tmpl w:val="8CDE89B2"/>
    <w:lvl w:ilvl="0" w:tplc="6D3874D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CE468C"/>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5E06CF1"/>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6766825"/>
    <w:multiLevelType w:val="multilevel"/>
    <w:tmpl w:val="5B1A9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6B14788"/>
    <w:multiLevelType w:val="hybridMultilevel"/>
    <w:tmpl w:val="BEE27B8E"/>
    <w:lvl w:ilvl="0" w:tplc="545A9886">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6D47EE8"/>
    <w:multiLevelType w:val="multilevel"/>
    <w:tmpl w:val="4F1EB9D6"/>
    <w:lvl w:ilvl="0">
      <w:start w:val="1"/>
      <w:numFmt w:val="decimal"/>
      <w:lvlText w:val="%1."/>
      <w:lvlJc w:val="left"/>
      <w:pPr>
        <w:ind w:left="644" w:hanging="360"/>
      </w:pPr>
      <w:rPr>
        <w:rFonts w:ascii="Arial" w:eastAsia="Calibri" w:hAnsi="Arial"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80771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82A289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847199F"/>
    <w:multiLevelType w:val="hybridMultilevel"/>
    <w:tmpl w:val="546408FA"/>
    <w:lvl w:ilvl="0" w:tplc="F6AEFD66">
      <w:start w:val="1"/>
      <w:numFmt w:val="lowerRoman"/>
      <w:lvlText w:val="%1."/>
      <w:lvlJc w:val="right"/>
      <w:pPr>
        <w:ind w:left="1260" w:hanging="180"/>
      </w:pPr>
      <w:rPr>
        <w:rFonts w:hint="default"/>
      </w:rPr>
    </w:lvl>
    <w:lvl w:ilvl="1" w:tplc="04150019">
      <w:start w:val="1"/>
      <w:numFmt w:val="lowerLetter"/>
      <w:lvlText w:val="%2."/>
      <w:lvlJc w:val="left"/>
      <w:pPr>
        <w:ind w:left="1440" w:hanging="360"/>
      </w:pPr>
    </w:lvl>
    <w:lvl w:ilvl="2" w:tplc="786E77B6">
      <w:start w:val="1"/>
      <w:numFmt w:val="lowerRoman"/>
      <w:lvlText w:val="%3."/>
      <w:lvlJc w:val="right"/>
      <w:pPr>
        <w:ind w:left="2160" w:hanging="180"/>
      </w:pPr>
      <w:rPr>
        <w:rFonts w:hint="default"/>
      </w:rPr>
    </w:lvl>
    <w:lvl w:ilvl="3" w:tplc="B1325670">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8E391C"/>
    <w:multiLevelType w:val="hybridMultilevel"/>
    <w:tmpl w:val="86F85D22"/>
    <w:lvl w:ilvl="0" w:tplc="6F6279C0">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98364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9CD0EA4"/>
    <w:multiLevelType w:val="multilevel"/>
    <w:tmpl w:val="D180CF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A4B7652"/>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4B2045D0"/>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4D394FB6"/>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D69031F"/>
    <w:multiLevelType w:val="multilevel"/>
    <w:tmpl w:val="22244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FE14076"/>
    <w:multiLevelType w:val="hybridMultilevel"/>
    <w:tmpl w:val="22D2532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2" w15:restartNumberingAfterBreak="0">
    <w:nsid w:val="4FEC4A1A"/>
    <w:multiLevelType w:val="hybridMultilevel"/>
    <w:tmpl w:val="533212AC"/>
    <w:lvl w:ilvl="0" w:tplc="CE64843A">
      <w:start w:val="1"/>
      <w:numFmt w:val="decimal"/>
      <w:lvlText w:val="%1."/>
      <w:lvlJc w:val="left"/>
      <w:pPr>
        <w:ind w:left="720" w:hanging="360"/>
      </w:pPr>
      <w:rPr>
        <w:b w:val="0"/>
        <w:bCs w:val="0"/>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0EA67B1"/>
    <w:multiLevelType w:val="hybridMultilevel"/>
    <w:tmpl w:val="D24AEC38"/>
    <w:lvl w:ilvl="0" w:tplc="50BC9B0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516A15"/>
    <w:multiLevelType w:val="hybridMultilevel"/>
    <w:tmpl w:val="EC5C09B0"/>
    <w:lvl w:ilvl="0" w:tplc="841A632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27C130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2CD4D9E"/>
    <w:multiLevelType w:val="hybridMultilevel"/>
    <w:tmpl w:val="2540780E"/>
    <w:lvl w:ilvl="0" w:tplc="214A81F0">
      <w:start w:val="1"/>
      <w:numFmt w:val="lowerRoman"/>
      <w:lvlText w:val="%1."/>
      <w:lvlJc w:val="left"/>
      <w:pPr>
        <w:ind w:left="1440" w:hanging="720"/>
      </w:pPr>
      <w:rPr>
        <w:rFonts w:ascii="Arial" w:eastAsiaTheme="maj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53925B34"/>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53A6567A"/>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77A336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7E10989"/>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856331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A652A74"/>
    <w:multiLevelType w:val="hybridMultilevel"/>
    <w:tmpl w:val="D8B06560"/>
    <w:lvl w:ilvl="0" w:tplc="FFFFFFFF">
      <w:start w:val="1"/>
      <w:numFmt w:val="decimal"/>
      <w:lvlText w:val="%1."/>
      <w:lvlJc w:val="left"/>
      <w:pPr>
        <w:ind w:left="785" w:hanging="360"/>
      </w:pPr>
      <w:rPr>
        <w:b w:val="0"/>
        <w:bCs w:val="0"/>
        <w:i w:val="0"/>
        <w:i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3" w15:restartNumberingAfterBreak="0">
    <w:nsid w:val="5B853D8D"/>
    <w:multiLevelType w:val="multilevel"/>
    <w:tmpl w:val="5B1A9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C311AAB"/>
    <w:multiLevelType w:val="multilevel"/>
    <w:tmpl w:val="B4F6D04E"/>
    <w:lvl w:ilvl="0">
      <w:start w:val="8"/>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5" w15:restartNumberingAfterBreak="0">
    <w:nsid w:val="5DAB2848"/>
    <w:multiLevelType w:val="hybridMultilevel"/>
    <w:tmpl w:val="98B6E9EA"/>
    <w:lvl w:ilvl="0" w:tplc="39304B92">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E721535"/>
    <w:multiLevelType w:val="multilevel"/>
    <w:tmpl w:val="7B5849FA"/>
    <w:lvl w:ilvl="0">
      <w:start w:val="4"/>
      <w:numFmt w:val="decimal"/>
      <w:lvlText w:val="%1"/>
      <w:lvlJc w:val="left"/>
      <w:pPr>
        <w:ind w:left="360" w:hanging="360"/>
      </w:pPr>
      <w:rPr>
        <w:rFonts w:eastAsia="Calibri" w:cs="Arial" w:hint="default"/>
      </w:rPr>
    </w:lvl>
    <w:lvl w:ilvl="1">
      <w:start w:val="6"/>
      <w:numFmt w:val="decimal"/>
      <w:lvlText w:val="%1.%2"/>
      <w:lvlJc w:val="left"/>
      <w:pPr>
        <w:ind w:left="720" w:hanging="360"/>
      </w:pPr>
      <w:rPr>
        <w:rFonts w:eastAsia="Calibri" w:cs="Arial" w:hint="default"/>
      </w:rPr>
    </w:lvl>
    <w:lvl w:ilvl="2">
      <w:start w:val="1"/>
      <w:numFmt w:val="decimal"/>
      <w:lvlText w:val="%1.%2.%3"/>
      <w:lvlJc w:val="left"/>
      <w:pPr>
        <w:ind w:left="1440" w:hanging="720"/>
      </w:pPr>
      <w:rPr>
        <w:rFonts w:eastAsia="Calibri" w:cs="Arial" w:hint="default"/>
      </w:rPr>
    </w:lvl>
    <w:lvl w:ilvl="3">
      <w:start w:val="1"/>
      <w:numFmt w:val="decimal"/>
      <w:lvlText w:val="%1.%2.%3.%4"/>
      <w:lvlJc w:val="left"/>
      <w:pPr>
        <w:ind w:left="2160" w:hanging="1080"/>
      </w:pPr>
      <w:rPr>
        <w:rFonts w:eastAsia="Calibri" w:cs="Arial" w:hint="default"/>
      </w:rPr>
    </w:lvl>
    <w:lvl w:ilvl="4">
      <w:start w:val="1"/>
      <w:numFmt w:val="decimal"/>
      <w:lvlText w:val="%1.%2.%3.%4.%5"/>
      <w:lvlJc w:val="left"/>
      <w:pPr>
        <w:ind w:left="2520" w:hanging="1080"/>
      </w:pPr>
      <w:rPr>
        <w:rFonts w:eastAsia="Calibri" w:cs="Arial" w:hint="default"/>
      </w:rPr>
    </w:lvl>
    <w:lvl w:ilvl="5">
      <w:start w:val="1"/>
      <w:numFmt w:val="decimal"/>
      <w:lvlText w:val="%1.%2.%3.%4.%5.%6"/>
      <w:lvlJc w:val="left"/>
      <w:pPr>
        <w:ind w:left="3240" w:hanging="1440"/>
      </w:pPr>
      <w:rPr>
        <w:rFonts w:eastAsia="Calibri" w:cs="Arial" w:hint="default"/>
      </w:rPr>
    </w:lvl>
    <w:lvl w:ilvl="6">
      <w:start w:val="1"/>
      <w:numFmt w:val="decimal"/>
      <w:lvlText w:val="%1.%2.%3.%4.%5.%6.%7"/>
      <w:lvlJc w:val="left"/>
      <w:pPr>
        <w:ind w:left="3600" w:hanging="1440"/>
      </w:pPr>
      <w:rPr>
        <w:rFonts w:eastAsia="Calibri" w:cs="Arial" w:hint="default"/>
      </w:rPr>
    </w:lvl>
    <w:lvl w:ilvl="7">
      <w:start w:val="1"/>
      <w:numFmt w:val="decimal"/>
      <w:lvlText w:val="%1.%2.%3.%4.%5.%6.%7.%8"/>
      <w:lvlJc w:val="left"/>
      <w:pPr>
        <w:ind w:left="4320" w:hanging="1800"/>
      </w:pPr>
      <w:rPr>
        <w:rFonts w:eastAsia="Calibri" w:cs="Arial" w:hint="default"/>
      </w:rPr>
    </w:lvl>
    <w:lvl w:ilvl="8">
      <w:start w:val="1"/>
      <w:numFmt w:val="decimal"/>
      <w:lvlText w:val="%1.%2.%3.%4.%5.%6.%7.%8.%9"/>
      <w:lvlJc w:val="left"/>
      <w:pPr>
        <w:ind w:left="4680" w:hanging="1800"/>
      </w:pPr>
      <w:rPr>
        <w:rFonts w:eastAsia="Calibri" w:cs="Arial" w:hint="default"/>
      </w:rPr>
    </w:lvl>
  </w:abstractNum>
  <w:abstractNum w:abstractNumId="107" w15:restartNumberingAfterBreak="0">
    <w:nsid w:val="5ED01C9C"/>
    <w:multiLevelType w:val="hybridMultilevel"/>
    <w:tmpl w:val="A3E65A4C"/>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5F0224B7"/>
    <w:multiLevelType w:val="multilevel"/>
    <w:tmpl w:val="95B2522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F4B1443"/>
    <w:multiLevelType w:val="hybridMultilevel"/>
    <w:tmpl w:val="FCDACB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1374A61"/>
    <w:multiLevelType w:val="hybridMultilevel"/>
    <w:tmpl w:val="84961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45861FD"/>
    <w:multiLevelType w:val="hybridMultilevel"/>
    <w:tmpl w:val="FCDAC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582756E"/>
    <w:multiLevelType w:val="hybridMultilevel"/>
    <w:tmpl w:val="11E8606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AA1C5F8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B93AC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6E93ECF"/>
    <w:multiLevelType w:val="hybridMultilevel"/>
    <w:tmpl w:val="0E620FC4"/>
    <w:lvl w:ilvl="0" w:tplc="0415000F">
      <w:start w:val="1"/>
      <w:numFmt w:val="decimal"/>
      <w:lvlText w:val="%1."/>
      <w:lvlJc w:val="left"/>
      <w:pPr>
        <w:ind w:left="927" w:hanging="360"/>
      </w:pPr>
      <w:rPr>
        <w:b w:val="0"/>
        <w:bCs w:val="0"/>
        <w:i w:val="0"/>
        <w:iCs w:val="0"/>
      </w:rPr>
    </w:lvl>
    <w:lvl w:ilvl="1" w:tplc="B9904D58">
      <w:start w:val="1"/>
      <w:numFmt w:val="lowerLetter"/>
      <w:lvlText w:val="%2."/>
      <w:lvlJc w:val="left"/>
      <w:pPr>
        <w:ind w:left="1636" w:hanging="360"/>
      </w:pPr>
      <w:rPr>
        <w:color w:val="auto"/>
      </w:rPr>
    </w:lvl>
    <w:lvl w:ilvl="2" w:tplc="FFFFFFFF">
      <w:start w:val="1"/>
      <w:numFmt w:val="lowerRoman"/>
      <w:lvlText w:val="%3."/>
      <w:lvlJc w:val="right"/>
      <w:pPr>
        <w:ind w:left="2160" w:hanging="180"/>
      </w:pPr>
    </w:lvl>
    <w:lvl w:ilvl="3" w:tplc="63B82A88">
      <w:start w:val="1"/>
      <w:numFmt w:val="decimal"/>
      <w:lvlText w:val="%4)"/>
      <w:lvlJc w:val="left"/>
      <w:pPr>
        <w:ind w:left="3230" w:hanging="71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A836262"/>
    <w:multiLevelType w:val="multilevel"/>
    <w:tmpl w:val="3D32F446"/>
    <w:lvl w:ilvl="0">
      <w:start w:val="4"/>
      <w:numFmt w:val="decimal"/>
      <w:lvlText w:val="%1."/>
      <w:lvlJc w:val="left"/>
      <w:pPr>
        <w:ind w:left="360" w:hanging="360"/>
      </w:pPr>
      <w:rPr>
        <w:rFonts w:ascii="Arial" w:eastAsia="Calibri" w:hAnsi="Arial" w:cs="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C001368"/>
    <w:multiLevelType w:val="hybridMultilevel"/>
    <w:tmpl w:val="D8B06560"/>
    <w:lvl w:ilvl="0" w:tplc="7CC06D0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D936A01"/>
    <w:multiLevelType w:val="multilevel"/>
    <w:tmpl w:val="0B0E97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6F6677A2"/>
    <w:multiLevelType w:val="hybridMultilevel"/>
    <w:tmpl w:val="10529530"/>
    <w:lvl w:ilvl="0" w:tplc="041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0040723"/>
    <w:multiLevelType w:val="multilevel"/>
    <w:tmpl w:val="9764485E"/>
    <w:lvl w:ilvl="0">
      <w:start w:val="1"/>
      <w:numFmt w:val="decimal"/>
      <w:lvlText w:val="%1."/>
      <w:lvlJc w:val="left"/>
      <w:pPr>
        <w:ind w:left="644" w:hanging="360"/>
      </w:pPr>
      <w:rPr>
        <w:rFonts w:ascii="Arial" w:eastAsia="Calibri" w:hAnsi="Arial" w:cs="Times New Roman"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0830E7E"/>
    <w:multiLevelType w:val="hybridMultilevel"/>
    <w:tmpl w:val="2556C87E"/>
    <w:lvl w:ilvl="0" w:tplc="2D72B48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71755941"/>
    <w:multiLevelType w:val="multilevel"/>
    <w:tmpl w:val="4F1EB9D6"/>
    <w:lvl w:ilvl="0">
      <w:start w:val="1"/>
      <w:numFmt w:val="decimal"/>
      <w:lvlText w:val="%1."/>
      <w:lvlJc w:val="left"/>
      <w:pPr>
        <w:ind w:left="360" w:hanging="360"/>
      </w:pPr>
      <w:rPr>
        <w:rFonts w:ascii="Arial" w:eastAsia="Calibri" w:hAnsi="Arial"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36073AD"/>
    <w:multiLevelType w:val="multilevel"/>
    <w:tmpl w:val="1B026B7C"/>
    <w:lvl w:ilvl="0">
      <w:start w:val="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73902BD1"/>
    <w:multiLevelType w:val="hybridMultilevel"/>
    <w:tmpl w:val="EB3E5392"/>
    <w:lvl w:ilvl="0" w:tplc="D4487500">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5C49B7"/>
    <w:multiLevelType w:val="hybridMultilevel"/>
    <w:tmpl w:val="ACB08D18"/>
    <w:lvl w:ilvl="0" w:tplc="04150019">
      <w:start w:val="1"/>
      <w:numFmt w:val="lowerLetter"/>
      <w:lvlText w:val="%1."/>
      <w:lvlJc w:val="left"/>
      <w:pPr>
        <w:ind w:left="144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59A7210"/>
    <w:multiLevelType w:val="hybridMultilevel"/>
    <w:tmpl w:val="45D42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5D23C43"/>
    <w:multiLevelType w:val="multilevel"/>
    <w:tmpl w:val="3EB29894"/>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76351E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6795C7E"/>
    <w:multiLevelType w:val="hybridMultilevel"/>
    <w:tmpl w:val="44BEB4BC"/>
    <w:lvl w:ilvl="0" w:tplc="285A70D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AD0C74"/>
    <w:multiLevelType w:val="hybridMultilevel"/>
    <w:tmpl w:val="CAA234C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00611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85D5476"/>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78EB0EE0"/>
    <w:multiLevelType w:val="hybridMultilevel"/>
    <w:tmpl w:val="30CEA8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60865D80">
      <w:start w:val="8"/>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BBD66C6"/>
    <w:multiLevelType w:val="hybridMultilevel"/>
    <w:tmpl w:val="5B7869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4" w15:restartNumberingAfterBreak="0">
    <w:nsid w:val="7C035552"/>
    <w:multiLevelType w:val="multilevel"/>
    <w:tmpl w:val="CDAE25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C4F240D"/>
    <w:multiLevelType w:val="hybridMultilevel"/>
    <w:tmpl w:val="88B63E38"/>
    <w:lvl w:ilvl="0" w:tplc="EADEF6EE">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CAF2001"/>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7E1A703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E402B32"/>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3842978">
    <w:abstractNumId w:val="58"/>
  </w:num>
  <w:num w:numId="2" w16cid:durableId="1401446239">
    <w:abstractNumId w:val="24"/>
  </w:num>
  <w:num w:numId="3" w16cid:durableId="558132163">
    <w:abstractNumId w:val="46"/>
  </w:num>
  <w:num w:numId="4" w16cid:durableId="633877292">
    <w:abstractNumId w:val="10"/>
  </w:num>
  <w:num w:numId="5" w16cid:durableId="1944413662">
    <w:abstractNumId w:val="19"/>
  </w:num>
  <w:num w:numId="6" w16cid:durableId="117530796">
    <w:abstractNumId w:val="22"/>
  </w:num>
  <w:num w:numId="7" w16cid:durableId="657198631">
    <w:abstractNumId w:val="44"/>
  </w:num>
  <w:num w:numId="8" w16cid:durableId="2058777947">
    <w:abstractNumId w:val="137"/>
  </w:num>
  <w:num w:numId="9" w16cid:durableId="240717287">
    <w:abstractNumId w:val="62"/>
  </w:num>
  <w:num w:numId="10" w16cid:durableId="1276056034">
    <w:abstractNumId w:val="12"/>
  </w:num>
  <w:num w:numId="11" w16cid:durableId="938175326">
    <w:abstractNumId w:val="84"/>
  </w:num>
  <w:num w:numId="12" w16cid:durableId="525942706">
    <w:abstractNumId w:val="76"/>
  </w:num>
  <w:num w:numId="13" w16cid:durableId="1107047153">
    <w:abstractNumId w:val="37"/>
  </w:num>
  <w:num w:numId="14" w16cid:durableId="289478931">
    <w:abstractNumId w:val="88"/>
  </w:num>
  <w:num w:numId="15" w16cid:durableId="459225507">
    <w:abstractNumId w:val="130"/>
  </w:num>
  <w:num w:numId="16" w16cid:durableId="2025129704">
    <w:abstractNumId w:val="100"/>
  </w:num>
  <w:num w:numId="17" w16cid:durableId="546797587">
    <w:abstractNumId w:val="13"/>
  </w:num>
  <w:num w:numId="18" w16cid:durableId="563759847">
    <w:abstractNumId w:val="97"/>
  </w:num>
  <w:num w:numId="19" w16cid:durableId="923295942">
    <w:abstractNumId w:val="89"/>
  </w:num>
  <w:num w:numId="20" w16cid:durableId="1352337301">
    <w:abstractNumId w:val="99"/>
  </w:num>
  <w:num w:numId="21" w16cid:durableId="1780563700">
    <w:abstractNumId w:val="138"/>
  </w:num>
  <w:num w:numId="22" w16cid:durableId="165370039">
    <w:abstractNumId w:val="136"/>
  </w:num>
  <w:num w:numId="23" w16cid:durableId="2135438360">
    <w:abstractNumId w:val="51"/>
  </w:num>
  <w:num w:numId="24" w16cid:durableId="1661040802">
    <w:abstractNumId w:val="56"/>
  </w:num>
  <w:num w:numId="25" w16cid:durableId="1130973466">
    <w:abstractNumId w:val="91"/>
  </w:num>
  <w:num w:numId="26" w16cid:durableId="1982228496">
    <w:abstractNumId w:val="29"/>
  </w:num>
  <w:num w:numId="27" w16cid:durableId="1618829563">
    <w:abstractNumId w:val="38"/>
  </w:num>
  <w:num w:numId="28" w16cid:durableId="23487433">
    <w:abstractNumId w:val="87"/>
  </w:num>
  <w:num w:numId="29" w16cid:durableId="1756515391">
    <w:abstractNumId w:val="14"/>
  </w:num>
  <w:num w:numId="30" w16cid:durableId="538248063">
    <w:abstractNumId w:val="95"/>
  </w:num>
  <w:num w:numId="31" w16cid:durableId="158230884">
    <w:abstractNumId w:val="15"/>
  </w:num>
  <w:num w:numId="32" w16cid:durableId="704259825">
    <w:abstractNumId w:val="120"/>
  </w:num>
  <w:num w:numId="33" w16cid:durableId="1858732091">
    <w:abstractNumId w:val="131"/>
  </w:num>
  <w:num w:numId="34" w16cid:durableId="1875270719">
    <w:abstractNumId w:val="25"/>
  </w:num>
  <w:num w:numId="35" w16cid:durableId="216599512">
    <w:abstractNumId w:val="3"/>
  </w:num>
  <w:num w:numId="36" w16cid:durableId="753891582">
    <w:abstractNumId w:val="77"/>
  </w:num>
  <w:num w:numId="37" w16cid:durableId="544950043">
    <w:abstractNumId w:val="26"/>
  </w:num>
  <w:num w:numId="38" w16cid:durableId="746345032">
    <w:abstractNumId w:val="47"/>
  </w:num>
  <w:num w:numId="39" w16cid:durableId="191892496">
    <w:abstractNumId w:val="1"/>
  </w:num>
  <w:num w:numId="40" w16cid:durableId="1511605725">
    <w:abstractNumId w:val="85"/>
  </w:num>
  <w:num w:numId="41" w16cid:durableId="1917737005">
    <w:abstractNumId w:val="70"/>
  </w:num>
  <w:num w:numId="42" w16cid:durableId="1782146992">
    <w:abstractNumId w:val="66"/>
  </w:num>
  <w:num w:numId="43" w16cid:durableId="531381146">
    <w:abstractNumId w:val="96"/>
  </w:num>
  <w:num w:numId="44" w16cid:durableId="2133669177">
    <w:abstractNumId w:val="16"/>
  </w:num>
  <w:num w:numId="45" w16cid:durableId="1783039277">
    <w:abstractNumId w:val="75"/>
  </w:num>
  <w:num w:numId="46" w16cid:durableId="1384594888">
    <w:abstractNumId w:val="34"/>
  </w:num>
  <w:num w:numId="47" w16cid:durableId="1151483358">
    <w:abstractNumId w:val="93"/>
  </w:num>
  <w:num w:numId="48" w16cid:durableId="2097907">
    <w:abstractNumId w:val="109"/>
  </w:num>
  <w:num w:numId="49" w16cid:durableId="1199196754">
    <w:abstractNumId w:val="48"/>
  </w:num>
  <w:num w:numId="50" w16cid:durableId="1632318399">
    <w:abstractNumId w:val="111"/>
  </w:num>
  <w:num w:numId="51" w16cid:durableId="749741388">
    <w:abstractNumId w:val="132"/>
  </w:num>
  <w:num w:numId="52" w16cid:durableId="983317034">
    <w:abstractNumId w:val="106"/>
  </w:num>
  <w:num w:numId="53" w16cid:durableId="262961663">
    <w:abstractNumId w:val="133"/>
  </w:num>
  <w:num w:numId="54" w16cid:durableId="600534704">
    <w:abstractNumId w:val="42"/>
  </w:num>
  <w:num w:numId="55" w16cid:durableId="510461431">
    <w:abstractNumId w:val="11"/>
  </w:num>
  <w:num w:numId="56" w16cid:durableId="2121099246">
    <w:abstractNumId w:val="125"/>
  </w:num>
  <w:num w:numId="57" w16cid:durableId="2025668624">
    <w:abstractNumId w:val="110"/>
  </w:num>
  <w:num w:numId="58" w16cid:durableId="1419326362">
    <w:abstractNumId w:val="118"/>
  </w:num>
  <w:num w:numId="59" w16cid:durableId="523515925">
    <w:abstractNumId w:val="43"/>
  </w:num>
  <w:num w:numId="60" w16cid:durableId="1120299599">
    <w:abstractNumId w:val="116"/>
  </w:num>
  <w:num w:numId="61" w16cid:durableId="323819731">
    <w:abstractNumId w:val="40"/>
  </w:num>
  <w:num w:numId="62" w16cid:durableId="327829912">
    <w:abstractNumId w:val="105"/>
  </w:num>
  <w:num w:numId="63" w16cid:durableId="1088575675">
    <w:abstractNumId w:val="94"/>
  </w:num>
  <w:num w:numId="64" w16cid:durableId="1428229838">
    <w:abstractNumId w:val="36"/>
  </w:num>
  <w:num w:numId="65" w16cid:durableId="759646700">
    <w:abstractNumId w:val="52"/>
  </w:num>
  <w:num w:numId="66" w16cid:durableId="2083484535">
    <w:abstractNumId w:val="55"/>
  </w:num>
  <w:num w:numId="67" w16cid:durableId="1707364563">
    <w:abstractNumId w:val="54"/>
  </w:num>
  <w:num w:numId="68" w16cid:durableId="1754013833">
    <w:abstractNumId w:val="9"/>
  </w:num>
  <w:num w:numId="69" w16cid:durableId="333194818">
    <w:abstractNumId w:val="129"/>
  </w:num>
  <w:num w:numId="70" w16cid:durableId="747923579">
    <w:abstractNumId w:val="73"/>
  </w:num>
  <w:num w:numId="71" w16cid:durableId="201092480">
    <w:abstractNumId w:val="108"/>
  </w:num>
  <w:num w:numId="72" w16cid:durableId="2114398013">
    <w:abstractNumId w:val="64"/>
  </w:num>
  <w:num w:numId="73" w16cid:durableId="2083139885">
    <w:abstractNumId w:val="59"/>
  </w:num>
  <w:num w:numId="74" w16cid:durableId="895581288">
    <w:abstractNumId w:val="49"/>
  </w:num>
  <w:num w:numId="75" w16cid:durableId="1964267904">
    <w:abstractNumId w:val="134"/>
  </w:num>
  <w:num w:numId="76" w16cid:durableId="1333601678">
    <w:abstractNumId w:val="27"/>
  </w:num>
  <w:num w:numId="77" w16cid:durableId="1457987755">
    <w:abstractNumId w:val="32"/>
  </w:num>
  <w:num w:numId="78" w16cid:durableId="1254238994">
    <w:abstractNumId w:val="6"/>
  </w:num>
  <w:num w:numId="79" w16cid:durableId="345644075">
    <w:abstractNumId w:val="39"/>
  </w:num>
  <w:num w:numId="80" w16cid:durableId="1254045727">
    <w:abstractNumId w:val="17"/>
  </w:num>
  <w:num w:numId="81" w16cid:durableId="1355417939">
    <w:abstractNumId w:val="98"/>
  </w:num>
  <w:num w:numId="82" w16cid:durableId="1990867313">
    <w:abstractNumId w:val="82"/>
  </w:num>
  <w:num w:numId="83" w16cid:durableId="173423845">
    <w:abstractNumId w:val="92"/>
  </w:num>
  <w:num w:numId="84" w16cid:durableId="1259756507">
    <w:abstractNumId w:val="117"/>
  </w:num>
  <w:num w:numId="85" w16cid:durableId="957180556">
    <w:abstractNumId w:val="126"/>
  </w:num>
  <w:num w:numId="86" w16cid:durableId="1523397831">
    <w:abstractNumId w:val="123"/>
  </w:num>
  <w:num w:numId="87" w16cid:durableId="513810433">
    <w:abstractNumId w:val="67"/>
  </w:num>
  <w:num w:numId="88" w16cid:durableId="2029989538">
    <w:abstractNumId w:val="67"/>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none"/>
        <w:lvlText w:val="-"/>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pStyle w:val="Akapit"/>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9" w16cid:durableId="2060207892">
    <w:abstractNumId w:val="114"/>
  </w:num>
  <w:num w:numId="90" w16cid:durableId="1746226632">
    <w:abstractNumId w:val="104"/>
  </w:num>
  <w:num w:numId="91" w16cid:durableId="55206451">
    <w:abstractNumId w:val="28"/>
  </w:num>
  <w:num w:numId="92" w16cid:durableId="1574972271">
    <w:abstractNumId w:val="7"/>
  </w:num>
  <w:num w:numId="93" w16cid:durableId="1556047450">
    <w:abstractNumId w:val="83"/>
  </w:num>
  <w:num w:numId="94" w16cid:durableId="1873689761">
    <w:abstractNumId w:val="65"/>
  </w:num>
  <w:num w:numId="95" w16cid:durableId="154415649">
    <w:abstractNumId w:val="53"/>
  </w:num>
  <w:num w:numId="96" w16cid:durableId="962542596">
    <w:abstractNumId w:val="23"/>
  </w:num>
  <w:num w:numId="97" w16cid:durableId="1540358571">
    <w:abstractNumId w:val="0"/>
  </w:num>
  <w:num w:numId="98" w16cid:durableId="1329210254">
    <w:abstractNumId w:val="69"/>
  </w:num>
  <w:num w:numId="99" w16cid:durableId="2132892922">
    <w:abstractNumId w:val="30"/>
  </w:num>
  <w:num w:numId="100" w16cid:durableId="41760018">
    <w:abstractNumId w:val="45"/>
  </w:num>
  <w:num w:numId="101" w16cid:durableId="189225027">
    <w:abstractNumId w:val="4"/>
  </w:num>
  <w:num w:numId="102" w16cid:durableId="780076020">
    <w:abstractNumId w:val="63"/>
  </w:num>
  <w:num w:numId="103" w16cid:durableId="1892692271">
    <w:abstractNumId w:val="41"/>
  </w:num>
  <w:num w:numId="104" w16cid:durableId="405349490">
    <w:abstractNumId w:val="101"/>
  </w:num>
  <w:num w:numId="105" w16cid:durableId="1882353617">
    <w:abstractNumId w:val="86"/>
  </w:num>
  <w:num w:numId="106" w16cid:durableId="1264728564">
    <w:abstractNumId w:val="2"/>
  </w:num>
  <w:num w:numId="107" w16cid:durableId="1751266438">
    <w:abstractNumId w:val="79"/>
  </w:num>
  <w:num w:numId="108" w16cid:durableId="2041317124">
    <w:abstractNumId w:val="107"/>
  </w:num>
  <w:num w:numId="109" w16cid:durableId="123744605">
    <w:abstractNumId w:val="124"/>
  </w:num>
  <w:num w:numId="110" w16cid:durableId="2113166901">
    <w:abstractNumId w:val="33"/>
  </w:num>
  <w:num w:numId="111" w16cid:durableId="627129796">
    <w:abstractNumId w:val="90"/>
  </w:num>
  <w:num w:numId="112" w16cid:durableId="1338387852">
    <w:abstractNumId w:val="112"/>
  </w:num>
  <w:num w:numId="113" w16cid:durableId="1837040188">
    <w:abstractNumId w:val="61"/>
  </w:num>
  <w:num w:numId="114" w16cid:durableId="735668818">
    <w:abstractNumId w:val="113"/>
  </w:num>
  <w:num w:numId="115" w16cid:durableId="1073233198">
    <w:abstractNumId w:val="103"/>
  </w:num>
  <w:num w:numId="116" w16cid:durableId="1064337397">
    <w:abstractNumId w:val="60"/>
  </w:num>
  <w:num w:numId="117" w16cid:durableId="2051762018">
    <w:abstractNumId w:val="128"/>
  </w:num>
  <w:num w:numId="118" w16cid:durableId="668095053">
    <w:abstractNumId w:val="78"/>
  </w:num>
  <w:num w:numId="119" w16cid:durableId="1572085551">
    <w:abstractNumId w:val="135"/>
  </w:num>
  <w:num w:numId="120" w16cid:durableId="1913008214">
    <w:abstractNumId w:val="20"/>
  </w:num>
  <w:num w:numId="121" w16cid:durableId="17314154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7109428">
    <w:abstractNumId w:val="102"/>
  </w:num>
  <w:num w:numId="123" w16cid:durableId="224143605">
    <w:abstractNumId w:val="8"/>
  </w:num>
  <w:num w:numId="124" w16cid:durableId="1252741118">
    <w:abstractNumId w:val="18"/>
  </w:num>
  <w:num w:numId="125" w16cid:durableId="1945963262">
    <w:abstractNumId w:val="127"/>
  </w:num>
  <w:num w:numId="126" w16cid:durableId="1695109730">
    <w:abstractNumId w:val="80"/>
  </w:num>
  <w:num w:numId="127" w16cid:durableId="435641921">
    <w:abstractNumId w:val="81"/>
  </w:num>
  <w:num w:numId="128" w16cid:durableId="1347512886">
    <w:abstractNumId w:val="121"/>
  </w:num>
  <w:num w:numId="129" w16cid:durableId="1561281096">
    <w:abstractNumId w:val="35"/>
  </w:num>
  <w:num w:numId="130" w16cid:durableId="631445703">
    <w:abstractNumId w:val="72"/>
  </w:num>
  <w:num w:numId="131" w16cid:durableId="369577556">
    <w:abstractNumId w:val="50"/>
  </w:num>
  <w:num w:numId="132" w16cid:durableId="1736704960">
    <w:abstractNumId w:val="5"/>
  </w:num>
  <w:num w:numId="133" w16cid:durableId="1742940975">
    <w:abstractNumId w:val="115"/>
  </w:num>
  <w:num w:numId="134" w16cid:durableId="2087603308">
    <w:abstractNumId w:val="21"/>
  </w:num>
  <w:num w:numId="135" w16cid:durableId="646738082">
    <w:abstractNumId w:val="68"/>
  </w:num>
  <w:num w:numId="136" w16cid:durableId="990525144">
    <w:abstractNumId w:val="57"/>
  </w:num>
  <w:num w:numId="137" w16cid:durableId="1492209451">
    <w:abstractNumId w:val="74"/>
  </w:num>
  <w:num w:numId="138" w16cid:durableId="1298877280">
    <w:abstractNumId w:val="119"/>
  </w:num>
  <w:num w:numId="139" w16cid:durableId="90052147">
    <w:abstractNumId w:val="122"/>
  </w:num>
  <w:num w:numId="140" w16cid:durableId="18894736">
    <w:abstractNumId w:val="31"/>
  </w:num>
  <w:num w:numId="141" w16cid:durableId="1539858612">
    <w:abstractNumId w:val="7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AA"/>
    <w:rsid w:val="00002015"/>
    <w:rsid w:val="0000380E"/>
    <w:rsid w:val="000066FA"/>
    <w:rsid w:val="00006E67"/>
    <w:rsid w:val="00007226"/>
    <w:rsid w:val="00007A04"/>
    <w:rsid w:val="00010051"/>
    <w:rsid w:val="00010070"/>
    <w:rsid w:val="00010265"/>
    <w:rsid w:val="0001308F"/>
    <w:rsid w:val="000145FA"/>
    <w:rsid w:val="000149DD"/>
    <w:rsid w:val="00014A0A"/>
    <w:rsid w:val="00015859"/>
    <w:rsid w:val="000159B7"/>
    <w:rsid w:val="000159D4"/>
    <w:rsid w:val="00017729"/>
    <w:rsid w:val="00020EE9"/>
    <w:rsid w:val="000223AB"/>
    <w:rsid w:val="00023428"/>
    <w:rsid w:val="000238E9"/>
    <w:rsid w:val="00024AF4"/>
    <w:rsid w:val="0003279C"/>
    <w:rsid w:val="00032B06"/>
    <w:rsid w:val="00033E26"/>
    <w:rsid w:val="00034DA9"/>
    <w:rsid w:val="00036598"/>
    <w:rsid w:val="00042EE2"/>
    <w:rsid w:val="0004336A"/>
    <w:rsid w:val="00043661"/>
    <w:rsid w:val="00043C7F"/>
    <w:rsid w:val="00043E12"/>
    <w:rsid w:val="00044305"/>
    <w:rsid w:val="000453EF"/>
    <w:rsid w:val="00046FE4"/>
    <w:rsid w:val="000520EF"/>
    <w:rsid w:val="00052CFD"/>
    <w:rsid w:val="00053594"/>
    <w:rsid w:val="00054D67"/>
    <w:rsid w:val="00055589"/>
    <w:rsid w:val="00055E08"/>
    <w:rsid w:val="0005604B"/>
    <w:rsid w:val="00057D2C"/>
    <w:rsid w:val="000602EC"/>
    <w:rsid w:val="00063E82"/>
    <w:rsid w:val="0006420F"/>
    <w:rsid w:val="00064C57"/>
    <w:rsid w:val="000656BA"/>
    <w:rsid w:val="00065988"/>
    <w:rsid w:val="00066EFC"/>
    <w:rsid w:val="00071738"/>
    <w:rsid w:val="00072A24"/>
    <w:rsid w:val="00074D79"/>
    <w:rsid w:val="00075B86"/>
    <w:rsid w:val="000765B0"/>
    <w:rsid w:val="00077D4E"/>
    <w:rsid w:val="00077D9B"/>
    <w:rsid w:val="00081F3F"/>
    <w:rsid w:val="000836A8"/>
    <w:rsid w:val="00086386"/>
    <w:rsid w:val="000867B7"/>
    <w:rsid w:val="000916BC"/>
    <w:rsid w:val="00094DED"/>
    <w:rsid w:val="0009628C"/>
    <w:rsid w:val="00097D73"/>
    <w:rsid w:val="000A108D"/>
    <w:rsid w:val="000A11A6"/>
    <w:rsid w:val="000A164D"/>
    <w:rsid w:val="000A16AB"/>
    <w:rsid w:val="000A21DD"/>
    <w:rsid w:val="000A338A"/>
    <w:rsid w:val="000A3586"/>
    <w:rsid w:val="000A35B6"/>
    <w:rsid w:val="000A5027"/>
    <w:rsid w:val="000B0D68"/>
    <w:rsid w:val="000B0F31"/>
    <w:rsid w:val="000B2939"/>
    <w:rsid w:val="000B3408"/>
    <w:rsid w:val="000B455E"/>
    <w:rsid w:val="000C0113"/>
    <w:rsid w:val="000C3986"/>
    <w:rsid w:val="000C4885"/>
    <w:rsid w:val="000C508C"/>
    <w:rsid w:val="000C7798"/>
    <w:rsid w:val="000D0EFC"/>
    <w:rsid w:val="000D530F"/>
    <w:rsid w:val="000D59AB"/>
    <w:rsid w:val="000D6D4A"/>
    <w:rsid w:val="000E0446"/>
    <w:rsid w:val="000E1558"/>
    <w:rsid w:val="000E1C6C"/>
    <w:rsid w:val="000E2054"/>
    <w:rsid w:val="000E2143"/>
    <w:rsid w:val="000E3799"/>
    <w:rsid w:val="000E65F0"/>
    <w:rsid w:val="000F0007"/>
    <w:rsid w:val="000F0951"/>
    <w:rsid w:val="000F420A"/>
    <w:rsid w:val="0010019E"/>
    <w:rsid w:val="00100910"/>
    <w:rsid w:val="00100A9B"/>
    <w:rsid w:val="00102909"/>
    <w:rsid w:val="00104060"/>
    <w:rsid w:val="001121CE"/>
    <w:rsid w:val="001140D0"/>
    <w:rsid w:val="00114326"/>
    <w:rsid w:val="001170FF"/>
    <w:rsid w:val="00117A50"/>
    <w:rsid w:val="00117D08"/>
    <w:rsid w:val="001202B3"/>
    <w:rsid w:val="00120CC8"/>
    <w:rsid w:val="00122B35"/>
    <w:rsid w:val="00122D69"/>
    <w:rsid w:val="0012443B"/>
    <w:rsid w:val="00127E41"/>
    <w:rsid w:val="001305D0"/>
    <w:rsid w:val="001316C5"/>
    <w:rsid w:val="00133034"/>
    <w:rsid w:val="001340D3"/>
    <w:rsid w:val="0013498A"/>
    <w:rsid w:val="001361AB"/>
    <w:rsid w:val="00137C6E"/>
    <w:rsid w:val="00137CB1"/>
    <w:rsid w:val="00141FD9"/>
    <w:rsid w:val="00145CC7"/>
    <w:rsid w:val="00147233"/>
    <w:rsid w:val="00151578"/>
    <w:rsid w:val="00153E0A"/>
    <w:rsid w:val="0015443E"/>
    <w:rsid w:val="001546C2"/>
    <w:rsid w:val="00155A5D"/>
    <w:rsid w:val="00155EF3"/>
    <w:rsid w:val="00157FBD"/>
    <w:rsid w:val="00157FE7"/>
    <w:rsid w:val="00162B19"/>
    <w:rsid w:val="0016712C"/>
    <w:rsid w:val="00170E13"/>
    <w:rsid w:val="00171C07"/>
    <w:rsid w:val="001728A4"/>
    <w:rsid w:val="00172D1A"/>
    <w:rsid w:val="001735A2"/>
    <w:rsid w:val="00173672"/>
    <w:rsid w:val="001746B7"/>
    <w:rsid w:val="001801EC"/>
    <w:rsid w:val="001817E6"/>
    <w:rsid w:val="00182486"/>
    <w:rsid w:val="00183520"/>
    <w:rsid w:val="00184707"/>
    <w:rsid w:val="00185170"/>
    <w:rsid w:val="00185181"/>
    <w:rsid w:val="001858D6"/>
    <w:rsid w:val="00185F30"/>
    <w:rsid w:val="00187AA3"/>
    <w:rsid w:val="00191D21"/>
    <w:rsid w:val="00191D2A"/>
    <w:rsid w:val="001927C1"/>
    <w:rsid w:val="00192A57"/>
    <w:rsid w:val="0019315E"/>
    <w:rsid w:val="00195727"/>
    <w:rsid w:val="00195AA1"/>
    <w:rsid w:val="00197A73"/>
    <w:rsid w:val="001A0550"/>
    <w:rsid w:val="001A0C6B"/>
    <w:rsid w:val="001A300F"/>
    <w:rsid w:val="001A4AFD"/>
    <w:rsid w:val="001A65BB"/>
    <w:rsid w:val="001A6618"/>
    <w:rsid w:val="001B2A5E"/>
    <w:rsid w:val="001B30F1"/>
    <w:rsid w:val="001B3468"/>
    <w:rsid w:val="001B377C"/>
    <w:rsid w:val="001B4785"/>
    <w:rsid w:val="001B5B83"/>
    <w:rsid w:val="001C01E1"/>
    <w:rsid w:val="001C05A5"/>
    <w:rsid w:val="001C16C2"/>
    <w:rsid w:val="001C1BA0"/>
    <w:rsid w:val="001C2D04"/>
    <w:rsid w:val="001C3339"/>
    <w:rsid w:val="001C36DF"/>
    <w:rsid w:val="001C435B"/>
    <w:rsid w:val="001C47A0"/>
    <w:rsid w:val="001C57D6"/>
    <w:rsid w:val="001C5AF6"/>
    <w:rsid w:val="001C6B42"/>
    <w:rsid w:val="001C723D"/>
    <w:rsid w:val="001D19D2"/>
    <w:rsid w:val="001D423E"/>
    <w:rsid w:val="001D5BEE"/>
    <w:rsid w:val="001D5CA2"/>
    <w:rsid w:val="001D778D"/>
    <w:rsid w:val="001D7865"/>
    <w:rsid w:val="001E09FC"/>
    <w:rsid w:val="001E2B6F"/>
    <w:rsid w:val="001E2E57"/>
    <w:rsid w:val="001E3764"/>
    <w:rsid w:val="001E416A"/>
    <w:rsid w:val="001E660E"/>
    <w:rsid w:val="001E6E48"/>
    <w:rsid w:val="001E72B2"/>
    <w:rsid w:val="001F0CF5"/>
    <w:rsid w:val="001F142E"/>
    <w:rsid w:val="001F1659"/>
    <w:rsid w:val="001F1AEF"/>
    <w:rsid w:val="001F6565"/>
    <w:rsid w:val="001F67AC"/>
    <w:rsid w:val="001F6DDB"/>
    <w:rsid w:val="0020129A"/>
    <w:rsid w:val="0020195C"/>
    <w:rsid w:val="002034CF"/>
    <w:rsid w:val="00203DBE"/>
    <w:rsid w:val="00204729"/>
    <w:rsid w:val="00204A88"/>
    <w:rsid w:val="0020748F"/>
    <w:rsid w:val="00207797"/>
    <w:rsid w:val="00207A36"/>
    <w:rsid w:val="00210C3A"/>
    <w:rsid w:val="00211033"/>
    <w:rsid w:val="002123DC"/>
    <w:rsid w:val="002129F9"/>
    <w:rsid w:val="00216C5B"/>
    <w:rsid w:val="00220371"/>
    <w:rsid w:val="00220BC7"/>
    <w:rsid w:val="0022249B"/>
    <w:rsid w:val="0022312D"/>
    <w:rsid w:val="002234F6"/>
    <w:rsid w:val="002237F4"/>
    <w:rsid w:val="00224A13"/>
    <w:rsid w:val="00230E4A"/>
    <w:rsid w:val="00232184"/>
    <w:rsid w:val="002322EA"/>
    <w:rsid w:val="002366ED"/>
    <w:rsid w:val="00236FBC"/>
    <w:rsid w:val="00237E34"/>
    <w:rsid w:val="002402F8"/>
    <w:rsid w:val="00241221"/>
    <w:rsid w:val="00243917"/>
    <w:rsid w:val="00244BED"/>
    <w:rsid w:val="00245577"/>
    <w:rsid w:val="00245BBD"/>
    <w:rsid w:val="00246A5A"/>
    <w:rsid w:val="00246DD5"/>
    <w:rsid w:val="00250D2F"/>
    <w:rsid w:val="00250DA3"/>
    <w:rsid w:val="00253436"/>
    <w:rsid w:val="002538A7"/>
    <w:rsid w:val="00253E98"/>
    <w:rsid w:val="002557F9"/>
    <w:rsid w:val="002564FF"/>
    <w:rsid w:val="00261234"/>
    <w:rsid w:val="00262346"/>
    <w:rsid w:val="00264944"/>
    <w:rsid w:val="00266BBA"/>
    <w:rsid w:val="00267D71"/>
    <w:rsid w:val="00270BB4"/>
    <w:rsid w:val="00274409"/>
    <w:rsid w:val="00274842"/>
    <w:rsid w:val="00274D89"/>
    <w:rsid w:val="00275697"/>
    <w:rsid w:val="00275FBB"/>
    <w:rsid w:val="00276460"/>
    <w:rsid w:val="00277F92"/>
    <w:rsid w:val="002803FD"/>
    <w:rsid w:val="00280639"/>
    <w:rsid w:val="0028282D"/>
    <w:rsid w:val="00283174"/>
    <w:rsid w:val="00283923"/>
    <w:rsid w:val="00283D6F"/>
    <w:rsid w:val="00283FAC"/>
    <w:rsid w:val="00286A45"/>
    <w:rsid w:val="00286C0D"/>
    <w:rsid w:val="00287CFC"/>
    <w:rsid w:val="00287E47"/>
    <w:rsid w:val="0029152D"/>
    <w:rsid w:val="0029252A"/>
    <w:rsid w:val="0029266B"/>
    <w:rsid w:val="002938FB"/>
    <w:rsid w:val="00293C82"/>
    <w:rsid w:val="002945EB"/>
    <w:rsid w:val="002A04D3"/>
    <w:rsid w:val="002A24CE"/>
    <w:rsid w:val="002A3204"/>
    <w:rsid w:val="002A62DF"/>
    <w:rsid w:val="002B13DD"/>
    <w:rsid w:val="002B3510"/>
    <w:rsid w:val="002B72F6"/>
    <w:rsid w:val="002B7ADC"/>
    <w:rsid w:val="002C0DB6"/>
    <w:rsid w:val="002C2F3A"/>
    <w:rsid w:val="002C3466"/>
    <w:rsid w:val="002C3F4A"/>
    <w:rsid w:val="002C4A5B"/>
    <w:rsid w:val="002C4B9B"/>
    <w:rsid w:val="002C565F"/>
    <w:rsid w:val="002C62DF"/>
    <w:rsid w:val="002D063F"/>
    <w:rsid w:val="002D1B82"/>
    <w:rsid w:val="002D2F2C"/>
    <w:rsid w:val="002D2F89"/>
    <w:rsid w:val="002D2FFB"/>
    <w:rsid w:val="002D42C7"/>
    <w:rsid w:val="002D42CD"/>
    <w:rsid w:val="002D4FE5"/>
    <w:rsid w:val="002D63A5"/>
    <w:rsid w:val="002D6F27"/>
    <w:rsid w:val="002E1B68"/>
    <w:rsid w:val="002E2149"/>
    <w:rsid w:val="002E523B"/>
    <w:rsid w:val="002E5ADD"/>
    <w:rsid w:val="002E61A0"/>
    <w:rsid w:val="002E6281"/>
    <w:rsid w:val="002E685D"/>
    <w:rsid w:val="002F16F7"/>
    <w:rsid w:val="002F182F"/>
    <w:rsid w:val="002F1F63"/>
    <w:rsid w:val="002F228A"/>
    <w:rsid w:val="002F2AE0"/>
    <w:rsid w:val="002F374A"/>
    <w:rsid w:val="002F55B3"/>
    <w:rsid w:val="002F7081"/>
    <w:rsid w:val="00301E61"/>
    <w:rsid w:val="00302E13"/>
    <w:rsid w:val="0030318E"/>
    <w:rsid w:val="0030391C"/>
    <w:rsid w:val="00303AC9"/>
    <w:rsid w:val="00304A15"/>
    <w:rsid w:val="00304EC2"/>
    <w:rsid w:val="00310FC8"/>
    <w:rsid w:val="0031289E"/>
    <w:rsid w:val="00315C46"/>
    <w:rsid w:val="00317975"/>
    <w:rsid w:val="00317EB0"/>
    <w:rsid w:val="00320757"/>
    <w:rsid w:val="00321EE7"/>
    <w:rsid w:val="00322002"/>
    <w:rsid w:val="00322B49"/>
    <w:rsid w:val="00322DD2"/>
    <w:rsid w:val="003268D6"/>
    <w:rsid w:val="00326D75"/>
    <w:rsid w:val="00331E2F"/>
    <w:rsid w:val="00332A04"/>
    <w:rsid w:val="003342AF"/>
    <w:rsid w:val="00334E2E"/>
    <w:rsid w:val="0033560E"/>
    <w:rsid w:val="00335AD4"/>
    <w:rsid w:val="003361A5"/>
    <w:rsid w:val="00336816"/>
    <w:rsid w:val="003403CD"/>
    <w:rsid w:val="003407B4"/>
    <w:rsid w:val="00340DC2"/>
    <w:rsid w:val="00344CD9"/>
    <w:rsid w:val="003458E2"/>
    <w:rsid w:val="00347BC9"/>
    <w:rsid w:val="0035212C"/>
    <w:rsid w:val="003553AD"/>
    <w:rsid w:val="003602E5"/>
    <w:rsid w:val="00362786"/>
    <w:rsid w:val="0036288E"/>
    <w:rsid w:val="0036342A"/>
    <w:rsid w:val="003666D1"/>
    <w:rsid w:val="0037077B"/>
    <w:rsid w:val="00370B37"/>
    <w:rsid w:val="00370DAA"/>
    <w:rsid w:val="00370DB0"/>
    <w:rsid w:val="003716F1"/>
    <w:rsid w:val="00373839"/>
    <w:rsid w:val="00374BBF"/>
    <w:rsid w:val="00376F9E"/>
    <w:rsid w:val="003840FD"/>
    <w:rsid w:val="0038427F"/>
    <w:rsid w:val="00384825"/>
    <w:rsid w:val="00384CEA"/>
    <w:rsid w:val="003860D4"/>
    <w:rsid w:val="003912FF"/>
    <w:rsid w:val="00391F85"/>
    <w:rsid w:val="00394186"/>
    <w:rsid w:val="0039550E"/>
    <w:rsid w:val="00395968"/>
    <w:rsid w:val="00396B4C"/>
    <w:rsid w:val="003A0172"/>
    <w:rsid w:val="003A10DA"/>
    <w:rsid w:val="003A2AC2"/>
    <w:rsid w:val="003A4970"/>
    <w:rsid w:val="003A507D"/>
    <w:rsid w:val="003A53EE"/>
    <w:rsid w:val="003B0BFA"/>
    <w:rsid w:val="003B0E06"/>
    <w:rsid w:val="003B1506"/>
    <w:rsid w:val="003B239C"/>
    <w:rsid w:val="003B23A6"/>
    <w:rsid w:val="003B576D"/>
    <w:rsid w:val="003B5CA2"/>
    <w:rsid w:val="003C1654"/>
    <w:rsid w:val="003C53BA"/>
    <w:rsid w:val="003D0A86"/>
    <w:rsid w:val="003D58FC"/>
    <w:rsid w:val="003D5F83"/>
    <w:rsid w:val="003D61E9"/>
    <w:rsid w:val="003D6568"/>
    <w:rsid w:val="003D6621"/>
    <w:rsid w:val="003E088C"/>
    <w:rsid w:val="003E26B1"/>
    <w:rsid w:val="003E2B79"/>
    <w:rsid w:val="003E3023"/>
    <w:rsid w:val="003E32D4"/>
    <w:rsid w:val="003E36DC"/>
    <w:rsid w:val="003E3E2C"/>
    <w:rsid w:val="003E4E92"/>
    <w:rsid w:val="003E683F"/>
    <w:rsid w:val="003F09B6"/>
    <w:rsid w:val="003F25C2"/>
    <w:rsid w:val="003F3AD8"/>
    <w:rsid w:val="003F3B81"/>
    <w:rsid w:val="003F4298"/>
    <w:rsid w:val="003F5E5A"/>
    <w:rsid w:val="003F5FFE"/>
    <w:rsid w:val="00402AC9"/>
    <w:rsid w:val="00402B04"/>
    <w:rsid w:val="00405559"/>
    <w:rsid w:val="00406379"/>
    <w:rsid w:val="00406A51"/>
    <w:rsid w:val="00406E1C"/>
    <w:rsid w:val="00406F81"/>
    <w:rsid w:val="00407ACE"/>
    <w:rsid w:val="00410290"/>
    <w:rsid w:val="004103DD"/>
    <w:rsid w:val="00410BC0"/>
    <w:rsid w:val="004122E2"/>
    <w:rsid w:val="0041768A"/>
    <w:rsid w:val="00417E0D"/>
    <w:rsid w:val="00422ADB"/>
    <w:rsid w:val="00422C9A"/>
    <w:rsid w:val="0042437E"/>
    <w:rsid w:val="004245DF"/>
    <w:rsid w:val="004247EB"/>
    <w:rsid w:val="00425ABD"/>
    <w:rsid w:val="00425B8A"/>
    <w:rsid w:val="004272F4"/>
    <w:rsid w:val="00427B19"/>
    <w:rsid w:val="00431072"/>
    <w:rsid w:val="00431140"/>
    <w:rsid w:val="00432B34"/>
    <w:rsid w:val="00432CDD"/>
    <w:rsid w:val="0043323F"/>
    <w:rsid w:val="00435B10"/>
    <w:rsid w:val="00435CF2"/>
    <w:rsid w:val="004369B5"/>
    <w:rsid w:val="00437000"/>
    <w:rsid w:val="00437864"/>
    <w:rsid w:val="00441807"/>
    <w:rsid w:val="00444B61"/>
    <w:rsid w:val="00444CC2"/>
    <w:rsid w:val="00445806"/>
    <w:rsid w:val="004544F5"/>
    <w:rsid w:val="00454687"/>
    <w:rsid w:val="00456834"/>
    <w:rsid w:val="00457516"/>
    <w:rsid w:val="004631B7"/>
    <w:rsid w:val="004637A7"/>
    <w:rsid w:val="00466900"/>
    <w:rsid w:val="00470787"/>
    <w:rsid w:val="00472324"/>
    <w:rsid w:val="0047267F"/>
    <w:rsid w:val="00473204"/>
    <w:rsid w:val="00473594"/>
    <w:rsid w:val="004737C3"/>
    <w:rsid w:val="00473FBD"/>
    <w:rsid w:val="0047576C"/>
    <w:rsid w:val="00475C8C"/>
    <w:rsid w:val="00477608"/>
    <w:rsid w:val="00477B5F"/>
    <w:rsid w:val="00477D5D"/>
    <w:rsid w:val="00477E39"/>
    <w:rsid w:val="00480509"/>
    <w:rsid w:val="00481FC0"/>
    <w:rsid w:val="00482CB3"/>
    <w:rsid w:val="00487482"/>
    <w:rsid w:val="00487BA9"/>
    <w:rsid w:val="00490867"/>
    <w:rsid w:val="00491FE1"/>
    <w:rsid w:val="004926E0"/>
    <w:rsid w:val="00492B74"/>
    <w:rsid w:val="00492CC9"/>
    <w:rsid w:val="00492DEE"/>
    <w:rsid w:val="004956FD"/>
    <w:rsid w:val="00495F90"/>
    <w:rsid w:val="004A0A4B"/>
    <w:rsid w:val="004A0FB8"/>
    <w:rsid w:val="004A2250"/>
    <w:rsid w:val="004A2524"/>
    <w:rsid w:val="004A5922"/>
    <w:rsid w:val="004A5A35"/>
    <w:rsid w:val="004B0FFC"/>
    <w:rsid w:val="004B22BE"/>
    <w:rsid w:val="004B2497"/>
    <w:rsid w:val="004B2964"/>
    <w:rsid w:val="004B3FAA"/>
    <w:rsid w:val="004B4A7A"/>
    <w:rsid w:val="004B4C7F"/>
    <w:rsid w:val="004B569D"/>
    <w:rsid w:val="004B6800"/>
    <w:rsid w:val="004B71FD"/>
    <w:rsid w:val="004C08B4"/>
    <w:rsid w:val="004C1B8C"/>
    <w:rsid w:val="004C1F12"/>
    <w:rsid w:val="004C2E35"/>
    <w:rsid w:val="004C4059"/>
    <w:rsid w:val="004C4561"/>
    <w:rsid w:val="004C5572"/>
    <w:rsid w:val="004C5E97"/>
    <w:rsid w:val="004C7D5B"/>
    <w:rsid w:val="004D1F48"/>
    <w:rsid w:val="004D3011"/>
    <w:rsid w:val="004D51D6"/>
    <w:rsid w:val="004D5EB8"/>
    <w:rsid w:val="004E31BA"/>
    <w:rsid w:val="004E446A"/>
    <w:rsid w:val="004E4773"/>
    <w:rsid w:val="004E5519"/>
    <w:rsid w:val="004E6661"/>
    <w:rsid w:val="004E7407"/>
    <w:rsid w:val="004F084E"/>
    <w:rsid w:val="004F1F85"/>
    <w:rsid w:val="004F2367"/>
    <w:rsid w:val="004F4F68"/>
    <w:rsid w:val="004F592E"/>
    <w:rsid w:val="004F5C64"/>
    <w:rsid w:val="004F7E3D"/>
    <w:rsid w:val="0050045B"/>
    <w:rsid w:val="005033E5"/>
    <w:rsid w:val="00503A89"/>
    <w:rsid w:val="005060F5"/>
    <w:rsid w:val="00511074"/>
    <w:rsid w:val="005122B9"/>
    <w:rsid w:val="00514F99"/>
    <w:rsid w:val="00515380"/>
    <w:rsid w:val="00515534"/>
    <w:rsid w:val="00515CD6"/>
    <w:rsid w:val="00516D55"/>
    <w:rsid w:val="00516E46"/>
    <w:rsid w:val="00520688"/>
    <w:rsid w:val="00520AD0"/>
    <w:rsid w:val="005218EE"/>
    <w:rsid w:val="00521D4F"/>
    <w:rsid w:val="005223CF"/>
    <w:rsid w:val="00525E64"/>
    <w:rsid w:val="005272A6"/>
    <w:rsid w:val="00530500"/>
    <w:rsid w:val="00530CB6"/>
    <w:rsid w:val="005316EA"/>
    <w:rsid w:val="00531EEA"/>
    <w:rsid w:val="00533679"/>
    <w:rsid w:val="00534428"/>
    <w:rsid w:val="005351F4"/>
    <w:rsid w:val="0053575B"/>
    <w:rsid w:val="00535CF8"/>
    <w:rsid w:val="00537C5C"/>
    <w:rsid w:val="00537D28"/>
    <w:rsid w:val="0054079F"/>
    <w:rsid w:val="0054229F"/>
    <w:rsid w:val="00544127"/>
    <w:rsid w:val="0054725A"/>
    <w:rsid w:val="0055101A"/>
    <w:rsid w:val="005544F2"/>
    <w:rsid w:val="005551B6"/>
    <w:rsid w:val="00555426"/>
    <w:rsid w:val="00556A9D"/>
    <w:rsid w:val="00556EBA"/>
    <w:rsid w:val="00560CD9"/>
    <w:rsid w:val="00561752"/>
    <w:rsid w:val="005617E9"/>
    <w:rsid w:val="00563D1F"/>
    <w:rsid w:val="005659D1"/>
    <w:rsid w:val="0056605E"/>
    <w:rsid w:val="0056632D"/>
    <w:rsid w:val="00566E4B"/>
    <w:rsid w:val="0057102C"/>
    <w:rsid w:val="0057240C"/>
    <w:rsid w:val="00572C39"/>
    <w:rsid w:val="005739AB"/>
    <w:rsid w:val="005749EB"/>
    <w:rsid w:val="00577C82"/>
    <w:rsid w:val="00580F38"/>
    <w:rsid w:val="00583C5C"/>
    <w:rsid w:val="00585789"/>
    <w:rsid w:val="00586767"/>
    <w:rsid w:val="0059138C"/>
    <w:rsid w:val="0059225F"/>
    <w:rsid w:val="00592A1D"/>
    <w:rsid w:val="00593E3A"/>
    <w:rsid w:val="005964B7"/>
    <w:rsid w:val="005A1D2E"/>
    <w:rsid w:val="005A239E"/>
    <w:rsid w:val="005A34BE"/>
    <w:rsid w:val="005A3B47"/>
    <w:rsid w:val="005A61F5"/>
    <w:rsid w:val="005A70BE"/>
    <w:rsid w:val="005A7D49"/>
    <w:rsid w:val="005B368A"/>
    <w:rsid w:val="005B40DF"/>
    <w:rsid w:val="005B483A"/>
    <w:rsid w:val="005B6E9B"/>
    <w:rsid w:val="005C04C8"/>
    <w:rsid w:val="005C0C59"/>
    <w:rsid w:val="005C4271"/>
    <w:rsid w:val="005C4AB0"/>
    <w:rsid w:val="005D2762"/>
    <w:rsid w:val="005D2A0C"/>
    <w:rsid w:val="005D2ED7"/>
    <w:rsid w:val="005D41BE"/>
    <w:rsid w:val="005D4AFB"/>
    <w:rsid w:val="005D6CEB"/>
    <w:rsid w:val="005E021F"/>
    <w:rsid w:val="005E0A2A"/>
    <w:rsid w:val="005E1C8B"/>
    <w:rsid w:val="005E3EBF"/>
    <w:rsid w:val="005E49D6"/>
    <w:rsid w:val="005E5E99"/>
    <w:rsid w:val="005E6433"/>
    <w:rsid w:val="005E77D4"/>
    <w:rsid w:val="005F0EC2"/>
    <w:rsid w:val="005F174D"/>
    <w:rsid w:val="005F2138"/>
    <w:rsid w:val="005F4D66"/>
    <w:rsid w:val="005F5AE6"/>
    <w:rsid w:val="005F6CCB"/>
    <w:rsid w:val="005F7C7F"/>
    <w:rsid w:val="005F7EAA"/>
    <w:rsid w:val="00600210"/>
    <w:rsid w:val="00601163"/>
    <w:rsid w:val="0060279C"/>
    <w:rsid w:val="0060411B"/>
    <w:rsid w:val="00604410"/>
    <w:rsid w:val="00607019"/>
    <w:rsid w:val="00607238"/>
    <w:rsid w:val="00607B62"/>
    <w:rsid w:val="00610CA3"/>
    <w:rsid w:val="00611DCF"/>
    <w:rsid w:val="006126F7"/>
    <w:rsid w:val="006134B4"/>
    <w:rsid w:val="0061402F"/>
    <w:rsid w:val="00614AC5"/>
    <w:rsid w:val="00622AFA"/>
    <w:rsid w:val="00623F14"/>
    <w:rsid w:val="00624260"/>
    <w:rsid w:val="0062599F"/>
    <w:rsid w:val="00625ED9"/>
    <w:rsid w:val="00630B27"/>
    <w:rsid w:val="00631DEC"/>
    <w:rsid w:val="0063291E"/>
    <w:rsid w:val="00632ADD"/>
    <w:rsid w:val="00633FB1"/>
    <w:rsid w:val="006344AB"/>
    <w:rsid w:val="00635F34"/>
    <w:rsid w:val="006361EC"/>
    <w:rsid w:val="00641879"/>
    <w:rsid w:val="00641A61"/>
    <w:rsid w:val="00641C24"/>
    <w:rsid w:val="00643045"/>
    <w:rsid w:val="00643641"/>
    <w:rsid w:val="00644AE0"/>
    <w:rsid w:val="0065032D"/>
    <w:rsid w:val="006507B3"/>
    <w:rsid w:val="00650ACA"/>
    <w:rsid w:val="00651072"/>
    <w:rsid w:val="006514F3"/>
    <w:rsid w:val="00653755"/>
    <w:rsid w:val="00653966"/>
    <w:rsid w:val="00655CB4"/>
    <w:rsid w:val="00656643"/>
    <w:rsid w:val="0065695C"/>
    <w:rsid w:val="00656A76"/>
    <w:rsid w:val="00662993"/>
    <w:rsid w:val="00663B9C"/>
    <w:rsid w:val="00664743"/>
    <w:rsid w:val="00664DDF"/>
    <w:rsid w:val="006656E7"/>
    <w:rsid w:val="00665B70"/>
    <w:rsid w:val="006664B1"/>
    <w:rsid w:val="0067200A"/>
    <w:rsid w:val="00674179"/>
    <w:rsid w:val="00674284"/>
    <w:rsid w:val="00675E13"/>
    <w:rsid w:val="00676637"/>
    <w:rsid w:val="00677A16"/>
    <w:rsid w:val="00680115"/>
    <w:rsid w:val="0068049F"/>
    <w:rsid w:val="00680936"/>
    <w:rsid w:val="006809A2"/>
    <w:rsid w:val="00682DAB"/>
    <w:rsid w:val="006853CD"/>
    <w:rsid w:val="00686524"/>
    <w:rsid w:val="00691149"/>
    <w:rsid w:val="006916FB"/>
    <w:rsid w:val="00693F17"/>
    <w:rsid w:val="006949E4"/>
    <w:rsid w:val="00696532"/>
    <w:rsid w:val="006975BE"/>
    <w:rsid w:val="006A1CE2"/>
    <w:rsid w:val="006A1E06"/>
    <w:rsid w:val="006A2251"/>
    <w:rsid w:val="006A27DD"/>
    <w:rsid w:val="006A2B8C"/>
    <w:rsid w:val="006A3FF3"/>
    <w:rsid w:val="006A47A8"/>
    <w:rsid w:val="006A4CA7"/>
    <w:rsid w:val="006A4DDC"/>
    <w:rsid w:val="006A7247"/>
    <w:rsid w:val="006A7F2B"/>
    <w:rsid w:val="006B0017"/>
    <w:rsid w:val="006B0D16"/>
    <w:rsid w:val="006B65A1"/>
    <w:rsid w:val="006B7708"/>
    <w:rsid w:val="006C01CD"/>
    <w:rsid w:val="006C06F9"/>
    <w:rsid w:val="006C1295"/>
    <w:rsid w:val="006C16ED"/>
    <w:rsid w:val="006C351E"/>
    <w:rsid w:val="006C38AE"/>
    <w:rsid w:val="006C476F"/>
    <w:rsid w:val="006C5073"/>
    <w:rsid w:val="006C7F4B"/>
    <w:rsid w:val="006D75A8"/>
    <w:rsid w:val="006E1766"/>
    <w:rsid w:val="006E42C6"/>
    <w:rsid w:val="006E44A1"/>
    <w:rsid w:val="006F0FEC"/>
    <w:rsid w:val="006F12BD"/>
    <w:rsid w:val="006F2EE2"/>
    <w:rsid w:val="006F36CA"/>
    <w:rsid w:val="006F6477"/>
    <w:rsid w:val="006F7C86"/>
    <w:rsid w:val="0070011B"/>
    <w:rsid w:val="00700616"/>
    <w:rsid w:val="00701838"/>
    <w:rsid w:val="00701BB4"/>
    <w:rsid w:val="0070281D"/>
    <w:rsid w:val="007029BF"/>
    <w:rsid w:val="00704227"/>
    <w:rsid w:val="00706BF1"/>
    <w:rsid w:val="00717171"/>
    <w:rsid w:val="007201C9"/>
    <w:rsid w:val="00721BAA"/>
    <w:rsid w:val="00723E17"/>
    <w:rsid w:val="0072416C"/>
    <w:rsid w:val="007245A3"/>
    <w:rsid w:val="00725E88"/>
    <w:rsid w:val="00727E69"/>
    <w:rsid w:val="0073137C"/>
    <w:rsid w:val="007347D2"/>
    <w:rsid w:val="0073539A"/>
    <w:rsid w:val="00736713"/>
    <w:rsid w:val="007368BC"/>
    <w:rsid w:val="0073715F"/>
    <w:rsid w:val="00737D80"/>
    <w:rsid w:val="00740833"/>
    <w:rsid w:val="00740AA2"/>
    <w:rsid w:val="007430D7"/>
    <w:rsid w:val="00745B34"/>
    <w:rsid w:val="0074742D"/>
    <w:rsid w:val="00750739"/>
    <w:rsid w:val="00751172"/>
    <w:rsid w:val="0075446A"/>
    <w:rsid w:val="007554DD"/>
    <w:rsid w:val="00755BE8"/>
    <w:rsid w:val="00756453"/>
    <w:rsid w:val="007567E4"/>
    <w:rsid w:val="007573A6"/>
    <w:rsid w:val="00757EAE"/>
    <w:rsid w:val="00765703"/>
    <w:rsid w:val="00765A83"/>
    <w:rsid w:val="00772A66"/>
    <w:rsid w:val="00772FC9"/>
    <w:rsid w:val="00773732"/>
    <w:rsid w:val="00775008"/>
    <w:rsid w:val="00775421"/>
    <w:rsid w:val="00775686"/>
    <w:rsid w:val="0077751C"/>
    <w:rsid w:val="00783ABD"/>
    <w:rsid w:val="00784D03"/>
    <w:rsid w:val="00785FB9"/>
    <w:rsid w:val="00786C64"/>
    <w:rsid w:val="00786C67"/>
    <w:rsid w:val="00787617"/>
    <w:rsid w:val="00790E28"/>
    <w:rsid w:val="00790F85"/>
    <w:rsid w:val="0079104A"/>
    <w:rsid w:val="00791C9F"/>
    <w:rsid w:val="007955AD"/>
    <w:rsid w:val="00795998"/>
    <w:rsid w:val="00796A7D"/>
    <w:rsid w:val="007A0956"/>
    <w:rsid w:val="007A1E2D"/>
    <w:rsid w:val="007A24BE"/>
    <w:rsid w:val="007A5E74"/>
    <w:rsid w:val="007A60E9"/>
    <w:rsid w:val="007B2306"/>
    <w:rsid w:val="007B3A61"/>
    <w:rsid w:val="007B3AFC"/>
    <w:rsid w:val="007B4EEE"/>
    <w:rsid w:val="007B52D0"/>
    <w:rsid w:val="007B54B4"/>
    <w:rsid w:val="007C0A36"/>
    <w:rsid w:val="007C2453"/>
    <w:rsid w:val="007C2E5D"/>
    <w:rsid w:val="007C3022"/>
    <w:rsid w:val="007C320A"/>
    <w:rsid w:val="007C3E28"/>
    <w:rsid w:val="007C464B"/>
    <w:rsid w:val="007C7DE3"/>
    <w:rsid w:val="007D121C"/>
    <w:rsid w:val="007D39AD"/>
    <w:rsid w:val="007D70E6"/>
    <w:rsid w:val="007D788B"/>
    <w:rsid w:val="007E0145"/>
    <w:rsid w:val="007E0DCA"/>
    <w:rsid w:val="007E0F00"/>
    <w:rsid w:val="007E0FDA"/>
    <w:rsid w:val="007E2971"/>
    <w:rsid w:val="007E2D41"/>
    <w:rsid w:val="007E5D62"/>
    <w:rsid w:val="007E6188"/>
    <w:rsid w:val="007E629D"/>
    <w:rsid w:val="007E6803"/>
    <w:rsid w:val="007F1743"/>
    <w:rsid w:val="007F3EEB"/>
    <w:rsid w:val="007F6A3E"/>
    <w:rsid w:val="007F7DF0"/>
    <w:rsid w:val="00801FC6"/>
    <w:rsid w:val="00803D3B"/>
    <w:rsid w:val="0080410E"/>
    <w:rsid w:val="00804B5F"/>
    <w:rsid w:val="00806478"/>
    <w:rsid w:val="0080715C"/>
    <w:rsid w:val="008072B8"/>
    <w:rsid w:val="008109A7"/>
    <w:rsid w:val="00810DEE"/>
    <w:rsid w:val="00813E7E"/>
    <w:rsid w:val="00814A8C"/>
    <w:rsid w:val="0082056D"/>
    <w:rsid w:val="0082125F"/>
    <w:rsid w:val="0082315A"/>
    <w:rsid w:val="00823A4E"/>
    <w:rsid w:val="008249F8"/>
    <w:rsid w:val="00824EB3"/>
    <w:rsid w:val="00826DA3"/>
    <w:rsid w:val="008301DA"/>
    <w:rsid w:val="00831F47"/>
    <w:rsid w:val="008339C1"/>
    <w:rsid w:val="00834A63"/>
    <w:rsid w:val="008356E1"/>
    <w:rsid w:val="00836F9A"/>
    <w:rsid w:val="00837A4A"/>
    <w:rsid w:val="0084078A"/>
    <w:rsid w:val="00842A70"/>
    <w:rsid w:val="0084329A"/>
    <w:rsid w:val="00844384"/>
    <w:rsid w:val="00846BB9"/>
    <w:rsid w:val="00847977"/>
    <w:rsid w:val="008507D5"/>
    <w:rsid w:val="00852212"/>
    <w:rsid w:val="008545E8"/>
    <w:rsid w:val="0085495D"/>
    <w:rsid w:val="00856099"/>
    <w:rsid w:val="00856D71"/>
    <w:rsid w:val="00857966"/>
    <w:rsid w:val="00860603"/>
    <w:rsid w:val="0086098B"/>
    <w:rsid w:val="00860A29"/>
    <w:rsid w:val="0086264B"/>
    <w:rsid w:val="00862BD0"/>
    <w:rsid w:val="008655F7"/>
    <w:rsid w:val="00867554"/>
    <w:rsid w:val="00870A37"/>
    <w:rsid w:val="008720AD"/>
    <w:rsid w:val="00874009"/>
    <w:rsid w:val="0087626F"/>
    <w:rsid w:val="0087716F"/>
    <w:rsid w:val="00877CDF"/>
    <w:rsid w:val="00882227"/>
    <w:rsid w:val="00883323"/>
    <w:rsid w:val="008844C9"/>
    <w:rsid w:val="00885029"/>
    <w:rsid w:val="00886DC5"/>
    <w:rsid w:val="00887567"/>
    <w:rsid w:val="008904CD"/>
    <w:rsid w:val="008906BE"/>
    <w:rsid w:val="008912AD"/>
    <w:rsid w:val="00892F0D"/>
    <w:rsid w:val="00894991"/>
    <w:rsid w:val="00896488"/>
    <w:rsid w:val="008971E7"/>
    <w:rsid w:val="008978B4"/>
    <w:rsid w:val="008A0199"/>
    <w:rsid w:val="008A0C1E"/>
    <w:rsid w:val="008A4BDA"/>
    <w:rsid w:val="008B39E7"/>
    <w:rsid w:val="008B4433"/>
    <w:rsid w:val="008B523B"/>
    <w:rsid w:val="008B5AA7"/>
    <w:rsid w:val="008B5D4B"/>
    <w:rsid w:val="008B7151"/>
    <w:rsid w:val="008B7E49"/>
    <w:rsid w:val="008C0DD3"/>
    <w:rsid w:val="008C3AD2"/>
    <w:rsid w:val="008C4275"/>
    <w:rsid w:val="008C499D"/>
    <w:rsid w:val="008C50D0"/>
    <w:rsid w:val="008C5106"/>
    <w:rsid w:val="008C62BB"/>
    <w:rsid w:val="008C73E8"/>
    <w:rsid w:val="008C7536"/>
    <w:rsid w:val="008C763A"/>
    <w:rsid w:val="008D0944"/>
    <w:rsid w:val="008D2D7B"/>
    <w:rsid w:val="008D32E9"/>
    <w:rsid w:val="008D523C"/>
    <w:rsid w:val="008D5669"/>
    <w:rsid w:val="008E22BD"/>
    <w:rsid w:val="008E24A3"/>
    <w:rsid w:val="008E25BE"/>
    <w:rsid w:val="008E27B5"/>
    <w:rsid w:val="008E3A9E"/>
    <w:rsid w:val="008E68F9"/>
    <w:rsid w:val="008F140A"/>
    <w:rsid w:val="008F1628"/>
    <w:rsid w:val="008F3514"/>
    <w:rsid w:val="008F4EB9"/>
    <w:rsid w:val="008F510D"/>
    <w:rsid w:val="008F567A"/>
    <w:rsid w:val="008F7B4F"/>
    <w:rsid w:val="00901F45"/>
    <w:rsid w:val="0090272D"/>
    <w:rsid w:val="00903A04"/>
    <w:rsid w:val="0090571C"/>
    <w:rsid w:val="00905BC0"/>
    <w:rsid w:val="009075DA"/>
    <w:rsid w:val="00907F87"/>
    <w:rsid w:val="00911D20"/>
    <w:rsid w:val="00913933"/>
    <w:rsid w:val="0091435A"/>
    <w:rsid w:val="009158E7"/>
    <w:rsid w:val="00921C80"/>
    <w:rsid w:val="00922A03"/>
    <w:rsid w:val="00922F35"/>
    <w:rsid w:val="00924816"/>
    <w:rsid w:val="00925FC2"/>
    <w:rsid w:val="00927AB6"/>
    <w:rsid w:val="00932EE7"/>
    <w:rsid w:val="009333E4"/>
    <w:rsid w:val="00933995"/>
    <w:rsid w:val="00934C0E"/>
    <w:rsid w:val="00937343"/>
    <w:rsid w:val="009407F8"/>
    <w:rsid w:val="00946658"/>
    <w:rsid w:val="009528DF"/>
    <w:rsid w:val="00952AC6"/>
    <w:rsid w:val="009530E6"/>
    <w:rsid w:val="009563D0"/>
    <w:rsid w:val="0095648A"/>
    <w:rsid w:val="00957F6E"/>
    <w:rsid w:val="009609A3"/>
    <w:rsid w:val="00960C06"/>
    <w:rsid w:val="00960DAD"/>
    <w:rsid w:val="00961B62"/>
    <w:rsid w:val="00963A90"/>
    <w:rsid w:val="00963E54"/>
    <w:rsid w:val="0096409A"/>
    <w:rsid w:val="0096778F"/>
    <w:rsid w:val="00967F6F"/>
    <w:rsid w:val="009707A9"/>
    <w:rsid w:val="009744CB"/>
    <w:rsid w:val="00974871"/>
    <w:rsid w:val="00975C55"/>
    <w:rsid w:val="00980D31"/>
    <w:rsid w:val="00981C81"/>
    <w:rsid w:val="00982E45"/>
    <w:rsid w:val="00984617"/>
    <w:rsid w:val="009849D7"/>
    <w:rsid w:val="009850DB"/>
    <w:rsid w:val="009854C5"/>
    <w:rsid w:val="00987469"/>
    <w:rsid w:val="00987694"/>
    <w:rsid w:val="00990CE8"/>
    <w:rsid w:val="009936CB"/>
    <w:rsid w:val="00993F8D"/>
    <w:rsid w:val="0099464C"/>
    <w:rsid w:val="009964C1"/>
    <w:rsid w:val="00997E64"/>
    <w:rsid w:val="00997EA3"/>
    <w:rsid w:val="009A1BFF"/>
    <w:rsid w:val="009A343E"/>
    <w:rsid w:val="009A5356"/>
    <w:rsid w:val="009B10A7"/>
    <w:rsid w:val="009B192F"/>
    <w:rsid w:val="009B1FA7"/>
    <w:rsid w:val="009B5137"/>
    <w:rsid w:val="009B5287"/>
    <w:rsid w:val="009B706E"/>
    <w:rsid w:val="009B7B99"/>
    <w:rsid w:val="009C0C38"/>
    <w:rsid w:val="009C1F0B"/>
    <w:rsid w:val="009C3069"/>
    <w:rsid w:val="009C45AC"/>
    <w:rsid w:val="009C45CE"/>
    <w:rsid w:val="009C56F3"/>
    <w:rsid w:val="009C57BB"/>
    <w:rsid w:val="009C608D"/>
    <w:rsid w:val="009C60A8"/>
    <w:rsid w:val="009C71AD"/>
    <w:rsid w:val="009C7621"/>
    <w:rsid w:val="009C782B"/>
    <w:rsid w:val="009C78DE"/>
    <w:rsid w:val="009D0734"/>
    <w:rsid w:val="009D082E"/>
    <w:rsid w:val="009D091E"/>
    <w:rsid w:val="009D1638"/>
    <w:rsid w:val="009D1B1F"/>
    <w:rsid w:val="009D1DE3"/>
    <w:rsid w:val="009D230E"/>
    <w:rsid w:val="009D264F"/>
    <w:rsid w:val="009D47FE"/>
    <w:rsid w:val="009D5179"/>
    <w:rsid w:val="009D680B"/>
    <w:rsid w:val="009D6B90"/>
    <w:rsid w:val="009D726E"/>
    <w:rsid w:val="009D7285"/>
    <w:rsid w:val="009E154A"/>
    <w:rsid w:val="009E5FEE"/>
    <w:rsid w:val="009E70E1"/>
    <w:rsid w:val="009F1E79"/>
    <w:rsid w:val="009F4D97"/>
    <w:rsid w:val="009F4DCB"/>
    <w:rsid w:val="00A001AC"/>
    <w:rsid w:val="00A036FE"/>
    <w:rsid w:val="00A04799"/>
    <w:rsid w:val="00A06026"/>
    <w:rsid w:val="00A062DE"/>
    <w:rsid w:val="00A06A26"/>
    <w:rsid w:val="00A07210"/>
    <w:rsid w:val="00A129D8"/>
    <w:rsid w:val="00A1335C"/>
    <w:rsid w:val="00A143B0"/>
    <w:rsid w:val="00A14800"/>
    <w:rsid w:val="00A157AF"/>
    <w:rsid w:val="00A159A9"/>
    <w:rsid w:val="00A17B92"/>
    <w:rsid w:val="00A211DD"/>
    <w:rsid w:val="00A234E5"/>
    <w:rsid w:val="00A24167"/>
    <w:rsid w:val="00A259DB"/>
    <w:rsid w:val="00A31E28"/>
    <w:rsid w:val="00A33515"/>
    <w:rsid w:val="00A34803"/>
    <w:rsid w:val="00A37280"/>
    <w:rsid w:val="00A37700"/>
    <w:rsid w:val="00A37933"/>
    <w:rsid w:val="00A401F5"/>
    <w:rsid w:val="00A41993"/>
    <w:rsid w:val="00A43ED6"/>
    <w:rsid w:val="00A441F7"/>
    <w:rsid w:val="00A445D8"/>
    <w:rsid w:val="00A456D7"/>
    <w:rsid w:val="00A47EEC"/>
    <w:rsid w:val="00A5116E"/>
    <w:rsid w:val="00A5200F"/>
    <w:rsid w:val="00A53B37"/>
    <w:rsid w:val="00A544A4"/>
    <w:rsid w:val="00A548E0"/>
    <w:rsid w:val="00A5506E"/>
    <w:rsid w:val="00A55691"/>
    <w:rsid w:val="00A557F1"/>
    <w:rsid w:val="00A55DD9"/>
    <w:rsid w:val="00A563BE"/>
    <w:rsid w:val="00A57EEC"/>
    <w:rsid w:val="00A608D8"/>
    <w:rsid w:val="00A61461"/>
    <w:rsid w:val="00A61D2A"/>
    <w:rsid w:val="00A624CD"/>
    <w:rsid w:val="00A636DD"/>
    <w:rsid w:val="00A63C79"/>
    <w:rsid w:val="00A63DD8"/>
    <w:rsid w:val="00A63FE9"/>
    <w:rsid w:val="00A64183"/>
    <w:rsid w:val="00A6453F"/>
    <w:rsid w:val="00A64F95"/>
    <w:rsid w:val="00A65511"/>
    <w:rsid w:val="00A6653C"/>
    <w:rsid w:val="00A66C4F"/>
    <w:rsid w:val="00A66CF7"/>
    <w:rsid w:val="00A6778A"/>
    <w:rsid w:val="00A70A5C"/>
    <w:rsid w:val="00A71A12"/>
    <w:rsid w:val="00A74507"/>
    <w:rsid w:val="00A75343"/>
    <w:rsid w:val="00A75C80"/>
    <w:rsid w:val="00A76699"/>
    <w:rsid w:val="00A8183A"/>
    <w:rsid w:val="00A81C04"/>
    <w:rsid w:val="00A81EE8"/>
    <w:rsid w:val="00A82E52"/>
    <w:rsid w:val="00A871BF"/>
    <w:rsid w:val="00A87D8E"/>
    <w:rsid w:val="00A9368D"/>
    <w:rsid w:val="00A93B3B"/>
    <w:rsid w:val="00A94333"/>
    <w:rsid w:val="00A9435B"/>
    <w:rsid w:val="00A94BE0"/>
    <w:rsid w:val="00A95FE9"/>
    <w:rsid w:val="00A9638A"/>
    <w:rsid w:val="00A97DE4"/>
    <w:rsid w:val="00AA036A"/>
    <w:rsid w:val="00AA1036"/>
    <w:rsid w:val="00AA291C"/>
    <w:rsid w:val="00AA516C"/>
    <w:rsid w:val="00AA6303"/>
    <w:rsid w:val="00AA77C5"/>
    <w:rsid w:val="00AB161D"/>
    <w:rsid w:val="00AB4AB9"/>
    <w:rsid w:val="00AB4E89"/>
    <w:rsid w:val="00AB7966"/>
    <w:rsid w:val="00AC08A8"/>
    <w:rsid w:val="00AC08F7"/>
    <w:rsid w:val="00AC26D7"/>
    <w:rsid w:val="00AC2E69"/>
    <w:rsid w:val="00AC36ED"/>
    <w:rsid w:val="00AC39AD"/>
    <w:rsid w:val="00AC44B1"/>
    <w:rsid w:val="00AC51A9"/>
    <w:rsid w:val="00AC648D"/>
    <w:rsid w:val="00AD3143"/>
    <w:rsid w:val="00AD3B45"/>
    <w:rsid w:val="00AD5250"/>
    <w:rsid w:val="00AE1444"/>
    <w:rsid w:val="00AE1873"/>
    <w:rsid w:val="00AE2BAD"/>
    <w:rsid w:val="00AE2BF2"/>
    <w:rsid w:val="00AE3138"/>
    <w:rsid w:val="00AF097C"/>
    <w:rsid w:val="00AF2F65"/>
    <w:rsid w:val="00B02254"/>
    <w:rsid w:val="00B0370F"/>
    <w:rsid w:val="00B05E9C"/>
    <w:rsid w:val="00B06DB9"/>
    <w:rsid w:val="00B1013E"/>
    <w:rsid w:val="00B11527"/>
    <w:rsid w:val="00B12786"/>
    <w:rsid w:val="00B15150"/>
    <w:rsid w:val="00B16596"/>
    <w:rsid w:val="00B169DB"/>
    <w:rsid w:val="00B16C30"/>
    <w:rsid w:val="00B17E5A"/>
    <w:rsid w:val="00B20C01"/>
    <w:rsid w:val="00B21272"/>
    <w:rsid w:val="00B223D7"/>
    <w:rsid w:val="00B24149"/>
    <w:rsid w:val="00B261CC"/>
    <w:rsid w:val="00B27608"/>
    <w:rsid w:val="00B315A5"/>
    <w:rsid w:val="00B3181E"/>
    <w:rsid w:val="00B32B03"/>
    <w:rsid w:val="00B32C90"/>
    <w:rsid w:val="00B34C0E"/>
    <w:rsid w:val="00B355B3"/>
    <w:rsid w:val="00B3695A"/>
    <w:rsid w:val="00B4356B"/>
    <w:rsid w:val="00B45082"/>
    <w:rsid w:val="00B457B0"/>
    <w:rsid w:val="00B510F7"/>
    <w:rsid w:val="00B514AC"/>
    <w:rsid w:val="00B52CF0"/>
    <w:rsid w:val="00B531C6"/>
    <w:rsid w:val="00B55D43"/>
    <w:rsid w:val="00B55F6D"/>
    <w:rsid w:val="00B56411"/>
    <w:rsid w:val="00B56BA4"/>
    <w:rsid w:val="00B60298"/>
    <w:rsid w:val="00B604F4"/>
    <w:rsid w:val="00B60992"/>
    <w:rsid w:val="00B61080"/>
    <w:rsid w:val="00B65098"/>
    <w:rsid w:val="00B71430"/>
    <w:rsid w:val="00B72050"/>
    <w:rsid w:val="00B7252F"/>
    <w:rsid w:val="00B734CB"/>
    <w:rsid w:val="00B73645"/>
    <w:rsid w:val="00B7411F"/>
    <w:rsid w:val="00B77AAF"/>
    <w:rsid w:val="00B818E9"/>
    <w:rsid w:val="00B8478A"/>
    <w:rsid w:val="00B85F9A"/>
    <w:rsid w:val="00B86729"/>
    <w:rsid w:val="00B86A67"/>
    <w:rsid w:val="00B8736C"/>
    <w:rsid w:val="00B904CF"/>
    <w:rsid w:val="00B912B0"/>
    <w:rsid w:val="00B92C68"/>
    <w:rsid w:val="00B93C0C"/>
    <w:rsid w:val="00B94730"/>
    <w:rsid w:val="00B96064"/>
    <w:rsid w:val="00BA2AEE"/>
    <w:rsid w:val="00BA2B09"/>
    <w:rsid w:val="00BA3B1A"/>
    <w:rsid w:val="00BA73EA"/>
    <w:rsid w:val="00BA7B7A"/>
    <w:rsid w:val="00BB090C"/>
    <w:rsid w:val="00BB148B"/>
    <w:rsid w:val="00BB2BC6"/>
    <w:rsid w:val="00BB2FC2"/>
    <w:rsid w:val="00BB4610"/>
    <w:rsid w:val="00BB4F3A"/>
    <w:rsid w:val="00BB5167"/>
    <w:rsid w:val="00BB5E30"/>
    <w:rsid w:val="00BB65AC"/>
    <w:rsid w:val="00BB6BAF"/>
    <w:rsid w:val="00BC2A66"/>
    <w:rsid w:val="00BC549F"/>
    <w:rsid w:val="00BC5AFB"/>
    <w:rsid w:val="00BC63C9"/>
    <w:rsid w:val="00BD07E5"/>
    <w:rsid w:val="00BD15E4"/>
    <w:rsid w:val="00BD2412"/>
    <w:rsid w:val="00BD2557"/>
    <w:rsid w:val="00BD2D86"/>
    <w:rsid w:val="00BD4DDF"/>
    <w:rsid w:val="00BD76E4"/>
    <w:rsid w:val="00BE0C21"/>
    <w:rsid w:val="00BE6FFF"/>
    <w:rsid w:val="00BF06B1"/>
    <w:rsid w:val="00BF1E39"/>
    <w:rsid w:val="00BF3A07"/>
    <w:rsid w:val="00BF7111"/>
    <w:rsid w:val="00BF71A2"/>
    <w:rsid w:val="00BF7416"/>
    <w:rsid w:val="00C01EEF"/>
    <w:rsid w:val="00C0227F"/>
    <w:rsid w:val="00C03C77"/>
    <w:rsid w:val="00C03EE8"/>
    <w:rsid w:val="00C06304"/>
    <w:rsid w:val="00C06CF0"/>
    <w:rsid w:val="00C10C05"/>
    <w:rsid w:val="00C11581"/>
    <w:rsid w:val="00C11870"/>
    <w:rsid w:val="00C13834"/>
    <w:rsid w:val="00C13E84"/>
    <w:rsid w:val="00C14D31"/>
    <w:rsid w:val="00C15642"/>
    <w:rsid w:val="00C15A48"/>
    <w:rsid w:val="00C17FF3"/>
    <w:rsid w:val="00C213A8"/>
    <w:rsid w:val="00C2575E"/>
    <w:rsid w:val="00C26C00"/>
    <w:rsid w:val="00C27C69"/>
    <w:rsid w:val="00C31BB3"/>
    <w:rsid w:val="00C32D25"/>
    <w:rsid w:val="00C34475"/>
    <w:rsid w:val="00C35C01"/>
    <w:rsid w:val="00C41715"/>
    <w:rsid w:val="00C418A5"/>
    <w:rsid w:val="00C41A18"/>
    <w:rsid w:val="00C42E26"/>
    <w:rsid w:val="00C447E6"/>
    <w:rsid w:val="00C452BC"/>
    <w:rsid w:val="00C515DB"/>
    <w:rsid w:val="00C5294A"/>
    <w:rsid w:val="00C5434A"/>
    <w:rsid w:val="00C56358"/>
    <w:rsid w:val="00C569C0"/>
    <w:rsid w:val="00C5730C"/>
    <w:rsid w:val="00C62740"/>
    <w:rsid w:val="00C628CE"/>
    <w:rsid w:val="00C638D2"/>
    <w:rsid w:val="00C6519D"/>
    <w:rsid w:val="00C67405"/>
    <w:rsid w:val="00C71C10"/>
    <w:rsid w:val="00C76753"/>
    <w:rsid w:val="00C767FD"/>
    <w:rsid w:val="00C8010D"/>
    <w:rsid w:val="00C82014"/>
    <w:rsid w:val="00C82DAD"/>
    <w:rsid w:val="00C8706F"/>
    <w:rsid w:val="00C8745E"/>
    <w:rsid w:val="00C876F6"/>
    <w:rsid w:val="00C9000B"/>
    <w:rsid w:val="00C91BD4"/>
    <w:rsid w:val="00CA146D"/>
    <w:rsid w:val="00CA276C"/>
    <w:rsid w:val="00CA4754"/>
    <w:rsid w:val="00CA4BD2"/>
    <w:rsid w:val="00CA537D"/>
    <w:rsid w:val="00CA5757"/>
    <w:rsid w:val="00CA6681"/>
    <w:rsid w:val="00CB2B47"/>
    <w:rsid w:val="00CB34A8"/>
    <w:rsid w:val="00CB442A"/>
    <w:rsid w:val="00CB6BD5"/>
    <w:rsid w:val="00CB6C24"/>
    <w:rsid w:val="00CC1047"/>
    <w:rsid w:val="00CC1BCF"/>
    <w:rsid w:val="00CC1D51"/>
    <w:rsid w:val="00CC4563"/>
    <w:rsid w:val="00CC4912"/>
    <w:rsid w:val="00CC52B9"/>
    <w:rsid w:val="00CD0385"/>
    <w:rsid w:val="00CD1538"/>
    <w:rsid w:val="00CD1F48"/>
    <w:rsid w:val="00CD3C22"/>
    <w:rsid w:val="00CD663F"/>
    <w:rsid w:val="00CE1780"/>
    <w:rsid w:val="00CE1E32"/>
    <w:rsid w:val="00CE1F6F"/>
    <w:rsid w:val="00CE21FC"/>
    <w:rsid w:val="00CE2372"/>
    <w:rsid w:val="00CE47A2"/>
    <w:rsid w:val="00CE67E8"/>
    <w:rsid w:val="00CF035E"/>
    <w:rsid w:val="00CF328E"/>
    <w:rsid w:val="00CF3CAD"/>
    <w:rsid w:val="00CF5339"/>
    <w:rsid w:val="00CF683F"/>
    <w:rsid w:val="00CF79AC"/>
    <w:rsid w:val="00D016CD"/>
    <w:rsid w:val="00D02D07"/>
    <w:rsid w:val="00D0450A"/>
    <w:rsid w:val="00D05DDC"/>
    <w:rsid w:val="00D077FB"/>
    <w:rsid w:val="00D12567"/>
    <w:rsid w:val="00D12D21"/>
    <w:rsid w:val="00D14CBA"/>
    <w:rsid w:val="00D17FDB"/>
    <w:rsid w:val="00D24D10"/>
    <w:rsid w:val="00D25695"/>
    <w:rsid w:val="00D2675F"/>
    <w:rsid w:val="00D27316"/>
    <w:rsid w:val="00D2794A"/>
    <w:rsid w:val="00D27CCB"/>
    <w:rsid w:val="00D32C2B"/>
    <w:rsid w:val="00D34A2E"/>
    <w:rsid w:val="00D35FE7"/>
    <w:rsid w:val="00D43353"/>
    <w:rsid w:val="00D455AF"/>
    <w:rsid w:val="00D47759"/>
    <w:rsid w:val="00D51D36"/>
    <w:rsid w:val="00D545BC"/>
    <w:rsid w:val="00D563DF"/>
    <w:rsid w:val="00D61AD2"/>
    <w:rsid w:val="00D62ADE"/>
    <w:rsid w:val="00D63F80"/>
    <w:rsid w:val="00D65B64"/>
    <w:rsid w:val="00D66F63"/>
    <w:rsid w:val="00D670AE"/>
    <w:rsid w:val="00D67167"/>
    <w:rsid w:val="00D70359"/>
    <w:rsid w:val="00D70B67"/>
    <w:rsid w:val="00D7342F"/>
    <w:rsid w:val="00D76591"/>
    <w:rsid w:val="00D812ED"/>
    <w:rsid w:val="00D84D56"/>
    <w:rsid w:val="00D86459"/>
    <w:rsid w:val="00D8764B"/>
    <w:rsid w:val="00D900CB"/>
    <w:rsid w:val="00D91940"/>
    <w:rsid w:val="00D944F5"/>
    <w:rsid w:val="00D946AD"/>
    <w:rsid w:val="00D94A15"/>
    <w:rsid w:val="00D9502A"/>
    <w:rsid w:val="00D96068"/>
    <w:rsid w:val="00DA1573"/>
    <w:rsid w:val="00DA2C11"/>
    <w:rsid w:val="00DA5680"/>
    <w:rsid w:val="00DB1E96"/>
    <w:rsid w:val="00DB216C"/>
    <w:rsid w:val="00DB314B"/>
    <w:rsid w:val="00DB49EE"/>
    <w:rsid w:val="00DB4A67"/>
    <w:rsid w:val="00DB5EE0"/>
    <w:rsid w:val="00DC0BE8"/>
    <w:rsid w:val="00DC2FD1"/>
    <w:rsid w:val="00DC3306"/>
    <w:rsid w:val="00DC653B"/>
    <w:rsid w:val="00DC68BA"/>
    <w:rsid w:val="00DC6B5A"/>
    <w:rsid w:val="00DC6E41"/>
    <w:rsid w:val="00DC730E"/>
    <w:rsid w:val="00DC7369"/>
    <w:rsid w:val="00DC7E70"/>
    <w:rsid w:val="00DD0056"/>
    <w:rsid w:val="00DD10DA"/>
    <w:rsid w:val="00DD1D7F"/>
    <w:rsid w:val="00DD2F75"/>
    <w:rsid w:val="00DD3191"/>
    <w:rsid w:val="00DD5CCA"/>
    <w:rsid w:val="00DE0561"/>
    <w:rsid w:val="00DE0B8B"/>
    <w:rsid w:val="00DE3FBD"/>
    <w:rsid w:val="00DE44CF"/>
    <w:rsid w:val="00DE4504"/>
    <w:rsid w:val="00DE6BB7"/>
    <w:rsid w:val="00DE785E"/>
    <w:rsid w:val="00DF0EBA"/>
    <w:rsid w:val="00DF3DEC"/>
    <w:rsid w:val="00DF52E6"/>
    <w:rsid w:val="00DF666F"/>
    <w:rsid w:val="00DF777A"/>
    <w:rsid w:val="00DF7984"/>
    <w:rsid w:val="00DF7C23"/>
    <w:rsid w:val="00E01CE3"/>
    <w:rsid w:val="00E025CD"/>
    <w:rsid w:val="00E0264E"/>
    <w:rsid w:val="00E02674"/>
    <w:rsid w:val="00E03330"/>
    <w:rsid w:val="00E0358D"/>
    <w:rsid w:val="00E03B5B"/>
    <w:rsid w:val="00E054AC"/>
    <w:rsid w:val="00E05529"/>
    <w:rsid w:val="00E07D9E"/>
    <w:rsid w:val="00E1006D"/>
    <w:rsid w:val="00E12002"/>
    <w:rsid w:val="00E15948"/>
    <w:rsid w:val="00E16E33"/>
    <w:rsid w:val="00E17895"/>
    <w:rsid w:val="00E209BF"/>
    <w:rsid w:val="00E217BA"/>
    <w:rsid w:val="00E24F16"/>
    <w:rsid w:val="00E27415"/>
    <w:rsid w:val="00E27ECC"/>
    <w:rsid w:val="00E3214F"/>
    <w:rsid w:val="00E33C90"/>
    <w:rsid w:val="00E34AE3"/>
    <w:rsid w:val="00E36230"/>
    <w:rsid w:val="00E366E9"/>
    <w:rsid w:val="00E401FD"/>
    <w:rsid w:val="00E43725"/>
    <w:rsid w:val="00E45C8C"/>
    <w:rsid w:val="00E5253E"/>
    <w:rsid w:val="00E535C9"/>
    <w:rsid w:val="00E53757"/>
    <w:rsid w:val="00E54410"/>
    <w:rsid w:val="00E5559D"/>
    <w:rsid w:val="00E5625D"/>
    <w:rsid w:val="00E56E8F"/>
    <w:rsid w:val="00E57A82"/>
    <w:rsid w:val="00E602EF"/>
    <w:rsid w:val="00E625E3"/>
    <w:rsid w:val="00E648D1"/>
    <w:rsid w:val="00E64B64"/>
    <w:rsid w:val="00E66646"/>
    <w:rsid w:val="00E709F4"/>
    <w:rsid w:val="00E70BB2"/>
    <w:rsid w:val="00E70DDF"/>
    <w:rsid w:val="00E710F6"/>
    <w:rsid w:val="00E71FD8"/>
    <w:rsid w:val="00E7397D"/>
    <w:rsid w:val="00E74658"/>
    <w:rsid w:val="00E768A2"/>
    <w:rsid w:val="00E81E08"/>
    <w:rsid w:val="00E830B0"/>
    <w:rsid w:val="00E842A2"/>
    <w:rsid w:val="00E84A1C"/>
    <w:rsid w:val="00E90305"/>
    <w:rsid w:val="00E935B3"/>
    <w:rsid w:val="00E93FF9"/>
    <w:rsid w:val="00E9466E"/>
    <w:rsid w:val="00E96E24"/>
    <w:rsid w:val="00E97393"/>
    <w:rsid w:val="00E9791D"/>
    <w:rsid w:val="00EA1D2A"/>
    <w:rsid w:val="00EA21DA"/>
    <w:rsid w:val="00EA4107"/>
    <w:rsid w:val="00EA498A"/>
    <w:rsid w:val="00EA5767"/>
    <w:rsid w:val="00EA5CA5"/>
    <w:rsid w:val="00EA5FF3"/>
    <w:rsid w:val="00EA6138"/>
    <w:rsid w:val="00EA7948"/>
    <w:rsid w:val="00EB03EC"/>
    <w:rsid w:val="00EB1162"/>
    <w:rsid w:val="00EB226B"/>
    <w:rsid w:val="00EB2513"/>
    <w:rsid w:val="00EB3358"/>
    <w:rsid w:val="00EB335D"/>
    <w:rsid w:val="00EB47DD"/>
    <w:rsid w:val="00EB531C"/>
    <w:rsid w:val="00EB5612"/>
    <w:rsid w:val="00EB65C5"/>
    <w:rsid w:val="00EB6A1F"/>
    <w:rsid w:val="00EC047E"/>
    <w:rsid w:val="00EC461F"/>
    <w:rsid w:val="00EC73CD"/>
    <w:rsid w:val="00ED06F8"/>
    <w:rsid w:val="00ED0E1C"/>
    <w:rsid w:val="00ED2384"/>
    <w:rsid w:val="00ED6405"/>
    <w:rsid w:val="00ED7386"/>
    <w:rsid w:val="00EE0D7D"/>
    <w:rsid w:val="00EE40C6"/>
    <w:rsid w:val="00EE43AC"/>
    <w:rsid w:val="00EE53F5"/>
    <w:rsid w:val="00EE5C5D"/>
    <w:rsid w:val="00EE6241"/>
    <w:rsid w:val="00EE6515"/>
    <w:rsid w:val="00EE7DD8"/>
    <w:rsid w:val="00EF346D"/>
    <w:rsid w:val="00EF4426"/>
    <w:rsid w:val="00EF4DC5"/>
    <w:rsid w:val="00EF6594"/>
    <w:rsid w:val="00EF6A81"/>
    <w:rsid w:val="00EF7586"/>
    <w:rsid w:val="00EF7D1B"/>
    <w:rsid w:val="00EF7D33"/>
    <w:rsid w:val="00F01C74"/>
    <w:rsid w:val="00F0203A"/>
    <w:rsid w:val="00F04243"/>
    <w:rsid w:val="00F051C1"/>
    <w:rsid w:val="00F05C4A"/>
    <w:rsid w:val="00F06E41"/>
    <w:rsid w:val="00F103F3"/>
    <w:rsid w:val="00F10D99"/>
    <w:rsid w:val="00F1232C"/>
    <w:rsid w:val="00F13D66"/>
    <w:rsid w:val="00F17046"/>
    <w:rsid w:val="00F17297"/>
    <w:rsid w:val="00F20520"/>
    <w:rsid w:val="00F20C2D"/>
    <w:rsid w:val="00F22864"/>
    <w:rsid w:val="00F23B46"/>
    <w:rsid w:val="00F23C0C"/>
    <w:rsid w:val="00F2503D"/>
    <w:rsid w:val="00F251E8"/>
    <w:rsid w:val="00F25FC4"/>
    <w:rsid w:val="00F2772D"/>
    <w:rsid w:val="00F301BB"/>
    <w:rsid w:val="00F31666"/>
    <w:rsid w:val="00F317D9"/>
    <w:rsid w:val="00F325B4"/>
    <w:rsid w:val="00F337EB"/>
    <w:rsid w:val="00F34BC3"/>
    <w:rsid w:val="00F34C0F"/>
    <w:rsid w:val="00F34CD4"/>
    <w:rsid w:val="00F37830"/>
    <w:rsid w:val="00F40FB9"/>
    <w:rsid w:val="00F41374"/>
    <w:rsid w:val="00F41ADA"/>
    <w:rsid w:val="00F43B6E"/>
    <w:rsid w:val="00F4488E"/>
    <w:rsid w:val="00F45A19"/>
    <w:rsid w:val="00F50350"/>
    <w:rsid w:val="00F51980"/>
    <w:rsid w:val="00F52B60"/>
    <w:rsid w:val="00F56079"/>
    <w:rsid w:val="00F56A10"/>
    <w:rsid w:val="00F56D5F"/>
    <w:rsid w:val="00F57356"/>
    <w:rsid w:val="00F5744C"/>
    <w:rsid w:val="00F57AD2"/>
    <w:rsid w:val="00F603DC"/>
    <w:rsid w:val="00F61598"/>
    <w:rsid w:val="00F61646"/>
    <w:rsid w:val="00F637F4"/>
    <w:rsid w:val="00F6655F"/>
    <w:rsid w:val="00F70D12"/>
    <w:rsid w:val="00F769C6"/>
    <w:rsid w:val="00F77404"/>
    <w:rsid w:val="00F77D1B"/>
    <w:rsid w:val="00F77DD5"/>
    <w:rsid w:val="00F85088"/>
    <w:rsid w:val="00F86153"/>
    <w:rsid w:val="00F862C6"/>
    <w:rsid w:val="00F909D0"/>
    <w:rsid w:val="00F91470"/>
    <w:rsid w:val="00F9446B"/>
    <w:rsid w:val="00F96BEC"/>
    <w:rsid w:val="00FA07FB"/>
    <w:rsid w:val="00FA11F5"/>
    <w:rsid w:val="00FA2E77"/>
    <w:rsid w:val="00FA33AC"/>
    <w:rsid w:val="00FA389E"/>
    <w:rsid w:val="00FA3A64"/>
    <w:rsid w:val="00FA644A"/>
    <w:rsid w:val="00FA743D"/>
    <w:rsid w:val="00FB3210"/>
    <w:rsid w:val="00FB5EE8"/>
    <w:rsid w:val="00FC0B10"/>
    <w:rsid w:val="00FC1051"/>
    <w:rsid w:val="00FC24F0"/>
    <w:rsid w:val="00FC2F4C"/>
    <w:rsid w:val="00FC3E26"/>
    <w:rsid w:val="00FC4E10"/>
    <w:rsid w:val="00FC513D"/>
    <w:rsid w:val="00FC53D8"/>
    <w:rsid w:val="00FC5B5F"/>
    <w:rsid w:val="00FC62CF"/>
    <w:rsid w:val="00FD1B85"/>
    <w:rsid w:val="00FD215B"/>
    <w:rsid w:val="00FD3C65"/>
    <w:rsid w:val="00FD4A8F"/>
    <w:rsid w:val="00FD6424"/>
    <w:rsid w:val="00FD7442"/>
    <w:rsid w:val="00FE020C"/>
    <w:rsid w:val="00FE02B2"/>
    <w:rsid w:val="00FE1872"/>
    <w:rsid w:val="00FE39A8"/>
    <w:rsid w:val="00FE4030"/>
    <w:rsid w:val="00FE4608"/>
    <w:rsid w:val="00FE515A"/>
    <w:rsid w:val="00FF00AD"/>
    <w:rsid w:val="00FF0CFF"/>
    <w:rsid w:val="00FF29DA"/>
    <w:rsid w:val="00FF3631"/>
    <w:rsid w:val="00FF38A4"/>
    <w:rsid w:val="00FF3CC4"/>
    <w:rsid w:val="00FF4C35"/>
    <w:rsid w:val="00FF4C46"/>
    <w:rsid w:val="00FF5020"/>
    <w:rsid w:val="00FF7280"/>
    <w:rsid w:val="00FF7C9C"/>
    <w:rsid w:val="01209B0F"/>
    <w:rsid w:val="013FD2D9"/>
    <w:rsid w:val="020F47DD"/>
    <w:rsid w:val="0220A251"/>
    <w:rsid w:val="03BBF324"/>
    <w:rsid w:val="03F1CF7A"/>
    <w:rsid w:val="04BF75A9"/>
    <w:rsid w:val="056BD250"/>
    <w:rsid w:val="0591C7AB"/>
    <w:rsid w:val="06DEFCAE"/>
    <w:rsid w:val="08475FA3"/>
    <w:rsid w:val="08ED40A9"/>
    <w:rsid w:val="0A0A0E83"/>
    <w:rsid w:val="0B9F770D"/>
    <w:rsid w:val="0C62E5F0"/>
    <w:rsid w:val="0DD6C424"/>
    <w:rsid w:val="10F7E896"/>
    <w:rsid w:val="111426E2"/>
    <w:rsid w:val="11D2F79B"/>
    <w:rsid w:val="128C9FEB"/>
    <w:rsid w:val="12E9F2CD"/>
    <w:rsid w:val="13541266"/>
    <w:rsid w:val="14494FFD"/>
    <w:rsid w:val="15EF8E98"/>
    <w:rsid w:val="16BD8E01"/>
    <w:rsid w:val="1712C94C"/>
    <w:rsid w:val="1733F43B"/>
    <w:rsid w:val="17C33EEE"/>
    <w:rsid w:val="18292431"/>
    <w:rsid w:val="19908275"/>
    <w:rsid w:val="1E608A3E"/>
    <w:rsid w:val="1F92765A"/>
    <w:rsid w:val="214DCF56"/>
    <w:rsid w:val="2280030F"/>
    <w:rsid w:val="259CD3FD"/>
    <w:rsid w:val="27E049EE"/>
    <w:rsid w:val="28660125"/>
    <w:rsid w:val="29C37854"/>
    <w:rsid w:val="2BE23CC1"/>
    <w:rsid w:val="2C43FFE7"/>
    <w:rsid w:val="2DCA0EF9"/>
    <w:rsid w:val="2E52FA3A"/>
    <w:rsid w:val="2E5D62D7"/>
    <w:rsid w:val="2FEECA9B"/>
    <w:rsid w:val="30E02516"/>
    <w:rsid w:val="31D157DE"/>
    <w:rsid w:val="33873FB6"/>
    <w:rsid w:val="34CD3F4C"/>
    <w:rsid w:val="350E1B3B"/>
    <w:rsid w:val="35633B38"/>
    <w:rsid w:val="37424E5B"/>
    <w:rsid w:val="38B734AC"/>
    <w:rsid w:val="38F4D0C8"/>
    <w:rsid w:val="39346DD3"/>
    <w:rsid w:val="3A2A1700"/>
    <w:rsid w:val="3CDA051B"/>
    <w:rsid w:val="3DEE7DBD"/>
    <w:rsid w:val="3E6AB43A"/>
    <w:rsid w:val="3F7A7B47"/>
    <w:rsid w:val="3F8EC62F"/>
    <w:rsid w:val="3F92B883"/>
    <w:rsid w:val="3FB83F73"/>
    <w:rsid w:val="3FB85B56"/>
    <w:rsid w:val="3FCAD959"/>
    <w:rsid w:val="41647EAB"/>
    <w:rsid w:val="423F1775"/>
    <w:rsid w:val="4453817E"/>
    <w:rsid w:val="463324B3"/>
    <w:rsid w:val="469E8129"/>
    <w:rsid w:val="46BB50CA"/>
    <w:rsid w:val="492DF402"/>
    <w:rsid w:val="4A29A725"/>
    <w:rsid w:val="4CB6A5C1"/>
    <w:rsid w:val="4F07324F"/>
    <w:rsid w:val="50413B1D"/>
    <w:rsid w:val="504E6BF6"/>
    <w:rsid w:val="50A75283"/>
    <w:rsid w:val="5162D3A0"/>
    <w:rsid w:val="56072793"/>
    <w:rsid w:val="566EFEA2"/>
    <w:rsid w:val="56A15006"/>
    <w:rsid w:val="57AB1493"/>
    <w:rsid w:val="5A1E0CE6"/>
    <w:rsid w:val="5B2D9824"/>
    <w:rsid w:val="5B3F8DD1"/>
    <w:rsid w:val="5D8816FA"/>
    <w:rsid w:val="5DA958B5"/>
    <w:rsid w:val="5DD1CBC1"/>
    <w:rsid w:val="5E2A6FF8"/>
    <w:rsid w:val="5E95AFB4"/>
    <w:rsid w:val="5EDCACA9"/>
    <w:rsid w:val="5F7723A0"/>
    <w:rsid w:val="60185698"/>
    <w:rsid w:val="6196DD7B"/>
    <w:rsid w:val="61CCCE91"/>
    <w:rsid w:val="62F61482"/>
    <w:rsid w:val="63098E40"/>
    <w:rsid w:val="633939E3"/>
    <w:rsid w:val="6341EB7B"/>
    <w:rsid w:val="652833A6"/>
    <w:rsid w:val="66949536"/>
    <w:rsid w:val="6708D0D8"/>
    <w:rsid w:val="675C278B"/>
    <w:rsid w:val="680AFE47"/>
    <w:rsid w:val="68F981DB"/>
    <w:rsid w:val="6A6303E6"/>
    <w:rsid w:val="6B4524B6"/>
    <w:rsid w:val="6C853E43"/>
    <w:rsid w:val="6D8A72FC"/>
    <w:rsid w:val="6DBC2027"/>
    <w:rsid w:val="711CEF62"/>
    <w:rsid w:val="73A00A66"/>
    <w:rsid w:val="74352BAB"/>
    <w:rsid w:val="7533E799"/>
    <w:rsid w:val="76F00195"/>
    <w:rsid w:val="7745E5FA"/>
    <w:rsid w:val="7886AF39"/>
    <w:rsid w:val="7A4F2FD2"/>
    <w:rsid w:val="7AB9E37D"/>
    <w:rsid w:val="7B994B8E"/>
    <w:rsid w:val="7BDDE8D5"/>
    <w:rsid w:val="7BEA6ACF"/>
    <w:rsid w:val="7C9C5394"/>
    <w:rsid w:val="7D2104B5"/>
    <w:rsid w:val="7EB8043C"/>
    <w:rsid w:val="7FB141E1"/>
    <w:rsid w:val="7FE53AF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9066"/>
  <w15:chartTrackingRefBased/>
  <w15:docId w15:val="{AA5515A6-F616-40E3-A662-03911E6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210"/>
    <w:pPr>
      <w:spacing w:after="200" w:line="360" w:lineRule="auto"/>
    </w:pPr>
    <w:rPr>
      <w:rFonts w:ascii="Arial" w:eastAsia="Calibri" w:hAnsi="Arial" w:cs="Times New Roman"/>
      <w:sz w:val="24"/>
    </w:rPr>
  </w:style>
  <w:style w:type="paragraph" w:styleId="Nagwek1">
    <w:name w:val="heading 1"/>
    <w:basedOn w:val="Normalny"/>
    <w:next w:val="Normalny"/>
    <w:link w:val="Nagwek1Znak"/>
    <w:uiPriority w:val="9"/>
    <w:qFormat/>
    <w:rsid w:val="00EE7DD8"/>
    <w:pPr>
      <w:keepNext/>
      <w:spacing w:before="240" w:after="60"/>
      <w:outlineLvl w:val="0"/>
    </w:pPr>
    <w:rPr>
      <w:rFonts w:eastAsia="Times New Roman"/>
      <w:b/>
      <w:bCs/>
      <w:kern w:val="32"/>
      <w:szCs w:val="32"/>
    </w:rPr>
  </w:style>
  <w:style w:type="paragraph" w:styleId="Nagwek2">
    <w:name w:val="heading 2"/>
    <w:basedOn w:val="Nagwek1"/>
    <w:next w:val="Normalny"/>
    <w:link w:val="Nagwek2Znak"/>
    <w:uiPriority w:val="9"/>
    <w:unhideWhenUsed/>
    <w:qFormat/>
    <w:rsid w:val="00EE7DD8"/>
    <w:pPr>
      <w:keepLines/>
      <w:spacing w:after="240"/>
      <w:outlineLvl w:val="1"/>
    </w:pPr>
    <w:rPr>
      <w:rFonts w:eastAsiaTheme="majorEastAsia" w:cstheme="majorBidi"/>
      <w:i/>
      <w:szCs w:val="26"/>
    </w:rPr>
  </w:style>
  <w:style w:type="paragraph" w:styleId="Nagwek3">
    <w:name w:val="heading 3"/>
    <w:basedOn w:val="Normalny"/>
    <w:next w:val="Normalny"/>
    <w:link w:val="Nagwek3Znak"/>
    <w:uiPriority w:val="9"/>
    <w:unhideWhenUsed/>
    <w:qFormat/>
    <w:rsid w:val="00283FA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283F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DD8"/>
    <w:rPr>
      <w:rFonts w:ascii="Arial" w:eastAsia="Times New Roman" w:hAnsi="Arial" w:cs="Times New Roman"/>
      <w:b/>
      <w:bCs/>
      <w:kern w:val="32"/>
      <w:sz w:val="24"/>
      <w:szCs w:val="32"/>
    </w:rPr>
  </w:style>
  <w:style w:type="paragraph" w:styleId="Stopka">
    <w:name w:val="footer"/>
    <w:basedOn w:val="Normalny"/>
    <w:link w:val="StopkaZnak"/>
    <w:uiPriority w:val="99"/>
    <w:unhideWhenUsed/>
    <w:rsid w:val="004B3FAA"/>
    <w:pPr>
      <w:tabs>
        <w:tab w:val="center" w:pos="4536"/>
        <w:tab w:val="right" w:pos="9072"/>
      </w:tabs>
    </w:pPr>
  </w:style>
  <w:style w:type="character" w:customStyle="1" w:styleId="StopkaZnak">
    <w:name w:val="Stopka Znak"/>
    <w:basedOn w:val="Domylnaczcionkaakapitu"/>
    <w:link w:val="Stopka"/>
    <w:uiPriority w:val="99"/>
    <w:rsid w:val="004B3FAA"/>
    <w:rPr>
      <w:rFonts w:ascii="Calibri" w:eastAsia="Calibri" w:hAnsi="Calibri" w:cs="Times New Roman"/>
    </w:rPr>
  </w:style>
  <w:style w:type="paragraph" w:styleId="Spistreci1">
    <w:name w:val="toc 1"/>
    <w:basedOn w:val="Normalny"/>
    <w:next w:val="Normalny"/>
    <w:autoRedefine/>
    <w:uiPriority w:val="39"/>
    <w:unhideWhenUsed/>
    <w:qFormat/>
    <w:rsid w:val="009C45AC"/>
    <w:pPr>
      <w:tabs>
        <w:tab w:val="right" w:leader="dot" w:pos="9062"/>
      </w:tabs>
    </w:pPr>
    <w:rPr>
      <w:rFonts w:cs="Arial"/>
      <w:noProof/>
      <w:lang w:eastAsia="pl-PL"/>
    </w:rPr>
  </w:style>
  <w:style w:type="character" w:styleId="Hipercze">
    <w:name w:val="Hyperlink"/>
    <w:uiPriority w:val="99"/>
    <w:unhideWhenUsed/>
    <w:rsid w:val="004B3FAA"/>
    <w:rPr>
      <w:color w:val="0000FF"/>
      <w:u w:val="single"/>
    </w:rPr>
  </w:style>
  <w:style w:type="character" w:customStyle="1" w:styleId="Ppogrubienie">
    <w:name w:val="_P_ – pogrubienie"/>
    <w:uiPriority w:val="1"/>
    <w:qFormat/>
    <w:rsid w:val="004B3FAA"/>
    <w:rPr>
      <w:b/>
    </w:rPr>
  </w:style>
  <w:style w:type="paragraph" w:styleId="Akapitzlist">
    <w:name w:val="List Paragraph"/>
    <w:aliases w:val="Numerowanie,List Paragraph,numerowanie lit,Punkt 1.1"/>
    <w:basedOn w:val="Normalny"/>
    <w:link w:val="AkapitzlistZnak"/>
    <w:uiPriority w:val="34"/>
    <w:qFormat/>
    <w:rsid w:val="004B3FAA"/>
    <w:pPr>
      <w:ind w:left="720"/>
      <w:contextualSpacing/>
    </w:pPr>
  </w:style>
  <w:style w:type="character" w:styleId="Odwoaniedokomentarza">
    <w:name w:val="annotation reference"/>
    <w:basedOn w:val="Domylnaczcionkaakapitu"/>
    <w:uiPriority w:val="99"/>
    <w:semiHidden/>
    <w:unhideWhenUsed/>
    <w:rsid w:val="00B92C68"/>
    <w:rPr>
      <w:sz w:val="16"/>
      <w:szCs w:val="16"/>
    </w:rPr>
  </w:style>
  <w:style w:type="paragraph" w:styleId="Tekstkomentarza">
    <w:name w:val="annotation text"/>
    <w:basedOn w:val="Normalny"/>
    <w:link w:val="TekstkomentarzaZnak"/>
    <w:uiPriority w:val="99"/>
    <w:unhideWhenUsed/>
    <w:rsid w:val="00B92C68"/>
    <w:pPr>
      <w:spacing w:line="240" w:lineRule="auto"/>
    </w:pPr>
    <w:rPr>
      <w:sz w:val="20"/>
      <w:szCs w:val="20"/>
    </w:rPr>
  </w:style>
  <w:style w:type="character" w:customStyle="1" w:styleId="TekstkomentarzaZnak">
    <w:name w:val="Tekst komentarza Znak"/>
    <w:basedOn w:val="Domylnaczcionkaakapitu"/>
    <w:link w:val="Tekstkomentarza"/>
    <w:uiPriority w:val="99"/>
    <w:rsid w:val="00B92C6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92C68"/>
    <w:rPr>
      <w:b/>
      <w:bCs/>
    </w:rPr>
  </w:style>
  <w:style w:type="character" w:customStyle="1" w:styleId="TematkomentarzaZnak">
    <w:name w:val="Temat komentarza Znak"/>
    <w:basedOn w:val="TekstkomentarzaZnak"/>
    <w:link w:val="Tematkomentarza"/>
    <w:uiPriority w:val="99"/>
    <w:semiHidden/>
    <w:rsid w:val="00B92C68"/>
    <w:rPr>
      <w:rFonts w:ascii="Calibri" w:eastAsia="Calibri" w:hAnsi="Calibri" w:cs="Times New Roman"/>
      <w:b/>
      <w:bCs/>
      <w:sz w:val="20"/>
      <w:szCs w:val="20"/>
    </w:rPr>
  </w:style>
  <w:style w:type="table" w:styleId="Tabela-Siatka">
    <w:name w:val="Table Grid"/>
    <w:basedOn w:val="Standardowy"/>
    <w:uiPriority w:val="39"/>
    <w:rsid w:val="0003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03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18E"/>
    <w:rPr>
      <w:rFonts w:ascii="Calibri" w:eastAsia="Calibri" w:hAnsi="Calibri" w:cs="Times New Roman"/>
    </w:rPr>
  </w:style>
  <w:style w:type="paragraph" w:styleId="Poprawka">
    <w:name w:val="Revision"/>
    <w:hidden/>
    <w:uiPriority w:val="99"/>
    <w:semiHidden/>
    <w:rsid w:val="0030318E"/>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BA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B1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A3B1A"/>
    <w:rPr>
      <w:vertAlign w:val="superscript"/>
    </w:rPr>
  </w:style>
  <w:style w:type="character" w:customStyle="1" w:styleId="AkapitzlistZnak">
    <w:name w:val="Akapit z listą Znak"/>
    <w:aliases w:val="Numerowanie Znak,List Paragraph Znak,numerowanie lit Znak,Punkt 1.1 Znak"/>
    <w:link w:val="Akapitzlist"/>
    <w:uiPriority w:val="34"/>
    <w:qFormat/>
    <w:locked/>
    <w:rsid w:val="00F01C74"/>
    <w:rPr>
      <w:rFonts w:ascii="Calibri" w:eastAsia="Calibri" w:hAnsi="Calibri" w:cs="Times New Roman"/>
    </w:rPr>
  </w:style>
  <w:style w:type="paragraph" w:customStyle="1" w:styleId="ARTartustawynprozporzdzenia">
    <w:name w:val="ART(§) – art. ustawy (§ np. rozporządzenia)"/>
    <w:uiPriority w:val="11"/>
    <w:qFormat/>
    <w:rsid w:val="00FA33A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FA33AC"/>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A33AC"/>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TYTDZOZNoznaczenietytuulubdziau">
    <w:name w:val="TYT(DZ)_OZN – oznaczenie tytułu lub działu"/>
    <w:next w:val="Normalny"/>
    <w:uiPriority w:val="9"/>
    <w:qFormat/>
    <w:rsid w:val="00FA33AC"/>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FA33AC"/>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NAZORGWYDnazwaorganuwydajcegoprojektowanyakt">
    <w:name w:val="NAZ_ORG_WYD – nazwa organu wydającego projektowany akt"/>
    <w:basedOn w:val="Normalny"/>
    <w:uiPriority w:val="27"/>
    <w:qFormat/>
    <w:rsid w:val="00FA33AC"/>
    <w:pPr>
      <w:keepNext/>
      <w:suppressAutoHyphens/>
      <w:spacing w:after="120"/>
      <w:ind w:left="4820"/>
      <w:jc w:val="center"/>
    </w:pPr>
    <w:rPr>
      <w:rFonts w:ascii="Times" w:eastAsia="Times New Roman" w:hAnsi="Times"/>
      <w:b/>
      <w:bCs/>
      <w:caps/>
      <w:kern w:val="24"/>
      <w:szCs w:val="24"/>
      <w:lang w:eastAsia="pl-PL"/>
    </w:rPr>
  </w:style>
  <w:style w:type="paragraph" w:customStyle="1" w:styleId="OZNZACZNIKAwskazanienrzacznika">
    <w:name w:val="OZN_ZAŁĄCZNIKA – wskazanie nr załącznika"/>
    <w:basedOn w:val="Normalny"/>
    <w:uiPriority w:val="28"/>
    <w:qFormat/>
    <w:rsid w:val="00FA33AC"/>
    <w:pPr>
      <w:keepNext/>
      <w:spacing w:after="0"/>
      <w:jc w:val="right"/>
    </w:pPr>
    <w:rPr>
      <w:rFonts w:ascii="Times New Roman" w:eastAsia="Times New Roman" w:hAnsi="Times New Roman" w:cs="Arial"/>
      <w:b/>
      <w:szCs w:val="20"/>
      <w:lang w:eastAsia="pl-PL"/>
    </w:rPr>
  </w:style>
  <w:style w:type="paragraph" w:customStyle="1" w:styleId="TEKSTZacznikido">
    <w:name w:val="TEKST&quot;Załącznik(i) do ...&quot;"/>
    <w:uiPriority w:val="28"/>
    <w:qFormat/>
    <w:rsid w:val="00FA33AC"/>
    <w:pPr>
      <w:keepNext/>
      <w:spacing w:after="240" w:line="240" w:lineRule="auto"/>
      <w:ind w:left="5670"/>
      <w:contextualSpacing/>
    </w:pPr>
    <w:rPr>
      <w:rFonts w:ascii="Times New Roman" w:eastAsia="Times New Roman" w:hAnsi="Times New Roman" w:cs="Arial"/>
      <w:sz w:val="24"/>
      <w:szCs w:val="20"/>
      <w:lang w:eastAsia="pl-PL"/>
    </w:rPr>
  </w:style>
  <w:style w:type="character" w:customStyle="1" w:styleId="Nagwek2Znak">
    <w:name w:val="Nagłówek 2 Znak"/>
    <w:basedOn w:val="Domylnaczcionkaakapitu"/>
    <w:link w:val="Nagwek2"/>
    <w:uiPriority w:val="9"/>
    <w:rsid w:val="00EE7DD8"/>
    <w:rPr>
      <w:rFonts w:ascii="Arial" w:eastAsiaTheme="majorEastAsia" w:hAnsi="Arial" w:cstheme="majorBidi"/>
      <w:b/>
      <w:bCs/>
      <w:i/>
      <w:kern w:val="32"/>
      <w:sz w:val="24"/>
      <w:szCs w:val="26"/>
    </w:rPr>
  </w:style>
  <w:style w:type="paragraph" w:styleId="Nagwekspisutreci">
    <w:name w:val="TOC Heading"/>
    <w:basedOn w:val="Nagwek1"/>
    <w:next w:val="Normalny"/>
    <w:uiPriority w:val="39"/>
    <w:unhideWhenUsed/>
    <w:qFormat/>
    <w:rsid w:val="00E36230"/>
    <w:pPr>
      <w:keepLines/>
      <w:spacing w:after="0" w:line="259" w:lineRule="auto"/>
      <w:outlineLvl w:val="9"/>
    </w:pPr>
    <w:rPr>
      <w:rFonts w:eastAsiaTheme="majorEastAsia" w:cstheme="majorBidi"/>
      <w:bCs w:val="0"/>
      <w:kern w:val="0"/>
      <w:sz w:val="32"/>
      <w:lang w:eastAsia="pl-PL"/>
    </w:rPr>
  </w:style>
  <w:style w:type="paragraph" w:styleId="Spistreci2">
    <w:name w:val="toc 2"/>
    <w:basedOn w:val="Normalny"/>
    <w:next w:val="Normalny"/>
    <w:autoRedefine/>
    <w:uiPriority w:val="39"/>
    <w:unhideWhenUsed/>
    <w:rsid w:val="00B604F4"/>
    <w:pPr>
      <w:tabs>
        <w:tab w:val="right" w:leader="dot" w:pos="9062"/>
      </w:tabs>
      <w:spacing w:after="100"/>
      <w:ind w:left="240"/>
    </w:pPr>
  </w:style>
  <w:style w:type="paragraph" w:styleId="Bezodstpw">
    <w:name w:val="No Spacing"/>
    <w:uiPriority w:val="1"/>
    <w:qFormat/>
    <w:rsid w:val="00E36230"/>
    <w:pPr>
      <w:spacing w:after="0" w:line="240" w:lineRule="auto"/>
    </w:pPr>
    <w:rPr>
      <w:rFonts w:ascii="Arial" w:eastAsia="Calibri" w:hAnsi="Arial" w:cs="Times New Roman"/>
      <w:sz w:val="24"/>
    </w:rPr>
  </w:style>
  <w:style w:type="character" w:customStyle="1" w:styleId="Nagwek3Znak">
    <w:name w:val="Nagłówek 3 Znak"/>
    <w:basedOn w:val="Domylnaczcionkaakapitu"/>
    <w:link w:val="Nagwek3"/>
    <w:uiPriority w:val="9"/>
    <w:rsid w:val="00283FA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83FAC"/>
    <w:rPr>
      <w:rFonts w:asciiTheme="majorHAnsi" w:eastAsiaTheme="majorEastAsia" w:hAnsiTheme="majorHAnsi" w:cstheme="majorBidi"/>
      <w:i/>
      <w:iCs/>
      <w:color w:val="2F5496" w:themeColor="accent1" w:themeShade="BF"/>
      <w:sz w:val="24"/>
    </w:rPr>
  </w:style>
  <w:style w:type="paragraph" w:styleId="Spistreci3">
    <w:name w:val="toc 3"/>
    <w:basedOn w:val="Normalny"/>
    <w:next w:val="Normalny"/>
    <w:autoRedefine/>
    <w:uiPriority w:val="39"/>
    <w:unhideWhenUsed/>
    <w:rsid w:val="00283FAC"/>
    <w:pPr>
      <w:spacing w:after="100"/>
      <w:ind w:left="480"/>
    </w:pPr>
  </w:style>
  <w:style w:type="paragraph" w:customStyle="1" w:styleId="paragraph">
    <w:name w:val="paragraph"/>
    <w:basedOn w:val="Normalny"/>
    <w:rsid w:val="00C03EE8"/>
    <w:pPr>
      <w:spacing w:before="100" w:beforeAutospacing="1" w:after="100" w:afterAutospacing="1" w:line="240" w:lineRule="auto"/>
    </w:pPr>
    <w:rPr>
      <w:rFonts w:ascii="Times New Roman" w:eastAsia="Times New Roman" w:hAnsi="Times New Roman"/>
      <w:szCs w:val="24"/>
      <w:lang w:eastAsia="pl-PL"/>
    </w:rPr>
  </w:style>
  <w:style w:type="character" w:customStyle="1" w:styleId="normaltextrun">
    <w:name w:val="normaltextrun"/>
    <w:basedOn w:val="Domylnaczcionkaakapitu"/>
    <w:rsid w:val="00C03EE8"/>
  </w:style>
  <w:style w:type="character" w:customStyle="1" w:styleId="eop">
    <w:name w:val="eop"/>
    <w:basedOn w:val="Domylnaczcionkaakapitu"/>
    <w:rsid w:val="00C03EE8"/>
  </w:style>
  <w:style w:type="character" w:customStyle="1" w:styleId="contextualspellingandgrammarerror">
    <w:name w:val="contextualspellingandgrammarerror"/>
    <w:basedOn w:val="Domylnaczcionkaakapitu"/>
    <w:rsid w:val="00C03EE8"/>
  </w:style>
  <w:style w:type="numbering" w:customStyle="1" w:styleId="Biecalista1">
    <w:name w:val="Bieżąca lista1"/>
    <w:uiPriority w:val="99"/>
    <w:rsid w:val="00D02D07"/>
    <w:pPr>
      <w:numPr>
        <w:numId w:val="4"/>
      </w:numPr>
    </w:pPr>
  </w:style>
  <w:style w:type="character" w:customStyle="1" w:styleId="spellingerror">
    <w:name w:val="spellingerror"/>
    <w:basedOn w:val="Domylnaczcionkaakapitu"/>
    <w:rsid w:val="00492CC9"/>
  </w:style>
  <w:style w:type="paragraph" w:styleId="NormalnyWeb">
    <w:name w:val="Normal (Web)"/>
    <w:basedOn w:val="Normalny"/>
    <w:uiPriority w:val="99"/>
    <w:semiHidden/>
    <w:unhideWhenUsed/>
    <w:rsid w:val="0061402F"/>
    <w:pPr>
      <w:spacing w:before="100" w:beforeAutospacing="1" w:after="100" w:afterAutospacing="1" w:line="240" w:lineRule="auto"/>
    </w:pPr>
    <w:rPr>
      <w:rFonts w:ascii="Times New Roman" w:eastAsia="Times New Roman" w:hAnsi="Times New Roman"/>
      <w:szCs w:val="24"/>
      <w:lang w:eastAsia="pl-PL"/>
    </w:rPr>
  </w:style>
  <w:style w:type="paragraph" w:customStyle="1" w:styleId="Default">
    <w:name w:val="Default"/>
    <w:rsid w:val="009E70E1"/>
    <w:pPr>
      <w:autoSpaceDE w:val="0"/>
      <w:autoSpaceDN w:val="0"/>
      <w:adjustRightInd w:val="0"/>
      <w:spacing w:after="0" w:line="240" w:lineRule="auto"/>
    </w:pPr>
    <w:rPr>
      <w:rFonts w:ascii="Arial" w:hAnsi="Arial" w:cs="Arial"/>
      <w:color w:val="000000"/>
      <w:sz w:val="24"/>
      <w:szCs w:val="24"/>
    </w:rPr>
  </w:style>
  <w:style w:type="paragraph" w:styleId="Spistreci4">
    <w:name w:val="toc 4"/>
    <w:basedOn w:val="Normalny"/>
    <w:next w:val="Normalny"/>
    <w:autoRedefine/>
    <w:uiPriority w:val="39"/>
    <w:unhideWhenUsed/>
    <w:rsid w:val="00B604F4"/>
    <w:pPr>
      <w:spacing w:after="100" w:line="259" w:lineRule="auto"/>
      <w:ind w:left="660"/>
    </w:pPr>
    <w:rPr>
      <w:rFonts w:asciiTheme="minorHAnsi" w:eastAsiaTheme="minorEastAsia" w:hAnsiTheme="minorHAnsi" w:cstheme="minorBidi"/>
      <w:kern w:val="2"/>
      <w:sz w:val="22"/>
      <w:lang w:eastAsia="pl-PL"/>
      <w14:ligatures w14:val="standardContextual"/>
    </w:rPr>
  </w:style>
  <w:style w:type="paragraph" w:styleId="Spistreci5">
    <w:name w:val="toc 5"/>
    <w:basedOn w:val="Normalny"/>
    <w:next w:val="Normalny"/>
    <w:autoRedefine/>
    <w:uiPriority w:val="39"/>
    <w:unhideWhenUsed/>
    <w:rsid w:val="00B604F4"/>
    <w:pPr>
      <w:spacing w:after="100" w:line="259" w:lineRule="auto"/>
      <w:ind w:left="880"/>
    </w:pPr>
    <w:rPr>
      <w:rFonts w:asciiTheme="minorHAnsi" w:eastAsiaTheme="minorEastAsia" w:hAnsiTheme="minorHAnsi" w:cstheme="minorBidi"/>
      <w:kern w:val="2"/>
      <w:sz w:val="22"/>
      <w:lang w:eastAsia="pl-PL"/>
      <w14:ligatures w14:val="standardContextual"/>
    </w:rPr>
  </w:style>
  <w:style w:type="paragraph" w:styleId="Spistreci6">
    <w:name w:val="toc 6"/>
    <w:basedOn w:val="Normalny"/>
    <w:next w:val="Normalny"/>
    <w:autoRedefine/>
    <w:uiPriority w:val="39"/>
    <w:unhideWhenUsed/>
    <w:rsid w:val="00B604F4"/>
    <w:pPr>
      <w:spacing w:after="100" w:line="259" w:lineRule="auto"/>
      <w:ind w:left="1100"/>
    </w:pPr>
    <w:rPr>
      <w:rFonts w:asciiTheme="minorHAnsi" w:eastAsiaTheme="minorEastAsia" w:hAnsiTheme="minorHAnsi" w:cstheme="minorBidi"/>
      <w:kern w:val="2"/>
      <w:sz w:val="22"/>
      <w:lang w:eastAsia="pl-PL"/>
      <w14:ligatures w14:val="standardContextual"/>
    </w:rPr>
  </w:style>
  <w:style w:type="paragraph" w:styleId="Spistreci7">
    <w:name w:val="toc 7"/>
    <w:basedOn w:val="Normalny"/>
    <w:next w:val="Normalny"/>
    <w:autoRedefine/>
    <w:uiPriority w:val="39"/>
    <w:unhideWhenUsed/>
    <w:rsid w:val="00B604F4"/>
    <w:pPr>
      <w:spacing w:after="100" w:line="259" w:lineRule="auto"/>
      <w:ind w:left="1320"/>
    </w:pPr>
    <w:rPr>
      <w:rFonts w:asciiTheme="minorHAnsi" w:eastAsiaTheme="minorEastAsia" w:hAnsiTheme="minorHAnsi" w:cstheme="minorBidi"/>
      <w:kern w:val="2"/>
      <w:sz w:val="22"/>
      <w:lang w:eastAsia="pl-PL"/>
      <w14:ligatures w14:val="standardContextual"/>
    </w:rPr>
  </w:style>
  <w:style w:type="paragraph" w:styleId="Spistreci8">
    <w:name w:val="toc 8"/>
    <w:basedOn w:val="Normalny"/>
    <w:next w:val="Normalny"/>
    <w:autoRedefine/>
    <w:uiPriority w:val="39"/>
    <w:unhideWhenUsed/>
    <w:rsid w:val="00B604F4"/>
    <w:pPr>
      <w:spacing w:after="100" w:line="259" w:lineRule="auto"/>
      <w:ind w:left="1540"/>
    </w:pPr>
    <w:rPr>
      <w:rFonts w:asciiTheme="minorHAnsi" w:eastAsiaTheme="minorEastAsia" w:hAnsiTheme="minorHAnsi" w:cstheme="minorBidi"/>
      <w:kern w:val="2"/>
      <w:sz w:val="22"/>
      <w:lang w:eastAsia="pl-PL"/>
      <w14:ligatures w14:val="standardContextual"/>
    </w:rPr>
  </w:style>
  <w:style w:type="paragraph" w:styleId="Spistreci9">
    <w:name w:val="toc 9"/>
    <w:basedOn w:val="Normalny"/>
    <w:next w:val="Normalny"/>
    <w:autoRedefine/>
    <w:uiPriority w:val="39"/>
    <w:unhideWhenUsed/>
    <w:rsid w:val="00B604F4"/>
    <w:pPr>
      <w:spacing w:after="100" w:line="259" w:lineRule="auto"/>
      <w:ind w:left="1760"/>
    </w:pPr>
    <w:rPr>
      <w:rFonts w:asciiTheme="minorHAnsi" w:eastAsiaTheme="minorEastAsia" w:hAnsiTheme="minorHAnsi" w:cstheme="minorBidi"/>
      <w:kern w:val="2"/>
      <w:sz w:val="22"/>
      <w:lang w:eastAsia="pl-PL"/>
      <w14:ligatures w14:val="standardContextual"/>
    </w:rPr>
  </w:style>
  <w:style w:type="character" w:styleId="Nierozpoznanawzmianka">
    <w:name w:val="Unresolved Mention"/>
    <w:basedOn w:val="Domylnaczcionkaakapitu"/>
    <w:uiPriority w:val="99"/>
    <w:semiHidden/>
    <w:unhideWhenUsed/>
    <w:rsid w:val="00B604F4"/>
    <w:rPr>
      <w:color w:val="605E5C"/>
      <w:shd w:val="clear" w:color="auto" w:fill="E1DFDD"/>
    </w:rPr>
  </w:style>
  <w:style w:type="paragraph" w:styleId="Tekstpodstawowy2">
    <w:name w:val="Body Text 2"/>
    <w:aliases w:val="Tekst podstawowy 2 Znak Znak"/>
    <w:basedOn w:val="Normalny"/>
    <w:link w:val="Tekstpodstawowy2Znak1"/>
    <w:uiPriority w:val="99"/>
    <w:qFormat/>
    <w:rsid w:val="00097D73"/>
    <w:pPr>
      <w:suppressAutoHyphens/>
      <w:spacing w:after="0" w:line="240" w:lineRule="auto"/>
      <w:jc w:val="both"/>
    </w:pPr>
    <w:rPr>
      <w:rFonts w:ascii="Times New Roman" w:eastAsia="MS Mincho" w:hAnsi="Times New Roman" w:cs="Liberation Serif"/>
      <w:color w:val="000000"/>
      <w:szCs w:val="24"/>
      <w:lang w:eastAsia="ar-SA"/>
    </w:rPr>
  </w:style>
  <w:style w:type="character" w:customStyle="1" w:styleId="Tekstpodstawowy2Znak">
    <w:name w:val="Tekst podstawowy 2 Znak"/>
    <w:basedOn w:val="Domylnaczcionkaakapitu"/>
    <w:uiPriority w:val="99"/>
    <w:semiHidden/>
    <w:rsid w:val="00097D73"/>
    <w:rPr>
      <w:rFonts w:ascii="Arial" w:eastAsia="Calibri" w:hAnsi="Arial" w:cs="Times New Roman"/>
      <w:sz w:val="24"/>
    </w:rPr>
  </w:style>
  <w:style w:type="character" w:customStyle="1" w:styleId="Tekstpodstawowy2Znak1">
    <w:name w:val="Tekst podstawowy 2 Znak1"/>
    <w:aliases w:val="Tekst podstawowy 2 Znak Znak Znak"/>
    <w:link w:val="Tekstpodstawowy2"/>
    <w:uiPriority w:val="99"/>
    <w:locked/>
    <w:rsid w:val="00097D73"/>
    <w:rPr>
      <w:rFonts w:ascii="Times New Roman" w:eastAsia="MS Mincho" w:hAnsi="Times New Roman" w:cs="Liberation Serif"/>
      <w:color w:val="000000"/>
      <w:sz w:val="24"/>
      <w:szCs w:val="24"/>
      <w:lang w:eastAsia="ar-SA"/>
    </w:rPr>
  </w:style>
  <w:style w:type="paragraph" w:customStyle="1" w:styleId="Akapit">
    <w:name w:val="Akapit"/>
    <w:basedOn w:val="Normalny"/>
    <w:rsid w:val="007B2306"/>
    <w:pPr>
      <w:numPr>
        <w:ilvl w:val="5"/>
        <w:numId w:val="87"/>
      </w:numPr>
      <w:spacing w:after="160" w:line="259" w:lineRule="auto"/>
    </w:pPr>
    <w:rPr>
      <w:rFonts w:asciiTheme="minorHAnsi" w:eastAsiaTheme="minorHAnsi" w:hAnsiTheme="minorHAnsi" w:cstheme="minorBidi"/>
      <w:sz w:val="22"/>
    </w:rPr>
  </w:style>
  <w:style w:type="character" w:styleId="UyteHipercze">
    <w:name w:val="FollowedHyperlink"/>
    <w:basedOn w:val="Domylnaczcionkaakapitu"/>
    <w:uiPriority w:val="99"/>
    <w:semiHidden/>
    <w:unhideWhenUsed/>
    <w:rsid w:val="00DF7C23"/>
    <w:rPr>
      <w:color w:val="954F72" w:themeColor="followedHyperlink"/>
      <w:u w:val="single"/>
    </w:rPr>
  </w:style>
  <w:style w:type="paragraph" w:customStyle="1" w:styleId="pf0">
    <w:name w:val="pf0"/>
    <w:basedOn w:val="Normalny"/>
    <w:rsid w:val="004B71FD"/>
    <w:pPr>
      <w:spacing w:before="100" w:beforeAutospacing="1" w:after="100" w:afterAutospacing="1" w:line="240" w:lineRule="auto"/>
    </w:pPr>
    <w:rPr>
      <w:rFonts w:ascii="Times New Roman" w:eastAsia="Times New Roman" w:hAnsi="Times New Roman"/>
      <w:szCs w:val="24"/>
      <w:lang w:eastAsia="pl-PL"/>
    </w:rPr>
  </w:style>
  <w:style w:type="character" w:customStyle="1" w:styleId="cf01">
    <w:name w:val="cf01"/>
    <w:basedOn w:val="Domylnaczcionkaakapitu"/>
    <w:rsid w:val="004B71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109">
      <w:bodyDiv w:val="1"/>
      <w:marLeft w:val="0"/>
      <w:marRight w:val="0"/>
      <w:marTop w:val="0"/>
      <w:marBottom w:val="0"/>
      <w:divBdr>
        <w:top w:val="none" w:sz="0" w:space="0" w:color="auto"/>
        <w:left w:val="none" w:sz="0" w:space="0" w:color="auto"/>
        <w:bottom w:val="none" w:sz="0" w:space="0" w:color="auto"/>
        <w:right w:val="none" w:sz="0" w:space="0" w:color="auto"/>
      </w:divBdr>
    </w:div>
    <w:div w:id="262223956">
      <w:bodyDiv w:val="1"/>
      <w:marLeft w:val="0"/>
      <w:marRight w:val="0"/>
      <w:marTop w:val="0"/>
      <w:marBottom w:val="0"/>
      <w:divBdr>
        <w:top w:val="none" w:sz="0" w:space="0" w:color="auto"/>
        <w:left w:val="none" w:sz="0" w:space="0" w:color="auto"/>
        <w:bottom w:val="none" w:sz="0" w:space="0" w:color="auto"/>
        <w:right w:val="none" w:sz="0" w:space="0" w:color="auto"/>
      </w:divBdr>
      <w:divsChild>
        <w:div w:id="2050915611">
          <w:marLeft w:val="0"/>
          <w:marRight w:val="0"/>
          <w:marTop w:val="0"/>
          <w:marBottom w:val="0"/>
          <w:divBdr>
            <w:top w:val="none" w:sz="0" w:space="0" w:color="auto"/>
            <w:left w:val="none" w:sz="0" w:space="0" w:color="auto"/>
            <w:bottom w:val="none" w:sz="0" w:space="0" w:color="auto"/>
            <w:right w:val="none" w:sz="0" w:space="0" w:color="auto"/>
          </w:divBdr>
        </w:div>
        <w:div w:id="1977955873">
          <w:marLeft w:val="0"/>
          <w:marRight w:val="0"/>
          <w:marTop w:val="0"/>
          <w:marBottom w:val="0"/>
          <w:divBdr>
            <w:top w:val="none" w:sz="0" w:space="0" w:color="auto"/>
            <w:left w:val="none" w:sz="0" w:space="0" w:color="auto"/>
            <w:bottom w:val="none" w:sz="0" w:space="0" w:color="auto"/>
            <w:right w:val="none" w:sz="0" w:space="0" w:color="auto"/>
          </w:divBdr>
        </w:div>
        <w:div w:id="1032611953">
          <w:marLeft w:val="0"/>
          <w:marRight w:val="0"/>
          <w:marTop w:val="0"/>
          <w:marBottom w:val="0"/>
          <w:divBdr>
            <w:top w:val="none" w:sz="0" w:space="0" w:color="auto"/>
            <w:left w:val="none" w:sz="0" w:space="0" w:color="auto"/>
            <w:bottom w:val="none" w:sz="0" w:space="0" w:color="auto"/>
            <w:right w:val="none" w:sz="0" w:space="0" w:color="auto"/>
          </w:divBdr>
        </w:div>
        <w:div w:id="479007861">
          <w:marLeft w:val="0"/>
          <w:marRight w:val="0"/>
          <w:marTop w:val="0"/>
          <w:marBottom w:val="0"/>
          <w:divBdr>
            <w:top w:val="none" w:sz="0" w:space="0" w:color="auto"/>
            <w:left w:val="none" w:sz="0" w:space="0" w:color="auto"/>
            <w:bottom w:val="none" w:sz="0" w:space="0" w:color="auto"/>
            <w:right w:val="none" w:sz="0" w:space="0" w:color="auto"/>
          </w:divBdr>
        </w:div>
        <w:div w:id="1506171584">
          <w:marLeft w:val="0"/>
          <w:marRight w:val="0"/>
          <w:marTop w:val="0"/>
          <w:marBottom w:val="0"/>
          <w:divBdr>
            <w:top w:val="none" w:sz="0" w:space="0" w:color="auto"/>
            <w:left w:val="none" w:sz="0" w:space="0" w:color="auto"/>
            <w:bottom w:val="none" w:sz="0" w:space="0" w:color="auto"/>
            <w:right w:val="none" w:sz="0" w:space="0" w:color="auto"/>
          </w:divBdr>
        </w:div>
        <w:div w:id="357892214">
          <w:marLeft w:val="0"/>
          <w:marRight w:val="0"/>
          <w:marTop w:val="0"/>
          <w:marBottom w:val="0"/>
          <w:divBdr>
            <w:top w:val="none" w:sz="0" w:space="0" w:color="auto"/>
            <w:left w:val="none" w:sz="0" w:space="0" w:color="auto"/>
            <w:bottom w:val="none" w:sz="0" w:space="0" w:color="auto"/>
            <w:right w:val="none" w:sz="0" w:space="0" w:color="auto"/>
          </w:divBdr>
        </w:div>
        <w:div w:id="311059399">
          <w:marLeft w:val="0"/>
          <w:marRight w:val="0"/>
          <w:marTop w:val="0"/>
          <w:marBottom w:val="0"/>
          <w:divBdr>
            <w:top w:val="none" w:sz="0" w:space="0" w:color="auto"/>
            <w:left w:val="none" w:sz="0" w:space="0" w:color="auto"/>
            <w:bottom w:val="none" w:sz="0" w:space="0" w:color="auto"/>
            <w:right w:val="none" w:sz="0" w:space="0" w:color="auto"/>
          </w:divBdr>
        </w:div>
        <w:div w:id="969165568">
          <w:marLeft w:val="0"/>
          <w:marRight w:val="0"/>
          <w:marTop w:val="0"/>
          <w:marBottom w:val="0"/>
          <w:divBdr>
            <w:top w:val="none" w:sz="0" w:space="0" w:color="auto"/>
            <w:left w:val="none" w:sz="0" w:space="0" w:color="auto"/>
            <w:bottom w:val="none" w:sz="0" w:space="0" w:color="auto"/>
            <w:right w:val="none" w:sz="0" w:space="0" w:color="auto"/>
          </w:divBdr>
        </w:div>
        <w:div w:id="1103376088">
          <w:marLeft w:val="0"/>
          <w:marRight w:val="0"/>
          <w:marTop w:val="0"/>
          <w:marBottom w:val="0"/>
          <w:divBdr>
            <w:top w:val="none" w:sz="0" w:space="0" w:color="auto"/>
            <w:left w:val="none" w:sz="0" w:space="0" w:color="auto"/>
            <w:bottom w:val="none" w:sz="0" w:space="0" w:color="auto"/>
            <w:right w:val="none" w:sz="0" w:space="0" w:color="auto"/>
          </w:divBdr>
        </w:div>
        <w:div w:id="1430152890">
          <w:marLeft w:val="0"/>
          <w:marRight w:val="0"/>
          <w:marTop w:val="0"/>
          <w:marBottom w:val="0"/>
          <w:divBdr>
            <w:top w:val="none" w:sz="0" w:space="0" w:color="auto"/>
            <w:left w:val="none" w:sz="0" w:space="0" w:color="auto"/>
            <w:bottom w:val="none" w:sz="0" w:space="0" w:color="auto"/>
            <w:right w:val="none" w:sz="0" w:space="0" w:color="auto"/>
          </w:divBdr>
        </w:div>
      </w:divsChild>
    </w:div>
    <w:div w:id="313267230">
      <w:bodyDiv w:val="1"/>
      <w:marLeft w:val="0"/>
      <w:marRight w:val="0"/>
      <w:marTop w:val="0"/>
      <w:marBottom w:val="0"/>
      <w:divBdr>
        <w:top w:val="none" w:sz="0" w:space="0" w:color="auto"/>
        <w:left w:val="none" w:sz="0" w:space="0" w:color="auto"/>
        <w:bottom w:val="none" w:sz="0" w:space="0" w:color="auto"/>
        <w:right w:val="none" w:sz="0" w:space="0" w:color="auto"/>
      </w:divBdr>
      <w:divsChild>
        <w:div w:id="1241527376">
          <w:marLeft w:val="0"/>
          <w:marRight w:val="0"/>
          <w:marTop w:val="0"/>
          <w:marBottom w:val="0"/>
          <w:divBdr>
            <w:top w:val="none" w:sz="0" w:space="0" w:color="auto"/>
            <w:left w:val="none" w:sz="0" w:space="0" w:color="auto"/>
            <w:bottom w:val="none" w:sz="0" w:space="0" w:color="auto"/>
            <w:right w:val="none" w:sz="0" w:space="0" w:color="auto"/>
          </w:divBdr>
        </w:div>
        <w:div w:id="2022776155">
          <w:marLeft w:val="0"/>
          <w:marRight w:val="0"/>
          <w:marTop w:val="0"/>
          <w:marBottom w:val="0"/>
          <w:divBdr>
            <w:top w:val="none" w:sz="0" w:space="0" w:color="auto"/>
            <w:left w:val="none" w:sz="0" w:space="0" w:color="auto"/>
            <w:bottom w:val="none" w:sz="0" w:space="0" w:color="auto"/>
            <w:right w:val="none" w:sz="0" w:space="0" w:color="auto"/>
          </w:divBdr>
        </w:div>
        <w:div w:id="1143959437">
          <w:marLeft w:val="0"/>
          <w:marRight w:val="0"/>
          <w:marTop w:val="0"/>
          <w:marBottom w:val="0"/>
          <w:divBdr>
            <w:top w:val="none" w:sz="0" w:space="0" w:color="auto"/>
            <w:left w:val="none" w:sz="0" w:space="0" w:color="auto"/>
            <w:bottom w:val="none" w:sz="0" w:space="0" w:color="auto"/>
            <w:right w:val="none" w:sz="0" w:space="0" w:color="auto"/>
          </w:divBdr>
        </w:div>
        <w:div w:id="526137334">
          <w:marLeft w:val="0"/>
          <w:marRight w:val="0"/>
          <w:marTop w:val="0"/>
          <w:marBottom w:val="0"/>
          <w:divBdr>
            <w:top w:val="none" w:sz="0" w:space="0" w:color="auto"/>
            <w:left w:val="none" w:sz="0" w:space="0" w:color="auto"/>
            <w:bottom w:val="none" w:sz="0" w:space="0" w:color="auto"/>
            <w:right w:val="none" w:sz="0" w:space="0" w:color="auto"/>
          </w:divBdr>
        </w:div>
        <w:div w:id="1918709187">
          <w:marLeft w:val="0"/>
          <w:marRight w:val="0"/>
          <w:marTop w:val="0"/>
          <w:marBottom w:val="0"/>
          <w:divBdr>
            <w:top w:val="none" w:sz="0" w:space="0" w:color="auto"/>
            <w:left w:val="none" w:sz="0" w:space="0" w:color="auto"/>
            <w:bottom w:val="none" w:sz="0" w:space="0" w:color="auto"/>
            <w:right w:val="none" w:sz="0" w:space="0" w:color="auto"/>
          </w:divBdr>
        </w:div>
        <w:div w:id="718015741">
          <w:marLeft w:val="0"/>
          <w:marRight w:val="0"/>
          <w:marTop w:val="0"/>
          <w:marBottom w:val="0"/>
          <w:divBdr>
            <w:top w:val="none" w:sz="0" w:space="0" w:color="auto"/>
            <w:left w:val="none" w:sz="0" w:space="0" w:color="auto"/>
            <w:bottom w:val="none" w:sz="0" w:space="0" w:color="auto"/>
            <w:right w:val="none" w:sz="0" w:space="0" w:color="auto"/>
          </w:divBdr>
        </w:div>
        <w:div w:id="1565141266">
          <w:marLeft w:val="0"/>
          <w:marRight w:val="0"/>
          <w:marTop w:val="0"/>
          <w:marBottom w:val="0"/>
          <w:divBdr>
            <w:top w:val="none" w:sz="0" w:space="0" w:color="auto"/>
            <w:left w:val="none" w:sz="0" w:space="0" w:color="auto"/>
            <w:bottom w:val="none" w:sz="0" w:space="0" w:color="auto"/>
            <w:right w:val="none" w:sz="0" w:space="0" w:color="auto"/>
          </w:divBdr>
        </w:div>
        <w:div w:id="992030900">
          <w:marLeft w:val="0"/>
          <w:marRight w:val="0"/>
          <w:marTop w:val="0"/>
          <w:marBottom w:val="0"/>
          <w:divBdr>
            <w:top w:val="none" w:sz="0" w:space="0" w:color="auto"/>
            <w:left w:val="none" w:sz="0" w:space="0" w:color="auto"/>
            <w:bottom w:val="none" w:sz="0" w:space="0" w:color="auto"/>
            <w:right w:val="none" w:sz="0" w:space="0" w:color="auto"/>
          </w:divBdr>
        </w:div>
        <w:div w:id="214590090">
          <w:marLeft w:val="0"/>
          <w:marRight w:val="0"/>
          <w:marTop w:val="0"/>
          <w:marBottom w:val="0"/>
          <w:divBdr>
            <w:top w:val="none" w:sz="0" w:space="0" w:color="auto"/>
            <w:left w:val="none" w:sz="0" w:space="0" w:color="auto"/>
            <w:bottom w:val="none" w:sz="0" w:space="0" w:color="auto"/>
            <w:right w:val="none" w:sz="0" w:space="0" w:color="auto"/>
          </w:divBdr>
        </w:div>
        <w:div w:id="1790395789">
          <w:marLeft w:val="0"/>
          <w:marRight w:val="0"/>
          <w:marTop w:val="0"/>
          <w:marBottom w:val="0"/>
          <w:divBdr>
            <w:top w:val="none" w:sz="0" w:space="0" w:color="auto"/>
            <w:left w:val="none" w:sz="0" w:space="0" w:color="auto"/>
            <w:bottom w:val="none" w:sz="0" w:space="0" w:color="auto"/>
            <w:right w:val="none" w:sz="0" w:space="0" w:color="auto"/>
          </w:divBdr>
        </w:div>
        <w:div w:id="1099183038">
          <w:marLeft w:val="0"/>
          <w:marRight w:val="0"/>
          <w:marTop w:val="0"/>
          <w:marBottom w:val="0"/>
          <w:divBdr>
            <w:top w:val="none" w:sz="0" w:space="0" w:color="auto"/>
            <w:left w:val="none" w:sz="0" w:space="0" w:color="auto"/>
            <w:bottom w:val="none" w:sz="0" w:space="0" w:color="auto"/>
            <w:right w:val="none" w:sz="0" w:space="0" w:color="auto"/>
          </w:divBdr>
        </w:div>
      </w:divsChild>
    </w:div>
    <w:div w:id="354774709">
      <w:bodyDiv w:val="1"/>
      <w:marLeft w:val="0"/>
      <w:marRight w:val="0"/>
      <w:marTop w:val="0"/>
      <w:marBottom w:val="0"/>
      <w:divBdr>
        <w:top w:val="none" w:sz="0" w:space="0" w:color="auto"/>
        <w:left w:val="none" w:sz="0" w:space="0" w:color="auto"/>
        <w:bottom w:val="none" w:sz="0" w:space="0" w:color="auto"/>
        <w:right w:val="none" w:sz="0" w:space="0" w:color="auto"/>
      </w:divBdr>
      <w:divsChild>
        <w:div w:id="403072376">
          <w:marLeft w:val="0"/>
          <w:marRight w:val="0"/>
          <w:marTop w:val="0"/>
          <w:marBottom w:val="0"/>
          <w:divBdr>
            <w:top w:val="none" w:sz="0" w:space="0" w:color="auto"/>
            <w:left w:val="none" w:sz="0" w:space="0" w:color="auto"/>
            <w:bottom w:val="none" w:sz="0" w:space="0" w:color="auto"/>
            <w:right w:val="none" w:sz="0" w:space="0" w:color="auto"/>
          </w:divBdr>
        </w:div>
        <w:div w:id="1187595524">
          <w:marLeft w:val="0"/>
          <w:marRight w:val="0"/>
          <w:marTop w:val="0"/>
          <w:marBottom w:val="0"/>
          <w:divBdr>
            <w:top w:val="none" w:sz="0" w:space="0" w:color="auto"/>
            <w:left w:val="none" w:sz="0" w:space="0" w:color="auto"/>
            <w:bottom w:val="none" w:sz="0" w:space="0" w:color="auto"/>
            <w:right w:val="none" w:sz="0" w:space="0" w:color="auto"/>
          </w:divBdr>
        </w:div>
        <w:div w:id="943734135">
          <w:marLeft w:val="0"/>
          <w:marRight w:val="0"/>
          <w:marTop w:val="0"/>
          <w:marBottom w:val="0"/>
          <w:divBdr>
            <w:top w:val="none" w:sz="0" w:space="0" w:color="auto"/>
            <w:left w:val="none" w:sz="0" w:space="0" w:color="auto"/>
            <w:bottom w:val="none" w:sz="0" w:space="0" w:color="auto"/>
            <w:right w:val="none" w:sz="0" w:space="0" w:color="auto"/>
          </w:divBdr>
        </w:div>
        <w:div w:id="416445311">
          <w:marLeft w:val="0"/>
          <w:marRight w:val="0"/>
          <w:marTop w:val="0"/>
          <w:marBottom w:val="0"/>
          <w:divBdr>
            <w:top w:val="none" w:sz="0" w:space="0" w:color="auto"/>
            <w:left w:val="none" w:sz="0" w:space="0" w:color="auto"/>
            <w:bottom w:val="none" w:sz="0" w:space="0" w:color="auto"/>
            <w:right w:val="none" w:sz="0" w:space="0" w:color="auto"/>
          </w:divBdr>
        </w:div>
        <w:div w:id="19284171">
          <w:marLeft w:val="0"/>
          <w:marRight w:val="0"/>
          <w:marTop w:val="0"/>
          <w:marBottom w:val="0"/>
          <w:divBdr>
            <w:top w:val="none" w:sz="0" w:space="0" w:color="auto"/>
            <w:left w:val="none" w:sz="0" w:space="0" w:color="auto"/>
            <w:bottom w:val="none" w:sz="0" w:space="0" w:color="auto"/>
            <w:right w:val="none" w:sz="0" w:space="0" w:color="auto"/>
          </w:divBdr>
        </w:div>
        <w:div w:id="1223373548">
          <w:marLeft w:val="0"/>
          <w:marRight w:val="0"/>
          <w:marTop w:val="0"/>
          <w:marBottom w:val="0"/>
          <w:divBdr>
            <w:top w:val="none" w:sz="0" w:space="0" w:color="auto"/>
            <w:left w:val="none" w:sz="0" w:space="0" w:color="auto"/>
            <w:bottom w:val="none" w:sz="0" w:space="0" w:color="auto"/>
            <w:right w:val="none" w:sz="0" w:space="0" w:color="auto"/>
          </w:divBdr>
        </w:div>
        <w:div w:id="278101110">
          <w:marLeft w:val="0"/>
          <w:marRight w:val="0"/>
          <w:marTop w:val="0"/>
          <w:marBottom w:val="0"/>
          <w:divBdr>
            <w:top w:val="none" w:sz="0" w:space="0" w:color="auto"/>
            <w:left w:val="none" w:sz="0" w:space="0" w:color="auto"/>
            <w:bottom w:val="none" w:sz="0" w:space="0" w:color="auto"/>
            <w:right w:val="none" w:sz="0" w:space="0" w:color="auto"/>
          </w:divBdr>
        </w:div>
        <w:div w:id="1764953998">
          <w:marLeft w:val="0"/>
          <w:marRight w:val="0"/>
          <w:marTop w:val="0"/>
          <w:marBottom w:val="0"/>
          <w:divBdr>
            <w:top w:val="none" w:sz="0" w:space="0" w:color="auto"/>
            <w:left w:val="none" w:sz="0" w:space="0" w:color="auto"/>
            <w:bottom w:val="none" w:sz="0" w:space="0" w:color="auto"/>
            <w:right w:val="none" w:sz="0" w:space="0" w:color="auto"/>
          </w:divBdr>
        </w:div>
        <w:div w:id="1222249589">
          <w:marLeft w:val="0"/>
          <w:marRight w:val="0"/>
          <w:marTop w:val="0"/>
          <w:marBottom w:val="0"/>
          <w:divBdr>
            <w:top w:val="none" w:sz="0" w:space="0" w:color="auto"/>
            <w:left w:val="none" w:sz="0" w:space="0" w:color="auto"/>
            <w:bottom w:val="none" w:sz="0" w:space="0" w:color="auto"/>
            <w:right w:val="none" w:sz="0" w:space="0" w:color="auto"/>
          </w:divBdr>
        </w:div>
        <w:div w:id="32001032">
          <w:marLeft w:val="0"/>
          <w:marRight w:val="0"/>
          <w:marTop w:val="0"/>
          <w:marBottom w:val="0"/>
          <w:divBdr>
            <w:top w:val="none" w:sz="0" w:space="0" w:color="auto"/>
            <w:left w:val="none" w:sz="0" w:space="0" w:color="auto"/>
            <w:bottom w:val="none" w:sz="0" w:space="0" w:color="auto"/>
            <w:right w:val="none" w:sz="0" w:space="0" w:color="auto"/>
          </w:divBdr>
        </w:div>
        <w:div w:id="1927179682">
          <w:marLeft w:val="0"/>
          <w:marRight w:val="0"/>
          <w:marTop w:val="0"/>
          <w:marBottom w:val="0"/>
          <w:divBdr>
            <w:top w:val="none" w:sz="0" w:space="0" w:color="auto"/>
            <w:left w:val="none" w:sz="0" w:space="0" w:color="auto"/>
            <w:bottom w:val="none" w:sz="0" w:space="0" w:color="auto"/>
            <w:right w:val="none" w:sz="0" w:space="0" w:color="auto"/>
          </w:divBdr>
        </w:div>
        <w:div w:id="53283498">
          <w:marLeft w:val="0"/>
          <w:marRight w:val="0"/>
          <w:marTop w:val="0"/>
          <w:marBottom w:val="0"/>
          <w:divBdr>
            <w:top w:val="none" w:sz="0" w:space="0" w:color="auto"/>
            <w:left w:val="none" w:sz="0" w:space="0" w:color="auto"/>
            <w:bottom w:val="none" w:sz="0" w:space="0" w:color="auto"/>
            <w:right w:val="none" w:sz="0" w:space="0" w:color="auto"/>
          </w:divBdr>
        </w:div>
        <w:div w:id="773672077">
          <w:marLeft w:val="0"/>
          <w:marRight w:val="0"/>
          <w:marTop w:val="0"/>
          <w:marBottom w:val="0"/>
          <w:divBdr>
            <w:top w:val="none" w:sz="0" w:space="0" w:color="auto"/>
            <w:left w:val="none" w:sz="0" w:space="0" w:color="auto"/>
            <w:bottom w:val="none" w:sz="0" w:space="0" w:color="auto"/>
            <w:right w:val="none" w:sz="0" w:space="0" w:color="auto"/>
          </w:divBdr>
        </w:div>
        <w:div w:id="1686978048">
          <w:marLeft w:val="0"/>
          <w:marRight w:val="0"/>
          <w:marTop w:val="0"/>
          <w:marBottom w:val="0"/>
          <w:divBdr>
            <w:top w:val="none" w:sz="0" w:space="0" w:color="auto"/>
            <w:left w:val="none" w:sz="0" w:space="0" w:color="auto"/>
            <w:bottom w:val="none" w:sz="0" w:space="0" w:color="auto"/>
            <w:right w:val="none" w:sz="0" w:space="0" w:color="auto"/>
          </w:divBdr>
        </w:div>
      </w:divsChild>
    </w:div>
    <w:div w:id="388114877">
      <w:bodyDiv w:val="1"/>
      <w:marLeft w:val="0"/>
      <w:marRight w:val="0"/>
      <w:marTop w:val="0"/>
      <w:marBottom w:val="0"/>
      <w:divBdr>
        <w:top w:val="none" w:sz="0" w:space="0" w:color="auto"/>
        <w:left w:val="none" w:sz="0" w:space="0" w:color="auto"/>
        <w:bottom w:val="none" w:sz="0" w:space="0" w:color="auto"/>
        <w:right w:val="none" w:sz="0" w:space="0" w:color="auto"/>
      </w:divBdr>
    </w:div>
    <w:div w:id="443574473">
      <w:bodyDiv w:val="1"/>
      <w:marLeft w:val="0"/>
      <w:marRight w:val="0"/>
      <w:marTop w:val="0"/>
      <w:marBottom w:val="0"/>
      <w:divBdr>
        <w:top w:val="none" w:sz="0" w:space="0" w:color="auto"/>
        <w:left w:val="none" w:sz="0" w:space="0" w:color="auto"/>
        <w:bottom w:val="none" w:sz="0" w:space="0" w:color="auto"/>
        <w:right w:val="none" w:sz="0" w:space="0" w:color="auto"/>
      </w:divBdr>
      <w:divsChild>
        <w:div w:id="2137871281">
          <w:marLeft w:val="0"/>
          <w:marRight w:val="0"/>
          <w:marTop w:val="0"/>
          <w:marBottom w:val="0"/>
          <w:divBdr>
            <w:top w:val="none" w:sz="0" w:space="0" w:color="auto"/>
            <w:left w:val="none" w:sz="0" w:space="0" w:color="auto"/>
            <w:bottom w:val="none" w:sz="0" w:space="0" w:color="auto"/>
            <w:right w:val="none" w:sz="0" w:space="0" w:color="auto"/>
          </w:divBdr>
        </w:div>
        <w:div w:id="1295912090">
          <w:marLeft w:val="0"/>
          <w:marRight w:val="0"/>
          <w:marTop w:val="0"/>
          <w:marBottom w:val="0"/>
          <w:divBdr>
            <w:top w:val="none" w:sz="0" w:space="0" w:color="auto"/>
            <w:left w:val="none" w:sz="0" w:space="0" w:color="auto"/>
            <w:bottom w:val="none" w:sz="0" w:space="0" w:color="auto"/>
            <w:right w:val="none" w:sz="0" w:space="0" w:color="auto"/>
          </w:divBdr>
        </w:div>
        <w:div w:id="2071881372">
          <w:marLeft w:val="0"/>
          <w:marRight w:val="0"/>
          <w:marTop w:val="0"/>
          <w:marBottom w:val="0"/>
          <w:divBdr>
            <w:top w:val="none" w:sz="0" w:space="0" w:color="auto"/>
            <w:left w:val="none" w:sz="0" w:space="0" w:color="auto"/>
            <w:bottom w:val="none" w:sz="0" w:space="0" w:color="auto"/>
            <w:right w:val="none" w:sz="0" w:space="0" w:color="auto"/>
          </w:divBdr>
        </w:div>
        <w:div w:id="287660355">
          <w:marLeft w:val="0"/>
          <w:marRight w:val="0"/>
          <w:marTop w:val="0"/>
          <w:marBottom w:val="0"/>
          <w:divBdr>
            <w:top w:val="none" w:sz="0" w:space="0" w:color="auto"/>
            <w:left w:val="none" w:sz="0" w:space="0" w:color="auto"/>
            <w:bottom w:val="none" w:sz="0" w:space="0" w:color="auto"/>
            <w:right w:val="none" w:sz="0" w:space="0" w:color="auto"/>
          </w:divBdr>
        </w:div>
        <w:div w:id="203296436">
          <w:marLeft w:val="0"/>
          <w:marRight w:val="0"/>
          <w:marTop w:val="0"/>
          <w:marBottom w:val="0"/>
          <w:divBdr>
            <w:top w:val="none" w:sz="0" w:space="0" w:color="auto"/>
            <w:left w:val="none" w:sz="0" w:space="0" w:color="auto"/>
            <w:bottom w:val="none" w:sz="0" w:space="0" w:color="auto"/>
            <w:right w:val="none" w:sz="0" w:space="0" w:color="auto"/>
          </w:divBdr>
        </w:div>
        <w:div w:id="185944550">
          <w:marLeft w:val="0"/>
          <w:marRight w:val="0"/>
          <w:marTop w:val="0"/>
          <w:marBottom w:val="0"/>
          <w:divBdr>
            <w:top w:val="none" w:sz="0" w:space="0" w:color="auto"/>
            <w:left w:val="none" w:sz="0" w:space="0" w:color="auto"/>
            <w:bottom w:val="none" w:sz="0" w:space="0" w:color="auto"/>
            <w:right w:val="none" w:sz="0" w:space="0" w:color="auto"/>
          </w:divBdr>
        </w:div>
        <w:div w:id="681401026">
          <w:marLeft w:val="0"/>
          <w:marRight w:val="0"/>
          <w:marTop w:val="0"/>
          <w:marBottom w:val="0"/>
          <w:divBdr>
            <w:top w:val="none" w:sz="0" w:space="0" w:color="auto"/>
            <w:left w:val="none" w:sz="0" w:space="0" w:color="auto"/>
            <w:bottom w:val="none" w:sz="0" w:space="0" w:color="auto"/>
            <w:right w:val="none" w:sz="0" w:space="0" w:color="auto"/>
          </w:divBdr>
        </w:div>
        <w:div w:id="1724527085">
          <w:marLeft w:val="0"/>
          <w:marRight w:val="0"/>
          <w:marTop w:val="0"/>
          <w:marBottom w:val="0"/>
          <w:divBdr>
            <w:top w:val="none" w:sz="0" w:space="0" w:color="auto"/>
            <w:left w:val="none" w:sz="0" w:space="0" w:color="auto"/>
            <w:bottom w:val="none" w:sz="0" w:space="0" w:color="auto"/>
            <w:right w:val="none" w:sz="0" w:space="0" w:color="auto"/>
          </w:divBdr>
        </w:div>
        <w:div w:id="1461144677">
          <w:marLeft w:val="0"/>
          <w:marRight w:val="0"/>
          <w:marTop w:val="0"/>
          <w:marBottom w:val="0"/>
          <w:divBdr>
            <w:top w:val="none" w:sz="0" w:space="0" w:color="auto"/>
            <w:left w:val="none" w:sz="0" w:space="0" w:color="auto"/>
            <w:bottom w:val="none" w:sz="0" w:space="0" w:color="auto"/>
            <w:right w:val="none" w:sz="0" w:space="0" w:color="auto"/>
          </w:divBdr>
        </w:div>
        <w:div w:id="1559970022">
          <w:marLeft w:val="0"/>
          <w:marRight w:val="0"/>
          <w:marTop w:val="0"/>
          <w:marBottom w:val="0"/>
          <w:divBdr>
            <w:top w:val="none" w:sz="0" w:space="0" w:color="auto"/>
            <w:left w:val="none" w:sz="0" w:space="0" w:color="auto"/>
            <w:bottom w:val="none" w:sz="0" w:space="0" w:color="auto"/>
            <w:right w:val="none" w:sz="0" w:space="0" w:color="auto"/>
          </w:divBdr>
        </w:div>
        <w:div w:id="1690328515">
          <w:marLeft w:val="0"/>
          <w:marRight w:val="0"/>
          <w:marTop w:val="0"/>
          <w:marBottom w:val="0"/>
          <w:divBdr>
            <w:top w:val="none" w:sz="0" w:space="0" w:color="auto"/>
            <w:left w:val="none" w:sz="0" w:space="0" w:color="auto"/>
            <w:bottom w:val="none" w:sz="0" w:space="0" w:color="auto"/>
            <w:right w:val="none" w:sz="0" w:space="0" w:color="auto"/>
          </w:divBdr>
        </w:div>
        <w:div w:id="659578674">
          <w:marLeft w:val="0"/>
          <w:marRight w:val="0"/>
          <w:marTop w:val="0"/>
          <w:marBottom w:val="0"/>
          <w:divBdr>
            <w:top w:val="none" w:sz="0" w:space="0" w:color="auto"/>
            <w:left w:val="none" w:sz="0" w:space="0" w:color="auto"/>
            <w:bottom w:val="none" w:sz="0" w:space="0" w:color="auto"/>
            <w:right w:val="none" w:sz="0" w:space="0" w:color="auto"/>
          </w:divBdr>
        </w:div>
        <w:div w:id="405109479">
          <w:marLeft w:val="0"/>
          <w:marRight w:val="0"/>
          <w:marTop w:val="0"/>
          <w:marBottom w:val="0"/>
          <w:divBdr>
            <w:top w:val="none" w:sz="0" w:space="0" w:color="auto"/>
            <w:left w:val="none" w:sz="0" w:space="0" w:color="auto"/>
            <w:bottom w:val="none" w:sz="0" w:space="0" w:color="auto"/>
            <w:right w:val="none" w:sz="0" w:space="0" w:color="auto"/>
          </w:divBdr>
        </w:div>
        <w:div w:id="230233327">
          <w:marLeft w:val="0"/>
          <w:marRight w:val="0"/>
          <w:marTop w:val="0"/>
          <w:marBottom w:val="0"/>
          <w:divBdr>
            <w:top w:val="none" w:sz="0" w:space="0" w:color="auto"/>
            <w:left w:val="none" w:sz="0" w:space="0" w:color="auto"/>
            <w:bottom w:val="none" w:sz="0" w:space="0" w:color="auto"/>
            <w:right w:val="none" w:sz="0" w:space="0" w:color="auto"/>
          </w:divBdr>
        </w:div>
      </w:divsChild>
    </w:div>
    <w:div w:id="455679456">
      <w:bodyDiv w:val="1"/>
      <w:marLeft w:val="0"/>
      <w:marRight w:val="0"/>
      <w:marTop w:val="0"/>
      <w:marBottom w:val="0"/>
      <w:divBdr>
        <w:top w:val="none" w:sz="0" w:space="0" w:color="auto"/>
        <w:left w:val="none" w:sz="0" w:space="0" w:color="auto"/>
        <w:bottom w:val="none" w:sz="0" w:space="0" w:color="auto"/>
        <w:right w:val="none" w:sz="0" w:space="0" w:color="auto"/>
      </w:divBdr>
    </w:div>
    <w:div w:id="461919756">
      <w:bodyDiv w:val="1"/>
      <w:marLeft w:val="0"/>
      <w:marRight w:val="0"/>
      <w:marTop w:val="0"/>
      <w:marBottom w:val="0"/>
      <w:divBdr>
        <w:top w:val="none" w:sz="0" w:space="0" w:color="auto"/>
        <w:left w:val="none" w:sz="0" w:space="0" w:color="auto"/>
        <w:bottom w:val="none" w:sz="0" w:space="0" w:color="auto"/>
        <w:right w:val="none" w:sz="0" w:space="0" w:color="auto"/>
      </w:divBdr>
    </w:div>
    <w:div w:id="480730147">
      <w:bodyDiv w:val="1"/>
      <w:marLeft w:val="0"/>
      <w:marRight w:val="0"/>
      <w:marTop w:val="0"/>
      <w:marBottom w:val="0"/>
      <w:divBdr>
        <w:top w:val="none" w:sz="0" w:space="0" w:color="auto"/>
        <w:left w:val="none" w:sz="0" w:space="0" w:color="auto"/>
        <w:bottom w:val="none" w:sz="0" w:space="0" w:color="auto"/>
        <w:right w:val="none" w:sz="0" w:space="0" w:color="auto"/>
      </w:divBdr>
      <w:divsChild>
        <w:div w:id="1701126363">
          <w:marLeft w:val="0"/>
          <w:marRight w:val="0"/>
          <w:marTop w:val="0"/>
          <w:marBottom w:val="0"/>
          <w:divBdr>
            <w:top w:val="none" w:sz="0" w:space="0" w:color="auto"/>
            <w:left w:val="none" w:sz="0" w:space="0" w:color="auto"/>
            <w:bottom w:val="none" w:sz="0" w:space="0" w:color="auto"/>
            <w:right w:val="none" w:sz="0" w:space="0" w:color="auto"/>
          </w:divBdr>
        </w:div>
        <w:div w:id="1459104845">
          <w:marLeft w:val="0"/>
          <w:marRight w:val="0"/>
          <w:marTop w:val="0"/>
          <w:marBottom w:val="0"/>
          <w:divBdr>
            <w:top w:val="none" w:sz="0" w:space="0" w:color="auto"/>
            <w:left w:val="none" w:sz="0" w:space="0" w:color="auto"/>
            <w:bottom w:val="none" w:sz="0" w:space="0" w:color="auto"/>
            <w:right w:val="none" w:sz="0" w:space="0" w:color="auto"/>
          </w:divBdr>
        </w:div>
        <w:div w:id="1186283669">
          <w:marLeft w:val="0"/>
          <w:marRight w:val="0"/>
          <w:marTop w:val="0"/>
          <w:marBottom w:val="0"/>
          <w:divBdr>
            <w:top w:val="none" w:sz="0" w:space="0" w:color="auto"/>
            <w:left w:val="none" w:sz="0" w:space="0" w:color="auto"/>
            <w:bottom w:val="none" w:sz="0" w:space="0" w:color="auto"/>
            <w:right w:val="none" w:sz="0" w:space="0" w:color="auto"/>
          </w:divBdr>
        </w:div>
        <w:div w:id="83918585">
          <w:marLeft w:val="0"/>
          <w:marRight w:val="0"/>
          <w:marTop w:val="0"/>
          <w:marBottom w:val="0"/>
          <w:divBdr>
            <w:top w:val="none" w:sz="0" w:space="0" w:color="auto"/>
            <w:left w:val="none" w:sz="0" w:space="0" w:color="auto"/>
            <w:bottom w:val="none" w:sz="0" w:space="0" w:color="auto"/>
            <w:right w:val="none" w:sz="0" w:space="0" w:color="auto"/>
          </w:divBdr>
        </w:div>
        <w:div w:id="1908226276">
          <w:marLeft w:val="0"/>
          <w:marRight w:val="0"/>
          <w:marTop w:val="0"/>
          <w:marBottom w:val="0"/>
          <w:divBdr>
            <w:top w:val="none" w:sz="0" w:space="0" w:color="auto"/>
            <w:left w:val="none" w:sz="0" w:space="0" w:color="auto"/>
            <w:bottom w:val="none" w:sz="0" w:space="0" w:color="auto"/>
            <w:right w:val="none" w:sz="0" w:space="0" w:color="auto"/>
          </w:divBdr>
        </w:div>
        <w:div w:id="1852137876">
          <w:marLeft w:val="0"/>
          <w:marRight w:val="0"/>
          <w:marTop w:val="0"/>
          <w:marBottom w:val="0"/>
          <w:divBdr>
            <w:top w:val="none" w:sz="0" w:space="0" w:color="auto"/>
            <w:left w:val="none" w:sz="0" w:space="0" w:color="auto"/>
            <w:bottom w:val="none" w:sz="0" w:space="0" w:color="auto"/>
            <w:right w:val="none" w:sz="0" w:space="0" w:color="auto"/>
          </w:divBdr>
        </w:div>
        <w:div w:id="737748695">
          <w:marLeft w:val="0"/>
          <w:marRight w:val="0"/>
          <w:marTop w:val="0"/>
          <w:marBottom w:val="0"/>
          <w:divBdr>
            <w:top w:val="none" w:sz="0" w:space="0" w:color="auto"/>
            <w:left w:val="none" w:sz="0" w:space="0" w:color="auto"/>
            <w:bottom w:val="none" w:sz="0" w:space="0" w:color="auto"/>
            <w:right w:val="none" w:sz="0" w:space="0" w:color="auto"/>
          </w:divBdr>
        </w:div>
        <w:div w:id="1961452482">
          <w:marLeft w:val="0"/>
          <w:marRight w:val="0"/>
          <w:marTop w:val="0"/>
          <w:marBottom w:val="0"/>
          <w:divBdr>
            <w:top w:val="none" w:sz="0" w:space="0" w:color="auto"/>
            <w:left w:val="none" w:sz="0" w:space="0" w:color="auto"/>
            <w:bottom w:val="none" w:sz="0" w:space="0" w:color="auto"/>
            <w:right w:val="none" w:sz="0" w:space="0" w:color="auto"/>
          </w:divBdr>
        </w:div>
        <w:div w:id="1303661216">
          <w:marLeft w:val="0"/>
          <w:marRight w:val="0"/>
          <w:marTop w:val="0"/>
          <w:marBottom w:val="0"/>
          <w:divBdr>
            <w:top w:val="none" w:sz="0" w:space="0" w:color="auto"/>
            <w:left w:val="none" w:sz="0" w:space="0" w:color="auto"/>
            <w:bottom w:val="none" w:sz="0" w:space="0" w:color="auto"/>
            <w:right w:val="none" w:sz="0" w:space="0" w:color="auto"/>
          </w:divBdr>
        </w:div>
        <w:div w:id="774440047">
          <w:marLeft w:val="0"/>
          <w:marRight w:val="0"/>
          <w:marTop w:val="0"/>
          <w:marBottom w:val="0"/>
          <w:divBdr>
            <w:top w:val="none" w:sz="0" w:space="0" w:color="auto"/>
            <w:left w:val="none" w:sz="0" w:space="0" w:color="auto"/>
            <w:bottom w:val="none" w:sz="0" w:space="0" w:color="auto"/>
            <w:right w:val="none" w:sz="0" w:space="0" w:color="auto"/>
          </w:divBdr>
        </w:div>
        <w:div w:id="1940677581">
          <w:marLeft w:val="0"/>
          <w:marRight w:val="0"/>
          <w:marTop w:val="0"/>
          <w:marBottom w:val="0"/>
          <w:divBdr>
            <w:top w:val="none" w:sz="0" w:space="0" w:color="auto"/>
            <w:left w:val="none" w:sz="0" w:space="0" w:color="auto"/>
            <w:bottom w:val="none" w:sz="0" w:space="0" w:color="auto"/>
            <w:right w:val="none" w:sz="0" w:space="0" w:color="auto"/>
          </w:divBdr>
        </w:div>
        <w:div w:id="170921654">
          <w:marLeft w:val="0"/>
          <w:marRight w:val="0"/>
          <w:marTop w:val="0"/>
          <w:marBottom w:val="0"/>
          <w:divBdr>
            <w:top w:val="none" w:sz="0" w:space="0" w:color="auto"/>
            <w:left w:val="none" w:sz="0" w:space="0" w:color="auto"/>
            <w:bottom w:val="none" w:sz="0" w:space="0" w:color="auto"/>
            <w:right w:val="none" w:sz="0" w:space="0" w:color="auto"/>
          </w:divBdr>
        </w:div>
        <w:div w:id="1926987300">
          <w:marLeft w:val="0"/>
          <w:marRight w:val="0"/>
          <w:marTop w:val="0"/>
          <w:marBottom w:val="0"/>
          <w:divBdr>
            <w:top w:val="none" w:sz="0" w:space="0" w:color="auto"/>
            <w:left w:val="none" w:sz="0" w:space="0" w:color="auto"/>
            <w:bottom w:val="none" w:sz="0" w:space="0" w:color="auto"/>
            <w:right w:val="none" w:sz="0" w:space="0" w:color="auto"/>
          </w:divBdr>
        </w:div>
        <w:div w:id="2106724046">
          <w:marLeft w:val="0"/>
          <w:marRight w:val="0"/>
          <w:marTop w:val="0"/>
          <w:marBottom w:val="0"/>
          <w:divBdr>
            <w:top w:val="none" w:sz="0" w:space="0" w:color="auto"/>
            <w:left w:val="none" w:sz="0" w:space="0" w:color="auto"/>
            <w:bottom w:val="none" w:sz="0" w:space="0" w:color="auto"/>
            <w:right w:val="none" w:sz="0" w:space="0" w:color="auto"/>
          </w:divBdr>
        </w:div>
        <w:div w:id="972253771">
          <w:marLeft w:val="0"/>
          <w:marRight w:val="0"/>
          <w:marTop w:val="0"/>
          <w:marBottom w:val="0"/>
          <w:divBdr>
            <w:top w:val="none" w:sz="0" w:space="0" w:color="auto"/>
            <w:left w:val="none" w:sz="0" w:space="0" w:color="auto"/>
            <w:bottom w:val="none" w:sz="0" w:space="0" w:color="auto"/>
            <w:right w:val="none" w:sz="0" w:space="0" w:color="auto"/>
          </w:divBdr>
        </w:div>
        <w:div w:id="570894436">
          <w:marLeft w:val="0"/>
          <w:marRight w:val="0"/>
          <w:marTop w:val="0"/>
          <w:marBottom w:val="0"/>
          <w:divBdr>
            <w:top w:val="none" w:sz="0" w:space="0" w:color="auto"/>
            <w:left w:val="none" w:sz="0" w:space="0" w:color="auto"/>
            <w:bottom w:val="none" w:sz="0" w:space="0" w:color="auto"/>
            <w:right w:val="none" w:sz="0" w:space="0" w:color="auto"/>
          </w:divBdr>
        </w:div>
        <w:div w:id="1812281893">
          <w:marLeft w:val="0"/>
          <w:marRight w:val="0"/>
          <w:marTop w:val="0"/>
          <w:marBottom w:val="0"/>
          <w:divBdr>
            <w:top w:val="none" w:sz="0" w:space="0" w:color="auto"/>
            <w:left w:val="none" w:sz="0" w:space="0" w:color="auto"/>
            <w:bottom w:val="none" w:sz="0" w:space="0" w:color="auto"/>
            <w:right w:val="none" w:sz="0" w:space="0" w:color="auto"/>
          </w:divBdr>
        </w:div>
        <w:div w:id="371737525">
          <w:marLeft w:val="0"/>
          <w:marRight w:val="0"/>
          <w:marTop w:val="0"/>
          <w:marBottom w:val="0"/>
          <w:divBdr>
            <w:top w:val="none" w:sz="0" w:space="0" w:color="auto"/>
            <w:left w:val="none" w:sz="0" w:space="0" w:color="auto"/>
            <w:bottom w:val="none" w:sz="0" w:space="0" w:color="auto"/>
            <w:right w:val="none" w:sz="0" w:space="0" w:color="auto"/>
          </w:divBdr>
        </w:div>
        <w:div w:id="1185902383">
          <w:marLeft w:val="0"/>
          <w:marRight w:val="0"/>
          <w:marTop w:val="0"/>
          <w:marBottom w:val="0"/>
          <w:divBdr>
            <w:top w:val="none" w:sz="0" w:space="0" w:color="auto"/>
            <w:left w:val="none" w:sz="0" w:space="0" w:color="auto"/>
            <w:bottom w:val="none" w:sz="0" w:space="0" w:color="auto"/>
            <w:right w:val="none" w:sz="0" w:space="0" w:color="auto"/>
          </w:divBdr>
        </w:div>
        <w:div w:id="904491063">
          <w:marLeft w:val="0"/>
          <w:marRight w:val="0"/>
          <w:marTop w:val="0"/>
          <w:marBottom w:val="0"/>
          <w:divBdr>
            <w:top w:val="none" w:sz="0" w:space="0" w:color="auto"/>
            <w:left w:val="none" w:sz="0" w:space="0" w:color="auto"/>
            <w:bottom w:val="none" w:sz="0" w:space="0" w:color="auto"/>
            <w:right w:val="none" w:sz="0" w:space="0" w:color="auto"/>
          </w:divBdr>
        </w:div>
      </w:divsChild>
    </w:div>
    <w:div w:id="781416913">
      <w:bodyDiv w:val="1"/>
      <w:marLeft w:val="0"/>
      <w:marRight w:val="0"/>
      <w:marTop w:val="0"/>
      <w:marBottom w:val="0"/>
      <w:divBdr>
        <w:top w:val="none" w:sz="0" w:space="0" w:color="auto"/>
        <w:left w:val="none" w:sz="0" w:space="0" w:color="auto"/>
        <w:bottom w:val="none" w:sz="0" w:space="0" w:color="auto"/>
        <w:right w:val="none" w:sz="0" w:space="0" w:color="auto"/>
      </w:divBdr>
      <w:divsChild>
        <w:div w:id="544222806">
          <w:marLeft w:val="0"/>
          <w:marRight w:val="0"/>
          <w:marTop w:val="0"/>
          <w:marBottom w:val="0"/>
          <w:divBdr>
            <w:top w:val="none" w:sz="0" w:space="0" w:color="auto"/>
            <w:left w:val="none" w:sz="0" w:space="0" w:color="auto"/>
            <w:bottom w:val="none" w:sz="0" w:space="0" w:color="auto"/>
            <w:right w:val="none" w:sz="0" w:space="0" w:color="auto"/>
          </w:divBdr>
        </w:div>
        <w:div w:id="801731062">
          <w:marLeft w:val="0"/>
          <w:marRight w:val="0"/>
          <w:marTop w:val="0"/>
          <w:marBottom w:val="0"/>
          <w:divBdr>
            <w:top w:val="none" w:sz="0" w:space="0" w:color="auto"/>
            <w:left w:val="none" w:sz="0" w:space="0" w:color="auto"/>
            <w:bottom w:val="none" w:sz="0" w:space="0" w:color="auto"/>
            <w:right w:val="none" w:sz="0" w:space="0" w:color="auto"/>
          </w:divBdr>
        </w:div>
        <w:div w:id="92014643">
          <w:marLeft w:val="0"/>
          <w:marRight w:val="0"/>
          <w:marTop w:val="0"/>
          <w:marBottom w:val="0"/>
          <w:divBdr>
            <w:top w:val="none" w:sz="0" w:space="0" w:color="auto"/>
            <w:left w:val="none" w:sz="0" w:space="0" w:color="auto"/>
            <w:bottom w:val="none" w:sz="0" w:space="0" w:color="auto"/>
            <w:right w:val="none" w:sz="0" w:space="0" w:color="auto"/>
          </w:divBdr>
        </w:div>
        <w:div w:id="632977545">
          <w:marLeft w:val="0"/>
          <w:marRight w:val="0"/>
          <w:marTop w:val="0"/>
          <w:marBottom w:val="0"/>
          <w:divBdr>
            <w:top w:val="none" w:sz="0" w:space="0" w:color="auto"/>
            <w:left w:val="none" w:sz="0" w:space="0" w:color="auto"/>
            <w:bottom w:val="none" w:sz="0" w:space="0" w:color="auto"/>
            <w:right w:val="none" w:sz="0" w:space="0" w:color="auto"/>
          </w:divBdr>
        </w:div>
        <w:div w:id="1166094475">
          <w:marLeft w:val="0"/>
          <w:marRight w:val="0"/>
          <w:marTop w:val="0"/>
          <w:marBottom w:val="0"/>
          <w:divBdr>
            <w:top w:val="none" w:sz="0" w:space="0" w:color="auto"/>
            <w:left w:val="none" w:sz="0" w:space="0" w:color="auto"/>
            <w:bottom w:val="none" w:sz="0" w:space="0" w:color="auto"/>
            <w:right w:val="none" w:sz="0" w:space="0" w:color="auto"/>
          </w:divBdr>
        </w:div>
        <w:div w:id="1440681199">
          <w:marLeft w:val="0"/>
          <w:marRight w:val="0"/>
          <w:marTop w:val="0"/>
          <w:marBottom w:val="0"/>
          <w:divBdr>
            <w:top w:val="none" w:sz="0" w:space="0" w:color="auto"/>
            <w:left w:val="none" w:sz="0" w:space="0" w:color="auto"/>
            <w:bottom w:val="none" w:sz="0" w:space="0" w:color="auto"/>
            <w:right w:val="none" w:sz="0" w:space="0" w:color="auto"/>
          </w:divBdr>
        </w:div>
        <w:div w:id="1092821645">
          <w:marLeft w:val="0"/>
          <w:marRight w:val="0"/>
          <w:marTop w:val="0"/>
          <w:marBottom w:val="0"/>
          <w:divBdr>
            <w:top w:val="none" w:sz="0" w:space="0" w:color="auto"/>
            <w:left w:val="none" w:sz="0" w:space="0" w:color="auto"/>
            <w:bottom w:val="none" w:sz="0" w:space="0" w:color="auto"/>
            <w:right w:val="none" w:sz="0" w:space="0" w:color="auto"/>
          </w:divBdr>
        </w:div>
        <w:div w:id="2109156214">
          <w:marLeft w:val="0"/>
          <w:marRight w:val="0"/>
          <w:marTop w:val="0"/>
          <w:marBottom w:val="0"/>
          <w:divBdr>
            <w:top w:val="none" w:sz="0" w:space="0" w:color="auto"/>
            <w:left w:val="none" w:sz="0" w:space="0" w:color="auto"/>
            <w:bottom w:val="none" w:sz="0" w:space="0" w:color="auto"/>
            <w:right w:val="none" w:sz="0" w:space="0" w:color="auto"/>
          </w:divBdr>
        </w:div>
        <w:div w:id="1386374516">
          <w:marLeft w:val="0"/>
          <w:marRight w:val="0"/>
          <w:marTop w:val="0"/>
          <w:marBottom w:val="0"/>
          <w:divBdr>
            <w:top w:val="none" w:sz="0" w:space="0" w:color="auto"/>
            <w:left w:val="none" w:sz="0" w:space="0" w:color="auto"/>
            <w:bottom w:val="none" w:sz="0" w:space="0" w:color="auto"/>
            <w:right w:val="none" w:sz="0" w:space="0" w:color="auto"/>
          </w:divBdr>
        </w:div>
        <w:div w:id="1146164514">
          <w:marLeft w:val="0"/>
          <w:marRight w:val="0"/>
          <w:marTop w:val="0"/>
          <w:marBottom w:val="0"/>
          <w:divBdr>
            <w:top w:val="none" w:sz="0" w:space="0" w:color="auto"/>
            <w:left w:val="none" w:sz="0" w:space="0" w:color="auto"/>
            <w:bottom w:val="none" w:sz="0" w:space="0" w:color="auto"/>
            <w:right w:val="none" w:sz="0" w:space="0" w:color="auto"/>
          </w:divBdr>
        </w:div>
        <w:div w:id="1104685907">
          <w:marLeft w:val="0"/>
          <w:marRight w:val="0"/>
          <w:marTop w:val="0"/>
          <w:marBottom w:val="0"/>
          <w:divBdr>
            <w:top w:val="none" w:sz="0" w:space="0" w:color="auto"/>
            <w:left w:val="none" w:sz="0" w:space="0" w:color="auto"/>
            <w:bottom w:val="none" w:sz="0" w:space="0" w:color="auto"/>
            <w:right w:val="none" w:sz="0" w:space="0" w:color="auto"/>
          </w:divBdr>
        </w:div>
        <w:div w:id="792091936">
          <w:marLeft w:val="0"/>
          <w:marRight w:val="0"/>
          <w:marTop w:val="0"/>
          <w:marBottom w:val="0"/>
          <w:divBdr>
            <w:top w:val="none" w:sz="0" w:space="0" w:color="auto"/>
            <w:left w:val="none" w:sz="0" w:space="0" w:color="auto"/>
            <w:bottom w:val="none" w:sz="0" w:space="0" w:color="auto"/>
            <w:right w:val="none" w:sz="0" w:space="0" w:color="auto"/>
          </w:divBdr>
        </w:div>
        <w:div w:id="691419960">
          <w:marLeft w:val="0"/>
          <w:marRight w:val="0"/>
          <w:marTop w:val="0"/>
          <w:marBottom w:val="0"/>
          <w:divBdr>
            <w:top w:val="none" w:sz="0" w:space="0" w:color="auto"/>
            <w:left w:val="none" w:sz="0" w:space="0" w:color="auto"/>
            <w:bottom w:val="none" w:sz="0" w:space="0" w:color="auto"/>
            <w:right w:val="none" w:sz="0" w:space="0" w:color="auto"/>
          </w:divBdr>
        </w:div>
        <w:div w:id="2035881181">
          <w:marLeft w:val="0"/>
          <w:marRight w:val="0"/>
          <w:marTop w:val="0"/>
          <w:marBottom w:val="0"/>
          <w:divBdr>
            <w:top w:val="none" w:sz="0" w:space="0" w:color="auto"/>
            <w:left w:val="none" w:sz="0" w:space="0" w:color="auto"/>
            <w:bottom w:val="none" w:sz="0" w:space="0" w:color="auto"/>
            <w:right w:val="none" w:sz="0" w:space="0" w:color="auto"/>
          </w:divBdr>
        </w:div>
        <w:div w:id="1672101049">
          <w:marLeft w:val="0"/>
          <w:marRight w:val="0"/>
          <w:marTop w:val="0"/>
          <w:marBottom w:val="0"/>
          <w:divBdr>
            <w:top w:val="none" w:sz="0" w:space="0" w:color="auto"/>
            <w:left w:val="none" w:sz="0" w:space="0" w:color="auto"/>
            <w:bottom w:val="none" w:sz="0" w:space="0" w:color="auto"/>
            <w:right w:val="none" w:sz="0" w:space="0" w:color="auto"/>
          </w:divBdr>
        </w:div>
        <w:div w:id="318121424">
          <w:marLeft w:val="0"/>
          <w:marRight w:val="0"/>
          <w:marTop w:val="0"/>
          <w:marBottom w:val="0"/>
          <w:divBdr>
            <w:top w:val="none" w:sz="0" w:space="0" w:color="auto"/>
            <w:left w:val="none" w:sz="0" w:space="0" w:color="auto"/>
            <w:bottom w:val="none" w:sz="0" w:space="0" w:color="auto"/>
            <w:right w:val="none" w:sz="0" w:space="0" w:color="auto"/>
          </w:divBdr>
        </w:div>
        <w:div w:id="970668618">
          <w:marLeft w:val="0"/>
          <w:marRight w:val="0"/>
          <w:marTop w:val="0"/>
          <w:marBottom w:val="0"/>
          <w:divBdr>
            <w:top w:val="none" w:sz="0" w:space="0" w:color="auto"/>
            <w:left w:val="none" w:sz="0" w:space="0" w:color="auto"/>
            <w:bottom w:val="none" w:sz="0" w:space="0" w:color="auto"/>
            <w:right w:val="none" w:sz="0" w:space="0" w:color="auto"/>
          </w:divBdr>
        </w:div>
        <w:div w:id="1320621001">
          <w:marLeft w:val="0"/>
          <w:marRight w:val="0"/>
          <w:marTop w:val="0"/>
          <w:marBottom w:val="0"/>
          <w:divBdr>
            <w:top w:val="none" w:sz="0" w:space="0" w:color="auto"/>
            <w:left w:val="none" w:sz="0" w:space="0" w:color="auto"/>
            <w:bottom w:val="none" w:sz="0" w:space="0" w:color="auto"/>
            <w:right w:val="none" w:sz="0" w:space="0" w:color="auto"/>
          </w:divBdr>
        </w:div>
        <w:div w:id="345597820">
          <w:marLeft w:val="0"/>
          <w:marRight w:val="0"/>
          <w:marTop w:val="0"/>
          <w:marBottom w:val="0"/>
          <w:divBdr>
            <w:top w:val="none" w:sz="0" w:space="0" w:color="auto"/>
            <w:left w:val="none" w:sz="0" w:space="0" w:color="auto"/>
            <w:bottom w:val="none" w:sz="0" w:space="0" w:color="auto"/>
            <w:right w:val="none" w:sz="0" w:space="0" w:color="auto"/>
          </w:divBdr>
        </w:div>
      </w:divsChild>
    </w:div>
    <w:div w:id="806817074">
      <w:bodyDiv w:val="1"/>
      <w:marLeft w:val="0"/>
      <w:marRight w:val="0"/>
      <w:marTop w:val="0"/>
      <w:marBottom w:val="0"/>
      <w:divBdr>
        <w:top w:val="none" w:sz="0" w:space="0" w:color="auto"/>
        <w:left w:val="none" w:sz="0" w:space="0" w:color="auto"/>
        <w:bottom w:val="none" w:sz="0" w:space="0" w:color="auto"/>
        <w:right w:val="none" w:sz="0" w:space="0" w:color="auto"/>
      </w:divBdr>
      <w:divsChild>
        <w:div w:id="863442711">
          <w:marLeft w:val="0"/>
          <w:marRight w:val="0"/>
          <w:marTop w:val="0"/>
          <w:marBottom w:val="0"/>
          <w:divBdr>
            <w:top w:val="none" w:sz="0" w:space="0" w:color="auto"/>
            <w:left w:val="none" w:sz="0" w:space="0" w:color="auto"/>
            <w:bottom w:val="none" w:sz="0" w:space="0" w:color="auto"/>
            <w:right w:val="none" w:sz="0" w:space="0" w:color="auto"/>
          </w:divBdr>
        </w:div>
        <w:div w:id="2039508363">
          <w:marLeft w:val="0"/>
          <w:marRight w:val="0"/>
          <w:marTop w:val="0"/>
          <w:marBottom w:val="0"/>
          <w:divBdr>
            <w:top w:val="none" w:sz="0" w:space="0" w:color="auto"/>
            <w:left w:val="none" w:sz="0" w:space="0" w:color="auto"/>
            <w:bottom w:val="none" w:sz="0" w:space="0" w:color="auto"/>
            <w:right w:val="none" w:sz="0" w:space="0" w:color="auto"/>
          </w:divBdr>
        </w:div>
        <w:div w:id="2069258841">
          <w:marLeft w:val="0"/>
          <w:marRight w:val="0"/>
          <w:marTop w:val="0"/>
          <w:marBottom w:val="0"/>
          <w:divBdr>
            <w:top w:val="none" w:sz="0" w:space="0" w:color="auto"/>
            <w:left w:val="none" w:sz="0" w:space="0" w:color="auto"/>
            <w:bottom w:val="none" w:sz="0" w:space="0" w:color="auto"/>
            <w:right w:val="none" w:sz="0" w:space="0" w:color="auto"/>
          </w:divBdr>
        </w:div>
        <w:div w:id="270623812">
          <w:marLeft w:val="0"/>
          <w:marRight w:val="0"/>
          <w:marTop w:val="0"/>
          <w:marBottom w:val="0"/>
          <w:divBdr>
            <w:top w:val="none" w:sz="0" w:space="0" w:color="auto"/>
            <w:left w:val="none" w:sz="0" w:space="0" w:color="auto"/>
            <w:bottom w:val="none" w:sz="0" w:space="0" w:color="auto"/>
            <w:right w:val="none" w:sz="0" w:space="0" w:color="auto"/>
          </w:divBdr>
        </w:div>
      </w:divsChild>
    </w:div>
    <w:div w:id="822743645">
      <w:bodyDiv w:val="1"/>
      <w:marLeft w:val="0"/>
      <w:marRight w:val="0"/>
      <w:marTop w:val="0"/>
      <w:marBottom w:val="0"/>
      <w:divBdr>
        <w:top w:val="none" w:sz="0" w:space="0" w:color="auto"/>
        <w:left w:val="none" w:sz="0" w:space="0" w:color="auto"/>
        <w:bottom w:val="none" w:sz="0" w:space="0" w:color="auto"/>
        <w:right w:val="none" w:sz="0" w:space="0" w:color="auto"/>
      </w:divBdr>
    </w:div>
    <w:div w:id="843933674">
      <w:bodyDiv w:val="1"/>
      <w:marLeft w:val="0"/>
      <w:marRight w:val="0"/>
      <w:marTop w:val="0"/>
      <w:marBottom w:val="0"/>
      <w:divBdr>
        <w:top w:val="none" w:sz="0" w:space="0" w:color="auto"/>
        <w:left w:val="none" w:sz="0" w:space="0" w:color="auto"/>
        <w:bottom w:val="none" w:sz="0" w:space="0" w:color="auto"/>
        <w:right w:val="none" w:sz="0" w:space="0" w:color="auto"/>
      </w:divBdr>
      <w:divsChild>
        <w:div w:id="638655194">
          <w:marLeft w:val="0"/>
          <w:marRight w:val="0"/>
          <w:marTop w:val="0"/>
          <w:marBottom w:val="0"/>
          <w:divBdr>
            <w:top w:val="none" w:sz="0" w:space="0" w:color="auto"/>
            <w:left w:val="none" w:sz="0" w:space="0" w:color="auto"/>
            <w:bottom w:val="none" w:sz="0" w:space="0" w:color="auto"/>
            <w:right w:val="none" w:sz="0" w:space="0" w:color="auto"/>
          </w:divBdr>
        </w:div>
        <w:div w:id="854536280">
          <w:marLeft w:val="0"/>
          <w:marRight w:val="0"/>
          <w:marTop w:val="0"/>
          <w:marBottom w:val="0"/>
          <w:divBdr>
            <w:top w:val="none" w:sz="0" w:space="0" w:color="auto"/>
            <w:left w:val="none" w:sz="0" w:space="0" w:color="auto"/>
            <w:bottom w:val="none" w:sz="0" w:space="0" w:color="auto"/>
            <w:right w:val="none" w:sz="0" w:space="0" w:color="auto"/>
          </w:divBdr>
        </w:div>
        <w:div w:id="684938095">
          <w:marLeft w:val="0"/>
          <w:marRight w:val="0"/>
          <w:marTop w:val="0"/>
          <w:marBottom w:val="0"/>
          <w:divBdr>
            <w:top w:val="none" w:sz="0" w:space="0" w:color="auto"/>
            <w:left w:val="none" w:sz="0" w:space="0" w:color="auto"/>
            <w:bottom w:val="none" w:sz="0" w:space="0" w:color="auto"/>
            <w:right w:val="none" w:sz="0" w:space="0" w:color="auto"/>
          </w:divBdr>
        </w:div>
        <w:div w:id="1684821410">
          <w:marLeft w:val="0"/>
          <w:marRight w:val="0"/>
          <w:marTop w:val="0"/>
          <w:marBottom w:val="0"/>
          <w:divBdr>
            <w:top w:val="none" w:sz="0" w:space="0" w:color="auto"/>
            <w:left w:val="none" w:sz="0" w:space="0" w:color="auto"/>
            <w:bottom w:val="none" w:sz="0" w:space="0" w:color="auto"/>
            <w:right w:val="none" w:sz="0" w:space="0" w:color="auto"/>
          </w:divBdr>
        </w:div>
        <w:div w:id="1547572110">
          <w:marLeft w:val="0"/>
          <w:marRight w:val="0"/>
          <w:marTop w:val="0"/>
          <w:marBottom w:val="0"/>
          <w:divBdr>
            <w:top w:val="none" w:sz="0" w:space="0" w:color="auto"/>
            <w:left w:val="none" w:sz="0" w:space="0" w:color="auto"/>
            <w:bottom w:val="none" w:sz="0" w:space="0" w:color="auto"/>
            <w:right w:val="none" w:sz="0" w:space="0" w:color="auto"/>
          </w:divBdr>
        </w:div>
        <w:div w:id="1307933505">
          <w:marLeft w:val="0"/>
          <w:marRight w:val="0"/>
          <w:marTop w:val="0"/>
          <w:marBottom w:val="0"/>
          <w:divBdr>
            <w:top w:val="none" w:sz="0" w:space="0" w:color="auto"/>
            <w:left w:val="none" w:sz="0" w:space="0" w:color="auto"/>
            <w:bottom w:val="none" w:sz="0" w:space="0" w:color="auto"/>
            <w:right w:val="none" w:sz="0" w:space="0" w:color="auto"/>
          </w:divBdr>
        </w:div>
        <w:div w:id="285278729">
          <w:marLeft w:val="0"/>
          <w:marRight w:val="0"/>
          <w:marTop w:val="0"/>
          <w:marBottom w:val="0"/>
          <w:divBdr>
            <w:top w:val="none" w:sz="0" w:space="0" w:color="auto"/>
            <w:left w:val="none" w:sz="0" w:space="0" w:color="auto"/>
            <w:bottom w:val="none" w:sz="0" w:space="0" w:color="auto"/>
            <w:right w:val="none" w:sz="0" w:space="0" w:color="auto"/>
          </w:divBdr>
        </w:div>
        <w:div w:id="375281196">
          <w:marLeft w:val="0"/>
          <w:marRight w:val="0"/>
          <w:marTop w:val="0"/>
          <w:marBottom w:val="0"/>
          <w:divBdr>
            <w:top w:val="none" w:sz="0" w:space="0" w:color="auto"/>
            <w:left w:val="none" w:sz="0" w:space="0" w:color="auto"/>
            <w:bottom w:val="none" w:sz="0" w:space="0" w:color="auto"/>
            <w:right w:val="none" w:sz="0" w:space="0" w:color="auto"/>
          </w:divBdr>
        </w:div>
        <w:div w:id="2081518714">
          <w:marLeft w:val="0"/>
          <w:marRight w:val="0"/>
          <w:marTop w:val="0"/>
          <w:marBottom w:val="0"/>
          <w:divBdr>
            <w:top w:val="none" w:sz="0" w:space="0" w:color="auto"/>
            <w:left w:val="none" w:sz="0" w:space="0" w:color="auto"/>
            <w:bottom w:val="none" w:sz="0" w:space="0" w:color="auto"/>
            <w:right w:val="none" w:sz="0" w:space="0" w:color="auto"/>
          </w:divBdr>
        </w:div>
        <w:div w:id="423840264">
          <w:marLeft w:val="0"/>
          <w:marRight w:val="0"/>
          <w:marTop w:val="0"/>
          <w:marBottom w:val="0"/>
          <w:divBdr>
            <w:top w:val="none" w:sz="0" w:space="0" w:color="auto"/>
            <w:left w:val="none" w:sz="0" w:space="0" w:color="auto"/>
            <w:bottom w:val="none" w:sz="0" w:space="0" w:color="auto"/>
            <w:right w:val="none" w:sz="0" w:space="0" w:color="auto"/>
          </w:divBdr>
        </w:div>
        <w:div w:id="1030377882">
          <w:marLeft w:val="0"/>
          <w:marRight w:val="0"/>
          <w:marTop w:val="0"/>
          <w:marBottom w:val="0"/>
          <w:divBdr>
            <w:top w:val="none" w:sz="0" w:space="0" w:color="auto"/>
            <w:left w:val="none" w:sz="0" w:space="0" w:color="auto"/>
            <w:bottom w:val="none" w:sz="0" w:space="0" w:color="auto"/>
            <w:right w:val="none" w:sz="0" w:space="0" w:color="auto"/>
          </w:divBdr>
        </w:div>
        <w:div w:id="628903649">
          <w:marLeft w:val="0"/>
          <w:marRight w:val="0"/>
          <w:marTop w:val="0"/>
          <w:marBottom w:val="0"/>
          <w:divBdr>
            <w:top w:val="none" w:sz="0" w:space="0" w:color="auto"/>
            <w:left w:val="none" w:sz="0" w:space="0" w:color="auto"/>
            <w:bottom w:val="none" w:sz="0" w:space="0" w:color="auto"/>
            <w:right w:val="none" w:sz="0" w:space="0" w:color="auto"/>
          </w:divBdr>
        </w:div>
        <w:div w:id="996760984">
          <w:marLeft w:val="0"/>
          <w:marRight w:val="0"/>
          <w:marTop w:val="0"/>
          <w:marBottom w:val="0"/>
          <w:divBdr>
            <w:top w:val="none" w:sz="0" w:space="0" w:color="auto"/>
            <w:left w:val="none" w:sz="0" w:space="0" w:color="auto"/>
            <w:bottom w:val="none" w:sz="0" w:space="0" w:color="auto"/>
            <w:right w:val="none" w:sz="0" w:space="0" w:color="auto"/>
          </w:divBdr>
        </w:div>
        <w:div w:id="639379947">
          <w:marLeft w:val="0"/>
          <w:marRight w:val="0"/>
          <w:marTop w:val="0"/>
          <w:marBottom w:val="0"/>
          <w:divBdr>
            <w:top w:val="none" w:sz="0" w:space="0" w:color="auto"/>
            <w:left w:val="none" w:sz="0" w:space="0" w:color="auto"/>
            <w:bottom w:val="none" w:sz="0" w:space="0" w:color="auto"/>
            <w:right w:val="none" w:sz="0" w:space="0" w:color="auto"/>
          </w:divBdr>
        </w:div>
      </w:divsChild>
    </w:div>
    <w:div w:id="851917688">
      <w:bodyDiv w:val="1"/>
      <w:marLeft w:val="0"/>
      <w:marRight w:val="0"/>
      <w:marTop w:val="0"/>
      <w:marBottom w:val="0"/>
      <w:divBdr>
        <w:top w:val="none" w:sz="0" w:space="0" w:color="auto"/>
        <w:left w:val="none" w:sz="0" w:space="0" w:color="auto"/>
        <w:bottom w:val="none" w:sz="0" w:space="0" w:color="auto"/>
        <w:right w:val="none" w:sz="0" w:space="0" w:color="auto"/>
      </w:divBdr>
      <w:divsChild>
        <w:div w:id="1192307487">
          <w:marLeft w:val="0"/>
          <w:marRight w:val="0"/>
          <w:marTop w:val="0"/>
          <w:marBottom w:val="0"/>
          <w:divBdr>
            <w:top w:val="none" w:sz="0" w:space="0" w:color="auto"/>
            <w:left w:val="none" w:sz="0" w:space="0" w:color="auto"/>
            <w:bottom w:val="none" w:sz="0" w:space="0" w:color="auto"/>
            <w:right w:val="none" w:sz="0" w:space="0" w:color="auto"/>
          </w:divBdr>
        </w:div>
        <w:div w:id="1199851848">
          <w:marLeft w:val="0"/>
          <w:marRight w:val="0"/>
          <w:marTop w:val="0"/>
          <w:marBottom w:val="0"/>
          <w:divBdr>
            <w:top w:val="none" w:sz="0" w:space="0" w:color="auto"/>
            <w:left w:val="none" w:sz="0" w:space="0" w:color="auto"/>
            <w:bottom w:val="none" w:sz="0" w:space="0" w:color="auto"/>
            <w:right w:val="none" w:sz="0" w:space="0" w:color="auto"/>
          </w:divBdr>
        </w:div>
        <w:div w:id="1342048686">
          <w:marLeft w:val="0"/>
          <w:marRight w:val="0"/>
          <w:marTop w:val="0"/>
          <w:marBottom w:val="0"/>
          <w:divBdr>
            <w:top w:val="none" w:sz="0" w:space="0" w:color="auto"/>
            <w:left w:val="none" w:sz="0" w:space="0" w:color="auto"/>
            <w:bottom w:val="none" w:sz="0" w:space="0" w:color="auto"/>
            <w:right w:val="none" w:sz="0" w:space="0" w:color="auto"/>
          </w:divBdr>
        </w:div>
        <w:div w:id="1779594751">
          <w:marLeft w:val="0"/>
          <w:marRight w:val="0"/>
          <w:marTop w:val="0"/>
          <w:marBottom w:val="0"/>
          <w:divBdr>
            <w:top w:val="none" w:sz="0" w:space="0" w:color="auto"/>
            <w:left w:val="none" w:sz="0" w:space="0" w:color="auto"/>
            <w:bottom w:val="none" w:sz="0" w:space="0" w:color="auto"/>
            <w:right w:val="none" w:sz="0" w:space="0" w:color="auto"/>
          </w:divBdr>
        </w:div>
        <w:div w:id="293948063">
          <w:marLeft w:val="0"/>
          <w:marRight w:val="0"/>
          <w:marTop w:val="0"/>
          <w:marBottom w:val="0"/>
          <w:divBdr>
            <w:top w:val="none" w:sz="0" w:space="0" w:color="auto"/>
            <w:left w:val="none" w:sz="0" w:space="0" w:color="auto"/>
            <w:bottom w:val="none" w:sz="0" w:space="0" w:color="auto"/>
            <w:right w:val="none" w:sz="0" w:space="0" w:color="auto"/>
          </w:divBdr>
        </w:div>
        <w:div w:id="1419596341">
          <w:marLeft w:val="0"/>
          <w:marRight w:val="0"/>
          <w:marTop w:val="0"/>
          <w:marBottom w:val="0"/>
          <w:divBdr>
            <w:top w:val="none" w:sz="0" w:space="0" w:color="auto"/>
            <w:left w:val="none" w:sz="0" w:space="0" w:color="auto"/>
            <w:bottom w:val="none" w:sz="0" w:space="0" w:color="auto"/>
            <w:right w:val="none" w:sz="0" w:space="0" w:color="auto"/>
          </w:divBdr>
        </w:div>
        <w:div w:id="2101558048">
          <w:marLeft w:val="0"/>
          <w:marRight w:val="0"/>
          <w:marTop w:val="0"/>
          <w:marBottom w:val="0"/>
          <w:divBdr>
            <w:top w:val="none" w:sz="0" w:space="0" w:color="auto"/>
            <w:left w:val="none" w:sz="0" w:space="0" w:color="auto"/>
            <w:bottom w:val="none" w:sz="0" w:space="0" w:color="auto"/>
            <w:right w:val="none" w:sz="0" w:space="0" w:color="auto"/>
          </w:divBdr>
        </w:div>
        <w:div w:id="2020159752">
          <w:marLeft w:val="0"/>
          <w:marRight w:val="0"/>
          <w:marTop w:val="0"/>
          <w:marBottom w:val="0"/>
          <w:divBdr>
            <w:top w:val="none" w:sz="0" w:space="0" w:color="auto"/>
            <w:left w:val="none" w:sz="0" w:space="0" w:color="auto"/>
            <w:bottom w:val="none" w:sz="0" w:space="0" w:color="auto"/>
            <w:right w:val="none" w:sz="0" w:space="0" w:color="auto"/>
          </w:divBdr>
        </w:div>
        <w:div w:id="1894928299">
          <w:marLeft w:val="0"/>
          <w:marRight w:val="0"/>
          <w:marTop w:val="0"/>
          <w:marBottom w:val="0"/>
          <w:divBdr>
            <w:top w:val="none" w:sz="0" w:space="0" w:color="auto"/>
            <w:left w:val="none" w:sz="0" w:space="0" w:color="auto"/>
            <w:bottom w:val="none" w:sz="0" w:space="0" w:color="auto"/>
            <w:right w:val="none" w:sz="0" w:space="0" w:color="auto"/>
          </w:divBdr>
        </w:div>
        <w:div w:id="1787237158">
          <w:marLeft w:val="0"/>
          <w:marRight w:val="0"/>
          <w:marTop w:val="0"/>
          <w:marBottom w:val="0"/>
          <w:divBdr>
            <w:top w:val="none" w:sz="0" w:space="0" w:color="auto"/>
            <w:left w:val="none" w:sz="0" w:space="0" w:color="auto"/>
            <w:bottom w:val="none" w:sz="0" w:space="0" w:color="auto"/>
            <w:right w:val="none" w:sz="0" w:space="0" w:color="auto"/>
          </w:divBdr>
        </w:div>
        <w:div w:id="811605068">
          <w:marLeft w:val="0"/>
          <w:marRight w:val="0"/>
          <w:marTop w:val="0"/>
          <w:marBottom w:val="0"/>
          <w:divBdr>
            <w:top w:val="none" w:sz="0" w:space="0" w:color="auto"/>
            <w:left w:val="none" w:sz="0" w:space="0" w:color="auto"/>
            <w:bottom w:val="none" w:sz="0" w:space="0" w:color="auto"/>
            <w:right w:val="none" w:sz="0" w:space="0" w:color="auto"/>
          </w:divBdr>
        </w:div>
        <w:div w:id="598099137">
          <w:marLeft w:val="0"/>
          <w:marRight w:val="0"/>
          <w:marTop w:val="0"/>
          <w:marBottom w:val="0"/>
          <w:divBdr>
            <w:top w:val="none" w:sz="0" w:space="0" w:color="auto"/>
            <w:left w:val="none" w:sz="0" w:space="0" w:color="auto"/>
            <w:bottom w:val="none" w:sz="0" w:space="0" w:color="auto"/>
            <w:right w:val="none" w:sz="0" w:space="0" w:color="auto"/>
          </w:divBdr>
        </w:div>
        <w:div w:id="521747256">
          <w:marLeft w:val="0"/>
          <w:marRight w:val="0"/>
          <w:marTop w:val="0"/>
          <w:marBottom w:val="0"/>
          <w:divBdr>
            <w:top w:val="none" w:sz="0" w:space="0" w:color="auto"/>
            <w:left w:val="none" w:sz="0" w:space="0" w:color="auto"/>
            <w:bottom w:val="none" w:sz="0" w:space="0" w:color="auto"/>
            <w:right w:val="none" w:sz="0" w:space="0" w:color="auto"/>
          </w:divBdr>
        </w:div>
        <w:div w:id="407457076">
          <w:marLeft w:val="0"/>
          <w:marRight w:val="0"/>
          <w:marTop w:val="0"/>
          <w:marBottom w:val="0"/>
          <w:divBdr>
            <w:top w:val="none" w:sz="0" w:space="0" w:color="auto"/>
            <w:left w:val="none" w:sz="0" w:space="0" w:color="auto"/>
            <w:bottom w:val="none" w:sz="0" w:space="0" w:color="auto"/>
            <w:right w:val="none" w:sz="0" w:space="0" w:color="auto"/>
          </w:divBdr>
        </w:div>
        <w:div w:id="608704061">
          <w:marLeft w:val="0"/>
          <w:marRight w:val="0"/>
          <w:marTop w:val="0"/>
          <w:marBottom w:val="0"/>
          <w:divBdr>
            <w:top w:val="none" w:sz="0" w:space="0" w:color="auto"/>
            <w:left w:val="none" w:sz="0" w:space="0" w:color="auto"/>
            <w:bottom w:val="none" w:sz="0" w:space="0" w:color="auto"/>
            <w:right w:val="none" w:sz="0" w:space="0" w:color="auto"/>
          </w:divBdr>
        </w:div>
        <w:div w:id="2058385132">
          <w:marLeft w:val="0"/>
          <w:marRight w:val="0"/>
          <w:marTop w:val="0"/>
          <w:marBottom w:val="0"/>
          <w:divBdr>
            <w:top w:val="none" w:sz="0" w:space="0" w:color="auto"/>
            <w:left w:val="none" w:sz="0" w:space="0" w:color="auto"/>
            <w:bottom w:val="none" w:sz="0" w:space="0" w:color="auto"/>
            <w:right w:val="none" w:sz="0" w:space="0" w:color="auto"/>
          </w:divBdr>
        </w:div>
        <w:div w:id="1782990083">
          <w:marLeft w:val="0"/>
          <w:marRight w:val="0"/>
          <w:marTop w:val="0"/>
          <w:marBottom w:val="0"/>
          <w:divBdr>
            <w:top w:val="none" w:sz="0" w:space="0" w:color="auto"/>
            <w:left w:val="none" w:sz="0" w:space="0" w:color="auto"/>
            <w:bottom w:val="none" w:sz="0" w:space="0" w:color="auto"/>
            <w:right w:val="none" w:sz="0" w:space="0" w:color="auto"/>
          </w:divBdr>
        </w:div>
        <w:div w:id="2036299205">
          <w:marLeft w:val="0"/>
          <w:marRight w:val="0"/>
          <w:marTop w:val="0"/>
          <w:marBottom w:val="0"/>
          <w:divBdr>
            <w:top w:val="none" w:sz="0" w:space="0" w:color="auto"/>
            <w:left w:val="none" w:sz="0" w:space="0" w:color="auto"/>
            <w:bottom w:val="none" w:sz="0" w:space="0" w:color="auto"/>
            <w:right w:val="none" w:sz="0" w:space="0" w:color="auto"/>
          </w:divBdr>
        </w:div>
      </w:divsChild>
    </w:div>
    <w:div w:id="917448376">
      <w:bodyDiv w:val="1"/>
      <w:marLeft w:val="0"/>
      <w:marRight w:val="0"/>
      <w:marTop w:val="0"/>
      <w:marBottom w:val="0"/>
      <w:divBdr>
        <w:top w:val="none" w:sz="0" w:space="0" w:color="auto"/>
        <w:left w:val="none" w:sz="0" w:space="0" w:color="auto"/>
        <w:bottom w:val="none" w:sz="0" w:space="0" w:color="auto"/>
        <w:right w:val="none" w:sz="0" w:space="0" w:color="auto"/>
      </w:divBdr>
      <w:divsChild>
        <w:div w:id="855341372">
          <w:marLeft w:val="0"/>
          <w:marRight w:val="0"/>
          <w:marTop w:val="0"/>
          <w:marBottom w:val="0"/>
          <w:divBdr>
            <w:top w:val="none" w:sz="0" w:space="0" w:color="auto"/>
            <w:left w:val="none" w:sz="0" w:space="0" w:color="auto"/>
            <w:bottom w:val="none" w:sz="0" w:space="0" w:color="auto"/>
            <w:right w:val="none" w:sz="0" w:space="0" w:color="auto"/>
          </w:divBdr>
        </w:div>
        <w:div w:id="615252241">
          <w:marLeft w:val="0"/>
          <w:marRight w:val="0"/>
          <w:marTop w:val="0"/>
          <w:marBottom w:val="0"/>
          <w:divBdr>
            <w:top w:val="none" w:sz="0" w:space="0" w:color="auto"/>
            <w:left w:val="none" w:sz="0" w:space="0" w:color="auto"/>
            <w:bottom w:val="none" w:sz="0" w:space="0" w:color="auto"/>
            <w:right w:val="none" w:sz="0" w:space="0" w:color="auto"/>
          </w:divBdr>
        </w:div>
        <w:div w:id="1963339437">
          <w:marLeft w:val="0"/>
          <w:marRight w:val="0"/>
          <w:marTop w:val="0"/>
          <w:marBottom w:val="0"/>
          <w:divBdr>
            <w:top w:val="none" w:sz="0" w:space="0" w:color="auto"/>
            <w:left w:val="none" w:sz="0" w:space="0" w:color="auto"/>
            <w:bottom w:val="none" w:sz="0" w:space="0" w:color="auto"/>
            <w:right w:val="none" w:sz="0" w:space="0" w:color="auto"/>
          </w:divBdr>
        </w:div>
      </w:divsChild>
    </w:div>
    <w:div w:id="924613470">
      <w:bodyDiv w:val="1"/>
      <w:marLeft w:val="0"/>
      <w:marRight w:val="0"/>
      <w:marTop w:val="0"/>
      <w:marBottom w:val="0"/>
      <w:divBdr>
        <w:top w:val="none" w:sz="0" w:space="0" w:color="auto"/>
        <w:left w:val="none" w:sz="0" w:space="0" w:color="auto"/>
        <w:bottom w:val="none" w:sz="0" w:space="0" w:color="auto"/>
        <w:right w:val="none" w:sz="0" w:space="0" w:color="auto"/>
      </w:divBdr>
      <w:divsChild>
        <w:div w:id="1607080367">
          <w:marLeft w:val="0"/>
          <w:marRight w:val="0"/>
          <w:marTop w:val="0"/>
          <w:marBottom w:val="0"/>
          <w:divBdr>
            <w:top w:val="none" w:sz="0" w:space="0" w:color="auto"/>
            <w:left w:val="none" w:sz="0" w:space="0" w:color="auto"/>
            <w:bottom w:val="none" w:sz="0" w:space="0" w:color="auto"/>
            <w:right w:val="none" w:sz="0" w:space="0" w:color="auto"/>
          </w:divBdr>
        </w:div>
        <w:div w:id="768819217">
          <w:marLeft w:val="0"/>
          <w:marRight w:val="0"/>
          <w:marTop w:val="0"/>
          <w:marBottom w:val="0"/>
          <w:divBdr>
            <w:top w:val="none" w:sz="0" w:space="0" w:color="auto"/>
            <w:left w:val="none" w:sz="0" w:space="0" w:color="auto"/>
            <w:bottom w:val="none" w:sz="0" w:space="0" w:color="auto"/>
            <w:right w:val="none" w:sz="0" w:space="0" w:color="auto"/>
          </w:divBdr>
        </w:div>
        <w:div w:id="906037022">
          <w:marLeft w:val="0"/>
          <w:marRight w:val="0"/>
          <w:marTop w:val="0"/>
          <w:marBottom w:val="0"/>
          <w:divBdr>
            <w:top w:val="none" w:sz="0" w:space="0" w:color="auto"/>
            <w:left w:val="none" w:sz="0" w:space="0" w:color="auto"/>
            <w:bottom w:val="none" w:sz="0" w:space="0" w:color="auto"/>
            <w:right w:val="none" w:sz="0" w:space="0" w:color="auto"/>
          </w:divBdr>
        </w:div>
        <w:div w:id="465708041">
          <w:marLeft w:val="0"/>
          <w:marRight w:val="0"/>
          <w:marTop w:val="0"/>
          <w:marBottom w:val="0"/>
          <w:divBdr>
            <w:top w:val="none" w:sz="0" w:space="0" w:color="auto"/>
            <w:left w:val="none" w:sz="0" w:space="0" w:color="auto"/>
            <w:bottom w:val="none" w:sz="0" w:space="0" w:color="auto"/>
            <w:right w:val="none" w:sz="0" w:space="0" w:color="auto"/>
          </w:divBdr>
        </w:div>
        <w:div w:id="2018654483">
          <w:marLeft w:val="0"/>
          <w:marRight w:val="0"/>
          <w:marTop w:val="0"/>
          <w:marBottom w:val="0"/>
          <w:divBdr>
            <w:top w:val="none" w:sz="0" w:space="0" w:color="auto"/>
            <w:left w:val="none" w:sz="0" w:space="0" w:color="auto"/>
            <w:bottom w:val="none" w:sz="0" w:space="0" w:color="auto"/>
            <w:right w:val="none" w:sz="0" w:space="0" w:color="auto"/>
          </w:divBdr>
        </w:div>
        <w:div w:id="1861966042">
          <w:marLeft w:val="0"/>
          <w:marRight w:val="0"/>
          <w:marTop w:val="0"/>
          <w:marBottom w:val="0"/>
          <w:divBdr>
            <w:top w:val="none" w:sz="0" w:space="0" w:color="auto"/>
            <w:left w:val="none" w:sz="0" w:space="0" w:color="auto"/>
            <w:bottom w:val="none" w:sz="0" w:space="0" w:color="auto"/>
            <w:right w:val="none" w:sz="0" w:space="0" w:color="auto"/>
          </w:divBdr>
        </w:div>
        <w:div w:id="2106923743">
          <w:marLeft w:val="0"/>
          <w:marRight w:val="0"/>
          <w:marTop w:val="0"/>
          <w:marBottom w:val="0"/>
          <w:divBdr>
            <w:top w:val="none" w:sz="0" w:space="0" w:color="auto"/>
            <w:left w:val="none" w:sz="0" w:space="0" w:color="auto"/>
            <w:bottom w:val="none" w:sz="0" w:space="0" w:color="auto"/>
            <w:right w:val="none" w:sz="0" w:space="0" w:color="auto"/>
          </w:divBdr>
        </w:div>
        <w:div w:id="1893270882">
          <w:marLeft w:val="0"/>
          <w:marRight w:val="0"/>
          <w:marTop w:val="0"/>
          <w:marBottom w:val="0"/>
          <w:divBdr>
            <w:top w:val="none" w:sz="0" w:space="0" w:color="auto"/>
            <w:left w:val="none" w:sz="0" w:space="0" w:color="auto"/>
            <w:bottom w:val="none" w:sz="0" w:space="0" w:color="auto"/>
            <w:right w:val="none" w:sz="0" w:space="0" w:color="auto"/>
          </w:divBdr>
        </w:div>
        <w:div w:id="898710705">
          <w:marLeft w:val="0"/>
          <w:marRight w:val="0"/>
          <w:marTop w:val="0"/>
          <w:marBottom w:val="0"/>
          <w:divBdr>
            <w:top w:val="none" w:sz="0" w:space="0" w:color="auto"/>
            <w:left w:val="none" w:sz="0" w:space="0" w:color="auto"/>
            <w:bottom w:val="none" w:sz="0" w:space="0" w:color="auto"/>
            <w:right w:val="none" w:sz="0" w:space="0" w:color="auto"/>
          </w:divBdr>
        </w:div>
        <w:div w:id="1765763690">
          <w:marLeft w:val="0"/>
          <w:marRight w:val="0"/>
          <w:marTop w:val="0"/>
          <w:marBottom w:val="0"/>
          <w:divBdr>
            <w:top w:val="none" w:sz="0" w:space="0" w:color="auto"/>
            <w:left w:val="none" w:sz="0" w:space="0" w:color="auto"/>
            <w:bottom w:val="none" w:sz="0" w:space="0" w:color="auto"/>
            <w:right w:val="none" w:sz="0" w:space="0" w:color="auto"/>
          </w:divBdr>
        </w:div>
        <w:div w:id="1722318285">
          <w:marLeft w:val="0"/>
          <w:marRight w:val="0"/>
          <w:marTop w:val="0"/>
          <w:marBottom w:val="0"/>
          <w:divBdr>
            <w:top w:val="none" w:sz="0" w:space="0" w:color="auto"/>
            <w:left w:val="none" w:sz="0" w:space="0" w:color="auto"/>
            <w:bottom w:val="none" w:sz="0" w:space="0" w:color="auto"/>
            <w:right w:val="none" w:sz="0" w:space="0" w:color="auto"/>
          </w:divBdr>
        </w:div>
        <w:div w:id="293871996">
          <w:marLeft w:val="0"/>
          <w:marRight w:val="0"/>
          <w:marTop w:val="0"/>
          <w:marBottom w:val="0"/>
          <w:divBdr>
            <w:top w:val="none" w:sz="0" w:space="0" w:color="auto"/>
            <w:left w:val="none" w:sz="0" w:space="0" w:color="auto"/>
            <w:bottom w:val="none" w:sz="0" w:space="0" w:color="auto"/>
            <w:right w:val="none" w:sz="0" w:space="0" w:color="auto"/>
          </w:divBdr>
        </w:div>
      </w:divsChild>
    </w:div>
    <w:div w:id="940602277">
      <w:bodyDiv w:val="1"/>
      <w:marLeft w:val="0"/>
      <w:marRight w:val="0"/>
      <w:marTop w:val="0"/>
      <w:marBottom w:val="0"/>
      <w:divBdr>
        <w:top w:val="none" w:sz="0" w:space="0" w:color="auto"/>
        <w:left w:val="none" w:sz="0" w:space="0" w:color="auto"/>
        <w:bottom w:val="none" w:sz="0" w:space="0" w:color="auto"/>
        <w:right w:val="none" w:sz="0" w:space="0" w:color="auto"/>
      </w:divBdr>
      <w:divsChild>
        <w:div w:id="606011846">
          <w:marLeft w:val="0"/>
          <w:marRight w:val="0"/>
          <w:marTop w:val="0"/>
          <w:marBottom w:val="0"/>
          <w:divBdr>
            <w:top w:val="none" w:sz="0" w:space="0" w:color="auto"/>
            <w:left w:val="none" w:sz="0" w:space="0" w:color="auto"/>
            <w:bottom w:val="none" w:sz="0" w:space="0" w:color="auto"/>
            <w:right w:val="none" w:sz="0" w:space="0" w:color="auto"/>
          </w:divBdr>
        </w:div>
        <w:div w:id="76902967">
          <w:marLeft w:val="0"/>
          <w:marRight w:val="0"/>
          <w:marTop w:val="0"/>
          <w:marBottom w:val="0"/>
          <w:divBdr>
            <w:top w:val="none" w:sz="0" w:space="0" w:color="auto"/>
            <w:left w:val="none" w:sz="0" w:space="0" w:color="auto"/>
            <w:bottom w:val="none" w:sz="0" w:space="0" w:color="auto"/>
            <w:right w:val="none" w:sz="0" w:space="0" w:color="auto"/>
          </w:divBdr>
        </w:div>
        <w:div w:id="1518234096">
          <w:marLeft w:val="0"/>
          <w:marRight w:val="0"/>
          <w:marTop w:val="0"/>
          <w:marBottom w:val="0"/>
          <w:divBdr>
            <w:top w:val="none" w:sz="0" w:space="0" w:color="auto"/>
            <w:left w:val="none" w:sz="0" w:space="0" w:color="auto"/>
            <w:bottom w:val="none" w:sz="0" w:space="0" w:color="auto"/>
            <w:right w:val="none" w:sz="0" w:space="0" w:color="auto"/>
          </w:divBdr>
        </w:div>
        <w:div w:id="1419791150">
          <w:marLeft w:val="0"/>
          <w:marRight w:val="0"/>
          <w:marTop w:val="0"/>
          <w:marBottom w:val="0"/>
          <w:divBdr>
            <w:top w:val="none" w:sz="0" w:space="0" w:color="auto"/>
            <w:left w:val="none" w:sz="0" w:space="0" w:color="auto"/>
            <w:bottom w:val="none" w:sz="0" w:space="0" w:color="auto"/>
            <w:right w:val="none" w:sz="0" w:space="0" w:color="auto"/>
          </w:divBdr>
        </w:div>
      </w:divsChild>
    </w:div>
    <w:div w:id="942036936">
      <w:bodyDiv w:val="1"/>
      <w:marLeft w:val="0"/>
      <w:marRight w:val="0"/>
      <w:marTop w:val="0"/>
      <w:marBottom w:val="0"/>
      <w:divBdr>
        <w:top w:val="none" w:sz="0" w:space="0" w:color="auto"/>
        <w:left w:val="none" w:sz="0" w:space="0" w:color="auto"/>
        <w:bottom w:val="none" w:sz="0" w:space="0" w:color="auto"/>
        <w:right w:val="none" w:sz="0" w:space="0" w:color="auto"/>
      </w:divBdr>
      <w:divsChild>
        <w:div w:id="511262855">
          <w:marLeft w:val="0"/>
          <w:marRight w:val="0"/>
          <w:marTop w:val="0"/>
          <w:marBottom w:val="0"/>
          <w:divBdr>
            <w:top w:val="none" w:sz="0" w:space="0" w:color="auto"/>
            <w:left w:val="none" w:sz="0" w:space="0" w:color="auto"/>
            <w:bottom w:val="none" w:sz="0" w:space="0" w:color="auto"/>
            <w:right w:val="none" w:sz="0" w:space="0" w:color="auto"/>
          </w:divBdr>
        </w:div>
        <w:div w:id="247232782">
          <w:marLeft w:val="0"/>
          <w:marRight w:val="0"/>
          <w:marTop w:val="0"/>
          <w:marBottom w:val="0"/>
          <w:divBdr>
            <w:top w:val="none" w:sz="0" w:space="0" w:color="auto"/>
            <w:left w:val="none" w:sz="0" w:space="0" w:color="auto"/>
            <w:bottom w:val="none" w:sz="0" w:space="0" w:color="auto"/>
            <w:right w:val="none" w:sz="0" w:space="0" w:color="auto"/>
          </w:divBdr>
        </w:div>
      </w:divsChild>
    </w:div>
    <w:div w:id="984704182">
      <w:bodyDiv w:val="1"/>
      <w:marLeft w:val="0"/>
      <w:marRight w:val="0"/>
      <w:marTop w:val="0"/>
      <w:marBottom w:val="0"/>
      <w:divBdr>
        <w:top w:val="none" w:sz="0" w:space="0" w:color="auto"/>
        <w:left w:val="none" w:sz="0" w:space="0" w:color="auto"/>
        <w:bottom w:val="none" w:sz="0" w:space="0" w:color="auto"/>
        <w:right w:val="none" w:sz="0" w:space="0" w:color="auto"/>
      </w:divBdr>
      <w:divsChild>
        <w:div w:id="1478063394">
          <w:marLeft w:val="446"/>
          <w:marRight w:val="0"/>
          <w:marTop w:val="77"/>
          <w:marBottom w:val="0"/>
          <w:divBdr>
            <w:top w:val="none" w:sz="0" w:space="0" w:color="auto"/>
            <w:left w:val="none" w:sz="0" w:space="0" w:color="auto"/>
            <w:bottom w:val="none" w:sz="0" w:space="0" w:color="auto"/>
            <w:right w:val="none" w:sz="0" w:space="0" w:color="auto"/>
          </w:divBdr>
        </w:div>
      </w:divsChild>
    </w:div>
    <w:div w:id="1139032961">
      <w:bodyDiv w:val="1"/>
      <w:marLeft w:val="0"/>
      <w:marRight w:val="0"/>
      <w:marTop w:val="0"/>
      <w:marBottom w:val="0"/>
      <w:divBdr>
        <w:top w:val="none" w:sz="0" w:space="0" w:color="auto"/>
        <w:left w:val="none" w:sz="0" w:space="0" w:color="auto"/>
        <w:bottom w:val="none" w:sz="0" w:space="0" w:color="auto"/>
        <w:right w:val="none" w:sz="0" w:space="0" w:color="auto"/>
      </w:divBdr>
      <w:divsChild>
        <w:div w:id="2063477315">
          <w:marLeft w:val="0"/>
          <w:marRight w:val="0"/>
          <w:marTop w:val="0"/>
          <w:marBottom w:val="0"/>
          <w:divBdr>
            <w:top w:val="none" w:sz="0" w:space="0" w:color="auto"/>
            <w:left w:val="none" w:sz="0" w:space="0" w:color="auto"/>
            <w:bottom w:val="none" w:sz="0" w:space="0" w:color="auto"/>
            <w:right w:val="none" w:sz="0" w:space="0" w:color="auto"/>
          </w:divBdr>
        </w:div>
        <w:div w:id="1308123373">
          <w:marLeft w:val="0"/>
          <w:marRight w:val="0"/>
          <w:marTop w:val="0"/>
          <w:marBottom w:val="0"/>
          <w:divBdr>
            <w:top w:val="none" w:sz="0" w:space="0" w:color="auto"/>
            <w:left w:val="none" w:sz="0" w:space="0" w:color="auto"/>
            <w:bottom w:val="none" w:sz="0" w:space="0" w:color="auto"/>
            <w:right w:val="none" w:sz="0" w:space="0" w:color="auto"/>
          </w:divBdr>
        </w:div>
        <w:div w:id="195167221">
          <w:marLeft w:val="0"/>
          <w:marRight w:val="0"/>
          <w:marTop w:val="0"/>
          <w:marBottom w:val="0"/>
          <w:divBdr>
            <w:top w:val="none" w:sz="0" w:space="0" w:color="auto"/>
            <w:left w:val="none" w:sz="0" w:space="0" w:color="auto"/>
            <w:bottom w:val="none" w:sz="0" w:space="0" w:color="auto"/>
            <w:right w:val="none" w:sz="0" w:space="0" w:color="auto"/>
          </w:divBdr>
        </w:div>
        <w:div w:id="1765494043">
          <w:marLeft w:val="0"/>
          <w:marRight w:val="0"/>
          <w:marTop w:val="0"/>
          <w:marBottom w:val="0"/>
          <w:divBdr>
            <w:top w:val="none" w:sz="0" w:space="0" w:color="auto"/>
            <w:left w:val="none" w:sz="0" w:space="0" w:color="auto"/>
            <w:bottom w:val="none" w:sz="0" w:space="0" w:color="auto"/>
            <w:right w:val="none" w:sz="0" w:space="0" w:color="auto"/>
          </w:divBdr>
        </w:div>
        <w:div w:id="875965719">
          <w:marLeft w:val="0"/>
          <w:marRight w:val="0"/>
          <w:marTop w:val="0"/>
          <w:marBottom w:val="0"/>
          <w:divBdr>
            <w:top w:val="none" w:sz="0" w:space="0" w:color="auto"/>
            <w:left w:val="none" w:sz="0" w:space="0" w:color="auto"/>
            <w:bottom w:val="none" w:sz="0" w:space="0" w:color="auto"/>
            <w:right w:val="none" w:sz="0" w:space="0" w:color="auto"/>
          </w:divBdr>
        </w:div>
        <w:div w:id="1665620214">
          <w:marLeft w:val="0"/>
          <w:marRight w:val="0"/>
          <w:marTop w:val="0"/>
          <w:marBottom w:val="0"/>
          <w:divBdr>
            <w:top w:val="none" w:sz="0" w:space="0" w:color="auto"/>
            <w:left w:val="none" w:sz="0" w:space="0" w:color="auto"/>
            <w:bottom w:val="none" w:sz="0" w:space="0" w:color="auto"/>
            <w:right w:val="none" w:sz="0" w:space="0" w:color="auto"/>
          </w:divBdr>
        </w:div>
        <w:div w:id="1921518260">
          <w:marLeft w:val="0"/>
          <w:marRight w:val="0"/>
          <w:marTop w:val="0"/>
          <w:marBottom w:val="0"/>
          <w:divBdr>
            <w:top w:val="none" w:sz="0" w:space="0" w:color="auto"/>
            <w:left w:val="none" w:sz="0" w:space="0" w:color="auto"/>
            <w:bottom w:val="none" w:sz="0" w:space="0" w:color="auto"/>
            <w:right w:val="none" w:sz="0" w:space="0" w:color="auto"/>
          </w:divBdr>
        </w:div>
        <w:div w:id="571430606">
          <w:marLeft w:val="0"/>
          <w:marRight w:val="0"/>
          <w:marTop w:val="0"/>
          <w:marBottom w:val="0"/>
          <w:divBdr>
            <w:top w:val="none" w:sz="0" w:space="0" w:color="auto"/>
            <w:left w:val="none" w:sz="0" w:space="0" w:color="auto"/>
            <w:bottom w:val="none" w:sz="0" w:space="0" w:color="auto"/>
            <w:right w:val="none" w:sz="0" w:space="0" w:color="auto"/>
          </w:divBdr>
        </w:div>
      </w:divsChild>
    </w:div>
    <w:div w:id="1140803018">
      <w:bodyDiv w:val="1"/>
      <w:marLeft w:val="0"/>
      <w:marRight w:val="0"/>
      <w:marTop w:val="0"/>
      <w:marBottom w:val="0"/>
      <w:divBdr>
        <w:top w:val="none" w:sz="0" w:space="0" w:color="auto"/>
        <w:left w:val="none" w:sz="0" w:space="0" w:color="auto"/>
        <w:bottom w:val="none" w:sz="0" w:space="0" w:color="auto"/>
        <w:right w:val="none" w:sz="0" w:space="0" w:color="auto"/>
      </w:divBdr>
      <w:divsChild>
        <w:div w:id="1559978443">
          <w:marLeft w:val="0"/>
          <w:marRight w:val="0"/>
          <w:marTop w:val="0"/>
          <w:marBottom w:val="0"/>
          <w:divBdr>
            <w:top w:val="none" w:sz="0" w:space="0" w:color="auto"/>
            <w:left w:val="none" w:sz="0" w:space="0" w:color="auto"/>
            <w:bottom w:val="none" w:sz="0" w:space="0" w:color="auto"/>
            <w:right w:val="none" w:sz="0" w:space="0" w:color="auto"/>
          </w:divBdr>
        </w:div>
        <w:div w:id="1158809756">
          <w:marLeft w:val="0"/>
          <w:marRight w:val="0"/>
          <w:marTop w:val="0"/>
          <w:marBottom w:val="0"/>
          <w:divBdr>
            <w:top w:val="none" w:sz="0" w:space="0" w:color="auto"/>
            <w:left w:val="none" w:sz="0" w:space="0" w:color="auto"/>
            <w:bottom w:val="none" w:sz="0" w:space="0" w:color="auto"/>
            <w:right w:val="none" w:sz="0" w:space="0" w:color="auto"/>
          </w:divBdr>
        </w:div>
      </w:divsChild>
    </w:div>
    <w:div w:id="1239708340">
      <w:bodyDiv w:val="1"/>
      <w:marLeft w:val="0"/>
      <w:marRight w:val="0"/>
      <w:marTop w:val="0"/>
      <w:marBottom w:val="0"/>
      <w:divBdr>
        <w:top w:val="none" w:sz="0" w:space="0" w:color="auto"/>
        <w:left w:val="none" w:sz="0" w:space="0" w:color="auto"/>
        <w:bottom w:val="none" w:sz="0" w:space="0" w:color="auto"/>
        <w:right w:val="none" w:sz="0" w:space="0" w:color="auto"/>
      </w:divBdr>
      <w:divsChild>
        <w:div w:id="1170564622">
          <w:marLeft w:val="0"/>
          <w:marRight w:val="0"/>
          <w:marTop w:val="0"/>
          <w:marBottom w:val="0"/>
          <w:divBdr>
            <w:top w:val="none" w:sz="0" w:space="0" w:color="auto"/>
            <w:left w:val="none" w:sz="0" w:space="0" w:color="auto"/>
            <w:bottom w:val="none" w:sz="0" w:space="0" w:color="auto"/>
            <w:right w:val="none" w:sz="0" w:space="0" w:color="auto"/>
          </w:divBdr>
        </w:div>
        <w:div w:id="1208180698">
          <w:marLeft w:val="0"/>
          <w:marRight w:val="0"/>
          <w:marTop w:val="0"/>
          <w:marBottom w:val="0"/>
          <w:divBdr>
            <w:top w:val="none" w:sz="0" w:space="0" w:color="auto"/>
            <w:left w:val="none" w:sz="0" w:space="0" w:color="auto"/>
            <w:bottom w:val="none" w:sz="0" w:space="0" w:color="auto"/>
            <w:right w:val="none" w:sz="0" w:space="0" w:color="auto"/>
          </w:divBdr>
        </w:div>
        <w:div w:id="1205867536">
          <w:marLeft w:val="0"/>
          <w:marRight w:val="0"/>
          <w:marTop w:val="0"/>
          <w:marBottom w:val="0"/>
          <w:divBdr>
            <w:top w:val="none" w:sz="0" w:space="0" w:color="auto"/>
            <w:left w:val="none" w:sz="0" w:space="0" w:color="auto"/>
            <w:bottom w:val="none" w:sz="0" w:space="0" w:color="auto"/>
            <w:right w:val="none" w:sz="0" w:space="0" w:color="auto"/>
          </w:divBdr>
        </w:div>
        <w:div w:id="1170606555">
          <w:marLeft w:val="0"/>
          <w:marRight w:val="0"/>
          <w:marTop w:val="0"/>
          <w:marBottom w:val="0"/>
          <w:divBdr>
            <w:top w:val="none" w:sz="0" w:space="0" w:color="auto"/>
            <w:left w:val="none" w:sz="0" w:space="0" w:color="auto"/>
            <w:bottom w:val="none" w:sz="0" w:space="0" w:color="auto"/>
            <w:right w:val="none" w:sz="0" w:space="0" w:color="auto"/>
          </w:divBdr>
        </w:div>
        <w:div w:id="727386288">
          <w:marLeft w:val="0"/>
          <w:marRight w:val="0"/>
          <w:marTop w:val="0"/>
          <w:marBottom w:val="0"/>
          <w:divBdr>
            <w:top w:val="none" w:sz="0" w:space="0" w:color="auto"/>
            <w:left w:val="none" w:sz="0" w:space="0" w:color="auto"/>
            <w:bottom w:val="none" w:sz="0" w:space="0" w:color="auto"/>
            <w:right w:val="none" w:sz="0" w:space="0" w:color="auto"/>
          </w:divBdr>
        </w:div>
      </w:divsChild>
    </w:div>
    <w:div w:id="1275942151">
      <w:bodyDiv w:val="1"/>
      <w:marLeft w:val="0"/>
      <w:marRight w:val="0"/>
      <w:marTop w:val="0"/>
      <w:marBottom w:val="0"/>
      <w:divBdr>
        <w:top w:val="none" w:sz="0" w:space="0" w:color="auto"/>
        <w:left w:val="none" w:sz="0" w:space="0" w:color="auto"/>
        <w:bottom w:val="none" w:sz="0" w:space="0" w:color="auto"/>
        <w:right w:val="none" w:sz="0" w:space="0" w:color="auto"/>
      </w:divBdr>
    </w:div>
    <w:div w:id="1282762859">
      <w:bodyDiv w:val="1"/>
      <w:marLeft w:val="0"/>
      <w:marRight w:val="0"/>
      <w:marTop w:val="0"/>
      <w:marBottom w:val="0"/>
      <w:divBdr>
        <w:top w:val="none" w:sz="0" w:space="0" w:color="auto"/>
        <w:left w:val="none" w:sz="0" w:space="0" w:color="auto"/>
        <w:bottom w:val="none" w:sz="0" w:space="0" w:color="auto"/>
        <w:right w:val="none" w:sz="0" w:space="0" w:color="auto"/>
      </w:divBdr>
      <w:divsChild>
        <w:div w:id="1207907046">
          <w:marLeft w:val="0"/>
          <w:marRight w:val="0"/>
          <w:marTop w:val="0"/>
          <w:marBottom w:val="0"/>
          <w:divBdr>
            <w:top w:val="none" w:sz="0" w:space="0" w:color="auto"/>
            <w:left w:val="none" w:sz="0" w:space="0" w:color="auto"/>
            <w:bottom w:val="none" w:sz="0" w:space="0" w:color="auto"/>
            <w:right w:val="none" w:sz="0" w:space="0" w:color="auto"/>
          </w:divBdr>
        </w:div>
        <w:div w:id="1358265263">
          <w:marLeft w:val="0"/>
          <w:marRight w:val="0"/>
          <w:marTop w:val="0"/>
          <w:marBottom w:val="0"/>
          <w:divBdr>
            <w:top w:val="none" w:sz="0" w:space="0" w:color="auto"/>
            <w:left w:val="none" w:sz="0" w:space="0" w:color="auto"/>
            <w:bottom w:val="none" w:sz="0" w:space="0" w:color="auto"/>
            <w:right w:val="none" w:sz="0" w:space="0" w:color="auto"/>
          </w:divBdr>
        </w:div>
        <w:div w:id="1520894510">
          <w:marLeft w:val="0"/>
          <w:marRight w:val="0"/>
          <w:marTop w:val="0"/>
          <w:marBottom w:val="0"/>
          <w:divBdr>
            <w:top w:val="none" w:sz="0" w:space="0" w:color="auto"/>
            <w:left w:val="none" w:sz="0" w:space="0" w:color="auto"/>
            <w:bottom w:val="none" w:sz="0" w:space="0" w:color="auto"/>
            <w:right w:val="none" w:sz="0" w:space="0" w:color="auto"/>
          </w:divBdr>
        </w:div>
        <w:div w:id="105005535">
          <w:marLeft w:val="0"/>
          <w:marRight w:val="0"/>
          <w:marTop w:val="0"/>
          <w:marBottom w:val="0"/>
          <w:divBdr>
            <w:top w:val="none" w:sz="0" w:space="0" w:color="auto"/>
            <w:left w:val="none" w:sz="0" w:space="0" w:color="auto"/>
            <w:bottom w:val="none" w:sz="0" w:space="0" w:color="auto"/>
            <w:right w:val="none" w:sz="0" w:space="0" w:color="auto"/>
          </w:divBdr>
        </w:div>
        <w:div w:id="803305204">
          <w:marLeft w:val="0"/>
          <w:marRight w:val="0"/>
          <w:marTop w:val="0"/>
          <w:marBottom w:val="0"/>
          <w:divBdr>
            <w:top w:val="none" w:sz="0" w:space="0" w:color="auto"/>
            <w:left w:val="none" w:sz="0" w:space="0" w:color="auto"/>
            <w:bottom w:val="none" w:sz="0" w:space="0" w:color="auto"/>
            <w:right w:val="none" w:sz="0" w:space="0" w:color="auto"/>
          </w:divBdr>
        </w:div>
        <w:div w:id="1151680092">
          <w:marLeft w:val="0"/>
          <w:marRight w:val="0"/>
          <w:marTop w:val="0"/>
          <w:marBottom w:val="0"/>
          <w:divBdr>
            <w:top w:val="none" w:sz="0" w:space="0" w:color="auto"/>
            <w:left w:val="none" w:sz="0" w:space="0" w:color="auto"/>
            <w:bottom w:val="none" w:sz="0" w:space="0" w:color="auto"/>
            <w:right w:val="none" w:sz="0" w:space="0" w:color="auto"/>
          </w:divBdr>
        </w:div>
        <w:div w:id="669795731">
          <w:marLeft w:val="0"/>
          <w:marRight w:val="0"/>
          <w:marTop w:val="0"/>
          <w:marBottom w:val="0"/>
          <w:divBdr>
            <w:top w:val="none" w:sz="0" w:space="0" w:color="auto"/>
            <w:left w:val="none" w:sz="0" w:space="0" w:color="auto"/>
            <w:bottom w:val="none" w:sz="0" w:space="0" w:color="auto"/>
            <w:right w:val="none" w:sz="0" w:space="0" w:color="auto"/>
          </w:divBdr>
        </w:div>
        <w:div w:id="907377511">
          <w:marLeft w:val="0"/>
          <w:marRight w:val="0"/>
          <w:marTop w:val="0"/>
          <w:marBottom w:val="0"/>
          <w:divBdr>
            <w:top w:val="none" w:sz="0" w:space="0" w:color="auto"/>
            <w:left w:val="none" w:sz="0" w:space="0" w:color="auto"/>
            <w:bottom w:val="none" w:sz="0" w:space="0" w:color="auto"/>
            <w:right w:val="none" w:sz="0" w:space="0" w:color="auto"/>
          </w:divBdr>
        </w:div>
        <w:div w:id="1726295479">
          <w:marLeft w:val="0"/>
          <w:marRight w:val="0"/>
          <w:marTop w:val="0"/>
          <w:marBottom w:val="0"/>
          <w:divBdr>
            <w:top w:val="none" w:sz="0" w:space="0" w:color="auto"/>
            <w:left w:val="none" w:sz="0" w:space="0" w:color="auto"/>
            <w:bottom w:val="none" w:sz="0" w:space="0" w:color="auto"/>
            <w:right w:val="none" w:sz="0" w:space="0" w:color="auto"/>
          </w:divBdr>
        </w:div>
        <w:div w:id="434784658">
          <w:marLeft w:val="0"/>
          <w:marRight w:val="0"/>
          <w:marTop w:val="0"/>
          <w:marBottom w:val="0"/>
          <w:divBdr>
            <w:top w:val="none" w:sz="0" w:space="0" w:color="auto"/>
            <w:left w:val="none" w:sz="0" w:space="0" w:color="auto"/>
            <w:bottom w:val="none" w:sz="0" w:space="0" w:color="auto"/>
            <w:right w:val="none" w:sz="0" w:space="0" w:color="auto"/>
          </w:divBdr>
        </w:div>
        <w:div w:id="1934897522">
          <w:marLeft w:val="0"/>
          <w:marRight w:val="0"/>
          <w:marTop w:val="0"/>
          <w:marBottom w:val="0"/>
          <w:divBdr>
            <w:top w:val="none" w:sz="0" w:space="0" w:color="auto"/>
            <w:left w:val="none" w:sz="0" w:space="0" w:color="auto"/>
            <w:bottom w:val="none" w:sz="0" w:space="0" w:color="auto"/>
            <w:right w:val="none" w:sz="0" w:space="0" w:color="auto"/>
          </w:divBdr>
        </w:div>
        <w:div w:id="1590963297">
          <w:marLeft w:val="0"/>
          <w:marRight w:val="0"/>
          <w:marTop w:val="0"/>
          <w:marBottom w:val="0"/>
          <w:divBdr>
            <w:top w:val="none" w:sz="0" w:space="0" w:color="auto"/>
            <w:left w:val="none" w:sz="0" w:space="0" w:color="auto"/>
            <w:bottom w:val="none" w:sz="0" w:space="0" w:color="auto"/>
            <w:right w:val="none" w:sz="0" w:space="0" w:color="auto"/>
          </w:divBdr>
        </w:div>
        <w:div w:id="492380418">
          <w:marLeft w:val="0"/>
          <w:marRight w:val="0"/>
          <w:marTop w:val="0"/>
          <w:marBottom w:val="0"/>
          <w:divBdr>
            <w:top w:val="none" w:sz="0" w:space="0" w:color="auto"/>
            <w:left w:val="none" w:sz="0" w:space="0" w:color="auto"/>
            <w:bottom w:val="none" w:sz="0" w:space="0" w:color="auto"/>
            <w:right w:val="none" w:sz="0" w:space="0" w:color="auto"/>
          </w:divBdr>
        </w:div>
      </w:divsChild>
    </w:div>
    <w:div w:id="1337465801">
      <w:bodyDiv w:val="1"/>
      <w:marLeft w:val="0"/>
      <w:marRight w:val="0"/>
      <w:marTop w:val="0"/>
      <w:marBottom w:val="0"/>
      <w:divBdr>
        <w:top w:val="none" w:sz="0" w:space="0" w:color="auto"/>
        <w:left w:val="none" w:sz="0" w:space="0" w:color="auto"/>
        <w:bottom w:val="none" w:sz="0" w:space="0" w:color="auto"/>
        <w:right w:val="none" w:sz="0" w:space="0" w:color="auto"/>
      </w:divBdr>
      <w:divsChild>
        <w:div w:id="1535460781">
          <w:marLeft w:val="0"/>
          <w:marRight w:val="0"/>
          <w:marTop w:val="0"/>
          <w:marBottom w:val="0"/>
          <w:divBdr>
            <w:top w:val="none" w:sz="0" w:space="0" w:color="auto"/>
            <w:left w:val="none" w:sz="0" w:space="0" w:color="auto"/>
            <w:bottom w:val="none" w:sz="0" w:space="0" w:color="auto"/>
            <w:right w:val="none" w:sz="0" w:space="0" w:color="auto"/>
          </w:divBdr>
        </w:div>
        <w:div w:id="178667826">
          <w:marLeft w:val="0"/>
          <w:marRight w:val="0"/>
          <w:marTop w:val="0"/>
          <w:marBottom w:val="0"/>
          <w:divBdr>
            <w:top w:val="none" w:sz="0" w:space="0" w:color="auto"/>
            <w:left w:val="none" w:sz="0" w:space="0" w:color="auto"/>
            <w:bottom w:val="none" w:sz="0" w:space="0" w:color="auto"/>
            <w:right w:val="none" w:sz="0" w:space="0" w:color="auto"/>
          </w:divBdr>
        </w:div>
        <w:div w:id="624042511">
          <w:marLeft w:val="0"/>
          <w:marRight w:val="0"/>
          <w:marTop w:val="0"/>
          <w:marBottom w:val="0"/>
          <w:divBdr>
            <w:top w:val="none" w:sz="0" w:space="0" w:color="auto"/>
            <w:left w:val="none" w:sz="0" w:space="0" w:color="auto"/>
            <w:bottom w:val="none" w:sz="0" w:space="0" w:color="auto"/>
            <w:right w:val="none" w:sz="0" w:space="0" w:color="auto"/>
          </w:divBdr>
        </w:div>
        <w:div w:id="608393903">
          <w:marLeft w:val="0"/>
          <w:marRight w:val="0"/>
          <w:marTop w:val="0"/>
          <w:marBottom w:val="0"/>
          <w:divBdr>
            <w:top w:val="none" w:sz="0" w:space="0" w:color="auto"/>
            <w:left w:val="none" w:sz="0" w:space="0" w:color="auto"/>
            <w:bottom w:val="none" w:sz="0" w:space="0" w:color="auto"/>
            <w:right w:val="none" w:sz="0" w:space="0" w:color="auto"/>
          </w:divBdr>
        </w:div>
        <w:div w:id="563219452">
          <w:marLeft w:val="0"/>
          <w:marRight w:val="0"/>
          <w:marTop w:val="0"/>
          <w:marBottom w:val="0"/>
          <w:divBdr>
            <w:top w:val="none" w:sz="0" w:space="0" w:color="auto"/>
            <w:left w:val="none" w:sz="0" w:space="0" w:color="auto"/>
            <w:bottom w:val="none" w:sz="0" w:space="0" w:color="auto"/>
            <w:right w:val="none" w:sz="0" w:space="0" w:color="auto"/>
          </w:divBdr>
        </w:div>
        <w:div w:id="1069690836">
          <w:marLeft w:val="0"/>
          <w:marRight w:val="0"/>
          <w:marTop w:val="0"/>
          <w:marBottom w:val="0"/>
          <w:divBdr>
            <w:top w:val="none" w:sz="0" w:space="0" w:color="auto"/>
            <w:left w:val="none" w:sz="0" w:space="0" w:color="auto"/>
            <w:bottom w:val="none" w:sz="0" w:space="0" w:color="auto"/>
            <w:right w:val="none" w:sz="0" w:space="0" w:color="auto"/>
          </w:divBdr>
        </w:div>
        <w:div w:id="2064207273">
          <w:marLeft w:val="0"/>
          <w:marRight w:val="0"/>
          <w:marTop w:val="0"/>
          <w:marBottom w:val="0"/>
          <w:divBdr>
            <w:top w:val="none" w:sz="0" w:space="0" w:color="auto"/>
            <w:left w:val="none" w:sz="0" w:space="0" w:color="auto"/>
            <w:bottom w:val="none" w:sz="0" w:space="0" w:color="auto"/>
            <w:right w:val="none" w:sz="0" w:space="0" w:color="auto"/>
          </w:divBdr>
        </w:div>
        <w:div w:id="2091002662">
          <w:marLeft w:val="0"/>
          <w:marRight w:val="0"/>
          <w:marTop w:val="0"/>
          <w:marBottom w:val="0"/>
          <w:divBdr>
            <w:top w:val="none" w:sz="0" w:space="0" w:color="auto"/>
            <w:left w:val="none" w:sz="0" w:space="0" w:color="auto"/>
            <w:bottom w:val="none" w:sz="0" w:space="0" w:color="auto"/>
            <w:right w:val="none" w:sz="0" w:space="0" w:color="auto"/>
          </w:divBdr>
        </w:div>
        <w:div w:id="1525485382">
          <w:marLeft w:val="0"/>
          <w:marRight w:val="0"/>
          <w:marTop w:val="0"/>
          <w:marBottom w:val="0"/>
          <w:divBdr>
            <w:top w:val="none" w:sz="0" w:space="0" w:color="auto"/>
            <w:left w:val="none" w:sz="0" w:space="0" w:color="auto"/>
            <w:bottom w:val="none" w:sz="0" w:space="0" w:color="auto"/>
            <w:right w:val="none" w:sz="0" w:space="0" w:color="auto"/>
          </w:divBdr>
        </w:div>
        <w:div w:id="1877693775">
          <w:marLeft w:val="0"/>
          <w:marRight w:val="0"/>
          <w:marTop w:val="0"/>
          <w:marBottom w:val="0"/>
          <w:divBdr>
            <w:top w:val="none" w:sz="0" w:space="0" w:color="auto"/>
            <w:left w:val="none" w:sz="0" w:space="0" w:color="auto"/>
            <w:bottom w:val="none" w:sz="0" w:space="0" w:color="auto"/>
            <w:right w:val="none" w:sz="0" w:space="0" w:color="auto"/>
          </w:divBdr>
        </w:div>
        <w:div w:id="1279724750">
          <w:marLeft w:val="0"/>
          <w:marRight w:val="0"/>
          <w:marTop w:val="0"/>
          <w:marBottom w:val="0"/>
          <w:divBdr>
            <w:top w:val="none" w:sz="0" w:space="0" w:color="auto"/>
            <w:left w:val="none" w:sz="0" w:space="0" w:color="auto"/>
            <w:bottom w:val="none" w:sz="0" w:space="0" w:color="auto"/>
            <w:right w:val="none" w:sz="0" w:space="0" w:color="auto"/>
          </w:divBdr>
        </w:div>
      </w:divsChild>
    </w:div>
    <w:div w:id="1488209244">
      <w:bodyDiv w:val="1"/>
      <w:marLeft w:val="0"/>
      <w:marRight w:val="0"/>
      <w:marTop w:val="0"/>
      <w:marBottom w:val="0"/>
      <w:divBdr>
        <w:top w:val="none" w:sz="0" w:space="0" w:color="auto"/>
        <w:left w:val="none" w:sz="0" w:space="0" w:color="auto"/>
        <w:bottom w:val="none" w:sz="0" w:space="0" w:color="auto"/>
        <w:right w:val="none" w:sz="0" w:space="0" w:color="auto"/>
      </w:divBdr>
    </w:div>
    <w:div w:id="1507792302">
      <w:bodyDiv w:val="1"/>
      <w:marLeft w:val="0"/>
      <w:marRight w:val="0"/>
      <w:marTop w:val="0"/>
      <w:marBottom w:val="0"/>
      <w:divBdr>
        <w:top w:val="none" w:sz="0" w:space="0" w:color="auto"/>
        <w:left w:val="none" w:sz="0" w:space="0" w:color="auto"/>
        <w:bottom w:val="none" w:sz="0" w:space="0" w:color="auto"/>
        <w:right w:val="none" w:sz="0" w:space="0" w:color="auto"/>
      </w:divBdr>
      <w:divsChild>
        <w:div w:id="34162150">
          <w:marLeft w:val="0"/>
          <w:marRight w:val="0"/>
          <w:marTop w:val="0"/>
          <w:marBottom w:val="0"/>
          <w:divBdr>
            <w:top w:val="none" w:sz="0" w:space="0" w:color="auto"/>
            <w:left w:val="none" w:sz="0" w:space="0" w:color="auto"/>
            <w:bottom w:val="none" w:sz="0" w:space="0" w:color="auto"/>
            <w:right w:val="none" w:sz="0" w:space="0" w:color="auto"/>
          </w:divBdr>
        </w:div>
        <w:div w:id="729382547">
          <w:marLeft w:val="0"/>
          <w:marRight w:val="0"/>
          <w:marTop w:val="0"/>
          <w:marBottom w:val="0"/>
          <w:divBdr>
            <w:top w:val="none" w:sz="0" w:space="0" w:color="auto"/>
            <w:left w:val="none" w:sz="0" w:space="0" w:color="auto"/>
            <w:bottom w:val="none" w:sz="0" w:space="0" w:color="auto"/>
            <w:right w:val="none" w:sz="0" w:space="0" w:color="auto"/>
          </w:divBdr>
        </w:div>
        <w:div w:id="1989169478">
          <w:marLeft w:val="0"/>
          <w:marRight w:val="0"/>
          <w:marTop w:val="0"/>
          <w:marBottom w:val="0"/>
          <w:divBdr>
            <w:top w:val="none" w:sz="0" w:space="0" w:color="auto"/>
            <w:left w:val="none" w:sz="0" w:space="0" w:color="auto"/>
            <w:bottom w:val="none" w:sz="0" w:space="0" w:color="auto"/>
            <w:right w:val="none" w:sz="0" w:space="0" w:color="auto"/>
          </w:divBdr>
        </w:div>
        <w:div w:id="421880771">
          <w:marLeft w:val="0"/>
          <w:marRight w:val="0"/>
          <w:marTop w:val="0"/>
          <w:marBottom w:val="0"/>
          <w:divBdr>
            <w:top w:val="none" w:sz="0" w:space="0" w:color="auto"/>
            <w:left w:val="none" w:sz="0" w:space="0" w:color="auto"/>
            <w:bottom w:val="none" w:sz="0" w:space="0" w:color="auto"/>
            <w:right w:val="none" w:sz="0" w:space="0" w:color="auto"/>
          </w:divBdr>
        </w:div>
      </w:divsChild>
    </w:div>
    <w:div w:id="1569225163">
      <w:bodyDiv w:val="1"/>
      <w:marLeft w:val="0"/>
      <w:marRight w:val="0"/>
      <w:marTop w:val="0"/>
      <w:marBottom w:val="0"/>
      <w:divBdr>
        <w:top w:val="none" w:sz="0" w:space="0" w:color="auto"/>
        <w:left w:val="none" w:sz="0" w:space="0" w:color="auto"/>
        <w:bottom w:val="none" w:sz="0" w:space="0" w:color="auto"/>
        <w:right w:val="none" w:sz="0" w:space="0" w:color="auto"/>
      </w:divBdr>
      <w:divsChild>
        <w:div w:id="847788995">
          <w:marLeft w:val="0"/>
          <w:marRight w:val="0"/>
          <w:marTop w:val="0"/>
          <w:marBottom w:val="0"/>
          <w:divBdr>
            <w:top w:val="none" w:sz="0" w:space="0" w:color="auto"/>
            <w:left w:val="none" w:sz="0" w:space="0" w:color="auto"/>
            <w:bottom w:val="none" w:sz="0" w:space="0" w:color="auto"/>
            <w:right w:val="none" w:sz="0" w:space="0" w:color="auto"/>
          </w:divBdr>
        </w:div>
        <w:div w:id="1561593196">
          <w:marLeft w:val="0"/>
          <w:marRight w:val="0"/>
          <w:marTop w:val="0"/>
          <w:marBottom w:val="0"/>
          <w:divBdr>
            <w:top w:val="none" w:sz="0" w:space="0" w:color="auto"/>
            <w:left w:val="none" w:sz="0" w:space="0" w:color="auto"/>
            <w:bottom w:val="none" w:sz="0" w:space="0" w:color="auto"/>
            <w:right w:val="none" w:sz="0" w:space="0" w:color="auto"/>
          </w:divBdr>
        </w:div>
        <w:div w:id="1641766093">
          <w:marLeft w:val="0"/>
          <w:marRight w:val="0"/>
          <w:marTop w:val="0"/>
          <w:marBottom w:val="0"/>
          <w:divBdr>
            <w:top w:val="none" w:sz="0" w:space="0" w:color="auto"/>
            <w:left w:val="none" w:sz="0" w:space="0" w:color="auto"/>
            <w:bottom w:val="none" w:sz="0" w:space="0" w:color="auto"/>
            <w:right w:val="none" w:sz="0" w:space="0" w:color="auto"/>
          </w:divBdr>
        </w:div>
        <w:div w:id="764424308">
          <w:marLeft w:val="0"/>
          <w:marRight w:val="0"/>
          <w:marTop w:val="0"/>
          <w:marBottom w:val="0"/>
          <w:divBdr>
            <w:top w:val="none" w:sz="0" w:space="0" w:color="auto"/>
            <w:left w:val="none" w:sz="0" w:space="0" w:color="auto"/>
            <w:bottom w:val="none" w:sz="0" w:space="0" w:color="auto"/>
            <w:right w:val="none" w:sz="0" w:space="0" w:color="auto"/>
          </w:divBdr>
        </w:div>
        <w:div w:id="182398218">
          <w:marLeft w:val="0"/>
          <w:marRight w:val="0"/>
          <w:marTop w:val="0"/>
          <w:marBottom w:val="0"/>
          <w:divBdr>
            <w:top w:val="none" w:sz="0" w:space="0" w:color="auto"/>
            <w:left w:val="none" w:sz="0" w:space="0" w:color="auto"/>
            <w:bottom w:val="none" w:sz="0" w:space="0" w:color="auto"/>
            <w:right w:val="none" w:sz="0" w:space="0" w:color="auto"/>
          </w:divBdr>
        </w:div>
        <w:div w:id="1505902107">
          <w:marLeft w:val="0"/>
          <w:marRight w:val="0"/>
          <w:marTop w:val="0"/>
          <w:marBottom w:val="0"/>
          <w:divBdr>
            <w:top w:val="none" w:sz="0" w:space="0" w:color="auto"/>
            <w:left w:val="none" w:sz="0" w:space="0" w:color="auto"/>
            <w:bottom w:val="none" w:sz="0" w:space="0" w:color="auto"/>
            <w:right w:val="none" w:sz="0" w:space="0" w:color="auto"/>
          </w:divBdr>
        </w:div>
        <w:div w:id="1334645034">
          <w:marLeft w:val="0"/>
          <w:marRight w:val="0"/>
          <w:marTop w:val="0"/>
          <w:marBottom w:val="0"/>
          <w:divBdr>
            <w:top w:val="none" w:sz="0" w:space="0" w:color="auto"/>
            <w:left w:val="none" w:sz="0" w:space="0" w:color="auto"/>
            <w:bottom w:val="none" w:sz="0" w:space="0" w:color="auto"/>
            <w:right w:val="none" w:sz="0" w:space="0" w:color="auto"/>
          </w:divBdr>
        </w:div>
        <w:div w:id="81729613">
          <w:marLeft w:val="0"/>
          <w:marRight w:val="0"/>
          <w:marTop w:val="0"/>
          <w:marBottom w:val="0"/>
          <w:divBdr>
            <w:top w:val="none" w:sz="0" w:space="0" w:color="auto"/>
            <w:left w:val="none" w:sz="0" w:space="0" w:color="auto"/>
            <w:bottom w:val="none" w:sz="0" w:space="0" w:color="auto"/>
            <w:right w:val="none" w:sz="0" w:space="0" w:color="auto"/>
          </w:divBdr>
        </w:div>
        <w:div w:id="1273778000">
          <w:marLeft w:val="0"/>
          <w:marRight w:val="0"/>
          <w:marTop w:val="0"/>
          <w:marBottom w:val="0"/>
          <w:divBdr>
            <w:top w:val="none" w:sz="0" w:space="0" w:color="auto"/>
            <w:left w:val="none" w:sz="0" w:space="0" w:color="auto"/>
            <w:bottom w:val="none" w:sz="0" w:space="0" w:color="auto"/>
            <w:right w:val="none" w:sz="0" w:space="0" w:color="auto"/>
          </w:divBdr>
        </w:div>
      </w:divsChild>
    </w:div>
    <w:div w:id="1612475731">
      <w:bodyDiv w:val="1"/>
      <w:marLeft w:val="0"/>
      <w:marRight w:val="0"/>
      <w:marTop w:val="0"/>
      <w:marBottom w:val="0"/>
      <w:divBdr>
        <w:top w:val="none" w:sz="0" w:space="0" w:color="auto"/>
        <w:left w:val="none" w:sz="0" w:space="0" w:color="auto"/>
        <w:bottom w:val="none" w:sz="0" w:space="0" w:color="auto"/>
        <w:right w:val="none" w:sz="0" w:space="0" w:color="auto"/>
      </w:divBdr>
    </w:div>
    <w:div w:id="1659378404">
      <w:bodyDiv w:val="1"/>
      <w:marLeft w:val="0"/>
      <w:marRight w:val="0"/>
      <w:marTop w:val="0"/>
      <w:marBottom w:val="0"/>
      <w:divBdr>
        <w:top w:val="none" w:sz="0" w:space="0" w:color="auto"/>
        <w:left w:val="none" w:sz="0" w:space="0" w:color="auto"/>
        <w:bottom w:val="none" w:sz="0" w:space="0" w:color="auto"/>
        <w:right w:val="none" w:sz="0" w:space="0" w:color="auto"/>
      </w:divBdr>
      <w:divsChild>
        <w:div w:id="1321932230">
          <w:marLeft w:val="0"/>
          <w:marRight w:val="0"/>
          <w:marTop w:val="0"/>
          <w:marBottom w:val="0"/>
          <w:divBdr>
            <w:top w:val="none" w:sz="0" w:space="0" w:color="auto"/>
            <w:left w:val="none" w:sz="0" w:space="0" w:color="auto"/>
            <w:bottom w:val="none" w:sz="0" w:space="0" w:color="auto"/>
            <w:right w:val="none" w:sz="0" w:space="0" w:color="auto"/>
          </w:divBdr>
        </w:div>
        <w:div w:id="311638506">
          <w:marLeft w:val="0"/>
          <w:marRight w:val="0"/>
          <w:marTop w:val="0"/>
          <w:marBottom w:val="0"/>
          <w:divBdr>
            <w:top w:val="none" w:sz="0" w:space="0" w:color="auto"/>
            <w:left w:val="none" w:sz="0" w:space="0" w:color="auto"/>
            <w:bottom w:val="none" w:sz="0" w:space="0" w:color="auto"/>
            <w:right w:val="none" w:sz="0" w:space="0" w:color="auto"/>
          </w:divBdr>
          <w:divsChild>
            <w:div w:id="1370102603">
              <w:marLeft w:val="0"/>
              <w:marRight w:val="0"/>
              <w:marTop w:val="0"/>
              <w:marBottom w:val="0"/>
              <w:divBdr>
                <w:top w:val="none" w:sz="0" w:space="0" w:color="auto"/>
                <w:left w:val="none" w:sz="0" w:space="0" w:color="auto"/>
                <w:bottom w:val="none" w:sz="0" w:space="0" w:color="auto"/>
                <w:right w:val="none" w:sz="0" w:space="0" w:color="auto"/>
              </w:divBdr>
            </w:div>
            <w:div w:id="561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834">
      <w:bodyDiv w:val="1"/>
      <w:marLeft w:val="0"/>
      <w:marRight w:val="0"/>
      <w:marTop w:val="0"/>
      <w:marBottom w:val="0"/>
      <w:divBdr>
        <w:top w:val="none" w:sz="0" w:space="0" w:color="auto"/>
        <w:left w:val="none" w:sz="0" w:space="0" w:color="auto"/>
        <w:bottom w:val="none" w:sz="0" w:space="0" w:color="auto"/>
        <w:right w:val="none" w:sz="0" w:space="0" w:color="auto"/>
      </w:divBdr>
    </w:div>
    <w:div w:id="20723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BDFE1A0E931F74F96CC79EF4AA793F3" ma:contentTypeVersion="6" ma:contentTypeDescription="Utwórz nowy dokument." ma:contentTypeScope="" ma:versionID="a69c6b67e6cded1227ca0f275c9452a2">
  <xsd:schema xmlns:xsd="http://www.w3.org/2001/XMLSchema" xmlns:xs="http://www.w3.org/2001/XMLSchema" xmlns:p="http://schemas.microsoft.com/office/2006/metadata/properties" xmlns:ns2="8d84c849-17c6-44cd-bb21-43de8b9495fe" xmlns:ns3="daee6405-01d6-4021-b670-ee26fd609bfa" targetNamespace="http://schemas.microsoft.com/office/2006/metadata/properties" ma:root="true" ma:fieldsID="dd5ad0588f23987efa8e27190609177c" ns2:_="" ns3:_="">
    <xsd:import namespace="8d84c849-17c6-44cd-bb21-43de8b9495fe"/>
    <xsd:import namespace="daee6405-01d6-4021-b670-ee26fd609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c849-17c6-44cd-bb21-43de8b94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e6405-01d6-4021-b670-ee26fd609bf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845A2-6410-40AE-B9D2-A8722D81862B}">
  <ds:schemaRefs>
    <ds:schemaRef ds:uri="http://schemas.openxmlformats.org/officeDocument/2006/bibliography"/>
  </ds:schemaRefs>
</ds:datastoreItem>
</file>

<file path=customXml/itemProps2.xml><?xml version="1.0" encoding="utf-8"?>
<ds:datastoreItem xmlns:ds="http://schemas.openxmlformats.org/officeDocument/2006/customXml" ds:itemID="{534C0946-84F3-4E8F-9EC3-F1EE0828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c849-17c6-44cd-bb21-43de8b9495fe"/>
    <ds:schemaRef ds:uri="daee6405-01d6-4021-b670-ee26fd60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5C9BA-8003-4CBC-ABB7-F3EFC0D9E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14993</Words>
  <Characters>89961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A.Dzisko</dc:creator>
  <cp:keywords/>
  <dc:description/>
  <cp:lastModifiedBy>Pawłowska Agnieszka</cp:lastModifiedBy>
  <cp:revision>11</cp:revision>
  <cp:lastPrinted>2025-04-22T10:49:00Z</cp:lastPrinted>
  <dcterms:created xsi:type="dcterms:W3CDTF">2026-05-13T11:28:00Z</dcterms:created>
  <dcterms:modified xsi:type="dcterms:W3CDTF">2026-05-13T11:55:00Z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0x0101000BDFE1A0E931F74F96CC79EF4AA793F3</vt:lpwstr>
  </property>
</Properties>
</file>