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35059033"/>
        <w:docPartObj>
          <w:docPartGallery w:val="Cover Pages"/>
          <w:docPartUnique/>
        </w:docPartObj>
      </w:sdtPr>
      <w:sdtEndPr/>
      <w:sdtContent>
        <w:p w14:paraId="5CA89C05" w14:textId="4BFE9F6F" w:rsidR="0075115A" w:rsidRDefault="004F1FC7" w:rsidP="004F286B">
          <w:pPr>
            <w:rPr>
              <w:b/>
              <w:bCs/>
              <w:i/>
              <w:color w:val="FFFFFF" w:themeColor="background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2CC76B4" wp14:editId="6776CA16">
                    <wp:simplePos x="0" y="0"/>
                    <wp:positionH relativeFrom="page">
                      <wp:posOffset>3419475</wp:posOffset>
                    </wp:positionH>
                    <wp:positionV relativeFrom="page">
                      <wp:posOffset>438150</wp:posOffset>
                    </wp:positionV>
                    <wp:extent cx="2990850" cy="4695825"/>
                    <wp:effectExtent l="0" t="0" r="0" b="9525"/>
                    <wp:wrapNone/>
                    <wp:docPr id="467" name="Prostokąt 4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90850" cy="46958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D6E7AF" w14:textId="701DB979" w:rsidR="0045143F" w:rsidRPr="00887F08" w:rsidRDefault="0045143F" w:rsidP="00350484">
                                <w:pPr>
                                  <w:spacing w:before="24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Przewodnik reguluje podstawowe zagadnienia dotyczące kwalifikowa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lności</w:t>
                                </w: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kosztów </w:t>
                                </w: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br/>
                                  <w:t>w projektach badawczo-rozwojowych.</w:t>
                                </w:r>
                              </w:p>
                              <w:p w14:paraId="2682F4AD" w14:textId="77777777" w:rsidR="0045143F" w:rsidRPr="00887F08" w:rsidRDefault="0045143F" w:rsidP="00AC592A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Zawiera  rozdziały/załączniki definiujące:</w:t>
                                </w:r>
                              </w:p>
                              <w:p w14:paraId="08F14AFF" w14:textId="3F613B10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Ramy czasowe i zasady kwalifikow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alności </w:t>
                                </w: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kosztów</w:t>
                                </w:r>
                              </w:p>
                              <w:p w14:paraId="2BD6CA51" w14:textId="07B87420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2"/>
                                    <w:numId w:val="17"/>
                                  </w:numPr>
                                  <w:spacing w:before="24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Katalog kosztów kwalifikowa</w:t>
                                </w:r>
                                <w:r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nych</w:t>
                                </w:r>
                              </w:p>
                              <w:p w14:paraId="6A1C494F" w14:textId="58BD34CE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2"/>
                                    <w:numId w:val="17"/>
                                  </w:numPr>
                                  <w:spacing w:before="24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Katalog kosztów niekwalifikowa</w:t>
                                </w:r>
                                <w:r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nych</w:t>
                                </w:r>
                              </w:p>
                              <w:p w14:paraId="5A354B44" w14:textId="77777777" w:rsidR="0045143F" w:rsidRPr="00887F08" w:rsidRDefault="0045143F" w:rsidP="00EF3ADC">
                                <w:pPr>
                                  <w:pStyle w:val="Akapitzlist"/>
                                  <w:spacing w:before="240"/>
                                  <w:ind w:left="108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9955B4D" w14:textId="77777777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Dokumentowanie poniesionych kosztów </w:t>
                                </w:r>
                              </w:p>
                              <w:p w14:paraId="01DC6C86" w14:textId="77777777" w:rsidR="0045143F" w:rsidRPr="00887F08" w:rsidRDefault="0045143F" w:rsidP="00EF3ADC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03BF21A" w14:textId="6769A0BB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Podatek VAT jako koszt kwalifikowa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ny</w:t>
                                </w:r>
                              </w:p>
                              <w:p w14:paraId="16C38360" w14:textId="77777777" w:rsidR="0045143F" w:rsidRDefault="0045143F" w:rsidP="00EB52E0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593BFA0" w14:textId="77777777" w:rsidR="0045143F" w:rsidRPr="00887F08" w:rsidRDefault="0045143F" w:rsidP="00EB52E0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02B5130" w14:textId="663646C6" w:rsidR="0045143F" w:rsidRPr="00887F08" w:rsidRDefault="0045143F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Wkład własny 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Beneficjenta </w:t>
                                </w:r>
                              </w:p>
                              <w:p w14:paraId="48D68623" w14:textId="77777777" w:rsidR="0045143F" w:rsidRPr="00887F08" w:rsidRDefault="0045143F" w:rsidP="004F1FC7">
                                <w:pPr>
                                  <w:pStyle w:val="Akapitzlist"/>
                                  <w:numPr>
                                    <w:ilvl w:val="6"/>
                                    <w:numId w:val="18"/>
                                  </w:numPr>
                                  <w:spacing w:before="240"/>
                                  <w:ind w:left="993" w:hanging="284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Pieniężny</w:t>
                                </w:r>
                              </w:p>
                              <w:p w14:paraId="68E4D58A" w14:textId="77777777" w:rsidR="0045143F" w:rsidRDefault="0045143F" w:rsidP="004F1FC7">
                                <w:pPr>
                                  <w:pStyle w:val="Akapitzlist"/>
                                  <w:numPr>
                                    <w:ilvl w:val="6"/>
                                    <w:numId w:val="18"/>
                                  </w:numPr>
                                  <w:spacing w:before="240"/>
                                  <w:ind w:left="993" w:hanging="284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Niepieniężny</w:t>
                                </w:r>
                              </w:p>
                              <w:p w14:paraId="006CB4EE" w14:textId="77777777" w:rsidR="0045143F" w:rsidRDefault="0045143F" w:rsidP="00AC592A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CC76B4" id="Prostokąt 467" o:spid="_x0000_s1026" style="position:absolute;margin-left:269.25pt;margin-top:34.5pt;width:235.5pt;height:3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" fillcolor="#365f91 [2404]" stroked="f" strokeweight="2pt">
                    <v:path arrowok="t"/>
                    <v:textbox inset="14.4pt,14.4pt,14.4pt,28.8pt">
                      <w:txbxContent>
                        <w:p w14:paraId="43D6E7AF" w14:textId="701DB979" w:rsidR="0045143F" w:rsidRPr="00887F08" w:rsidRDefault="0045143F" w:rsidP="00350484">
                          <w:pPr>
                            <w:spacing w:before="240"/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Przewodnik reguluje podstawowe zagadnienia dotyczące kwalifikowa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lności</w:t>
                          </w: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kosztów </w:t>
                          </w: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>w projektach badawczo-rozwojowych.</w:t>
                          </w:r>
                        </w:p>
                        <w:p w14:paraId="2682F4AD" w14:textId="77777777" w:rsidR="0045143F" w:rsidRPr="00887F08" w:rsidRDefault="0045143F" w:rsidP="00AC592A">
                          <w:p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Zawiera  rozdziały/załączniki definiujące:</w:t>
                          </w:r>
                        </w:p>
                        <w:p w14:paraId="08F14AFF" w14:textId="3F613B10" w:rsidR="0045143F" w:rsidRPr="00887F08" w:rsidRDefault="0045143F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Ramy czasowe i zasady kwalifikow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alności </w:t>
                          </w: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kosztów</w:t>
                          </w:r>
                        </w:p>
                        <w:p w14:paraId="2BD6CA51" w14:textId="07B87420" w:rsidR="0045143F" w:rsidRPr="00887F08" w:rsidRDefault="0045143F" w:rsidP="00FF6A65">
                          <w:pPr>
                            <w:pStyle w:val="Akapitzlist"/>
                            <w:numPr>
                              <w:ilvl w:val="2"/>
                              <w:numId w:val="17"/>
                            </w:numPr>
                            <w:spacing w:before="24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Katalog kosztów kwalifikowa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nych</w:t>
                          </w:r>
                        </w:p>
                        <w:p w14:paraId="6A1C494F" w14:textId="58BD34CE" w:rsidR="0045143F" w:rsidRPr="00887F08" w:rsidRDefault="0045143F" w:rsidP="00FF6A65">
                          <w:pPr>
                            <w:pStyle w:val="Akapitzlist"/>
                            <w:numPr>
                              <w:ilvl w:val="2"/>
                              <w:numId w:val="17"/>
                            </w:numPr>
                            <w:spacing w:before="24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Katalog kosztów niekwalifikowa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nych</w:t>
                          </w:r>
                        </w:p>
                        <w:p w14:paraId="5A354B44" w14:textId="77777777" w:rsidR="0045143F" w:rsidRPr="00887F08" w:rsidRDefault="0045143F" w:rsidP="00EF3ADC">
                          <w:pPr>
                            <w:pStyle w:val="Akapitzlist"/>
                            <w:spacing w:before="240"/>
                            <w:ind w:left="108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  <w:p w14:paraId="49955B4D" w14:textId="77777777" w:rsidR="0045143F" w:rsidRPr="00887F08" w:rsidRDefault="0045143F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Dokumentowanie poniesionych kosztów </w:t>
                          </w:r>
                        </w:p>
                        <w:p w14:paraId="01DC6C86" w14:textId="77777777" w:rsidR="0045143F" w:rsidRPr="00887F08" w:rsidRDefault="0045143F" w:rsidP="00EF3ADC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003BF21A" w14:textId="6769A0BB" w:rsidR="0045143F" w:rsidRPr="00887F08" w:rsidRDefault="0045143F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Podatek VAT jako koszt kwalifikowa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ny</w:t>
                          </w:r>
                        </w:p>
                        <w:p w14:paraId="16C38360" w14:textId="77777777" w:rsidR="0045143F" w:rsidRDefault="0045143F" w:rsidP="00EB52E0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6593BFA0" w14:textId="77777777" w:rsidR="0045143F" w:rsidRPr="00887F08" w:rsidRDefault="0045143F" w:rsidP="00EB52E0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702B5130" w14:textId="663646C6" w:rsidR="0045143F" w:rsidRPr="00887F08" w:rsidRDefault="0045143F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Wkład własny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Beneficjenta </w:t>
                          </w:r>
                        </w:p>
                        <w:p w14:paraId="48D68623" w14:textId="77777777" w:rsidR="0045143F" w:rsidRPr="00887F08" w:rsidRDefault="0045143F" w:rsidP="004F1FC7">
                          <w:pPr>
                            <w:pStyle w:val="Akapitzlist"/>
                            <w:numPr>
                              <w:ilvl w:val="6"/>
                              <w:numId w:val="18"/>
                            </w:numPr>
                            <w:spacing w:before="240"/>
                            <w:ind w:left="993" w:hanging="284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Pieniężny</w:t>
                          </w:r>
                        </w:p>
                        <w:p w14:paraId="68E4D58A" w14:textId="77777777" w:rsidR="0045143F" w:rsidRDefault="0045143F" w:rsidP="004F1FC7">
                          <w:pPr>
                            <w:pStyle w:val="Akapitzlist"/>
                            <w:numPr>
                              <w:ilvl w:val="6"/>
                              <w:numId w:val="18"/>
                            </w:numPr>
                            <w:spacing w:before="240"/>
                            <w:ind w:left="993" w:hanging="284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Niepieniężny</w:t>
                          </w:r>
                        </w:p>
                        <w:p w14:paraId="006CB4EE" w14:textId="77777777" w:rsidR="0045143F" w:rsidRDefault="0045143F" w:rsidP="00AC592A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B766367" w14:textId="77777777" w:rsidR="004F286B" w:rsidRPr="003360BA" w:rsidRDefault="005F0DE0" w:rsidP="004F286B">
          <w:pPr>
            <w:rPr>
              <w:b/>
              <w:bCs/>
              <w:i/>
              <w:color w:val="FFFFFF" w:themeColor="background1"/>
            </w:rPr>
          </w:pPr>
          <w:r>
            <w:rPr>
              <w:b/>
              <w:bCs/>
              <w:i/>
              <w:color w:val="FFFFFF" w:themeColor="background1"/>
            </w:rPr>
            <w:br/>
          </w:r>
          <w:r>
            <w:rPr>
              <w:b/>
              <w:bCs/>
              <w:i/>
              <w:color w:val="FFFFFF" w:themeColor="background1"/>
            </w:rPr>
            <w:br/>
          </w:r>
        </w:p>
        <w:p w14:paraId="17D03C5D" w14:textId="386BFACF" w:rsidR="00AE2BD2" w:rsidRDefault="007F1B7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F5740D0" wp14:editId="115E427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82485" cy="10157460"/>
                    <wp:effectExtent l="0" t="0" r="0" b="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182485" cy="1015746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6053C2" w14:textId="77777777" w:rsidR="0045143F" w:rsidRDefault="0045143F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F5740D0" id="Prostokąt 466" o:spid="_x0000_s1027" style="position:absolute;margin-left:0;margin-top:0;width:565.55pt;height:799.8pt;z-index:-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" fillcolor="#dbe5f1 [660]" stroked="f" strokeweight="2pt">
                    <v:fill color2="#95b3d7 [1940]" rotate="t" focusposition=".5,.5" focussize="" focus="100%" type="gradientRadial"/>
                    <v:path arrowok="t"/>
                    <v:textbox inset="21.6pt,,21.6pt">
                      <w:txbxContent>
                        <w:p w14:paraId="0D6053C2" w14:textId="77777777" w:rsidR="0045143F" w:rsidRDefault="0045143F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AA87C60" w14:textId="1BC2BC15" w:rsidR="00AE2BD2" w:rsidRPr="00887F08" w:rsidRDefault="005517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97F07C" wp14:editId="26517C04">
                    <wp:simplePos x="0" y="0"/>
                    <wp:positionH relativeFrom="page">
                      <wp:posOffset>1533525</wp:posOffset>
                    </wp:positionH>
                    <wp:positionV relativeFrom="page">
                      <wp:posOffset>8763000</wp:posOffset>
                    </wp:positionV>
                    <wp:extent cx="4953000" cy="781050"/>
                    <wp:effectExtent l="0" t="0" r="19050" b="19050"/>
                    <wp:wrapNone/>
                    <wp:docPr id="469" name="Prostokąt 4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3000" cy="781050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F12DE4" w14:textId="7B7A84D2" w:rsidR="0045143F" w:rsidRPr="00887F08" w:rsidRDefault="0045143F" w:rsidP="00733CFC">
                                <w:pP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>Narodowe Centrum Badań i Rozwoju</w:t>
                                </w:r>
                                <w: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 </w:t>
                                </w:r>
                                <w:r w:rsidRPr="00887F08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97F07C" id="Prostokąt 469" o:spid="_x0000_s1028" style="position:absolute;margin-left:120.75pt;margin-top:690pt;width:390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" fillcolor="#4f81bd [3204]" strokecolor="#e36c0a [2409]" strokeweight=".25pt">
                    <v:path arrowok="t"/>
                    <v:textbox>
                      <w:txbxContent>
                        <w:p w14:paraId="38F12DE4" w14:textId="7B7A84D2" w:rsidR="0045143F" w:rsidRPr="00887F08" w:rsidRDefault="0045143F" w:rsidP="00733CFC">
                          <w:pP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>Narodowe Centrum Badań i Rozwoju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 </w:t>
                          </w:r>
                          <w:r w:rsidRPr="00887F08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 2021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3C763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56E795A" wp14:editId="6F5A6ABD">
                    <wp:simplePos x="0" y="0"/>
                    <wp:positionH relativeFrom="page">
                      <wp:posOffset>2247900</wp:posOffset>
                    </wp:positionH>
                    <wp:positionV relativeFrom="page">
                      <wp:posOffset>5734050</wp:posOffset>
                    </wp:positionV>
                    <wp:extent cx="4086225" cy="2838450"/>
                    <wp:effectExtent l="0" t="0" r="0" b="0"/>
                    <wp:wrapSquare wrapText="bothSides"/>
                    <wp:docPr id="470" name="Pole tekstowe 4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86225" cy="2838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52"/>
                                    <w:szCs w:val="52"/>
                                  </w:rPr>
                                  <w:alias w:val="Tytuł"/>
                                  <w:id w:val="13342631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8A5461E" w14:textId="344B432E" w:rsidR="0045143F" w:rsidRPr="00887F08" w:rsidRDefault="0045143F" w:rsidP="00AF38BC">
                                    <w:pPr>
                                      <w:spacing w:line="240" w:lineRule="auto"/>
                                      <w:jc w:val="both"/>
                                      <w:rPr>
                                        <w:rFonts w:asciiTheme="majorHAnsi" w:eastAsiaTheme="majorEastAsia" w:hAnsiTheme="majorHAnsi" w:cstheme="majorBidi"/>
                                        <w:color w:val="4F81BD" w:themeColor="accent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F81BD" w:themeColor="accent1"/>
                                        <w:sz w:val="52"/>
                                        <w:szCs w:val="52"/>
                                      </w:rPr>
                                      <w:t>PRZEWODNIK KWALIFIKOWALNOŚCI KOSZTÓW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Cambria" w:eastAsia="Times New Roman" w:hAnsi="Cambria" w:cs="Times New Roman"/>
                                    <w:b/>
                                    <w:color w:val="1F497D" w:themeColor="text2"/>
                                    <w:sz w:val="40"/>
                                    <w:szCs w:val="32"/>
                                  </w:rPr>
                                  <w:alias w:val="Podtytuł"/>
                                  <w:id w:val="-21057952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77FC5C4" w14:textId="4D0D0977" w:rsidR="0045143F" w:rsidRPr="003C03E3" w:rsidRDefault="0045143F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1F497D" w:themeColor="text2"/>
                                        <w:sz w:val="40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Cambria" w:eastAsia="Times New Roman" w:hAnsi="Cambria" w:cs="Times New Roman"/>
                                        <w:b/>
                                        <w:color w:val="1F497D" w:themeColor="text2"/>
                                        <w:sz w:val="40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E795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9" type="#_x0000_t202" style="position:absolute;margin-left:177pt;margin-top:451.5pt;width:321.75pt;height:223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" filled="f" stroked="f" strokeweight=".5pt">
                    <v:path arrowok="t"/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52"/>
                              <w:szCs w:val="52"/>
                            </w:rPr>
                            <w:alias w:val="Tytuł"/>
                            <w:id w:val="13342631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8A5461E" w14:textId="344B432E" w:rsidR="0045143F" w:rsidRPr="00887F08" w:rsidRDefault="0045143F" w:rsidP="00AF38BC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4F81BD" w:themeColor="accen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F81BD" w:themeColor="accent1"/>
                                  <w:sz w:val="52"/>
                                  <w:szCs w:val="52"/>
                                </w:rPr>
                                <w:t>PRZEWODNIK KWALIFIKOWALNOŚCI KOSZTÓW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Cambria" w:eastAsia="Times New Roman" w:hAnsi="Cambria" w:cs="Times New Roman"/>
                              <w:b/>
                              <w:color w:val="1F497D" w:themeColor="text2"/>
                              <w:sz w:val="40"/>
                              <w:szCs w:val="32"/>
                            </w:rPr>
                            <w:alias w:val="Podtytuł"/>
                            <w:id w:val="-21057952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077FC5C4" w14:textId="4D0D0977" w:rsidR="0045143F" w:rsidRPr="003C03E3" w:rsidRDefault="0045143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1F497D" w:themeColor="text2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rFonts w:ascii="Cambria" w:eastAsia="Times New Roman" w:hAnsi="Cambria" w:cs="Times New Roman"/>
                                  <w:b/>
                                  <w:color w:val="1F497D" w:themeColor="text2"/>
                                  <w:sz w:val="40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F1B7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07A801" wp14:editId="58C53947">
                    <wp:simplePos x="0" y="0"/>
                    <wp:positionH relativeFrom="page">
                      <wp:posOffset>2247900</wp:posOffset>
                    </wp:positionH>
                    <wp:positionV relativeFrom="page">
                      <wp:posOffset>8353425</wp:posOffset>
                    </wp:positionV>
                    <wp:extent cx="3912235" cy="247650"/>
                    <wp:effectExtent l="0" t="0" r="0" b="0"/>
                    <wp:wrapSquare wrapText="bothSides"/>
                    <wp:docPr id="465" name="Pole tekstowe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91223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D50BFB0" w14:textId="77777777" w:rsidR="0045143F" w:rsidRDefault="0045143F">
                                <w:pPr>
                                  <w:pStyle w:val="Bezodstpw"/>
                                  <w:rPr>
                                    <w:color w:val="1F497D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07A801" id="Pole tekstowe 465" o:spid="_x0000_s1030" type="#_x0000_t202" style="position:absolute;margin-left:177pt;margin-top:657.75pt;width:308.0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" filled="f" stroked="f" strokeweight=".5pt">
                    <v:path arrowok="t"/>
                    <v:textbox>
                      <w:txbxContent>
                        <w:p w14:paraId="6D50BFB0" w14:textId="77777777" w:rsidR="0045143F" w:rsidRDefault="0045143F">
                          <w:pPr>
                            <w:pStyle w:val="Bezodstpw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E2BD2" w:rsidRPr="00887F08">
            <w:br w:type="page"/>
          </w:r>
        </w:p>
      </w:sdtContent>
    </w:sdt>
    <w:p w14:paraId="1CB83862" w14:textId="77777777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45B72">
        <w:rPr>
          <w:rFonts w:cs="Calibri"/>
          <w:bCs/>
          <w:i/>
          <w:iCs/>
          <w:color w:val="000000"/>
        </w:rPr>
        <w:lastRenderedPageBreak/>
        <w:t>Przewodnik kwalifikowalności kosztów opracowany został na podstawie obowiązujących aktów prawnych.</w:t>
      </w:r>
    </w:p>
    <w:p w14:paraId="6257C258" w14:textId="666BB158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color w:val="000000"/>
        </w:rPr>
      </w:pPr>
      <w:r w:rsidRPr="00445B72">
        <w:rPr>
          <w:rFonts w:cs="Calibri"/>
          <w:bCs/>
          <w:i/>
          <w:iCs/>
          <w:color w:val="000000"/>
        </w:rPr>
        <w:t xml:space="preserve">Przedstawione w nim zasady mają charakter informacyjny, głównym celem przewodnika jest ułatwienie </w:t>
      </w:r>
      <w:r w:rsidR="0091235E">
        <w:rPr>
          <w:rFonts w:cs="Calibri"/>
          <w:bCs/>
          <w:i/>
          <w:iCs/>
          <w:color w:val="000000"/>
        </w:rPr>
        <w:t>Beneficje</w:t>
      </w:r>
      <w:r w:rsidR="00EE1176">
        <w:rPr>
          <w:rFonts w:cs="Calibri"/>
          <w:bCs/>
          <w:i/>
          <w:iCs/>
          <w:color w:val="000000"/>
        </w:rPr>
        <w:t>n</w:t>
      </w:r>
      <w:r w:rsidR="0091235E">
        <w:rPr>
          <w:rFonts w:cs="Calibri"/>
          <w:bCs/>
          <w:i/>
          <w:iCs/>
          <w:color w:val="000000"/>
        </w:rPr>
        <w:t>tom</w:t>
      </w:r>
      <w:r w:rsidR="0091235E" w:rsidRPr="00445B72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klasyfikacji kosztów zarówno na etapie planowania kosztów jak</w:t>
      </w:r>
      <w:r w:rsidR="00FA2866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i</w:t>
      </w:r>
      <w:r w:rsidR="00FA2866">
        <w:rPr>
          <w:rFonts w:cs="Calibri"/>
          <w:bCs/>
          <w:i/>
          <w:iCs/>
          <w:color w:val="000000"/>
        </w:rPr>
        <w:t> </w:t>
      </w:r>
      <w:r w:rsidRPr="00445B72">
        <w:rPr>
          <w:rFonts w:cs="Calibri"/>
          <w:bCs/>
          <w:i/>
          <w:iCs/>
          <w:color w:val="000000"/>
        </w:rPr>
        <w:t>późniejszego raportowania wykorzystania przyznanego dofinansowania.</w:t>
      </w:r>
    </w:p>
    <w:p w14:paraId="5BC79364" w14:textId="77777777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45B72">
        <w:rPr>
          <w:rFonts w:cs="Calibri"/>
          <w:bCs/>
          <w:i/>
          <w:iCs/>
          <w:color w:val="000000"/>
        </w:rPr>
        <w:t>Jednocześnie zastrzegamy, że powyższe ustalenia nie uchylają, ani nie wpływają</w:t>
      </w:r>
      <w:r w:rsidR="00452629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na możliwość wystąpienia odmiennych ustaleń i wyników kontroli prowadzonych przez inne instytucje kontrolne.</w:t>
      </w:r>
    </w:p>
    <w:p w14:paraId="126E52F9" w14:textId="77777777" w:rsidR="00445B72" w:rsidRDefault="00445B72" w:rsidP="00445B72">
      <w:pPr>
        <w:jc w:val="both"/>
        <w:rPr>
          <w:rFonts w:cs="Calibri"/>
          <w:bCs/>
          <w:i/>
          <w:iCs/>
          <w:color w:val="000000"/>
        </w:rPr>
      </w:pPr>
      <w:r w:rsidRPr="00445B72">
        <w:rPr>
          <w:rFonts w:cs="Calibri"/>
          <w:bCs/>
          <w:i/>
          <w:iCs/>
          <w:color w:val="000000"/>
        </w:rPr>
        <w:t>Zastrzega się, że powyższy przewodnik kwalifikowalności kosztów oraz ustalone w nim wytyczne nie są podstawą do jakichkolwiek roszczeń prawnych lub finansowych przeciwko Narodowemu Centrum Badań i Rozwoju.</w:t>
      </w:r>
    </w:p>
    <w:p w14:paraId="2D71E6A9" w14:textId="77777777" w:rsidR="005D21E7" w:rsidRDefault="005D21E7" w:rsidP="005A3897">
      <w:pPr>
        <w:spacing w:line="240" w:lineRule="auto"/>
        <w:jc w:val="both"/>
        <w:rPr>
          <w:rFonts w:cs="Calibri"/>
          <w:bCs/>
          <w:i/>
          <w:iCs/>
          <w:color w:val="7F7F7F" w:themeColor="text1" w:themeTint="80"/>
        </w:rPr>
      </w:pPr>
    </w:p>
    <w:p w14:paraId="05AAB0D3" w14:textId="77777777" w:rsidR="005A3897" w:rsidRPr="005A3897" w:rsidRDefault="005A3897" w:rsidP="005A3897">
      <w:pPr>
        <w:spacing w:line="240" w:lineRule="auto"/>
        <w:jc w:val="both"/>
        <w:rPr>
          <w:color w:val="7F7F7F" w:themeColor="text1" w:themeTint="80"/>
        </w:rPr>
      </w:pPr>
      <w:r w:rsidRPr="005A3897">
        <w:rPr>
          <w:rFonts w:cs="Calibri"/>
          <w:bCs/>
          <w:i/>
          <w:iCs/>
          <w:color w:val="7F7F7F" w:themeColor="text1" w:themeTint="80"/>
        </w:rPr>
        <w:t>Definicje:</w:t>
      </w:r>
    </w:p>
    <w:p w14:paraId="004E3073" w14:textId="17D54BEE" w:rsidR="00D366AB" w:rsidRDefault="00CF61B5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  <w:r w:rsidRPr="003A1EE3">
        <w:rPr>
          <w:rFonts w:asciiTheme="minorHAnsi" w:hAnsiTheme="minorHAnsi"/>
          <w:color w:val="7F7F7F" w:themeColor="text1" w:themeTint="80"/>
          <w:sz w:val="22"/>
          <w:szCs w:val="22"/>
        </w:rPr>
        <w:t xml:space="preserve">Beneficjent  </w:t>
      </w:r>
      <w:r w:rsidR="00EE3F0D" w:rsidRPr="003A1EE3">
        <w:rPr>
          <w:rFonts w:asciiTheme="minorHAnsi" w:hAnsiTheme="minorHAnsi"/>
          <w:color w:val="7F7F7F" w:themeColor="text1" w:themeTint="80"/>
          <w:sz w:val="22"/>
          <w:szCs w:val="22"/>
        </w:rPr>
        <w:t xml:space="preserve">– </w:t>
      </w:r>
      <w:r w:rsidR="003A1EE3">
        <w:rPr>
          <w:rFonts w:asciiTheme="minorHAnsi" w:hAnsiTheme="minorHAnsi"/>
          <w:color w:val="7F7F7F" w:themeColor="text1" w:themeTint="80"/>
          <w:sz w:val="22"/>
          <w:szCs w:val="22"/>
        </w:rPr>
        <w:t>w rozumieniu Instytucji Hostującej</w:t>
      </w:r>
    </w:p>
    <w:p w14:paraId="52A55C2E" w14:textId="77777777" w:rsidR="005A3897" w:rsidRDefault="005A3897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2CCE3797" w14:textId="77777777" w:rsidR="005D21E7" w:rsidRPr="005A3897" w:rsidRDefault="005D21E7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7E376CC6" w14:textId="77777777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Cel opracowania </w:t>
      </w:r>
      <w:r w:rsidR="00A5089B">
        <w:t>Przewodnika</w:t>
      </w:r>
    </w:p>
    <w:p w14:paraId="2F54EEBA" w14:textId="77777777" w:rsidR="002F3573" w:rsidRDefault="002F3573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685726B7" w14:textId="2478D404" w:rsidR="00D366AB" w:rsidRPr="008C39A5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  <w:r w:rsidRPr="008C39A5">
        <w:rPr>
          <w:rFonts w:asciiTheme="minorHAnsi" w:hAnsiTheme="minorHAnsi"/>
          <w:iCs/>
          <w:sz w:val="22"/>
          <w:szCs w:val="22"/>
        </w:rPr>
        <w:t xml:space="preserve">Opracowanie, uszczegółowienie i zobrazowanie zagadnienia kwalifikowalności kosztów, co znacznie ułatwi </w:t>
      </w:r>
      <w:r w:rsidR="00CF61B5" w:rsidRPr="003A1EE3">
        <w:rPr>
          <w:rFonts w:asciiTheme="minorHAnsi" w:hAnsiTheme="minorHAnsi"/>
          <w:iCs/>
          <w:sz w:val="22"/>
          <w:szCs w:val="22"/>
        </w:rPr>
        <w:t>Beneficjentom</w:t>
      </w:r>
      <w:r w:rsidR="00CF61B5">
        <w:rPr>
          <w:rFonts w:asciiTheme="minorHAnsi" w:hAnsiTheme="minorHAnsi"/>
          <w:iCs/>
          <w:sz w:val="22"/>
          <w:szCs w:val="22"/>
        </w:rPr>
        <w:t xml:space="preserve"> </w:t>
      </w:r>
      <w:r w:rsidRPr="008C39A5">
        <w:rPr>
          <w:rFonts w:asciiTheme="minorHAnsi" w:hAnsiTheme="minorHAnsi"/>
          <w:iCs/>
          <w:sz w:val="22"/>
          <w:szCs w:val="22"/>
        </w:rPr>
        <w:t>opracowanie planu kos</w:t>
      </w:r>
      <w:r w:rsidR="008C39A5">
        <w:rPr>
          <w:rFonts w:asciiTheme="minorHAnsi" w:hAnsiTheme="minorHAnsi"/>
          <w:iCs/>
          <w:sz w:val="22"/>
          <w:szCs w:val="22"/>
        </w:rPr>
        <w:t xml:space="preserve">ztów w ramach przygotowywanych </w:t>
      </w:r>
      <w:r w:rsidR="0083263E">
        <w:rPr>
          <w:rFonts w:asciiTheme="minorHAnsi" w:hAnsiTheme="minorHAnsi"/>
          <w:iCs/>
          <w:sz w:val="22"/>
          <w:szCs w:val="22"/>
        </w:rPr>
        <w:t>p</w:t>
      </w:r>
      <w:r w:rsidRPr="008C39A5">
        <w:rPr>
          <w:rFonts w:asciiTheme="minorHAnsi" w:hAnsiTheme="minorHAnsi"/>
          <w:iCs/>
          <w:sz w:val="22"/>
          <w:szCs w:val="22"/>
        </w:rPr>
        <w:t>rojektów, rozliczanie otrzymanego dofinansowan</w:t>
      </w:r>
      <w:r w:rsidR="008C39A5">
        <w:rPr>
          <w:rFonts w:asciiTheme="minorHAnsi" w:hAnsiTheme="minorHAnsi"/>
          <w:iCs/>
          <w:sz w:val="22"/>
          <w:szCs w:val="22"/>
        </w:rPr>
        <w:t xml:space="preserve">ia oraz usprawni monitorowanie </w:t>
      </w:r>
      <w:r w:rsidR="0083263E">
        <w:rPr>
          <w:rFonts w:asciiTheme="minorHAnsi" w:hAnsiTheme="minorHAnsi"/>
          <w:iCs/>
          <w:sz w:val="22"/>
          <w:szCs w:val="22"/>
        </w:rPr>
        <w:t>p</w:t>
      </w:r>
      <w:r w:rsidRPr="008C39A5">
        <w:rPr>
          <w:rFonts w:asciiTheme="minorHAnsi" w:hAnsiTheme="minorHAnsi"/>
          <w:iCs/>
          <w:sz w:val="22"/>
          <w:szCs w:val="22"/>
        </w:rPr>
        <w:t>rojektów na różnym etapie oceny zapewniając efektywne i skuteczne zarządzanie finansami publicznym</w:t>
      </w:r>
      <w:r w:rsidR="00E3257A" w:rsidRPr="008C39A5">
        <w:rPr>
          <w:rFonts w:asciiTheme="minorHAnsi" w:hAnsiTheme="minorHAnsi"/>
          <w:iCs/>
          <w:sz w:val="22"/>
          <w:szCs w:val="22"/>
        </w:rPr>
        <w:t>i</w:t>
      </w:r>
      <w:r w:rsidRPr="008C39A5">
        <w:rPr>
          <w:rFonts w:asciiTheme="minorHAnsi" w:hAnsiTheme="minorHAnsi"/>
          <w:iCs/>
          <w:sz w:val="22"/>
          <w:szCs w:val="22"/>
        </w:rPr>
        <w:t xml:space="preserve">, </w:t>
      </w:r>
      <w:r w:rsidR="00FA2866">
        <w:rPr>
          <w:rFonts w:asciiTheme="minorHAnsi" w:hAnsiTheme="minorHAnsi"/>
          <w:iCs/>
          <w:sz w:val="22"/>
          <w:szCs w:val="22"/>
        </w:rPr>
        <w:t xml:space="preserve">oraz </w:t>
      </w:r>
      <w:r w:rsidRPr="008C39A5">
        <w:rPr>
          <w:rFonts w:asciiTheme="minorHAnsi" w:hAnsiTheme="minorHAnsi"/>
          <w:iCs/>
          <w:sz w:val="22"/>
          <w:szCs w:val="22"/>
        </w:rPr>
        <w:t>równouprawnieni</w:t>
      </w:r>
      <w:r w:rsidR="00FA2866">
        <w:rPr>
          <w:rFonts w:asciiTheme="minorHAnsi" w:hAnsiTheme="minorHAnsi"/>
          <w:iCs/>
          <w:sz w:val="22"/>
          <w:szCs w:val="22"/>
        </w:rPr>
        <w:t>e</w:t>
      </w:r>
      <w:r w:rsidRPr="008C39A5">
        <w:rPr>
          <w:rFonts w:asciiTheme="minorHAnsi" w:hAnsiTheme="minorHAnsi"/>
          <w:iCs/>
          <w:sz w:val="22"/>
          <w:szCs w:val="22"/>
        </w:rPr>
        <w:t xml:space="preserve"> w dostępie do środków finansowych poprzez stworzenie jednolitych, transparentnych zasad kwalifikowalności kosztów.</w:t>
      </w:r>
    </w:p>
    <w:p w14:paraId="72752FD1" w14:textId="77777777" w:rsidR="00581FA6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14B85000" w14:textId="77777777" w:rsidR="005D21E7" w:rsidRPr="008C39A5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7DE1D934" w14:textId="77777777" w:rsidR="00581FA6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Podstawa prawna </w:t>
      </w:r>
    </w:p>
    <w:p w14:paraId="5C568B7C" w14:textId="77777777" w:rsidR="002F3573" w:rsidRDefault="002F3573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F320DF4" w14:textId="07DD0846" w:rsidR="00D366AB" w:rsidRPr="008C39A5" w:rsidRDefault="00262A4F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Niniejsz</w:t>
      </w:r>
      <w:r>
        <w:rPr>
          <w:rFonts w:asciiTheme="minorHAnsi" w:hAnsiTheme="minorHAnsi"/>
          <w:sz w:val="22"/>
          <w:szCs w:val="22"/>
        </w:rPr>
        <w:t>y</w:t>
      </w:r>
      <w:r w:rsidRPr="008C39A5">
        <w:rPr>
          <w:rFonts w:asciiTheme="minorHAnsi" w:hAnsiTheme="minorHAnsi"/>
          <w:sz w:val="22"/>
          <w:szCs w:val="22"/>
        </w:rPr>
        <w:t xml:space="preserve"> </w:t>
      </w:r>
      <w:r w:rsidR="00FA2866">
        <w:rPr>
          <w:rFonts w:asciiTheme="minorHAnsi" w:hAnsiTheme="minorHAnsi"/>
          <w:sz w:val="22"/>
          <w:szCs w:val="22"/>
        </w:rPr>
        <w:t>Przewodnik</w:t>
      </w:r>
      <w:r w:rsidR="00FA2866" w:rsidRPr="008C39A5">
        <w:rPr>
          <w:rFonts w:asciiTheme="minorHAnsi" w:hAnsiTheme="minorHAnsi"/>
          <w:sz w:val="22"/>
          <w:szCs w:val="22"/>
        </w:rPr>
        <w:t xml:space="preserve"> </w:t>
      </w:r>
      <w:r w:rsidR="00D366AB" w:rsidRPr="008C39A5">
        <w:rPr>
          <w:rFonts w:asciiTheme="minorHAnsi" w:hAnsiTheme="minorHAnsi"/>
          <w:sz w:val="22"/>
          <w:szCs w:val="22"/>
        </w:rPr>
        <w:t xml:space="preserve">został </w:t>
      </w:r>
      <w:r w:rsidRPr="008C39A5">
        <w:rPr>
          <w:rFonts w:asciiTheme="minorHAnsi" w:hAnsiTheme="minorHAnsi"/>
          <w:sz w:val="22"/>
          <w:szCs w:val="22"/>
        </w:rPr>
        <w:t>opracowan</w:t>
      </w:r>
      <w:r>
        <w:rPr>
          <w:rFonts w:asciiTheme="minorHAnsi" w:hAnsiTheme="minorHAnsi"/>
          <w:sz w:val="22"/>
          <w:szCs w:val="22"/>
        </w:rPr>
        <w:t>y</w:t>
      </w:r>
      <w:r w:rsidRPr="008C39A5">
        <w:rPr>
          <w:rFonts w:asciiTheme="minorHAnsi" w:hAnsiTheme="minorHAnsi"/>
          <w:sz w:val="22"/>
          <w:szCs w:val="22"/>
        </w:rPr>
        <w:t xml:space="preserve"> </w:t>
      </w:r>
      <w:r w:rsidR="00D366AB" w:rsidRPr="008C39A5">
        <w:rPr>
          <w:rFonts w:asciiTheme="minorHAnsi" w:hAnsiTheme="minorHAnsi"/>
          <w:sz w:val="22"/>
          <w:szCs w:val="22"/>
        </w:rPr>
        <w:t>przy uwzględnieniu obowiązujących aktów prawnych regulujących gospodarkę finansow</w:t>
      </w:r>
      <w:r w:rsidR="008C39A5">
        <w:rPr>
          <w:rFonts w:asciiTheme="minorHAnsi" w:hAnsiTheme="minorHAnsi"/>
          <w:sz w:val="22"/>
          <w:szCs w:val="22"/>
        </w:rPr>
        <w:t xml:space="preserve">ą w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 xml:space="preserve">rojektach objętych pomocą oraz </w:t>
      </w:r>
      <w:r w:rsidR="00A5089B" w:rsidRPr="008C39A5">
        <w:rPr>
          <w:rFonts w:asciiTheme="minorHAnsi" w:hAnsiTheme="minorHAnsi"/>
          <w:sz w:val="22"/>
          <w:szCs w:val="22"/>
        </w:rPr>
        <w:t xml:space="preserve">zasad </w:t>
      </w:r>
      <w:r w:rsidR="00D366AB" w:rsidRPr="008C39A5">
        <w:rPr>
          <w:rFonts w:asciiTheme="minorHAnsi" w:hAnsiTheme="minorHAnsi"/>
          <w:sz w:val="22"/>
          <w:szCs w:val="22"/>
        </w:rPr>
        <w:t xml:space="preserve">funkcjonowania NCBR. </w:t>
      </w:r>
    </w:p>
    <w:p w14:paraId="3E4E37C9" w14:textId="77777777" w:rsidR="00581FA6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9BEF475" w14:textId="77777777" w:rsidR="005D21E7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DB50F90" w14:textId="77777777" w:rsidR="005D21E7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622BFBB" w14:textId="77777777" w:rsidR="005D21E7" w:rsidRPr="008C39A5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E226085" w14:textId="77777777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lastRenderedPageBreak/>
        <w:t xml:space="preserve">Zakres obowiązywania </w:t>
      </w:r>
      <w:r w:rsidR="00A5089B">
        <w:t>Przewodnika</w:t>
      </w:r>
    </w:p>
    <w:p w14:paraId="77DDA442" w14:textId="77777777" w:rsidR="00D366AB" w:rsidRPr="00712D81" w:rsidRDefault="00D366AB" w:rsidP="0016645B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>§1 Regulacje podstawowe</w:t>
      </w:r>
    </w:p>
    <w:p w14:paraId="0CF35EEE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6F8D9A1D" w14:textId="745DCC96" w:rsidR="00A5089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Dokument określa z</w:t>
      </w:r>
      <w:r w:rsidR="008C39A5">
        <w:rPr>
          <w:rFonts w:asciiTheme="minorHAnsi" w:hAnsiTheme="minorHAnsi"/>
          <w:sz w:val="22"/>
          <w:szCs w:val="22"/>
        </w:rPr>
        <w:t>asady kwalifikowa</w:t>
      </w:r>
      <w:r w:rsidR="005E2778">
        <w:rPr>
          <w:rFonts w:asciiTheme="minorHAnsi" w:hAnsiTheme="minorHAnsi"/>
          <w:sz w:val="22"/>
          <w:szCs w:val="22"/>
        </w:rPr>
        <w:t>lności</w:t>
      </w:r>
      <w:r w:rsidR="008C39A5">
        <w:rPr>
          <w:rFonts w:asciiTheme="minorHAnsi" w:hAnsiTheme="minorHAnsi"/>
          <w:sz w:val="22"/>
          <w:szCs w:val="22"/>
        </w:rPr>
        <w:t xml:space="preserve"> kosztów w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rojektach realizowanych w NCBR, zawiera katalog kosztów kwalifikowalnych oraz katalog kosztów niekwalifikowalnych.</w:t>
      </w:r>
    </w:p>
    <w:p w14:paraId="265E3995" w14:textId="77777777" w:rsidR="00D366A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308AA">
        <w:rPr>
          <w:rFonts w:asciiTheme="minorHAnsi" w:hAnsiTheme="minorHAnsi"/>
          <w:sz w:val="22"/>
          <w:szCs w:val="22"/>
        </w:rPr>
        <w:t xml:space="preserve">Zarówno katalog kosztów kwalifikowalnych jak i katalog kosztów niekwalifikowalnych mają charakter </w:t>
      </w:r>
      <w:r w:rsidRPr="005945FA">
        <w:rPr>
          <w:rFonts w:asciiTheme="minorHAnsi" w:hAnsiTheme="minorHAnsi"/>
          <w:sz w:val="22"/>
          <w:szCs w:val="22"/>
        </w:rPr>
        <w:t>otwarty.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Kwalifikowalność kosztu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uzależniona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jest od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zgodności z ogólnymi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zasadami kwalifikowalności, specyfiki realizowa</w:t>
      </w:r>
      <w:r w:rsidR="008C39A5" w:rsidRPr="005945FA">
        <w:rPr>
          <w:rFonts w:asciiTheme="minorHAnsi" w:hAnsiTheme="minorHAnsi"/>
          <w:sz w:val="22"/>
          <w:szCs w:val="22"/>
        </w:rPr>
        <w:t xml:space="preserve">nego </w:t>
      </w:r>
      <w:r w:rsidR="0083263E" w:rsidRPr="005945FA">
        <w:rPr>
          <w:rFonts w:asciiTheme="minorHAnsi" w:hAnsiTheme="minorHAnsi"/>
          <w:sz w:val="22"/>
          <w:szCs w:val="22"/>
        </w:rPr>
        <w:t>p</w:t>
      </w:r>
      <w:r w:rsidRPr="005945FA">
        <w:rPr>
          <w:rFonts w:asciiTheme="minorHAnsi" w:hAnsiTheme="minorHAnsi"/>
          <w:sz w:val="22"/>
          <w:szCs w:val="22"/>
        </w:rPr>
        <w:t>rojektu oraz uwzględnienia kosztu w zatwierdzonym wniosku o dofinansowanie.</w:t>
      </w:r>
    </w:p>
    <w:p w14:paraId="07D3C41A" w14:textId="245ADE55" w:rsidR="00D366A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45FA">
        <w:rPr>
          <w:rFonts w:asciiTheme="minorHAnsi" w:hAnsiTheme="minorHAnsi"/>
          <w:sz w:val="22"/>
          <w:szCs w:val="22"/>
        </w:rPr>
        <w:t xml:space="preserve">Zasady dotyczą wszystkich kosztów kwalifikowalnych ponoszonych przez </w:t>
      </w:r>
      <w:r w:rsidR="00CF61B5">
        <w:rPr>
          <w:rFonts w:asciiTheme="minorHAnsi" w:hAnsiTheme="minorHAnsi"/>
          <w:sz w:val="22"/>
          <w:szCs w:val="22"/>
        </w:rPr>
        <w:t xml:space="preserve">Beneficjenta </w:t>
      </w:r>
      <w:r w:rsidRPr="005945FA">
        <w:rPr>
          <w:rFonts w:asciiTheme="minorHAnsi" w:hAnsiTheme="minorHAnsi"/>
          <w:sz w:val="22"/>
          <w:szCs w:val="22"/>
        </w:rPr>
        <w:t xml:space="preserve">(także </w:t>
      </w:r>
      <w:r w:rsidR="005A3897" w:rsidRPr="005945FA">
        <w:rPr>
          <w:rFonts w:asciiTheme="minorHAnsi" w:hAnsiTheme="minorHAnsi"/>
          <w:sz w:val="22"/>
          <w:szCs w:val="22"/>
        </w:rPr>
        <w:t>Współwykonawców</w:t>
      </w:r>
      <w:r w:rsidRPr="005945FA">
        <w:rPr>
          <w:rFonts w:asciiTheme="minorHAnsi" w:hAnsiTheme="minorHAnsi"/>
          <w:sz w:val="22"/>
          <w:szCs w:val="22"/>
        </w:rPr>
        <w:t xml:space="preserve">) – zarówno w ramach środków własnych </w:t>
      </w:r>
      <w:r w:rsidR="0091235E">
        <w:rPr>
          <w:rFonts w:asciiTheme="minorHAnsi" w:hAnsiTheme="minorHAnsi"/>
          <w:sz w:val="22"/>
          <w:szCs w:val="22"/>
        </w:rPr>
        <w:t>Beneficjenta</w:t>
      </w:r>
      <w:r w:rsidR="00CF61B5">
        <w:rPr>
          <w:rFonts w:asciiTheme="minorHAnsi" w:hAnsiTheme="minorHAnsi"/>
          <w:sz w:val="22"/>
          <w:szCs w:val="22"/>
        </w:rPr>
        <w:t xml:space="preserve"> </w:t>
      </w:r>
      <w:r w:rsidR="005945FA">
        <w:rPr>
          <w:rFonts w:asciiTheme="minorHAnsi" w:hAnsiTheme="minorHAnsi"/>
          <w:sz w:val="22"/>
          <w:szCs w:val="22"/>
        </w:rPr>
        <w:t>jak i otrzymanego dofinansowania</w:t>
      </w:r>
      <w:r w:rsidRPr="000308AA">
        <w:rPr>
          <w:rFonts w:asciiTheme="minorHAnsi" w:hAnsiTheme="minorHAnsi"/>
          <w:sz w:val="22"/>
          <w:szCs w:val="22"/>
        </w:rPr>
        <w:t>.</w:t>
      </w:r>
    </w:p>
    <w:p w14:paraId="6216CB0C" w14:textId="77777777" w:rsidR="00A5089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45FA">
        <w:rPr>
          <w:rFonts w:asciiTheme="minorHAnsi" w:hAnsiTheme="minorHAnsi"/>
          <w:sz w:val="22"/>
          <w:szCs w:val="22"/>
        </w:rPr>
        <w:t>W zależ</w:t>
      </w:r>
      <w:r w:rsidR="008C39A5" w:rsidRPr="005945FA">
        <w:rPr>
          <w:rFonts w:asciiTheme="minorHAnsi" w:hAnsiTheme="minorHAnsi"/>
          <w:sz w:val="22"/>
          <w:szCs w:val="22"/>
        </w:rPr>
        <w:t xml:space="preserve">ności od rodzaju realizowanych </w:t>
      </w:r>
      <w:r w:rsidR="0083263E" w:rsidRPr="005945FA">
        <w:rPr>
          <w:rFonts w:asciiTheme="minorHAnsi" w:hAnsiTheme="minorHAnsi"/>
          <w:sz w:val="22"/>
          <w:szCs w:val="22"/>
        </w:rPr>
        <w:t>p</w:t>
      </w:r>
      <w:r w:rsidRPr="005945FA">
        <w:rPr>
          <w:rFonts w:asciiTheme="minorHAnsi" w:hAnsiTheme="minorHAnsi"/>
          <w:sz w:val="22"/>
          <w:szCs w:val="22"/>
        </w:rPr>
        <w:t>rojektów, obowiązujące ich akty prawne lub regulamin konkursu mogą określać dodatkowe kryteria kwalifikowalności.</w:t>
      </w:r>
    </w:p>
    <w:p w14:paraId="1F786EA4" w14:textId="77777777" w:rsidR="0016645B" w:rsidRDefault="0016645B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A3956E7" w14:textId="4D7E847D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Zasady </w:t>
      </w:r>
      <w:r w:rsidR="005E2778" w:rsidRPr="008C39A5">
        <w:t>kwalifikowa</w:t>
      </w:r>
      <w:r w:rsidR="005E2778">
        <w:t>lności</w:t>
      </w:r>
      <w:r w:rsidR="005E2778" w:rsidRPr="008C39A5">
        <w:t xml:space="preserve"> </w:t>
      </w:r>
      <w:r w:rsidRPr="008C39A5">
        <w:t>kosztów</w:t>
      </w:r>
    </w:p>
    <w:p w14:paraId="34C7C724" w14:textId="77777777" w:rsidR="007A7C8C" w:rsidRDefault="00D366AB" w:rsidP="00396782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§1 Ramy czasowe </w:t>
      </w:r>
      <w:r w:rsidR="007A7C8C"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>kwalifikowalności</w:t>
      </w:r>
    </w:p>
    <w:p w14:paraId="6F2F8724" w14:textId="77777777" w:rsidR="00712D81" w:rsidRPr="00712D81" w:rsidRDefault="00712D81" w:rsidP="00712D81">
      <w:pPr>
        <w:pStyle w:val="Default"/>
        <w:spacing w:before="120" w:after="120"/>
        <w:jc w:val="center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0D6072D5" w14:textId="67E2855A" w:rsidR="00A34C42" w:rsidRDefault="00D366AB" w:rsidP="00FF6A65">
      <w:pPr>
        <w:pStyle w:val="Default"/>
        <w:numPr>
          <w:ilvl w:val="1"/>
          <w:numId w:val="20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Pod pojęciem okresu </w:t>
      </w:r>
      <w:r w:rsidR="005E2778" w:rsidRPr="008C39A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>lności</w:t>
      </w:r>
      <w:r w:rsidR="005E2778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kosztów należy rozumieć okres, w którym mogą być ponoszone koszty kwalifikowalne. Koszty poniesione poza okresem </w:t>
      </w:r>
      <w:r w:rsidR="005E2778" w:rsidRPr="008C39A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 xml:space="preserve">lności </w:t>
      </w:r>
      <w:r w:rsidRPr="008C39A5">
        <w:rPr>
          <w:rFonts w:asciiTheme="minorHAnsi" w:hAnsiTheme="minorHAnsi"/>
          <w:sz w:val="22"/>
          <w:szCs w:val="22"/>
        </w:rPr>
        <w:t>stan</w:t>
      </w:r>
      <w:r w:rsidR="000F6C5C" w:rsidRPr="008C39A5">
        <w:rPr>
          <w:rFonts w:asciiTheme="minorHAnsi" w:hAnsiTheme="minorHAnsi"/>
          <w:sz w:val="22"/>
          <w:szCs w:val="22"/>
        </w:rPr>
        <w:t xml:space="preserve">owią koszty niekwalifikowalne. </w:t>
      </w:r>
      <w:r w:rsidRPr="008C39A5">
        <w:rPr>
          <w:rFonts w:asciiTheme="minorHAnsi" w:hAnsiTheme="minorHAnsi"/>
          <w:sz w:val="22"/>
          <w:szCs w:val="22"/>
        </w:rPr>
        <w:t xml:space="preserve">Okres </w:t>
      </w:r>
      <w:r w:rsidR="005E2778" w:rsidRPr="008C39A5">
        <w:rPr>
          <w:rFonts w:asciiTheme="minorHAnsi" w:hAnsiTheme="minorHAnsi"/>
          <w:sz w:val="22"/>
          <w:szCs w:val="22"/>
        </w:rPr>
        <w:t>kwa</w:t>
      </w:r>
      <w:r w:rsidR="005E2778">
        <w:rPr>
          <w:rFonts w:asciiTheme="minorHAnsi" w:hAnsiTheme="minorHAnsi"/>
          <w:sz w:val="22"/>
          <w:szCs w:val="22"/>
        </w:rPr>
        <w:t xml:space="preserve">lifikowalności </w:t>
      </w:r>
      <w:r w:rsidR="008C39A5">
        <w:rPr>
          <w:rFonts w:asciiTheme="minorHAnsi" w:hAnsiTheme="minorHAnsi"/>
          <w:sz w:val="22"/>
          <w:szCs w:val="22"/>
        </w:rPr>
        <w:t xml:space="preserve">kosztów dla danego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</w:t>
      </w:r>
      <w:r w:rsidR="000F6C5C" w:rsidRPr="008C39A5">
        <w:rPr>
          <w:rFonts w:asciiTheme="minorHAnsi" w:hAnsiTheme="minorHAnsi"/>
          <w:sz w:val="22"/>
          <w:szCs w:val="22"/>
        </w:rPr>
        <w:t>ojektu powinien być określo</w:t>
      </w:r>
      <w:r w:rsidR="004A5F6D" w:rsidRPr="008C39A5">
        <w:rPr>
          <w:rFonts w:asciiTheme="minorHAnsi" w:hAnsiTheme="minorHAnsi"/>
          <w:sz w:val="22"/>
          <w:szCs w:val="22"/>
        </w:rPr>
        <w:t xml:space="preserve">ny </w:t>
      </w:r>
      <w:r w:rsidR="000F6C5C" w:rsidRPr="008C39A5">
        <w:rPr>
          <w:rFonts w:asciiTheme="minorHAnsi" w:hAnsiTheme="minorHAnsi"/>
          <w:sz w:val="22"/>
          <w:szCs w:val="22"/>
        </w:rPr>
        <w:t>w </w:t>
      </w:r>
      <w:r w:rsidR="0083263E">
        <w:rPr>
          <w:rFonts w:asciiTheme="minorHAnsi" w:hAnsiTheme="minorHAnsi"/>
          <w:sz w:val="22"/>
          <w:szCs w:val="22"/>
        </w:rPr>
        <w:t>u</w:t>
      </w:r>
      <w:r w:rsidRPr="008C39A5">
        <w:rPr>
          <w:rFonts w:asciiTheme="minorHAnsi" w:hAnsiTheme="minorHAnsi"/>
          <w:sz w:val="22"/>
          <w:szCs w:val="22"/>
        </w:rPr>
        <w:t>mo</w:t>
      </w:r>
      <w:r w:rsidR="008C39A5">
        <w:rPr>
          <w:rFonts w:asciiTheme="minorHAnsi" w:hAnsiTheme="minorHAnsi"/>
          <w:sz w:val="22"/>
          <w:szCs w:val="22"/>
        </w:rPr>
        <w:t xml:space="preserve">wie o dofinansowanie </w:t>
      </w:r>
      <w:r w:rsidR="0083263E">
        <w:rPr>
          <w:rFonts w:asciiTheme="minorHAnsi" w:hAnsiTheme="minorHAnsi"/>
          <w:sz w:val="22"/>
          <w:szCs w:val="22"/>
        </w:rPr>
        <w:t>p</w:t>
      </w:r>
      <w:r w:rsidR="000F6C5C" w:rsidRPr="008C39A5">
        <w:rPr>
          <w:rFonts w:asciiTheme="minorHAnsi" w:hAnsiTheme="minorHAnsi"/>
          <w:sz w:val="22"/>
          <w:szCs w:val="22"/>
        </w:rPr>
        <w:t xml:space="preserve">rojektu. </w:t>
      </w:r>
    </w:p>
    <w:p w14:paraId="48220781" w14:textId="77777777" w:rsidR="007A6D31" w:rsidRPr="007A6D31" w:rsidRDefault="00D366AB" w:rsidP="007A7C8C">
      <w:pPr>
        <w:pStyle w:val="Default"/>
        <w:spacing w:before="120" w:after="120"/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Poniesione koszty</w:t>
      </w:r>
      <w:r w:rsidR="00F3654A">
        <w:rPr>
          <w:rFonts w:asciiTheme="minorHAnsi" w:hAnsiTheme="minorHAnsi"/>
          <w:sz w:val="22"/>
          <w:szCs w:val="22"/>
        </w:rPr>
        <w:t xml:space="preserve"> mogą być</w:t>
      </w:r>
      <w:r w:rsidR="000F6C5C" w:rsidRPr="008C39A5">
        <w:rPr>
          <w:rFonts w:asciiTheme="minorHAnsi" w:hAnsiTheme="minorHAnsi"/>
          <w:sz w:val="22"/>
          <w:szCs w:val="22"/>
        </w:rPr>
        <w:t xml:space="preserve"> wykazywane w </w:t>
      </w:r>
      <w:r w:rsidRPr="008C39A5">
        <w:rPr>
          <w:rFonts w:asciiTheme="minorHAnsi" w:hAnsiTheme="minorHAnsi"/>
          <w:sz w:val="22"/>
          <w:szCs w:val="22"/>
        </w:rPr>
        <w:t>przedkładanym rozliczeniu zgodnie z zasadą memoriału.</w:t>
      </w:r>
      <w:r w:rsidR="007A6D31">
        <w:rPr>
          <w:rFonts w:asciiTheme="minorHAnsi" w:hAnsiTheme="minorHAnsi"/>
          <w:sz w:val="22"/>
          <w:szCs w:val="22"/>
        </w:rPr>
        <w:t xml:space="preserve"> </w:t>
      </w:r>
    </w:p>
    <w:p w14:paraId="5C86CD8F" w14:textId="7822AD87" w:rsidR="00D366AB" w:rsidRPr="00452629" w:rsidRDefault="00A34C42" w:rsidP="007A7C8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4678E">
        <w:rPr>
          <w:rFonts w:asciiTheme="minorHAnsi" w:hAnsiTheme="minorHAnsi"/>
          <w:b/>
          <w:sz w:val="22"/>
          <w:szCs w:val="22"/>
        </w:rPr>
        <w:t xml:space="preserve">Wszystkie wykazane w rozliczeniu koszty muszą być faktycznie poniesione </w:t>
      </w:r>
      <w:r w:rsidR="00FC301B">
        <w:rPr>
          <w:rFonts w:asciiTheme="minorHAnsi" w:hAnsiTheme="minorHAnsi"/>
          <w:b/>
          <w:sz w:val="22"/>
          <w:szCs w:val="22"/>
        </w:rPr>
        <w:t xml:space="preserve">w okresie </w:t>
      </w:r>
      <w:r w:rsidR="005E2778">
        <w:rPr>
          <w:rFonts w:asciiTheme="minorHAnsi" w:hAnsiTheme="minorHAnsi"/>
          <w:b/>
          <w:sz w:val="22"/>
          <w:szCs w:val="22"/>
        </w:rPr>
        <w:t xml:space="preserve">kwalifikowalności </w:t>
      </w:r>
      <w:r w:rsidR="00FC301B">
        <w:rPr>
          <w:rFonts w:asciiTheme="minorHAnsi" w:hAnsiTheme="minorHAnsi"/>
          <w:b/>
          <w:sz w:val="22"/>
          <w:szCs w:val="22"/>
        </w:rPr>
        <w:t xml:space="preserve">kosztów </w:t>
      </w:r>
      <w:r w:rsidRPr="0034678E">
        <w:rPr>
          <w:rFonts w:asciiTheme="minorHAnsi" w:hAnsiTheme="minorHAnsi"/>
          <w:b/>
          <w:sz w:val="22"/>
          <w:szCs w:val="22"/>
        </w:rPr>
        <w:t>i opłacone w terminie do 60 dni od dnia zakończenia realizacji projektu</w:t>
      </w:r>
      <w:r w:rsidR="00F3654A" w:rsidRPr="0034678E">
        <w:rPr>
          <w:rFonts w:asciiTheme="minorHAnsi" w:hAnsiTheme="minorHAnsi"/>
          <w:b/>
          <w:sz w:val="22"/>
          <w:szCs w:val="22"/>
        </w:rPr>
        <w:t xml:space="preserve"> </w:t>
      </w:r>
      <w:r w:rsidR="00452629" w:rsidRPr="0034678E">
        <w:rPr>
          <w:rFonts w:asciiTheme="minorHAnsi" w:hAnsiTheme="minorHAnsi"/>
          <w:b/>
          <w:sz w:val="22"/>
          <w:szCs w:val="22"/>
        </w:rPr>
        <w:t>nie później niż</w:t>
      </w:r>
      <w:r w:rsidR="00F3654A" w:rsidRPr="0034678E">
        <w:rPr>
          <w:rFonts w:asciiTheme="minorHAnsi" w:hAnsiTheme="minorHAnsi"/>
          <w:b/>
          <w:sz w:val="22"/>
          <w:szCs w:val="22"/>
        </w:rPr>
        <w:t xml:space="preserve"> na dzień złożenia raportu </w:t>
      </w:r>
      <w:r w:rsidR="00F3654A" w:rsidRPr="00452629">
        <w:rPr>
          <w:rFonts w:asciiTheme="minorHAnsi" w:hAnsiTheme="minorHAnsi"/>
          <w:b/>
          <w:sz w:val="22"/>
          <w:szCs w:val="22"/>
        </w:rPr>
        <w:t>końcowego.</w:t>
      </w:r>
      <w:r w:rsidRPr="00452629">
        <w:rPr>
          <w:rFonts w:asciiTheme="minorHAnsi" w:hAnsiTheme="minorHAnsi"/>
          <w:b/>
          <w:sz w:val="22"/>
          <w:szCs w:val="22"/>
        </w:rPr>
        <w:t xml:space="preserve"> </w:t>
      </w:r>
    </w:p>
    <w:p w14:paraId="3A88BDCB" w14:textId="00C4EDAE" w:rsidR="005D21E7" w:rsidRPr="008C39A5" w:rsidRDefault="00712D81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W przypadku występowania różnic kursowych za koszt kwalifikowa</w:t>
      </w:r>
      <w:r w:rsidR="005E2778">
        <w:rPr>
          <w:rFonts w:asciiTheme="minorHAnsi" w:hAnsiTheme="minorHAnsi"/>
          <w:color w:val="365F91" w:themeColor="accent1" w:themeShade="BF"/>
          <w:sz w:val="22"/>
          <w:szCs w:val="22"/>
        </w:rPr>
        <w:t>l</w:t>
      </w:r>
      <w:r w:rsid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ny ostatecznie uznaje się kwotę </w:t>
      </w: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zapłaty.</w:t>
      </w:r>
    </w:p>
    <w:p w14:paraId="2AE5DC3B" w14:textId="77777777" w:rsidR="003C7591" w:rsidRDefault="003C7591">
      <w:pPr>
        <w:rPr>
          <w:rFonts w:cs="Times New Roman"/>
          <w:b/>
          <w:color w:val="548DD4" w:themeColor="text2" w:themeTint="99"/>
        </w:rPr>
      </w:pPr>
    </w:p>
    <w:p w14:paraId="4F3E81D9" w14:textId="77777777" w:rsidR="00581FA6" w:rsidRPr="00B91E13" w:rsidRDefault="00D366AB" w:rsidP="00396782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B91E13">
        <w:rPr>
          <w:rFonts w:asciiTheme="minorHAnsi" w:hAnsiTheme="minorHAnsi"/>
          <w:b/>
          <w:color w:val="548DD4" w:themeColor="text2" w:themeTint="99"/>
          <w:sz w:val="22"/>
          <w:szCs w:val="22"/>
        </w:rPr>
        <w:t>§2 Weryfikacja kwalifikowalności kosztów</w:t>
      </w:r>
    </w:p>
    <w:p w14:paraId="2C084770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54A952DA" w14:textId="4A38B5E0" w:rsidR="00D366AB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2.1</w:t>
      </w:r>
      <w:r w:rsidR="003C7591">
        <w:rPr>
          <w:rFonts w:asciiTheme="minorHAnsi" w:hAnsiTheme="minorHAnsi"/>
          <w:sz w:val="22"/>
          <w:szCs w:val="22"/>
        </w:rPr>
        <w:tab/>
      </w:r>
      <w:r w:rsidR="000B2915">
        <w:rPr>
          <w:rFonts w:asciiTheme="minorHAnsi" w:hAnsiTheme="minorHAnsi"/>
          <w:sz w:val="22"/>
          <w:szCs w:val="22"/>
        </w:rPr>
        <w:t>Weryfikacja k</w:t>
      </w:r>
      <w:r w:rsidRPr="008C39A5">
        <w:rPr>
          <w:rFonts w:asciiTheme="minorHAnsi" w:hAnsiTheme="minorHAnsi"/>
          <w:sz w:val="22"/>
          <w:szCs w:val="22"/>
        </w:rPr>
        <w:t xml:space="preserve">walifikowalność kosztu </w:t>
      </w:r>
      <w:r w:rsidR="000B2915">
        <w:rPr>
          <w:rFonts w:asciiTheme="minorHAnsi" w:hAnsiTheme="minorHAnsi"/>
          <w:sz w:val="22"/>
          <w:szCs w:val="22"/>
        </w:rPr>
        <w:t>polega na</w:t>
      </w:r>
      <w:r w:rsidRPr="008C39A5">
        <w:rPr>
          <w:rFonts w:asciiTheme="minorHAnsi" w:hAnsiTheme="minorHAnsi"/>
          <w:sz w:val="22"/>
          <w:szCs w:val="22"/>
        </w:rPr>
        <w:t xml:space="preserve"> analizie zgodności jego poniesienia z</w:t>
      </w:r>
      <w:r w:rsidR="00751FFF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obowiązującymi przepisami</w:t>
      </w:r>
      <w:r w:rsidR="000B2915">
        <w:rPr>
          <w:rFonts w:asciiTheme="minorHAnsi" w:hAnsiTheme="minorHAnsi"/>
          <w:sz w:val="22"/>
          <w:szCs w:val="22"/>
        </w:rPr>
        <w:t xml:space="preserve">, zapisami </w:t>
      </w:r>
      <w:r w:rsidR="00AE1274">
        <w:rPr>
          <w:rFonts w:asciiTheme="minorHAnsi" w:hAnsiTheme="minorHAnsi"/>
          <w:sz w:val="22"/>
          <w:szCs w:val="22"/>
        </w:rPr>
        <w:t>U</w:t>
      </w:r>
      <w:r w:rsidR="000B2915">
        <w:rPr>
          <w:rFonts w:asciiTheme="minorHAnsi" w:hAnsiTheme="minorHAnsi"/>
          <w:sz w:val="22"/>
          <w:szCs w:val="22"/>
        </w:rPr>
        <w:t>mowy</w:t>
      </w:r>
      <w:r w:rsidRPr="008C39A5">
        <w:rPr>
          <w:rFonts w:asciiTheme="minorHAnsi" w:hAnsiTheme="minorHAnsi"/>
          <w:sz w:val="22"/>
          <w:szCs w:val="22"/>
        </w:rPr>
        <w:t xml:space="preserve"> oraz </w:t>
      </w:r>
      <w:r w:rsidR="003C7591">
        <w:rPr>
          <w:rFonts w:asciiTheme="minorHAnsi" w:hAnsiTheme="minorHAnsi"/>
          <w:sz w:val="22"/>
          <w:szCs w:val="22"/>
        </w:rPr>
        <w:t>Przewodnikiem</w:t>
      </w:r>
      <w:r w:rsidR="003C7591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>obowiązującym w dniu ogłoszenia konkursu.</w:t>
      </w:r>
      <w:r w:rsidR="00663530" w:rsidRPr="00663530">
        <w:t xml:space="preserve"> </w:t>
      </w:r>
      <w:r w:rsidR="00663530" w:rsidRPr="00277FA5">
        <w:rPr>
          <w:rFonts w:asciiTheme="minorHAnsi" w:hAnsiTheme="minorHAnsi"/>
          <w:sz w:val="22"/>
          <w:szCs w:val="22"/>
        </w:rPr>
        <w:t>W przypadku aktualizacji</w:t>
      </w:r>
      <w:r w:rsidR="00663530">
        <w:t xml:space="preserve"> </w:t>
      </w:r>
      <w:r w:rsidR="00663530" w:rsidRPr="00663530">
        <w:rPr>
          <w:rFonts w:asciiTheme="minorHAnsi" w:hAnsiTheme="minorHAnsi"/>
          <w:sz w:val="22"/>
          <w:szCs w:val="22"/>
        </w:rPr>
        <w:t>Przewodnik</w:t>
      </w:r>
      <w:r w:rsidR="00663530">
        <w:rPr>
          <w:rFonts w:asciiTheme="minorHAnsi" w:hAnsiTheme="minorHAnsi"/>
          <w:sz w:val="22"/>
          <w:szCs w:val="22"/>
        </w:rPr>
        <w:t>a</w:t>
      </w:r>
      <w:r w:rsidR="00663530" w:rsidRPr="00663530">
        <w:rPr>
          <w:rFonts w:asciiTheme="minorHAnsi" w:hAnsiTheme="minorHAnsi"/>
          <w:sz w:val="22"/>
          <w:szCs w:val="22"/>
        </w:rPr>
        <w:t xml:space="preserve"> do oceny kwalifikowalności poniesionych wydatków stosuje się wersję Przewodnika obowiązującą w dniu poniesienia </w:t>
      </w:r>
      <w:r w:rsidR="00663530" w:rsidRPr="00663530">
        <w:rPr>
          <w:rFonts w:asciiTheme="minorHAnsi" w:hAnsiTheme="minorHAnsi"/>
          <w:sz w:val="22"/>
          <w:szCs w:val="22"/>
        </w:rPr>
        <w:lastRenderedPageBreak/>
        <w:t>wydatku.</w:t>
      </w:r>
      <w:r w:rsidRPr="008C39A5">
        <w:rPr>
          <w:rFonts w:asciiTheme="minorHAnsi" w:hAnsiTheme="minorHAnsi"/>
          <w:sz w:val="22"/>
          <w:szCs w:val="22"/>
        </w:rPr>
        <w:t xml:space="preserve"> Weryfikacj</w:t>
      </w:r>
      <w:r w:rsidR="000B2915">
        <w:rPr>
          <w:rFonts w:asciiTheme="minorHAnsi" w:hAnsiTheme="minorHAnsi"/>
          <w:sz w:val="22"/>
          <w:szCs w:val="22"/>
        </w:rPr>
        <w:t xml:space="preserve">a dokonywana jest </w:t>
      </w:r>
      <w:r w:rsidRPr="008C39A5">
        <w:rPr>
          <w:rFonts w:asciiTheme="minorHAnsi" w:hAnsiTheme="minorHAnsi"/>
          <w:sz w:val="22"/>
          <w:szCs w:val="22"/>
        </w:rPr>
        <w:t>na podstawie wniosku</w:t>
      </w:r>
      <w:r w:rsidR="000F6C5C" w:rsidRPr="008C39A5">
        <w:rPr>
          <w:rFonts w:asciiTheme="minorHAnsi" w:hAnsiTheme="minorHAnsi"/>
          <w:sz w:val="22"/>
          <w:szCs w:val="22"/>
        </w:rPr>
        <w:t xml:space="preserve"> o płatność, raportu okresowego</w:t>
      </w:r>
      <w:r w:rsidR="00FC301B">
        <w:rPr>
          <w:rFonts w:asciiTheme="minorHAnsi" w:hAnsiTheme="minorHAnsi"/>
          <w:sz w:val="22"/>
          <w:szCs w:val="22"/>
        </w:rPr>
        <w:t>/końcowego</w:t>
      </w:r>
      <w:r w:rsidR="000B2915">
        <w:rPr>
          <w:rFonts w:asciiTheme="minorHAnsi" w:hAnsiTheme="minorHAnsi"/>
          <w:sz w:val="22"/>
          <w:szCs w:val="22"/>
        </w:rPr>
        <w:t xml:space="preserve"> oraz</w:t>
      </w:r>
      <w:r w:rsidRPr="008C39A5">
        <w:rPr>
          <w:rFonts w:asciiTheme="minorHAnsi" w:hAnsiTheme="minorHAnsi"/>
          <w:sz w:val="22"/>
          <w:szCs w:val="22"/>
        </w:rPr>
        <w:t xml:space="preserve"> pod</w:t>
      </w:r>
      <w:r w:rsidR="008C39A5">
        <w:rPr>
          <w:rFonts w:asciiTheme="minorHAnsi" w:hAnsiTheme="minorHAnsi"/>
          <w:sz w:val="22"/>
          <w:szCs w:val="22"/>
        </w:rPr>
        <w:t xml:space="preserve">czas przeprowadzanych kontroli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rojektu.</w:t>
      </w:r>
    </w:p>
    <w:p w14:paraId="21E2BC56" w14:textId="639E7C9A" w:rsidR="00DB3808" w:rsidRDefault="00DB3808" w:rsidP="00DB380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</w:t>
      </w:r>
      <w:r>
        <w:rPr>
          <w:rFonts w:asciiTheme="minorHAnsi" w:hAnsiTheme="minorHAnsi"/>
          <w:sz w:val="22"/>
          <w:szCs w:val="22"/>
        </w:rPr>
        <w:tab/>
      </w:r>
      <w:r w:rsidRPr="00DB3808">
        <w:rPr>
          <w:rFonts w:asciiTheme="minorHAnsi" w:hAnsiTheme="minorHAnsi"/>
          <w:sz w:val="22"/>
          <w:szCs w:val="22"/>
        </w:rPr>
        <w:t xml:space="preserve">Projekt, w którym wartość dofinansowania przekracza kwotę 3 000 000 zł podlega obowiązkowemu audytowi zewnętrznemu (art. 44 Ustawy z dnia  30 kwietnia 2010 r. </w:t>
      </w:r>
      <w:r w:rsidR="00F1234C">
        <w:rPr>
          <w:rFonts w:asciiTheme="minorHAnsi" w:hAnsiTheme="minorHAnsi"/>
          <w:sz w:val="22"/>
          <w:szCs w:val="22"/>
        </w:rPr>
        <w:br/>
      </w:r>
      <w:r w:rsidRPr="00DB3808">
        <w:rPr>
          <w:rFonts w:asciiTheme="minorHAnsi" w:hAnsiTheme="minorHAnsi"/>
          <w:sz w:val="22"/>
          <w:szCs w:val="22"/>
        </w:rPr>
        <w:t>o Narodowym Centrum Badań i Rozw</w:t>
      </w:r>
      <w:r w:rsidR="00151DA6">
        <w:rPr>
          <w:rFonts w:asciiTheme="minorHAnsi" w:hAnsiTheme="minorHAnsi"/>
          <w:sz w:val="22"/>
          <w:szCs w:val="22"/>
        </w:rPr>
        <w:t xml:space="preserve">oju </w:t>
      </w:r>
      <w:r w:rsidRPr="00DB3808">
        <w:rPr>
          <w:rFonts w:asciiTheme="minorHAnsi" w:hAnsiTheme="minorHAnsi"/>
          <w:sz w:val="22"/>
          <w:szCs w:val="22"/>
        </w:rPr>
        <w:t>). Audyt przeprowadzany jest, zgodnie</w:t>
      </w:r>
      <w:r>
        <w:rPr>
          <w:rFonts w:asciiTheme="minorHAnsi" w:hAnsiTheme="minorHAnsi"/>
          <w:sz w:val="22"/>
          <w:szCs w:val="22"/>
        </w:rPr>
        <w:t xml:space="preserve"> </w:t>
      </w:r>
      <w:r w:rsidRPr="00DB3808">
        <w:rPr>
          <w:rFonts w:asciiTheme="minorHAnsi" w:hAnsiTheme="minorHAnsi"/>
          <w:sz w:val="22"/>
          <w:szCs w:val="22"/>
        </w:rPr>
        <w:t xml:space="preserve">z Załącznikiem nr </w:t>
      </w:r>
      <w:r w:rsidR="00287B76">
        <w:rPr>
          <w:rFonts w:asciiTheme="minorHAnsi" w:hAnsiTheme="minorHAnsi"/>
          <w:sz w:val="22"/>
          <w:szCs w:val="22"/>
        </w:rPr>
        <w:t>3</w:t>
      </w:r>
      <w:r w:rsidR="00287B76" w:rsidRPr="00DB3808">
        <w:rPr>
          <w:rFonts w:asciiTheme="minorHAnsi" w:hAnsiTheme="minorHAnsi"/>
          <w:sz w:val="22"/>
          <w:szCs w:val="22"/>
        </w:rPr>
        <w:t xml:space="preserve"> </w:t>
      </w:r>
      <w:r w:rsidRPr="00DB3808">
        <w:rPr>
          <w:rFonts w:asciiTheme="minorHAnsi" w:hAnsiTheme="minorHAnsi"/>
          <w:sz w:val="22"/>
          <w:szCs w:val="22"/>
        </w:rPr>
        <w:t xml:space="preserve">do Przewodnika. Koszt przeprowadzonego audytu stanowi koszt kwalifikowalny jeżeli audyt rozpoczął się po zrealizowaniu co najmniej 50% </w:t>
      </w:r>
      <w:r w:rsidRPr="00F56451">
        <w:rPr>
          <w:rFonts w:asciiTheme="minorHAnsi" w:hAnsiTheme="minorHAnsi"/>
          <w:sz w:val="22"/>
          <w:szCs w:val="22"/>
        </w:rPr>
        <w:t>planowanych wydatków związanych z realizacją projektu.</w:t>
      </w:r>
    </w:p>
    <w:p w14:paraId="7EDC53C0" w14:textId="50150CE8" w:rsidR="00EA51EB" w:rsidRPr="00584056" w:rsidRDefault="00EA51EB" w:rsidP="00D956D9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585F5CB" w14:textId="77777777" w:rsidR="00396782" w:rsidRPr="00584056" w:rsidRDefault="00396782" w:rsidP="0006420C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F334F20" w14:textId="3BB940D5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§3 Koszty </w:t>
      </w:r>
      <w:r w:rsidR="00581FA6"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kwalifikowa</w:t>
      </w:r>
      <w:r w:rsidR="005E2778">
        <w:rPr>
          <w:rFonts w:asciiTheme="minorHAnsi" w:hAnsiTheme="minorHAnsi"/>
          <w:b/>
          <w:color w:val="548DD4" w:themeColor="text2" w:themeTint="99"/>
          <w:sz w:val="22"/>
          <w:szCs w:val="22"/>
        </w:rPr>
        <w:t>l</w:t>
      </w:r>
      <w:r w:rsidR="00581FA6"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ne</w:t>
      </w:r>
    </w:p>
    <w:p w14:paraId="4E6F6B6C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2378DE2F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3.1</w:t>
      </w:r>
      <w:r w:rsidR="00CF7F71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Kwalifikowalność kosztu może zostać uznana, o ile zostaną spełnione łącznie następujące warunki: </w:t>
      </w:r>
    </w:p>
    <w:p w14:paraId="6EF083A5" w14:textId="77777777" w:rsidR="00DD5812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została po</w:t>
      </w:r>
      <w:r w:rsidR="008C39A5">
        <w:rPr>
          <w:rFonts w:asciiTheme="minorHAnsi" w:hAnsiTheme="minorHAnsi"/>
          <w:sz w:val="22"/>
          <w:szCs w:val="22"/>
        </w:rPr>
        <w:t xml:space="preserve">dpisana </w:t>
      </w:r>
      <w:r w:rsidR="0034678E">
        <w:rPr>
          <w:rFonts w:asciiTheme="minorHAnsi" w:hAnsiTheme="minorHAnsi"/>
          <w:sz w:val="22"/>
          <w:szCs w:val="22"/>
        </w:rPr>
        <w:t>U</w:t>
      </w:r>
      <w:r w:rsidR="008C39A5">
        <w:rPr>
          <w:rFonts w:asciiTheme="minorHAnsi" w:hAnsiTheme="minorHAnsi"/>
          <w:sz w:val="22"/>
          <w:szCs w:val="22"/>
        </w:rPr>
        <w:t xml:space="preserve">mowa o dofinansowanie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rojektu,</w:t>
      </w:r>
    </w:p>
    <w:p w14:paraId="1BF7313A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zostały poniesione w okresie kwalifikowalności, </w:t>
      </w:r>
    </w:p>
    <w:p w14:paraId="75284147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zostały należycie udokumentowane i są możliwe do zweryfikowania, </w:t>
      </w:r>
    </w:p>
    <w:p w14:paraId="245D3E60" w14:textId="6905738A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są zgodne z obowiązującym</w:t>
      </w:r>
      <w:r w:rsidR="00DD5812">
        <w:rPr>
          <w:rFonts w:asciiTheme="minorHAnsi" w:hAnsiTheme="minorHAnsi"/>
          <w:sz w:val="22"/>
          <w:szCs w:val="22"/>
        </w:rPr>
        <w:t xml:space="preserve"> </w:t>
      </w:r>
      <w:r w:rsidR="00A11EAE">
        <w:rPr>
          <w:rFonts w:asciiTheme="minorHAnsi" w:hAnsiTheme="minorHAnsi"/>
          <w:sz w:val="22"/>
          <w:szCs w:val="22"/>
        </w:rPr>
        <w:t>P</w:t>
      </w:r>
      <w:r w:rsidR="00DD5812">
        <w:rPr>
          <w:rFonts w:asciiTheme="minorHAnsi" w:hAnsiTheme="minorHAnsi"/>
          <w:sz w:val="22"/>
          <w:szCs w:val="22"/>
        </w:rPr>
        <w:t>rzewodnikiem</w:t>
      </w:r>
      <w:r w:rsidRPr="008C39A5">
        <w:rPr>
          <w:rFonts w:asciiTheme="minorHAnsi" w:hAnsiTheme="minorHAnsi"/>
          <w:sz w:val="22"/>
          <w:szCs w:val="22"/>
        </w:rPr>
        <w:t>,</w:t>
      </w:r>
    </w:p>
    <w:p w14:paraId="282EACD6" w14:textId="77777777" w:rsidR="00D366AB" w:rsidRPr="008C39A5" w:rsidRDefault="008C39A5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są niezbędne do realizacji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>rojektu i zostały pon</w:t>
      </w:r>
      <w:r>
        <w:rPr>
          <w:rFonts w:asciiTheme="minorHAnsi" w:hAnsiTheme="minorHAnsi"/>
          <w:sz w:val="22"/>
          <w:szCs w:val="22"/>
        </w:rPr>
        <w:t xml:space="preserve">iesione w związku z realizacją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 xml:space="preserve">rojektu, </w:t>
      </w:r>
    </w:p>
    <w:p w14:paraId="21A95DE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zostały faktycznie poniesione na produkty/usługi </w:t>
      </w:r>
    </w:p>
    <w:p w14:paraId="7984C17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zostały poniesione w sposób efektywny i racjonalny, </w:t>
      </w:r>
    </w:p>
    <w:p w14:paraId="74FF85F7" w14:textId="77777777" w:rsidR="00E60075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zostały dokonane w sposób gospodarny, tzn. w oparciu o zasadę dążenia do uzyskania określonych efektów przy jak najkorzystniejszej cenie,</w:t>
      </w:r>
    </w:p>
    <w:p w14:paraId="09C33F5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są zgodne z obowiązującymi przepisami prawa wspólnotowego oraz prawa krajowego, w</w:t>
      </w:r>
      <w:r w:rsidR="00EF6B6E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szczególności z ustawą Prawo Zamówień Publicznych (jeżeli dotyczy). </w:t>
      </w:r>
    </w:p>
    <w:p w14:paraId="22624BD2" w14:textId="2CB6DF5D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3.2</w:t>
      </w:r>
      <w:r w:rsidR="00EF6B6E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Koszty kwalifikowalne to koszty obliczone zgodnie z obowiązującymi zasadami rachunkowości i</w:t>
      </w:r>
      <w:r w:rsidR="00EF6B6E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zasadami należytego zarządzania finansami oraz praktykami </w:t>
      </w:r>
      <w:r w:rsidR="00CF61B5">
        <w:rPr>
          <w:rFonts w:asciiTheme="minorHAnsi" w:hAnsiTheme="minorHAnsi"/>
          <w:sz w:val="22"/>
          <w:szCs w:val="22"/>
        </w:rPr>
        <w:t>Beneficjenta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(polityka rachunkowości). Każdy </w:t>
      </w:r>
      <w:r w:rsidR="008C39A5">
        <w:rPr>
          <w:rFonts w:asciiTheme="minorHAnsi" w:hAnsiTheme="minorHAnsi"/>
          <w:sz w:val="22"/>
          <w:szCs w:val="22"/>
        </w:rPr>
        <w:t xml:space="preserve">z </w:t>
      </w:r>
      <w:r w:rsidR="00CF61B5">
        <w:rPr>
          <w:rFonts w:asciiTheme="minorHAnsi" w:hAnsiTheme="minorHAnsi"/>
          <w:sz w:val="22"/>
          <w:szCs w:val="22"/>
        </w:rPr>
        <w:t xml:space="preserve">Beneficjentów </w:t>
      </w:r>
      <w:r w:rsidR="005A3897">
        <w:rPr>
          <w:rFonts w:asciiTheme="minorHAnsi" w:hAnsiTheme="minorHAnsi"/>
          <w:sz w:val="22"/>
          <w:szCs w:val="22"/>
        </w:rPr>
        <w:t>rozliczając koszty p</w:t>
      </w:r>
      <w:r w:rsidRPr="008C39A5">
        <w:rPr>
          <w:rFonts w:asciiTheme="minorHAnsi" w:hAnsiTheme="minorHAnsi"/>
          <w:sz w:val="22"/>
          <w:szCs w:val="22"/>
        </w:rPr>
        <w:t>rojektu stosuje praktyki (wytyczne) przyjęte w jego instytucji. Możliwość rozliczania ponoszonych kosztów według zasad księgowania stosowanych</w:t>
      </w:r>
      <w:r w:rsidR="00EF6B6E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w danej instytucji, nie oznacza, że </w:t>
      </w:r>
      <w:r w:rsidR="008D51F4">
        <w:rPr>
          <w:rFonts w:asciiTheme="minorHAnsi" w:hAnsiTheme="minorHAnsi"/>
          <w:sz w:val="22"/>
          <w:szCs w:val="22"/>
        </w:rPr>
        <w:t>Beneficjenci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mogą tworzyć nowe </w:t>
      </w:r>
      <w:r w:rsidR="008C39A5">
        <w:rPr>
          <w:rFonts w:asciiTheme="minorHAnsi" w:hAnsiTheme="minorHAnsi"/>
          <w:sz w:val="22"/>
          <w:szCs w:val="22"/>
        </w:rPr>
        <w:t xml:space="preserve">zasady, specjalnie na potrzeby </w:t>
      </w:r>
      <w:r w:rsidR="00C76A2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 xml:space="preserve">rojektu. </w:t>
      </w:r>
    </w:p>
    <w:p w14:paraId="30036EE3" w14:textId="7EA3BF0F" w:rsidR="009B7B69" w:rsidRPr="008C39A5" w:rsidRDefault="00EF6B6E" w:rsidP="003233D5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3.3</w:t>
      </w:r>
      <w:r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 xml:space="preserve">Beneficjent </w:t>
      </w:r>
      <w:r w:rsidR="00C76A2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>rojektu zobowiązany jest do ponos</w:t>
      </w:r>
      <w:r w:rsidR="00E3257A" w:rsidRPr="008C39A5">
        <w:rPr>
          <w:rFonts w:asciiTheme="minorHAnsi" w:hAnsiTheme="minorHAnsi"/>
          <w:sz w:val="22"/>
          <w:szCs w:val="22"/>
        </w:rPr>
        <w:t>zenia kosztów zgodnie z art. 44 ust. 3 oraz art.</w:t>
      </w:r>
      <w:r>
        <w:rPr>
          <w:rFonts w:asciiTheme="minorHAnsi" w:hAnsiTheme="minorHAnsi"/>
          <w:sz w:val="22"/>
          <w:szCs w:val="22"/>
        </w:rPr>
        <w:t> </w:t>
      </w:r>
      <w:r w:rsidR="00E3257A" w:rsidRPr="008C39A5">
        <w:rPr>
          <w:rFonts w:asciiTheme="minorHAnsi" w:hAnsiTheme="minorHAnsi"/>
          <w:sz w:val="22"/>
          <w:szCs w:val="22"/>
        </w:rPr>
        <w:t>162</w:t>
      </w:r>
      <w:r w:rsidR="00A27177">
        <w:rPr>
          <w:rFonts w:asciiTheme="minorHAnsi" w:hAnsiTheme="minorHAnsi"/>
          <w:sz w:val="22"/>
          <w:szCs w:val="22"/>
        </w:rPr>
        <w:t xml:space="preserve"> pkt</w:t>
      </w:r>
      <w:r w:rsidR="00D366AB" w:rsidRPr="008C39A5">
        <w:rPr>
          <w:rFonts w:asciiTheme="minorHAnsi" w:hAnsiTheme="minorHAnsi"/>
          <w:sz w:val="22"/>
          <w:szCs w:val="22"/>
        </w:rPr>
        <w:t xml:space="preserve"> 3 Ustawy o finansach publicznych.</w:t>
      </w:r>
    </w:p>
    <w:p w14:paraId="0EC1CBC4" w14:textId="77777777" w:rsidR="008B6D63" w:rsidRDefault="008B6D63">
      <w:pPr>
        <w:rPr>
          <w:rFonts w:cs="Times New Roman"/>
          <w:b/>
          <w:color w:val="548DD4" w:themeColor="text2" w:themeTint="99"/>
        </w:rPr>
      </w:pPr>
    </w:p>
    <w:p w14:paraId="3BB2D4C0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§4 Dokumentowanie poniesionych kosztów</w:t>
      </w:r>
    </w:p>
    <w:p w14:paraId="5698AC94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3A219A02" w14:textId="77777777" w:rsidR="00B00443" w:rsidRDefault="00D366AB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powinny być udokumentowane w sposób </w:t>
      </w:r>
      <w:r w:rsidR="008C39A5">
        <w:rPr>
          <w:rFonts w:asciiTheme="minorHAnsi" w:hAnsiTheme="minorHAnsi"/>
          <w:sz w:val="22"/>
          <w:szCs w:val="22"/>
        </w:rPr>
        <w:t xml:space="preserve">umożliwiający ocenę realizacji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 pod</w:t>
      </w:r>
      <w:r w:rsidR="008C39A5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względem finansowym i merytorycznym.</w:t>
      </w:r>
    </w:p>
    <w:p w14:paraId="361E1C50" w14:textId="4BA0144A" w:rsidR="00B00443" w:rsidRDefault="00CF61B5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Beneficjent </w:t>
      </w:r>
      <w:r w:rsidR="005A3897" w:rsidRPr="00826B88">
        <w:rPr>
          <w:rFonts w:asciiTheme="minorHAnsi" w:hAnsiTheme="minorHAnsi"/>
          <w:sz w:val="22"/>
          <w:szCs w:val="22"/>
        </w:rPr>
        <w:t>oraz Współwykonawcy</w:t>
      </w:r>
      <w:r w:rsidR="008C39A5" w:rsidRPr="00826B88">
        <w:rPr>
          <w:rFonts w:asciiTheme="minorHAnsi" w:hAnsiTheme="minorHAnsi"/>
          <w:sz w:val="22"/>
          <w:szCs w:val="22"/>
        </w:rPr>
        <w:t xml:space="preserve"> realizujący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 zobowiązani są do prowadzenia wyodręb</w:t>
      </w:r>
      <w:r w:rsidR="008C39A5" w:rsidRPr="00826B88">
        <w:rPr>
          <w:rFonts w:asciiTheme="minorHAnsi" w:hAnsiTheme="minorHAnsi"/>
          <w:sz w:val="22"/>
          <w:szCs w:val="22"/>
        </w:rPr>
        <w:t xml:space="preserve">nionej ewidencji księgowej dla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rojektu w sposób umożliwiający identyfikację poszczególnych operacji księgowych i bankowych.</w:t>
      </w:r>
    </w:p>
    <w:p w14:paraId="3C30FDE2" w14:textId="0DF3C14D" w:rsidR="00B00443" w:rsidRDefault="00CF61B5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Beneficjenci</w:t>
      </w:r>
      <w:r w:rsidRPr="00826B88">
        <w:rPr>
          <w:rFonts w:asciiTheme="minorHAnsi" w:hAnsiTheme="minorHAnsi"/>
          <w:sz w:val="22"/>
          <w:szCs w:val="22"/>
        </w:rPr>
        <w:t xml:space="preserve"> </w:t>
      </w:r>
      <w:r w:rsidR="00D366AB" w:rsidRPr="00826B88">
        <w:rPr>
          <w:rFonts w:asciiTheme="minorHAnsi" w:hAnsiTheme="minorHAnsi"/>
          <w:sz w:val="22"/>
          <w:szCs w:val="22"/>
        </w:rPr>
        <w:t>niezobowiązani do prowadzenia jakiejkolwiek ewidencji księgowej na podstawie obowiązujących przepisów</w:t>
      </w:r>
      <w:r w:rsidR="00826B88">
        <w:rPr>
          <w:rFonts w:asciiTheme="minorHAnsi" w:hAnsiTheme="minorHAnsi"/>
          <w:sz w:val="22"/>
          <w:szCs w:val="22"/>
        </w:rPr>
        <w:t xml:space="preserve"> (ustawy o rachunkowości, przepisów podatkowych)</w:t>
      </w:r>
      <w:r w:rsidR="00D366AB" w:rsidRPr="000308AA">
        <w:rPr>
          <w:rFonts w:asciiTheme="minorHAnsi" w:hAnsiTheme="minorHAnsi"/>
          <w:sz w:val="22"/>
          <w:szCs w:val="22"/>
        </w:rPr>
        <w:t>, mają obowiązek ewidencjonowania dokumentó</w:t>
      </w:r>
      <w:r w:rsidR="00D366AB" w:rsidRPr="00826B88">
        <w:rPr>
          <w:rFonts w:asciiTheme="minorHAnsi" w:hAnsiTheme="minorHAnsi"/>
          <w:sz w:val="22"/>
          <w:szCs w:val="22"/>
        </w:rPr>
        <w:t>w dotyczących op</w:t>
      </w:r>
      <w:r w:rsidR="008C39A5" w:rsidRPr="00826B88">
        <w:rPr>
          <w:rFonts w:asciiTheme="minorHAnsi" w:hAnsiTheme="minorHAnsi"/>
          <w:sz w:val="22"/>
          <w:szCs w:val="22"/>
        </w:rPr>
        <w:t xml:space="preserve">eracji związanych z realizacją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rojektu</w:t>
      </w:r>
      <w:r w:rsidR="00826B88">
        <w:rPr>
          <w:rFonts w:asciiTheme="minorHAnsi" w:hAnsiTheme="minorHAnsi"/>
          <w:sz w:val="22"/>
          <w:szCs w:val="22"/>
        </w:rPr>
        <w:t xml:space="preserve"> (księgi rachunkowe i księgi podatkowe)</w:t>
      </w:r>
      <w:r w:rsidR="00D366AB" w:rsidRPr="000308AA">
        <w:rPr>
          <w:rFonts w:asciiTheme="minorHAnsi" w:hAnsiTheme="minorHAnsi"/>
          <w:sz w:val="22"/>
          <w:szCs w:val="22"/>
        </w:rPr>
        <w:t>.</w:t>
      </w:r>
    </w:p>
    <w:p w14:paraId="3E889241" w14:textId="3A2BFD76" w:rsidR="00826B88" w:rsidRPr="00B00811" w:rsidRDefault="00D366AB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233D5">
        <w:rPr>
          <w:rFonts w:asciiTheme="minorHAnsi" w:hAnsiTheme="minorHAnsi"/>
          <w:sz w:val="22"/>
          <w:szCs w:val="22"/>
        </w:rPr>
        <w:t>Dowodem poniesienia kosztu jest wystawiona faktu</w:t>
      </w:r>
      <w:r w:rsidR="000F6C5C" w:rsidRPr="003233D5">
        <w:rPr>
          <w:rFonts w:asciiTheme="minorHAnsi" w:hAnsiTheme="minorHAnsi"/>
          <w:sz w:val="22"/>
          <w:szCs w:val="22"/>
        </w:rPr>
        <w:t>ra lub inny dokument księgowy o </w:t>
      </w:r>
      <w:r w:rsidRPr="003233D5">
        <w:rPr>
          <w:rFonts w:asciiTheme="minorHAnsi" w:hAnsiTheme="minorHAnsi"/>
          <w:sz w:val="22"/>
          <w:szCs w:val="22"/>
        </w:rPr>
        <w:t>równoważnej wartości dowodowej. Wszystkie oryginały dokumentów księgowych dotyczące ponoszonych kosztów bezpośrednich muszą być prawidłowo opisane tak</w:t>
      </w:r>
      <w:r w:rsidR="008751A6">
        <w:rPr>
          <w:rFonts w:asciiTheme="minorHAnsi" w:hAnsiTheme="minorHAnsi"/>
          <w:sz w:val="22"/>
          <w:szCs w:val="22"/>
        </w:rPr>
        <w:t>,</w:t>
      </w:r>
      <w:r w:rsidRPr="003233D5">
        <w:rPr>
          <w:rFonts w:asciiTheme="minorHAnsi" w:hAnsiTheme="minorHAnsi"/>
          <w:sz w:val="22"/>
          <w:szCs w:val="22"/>
        </w:rPr>
        <w:t xml:space="preserve"> aby widoczny </w:t>
      </w:r>
      <w:r w:rsidR="008C39A5" w:rsidRPr="003233D5">
        <w:rPr>
          <w:rFonts w:asciiTheme="minorHAnsi" w:hAnsiTheme="minorHAnsi"/>
          <w:sz w:val="22"/>
          <w:szCs w:val="22"/>
        </w:rPr>
        <w:t>był ich</w:t>
      </w:r>
      <w:r w:rsidR="0006420C" w:rsidRPr="003233D5">
        <w:rPr>
          <w:rFonts w:asciiTheme="minorHAnsi" w:hAnsiTheme="minorHAnsi"/>
          <w:sz w:val="22"/>
          <w:szCs w:val="22"/>
        </w:rPr>
        <w:t> </w:t>
      </w:r>
      <w:r w:rsidR="008C39A5" w:rsidRPr="003233D5">
        <w:rPr>
          <w:rFonts w:asciiTheme="minorHAnsi" w:hAnsiTheme="minorHAnsi"/>
          <w:sz w:val="22"/>
          <w:szCs w:val="22"/>
        </w:rPr>
        <w:t xml:space="preserve">związek z realizowanym </w:t>
      </w:r>
      <w:r w:rsidR="00AF4B67" w:rsidRPr="003233D5">
        <w:rPr>
          <w:rFonts w:asciiTheme="minorHAnsi" w:hAnsiTheme="minorHAnsi"/>
          <w:sz w:val="22"/>
          <w:szCs w:val="22"/>
        </w:rPr>
        <w:t>p</w:t>
      </w:r>
      <w:r w:rsidRPr="003233D5">
        <w:rPr>
          <w:rFonts w:asciiTheme="minorHAnsi" w:hAnsiTheme="minorHAnsi"/>
          <w:sz w:val="22"/>
          <w:szCs w:val="22"/>
        </w:rPr>
        <w:t>rojektem. W opisie dokumentu należy uwzględnić informacje takie jak: nr</w:t>
      </w:r>
      <w:r w:rsidR="0006420C" w:rsidRPr="003233D5">
        <w:rPr>
          <w:rFonts w:asciiTheme="minorHAnsi" w:hAnsiTheme="minorHAnsi"/>
          <w:sz w:val="22"/>
          <w:szCs w:val="22"/>
        </w:rPr>
        <w:t> </w:t>
      </w:r>
      <w:r w:rsidRPr="003233D5">
        <w:rPr>
          <w:rFonts w:asciiTheme="minorHAnsi" w:hAnsiTheme="minorHAnsi"/>
          <w:sz w:val="22"/>
          <w:szCs w:val="22"/>
        </w:rPr>
        <w:t>Umowy, nr zadania</w:t>
      </w:r>
      <w:r w:rsidR="008C39A5" w:rsidRPr="003233D5">
        <w:rPr>
          <w:rFonts w:asciiTheme="minorHAnsi" w:hAnsiTheme="minorHAnsi"/>
          <w:sz w:val="22"/>
          <w:szCs w:val="22"/>
        </w:rPr>
        <w:t>/etapu zgodnie z</w:t>
      </w:r>
      <w:r w:rsidR="005773A7" w:rsidRPr="003233D5">
        <w:rPr>
          <w:rFonts w:asciiTheme="minorHAnsi" w:hAnsiTheme="minorHAnsi"/>
          <w:sz w:val="22"/>
          <w:szCs w:val="22"/>
        </w:rPr>
        <w:t> </w:t>
      </w:r>
      <w:r w:rsidR="008C39A5" w:rsidRPr="003233D5">
        <w:rPr>
          <w:rFonts w:asciiTheme="minorHAnsi" w:hAnsiTheme="minorHAnsi"/>
          <w:sz w:val="22"/>
          <w:szCs w:val="22"/>
        </w:rPr>
        <w:t xml:space="preserve">Harmonogramem </w:t>
      </w:r>
      <w:r w:rsidR="00AF4B67" w:rsidRPr="003233D5">
        <w:rPr>
          <w:rFonts w:asciiTheme="minorHAnsi" w:hAnsiTheme="minorHAnsi"/>
          <w:sz w:val="22"/>
          <w:szCs w:val="22"/>
        </w:rPr>
        <w:t>realizacji p</w:t>
      </w:r>
      <w:r w:rsidRPr="003233D5">
        <w:rPr>
          <w:rFonts w:asciiTheme="minorHAnsi" w:hAnsiTheme="minorHAnsi"/>
          <w:sz w:val="22"/>
          <w:szCs w:val="22"/>
        </w:rPr>
        <w:t xml:space="preserve">rojektu, w ramach którego koszt został poniesiony, kwotę </w:t>
      </w:r>
      <w:r w:rsidR="008348E7" w:rsidRPr="003233D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="008348E7" w:rsidRPr="003233D5">
        <w:rPr>
          <w:rFonts w:asciiTheme="minorHAnsi" w:hAnsiTheme="minorHAnsi"/>
          <w:sz w:val="22"/>
          <w:szCs w:val="22"/>
        </w:rPr>
        <w:t>ną</w:t>
      </w:r>
      <w:r w:rsidRPr="003233D5">
        <w:rPr>
          <w:rFonts w:asciiTheme="minorHAnsi" w:hAnsiTheme="minorHAnsi"/>
          <w:sz w:val="22"/>
          <w:szCs w:val="22"/>
        </w:rPr>
        <w:t xml:space="preserve"> w odniesieniu do danego zadania/etapu, kategorię kosztu.</w:t>
      </w:r>
    </w:p>
    <w:p w14:paraId="185FA893" w14:textId="77777777" w:rsidR="00396782" w:rsidRPr="008C39A5" w:rsidRDefault="00396782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8D2C487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§5 Zakaz podwójnego finansowania</w:t>
      </w:r>
    </w:p>
    <w:p w14:paraId="38CA4091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421BC621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5.1</w:t>
      </w:r>
      <w:r w:rsidR="008E2E3F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Podwójne sfinansowanie, całkowite lub częściowe danego kosztu jest niedozwolone. </w:t>
      </w:r>
    </w:p>
    <w:p w14:paraId="3E8CB675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5.2</w:t>
      </w:r>
      <w:r w:rsidR="008E2E3F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Podwójnym finansowaniem jest w szczególności: </w:t>
      </w:r>
    </w:p>
    <w:p w14:paraId="37407182" w14:textId="77777777" w:rsidR="00E60075" w:rsidRPr="008C39A5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wykazanie tego samego</w:t>
      </w:r>
      <w:r w:rsidR="008C39A5">
        <w:rPr>
          <w:rFonts w:asciiTheme="minorHAnsi" w:hAnsiTheme="minorHAnsi"/>
          <w:sz w:val="22"/>
          <w:szCs w:val="22"/>
        </w:rPr>
        <w:t xml:space="preserve"> kosztu w ramach dwóch różnych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rojektów współfinansowanych ze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środków krajowych lub wspólnotowych, </w:t>
      </w:r>
    </w:p>
    <w:p w14:paraId="3E4F5B3F" w14:textId="77777777" w:rsidR="00E60075" w:rsidRPr="008C39A5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sfinansowanie kosztów </w:t>
      </w:r>
      <w:r w:rsidR="008C39A5">
        <w:rPr>
          <w:rFonts w:asciiTheme="minorHAnsi" w:hAnsiTheme="minorHAnsi"/>
          <w:sz w:val="22"/>
          <w:szCs w:val="22"/>
        </w:rPr>
        <w:t xml:space="preserve">podatku VAT ze środków </w:t>
      </w:r>
      <w:r w:rsidR="00AF4B67">
        <w:rPr>
          <w:rFonts w:asciiTheme="minorHAnsi" w:hAnsiTheme="minorHAnsi"/>
          <w:sz w:val="22"/>
          <w:szCs w:val="22"/>
        </w:rPr>
        <w:t>p</w:t>
      </w:r>
      <w:r w:rsidR="00E3257A" w:rsidRPr="008C39A5">
        <w:rPr>
          <w:rFonts w:asciiTheme="minorHAnsi" w:hAnsiTheme="minorHAnsi"/>
          <w:sz w:val="22"/>
          <w:szCs w:val="22"/>
        </w:rPr>
        <w:t>rojektu</w:t>
      </w:r>
      <w:r w:rsidRPr="008C39A5">
        <w:rPr>
          <w:rFonts w:asciiTheme="minorHAnsi" w:hAnsiTheme="minorHAnsi"/>
          <w:sz w:val="22"/>
          <w:szCs w:val="22"/>
        </w:rPr>
        <w:t>, a następnie odzyskanie tego podatku ze środków budżetu państwa w oparciu o Ustawę o VAT,</w:t>
      </w:r>
    </w:p>
    <w:p w14:paraId="056C639F" w14:textId="77777777" w:rsidR="00AC7A86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zakupienie środka trwałego z udziałem środków dotacji krajowej </w:t>
      </w:r>
      <w:r w:rsidR="008C39A5">
        <w:rPr>
          <w:rFonts w:asciiTheme="minorHAnsi" w:hAnsiTheme="minorHAnsi"/>
          <w:sz w:val="22"/>
          <w:szCs w:val="22"/>
        </w:rPr>
        <w:t xml:space="preserve">lub dofinansowania innego </w:t>
      </w:r>
      <w:r w:rsidR="00AF4B67">
        <w:rPr>
          <w:rFonts w:asciiTheme="minorHAnsi" w:hAnsiTheme="minorHAnsi"/>
          <w:sz w:val="22"/>
          <w:szCs w:val="22"/>
        </w:rPr>
        <w:t>p</w:t>
      </w:r>
      <w:r w:rsidR="00B72816" w:rsidRPr="008C39A5">
        <w:rPr>
          <w:rFonts w:asciiTheme="minorHAnsi" w:hAnsiTheme="minorHAnsi"/>
          <w:sz w:val="22"/>
          <w:szCs w:val="22"/>
        </w:rPr>
        <w:t xml:space="preserve">rojektu, </w:t>
      </w:r>
      <w:r w:rsidRPr="008C39A5">
        <w:rPr>
          <w:rFonts w:asciiTheme="minorHAnsi" w:hAnsiTheme="minorHAnsi"/>
          <w:sz w:val="22"/>
          <w:szCs w:val="22"/>
        </w:rPr>
        <w:t>a następnie wykazanie kos</w:t>
      </w:r>
      <w:r w:rsidR="008C39A5">
        <w:rPr>
          <w:rFonts w:asciiTheme="minorHAnsi" w:hAnsiTheme="minorHAnsi"/>
          <w:sz w:val="22"/>
          <w:szCs w:val="22"/>
        </w:rPr>
        <w:t xml:space="preserve">ztów amortyzacji tego środka w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rojekcie objętym dofinansowan</w:t>
      </w:r>
      <w:r w:rsidR="00AC7A86">
        <w:rPr>
          <w:rFonts w:asciiTheme="minorHAnsi" w:hAnsiTheme="minorHAnsi"/>
          <w:sz w:val="22"/>
          <w:szCs w:val="22"/>
        </w:rPr>
        <w:t>iem,</w:t>
      </w:r>
    </w:p>
    <w:p w14:paraId="2A36752C" w14:textId="77777777" w:rsidR="00D366AB" w:rsidRPr="0083363E" w:rsidRDefault="00D366AB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wykazanie tego samego kosztu w ramach rozliczenia dot</w:t>
      </w:r>
      <w:r w:rsidR="008C39A5">
        <w:rPr>
          <w:rFonts w:asciiTheme="minorHAnsi" w:hAnsiTheme="minorHAnsi"/>
          <w:sz w:val="22"/>
          <w:szCs w:val="22"/>
        </w:rPr>
        <w:t xml:space="preserve">acji lub dofinansowania innego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 a następnie wykazanie tego</w:t>
      </w:r>
      <w:r w:rsidR="008C39A5">
        <w:rPr>
          <w:rFonts w:asciiTheme="minorHAnsi" w:hAnsiTheme="minorHAnsi"/>
          <w:sz w:val="22"/>
          <w:szCs w:val="22"/>
        </w:rPr>
        <w:t xml:space="preserve"> kosztu w ramach realizowanego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</w:t>
      </w:r>
      <w:r w:rsidR="004C6ADF" w:rsidRPr="0083363E">
        <w:rPr>
          <w:rFonts w:asciiTheme="minorHAnsi" w:hAnsiTheme="minorHAnsi"/>
          <w:sz w:val="22"/>
          <w:szCs w:val="22"/>
        </w:rPr>
        <w:t>.</w:t>
      </w:r>
    </w:p>
    <w:p w14:paraId="0639EB7C" w14:textId="5B4B5128" w:rsidR="00445B72" w:rsidRPr="006B380E" w:rsidRDefault="00D366AB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Nie uważa się za pod</w:t>
      </w:r>
      <w:r w:rsidR="008C39A5">
        <w:rPr>
          <w:rFonts w:asciiTheme="minorHAnsi" w:hAnsiTheme="minorHAnsi"/>
          <w:sz w:val="22"/>
          <w:szCs w:val="22"/>
        </w:rPr>
        <w:t xml:space="preserve">wójne finansowanie </w:t>
      </w:r>
      <w:r w:rsidR="004C6ADF">
        <w:rPr>
          <w:rFonts w:asciiTheme="minorHAnsi" w:hAnsiTheme="minorHAnsi"/>
          <w:sz w:val="22"/>
          <w:szCs w:val="22"/>
        </w:rPr>
        <w:t xml:space="preserve">wykazania </w:t>
      </w:r>
      <w:r w:rsidR="008C39A5">
        <w:rPr>
          <w:rFonts w:asciiTheme="minorHAnsi" w:hAnsiTheme="minorHAnsi"/>
          <w:sz w:val="22"/>
          <w:szCs w:val="22"/>
        </w:rPr>
        <w:t xml:space="preserve">w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rojekcie poniesionego kosztu jeżeli został on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sfinansowany ze środków własnych (przychody uzyskiwane w związku z prowadzoną działalnością, inne źródła) </w:t>
      </w:r>
      <w:r w:rsidR="00CF61B5">
        <w:rPr>
          <w:rFonts w:asciiTheme="minorHAnsi" w:hAnsiTheme="minorHAnsi"/>
          <w:sz w:val="22"/>
          <w:szCs w:val="22"/>
        </w:rPr>
        <w:t xml:space="preserve">Beneficjenta </w:t>
      </w:r>
      <w:r w:rsidRPr="008C39A5">
        <w:rPr>
          <w:rFonts w:asciiTheme="minorHAnsi" w:hAnsiTheme="minorHAnsi"/>
          <w:sz w:val="22"/>
          <w:szCs w:val="22"/>
        </w:rPr>
        <w:t>nawet jeśli stanowią one środki publiczne zgodnie z definicją zawartą w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Ustawie o finansach publicznych.</w:t>
      </w:r>
    </w:p>
    <w:p w14:paraId="770BA6FF" w14:textId="04FCED0B" w:rsidR="00D366AB" w:rsidRPr="008C39A5" w:rsidRDefault="00646C73" w:rsidP="00FF6A65">
      <w:pPr>
        <w:pStyle w:val="Cytatintensywny"/>
        <w:numPr>
          <w:ilvl w:val="0"/>
          <w:numId w:val="15"/>
        </w:numPr>
      </w:pPr>
      <w:r w:rsidRPr="008C39A5">
        <w:t>Podatek VAT kosztem kwalifikowa</w:t>
      </w:r>
      <w:r w:rsidR="005E2778">
        <w:t>l</w:t>
      </w:r>
      <w:r w:rsidR="00D366AB" w:rsidRPr="008C39A5">
        <w:t xml:space="preserve">nym </w:t>
      </w:r>
    </w:p>
    <w:p w14:paraId="15127242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§1 Podatek od towarów i usług (VAT)</w:t>
      </w:r>
    </w:p>
    <w:p w14:paraId="7FB61DEC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08A6DFAC" w14:textId="1437F9C7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1.1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Podatek VAT stanowi koszt 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Pr="008C39A5">
        <w:rPr>
          <w:rFonts w:asciiTheme="minorHAnsi" w:hAnsiTheme="minorHAnsi"/>
          <w:sz w:val="22"/>
          <w:szCs w:val="22"/>
        </w:rPr>
        <w:t xml:space="preserve">ny jedynie wówczas, gdy został poniesiony przez </w:t>
      </w:r>
      <w:r w:rsidR="00CF61B5">
        <w:rPr>
          <w:rFonts w:asciiTheme="minorHAnsi" w:hAnsiTheme="minorHAnsi"/>
          <w:sz w:val="22"/>
          <w:szCs w:val="22"/>
        </w:rPr>
        <w:t>beneficjenta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w związku z kosztami kwalifikowalnymi zaś </w:t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>nie ma prawnej możliwości odzyskania podatku VAT.</w:t>
      </w:r>
    </w:p>
    <w:p w14:paraId="04DF838F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lastRenderedPageBreak/>
        <w:t>1.2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Możliwość odzyskania podatku VAT rozpatruje się w świetle ustawy o VAT.</w:t>
      </w:r>
    </w:p>
    <w:p w14:paraId="0DC6AFA9" w14:textId="44F0F46B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1.3</w:t>
      </w:r>
      <w:r w:rsidR="00622198"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zobowiązany jest złożyć oświadczenie </w:t>
      </w:r>
      <w:r w:rsidR="00E3257A" w:rsidRPr="008C39A5">
        <w:rPr>
          <w:rFonts w:asciiTheme="minorHAnsi" w:hAnsiTheme="minorHAnsi"/>
          <w:sz w:val="22"/>
          <w:szCs w:val="22"/>
        </w:rPr>
        <w:t>o kwalifikowalności podatku VAT</w:t>
      </w:r>
      <w:r w:rsidRPr="008C39A5">
        <w:rPr>
          <w:rFonts w:asciiTheme="minorHAnsi" w:hAnsiTheme="minorHAnsi"/>
          <w:sz w:val="22"/>
          <w:szCs w:val="22"/>
        </w:rPr>
        <w:t>.</w:t>
      </w:r>
    </w:p>
    <w:p w14:paraId="1A4DAE67" w14:textId="4DC27A18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Brak prawnej możliwości odzyskania podatku VAT zachodzi, jeżeli </w:t>
      </w:r>
      <w:r w:rsidR="00CF61B5">
        <w:rPr>
          <w:rFonts w:asciiTheme="minorHAnsi" w:hAnsiTheme="minorHAnsi"/>
          <w:sz w:val="22"/>
          <w:szCs w:val="22"/>
        </w:rPr>
        <w:t xml:space="preserve">Beneficjentowi </w:t>
      </w:r>
      <w:r w:rsidRPr="008C39A5">
        <w:rPr>
          <w:rFonts w:asciiTheme="minorHAnsi" w:hAnsiTheme="minorHAnsi"/>
          <w:sz w:val="22"/>
          <w:szCs w:val="22"/>
        </w:rPr>
        <w:t xml:space="preserve">nie przysługuje prawo do obniżenia kwoty podatku należnego (związanego z opodatkowanymi </w:t>
      </w:r>
      <w:r w:rsidR="008C39A5">
        <w:rPr>
          <w:rFonts w:asciiTheme="minorHAnsi" w:hAnsiTheme="minorHAnsi"/>
          <w:sz w:val="22"/>
          <w:szCs w:val="22"/>
        </w:rPr>
        <w:t>czynnościami w</w:t>
      </w:r>
      <w:r w:rsidR="00622198">
        <w:rPr>
          <w:rFonts w:asciiTheme="minorHAnsi" w:hAnsiTheme="minorHAnsi"/>
          <w:sz w:val="22"/>
          <w:szCs w:val="22"/>
        </w:rPr>
        <w:t> 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 xml:space="preserve">rojekcie) o kwotę podatku naliczonego (związanego z kosztami nabytych towarów i usług oraz środków trwałych). </w:t>
      </w:r>
    </w:p>
    <w:p w14:paraId="31286E40" w14:textId="77777777" w:rsidR="00D366AB" w:rsidRPr="008C39A5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Sytuacje takie mogą wystąpić w następujących przypadkach: </w:t>
      </w:r>
    </w:p>
    <w:p w14:paraId="771A5601" w14:textId="77777777" w:rsidR="00D366AB" w:rsidRDefault="00D366AB" w:rsidP="00406A0E">
      <w:pPr>
        <w:pStyle w:val="Default"/>
        <w:spacing w:before="120" w:after="120"/>
        <w:ind w:left="709" w:hanging="567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1.4.1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w projekcie w ogóle nie wystąpiły/wystąpią przychody – zakupione towary, usługi lub środki trwałe nie są wykorzystywane do sprzedaży opodatkowanej, bądź w projekcie nie występuje bezpośredni i bezsprzeczny związek pomiędzy zakupionymi towarami, usługami lub środkami trwałymi a czynnościami opodatkowanymi,</w:t>
      </w:r>
    </w:p>
    <w:p w14:paraId="48624C83" w14:textId="07F6BD32" w:rsidR="00D366AB" w:rsidRPr="008C39A5" w:rsidRDefault="00D366AB" w:rsidP="00406A0E">
      <w:pPr>
        <w:pStyle w:val="Default"/>
        <w:spacing w:before="120"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1.4.2</w:t>
      </w:r>
      <w:r w:rsidR="00622198"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jest zwolniony podmiotowo z opodatkowania podatkiem VAT, </w:t>
      </w:r>
    </w:p>
    <w:p w14:paraId="7E1E2A02" w14:textId="1FC4D83F" w:rsidR="00D366AB" w:rsidRPr="008C39A5" w:rsidRDefault="00D366AB" w:rsidP="00406A0E">
      <w:pPr>
        <w:pStyle w:val="Default"/>
        <w:spacing w:before="120"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1.4.3</w:t>
      </w:r>
      <w:r w:rsidR="00622198">
        <w:rPr>
          <w:rFonts w:asciiTheme="minorHAnsi" w:hAnsiTheme="minorHAnsi"/>
          <w:sz w:val="22"/>
          <w:szCs w:val="22"/>
        </w:rPr>
        <w:tab/>
      </w:r>
      <w:r w:rsidR="00CF61B5" w:rsidRPr="00CF61B5">
        <w:rPr>
          <w:rFonts w:asciiTheme="minorHAnsi" w:hAnsiTheme="minorHAnsi"/>
          <w:sz w:val="22"/>
          <w:szCs w:val="22"/>
        </w:rPr>
        <w:t>Beneficjent</w:t>
      </w:r>
      <w:r w:rsidRPr="008C39A5">
        <w:rPr>
          <w:rFonts w:asciiTheme="minorHAnsi" w:hAnsiTheme="minorHAnsi"/>
          <w:sz w:val="22"/>
          <w:szCs w:val="22"/>
        </w:rPr>
        <w:t xml:space="preserve"> wykonuje jedynie czynności zwolnione z opodatkowania podatkiem VAT. </w:t>
      </w:r>
    </w:p>
    <w:p w14:paraId="663E888F" w14:textId="5DA89B63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1.5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Jeżeli </w:t>
      </w:r>
      <w:r w:rsidR="00CF61B5" w:rsidRPr="00CF61B5">
        <w:rPr>
          <w:rFonts w:asciiTheme="minorHAnsi" w:hAnsiTheme="minorHAnsi"/>
          <w:sz w:val="22"/>
          <w:szCs w:val="22"/>
        </w:rPr>
        <w:t>Beneficjent</w:t>
      </w:r>
      <w:r w:rsidRPr="008C39A5">
        <w:rPr>
          <w:rFonts w:asciiTheme="minorHAnsi" w:hAnsiTheme="minorHAnsi"/>
          <w:sz w:val="22"/>
          <w:szCs w:val="22"/>
        </w:rPr>
        <w:t xml:space="preserve"> wykorzystuje nabyte w ramach projektu objętego pomocą towary/usługi/środki trwałe do wykonywania czynności zarówno zwolnionych, jak i</w:t>
      </w:r>
      <w:r w:rsidR="00622198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opodatkowanych kosztem 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Pr="008C39A5">
        <w:rPr>
          <w:rFonts w:asciiTheme="minorHAnsi" w:hAnsiTheme="minorHAnsi"/>
          <w:sz w:val="22"/>
          <w:szCs w:val="22"/>
        </w:rPr>
        <w:t>nym może być tylko proporcjonalna część podatku VAT naliczonego.</w:t>
      </w:r>
    </w:p>
    <w:p w14:paraId="0809BD47" w14:textId="3B779A51" w:rsidR="008348E7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1.6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W przypadku zaistnienia przesłanek umożliwiających odzyskanie podatku</w:t>
      </w:r>
      <w:r w:rsidR="006D73C7" w:rsidRPr="008C39A5">
        <w:rPr>
          <w:rFonts w:asciiTheme="minorHAnsi" w:hAnsiTheme="minorHAnsi"/>
          <w:sz w:val="22"/>
          <w:szCs w:val="22"/>
        </w:rPr>
        <w:t xml:space="preserve"> VAT</w:t>
      </w:r>
      <w:r w:rsidRPr="008C39A5">
        <w:rPr>
          <w:rFonts w:asciiTheme="minorHAnsi" w:hAnsiTheme="minorHAnsi"/>
          <w:sz w:val="22"/>
          <w:szCs w:val="22"/>
        </w:rPr>
        <w:t xml:space="preserve"> przez jednostkę, </w:t>
      </w:r>
      <w:r w:rsidR="00CF61B5" w:rsidRPr="00CF61B5">
        <w:rPr>
          <w:rFonts w:asciiTheme="minorHAnsi" w:hAnsiTheme="minorHAnsi"/>
          <w:sz w:val="22"/>
          <w:szCs w:val="22"/>
        </w:rPr>
        <w:t xml:space="preserve">Beneficjent </w:t>
      </w:r>
      <w:r w:rsidRPr="008C39A5">
        <w:rPr>
          <w:rFonts w:asciiTheme="minorHAnsi" w:hAnsiTheme="minorHAnsi"/>
          <w:sz w:val="22"/>
          <w:szCs w:val="22"/>
        </w:rPr>
        <w:t>zobowiązuje się do poinformowa</w:t>
      </w:r>
      <w:r w:rsidR="00902839" w:rsidRPr="008C39A5">
        <w:rPr>
          <w:rFonts w:asciiTheme="minorHAnsi" w:hAnsiTheme="minorHAnsi"/>
          <w:sz w:val="22"/>
          <w:szCs w:val="22"/>
        </w:rPr>
        <w:t xml:space="preserve">nia </w:t>
      </w:r>
      <w:r w:rsidR="00BA7F44" w:rsidRPr="008C39A5">
        <w:rPr>
          <w:rFonts w:asciiTheme="minorHAnsi" w:hAnsiTheme="minorHAnsi"/>
          <w:sz w:val="22"/>
          <w:szCs w:val="22"/>
        </w:rPr>
        <w:t>Centrum o tym fakcie oraz</w:t>
      </w:r>
      <w:r w:rsidR="00902839" w:rsidRPr="008C39A5">
        <w:rPr>
          <w:rFonts w:asciiTheme="minorHAnsi" w:hAnsiTheme="minorHAnsi"/>
          <w:sz w:val="22"/>
          <w:szCs w:val="22"/>
        </w:rPr>
        <w:t xml:space="preserve"> dokonania korekt</w:t>
      </w:r>
      <w:r w:rsidR="00BA7F44" w:rsidRPr="008C39A5">
        <w:rPr>
          <w:rFonts w:asciiTheme="minorHAnsi" w:hAnsiTheme="minorHAnsi"/>
          <w:sz w:val="22"/>
          <w:szCs w:val="22"/>
        </w:rPr>
        <w:t>y</w:t>
      </w:r>
      <w:r w:rsidR="00622198">
        <w:rPr>
          <w:rFonts w:asciiTheme="minorHAnsi" w:hAnsiTheme="minorHAnsi"/>
          <w:sz w:val="22"/>
          <w:szCs w:val="22"/>
        </w:rPr>
        <w:t xml:space="preserve"> </w:t>
      </w:r>
      <w:r w:rsidR="008348E7" w:rsidRPr="008C39A5">
        <w:rPr>
          <w:rFonts w:asciiTheme="minorHAnsi" w:hAnsiTheme="minorHAnsi"/>
          <w:sz w:val="22"/>
          <w:szCs w:val="22"/>
        </w:rPr>
        <w:t>w</w:t>
      </w:r>
      <w:r w:rsidR="00622198">
        <w:rPr>
          <w:rFonts w:asciiTheme="minorHAnsi" w:hAnsiTheme="minorHAnsi"/>
          <w:sz w:val="22"/>
          <w:szCs w:val="22"/>
        </w:rPr>
        <w:t> </w:t>
      </w:r>
      <w:r w:rsidR="008348E7" w:rsidRPr="008C39A5">
        <w:rPr>
          <w:rFonts w:asciiTheme="minorHAnsi" w:hAnsiTheme="minorHAnsi"/>
          <w:sz w:val="22"/>
          <w:szCs w:val="22"/>
        </w:rPr>
        <w:t>zakresie rozliczeń</w:t>
      </w:r>
      <w:r w:rsidR="00646C73" w:rsidRPr="008C39A5">
        <w:rPr>
          <w:rFonts w:asciiTheme="minorHAnsi" w:hAnsiTheme="minorHAnsi"/>
          <w:sz w:val="22"/>
          <w:szCs w:val="22"/>
        </w:rPr>
        <w:t xml:space="preserve">, </w:t>
      </w:r>
      <w:r w:rsidR="008348E7" w:rsidRPr="008C39A5">
        <w:rPr>
          <w:rFonts w:asciiTheme="minorHAnsi" w:hAnsiTheme="minorHAnsi"/>
          <w:sz w:val="22"/>
          <w:szCs w:val="22"/>
        </w:rPr>
        <w:t>po</w:t>
      </w:r>
      <w:r w:rsidR="008C39A5">
        <w:rPr>
          <w:rFonts w:asciiTheme="minorHAnsi" w:hAnsiTheme="minorHAnsi"/>
          <w:sz w:val="22"/>
          <w:szCs w:val="22"/>
        </w:rPr>
        <w:t xml:space="preserve"> zakończeniu realizacji </w:t>
      </w:r>
      <w:r w:rsidR="00AF4B67">
        <w:rPr>
          <w:rFonts w:asciiTheme="minorHAnsi" w:hAnsiTheme="minorHAnsi"/>
          <w:sz w:val="22"/>
          <w:szCs w:val="22"/>
        </w:rPr>
        <w:t>p</w:t>
      </w:r>
      <w:r w:rsidR="008348E7" w:rsidRPr="008C39A5">
        <w:rPr>
          <w:rFonts w:asciiTheme="minorHAnsi" w:hAnsiTheme="minorHAnsi"/>
          <w:sz w:val="22"/>
          <w:szCs w:val="22"/>
        </w:rPr>
        <w:t xml:space="preserve">rojektu </w:t>
      </w:r>
      <w:r w:rsidR="00902839" w:rsidRPr="008C39A5">
        <w:rPr>
          <w:rFonts w:asciiTheme="minorHAnsi" w:hAnsiTheme="minorHAnsi"/>
          <w:sz w:val="22"/>
          <w:szCs w:val="22"/>
        </w:rPr>
        <w:t>także do</w:t>
      </w:r>
      <w:r w:rsidRPr="008C39A5">
        <w:rPr>
          <w:rFonts w:asciiTheme="minorHAnsi" w:hAnsiTheme="minorHAnsi"/>
          <w:sz w:val="22"/>
          <w:szCs w:val="22"/>
        </w:rPr>
        <w:t xml:space="preserve"> zwrotu podatku zr</w:t>
      </w:r>
      <w:r w:rsidR="00902839" w:rsidRPr="008C39A5">
        <w:rPr>
          <w:rFonts w:asciiTheme="minorHAnsi" w:hAnsiTheme="minorHAnsi"/>
          <w:sz w:val="22"/>
          <w:szCs w:val="22"/>
        </w:rPr>
        <w:t>efundowanego</w:t>
      </w:r>
      <w:r w:rsidR="00622198">
        <w:rPr>
          <w:rFonts w:asciiTheme="minorHAnsi" w:hAnsiTheme="minorHAnsi"/>
          <w:sz w:val="22"/>
          <w:szCs w:val="22"/>
        </w:rPr>
        <w:t xml:space="preserve"> </w:t>
      </w:r>
      <w:r w:rsidR="00902839" w:rsidRPr="008C39A5">
        <w:rPr>
          <w:rFonts w:asciiTheme="minorHAnsi" w:hAnsiTheme="minorHAnsi"/>
          <w:sz w:val="22"/>
          <w:szCs w:val="22"/>
        </w:rPr>
        <w:t>ze środków dofinansowania</w:t>
      </w:r>
      <w:r w:rsidR="006D73C7" w:rsidRPr="008C39A5">
        <w:rPr>
          <w:rFonts w:asciiTheme="minorHAnsi" w:hAnsiTheme="minorHAnsi"/>
          <w:sz w:val="22"/>
          <w:szCs w:val="22"/>
        </w:rPr>
        <w:t>.</w:t>
      </w:r>
    </w:p>
    <w:p w14:paraId="78AF12C6" w14:textId="77777777" w:rsidR="00356164" w:rsidRPr="00396782" w:rsidRDefault="00810D38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Korekty rozliczeń związane ze zmianą kwalifikowalności podatku VAT, zmianą wskaźnika struktury podatku VAT 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mogą być </w:t>
      </w:r>
      <w:r w:rsidR="00AE5519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wprowadzane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:</w:t>
      </w:r>
    </w:p>
    <w:p w14:paraId="6F7028CB" w14:textId="77777777" w:rsidR="00356164" w:rsidRPr="00166BA5" w:rsidRDefault="00356164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166BA5">
        <w:rPr>
          <w:rFonts w:asciiTheme="minorHAnsi" w:hAnsiTheme="minorHAnsi"/>
          <w:color w:val="365F91" w:themeColor="accent1" w:themeShade="BF"/>
          <w:sz w:val="22"/>
          <w:szCs w:val="22"/>
        </w:rPr>
        <w:t>poprzez korektę wniosku którego dotyczą,</w:t>
      </w:r>
    </w:p>
    <w:p w14:paraId="3CD9DF1E" w14:textId="77777777" w:rsidR="00356164" w:rsidRPr="00396782" w:rsidRDefault="00810D38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>kumulatywnie w bieżącym wniosku</w:t>
      </w:r>
      <w:r w:rsidR="00356164"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  <w:r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>o płatność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,</w:t>
      </w:r>
    </w:p>
    <w:p w14:paraId="0D5166FB" w14:textId="77777777" w:rsidR="004162D2" w:rsidRPr="00396782" w:rsidRDefault="00356164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lub w Raporcie Końcowym. </w:t>
      </w:r>
    </w:p>
    <w:p w14:paraId="06E85FF0" w14:textId="77777777" w:rsidR="005F55C2" w:rsidRDefault="004C2B93" w:rsidP="00396782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>K</w:t>
      </w:r>
      <w:r w:rsidR="007A3606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orekty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wprowadzane są także w zadaniach</w:t>
      </w:r>
      <w:r w:rsidR="00CA1F35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już zakończonych.</w:t>
      </w:r>
    </w:p>
    <w:p w14:paraId="1BB528DF" w14:textId="7667DEC7" w:rsidR="006B380E" w:rsidRDefault="00C33E78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Podatnik prowadzący działalność „mieszaną” po zakończeniu roku podatkowego zobowiązany jest </w:t>
      </w:r>
      <w:r w:rsidR="000B7156">
        <w:rPr>
          <w:rFonts w:asciiTheme="minorHAnsi" w:hAnsiTheme="minorHAnsi"/>
          <w:color w:val="365F91" w:themeColor="accent1" w:themeShade="BF"/>
          <w:sz w:val="22"/>
          <w:szCs w:val="22"/>
        </w:rPr>
        <w:br/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do ustalenia rzeczywistego poziomu wskaźnika struktury i do skorygowania rozliczenia podatku naliczonego za ubiegły rok podatkowy. W konsekwencji </w:t>
      </w:r>
      <w:r w:rsidR="00CF61B5" w:rsidRPr="00CF61B5">
        <w:rPr>
          <w:rFonts w:asciiTheme="minorHAnsi" w:hAnsiTheme="minorHAnsi"/>
          <w:color w:val="365F91" w:themeColor="accent1" w:themeShade="BF"/>
          <w:sz w:val="22"/>
          <w:szCs w:val="22"/>
        </w:rPr>
        <w:t>Beneficjent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zobowiązany </w:t>
      </w:r>
      <w:r w:rsidR="000B7156">
        <w:rPr>
          <w:rFonts w:asciiTheme="minorHAnsi" w:hAnsiTheme="minorHAnsi"/>
          <w:color w:val="365F91" w:themeColor="accent1" w:themeShade="BF"/>
          <w:sz w:val="22"/>
          <w:szCs w:val="22"/>
        </w:rPr>
        <w:br/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jest do 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skorygowania 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rozliczo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>nego dofinansowania</w:t>
      </w:r>
      <w:r w:rsidR="001D5078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(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>także po złożeniu Raportu Końcowego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),</w:t>
      </w:r>
      <w:r w:rsidR="0099657D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poinformowania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Centrum o </w:t>
      </w:r>
      <w:r w:rsidR="004C2B93">
        <w:rPr>
          <w:rFonts w:asciiTheme="minorHAnsi" w:hAnsiTheme="minorHAnsi"/>
          <w:color w:val="365F91" w:themeColor="accent1" w:themeShade="BF"/>
          <w:sz w:val="22"/>
          <w:szCs w:val="22"/>
        </w:rPr>
        <w:t>wprowadzonej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korekcie</w:t>
      </w:r>
      <w:r w:rsid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i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dokonania</w:t>
      </w:r>
      <w:r w:rsidR="00883941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zwrotu środków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(niekwa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lifikowa</w:t>
      </w:r>
      <w:r w:rsidR="005E2778">
        <w:rPr>
          <w:rFonts w:asciiTheme="minorHAnsi" w:hAnsiTheme="minorHAnsi"/>
          <w:color w:val="365F91" w:themeColor="accent1" w:themeShade="BF"/>
          <w:sz w:val="22"/>
          <w:szCs w:val="22"/>
        </w:rPr>
        <w:t>l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nej części podatku VAT)</w:t>
      </w:r>
      <w:r w:rsidR="00883941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na wezwanie Centrum.</w:t>
      </w:r>
    </w:p>
    <w:p w14:paraId="0FEDACB6" w14:textId="77777777" w:rsidR="00454A34" w:rsidRDefault="00454A34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>Podatnicy stosujący proporcję do odliczania VAT są zobowiązani do sporządzenia korekty na zasadach obowiązujących przy korekcie dokonywanej przez podatników wykonujących czynności mieszane.</w:t>
      </w:r>
    </w:p>
    <w:p w14:paraId="2C077059" w14:textId="1EE3EB20" w:rsidR="006B380E" w:rsidRDefault="006B380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28BFF6E7" w14:textId="16421FCA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01CA3B57" w14:textId="057CC9F2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1F5BF340" w14:textId="04DE21AA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58BE2F41" w14:textId="03F08E15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3E8767FD" w14:textId="77777777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346DE2F2" w14:textId="09DA71D5" w:rsidR="00591148" w:rsidRPr="00591148" w:rsidRDefault="00591148" w:rsidP="00FF6A65">
      <w:pPr>
        <w:pStyle w:val="Cytatintensywny"/>
        <w:numPr>
          <w:ilvl w:val="0"/>
          <w:numId w:val="15"/>
        </w:numPr>
        <w:rPr>
          <w:rFonts w:eastAsiaTheme="minorHAnsi"/>
          <w:lang w:eastAsia="en-US"/>
        </w:rPr>
      </w:pPr>
      <w:r w:rsidRPr="00591148">
        <w:rPr>
          <w:rFonts w:eastAsiaTheme="minorHAnsi"/>
          <w:lang w:eastAsia="en-US"/>
        </w:rPr>
        <w:lastRenderedPageBreak/>
        <w:t xml:space="preserve">Wkład własny </w:t>
      </w:r>
    </w:p>
    <w:p w14:paraId="76A824DE" w14:textId="77777777" w:rsidR="006B380E" w:rsidRPr="00396782" w:rsidRDefault="00591148" w:rsidP="00396782">
      <w:pPr>
        <w:autoSpaceDE w:val="0"/>
        <w:autoSpaceDN w:val="0"/>
        <w:adjustRightInd w:val="0"/>
        <w:spacing w:before="120" w:after="120" w:line="240" w:lineRule="auto"/>
        <w:rPr>
          <w:rFonts w:eastAsiaTheme="minorHAnsi" w:cs="Times New Roman"/>
          <w:b/>
          <w:color w:val="548DD4" w:themeColor="text2" w:themeTint="99"/>
          <w:lang w:eastAsia="en-US"/>
        </w:rPr>
      </w:pPr>
      <w:r w:rsidRPr="00396782">
        <w:rPr>
          <w:rFonts w:eastAsiaTheme="minorHAnsi" w:cs="Times New Roman"/>
          <w:b/>
          <w:color w:val="548DD4" w:themeColor="text2" w:themeTint="99"/>
          <w:lang w:eastAsia="en-US"/>
        </w:rPr>
        <w:t>§1 Wkład własny</w:t>
      </w:r>
    </w:p>
    <w:p w14:paraId="2B9B5960" w14:textId="77777777" w:rsidR="00591148" w:rsidRPr="00591148" w:rsidRDefault="00591148" w:rsidP="00406A0E">
      <w:pPr>
        <w:autoSpaceDE w:val="0"/>
        <w:autoSpaceDN w:val="0"/>
        <w:adjustRightInd w:val="0"/>
        <w:spacing w:before="120" w:after="120" w:line="240" w:lineRule="auto"/>
        <w:rPr>
          <w:rFonts w:eastAsiaTheme="minorHAnsi" w:cs="Times New Roman"/>
          <w:b/>
          <w:color w:val="000000"/>
          <w:lang w:eastAsia="en-US"/>
        </w:rPr>
      </w:pPr>
    </w:p>
    <w:p w14:paraId="01C0941E" w14:textId="49AE965F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1.1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="00EA5681">
        <w:rPr>
          <w:rFonts w:eastAsiaTheme="minorHAnsi" w:cs="Times New Roman"/>
          <w:color w:val="000000"/>
          <w:lang w:eastAsia="en-US"/>
        </w:rPr>
        <w:t>Beneficjent</w:t>
      </w:r>
      <w:r w:rsidR="00EA5681" w:rsidRPr="00591148">
        <w:rPr>
          <w:rFonts w:eastAsiaTheme="minorHAnsi" w:cs="Times New Roman"/>
          <w:color w:val="000000"/>
          <w:lang w:eastAsia="en-US"/>
        </w:rPr>
        <w:t xml:space="preserve"> </w:t>
      </w:r>
      <w:r w:rsidRPr="00591148">
        <w:rPr>
          <w:rFonts w:eastAsiaTheme="minorHAnsi" w:cs="Times New Roman"/>
          <w:color w:val="000000"/>
          <w:lang w:eastAsia="en-US"/>
        </w:rPr>
        <w:t xml:space="preserve">w określonych przypadkach ma </w:t>
      </w:r>
      <w:r w:rsidR="003C6BF9" w:rsidRPr="003C6BF9">
        <w:rPr>
          <w:rFonts w:eastAsiaTheme="minorHAnsi" w:cs="Times New Roman"/>
          <w:color w:val="000000"/>
          <w:lang w:eastAsia="en-US"/>
        </w:rPr>
        <w:t>możliwość</w:t>
      </w:r>
      <w:r w:rsidR="003C6BF9">
        <w:rPr>
          <w:rFonts w:eastAsiaTheme="minorHAnsi" w:cs="Times New Roman"/>
          <w:color w:val="000000"/>
          <w:lang w:eastAsia="en-US"/>
        </w:rPr>
        <w:t>/</w:t>
      </w:r>
      <w:r w:rsidRPr="00591148">
        <w:rPr>
          <w:rFonts w:eastAsiaTheme="minorHAnsi" w:cs="Times New Roman"/>
          <w:color w:val="000000"/>
          <w:lang w:eastAsia="en-US"/>
        </w:rPr>
        <w:t>obowiązek wniesienia wkładu własnego w zadeklarowanej wysokości na pokrycie części kosztów kwalifikowa</w:t>
      </w:r>
      <w:r w:rsidR="005E2778">
        <w:rPr>
          <w:rFonts w:eastAsiaTheme="minorHAnsi" w:cs="Times New Roman"/>
          <w:color w:val="000000"/>
          <w:lang w:eastAsia="en-US"/>
        </w:rPr>
        <w:t>l</w:t>
      </w:r>
      <w:r w:rsidRPr="00591148">
        <w:rPr>
          <w:rFonts w:eastAsiaTheme="minorHAnsi" w:cs="Times New Roman"/>
          <w:color w:val="000000"/>
          <w:lang w:eastAsia="en-US"/>
        </w:rPr>
        <w:t>nych w realizowanym projekcie.</w:t>
      </w:r>
    </w:p>
    <w:p w14:paraId="53FEE703" w14:textId="54931C1B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</w:t>
      </w:r>
      <w:r w:rsidR="000F3DB6" w:rsidRPr="00591148">
        <w:rPr>
          <w:rFonts w:eastAsiaTheme="minorHAnsi" w:cs="Times New Roman"/>
          <w:color w:val="000000"/>
          <w:lang w:eastAsia="en-US"/>
        </w:rPr>
        <w:t>2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Pr="00591148">
        <w:rPr>
          <w:rFonts w:eastAsiaTheme="minorHAnsi" w:cs="Times New Roman"/>
          <w:color w:val="000000"/>
          <w:lang w:eastAsia="en-US"/>
        </w:rPr>
        <w:t xml:space="preserve">Wkład własny </w:t>
      </w:r>
      <w:r w:rsidR="00553F69">
        <w:rPr>
          <w:rFonts w:eastAsiaTheme="minorHAnsi" w:cs="Times New Roman"/>
          <w:color w:val="000000"/>
          <w:lang w:eastAsia="en-US"/>
        </w:rPr>
        <w:t>musi</w:t>
      </w:r>
      <w:r w:rsidR="00553F69" w:rsidRPr="00591148">
        <w:rPr>
          <w:rFonts w:eastAsiaTheme="minorHAnsi" w:cs="Times New Roman"/>
          <w:color w:val="000000"/>
          <w:lang w:eastAsia="en-US"/>
        </w:rPr>
        <w:t xml:space="preserve"> </w:t>
      </w:r>
      <w:r w:rsidRPr="00591148">
        <w:rPr>
          <w:rFonts w:eastAsiaTheme="minorHAnsi" w:cs="Times New Roman"/>
          <w:color w:val="000000"/>
          <w:lang w:eastAsia="en-US"/>
        </w:rPr>
        <w:t>być wniesiony w formie finansowej.</w:t>
      </w:r>
    </w:p>
    <w:p w14:paraId="0C2D558D" w14:textId="77777777" w:rsidR="00F04537" w:rsidRPr="005B140A" w:rsidRDefault="00F04537" w:rsidP="005B140A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</w:p>
    <w:p w14:paraId="1D85635E" w14:textId="77777777" w:rsidR="006B380E" w:rsidRPr="00E51F79" w:rsidRDefault="00D366AB" w:rsidP="00FF6A65">
      <w:pPr>
        <w:pStyle w:val="Cytatintensywny"/>
        <w:numPr>
          <w:ilvl w:val="0"/>
          <w:numId w:val="15"/>
        </w:numPr>
      </w:pPr>
      <w:r w:rsidRPr="00E51F79">
        <w:t xml:space="preserve">Załączniki: </w:t>
      </w:r>
    </w:p>
    <w:p w14:paraId="2141CBDE" w14:textId="5D323115" w:rsidR="00D366AB" w:rsidRPr="00E51F79" w:rsidRDefault="007A727A" w:rsidP="005D64B9">
      <w:pPr>
        <w:pStyle w:val="Default"/>
        <w:spacing w:before="120" w:after="120"/>
        <w:rPr>
          <w:rFonts w:asciiTheme="minorHAnsi" w:hAnsiTheme="minorHAnsi"/>
          <w:sz w:val="22"/>
          <w:szCs w:val="22"/>
        </w:rPr>
      </w:pPr>
      <w:r w:rsidRPr="00E51F79">
        <w:rPr>
          <w:rFonts w:asciiTheme="minorHAnsi" w:hAnsiTheme="minorHAnsi"/>
          <w:i/>
          <w:sz w:val="22"/>
          <w:szCs w:val="22"/>
        </w:rPr>
        <w:t>Załącznik nr 1</w:t>
      </w:r>
      <w:r w:rsidRPr="00E51F79">
        <w:rPr>
          <w:rFonts w:asciiTheme="minorHAnsi" w:hAnsiTheme="minorHAnsi"/>
          <w:sz w:val="22"/>
          <w:szCs w:val="22"/>
        </w:rPr>
        <w:t>.</w:t>
      </w:r>
      <w:r w:rsidR="00981608" w:rsidRPr="00E51F79">
        <w:rPr>
          <w:rFonts w:asciiTheme="minorHAnsi" w:hAnsiTheme="minorHAnsi"/>
          <w:sz w:val="22"/>
          <w:szCs w:val="22"/>
        </w:rPr>
        <w:t xml:space="preserve"> </w:t>
      </w:r>
      <w:r w:rsidR="00D366AB" w:rsidRPr="00E51F79">
        <w:rPr>
          <w:rFonts w:asciiTheme="minorHAnsi" w:hAnsiTheme="minorHAnsi"/>
          <w:b/>
          <w:sz w:val="22"/>
          <w:szCs w:val="22"/>
        </w:rPr>
        <w:t xml:space="preserve">Katalog kosztów </w:t>
      </w:r>
      <w:r w:rsidR="00D740FB" w:rsidRPr="00E51F79">
        <w:rPr>
          <w:rFonts w:asciiTheme="minorHAnsi" w:hAnsiTheme="minorHAnsi"/>
          <w:b/>
          <w:sz w:val="22"/>
          <w:szCs w:val="22"/>
        </w:rPr>
        <w:t>kwalifikowa</w:t>
      </w:r>
      <w:r w:rsidR="005E2778" w:rsidRPr="00E51F79">
        <w:rPr>
          <w:rFonts w:asciiTheme="minorHAnsi" w:hAnsiTheme="minorHAnsi"/>
          <w:b/>
          <w:sz w:val="22"/>
          <w:szCs w:val="22"/>
        </w:rPr>
        <w:t>l</w:t>
      </w:r>
      <w:r w:rsidR="00D366AB" w:rsidRPr="00E51F79">
        <w:rPr>
          <w:rFonts w:asciiTheme="minorHAnsi" w:hAnsiTheme="minorHAnsi"/>
          <w:b/>
          <w:sz w:val="22"/>
          <w:szCs w:val="22"/>
        </w:rPr>
        <w:t>nych</w:t>
      </w:r>
    </w:p>
    <w:p w14:paraId="7436B865" w14:textId="6991EC03" w:rsidR="00D366AB" w:rsidRPr="00E51F79" w:rsidRDefault="007A727A" w:rsidP="005D64B9">
      <w:pPr>
        <w:pStyle w:val="Default"/>
        <w:spacing w:before="120" w:after="120"/>
        <w:rPr>
          <w:rFonts w:asciiTheme="minorHAnsi" w:hAnsiTheme="minorHAnsi"/>
          <w:sz w:val="22"/>
          <w:szCs w:val="22"/>
        </w:rPr>
      </w:pPr>
      <w:r w:rsidRPr="00E51F79">
        <w:rPr>
          <w:rFonts w:asciiTheme="minorHAnsi" w:hAnsiTheme="minorHAnsi"/>
          <w:i/>
          <w:sz w:val="22"/>
          <w:szCs w:val="22"/>
        </w:rPr>
        <w:t>Załącznik nr 2</w:t>
      </w:r>
      <w:r w:rsidRPr="00E51F79">
        <w:rPr>
          <w:rFonts w:asciiTheme="minorHAnsi" w:hAnsiTheme="minorHAnsi"/>
          <w:sz w:val="22"/>
          <w:szCs w:val="22"/>
        </w:rPr>
        <w:t>.</w:t>
      </w:r>
      <w:r w:rsidR="00981608" w:rsidRPr="00E51F79">
        <w:rPr>
          <w:rFonts w:asciiTheme="minorHAnsi" w:hAnsiTheme="minorHAnsi"/>
          <w:sz w:val="22"/>
          <w:szCs w:val="22"/>
        </w:rPr>
        <w:t xml:space="preserve"> </w:t>
      </w:r>
      <w:r w:rsidR="00D740FB" w:rsidRPr="00E51F79">
        <w:rPr>
          <w:rFonts w:asciiTheme="minorHAnsi" w:hAnsiTheme="minorHAnsi"/>
          <w:b/>
          <w:sz w:val="22"/>
          <w:szCs w:val="22"/>
        </w:rPr>
        <w:t>Katalog kosztów niekwalifikowa</w:t>
      </w:r>
      <w:r w:rsidR="005E2778" w:rsidRPr="00E51F79">
        <w:rPr>
          <w:rFonts w:asciiTheme="minorHAnsi" w:hAnsiTheme="minorHAnsi"/>
          <w:b/>
          <w:sz w:val="22"/>
          <w:szCs w:val="22"/>
        </w:rPr>
        <w:t>l</w:t>
      </w:r>
      <w:r w:rsidR="00D366AB" w:rsidRPr="00E51F79">
        <w:rPr>
          <w:rFonts w:asciiTheme="minorHAnsi" w:hAnsiTheme="minorHAnsi"/>
          <w:b/>
          <w:sz w:val="22"/>
          <w:szCs w:val="22"/>
        </w:rPr>
        <w:t>nych</w:t>
      </w:r>
    </w:p>
    <w:p w14:paraId="4E1FEB04" w14:textId="770A3293" w:rsidR="005135BC" w:rsidRPr="00A00841" w:rsidRDefault="004249E3" w:rsidP="00E51F79">
      <w:pPr>
        <w:spacing w:before="120" w:after="120" w:line="240" w:lineRule="auto"/>
        <w:rPr>
          <w:rFonts w:cs="Times New Roman"/>
          <w:i/>
          <w:color w:val="000000"/>
        </w:rPr>
      </w:pPr>
      <w:r w:rsidRPr="00E51F79">
        <w:rPr>
          <w:rFonts w:cs="Times New Roman"/>
          <w:i/>
        </w:rPr>
        <w:t xml:space="preserve">Załącznik nr </w:t>
      </w:r>
      <w:r w:rsidR="008737AE" w:rsidRPr="00E51F79">
        <w:rPr>
          <w:rFonts w:cs="Times New Roman"/>
          <w:i/>
        </w:rPr>
        <w:t>3</w:t>
      </w:r>
      <w:r w:rsidRPr="00E51F79">
        <w:rPr>
          <w:rFonts w:cs="Times New Roman"/>
        </w:rPr>
        <w:t>.</w:t>
      </w:r>
      <w:r w:rsidRPr="00E51F79">
        <w:rPr>
          <w:rFonts w:cs="Times New Roman"/>
          <w:b/>
        </w:rPr>
        <w:t xml:space="preserve"> </w:t>
      </w:r>
      <w:r w:rsidR="005135BC" w:rsidRPr="00E51F79">
        <w:rPr>
          <w:rFonts w:cs="Times New Roman"/>
          <w:b/>
          <w:color w:val="000000"/>
        </w:rPr>
        <w:t>Sposób i tryb przeprowadzania audytu zewnętrznego wydatkowania środków finansowych na projekty, w których całkowita wartość dofinansowania przekracza 3 000 000 zł</w:t>
      </w:r>
    </w:p>
    <w:p w14:paraId="0D89FD38" w14:textId="3F546318" w:rsidR="00C70D47" w:rsidRPr="005A3897" w:rsidRDefault="00C70D47" w:rsidP="005D64B9">
      <w:pPr>
        <w:spacing w:before="120" w:after="120" w:line="240" w:lineRule="auto"/>
        <w:rPr>
          <w:rFonts w:cs="Times New Roman"/>
          <w:b/>
        </w:rPr>
      </w:pPr>
    </w:p>
    <w:p w14:paraId="01C4029F" w14:textId="2C26559E" w:rsidR="00AF4B67" w:rsidRDefault="00F533A4" w:rsidP="00640B28">
      <w:pPr>
        <w:pStyle w:val="Default"/>
        <w:spacing w:before="120" w:after="120"/>
        <w:jc w:val="both"/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</w:pPr>
      <w:r w:rsidRPr="005D64B9">
        <w:rPr>
          <w:rFonts w:asciiTheme="minorHAnsi" w:hAnsiTheme="minorHAnsi"/>
          <w:i/>
          <w:sz w:val="28"/>
          <w:szCs w:val="28"/>
          <w:u w:val="single"/>
        </w:rPr>
        <w:t>Załącznik</w:t>
      </w:r>
      <w:r w:rsidR="009117CB" w:rsidRPr="005D64B9">
        <w:rPr>
          <w:rFonts w:asciiTheme="minorHAnsi" w:hAnsiTheme="minorHAnsi"/>
          <w:i/>
          <w:sz w:val="28"/>
          <w:szCs w:val="28"/>
          <w:u w:val="single"/>
        </w:rPr>
        <w:t xml:space="preserve"> nr 1</w:t>
      </w:r>
      <w:r w:rsidR="009117CB" w:rsidRPr="005D64B9">
        <w:rPr>
          <w:rFonts w:asciiTheme="minorHAnsi" w:hAnsiTheme="minorHAnsi"/>
          <w:i/>
          <w:sz w:val="28"/>
          <w:szCs w:val="28"/>
        </w:rPr>
        <w:t>.</w:t>
      </w:r>
      <w:r w:rsidR="00AF4B67" w:rsidRPr="005D64B9">
        <w:rPr>
          <w:rFonts w:asciiTheme="minorHAnsi" w:hAnsiTheme="minorHAnsi"/>
          <w:i/>
          <w:sz w:val="28"/>
          <w:szCs w:val="28"/>
        </w:rPr>
        <w:t xml:space="preserve"> </w:t>
      </w:r>
      <w:r w:rsidR="00D740FB" w:rsidRPr="004E3FD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Katalog kosztów kwalifikowa</w:t>
      </w:r>
      <w:r w:rsidR="005E277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l</w:t>
      </w:r>
      <w:r w:rsidR="009117CB" w:rsidRPr="004E3FD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nych</w:t>
      </w:r>
    </w:p>
    <w:p w14:paraId="6AC871D3" w14:textId="282A1AEF" w:rsidR="00453E5C" w:rsidRPr="00453E5C" w:rsidRDefault="00453E5C" w:rsidP="00453E5C">
      <w:pPr>
        <w:pStyle w:val="Default"/>
        <w:spacing w:before="120" w:after="120"/>
        <w:jc w:val="both"/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</w:pPr>
      <w:r w:rsidRPr="00453E5C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1.</w:t>
      </w:r>
      <w:r w:rsidRPr="00453E5C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ab/>
        <w:t>Katalog kosztów kwalifikowalnych w ramach przemysłowych oraz prac rozwojowych</w:t>
      </w:r>
    </w:p>
    <w:p w14:paraId="55AF46E5" w14:textId="72580762" w:rsidR="00453E5C" w:rsidRDefault="00453E5C" w:rsidP="00453E5C">
      <w:pPr>
        <w:pStyle w:val="Default"/>
        <w:spacing w:before="120" w:after="120"/>
        <w:jc w:val="both"/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</w:pPr>
      <w:r w:rsidRPr="00453E5C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Na koszty kwalifikowalne badań, przemysłowych oraz prac rozwojowych projektu składają się poniższe kategorie kosztów:</w:t>
      </w:r>
    </w:p>
    <w:p w14:paraId="0C1C1362" w14:textId="44199A3E" w:rsidR="00651854" w:rsidRDefault="00651854" w:rsidP="00640B28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A646E4" w:rsidRPr="008C39A5" w14:paraId="59F51FFC" w14:textId="77777777" w:rsidTr="00A40519">
        <w:trPr>
          <w:trHeight w:val="927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000000" w:fill="B6DDE8" w:themeFill="accent5" w:themeFillTint="66"/>
            <w:noWrap/>
            <w:vAlign w:val="center"/>
            <w:hideMark/>
          </w:tcPr>
          <w:p w14:paraId="7E5D3CDF" w14:textId="77777777" w:rsidR="00A646E4" w:rsidRPr="008C39A5" w:rsidRDefault="00A646E4" w:rsidP="00A40519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W - Koszty wynagrodzeń</w:t>
            </w:r>
          </w:p>
        </w:tc>
      </w:tr>
      <w:tr w:rsidR="00A646E4" w:rsidRPr="008C39A5" w14:paraId="1D074B9E" w14:textId="77777777" w:rsidTr="00500A8C">
        <w:trPr>
          <w:trHeight w:val="1230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</w:tcPr>
          <w:p w14:paraId="7D8972D5" w14:textId="515CEC49" w:rsidR="00A646E4" w:rsidRPr="00F37AFC" w:rsidRDefault="00A646E4" w:rsidP="00A4051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W ramach kategorii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 xml:space="preserve">ne są </w:t>
            </w:r>
            <w:r w:rsidRPr="00E90BAC">
              <w:rPr>
                <w:rFonts w:eastAsia="Times New Roman" w:cstheme="minorHAnsi"/>
                <w:b/>
                <w:iCs/>
                <w:sz w:val="24"/>
                <w:szCs w:val="24"/>
              </w:rPr>
              <w:t>koszty wynagrodzeń wraz z pozapłacowymi kosztami pracy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, w tym składkami na ubezpieczenia społeczne i zdrowotne</w:t>
            </w:r>
            <w:r w:rsidRPr="00102897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Pr="00102897">
              <w:rPr>
                <w:rFonts w:eastAsia="Times New Roman" w:cstheme="minorHAnsi"/>
                <w:b/>
                <w:iCs/>
                <w:sz w:val="24"/>
                <w:szCs w:val="24"/>
              </w:rPr>
              <w:t>osób zatrudnionych</w:t>
            </w:r>
            <w:r w:rsidRPr="00102897">
              <w:rPr>
                <w:rFonts w:eastAsia="Times New Roman" w:cstheme="minorHAnsi"/>
                <w:b/>
                <w:iCs/>
                <w:sz w:val="24"/>
                <w:szCs w:val="24"/>
              </w:rPr>
              <w:br/>
              <w:t>przy realizacji projektu</w:t>
            </w:r>
            <w:r w:rsidR="0072693A" w:rsidRPr="00102897">
              <w:t xml:space="preserve"> -</w:t>
            </w:r>
            <w:r w:rsidR="006630E9">
              <w:t xml:space="preserve"> </w:t>
            </w:r>
            <w:r w:rsidR="0072693A" w:rsidRPr="0072693A">
              <w:rPr>
                <w:rFonts w:eastAsia="Times New Roman" w:cstheme="minorHAnsi"/>
                <w:b/>
                <w:iCs/>
                <w:sz w:val="24"/>
                <w:szCs w:val="24"/>
              </w:rPr>
              <w:t>pracownicy badawczy, personel techniczny i pomocniczy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, w części, w jakiej wynagrodzenia te są bezp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ośrednio związane z 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realizacją projektu objętego dofinansowaniem.</w:t>
            </w:r>
          </w:p>
        </w:tc>
      </w:tr>
      <w:tr w:rsidR="00A646E4" w:rsidRPr="008C39A5" w14:paraId="03617C26" w14:textId="77777777" w:rsidTr="00A40519">
        <w:trPr>
          <w:trHeight w:val="66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14:paraId="69DC25E5" w14:textId="77777777" w:rsidR="00997C78" w:rsidRDefault="00997C78" w:rsidP="00A40519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14:paraId="3BECB827" w14:textId="77777777" w:rsidR="00A646E4" w:rsidRPr="00FE7A28" w:rsidRDefault="00A646E4" w:rsidP="00A40519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Dokumentowanie pracy wykonanej na rzecz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projektu</w:t>
            </w:r>
          </w:p>
        </w:tc>
      </w:tr>
      <w:tr w:rsidR="00A646E4" w:rsidRPr="008C39A5" w14:paraId="1D77D72B" w14:textId="77777777" w:rsidTr="00A40519">
        <w:trPr>
          <w:trHeight w:val="69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4DE47853" w14:textId="77777777" w:rsidR="00A646E4" w:rsidRPr="008C39A5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w przypadku umowy o pracę – lista płac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</w:p>
          <w:p w14:paraId="50E8DCAC" w14:textId="77777777" w:rsidR="00A646E4" w:rsidRPr="008C39A5" w:rsidRDefault="00A646E4" w:rsidP="00A40519">
            <w:pPr>
              <w:pStyle w:val="Akapitzlist"/>
              <w:tabs>
                <w:tab w:val="left" w:pos="8789"/>
              </w:tabs>
              <w:spacing w:after="0"/>
              <w:ind w:left="851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Jeżeli dany pra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cownik nie jest zaangażowany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rojekt w wymiarze pełnego etatu, określenie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nej części wynagrod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zenia dokonuje się na podstawie:</w:t>
            </w:r>
          </w:p>
          <w:p w14:paraId="10668821" w14:textId="33485DF7" w:rsidR="00A646E4" w:rsidRDefault="00A646E4" w:rsidP="00A40519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134" w:right="423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>oddelegowania pracownika do projektu w częściowym wymiarze etatu, ze wskazaniem zakresu obowiązków w ramach projektu (najbardziej optymalne rozwiązanie)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7A498D64" w14:textId="50C1552D" w:rsidR="00C87692" w:rsidRDefault="00C87692" w:rsidP="00C87692">
            <w:pPr>
              <w:pStyle w:val="Akapitzlist"/>
              <w:tabs>
                <w:tab w:val="left" w:pos="8789"/>
              </w:tabs>
              <w:spacing w:after="0"/>
              <w:ind w:left="1134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albo</w:t>
            </w:r>
          </w:p>
          <w:p w14:paraId="48812511" w14:textId="755DF81F" w:rsidR="00A646E4" w:rsidRPr="00406A0E" w:rsidRDefault="00A646E4" w:rsidP="00225E06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054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b/>
                <w:iCs/>
                <w:sz w:val="24"/>
                <w:szCs w:val="24"/>
              </w:rPr>
              <w:t>karta czasu pracy</w:t>
            </w: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 xml:space="preserve"> z opisem wykonywanych zadań  - dla osób, które pracują nieregularnie na rzecz projektu objętego dofinansowaniem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="00DF2708" w:rsidRPr="00DF2708">
              <w:rPr>
                <w:rFonts w:eastAsia="Times New Roman" w:cstheme="minorHAnsi"/>
                <w:iCs/>
                <w:sz w:val="24"/>
                <w:szCs w:val="24"/>
              </w:rPr>
              <w:t xml:space="preserve">np. 1 miesiąc = 2 godziny pracy na rzecz projektu </w:t>
            </w:r>
            <w:r w:rsidR="00225E06">
              <w:rPr>
                <w:rFonts w:eastAsia="Times New Roman" w:cstheme="minorHAnsi"/>
                <w:iCs/>
                <w:sz w:val="24"/>
                <w:szCs w:val="24"/>
              </w:rPr>
              <w:t xml:space="preserve">wykazane w karcie czasu pracy, </w:t>
            </w:r>
            <w:r w:rsidR="00DF2708" w:rsidRPr="00DF2708">
              <w:rPr>
                <w:rFonts w:eastAsia="Times New Roman" w:cstheme="minorHAnsi"/>
                <w:iCs/>
                <w:sz w:val="24"/>
                <w:szCs w:val="24"/>
              </w:rPr>
              <w:t>kolejny miesiąc = 5 godzin pracy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A646E4" w:rsidRPr="008C39A5" w14:paraId="4F3326CC" w14:textId="77777777" w:rsidTr="00A40519">
        <w:trPr>
          <w:trHeight w:val="34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98645DE" w14:textId="77777777" w:rsidR="00A646E4" w:rsidRPr="008C39A5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zlecenia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</w:tr>
      <w:tr w:rsidR="00A646E4" w:rsidRPr="008C39A5" w14:paraId="467AA7D1" w14:textId="77777777" w:rsidTr="00A40519">
        <w:trPr>
          <w:trHeight w:val="36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78642F15" w14:textId="77777777" w:rsidR="00A646E4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o dzieło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odbioru.</w:t>
            </w:r>
          </w:p>
          <w:p w14:paraId="366F23B4" w14:textId="5B55067A" w:rsidR="00A646E4" w:rsidRPr="008C632A" w:rsidRDefault="00A646E4" w:rsidP="007A0AA6">
            <w:pPr>
              <w:pStyle w:val="Akapitzlist"/>
              <w:spacing w:after="0" w:line="240" w:lineRule="auto"/>
              <w:ind w:left="851" w:right="70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0B97998" w14:textId="77777777" w:rsidR="00A646E4" w:rsidRPr="008C39A5" w:rsidRDefault="00A646E4" w:rsidP="00A40519">
            <w:pPr>
              <w:pStyle w:val="Akapitzlist"/>
              <w:tabs>
                <w:tab w:val="left" w:pos="8789"/>
              </w:tabs>
              <w:spacing w:after="0"/>
              <w:ind w:left="1145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A646E4" w:rsidRPr="008C39A5" w14:paraId="043E79BE" w14:textId="77777777" w:rsidTr="00A40519">
        <w:trPr>
          <w:trHeight w:val="63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6A84D078" w14:textId="77777777" w:rsidR="00A646E4" w:rsidRPr="008C39A5" w:rsidRDefault="00A646E4" w:rsidP="00A40519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Koszt kwalifikowa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l</w:t>
            </w: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ny stanowią poniższe składniki płacowe i pozapłacowe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 wynagrodzenia personelu, proporcjonalnie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do zaangażowania pracownika w 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rojekcie: </w:t>
            </w:r>
          </w:p>
        </w:tc>
      </w:tr>
      <w:tr w:rsidR="00A646E4" w:rsidRPr="008C39A5" w14:paraId="327E0FD4" w14:textId="77777777" w:rsidTr="00A40519">
        <w:trPr>
          <w:trHeight w:val="39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6BD121F2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zasadnicze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51103C65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pracodawcy, w tym:</w:t>
            </w:r>
          </w:p>
          <w:p w14:paraId="76E9D5B7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emerytalna</w:t>
            </w:r>
          </w:p>
          <w:p w14:paraId="03B8C452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rentowa</w:t>
            </w:r>
          </w:p>
          <w:p w14:paraId="6250348F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wypadkowa</w:t>
            </w:r>
          </w:p>
          <w:p w14:paraId="39FD49AF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Gwarantowanych Świadczeń Pracowniczych</w:t>
            </w:r>
          </w:p>
          <w:p w14:paraId="4500A274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Pracy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44651ADA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pracownika, w tym:</w:t>
            </w:r>
          </w:p>
          <w:p w14:paraId="75C3E772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emerytalne</w:t>
            </w:r>
          </w:p>
          <w:p w14:paraId="779300D7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rentowe</w:t>
            </w:r>
          </w:p>
          <w:p w14:paraId="5D941ED5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chorobowe</w:t>
            </w:r>
          </w:p>
          <w:p w14:paraId="166FAC6B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423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zdrowotna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553652F2" w14:textId="77777777" w:rsidR="00A646E4" w:rsidRPr="008C39A5" w:rsidRDefault="00A646E4" w:rsidP="00A40519">
            <w:pPr>
              <w:pStyle w:val="Akapitzlist"/>
              <w:numPr>
                <w:ilvl w:val="0"/>
                <w:numId w:val="9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zaliczka na podatek dochodowy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2018F218" w14:textId="77777777" w:rsidR="00A646E4" w:rsidRPr="00AF31A7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nagrody/premie/dodatki</w:t>
            </w:r>
            <w:r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1"/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w tym premie uznaniowe, premie okresowe i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 jednorazowe, które: (i) zostały przewidziane w regulaminie pracy lub regulaminie wynagradzania danej instytucji, (ii) zostały przyznane zgodnie z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obowiązującymi zasadami wynagradzania oraz (iii) obejmują wszystkich pracowników danej instytucji. W przypadku premii okresowych wysokość kosztu kwalifikowalnego powinna odpowiadać stosunkowi 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okresu, w jakim dany pracownik b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ył zatrudniony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rojekcie do okresu, za jaki przyznawana jest premia;</w:t>
            </w:r>
          </w:p>
          <w:p w14:paraId="780C56EF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czas niezdolności do pracy, zgodnie z obowiązującymi przepisami w zakresie ubezpieczeń społecznych;</w:t>
            </w:r>
          </w:p>
          <w:p w14:paraId="0C701553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okres urlopu wypoczynkowego;</w:t>
            </w:r>
          </w:p>
          <w:p w14:paraId="42EEC66D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 xml:space="preserve">dodatek stażowy; </w:t>
            </w:r>
          </w:p>
          <w:p w14:paraId="5D3F230E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 xml:space="preserve">odpisy na Zakładowy </w:t>
            </w:r>
            <w:r>
              <w:rPr>
                <w:rFonts w:eastAsia="Times New Roman" w:cstheme="minorHAnsi"/>
                <w:sz w:val="24"/>
                <w:szCs w:val="24"/>
              </w:rPr>
              <w:t>Fundusz Świadczeń Socjalnych, jeśli jednostka ma prawną możliwość naliczenia odpisów ZFŚS;</w:t>
            </w:r>
          </w:p>
          <w:p w14:paraId="5A30B9A9" w14:textId="77777777" w:rsidR="00A646E4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dodatek funkcyjny za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 xml:space="preserve"> sprawowanie stanowiska kierowniczego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wypłacany w stałej wysokości, 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o ile dotycz</w:t>
            </w:r>
            <w:r>
              <w:rPr>
                <w:rFonts w:eastAsia="Times New Roman" w:cstheme="minorHAnsi"/>
                <w:sz w:val="24"/>
                <w:szCs w:val="24"/>
              </w:rPr>
              <w:t>y funkcji sprawowanej w ramach p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rojektu;</w:t>
            </w:r>
          </w:p>
          <w:p w14:paraId="370C7EC3" w14:textId="0A0F4C9E" w:rsidR="00695FFB" w:rsidRPr="008C39A5" w:rsidRDefault="00695FFB" w:rsidP="00695FFB">
            <w:pPr>
              <w:pStyle w:val="Akapitzlist"/>
              <w:numPr>
                <w:ilvl w:val="0"/>
                <w:numId w:val="4"/>
              </w:numPr>
              <w:spacing w:after="0"/>
              <w:ind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95FFB">
              <w:rPr>
                <w:rFonts w:eastAsia="Times New Roman" w:cstheme="minorHAnsi"/>
                <w:sz w:val="24"/>
                <w:szCs w:val="24"/>
              </w:rPr>
              <w:t>składka na Pracownicze Plany Kapitałowe</w:t>
            </w:r>
            <w:r w:rsidR="00553EA6">
              <w:rPr>
                <w:rFonts w:eastAsia="Times New Roman" w:cstheme="minorHAnsi"/>
                <w:sz w:val="24"/>
                <w:szCs w:val="24"/>
              </w:rPr>
              <w:t>,</w:t>
            </w:r>
            <w:r w:rsidRPr="00695FFB">
              <w:rPr>
                <w:rFonts w:eastAsia="Times New Roman" w:cstheme="minorHAnsi"/>
                <w:sz w:val="24"/>
                <w:szCs w:val="24"/>
              </w:rPr>
              <w:t xml:space="preserve"> o ile stanowi element wynagrodzenia.</w:t>
            </w:r>
          </w:p>
          <w:p w14:paraId="1A4F5F9D" w14:textId="2DB81640" w:rsidR="00A646E4" w:rsidRPr="008C39A5" w:rsidRDefault="00A646E4" w:rsidP="009C495A">
            <w:pPr>
              <w:pStyle w:val="Akapitzlist"/>
              <w:spacing w:after="0"/>
              <w:ind w:left="1139"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7CD27FCE" w14:textId="77777777" w:rsidR="00A646E4" w:rsidRPr="00C5445B" w:rsidRDefault="00A646E4" w:rsidP="009C495A">
            <w:pPr>
              <w:pStyle w:val="Akapitzlist"/>
              <w:spacing w:after="0"/>
              <w:ind w:left="1139"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46E4" w:rsidRPr="008C39A5" w14:paraId="5106BF2E" w14:textId="77777777" w:rsidTr="00A40519">
        <w:trPr>
          <w:trHeight w:val="499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118FB45B" w14:textId="77777777" w:rsidR="00A646E4" w:rsidRPr="008C39A5" w:rsidRDefault="00A646E4" w:rsidP="00A40519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 xml:space="preserve">E - </w:t>
            </w: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Koszty podwykonawstwa</w:t>
            </w:r>
          </w:p>
        </w:tc>
      </w:tr>
      <w:tr w:rsidR="00A646E4" w:rsidRPr="003E21AD" w14:paraId="750EE2A8" w14:textId="77777777" w:rsidTr="0089438F">
        <w:trPr>
          <w:trHeight w:val="419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7A18CCA8" w14:textId="71368011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Koszty podwykonawstwa, rozumianego jako </w:t>
            </w:r>
            <w:r w:rsidRPr="003E21AD">
              <w:rPr>
                <w:rFonts w:eastAsia="Times New Roman" w:cstheme="minorHAnsi"/>
                <w:b/>
                <w:iCs/>
                <w:sz w:val="24"/>
                <w:szCs w:val="24"/>
              </w:rPr>
              <w:t>zlecanie stronie trzeciej części merytorycznych prac projektu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, które nie są wykonywane na terenie i pod bezpośrednim nadzorem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="00CF61B5">
              <w:rPr>
                <w:rFonts w:eastAsia="Times New Roman" w:cstheme="minorHAnsi"/>
                <w:i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2C744382" w14:textId="77777777" w:rsidR="000B6BBF" w:rsidRPr="00A646E4" w:rsidRDefault="000B6BBF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473E094" w14:textId="77777777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>Za podwykonawstwo nie uznaje się czynności pomocniczych, niezbędnych do wykonania zadań projektowych takich jak usługi prawne lub księgowe.</w:t>
            </w:r>
          </w:p>
          <w:p w14:paraId="6C7B35C6" w14:textId="77777777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DCAECFB" w14:textId="2508FF69" w:rsidR="00A646E4" w:rsidRDefault="005D1CF3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5D1CF3">
              <w:rPr>
                <w:rFonts w:eastAsia="Times New Roman" w:cstheme="minorHAnsi"/>
                <w:iCs/>
                <w:sz w:val="24"/>
                <w:szCs w:val="24"/>
              </w:rPr>
              <w:t xml:space="preserve">Koszty kategorii E uznaje się do wysokości </w:t>
            </w:r>
            <w:r w:rsidR="00DA6D2B">
              <w:rPr>
                <w:rFonts w:eastAsia="Times New Roman" w:cstheme="minorHAnsi"/>
                <w:iCs/>
                <w:sz w:val="24"/>
                <w:szCs w:val="24"/>
              </w:rPr>
              <w:t>1</w:t>
            </w:r>
            <w:r w:rsidRPr="005D1CF3">
              <w:rPr>
                <w:rFonts w:eastAsia="Times New Roman" w:cstheme="minorHAnsi"/>
                <w:iCs/>
                <w:sz w:val="24"/>
                <w:szCs w:val="24"/>
              </w:rPr>
              <w:t>0% całkowitych kosztów kwalifikowalnych.</w:t>
            </w:r>
          </w:p>
          <w:p w14:paraId="7FC45317" w14:textId="77777777" w:rsidR="0080610C" w:rsidRDefault="0080610C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CF2435B" w14:textId="45EE49C2" w:rsidR="00A646E4" w:rsidRPr="00102897" w:rsidRDefault="00570B7A" w:rsidP="0080610C">
            <w:pPr>
              <w:spacing w:after="0" w:line="240" w:lineRule="auto"/>
              <w:ind w:left="420" w:right="70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0610C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593D91" w:rsidRPr="008C39A5" w14:paraId="7A9C2922" w14:textId="77777777" w:rsidTr="003233D5">
        <w:trPr>
          <w:trHeight w:val="666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57A546DB" w14:textId="6F1ADCC1" w:rsidR="00593D91" w:rsidRPr="008C39A5" w:rsidRDefault="00593D91" w:rsidP="000F3FF4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Op</w:t>
            </w:r>
            <w:proofErr w:type="spellEnd"/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="00B8756D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Pozostałe</w:t>
            </w:r>
            <w:r w:rsidR="00B8756D"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koszty </w:t>
            </w:r>
            <w:r w:rsidR="000F3FF4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bezpośrednie</w:t>
            </w:r>
          </w:p>
        </w:tc>
      </w:tr>
      <w:tr w:rsidR="00593D91" w:rsidRPr="008C39A5" w14:paraId="5931117A" w14:textId="77777777" w:rsidTr="000F3DB6">
        <w:trPr>
          <w:trHeight w:val="465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  <w:hideMark/>
          </w:tcPr>
          <w:p w14:paraId="53E2EB92" w14:textId="3F600F57" w:rsidR="00BE4FB4" w:rsidRPr="009C495A" w:rsidRDefault="00BE4FB4" w:rsidP="003233D5">
            <w:pPr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803C236" w14:textId="68B1AB8F" w:rsidR="00B8756D" w:rsidRPr="009C495A" w:rsidRDefault="00B8756D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634" w:right="709" w:hanging="425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Koszty aparatury naukowo-badawczej i </w:t>
            </w:r>
            <w:proofErr w:type="spellStart"/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WNiP</w:t>
            </w:r>
            <w:proofErr w:type="spellEnd"/>
            <w:r w:rsidR="00C50FE8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 </w:t>
            </w:r>
          </w:p>
          <w:p w14:paraId="4549E0DF" w14:textId="77777777" w:rsidR="00B8756D" w:rsidRPr="009C495A" w:rsidRDefault="00B8756D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E36762F" w14:textId="77777777" w:rsidR="00B8756D" w:rsidRPr="009C495A" w:rsidRDefault="00B8756D" w:rsidP="00B8756D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ramach tej kategorii kwalifikowalne są:</w:t>
            </w:r>
          </w:p>
          <w:p w14:paraId="7A60B127" w14:textId="33757E60" w:rsidR="00B8756D" w:rsidRPr="009C495A" w:rsidRDefault="00B8756D" w:rsidP="009C495A">
            <w:pPr>
              <w:pStyle w:val="Akapitzlist"/>
              <w:numPr>
                <w:ilvl w:val="0"/>
                <w:numId w:val="37"/>
              </w:numPr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aparatury naukowo-badawczej i innych urządzeń służących celom badawczym</w:t>
            </w:r>
            <w:r w:rsidR="00F1234C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3E4499C3" w14:textId="5B290E18" w:rsidR="00B8756D" w:rsidRPr="009C495A" w:rsidRDefault="00B8756D" w:rsidP="003B10B4">
            <w:pPr>
              <w:pStyle w:val="Akapitzlist"/>
              <w:numPr>
                <w:ilvl w:val="0"/>
                <w:numId w:val="37"/>
              </w:numPr>
              <w:spacing w:after="80" w:line="240" w:lineRule="auto"/>
              <w:ind w:right="709" w:hanging="522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wiedzy technicznej i patentów zakupionych lub użytkowanych na podstawie licencji, uzyskanych od osób trzecich na warunkach rynkowych tj. Wartości niematerialnych i prawnych (</w:t>
            </w:r>
            <w:proofErr w:type="spellStart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WNiP</w:t>
            </w:r>
            <w:proofErr w:type="spellEnd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) w formie patentów, licencji, know-how i nieopatentowanej wiedzy technicznej. Jeżeli zakupione wartości niematerialne i prawne (</w:t>
            </w:r>
            <w:proofErr w:type="spellStart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WNiP</w:t>
            </w:r>
            <w:proofErr w:type="spellEnd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) nie są wykorzystywane w 100% na potrzeby projektu i/lub ich całkowity okres dokonywania odpisów amortyzacyjnych nie pokrywa się </w:t>
            </w:r>
            <w:r w:rsidR="00F1234C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z okresem realizacji projektu, kosztem kwalifikowalnym są odpisy amortyzacyjne z tytułu spadku wartości danej </w:t>
            </w:r>
            <w:proofErr w:type="spellStart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WNiP</w:t>
            </w:r>
            <w:proofErr w:type="spellEnd"/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  <w:p w14:paraId="76DB07B0" w14:textId="77777777" w:rsidR="00E833FE" w:rsidRPr="009C495A" w:rsidRDefault="00E833FE" w:rsidP="009C495A">
            <w:pPr>
              <w:pStyle w:val="Akapitzlist"/>
              <w:spacing w:after="80" w:line="240" w:lineRule="auto"/>
              <w:ind w:left="1440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360F1F7B" w14:textId="22AA8A14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W przypadku aparatury naukowo-badawczej kwalifikowalne są: </w:t>
            </w:r>
          </w:p>
          <w:p w14:paraId="7D37751E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394EC05" w14:textId="7C603889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1/ Koszt zakupu </w:t>
            </w:r>
          </w:p>
          <w:p w14:paraId="132F59DB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A96D87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 zakupu lub wytworzenia aparatury/urządzeń służących celom badawczym będzie kosztem kwalifikowalnym projektu jeżeli koszt ten dotyczy środka, który jest niezbędny do prawidłowej realizacji projektu i jest bezpośrednio wykorzystywany do jego realizacji oraz będą spełnione łącznie następujące warunki:</w:t>
            </w:r>
          </w:p>
          <w:p w14:paraId="27FAFFA9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32EB33C" w14:textId="77777777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9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wartość aparatury, infrastruktury informatycznej lub innego urządzenia (sprzętu) nie przekracza 500 000 zł,</w:t>
            </w:r>
          </w:p>
          <w:p w14:paraId="119EF185" w14:textId="77777777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9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 części Uzasadnienie „Wniosku o dofinansowanie Projektu” zakup został zaplanowany i ujęty w wykazie aparatury naukowo-badawczej i innych urządzeń (sprzętu) służących celom badawczym wraz z merytorycznym uzasadnieniem,</w:t>
            </w:r>
          </w:p>
          <w:p w14:paraId="19A4444D" w14:textId="4875E264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42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</w:r>
            <w:r w:rsidR="00530B14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jednostka nie dysponuje aparaturą/środkiem trwałym</w:t>
            </w:r>
            <w:r w:rsidR="008751A6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który mógłby zostać użyty zamiennie.</w:t>
            </w:r>
          </w:p>
          <w:p w14:paraId="4DDCEE4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8CBA401" w14:textId="030F8164" w:rsidR="00B8756D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Jeżeli spełnione są wszystkie powyższe przesłanki,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wykazuje jednorazowo we wniosku o płatność wartości zakupu lub wytworzenia aparatury/urządzeń służących celom badawczym.</w:t>
            </w:r>
          </w:p>
          <w:p w14:paraId="739B7ECF" w14:textId="77777777" w:rsidR="008D17E9" w:rsidRPr="009C495A" w:rsidRDefault="008D17E9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F803D9F" w14:textId="77777777" w:rsidR="008D17E9" w:rsidRPr="009C495A" w:rsidRDefault="008D17E9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1C95DF4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2/ Amortyzacja</w:t>
            </w:r>
          </w:p>
          <w:p w14:paraId="652632A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57228C8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Odpisy amortyzacyjne z tytułu spadku wartości aparatury stanowią koszt kwalifikowalny, jeżeli spełnione są łącznie następujące warunki:</w:t>
            </w:r>
          </w:p>
          <w:p w14:paraId="363DE2C6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F31920E" w14:textId="2D4CB55A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 xml:space="preserve">aparatura jest niezbędna do prawidłowej realizacji projektu </w:t>
            </w:r>
            <w:r w:rsidR="007C766F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i bezpośrednio wykorzystywana w związku z projektem</w:t>
            </w:r>
          </w:p>
          <w:p w14:paraId="2BBD11E8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aparatura, infrastruktura informatyczna lub inne urządzenia (sprzęt), służące celom badawczym będą ewidencjonowane w rejestrze środków trwałych podmiotów dokonujących ich zakupu.</w:t>
            </w:r>
          </w:p>
          <w:p w14:paraId="0F64BDA3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6CBCD3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Kwalifikowalna wartość odpisów amortyzacyjnych odnosi się wyłącznie do okresu realizacji projektu oraz proporcji wykorzystania środka przy realizacji projektu.</w:t>
            </w:r>
          </w:p>
          <w:p w14:paraId="738C76E4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EBA06B5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Wartość rezydualna środka trwałego po zakończeniu realizacji projektu nie jest kosztem kwalifikowalnym. </w:t>
            </w:r>
          </w:p>
          <w:p w14:paraId="71A02D96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901B99F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Koszt wykorzystania aparatury, infrastruktury informatycznej lub innych urządzeń (sprzętu), których wartość przekracza 500 000 zł rozliczany może być w projekcie tylko za pomocą odpisów amortyzacyjnych.</w:t>
            </w:r>
          </w:p>
          <w:p w14:paraId="423AD26B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5A71B8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3/ Odpłatne korzystanie z aparatury naukowo-badawczej, innych urządzeń</w:t>
            </w:r>
          </w:p>
          <w:p w14:paraId="56D8D16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6E64CCF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ponoszone w ramach odpłatnego korzystania z aparatury stanowią koszty kwalifikowalne w zakresie niezbędnym i przez okres niezbędny do realizacji projektu objętego pomocą.</w:t>
            </w:r>
          </w:p>
          <w:p w14:paraId="5C1D8CB8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75FB638" w14:textId="74AC61C8" w:rsidR="00B8756D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przypadku leasingu operacyjnego kwalifikowalne są tylko raty kapitałowe (bez części odsetkowej i innych opłat) zaś w przypadku leasingu finansowego odpisy amortyzacyjne.</w:t>
            </w:r>
          </w:p>
          <w:p w14:paraId="143027ED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14:paraId="167862BA" w14:textId="5579CA59" w:rsidR="00E833FE" w:rsidRPr="009C495A" w:rsidRDefault="00865859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776" w:right="709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K</w:t>
            </w:r>
            <w:r w:rsidR="00E833FE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oszty budynków i gruntów</w:t>
            </w:r>
            <w:r w:rsidR="00C50FE8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0D79F542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E751739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budynków i gruntów kwalifikowalne są w zakresie i przez okres niezbędny do realizacji projektu; w przypadku budynków są to koszty amortyzacji odpowiadające okresowi realizacji projektu objętego pomocą, obliczone na podstawie przepisów o rachunkowości. W przypadku gruntów są to koszty transferu handlowego lub rzeczywiste poniesione koszty kapitałowe.</w:t>
            </w:r>
          </w:p>
          <w:p w14:paraId="3D08A2E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F5F20F0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ramach tej kategorii kwalifikowalne są m.in. następujące rodzaje kosztów:</w:t>
            </w:r>
          </w:p>
          <w:p w14:paraId="4F7F4B90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dzierżawa gruntów - tylko raty dzierżawne bez części odsetkowej,</w:t>
            </w:r>
          </w:p>
          <w:p w14:paraId="6182ABE0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wieczyste użytkowanie gruntów - tylko raty użytkowania wieczystego bez części odsetkowej,</w:t>
            </w:r>
          </w:p>
          <w:p w14:paraId="1AC2A1F9" w14:textId="6E222830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 xml:space="preserve">amortyzacja budynków - w przypadku, gdy wykorzystywane są także </w:t>
            </w:r>
            <w:r w:rsidR="007C766F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innych celach niż realizacja projektu kwalifikowalna jest tylko ta część odpisu amortyzacyjnego, która odpowiada proporcji wykorzystania budynków w celu realizacji projektu objętego pomocą.</w:t>
            </w:r>
          </w:p>
          <w:p w14:paraId="37CC7B64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D8C9F9F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FB0435A" w14:textId="5268A454" w:rsidR="00E833FE" w:rsidRPr="009C495A" w:rsidRDefault="00E833FE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918" w:right="709" w:hanging="567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Inne koszty operacyjne</w:t>
            </w:r>
          </w:p>
          <w:p w14:paraId="2814C1EB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374215F" w14:textId="40C0569F" w:rsidR="00593D91" w:rsidRPr="009C495A" w:rsidRDefault="00593D91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Koszty materiałów, środków eksploatacyjnych i podobnych produktów ponoszone bezpośrednio w związku z realizacją </w:t>
            </w:r>
            <w:r w:rsidR="005F19D1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merytorycznego celu </w:t>
            </w:r>
            <w:r w:rsidR="00AF4B67" w:rsidRPr="009C495A">
              <w:rPr>
                <w:rFonts w:eastAsia="Times New Roman" w:cstheme="minorHAnsi"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rojektu objętego pomocą.</w:t>
            </w:r>
          </w:p>
        </w:tc>
      </w:tr>
      <w:tr w:rsidR="00593D91" w:rsidRPr="008C39A5" w14:paraId="05EBD946" w14:textId="77777777" w:rsidTr="000F3DB6">
        <w:trPr>
          <w:trHeight w:val="45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A78589A" w14:textId="0D4AACE9" w:rsidR="000B6BBF" w:rsidRPr="009C495A" w:rsidRDefault="00593D91" w:rsidP="003233D5">
            <w:pPr>
              <w:spacing w:after="80" w:line="240" w:lineRule="auto"/>
              <w:ind w:right="708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W ramach tej kategorii kwalifikowa</w:t>
            </w:r>
            <w:r w:rsidR="005E2778" w:rsidRPr="009C495A"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ne są m.in. następujące rodzaje kosztów:</w:t>
            </w:r>
          </w:p>
        </w:tc>
      </w:tr>
      <w:tr w:rsidR="00593D91" w:rsidRPr="008C39A5" w14:paraId="2D736F15" w14:textId="77777777" w:rsidTr="000F3DB6">
        <w:trPr>
          <w:trHeight w:val="46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8381613" w14:textId="77777777" w:rsidR="00B8756D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materiały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-</w:t>
            </w:r>
            <w:r w:rsidR="00F533A4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np. surowce, </w:t>
            </w:r>
          </w:p>
          <w:p w14:paraId="43FB174A" w14:textId="3AB382D0" w:rsidR="00F533A4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półprodukty, odczynniki</w:t>
            </w:r>
            <w:r w:rsidR="00F533A4"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12B948F4" w14:textId="19BB4870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sprzęt laboratoryjny (co do zasady wszystkie zakupy niespełniające wymogu środka trwałego zgodnie z ustawą o rachunkowości oraz z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przyjęta polityką rachunkowości),</w:t>
            </w:r>
          </w:p>
          <w:p w14:paraId="69306EA9" w14:textId="77777777" w:rsidR="00F533A4" w:rsidRPr="009C495A" w:rsidRDefault="00F533A4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lastRenderedPageBreak/>
              <w:t>koszty utrzymania linii technologicznych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, instalacji doświadczalnych itp.</w:t>
            </w:r>
            <w:r w:rsidR="002C3293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w okresie i w proporcji wykorzystania w projekcie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1267A6B7" w14:textId="678B6FE3" w:rsidR="00F533A4" w:rsidRPr="009C495A" w:rsidRDefault="00593D91" w:rsidP="00B849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elementy służące do budowy i na stałe zainstalowane w prototypie, instalacji pilotażowej lub demonstracyjnej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</w:tc>
      </w:tr>
      <w:tr w:rsidR="00593D91" w:rsidRPr="008C39A5" w14:paraId="0A016FE6" w14:textId="77777777" w:rsidTr="000F3DB6">
        <w:trPr>
          <w:trHeight w:val="31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07956BD" w14:textId="77777777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usługi obce – usługi serwisowe, koszty napraw, usługi transportowe,</w:t>
            </w:r>
          </w:p>
        </w:tc>
      </w:tr>
      <w:tr w:rsidR="00593D91" w:rsidRPr="008C39A5" w14:paraId="4A9533A3" w14:textId="77777777" w:rsidTr="000F3DB6">
        <w:trPr>
          <w:trHeight w:val="126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585EDEC6" w14:textId="77777777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szkoleń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pracowników realizujących zadania badawcze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(koszt szkoleń powinien być zaplanowany we wniosku 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o </w:t>
            </w:r>
            <w:r w:rsidR="009B6DD2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dofinansowanie </w:t>
            </w:r>
            <w:r w:rsidR="002C3293" w:rsidRPr="009C495A">
              <w:rPr>
                <w:rFonts w:eastAsia="Times New Roman" w:cstheme="minorHAnsi"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rojektu oraz wynikać z uzasadnionych przesłanek (np. pojawienie się na rynku nowych, innowacyjnych rozwiązań - nowe materiały, nowe technologie, nowe techniki wykonania określonego zadania itp. - dzięki którym zadanie można będzie wykonać bardziej efektywnie, nadać mu nowe dodatkowe cechy),</w:t>
            </w:r>
          </w:p>
        </w:tc>
      </w:tr>
      <w:tr w:rsidR="00593D91" w:rsidRPr="008C39A5" w14:paraId="4220CA12" w14:textId="77777777" w:rsidTr="000F3DB6">
        <w:trPr>
          <w:trHeight w:val="31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58EAC8A8" w14:textId="3A741A44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szkoleń związanych z obsługą zakupio</w:t>
            </w:r>
            <w:r w:rsidR="009C495A">
              <w:rPr>
                <w:rFonts w:eastAsia="Times New Roman" w:cstheme="minorHAnsi"/>
                <w:b/>
                <w:iCs/>
                <w:sz w:val="24"/>
                <w:szCs w:val="24"/>
              </w:rPr>
              <w:t>nej aparatury naukowo-badawczej</w:t>
            </w:r>
            <w:r w:rsidR="003B10B4">
              <w:rPr>
                <w:rFonts w:eastAsia="Times New Roman" w:cstheme="minorHAnsi"/>
                <w:b/>
                <w:iCs/>
                <w:sz w:val="24"/>
                <w:szCs w:val="24"/>
              </w:rPr>
              <w:t>,</w:t>
            </w:r>
          </w:p>
        </w:tc>
      </w:tr>
      <w:tr w:rsidR="00593D91" w:rsidRPr="008C39A5" w14:paraId="4EDC5D91" w14:textId="77777777" w:rsidTr="00F37AFC">
        <w:trPr>
          <w:trHeight w:val="64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A403E66" w14:textId="5137DCDD" w:rsidR="00864288" w:rsidRPr="00864288" w:rsidRDefault="00864288" w:rsidP="00864288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iCs/>
                <w:sz w:val="24"/>
                <w:szCs w:val="24"/>
              </w:rPr>
            </w:pPr>
            <w:r w:rsidRPr="00864288">
              <w:rPr>
                <w:rFonts w:eastAsia="Times New Roman" w:cstheme="minorHAnsi"/>
                <w:iCs/>
                <w:sz w:val="24"/>
                <w:szCs w:val="24"/>
              </w:rPr>
              <w:t>koszt audytu zewnętrznego, jeżeli rozpoczął się on po zrealizowaniu 50% planowych wydatków związanych z projektem,</w:t>
            </w:r>
            <w:r w:rsidR="00A35B89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400551D2" w14:textId="1A7FCC89" w:rsidR="000B6BBF" w:rsidRPr="009C495A" w:rsidRDefault="000B6BBF" w:rsidP="009C495A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9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usług doradczych i usług równorzędnych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– np. usługi brokera technologii,</w:t>
            </w:r>
          </w:p>
          <w:p w14:paraId="2E960442" w14:textId="2720BC0F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prowadzenia wyodrębnionego rachunku bankowego (prowizje i inne opłaty),</w:t>
            </w: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703B16FD" w14:textId="4C2E20F5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promocji projektu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(publikacje, koszt strony internetowej itp.),</w:t>
            </w:r>
          </w:p>
          <w:p w14:paraId="720D94B0" w14:textId="77777777" w:rsidR="00D17748" w:rsidRPr="009C495A" w:rsidRDefault="00D17748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left="1139" w:right="709" w:hanging="357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uczestnictwa w konferencjach,</w:t>
            </w:r>
          </w:p>
          <w:p w14:paraId="7C257E90" w14:textId="60C2BCDC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left="1139" w:right="709" w:hanging="357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delegacji</w:t>
            </w:r>
            <w:r w:rsidR="005D296E" w:rsidRPr="009C495A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  <w:p w14:paraId="436683D5" w14:textId="31FB6E4F" w:rsidR="00BE4FB4" w:rsidRPr="00B00811" w:rsidRDefault="00BE4FB4" w:rsidP="00DA30B9">
            <w:pPr>
              <w:tabs>
                <w:tab w:val="left" w:pos="8647"/>
              </w:tabs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30B91FBA" w14:textId="77777777" w:rsidR="00277FA5" w:rsidRDefault="00277FA5" w:rsidP="0006420C">
      <w:pPr>
        <w:jc w:val="both"/>
        <w:rPr>
          <w:rFonts w:cs="Times New Roman"/>
          <w:i/>
          <w:sz w:val="28"/>
          <w:szCs w:val="28"/>
          <w:u w:val="single"/>
        </w:rPr>
      </w:pPr>
    </w:p>
    <w:p w14:paraId="65C63466" w14:textId="28361057" w:rsidR="00453E5C" w:rsidRPr="0009404C" w:rsidRDefault="00453E5C" w:rsidP="00E51F79">
      <w:pPr>
        <w:pStyle w:val="Nagwek1"/>
        <w:rPr>
          <w:rFonts w:asciiTheme="minorHAnsi" w:hAnsiTheme="minorHAnsi"/>
          <w:sz w:val="28"/>
          <w:szCs w:val="28"/>
        </w:rPr>
      </w:pPr>
      <w:bookmarkStart w:id="0" w:name="_Toc29281576"/>
      <w:r>
        <w:rPr>
          <w:rFonts w:asciiTheme="minorHAnsi" w:hAnsiTheme="minorHAnsi"/>
          <w:sz w:val="28"/>
          <w:szCs w:val="28"/>
        </w:rPr>
        <w:t xml:space="preserve">2. </w:t>
      </w:r>
      <w:r w:rsidRPr="0009404C">
        <w:rPr>
          <w:rFonts w:asciiTheme="minorHAnsi" w:hAnsiTheme="minorHAnsi"/>
          <w:sz w:val="28"/>
          <w:szCs w:val="28"/>
        </w:rPr>
        <w:t>Katalog kosztów kwalifikowalnych prac przedwdrożeniowych</w:t>
      </w:r>
      <w:bookmarkEnd w:id="0"/>
      <w:r w:rsidRPr="0009404C">
        <w:rPr>
          <w:rFonts w:asciiTheme="minorHAnsi" w:hAnsiTheme="minorHAnsi"/>
          <w:sz w:val="28"/>
          <w:szCs w:val="28"/>
        </w:rPr>
        <w:t xml:space="preserve"> </w:t>
      </w:r>
    </w:p>
    <w:p w14:paraId="7FD52250" w14:textId="77777777" w:rsidR="00453E5C" w:rsidRPr="00450FC4" w:rsidRDefault="00453E5C" w:rsidP="00453E5C">
      <w:pPr>
        <w:pStyle w:val="Default"/>
        <w:spacing w:before="120" w:after="120"/>
        <w:jc w:val="both"/>
        <w:rPr>
          <w:b/>
          <w:color w:val="548DD4" w:themeColor="text2" w:themeTint="99"/>
          <w:sz w:val="28"/>
          <w:szCs w:val="28"/>
        </w:rPr>
      </w:pPr>
      <w:r w:rsidRPr="00450FC4">
        <w:rPr>
          <w:rFonts w:asciiTheme="minorHAnsi" w:hAnsiTheme="minorHAnsi"/>
          <w:b/>
          <w:color w:val="548DD4" w:themeColor="text2" w:themeTint="99"/>
          <w:sz w:val="28"/>
          <w:szCs w:val="28"/>
        </w:rPr>
        <w:t>Na   koszty   kwalifikowalne prac  przedwdrożeniowych  projektu składają  się  poniższe  kategorie kosztów:</w:t>
      </w:r>
    </w:p>
    <w:tbl>
      <w:tblPr>
        <w:tblStyle w:val="Tabela-Siatka"/>
        <w:tblW w:w="0" w:type="auto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32"/>
        <w:gridCol w:w="6438"/>
      </w:tblGrid>
      <w:tr w:rsidR="00453E5C" w:rsidRPr="002549DE" w14:paraId="3C566A62" w14:textId="77777777" w:rsidTr="00704DB1">
        <w:trPr>
          <w:trHeight w:val="293"/>
        </w:trPr>
        <w:tc>
          <w:tcPr>
            <w:tcW w:w="2632" w:type="dxa"/>
          </w:tcPr>
          <w:p w14:paraId="2E926188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Koszty bezpośrednie</w:t>
            </w:r>
          </w:p>
        </w:tc>
        <w:tc>
          <w:tcPr>
            <w:tcW w:w="6438" w:type="dxa"/>
          </w:tcPr>
          <w:p w14:paraId="40B46BA8" w14:textId="77777777" w:rsidR="00453E5C" w:rsidRPr="000D260B" w:rsidRDefault="00453E5C" w:rsidP="00704DB1">
            <w:pPr>
              <w:pStyle w:val="Default"/>
              <w:spacing w:before="240"/>
              <w:ind w:firstLine="459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Wynagrodzenia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(W)</w:t>
            </w:r>
          </w:p>
          <w:p w14:paraId="6492F049" w14:textId="77777777" w:rsidR="00453E5C" w:rsidRPr="000D260B" w:rsidRDefault="00453E5C" w:rsidP="00704DB1">
            <w:pPr>
              <w:pStyle w:val="Default"/>
              <w:spacing w:before="240"/>
              <w:ind w:firstLine="459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Podwykonawstwo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(E)</w:t>
            </w:r>
          </w:p>
          <w:p w14:paraId="7418FBB4" w14:textId="77777777" w:rsidR="00453E5C" w:rsidRPr="000D260B" w:rsidRDefault="00453E5C" w:rsidP="00704DB1">
            <w:pPr>
              <w:pStyle w:val="Default"/>
              <w:spacing w:before="240"/>
              <w:ind w:firstLine="459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Pozostałe koszty bezpośrednie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Op</w:t>
            </w:r>
            <w:proofErr w:type="spellEnd"/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)</w:t>
            </w: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, w tym:</w:t>
            </w:r>
          </w:p>
          <w:p w14:paraId="7D7D2AC3" w14:textId="77777777" w:rsidR="00453E5C" w:rsidRDefault="00453E5C" w:rsidP="00453E5C">
            <w:pPr>
              <w:pStyle w:val="Default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AC2AAE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koszty narzędzi i sprzętu </w:t>
            </w:r>
          </w:p>
          <w:p w14:paraId="45DE7D24" w14:textId="77777777" w:rsidR="00453E5C" w:rsidRPr="000D260B" w:rsidRDefault="00453E5C" w:rsidP="00453E5C">
            <w:pPr>
              <w:pStyle w:val="Default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</w:t>
            </w: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oszty budynków i gruntów </w:t>
            </w:r>
          </w:p>
          <w:p w14:paraId="0373A320" w14:textId="77777777" w:rsidR="00453E5C" w:rsidRPr="000D260B" w:rsidRDefault="00453E5C" w:rsidP="00453E5C">
            <w:pPr>
              <w:pStyle w:val="Default"/>
              <w:numPr>
                <w:ilvl w:val="1"/>
                <w:numId w:val="48"/>
              </w:num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inne </w:t>
            </w: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koszty operacyjne</w:t>
            </w:r>
          </w:p>
          <w:p w14:paraId="0645BC53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453E5C" w:rsidRPr="002549DE" w14:paraId="4CFA1AF0" w14:textId="77777777" w:rsidTr="00704DB1">
        <w:trPr>
          <w:trHeight w:val="442"/>
        </w:trPr>
        <w:tc>
          <w:tcPr>
            <w:tcW w:w="9070" w:type="dxa"/>
            <w:gridSpan w:val="2"/>
          </w:tcPr>
          <w:p w14:paraId="5A3C0E36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31E8438D" w14:textId="77777777" w:rsidR="00453E5C" w:rsidRDefault="00453E5C" w:rsidP="00453E5C">
      <w:pPr>
        <w:pStyle w:val="Akapitzlist"/>
        <w:ind w:left="0"/>
        <w:jc w:val="both"/>
        <w:rPr>
          <w:rFonts w:cs="Times New Roman"/>
          <w:b/>
          <w:sz w:val="28"/>
          <w:szCs w:val="28"/>
          <w:u w:val="single"/>
        </w:rPr>
      </w:pPr>
    </w:p>
    <w:p w14:paraId="3674544F" w14:textId="77777777" w:rsidR="00453E5C" w:rsidRPr="0009404C" w:rsidRDefault="00453E5C" w:rsidP="00453E5C">
      <w:pPr>
        <w:pStyle w:val="Akapitzlist"/>
        <w:ind w:left="0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53E5C" w:rsidRPr="008C39A5" w14:paraId="6DEF3427" w14:textId="77777777" w:rsidTr="00704DB1">
        <w:trPr>
          <w:trHeight w:val="927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000000" w:fill="B6DDE8" w:themeFill="accent5" w:themeFillTint="66"/>
            <w:noWrap/>
            <w:vAlign w:val="center"/>
            <w:hideMark/>
          </w:tcPr>
          <w:p w14:paraId="27D33D9B" w14:textId="77777777" w:rsidR="00453E5C" w:rsidRPr="0009404C" w:rsidRDefault="00453E5C" w:rsidP="00704DB1">
            <w:pPr>
              <w:pStyle w:val="Nagwek1"/>
              <w:jc w:val="center"/>
              <w:rPr>
                <w:rFonts w:eastAsia="Times New Roman"/>
                <w:b/>
              </w:rPr>
            </w:pPr>
            <w:bookmarkStart w:id="1" w:name="_Toc29281577"/>
            <w:r w:rsidRPr="0009404C">
              <w:rPr>
                <w:rFonts w:asciiTheme="minorHAnsi" w:eastAsia="Times New Roman" w:hAnsiTheme="minorHAnsi"/>
                <w:b/>
              </w:rPr>
              <w:t>W - Koszty wynagrodzeń</w:t>
            </w:r>
            <w:bookmarkEnd w:id="1"/>
          </w:p>
        </w:tc>
      </w:tr>
      <w:tr w:rsidR="00453E5C" w:rsidRPr="008C39A5" w14:paraId="063144C1" w14:textId="77777777" w:rsidTr="00704DB1">
        <w:trPr>
          <w:trHeight w:val="2014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  <w:hideMark/>
          </w:tcPr>
          <w:p w14:paraId="0CB0BC00" w14:textId="77777777" w:rsidR="00453E5C" w:rsidRDefault="00453E5C" w:rsidP="0070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328FAFA" w14:textId="77777777" w:rsidR="00453E5C" w:rsidRPr="00F37AFC" w:rsidRDefault="00453E5C" w:rsidP="00704DB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W ramach kategorii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 xml:space="preserve">ne są </w:t>
            </w:r>
            <w:r w:rsidRPr="00E90BAC">
              <w:rPr>
                <w:rFonts w:eastAsia="Times New Roman" w:cstheme="minorHAnsi"/>
                <w:b/>
                <w:iCs/>
                <w:sz w:val="24"/>
                <w:szCs w:val="24"/>
              </w:rPr>
              <w:t>koszty wynagrodzeń wraz z pozapłacowymi kosztami pracy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 xml:space="preserve">, w tym składkami na ubezpieczenia społeczne i zdrowotne, </w:t>
            </w:r>
            <w:r w:rsidRPr="00E90BAC">
              <w:rPr>
                <w:rFonts w:eastAsia="Times New Roman" w:cstheme="minorHAnsi"/>
                <w:b/>
                <w:iCs/>
                <w:sz w:val="24"/>
                <w:szCs w:val="24"/>
              </w:rPr>
              <w:t>osób zatrudnionych</w:t>
            </w:r>
            <w:r w:rsidRPr="00E90BAC">
              <w:rPr>
                <w:rFonts w:eastAsia="Times New Roman" w:cstheme="minorHAnsi"/>
                <w:b/>
                <w:iCs/>
                <w:sz w:val="24"/>
                <w:szCs w:val="24"/>
              </w:rPr>
              <w:br/>
              <w:t xml:space="preserve">przy 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realizacji prac przedwdrożeniowych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, w części, w jakiej wynagrodzenia te są bezp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ośrednio związane z 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 xml:space="preserve">realizacją 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prac przedwdrożeniowych 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projektu objętego dofinansowaniem.</w:t>
            </w:r>
          </w:p>
        </w:tc>
      </w:tr>
      <w:tr w:rsidR="00453E5C" w:rsidRPr="008C39A5" w14:paraId="21427C8F" w14:textId="77777777" w:rsidTr="00704DB1">
        <w:trPr>
          <w:trHeight w:val="66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14:paraId="2B276460" w14:textId="77777777" w:rsidR="00453E5C" w:rsidRPr="00FE7A28" w:rsidRDefault="00453E5C" w:rsidP="00704DB1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Dokumentowanie pracy wykonanej na rzecz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projektu</w:t>
            </w:r>
          </w:p>
        </w:tc>
      </w:tr>
      <w:tr w:rsidR="00453E5C" w:rsidRPr="008C39A5" w14:paraId="4A300497" w14:textId="77777777" w:rsidTr="00704DB1">
        <w:trPr>
          <w:trHeight w:val="69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0EB150F2" w14:textId="77777777" w:rsidR="00453E5C" w:rsidRPr="008C39A5" w:rsidRDefault="00453E5C" w:rsidP="00704DB1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w przypadku umowy o pracę – lista płac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</w:p>
          <w:p w14:paraId="437B02F8" w14:textId="77777777" w:rsidR="00453E5C" w:rsidRPr="008C39A5" w:rsidRDefault="00453E5C" w:rsidP="00704DB1">
            <w:pPr>
              <w:pStyle w:val="Akapitzlist"/>
              <w:tabs>
                <w:tab w:val="left" w:pos="8789"/>
              </w:tabs>
              <w:spacing w:after="0"/>
              <w:ind w:left="851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Jeżeli dany pra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cownik nie jest zaangażowany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rojekt w wymiarze pełnego etatu, określenie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nej części wynagrod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zenia dokonuje się na podstawie:</w:t>
            </w:r>
          </w:p>
          <w:p w14:paraId="612DC0A1" w14:textId="77777777" w:rsidR="00453E5C" w:rsidRDefault="00453E5C" w:rsidP="00453E5C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134" w:right="423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>oddelegowania pracownika do projektu w częściowym wymiarze etatu, ze wskazaniem zakresu obowiązków w ramach projektu (najbardziej optymalne rozwiązanie)</w:t>
            </w:r>
          </w:p>
          <w:p w14:paraId="3343C6D7" w14:textId="77777777" w:rsidR="00453E5C" w:rsidRPr="00406A0E" w:rsidRDefault="00453E5C" w:rsidP="00453E5C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134" w:right="423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b/>
                <w:iCs/>
                <w:sz w:val="24"/>
                <w:szCs w:val="24"/>
              </w:rPr>
              <w:t>karta czasu pracy</w:t>
            </w: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 xml:space="preserve"> z opisem wykonywanych zadań  - dla osób, które pracują nieregularnie na rzecz projektu objętego dofinansowaniem </w:t>
            </w:r>
          </w:p>
        </w:tc>
      </w:tr>
      <w:tr w:rsidR="00453E5C" w:rsidRPr="008C39A5" w14:paraId="6A15D11A" w14:textId="77777777" w:rsidTr="00704DB1">
        <w:trPr>
          <w:trHeight w:val="34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2F2CF092" w14:textId="77777777" w:rsidR="00453E5C" w:rsidRPr="008C39A5" w:rsidRDefault="00453E5C" w:rsidP="00704DB1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zlecenia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</w:tr>
      <w:tr w:rsidR="00453E5C" w:rsidRPr="008C39A5" w14:paraId="3D01D43E" w14:textId="77777777" w:rsidTr="00704DB1">
        <w:trPr>
          <w:trHeight w:val="36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6203B7E5" w14:textId="77777777" w:rsidR="00453E5C" w:rsidRDefault="00453E5C" w:rsidP="00704DB1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o dzieło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odbioru.</w:t>
            </w:r>
          </w:p>
          <w:p w14:paraId="43B2CA25" w14:textId="77777777" w:rsidR="00453E5C" w:rsidRPr="008C39A5" w:rsidRDefault="00453E5C" w:rsidP="00704DB1">
            <w:pPr>
              <w:pStyle w:val="Akapitzlist"/>
              <w:spacing w:after="0" w:line="240" w:lineRule="auto"/>
              <w:ind w:left="851" w:right="70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453E5C" w:rsidRPr="008C39A5" w14:paraId="28A7BB7E" w14:textId="77777777" w:rsidTr="00704DB1">
        <w:trPr>
          <w:trHeight w:val="63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0A383075" w14:textId="77777777" w:rsidR="00453E5C" w:rsidRPr="008C39A5" w:rsidRDefault="00453E5C" w:rsidP="00704DB1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Koszt kwalifikowa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l</w:t>
            </w: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ny stanowią poniższe składniki płacowe i pozapłacowe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 wynagrodzenia personelu, proporcjonalnie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do zaangażowania pracownika w realizację </w:t>
            </w:r>
            <w:r w:rsidRPr="00E83241">
              <w:rPr>
                <w:rFonts w:eastAsia="Times New Roman" w:cstheme="minorHAnsi"/>
                <w:iCs/>
                <w:sz w:val="24"/>
                <w:szCs w:val="24"/>
              </w:rPr>
              <w:t>prac przedwdrożeniowych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: </w:t>
            </w:r>
          </w:p>
        </w:tc>
      </w:tr>
      <w:tr w:rsidR="00453E5C" w:rsidRPr="008C39A5" w14:paraId="25910BE5" w14:textId="77777777" w:rsidTr="00704DB1">
        <w:trPr>
          <w:trHeight w:val="39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5D09316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zasadnicze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6DA78350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pracodawcy, w tym:</w:t>
            </w:r>
          </w:p>
          <w:p w14:paraId="4E658979" w14:textId="77777777" w:rsidR="00453E5C" w:rsidRPr="008C39A5" w:rsidRDefault="00453E5C" w:rsidP="00704DB1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emerytalna</w:t>
            </w:r>
          </w:p>
          <w:p w14:paraId="2857D913" w14:textId="77777777" w:rsidR="00453E5C" w:rsidRPr="008C39A5" w:rsidRDefault="00453E5C" w:rsidP="00704DB1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rentowa</w:t>
            </w:r>
          </w:p>
          <w:p w14:paraId="4D2F79E1" w14:textId="77777777" w:rsidR="00453E5C" w:rsidRPr="008C39A5" w:rsidRDefault="00453E5C" w:rsidP="00704DB1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wypadkowa</w:t>
            </w:r>
          </w:p>
          <w:p w14:paraId="31638D9F" w14:textId="77777777" w:rsidR="00453E5C" w:rsidRPr="008C39A5" w:rsidRDefault="00453E5C" w:rsidP="00704DB1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Gwarantowanych Świadczeń Pracowniczych</w:t>
            </w:r>
          </w:p>
          <w:p w14:paraId="533CE148" w14:textId="77777777" w:rsidR="00453E5C" w:rsidRPr="008C39A5" w:rsidRDefault="00453E5C" w:rsidP="00704DB1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Pracy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619B5CCC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pracownika, w tym:</w:t>
            </w:r>
          </w:p>
          <w:p w14:paraId="2043EF8E" w14:textId="77777777" w:rsidR="00453E5C" w:rsidRPr="008C39A5" w:rsidRDefault="00453E5C" w:rsidP="00704DB1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emerytalne</w:t>
            </w:r>
          </w:p>
          <w:p w14:paraId="6949CE36" w14:textId="77777777" w:rsidR="00453E5C" w:rsidRPr="008C39A5" w:rsidRDefault="00453E5C" w:rsidP="00704DB1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lastRenderedPageBreak/>
              <w:t>składka na ubezpieczenie rentowe</w:t>
            </w:r>
          </w:p>
          <w:p w14:paraId="4F78CD3A" w14:textId="77777777" w:rsidR="00453E5C" w:rsidRPr="008C39A5" w:rsidRDefault="00453E5C" w:rsidP="00704DB1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chorobowe</w:t>
            </w:r>
          </w:p>
          <w:p w14:paraId="6865FB37" w14:textId="77777777" w:rsidR="00453E5C" w:rsidRPr="008C39A5" w:rsidRDefault="00453E5C" w:rsidP="00704DB1">
            <w:pPr>
              <w:pStyle w:val="Akapitzlist"/>
              <w:numPr>
                <w:ilvl w:val="2"/>
                <w:numId w:val="9"/>
              </w:numPr>
              <w:spacing w:after="0"/>
              <w:ind w:left="1702" w:right="423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zdrowotna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2B636252" w14:textId="77777777" w:rsidR="00453E5C" w:rsidRPr="008C39A5" w:rsidRDefault="00453E5C" w:rsidP="00704DB1">
            <w:pPr>
              <w:pStyle w:val="Akapitzlist"/>
              <w:numPr>
                <w:ilvl w:val="0"/>
                <w:numId w:val="9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zaliczka na podatek dochodowy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1EBFA880" w14:textId="77777777" w:rsidR="00453E5C" w:rsidRPr="00AF31A7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nagrody/premie/dodatki</w:t>
            </w:r>
            <w:r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2"/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w tym premie uznaniowe, premie okresowe i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 jednorazowe, które: (i) zostały przewidziane w regulaminie pracy lub regulaminie wynagradzania danej instytucji, (ii) zostały przyznane zgodnie z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obowiązującymi zasadami wynagradzania oraz (iii) obejmują wszystkich pracowników danej instytucji. W przypadku premii okresowych wysokość kosztu kwalifikowalnego powinna odpowiadać stosunkowi okresu, w jakim dany pracownik b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ył zatrudniony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rojekcie do okresu, za jaki przyznawana jest premia;</w:t>
            </w:r>
          </w:p>
          <w:p w14:paraId="39AFFFA1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czas niezdolności do pracy, zgodnie z obowiązującymi przepisami w zakresie ubezpieczeń społecznych;</w:t>
            </w:r>
          </w:p>
          <w:p w14:paraId="2FEEA81E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okres urlopu wypoczynkowego;</w:t>
            </w:r>
          </w:p>
          <w:p w14:paraId="71B45E90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 xml:space="preserve">dodatek stażowy; </w:t>
            </w:r>
          </w:p>
          <w:p w14:paraId="2F9CA815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 xml:space="preserve">odpisy na Zakładowy </w:t>
            </w:r>
            <w:r>
              <w:rPr>
                <w:rFonts w:eastAsia="Times New Roman" w:cstheme="minorHAnsi"/>
                <w:sz w:val="24"/>
                <w:szCs w:val="24"/>
              </w:rPr>
              <w:t>Fundusz Świadczeń Socjalnych, jeśli jednostka ma prawną możliwość naliczenia odpisów ZFŚS;</w:t>
            </w:r>
          </w:p>
          <w:p w14:paraId="27E90B84" w14:textId="77777777" w:rsidR="00453E5C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dodatek funkcyjny za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 xml:space="preserve"> sprawowanie stanowiska kierowniczego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wypłacany w stałej wysokości, 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o ile dotycz</w:t>
            </w:r>
            <w:r>
              <w:rPr>
                <w:rFonts w:eastAsia="Times New Roman" w:cstheme="minorHAnsi"/>
                <w:sz w:val="24"/>
                <w:szCs w:val="24"/>
              </w:rPr>
              <w:t>y funkcji sprawowanej w ramach p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rojektu;</w:t>
            </w:r>
          </w:p>
          <w:p w14:paraId="326B9148" w14:textId="77777777" w:rsidR="00453E5C" w:rsidRPr="008C39A5" w:rsidRDefault="00453E5C" w:rsidP="00704DB1">
            <w:pPr>
              <w:pStyle w:val="Akapitzlist"/>
              <w:numPr>
                <w:ilvl w:val="0"/>
                <w:numId w:val="4"/>
              </w:numPr>
              <w:spacing w:after="0"/>
              <w:ind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  <w:t>składka na Pracownicze Plany K</w:t>
            </w:r>
            <w:r w:rsidRPr="00BD3536">
              <w:rPr>
                <w:rFonts w:eastAsia="Times New Roman" w:cstheme="minorHAnsi"/>
                <w:sz w:val="24"/>
                <w:szCs w:val="24"/>
              </w:rPr>
              <w:t>apitałowe o ile stanowią obligatoryjny element wynagrodzenia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3B15830" w14:textId="77777777" w:rsidR="00453E5C" w:rsidRPr="00C5445B" w:rsidRDefault="00453E5C" w:rsidP="00704DB1">
            <w:pPr>
              <w:pStyle w:val="Akapitzlist"/>
              <w:spacing w:after="0"/>
              <w:ind w:left="1139"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53E5C" w:rsidRPr="008C39A5" w14:paraId="42B61C0C" w14:textId="77777777" w:rsidTr="00704DB1">
        <w:trPr>
          <w:trHeight w:val="499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48821D98" w14:textId="340FF5D3" w:rsidR="00453E5C" w:rsidRPr="0009404C" w:rsidRDefault="00453E5C" w:rsidP="00704DB1">
            <w:pPr>
              <w:pStyle w:val="Nagwek1"/>
              <w:jc w:val="center"/>
              <w:rPr>
                <w:rFonts w:eastAsia="Times New Roman"/>
                <w:b/>
              </w:rPr>
            </w:pPr>
            <w:bookmarkStart w:id="2" w:name="_Toc29281578"/>
            <w:r w:rsidRPr="0009404C">
              <w:rPr>
                <w:rFonts w:asciiTheme="minorHAnsi" w:eastAsia="Times New Roman" w:hAnsiTheme="minorHAnsi"/>
                <w:b/>
              </w:rPr>
              <w:lastRenderedPageBreak/>
              <w:t>E - Koszty podwykonawstwa</w:t>
            </w:r>
            <w:bookmarkEnd w:id="2"/>
          </w:p>
        </w:tc>
      </w:tr>
      <w:tr w:rsidR="00453E5C" w:rsidRPr="003E21AD" w14:paraId="69606919" w14:textId="77777777" w:rsidTr="00704DB1">
        <w:trPr>
          <w:trHeight w:val="2356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5F5ECB4E" w14:textId="77777777" w:rsidR="00453E5C" w:rsidRPr="003E21AD" w:rsidRDefault="00453E5C" w:rsidP="00704DB1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Jako k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>oszty podwykonawstwa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 należy rozumieć 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2B2D2C">
              <w:rPr>
                <w:rFonts w:eastAsia="Times New Roman" w:cstheme="minorHAnsi"/>
                <w:b/>
                <w:iCs/>
                <w:sz w:val="24"/>
                <w:szCs w:val="24"/>
              </w:rPr>
              <w:t>koszty usług doradczych lub równoważnych (np. testy, badanie rynku) świadczonych w celu wykonania prac przedwdrożeniowych w projekcie.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52AA4C19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 xml:space="preserve">W przypadku usług doradczych lub równoważnych </w:t>
            </w:r>
            <w:r w:rsidRPr="001135EF">
              <w:rPr>
                <w:rFonts w:eastAsia="Times New Roman" w:cstheme="minorHAnsi"/>
                <w:b/>
                <w:iCs/>
              </w:rPr>
              <w:t>kosztami kwalifikowalnymi</w:t>
            </w:r>
            <w:r w:rsidRPr="001135EF">
              <w:rPr>
                <w:rFonts w:eastAsia="Times New Roman" w:cstheme="minorHAnsi"/>
                <w:iCs/>
              </w:rPr>
              <w:t xml:space="preserve"> </w:t>
            </w:r>
            <w:r w:rsidRPr="001135EF">
              <w:rPr>
                <w:rFonts w:eastAsia="Times New Roman" w:cstheme="minorHAnsi"/>
                <w:b/>
                <w:iCs/>
              </w:rPr>
              <w:t>są koszty usług:</w:t>
            </w:r>
          </w:p>
          <w:p w14:paraId="6A362FF9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>- świadczonych przez konsultantów zewnętrznych;</w:t>
            </w:r>
          </w:p>
          <w:p w14:paraId="3BDB5BF1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>- niemających charakteru ciągłego ani okresowego;</w:t>
            </w:r>
          </w:p>
          <w:p w14:paraId="69630962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 xml:space="preserve">- niezwiązanych ze zwykłymi kosztami operacyjnymi </w:t>
            </w:r>
            <w:r>
              <w:rPr>
                <w:rFonts w:eastAsia="Times New Roman" w:cstheme="minorHAnsi"/>
                <w:iCs/>
              </w:rPr>
              <w:t>Wykonawcy</w:t>
            </w:r>
            <w:r w:rsidRPr="001135EF">
              <w:rPr>
                <w:rFonts w:eastAsia="Times New Roman" w:cstheme="minorHAnsi"/>
                <w:iCs/>
              </w:rPr>
              <w:t xml:space="preserve">, takimi jak usługi doradztwa podatkowego, usługi prawnicze </w:t>
            </w:r>
            <w:r w:rsidRPr="009131DA">
              <w:rPr>
                <w:rFonts w:eastAsia="Times New Roman" w:cstheme="minorHAnsi"/>
                <w:iCs/>
              </w:rPr>
              <w:t>lub reklama.</w:t>
            </w:r>
          </w:p>
          <w:p w14:paraId="176BF6D4" w14:textId="77777777" w:rsidR="00453E5C" w:rsidRPr="003E21AD" w:rsidRDefault="00453E5C" w:rsidP="00704DB1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3A7303AA" w14:textId="77777777" w:rsidR="00453E5C" w:rsidRPr="003E21AD" w:rsidRDefault="00453E5C" w:rsidP="00E51F7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453E5C" w:rsidRPr="003E21AD" w14:paraId="65FE113A" w14:textId="77777777" w:rsidTr="00704DB1">
        <w:trPr>
          <w:trHeight w:val="80"/>
        </w:trPr>
        <w:tc>
          <w:tcPr>
            <w:tcW w:w="5000" w:type="pct"/>
            <w:tcBorders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2ACC3D7" w14:textId="42D958B1" w:rsidR="00453E5C" w:rsidRDefault="00453E5C" w:rsidP="00704DB1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53539C">
              <w:rPr>
                <w:rFonts w:eastAsia="Times New Roman" w:cstheme="minorHAnsi"/>
                <w:iCs/>
                <w:sz w:val="24"/>
                <w:szCs w:val="24"/>
              </w:rPr>
              <w:t>Łączna kwota wydatków kwalifikowalnych w kategorii E (podwykonawstwo) nie może przekroczyć 70% całkowitych kosztów kwalifikowalnych ponoszonych w projekcie na prace przedwdrożeniowe</w:t>
            </w:r>
            <w:r w:rsidR="00DA6D2B">
              <w:rPr>
                <w:rFonts w:ascii="Calibri" w:hAnsi="Calibri" w:cs="Calibri"/>
                <w:szCs w:val="24"/>
              </w:rPr>
              <w:t>.</w:t>
            </w:r>
          </w:p>
          <w:p w14:paraId="28E1EE31" w14:textId="77777777" w:rsidR="00453E5C" w:rsidRDefault="00453E5C" w:rsidP="00704DB1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E7B9488" w14:textId="77777777" w:rsidR="00453E5C" w:rsidRPr="003E21AD" w:rsidRDefault="00453E5C" w:rsidP="00704DB1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453E5C" w:rsidRPr="008C39A5" w14:paraId="7CBA9DF7" w14:textId="77777777" w:rsidTr="00704DB1">
        <w:trPr>
          <w:trHeight w:val="666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5EE7C698" w14:textId="3EA4C19D" w:rsidR="00453E5C" w:rsidRPr="0009404C" w:rsidRDefault="00453E5C" w:rsidP="00704DB1">
            <w:pPr>
              <w:pStyle w:val="Nagwek1"/>
              <w:jc w:val="center"/>
              <w:rPr>
                <w:rFonts w:eastAsia="Times New Roman"/>
                <w:b/>
              </w:rPr>
            </w:pPr>
            <w:bookmarkStart w:id="3" w:name="_Toc29281579"/>
            <w:proofErr w:type="spellStart"/>
            <w:r w:rsidRPr="0009404C">
              <w:rPr>
                <w:rFonts w:asciiTheme="minorHAnsi" w:eastAsia="Times New Roman" w:hAnsiTheme="minorHAnsi"/>
                <w:b/>
              </w:rPr>
              <w:lastRenderedPageBreak/>
              <w:t>Op</w:t>
            </w:r>
            <w:proofErr w:type="spellEnd"/>
            <w:r w:rsidRPr="0009404C">
              <w:rPr>
                <w:rFonts w:asciiTheme="minorHAnsi" w:eastAsia="Times New Roman" w:hAnsiTheme="minorHAnsi"/>
                <w:b/>
              </w:rPr>
              <w:t xml:space="preserve"> - Pozostałe koszty </w:t>
            </w:r>
            <w:r>
              <w:rPr>
                <w:rFonts w:asciiTheme="minorHAnsi" w:eastAsia="Times New Roman" w:hAnsiTheme="minorHAnsi"/>
                <w:b/>
              </w:rPr>
              <w:t>bezpośrednie</w:t>
            </w:r>
            <w:bookmarkEnd w:id="3"/>
          </w:p>
        </w:tc>
      </w:tr>
      <w:tr w:rsidR="00453E5C" w:rsidRPr="008C39A5" w14:paraId="003DABD5" w14:textId="77777777" w:rsidTr="00704DB1">
        <w:trPr>
          <w:trHeight w:val="465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  <w:hideMark/>
          </w:tcPr>
          <w:p w14:paraId="1E4B0A63" w14:textId="77777777" w:rsidR="00453E5C" w:rsidRDefault="00453E5C" w:rsidP="00704DB1">
            <w:pPr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3FDA42F8" w14:textId="77777777" w:rsidR="00453E5C" w:rsidRPr="002B2D2C" w:rsidRDefault="00453E5C" w:rsidP="00453E5C">
            <w:pPr>
              <w:pStyle w:val="Akapitzlist"/>
              <w:numPr>
                <w:ilvl w:val="0"/>
                <w:numId w:val="40"/>
              </w:numPr>
              <w:ind w:left="492" w:hanging="425"/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</w:pPr>
            <w:r w:rsidRPr="002B2D2C"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  <w:t xml:space="preserve">Koszty narzędzi i sprzętu </w:t>
            </w:r>
          </w:p>
          <w:p w14:paraId="3347F71E" w14:textId="77777777" w:rsidR="00453E5C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6ADFF743" w14:textId="77777777" w:rsidR="00453E5C" w:rsidRPr="00FE372E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W ramach tej kategorii kwalifikowalne koszty narzędzi i sprzętu wykorzystywanych do prac przedwdrożeniowych w zakresie niezbędnym i przez okres niezbędny do realizacji prac przedwdrożeniowych.</w:t>
            </w:r>
          </w:p>
          <w:p w14:paraId="2D1DBC7A" w14:textId="77777777" w:rsidR="00453E5C" w:rsidRPr="00077266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68D466F7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 xml:space="preserve">1/ Koszt zakupu </w:t>
            </w:r>
          </w:p>
          <w:p w14:paraId="377EF8FC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D229A90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Koszt zakupu narzędzi i sprzętu będzie kosztem kwalifikowalnym projektu jeżeli koszt ten dotyczy środka, który jest niezbędny do prawidłowej realizacji prac przedwdrożeniowych i jest bezpośrednio wykorzystywany do jej realizacji oraz będą spełnione łącznie następujące warunki:</w:t>
            </w:r>
          </w:p>
          <w:p w14:paraId="539056EF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363F9BF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wartość narzędzi i sprzętu nie przekracza 500 000 zł,</w:t>
            </w:r>
          </w:p>
          <w:p w14:paraId="0D70F5F2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zakup został we wniosku o dofinansowanie,</w:t>
            </w:r>
          </w:p>
          <w:p w14:paraId="41980B6C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jednostka nie dysponuje sprzętem który mógłby zostać użyty zamiennie.</w:t>
            </w:r>
          </w:p>
          <w:p w14:paraId="00FB0528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3901779E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Jeżeli spełnione są wszystkie powyższe przesłanki, Wykonawca wykazuje jednorazowo we wniosku o płatność wartości zakupu narzędzi i sprzętu.</w:t>
            </w:r>
          </w:p>
          <w:p w14:paraId="0856C910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46C0F88" w14:textId="77777777" w:rsidR="00453E5C" w:rsidRPr="00FE372E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Koszt wykorzystania narzędzi i sprzętu, których wartość przekracza 500 000 zł rozliczany może być w projekcie tylko za pomocą odpisów amortyzacyjnych.</w:t>
            </w:r>
          </w:p>
          <w:p w14:paraId="409C8808" w14:textId="77777777" w:rsidR="00453E5C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4937EB1A" w14:textId="77777777" w:rsidR="00453E5C" w:rsidRPr="00076C69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143136D" w14:textId="77777777" w:rsidR="00453E5C" w:rsidRPr="00FE6398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6398">
              <w:rPr>
                <w:rFonts w:eastAsia="Times New Roman" w:cstheme="minorHAnsi"/>
                <w:iCs/>
                <w:sz w:val="24"/>
                <w:szCs w:val="24"/>
              </w:rPr>
              <w:t>2/Amortyzacja</w:t>
            </w:r>
          </w:p>
          <w:p w14:paraId="054CDAF3" w14:textId="77777777" w:rsidR="00453E5C" w:rsidRPr="00FE6398" w:rsidRDefault="00453E5C" w:rsidP="00704DB1">
            <w:pPr>
              <w:pStyle w:val="Akapitzlist"/>
              <w:spacing w:after="80" w:line="240" w:lineRule="auto"/>
              <w:ind w:left="351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0783F0B" w14:textId="77777777" w:rsidR="00453E5C" w:rsidRPr="00FE6398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6398">
              <w:rPr>
                <w:rFonts w:eastAsia="Times New Roman" w:cstheme="minorHAnsi"/>
                <w:iCs/>
                <w:sz w:val="24"/>
                <w:szCs w:val="24"/>
              </w:rPr>
              <w:t>Odpisy amortyzacyjne z tytułu spadku wartości stanowią koszt kwalifikowalny, jeżeli spełnione są łącznie następujące warunki:</w:t>
            </w:r>
          </w:p>
          <w:p w14:paraId="5017791F" w14:textId="77777777" w:rsidR="00453E5C" w:rsidRPr="00FE6398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6398">
              <w:rPr>
                <w:rFonts w:eastAsia="Times New Roman" w:cstheme="minorHAnsi"/>
                <w:iCs/>
                <w:sz w:val="24"/>
                <w:szCs w:val="24"/>
              </w:rPr>
              <w:t>•  narzędzia i sprzęt w momencie zakupu spełniają definicję środka trwałego (zgodnie z art. 3 ust. 1 pkt 15 ustawy o rachunkowości: rzeczowe aktywa trwałe o przewidywanym okresie ekonomicznej użyteczności dłuższym niż rok, kompletne, zdatne do użytku i przeznaczone na potrzeby jednostki);</w:t>
            </w:r>
          </w:p>
          <w:p w14:paraId="2F8E790C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•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narzędzia i sprzęt są niezbędne do prawidłowej realizacji prac przedwdrożeniowych projektu i są bezpośrednio wykorzystywane w związku z projektem;</w:t>
            </w:r>
          </w:p>
          <w:p w14:paraId="07C69296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narzędzia i sprzęt służące pracom przedwdrożeniowym są ewidencjonowane w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rejestrze środków trwałych podmiotów dokonujących ich zakupu;</w:t>
            </w:r>
          </w:p>
          <w:p w14:paraId="67F23412" w14:textId="77777777" w:rsidR="00453E5C" w:rsidRPr="00077266" w:rsidRDefault="00453E5C" w:rsidP="00704DB1">
            <w:pPr>
              <w:pStyle w:val="Akapitzlist"/>
              <w:spacing w:after="80" w:line="240" w:lineRule="auto"/>
              <w:ind w:left="776" w:right="709" w:hanging="425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• odpisy amortyzacyjne zostały obliczone na podstawie przepisów o rachunkowości oraz zgodnie z polityką rachunkową podmiotu;</w:t>
            </w:r>
          </w:p>
          <w:p w14:paraId="51C47D7D" w14:textId="77777777" w:rsidR="00453E5C" w:rsidRPr="00077266" w:rsidRDefault="00453E5C" w:rsidP="00704DB1">
            <w:pPr>
              <w:pStyle w:val="Akapitzlist"/>
              <w:spacing w:after="80" w:line="240" w:lineRule="auto"/>
              <w:ind w:left="776" w:right="709" w:hanging="425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lastRenderedPageBreak/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kwalifikowalna wartość odpisów amortyzacyjnych odnosi się wyłącznie do okresu realizacji prac przedwdrożeniowych projektu;</w:t>
            </w:r>
          </w:p>
          <w:p w14:paraId="7A0F1446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w przypadku, gdy narzędzia i sprzęt wykorzystywane są także w innych celach niż realizacja projektu, kwalifikowalna jest tylko ta część odpisu amortyzacyjnego, która odpowiada proporcji wykorzystania aktywów przy realizacji prac przedwdrożeniowych projektu;</w:t>
            </w:r>
          </w:p>
          <w:p w14:paraId="2F89C8E7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zakup narzędzi i sprzętu nie był współfinansowany ze środków dotacji krajowej lub środków unijnych;</w:t>
            </w:r>
          </w:p>
          <w:p w14:paraId="53ED08FA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zakup narzędzi i sprzętu nie został rozliczony jako koszt kwalifikowalny projektu;</w:t>
            </w:r>
          </w:p>
          <w:p w14:paraId="477E4E77" w14:textId="77777777" w:rsidR="00453E5C" w:rsidRPr="00077266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• </w:t>
            </w:r>
            <w:r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 </w:t>
            </w: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odpisy amortyzacyjne dotyczą narzędzi i sprzętu, który został zakupiony w sposób racjonalny i efektywny, tj. ich ceny nie zostały zawyżone w stosunku do cen i stawek rynkowych.</w:t>
            </w:r>
          </w:p>
          <w:p w14:paraId="5394F76F" w14:textId="77777777" w:rsidR="00453E5C" w:rsidRPr="00077266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14E52CC0" w14:textId="77777777" w:rsidR="00453E5C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77266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Wartość rezydualna środka trwałego po zakończeniu realizacji projektu nie jest kosztem kwalifikowalnym.</w:t>
            </w:r>
          </w:p>
          <w:p w14:paraId="36F289E8" w14:textId="77777777" w:rsidR="00453E5C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11A1600D" w14:textId="77777777" w:rsidR="00453E5C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76EE933C" w14:textId="77777777" w:rsidR="00453E5C" w:rsidRPr="0009404C" w:rsidRDefault="00453E5C" w:rsidP="00704DB1">
            <w:pPr>
              <w:pStyle w:val="Akapitzlist"/>
              <w:spacing w:after="80" w:line="240" w:lineRule="auto"/>
              <w:ind w:left="67"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7144B3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3</w:t>
            </w:r>
            <w:r w:rsidRPr="0009404C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 xml:space="preserve">/ Odpłatne korzystanie z narzędzi i sprzętu  </w:t>
            </w:r>
          </w:p>
          <w:p w14:paraId="39934DB2" w14:textId="77777777" w:rsidR="00453E5C" w:rsidRPr="0009404C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09404C">
              <w:rPr>
                <w:rFonts w:eastAsia="Times New Roman" w:cstheme="minorHAnsi"/>
                <w:iCs/>
                <w:color w:val="333333"/>
                <w:sz w:val="24"/>
                <w:szCs w:val="24"/>
              </w:rPr>
              <w:t>Koszty ponoszone w ramach odpłatnego korzystania z narzędzi i sprzętu stanowią koszty kwalifikowalne w zakresie niezbędnym i przez okres niezbędny do realizacji prac przedwdrożeniowych projektu objętego pomocą.</w:t>
            </w:r>
          </w:p>
          <w:p w14:paraId="63188AE4" w14:textId="77777777" w:rsidR="00453E5C" w:rsidRPr="0009404C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3F9535E1" w14:textId="77777777" w:rsidR="00453E5C" w:rsidRPr="00DE45A9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</w:pPr>
          </w:p>
          <w:p w14:paraId="5A40C58A" w14:textId="77777777" w:rsidR="00453E5C" w:rsidRDefault="00453E5C" w:rsidP="00453E5C">
            <w:pPr>
              <w:pStyle w:val="Akapitzlist"/>
              <w:numPr>
                <w:ilvl w:val="0"/>
                <w:numId w:val="40"/>
              </w:numPr>
              <w:spacing w:after="80" w:line="240" w:lineRule="auto"/>
              <w:ind w:left="634" w:right="709" w:hanging="634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  <w:t>K</w:t>
            </w:r>
            <w:r w:rsidRPr="00DE45A9"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  <w:t>oszty budynków i gruntów</w:t>
            </w:r>
          </w:p>
          <w:p w14:paraId="01E71FF2" w14:textId="77777777" w:rsidR="00453E5C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1AC12E1B" w14:textId="77777777" w:rsidR="00453E5C" w:rsidRPr="004E26F9" w:rsidRDefault="00453E5C" w:rsidP="00704DB1">
            <w:pPr>
              <w:rPr>
                <w:rFonts w:eastAsiaTheme="majorEastAsia"/>
                <w:sz w:val="24"/>
                <w:szCs w:val="24"/>
              </w:rPr>
            </w:pPr>
            <w:r w:rsidRPr="004E26F9">
              <w:rPr>
                <w:rFonts w:eastAsiaTheme="majorEastAsia"/>
                <w:sz w:val="24"/>
                <w:szCs w:val="24"/>
              </w:rPr>
              <w:t>Koszty budynków i gruntów kwalifikowalne są w zakresie i przez okres niezbędny do realizacji prac przedwdrożeniowych projektu</w:t>
            </w:r>
            <w:r w:rsidRPr="004E26F9"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3"/>
            </w:r>
            <w:r w:rsidRPr="004E26F9">
              <w:rPr>
                <w:rFonts w:eastAsiaTheme="majorEastAsia"/>
                <w:sz w:val="24"/>
                <w:szCs w:val="24"/>
              </w:rPr>
              <w:t xml:space="preserve"> . </w:t>
            </w:r>
          </w:p>
          <w:p w14:paraId="00127537" w14:textId="77777777" w:rsidR="00453E5C" w:rsidRPr="004E26F9" w:rsidRDefault="00453E5C" w:rsidP="00704DB1">
            <w:pPr>
              <w:spacing w:after="120"/>
              <w:rPr>
                <w:rFonts w:eastAsiaTheme="majorEastAsia"/>
                <w:b/>
                <w:sz w:val="24"/>
                <w:szCs w:val="24"/>
              </w:rPr>
            </w:pPr>
            <w:r w:rsidRPr="004E26F9">
              <w:rPr>
                <w:rFonts w:eastAsiaTheme="majorEastAsia"/>
                <w:b/>
                <w:sz w:val="24"/>
                <w:szCs w:val="24"/>
              </w:rPr>
              <w:t>W ramach tej kategorii kwalifikowalne są m.in. następujące rodzaje kosztów:</w:t>
            </w:r>
          </w:p>
          <w:p w14:paraId="5F277A52" w14:textId="77777777" w:rsidR="00453E5C" w:rsidRPr="004E26F9" w:rsidRDefault="00453E5C" w:rsidP="00704DB1">
            <w:pPr>
              <w:spacing w:after="120"/>
              <w:ind w:left="634" w:hanging="283"/>
              <w:rPr>
                <w:rFonts w:eastAsiaTheme="majorEastAsia"/>
                <w:sz w:val="24"/>
                <w:szCs w:val="24"/>
              </w:rPr>
            </w:pPr>
            <w:r w:rsidRPr="004E26F9">
              <w:rPr>
                <w:rFonts w:eastAsiaTheme="majorEastAsia"/>
                <w:sz w:val="24"/>
                <w:szCs w:val="24"/>
              </w:rPr>
              <w:t>•</w:t>
            </w:r>
            <w:r w:rsidRPr="004E26F9">
              <w:rPr>
                <w:rFonts w:eastAsiaTheme="majorEastAsia"/>
                <w:sz w:val="24"/>
                <w:szCs w:val="24"/>
              </w:rPr>
              <w:tab/>
            </w:r>
            <w:r w:rsidRPr="004E26F9">
              <w:rPr>
                <w:rFonts w:eastAsiaTheme="majorEastAsia"/>
                <w:b/>
                <w:sz w:val="24"/>
                <w:szCs w:val="24"/>
              </w:rPr>
              <w:t>dzierżawa gruntów</w:t>
            </w:r>
            <w:r w:rsidRPr="004E26F9">
              <w:rPr>
                <w:rFonts w:eastAsiaTheme="majorEastAsia"/>
                <w:sz w:val="24"/>
                <w:szCs w:val="24"/>
              </w:rPr>
              <w:t xml:space="preserve"> - tylko raty dzierżawne bez części odsetkowej;</w:t>
            </w:r>
          </w:p>
          <w:p w14:paraId="088C969A" w14:textId="77777777" w:rsidR="00453E5C" w:rsidRPr="004E26F9" w:rsidRDefault="00453E5C" w:rsidP="00704DB1">
            <w:pPr>
              <w:spacing w:after="120"/>
              <w:ind w:left="634" w:hanging="283"/>
              <w:rPr>
                <w:rFonts w:eastAsiaTheme="majorEastAsia"/>
                <w:sz w:val="24"/>
                <w:szCs w:val="24"/>
              </w:rPr>
            </w:pPr>
            <w:r w:rsidRPr="004E26F9">
              <w:rPr>
                <w:rFonts w:eastAsiaTheme="majorEastAsia"/>
                <w:sz w:val="24"/>
                <w:szCs w:val="24"/>
              </w:rPr>
              <w:t>•</w:t>
            </w:r>
            <w:r w:rsidRPr="004E26F9">
              <w:rPr>
                <w:rFonts w:eastAsiaTheme="majorEastAsia"/>
                <w:sz w:val="24"/>
                <w:szCs w:val="24"/>
              </w:rPr>
              <w:tab/>
            </w:r>
            <w:r w:rsidRPr="004E26F9">
              <w:rPr>
                <w:rFonts w:eastAsiaTheme="majorEastAsia"/>
                <w:b/>
                <w:sz w:val="24"/>
                <w:szCs w:val="24"/>
              </w:rPr>
              <w:t>wieczyste użytkowanie gruntów</w:t>
            </w:r>
            <w:r w:rsidRPr="004E26F9">
              <w:rPr>
                <w:rFonts w:eastAsiaTheme="majorEastAsia"/>
                <w:sz w:val="24"/>
                <w:szCs w:val="24"/>
              </w:rPr>
              <w:t xml:space="preserve"> - tylko opłaty za użytkowanie wieczyste z wyłączeniem odsetek;</w:t>
            </w:r>
          </w:p>
          <w:p w14:paraId="147A47E6" w14:textId="77777777" w:rsidR="00453E5C" w:rsidRPr="004E26F9" w:rsidRDefault="00453E5C" w:rsidP="00704DB1">
            <w:pPr>
              <w:ind w:left="634" w:hanging="283"/>
              <w:jc w:val="both"/>
              <w:rPr>
                <w:rFonts w:eastAsiaTheme="majorEastAsia"/>
                <w:sz w:val="24"/>
                <w:szCs w:val="24"/>
              </w:rPr>
            </w:pPr>
            <w:r w:rsidRPr="004E26F9">
              <w:rPr>
                <w:rFonts w:eastAsiaTheme="majorEastAsia"/>
                <w:sz w:val="24"/>
                <w:szCs w:val="24"/>
              </w:rPr>
              <w:t>•</w:t>
            </w:r>
            <w:r w:rsidRPr="004E26F9">
              <w:rPr>
                <w:rFonts w:eastAsiaTheme="majorEastAsia"/>
                <w:sz w:val="24"/>
                <w:szCs w:val="24"/>
              </w:rPr>
              <w:tab/>
            </w:r>
            <w:r w:rsidRPr="004E26F9">
              <w:rPr>
                <w:rFonts w:eastAsiaTheme="majorEastAsia"/>
                <w:b/>
                <w:sz w:val="24"/>
                <w:szCs w:val="24"/>
              </w:rPr>
              <w:t>amortyzacja budynków</w:t>
            </w:r>
            <w:r w:rsidRPr="004E26F9">
              <w:rPr>
                <w:rFonts w:eastAsiaTheme="majorEastAsia"/>
                <w:sz w:val="24"/>
                <w:szCs w:val="24"/>
              </w:rPr>
              <w:t xml:space="preserve"> - w przypadku, gdy wykorzystywane są także w innych celach niż realizacja projektu, kwalifikowalna jest tylko ta część odpisu amortyzacyjnego, która odpowiada proporcji wykorzystania budynków w celu realizacji prac przedwdrożeniowych w ramach projektu objętego pomocą.</w:t>
            </w:r>
          </w:p>
          <w:p w14:paraId="3224EDA4" w14:textId="77777777" w:rsidR="00453E5C" w:rsidRPr="002D5D8E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b/>
                <w:iCs/>
                <w:color w:val="333333"/>
                <w:sz w:val="24"/>
                <w:szCs w:val="24"/>
              </w:rPr>
            </w:pPr>
          </w:p>
          <w:p w14:paraId="4DBD7110" w14:textId="77777777" w:rsidR="00453E5C" w:rsidRPr="00FE372E" w:rsidRDefault="00453E5C" w:rsidP="00453E5C">
            <w:pPr>
              <w:pStyle w:val="Akapitzlist"/>
              <w:numPr>
                <w:ilvl w:val="0"/>
                <w:numId w:val="40"/>
              </w:numPr>
              <w:spacing w:after="80" w:line="240" w:lineRule="auto"/>
              <w:ind w:left="776" w:right="709" w:hanging="776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b/>
                <w:iCs/>
                <w:sz w:val="24"/>
                <w:szCs w:val="24"/>
              </w:rPr>
              <w:t>Inne koszty operacyjne</w:t>
            </w:r>
          </w:p>
          <w:p w14:paraId="77A74D66" w14:textId="77777777" w:rsidR="00453E5C" w:rsidRPr="00FE372E" w:rsidRDefault="00453E5C" w:rsidP="00704DB1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851330B" w14:textId="77777777" w:rsidR="00453E5C" w:rsidRPr="00FE372E" w:rsidRDefault="00453E5C" w:rsidP="00704DB1">
            <w:pPr>
              <w:pStyle w:val="Akapitzlist"/>
              <w:spacing w:after="80" w:line="240" w:lineRule="auto"/>
              <w:ind w:left="0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Koszty materiałów, środków eksploatacyjnych i podobnych produktów ponoszone bezpośrednio w związku z realizacją prac przedwdrożeniowych projektu objętego pomocą.</w:t>
            </w:r>
          </w:p>
          <w:p w14:paraId="0E2029E8" w14:textId="77777777" w:rsidR="00453E5C" w:rsidRPr="00FE372E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materiały niezbędne do realizacji prac przedwdrożeniowych, np. surowce, półprodukty, odczynniki;</w:t>
            </w:r>
          </w:p>
          <w:p w14:paraId="02F454E5" w14:textId="77777777" w:rsidR="00453E5C" w:rsidRPr="00FE372E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drobne narzędzia i sprzęt (co do zasady wszystkie zakupy niespełniające wymogu środka trwałego zgodnie z ustawą o rachunkowości oraz z przyjętą polityką rachunkowości) wykorzystywane do prac przedwdrożeniowych;</w:t>
            </w:r>
          </w:p>
          <w:p w14:paraId="72697DBA" w14:textId="77777777" w:rsidR="00453E5C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</w:r>
            <w:r w:rsidRPr="00D562FA">
              <w:rPr>
                <w:rFonts w:eastAsia="Times New Roman" w:cstheme="minorHAnsi"/>
                <w:iCs/>
                <w:sz w:val="24"/>
                <w:szCs w:val="24"/>
              </w:rPr>
              <w:t>koszty związane z działaniami informacyjno-promocyjnymi np. organizacja seminariów, konferencji oraz grup badawczych,</w:t>
            </w:r>
            <w:r w:rsidRPr="00757651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D562FA">
              <w:rPr>
                <w:rFonts w:eastAsia="Times New Roman" w:cstheme="minorHAnsi"/>
                <w:iCs/>
                <w:sz w:val="24"/>
                <w:szCs w:val="24"/>
              </w:rPr>
              <w:t>organizacja krajowych i zagranicznych wizyt studyjnych,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F75F26">
              <w:rPr>
                <w:rFonts w:eastAsia="Times New Roman" w:cstheme="minorHAnsi"/>
                <w:iCs/>
                <w:sz w:val="24"/>
                <w:szCs w:val="24"/>
              </w:rPr>
              <w:t>prowadzenie kampanii społecznych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  <w:r w:rsidRPr="006E1939">
              <w:rPr>
                <w:sz w:val="24"/>
                <w:szCs w:val="24"/>
              </w:rPr>
              <w:t xml:space="preserve"> organizowanie wydarzeń o charakterze medialnym mając</w:t>
            </w:r>
            <w:r>
              <w:rPr>
                <w:sz w:val="24"/>
                <w:szCs w:val="24"/>
              </w:rPr>
              <w:t>ych</w:t>
            </w:r>
            <w:r w:rsidRPr="006E1939">
              <w:rPr>
                <w:sz w:val="24"/>
                <w:szCs w:val="24"/>
              </w:rPr>
              <w:t xml:space="preserve"> na celu przekonanie opinii publicznej do proponowanych rozwiązań</w:t>
            </w:r>
            <w:r w:rsidRPr="00F75F26">
              <w:rPr>
                <w:rFonts w:eastAsia="Times New Roman" w:cstheme="minorHAnsi"/>
                <w:iCs/>
                <w:sz w:val="24"/>
                <w:szCs w:val="24"/>
              </w:rPr>
              <w:t>;</w:t>
            </w:r>
          </w:p>
          <w:p w14:paraId="54092CAD" w14:textId="77777777" w:rsidR="00453E5C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6145A8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6145A8">
              <w:rPr>
                <w:rFonts w:eastAsia="Times New Roman" w:cstheme="minorHAnsi"/>
                <w:iCs/>
                <w:sz w:val="24"/>
                <w:szCs w:val="24"/>
              </w:rPr>
              <w:tab/>
              <w:t>delegacje służbowe, o ile zostały wskazane we wniosku o dofinansowanie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;</w:t>
            </w:r>
          </w:p>
          <w:p w14:paraId="7F03CD2C" w14:textId="77777777" w:rsidR="00453E5C" w:rsidRPr="00844C74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6145A8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6145A8">
              <w:rPr>
                <w:rFonts w:eastAsia="Times New Roman" w:cstheme="minorHAnsi"/>
                <w:iCs/>
                <w:sz w:val="24"/>
                <w:szCs w:val="24"/>
              </w:rPr>
              <w:tab/>
              <w:t>kosz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ty uczestnictwa w konferencjach</w:t>
            </w:r>
            <w:r>
              <w:t xml:space="preserve"> </w:t>
            </w:r>
            <w:r w:rsidRPr="000A6E82">
              <w:rPr>
                <w:rFonts w:eastAsia="Times New Roman" w:cstheme="minorHAnsi"/>
                <w:iCs/>
                <w:sz w:val="24"/>
                <w:szCs w:val="24"/>
              </w:rPr>
              <w:t>oraz organizacji spotkań z decydentami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oraz </w:t>
            </w:r>
            <w:r w:rsidRPr="006E1939">
              <w:rPr>
                <w:sz w:val="24"/>
                <w:szCs w:val="24"/>
              </w:rPr>
              <w:t>instytucjami mającymi potencjał wdrożeniowy w celu przekonania do konkretnego rozwiązania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;</w:t>
            </w:r>
          </w:p>
          <w:p w14:paraId="4FE31981" w14:textId="77777777" w:rsidR="00453E5C" w:rsidRPr="00FE372E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 xml:space="preserve">koszty usług obcych o charakterze pomocniczym, które są niezbędne do realizacji projektu ale nie wpisują się w definicję kat E lub O; </w:t>
            </w:r>
          </w:p>
          <w:p w14:paraId="565641E7" w14:textId="77777777" w:rsidR="00453E5C" w:rsidRPr="00FE372E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</w:r>
            <w:r w:rsidRPr="00D562FA">
              <w:rPr>
                <w:rFonts w:eastAsia="Times New Roman" w:cstheme="minorHAnsi"/>
                <w:iCs/>
                <w:sz w:val="24"/>
                <w:szCs w:val="24"/>
              </w:rPr>
              <w:t>koszty opłat urzędowych ponoszonych w związku z realizacją prac przedwdrożeniowych – np. koszty uzyskania certyfikatu</w:t>
            </w:r>
            <w:r>
              <w:t xml:space="preserve"> </w:t>
            </w:r>
            <w:r w:rsidRPr="000A6E82">
              <w:rPr>
                <w:rFonts w:eastAsia="Times New Roman" w:cstheme="minorHAnsi"/>
                <w:iCs/>
                <w:sz w:val="24"/>
                <w:szCs w:val="24"/>
              </w:rPr>
              <w:t>zgodności upoważniającego do oznaczania wyrobu znakiem zgodności z normą krajową lub ponadnarodową</w:t>
            </w:r>
            <w:r w:rsidRPr="00D562FA">
              <w:rPr>
                <w:rFonts w:eastAsia="Times New Roman" w:cstheme="minorHAnsi"/>
                <w:iCs/>
                <w:sz w:val="24"/>
                <w:szCs w:val="24"/>
              </w:rPr>
              <w:t>, patentu (pierwsza rejestracja);</w:t>
            </w:r>
          </w:p>
          <w:p w14:paraId="462B252B" w14:textId="77777777" w:rsidR="00453E5C" w:rsidRPr="00DE45A9" w:rsidRDefault="00453E5C" w:rsidP="00704DB1">
            <w:pPr>
              <w:pStyle w:val="Akapitzlist"/>
              <w:spacing w:after="80" w:line="240" w:lineRule="auto"/>
              <w:ind w:left="634" w:right="709" w:hanging="28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FE372E">
              <w:rPr>
                <w:rFonts w:eastAsia="Times New Roman" w:cstheme="minorHAnsi"/>
                <w:iCs/>
                <w:sz w:val="24"/>
                <w:szCs w:val="24"/>
              </w:rPr>
              <w:tab/>
              <w:t>koszt audytu zewnętrznego, jeżeli rozpoczął się on po zrealizowaniu 50% całości planowych wydatków związanych z projektem.</w:t>
            </w:r>
          </w:p>
        </w:tc>
      </w:tr>
      <w:tr w:rsidR="00453E5C" w:rsidRPr="008C39A5" w14:paraId="45FBC849" w14:textId="77777777" w:rsidTr="00704DB1">
        <w:trPr>
          <w:trHeight w:val="64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58F5A940" w14:textId="77777777" w:rsidR="00453E5C" w:rsidRPr="003233D5" w:rsidRDefault="00453E5C" w:rsidP="00704DB1">
            <w:pPr>
              <w:pStyle w:val="Akapitzlist"/>
              <w:tabs>
                <w:tab w:val="left" w:pos="8647"/>
              </w:tabs>
              <w:spacing w:after="80" w:line="240" w:lineRule="auto"/>
              <w:ind w:left="1145" w:right="709"/>
              <w:contextualSpacing w:val="0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  <w:p w14:paraId="13B29B48" w14:textId="77777777" w:rsidR="00453E5C" w:rsidRPr="00B00811" w:rsidRDefault="00453E5C" w:rsidP="00453E5C">
            <w:pPr>
              <w:tabs>
                <w:tab w:val="left" w:pos="8647"/>
              </w:tabs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</w:pPr>
          </w:p>
        </w:tc>
      </w:tr>
      <w:tr w:rsidR="00453E5C" w:rsidRPr="008C39A5" w14:paraId="0985D46A" w14:textId="77777777" w:rsidTr="00704DB1">
        <w:trPr>
          <w:trHeight w:val="60"/>
        </w:trPr>
        <w:tc>
          <w:tcPr>
            <w:tcW w:w="5000" w:type="pct"/>
            <w:shd w:val="clear" w:color="000000" w:fill="FFFFFF"/>
            <w:vAlign w:val="bottom"/>
          </w:tcPr>
          <w:p w14:paraId="673F7C06" w14:textId="77777777" w:rsidR="00453E5C" w:rsidRPr="008C39A5" w:rsidRDefault="00453E5C" w:rsidP="00704DB1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color w:val="333333"/>
                <w:sz w:val="24"/>
                <w:szCs w:val="24"/>
              </w:rPr>
            </w:pPr>
          </w:p>
        </w:tc>
      </w:tr>
    </w:tbl>
    <w:p w14:paraId="6E329F00" w14:textId="243AF227" w:rsidR="00453E5C" w:rsidRPr="0009404C" w:rsidRDefault="002F4AFD" w:rsidP="00E51F79">
      <w:pPr>
        <w:pStyle w:val="Nagwek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3. </w:t>
      </w:r>
      <w:r w:rsidR="00453E5C" w:rsidRPr="0009404C">
        <w:rPr>
          <w:rFonts w:asciiTheme="minorHAnsi" w:hAnsiTheme="minorHAnsi"/>
          <w:sz w:val="28"/>
          <w:szCs w:val="28"/>
        </w:rPr>
        <w:t xml:space="preserve">Katalog kosztów kwalifikowalnych </w:t>
      </w:r>
      <w:r w:rsidR="00453E5C">
        <w:rPr>
          <w:rFonts w:asciiTheme="minorHAnsi" w:hAnsiTheme="minorHAnsi"/>
          <w:sz w:val="28"/>
          <w:szCs w:val="28"/>
        </w:rPr>
        <w:t xml:space="preserve">na wsparcie na zakładanie spółek celowych </w:t>
      </w:r>
    </w:p>
    <w:p w14:paraId="270AC18E" w14:textId="5814D8D3" w:rsidR="00453E5C" w:rsidRPr="00450FC4" w:rsidRDefault="00453E5C" w:rsidP="00453E5C">
      <w:pPr>
        <w:pStyle w:val="Default"/>
        <w:spacing w:before="120" w:after="120"/>
        <w:jc w:val="both"/>
        <w:rPr>
          <w:b/>
          <w:color w:val="548DD4" w:themeColor="text2" w:themeTint="99"/>
          <w:sz w:val="28"/>
          <w:szCs w:val="28"/>
        </w:rPr>
      </w:pPr>
      <w:r w:rsidRPr="00450FC4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Na   koszty   kwalifikowalne </w:t>
      </w:r>
      <w:r w:rsidRPr="00DC00A0">
        <w:rPr>
          <w:rFonts w:asciiTheme="minorHAnsi" w:hAnsiTheme="minorHAnsi"/>
          <w:b/>
          <w:color w:val="548DD4" w:themeColor="text2" w:themeTint="99"/>
          <w:sz w:val="28"/>
          <w:szCs w:val="28"/>
        </w:rPr>
        <w:t>na wsparcie na zakładanie spółek celowych</w:t>
      </w:r>
      <w:r w:rsidR="0045143F">
        <w:rPr>
          <w:rFonts w:asciiTheme="minorHAnsi" w:hAnsiTheme="minorHAnsi"/>
          <w:sz w:val="28"/>
          <w:szCs w:val="28"/>
        </w:rPr>
        <w:t xml:space="preserve"> </w:t>
      </w:r>
      <w:r w:rsidRPr="00450FC4">
        <w:rPr>
          <w:rFonts w:asciiTheme="minorHAnsi" w:hAnsiTheme="minorHAnsi"/>
          <w:b/>
          <w:color w:val="548DD4" w:themeColor="text2" w:themeTint="99"/>
          <w:sz w:val="28"/>
          <w:szCs w:val="28"/>
        </w:rPr>
        <w:t>projektu składają  się  poniższe  kategorie kosztów:</w:t>
      </w:r>
    </w:p>
    <w:tbl>
      <w:tblPr>
        <w:tblStyle w:val="Tabela-Siatka"/>
        <w:tblW w:w="0" w:type="auto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32"/>
        <w:gridCol w:w="6438"/>
      </w:tblGrid>
      <w:tr w:rsidR="00453E5C" w:rsidRPr="002549DE" w14:paraId="18DBF3BA" w14:textId="77777777" w:rsidTr="00704DB1">
        <w:trPr>
          <w:trHeight w:val="293"/>
        </w:trPr>
        <w:tc>
          <w:tcPr>
            <w:tcW w:w="2632" w:type="dxa"/>
          </w:tcPr>
          <w:p w14:paraId="62B0367B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Koszty bezpośrednie</w:t>
            </w:r>
          </w:p>
        </w:tc>
        <w:tc>
          <w:tcPr>
            <w:tcW w:w="6438" w:type="dxa"/>
          </w:tcPr>
          <w:p w14:paraId="7B77310B" w14:textId="77777777" w:rsidR="00453E5C" w:rsidRPr="000D260B" w:rsidRDefault="00453E5C" w:rsidP="00704DB1">
            <w:pPr>
              <w:pStyle w:val="Default"/>
              <w:spacing w:before="240"/>
              <w:ind w:firstLine="459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0D260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Podwykonawstwo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Pr="000D260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(E)</w:t>
            </w:r>
          </w:p>
          <w:p w14:paraId="26A1663D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  <w:tr w:rsidR="00453E5C" w:rsidRPr="002549DE" w14:paraId="3257F44D" w14:textId="77777777" w:rsidTr="00704DB1">
        <w:trPr>
          <w:trHeight w:val="442"/>
        </w:trPr>
        <w:tc>
          <w:tcPr>
            <w:tcW w:w="9070" w:type="dxa"/>
            <w:gridSpan w:val="2"/>
          </w:tcPr>
          <w:p w14:paraId="4921D793" w14:textId="77777777" w:rsidR="00453E5C" w:rsidRPr="002549DE" w:rsidRDefault="00453E5C" w:rsidP="00704DB1">
            <w:pPr>
              <w:pStyle w:val="Default"/>
              <w:spacing w:before="120" w:after="120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7343F5E7" w14:textId="77777777" w:rsidR="00453E5C" w:rsidRDefault="00453E5C" w:rsidP="00453E5C">
      <w:pPr>
        <w:pStyle w:val="Akapitzlist"/>
        <w:ind w:left="0"/>
        <w:jc w:val="both"/>
        <w:rPr>
          <w:rFonts w:cs="Times New Roman"/>
          <w:b/>
          <w:sz w:val="28"/>
          <w:szCs w:val="28"/>
          <w:u w:val="single"/>
        </w:rPr>
      </w:pPr>
    </w:p>
    <w:p w14:paraId="113D8725" w14:textId="77777777" w:rsidR="00453E5C" w:rsidRPr="0009404C" w:rsidRDefault="00453E5C" w:rsidP="00453E5C">
      <w:pPr>
        <w:pStyle w:val="Akapitzlist"/>
        <w:ind w:left="0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53E5C" w:rsidRPr="008C39A5" w14:paraId="2976EDDA" w14:textId="77777777" w:rsidTr="00704DB1">
        <w:trPr>
          <w:trHeight w:val="499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5C7256C0" w14:textId="77777777" w:rsidR="00453E5C" w:rsidRPr="0009404C" w:rsidRDefault="00453E5C" w:rsidP="00704DB1">
            <w:pPr>
              <w:pStyle w:val="Nagwek1"/>
              <w:jc w:val="center"/>
              <w:rPr>
                <w:rFonts w:eastAsia="Times New Roman"/>
                <w:b/>
              </w:rPr>
            </w:pPr>
            <w:r w:rsidRPr="0009404C">
              <w:rPr>
                <w:rFonts w:asciiTheme="minorHAnsi" w:eastAsia="Times New Roman" w:hAnsiTheme="minorHAnsi"/>
                <w:b/>
              </w:rPr>
              <w:t>E - Koszty podwykonawstwa</w:t>
            </w:r>
          </w:p>
        </w:tc>
      </w:tr>
      <w:tr w:rsidR="00453E5C" w:rsidRPr="003E21AD" w14:paraId="3BC78292" w14:textId="77777777" w:rsidTr="00704DB1">
        <w:trPr>
          <w:trHeight w:val="2356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528F7F76" w14:textId="77777777" w:rsidR="00453E5C" w:rsidRPr="003E21AD" w:rsidRDefault="00453E5C" w:rsidP="00704DB1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Jako k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>oszty podwykonawstwa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 należy rozumieć 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2B2D2C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koszty usług doradczych lub równoważnych (np. testy, badanie rynku) świadczonych w celu wykonania prac 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dotyczących wsparcia na zakładanie spółek celowych</w:t>
            </w:r>
            <w:r w:rsidRPr="002B2D2C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w projekcie.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6619C5B4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 xml:space="preserve">W przypadku usług doradczych lub równoważnych </w:t>
            </w:r>
            <w:r w:rsidRPr="001135EF">
              <w:rPr>
                <w:rFonts w:eastAsia="Times New Roman" w:cstheme="minorHAnsi"/>
                <w:b/>
                <w:iCs/>
              </w:rPr>
              <w:t>kosztami kwalifikowalnymi</w:t>
            </w:r>
            <w:r w:rsidRPr="001135EF">
              <w:rPr>
                <w:rFonts w:eastAsia="Times New Roman" w:cstheme="minorHAnsi"/>
                <w:iCs/>
              </w:rPr>
              <w:t xml:space="preserve"> </w:t>
            </w:r>
            <w:r w:rsidRPr="001135EF">
              <w:rPr>
                <w:rFonts w:eastAsia="Times New Roman" w:cstheme="minorHAnsi"/>
                <w:b/>
                <w:iCs/>
              </w:rPr>
              <w:t>są koszty usług:</w:t>
            </w:r>
          </w:p>
          <w:p w14:paraId="05C2838E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>- świadczonych przez konsultantów zewnętrznych;</w:t>
            </w:r>
          </w:p>
          <w:p w14:paraId="123D870D" w14:textId="77777777" w:rsidR="00453E5C" w:rsidRPr="001135EF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>- niemających charakteru ciągłego ani okresowego;</w:t>
            </w:r>
          </w:p>
          <w:p w14:paraId="5D72B47E" w14:textId="17A05021" w:rsidR="00453E5C" w:rsidRDefault="00453E5C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 w:rsidRPr="001135EF">
              <w:rPr>
                <w:rFonts w:eastAsia="Times New Roman" w:cstheme="minorHAnsi"/>
                <w:iCs/>
              </w:rPr>
              <w:t xml:space="preserve">- niezwiązanych ze zwykłymi kosztami operacyjnymi </w:t>
            </w:r>
            <w:r>
              <w:rPr>
                <w:rFonts w:eastAsia="Times New Roman" w:cstheme="minorHAnsi"/>
                <w:iCs/>
              </w:rPr>
              <w:t>Wykonawcy</w:t>
            </w:r>
            <w:r w:rsidRPr="001135EF">
              <w:rPr>
                <w:rFonts w:eastAsia="Times New Roman" w:cstheme="minorHAnsi"/>
                <w:iCs/>
              </w:rPr>
              <w:t xml:space="preserve">, takimi jak usługi doradztwa podatkowego, usługi prawnicze </w:t>
            </w:r>
            <w:r w:rsidRPr="009131DA">
              <w:rPr>
                <w:rFonts w:eastAsia="Times New Roman" w:cstheme="minorHAnsi"/>
                <w:iCs/>
              </w:rPr>
              <w:t>lub reklama.</w:t>
            </w:r>
          </w:p>
          <w:p w14:paraId="7C2EBDED" w14:textId="73F396A1" w:rsidR="008A37C0" w:rsidRPr="001135EF" w:rsidRDefault="008A37C0" w:rsidP="00704DB1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Powyższe koszty dotyczą </w:t>
            </w:r>
            <w:r w:rsidRPr="008A37C0">
              <w:rPr>
                <w:rFonts w:eastAsia="Times New Roman" w:cstheme="minorHAnsi"/>
                <w:iCs/>
              </w:rPr>
              <w:t>wsparcia eksperckiego</w:t>
            </w:r>
            <w:r w:rsidRPr="008A37C0">
              <w:rPr>
                <w:rFonts w:eastAsia="Times New Roman" w:cstheme="minorHAnsi"/>
                <w:iCs/>
              </w:rPr>
              <w:t xml:space="preserve"> w tworzeniu przez jednostki naukowe spółek mających komercjalizować wyniki działalności badawczo-rozwojowej tych jednostek naukowych</w:t>
            </w:r>
            <w:r w:rsidRPr="008A37C0">
              <w:rPr>
                <w:rFonts w:eastAsia="Times New Roman" w:cstheme="minorHAnsi"/>
                <w:iCs/>
              </w:rPr>
              <w:t>.</w:t>
            </w:r>
          </w:p>
          <w:p w14:paraId="46015285" w14:textId="77777777" w:rsidR="00453E5C" w:rsidRPr="003E21AD" w:rsidRDefault="00453E5C" w:rsidP="00E51F7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</w:tbl>
    <w:p w14:paraId="5CC2743C" w14:textId="77777777" w:rsidR="00453E5C" w:rsidRDefault="00453E5C" w:rsidP="0006420C">
      <w:pPr>
        <w:jc w:val="both"/>
        <w:rPr>
          <w:rFonts w:cs="Times New Roman"/>
          <w:i/>
          <w:sz w:val="28"/>
          <w:szCs w:val="28"/>
          <w:u w:val="single"/>
        </w:rPr>
      </w:pPr>
      <w:bookmarkStart w:id="4" w:name="_GoBack"/>
      <w:bookmarkEnd w:id="4"/>
    </w:p>
    <w:p w14:paraId="6D2B9C12" w14:textId="16552D95" w:rsidR="009117CB" w:rsidRPr="008C39A5" w:rsidRDefault="009117CB" w:rsidP="0006420C">
      <w:pPr>
        <w:jc w:val="both"/>
        <w:rPr>
          <w:rFonts w:cs="Times New Roman"/>
          <w:i/>
          <w:sz w:val="28"/>
          <w:szCs w:val="28"/>
        </w:rPr>
      </w:pPr>
      <w:r w:rsidRPr="008C39A5">
        <w:rPr>
          <w:rFonts w:cs="Times New Roman"/>
          <w:i/>
          <w:sz w:val="28"/>
          <w:szCs w:val="28"/>
          <w:u w:val="single"/>
        </w:rPr>
        <w:t>Załącznik nr 2</w:t>
      </w:r>
      <w:r w:rsidRPr="008C39A5">
        <w:rPr>
          <w:rFonts w:cs="Times New Roman"/>
          <w:i/>
          <w:sz w:val="28"/>
          <w:szCs w:val="28"/>
        </w:rPr>
        <w:t xml:space="preserve">. </w:t>
      </w:r>
      <w:r w:rsidR="00D740FB" w:rsidRPr="004E3FD8">
        <w:rPr>
          <w:rFonts w:cs="Times New Roman"/>
          <w:b/>
          <w:i/>
          <w:color w:val="548DD4" w:themeColor="text2" w:themeTint="99"/>
          <w:sz w:val="28"/>
          <w:szCs w:val="28"/>
        </w:rPr>
        <w:t>Katalog kosztów niekwalifikowa</w:t>
      </w:r>
      <w:r w:rsidR="00B32F87">
        <w:rPr>
          <w:rFonts w:cs="Times New Roman"/>
          <w:b/>
          <w:i/>
          <w:color w:val="548DD4" w:themeColor="text2" w:themeTint="99"/>
          <w:sz w:val="28"/>
          <w:szCs w:val="28"/>
        </w:rPr>
        <w:t>l</w:t>
      </w:r>
      <w:r w:rsidRPr="004E3FD8">
        <w:rPr>
          <w:rFonts w:cs="Times New Roman"/>
          <w:b/>
          <w:i/>
          <w:color w:val="548DD4" w:themeColor="text2" w:themeTint="99"/>
          <w:sz w:val="28"/>
          <w:szCs w:val="28"/>
        </w:rPr>
        <w:t>nych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117CB" w:rsidRPr="008C39A5" w14:paraId="108D3DF7" w14:textId="77777777" w:rsidTr="000F3DB6">
        <w:trPr>
          <w:trHeight w:val="333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D0F5719" w14:textId="77777777" w:rsidR="009117CB" w:rsidRPr="008C39A5" w:rsidRDefault="009117CB" w:rsidP="0006420C">
            <w:pPr>
              <w:spacing w:before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Co do zasady za koszty niekwalifikowalne uważa się:</w:t>
            </w:r>
          </w:p>
        </w:tc>
      </w:tr>
      <w:tr w:rsidR="009117CB" w:rsidRPr="008C39A5" w14:paraId="7096B200" w14:textId="77777777" w:rsidTr="000F3DB6">
        <w:trPr>
          <w:trHeight w:val="401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58EE514" w14:textId="77777777" w:rsidR="00084950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poniesione poza okresem kwalifikowalności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25F6FA85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000000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 xml:space="preserve">koszty niespełniające warunków kwalifikowalności określonych w </w:t>
            </w:r>
            <w:r w:rsidR="00841D09" w:rsidRPr="00406A0E">
              <w:rPr>
                <w:rFonts w:eastAsia="Times New Roman" w:cstheme="minorHAnsi"/>
                <w:i/>
                <w:iCs/>
                <w:color w:val="333333"/>
              </w:rPr>
              <w:t>Przewodniku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0EF59A62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nieudokumentowane lub nienależycie udokumentowane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F3061D0" w14:textId="3FC99419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poniesione niezgodnie z Ustawą Prawo Zamówień Publicznych</w:t>
            </w:r>
            <w:r w:rsidR="00785752">
              <w:rPr>
                <w:rFonts w:eastAsia="Times New Roman" w:cstheme="minorHAnsi"/>
                <w:i/>
                <w:iCs/>
                <w:color w:val="333333"/>
              </w:rPr>
              <w:t xml:space="preserve"> (jeżeli dot</w:t>
            </w:r>
            <w:r w:rsidR="00C1227D">
              <w:rPr>
                <w:rFonts w:eastAsia="Times New Roman" w:cstheme="minorHAnsi"/>
                <w:i/>
                <w:iCs/>
                <w:color w:val="333333"/>
              </w:rPr>
              <w:t>y</w:t>
            </w:r>
            <w:r w:rsidR="00785752">
              <w:rPr>
                <w:rFonts w:eastAsia="Times New Roman" w:cstheme="minorHAnsi"/>
                <w:i/>
                <w:iCs/>
                <w:color w:val="333333"/>
              </w:rPr>
              <w:t>czy)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E255BF3" w14:textId="77777777" w:rsidR="00084950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podatek od towarów i usług (VAT) , który w świetle prawa może być odzyskany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A456EFD" w14:textId="77777777" w:rsidR="00084950" w:rsidRPr="000308AA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000000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grzywny, mandaty, kary finansowe, opłaty i odsetki karne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54BFC789" w14:textId="0D194DCD" w:rsidR="00084950" w:rsidRPr="00406A0E" w:rsidRDefault="00440912" w:rsidP="00440912">
            <w:pPr>
              <w:pStyle w:val="Akapitzlist"/>
              <w:spacing w:after="0"/>
              <w:ind w:left="351" w:hanging="351"/>
              <w:contextualSpacing w:val="0"/>
              <w:rPr>
                <w:rFonts w:eastAsia="Times New Roman" w:cstheme="minorHAnsi"/>
                <w:color w:val="333333"/>
              </w:rPr>
            </w:pPr>
            <w:r w:rsidRPr="00440912">
              <w:rPr>
                <w:rFonts w:eastAsia="Times New Roman" w:cstheme="minorHAnsi"/>
                <w:i/>
                <w:iCs/>
                <w:color w:val="333333"/>
              </w:rPr>
              <w:t>·</w:t>
            </w:r>
            <w:r w:rsidRPr="00440912">
              <w:rPr>
                <w:rFonts w:eastAsia="Times New Roman" w:cstheme="minorHAnsi"/>
                <w:i/>
                <w:iCs/>
                <w:color w:val="333333"/>
              </w:rPr>
              <w:tab/>
              <w:t>koszt audytu zewnętrznego projektu, jeżeli rozpoczął się przed zrealizowaniem 50% planowych</w:t>
            </w:r>
            <w:r w:rsidR="00995167">
              <w:rPr>
                <w:rFonts w:eastAsia="Times New Roman" w:cstheme="minorHAnsi"/>
                <w:i/>
                <w:iCs/>
                <w:color w:val="333333"/>
              </w:rPr>
              <w:t xml:space="preserve"> wydatków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5C56B4B3" w14:textId="77777777" w:rsidR="00084950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w przypadku leasingu - podatek, marża finansującego, odsetki od refinansowania kosztów, opłaty ubezpieczeniowe, koszty ogólne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055F2061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color w:val="333333"/>
              </w:rPr>
              <w:t>poniższe</w:t>
            </w:r>
            <w:r w:rsidR="00676974" w:rsidRPr="00406A0E">
              <w:rPr>
                <w:rFonts w:eastAsia="Times New Roman" w:cstheme="minorHAnsi"/>
                <w:i/>
                <w:color w:val="333333"/>
              </w:rPr>
              <w:t xml:space="preserve"> </w:t>
            </w:r>
            <w:r w:rsidRPr="00406A0E">
              <w:rPr>
                <w:rFonts w:eastAsia="Times New Roman" w:cstheme="minorHAnsi"/>
                <w:i/>
                <w:iCs/>
                <w:color w:val="333333"/>
              </w:rPr>
              <w:t xml:space="preserve">składniki płacowe i pozapłacowe wynagrodzeń: </w:t>
            </w:r>
          </w:p>
          <w:p w14:paraId="2D69EB8D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nagroda jubileuszowa</w:t>
            </w:r>
          </w:p>
          <w:p w14:paraId="537E508C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ekwiwalent za niewykorzystany urlop wypoczynkowy</w:t>
            </w:r>
          </w:p>
          <w:p w14:paraId="2FE4D9E9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składka na grupowe ubezpieczenie na życie - traktowana jako przychód pracownika opodatkowany</w:t>
            </w:r>
          </w:p>
          <w:p w14:paraId="79888B52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świadczeń medycznych</w:t>
            </w:r>
          </w:p>
          <w:p w14:paraId="0655B42A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ekwiwalent pieniężny (np.: ulgowa odpłatność za energię elektryczną)</w:t>
            </w:r>
          </w:p>
          <w:p w14:paraId="20ED6DFA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energii elektrycznej (traktowana jako przychód pracownika opodatkowany)</w:t>
            </w:r>
          </w:p>
          <w:p w14:paraId="4FA0C492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używanie samochodu służbowego - dojazd do pracy z miejsca zamieszkania</w:t>
            </w:r>
          </w:p>
          <w:p w14:paraId="65A1EA15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dofinansowanie wypłacone z ZFŚS (przychód pracownika opodatkowany)</w:t>
            </w:r>
          </w:p>
          <w:p w14:paraId="0F9E07B1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zasiłki finansowane ze środków ZUS (np. macierzyński)</w:t>
            </w:r>
          </w:p>
          <w:p w14:paraId="3C99BF88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wynagrodzenie za pracę w godzinach nadliczbowych</w:t>
            </w:r>
          </w:p>
          <w:p w14:paraId="7155A104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lastRenderedPageBreak/>
              <w:t>koszty badań okresowych i wstępnych</w:t>
            </w:r>
          </w:p>
          <w:p w14:paraId="7D0F03C5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okularów</w:t>
            </w:r>
          </w:p>
          <w:p w14:paraId="44109D5E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dodatki za znajomość języków, za niepalenie i inne dodatki tego typu ustalone przez pracodawcę</w:t>
            </w:r>
          </w:p>
          <w:p w14:paraId="4C720247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bony żywieniowe dla pracowników</w:t>
            </w:r>
          </w:p>
          <w:p w14:paraId="4CCE438C" w14:textId="77777777" w:rsidR="009117CB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color w:val="333333"/>
              </w:rPr>
            </w:pPr>
            <w:r w:rsidRPr="008C39A5">
              <w:rPr>
                <w:rFonts w:eastAsia="Times New Roman" w:cstheme="minorHAnsi"/>
                <w:i/>
                <w:color w:val="333333"/>
              </w:rPr>
              <w:t>składki na Państwowy Fundusz Rehabilitacji Osób Niepełnosprawnych</w:t>
            </w:r>
          </w:p>
          <w:p w14:paraId="20021EF6" w14:textId="77777777" w:rsidR="00981608" w:rsidRPr="008C39A5" w:rsidRDefault="00981608" w:rsidP="00981608">
            <w:pPr>
              <w:pStyle w:val="Akapitzlist"/>
              <w:spacing w:after="0" w:line="240" w:lineRule="auto"/>
              <w:ind w:left="1276"/>
              <w:jc w:val="both"/>
              <w:rPr>
                <w:rFonts w:eastAsia="Times New Roman" w:cstheme="minorHAnsi"/>
                <w:i/>
                <w:color w:val="333333"/>
              </w:rPr>
            </w:pPr>
          </w:p>
          <w:p w14:paraId="0C6A99B0" w14:textId="46AD04C7" w:rsidR="009117CB" w:rsidRPr="008C39A5" w:rsidRDefault="009117CB" w:rsidP="0059678D">
            <w:pPr>
              <w:spacing w:before="12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>Koszty niekwalifikowa</w:t>
            </w:r>
            <w:r w:rsidR="00B32F87">
              <w:rPr>
                <w:rFonts w:eastAsia="Times New Roman" w:cstheme="minorHAnsi"/>
                <w:b/>
                <w:i/>
                <w:iCs/>
                <w:color w:val="333333"/>
              </w:rPr>
              <w:t>l</w:t>
            </w: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ne nie mogą stanowić części ani całości wymaganego wkładu własnego 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>Beneficjenta</w:t>
            </w:r>
            <w:r w:rsidR="008C39A5">
              <w:rPr>
                <w:rFonts w:eastAsia="Times New Roman" w:cstheme="minorHAnsi"/>
                <w:b/>
                <w:i/>
                <w:iCs/>
                <w:color w:val="333333"/>
              </w:rPr>
              <w:t>/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>Wsp</w:t>
            </w:r>
            <w:r w:rsidR="0059678D">
              <w:rPr>
                <w:rFonts w:eastAsia="Times New Roman" w:cstheme="minorHAnsi"/>
                <w:b/>
                <w:i/>
                <w:iCs/>
                <w:color w:val="333333"/>
              </w:rPr>
              <w:t>ó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łwykonawcy </w:t>
            </w:r>
            <w:r w:rsidR="008C39A5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realizującego </w:t>
            </w:r>
            <w:r w:rsidR="00700F1D">
              <w:rPr>
                <w:rFonts w:eastAsia="Times New Roman" w:cstheme="minorHAnsi"/>
                <w:b/>
                <w:i/>
                <w:iCs/>
                <w:color w:val="333333"/>
              </w:rPr>
              <w:t>p</w:t>
            </w: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>rojekt.</w:t>
            </w:r>
          </w:p>
        </w:tc>
      </w:tr>
    </w:tbl>
    <w:p w14:paraId="6037ABA0" w14:textId="77777777" w:rsidR="009117CB" w:rsidRPr="008C39A5" w:rsidRDefault="009117CB" w:rsidP="0006420C">
      <w:pPr>
        <w:pStyle w:val="Default"/>
        <w:jc w:val="both"/>
        <w:rPr>
          <w:rFonts w:asciiTheme="minorHAnsi" w:hAnsiTheme="minorHAnsi"/>
          <w:i/>
          <w:sz w:val="28"/>
          <w:szCs w:val="28"/>
        </w:rPr>
        <w:sectPr w:rsidR="009117CB" w:rsidRPr="008C39A5" w:rsidSect="004328AC">
          <w:headerReference w:type="default" r:id="rId9"/>
          <w:footerReference w:type="default" r:id="rId10"/>
          <w:pgSz w:w="11906" w:h="16838"/>
          <w:pgMar w:top="851" w:right="1418" w:bottom="1418" w:left="1418" w:header="284" w:footer="709" w:gutter="0"/>
          <w:pgNumType w:start="0"/>
          <w:cols w:space="720"/>
          <w:titlePg/>
          <w:docGrid w:linePitch="360"/>
        </w:sectPr>
      </w:pPr>
    </w:p>
    <w:p w14:paraId="52BFFC41" w14:textId="77777777" w:rsidR="00DB14D7" w:rsidRPr="008C39A5" w:rsidRDefault="00DB14D7" w:rsidP="0006420C">
      <w:pPr>
        <w:tabs>
          <w:tab w:val="left" w:pos="1843"/>
          <w:tab w:val="left" w:pos="1985"/>
        </w:tabs>
        <w:spacing w:after="0"/>
        <w:ind w:right="8623"/>
        <w:jc w:val="both"/>
        <w:rPr>
          <w:sz w:val="18"/>
          <w:szCs w:val="18"/>
        </w:rPr>
      </w:pPr>
    </w:p>
    <w:p w14:paraId="2A3D2F5E" w14:textId="77777777" w:rsidR="00B00195" w:rsidRPr="008C39A5" w:rsidRDefault="00B00195" w:rsidP="0006420C">
      <w:pPr>
        <w:tabs>
          <w:tab w:val="left" w:pos="1843"/>
          <w:tab w:val="left" w:pos="1985"/>
        </w:tabs>
        <w:spacing w:after="0"/>
        <w:ind w:right="8623"/>
        <w:jc w:val="both"/>
        <w:rPr>
          <w:sz w:val="18"/>
          <w:szCs w:val="18"/>
        </w:rPr>
      </w:pPr>
    </w:p>
    <w:p w14:paraId="22135D1C" w14:textId="77777777" w:rsidR="00DB14D7" w:rsidRPr="008C39A5" w:rsidRDefault="00DB14D7" w:rsidP="0006420C">
      <w:pPr>
        <w:spacing w:after="0"/>
        <w:ind w:left="6372" w:firstLine="708"/>
        <w:jc w:val="both"/>
        <w:rPr>
          <w:b/>
          <w:color w:val="004376"/>
          <w:sz w:val="4"/>
          <w:szCs w:val="4"/>
        </w:rPr>
      </w:pPr>
    </w:p>
    <w:p w14:paraId="4C08CF92" w14:textId="4F588961" w:rsidR="005135BC" w:rsidRPr="00F56451" w:rsidRDefault="005135BC" w:rsidP="005135BC">
      <w:pPr>
        <w:spacing w:after="0"/>
        <w:jc w:val="both"/>
        <w:rPr>
          <w:b/>
          <w:sz w:val="24"/>
          <w:szCs w:val="24"/>
        </w:rPr>
      </w:pPr>
      <w:r w:rsidRPr="00A00841">
        <w:rPr>
          <w:b/>
          <w:sz w:val="24"/>
          <w:szCs w:val="24"/>
        </w:rPr>
        <w:t xml:space="preserve">Załącznik nr </w:t>
      </w:r>
      <w:r w:rsidR="0045143F">
        <w:rPr>
          <w:b/>
          <w:sz w:val="24"/>
          <w:szCs w:val="24"/>
        </w:rPr>
        <w:t>3</w:t>
      </w:r>
      <w:r w:rsidRPr="00A00841">
        <w:rPr>
          <w:sz w:val="24"/>
          <w:szCs w:val="24"/>
        </w:rPr>
        <w:t xml:space="preserve">. </w:t>
      </w:r>
      <w:r w:rsidRPr="00F56451">
        <w:rPr>
          <w:b/>
          <w:sz w:val="24"/>
          <w:szCs w:val="24"/>
        </w:rPr>
        <w:t>Sposób i tryb przeprowadzania audytu zewnętrznego wydatkowania środków finansowych na projekty, w których całkowita wartość dofinansowania przekracza 3 000 000 zł</w:t>
      </w:r>
    </w:p>
    <w:p w14:paraId="090FFEF7" w14:textId="0B95A640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Załącznik określa sposób i tryb przeprowadzania audytu zewnętrznego wydatkowania środków finansowych na projekty, w których całkowita wartość dofinansowania przekracza </w:t>
      </w:r>
      <w:r w:rsidR="001F591E">
        <w:rPr>
          <w:sz w:val="24"/>
          <w:szCs w:val="24"/>
        </w:rPr>
        <w:br/>
      </w:r>
      <w:r w:rsidRPr="00A00841">
        <w:rPr>
          <w:sz w:val="24"/>
          <w:szCs w:val="24"/>
        </w:rPr>
        <w:t>3 000 000 zł, zwanego dalej „audytem".</w:t>
      </w:r>
    </w:p>
    <w:p w14:paraId="61D638E1" w14:textId="77777777" w:rsidR="00864288" w:rsidRPr="00A00841" w:rsidRDefault="00864288" w:rsidP="005135BC">
      <w:pPr>
        <w:spacing w:after="0"/>
        <w:jc w:val="both"/>
        <w:rPr>
          <w:sz w:val="24"/>
          <w:szCs w:val="24"/>
        </w:rPr>
      </w:pPr>
    </w:p>
    <w:p w14:paraId="45B504EC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1.</w:t>
      </w:r>
      <w:r w:rsidRPr="00A00841">
        <w:rPr>
          <w:sz w:val="24"/>
          <w:szCs w:val="24"/>
        </w:rPr>
        <w:tab/>
        <w:t>Audyt przeprowadza audytor, którym może być:</w:t>
      </w:r>
    </w:p>
    <w:p w14:paraId="4C8ABE9B" w14:textId="1F60D24B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 xml:space="preserve"> osoba spełniająca warunki określone w art. 286 ustawy z dnia 27 sierpnia 2009 r.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o finansach publicznych ;</w:t>
      </w:r>
    </w:p>
    <w:p w14:paraId="01BF173B" w14:textId="77777777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 xml:space="preserve"> osoba prawna lub jednostka organizacyjna nieposiadająca osobowości prawnej, zatrudniająca przy przeprowadzaniu audytu osoby, o których mowa w pkt 1).</w:t>
      </w:r>
    </w:p>
    <w:p w14:paraId="1AEADA86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2.</w:t>
      </w:r>
      <w:r w:rsidRPr="00A00841">
        <w:rPr>
          <w:sz w:val="24"/>
          <w:szCs w:val="24"/>
        </w:rPr>
        <w:tab/>
        <w:t>Audytorem nie może być:</w:t>
      </w:r>
    </w:p>
    <w:p w14:paraId="3ECE00FA" w14:textId="77777777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podmiot zależny od audytowanego podmiotu;</w:t>
      </w:r>
    </w:p>
    <w:p w14:paraId="00084D71" w14:textId="566D0086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 xml:space="preserve">podmiot dokonujący badania sprawozdania finansowego audytowanego podmiotu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w okresie 3 lat poprzedzających audyt.</w:t>
      </w:r>
    </w:p>
    <w:p w14:paraId="598F9AA0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3.</w:t>
      </w:r>
      <w:r w:rsidRPr="00A00841">
        <w:rPr>
          <w:sz w:val="24"/>
          <w:szCs w:val="24"/>
        </w:rPr>
        <w:tab/>
        <w:t xml:space="preserve">Audytowany podmiot dokonuje wyboru audytora, zgodnie z przepisami o zamówieniach publicznych/zasadą konkurencyjności. </w:t>
      </w:r>
    </w:p>
    <w:p w14:paraId="752BDD44" w14:textId="4FA9AF6A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4.</w:t>
      </w:r>
      <w:r w:rsidRPr="00A00841">
        <w:rPr>
          <w:sz w:val="24"/>
          <w:szCs w:val="24"/>
        </w:rPr>
        <w:tab/>
        <w:t xml:space="preserve">Kierownik audytowanego podmiotu, z zachowaniem przepisów o ochronie informacji niejawnych oraz tajemnic ustawowo chronionych, zapewnia warunki niezbędne do sprawnego przeprowadzenia audytu, w szczególności udostępnia obiekty, urządzenia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i dokumentację oraz umożliwia bezzwłoczne udzielanie informacji i wyjaśnień przez pracowników audytowanego podmiotu.</w:t>
      </w:r>
    </w:p>
    <w:p w14:paraId="2ED46BD2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5.</w:t>
      </w:r>
      <w:r w:rsidRPr="00A00841">
        <w:rPr>
          <w:sz w:val="24"/>
          <w:szCs w:val="24"/>
        </w:rPr>
        <w:tab/>
        <w:t>Audytor ma prawo wglądu do ksiąg rachunkowych i dokumentów stanowiących podstawę dokonywanych w nich zapisów oraz związanych z przeprowadzanym audytem informacji i danych, w tym zawartych na informatycznych nośnikach danych, do sporządzania ich kopii oraz wykonywania z nich wyciągów, zestawień lub wydruków, z zachowaniem przepisów o ochronie informacji niejawnych oraz tajemnic ustawowo chronionych.</w:t>
      </w:r>
    </w:p>
    <w:p w14:paraId="26392358" w14:textId="634D122D" w:rsidR="005135BC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6.</w:t>
      </w:r>
      <w:r w:rsidRPr="00A00841">
        <w:rPr>
          <w:sz w:val="24"/>
          <w:szCs w:val="24"/>
        </w:rPr>
        <w:tab/>
        <w:t xml:space="preserve">Pracownicy audytowanego podmiotu, na żądanie audytora, udzielają informacji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 xml:space="preserve">i wyjaśnień oraz potwierdzają „za zgodność z oryginałem" kopie dokumentów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i sporządzają z nich wyciągi, zestawienia oraz wydruki, w zakresie niezbędnym do realizacji celu audytu i zgodnie z przedstawioną przez audytora metodologią doboru próby dokumentów podlegających badaniu.</w:t>
      </w:r>
    </w:p>
    <w:p w14:paraId="1EBF2B08" w14:textId="16B374DA" w:rsidR="007C766F" w:rsidRDefault="007C766F" w:rsidP="00191FF9">
      <w:pPr>
        <w:spacing w:after="0"/>
        <w:ind w:left="426" w:hanging="426"/>
        <w:jc w:val="both"/>
        <w:rPr>
          <w:sz w:val="24"/>
          <w:szCs w:val="24"/>
        </w:rPr>
      </w:pPr>
    </w:p>
    <w:p w14:paraId="7D967E19" w14:textId="77777777" w:rsidR="007C766F" w:rsidRPr="00A00841" w:rsidRDefault="007C766F" w:rsidP="00191FF9">
      <w:pPr>
        <w:spacing w:after="0"/>
        <w:ind w:left="426" w:hanging="426"/>
        <w:jc w:val="both"/>
        <w:rPr>
          <w:sz w:val="24"/>
          <w:szCs w:val="24"/>
        </w:rPr>
      </w:pPr>
    </w:p>
    <w:p w14:paraId="790DA874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7.</w:t>
      </w:r>
      <w:r w:rsidRPr="00A00841">
        <w:rPr>
          <w:sz w:val="24"/>
          <w:szCs w:val="24"/>
        </w:rPr>
        <w:tab/>
        <w:t>Celem przeprowadzenia audytu projektu, jest wydanie przez audytora opinii na temat:</w:t>
      </w:r>
    </w:p>
    <w:p w14:paraId="1C0460E8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lastRenderedPageBreak/>
        <w:t>1)</w:t>
      </w:r>
      <w:r w:rsidRPr="00A00841">
        <w:rPr>
          <w:sz w:val="24"/>
          <w:szCs w:val="24"/>
        </w:rPr>
        <w:tab/>
        <w:t>wiarygodności danych liczbowych i opisowych zawartych w dokumentach związanych z realizowanym projektem;</w:t>
      </w:r>
    </w:p>
    <w:p w14:paraId="6F065402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realizacji wydatków i uzyskania założonych efektów związanych z audytowanym projektem, zgodnie z wymaganiami zawartymi we wniosku, decyzji lub umowie;</w:t>
      </w:r>
    </w:p>
    <w:p w14:paraId="60D1C59D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3) </w:t>
      </w:r>
      <w:r w:rsidRPr="00A00841">
        <w:rPr>
          <w:sz w:val="24"/>
          <w:szCs w:val="24"/>
        </w:rPr>
        <w:tab/>
        <w:t>poprawności dokumentowania i ujęcia operacji gospodarczych w wyodrębnionej dla danego projektu ewidencji księgowej.</w:t>
      </w:r>
    </w:p>
    <w:p w14:paraId="6A96FFA9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8. </w:t>
      </w:r>
      <w:r w:rsidRPr="00A00841">
        <w:rPr>
          <w:sz w:val="24"/>
          <w:szCs w:val="24"/>
        </w:rPr>
        <w:tab/>
        <w:t>Audyt projektu obejmuje sprawdzenie:</w:t>
      </w:r>
    </w:p>
    <w:p w14:paraId="3DDAD840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osiągnięcia celu projektu oraz zgodności realizacji projektu z umową;</w:t>
      </w:r>
    </w:p>
    <w:p w14:paraId="0FA6F1A2" w14:textId="77777777" w:rsidR="005135BC" w:rsidRPr="00A00841" w:rsidRDefault="005135BC" w:rsidP="008751A6">
      <w:pPr>
        <w:spacing w:after="0"/>
        <w:ind w:left="709" w:hanging="283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poprawności księgowania wydatków poniesionych w ramach realizowanego projektu, ich zasadności, sposobu udokumentowania i wyodrębnienia w ewidencji księgowej;</w:t>
      </w:r>
    </w:p>
    <w:p w14:paraId="12909A4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3)</w:t>
      </w:r>
      <w:r w:rsidRPr="00A00841">
        <w:rPr>
          <w:sz w:val="24"/>
          <w:szCs w:val="24"/>
        </w:rPr>
        <w:tab/>
        <w:t>płatności wydatków związanych z projektem;</w:t>
      </w:r>
    </w:p>
    <w:p w14:paraId="507BB278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4)</w:t>
      </w:r>
      <w:r w:rsidRPr="00A00841">
        <w:rPr>
          <w:sz w:val="24"/>
          <w:szCs w:val="24"/>
        </w:rPr>
        <w:tab/>
        <w:t>wiarygodności i terminowości sprawozdań z realizacji projektu;</w:t>
      </w:r>
    </w:p>
    <w:p w14:paraId="347A782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5)</w:t>
      </w:r>
      <w:r w:rsidRPr="00A00841">
        <w:rPr>
          <w:sz w:val="24"/>
          <w:szCs w:val="24"/>
        </w:rPr>
        <w:tab/>
        <w:t>terminowości rozliczania otrzymanych środków finansowych na realizację projektu;</w:t>
      </w:r>
    </w:p>
    <w:p w14:paraId="5960C38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6)</w:t>
      </w:r>
      <w:r w:rsidRPr="00A00841">
        <w:rPr>
          <w:sz w:val="24"/>
          <w:szCs w:val="24"/>
        </w:rPr>
        <w:tab/>
        <w:t>sposobu monitorowania realizacji celów projektu;</w:t>
      </w:r>
    </w:p>
    <w:p w14:paraId="703A6EA1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7)</w:t>
      </w:r>
      <w:r w:rsidRPr="00A00841">
        <w:rPr>
          <w:sz w:val="24"/>
          <w:szCs w:val="24"/>
        </w:rPr>
        <w:tab/>
        <w:t>sposobu przechowywania i zabezpieczania dokumentacji dotyczącej projektu;</w:t>
      </w:r>
    </w:p>
    <w:p w14:paraId="0CB30D1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8)</w:t>
      </w:r>
      <w:r w:rsidRPr="00A00841">
        <w:rPr>
          <w:sz w:val="24"/>
          <w:szCs w:val="24"/>
        </w:rPr>
        <w:tab/>
        <w:t>przestrzegania przepisów o rachunkowości, zamówieniach publicznych i finansach publicznych, w tym w zakresie przestrzegania dyscypliny finansów publicznych;</w:t>
      </w:r>
    </w:p>
    <w:p w14:paraId="4C0A669A" w14:textId="77777777" w:rsidR="005135BC" w:rsidRPr="00A00841" w:rsidRDefault="005135BC" w:rsidP="00191FF9">
      <w:pPr>
        <w:spacing w:after="0"/>
        <w:ind w:left="426" w:hanging="142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9)</w:t>
      </w:r>
      <w:r w:rsidRPr="00A00841">
        <w:rPr>
          <w:sz w:val="24"/>
          <w:szCs w:val="24"/>
        </w:rPr>
        <w:tab/>
        <w:t>funkcjonowania systemu kontroli wewnętrznej w odniesieniu do realizacji projektu;</w:t>
      </w:r>
    </w:p>
    <w:p w14:paraId="460EF8B6" w14:textId="77777777" w:rsidR="005135BC" w:rsidRPr="00A00841" w:rsidRDefault="005135BC" w:rsidP="00191FF9">
      <w:pPr>
        <w:spacing w:after="0"/>
        <w:ind w:left="426" w:hanging="142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10) </w:t>
      </w:r>
      <w:r w:rsidRPr="00A00841">
        <w:rPr>
          <w:sz w:val="24"/>
          <w:szCs w:val="24"/>
        </w:rPr>
        <w:tab/>
        <w:t>realizacji wniosków i zaleceń z wcześniejszych kontroli i audytów.</w:t>
      </w:r>
    </w:p>
    <w:p w14:paraId="476844FE" w14:textId="76AFAC34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10.</w:t>
      </w:r>
      <w:r w:rsidRPr="00A00841">
        <w:rPr>
          <w:sz w:val="24"/>
          <w:szCs w:val="24"/>
        </w:rPr>
        <w:tab/>
        <w:t>Audyt projektu rozpoczyna się co najmniej po zrealizowaniu 50% planowanych wydatków związanych z projektem i kończy się przed złożeniem końcowego sprawozdania z realizacji projektu.</w:t>
      </w:r>
    </w:p>
    <w:p w14:paraId="062BAD2D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11.</w:t>
      </w:r>
      <w:r w:rsidRPr="00A00841">
        <w:rPr>
          <w:sz w:val="24"/>
          <w:szCs w:val="24"/>
        </w:rPr>
        <w:tab/>
        <w:t>W przypadku gdy przeprowadzenie audytu wymaga specjalistycznej wiedzy, umiejętności lub kwalifikacji, audytor może powołać, na swój koszt, rzeczoznawcę.</w:t>
      </w:r>
    </w:p>
    <w:p w14:paraId="549F5636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12. 1 Na podstawie zebranych dowodów audytor sporządza pisemne sprawozdanie z audytu, zwane dalej „sprawozdaniem".</w:t>
      </w:r>
    </w:p>
    <w:p w14:paraId="7FBB3EAA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12.2 Audytor jest obowiązany zachować poufność i nie naruszać tajemnic audytowanych podmiotów w rozumieniu przepisów o zwalczaniu nieuczciwej konkurencji.</w:t>
      </w:r>
    </w:p>
    <w:p w14:paraId="4D5FF2EC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13. 1. Sprawozdanie zawiera:</w:t>
      </w:r>
    </w:p>
    <w:p w14:paraId="74F7289D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datę sporządzenia;</w:t>
      </w:r>
    </w:p>
    <w:p w14:paraId="48DE09EB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nazwę i adres audytowanego podmiotu;</w:t>
      </w:r>
    </w:p>
    <w:p w14:paraId="092F5205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3)</w:t>
      </w:r>
      <w:r w:rsidRPr="00A00841">
        <w:rPr>
          <w:sz w:val="24"/>
          <w:szCs w:val="24"/>
        </w:rPr>
        <w:tab/>
        <w:t>nazwę i numer projektu;</w:t>
      </w:r>
    </w:p>
    <w:p w14:paraId="776A2E87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4)</w:t>
      </w:r>
      <w:r w:rsidRPr="00A00841">
        <w:rPr>
          <w:sz w:val="24"/>
          <w:szCs w:val="24"/>
        </w:rPr>
        <w:tab/>
        <w:t>oświadczenie audytora o niezależności od audytowanego podmiotu;</w:t>
      </w:r>
    </w:p>
    <w:p w14:paraId="3F87F165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5)</w:t>
      </w:r>
      <w:r w:rsidRPr="00A00841">
        <w:rPr>
          <w:sz w:val="24"/>
          <w:szCs w:val="24"/>
        </w:rPr>
        <w:tab/>
        <w:t>imiona, nazwiska i określenie uprawnień audytorów;</w:t>
      </w:r>
    </w:p>
    <w:p w14:paraId="5D448F60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6)</w:t>
      </w:r>
      <w:r w:rsidRPr="00A00841">
        <w:rPr>
          <w:sz w:val="24"/>
          <w:szCs w:val="24"/>
        </w:rPr>
        <w:tab/>
        <w:t>cele audytu;</w:t>
      </w:r>
    </w:p>
    <w:p w14:paraId="2A3D2DFE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7)</w:t>
      </w:r>
      <w:r w:rsidRPr="00A00841">
        <w:rPr>
          <w:sz w:val="24"/>
          <w:szCs w:val="24"/>
        </w:rPr>
        <w:tab/>
        <w:t>podmiotowy i przedmiotowy zakres audytu;</w:t>
      </w:r>
    </w:p>
    <w:p w14:paraId="081A3421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8)</w:t>
      </w:r>
      <w:r w:rsidRPr="00A00841">
        <w:rPr>
          <w:sz w:val="24"/>
          <w:szCs w:val="24"/>
        </w:rPr>
        <w:tab/>
        <w:t>termin, w którym przeprowadzono audyt;</w:t>
      </w:r>
    </w:p>
    <w:p w14:paraId="704E9B12" w14:textId="77777777" w:rsidR="005135BC" w:rsidRPr="00A00841" w:rsidRDefault="005135BC" w:rsidP="009D50D3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9)</w:t>
      </w:r>
      <w:r w:rsidRPr="00A00841">
        <w:rPr>
          <w:sz w:val="24"/>
          <w:szCs w:val="24"/>
        </w:rPr>
        <w:tab/>
        <w:t>zwięzły opis działań audytowanego podmiotu w obszarze objętym audytem;</w:t>
      </w:r>
    </w:p>
    <w:p w14:paraId="129FED84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lastRenderedPageBreak/>
        <w:t>10)</w:t>
      </w:r>
      <w:r w:rsidRPr="00A00841">
        <w:rPr>
          <w:sz w:val="24"/>
          <w:szCs w:val="24"/>
        </w:rPr>
        <w:tab/>
        <w:t>ocenę adekwatności i skuteczności systemu zarządzania i kontroli w obszarze działalności audytowanego podmiotu objętym audytem;</w:t>
      </w:r>
    </w:p>
    <w:p w14:paraId="1C678AB1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11)</w:t>
      </w:r>
      <w:r w:rsidRPr="00A00841">
        <w:rPr>
          <w:sz w:val="24"/>
          <w:szCs w:val="24"/>
        </w:rPr>
        <w:tab/>
        <w:t>informację o metodzie doboru i wielkości próby do badania;</w:t>
      </w:r>
    </w:p>
    <w:p w14:paraId="4B406272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12)</w:t>
      </w:r>
      <w:r w:rsidRPr="00A00841">
        <w:rPr>
          <w:sz w:val="24"/>
          <w:szCs w:val="24"/>
        </w:rPr>
        <w:tab/>
        <w:t>zaprezentowanie wyników badania, w których stwierdzono nieprawidłowości;</w:t>
      </w:r>
    </w:p>
    <w:p w14:paraId="000D8776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13)</w:t>
      </w:r>
      <w:r w:rsidRPr="00A00841">
        <w:rPr>
          <w:sz w:val="24"/>
          <w:szCs w:val="24"/>
        </w:rPr>
        <w:tab/>
        <w:t>określenie nieprawidłowości w działalności audytowanego podmiotu oraz analizę ich przyczyn i skutków;</w:t>
      </w:r>
    </w:p>
    <w:p w14:paraId="22125764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14)</w:t>
      </w:r>
      <w:r w:rsidRPr="00A00841">
        <w:rPr>
          <w:sz w:val="24"/>
          <w:szCs w:val="24"/>
        </w:rPr>
        <w:tab/>
        <w:t>zalecenia w sprawie usunięcia stwierdzonych nieprawidłowości w działalności audytowanego podmiotu;</w:t>
      </w:r>
    </w:p>
    <w:p w14:paraId="34AF6089" w14:textId="5EDF0488" w:rsidR="005135BC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13. 2. Do sprawozdania audytor dołącza opinię, o której mowa w pkt 7.</w:t>
      </w:r>
    </w:p>
    <w:p w14:paraId="73A9A65A" w14:textId="4FD5A9E2" w:rsidR="00EF0130" w:rsidRDefault="005135BC" w:rsidP="00EF0130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14. 1. Sprawozdanie przekazuje się audytowanemu podmiotowi w terminie 7 dni od dnia zakończenia audytu.</w:t>
      </w:r>
      <w:r w:rsidR="00EF0130" w:rsidRPr="00EF0130">
        <w:rPr>
          <w:sz w:val="24"/>
          <w:szCs w:val="24"/>
        </w:rPr>
        <w:t xml:space="preserve"> </w:t>
      </w:r>
    </w:p>
    <w:p w14:paraId="461025AF" w14:textId="653E448B" w:rsidR="00EF0130" w:rsidRPr="00A00841" w:rsidRDefault="00EF0130" w:rsidP="00EF01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 </w:t>
      </w:r>
      <w:r w:rsidRPr="00EF0130">
        <w:rPr>
          <w:sz w:val="24"/>
          <w:szCs w:val="24"/>
        </w:rPr>
        <w:t xml:space="preserve">Audytowany podmiot zobowiązany jest do uzyskania oświadczenia audytora o przeprowadzeniu audytu zewnętrznego zgodnie z Załącznikiem </w:t>
      </w:r>
      <w:r w:rsidRPr="00DF3811">
        <w:rPr>
          <w:i/>
          <w:sz w:val="24"/>
          <w:szCs w:val="24"/>
        </w:rPr>
        <w:t>Sposób i tryb przeprowadzania audytu zewnętrznego wydatkowania środków finansowych na projekty, w których całkowita wartość dofinansowania przekracza 3 000 000 zł.</w:t>
      </w:r>
      <w:r w:rsidRPr="00EF0130">
        <w:rPr>
          <w:sz w:val="24"/>
          <w:szCs w:val="24"/>
        </w:rPr>
        <w:t xml:space="preserve"> Oświadczenie powinno być złożone w formie pisemnej i może być zawarte w sprawozdaniu, protokole zdawczo-odbiorczym lub innym dokumencie z audytu.</w:t>
      </w:r>
    </w:p>
    <w:p w14:paraId="47173AA4" w14:textId="3B4C63A9" w:rsidR="005135BC" w:rsidRPr="00A00841" w:rsidRDefault="005135BC" w:rsidP="005135BC">
      <w:pPr>
        <w:spacing w:after="0"/>
        <w:jc w:val="both"/>
        <w:rPr>
          <w:sz w:val="24"/>
          <w:szCs w:val="24"/>
        </w:rPr>
      </w:pPr>
    </w:p>
    <w:p w14:paraId="61317B5F" w14:textId="18B1A076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14.</w:t>
      </w:r>
      <w:r w:rsidR="00EF0130">
        <w:rPr>
          <w:sz w:val="24"/>
          <w:szCs w:val="24"/>
        </w:rPr>
        <w:t>3</w:t>
      </w:r>
      <w:r w:rsidRPr="00A00841">
        <w:rPr>
          <w:sz w:val="24"/>
          <w:szCs w:val="24"/>
        </w:rPr>
        <w:t>. Sprawozdanie z audytu audytowany podmiot przechowuje przez okres co najmniej 5 lat i udostępnia na każde żądanie NCBR.</w:t>
      </w:r>
    </w:p>
    <w:p w14:paraId="4256C487" w14:textId="61E24092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15. Audytowany podmiot przekazuje NCBR jeden egzemplarz sprawozdania oraz ewentualne stanowisko do ustaleń zawartych w sprawozdaniu, w terminie 21 dni od dnia otrzymania sprawozdania</w:t>
      </w:r>
      <w:r w:rsidR="00CF4CDC">
        <w:rPr>
          <w:sz w:val="24"/>
          <w:szCs w:val="24"/>
        </w:rPr>
        <w:t xml:space="preserve">, o ile zapisy umowy </w:t>
      </w:r>
      <w:r w:rsidR="00C90714">
        <w:rPr>
          <w:sz w:val="24"/>
          <w:szCs w:val="24"/>
        </w:rPr>
        <w:t xml:space="preserve">o dofinansowanie </w:t>
      </w:r>
      <w:r w:rsidR="00CF4CDC">
        <w:rPr>
          <w:sz w:val="24"/>
          <w:szCs w:val="24"/>
        </w:rPr>
        <w:t>nie stanowią inaczej</w:t>
      </w:r>
      <w:r w:rsidRPr="00A00841">
        <w:rPr>
          <w:sz w:val="24"/>
          <w:szCs w:val="24"/>
        </w:rPr>
        <w:t>.</w:t>
      </w:r>
    </w:p>
    <w:p w14:paraId="3DBDBB6F" w14:textId="23CD3EB5" w:rsidR="00410A38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16. Audytor jest obowiązany do udzielania wyjaśnień w zakresie objętym audytem NCBR oraz upoważnionym przez NCBR osobom.</w:t>
      </w:r>
    </w:p>
    <w:sectPr w:rsidR="00410A38" w:rsidRPr="00A00841" w:rsidSect="004328AC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365E" w14:textId="77777777" w:rsidR="0045143F" w:rsidRDefault="0045143F" w:rsidP="00581FA6">
      <w:pPr>
        <w:spacing w:after="0" w:line="240" w:lineRule="auto"/>
      </w:pPr>
      <w:r>
        <w:separator/>
      </w:r>
    </w:p>
  </w:endnote>
  <w:endnote w:type="continuationSeparator" w:id="0">
    <w:p w14:paraId="708B2229" w14:textId="77777777" w:rsidR="0045143F" w:rsidRDefault="0045143F" w:rsidP="0058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C36E" w14:textId="63C14995" w:rsidR="0045143F" w:rsidRPr="002E6AB9" w:rsidRDefault="0045143F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Dział Współpracy z Beneficjentem </w:t>
    </w:r>
    <w:r w:rsidRPr="002E6AB9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2E6AB9">
      <w:rPr>
        <w:rFonts w:ascii="Times New Roman" w:hAnsi="Times New Roman" w:cs="Times New Roman"/>
        <w:i/>
        <w:sz w:val="18"/>
        <w:szCs w:val="18"/>
      </w:rPr>
      <w:t xml:space="preserve">Strona </w:t>
    </w:r>
    <w:r w:rsidRPr="002E6AB9">
      <w:rPr>
        <w:rFonts w:ascii="Times New Roman" w:hAnsi="Times New Roman" w:cs="Times New Roman"/>
        <w:i/>
        <w:sz w:val="18"/>
        <w:szCs w:val="18"/>
      </w:rPr>
      <w:fldChar w:fldCharType="begin"/>
    </w:r>
    <w:r w:rsidRPr="002E6AB9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Pr="002E6AB9">
      <w:rPr>
        <w:rFonts w:ascii="Times New Roman" w:hAnsi="Times New Roman" w:cs="Times New Roman"/>
        <w:i/>
        <w:sz w:val="18"/>
        <w:szCs w:val="18"/>
      </w:rPr>
      <w:fldChar w:fldCharType="separate"/>
    </w:r>
    <w:r w:rsidR="00084A6E">
      <w:rPr>
        <w:rFonts w:ascii="Times New Roman" w:hAnsi="Times New Roman" w:cs="Times New Roman"/>
        <w:i/>
        <w:noProof/>
        <w:sz w:val="18"/>
        <w:szCs w:val="18"/>
      </w:rPr>
      <w:t>21</w:t>
    </w:r>
    <w:r w:rsidRPr="002E6AB9">
      <w:rPr>
        <w:rFonts w:ascii="Times New Roman" w:hAnsi="Times New Roman" w:cs="Times New Roman"/>
        <w:i/>
        <w:noProof/>
        <w:sz w:val="18"/>
        <w:szCs w:val="18"/>
      </w:rPr>
      <w:fldChar w:fldCharType="end"/>
    </w:r>
  </w:p>
  <w:p w14:paraId="449A4C7F" w14:textId="77777777" w:rsidR="0045143F" w:rsidRPr="00581FA6" w:rsidRDefault="0045143F">
    <w:pPr>
      <w:pStyle w:val="Stopka"/>
      <w:rPr>
        <w:rFonts w:ascii="Times New Roman" w:hAnsi="Times New Roman" w:cs="Times New Roman"/>
        <w:i/>
        <w:color w:val="548DD4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2D688" w14:textId="77777777" w:rsidR="0045143F" w:rsidRDefault="0045143F" w:rsidP="00581FA6">
      <w:pPr>
        <w:spacing w:after="0" w:line="240" w:lineRule="auto"/>
      </w:pPr>
      <w:r>
        <w:separator/>
      </w:r>
    </w:p>
  </w:footnote>
  <w:footnote w:type="continuationSeparator" w:id="0">
    <w:p w14:paraId="7A41F4B6" w14:textId="77777777" w:rsidR="0045143F" w:rsidRDefault="0045143F" w:rsidP="00581FA6">
      <w:pPr>
        <w:spacing w:after="0" w:line="240" w:lineRule="auto"/>
      </w:pPr>
      <w:r>
        <w:continuationSeparator/>
      </w:r>
    </w:p>
  </w:footnote>
  <w:footnote w:id="1">
    <w:p w14:paraId="1949C12A" w14:textId="50AB36C1" w:rsidR="0045143F" w:rsidRPr="007D0ED2" w:rsidRDefault="0045143F" w:rsidP="00A646E4">
      <w:pPr>
        <w:pStyle w:val="Tekstprzypisudolnego"/>
        <w:jc w:val="both"/>
      </w:pPr>
      <w:r w:rsidRPr="00584056">
        <w:rPr>
          <w:rStyle w:val="Odwoanieprzypisudolnego"/>
        </w:rPr>
        <w:footnoteRef/>
      </w:r>
      <w:r w:rsidRPr="00584056">
        <w:t xml:space="preserve"> </w:t>
      </w:r>
      <w:r w:rsidRPr="00225E06">
        <w:t>W sytuacji zmiany regulaminu wynagrodzeń u Beneficjenta w trakcie realizacji projektu, obowiązującym dokumentem jest regulamin obowiązujący na dzień złożenia wniosku o dofinansowanie, stanowiący podstawę planowania budżetu projektu.</w:t>
      </w:r>
      <w:r w:rsidRPr="00584056">
        <w:t xml:space="preserve"> </w:t>
      </w:r>
    </w:p>
  </w:footnote>
  <w:footnote w:id="2">
    <w:p w14:paraId="06E11F6D" w14:textId="77777777" w:rsidR="0045143F" w:rsidRPr="007D0ED2" w:rsidRDefault="0045143F" w:rsidP="00453E5C">
      <w:pPr>
        <w:pStyle w:val="Tekstprzypisudolnego"/>
        <w:jc w:val="both"/>
      </w:pPr>
      <w:r w:rsidRPr="00584056">
        <w:rPr>
          <w:rStyle w:val="Odwoanieprzypisudolnego"/>
        </w:rPr>
        <w:footnoteRef/>
      </w:r>
      <w:r w:rsidRPr="00584056">
        <w:t xml:space="preserve"> W sytuacji zmiany regulaminu wynagrodzeń u Wykonawcy w trakcie realizacji projektu, obowiązującym dokumentem jest regulamin obowiązujący na dzień złożenia wniosku o dofinansowanie, stanowiący podstawę planowania budżetu projektu. </w:t>
      </w:r>
    </w:p>
  </w:footnote>
  <w:footnote w:id="3">
    <w:p w14:paraId="057F3C31" w14:textId="77777777" w:rsidR="0045143F" w:rsidRPr="005F4AA6" w:rsidRDefault="0045143F" w:rsidP="00453E5C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Style w:val="Odwoanieprzypisudolnego"/>
          <w:rFonts w:ascii="Calibri" w:eastAsia="Times New Roman" w:hAnsi="Calibri" w:cstheme="minorHAnsi"/>
          <w:iCs/>
        </w:rPr>
        <w:footnoteRef/>
      </w:r>
      <w:r w:rsidRPr="001E318B">
        <w:rPr>
          <w:rFonts w:ascii="Arial" w:eastAsia="Times New Roman" w:hAnsi="Arial" w:cs="Arial"/>
          <w:sz w:val="16"/>
          <w:szCs w:val="16"/>
        </w:rPr>
        <w:t xml:space="preserve">W kategorii </w:t>
      </w:r>
      <w:proofErr w:type="spellStart"/>
      <w:r w:rsidRPr="001E318B">
        <w:rPr>
          <w:rFonts w:ascii="Arial" w:eastAsia="Times New Roman" w:hAnsi="Arial" w:cs="Arial"/>
          <w:sz w:val="16"/>
          <w:szCs w:val="16"/>
        </w:rPr>
        <w:t>Op</w:t>
      </w:r>
      <w:proofErr w:type="spellEnd"/>
      <w:r w:rsidRPr="001E318B">
        <w:rPr>
          <w:rFonts w:ascii="Arial" w:eastAsia="Times New Roman" w:hAnsi="Arial" w:cs="Arial"/>
          <w:sz w:val="16"/>
          <w:szCs w:val="16"/>
        </w:rPr>
        <w:t xml:space="preserve"> rozliczyć można koszty budynków lub gruntów, które są w całości lub części wykorzystywane </w:t>
      </w:r>
      <w:r w:rsidRPr="001E318B">
        <w:rPr>
          <w:rFonts w:ascii="Arial" w:eastAsia="Times New Roman" w:hAnsi="Arial" w:cs="Arial"/>
          <w:b/>
          <w:sz w:val="16"/>
          <w:szCs w:val="16"/>
        </w:rPr>
        <w:t>bezpośrednio</w:t>
      </w:r>
      <w:r w:rsidRPr="001E318B">
        <w:rPr>
          <w:rFonts w:ascii="Arial" w:eastAsia="Times New Roman" w:hAnsi="Arial" w:cs="Arial"/>
          <w:sz w:val="16"/>
          <w:szCs w:val="16"/>
        </w:rPr>
        <w:t xml:space="preserve"> na potrzeby prowadzonych prac przedwdrożeniowych, tj. laboratoria lub inne pomieszczenia wykorzystywane do badań oraz użytkowane na potrzeby aparatury, sprzętu, materiałów i personelu projektu rozliczanego w kosztach bezpośrednich</w:t>
      </w:r>
      <w:r w:rsidRPr="001135EF">
        <w:rPr>
          <w:rFonts w:ascii="Arial" w:eastAsia="Times New Roman" w:hAnsi="Arial" w:cs="Arial"/>
          <w:sz w:val="18"/>
          <w:szCs w:val="18"/>
        </w:rPr>
        <w:t>.</w:t>
      </w:r>
    </w:p>
    <w:p w14:paraId="7D34E1FD" w14:textId="77777777" w:rsidR="0045143F" w:rsidRPr="00F860E1" w:rsidRDefault="0045143F" w:rsidP="00453E5C">
      <w:pPr>
        <w:spacing w:after="0" w:line="240" w:lineRule="auto"/>
        <w:jc w:val="both"/>
        <w:rPr>
          <w:rFonts w:eastAsia="Times New Roman" w:cstheme="minorHAnsi"/>
          <w:iCs/>
          <w:sz w:val="18"/>
          <w:szCs w:val="18"/>
        </w:rPr>
      </w:pPr>
    </w:p>
    <w:p w14:paraId="70CE9DF8" w14:textId="77777777" w:rsidR="0045143F" w:rsidRPr="00FA6E91" w:rsidRDefault="0045143F" w:rsidP="00453E5C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5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35"/>
      <w:gridCol w:w="2188"/>
    </w:tblGrid>
    <w:tr w:rsidR="0045143F" w14:paraId="6F76CFE4" w14:textId="77777777" w:rsidTr="0016645B">
      <w:trPr>
        <w:trHeight w:val="655"/>
        <w:jc w:val="center"/>
      </w:trPr>
      <w:sdt>
        <w:sdtPr>
          <w:rPr>
            <w:rFonts w:asciiTheme="majorHAnsi" w:hAnsiTheme="majorHAnsi"/>
            <w:i/>
            <w:caps/>
            <w:color w:val="FFFFFF" w:themeColor="background1"/>
            <w:sz w:val="28"/>
            <w:szCs w:val="28"/>
          </w:rPr>
          <w:alias w:val="Tytuł"/>
          <w:tag w:val=""/>
          <w:id w:val="-148346155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337" w:type="dxa"/>
              <w:shd w:val="clear" w:color="auto" w:fill="8DB3E2" w:themeFill="text2" w:themeFillTint="66"/>
              <w:vAlign w:val="center"/>
            </w:tcPr>
            <w:p w14:paraId="578AFA63" w14:textId="72B40E5C" w:rsidR="0045143F" w:rsidRPr="005D21E7" w:rsidRDefault="0045143F" w:rsidP="008A060C">
              <w:pPr>
                <w:pStyle w:val="Nagwek"/>
                <w:jc w:val="center"/>
                <w:rPr>
                  <w:i/>
                  <w:caps/>
                  <w:color w:val="FFFFFF" w:themeColor="background1"/>
                  <w:sz w:val="28"/>
                  <w:szCs w:val="28"/>
                </w:rPr>
              </w:pPr>
              <w:r>
                <w:rPr>
                  <w:rFonts w:asciiTheme="majorHAnsi" w:hAnsiTheme="majorHAnsi"/>
                  <w:i/>
                  <w:caps/>
                  <w:color w:val="FFFFFF" w:themeColor="background1"/>
                  <w:sz w:val="28"/>
                  <w:szCs w:val="28"/>
                </w:rPr>
                <w:t>PRZEWODNIK KWALIFIKOWALNOŚCI KOSZTÓW</w:t>
              </w:r>
            </w:p>
          </w:tc>
        </w:sdtContent>
      </w:sdt>
      <w:tc>
        <w:tcPr>
          <w:tcW w:w="2188" w:type="dxa"/>
          <w:shd w:val="clear" w:color="auto" w:fill="8DB3E2" w:themeFill="text2" w:themeFillTint="66"/>
          <w:vAlign w:val="center"/>
        </w:tcPr>
        <w:p w14:paraId="09B492F7" w14:textId="77777777" w:rsidR="0045143F" w:rsidRPr="008A060C" w:rsidRDefault="0045143F">
          <w:pPr>
            <w:pStyle w:val="Nagwek"/>
            <w:jc w:val="right"/>
            <w:rPr>
              <w:caps/>
              <w:color w:val="FFFFFF" w:themeColor="background1"/>
              <w:sz w:val="20"/>
              <w:szCs w:val="20"/>
            </w:rPr>
          </w:pPr>
        </w:p>
      </w:tc>
    </w:tr>
    <w:tr w:rsidR="0045143F" w14:paraId="0B92911F" w14:textId="77777777" w:rsidTr="0016645B">
      <w:trPr>
        <w:trHeight w:hRule="exact" w:val="97"/>
        <w:jc w:val="center"/>
      </w:trPr>
      <w:tc>
        <w:tcPr>
          <w:tcW w:w="9337" w:type="dxa"/>
          <w:shd w:val="clear" w:color="auto" w:fill="E36C0A" w:themeFill="accent6" w:themeFillShade="BF"/>
          <w:tcMar>
            <w:top w:w="0" w:type="dxa"/>
            <w:bottom w:w="0" w:type="dxa"/>
          </w:tcMar>
        </w:tcPr>
        <w:p w14:paraId="3C124694" w14:textId="77777777" w:rsidR="0045143F" w:rsidRDefault="0045143F" w:rsidP="008A060C">
          <w:pPr>
            <w:pStyle w:val="Nagwek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188" w:type="dxa"/>
          <w:shd w:val="clear" w:color="auto" w:fill="E36C0A" w:themeFill="accent6" w:themeFillShade="BF"/>
          <w:tcMar>
            <w:top w:w="0" w:type="dxa"/>
            <w:bottom w:w="0" w:type="dxa"/>
          </w:tcMar>
        </w:tcPr>
        <w:p w14:paraId="242A7335" w14:textId="77777777" w:rsidR="0045143F" w:rsidRDefault="0045143F">
          <w:pPr>
            <w:pStyle w:val="Nagwek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0D61613" w14:textId="77777777" w:rsidR="0045143F" w:rsidRPr="00452629" w:rsidRDefault="0045143F" w:rsidP="00D772DB">
    <w:pPr>
      <w:pStyle w:val="Default"/>
      <w:tabs>
        <w:tab w:val="center" w:pos="4536"/>
      </w:tabs>
      <w:spacing w:before="120" w:after="120" w:line="360" w:lineRule="auto"/>
      <w:rPr>
        <w:b/>
        <w:bCs/>
        <w:i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E26"/>
    <w:multiLevelType w:val="hybridMultilevel"/>
    <w:tmpl w:val="713C9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A5A"/>
    <w:multiLevelType w:val="hybridMultilevel"/>
    <w:tmpl w:val="3DFA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69"/>
    <w:multiLevelType w:val="hybridMultilevel"/>
    <w:tmpl w:val="88A20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598"/>
    <w:multiLevelType w:val="hybridMultilevel"/>
    <w:tmpl w:val="E4703326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127"/>
    <w:multiLevelType w:val="hybridMultilevel"/>
    <w:tmpl w:val="948E998C"/>
    <w:lvl w:ilvl="0" w:tplc="51827F7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18B6"/>
    <w:multiLevelType w:val="hybridMultilevel"/>
    <w:tmpl w:val="04D84800"/>
    <w:lvl w:ilvl="0" w:tplc="8260FE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38B1"/>
    <w:multiLevelType w:val="hybridMultilevel"/>
    <w:tmpl w:val="E6C809A2"/>
    <w:lvl w:ilvl="0" w:tplc="6106A47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235E"/>
    <w:multiLevelType w:val="multilevel"/>
    <w:tmpl w:val="D33AE8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58D660B"/>
    <w:multiLevelType w:val="hybridMultilevel"/>
    <w:tmpl w:val="7B5AB60E"/>
    <w:lvl w:ilvl="0" w:tplc="32BCC2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2BCC2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84661"/>
    <w:multiLevelType w:val="hybridMultilevel"/>
    <w:tmpl w:val="99F25802"/>
    <w:lvl w:ilvl="0" w:tplc="0415000B">
      <w:start w:val="1"/>
      <w:numFmt w:val="bullet"/>
      <w:lvlText w:val=""/>
      <w:lvlJc w:val="left"/>
      <w:pPr>
        <w:ind w:left="22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0" w15:restartNumberingAfterBreak="0">
    <w:nsid w:val="1986649E"/>
    <w:multiLevelType w:val="hybridMultilevel"/>
    <w:tmpl w:val="91EEFB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9FA4A61"/>
    <w:multiLevelType w:val="hybridMultilevel"/>
    <w:tmpl w:val="400ECB3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1927DF"/>
    <w:multiLevelType w:val="hybridMultilevel"/>
    <w:tmpl w:val="F3E2EE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665"/>
    <w:multiLevelType w:val="hybridMultilevel"/>
    <w:tmpl w:val="BFB4E902"/>
    <w:lvl w:ilvl="0" w:tplc="18864952">
      <w:start w:val="65535"/>
      <w:numFmt w:val="bullet"/>
      <w:lvlText w:val="-"/>
      <w:lvlJc w:val="left"/>
      <w:pPr>
        <w:ind w:left="1428" w:hanging="360"/>
      </w:pPr>
      <w:rPr>
        <w:rFonts w:ascii="Segoe UI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B46F01"/>
    <w:multiLevelType w:val="hybridMultilevel"/>
    <w:tmpl w:val="309C32F6"/>
    <w:lvl w:ilvl="0" w:tplc="2C1C8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AFB"/>
    <w:multiLevelType w:val="hybridMultilevel"/>
    <w:tmpl w:val="8410F75C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64952">
      <w:start w:val="65535"/>
      <w:numFmt w:val="bullet"/>
      <w:lvlText w:val="-"/>
      <w:lvlJc w:val="left"/>
      <w:pPr>
        <w:ind w:left="2160" w:hanging="360"/>
      </w:pPr>
      <w:rPr>
        <w:rFonts w:ascii="Segoe UI" w:hAnsi="Segoe UI" w:cs="Segoe UI" w:hint="default"/>
      </w:rPr>
    </w:lvl>
    <w:lvl w:ilvl="3" w:tplc="26A4A350">
      <w:start w:val="4"/>
      <w:numFmt w:val="bullet"/>
      <w:lvlText w:val="·"/>
      <w:lvlJc w:val="left"/>
      <w:pPr>
        <w:ind w:left="2880" w:hanging="360"/>
      </w:pPr>
      <w:rPr>
        <w:rFonts w:ascii="Calibri" w:eastAsia="Times New Roman" w:hAnsi="Calibri" w:cstheme="minorHAnsi" w:hint="default"/>
        <w:i w:val="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768FE"/>
    <w:multiLevelType w:val="hybridMultilevel"/>
    <w:tmpl w:val="404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7C8"/>
    <w:multiLevelType w:val="hybridMultilevel"/>
    <w:tmpl w:val="81CAA39A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64952">
      <w:start w:val="65535"/>
      <w:numFmt w:val="bullet"/>
      <w:lvlText w:val="-"/>
      <w:lvlJc w:val="left"/>
      <w:pPr>
        <w:ind w:left="2160" w:hanging="360"/>
      </w:pPr>
      <w:rPr>
        <w:rFonts w:ascii="Segoe UI" w:hAnsi="Segoe UI" w:cs="Segoe U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96391"/>
    <w:multiLevelType w:val="hybridMultilevel"/>
    <w:tmpl w:val="0ABC3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8E506E"/>
    <w:multiLevelType w:val="hybridMultilevel"/>
    <w:tmpl w:val="A6B04894"/>
    <w:lvl w:ilvl="0" w:tplc="4CC2F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94108"/>
    <w:multiLevelType w:val="hybridMultilevel"/>
    <w:tmpl w:val="A46EB4CA"/>
    <w:lvl w:ilvl="0" w:tplc="2236EB2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4D31145"/>
    <w:multiLevelType w:val="hybridMultilevel"/>
    <w:tmpl w:val="BF3A8D44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64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80958"/>
    <w:multiLevelType w:val="hybridMultilevel"/>
    <w:tmpl w:val="12908BAC"/>
    <w:lvl w:ilvl="0" w:tplc="DB5264C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1731D"/>
    <w:multiLevelType w:val="multilevel"/>
    <w:tmpl w:val="F788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F744CDE"/>
    <w:multiLevelType w:val="multilevel"/>
    <w:tmpl w:val="8CF40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F62606"/>
    <w:multiLevelType w:val="hybridMultilevel"/>
    <w:tmpl w:val="EC8EB778"/>
    <w:lvl w:ilvl="0" w:tplc="51827F7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4A350">
      <w:start w:val="4"/>
      <w:numFmt w:val="bullet"/>
      <w:lvlText w:val="·"/>
      <w:lvlJc w:val="left"/>
      <w:pPr>
        <w:ind w:left="2880" w:hanging="360"/>
      </w:pPr>
      <w:rPr>
        <w:rFonts w:ascii="Calibri" w:eastAsia="Times New Roman" w:hAnsi="Calibri" w:cstheme="minorHAnsi" w:hint="default"/>
        <w:i w:val="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72BB8"/>
    <w:multiLevelType w:val="hybridMultilevel"/>
    <w:tmpl w:val="9A5432B8"/>
    <w:lvl w:ilvl="0" w:tplc="D206E52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261701E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83E4F44"/>
    <w:multiLevelType w:val="hybridMultilevel"/>
    <w:tmpl w:val="65B8A4D2"/>
    <w:lvl w:ilvl="0" w:tplc="6106A47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12314"/>
    <w:multiLevelType w:val="multilevel"/>
    <w:tmpl w:val="1C12699A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4" w:hanging="1440"/>
      </w:pPr>
      <w:rPr>
        <w:rFonts w:hint="default"/>
      </w:rPr>
    </w:lvl>
  </w:abstractNum>
  <w:abstractNum w:abstractNumId="31" w15:restartNumberingAfterBreak="0">
    <w:nsid w:val="6AF20E36"/>
    <w:multiLevelType w:val="hybridMultilevel"/>
    <w:tmpl w:val="DC8442B0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6EF1"/>
    <w:multiLevelType w:val="hybridMultilevel"/>
    <w:tmpl w:val="E40C3CE0"/>
    <w:lvl w:ilvl="0" w:tplc="4CC2FF5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19E799D"/>
    <w:multiLevelType w:val="hybridMultilevel"/>
    <w:tmpl w:val="A476B752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4" w15:restartNumberingAfterBreak="0">
    <w:nsid w:val="72782882"/>
    <w:multiLevelType w:val="hybridMultilevel"/>
    <w:tmpl w:val="00CAA0CA"/>
    <w:lvl w:ilvl="0" w:tplc="DA0A4D9C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444CD1"/>
    <w:multiLevelType w:val="hybridMultilevel"/>
    <w:tmpl w:val="7BBC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5119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C64BA3"/>
    <w:multiLevelType w:val="hybridMultilevel"/>
    <w:tmpl w:val="FE4A17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31"/>
  </w:num>
  <w:num w:numId="5">
    <w:abstractNumId w:val="6"/>
  </w:num>
  <w:num w:numId="6">
    <w:abstractNumId w:val="3"/>
  </w:num>
  <w:num w:numId="7">
    <w:abstractNumId w:val="13"/>
  </w:num>
  <w:num w:numId="8">
    <w:abstractNumId w:val="17"/>
  </w:num>
  <w:num w:numId="9">
    <w:abstractNumId w:val="15"/>
  </w:num>
  <w:num w:numId="10">
    <w:abstractNumId w:val="5"/>
  </w:num>
  <w:num w:numId="11">
    <w:abstractNumId w:val="4"/>
  </w:num>
  <w:num w:numId="12">
    <w:abstractNumId w:val="2"/>
  </w:num>
  <w:num w:numId="13">
    <w:abstractNumId w:val="36"/>
  </w:num>
  <w:num w:numId="14">
    <w:abstractNumId w:val="9"/>
  </w:num>
  <w:num w:numId="15">
    <w:abstractNumId w:val="30"/>
  </w:num>
  <w:num w:numId="16">
    <w:abstractNumId w:val="0"/>
  </w:num>
  <w:num w:numId="17">
    <w:abstractNumId w:val="37"/>
  </w:num>
  <w:num w:numId="18">
    <w:abstractNumId w:val="7"/>
  </w:num>
  <w:num w:numId="19">
    <w:abstractNumId w:val="22"/>
  </w:num>
  <w:num w:numId="20">
    <w:abstractNumId w:val="25"/>
  </w:num>
  <w:num w:numId="21">
    <w:abstractNumId w:val="32"/>
  </w:num>
  <w:num w:numId="22">
    <w:abstractNumId w:val="19"/>
  </w:num>
  <w:num w:numId="23">
    <w:abstractNumId w:val="26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6"/>
  </w:num>
  <w:num w:numId="37">
    <w:abstractNumId w:val="18"/>
  </w:num>
  <w:num w:numId="38">
    <w:abstractNumId w:val="27"/>
  </w:num>
  <w:num w:numId="39">
    <w:abstractNumId w:val="23"/>
  </w:num>
  <w:num w:numId="40">
    <w:abstractNumId w:val="34"/>
  </w:num>
  <w:num w:numId="41">
    <w:abstractNumId w:val="14"/>
  </w:num>
  <w:num w:numId="42">
    <w:abstractNumId w:val="33"/>
  </w:num>
  <w:num w:numId="43">
    <w:abstractNumId w:val="1"/>
  </w:num>
  <w:num w:numId="44">
    <w:abstractNumId w:val="29"/>
  </w:num>
  <w:num w:numId="45">
    <w:abstractNumId w:val="35"/>
  </w:num>
  <w:num w:numId="46">
    <w:abstractNumId w:val="28"/>
  </w:num>
  <w:num w:numId="47">
    <w:abstractNumId w:val="38"/>
  </w:num>
  <w:num w:numId="48">
    <w:abstractNumId w:val="8"/>
  </w:num>
  <w:num w:numId="4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MAIL_OWNER_ADDRESS" w:val="ABAAmJ+7jnJ2eOXA95mosO4x6JdrtHVjfcsZ2HYLW14MaqFfxYIcNRKIO4dZArC1+7jD"/>
    <w:docVar w:name="FullName" w:val="C:\Users\kci01001\AppData\Local\Microsoft\Windows\Temporary Internet Files\Content.Outlook\0IE6IUZJ\Załącznik nr 2_przewodnik kwalifikowalności kosztów.docx"/>
    <w:docVar w:name="MAIL_MSG_ID1" w:val="gFAA2RjfPKrF47iOWfuD30kUPjS26eTh52kdVK257V7lsTgd1WWI+uWfAqT69P/9VV+bbJBEhlPKTzW6_x000a_dpffCyyv7XWP+pGmXvdtJ4FiSaV2IPPJGw2vZ2mI+veYRIQvNTskkcaxS7sSHdqu9aWk8ANXpoSl_x000a_S26NQRuK9tEpS0IWsAv9z7xbQdFK1BLTsTh2nF1QPM2CtYnwUr3tABnMIkV3A6QLJ4Dlgiiv8rlq_x000a_Ywi4u6TYLI5vZ73hQ"/>
    <w:docVar w:name="MAIL_MSG_ID2" w:val="okmy7TFrVSaP2KoR0fIOLRzAQkP2tfoQIyKLFmGdiP2+YyKJz3EYIW5pTI3_x000a_l1QXwWPkdj+DRuXwvNzEp3Po7EfHcqOymqjYKw=="/>
    <w:docVar w:name="RESPONSE_SENDER_NAME" w:val="ABAAMV6B7YzPbaJ3U/qSb21vX6TKkuKKSEvvykTNkW5K2hCQFD4BryX5Zoizelh+fZKe"/>
    <w:docVar w:name="Saved" w:val="True"/>
  </w:docVars>
  <w:rsids>
    <w:rsidRoot w:val="00D366AB"/>
    <w:rsid w:val="00002915"/>
    <w:rsid w:val="00004737"/>
    <w:rsid w:val="00006796"/>
    <w:rsid w:val="000079A7"/>
    <w:rsid w:val="00016361"/>
    <w:rsid w:val="00021F40"/>
    <w:rsid w:val="000239EC"/>
    <w:rsid w:val="000308AA"/>
    <w:rsid w:val="00032402"/>
    <w:rsid w:val="000325AB"/>
    <w:rsid w:val="00032898"/>
    <w:rsid w:val="000376AD"/>
    <w:rsid w:val="00041070"/>
    <w:rsid w:val="00041A5F"/>
    <w:rsid w:val="00043CB4"/>
    <w:rsid w:val="00045261"/>
    <w:rsid w:val="00046EB1"/>
    <w:rsid w:val="0005036A"/>
    <w:rsid w:val="0006420C"/>
    <w:rsid w:val="000644EB"/>
    <w:rsid w:val="00072198"/>
    <w:rsid w:val="00072E04"/>
    <w:rsid w:val="00072FFB"/>
    <w:rsid w:val="000739D3"/>
    <w:rsid w:val="00081FC5"/>
    <w:rsid w:val="000836B0"/>
    <w:rsid w:val="00084950"/>
    <w:rsid w:val="00084A6E"/>
    <w:rsid w:val="0008562A"/>
    <w:rsid w:val="000961A3"/>
    <w:rsid w:val="000A15DB"/>
    <w:rsid w:val="000A32D0"/>
    <w:rsid w:val="000B1AAF"/>
    <w:rsid w:val="000B2915"/>
    <w:rsid w:val="000B6400"/>
    <w:rsid w:val="000B6BBF"/>
    <w:rsid w:val="000B7156"/>
    <w:rsid w:val="000B7742"/>
    <w:rsid w:val="000C7EAC"/>
    <w:rsid w:val="000D0A28"/>
    <w:rsid w:val="000D49AF"/>
    <w:rsid w:val="000D5471"/>
    <w:rsid w:val="000D6E9B"/>
    <w:rsid w:val="000D70A5"/>
    <w:rsid w:val="000E1F53"/>
    <w:rsid w:val="000E7203"/>
    <w:rsid w:val="000E7716"/>
    <w:rsid w:val="000F33A1"/>
    <w:rsid w:val="000F38CF"/>
    <w:rsid w:val="000F3DB6"/>
    <w:rsid w:val="000F3FF4"/>
    <w:rsid w:val="000F531A"/>
    <w:rsid w:val="000F6C5C"/>
    <w:rsid w:val="00102897"/>
    <w:rsid w:val="00105E48"/>
    <w:rsid w:val="001128D9"/>
    <w:rsid w:val="00116A87"/>
    <w:rsid w:val="00122F54"/>
    <w:rsid w:val="00123B16"/>
    <w:rsid w:val="00133F69"/>
    <w:rsid w:val="001347F2"/>
    <w:rsid w:val="0014126C"/>
    <w:rsid w:val="0014719D"/>
    <w:rsid w:val="00151DA6"/>
    <w:rsid w:val="0015233E"/>
    <w:rsid w:val="00152551"/>
    <w:rsid w:val="001618F2"/>
    <w:rsid w:val="001644CC"/>
    <w:rsid w:val="001650B1"/>
    <w:rsid w:val="00165E76"/>
    <w:rsid w:val="0016645B"/>
    <w:rsid w:val="001667A4"/>
    <w:rsid w:val="00166BA5"/>
    <w:rsid w:val="00170E7D"/>
    <w:rsid w:val="00181DA9"/>
    <w:rsid w:val="0018504A"/>
    <w:rsid w:val="00191FF9"/>
    <w:rsid w:val="00194A17"/>
    <w:rsid w:val="001A2398"/>
    <w:rsid w:val="001A3F4F"/>
    <w:rsid w:val="001A673A"/>
    <w:rsid w:val="001B35BC"/>
    <w:rsid w:val="001B448E"/>
    <w:rsid w:val="001B56F3"/>
    <w:rsid w:val="001C1335"/>
    <w:rsid w:val="001C52E8"/>
    <w:rsid w:val="001C62F3"/>
    <w:rsid w:val="001C6AAB"/>
    <w:rsid w:val="001C7FA1"/>
    <w:rsid w:val="001D1C16"/>
    <w:rsid w:val="001D5078"/>
    <w:rsid w:val="001D551D"/>
    <w:rsid w:val="001D7389"/>
    <w:rsid w:val="001E4514"/>
    <w:rsid w:val="001F43A4"/>
    <w:rsid w:val="001F591E"/>
    <w:rsid w:val="00206521"/>
    <w:rsid w:val="0022492B"/>
    <w:rsid w:val="00224ACA"/>
    <w:rsid w:val="00224B3F"/>
    <w:rsid w:val="0022513F"/>
    <w:rsid w:val="00225E06"/>
    <w:rsid w:val="002315E2"/>
    <w:rsid w:val="00233964"/>
    <w:rsid w:val="00234E00"/>
    <w:rsid w:val="00234FD0"/>
    <w:rsid w:val="0023596D"/>
    <w:rsid w:val="00242011"/>
    <w:rsid w:val="002500B5"/>
    <w:rsid w:val="00250318"/>
    <w:rsid w:val="00252822"/>
    <w:rsid w:val="0025354C"/>
    <w:rsid w:val="0025516A"/>
    <w:rsid w:val="00255A12"/>
    <w:rsid w:val="00262A4F"/>
    <w:rsid w:val="002640AD"/>
    <w:rsid w:val="002717D8"/>
    <w:rsid w:val="00273C6C"/>
    <w:rsid w:val="00277834"/>
    <w:rsid w:val="00277AF3"/>
    <w:rsid w:val="00277FA5"/>
    <w:rsid w:val="00282DCE"/>
    <w:rsid w:val="002855BB"/>
    <w:rsid w:val="00287B76"/>
    <w:rsid w:val="00290B49"/>
    <w:rsid w:val="0029170E"/>
    <w:rsid w:val="00291A0D"/>
    <w:rsid w:val="002A17D5"/>
    <w:rsid w:val="002A5C60"/>
    <w:rsid w:val="002B1134"/>
    <w:rsid w:val="002B142E"/>
    <w:rsid w:val="002B1660"/>
    <w:rsid w:val="002B5559"/>
    <w:rsid w:val="002C1B43"/>
    <w:rsid w:val="002C3293"/>
    <w:rsid w:val="002C3E23"/>
    <w:rsid w:val="002D173E"/>
    <w:rsid w:val="002D1D17"/>
    <w:rsid w:val="002D2247"/>
    <w:rsid w:val="002D465C"/>
    <w:rsid w:val="002D5236"/>
    <w:rsid w:val="002D7BF5"/>
    <w:rsid w:val="002E173F"/>
    <w:rsid w:val="002E439E"/>
    <w:rsid w:val="002E6AB9"/>
    <w:rsid w:val="002E7C15"/>
    <w:rsid w:val="002F2CC3"/>
    <w:rsid w:val="002F3573"/>
    <w:rsid w:val="002F4AFD"/>
    <w:rsid w:val="002F4D05"/>
    <w:rsid w:val="002F64A7"/>
    <w:rsid w:val="002F7A90"/>
    <w:rsid w:val="00310A99"/>
    <w:rsid w:val="003172DE"/>
    <w:rsid w:val="0031780C"/>
    <w:rsid w:val="003208E9"/>
    <w:rsid w:val="00322C1C"/>
    <w:rsid w:val="003233D5"/>
    <w:rsid w:val="00326D89"/>
    <w:rsid w:val="003310DD"/>
    <w:rsid w:val="00331A71"/>
    <w:rsid w:val="00331CA8"/>
    <w:rsid w:val="003360BA"/>
    <w:rsid w:val="00341D9C"/>
    <w:rsid w:val="0034396D"/>
    <w:rsid w:val="003462EE"/>
    <w:rsid w:val="0034678E"/>
    <w:rsid w:val="0034794F"/>
    <w:rsid w:val="00350484"/>
    <w:rsid w:val="00351539"/>
    <w:rsid w:val="00356164"/>
    <w:rsid w:val="00357B37"/>
    <w:rsid w:val="00363BF2"/>
    <w:rsid w:val="00365A98"/>
    <w:rsid w:val="00367716"/>
    <w:rsid w:val="00367E9D"/>
    <w:rsid w:val="00374784"/>
    <w:rsid w:val="003758FD"/>
    <w:rsid w:val="00375EC8"/>
    <w:rsid w:val="003823E6"/>
    <w:rsid w:val="003831B7"/>
    <w:rsid w:val="00384373"/>
    <w:rsid w:val="0038728A"/>
    <w:rsid w:val="00390E7C"/>
    <w:rsid w:val="00396782"/>
    <w:rsid w:val="003A1EE3"/>
    <w:rsid w:val="003A3C0B"/>
    <w:rsid w:val="003A472C"/>
    <w:rsid w:val="003A67FF"/>
    <w:rsid w:val="003B045E"/>
    <w:rsid w:val="003B10B4"/>
    <w:rsid w:val="003B6655"/>
    <w:rsid w:val="003B7395"/>
    <w:rsid w:val="003C03E3"/>
    <w:rsid w:val="003C0BE0"/>
    <w:rsid w:val="003C1426"/>
    <w:rsid w:val="003C2A13"/>
    <w:rsid w:val="003C6BF9"/>
    <w:rsid w:val="003C7591"/>
    <w:rsid w:val="003C7633"/>
    <w:rsid w:val="003D2ACB"/>
    <w:rsid w:val="003D3431"/>
    <w:rsid w:val="003D4E8F"/>
    <w:rsid w:val="003D5937"/>
    <w:rsid w:val="003D668D"/>
    <w:rsid w:val="003E21AD"/>
    <w:rsid w:val="003E6FED"/>
    <w:rsid w:val="003F40DA"/>
    <w:rsid w:val="00406A0E"/>
    <w:rsid w:val="004102F8"/>
    <w:rsid w:val="00410A38"/>
    <w:rsid w:val="00413C09"/>
    <w:rsid w:val="00414D37"/>
    <w:rsid w:val="004162D2"/>
    <w:rsid w:val="004168C0"/>
    <w:rsid w:val="004202CE"/>
    <w:rsid w:val="00421F2F"/>
    <w:rsid w:val="004241BC"/>
    <w:rsid w:val="004249E3"/>
    <w:rsid w:val="00431ED3"/>
    <w:rsid w:val="004328AC"/>
    <w:rsid w:val="00435EA4"/>
    <w:rsid w:val="004378DC"/>
    <w:rsid w:val="00440908"/>
    <w:rsid w:val="00440912"/>
    <w:rsid w:val="004412D0"/>
    <w:rsid w:val="00441AE9"/>
    <w:rsid w:val="00445A40"/>
    <w:rsid w:val="00445B72"/>
    <w:rsid w:val="00446B69"/>
    <w:rsid w:val="00447332"/>
    <w:rsid w:val="0045143F"/>
    <w:rsid w:val="00452629"/>
    <w:rsid w:val="00453E5C"/>
    <w:rsid w:val="00454A34"/>
    <w:rsid w:val="004609B5"/>
    <w:rsid w:val="00460C7D"/>
    <w:rsid w:val="00461ABB"/>
    <w:rsid w:val="0046270B"/>
    <w:rsid w:val="00462E4E"/>
    <w:rsid w:val="00465052"/>
    <w:rsid w:val="004726DF"/>
    <w:rsid w:val="0047364F"/>
    <w:rsid w:val="00474934"/>
    <w:rsid w:val="004765A9"/>
    <w:rsid w:val="00477790"/>
    <w:rsid w:val="00480372"/>
    <w:rsid w:val="00480647"/>
    <w:rsid w:val="004806FA"/>
    <w:rsid w:val="00481621"/>
    <w:rsid w:val="004832DE"/>
    <w:rsid w:val="004833C0"/>
    <w:rsid w:val="00491D4E"/>
    <w:rsid w:val="00492842"/>
    <w:rsid w:val="004A0CE1"/>
    <w:rsid w:val="004A115A"/>
    <w:rsid w:val="004A42E9"/>
    <w:rsid w:val="004A4522"/>
    <w:rsid w:val="004A5F6D"/>
    <w:rsid w:val="004A67AE"/>
    <w:rsid w:val="004A7468"/>
    <w:rsid w:val="004B0BD4"/>
    <w:rsid w:val="004B3506"/>
    <w:rsid w:val="004B4BDC"/>
    <w:rsid w:val="004B6029"/>
    <w:rsid w:val="004B69A3"/>
    <w:rsid w:val="004B7CFF"/>
    <w:rsid w:val="004C1AF4"/>
    <w:rsid w:val="004C2B93"/>
    <w:rsid w:val="004C2FFC"/>
    <w:rsid w:val="004C6ADF"/>
    <w:rsid w:val="004C6BB1"/>
    <w:rsid w:val="004D10BA"/>
    <w:rsid w:val="004E0471"/>
    <w:rsid w:val="004E2AA0"/>
    <w:rsid w:val="004E3454"/>
    <w:rsid w:val="004E3FD8"/>
    <w:rsid w:val="004E46C1"/>
    <w:rsid w:val="004E5088"/>
    <w:rsid w:val="004F001C"/>
    <w:rsid w:val="004F014E"/>
    <w:rsid w:val="004F159A"/>
    <w:rsid w:val="004F1F81"/>
    <w:rsid w:val="004F1FC7"/>
    <w:rsid w:val="004F286B"/>
    <w:rsid w:val="004F2B97"/>
    <w:rsid w:val="00500A8C"/>
    <w:rsid w:val="005036FB"/>
    <w:rsid w:val="00504AB9"/>
    <w:rsid w:val="005076F8"/>
    <w:rsid w:val="005135BC"/>
    <w:rsid w:val="005153C8"/>
    <w:rsid w:val="00515E0A"/>
    <w:rsid w:val="005224AB"/>
    <w:rsid w:val="00523989"/>
    <w:rsid w:val="0052612D"/>
    <w:rsid w:val="00527AD9"/>
    <w:rsid w:val="00530B14"/>
    <w:rsid w:val="00535AA3"/>
    <w:rsid w:val="00543030"/>
    <w:rsid w:val="005446A7"/>
    <w:rsid w:val="0055177D"/>
    <w:rsid w:val="00553EA6"/>
    <w:rsid w:val="00553F69"/>
    <w:rsid w:val="005543F3"/>
    <w:rsid w:val="005602CF"/>
    <w:rsid w:val="005647AC"/>
    <w:rsid w:val="005672EB"/>
    <w:rsid w:val="00570B7A"/>
    <w:rsid w:val="00571DC5"/>
    <w:rsid w:val="0057342D"/>
    <w:rsid w:val="00577036"/>
    <w:rsid w:val="005773A7"/>
    <w:rsid w:val="00581FA6"/>
    <w:rsid w:val="00584056"/>
    <w:rsid w:val="00585865"/>
    <w:rsid w:val="00590FE3"/>
    <w:rsid w:val="00591148"/>
    <w:rsid w:val="0059136D"/>
    <w:rsid w:val="00593D91"/>
    <w:rsid w:val="005945FA"/>
    <w:rsid w:val="0059464F"/>
    <w:rsid w:val="0059678D"/>
    <w:rsid w:val="005A3897"/>
    <w:rsid w:val="005A4056"/>
    <w:rsid w:val="005A4C47"/>
    <w:rsid w:val="005A4DAD"/>
    <w:rsid w:val="005A5C9C"/>
    <w:rsid w:val="005B02F1"/>
    <w:rsid w:val="005B03AE"/>
    <w:rsid w:val="005B140A"/>
    <w:rsid w:val="005B357C"/>
    <w:rsid w:val="005B65A8"/>
    <w:rsid w:val="005B78BE"/>
    <w:rsid w:val="005C757B"/>
    <w:rsid w:val="005D0540"/>
    <w:rsid w:val="005D0FDE"/>
    <w:rsid w:val="005D18FA"/>
    <w:rsid w:val="005D1CF3"/>
    <w:rsid w:val="005D2052"/>
    <w:rsid w:val="005D21E7"/>
    <w:rsid w:val="005D296E"/>
    <w:rsid w:val="005D2E04"/>
    <w:rsid w:val="005D4358"/>
    <w:rsid w:val="005D64B9"/>
    <w:rsid w:val="005E0745"/>
    <w:rsid w:val="005E2778"/>
    <w:rsid w:val="005F0DE0"/>
    <w:rsid w:val="005F19D1"/>
    <w:rsid w:val="005F55C2"/>
    <w:rsid w:val="005F7CC7"/>
    <w:rsid w:val="00600C20"/>
    <w:rsid w:val="006011BF"/>
    <w:rsid w:val="006025EC"/>
    <w:rsid w:val="0060663D"/>
    <w:rsid w:val="00607D69"/>
    <w:rsid w:val="00611441"/>
    <w:rsid w:val="00611A91"/>
    <w:rsid w:val="00611F6B"/>
    <w:rsid w:val="006147C1"/>
    <w:rsid w:val="00615FB6"/>
    <w:rsid w:val="00620D00"/>
    <w:rsid w:val="006219AB"/>
    <w:rsid w:val="00622198"/>
    <w:rsid w:val="00631808"/>
    <w:rsid w:val="006326C3"/>
    <w:rsid w:val="00635823"/>
    <w:rsid w:val="00640B28"/>
    <w:rsid w:val="00641472"/>
    <w:rsid w:val="00644A44"/>
    <w:rsid w:val="0064602D"/>
    <w:rsid w:val="00646C73"/>
    <w:rsid w:val="00651854"/>
    <w:rsid w:val="00652CE4"/>
    <w:rsid w:val="00657A4B"/>
    <w:rsid w:val="0066045A"/>
    <w:rsid w:val="00660938"/>
    <w:rsid w:val="006630E9"/>
    <w:rsid w:val="00663530"/>
    <w:rsid w:val="00676974"/>
    <w:rsid w:val="006829CC"/>
    <w:rsid w:val="00682ADF"/>
    <w:rsid w:val="0068334A"/>
    <w:rsid w:val="00684ADD"/>
    <w:rsid w:val="00685809"/>
    <w:rsid w:val="00686870"/>
    <w:rsid w:val="00691746"/>
    <w:rsid w:val="00691D01"/>
    <w:rsid w:val="006922A3"/>
    <w:rsid w:val="00693B22"/>
    <w:rsid w:val="00694110"/>
    <w:rsid w:val="006955FE"/>
    <w:rsid w:val="00695FFB"/>
    <w:rsid w:val="006A2783"/>
    <w:rsid w:val="006B380E"/>
    <w:rsid w:val="006B5763"/>
    <w:rsid w:val="006C1665"/>
    <w:rsid w:val="006D046C"/>
    <w:rsid w:val="006D0F0D"/>
    <w:rsid w:val="006D1DBF"/>
    <w:rsid w:val="006D393A"/>
    <w:rsid w:val="006D73C7"/>
    <w:rsid w:val="006D7898"/>
    <w:rsid w:val="006E2B56"/>
    <w:rsid w:val="006E4A17"/>
    <w:rsid w:val="006F0A26"/>
    <w:rsid w:val="006F0B73"/>
    <w:rsid w:val="006F0D65"/>
    <w:rsid w:val="0070088E"/>
    <w:rsid w:val="00700E54"/>
    <w:rsid w:val="00700F1D"/>
    <w:rsid w:val="00701F51"/>
    <w:rsid w:val="00704DB1"/>
    <w:rsid w:val="0070529D"/>
    <w:rsid w:val="007058F2"/>
    <w:rsid w:val="00712D81"/>
    <w:rsid w:val="007179C1"/>
    <w:rsid w:val="007247B0"/>
    <w:rsid w:val="0072515E"/>
    <w:rsid w:val="0072693A"/>
    <w:rsid w:val="00727E32"/>
    <w:rsid w:val="00732CE7"/>
    <w:rsid w:val="00733CFC"/>
    <w:rsid w:val="00733FA8"/>
    <w:rsid w:val="007342A2"/>
    <w:rsid w:val="00734324"/>
    <w:rsid w:val="007374C6"/>
    <w:rsid w:val="007403FD"/>
    <w:rsid w:val="00745CB7"/>
    <w:rsid w:val="00750191"/>
    <w:rsid w:val="00750407"/>
    <w:rsid w:val="0075115A"/>
    <w:rsid w:val="00751FFF"/>
    <w:rsid w:val="00757D2D"/>
    <w:rsid w:val="00761CDF"/>
    <w:rsid w:val="00762158"/>
    <w:rsid w:val="00762FB3"/>
    <w:rsid w:val="007677AA"/>
    <w:rsid w:val="00770B03"/>
    <w:rsid w:val="00771F80"/>
    <w:rsid w:val="00773038"/>
    <w:rsid w:val="00774E2D"/>
    <w:rsid w:val="00776AE2"/>
    <w:rsid w:val="00780307"/>
    <w:rsid w:val="0078061E"/>
    <w:rsid w:val="00781B09"/>
    <w:rsid w:val="00782054"/>
    <w:rsid w:val="00784062"/>
    <w:rsid w:val="007854C8"/>
    <w:rsid w:val="00785752"/>
    <w:rsid w:val="0078757C"/>
    <w:rsid w:val="00790327"/>
    <w:rsid w:val="00792901"/>
    <w:rsid w:val="00792DBA"/>
    <w:rsid w:val="00796363"/>
    <w:rsid w:val="007A04D7"/>
    <w:rsid w:val="007A0AA6"/>
    <w:rsid w:val="007A1D47"/>
    <w:rsid w:val="007A3606"/>
    <w:rsid w:val="007A41C7"/>
    <w:rsid w:val="007A5BF8"/>
    <w:rsid w:val="007A6A11"/>
    <w:rsid w:val="007A6D31"/>
    <w:rsid w:val="007A727A"/>
    <w:rsid w:val="007A7617"/>
    <w:rsid w:val="007A7C8C"/>
    <w:rsid w:val="007B0B80"/>
    <w:rsid w:val="007B1404"/>
    <w:rsid w:val="007B24FC"/>
    <w:rsid w:val="007B328C"/>
    <w:rsid w:val="007C28AB"/>
    <w:rsid w:val="007C35D3"/>
    <w:rsid w:val="007C38F6"/>
    <w:rsid w:val="007C55D3"/>
    <w:rsid w:val="007C766F"/>
    <w:rsid w:val="007D0ED2"/>
    <w:rsid w:val="007D47FA"/>
    <w:rsid w:val="007D4ADE"/>
    <w:rsid w:val="007E0DE1"/>
    <w:rsid w:val="007E136D"/>
    <w:rsid w:val="007E1E63"/>
    <w:rsid w:val="007E6317"/>
    <w:rsid w:val="007F1A4B"/>
    <w:rsid w:val="007F1B74"/>
    <w:rsid w:val="007F68D5"/>
    <w:rsid w:val="00804287"/>
    <w:rsid w:val="00804F49"/>
    <w:rsid w:val="0080610C"/>
    <w:rsid w:val="00810563"/>
    <w:rsid w:val="00810D38"/>
    <w:rsid w:val="00814AFD"/>
    <w:rsid w:val="00814B27"/>
    <w:rsid w:val="00816720"/>
    <w:rsid w:val="00821C7D"/>
    <w:rsid w:val="008259B1"/>
    <w:rsid w:val="00826B88"/>
    <w:rsid w:val="0083263E"/>
    <w:rsid w:val="00832A4E"/>
    <w:rsid w:val="0083363E"/>
    <w:rsid w:val="008348E7"/>
    <w:rsid w:val="008417DD"/>
    <w:rsid w:val="00841D09"/>
    <w:rsid w:val="0085389A"/>
    <w:rsid w:val="00854867"/>
    <w:rsid w:val="008611F8"/>
    <w:rsid w:val="00861A44"/>
    <w:rsid w:val="00862957"/>
    <w:rsid w:val="00863256"/>
    <w:rsid w:val="00864285"/>
    <w:rsid w:val="00864288"/>
    <w:rsid w:val="00865859"/>
    <w:rsid w:val="0087084D"/>
    <w:rsid w:val="00870C96"/>
    <w:rsid w:val="00871FE8"/>
    <w:rsid w:val="008737AE"/>
    <w:rsid w:val="008751A6"/>
    <w:rsid w:val="00882DE3"/>
    <w:rsid w:val="00883941"/>
    <w:rsid w:val="00887F08"/>
    <w:rsid w:val="00890F72"/>
    <w:rsid w:val="0089438F"/>
    <w:rsid w:val="00894732"/>
    <w:rsid w:val="00895931"/>
    <w:rsid w:val="008978FF"/>
    <w:rsid w:val="008A060C"/>
    <w:rsid w:val="008A1F23"/>
    <w:rsid w:val="008A33B7"/>
    <w:rsid w:val="008A37C0"/>
    <w:rsid w:val="008B096A"/>
    <w:rsid w:val="008B0FC9"/>
    <w:rsid w:val="008B3036"/>
    <w:rsid w:val="008B36F6"/>
    <w:rsid w:val="008B3C82"/>
    <w:rsid w:val="008B3CAA"/>
    <w:rsid w:val="008B6D63"/>
    <w:rsid w:val="008C2CB5"/>
    <w:rsid w:val="008C39A5"/>
    <w:rsid w:val="008C5AE3"/>
    <w:rsid w:val="008C5BCA"/>
    <w:rsid w:val="008C6269"/>
    <w:rsid w:val="008C632A"/>
    <w:rsid w:val="008D0DD0"/>
    <w:rsid w:val="008D17E9"/>
    <w:rsid w:val="008D51F4"/>
    <w:rsid w:val="008D75B0"/>
    <w:rsid w:val="008D75C4"/>
    <w:rsid w:val="008D76B8"/>
    <w:rsid w:val="008D78C9"/>
    <w:rsid w:val="008E1C18"/>
    <w:rsid w:val="008E235A"/>
    <w:rsid w:val="008E2E3F"/>
    <w:rsid w:val="008F1C74"/>
    <w:rsid w:val="008F1D5D"/>
    <w:rsid w:val="008F2198"/>
    <w:rsid w:val="008F4128"/>
    <w:rsid w:val="008F7A0A"/>
    <w:rsid w:val="00902839"/>
    <w:rsid w:val="00910DA3"/>
    <w:rsid w:val="009117CB"/>
    <w:rsid w:val="00911C52"/>
    <w:rsid w:val="0091235E"/>
    <w:rsid w:val="00915FDC"/>
    <w:rsid w:val="0092413C"/>
    <w:rsid w:val="00925408"/>
    <w:rsid w:val="00926725"/>
    <w:rsid w:val="00926E9D"/>
    <w:rsid w:val="00934244"/>
    <w:rsid w:val="009351C3"/>
    <w:rsid w:val="009421AC"/>
    <w:rsid w:val="009434B1"/>
    <w:rsid w:val="00947643"/>
    <w:rsid w:val="009601D3"/>
    <w:rsid w:val="00961745"/>
    <w:rsid w:val="00961C2E"/>
    <w:rsid w:val="00965203"/>
    <w:rsid w:val="009768EE"/>
    <w:rsid w:val="00977FCF"/>
    <w:rsid w:val="00981608"/>
    <w:rsid w:val="00981EE0"/>
    <w:rsid w:val="00983AB9"/>
    <w:rsid w:val="00987A66"/>
    <w:rsid w:val="00992978"/>
    <w:rsid w:val="0099305B"/>
    <w:rsid w:val="0099375A"/>
    <w:rsid w:val="00995167"/>
    <w:rsid w:val="00995A4D"/>
    <w:rsid w:val="0099657D"/>
    <w:rsid w:val="00997C78"/>
    <w:rsid w:val="009B3613"/>
    <w:rsid w:val="009B6DD2"/>
    <w:rsid w:val="009B7B69"/>
    <w:rsid w:val="009C0604"/>
    <w:rsid w:val="009C2E45"/>
    <w:rsid w:val="009C3C5F"/>
    <w:rsid w:val="009C495A"/>
    <w:rsid w:val="009C4EC9"/>
    <w:rsid w:val="009C67F7"/>
    <w:rsid w:val="009D0D7D"/>
    <w:rsid w:val="009D21B6"/>
    <w:rsid w:val="009D2FD0"/>
    <w:rsid w:val="009D50D3"/>
    <w:rsid w:val="009D6A97"/>
    <w:rsid w:val="009D7892"/>
    <w:rsid w:val="009D7A3F"/>
    <w:rsid w:val="009E53B5"/>
    <w:rsid w:val="009F1D7B"/>
    <w:rsid w:val="009F3290"/>
    <w:rsid w:val="009F42B0"/>
    <w:rsid w:val="00A0041D"/>
    <w:rsid w:val="00A00841"/>
    <w:rsid w:val="00A00F4F"/>
    <w:rsid w:val="00A01A7C"/>
    <w:rsid w:val="00A066DD"/>
    <w:rsid w:val="00A06B9B"/>
    <w:rsid w:val="00A06E91"/>
    <w:rsid w:val="00A10486"/>
    <w:rsid w:val="00A10749"/>
    <w:rsid w:val="00A11EAE"/>
    <w:rsid w:val="00A14CBD"/>
    <w:rsid w:val="00A24E78"/>
    <w:rsid w:val="00A27177"/>
    <w:rsid w:val="00A30805"/>
    <w:rsid w:val="00A34C42"/>
    <w:rsid w:val="00A35B89"/>
    <w:rsid w:val="00A40519"/>
    <w:rsid w:val="00A40FCA"/>
    <w:rsid w:val="00A41F5B"/>
    <w:rsid w:val="00A41F86"/>
    <w:rsid w:val="00A432C8"/>
    <w:rsid w:val="00A43A7A"/>
    <w:rsid w:val="00A443BC"/>
    <w:rsid w:val="00A5089B"/>
    <w:rsid w:val="00A5421E"/>
    <w:rsid w:val="00A60C37"/>
    <w:rsid w:val="00A63884"/>
    <w:rsid w:val="00A646E4"/>
    <w:rsid w:val="00A66BD2"/>
    <w:rsid w:val="00A70E5F"/>
    <w:rsid w:val="00A72572"/>
    <w:rsid w:val="00A764A3"/>
    <w:rsid w:val="00A80384"/>
    <w:rsid w:val="00A81CAD"/>
    <w:rsid w:val="00A8474A"/>
    <w:rsid w:val="00A86D38"/>
    <w:rsid w:val="00A963F6"/>
    <w:rsid w:val="00AA2606"/>
    <w:rsid w:val="00AA26F7"/>
    <w:rsid w:val="00AA422C"/>
    <w:rsid w:val="00AA773D"/>
    <w:rsid w:val="00AB199A"/>
    <w:rsid w:val="00AB3ABC"/>
    <w:rsid w:val="00AC19D0"/>
    <w:rsid w:val="00AC3426"/>
    <w:rsid w:val="00AC3A18"/>
    <w:rsid w:val="00AC592A"/>
    <w:rsid w:val="00AC7A86"/>
    <w:rsid w:val="00AD11B5"/>
    <w:rsid w:val="00AD2402"/>
    <w:rsid w:val="00AE1274"/>
    <w:rsid w:val="00AE29CC"/>
    <w:rsid w:val="00AE2BD2"/>
    <w:rsid w:val="00AE2E51"/>
    <w:rsid w:val="00AE4978"/>
    <w:rsid w:val="00AE5519"/>
    <w:rsid w:val="00AF0E7C"/>
    <w:rsid w:val="00AF31A7"/>
    <w:rsid w:val="00AF38BC"/>
    <w:rsid w:val="00AF4B67"/>
    <w:rsid w:val="00B00195"/>
    <w:rsid w:val="00B00443"/>
    <w:rsid w:val="00B00549"/>
    <w:rsid w:val="00B00811"/>
    <w:rsid w:val="00B01E56"/>
    <w:rsid w:val="00B1353C"/>
    <w:rsid w:val="00B135A4"/>
    <w:rsid w:val="00B17E11"/>
    <w:rsid w:val="00B213F9"/>
    <w:rsid w:val="00B21EA8"/>
    <w:rsid w:val="00B244A4"/>
    <w:rsid w:val="00B2514A"/>
    <w:rsid w:val="00B27A13"/>
    <w:rsid w:val="00B27AC0"/>
    <w:rsid w:val="00B317B4"/>
    <w:rsid w:val="00B3219F"/>
    <w:rsid w:val="00B32F87"/>
    <w:rsid w:val="00B35196"/>
    <w:rsid w:val="00B35210"/>
    <w:rsid w:val="00B373D3"/>
    <w:rsid w:val="00B4019B"/>
    <w:rsid w:val="00B453EA"/>
    <w:rsid w:val="00B45B55"/>
    <w:rsid w:val="00B52192"/>
    <w:rsid w:val="00B54913"/>
    <w:rsid w:val="00B620F2"/>
    <w:rsid w:val="00B72816"/>
    <w:rsid w:val="00B755D7"/>
    <w:rsid w:val="00B7758A"/>
    <w:rsid w:val="00B831C0"/>
    <w:rsid w:val="00B84965"/>
    <w:rsid w:val="00B85686"/>
    <w:rsid w:val="00B8756D"/>
    <w:rsid w:val="00B8768F"/>
    <w:rsid w:val="00B91E13"/>
    <w:rsid w:val="00B93C38"/>
    <w:rsid w:val="00B93D48"/>
    <w:rsid w:val="00B940CA"/>
    <w:rsid w:val="00B97C06"/>
    <w:rsid w:val="00BA1A17"/>
    <w:rsid w:val="00BA21D1"/>
    <w:rsid w:val="00BA7F44"/>
    <w:rsid w:val="00BB1F47"/>
    <w:rsid w:val="00BB5985"/>
    <w:rsid w:val="00BB6F2D"/>
    <w:rsid w:val="00BB7711"/>
    <w:rsid w:val="00BC1BD0"/>
    <w:rsid w:val="00BC3E07"/>
    <w:rsid w:val="00BC4134"/>
    <w:rsid w:val="00BD0626"/>
    <w:rsid w:val="00BD2EEC"/>
    <w:rsid w:val="00BD5592"/>
    <w:rsid w:val="00BE0EC3"/>
    <w:rsid w:val="00BE4FB4"/>
    <w:rsid w:val="00BF1B7E"/>
    <w:rsid w:val="00C00E28"/>
    <w:rsid w:val="00C04B35"/>
    <w:rsid w:val="00C05FBC"/>
    <w:rsid w:val="00C1227D"/>
    <w:rsid w:val="00C13885"/>
    <w:rsid w:val="00C15AAC"/>
    <w:rsid w:val="00C173E9"/>
    <w:rsid w:val="00C2007D"/>
    <w:rsid w:val="00C201E3"/>
    <w:rsid w:val="00C2122D"/>
    <w:rsid w:val="00C21925"/>
    <w:rsid w:val="00C24722"/>
    <w:rsid w:val="00C31A3E"/>
    <w:rsid w:val="00C31EEA"/>
    <w:rsid w:val="00C32949"/>
    <w:rsid w:val="00C33E78"/>
    <w:rsid w:val="00C340C2"/>
    <w:rsid w:val="00C42242"/>
    <w:rsid w:val="00C42CEA"/>
    <w:rsid w:val="00C45E3F"/>
    <w:rsid w:val="00C4672D"/>
    <w:rsid w:val="00C4707B"/>
    <w:rsid w:val="00C478DD"/>
    <w:rsid w:val="00C47D79"/>
    <w:rsid w:val="00C47E05"/>
    <w:rsid w:val="00C50FE8"/>
    <w:rsid w:val="00C523E8"/>
    <w:rsid w:val="00C53FDA"/>
    <w:rsid w:val="00C5445B"/>
    <w:rsid w:val="00C65001"/>
    <w:rsid w:val="00C65A88"/>
    <w:rsid w:val="00C70D47"/>
    <w:rsid w:val="00C76A2E"/>
    <w:rsid w:val="00C76B99"/>
    <w:rsid w:val="00C808FB"/>
    <w:rsid w:val="00C80951"/>
    <w:rsid w:val="00C80BDA"/>
    <w:rsid w:val="00C82539"/>
    <w:rsid w:val="00C857AA"/>
    <w:rsid w:val="00C867A1"/>
    <w:rsid w:val="00C87692"/>
    <w:rsid w:val="00C90714"/>
    <w:rsid w:val="00C95FC8"/>
    <w:rsid w:val="00C96012"/>
    <w:rsid w:val="00CA007C"/>
    <w:rsid w:val="00CA1F35"/>
    <w:rsid w:val="00CA1FC3"/>
    <w:rsid w:val="00CA36BE"/>
    <w:rsid w:val="00CA3D8F"/>
    <w:rsid w:val="00CC6B97"/>
    <w:rsid w:val="00CD2F43"/>
    <w:rsid w:val="00CD7C4F"/>
    <w:rsid w:val="00CE6274"/>
    <w:rsid w:val="00CF1AAA"/>
    <w:rsid w:val="00CF4CDC"/>
    <w:rsid w:val="00CF61B5"/>
    <w:rsid w:val="00CF627C"/>
    <w:rsid w:val="00CF7F71"/>
    <w:rsid w:val="00D103BA"/>
    <w:rsid w:val="00D17748"/>
    <w:rsid w:val="00D24535"/>
    <w:rsid w:val="00D300A7"/>
    <w:rsid w:val="00D33569"/>
    <w:rsid w:val="00D366AB"/>
    <w:rsid w:val="00D36ED8"/>
    <w:rsid w:val="00D43CF8"/>
    <w:rsid w:val="00D4402B"/>
    <w:rsid w:val="00D5127B"/>
    <w:rsid w:val="00D51656"/>
    <w:rsid w:val="00D62B99"/>
    <w:rsid w:val="00D62EA2"/>
    <w:rsid w:val="00D63175"/>
    <w:rsid w:val="00D6332E"/>
    <w:rsid w:val="00D6485F"/>
    <w:rsid w:val="00D70211"/>
    <w:rsid w:val="00D71169"/>
    <w:rsid w:val="00D740FB"/>
    <w:rsid w:val="00D75757"/>
    <w:rsid w:val="00D772DB"/>
    <w:rsid w:val="00D82017"/>
    <w:rsid w:val="00D847F7"/>
    <w:rsid w:val="00D8684F"/>
    <w:rsid w:val="00D91373"/>
    <w:rsid w:val="00D956D9"/>
    <w:rsid w:val="00DA30B9"/>
    <w:rsid w:val="00DA636C"/>
    <w:rsid w:val="00DA6D2B"/>
    <w:rsid w:val="00DB14D7"/>
    <w:rsid w:val="00DB1661"/>
    <w:rsid w:val="00DB3808"/>
    <w:rsid w:val="00DB7735"/>
    <w:rsid w:val="00DC00A0"/>
    <w:rsid w:val="00DC6621"/>
    <w:rsid w:val="00DD0DBD"/>
    <w:rsid w:val="00DD12EE"/>
    <w:rsid w:val="00DD36F7"/>
    <w:rsid w:val="00DD491B"/>
    <w:rsid w:val="00DD4931"/>
    <w:rsid w:val="00DD4B6D"/>
    <w:rsid w:val="00DD5812"/>
    <w:rsid w:val="00DD59D2"/>
    <w:rsid w:val="00DE14A9"/>
    <w:rsid w:val="00DE2BEF"/>
    <w:rsid w:val="00DE3BA2"/>
    <w:rsid w:val="00DE4639"/>
    <w:rsid w:val="00DE66D2"/>
    <w:rsid w:val="00DF2708"/>
    <w:rsid w:val="00DF3811"/>
    <w:rsid w:val="00DF41F7"/>
    <w:rsid w:val="00E02F84"/>
    <w:rsid w:val="00E04DB9"/>
    <w:rsid w:val="00E1118F"/>
    <w:rsid w:val="00E16132"/>
    <w:rsid w:val="00E17798"/>
    <w:rsid w:val="00E21C6E"/>
    <w:rsid w:val="00E25749"/>
    <w:rsid w:val="00E26536"/>
    <w:rsid w:val="00E3257A"/>
    <w:rsid w:val="00E329E6"/>
    <w:rsid w:val="00E3377E"/>
    <w:rsid w:val="00E339EB"/>
    <w:rsid w:val="00E44C43"/>
    <w:rsid w:val="00E458B2"/>
    <w:rsid w:val="00E51F79"/>
    <w:rsid w:val="00E528EE"/>
    <w:rsid w:val="00E5531F"/>
    <w:rsid w:val="00E60075"/>
    <w:rsid w:val="00E60324"/>
    <w:rsid w:val="00E618AE"/>
    <w:rsid w:val="00E643A4"/>
    <w:rsid w:val="00E67FBF"/>
    <w:rsid w:val="00E741F4"/>
    <w:rsid w:val="00E7694F"/>
    <w:rsid w:val="00E76B40"/>
    <w:rsid w:val="00E82812"/>
    <w:rsid w:val="00E833FE"/>
    <w:rsid w:val="00E8489D"/>
    <w:rsid w:val="00E86097"/>
    <w:rsid w:val="00E90BAC"/>
    <w:rsid w:val="00E90DB4"/>
    <w:rsid w:val="00E96E3B"/>
    <w:rsid w:val="00EA07F8"/>
    <w:rsid w:val="00EA3A1B"/>
    <w:rsid w:val="00EA51EB"/>
    <w:rsid w:val="00EA5681"/>
    <w:rsid w:val="00EA7F35"/>
    <w:rsid w:val="00EB1AF9"/>
    <w:rsid w:val="00EB52E0"/>
    <w:rsid w:val="00EB61E9"/>
    <w:rsid w:val="00EC14B8"/>
    <w:rsid w:val="00EC75A6"/>
    <w:rsid w:val="00ED08B0"/>
    <w:rsid w:val="00ED2C0F"/>
    <w:rsid w:val="00ED2C93"/>
    <w:rsid w:val="00ED4763"/>
    <w:rsid w:val="00EE1176"/>
    <w:rsid w:val="00EE35A2"/>
    <w:rsid w:val="00EE3F0D"/>
    <w:rsid w:val="00EE4D16"/>
    <w:rsid w:val="00EE5B1D"/>
    <w:rsid w:val="00EF0130"/>
    <w:rsid w:val="00EF1F92"/>
    <w:rsid w:val="00EF3ADC"/>
    <w:rsid w:val="00EF6B6E"/>
    <w:rsid w:val="00F00462"/>
    <w:rsid w:val="00F037E4"/>
    <w:rsid w:val="00F04537"/>
    <w:rsid w:val="00F06FEA"/>
    <w:rsid w:val="00F1225F"/>
    <w:rsid w:val="00F1234C"/>
    <w:rsid w:val="00F13CB9"/>
    <w:rsid w:val="00F22E76"/>
    <w:rsid w:val="00F2558C"/>
    <w:rsid w:val="00F25622"/>
    <w:rsid w:val="00F27630"/>
    <w:rsid w:val="00F3419D"/>
    <w:rsid w:val="00F3654A"/>
    <w:rsid w:val="00F37AFC"/>
    <w:rsid w:val="00F41BB8"/>
    <w:rsid w:val="00F533A4"/>
    <w:rsid w:val="00F56451"/>
    <w:rsid w:val="00F61872"/>
    <w:rsid w:val="00F63ED3"/>
    <w:rsid w:val="00F65866"/>
    <w:rsid w:val="00F7549A"/>
    <w:rsid w:val="00F77FAC"/>
    <w:rsid w:val="00F8774F"/>
    <w:rsid w:val="00F87F81"/>
    <w:rsid w:val="00F960FA"/>
    <w:rsid w:val="00FA1589"/>
    <w:rsid w:val="00FA2866"/>
    <w:rsid w:val="00FB12B1"/>
    <w:rsid w:val="00FB2E0D"/>
    <w:rsid w:val="00FB62C8"/>
    <w:rsid w:val="00FC0D1E"/>
    <w:rsid w:val="00FC301B"/>
    <w:rsid w:val="00FC3277"/>
    <w:rsid w:val="00FD107F"/>
    <w:rsid w:val="00FD246F"/>
    <w:rsid w:val="00FD63A4"/>
    <w:rsid w:val="00FE46B7"/>
    <w:rsid w:val="00FE5BAF"/>
    <w:rsid w:val="00FE7A28"/>
    <w:rsid w:val="00FF28AC"/>
    <w:rsid w:val="00FF29DF"/>
    <w:rsid w:val="00FF6A65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A3E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84F"/>
  </w:style>
  <w:style w:type="paragraph" w:styleId="Nagwek1">
    <w:name w:val="heading 1"/>
    <w:basedOn w:val="Normalny"/>
    <w:next w:val="Normalny"/>
    <w:link w:val="Nagwek1Znak"/>
    <w:uiPriority w:val="9"/>
    <w:qFormat/>
    <w:rsid w:val="00BC4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6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D7A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FA6"/>
  </w:style>
  <w:style w:type="paragraph" w:styleId="Stopka">
    <w:name w:val="footer"/>
    <w:basedOn w:val="Normalny"/>
    <w:link w:val="StopkaZnak"/>
    <w:uiPriority w:val="99"/>
    <w:unhideWhenUsed/>
    <w:rsid w:val="0058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FA6"/>
  </w:style>
  <w:style w:type="paragraph" w:styleId="Tekstdymka">
    <w:name w:val="Balloon Text"/>
    <w:basedOn w:val="Normalny"/>
    <w:link w:val="TekstdymkaZnak"/>
    <w:uiPriority w:val="99"/>
    <w:semiHidden/>
    <w:unhideWhenUsed/>
    <w:rsid w:val="0058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FA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117CB"/>
    <w:rPr>
      <w:i/>
      <w:iCs/>
    </w:rPr>
  </w:style>
  <w:style w:type="character" w:styleId="Pogrubienie">
    <w:name w:val="Strong"/>
    <w:basedOn w:val="Domylnaczcionkaakapitu"/>
    <w:uiPriority w:val="22"/>
    <w:qFormat/>
    <w:rsid w:val="009117C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6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67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rsid w:val="001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DB14D7"/>
    <w:rPr>
      <w:rFonts w:ascii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2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F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3A472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A472C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4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4A4"/>
    <w:rPr>
      <w:i/>
      <w:iCs/>
      <w:color w:val="4F81BD" w:themeColor="accent1"/>
    </w:rPr>
  </w:style>
  <w:style w:type="paragraph" w:customStyle="1" w:styleId="HeaderLeft">
    <w:name w:val="Header Left"/>
    <w:basedOn w:val="Nagwek"/>
    <w:uiPriority w:val="35"/>
    <w:qFormat/>
    <w:rsid w:val="008A060C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ja-JP"/>
    </w:rPr>
  </w:style>
  <w:style w:type="paragraph" w:styleId="Tytu">
    <w:name w:val="Title"/>
    <w:basedOn w:val="Normalny"/>
    <w:next w:val="Normalny"/>
    <w:link w:val="TytuZnak"/>
    <w:uiPriority w:val="10"/>
    <w:qFormat/>
    <w:rsid w:val="00AE2BD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BD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BD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2BD2"/>
    <w:rPr>
      <w:rFonts w:cs="Times New Roman"/>
      <w:color w:val="5A5A5A" w:themeColor="text1" w:themeTint="A5"/>
      <w:spacing w:val="15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65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65052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65052"/>
    <w:rPr>
      <w:vertAlign w:val="superscript"/>
    </w:rPr>
  </w:style>
  <w:style w:type="paragraph" w:styleId="Poprawka">
    <w:name w:val="Revision"/>
    <w:hidden/>
    <w:uiPriority w:val="99"/>
    <w:semiHidden/>
    <w:rsid w:val="00480372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84965"/>
  </w:style>
  <w:style w:type="character" w:customStyle="1" w:styleId="Nagwek1Znak">
    <w:name w:val="Nagłówek 1 Znak"/>
    <w:basedOn w:val="Domylnaczcionkaakapitu"/>
    <w:link w:val="Nagwek1"/>
    <w:uiPriority w:val="9"/>
    <w:rsid w:val="00BC4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C41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2015-04-02T00:00:00</PublishDate>
  <Abstract>Cel opracowania zasad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630E05-C22F-4417-9F80-C6EABC96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5492</Words>
  <Characters>32954</Characters>
  <Application>Microsoft Office Word</Application>
  <DocSecurity>0</DocSecurity>
  <Lines>274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PRZEWODNIK KWALIFIKOWALNOŚCI KOSZTÓW</vt:lpstr>
      <vt:lpstr/>
    </vt:vector>
  </TitlesOfParts>
  <LinksUpToDate>false</LinksUpToDate>
  <CharactersWithSpaces>38370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 KWALIFIKOWALNOŚCI KOSZTÓW</dc:title>
  <dc:subject/>
  <dc:creator/>
  <cp:lastModifiedBy/>
  <cp:revision>1</cp:revision>
  <dcterms:created xsi:type="dcterms:W3CDTF">2021-07-20T08:55:00Z</dcterms:created>
  <dcterms:modified xsi:type="dcterms:W3CDTF">2021-07-23T08:01:00Z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GEAAO+/T9t20xwkl4ipx5S7axTS26eTh52kdVK257V7lsTgd1WWI+uWfAqT69P/9VV+bbJBEhlPKTzW6
dpffCyyv7XWP+pGmXvdtJ4FiSaV2IPPJGw2vZ2mI+veYRIQvNTskaWjJoGxenLI9HtARyaAgjJfD
NacVThDMsF/aciums2vmQO0XmpdhQUuK1bX19P84nD7YO6ihc/75LZ6SMERRwxwcWzPol5WwHzJ9
7wfXisb+b2LaINWuw</vt:lpwstr>
  </property>
  <property fmtid="{D5CDD505-2E9C-101B-9397-08002B2CF9AE}" pid="3" name="MAIL_MSG_ID2">
    <vt:lpwstr>QGUXp9sIfuR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ABAAmJ+7jnJ2eOXA95mosO4x6JdrtHVjfcsZ2HYLW14MaqFfxYIcNRKIO4dZArC1+7jD</vt:lpwstr>
  </property>
  <property fmtid="{D5CDD505-2E9C-101B-9397-08002B2CF9AE}" pid="6" name="WS_TRACKING_ID">
    <vt:lpwstr>f0abf171-399b-4d92-b7ce-a8635093c6d1</vt:lpwstr>
  </property>
</Properties>
</file>