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500D" w14:textId="0FA021B7" w:rsidR="00840BA1" w:rsidRPr="00DE475B" w:rsidRDefault="00827462" w:rsidP="00202C7C">
      <w:pPr>
        <w:autoSpaceDE w:val="0"/>
        <w:autoSpaceDN w:val="0"/>
        <w:adjustRightInd w:val="0"/>
        <w:spacing w:after="0" w:line="23" w:lineRule="atLeast"/>
        <w:jc w:val="right"/>
        <w:rPr>
          <w:rFonts w:cs="Microsoft Sans Serif"/>
          <w:sz w:val="20"/>
          <w:szCs w:val="20"/>
        </w:rPr>
      </w:pPr>
      <w:r w:rsidRPr="00DE475B">
        <w:rPr>
          <w:rFonts w:cs="Microsoft Sans Serif"/>
          <w:sz w:val="20"/>
          <w:szCs w:val="20"/>
        </w:rPr>
        <w:t xml:space="preserve">Załącznik nr </w:t>
      </w:r>
      <w:r w:rsidR="00B42111" w:rsidRPr="00DE475B">
        <w:rPr>
          <w:rFonts w:cs="Microsoft Sans Serif"/>
          <w:sz w:val="20"/>
          <w:szCs w:val="20"/>
        </w:rPr>
        <w:t>2</w:t>
      </w:r>
      <w:r w:rsidR="00DE43C1" w:rsidRPr="00DE475B">
        <w:rPr>
          <w:rFonts w:cs="Microsoft Sans Serif"/>
          <w:sz w:val="20"/>
          <w:szCs w:val="20"/>
        </w:rPr>
        <w:t xml:space="preserve"> do </w:t>
      </w:r>
      <w:r w:rsidR="00DE475B" w:rsidRPr="00DE475B">
        <w:rPr>
          <w:rFonts w:cs="Microsoft Sans Serif"/>
          <w:sz w:val="20"/>
          <w:szCs w:val="20"/>
        </w:rPr>
        <w:t>Regulaminu</w:t>
      </w:r>
    </w:p>
    <w:p w14:paraId="73C7D9B6" w14:textId="77777777" w:rsidR="00840BA1" w:rsidRPr="00103CDE" w:rsidRDefault="00840BA1" w:rsidP="00202C7C">
      <w:pPr>
        <w:autoSpaceDE w:val="0"/>
        <w:autoSpaceDN w:val="0"/>
        <w:adjustRightInd w:val="0"/>
        <w:spacing w:after="0" w:line="23" w:lineRule="atLeast"/>
        <w:ind w:left="142" w:hanging="142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14:paraId="4AC122B5" w14:textId="77777777" w:rsidR="00683974" w:rsidRPr="00D06D34" w:rsidRDefault="00EA37A8" w:rsidP="00202C7C">
      <w:pPr>
        <w:pStyle w:val="Nagwek1"/>
        <w:spacing w:line="23" w:lineRule="atLeast"/>
        <w:jc w:val="center"/>
        <w:rPr>
          <w:rFonts w:asciiTheme="minorHAnsi" w:hAnsiTheme="minorHAnsi" w:cstheme="minorHAnsi"/>
          <w:b/>
          <w:bCs/>
        </w:rPr>
      </w:pPr>
      <w:r w:rsidRPr="00D06D34">
        <w:rPr>
          <w:rFonts w:asciiTheme="minorHAnsi" w:hAnsiTheme="minorHAnsi" w:cstheme="minorHAnsi"/>
          <w:b/>
          <w:bCs/>
          <w:color w:val="auto"/>
          <w:sz w:val="24"/>
          <w:szCs w:val="24"/>
        </w:rPr>
        <w:t>OGŁOSZENIE O NABORZE</w:t>
      </w:r>
    </w:p>
    <w:p w14:paraId="6F480C70" w14:textId="01738E91" w:rsidR="0033320B" w:rsidRPr="0033320B" w:rsidRDefault="00EA37A8" w:rsidP="00A72F31">
      <w:pPr>
        <w:spacing w:after="0"/>
        <w:rPr>
          <w:b/>
        </w:rPr>
      </w:pPr>
      <w:r w:rsidRPr="0033320B">
        <w:rPr>
          <w:b/>
        </w:rPr>
        <w:t xml:space="preserve">Nabór wniosków w ramach programu priorytetowego </w:t>
      </w:r>
      <w:r w:rsidR="009226F1" w:rsidRPr="009226F1">
        <w:rPr>
          <w:b/>
        </w:rPr>
        <w:t>„</w:t>
      </w:r>
      <w:r w:rsidR="006C5711" w:rsidRPr="006C5711">
        <w:rPr>
          <w:rFonts w:asciiTheme="minorHAnsi" w:hAnsiTheme="minorHAnsi"/>
          <w:b/>
        </w:rPr>
        <w:t>Magazyny energii elektrycznej i związana z nimi infrastruktura dla poprawy stabilności polskiej sieci elektroenergetycznej</w:t>
      </w:r>
      <w:r w:rsidR="009226F1" w:rsidRPr="009226F1">
        <w:rPr>
          <w:b/>
        </w:rPr>
        <w:t>”</w:t>
      </w:r>
    </w:p>
    <w:p w14:paraId="611BDED1" w14:textId="532FB5F2" w:rsidR="0096692B" w:rsidRDefault="0053399A" w:rsidP="00A72F31">
      <w:pPr>
        <w:pStyle w:val="NormalnyWeb"/>
        <w:spacing w:before="0" w:beforeAutospacing="0" w:after="120" w:afterAutospacing="0" w:line="276" w:lineRule="auto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Narodowy Fundusz Ochrony Środowiska i Gospodarki Wodnej ogłasza</w:t>
      </w:r>
      <w:r w:rsidR="00E32DA1">
        <w:rPr>
          <w:rFonts w:ascii="Calibri" w:hAnsi="Calibri"/>
          <w:sz w:val="22"/>
          <w:szCs w:val="22"/>
        </w:rPr>
        <w:t xml:space="preserve"> drugi</w:t>
      </w:r>
      <w:r w:rsidRPr="00103CDE">
        <w:rPr>
          <w:rFonts w:ascii="Calibri" w:hAnsi="Calibri"/>
          <w:sz w:val="22"/>
          <w:szCs w:val="22"/>
        </w:rPr>
        <w:t xml:space="preserve"> na</w:t>
      </w:r>
      <w:r w:rsidR="00EA37A8" w:rsidRPr="00103CDE">
        <w:rPr>
          <w:rFonts w:ascii="Calibri" w:hAnsi="Calibri"/>
          <w:sz w:val="22"/>
          <w:szCs w:val="22"/>
        </w:rPr>
        <w:t>bór wniosków o dofinansowanie w </w:t>
      </w:r>
      <w:r w:rsidRPr="00103CDE">
        <w:rPr>
          <w:rFonts w:ascii="Calibri" w:hAnsi="Calibri"/>
          <w:sz w:val="22"/>
          <w:szCs w:val="22"/>
        </w:rPr>
        <w:t xml:space="preserve">ramach programu priorytetowego </w:t>
      </w:r>
      <w:r w:rsidR="009226F1" w:rsidRPr="009226F1">
        <w:rPr>
          <w:rFonts w:ascii="Calibri" w:hAnsi="Calibri"/>
          <w:sz w:val="22"/>
          <w:szCs w:val="22"/>
        </w:rPr>
        <w:t>„</w:t>
      </w:r>
      <w:r w:rsidR="00281A49" w:rsidRPr="00281A49">
        <w:rPr>
          <w:rFonts w:asciiTheme="minorHAnsi" w:hAnsiTheme="minorHAnsi"/>
          <w:b/>
          <w:sz w:val="22"/>
          <w:szCs w:val="22"/>
        </w:rPr>
        <w:t>Magazyny energii elektrycznej i związana z nimi infrastruktura dla poprawy stabilności polskiej sieci elektroenergetycznej</w:t>
      </w:r>
      <w:r w:rsidR="0096692B">
        <w:rPr>
          <w:rFonts w:ascii="Calibri" w:hAnsi="Calibri"/>
          <w:sz w:val="22"/>
          <w:szCs w:val="22"/>
        </w:rPr>
        <w:t>”.</w:t>
      </w:r>
    </w:p>
    <w:p w14:paraId="0CC87284" w14:textId="30096155" w:rsidR="0096692B" w:rsidRPr="001F7B54" w:rsidRDefault="00EA37A8" w:rsidP="00A72F31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0"/>
        <w:ind w:left="426" w:hanging="426"/>
        <w:rPr>
          <w:b/>
        </w:rPr>
      </w:pPr>
      <w:r w:rsidRPr="00103CDE">
        <w:rPr>
          <w:b/>
        </w:rPr>
        <w:t>Cel programu</w:t>
      </w:r>
      <w:r w:rsidR="0033320B">
        <w:rPr>
          <w:b/>
        </w:rPr>
        <w:t>:</w:t>
      </w:r>
    </w:p>
    <w:p w14:paraId="227CBE88" w14:textId="77777777" w:rsidR="00281A49" w:rsidRPr="00281A49" w:rsidRDefault="00281A49" w:rsidP="00A72F31">
      <w:pPr>
        <w:tabs>
          <w:tab w:val="center" w:pos="426"/>
        </w:tabs>
        <w:spacing w:after="120"/>
        <w:rPr>
          <w:b/>
        </w:rPr>
      </w:pPr>
      <w:r w:rsidRPr="00281A49">
        <w:rPr>
          <w:rFonts w:asciiTheme="minorHAnsi" w:hAnsiTheme="minorHAnsi" w:cstheme="minorHAnsi"/>
        </w:rPr>
        <w:t xml:space="preserve">Celem programu jest poprawa stabilności pracy Krajowej Sieci Energetycznej (KSE) oraz bezpieczeństwa energetycznego kraju poprzez wsparcie budowy magazynów energii elektrycznej o mocy nie mniejszej niż 2 MW oraz pojemności nie mniejszej niż 4 MWh, przyłączonych do sieci dystrybucyjnej i przesyłowej na wszystkich poziomach napięcia. </w:t>
      </w:r>
    </w:p>
    <w:p w14:paraId="7571E514" w14:textId="55D7BA63" w:rsidR="009226F1" w:rsidRDefault="00520A32" w:rsidP="00A72F31">
      <w:pPr>
        <w:pStyle w:val="Akapitzlist"/>
        <w:numPr>
          <w:ilvl w:val="0"/>
          <w:numId w:val="18"/>
        </w:numPr>
        <w:tabs>
          <w:tab w:val="center" w:pos="426"/>
        </w:tabs>
        <w:spacing w:after="0"/>
        <w:ind w:left="289" w:hanging="357"/>
        <w:rPr>
          <w:b/>
        </w:rPr>
      </w:pPr>
      <w:r w:rsidRPr="0033320B">
        <w:rPr>
          <w:b/>
        </w:rPr>
        <w:t xml:space="preserve">Nabór wniosków dotyczy </w:t>
      </w:r>
      <w:r w:rsidR="0033320B" w:rsidRPr="0033320B">
        <w:rPr>
          <w:b/>
        </w:rPr>
        <w:t xml:space="preserve">następujących </w:t>
      </w:r>
      <w:r w:rsidR="00E72154">
        <w:rPr>
          <w:b/>
        </w:rPr>
        <w:t xml:space="preserve">rodzajów </w:t>
      </w:r>
      <w:r w:rsidR="001F7B54">
        <w:rPr>
          <w:b/>
        </w:rPr>
        <w:t>inwestycji</w:t>
      </w:r>
      <w:r w:rsidR="00281A49">
        <w:rPr>
          <w:b/>
        </w:rPr>
        <w:t>:</w:t>
      </w:r>
    </w:p>
    <w:p w14:paraId="46F1FBE4" w14:textId="2D00B7AF" w:rsidR="00281A49" w:rsidRDefault="00281A49" w:rsidP="00A72F31">
      <w:pPr>
        <w:pStyle w:val="Akapitzlist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rPr>
          <w:rFonts w:asciiTheme="minorHAnsi" w:hAnsiTheme="minorHAnsi"/>
          <w:color w:val="000000"/>
        </w:rPr>
      </w:pPr>
      <w:r w:rsidRPr="00281A49">
        <w:rPr>
          <w:rFonts w:asciiTheme="minorHAnsi" w:hAnsiTheme="minorHAnsi"/>
          <w:color w:val="000000"/>
        </w:rPr>
        <w:t xml:space="preserve">Budowa magazynów energii elektrycznej o mocy nie mniejszej niż 2 MW oraz pojemności nie mniejszej niż 4 MWh, spełniających standardy unijne w zakresie bezpieczeństwa, ochrony </w:t>
      </w:r>
      <w:proofErr w:type="spellStart"/>
      <w:r w:rsidRPr="00281A49">
        <w:rPr>
          <w:rFonts w:asciiTheme="minorHAnsi" w:hAnsiTheme="minorHAnsi"/>
          <w:color w:val="000000"/>
        </w:rPr>
        <w:t>ppoż</w:t>
      </w:r>
      <w:proofErr w:type="spellEnd"/>
      <w:r w:rsidRPr="00281A49">
        <w:rPr>
          <w:rFonts w:asciiTheme="minorHAnsi" w:hAnsiTheme="minorHAnsi"/>
          <w:color w:val="000000"/>
        </w:rPr>
        <w:t xml:space="preserve"> oraz homologacji (np. kontenery bateryjne, inwertery, transformatory, montaż modułów bateryjnych, systemy wspomagające jak np. detekcji </w:t>
      </w:r>
      <w:r w:rsidR="00DB527F">
        <w:rPr>
          <w:rFonts w:asciiTheme="minorHAnsi" w:hAnsiTheme="minorHAnsi"/>
          <w:color w:val="000000"/>
        </w:rPr>
        <w:br/>
      </w:r>
      <w:r w:rsidRPr="00281A49">
        <w:rPr>
          <w:rFonts w:asciiTheme="minorHAnsi" w:hAnsiTheme="minorHAnsi"/>
          <w:color w:val="000000"/>
        </w:rPr>
        <w:t xml:space="preserve">i ppoż., klimatyzacji, przekształtniki DC/DC lub DC/AC, zabezpieczenia aktywne i nieaktywne) wraz z testami </w:t>
      </w:r>
      <w:r w:rsidR="00DB527F">
        <w:rPr>
          <w:rFonts w:asciiTheme="minorHAnsi" w:hAnsiTheme="minorHAnsi"/>
          <w:color w:val="000000"/>
        </w:rPr>
        <w:br/>
      </w:r>
      <w:r w:rsidRPr="00281A49">
        <w:rPr>
          <w:rFonts w:asciiTheme="minorHAnsi" w:hAnsiTheme="minorHAnsi"/>
          <w:color w:val="000000"/>
        </w:rPr>
        <w:t>i odbiorami magazynów;</w:t>
      </w:r>
    </w:p>
    <w:p w14:paraId="5919F96F" w14:textId="77777777" w:rsidR="00281A49" w:rsidRDefault="00281A49" w:rsidP="00A72F31">
      <w:pPr>
        <w:pStyle w:val="Akapitzlist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before="120" w:after="0"/>
        <w:ind w:left="0" w:firstLine="0"/>
        <w:contextualSpacing/>
        <w:rPr>
          <w:rFonts w:asciiTheme="minorHAnsi" w:hAnsiTheme="minorHAnsi"/>
          <w:color w:val="000000"/>
        </w:rPr>
      </w:pPr>
      <w:r w:rsidRPr="00281A49">
        <w:rPr>
          <w:rFonts w:asciiTheme="minorHAnsi" w:hAnsiTheme="minorHAnsi"/>
          <w:color w:val="000000"/>
        </w:rPr>
        <w:t>Budowa przyłącza do sieci i infrastruktury towarzyszącej;</w:t>
      </w:r>
    </w:p>
    <w:p w14:paraId="43F36EB1" w14:textId="0F937205" w:rsidR="00281A49" w:rsidRPr="00281A49" w:rsidRDefault="00281A49" w:rsidP="00A72F31">
      <w:pPr>
        <w:pStyle w:val="Akapitzlist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before="120" w:after="0"/>
        <w:ind w:left="0" w:firstLine="0"/>
        <w:contextualSpacing/>
        <w:rPr>
          <w:rFonts w:asciiTheme="minorHAnsi" w:hAnsiTheme="minorHAnsi"/>
          <w:color w:val="000000"/>
        </w:rPr>
      </w:pPr>
      <w:r w:rsidRPr="00281A49">
        <w:rPr>
          <w:rFonts w:asciiTheme="minorHAnsi" w:hAnsiTheme="minorHAnsi"/>
          <w:color w:val="000000"/>
        </w:rPr>
        <w:t xml:space="preserve">Konfiguracja i adaptacja magazynu (BMS, EMS, odwzorowanie w systemach monitorujących, utworzenie zdalnego dostępu do urządzeń i/lub danych, certyfikacja i homologacja instalacji magazynowania energii </w:t>
      </w:r>
      <w:r w:rsidR="00DB527F">
        <w:rPr>
          <w:rFonts w:asciiTheme="minorHAnsi" w:hAnsiTheme="minorHAnsi"/>
          <w:color w:val="000000"/>
        </w:rPr>
        <w:br/>
      </w:r>
      <w:r w:rsidRPr="00281A49">
        <w:rPr>
          <w:rFonts w:asciiTheme="minorHAnsi" w:hAnsiTheme="minorHAnsi"/>
          <w:color w:val="000000"/>
        </w:rPr>
        <w:t>w standardach UE, itp.).</w:t>
      </w:r>
    </w:p>
    <w:p w14:paraId="6CEA44AE" w14:textId="77777777" w:rsidR="00281A49" w:rsidRDefault="00281A49" w:rsidP="00A72F31">
      <w:pPr>
        <w:tabs>
          <w:tab w:val="left" w:pos="284"/>
        </w:tabs>
        <w:autoSpaceDE w:val="0"/>
        <w:autoSpaceDN w:val="0"/>
        <w:adjustRightInd w:val="0"/>
        <w:spacing w:before="120"/>
        <w:rPr>
          <w:rFonts w:asciiTheme="minorHAnsi" w:hAnsiTheme="minorHAnsi"/>
          <w:color w:val="000000"/>
        </w:rPr>
      </w:pPr>
      <w:r w:rsidRPr="00284B8A">
        <w:rPr>
          <w:rFonts w:asciiTheme="minorHAnsi" w:hAnsiTheme="minorHAnsi"/>
          <w:color w:val="000000"/>
        </w:rPr>
        <w:t>przy czym zakres, o który</w:t>
      </w:r>
      <w:r>
        <w:rPr>
          <w:rFonts w:asciiTheme="minorHAnsi" w:hAnsiTheme="minorHAnsi"/>
          <w:color w:val="000000"/>
        </w:rPr>
        <w:t>m</w:t>
      </w:r>
      <w:r w:rsidRPr="00284B8A">
        <w:rPr>
          <w:rFonts w:asciiTheme="minorHAnsi" w:hAnsiTheme="minorHAnsi"/>
          <w:color w:val="000000"/>
        </w:rPr>
        <w:t xml:space="preserve"> mowa w pkt 1 jest obligatoryjny, natomiast zakresy, o których mowa w pkt 2 i 3 są fakultatywne.</w:t>
      </w:r>
    </w:p>
    <w:p w14:paraId="417E467F" w14:textId="119C089A" w:rsidR="00281A49" w:rsidRDefault="00281A49" w:rsidP="00A72F31">
      <w:pPr>
        <w:pStyle w:val="Akapitzlist"/>
        <w:numPr>
          <w:ilvl w:val="0"/>
          <w:numId w:val="18"/>
        </w:numPr>
        <w:tabs>
          <w:tab w:val="center" w:pos="426"/>
        </w:tabs>
        <w:spacing w:before="120" w:after="120"/>
        <w:ind w:left="289" w:hanging="357"/>
        <w:rPr>
          <w:b/>
        </w:rPr>
      </w:pPr>
      <w:r w:rsidRPr="0033320B">
        <w:rPr>
          <w:b/>
        </w:rPr>
        <w:t xml:space="preserve">Nabór wniosków dotyczy następujących </w:t>
      </w:r>
      <w:r>
        <w:rPr>
          <w:b/>
        </w:rPr>
        <w:t>rodzajów beneficjentów:</w:t>
      </w:r>
    </w:p>
    <w:p w14:paraId="3612490E" w14:textId="77777777" w:rsidR="00281A49" w:rsidRPr="00281A49" w:rsidRDefault="00281A49" w:rsidP="00A72F3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281A49">
        <w:rPr>
          <w:rFonts w:asciiTheme="minorHAnsi" w:hAnsiTheme="minorHAnsi" w:cstheme="minorHAnsi"/>
        </w:rPr>
        <w:t>Przedsiębiorcy w rozumieniu ustawy z dnia 6 marca 2018 r. - Prawo przedsiębiorców (</w:t>
      </w:r>
      <w:proofErr w:type="spellStart"/>
      <w:r w:rsidRPr="00281A49">
        <w:rPr>
          <w:rFonts w:asciiTheme="minorHAnsi" w:hAnsiTheme="minorHAnsi" w:cstheme="minorHAnsi"/>
        </w:rPr>
        <w:t>t.j</w:t>
      </w:r>
      <w:proofErr w:type="spellEnd"/>
      <w:r w:rsidRPr="00281A49">
        <w:rPr>
          <w:rFonts w:asciiTheme="minorHAnsi" w:hAnsiTheme="minorHAnsi" w:cstheme="minorHAnsi"/>
        </w:rPr>
        <w:t xml:space="preserve">. Dz. U. z 2024 r. poz. 236, z </w:t>
      </w:r>
      <w:proofErr w:type="spellStart"/>
      <w:r w:rsidRPr="00281A49">
        <w:rPr>
          <w:rFonts w:asciiTheme="minorHAnsi" w:hAnsiTheme="minorHAnsi" w:cstheme="minorHAnsi"/>
        </w:rPr>
        <w:t>późn</w:t>
      </w:r>
      <w:proofErr w:type="spellEnd"/>
      <w:r w:rsidRPr="00281A49">
        <w:rPr>
          <w:rFonts w:asciiTheme="minorHAnsi" w:hAnsiTheme="minorHAnsi" w:cstheme="minorHAnsi"/>
        </w:rPr>
        <w:t>. zm.) spełniający łącznie warunki poniżej, z wyłączeniem podmiotów sektora finansowego:</w:t>
      </w:r>
    </w:p>
    <w:p w14:paraId="76896B56" w14:textId="77777777" w:rsidR="00281A49" w:rsidRPr="00B70471" w:rsidRDefault="00281A49" w:rsidP="00A72F31">
      <w:pPr>
        <w:pStyle w:val="Akapitzlist"/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</w:rPr>
      </w:pPr>
      <w:r w:rsidRPr="00B70471">
        <w:rPr>
          <w:rFonts w:asciiTheme="minorHAnsi" w:hAnsiTheme="minorHAnsi" w:cstheme="minorHAnsi"/>
        </w:rPr>
        <w:t xml:space="preserve">1) nie jest zobowiązany do zwrotu pomocy publicznej wynikającego z decyzji Komisji Europejskiej uznającej taką pomoc przyznaną przez to samo państwo członkowskie za niezgodną z prawem oraz z rynkiem wewnętrznym; </w:t>
      </w:r>
    </w:p>
    <w:p w14:paraId="10E7A680" w14:textId="77777777" w:rsidR="00281A49" w:rsidRPr="00B70471" w:rsidRDefault="00281A49" w:rsidP="00A72F31">
      <w:pPr>
        <w:pStyle w:val="Akapitzlist"/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</w:rPr>
      </w:pPr>
      <w:r w:rsidRPr="00B70471">
        <w:rPr>
          <w:rFonts w:asciiTheme="minorHAnsi" w:hAnsiTheme="minorHAnsi" w:cstheme="minorHAnsi"/>
        </w:rPr>
        <w:t xml:space="preserve">2) bez otrzymania pomocy publicznej nie podjąłby decyzji o inwestycji lub zrealizowałby ją w ograniczony lub odmienny sposób; </w:t>
      </w:r>
    </w:p>
    <w:p w14:paraId="21EB317A" w14:textId="77777777" w:rsidR="00281A49" w:rsidRPr="00B70471" w:rsidRDefault="00281A49" w:rsidP="00A72F31">
      <w:pPr>
        <w:pStyle w:val="Akapitzlist"/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</w:rPr>
      </w:pPr>
      <w:r w:rsidRPr="00B70471">
        <w:rPr>
          <w:rFonts w:asciiTheme="minorHAnsi" w:hAnsiTheme="minorHAnsi" w:cstheme="minorHAnsi"/>
        </w:rPr>
        <w:t>3) nie jest objęty sankcjami przyjętymi przez Unię Europejską, określonymi w pkt 1.1 Komunikatu</w:t>
      </w:r>
      <w:r w:rsidRPr="005A1E48">
        <w:t xml:space="preserve"> </w:t>
      </w:r>
      <w:r w:rsidRPr="005A1E48">
        <w:rPr>
          <w:rFonts w:asciiTheme="minorHAnsi" w:hAnsiTheme="minorHAnsi" w:cstheme="minorHAnsi"/>
        </w:rPr>
        <w:t xml:space="preserve">Komisji - Tymczasowe kryzysowe i przejściowe ramy środków pomocy państwa w celu wsparcia gospodarki po agresji Rosji wobec Ukrainy (Dz.U UE L. 101 z 17.3.2023, str. 3 z </w:t>
      </w:r>
      <w:proofErr w:type="spellStart"/>
      <w:r w:rsidRPr="005A1E48">
        <w:rPr>
          <w:rFonts w:asciiTheme="minorHAnsi" w:hAnsiTheme="minorHAnsi" w:cstheme="minorHAnsi"/>
        </w:rPr>
        <w:t>póź</w:t>
      </w:r>
      <w:r>
        <w:rPr>
          <w:rFonts w:asciiTheme="minorHAnsi" w:hAnsiTheme="minorHAnsi" w:cstheme="minorHAnsi"/>
        </w:rPr>
        <w:t>n</w:t>
      </w:r>
      <w:proofErr w:type="spellEnd"/>
      <w:r>
        <w:rPr>
          <w:rFonts w:asciiTheme="minorHAnsi" w:hAnsiTheme="minorHAnsi" w:cstheme="minorHAnsi"/>
        </w:rPr>
        <w:t>.</w:t>
      </w:r>
      <w:r w:rsidRPr="005A1E48">
        <w:rPr>
          <w:rFonts w:asciiTheme="minorHAnsi" w:hAnsiTheme="minorHAnsi" w:cstheme="minorHAnsi"/>
        </w:rPr>
        <w:t xml:space="preserve"> zm)</w:t>
      </w:r>
      <w:r w:rsidRPr="00B70471">
        <w:rPr>
          <w:rFonts w:asciiTheme="minorHAnsi" w:hAnsiTheme="minorHAnsi" w:cstheme="minorHAnsi"/>
        </w:rPr>
        <w:t xml:space="preserve">. </w:t>
      </w:r>
    </w:p>
    <w:p w14:paraId="6AE5FEF9" w14:textId="0C1C3F91" w:rsidR="00281A49" w:rsidRPr="00281A49" w:rsidRDefault="00281A49" w:rsidP="00A72F31">
      <w:pPr>
        <w:pStyle w:val="Akapitzlist"/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</w:rPr>
      </w:pPr>
      <w:r w:rsidRPr="00B70471">
        <w:rPr>
          <w:rFonts w:asciiTheme="minorHAnsi" w:hAnsiTheme="minorHAnsi" w:cstheme="minorHAnsi"/>
        </w:rPr>
        <w:t>Pomoc może zostać wypłacona przedsiębiorcy, który w momencie wypłaty pomocy posiada siedzibę lub oddział na terytorium Rzeczypospolitej Polskiej.</w:t>
      </w:r>
    </w:p>
    <w:p w14:paraId="23C2DA32" w14:textId="77777777" w:rsidR="0055582C" w:rsidRPr="006B3C16" w:rsidRDefault="0055582C" w:rsidP="00A72F31">
      <w:pPr>
        <w:pStyle w:val="Akapitzlist"/>
        <w:numPr>
          <w:ilvl w:val="0"/>
          <w:numId w:val="18"/>
        </w:numPr>
        <w:tabs>
          <w:tab w:val="center" w:pos="426"/>
        </w:tabs>
        <w:spacing w:before="240" w:after="0"/>
        <w:ind w:left="289" w:hanging="357"/>
        <w:rPr>
          <w:b/>
        </w:rPr>
      </w:pPr>
      <w:r w:rsidRPr="006B3C16">
        <w:rPr>
          <w:b/>
        </w:rPr>
        <w:t xml:space="preserve">Terminy i sposób składania wniosków </w:t>
      </w:r>
    </w:p>
    <w:p w14:paraId="0AB54272" w14:textId="516C33A3" w:rsidR="0055582C" w:rsidRDefault="0055582C" w:rsidP="00A72F31">
      <w:pPr>
        <w:rPr>
          <w:b/>
        </w:rPr>
      </w:pPr>
      <w:r w:rsidRPr="006B3C16">
        <w:rPr>
          <w:b/>
        </w:rPr>
        <w:t xml:space="preserve">Wnioski należy składać w terminie  </w:t>
      </w:r>
      <w:r w:rsidR="006B3C16" w:rsidRPr="006B3C16">
        <w:rPr>
          <w:b/>
        </w:rPr>
        <w:t>04</w:t>
      </w:r>
      <w:r w:rsidR="00AF3AB5" w:rsidRPr="006B3C16">
        <w:rPr>
          <w:b/>
        </w:rPr>
        <w:t>.0</w:t>
      </w:r>
      <w:r w:rsidR="00DA561E" w:rsidRPr="006B3C16">
        <w:rPr>
          <w:b/>
        </w:rPr>
        <w:t>4</w:t>
      </w:r>
      <w:r w:rsidR="00AF3AB5" w:rsidRPr="006B3C16">
        <w:rPr>
          <w:b/>
        </w:rPr>
        <w:t>.202</w:t>
      </w:r>
      <w:r w:rsidR="006B3C16" w:rsidRPr="006B3C16">
        <w:rPr>
          <w:b/>
        </w:rPr>
        <w:t>5</w:t>
      </w:r>
      <w:r w:rsidRPr="006B3C16">
        <w:rPr>
          <w:b/>
        </w:rPr>
        <w:t xml:space="preserve"> r. – </w:t>
      </w:r>
      <w:r w:rsidR="006B3C16" w:rsidRPr="006B3C16">
        <w:rPr>
          <w:b/>
        </w:rPr>
        <w:t>30</w:t>
      </w:r>
      <w:r w:rsidR="00BC7BD8" w:rsidRPr="006B3C16">
        <w:rPr>
          <w:b/>
        </w:rPr>
        <w:t>.</w:t>
      </w:r>
      <w:r w:rsidR="006B3C16" w:rsidRPr="006B3C16">
        <w:rPr>
          <w:b/>
        </w:rPr>
        <w:t>05</w:t>
      </w:r>
      <w:r w:rsidR="00BC7BD8" w:rsidRPr="006B3C16">
        <w:rPr>
          <w:b/>
        </w:rPr>
        <w:t>.2025</w:t>
      </w:r>
      <w:r w:rsidR="006B3C16" w:rsidRPr="006B3C16">
        <w:rPr>
          <w:b/>
        </w:rPr>
        <w:t xml:space="preserve"> </w:t>
      </w:r>
      <w:r w:rsidRPr="006B3C16">
        <w:rPr>
          <w:b/>
        </w:rPr>
        <w:t xml:space="preserve">r. </w:t>
      </w:r>
    </w:p>
    <w:p w14:paraId="74849FE0" w14:textId="5CC4807F" w:rsidR="009B6241" w:rsidRPr="00EA3E02" w:rsidRDefault="009B6241" w:rsidP="00A72F31">
      <w:pPr>
        <w:spacing w:after="0"/>
        <w:rPr>
          <w:b/>
        </w:rPr>
      </w:pPr>
      <w:r w:rsidRPr="000376BA">
        <w:rPr>
          <w:rFonts w:asciiTheme="minorHAnsi" w:hAnsiTheme="minorHAnsi" w:cstheme="minorHAnsi"/>
        </w:rPr>
        <w:t xml:space="preserve">Nabór wniosków odbywa się w trybie </w:t>
      </w:r>
      <w:r w:rsidR="00281A49">
        <w:rPr>
          <w:rFonts w:asciiTheme="minorHAnsi" w:hAnsiTheme="minorHAnsi" w:cstheme="minorHAnsi"/>
          <w:b/>
        </w:rPr>
        <w:t>konkursowym</w:t>
      </w:r>
      <w:r w:rsidR="001A015F">
        <w:rPr>
          <w:rFonts w:asciiTheme="minorHAnsi" w:hAnsiTheme="minorHAnsi" w:cstheme="minorHAnsi"/>
        </w:rPr>
        <w:t>.</w:t>
      </w:r>
    </w:p>
    <w:p w14:paraId="66C2C1C4" w14:textId="6E343365" w:rsidR="0055582C" w:rsidRPr="00EB2091" w:rsidRDefault="0055582C" w:rsidP="00A72F31">
      <w:pPr>
        <w:widowControl w:val="0"/>
        <w:adjustRightInd w:val="0"/>
        <w:spacing w:after="0"/>
        <w:textAlignment w:val="baseline"/>
      </w:pPr>
      <w:r w:rsidRPr="00EA3E02">
        <w:lastRenderedPageBreak/>
        <w:t xml:space="preserve">Przygotowane wnioski należy składać </w:t>
      </w:r>
      <w:r w:rsidR="002D49CF">
        <w:t xml:space="preserve">wyłącznie </w:t>
      </w:r>
      <w:r w:rsidRPr="00EA3E02">
        <w:t>w wersji elektronicznej przez Generator Wn</w:t>
      </w:r>
      <w:r>
        <w:t>iosków o</w:t>
      </w:r>
      <w:r w:rsidR="00E32DA1">
        <w:t> </w:t>
      </w:r>
      <w:r>
        <w:t xml:space="preserve">Dofinansowanie („GWD”) przy zastosowaniu </w:t>
      </w:r>
      <w:r w:rsidRPr="00EA3E02">
        <w:t xml:space="preserve">podpisu o którym </w:t>
      </w:r>
      <w:r w:rsidRPr="00DA561E">
        <w:t>mowa w § 2 ust. 4 Regul</w:t>
      </w:r>
      <w:r w:rsidRPr="00EA3E02">
        <w:t>aminu naboru wniosków</w:t>
      </w:r>
      <w:r>
        <w:t xml:space="preserve">. </w:t>
      </w:r>
      <w:r w:rsidRPr="001D07D7">
        <w:t>O zachowaniu terminu złożenia wniosku decyduje</w:t>
      </w:r>
      <w:r>
        <w:t xml:space="preserve"> </w:t>
      </w:r>
      <w:r w:rsidRPr="00EB2091">
        <w:t>data jego wysłania przez GWD na skrzynkę podawczą NFOŚiGW znajdującą się na elektronicznej Platformie Usług Administracji Publicznej (</w:t>
      </w:r>
      <w:proofErr w:type="spellStart"/>
      <w:r w:rsidRPr="00EB2091">
        <w:t>ePUAP</w:t>
      </w:r>
      <w:proofErr w:type="spellEnd"/>
      <w:r w:rsidRPr="00EB2091">
        <w:t>)</w:t>
      </w:r>
      <w:r>
        <w:t>.</w:t>
      </w:r>
    </w:p>
    <w:p w14:paraId="349DB188" w14:textId="572ABB50" w:rsidR="0055582C" w:rsidRDefault="0055582C" w:rsidP="00A72F31">
      <w:pPr>
        <w:spacing w:after="0"/>
      </w:pPr>
      <w:r w:rsidRPr="00EA3E02">
        <w:t xml:space="preserve">Wnioski, które wpłyną po terminie </w:t>
      </w:r>
      <w:r>
        <w:t xml:space="preserve">lub w niewłaściwej formie </w:t>
      </w:r>
      <w:r w:rsidR="00472266">
        <w:t>będą odrzucone.</w:t>
      </w:r>
      <w:r w:rsidRPr="00EA3E02">
        <w:t xml:space="preserve"> </w:t>
      </w:r>
    </w:p>
    <w:p w14:paraId="20B07704" w14:textId="77777777" w:rsidR="0055582C" w:rsidRPr="001262A6" w:rsidRDefault="0055582C" w:rsidP="00A72F31">
      <w:pPr>
        <w:spacing w:before="120" w:after="0"/>
      </w:pPr>
      <w:r w:rsidRPr="001262A6">
        <w:t xml:space="preserve">Wnioskodawcy będą informowani odrębnym pismem o wyniku oceny. </w:t>
      </w:r>
    </w:p>
    <w:p w14:paraId="23C3E67D" w14:textId="6DF5B58D" w:rsidR="0055582C" w:rsidRPr="00A10D97" w:rsidRDefault="0055582C" w:rsidP="00A72F31">
      <w:pPr>
        <w:pStyle w:val="Akapitzlist"/>
        <w:numPr>
          <w:ilvl w:val="0"/>
          <w:numId w:val="18"/>
        </w:numPr>
        <w:tabs>
          <w:tab w:val="center" w:pos="426"/>
        </w:tabs>
        <w:spacing w:before="120" w:after="0"/>
        <w:rPr>
          <w:b/>
        </w:rPr>
      </w:pPr>
      <w:r w:rsidRPr="00A10D97">
        <w:rPr>
          <w:b/>
        </w:rPr>
        <w:t>Alokacja</w:t>
      </w:r>
      <w:r w:rsidR="00281A49">
        <w:rPr>
          <w:b/>
        </w:rPr>
        <w:t>:</w:t>
      </w:r>
    </w:p>
    <w:p w14:paraId="525B8AE6" w14:textId="77777777" w:rsidR="00281A49" w:rsidRDefault="00281A49" w:rsidP="00A72F31">
      <w:pPr>
        <w:tabs>
          <w:tab w:val="center" w:pos="426"/>
        </w:tabs>
        <w:spacing w:after="0"/>
        <w:ind w:left="-68"/>
      </w:pPr>
      <w:r>
        <w:t xml:space="preserve">Budżet na realizację celu programu wynosi </w:t>
      </w:r>
      <w:r w:rsidRPr="00DB527F">
        <w:rPr>
          <w:b/>
          <w:bCs/>
        </w:rPr>
        <w:t>do 4 150 000 tys. zł</w:t>
      </w:r>
      <w:r>
        <w:t>, w tym:</w:t>
      </w:r>
    </w:p>
    <w:p w14:paraId="35C2658A" w14:textId="77777777" w:rsidR="00281A49" w:rsidRDefault="00281A49" w:rsidP="00A72F31">
      <w:pPr>
        <w:tabs>
          <w:tab w:val="center" w:pos="426"/>
        </w:tabs>
        <w:spacing w:after="0"/>
        <w:ind w:left="-68"/>
      </w:pPr>
      <w:r>
        <w:t>1.</w:t>
      </w:r>
      <w:r>
        <w:tab/>
        <w:t xml:space="preserve">dla bezzwrotnych form dofinansowania — </w:t>
      </w:r>
      <w:r w:rsidRPr="00DB527F">
        <w:rPr>
          <w:b/>
          <w:bCs/>
        </w:rPr>
        <w:t>do 3 735 000 tys. zł;</w:t>
      </w:r>
    </w:p>
    <w:p w14:paraId="7EA74E9A" w14:textId="77777777" w:rsidR="00281A49" w:rsidRDefault="00281A49" w:rsidP="00A72F31">
      <w:pPr>
        <w:tabs>
          <w:tab w:val="center" w:pos="426"/>
        </w:tabs>
        <w:spacing w:after="0"/>
        <w:ind w:left="-68"/>
      </w:pPr>
      <w:r>
        <w:t>2.</w:t>
      </w:r>
      <w:r>
        <w:tab/>
        <w:t xml:space="preserve">dla zwrotnych form dofinansowania — </w:t>
      </w:r>
      <w:r w:rsidRPr="00DB527F">
        <w:rPr>
          <w:b/>
          <w:bCs/>
        </w:rPr>
        <w:t>do 415 000 tys. zł</w:t>
      </w:r>
      <w:r>
        <w:t>;</w:t>
      </w:r>
    </w:p>
    <w:p w14:paraId="76A2BBC4" w14:textId="77777777" w:rsidR="00281A49" w:rsidRDefault="00281A49" w:rsidP="00A72F31">
      <w:pPr>
        <w:tabs>
          <w:tab w:val="center" w:pos="426"/>
        </w:tabs>
        <w:spacing w:before="120" w:after="0"/>
        <w:ind w:left="-68"/>
      </w:pPr>
      <w:r>
        <w:t>3.</w:t>
      </w:r>
      <w:r>
        <w:tab/>
        <w:t xml:space="preserve">maksymalnie 30% budżetu programu pomocowego określonego w decyzji Komisji w sprawie nr SA.112460  (1 202 mln EUR ) może zostać przeznaczone na inwestycje danego przedsiębiorstwa oraz przedsiębiorstw z nim powiązanych w rozumieniu załącznika I do rozporządzenia Komisji (UE) nr 651/2014 z dnia 17 czerwca 2014 r. uznającego niektóre rodzaje pomocy za zgodne z rynkiem wewnętrznym w zastosowaniu art. 107 i 108 Traktatu (Dz. Urz. UE L z 26.6.2014 ze zm.).  </w:t>
      </w:r>
    </w:p>
    <w:p w14:paraId="1815285A" w14:textId="0642D012" w:rsidR="00281A49" w:rsidRDefault="00281A49" w:rsidP="00A72F31">
      <w:pPr>
        <w:pStyle w:val="Akapitzlist"/>
        <w:numPr>
          <w:ilvl w:val="0"/>
          <w:numId w:val="18"/>
        </w:numPr>
        <w:spacing w:before="120" w:after="0"/>
        <w:ind w:left="289" w:hanging="357"/>
        <w:rPr>
          <w:b/>
          <w:bCs/>
        </w:rPr>
      </w:pPr>
      <w:r w:rsidRPr="00281A49">
        <w:rPr>
          <w:b/>
          <w:bCs/>
        </w:rPr>
        <w:t>Intensywność dofinansowania</w:t>
      </w:r>
      <w:r>
        <w:rPr>
          <w:b/>
          <w:bCs/>
        </w:rPr>
        <w:t>:</w:t>
      </w:r>
      <w:r w:rsidRPr="00281A49">
        <w:rPr>
          <w:b/>
          <w:bCs/>
        </w:rPr>
        <w:t xml:space="preserve"> </w:t>
      </w:r>
    </w:p>
    <w:p w14:paraId="2B00DCB7" w14:textId="77777777" w:rsidR="00DB527F" w:rsidRPr="00DB527F" w:rsidRDefault="00281A49" w:rsidP="00A72F3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ind w:left="289" w:hanging="357"/>
        <w:contextualSpacing/>
        <w:rPr>
          <w:rFonts w:asciiTheme="minorHAnsi" w:hAnsiTheme="minorHAnsi"/>
        </w:rPr>
      </w:pPr>
      <w:r w:rsidRPr="00281A49">
        <w:rPr>
          <w:rFonts w:asciiTheme="minorHAnsi" w:hAnsiTheme="minorHAnsi" w:cstheme="minorHAnsi"/>
        </w:rPr>
        <w:t>Dofinansowanie w formie dotacji</w:t>
      </w:r>
      <w:r w:rsidRPr="004217D6">
        <w:t xml:space="preserve"> </w:t>
      </w:r>
      <w:r w:rsidRPr="00281A49">
        <w:rPr>
          <w:rFonts w:asciiTheme="minorHAnsi" w:hAnsiTheme="minorHAnsi" w:cstheme="minorHAnsi"/>
        </w:rPr>
        <w:t xml:space="preserve">– do </w:t>
      </w:r>
      <w:r w:rsidRPr="00281A49">
        <w:rPr>
          <w:rFonts w:asciiTheme="minorHAnsi" w:hAnsiTheme="minorHAnsi" w:cstheme="minorHAnsi"/>
          <w:b/>
        </w:rPr>
        <w:t>45 %</w:t>
      </w:r>
      <w:r w:rsidRPr="00281A49">
        <w:rPr>
          <w:rFonts w:asciiTheme="minorHAnsi" w:hAnsiTheme="minorHAnsi" w:cstheme="minorHAnsi"/>
        </w:rPr>
        <w:t xml:space="preserve"> całkowitych kosztów inwestycji; intensywność pomocy można zwiększyć o 20 punktów procentowych w przypadku pomocy na rzecz małego przedsiębiorstwa i o 10 punktów procentowych w przypadku pomocy na rzecz średniego przedsiębiorstwa; </w:t>
      </w:r>
    </w:p>
    <w:p w14:paraId="616F402C" w14:textId="77777777" w:rsidR="00DB527F" w:rsidRPr="00DB527F" w:rsidRDefault="00281A49" w:rsidP="00A72F3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contextualSpacing/>
        <w:rPr>
          <w:rFonts w:asciiTheme="minorHAnsi" w:hAnsiTheme="minorHAnsi"/>
        </w:rPr>
      </w:pPr>
      <w:r w:rsidRPr="00DB527F">
        <w:rPr>
          <w:rFonts w:asciiTheme="minorHAnsi" w:hAnsiTheme="minorHAnsi" w:cstheme="minorHAnsi"/>
          <w:bCs/>
        </w:rPr>
        <w:t xml:space="preserve">Dofinansowanie w formie pożyczki na warunkach preferencyjnych lub rynkowych </w:t>
      </w:r>
      <w:r w:rsidRPr="00DB527F">
        <w:rPr>
          <w:rFonts w:asciiTheme="minorHAnsi" w:hAnsiTheme="minorHAnsi" w:cstheme="minorHAnsi"/>
          <w:b/>
          <w:bCs/>
        </w:rPr>
        <w:t>do 100% kosztów kwalifikowanych</w:t>
      </w:r>
      <w:r w:rsidRPr="00DB527F">
        <w:rPr>
          <w:rFonts w:asciiTheme="minorHAnsi" w:hAnsiTheme="minorHAnsi" w:cstheme="minorHAnsi"/>
          <w:bCs/>
        </w:rPr>
        <w:t>;</w:t>
      </w:r>
    </w:p>
    <w:p w14:paraId="4CF5657F" w14:textId="69658C87" w:rsidR="00281A49" w:rsidRPr="00DB527F" w:rsidRDefault="00281A49" w:rsidP="00A72F3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/>
        <w:ind w:left="289" w:hanging="357"/>
        <w:contextualSpacing/>
        <w:rPr>
          <w:rFonts w:asciiTheme="minorHAnsi" w:hAnsiTheme="minorHAnsi"/>
        </w:rPr>
      </w:pPr>
      <w:r w:rsidRPr="00DB527F">
        <w:rPr>
          <w:rFonts w:asciiTheme="minorHAnsi" w:hAnsiTheme="minorHAnsi" w:cstheme="minorHAnsi"/>
        </w:rPr>
        <w:t>Dla inwestycji realizowanych w formule „</w:t>
      </w:r>
      <w:proofErr w:type="spellStart"/>
      <w:r w:rsidRPr="00DB527F">
        <w:rPr>
          <w:rFonts w:asciiTheme="minorHAnsi" w:hAnsiTheme="minorHAnsi" w:cstheme="minorHAnsi"/>
        </w:rPr>
        <w:t>project</w:t>
      </w:r>
      <w:proofErr w:type="spellEnd"/>
      <w:r w:rsidRPr="00DB527F">
        <w:rPr>
          <w:rFonts w:asciiTheme="minorHAnsi" w:hAnsiTheme="minorHAnsi" w:cstheme="minorHAnsi"/>
        </w:rPr>
        <w:t xml:space="preserve"> </w:t>
      </w:r>
      <w:proofErr w:type="spellStart"/>
      <w:r w:rsidRPr="00DB527F">
        <w:rPr>
          <w:rFonts w:asciiTheme="minorHAnsi" w:hAnsiTheme="minorHAnsi" w:cstheme="minorHAnsi"/>
        </w:rPr>
        <w:t>finance</w:t>
      </w:r>
      <w:proofErr w:type="spellEnd"/>
      <w:r w:rsidRPr="00DB527F">
        <w:rPr>
          <w:rFonts w:asciiTheme="minorHAnsi" w:hAnsiTheme="minorHAnsi" w:cstheme="minorHAnsi"/>
        </w:rPr>
        <w:t>" obowiązuje wymóg udziału środków własnych Wnioskodawcy (z zastrzeżeniem, że środki własne nie obejmują: kredytów bankowych, emisji obligacji, pożyczek właścicielskich, pożyczek udzielonych przez inne podmioty itp.) w wysokości co najmniej 15% kosztów kwalifikowanych inwestycji, wniesionego w postaci udziału kapitału zakładowego pokrytego wkładem pieniężnym.</w:t>
      </w:r>
    </w:p>
    <w:p w14:paraId="14625769" w14:textId="4C35011B" w:rsidR="00281A49" w:rsidRPr="00281A49" w:rsidRDefault="00281A49" w:rsidP="00A72F31">
      <w:pPr>
        <w:pStyle w:val="Akapitzlist"/>
        <w:numPr>
          <w:ilvl w:val="0"/>
          <w:numId w:val="18"/>
        </w:numPr>
        <w:tabs>
          <w:tab w:val="center" w:pos="426"/>
        </w:tabs>
        <w:spacing w:before="120" w:after="0"/>
        <w:ind w:left="289" w:hanging="357"/>
      </w:pPr>
      <w:r w:rsidRPr="00281A49">
        <w:rPr>
          <w:b/>
        </w:rPr>
        <w:t>Formy dofinansowania</w:t>
      </w:r>
      <w:r>
        <w:rPr>
          <w:b/>
        </w:rPr>
        <w:t>:</w:t>
      </w:r>
    </w:p>
    <w:p w14:paraId="0A414C48" w14:textId="1976500C" w:rsidR="00281A49" w:rsidRPr="00281A49" w:rsidRDefault="00281A49" w:rsidP="00A72F31">
      <w:pPr>
        <w:pStyle w:val="Akapitzlist"/>
        <w:spacing w:after="0"/>
        <w:ind w:left="295"/>
        <w:rPr>
          <w:rFonts w:asciiTheme="minorHAnsi" w:hAnsiTheme="minorHAnsi"/>
          <w:b/>
        </w:rPr>
      </w:pPr>
      <w:r w:rsidRPr="00A10D97">
        <w:t>Dofinansowanie będzie udzielone w formie dotacji i/lub pożyczki, zgodnie z programem priorytetowym „</w:t>
      </w:r>
      <w:r w:rsidRPr="00281A49">
        <w:rPr>
          <w:rFonts w:asciiTheme="minorHAnsi" w:hAnsiTheme="minorHAnsi"/>
          <w:b/>
        </w:rPr>
        <w:t>Magazyny energii elektrycznej i związana z nimi infrastruktura dla poprawy stabilności polskiej sieci elektroenergetycznej</w:t>
      </w:r>
      <w:r w:rsidRPr="00A10D97">
        <w:t>”</w:t>
      </w:r>
    </w:p>
    <w:p w14:paraId="0CA50244" w14:textId="287835FD" w:rsidR="0055582C" w:rsidRPr="00A10D97" w:rsidRDefault="0055582C" w:rsidP="00A72F31">
      <w:pPr>
        <w:pStyle w:val="Akapitzlist"/>
        <w:numPr>
          <w:ilvl w:val="0"/>
          <w:numId w:val="18"/>
        </w:numPr>
        <w:tabs>
          <w:tab w:val="center" w:pos="426"/>
        </w:tabs>
        <w:spacing w:before="120" w:after="0"/>
        <w:ind w:left="295"/>
        <w:rPr>
          <w:b/>
        </w:rPr>
      </w:pPr>
      <w:r w:rsidRPr="00A10D97">
        <w:rPr>
          <w:b/>
        </w:rPr>
        <w:t>Informacja o koordynatorze programu wraz z nr telefonu</w:t>
      </w:r>
      <w:r w:rsidR="00281A49">
        <w:rPr>
          <w:b/>
        </w:rPr>
        <w:t>:</w:t>
      </w:r>
    </w:p>
    <w:p w14:paraId="3154B27C" w14:textId="5E362AFD" w:rsidR="0055582C" w:rsidRPr="00281A49" w:rsidRDefault="0055582C" w:rsidP="00A72F31">
      <w:pPr>
        <w:spacing w:after="0"/>
        <w:ind w:left="-68"/>
      </w:pPr>
      <w:r w:rsidRPr="00281A49">
        <w:t xml:space="preserve">Koordynator programu: </w:t>
      </w:r>
      <w:r w:rsidR="00281A49" w:rsidRPr="00281A49">
        <w:t>Joanna Wiąc</w:t>
      </w:r>
      <w:r w:rsidR="00281A49">
        <w:t>ek</w:t>
      </w:r>
      <w:r w:rsidRPr="00281A49">
        <w:t xml:space="preserve">, e-mail: </w:t>
      </w:r>
      <w:r w:rsidR="00281A49" w:rsidRPr="00281A49">
        <w:t>magazyny.przemysl@nfosigw.gov.pl</w:t>
      </w:r>
    </w:p>
    <w:sectPr w:rsidR="0055582C" w:rsidRPr="00281A49" w:rsidSect="00DD4E94">
      <w:pgSz w:w="12240" w:h="15840"/>
      <w:pgMar w:top="709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9F6B" w14:textId="77777777" w:rsidR="00551F2D" w:rsidRDefault="00551F2D" w:rsidP="00C64B8C">
      <w:pPr>
        <w:spacing w:after="0" w:line="240" w:lineRule="auto"/>
      </w:pPr>
      <w:r>
        <w:separator/>
      </w:r>
    </w:p>
  </w:endnote>
  <w:endnote w:type="continuationSeparator" w:id="0">
    <w:p w14:paraId="25E9DB19" w14:textId="77777777" w:rsidR="00551F2D" w:rsidRDefault="00551F2D" w:rsidP="00C6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37FC" w14:textId="77777777" w:rsidR="00551F2D" w:rsidRDefault="00551F2D" w:rsidP="00C64B8C">
      <w:pPr>
        <w:spacing w:after="0" w:line="240" w:lineRule="auto"/>
      </w:pPr>
      <w:r>
        <w:separator/>
      </w:r>
    </w:p>
  </w:footnote>
  <w:footnote w:type="continuationSeparator" w:id="0">
    <w:p w14:paraId="7637A8B0" w14:textId="77777777" w:rsidR="00551F2D" w:rsidRDefault="00551F2D" w:rsidP="00C64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991"/>
    <w:multiLevelType w:val="hybridMultilevel"/>
    <w:tmpl w:val="7BE8F974"/>
    <w:lvl w:ilvl="0" w:tplc="0415000F">
      <w:start w:val="1"/>
      <w:numFmt w:val="decimal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B070F"/>
    <w:multiLevelType w:val="hybridMultilevel"/>
    <w:tmpl w:val="1AE40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168A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56DA"/>
    <w:multiLevelType w:val="hybridMultilevel"/>
    <w:tmpl w:val="95DC97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FE4E97C">
      <w:start w:val="2"/>
      <w:numFmt w:val="bullet"/>
      <w:lvlText w:val="•"/>
      <w:lvlJc w:val="left"/>
      <w:pPr>
        <w:ind w:left="2700" w:hanging="360"/>
      </w:pPr>
      <w:rPr>
        <w:rFonts w:ascii="Calibri" w:eastAsia="Times New Roman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474DB"/>
    <w:multiLevelType w:val="hybridMultilevel"/>
    <w:tmpl w:val="A5B833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D884A51"/>
    <w:multiLevelType w:val="hybridMultilevel"/>
    <w:tmpl w:val="E8E06694"/>
    <w:lvl w:ilvl="0" w:tplc="7B805A6A">
      <w:start w:val="1"/>
      <w:numFmt w:val="decimal"/>
      <w:lvlText w:val="%1)"/>
      <w:lvlJc w:val="left"/>
      <w:pPr>
        <w:ind w:left="294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0EF030DE"/>
    <w:multiLevelType w:val="hybridMultilevel"/>
    <w:tmpl w:val="2C563F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E31C6"/>
    <w:multiLevelType w:val="hybridMultilevel"/>
    <w:tmpl w:val="7A323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FCC4C1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02696"/>
    <w:multiLevelType w:val="hybridMultilevel"/>
    <w:tmpl w:val="E7648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C09F4"/>
    <w:multiLevelType w:val="hybridMultilevel"/>
    <w:tmpl w:val="A086CF5A"/>
    <w:lvl w:ilvl="0" w:tplc="CBB69AF2"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22765369"/>
    <w:multiLevelType w:val="hybridMultilevel"/>
    <w:tmpl w:val="56D6A69C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3" w15:restartNumberingAfterBreak="0">
    <w:nsid w:val="22C16E9F"/>
    <w:multiLevelType w:val="hybridMultilevel"/>
    <w:tmpl w:val="1DA48F96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47322"/>
    <w:multiLevelType w:val="hybridMultilevel"/>
    <w:tmpl w:val="85CC81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3C3A3C"/>
    <w:multiLevelType w:val="multilevel"/>
    <w:tmpl w:val="60700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61B6D7B"/>
    <w:multiLevelType w:val="hybridMultilevel"/>
    <w:tmpl w:val="919A627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714E5"/>
    <w:multiLevelType w:val="hybridMultilevel"/>
    <w:tmpl w:val="9D1EF41E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0" w15:restartNumberingAfterBreak="0">
    <w:nsid w:val="3A546A89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D3C5EEB"/>
    <w:multiLevelType w:val="hybridMultilevel"/>
    <w:tmpl w:val="0ED8F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80A1E"/>
    <w:multiLevelType w:val="hybridMultilevel"/>
    <w:tmpl w:val="B19066E6"/>
    <w:lvl w:ilvl="0" w:tplc="6E169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D4D7B"/>
    <w:multiLevelType w:val="hybridMultilevel"/>
    <w:tmpl w:val="CB4CABE0"/>
    <w:lvl w:ilvl="0" w:tplc="09D453B4">
      <w:start w:val="1"/>
      <w:numFmt w:val="bullet"/>
      <w:lvlText w:val=""/>
      <w:lvlJc w:val="left"/>
      <w:pPr>
        <w:ind w:left="294" w:hanging="360"/>
      </w:pPr>
      <w:rPr>
        <w:rFonts w:ascii="Symbol" w:hAnsi="Symbol" w:hint="default"/>
      </w:rPr>
    </w:lvl>
    <w:lvl w:ilvl="1" w:tplc="0FE4E97C">
      <w:start w:val="2"/>
      <w:numFmt w:val="bullet"/>
      <w:lvlText w:val="•"/>
      <w:lvlJc w:val="left"/>
      <w:pPr>
        <w:ind w:left="1014" w:hanging="360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3E7D74A9"/>
    <w:multiLevelType w:val="hybridMultilevel"/>
    <w:tmpl w:val="41C0E798"/>
    <w:lvl w:ilvl="0" w:tplc="F9DC295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25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221D0"/>
    <w:multiLevelType w:val="hybridMultilevel"/>
    <w:tmpl w:val="2C563F02"/>
    <w:lvl w:ilvl="0" w:tplc="C2D27E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1B0D32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13289"/>
    <w:multiLevelType w:val="hybridMultilevel"/>
    <w:tmpl w:val="7D5C8E16"/>
    <w:lvl w:ilvl="0" w:tplc="D7F6729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BDE4DD8"/>
    <w:multiLevelType w:val="hybridMultilevel"/>
    <w:tmpl w:val="4BE89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8871E7"/>
    <w:multiLevelType w:val="hybridMultilevel"/>
    <w:tmpl w:val="2EF493E2"/>
    <w:lvl w:ilvl="0" w:tplc="1C0C830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0C49A5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A023AA0"/>
    <w:multiLevelType w:val="hybridMultilevel"/>
    <w:tmpl w:val="178A6FA0"/>
    <w:lvl w:ilvl="0" w:tplc="B8226F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B0631"/>
    <w:multiLevelType w:val="hybridMultilevel"/>
    <w:tmpl w:val="6B2E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8D44C1"/>
    <w:multiLevelType w:val="hybridMultilevel"/>
    <w:tmpl w:val="2C563F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E87569"/>
    <w:multiLevelType w:val="hybridMultilevel"/>
    <w:tmpl w:val="4322F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4A1170"/>
    <w:multiLevelType w:val="hybridMultilevel"/>
    <w:tmpl w:val="3692D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904CC"/>
    <w:multiLevelType w:val="hybridMultilevel"/>
    <w:tmpl w:val="B748FEAE"/>
    <w:lvl w:ilvl="0" w:tplc="0415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1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 w15:restartNumberingAfterBreak="0">
    <w:nsid w:val="7FCE6463"/>
    <w:multiLevelType w:val="hybridMultilevel"/>
    <w:tmpl w:val="E5DE19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11700235">
    <w:abstractNumId w:val="8"/>
  </w:num>
  <w:num w:numId="2" w16cid:durableId="830755876">
    <w:abstractNumId w:val="25"/>
  </w:num>
  <w:num w:numId="3" w16cid:durableId="197280321">
    <w:abstractNumId w:val="26"/>
  </w:num>
  <w:num w:numId="4" w16cid:durableId="1690452943">
    <w:abstractNumId w:val="37"/>
  </w:num>
  <w:num w:numId="5" w16cid:durableId="1998419819">
    <w:abstractNumId w:val="27"/>
  </w:num>
  <w:num w:numId="6" w16cid:durableId="1306007640">
    <w:abstractNumId w:val="15"/>
  </w:num>
  <w:num w:numId="7" w16cid:durableId="348338293">
    <w:abstractNumId w:val="10"/>
  </w:num>
  <w:num w:numId="8" w16cid:durableId="1346858736">
    <w:abstractNumId w:val="2"/>
  </w:num>
  <w:num w:numId="9" w16cid:durableId="275646008">
    <w:abstractNumId w:val="41"/>
  </w:num>
  <w:num w:numId="10" w16cid:durableId="1393389777">
    <w:abstractNumId w:val="17"/>
  </w:num>
  <w:num w:numId="11" w16cid:durableId="825249321">
    <w:abstractNumId w:val="31"/>
  </w:num>
  <w:num w:numId="12" w16cid:durableId="1640262648">
    <w:abstractNumId w:val="0"/>
  </w:num>
  <w:num w:numId="13" w16cid:durableId="733085726">
    <w:abstractNumId w:val="20"/>
  </w:num>
  <w:num w:numId="14" w16cid:durableId="921910387">
    <w:abstractNumId w:val="33"/>
  </w:num>
  <w:num w:numId="15" w16cid:durableId="1479104188">
    <w:abstractNumId w:val="29"/>
  </w:num>
  <w:num w:numId="16" w16cid:durableId="2055077907">
    <w:abstractNumId w:val="35"/>
  </w:num>
  <w:num w:numId="17" w16cid:durableId="562563087">
    <w:abstractNumId w:val="40"/>
  </w:num>
  <w:num w:numId="18" w16cid:durableId="1821262163">
    <w:abstractNumId w:val="23"/>
  </w:num>
  <w:num w:numId="19" w16cid:durableId="1514488517">
    <w:abstractNumId w:val="13"/>
  </w:num>
  <w:num w:numId="20" w16cid:durableId="1546067594">
    <w:abstractNumId w:val="30"/>
  </w:num>
  <w:num w:numId="21" w16cid:durableId="1752894654">
    <w:abstractNumId w:val="18"/>
  </w:num>
  <w:num w:numId="22" w16cid:durableId="1273056418">
    <w:abstractNumId w:val="34"/>
  </w:num>
  <w:num w:numId="23" w16cid:durableId="16195998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83700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4255293">
    <w:abstractNumId w:val="32"/>
  </w:num>
  <w:num w:numId="26" w16cid:durableId="15927645">
    <w:abstractNumId w:val="12"/>
  </w:num>
  <w:num w:numId="27" w16cid:durableId="738097727">
    <w:abstractNumId w:val="11"/>
  </w:num>
  <w:num w:numId="28" w16cid:durableId="328096994">
    <w:abstractNumId w:val="4"/>
  </w:num>
  <w:num w:numId="29" w16cid:durableId="1770851372">
    <w:abstractNumId w:val="1"/>
  </w:num>
  <w:num w:numId="30" w16cid:durableId="1464420980">
    <w:abstractNumId w:val="16"/>
  </w:num>
  <w:num w:numId="31" w16cid:durableId="2049261712">
    <w:abstractNumId w:val="38"/>
  </w:num>
  <w:num w:numId="32" w16cid:durableId="105735033">
    <w:abstractNumId w:val="19"/>
  </w:num>
  <w:num w:numId="33" w16cid:durableId="14818757">
    <w:abstractNumId w:val="39"/>
  </w:num>
  <w:num w:numId="34" w16cid:durableId="2046127571">
    <w:abstractNumId w:val="42"/>
  </w:num>
  <w:num w:numId="35" w16cid:durableId="506139557">
    <w:abstractNumId w:val="14"/>
  </w:num>
  <w:num w:numId="36" w16cid:durableId="310989455">
    <w:abstractNumId w:val="28"/>
  </w:num>
  <w:num w:numId="37" w16cid:durableId="879976233">
    <w:abstractNumId w:val="3"/>
  </w:num>
  <w:num w:numId="38" w16cid:durableId="2113279647">
    <w:abstractNumId w:val="36"/>
  </w:num>
  <w:num w:numId="39" w16cid:durableId="778378419">
    <w:abstractNumId w:val="6"/>
  </w:num>
  <w:num w:numId="40" w16cid:durableId="684942080">
    <w:abstractNumId w:val="9"/>
  </w:num>
  <w:num w:numId="41" w16cid:durableId="436562830">
    <w:abstractNumId w:val="21"/>
  </w:num>
  <w:num w:numId="42" w16cid:durableId="1326470978">
    <w:abstractNumId w:val="22"/>
  </w:num>
  <w:num w:numId="43" w16cid:durableId="898707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36856"/>
    <w:rsid w:val="00036A76"/>
    <w:rsid w:val="000405DB"/>
    <w:rsid w:val="000523A2"/>
    <w:rsid w:val="00073AAE"/>
    <w:rsid w:val="000A2369"/>
    <w:rsid w:val="000A6D88"/>
    <w:rsid w:val="000B3A6D"/>
    <w:rsid w:val="000B62BA"/>
    <w:rsid w:val="000C1095"/>
    <w:rsid w:val="000F0258"/>
    <w:rsid w:val="000F3C18"/>
    <w:rsid w:val="000F50C4"/>
    <w:rsid w:val="00103CDE"/>
    <w:rsid w:val="00105BB0"/>
    <w:rsid w:val="0010606A"/>
    <w:rsid w:val="00117445"/>
    <w:rsid w:val="00121CD3"/>
    <w:rsid w:val="001262A6"/>
    <w:rsid w:val="00133B82"/>
    <w:rsid w:val="001654E2"/>
    <w:rsid w:val="00165888"/>
    <w:rsid w:val="001747BE"/>
    <w:rsid w:val="0017480B"/>
    <w:rsid w:val="001A015F"/>
    <w:rsid w:val="001A347A"/>
    <w:rsid w:val="001A366F"/>
    <w:rsid w:val="001A7991"/>
    <w:rsid w:val="001C0DB8"/>
    <w:rsid w:val="001D51A6"/>
    <w:rsid w:val="001D695E"/>
    <w:rsid w:val="001D6BC2"/>
    <w:rsid w:val="001F7B54"/>
    <w:rsid w:val="002000B1"/>
    <w:rsid w:val="00201036"/>
    <w:rsid w:val="00202C7C"/>
    <w:rsid w:val="00207133"/>
    <w:rsid w:val="0021598D"/>
    <w:rsid w:val="00231D57"/>
    <w:rsid w:val="00241B42"/>
    <w:rsid w:val="00251682"/>
    <w:rsid w:val="002633BD"/>
    <w:rsid w:val="002747E3"/>
    <w:rsid w:val="00274966"/>
    <w:rsid w:val="00277F85"/>
    <w:rsid w:val="00281A49"/>
    <w:rsid w:val="002A09C3"/>
    <w:rsid w:val="002B64E4"/>
    <w:rsid w:val="002B698B"/>
    <w:rsid w:val="002C6B41"/>
    <w:rsid w:val="002D3728"/>
    <w:rsid w:val="002D49CF"/>
    <w:rsid w:val="002E1D04"/>
    <w:rsid w:val="002F2EE9"/>
    <w:rsid w:val="00320417"/>
    <w:rsid w:val="0033320B"/>
    <w:rsid w:val="0034049A"/>
    <w:rsid w:val="00344F77"/>
    <w:rsid w:val="00362CDE"/>
    <w:rsid w:val="0037449A"/>
    <w:rsid w:val="00377B34"/>
    <w:rsid w:val="00380A8B"/>
    <w:rsid w:val="00382508"/>
    <w:rsid w:val="003C2978"/>
    <w:rsid w:val="003F4F1F"/>
    <w:rsid w:val="00416C46"/>
    <w:rsid w:val="00472266"/>
    <w:rsid w:val="00482D1B"/>
    <w:rsid w:val="0049163B"/>
    <w:rsid w:val="004C5D4A"/>
    <w:rsid w:val="004C743E"/>
    <w:rsid w:val="004D416A"/>
    <w:rsid w:val="004D4E37"/>
    <w:rsid w:val="004D7B45"/>
    <w:rsid w:val="004E01C6"/>
    <w:rsid w:val="004E344E"/>
    <w:rsid w:val="004E551E"/>
    <w:rsid w:val="004E5E66"/>
    <w:rsid w:val="004F7F32"/>
    <w:rsid w:val="00510EED"/>
    <w:rsid w:val="00520A32"/>
    <w:rsid w:val="00527D0E"/>
    <w:rsid w:val="0053399A"/>
    <w:rsid w:val="0053696E"/>
    <w:rsid w:val="0054314C"/>
    <w:rsid w:val="005457E3"/>
    <w:rsid w:val="00551F2D"/>
    <w:rsid w:val="0055234B"/>
    <w:rsid w:val="0055582C"/>
    <w:rsid w:val="00556C34"/>
    <w:rsid w:val="0059272F"/>
    <w:rsid w:val="005A23B8"/>
    <w:rsid w:val="005A3675"/>
    <w:rsid w:val="005E0648"/>
    <w:rsid w:val="005E6FDE"/>
    <w:rsid w:val="005F2237"/>
    <w:rsid w:val="005F5AC3"/>
    <w:rsid w:val="00623D08"/>
    <w:rsid w:val="00646E5B"/>
    <w:rsid w:val="006535F7"/>
    <w:rsid w:val="0065507E"/>
    <w:rsid w:val="006565AE"/>
    <w:rsid w:val="00664071"/>
    <w:rsid w:val="006828F7"/>
    <w:rsid w:val="00683974"/>
    <w:rsid w:val="00690BA2"/>
    <w:rsid w:val="0069185D"/>
    <w:rsid w:val="006A2CBF"/>
    <w:rsid w:val="006B3C16"/>
    <w:rsid w:val="006C5711"/>
    <w:rsid w:val="006D7FFC"/>
    <w:rsid w:val="006E51D2"/>
    <w:rsid w:val="006F77D6"/>
    <w:rsid w:val="00701DDC"/>
    <w:rsid w:val="0070492F"/>
    <w:rsid w:val="00726CC1"/>
    <w:rsid w:val="00743701"/>
    <w:rsid w:val="00745095"/>
    <w:rsid w:val="007623F9"/>
    <w:rsid w:val="00787F4E"/>
    <w:rsid w:val="007B603B"/>
    <w:rsid w:val="007B7792"/>
    <w:rsid w:val="007E1DFA"/>
    <w:rsid w:val="007E7E6D"/>
    <w:rsid w:val="007F1D24"/>
    <w:rsid w:val="007F1F21"/>
    <w:rsid w:val="007F73DD"/>
    <w:rsid w:val="008032D4"/>
    <w:rsid w:val="008135A7"/>
    <w:rsid w:val="00813884"/>
    <w:rsid w:val="00827462"/>
    <w:rsid w:val="00840BA1"/>
    <w:rsid w:val="00844550"/>
    <w:rsid w:val="008455D7"/>
    <w:rsid w:val="00860005"/>
    <w:rsid w:val="008715A1"/>
    <w:rsid w:val="00874C76"/>
    <w:rsid w:val="0088183A"/>
    <w:rsid w:val="008861D2"/>
    <w:rsid w:val="008B0823"/>
    <w:rsid w:val="008B2219"/>
    <w:rsid w:val="008C0E29"/>
    <w:rsid w:val="008F7E52"/>
    <w:rsid w:val="009101E7"/>
    <w:rsid w:val="00910FC7"/>
    <w:rsid w:val="009145CE"/>
    <w:rsid w:val="0091467F"/>
    <w:rsid w:val="009226F1"/>
    <w:rsid w:val="0092437F"/>
    <w:rsid w:val="00934444"/>
    <w:rsid w:val="009374BD"/>
    <w:rsid w:val="0094068C"/>
    <w:rsid w:val="00943D5A"/>
    <w:rsid w:val="009553DB"/>
    <w:rsid w:val="0096692B"/>
    <w:rsid w:val="009855E8"/>
    <w:rsid w:val="00996413"/>
    <w:rsid w:val="009A6EFC"/>
    <w:rsid w:val="009B6241"/>
    <w:rsid w:val="009C607C"/>
    <w:rsid w:val="009F5F93"/>
    <w:rsid w:val="00A01B4A"/>
    <w:rsid w:val="00A05FC5"/>
    <w:rsid w:val="00A10D97"/>
    <w:rsid w:val="00A12184"/>
    <w:rsid w:val="00A14DD4"/>
    <w:rsid w:val="00A201DF"/>
    <w:rsid w:val="00A22E38"/>
    <w:rsid w:val="00A2332B"/>
    <w:rsid w:val="00A45239"/>
    <w:rsid w:val="00A72F31"/>
    <w:rsid w:val="00A759F9"/>
    <w:rsid w:val="00A8346D"/>
    <w:rsid w:val="00AE49CE"/>
    <w:rsid w:val="00AF3AB5"/>
    <w:rsid w:val="00AF4BA3"/>
    <w:rsid w:val="00B07DE7"/>
    <w:rsid w:val="00B121E6"/>
    <w:rsid w:val="00B1388C"/>
    <w:rsid w:val="00B17FC6"/>
    <w:rsid w:val="00B22774"/>
    <w:rsid w:val="00B255CD"/>
    <w:rsid w:val="00B417F8"/>
    <w:rsid w:val="00B41F29"/>
    <w:rsid w:val="00B42111"/>
    <w:rsid w:val="00B42DA5"/>
    <w:rsid w:val="00B43E15"/>
    <w:rsid w:val="00B47B75"/>
    <w:rsid w:val="00B76163"/>
    <w:rsid w:val="00B777DD"/>
    <w:rsid w:val="00B825FF"/>
    <w:rsid w:val="00B85665"/>
    <w:rsid w:val="00B86266"/>
    <w:rsid w:val="00B92A23"/>
    <w:rsid w:val="00BA3F72"/>
    <w:rsid w:val="00BB18CE"/>
    <w:rsid w:val="00BC3893"/>
    <w:rsid w:val="00BC4B6B"/>
    <w:rsid w:val="00BC7A9A"/>
    <w:rsid w:val="00BC7BD8"/>
    <w:rsid w:val="00BD3392"/>
    <w:rsid w:val="00BE7C90"/>
    <w:rsid w:val="00BF765D"/>
    <w:rsid w:val="00C27CDC"/>
    <w:rsid w:val="00C30ACB"/>
    <w:rsid w:val="00C342BF"/>
    <w:rsid w:val="00C477FE"/>
    <w:rsid w:val="00C50DC9"/>
    <w:rsid w:val="00C64B8C"/>
    <w:rsid w:val="00C74F7D"/>
    <w:rsid w:val="00C8058D"/>
    <w:rsid w:val="00C86E93"/>
    <w:rsid w:val="00CA0C11"/>
    <w:rsid w:val="00CC498A"/>
    <w:rsid w:val="00CC5D80"/>
    <w:rsid w:val="00CD238A"/>
    <w:rsid w:val="00CE7FA9"/>
    <w:rsid w:val="00CF1828"/>
    <w:rsid w:val="00CF21B8"/>
    <w:rsid w:val="00D00C6A"/>
    <w:rsid w:val="00D04489"/>
    <w:rsid w:val="00D06D34"/>
    <w:rsid w:val="00D07743"/>
    <w:rsid w:val="00D12733"/>
    <w:rsid w:val="00D21DE0"/>
    <w:rsid w:val="00D23DD1"/>
    <w:rsid w:val="00D23FE0"/>
    <w:rsid w:val="00D270B8"/>
    <w:rsid w:val="00D33414"/>
    <w:rsid w:val="00D36D2E"/>
    <w:rsid w:val="00D478DF"/>
    <w:rsid w:val="00D735D4"/>
    <w:rsid w:val="00D85181"/>
    <w:rsid w:val="00D91611"/>
    <w:rsid w:val="00D93F03"/>
    <w:rsid w:val="00DA561E"/>
    <w:rsid w:val="00DB527F"/>
    <w:rsid w:val="00DC238F"/>
    <w:rsid w:val="00DD40C7"/>
    <w:rsid w:val="00DD4E94"/>
    <w:rsid w:val="00DE43C1"/>
    <w:rsid w:val="00DE475B"/>
    <w:rsid w:val="00DE7030"/>
    <w:rsid w:val="00DF7C4C"/>
    <w:rsid w:val="00E13738"/>
    <w:rsid w:val="00E14D19"/>
    <w:rsid w:val="00E16AA9"/>
    <w:rsid w:val="00E3003B"/>
    <w:rsid w:val="00E32DA1"/>
    <w:rsid w:val="00E4253C"/>
    <w:rsid w:val="00E54EDD"/>
    <w:rsid w:val="00E71108"/>
    <w:rsid w:val="00E72154"/>
    <w:rsid w:val="00E77720"/>
    <w:rsid w:val="00EA37A8"/>
    <w:rsid w:val="00EF321D"/>
    <w:rsid w:val="00EF3CFE"/>
    <w:rsid w:val="00F06315"/>
    <w:rsid w:val="00F27F81"/>
    <w:rsid w:val="00F40B86"/>
    <w:rsid w:val="00F45559"/>
    <w:rsid w:val="00F62C69"/>
    <w:rsid w:val="00F724B7"/>
    <w:rsid w:val="00F96844"/>
    <w:rsid w:val="00FA0A02"/>
    <w:rsid w:val="00FA0E53"/>
    <w:rsid w:val="00FA3BC7"/>
    <w:rsid w:val="00FA4975"/>
    <w:rsid w:val="00FB7260"/>
    <w:rsid w:val="00FC5B65"/>
    <w:rsid w:val="00FD138E"/>
    <w:rsid w:val="00FD3DBB"/>
    <w:rsid w:val="00FD5BDC"/>
    <w:rsid w:val="00FE2A8F"/>
    <w:rsid w:val="00FE6097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AAC7"/>
  <w15:docId w15:val="{25A30B80-43C8-4896-9A93-69A5051C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,L0A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,L0A Znak"/>
    <w:link w:val="Akapitzlist"/>
    <w:uiPriority w:val="34"/>
    <w:qFormat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B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64B8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64B8C"/>
    <w:rPr>
      <w:vertAlign w:val="superscript"/>
    </w:rPr>
  </w:style>
  <w:style w:type="table" w:styleId="Tabela-Siatka">
    <w:name w:val="Table Grid"/>
    <w:basedOn w:val="Standardowy"/>
    <w:uiPriority w:val="39"/>
    <w:rsid w:val="0033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13"/>
    <w:rPr>
      <w:sz w:val="22"/>
      <w:szCs w:val="22"/>
      <w:lang w:eastAsia="en-US"/>
    </w:rPr>
  </w:style>
  <w:style w:type="paragraph" w:customStyle="1" w:styleId="Default">
    <w:name w:val="Default"/>
    <w:rsid w:val="009964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9641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F7B54"/>
    <w:pPr>
      <w:keepLines/>
      <w:spacing w:after="120" w:line="240" w:lineRule="auto"/>
      <w:ind w:left="283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7B54"/>
    <w:rPr>
      <w:rFonts w:ascii="Verdana" w:eastAsia="Times New Roman" w:hAnsi="Verdana"/>
      <w:spacing w:val="-2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2D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2DA1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06D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1748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3C79C-AD51-4847-B28B-EC4DDF73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>NFOŚiGW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creator>ekrukows</dc:creator>
  <cp:lastModifiedBy>Cendrowska Anna</cp:lastModifiedBy>
  <cp:revision>2</cp:revision>
  <cp:lastPrinted>2025-03-27T17:34:00Z</cp:lastPrinted>
  <dcterms:created xsi:type="dcterms:W3CDTF">2025-04-23T14:22:00Z</dcterms:created>
  <dcterms:modified xsi:type="dcterms:W3CDTF">2025-04-23T14:22:00Z</dcterms:modified>
</cp:coreProperties>
</file>