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1B93D" w14:textId="56254920" w:rsidR="00040DC3" w:rsidRPr="0026087F" w:rsidRDefault="0098512F" w:rsidP="0098512F">
      <w:pPr>
        <w:spacing w:after="0" w:line="360" w:lineRule="auto"/>
        <w:rPr>
          <w:rFonts w:ascii="Cambria" w:hAnsi="Cambria" w:cs="Calibri"/>
          <w:b/>
          <w:bCs/>
          <w:sz w:val="24"/>
          <w:szCs w:val="24"/>
        </w:rPr>
      </w:pPr>
      <w:r w:rsidRPr="0026087F">
        <w:rPr>
          <w:rFonts w:ascii="Cambria" w:hAnsi="Cambria" w:cs="Calibri"/>
          <w:b/>
          <w:bCs/>
          <w:sz w:val="24"/>
          <w:szCs w:val="24"/>
        </w:rPr>
        <w:t>Komisja Kodyfikacyjna Prawa Karnego</w:t>
      </w:r>
      <w:r w:rsidRPr="0026087F">
        <w:rPr>
          <w:rFonts w:ascii="Cambria" w:hAnsi="Cambria" w:cs="Calibri"/>
          <w:sz w:val="24"/>
          <w:szCs w:val="24"/>
        </w:rPr>
        <w:t xml:space="preserve"> </w:t>
      </w:r>
      <w:r w:rsidRPr="0026087F">
        <w:rPr>
          <w:rFonts w:ascii="Cambria" w:hAnsi="Cambria" w:cs="Calibri"/>
          <w:sz w:val="24"/>
          <w:szCs w:val="24"/>
        </w:rPr>
        <w:tab/>
      </w:r>
      <w:r w:rsidRPr="0026087F">
        <w:rPr>
          <w:rFonts w:ascii="Cambria" w:hAnsi="Cambria" w:cs="Calibri"/>
          <w:sz w:val="24"/>
          <w:szCs w:val="24"/>
        </w:rPr>
        <w:tab/>
      </w:r>
      <w:r w:rsidRPr="0026087F">
        <w:rPr>
          <w:rFonts w:ascii="Cambria" w:hAnsi="Cambria" w:cs="Calibri"/>
          <w:sz w:val="24"/>
          <w:szCs w:val="24"/>
        </w:rPr>
        <w:tab/>
      </w:r>
      <w:r w:rsidR="0026087F">
        <w:rPr>
          <w:rFonts w:ascii="Cambria" w:hAnsi="Cambria" w:cs="Calibri"/>
          <w:sz w:val="24"/>
          <w:szCs w:val="24"/>
        </w:rPr>
        <w:t xml:space="preserve">         </w:t>
      </w:r>
      <w:r w:rsidRPr="0026087F">
        <w:rPr>
          <w:rFonts w:ascii="Cambria" w:hAnsi="Cambria" w:cs="Calibri"/>
          <w:sz w:val="24"/>
          <w:szCs w:val="24"/>
        </w:rPr>
        <w:t xml:space="preserve">Dnia </w:t>
      </w:r>
      <w:r w:rsidR="00017EA2" w:rsidRPr="0026087F">
        <w:rPr>
          <w:rFonts w:ascii="Cambria" w:hAnsi="Cambria" w:cs="Calibri"/>
          <w:sz w:val="24"/>
          <w:szCs w:val="24"/>
        </w:rPr>
        <w:t xml:space="preserve">8 </w:t>
      </w:r>
      <w:r w:rsidRPr="0026087F">
        <w:rPr>
          <w:rFonts w:ascii="Cambria" w:hAnsi="Cambria" w:cs="Calibri"/>
          <w:sz w:val="24"/>
          <w:szCs w:val="24"/>
        </w:rPr>
        <w:t>lutego</w:t>
      </w:r>
      <w:r w:rsidR="00017EA2" w:rsidRPr="0026087F">
        <w:rPr>
          <w:rFonts w:ascii="Cambria" w:hAnsi="Cambria" w:cs="Calibri"/>
          <w:sz w:val="24"/>
          <w:szCs w:val="24"/>
        </w:rPr>
        <w:t xml:space="preserve"> 202</w:t>
      </w:r>
      <w:r w:rsidRPr="0026087F">
        <w:rPr>
          <w:rFonts w:ascii="Cambria" w:hAnsi="Cambria" w:cs="Calibri"/>
          <w:sz w:val="24"/>
          <w:szCs w:val="24"/>
        </w:rPr>
        <w:t>6</w:t>
      </w:r>
      <w:r w:rsidR="00017EA2" w:rsidRPr="0026087F">
        <w:rPr>
          <w:rFonts w:ascii="Cambria" w:hAnsi="Cambria" w:cs="Calibri"/>
          <w:sz w:val="24"/>
          <w:szCs w:val="24"/>
        </w:rPr>
        <w:t xml:space="preserve"> r.</w:t>
      </w:r>
    </w:p>
    <w:p w14:paraId="3834268B" w14:textId="6AC8D6D9" w:rsidR="0029392B" w:rsidRPr="0026087F" w:rsidRDefault="0029392B" w:rsidP="00702F1A">
      <w:pPr>
        <w:spacing w:after="0" w:line="360" w:lineRule="auto"/>
        <w:rPr>
          <w:rFonts w:ascii="Cambria" w:hAnsi="Cambria" w:cs="Calibri"/>
          <w:sz w:val="24"/>
          <w:szCs w:val="24"/>
        </w:rPr>
      </w:pPr>
    </w:p>
    <w:p w14:paraId="3DFBD8BB" w14:textId="77777777" w:rsidR="000427F5" w:rsidRPr="0026087F" w:rsidRDefault="000427F5" w:rsidP="00702F1A">
      <w:pPr>
        <w:spacing w:after="0" w:line="360" w:lineRule="auto"/>
        <w:rPr>
          <w:rFonts w:ascii="Cambria" w:hAnsi="Cambria" w:cs="Calibri"/>
          <w:b/>
          <w:bCs/>
          <w:sz w:val="24"/>
          <w:szCs w:val="24"/>
        </w:rPr>
      </w:pPr>
    </w:p>
    <w:p w14:paraId="2E38E1CE" w14:textId="77777777" w:rsidR="00C1311C" w:rsidRPr="0026087F" w:rsidRDefault="00C1311C" w:rsidP="00702F1A">
      <w:pPr>
        <w:spacing w:after="0" w:line="360" w:lineRule="auto"/>
        <w:rPr>
          <w:rFonts w:ascii="Cambria" w:hAnsi="Cambria" w:cs="Calibri"/>
          <w:b/>
          <w:bCs/>
          <w:sz w:val="24"/>
          <w:szCs w:val="24"/>
        </w:rPr>
      </w:pPr>
    </w:p>
    <w:p w14:paraId="50AC2831" w14:textId="3855272F" w:rsidR="004F38EC" w:rsidRDefault="0029392B" w:rsidP="004F38EC">
      <w:pPr>
        <w:spacing w:after="0" w:line="360" w:lineRule="auto"/>
        <w:jc w:val="center"/>
        <w:rPr>
          <w:rFonts w:ascii="Cambria" w:hAnsi="Cambria" w:cs="Calibri"/>
          <w:b/>
          <w:bCs/>
          <w:sz w:val="24"/>
          <w:szCs w:val="24"/>
        </w:rPr>
      </w:pPr>
      <w:r w:rsidRPr="0026087F">
        <w:rPr>
          <w:rFonts w:ascii="Cambria" w:hAnsi="Cambria" w:cs="Calibri"/>
          <w:b/>
          <w:bCs/>
          <w:sz w:val="24"/>
          <w:szCs w:val="24"/>
        </w:rPr>
        <w:t>Opinia</w:t>
      </w:r>
    </w:p>
    <w:p w14:paraId="155BA788" w14:textId="77777777" w:rsidR="004F38EC" w:rsidRDefault="0029392B" w:rsidP="004F38EC">
      <w:pPr>
        <w:spacing w:after="0" w:line="360" w:lineRule="auto"/>
        <w:jc w:val="center"/>
        <w:rPr>
          <w:rFonts w:ascii="Cambria" w:hAnsi="Cambria" w:cs="Calibri"/>
          <w:b/>
          <w:bCs/>
          <w:sz w:val="24"/>
          <w:szCs w:val="24"/>
        </w:rPr>
      </w:pPr>
      <w:r w:rsidRPr="0026087F">
        <w:rPr>
          <w:rFonts w:ascii="Cambria" w:hAnsi="Cambria" w:cs="Calibri"/>
          <w:b/>
          <w:bCs/>
          <w:sz w:val="24"/>
          <w:szCs w:val="24"/>
        </w:rPr>
        <w:t>w przedmiocie</w:t>
      </w:r>
      <w:r w:rsidR="0024543B" w:rsidRPr="0026087F">
        <w:rPr>
          <w:rFonts w:ascii="Cambria" w:hAnsi="Cambria" w:cs="Calibri"/>
          <w:b/>
          <w:bCs/>
          <w:sz w:val="24"/>
          <w:szCs w:val="24"/>
        </w:rPr>
        <w:t xml:space="preserve"> </w:t>
      </w:r>
      <w:r w:rsidR="004F38EC">
        <w:rPr>
          <w:rFonts w:ascii="Cambria" w:hAnsi="Cambria" w:cs="Calibri"/>
          <w:b/>
          <w:bCs/>
          <w:sz w:val="24"/>
          <w:szCs w:val="24"/>
        </w:rPr>
        <w:t xml:space="preserve">potrzeby zmian legislacyjnych </w:t>
      </w:r>
    </w:p>
    <w:p w14:paraId="1C84FA50" w14:textId="35CD0593" w:rsidR="0029392B" w:rsidRPr="004F38EC" w:rsidRDefault="004F38EC" w:rsidP="004F38EC">
      <w:pPr>
        <w:spacing w:after="0" w:line="360" w:lineRule="auto"/>
        <w:jc w:val="center"/>
        <w:rPr>
          <w:rFonts w:ascii="Cambria" w:hAnsi="Cambria" w:cs="Calibri"/>
          <w:b/>
          <w:bCs/>
          <w:sz w:val="24"/>
          <w:szCs w:val="24"/>
        </w:rPr>
      </w:pPr>
      <w:r>
        <w:rPr>
          <w:rFonts w:ascii="Cambria" w:hAnsi="Cambria" w:cs="Calibri"/>
          <w:b/>
          <w:bCs/>
          <w:sz w:val="24"/>
          <w:szCs w:val="24"/>
        </w:rPr>
        <w:t>dotyczących treści listu gończego</w:t>
      </w:r>
    </w:p>
    <w:p w14:paraId="5AE1F92A" w14:textId="77777777" w:rsidR="00017EA2" w:rsidRPr="0026087F" w:rsidRDefault="00017EA2" w:rsidP="00702F1A">
      <w:pPr>
        <w:spacing w:after="0" w:line="360" w:lineRule="auto"/>
        <w:jc w:val="center"/>
        <w:rPr>
          <w:rFonts w:ascii="Cambria" w:hAnsi="Cambria" w:cs="Calibri"/>
          <w:sz w:val="24"/>
          <w:szCs w:val="24"/>
        </w:rPr>
      </w:pPr>
    </w:p>
    <w:p w14:paraId="415410C7" w14:textId="77777777" w:rsidR="00017EA2" w:rsidRPr="0026087F" w:rsidRDefault="00017EA2" w:rsidP="00702F1A">
      <w:pPr>
        <w:spacing w:after="0" w:line="360" w:lineRule="auto"/>
        <w:jc w:val="center"/>
        <w:rPr>
          <w:rFonts w:ascii="Cambria" w:hAnsi="Cambria" w:cs="Calibri"/>
          <w:sz w:val="24"/>
          <w:szCs w:val="24"/>
        </w:rPr>
      </w:pPr>
    </w:p>
    <w:p w14:paraId="2DC68AF8" w14:textId="067C8AAF" w:rsidR="0026087F" w:rsidRDefault="00187785" w:rsidP="00F94D0B">
      <w:pPr>
        <w:spacing w:line="360" w:lineRule="auto"/>
        <w:ind w:firstLine="708"/>
        <w:jc w:val="both"/>
        <w:rPr>
          <w:rFonts w:ascii="Cambria" w:hAnsi="Cambria" w:cs="Calibri"/>
          <w:sz w:val="24"/>
          <w:szCs w:val="24"/>
        </w:rPr>
      </w:pPr>
      <w:r w:rsidRPr="0026087F">
        <w:rPr>
          <w:rFonts w:ascii="Cambria" w:hAnsi="Cambria" w:cs="Calibri"/>
          <w:sz w:val="24"/>
          <w:szCs w:val="24"/>
        </w:rPr>
        <w:t xml:space="preserve">1. </w:t>
      </w:r>
      <w:r w:rsidR="00F94D0B">
        <w:rPr>
          <w:rFonts w:ascii="Cambria" w:hAnsi="Cambria" w:cs="Calibri"/>
          <w:sz w:val="24"/>
          <w:szCs w:val="24"/>
        </w:rPr>
        <w:t xml:space="preserve">Pismem z dnia 23 lipca 2025 r. Minister Sprawiedliwości zwrócił się do Komisji Kodyfikacyjnej Prawa Karnego </w:t>
      </w:r>
      <w:r w:rsidR="00F94D0B" w:rsidRPr="00F94D0B">
        <w:rPr>
          <w:rFonts w:ascii="Cambria" w:hAnsi="Cambria" w:cs="Calibri"/>
          <w:sz w:val="24"/>
          <w:szCs w:val="24"/>
        </w:rPr>
        <w:t>wyrażenie opinii co do potrzeby zainicjowania prac legislacyjnych, mających</w:t>
      </w:r>
      <w:r w:rsidR="00F94D0B">
        <w:rPr>
          <w:rFonts w:ascii="Cambria" w:hAnsi="Cambria" w:cs="Calibri"/>
          <w:sz w:val="24"/>
          <w:szCs w:val="24"/>
        </w:rPr>
        <w:t xml:space="preserve"> </w:t>
      </w:r>
      <w:r w:rsidR="00F94D0B" w:rsidRPr="00F94D0B">
        <w:rPr>
          <w:rFonts w:ascii="Cambria" w:hAnsi="Cambria" w:cs="Calibri"/>
          <w:sz w:val="24"/>
          <w:szCs w:val="24"/>
        </w:rPr>
        <w:t>na celu osiągnięcie standardu ochrony danych osób pokrzywdzonych</w:t>
      </w:r>
      <w:r w:rsidR="00F94D0B">
        <w:rPr>
          <w:rFonts w:ascii="Cambria" w:hAnsi="Cambria" w:cs="Calibri"/>
          <w:sz w:val="24"/>
          <w:szCs w:val="24"/>
        </w:rPr>
        <w:t xml:space="preserve"> </w:t>
      </w:r>
      <w:r w:rsidR="00F94D0B" w:rsidRPr="00F94D0B">
        <w:rPr>
          <w:rFonts w:ascii="Cambria" w:hAnsi="Cambria" w:cs="Calibri"/>
          <w:sz w:val="24"/>
          <w:szCs w:val="24"/>
        </w:rPr>
        <w:t>przestępstwem w listach gończych</w:t>
      </w:r>
      <w:r w:rsidR="00F94D0B">
        <w:rPr>
          <w:rFonts w:ascii="Cambria" w:hAnsi="Cambria" w:cs="Calibri"/>
          <w:sz w:val="24"/>
          <w:szCs w:val="24"/>
        </w:rPr>
        <w:t xml:space="preserve">. Ma to związek z wystąpieniem </w:t>
      </w:r>
      <w:r w:rsidR="000E4706">
        <w:rPr>
          <w:rFonts w:ascii="Cambria" w:hAnsi="Cambria" w:cs="Calibri"/>
          <w:sz w:val="24"/>
          <w:szCs w:val="24"/>
        </w:rPr>
        <w:t>Rzecznik</w:t>
      </w:r>
      <w:r w:rsidR="00F94D0B">
        <w:rPr>
          <w:rFonts w:ascii="Cambria" w:hAnsi="Cambria" w:cs="Calibri"/>
          <w:sz w:val="24"/>
          <w:szCs w:val="24"/>
        </w:rPr>
        <w:t>a</w:t>
      </w:r>
      <w:r w:rsidR="000E4706">
        <w:rPr>
          <w:rFonts w:ascii="Cambria" w:hAnsi="Cambria" w:cs="Calibri"/>
          <w:sz w:val="24"/>
          <w:szCs w:val="24"/>
        </w:rPr>
        <w:t xml:space="preserve"> Praw Obywatelskich</w:t>
      </w:r>
      <w:r w:rsidR="00F94D0B">
        <w:rPr>
          <w:rFonts w:ascii="Cambria" w:hAnsi="Cambria" w:cs="Calibri"/>
          <w:sz w:val="24"/>
          <w:szCs w:val="24"/>
        </w:rPr>
        <w:t xml:space="preserve"> </w:t>
      </w:r>
      <w:r w:rsidR="000E4706">
        <w:rPr>
          <w:rFonts w:ascii="Cambria" w:hAnsi="Cambria" w:cs="Calibri"/>
          <w:sz w:val="24"/>
          <w:szCs w:val="24"/>
        </w:rPr>
        <w:t>do Ministra Sprawiedliwości</w:t>
      </w:r>
      <w:r w:rsidR="00F94D0B">
        <w:rPr>
          <w:rFonts w:ascii="Cambria" w:hAnsi="Cambria" w:cs="Calibri"/>
          <w:sz w:val="24"/>
          <w:szCs w:val="24"/>
        </w:rPr>
        <w:t xml:space="preserve">, w którym wskazano </w:t>
      </w:r>
      <w:r w:rsidR="000F3EE9">
        <w:rPr>
          <w:rFonts w:ascii="Cambria" w:hAnsi="Cambria" w:cs="Calibri"/>
          <w:sz w:val="24"/>
          <w:szCs w:val="24"/>
        </w:rPr>
        <w:t>na sytuacje, kiedy dochodziło do ujawnienia danych personalnych osób pokrzywdzonych przestępstwem wskutek przytoczenia w liście gończym treści zarzutu</w:t>
      </w:r>
      <w:r w:rsidR="00F94D0B">
        <w:rPr>
          <w:rFonts w:ascii="Cambria" w:hAnsi="Cambria" w:cs="Calibri"/>
          <w:sz w:val="24"/>
          <w:szCs w:val="24"/>
        </w:rPr>
        <w:t xml:space="preserve"> </w:t>
      </w:r>
      <w:r w:rsidR="000F3EE9">
        <w:rPr>
          <w:rFonts w:ascii="Cambria" w:hAnsi="Cambria" w:cs="Calibri"/>
          <w:sz w:val="24"/>
          <w:szCs w:val="24"/>
        </w:rPr>
        <w:t>p</w:t>
      </w:r>
      <w:r w:rsidR="004F38EC">
        <w:rPr>
          <w:rFonts w:ascii="Cambria" w:hAnsi="Cambria" w:cs="Calibri"/>
          <w:sz w:val="24"/>
          <w:szCs w:val="24"/>
        </w:rPr>
        <w:t>os</w:t>
      </w:r>
      <w:r w:rsidR="000F3EE9">
        <w:rPr>
          <w:rFonts w:ascii="Cambria" w:hAnsi="Cambria" w:cs="Calibri"/>
          <w:sz w:val="24"/>
          <w:szCs w:val="24"/>
        </w:rPr>
        <w:t>tawionego </w:t>
      </w:r>
      <w:r w:rsidR="004F38EC">
        <w:rPr>
          <w:rFonts w:ascii="Cambria" w:hAnsi="Cambria" w:cs="Calibri"/>
          <w:sz w:val="24"/>
          <w:szCs w:val="24"/>
        </w:rPr>
        <w:t>oskarżonemu.</w:t>
      </w:r>
    </w:p>
    <w:p w14:paraId="66581F30" w14:textId="378536D2" w:rsidR="004F38EC" w:rsidRDefault="004F38EC" w:rsidP="0026087F">
      <w:pPr>
        <w:spacing w:line="360" w:lineRule="auto"/>
        <w:ind w:firstLine="708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2. Zgodnie z art. 280 § 1 pkt 3 k.p.k. w liście gończym podaje się m.in. </w:t>
      </w:r>
      <w:r w:rsidRPr="004F38EC">
        <w:rPr>
          <w:rFonts w:ascii="Cambria" w:hAnsi="Cambria" w:cs="Calibri"/>
          <w:sz w:val="24"/>
          <w:szCs w:val="24"/>
        </w:rPr>
        <w:t>informację o</w:t>
      </w:r>
      <w:r>
        <w:rPr>
          <w:rFonts w:ascii="Cambria" w:hAnsi="Cambria" w:cs="Calibri"/>
          <w:sz w:val="24"/>
          <w:szCs w:val="24"/>
        </w:rPr>
        <w:t> </w:t>
      </w:r>
      <w:r w:rsidRPr="004F38EC">
        <w:rPr>
          <w:rFonts w:ascii="Cambria" w:hAnsi="Cambria" w:cs="Calibri"/>
          <w:sz w:val="24"/>
          <w:szCs w:val="24"/>
        </w:rPr>
        <w:t>treści zarzutu postawionego oskarżonemu</w:t>
      </w:r>
      <w:r>
        <w:rPr>
          <w:rFonts w:ascii="Cambria" w:hAnsi="Cambria" w:cs="Calibri"/>
          <w:sz w:val="24"/>
          <w:szCs w:val="24"/>
        </w:rPr>
        <w:t xml:space="preserve">. Już na poziomie wykładni językowej oczywistym jest, że wskazany przepis nie wymaga przytoczenia w liście gończym </w:t>
      </w:r>
      <w:r w:rsidRPr="004F38EC">
        <w:rPr>
          <w:rFonts w:ascii="Cambria" w:hAnsi="Cambria" w:cs="Calibri"/>
          <w:i/>
          <w:iCs/>
          <w:sz w:val="24"/>
          <w:szCs w:val="24"/>
        </w:rPr>
        <w:t>in</w:t>
      </w:r>
      <w:r w:rsidR="0071103C">
        <w:rPr>
          <w:rFonts w:ascii="Cambria" w:hAnsi="Cambria" w:cs="Calibri"/>
          <w:i/>
          <w:iCs/>
          <w:sz w:val="24"/>
          <w:szCs w:val="24"/>
        </w:rPr>
        <w:t> </w:t>
      </w:r>
      <w:r w:rsidRPr="004F38EC">
        <w:rPr>
          <w:rFonts w:ascii="Cambria" w:hAnsi="Cambria" w:cs="Calibri"/>
          <w:i/>
          <w:iCs/>
          <w:sz w:val="24"/>
          <w:szCs w:val="24"/>
        </w:rPr>
        <w:t>extenso</w:t>
      </w:r>
      <w:r>
        <w:rPr>
          <w:rFonts w:ascii="Cambria" w:hAnsi="Cambria" w:cs="Calibri"/>
          <w:sz w:val="24"/>
          <w:szCs w:val="24"/>
        </w:rPr>
        <w:t xml:space="preserve"> treści zarzutu postawionego oskarżonemu. Mowa jest bowiem wyraźnie o</w:t>
      </w:r>
      <w:r w:rsidR="0071103C">
        <w:rPr>
          <w:rFonts w:ascii="Cambria" w:hAnsi="Cambria" w:cs="Calibri"/>
          <w:sz w:val="24"/>
          <w:szCs w:val="24"/>
        </w:rPr>
        <w:t> </w:t>
      </w:r>
      <w:r>
        <w:rPr>
          <w:rFonts w:ascii="Cambria" w:hAnsi="Cambria" w:cs="Calibri"/>
          <w:sz w:val="24"/>
          <w:szCs w:val="24"/>
        </w:rPr>
        <w:t>„informacji o treści zarzutu</w:t>
      </w:r>
      <w:r w:rsidR="00DD4745">
        <w:rPr>
          <w:rFonts w:ascii="Cambria" w:hAnsi="Cambria" w:cs="Calibri"/>
          <w:sz w:val="24"/>
          <w:szCs w:val="24"/>
        </w:rPr>
        <w:t>”, a nie o „treści zarzutu”</w:t>
      </w:r>
      <w:r>
        <w:rPr>
          <w:rFonts w:ascii="Cambria" w:hAnsi="Cambria" w:cs="Calibri"/>
          <w:sz w:val="24"/>
          <w:szCs w:val="24"/>
        </w:rPr>
        <w:t xml:space="preserve">. Niejednokrotnie przytoczenie pełnej treści zarzutu nie będzie </w:t>
      </w:r>
      <w:r w:rsidR="00DD4745">
        <w:rPr>
          <w:rFonts w:ascii="Cambria" w:hAnsi="Cambria" w:cs="Calibri"/>
          <w:sz w:val="24"/>
          <w:szCs w:val="24"/>
        </w:rPr>
        <w:t xml:space="preserve">zresztą ani </w:t>
      </w:r>
      <w:r>
        <w:rPr>
          <w:rFonts w:ascii="Cambria" w:hAnsi="Cambria" w:cs="Calibri"/>
          <w:sz w:val="24"/>
          <w:szCs w:val="24"/>
        </w:rPr>
        <w:t>możliwe</w:t>
      </w:r>
      <w:r w:rsidR="00DD4745">
        <w:rPr>
          <w:rFonts w:ascii="Cambria" w:hAnsi="Cambria" w:cs="Calibri"/>
          <w:sz w:val="24"/>
          <w:szCs w:val="24"/>
        </w:rPr>
        <w:t>,</w:t>
      </w:r>
      <w:r>
        <w:rPr>
          <w:rFonts w:ascii="Cambria" w:hAnsi="Cambria" w:cs="Calibri"/>
          <w:sz w:val="24"/>
          <w:szCs w:val="24"/>
        </w:rPr>
        <w:t xml:space="preserve"> </w:t>
      </w:r>
      <w:r w:rsidR="00DD4745">
        <w:rPr>
          <w:rFonts w:ascii="Cambria" w:hAnsi="Cambria" w:cs="Calibri"/>
          <w:sz w:val="24"/>
          <w:szCs w:val="24"/>
        </w:rPr>
        <w:t xml:space="preserve">ani celowe </w:t>
      </w:r>
      <w:r>
        <w:rPr>
          <w:rFonts w:ascii="Cambria" w:hAnsi="Cambria" w:cs="Calibri"/>
          <w:sz w:val="24"/>
          <w:szCs w:val="24"/>
        </w:rPr>
        <w:t xml:space="preserve">z uwagi na jego obszerność, czy też znaczną liczbę zarzutów i ich tożsamy charakter. </w:t>
      </w:r>
    </w:p>
    <w:p w14:paraId="48B8D491" w14:textId="41DF96CE" w:rsidR="00DD4745" w:rsidRDefault="00DD4745" w:rsidP="0026087F">
      <w:pPr>
        <w:spacing w:line="360" w:lineRule="auto"/>
        <w:ind w:firstLine="708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Również wykładnia funkcjonalna art. 280 § 1 pkt 3 k.p.k. nie pozostawia żadnych wątpliwości, że przytaczanie w liście gończym całości treści zarzutu nie jest konieczne. Zwrócić bowiem należy uwagę, że celem listu gończego jest </w:t>
      </w:r>
      <w:r w:rsidR="009E44D5">
        <w:rPr>
          <w:rFonts w:ascii="Cambria" w:hAnsi="Cambria" w:cs="Calibri"/>
          <w:sz w:val="24"/>
          <w:szCs w:val="24"/>
        </w:rPr>
        <w:t>ustalenie miejsca pobytu i ujęcie oskarżonego</w:t>
      </w:r>
      <w:r>
        <w:rPr>
          <w:rFonts w:ascii="Cambria" w:hAnsi="Cambria" w:cs="Calibri"/>
          <w:sz w:val="24"/>
          <w:szCs w:val="24"/>
        </w:rPr>
        <w:t>, który ukrywa się przed organami ścigania lub sądem</w:t>
      </w:r>
      <w:r w:rsidR="009E44D5">
        <w:rPr>
          <w:rFonts w:ascii="Cambria" w:hAnsi="Cambria" w:cs="Calibri"/>
          <w:sz w:val="24"/>
          <w:szCs w:val="24"/>
        </w:rPr>
        <w:t xml:space="preserve"> </w:t>
      </w:r>
      <w:r>
        <w:rPr>
          <w:rFonts w:ascii="Cambria" w:hAnsi="Cambria" w:cs="Calibri"/>
          <w:sz w:val="24"/>
          <w:szCs w:val="24"/>
        </w:rPr>
        <w:t>i unika w ten sposób pociągnięcia do odpowiedzialności karnej</w:t>
      </w:r>
      <w:r w:rsidR="00A261B1">
        <w:rPr>
          <w:rStyle w:val="Odwoanieprzypisudolnego"/>
          <w:rFonts w:ascii="Cambria" w:hAnsi="Cambria" w:cs="Calibri"/>
          <w:sz w:val="24"/>
          <w:szCs w:val="24"/>
        </w:rPr>
        <w:footnoteReference w:id="1"/>
      </w:r>
      <w:r>
        <w:rPr>
          <w:rFonts w:ascii="Cambria" w:hAnsi="Cambria" w:cs="Calibri"/>
          <w:sz w:val="24"/>
          <w:szCs w:val="24"/>
        </w:rPr>
        <w:t xml:space="preserve">. W konsekwencji kluczowe jest wskazanie w liście gończym personaliów oskarżonego i wszelkich danych, które mogą </w:t>
      </w:r>
      <w:r>
        <w:rPr>
          <w:rFonts w:ascii="Cambria" w:hAnsi="Cambria" w:cs="Calibri"/>
          <w:sz w:val="24"/>
          <w:szCs w:val="24"/>
        </w:rPr>
        <w:lastRenderedPageBreak/>
        <w:t xml:space="preserve">ułatwić jego poszukiwanie (zob. art. 280 § 1 pkt 2 k.p.k.). </w:t>
      </w:r>
      <w:r w:rsidR="007A71C4">
        <w:rPr>
          <w:rFonts w:ascii="Cambria" w:hAnsi="Cambria" w:cs="Calibri"/>
          <w:sz w:val="24"/>
          <w:szCs w:val="24"/>
        </w:rPr>
        <w:t xml:space="preserve">Treść zarzutu postawionego oskarżonemu co do zasady nie ma znaczenia z punktu widzenia efektywności ujawnienia miejsca pobytu oskarżonego. Informacja o zarzucie może być </w:t>
      </w:r>
      <w:r w:rsidR="00DA0AFA">
        <w:rPr>
          <w:rFonts w:ascii="Cambria" w:hAnsi="Cambria" w:cs="Calibri"/>
          <w:sz w:val="24"/>
          <w:szCs w:val="24"/>
        </w:rPr>
        <w:t xml:space="preserve">natomiast </w:t>
      </w:r>
      <w:r w:rsidR="007A71C4">
        <w:rPr>
          <w:rFonts w:ascii="Cambria" w:hAnsi="Cambria" w:cs="Calibri"/>
          <w:sz w:val="24"/>
          <w:szCs w:val="24"/>
        </w:rPr>
        <w:t xml:space="preserve">przydatna dla oceny potencjalnego zagrożenia ze strony oskarżonego, </w:t>
      </w:r>
      <w:r w:rsidR="00DA0AFA">
        <w:rPr>
          <w:rFonts w:ascii="Cambria" w:hAnsi="Cambria" w:cs="Calibri"/>
          <w:sz w:val="24"/>
          <w:szCs w:val="24"/>
        </w:rPr>
        <w:t xml:space="preserve">co może mieć pewne znaczenie dla funkcjonariuszy organów ścigania i innych osób podejmujących działania w celu jego zatrzymania. Informacja o zarzucie </w:t>
      </w:r>
      <w:r w:rsidR="007A71C4">
        <w:rPr>
          <w:rFonts w:ascii="Cambria" w:hAnsi="Cambria" w:cs="Calibri"/>
          <w:sz w:val="24"/>
          <w:szCs w:val="24"/>
        </w:rPr>
        <w:t xml:space="preserve">może </w:t>
      </w:r>
      <w:r w:rsidR="00DA0AFA">
        <w:rPr>
          <w:rFonts w:ascii="Cambria" w:hAnsi="Cambria" w:cs="Calibri"/>
          <w:sz w:val="24"/>
          <w:szCs w:val="24"/>
        </w:rPr>
        <w:t>także mieć znaczenie z punktu widzenia kształtowania negatywnej oceny społecznej w odniesieniu do udzielania oskarżonemu pomocy w ucieczce i ukrywaniu się.</w:t>
      </w:r>
      <w:r w:rsidR="007A71C4">
        <w:rPr>
          <w:rFonts w:ascii="Cambria" w:hAnsi="Cambria" w:cs="Calibri"/>
          <w:sz w:val="24"/>
          <w:szCs w:val="24"/>
        </w:rPr>
        <w:t xml:space="preserve"> </w:t>
      </w:r>
      <w:r w:rsidR="00DA0AFA">
        <w:rPr>
          <w:rFonts w:ascii="Cambria" w:hAnsi="Cambria" w:cs="Calibri"/>
          <w:sz w:val="24"/>
          <w:szCs w:val="24"/>
        </w:rPr>
        <w:t>Dla zrealizowania powyższych celów nie jest jednak konieczne przytaczanie w liście gończym treści zarzutu in extenso. Co więcej, z punktu widzenia komunikatywności listu gończego i zawartych w nim informacji najczęściej wręcz pożądane jest, by informacj</w:t>
      </w:r>
      <w:r w:rsidR="002140BB">
        <w:rPr>
          <w:rFonts w:ascii="Cambria" w:hAnsi="Cambria" w:cs="Calibri"/>
          <w:sz w:val="24"/>
          <w:szCs w:val="24"/>
        </w:rPr>
        <w:t>a</w:t>
      </w:r>
      <w:r w:rsidR="00DA0AFA">
        <w:rPr>
          <w:rFonts w:ascii="Cambria" w:hAnsi="Cambria" w:cs="Calibri"/>
          <w:sz w:val="24"/>
          <w:szCs w:val="24"/>
        </w:rPr>
        <w:t xml:space="preserve"> o</w:t>
      </w:r>
      <w:r w:rsidR="002140BB">
        <w:rPr>
          <w:rFonts w:ascii="Cambria" w:hAnsi="Cambria" w:cs="Calibri"/>
          <w:sz w:val="24"/>
          <w:szCs w:val="24"/>
        </w:rPr>
        <w:t> </w:t>
      </w:r>
      <w:r w:rsidR="00DA0AFA">
        <w:rPr>
          <w:rFonts w:ascii="Cambria" w:hAnsi="Cambria" w:cs="Calibri"/>
          <w:sz w:val="24"/>
          <w:szCs w:val="24"/>
        </w:rPr>
        <w:t>stawianym osobie poszukiwanej zarzucie</w:t>
      </w:r>
      <w:r w:rsidR="002140BB" w:rsidRPr="002140BB">
        <w:rPr>
          <w:rFonts w:ascii="Cambria" w:hAnsi="Cambria" w:cs="Calibri"/>
          <w:sz w:val="24"/>
          <w:szCs w:val="24"/>
        </w:rPr>
        <w:t xml:space="preserve"> </w:t>
      </w:r>
      <w:r w:rsidR="002140BB">
        <w:rPr>
          <w:rFonts w:ascii="Cambria" w:hAnsi="Cambria" w:cs="Calibri"/>
          <w:sz w:val="24"/>
          <w:szCs w:val="24"/>
        </w:rPr>
        <w:t>została w</w:t>
      </w:r>
      <w:r w:rsidR="00F94D0B">
        <w:rPr>
          <w:rFonts w:ascii="Cambria" w:hAnsi="Cambria" w:cs="Calibri"/>
          <w:sz w:val="24"/>
          <w:szCs w:val="24"/>
        </w:rPr>
        <w:t> </w:t>
      </w:r>
      <w:r w:rsidR="002140BB">
        <w:rPr>
          <w:rFonts w:ascii="Cambria" w:hAnsi="Cambria" w:cs="Calibri"/>
          <w:sz w:val="24"/>
          <w:szCs w:val="24"/>
        </w:rPr>
        <w:t>liście gończym syntetycznie ujęta</w:t>
      </w:r>
      <w:r w:rsidR="00DA0AFA">
        <w:rPr>
          <w:rFonts w:ascii="Cambria" w:hAnsi="Cambria" w:cs="Calibri"/>
          <w:sz w:val="24"/>
          <w:szCs w:val="24"/>
        </w:rPr>
        <w:t>.</w:t>
      </w:r>
    </w:p>
    <w:p w14:paraId="062E2673" w14:textId="613ACCCB" w:rsidR="00DA0AFA" w:rsidRDefault="002140BB" w:rsidP="0026087F">
      <w:pPr>
        <w:spacing w:line="360" w:lineRule="auto"/>
        <w:ind w:firstLine="708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>Z powyższym w pełni korespondują poglądy doktryny prawa karnego procesowego na treść listu gończego. Wskazuje się bowiem, że informacj</w:t>
      </w:r>
      <w:r w:rsidR="00A261B1">
        <w:rPr>
          <w:rFonts w:ascii="Cambria" w:hAnsi="Cambria" w:cs="Calibri"/>
          <w:sz w:val="24"/>
          <w:szCs w:val="24"/>
        </w:rPr>
        <w:t>a</w:t>
      </w:r>
      <w:r>
        <w:rPr>
          <w:rFonts w:ascii="Cambria" w:hAnsi="Cambria" w:cs="Calibri"/>
          <w:sz w:val="24"/>
          <w:szCs w:val="24"/>
        </w:rPr>
        <w:t xml:space="preserve"> o treści zarzutu może być podana w formie skróconej i nie musi pokrywać się dosłownie z treścią za</w:t>
      </w:r>
      <w:r w:rsidR="00A261B1">
        <w:rPr>
          <w:rFonts w:ascii="Cambria" w:hAnsi="Cambria" w:cs="Calibri"/>
          <w:sz w:val="24"/>
          <w:szCs w:val="24"/>
        </w:rPr>
        <w:t>w</w:t>
      </w:r>
      <w:r>
        <w:rPr>
          <w:rFonts w:ascii="Cambria" w:hAnsi="Cambria" w:cs="Calibri"/>
          <w:sz w:val="24"/>
          <w:szCs w:val="24"/>
        </w:rPr>
        <w:t>artą w postanowienie o przedstawieniu zarzutów</w:t>
      </w:r>
      <w:r w:rsidR="009E44D5">
        <w:rPr>
          <w:rStyle w:val="Odwoanieprzypisudolnego"/>
          <w:rFonts w:ascii="Cambria" w:hAnsi="Cambria" w:cs="Calibri"/>
          <w:sz w:val="24"/>
          <w:szCs w:val="24"/>
        </w:rPr>
        <w:footnoteReference w:id="2"/>
      </w:r>
      <w:r>
        <w:rPr>
          <w:rFonts w:ascii="Cambria" w:hAnsi="Cambria" w:cs="Calibri"/>
          <w:sz w:val="24"/>
          <w:szCs w:val="24"/>
        </w:rPr>
        <w:t>.</w:t>
      </w:r>
    </w:p>
    <w:p w14:paraId="076BF92C" w14:textId="2CD776EC" w:rsidR="0026087F" w:rsidRDefault="00A261B1" w:rsidP="0026087F">
      <w:pPr>
        <w:spacing w:line="360" w:lineRule="auto"/>
        <w:ind w:firstLine="708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>W świetle powyższego należy wskazać, że przepis art. 280 § 1 k.p.k. w obecnie obowiązującym brzmieniu nie nakłada na organ procesowy obowiązku zamieszczania w liście gończym pełnej treści zarzutu, w tym podawania danych osobowych pokrzywdzonego.</w:t>
      </w:r>
    </w:p>
    <w:p w14:paraId="1F3D47C9" w14:textId="5A281CF7" w:rsidR="0026087F" w:rsidRDefault="00DE6DC4" w:rsidP="0026087F">
      <w:pPr>
        <w:spacing w:line="360" w:lineRule="auto"/>
        <w:ind w:firstLine="708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>3. Należy zauważyć, że zgodnie z art. 313 § 2 k.p.k. p</w:t>
      </w:r>
      <w:r w:rsidRPr="00DE6DC4">
        <w:rPr>
          <w:rFonts w:ascii="Cambria" w:hAnsi="Cambria" w:cs="Calibri"/>
          <w:sz w:val="24"/>
          <w:szCs w:val="24"/>
        </w:rPr>
        <w:t>ostanowienie o przedstawieniu zarzutów zawiera wskazanie podejrzanego, dokładne określenie zarzucanego mu czynu i</w:t>
      </w:r>
      <w:r>
        <w:rPr>
          <w:rFonts w:ascii="Cambria" w:hAnsi="Cambria" w:cs="Calibri"/>
          <w:sz w:val="24"/>
          <w:szCs w:val="24"/>
        </w:rPr>
        <w:t> </w:t>
      </w:r>
      <w:r w:rsidRPr="00DE6DC4">
        <w:rPr>
          <w:rFonts w:ascii="Cambria" w:hAnsi="Cambria" w:cs="Calibri"/>
          <w:sz w:val="24"/>
          <w:szCs w:val="24"/>
        </w:rPr>
        <w:t>jego kwalifikacji prawnej.</w:t>
      </w:r>
      <w:r>
        <w:rPr>
          <w:rFonts w:ascii="Cambria" w:hAnsi="Cambria" w:cs="Calibri"/>
          <w:sz w:val="24"/>
          <w:szCs w:val="24"/>
        </w:rPr>
        <w:t xml:space="preserve"> Przepis ten nie wymaga dokładnego określenia osoby pokrzywdzonego, choć praktyka procesowa przyjmuje, że wskazanie tych danych jest uzasadnione w świetle wymogu dokładnego określenia zarzucanego czynu.</w:t>
      </w:r>
    </w:p>
    <w:p w14:paraId="2C382339" w14:textId="518842CB" w:rsidR="00DE6DC4" w:rsidRDefault="00DE6DC4" w:rsidP="0026087F">
      <w:pPr>
        <w:spacing w:line="360" w:lineRule="auto"/>
        <w:ind w:firstLine="708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Niezależnie jednak od powyższego, skoro – jak ustalono powyżej – treść zarzutu nie musi być przytoczona </w:t>
      </w:r>
      <w:r>
        <w:rPr>
          <w:rFonts w:ascii="Cambria" w:hAnsi="Cambria" w:cs="Calibri"/>
          <w:i/>
          <w:iCs/>
          <w:sz w:val="24"/>
          <w:szCs w:val="24"/>
        </w:rPr>
        <w:t xml:space="preserve">in extenso </w:t>
      </w:r>
      <w:r>
        <w:rPr>
          <w:rFonts w:ascii="Cambria" w:hAnsi="Cambria" w:cs="Calibri"/>
          <w:sz w:val="24"/>
          <w:szCs w:val="24"/>
        </w:rPr>
        <w:t xml:space="preserve">w treści listu gończego, organ procesowy wydający list gończy, decydując o tym, jakie dane zostaną wskazane w jego treści, powinien wziąć pod uwagę obowiązujące standardy ochrony pokrzywdzonych w postępowaniu karnym. </w:t>
      </w:r>
      <w:r>
        <w:rPr>
          <w:rFonts w:ascii="Cambria" w:hAnsi="Cambria" w:cs="Calibri"/>
          <w:sz w:val="24"/>
          <w:szCs w:val="24"/>
        </w:rPr>
        <w:lastRenderedPageBreak/>
        <w:t xml:space="preserve">Wystarczy przypomnieć, że jako jeden z celów postępowania karnego przyjmuje się nakaz </w:t>
      </w:r>
      <w:r w:rsidRPr="00DE6DC4">
        <w:rPr>
          <w:rFonts w:ascii="Cambria" w:hAnsi="Cambria" w:cs="Calibri"/>
          <w:sz w:val="24"/>
          <w:szCs w:val="24"/>
        </w:rPr>
        <w:t>uwzględni</w:t>
      </w:r>
      <w:r>
        <w:rPr>
          <w:rFonts w:ascii="Cambria" w:hAnsi="Cambria" w:cs="Calibri"/>
          <w:sz w:val="24"/>
          <w:szCs w:val="24"/>
        </w:rPr>
        <w:t>enia</w:t>
      </w:r>
      <w:r w:rsidRPr="00DE6DC4">
        <w:rPr>
          <w:rFonts w:ascii="Cambria" w:hAnsi="Cambria" w:cs="Calibri"/>
          <w:sz w:val="24"/>
          <w:szCs w:val="24"/>
        </w:rPr>
        <w:t xml:space="preserve"> prawnie chronion</w:t>
      </w:r>
      <w:r>
        <w:rPr>
          <w:rFonts w:ascii="Cambria" w:hAnsi="Cambria" w:cs="Calibri"/>
          <w:sz w:val="24"/>
          <w:szCs w:val="24"/>
        </w:rPr>
        <w:t>ych</w:t>
      </w:r>
      <w:r w:rsidRPr="00DE6DC4">
        <w:rPr>
          <w:rFonts w:ascii="Cambria" w:hAnsi="Cambria" w:cs="Calibri"/>
          <w:sz w:val="24"/>
          <w:szCs w:val="24"/>
        </w:rPr>
        <w:t xml:space="preserve"> interes</w:t>
      </w:r>
      <w:r>
        <w:rPr>
          <w:rFonts w:ascii="Cambria" w:hAnsi="Cambria" w:cs="Calibri"/>
          <w:sz w:val="24"/>
          <w:szCs w:val="24"/>
        </w:rPr>
        <w:t>ów</w:t>
      </w:r>
      <w:r w:rsidRPr="00DE6DC4">
        <w:rPr>
          <w:rFonts w:ascii="Cambria" w:hAnsi="Cambria" w:cs="Calibri"/>
          <w:sz w:val="24"/>
          <w:szCs w:val="24"/>
        </w:rPr>
        <w:t xml:space="preserve"> pokrzywdzonego przy jednoczesnym poszanowaniu jego godności</w:t>
      </w:r>
      <w:r>
        <w:rPr>
          <w:rFonts w:ascii="Cambria" w:hAnsi="Cambria" w:cs="Calibri"/>
          <w:sz w:val="24"/>
          <w:szCs w:val="24"/>
        </w:rPr>
        <w:t xml:space="preserve"> (art. 2 § 1 pkt 3 k.p.k.).</w:t>
      </w:r>
    </w:p>
    <w:p w14:paraId="1FEAF99A" w14:textId="77777777" w:rsidR="000E3F8D" w:rsidRDefault="00AD0AF7" w:rsidP="00AD0AF7">
      <w:pPr>
        <w:spacing w:line="360" w:lineRule="auto"/>
        <w:ind w:firstLine="708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Ujawnienie danych osobowych pokrzywdzonego niewątpliwie stanowić będzie ingerencję w prywatność jednostki, która podlega konstytucyjnej ochronie (art. 47 Konstytucji RP). Jednocześnie zgodnie z art. 51 ust. </w:t>
      </w:r>
      <w:r w:rsidRPr="00AD0AF7">
        <w:rPr>
          <w:rFonts w:ascii="Cambria" w:hAnsi="Cambria" w:cs="Calibri"/>
          <w:sz w:val="24"/>
          <w:szCs w:val="24"/>
        </w:rPr>
        <w:t>2</w:t>
      </w:r>
      <w:r>
        <w:rPr>
          <w:rFonts w:ascii="Cambria" w:hAnsi="Cambria" w:cs="Calibri"/>
          <w:sz w:val="24"/>
          <w:szCs w:val="24"/>
        </w:rPr>
        <w:t xml:space="preserve"> Konstytucji RP w</w:t>
      </w:r>
      <w:r w:rsidRPr="00AD0AF7">
        <w:rPr>
          <w:rFonts w:ascii="Cambria" w:hAnsi="Cambria" w:cs="Calibri"/>
          <w:sz w:val="24"/>
          <w:szCs w:val="24"/>
        </w:rPr>
        <w:t>ładze publiczne nie mogą udostępniać innych informacji o obywatelach niż niezbędne w demokratycznym państwie prawnym.</w:t>
      </w:r>
      <w:r>
        <w:rPr>
          <w:rFonts w:ascii="Cambria" w:hAnsi="Cambria" w:cs="Calibri"/>
          <w:sz w:val="24"/>
          <w:szCs w:val="24"/>
        </w:rPr>
        <w:t xml:space="preserve"> Nie ulega zatem wątpliwości, że ograniczenie prywatności poprzez ujawnienie danych pokrzywdzonego w liście gończym, musiałoby spełniać warunek </w:t>
      </w:r>
      <w:r w:rsidRPr="00AD0AF7">
        <w:rPr>
          <w:rFonts w:ascii="Cambria" w:hAnsi="Cambria" w:cs="Calibri"/>
          <w:sz w:val="24"/>
          <w:szCs w:val="24"/>
        </w:rPr>
        <w:t>proporcjonalności</w:t>
      </w:r>
      <w:r>
        <w:rPr>
          <w:rFonts w:ascii="Cambria" w:hAnsi="Cambria" w:cs="Calibri"/>
          <w:sz w:val="24"/>
          <w:szCs w:val="24"/>
        </w:rPr>
        <w:t xml:space="preserve"> (art. 31 ust. 3 Konstytucji RP), a zatem (1) </w:t>
      </w:r>
      <w:r w:rsidRPr="00AD0AF7">
        <w:rPr>
          <w:rFonts w:ascii="Cambria" w:hAnsi="Cambria" w:cs="Calibri"/>
          <w:sz w:val="24"/>
          <w:szCs w:val="24"/>
        </w:rPr>
        <w:t>musi</w:t>
      </w:r>
      <w:r>
        <w:rPr>
          <w:rFonts w:ascii="Cambria" w:hAnsi="Cambria" w:cs="Calibri"/>
          <w:sz w:val="24"/>
          <w:szCs w:val="24"/>
        </w:rPr>
        <w:t>ałoby</w:t>
      </w:r>
      <w:r w:rsidRPr="00AD0AF7">
        <w:rPr>
          <w:rFonts w:ascii="Cambria" w:hAnsi="Cambria" w:cs="Calibri"/>
          <w:sz w:val="24"/>
          <w:szCs w:val="24"/>
        </w:rPr>
        <w:t xml:space="preserve"> efektywnie służyć założonemu celowi, </w:t>
      </w:r>
      <w:r>
        <w:rPr>
          <w:rFonts w:ascii="Cambria" w:hAnsi="Cambria" w:cs="Calibri"/>
          <w:sz w:val="24"/>
          <w:szCs w:val="24"/>
        </w:rPr>
        <w:t>(2) powinno być to rozwiązanie najmniej</w:t>
      </w:r>
      <w:r w:rsidRPr="00AD0AF7">
        <w:rPr>
          <w:rFonts w:ascii="Cambria" w:hAnsi="Cambria" w:cs="Calibri"/>
          <w:sz w:val="24"/>
          <w:szCs w:val="24"/>
        </w:rPr>
        <w:t xml:space="preserve"> dolegliw</w:t>
      </w:r>
      <w:r>
        <w:rPr>
          <w:rFonts w:ascii="Cambria" w:hAnsi="Cambria" w:cs="Calibri"/>
          <w:sz w:val="24"/>
          <w:szCs w:val="24"/>
        </w:rPr>
        <w:t>e</w:t>
      </w:r>
      <w:r w:rsidRPr="00AD0AF7">
        <w:rPr>
          <w:rFonts w:ascii="Cambria" w:hAnsi="Cambria" w:cs="Calibri"/>
          <w:sz w:val="24"/>
          <w:szCs w:val="24"/>
        </w:rPr>
        <w:t xml:space="preserve"> dla jednostki, </w:t>
      </w:r>
      <w:r>
        <w:rPr>
          <w:rFonts w:ascii="Cambria" w:hAnsi="Cambria" w:cs="Calibri"/>
          <w:sz w:val="24"/>
          <w:szCs w:val="24"/>
        </w:rPr>
        <w:t xml:space="preserve">(3) a jego </w:t>
      </w:r>
      <w:r w:rsidRPr="00AD0AF7">
        <w:rPr>
          <w:rFonts w:ascii="Cambria" w:hAnsi="Cambria" w:cs="Calibri"/>
          <w:sz w:val="24"/>
          <w:szCs w:val="24"/>
        </w:rPr>
        <w:t>efekty powinny</w:t>
      </w:r>
      <w:r>
        <w:rPr>
          <w:rFonts w:ascii="Cambria" w:hAnsi="Cambria" w:cs="Calibri"/>
          <w:sz w:val="24"/>
          <w:szCs w:val="24"/>
        </w:rPr>
        <w:t xml:space="preserve"> </w:t>
      </w:r>
      <w:r w:rsidRPr="00AD0AF7">
        <w:rPr>
          <w:rFonts w:ascii="Cambria" w:hAnsi="Cambria" w:cs="Calibri"/>
          <w:sz w:val="24"/>
          <w:szCs w:val="24"/>
        </w:rPr>
        <w:t>pozostawać w proporcji do nałożonych na obywatela ciężarów lub</w:t>
      </w:r>
      <w:r>
        <w:rPr>
          <w:rFonts w:ascii="Cambria" w:hAnsi="Cambria" w:cs="Calibri"/>
          <w:sz w:val="24"/>
          <w:szCs w:val="24"/>
        </w:rPr>
        <w:t xml:space="preserve"> </w:t>
      </w:r>
      <w:r w:rsidRPr="00AD0AF7">
        <w:rPr>
          <w:rFonts w:ascii="Cambria" w:hAnsi="Cambria" w:cs="Calibri"/>
          <w:sz w:val="24"/>
          <w:szCs w:val="24"/>
        </w:rPr>
        <w:t>ograniczeń</w:t>
      </w:r>
      <w:r>
        <w:rPr>
          <w:rFonts w:ascii="Cambria" w:hAnsi="Cambria" w:cs="Calibri"/>
          <w:sz w:val="24"/>
          <w:szCs w:val="24"/>
        </w:rPr>
        <w:t xml:space="preserve">. </w:t>
      </w:r>
    </w:p>
    <w:p w14:paraId="1B261CCD" w14:textId="41B14D00" w:rsidR="000E3F8D" w:rsidRDefault="000E3F8D" w:rsidP="00AD0AF7">
      <w:pPr>
        <w:spacing w:line="360" w:lineRule="auto"/>
        <w:ind w:firstLine="708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>Również na gruncie art. 8 Europejskiej Konwencji Praw Człowieka dopuszcza się ingerencję władzy publicznej w korzystanie z prawa do poszanowania swojego życia prywatnego jedynie pod warunkiem, że jest to przewidziane przez ustawę i konieczne w demokratycznym społeczeństwie z uwagi m.in. na ochronę porządku i zapobieganie przestępstwom.</w:t>
      </w:r>
    </w:p>
    <w:p w14:paraId="3FB57BD7" w14:textId="4916D2B0" w:rsidR="00AD0AF7" w:rsidRDefault="00AD0AF7" w:rsidP="00AD0AF7">
      <w:pPr>
        <w:spacing w:line="360" w:lineRule="auto"/>
        <w:ind w:firstLine="708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W świetle dotychczasowych uwag należy zaś dojść do wniosku, że co do zasady ujawnienie danych osobowych pokrzywdzonego w liście gończym nie będzie spełniało </w:t>
      </w:r>
      <w:r w:rsidR="000E3F8D">
        <w:rPr>
          <w:rFonts w:ascii="Cambria" w:hAnsi="Cambria" w:cs="Calibri"/>
          <w:sz w:val="24"/>
          <w:szCs w:val="24"/>
        </w:rPr>
        <w:t>podstawowego</w:t>
      </w:r>
      <w:r>
        <w:rPr>
          <w:rFonts w:ascii="Cambria" w:hAnsi="Cambria" w:cs="Calibri"/>
          <w:sz w:val="24"/>
          <w:szCs w:val="24"/>
        </w:rPr>
        <w:t xml:space="preserve"> ze wskazanych </w:t>
      </w:r>
      <w:r w:rsidR="000E3F8D">
        <w:rPr>
          <w:rFonts w:ascii="Cambria" w:hAnsi="Cambria" w:cs="Calibri"/>
          <w:sz w:val="24"/>
          <w:szCs w:val="24"/>
        </w:rPr>
        <w:t xml:space="preserve">powyżej </w:t>
      </w:r>
      <w:r>
        <w:rPr>
          <w:rFonts w:ascii="Cambria" w:hAnsi="Cambria" w:cs="Calibri"/>
          <w:sz w:val="24"/>
          <w:szCs w:val="24"/>
        </w:rPr>
        <w:t xml:space="preserve">warunków, bowiem w typowym układzie procesowym </w:t>
      </w:r>
      <w:r w:rsidR="000E3F8D">
        <w:rPr>
          <w:rFonts w:ascii="Cambria" w:hAnsi="Cambria" w:cs="Calibri"/>
          <w:sz w:val="24"/>
          <w:szCs w:val="24"/>
        </w:rPr>
        <w:t xml:space="preserve">ujawienie tych danych </w:t>
      </w:r>
      <w:r>
        <w:rPr>
          <w:rFonts w:ascii="Cambria" w:hAnsi="Cambria" w:cs="Calibri"/>
          <w:sz w:val="24"/>
          <w:szCs w:val="24"/>
        </w:rPr>
        <w:t>nie będzie konieczne dla osiągnięcia celów, jakim służy wydanie listu gończego.</w:t>
      </w:r>
    </w:p>
    <w:p w14:paraId="4CEF56E4" w14:textId="4B444C76" w:rsidR="00554011" w:rsidRPr="00DE6DC4" w:rsidRDefault="00554011" w:rsidP="00AD0AF7">
      <w:pPr>
        <w:spacing w:line="360" w:lineRule="auto"/>
        <w:ind w:firstLine="708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Kwestia ochrony prywatności ofiar przestępstw stanowi również przedmiot regulacji prawa unijnego. Zgodnie z art. 21 ust. 1 dyrektywy </w:t>
      </w:r>
      <w:r w:rsidRPr="00554011">
        <w:rPr>
          <w:rFonts w:ascii="Cambria" w:hAnsi="Cambria" w:cs="Calibri"/>
          <w:sz w:val="24"/>
          <w:szCs w:val="24"/>
        </w:rPr>
        <w:t>Parlamentu Europejskiego i</w:t>
      </w:r>
      <w:r w:rsidR="00F94D0B">
        <w:rPr>
          <w:rFonts w:ascii="Cambria" w:hAnsi="Cambria" w:cs="Calibri"/>
          <w:sz w:val="24"/>
          <w:szCs w:val="24"/>
        </w:rPr>
        <w:t> </w:t>
      </w:r>
      <w:r w:rsidRPr="00554011">
        <w:rPr>
          <w:rFonts w:ascii="Cambria" w:hAnsi="Cambria" w:cs="Calibri"/>
          <w:sz w:val="24"/>
          <w:szCs w:val="24"/>
        </w:rPr>
        <w:t>Rady 2012/29/UE z dnia 25 października 2012 r.</w:t>
      </w:r>
      <w:r>
        <w:rPr>
          <w:rFonts w:ascii="Cambria" w:hAnsi="Cambria" w:cs="Calibri"/>
          <w:sz w:val="24"/>
          <w:szCs w:val="24"/>
        </w:rPr>
        <w:t xml:space="preserve"> </w:t>
      </w:r>
      <w:r w:rsidRPr="00554011">
        <w:rPr>
          <w:rFonts w:ascii="Cambria" w:hAnsi="Cambria" w:cs="Calibri"/>
          <w:sz w:val="24"/>
          <w:szCs w:val="24"/>
        </w:rPr>
        <w:t>ustanawiając</w:t>
      </w:r>
      <w:r>
        <w:rPr>
          <w:rFonts w:ascii="Cambria" w:hAnsi="Cambria" w:cs="Calibri"/>
          <w:sz w:val="24"/>
          <w:szCs w:val="24"/>
        </w:rPr>
        <w:t>ej</w:t>
      </w:r>
      <w:r w:rsidRPr="00554011">
        <w:rPr>
          <w:rFonts w:ascii="Cambria" w:hAnsi="Cambria" w:cs="Calibri"/>
          <w:sz w:val="24"/>
          <w:szCs w:val="24"/>
        </w:rPr>
        <w:t xml:space="preserve"> normy minimalne w</w:t>
      </w:r>
      <w:r w:rsidR="00F94D0B">
        <w:rPr>
          <w:rFonts w:ascii="Cambria" w:hAnsi="Cambria" w:cs="Calibri"/>
          <w:sz w:val="24"/>
          <w:szCs w:val="24"/>
        </w:rPr>
        <w:t> </w:t>
      </w:r>
      <w:r w:rsidRPr="00554011">
        <w:rPr>
          <w:rFonts w:ascii="Cambria" w:hAnsi="Cambria" w:cs="Calibri"/>
          <w:sz w:val="24"/>
          <w:szCs w:val="24"/>
        </w:rPr>
        <w:t>zakresie praw, wsparcia i ochrony ofiar przestępstw oraz</w:t>
      </w:r>
      <w:r>
        <w:rPr>
          <w:rFonts w:ascii="Cambria" w:hAnsi="Cambria" w:cs="Calibri"/>
          <w:sz w:val="24"/>
          <w:szCs w:val="24"/>
        </w:rPr>
        <w:t xml:space="preserve"> </w:t>
      </w:r>
      <w:r w:rsidRPr="00554011">
        <w:rPr>
          <w:rFonts w:ascii="Cambria" w:hAnsi="Cambria" w:cs="Calibri"/>
          <w:sz w:val="24"/>
          <w:szCs w:val="24"/>
        </w:rPr>
        <w:t>zastępującej decyzję ramową Rady 2001/220/</w:t>
      </w:r>
      <w:proofErr w:type="spellStart"/>
      <w:r w:rsidRPr="00554011">
        <w:rPr>
          <w:rFonts w:ascii="Cambria" w:hAnsi="Cambria" w:cs="Calibri"/>
          <w:sz w:val="24"/>
          <w:szCs w:val="24"/>
        </w:rPr>
        <w:t>WSiSW</w:t>
      </w:r>
      <w:proofErr w:type="spellEnd"/>
      <w:r>
        <w:rPr>
          <w:rStyle w:val="Odwoanieprzypisudolnego"/>
          <w:rFonts w:ascii="Cambria" w:hAnsi="Cambria" w:cs="Calibri"/>
          <w:sz w:val="24"/>
          <w:szCs w:val="24"/>
        </w:rPr>
        <w:footnoteReference w:id="3"/>
      </w:r>
      <w:r>
        <w:rPr>
          <w:rFonts w:ascii="Cambria" w:hAnsi="Cambria" w:cs="Calibri"/>
          <w:sz w:val="24"/>
          <w:szCs w:val="24"/>
        </w:rPr>
        <w:t>, p</w:t>
      </w:r>
      <w:r w:rsidRPr="00554011">
        <w:rPr>
          <w:rFonts w:ascii="Cambria" w:hAnsi="Cambria" w:cs="Calibri"/>
          <w:sz w:val="24"/>
          <w:szCs w:val="24"/>
        </w:rPr>
        <w:t xml:space="preserve">aństwa członkowskie zapewniają, by właściwe organy mogły przyjmować podczas postępowania karnego odpowiednie środki w celu ochrony prywatności, w tym ochrony cech osobowych ofiary uwzględnianych w indywidualnej </w:t>
      </w:r>
      <w:r w:rsidRPr="00554011">
        <w:rPr>
          <w:rFonts w:ascii="Cambria" w:hAnsi="Cambria" w:cs="Calibri"/>
          <w:sz w:val="24"/>
          <w:szCs w:val="24"/>
        </w:rPr>
        <w:lastRenderedPageBreak/>
        <w:t>ocenie przewidzianej w art. 22 oraz wizerunku ofiar i członków ich rodzin. Ponadto państwa członkowskie zapewniają, by właściwe organy mogły podejmować wszelkie zgodne z prawem środki w celu zapobieżenia publicznemu rozpowszechnianiu wszelkich informacji, które mogłyby prowadzić do zidentyfikowania dziecka będącego ofiarą.</w:t>
      </w:r>
      <w:r>
        <w:rPr>
          <w:rFonts w:ascii="Cambria" w:hAnsi="Cambria" w:cs="Calibri"/>
          <w:sz w:val="24"/>
          <w:szCs w:val="24"/>
        </w:rPr>
        <w:t xml:space="preserve"> W motywie 54 tej dyrektywy wskazano zaś, że o</w:t>
      </w:r>
      <w:r w:rsidRPr="00554011">
        <w:rPr>
          <w:rFonts w:ascii="Cambria" w:hAnsi="Cambria" w:cs="Calibri"/>
          <w:sz w:val="24"/>
          <w:szCs w:val="24"/>
        </w:rPr>
        <w:t>chrona prywatności ofiary może być jednym z istotnych sposobów zapobiegania wtórnej lub ponownej wiktymizacji, zastraszaniu i odwetowi oraz może zostać zrealizowana poprzez szeroki zakres środków, w tym nieujawnianie informacji dotyczących tożsamości i miejsca pobytu ofiary lub ograniczenie dostępu do takich informacji.</w:t>
      </w:r>
    </w:p>
    <w:p w14:paraId="2311D616" w14:textId="32FFDA50" w:rsidR="00DE6DC4" w:rsidRPr="0026087F" w:rsidRDefault="000E3F8D" w:rsidP="0026087F">
      <w:pPr>
        <w:spacing w:line="360" w:lineRule="auto"/>
        <w:ind w:firstLine="708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Powyższe standardy </w:t>
      </w:r>
      <w:r w:rsidR="003A6A29">
        <w:rPr>
          <w:rFonts w:ascii="Cambria" w:hAnsi="Cambria" w:cs="Calibri"/>
          <w:sz w:val="24"/>
          <w:szCs w:val="24"/>
        </w:rPr>
        <w:t xml:space="preserve">obowiązujące na mocy </w:t>
      </w:r>
      <w:r>
        <w:rPr>
          <w:rFonts w:ascii="Cambria" w:hAnsi="Cambria" w:cs="Calibri"/>
          <w:sz w:val="24"/>
          <w:szCs w:val="24"/>
        </w:rPr>
        <w:t xml:space="preserve">norm wyższego rządu </w:t>
      </w:r>
      <w:r w:rsidR="003A6A29">
        <w:rPr>
          <w:rFonts w:ascii="Cambria" w:hAnsi="Cambria" w:cs="Calibri"/>
          <w:sz w:val="24"/>
          <w:szCs w:val="24"/>
        </w:rPr>
        <w:t>muszą być uwzględniane przy wykładni przepisu art. 280 § 1 pkt 3 k.p.k. W doktrynie wprost zresztą wskazuje się, że p</w:t>
      </w:r>
      <w:r w:rsidR="003A6A29" w:rsidRPr="003A6A29">
        <w:rPr>
          <w:rFonts w:ascii="Cambria" w:hAnsi="Cambria" w:cs="Calibri"/>
          <w:sz w:val="24"/>
          <w:szCs w:val="24"/>
        </w:rPr>
        <w:t>rzytoczona w liście gończym treść zarzutu nie powinna ujawniać danych osobowych pokrzywdzonego ani innych informacji umożliwiających jego identyfikację</w:t>
      </w:r>
      <w:r w:rsidR="003A6A29">
        <w:rPr>
          <w:rStyle w:val="Odwoanieprzypisudolnego"/>
          <w:rFonts w:ascii="Cambria" w:hAnsi="Cambria" w:cs="Calibri"/>
          <w:sz w:val="24"/>
          <w:szCs w:val="24"/>
        </w:rPr>
        <w:footnoteReference w:id="4"/>
      </w:r>
      <w:r w:rsidR="003A6A29">
        <w:rPr>
          <w:rFonts w:ascii="Cambria" w:hAnsi="Cambria" w:cs="Calibri"/>
          <w:sz w:val="24"/>
          <w:szCs w:val="24"/>
        </w:rPr>
        <w:t>.</w:t>
      </w:r>
    </w:p>
    <w:p w14:paraId="325157EF" w14:textId="38F9A518" w:rsidR="000E3F8D" w:rsidRDefault="0001763A" w:rsidP="00B34437">
      <w:pPr>
        <w:spacing w:line="360" w:lineRule="auto"/>
        <w:ind w:firstLine="708"/>
        <w:jc w:val="both"/>
        <w:rPr>
          <w:rFonts w:ascii="Cambria" w:hAnsi="Cambria" w:cs="Calibri"/>
          <w:sz w:val="24"/>
          <w:szCs w:val="24"/>
        </w:rPr>
      </w:pPr>
      <w:r w:rsidRPr="0026087F">
        <w:rPr>
          <w:rFonts w:ascii="Cambria" w:hAnsi="Cambria" w:cs="Calibri"/>
          <w:sz w:val="24"/>
          <w:szCs w:val="24"/>
        </w:rPr>
        <w:t>4.</w:t>
      </w:r>
      <w:r w:rsidR="0024543B" w:rsidRPr="0026087F">
        <w:rPr>
          <w:rFonts w:ascii="Cambria" w:hAnsi="Cambria" w:cs="Calibri"/>
          <w:sz w:val="24"/>
          <w:szCs w:val="24"/>
        </w:rPr>
        <w:t xml:space="preserve"> </w:t>
      </w:r>
      <w:r w:rsidRPr="0026087F">
        <w:rPr>
          <w:rFonts w:ascii="Cambria" w:hAnsi="Cambria" w:cs="Calibri"/>
          <w:sz w:val="24"/>
          <w:szCs w:val="24"/>
        </w:rPr>
        <w:t xml:space="preserve">Reasumując, </w:t>
      </w:r>
      <w:r w:rsidR="000E3F8D">
        <w:rPr>
          <w:rFonts w:ascii="Cambria" w:hAnsi="Cambria" w:cs="Calibri"/>
          <w:sz w:val="24"/>
          <w:szCs w:val="24"/>
        </w:rPr>
        <w:t xml:space="preserve">nie budzi wątpliwości, że w świetle prawidłowej wykładni przepisu art. 280 § 1 pkt 3 k.p.k. nie znajduje uzasadnienia zamieszczanie w treści listu gończego </w:t>
      </w:r>
      <w:r w:rsidR="003A6A29">
        <w:rPr>
          <w:rFonts w:ascii="Cambria" w:hAnsi="Cambria" w:cs="Calibri"/>
          <w:sz w:val="24"/>
          <w:szCs w:val="24"/>
        </w:rPr>
        <w:t>danych osobowych pokrzywdzonego oraz informacji, które umożliwiałyby jego identyfikację.</w:t>
      </w:r>
      <w:r w:rsidR="003F3F57">
        <w:rPr>
          <w:rFonts w:ascii="Cambria" w:hAnsi="Cambria" w:cs="Calibri"/>
          <w:sz w:val="24"/>
          <w:szCs w:val="24"/>
        </w:rPr>
        <w:t xml:space="preserve"> Odstępstwo od tej reguły musiałoby znajdować uzasadnienie w</w:t>
      </w:r>
      <w:r w:rsidR="00F94D0B">
        <w:rPr>
          <w:rFonts w:ascii="Cambria" w:hAnsi="Cambria" w:cs="Calibri"/>
          <w:sz w:val="24"/>
          <w:szCs w:val="24"/>
        </w:rPr>
        <w:t> </w:t>
      </w:r>
      <w:r w:rsidR="003F3F57">
        <w:rPr>
          <w:rFonts w:ascii="Cambria" w:hAnsi="Cambria" w:cs="Calibri"/>
          <w:sz w:val="24"/>
          <w:szCs w:val="24"/>
        </w:rPr>
        <w:t>wyjątkowych, szczególnie ważnych względach.</w:t>
      </w:r>
    </w:p>
    <w:p w14:paraId="62E518F2" w14:textId="1B4C56B6" w:rsidR="0001763A" w:rsidRPr="0026087F" w:rsidRDefault="003A6A29" w:rsidP="00B34437">
      <w:pPr>
        <w:spacing w:line="360" w:lineRule="auto"/>
        <w:ind w:firstLine="708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>Wobec jasnej treści obowiązującej regulacji</w:t>
      </w:r>
      <w:r w:rsidR="003F3F57">
        <w:rPr>
          <w:rFonts w:ascii="Cambria" w:hAnsi="Cambria" w:cs="Calibri"/>
          <w:sz w:val="24"/>
          <w:szCs w:val="24"/>
        </w:rPr>
        <w:t>,</w:t>
      </w:r>
      <w:r>
        <w:rPr>
          <w:rFonts w:ascii="Cambria" w:hAnsi="Cambria" w:cs="Calibri"/>
          <w:sz w:val="24"/>
          <w:szCs w:val="24"/>
        </w:rPr>
        <w:t xml:space="preserve"> </w:t>
      </w:r>
      <w:r w:rsidR="0001763A" w:rsidRPr="0026087F">
        <w:rPr>
          <w:rFonts w:ascii="Cambria" w:hAnsi="Cambria" w:cs="Calibri"/>
          <w:sz w:val="24"/>
          <w:szCs w:val="24"/>
        </w:rPr>
        <w:t>Komisja Kodyfikacyjna Prawa Karnego uznaje</w:t>
      </w:r>
      <w:r w:rsidR="003F3F57">
        <w:rPr>
          <w:rFonts w:ascii="Cambria" w:hAnsi="Cambria" w:cs="Calibri"/>
          <w:sz w:val="24"/>
          <w:szCs w:val="24"/>
        </w:rPr>
        <w:t xml:space="preserve"> brak konieczności </w:t>
      </w:r>
      <w:r w:rsidR="0001763A" w:rsidRPr="0026087F">
        <w:rPr>
          <w:rFonts w:ascii="Cambria" w:hAnsi="Cambria" w:cs="Calibri"/>
          <w:sz w:val="24"/>
          <w:szCs w:val="24"/>
        </w:rPr>
        <w:t>wprowadz</w:t>
      </w:r>
      <w:r>
        <w:rPr>
          <w:rFonts w:ascii="Cambria" w:hAnsi="Cambria" w:cs="Calibri"/>
          <w:sz w:val="24"/>
          <w:szCs w:val="24"/>
        </w:rPr>
        <w:t>ani</w:t>
      </w:r>
      <w:r w:rsidR="003F3F57">
        <w:rPr>
          <w:rFonts w:ascii="Cambria" w:hAnsi="Cambria" w:cs="Calibri"/>
          <w:sz w:val="24"/>
          <w:szCs w:val="24"/>
        </w:rPr>
        <w:t>a</w:t>
      </w:r>
      <w:r w:rsidR="0001763A" w:rsidRPr="0026087F">
        <w:rPr>
          <w:rFonts w:ascii="Cambria" w:hAnsi="Cambria" w:cs="Calibri"/>
          <w:sz w:val="24"/>
          <w:szCs w:val="24"/>
        </w:rPr>
        <w:t xml:space="preserve"> zmian legislacyjnych w treści art. 2</w:t>
      </w:r>
      <w:r w:rsidR="0026087F">
        <w:rPr>
          <w:rFonts w:ascii="Cambria" w:hAnsi="Cambria" w:cs="Calibri"/>
          <w:sz w:val="24"/>
          <w:szCs w:val="24"/>
        </w:rPr>
        <w:t>8</w:t>
      </w:r>
      <w:r w:rsidR="0001763A" w:rsidRPr="0026087F">
        <w:rPr>
          <w:rFonts w:ascii="Cambria" w:hAnsi="Cambria" w:cs="Calibri"/>
          <w:sz w:val="24"/>
          <w:szCs w:val="24"/>
        </w:rPr>
        <w:t xml:space="preserve">0 § </w:t>
      </w:r>
      <w:r w:rsidR="0026087F">
        <w:rPr>
          <w:rFonts w:ascii="Cambria" w:hAnsi="Cambria" w:cs="Calibri"/>
          <w:sz w:val="24"/>
          <w:szCs w:val="24"/>
        </w:rPr>
        <w:t>1</w:t>
      </w:r>
      <w:r w:rsidR="0001763A" w:rsidRPr="0026087F">
        <w:rPr>
          <w:rFonts w:ascii="Cambria" w:hAnsi="Cambria" w:cs="Calibri"/>
          <w:sz w:val="24"/>
          <w:szCs w:val="24"/>
        </w:rPr>
        <w:t xml:space="preserve"> k.p.k.</w:t>
      </w:r>
      <w:r w:rsidR="0024543B" w:rsidRPr="0026087F">
        <w:rPr>
          <w:rFonts w:ascii="Cambria" w:hAnsi="Cambria" w:cs="Calibri"/>
          <w:sz w:val="24"/>
          <w:szCs w:val="24"/>
        </w:rPr>
        <w:t xml:space="preserve"> </w:t>
      </w:r>
      <w:r w:rsidR="00DE6DC4">
        <w:rPr>
          <w:rFonts w:ascii="Cambria" w:hAnsi="Cambria" w:cs="Calibri"/>
          <w:sz w:val="24"/>
          <w:szCs w:val="24"/>
        </w:rPr>
        <w:t>Sytuacje przywołane przez Rzecznika Praw Obywatelskich są wynikiem wadliwe</w:t>
      </w:r>
      <w:r w:rsidR="00554011">
        <w:rPr>
          <w:rFonts w:ascii="Cambria" w:hAnsi="Cambria" w:cs="Calibri"/>
          <w:sz w:val="24"/>
          <w:szCs w:val="24"/>
        </w:rPr>
        <w:t>j praktyki stosowania</w:t>
      </w:r>
      <w:r w:rsidR="00DE6DC4">
        <w:rPr>
          <w:rFonts w:ascii="Cambria" w:hAnsi="Cambria" w:cs="Calibri"/>
          <w:sz w:val="24"/>
          <w:szCs w:val="24"/>
        </w:rPr>
        <w:t xml:space="preserve"> obowiązujących przepisów kodeksu postępowania karnego. </w:t>
      </w:r>
      <w:r w:rsidR="00554011">
        <w:rPr>
          <w:rFonts w:ascii="Cambria" w:hAnsi="Cambria" w:cs="Calibri"/>
          <w:sz w:val="24"/>
          <w:szCs w:val="24"/>
        </w:rPr>
        <w:t>Jej s</w:t>
      </w:r>
      <w:r w:rsidR="00DE6DC4">
        <w:rPr>
          <w:rFonts w:ascii="Cambria" w:hAnsi="Cambria" w:cs="Calibri"/>
          <w:sz w:val="24"/>
          <w:szCs w:val="24"/>
        </w:rPr>
        <w:t>korygowanie nie wymaga zmiany obowiązujących uregulowań</w:t>
      </w:r>
      <w:r w:rsidR="00B5553D">
        <w:rPr>
          <w:rFonts w:ascii="Cambria" w:hAnsi="Cambria" w:cs="Calibri"/>
          <w:sz w:val="24"/>
          <w:szCs w:val="24"/>
        </w:rPr>
        <w:t xml:space="preserve"> ustawowych</w:t>
      </w:r>
      <w:r w:rsidR="00DE6DC4">
        <w:rPr>
          <w:rFonts w:ascii="Cambria" w:hAnsi="Cambria" w:cs="Calibri"/>
          <w:sz w:val="24"/>
          <w:szCs w:val="24"/>
        </w:rPr>
        <w:t>, które są jasne</w:t>
      </w:r>
      <w:r w:rsidR="00554011">
        <w:rPr>
          <w:rFonts w:ascii="Cambria" w:hAnsi="Cambria" w:cs="Calibri"/>
          <w:sz w:val="24"/>
          <w:szCs w:val="24"/>
        </w:rPr>
        <w:t xml:space="preserve"> i nie mogą być rozumiane jako dopuszczające </w:t>
      </w:r>
      <w:r w:rsidR="003F3F57">
        <w:rPr>
          <w:rFonts w:ascii="Cambria" w:hAnsi="Cambria" w:cs="Calibri"/>
          <w:sz w:val="24"/>
          <w:szCs w:val="24"/>
        </w:rPr>
        <w:t xml:space="preserve">w generalny sposób </w:t>
      </w:r>
      <w:r w:rsidR="00554011">
        <w:rPr>
          <w:rFonts w:ascii="Cambria" w:hAnsi="Cambria" w:cs="Calibri"/>
          <w:sz w:val="24"/>
          <w:szCs w:val="24"/>
        </w:rPr>
        <w:t xml:space="preserve">zamieszczanie danych pokrzywdzonego w treści listu gończego. </w:t>
      </w:r>
      <w:r w:rsidR="006A15C3">
        <w:rPr>
          <w:rFonts w:ascii="Cambria" w:hAnsi="Cambria" w:cs="Calibri"/>
          <w:sz w:val="24"/>
          <w:szCs w:val="24"/>
        </w:rPr>
        <w:t xml:space="preserve">Dla zapewnienia właściwej praktyki stosowania prawa </w:t>
      </w:r>
      <w:r w:rsidR="00554011">
        <w:rPr>
          <w:rFonts w:ascii="Cambria" w:hAnsi="Cambria" w:cs="Calibri"/>
          <w:sz w:val="24"/>
          <w:szCs w:val="24"/>
        </w:rPr>
        <w:t xml:space="preserve">wystarczające jest podejmowanie </w:t>
      </w:r>
      <w:r w:rsidR="00DE6DC4">
        <w:rPr>
          <w:rFonts w:ascii="Cambria" w:hAnsi="Cambria" w:cs="Calibri"/>
          <w:sz w:val="24"/>
          <w:szCs w:val="24"/>
        </w:rPr>
        <w:t>odpowiednich działań szkoleniowych</w:t>
      </w:r>
      <w:r w:rsidR="00554011">
        <w:rPr>
          <w:rFonts w:ascii="Cambria" w:hAnsi="Cambria" w:cs="Calibri"/>
          <w:sz w:val="24"/>
          <w:szCs w:val="24"/>
        </w:rPr>
        <w:t xml:space="preserve"> i</w:t>
      </w:r>
      <w:r w:rsidR="006A15C3">
        <w:rPr>
          <w:rFonts w:ascii="Cambria" w:hAnsi="Cambria" w:cs="Calibri"/>
          <w:sz w:val="24"/>
          <w:szCs w:val="24"/>
        </w:rPr>
        <w:t> </w:t>
      </w:r>
      <w:r w:rsidR="00554011">
        <w:rPr>
          <w:rFonts w:ascii="Cambria" w:hAnsi="Cambria" w:cs="Calibri"/>
          <w:sz w:val="24"/>
          <w:szCs w:val="24"/>
        </w:rPr>
        <w:t>instruktażowych w ramach działalności jednostek organizacyjnych prokuratury</w:t>
      </w:r>
      <w:r w:rsidR="00DE6DC4">
        <w:rPr>
          <w:rFonts w:ascii="Cambria" w:hAnsi="Cambria" w:cs="Calibri"/>
          <w:sz w:val="24"/>
          <w:szCs w:val="24"/>
        </w:rPr>
        <w:t>.</w:t>
      </w:r>
      <w:r w:rsidR="00B5553D">
        <w:rPr>
          <w:rFonts w:ascii="Cambria" w:hAnsi="Cambria" w:cs="Calibri"/>
          <w:sz w:val="24"/>
          <w:szCs w:val="24"/>
        </w:rPr>
        <w:t xml:space="preserve"> Minister Sprawiedliwości może ewentualnie rozważyć dokonanie odpowiedniej zmiany w regulaminie wewnętrznego urzędowania powszechnych jednostek organizacyjnych prokuratury (tekst jedn. Dz. U. z 2025 r., poz. 753) oraz </w:t>
      </w:r>
      <w:r w:rsidR="00B5553D">
        <w:rPr>
          <w:rFonts w:ascii="Cambria" w:hAnsi="Cambria" w:cs="Calibri"/>
          <w:sz w:val="24"/>
          <w:szCs w:val="24"/>
        </w:rPr>
        <w:lastRenderedPageBreak/>
        <w:t>w regulaminie urzędowania sądów powszechnych (tekst jedn. Dz. U. z 2024 r., poz. 867 ze zm.), które kwestie dotyczące listu gończego regulują odpowiednio w §§ 199-201 i § 347.</w:t>
      </w:r>
    </w:p>
    <w:p w14:paraId="1FC69A9F" w14:textId="77777777" w:rsidR="00702F1A" w:rsidRDefault="00702F1A" w:rsidP="009069C8">
      <w:pPr>
        <w:spacing w:line="360" w:lineRule="auto"/>
        <w:jc w:val="both"/>
        <w:rPr>
          <w:rFonts w:ascii="Cambria" w:hAnsi="Cambria" w:cs="Calibri"/>
          <w:sz w:val="24"/>
          <w:szCs w:val="24"/>
        </w:rPr>
      </w:pPr>
    </w:p>
    <w:p w14:paraId="006BDE1E" w14:textId="765E6418" w:rsidR="0026087F" w:rsidRPr="003A6A29" w:rsidRDefault="00702F1A" w:rsidP="0026087F">
      <w:pPr>
        <w:spacing w:line="360" w:lineRule="auto"/>
        <w:jc w:val="both"/>
        <w:rPr>
          <w:rFonts w:ascii="Cambria" w:hAnsi="Cambria" w:cs="Calibri"/>
          <w:sz w:val="21"/>
          <w:szCs w:val="21"/>
        </w:rPr>
      </w:pPr>
      <w:r w:rsidRPr="003A6A29">
        <w:rPr>
          <w:rFonts w:ascii="Cambria" w:hAnsi="Cambria" w:cs="Calibri"/>
          <w:sz w:val="21"/>
          <w:szCs w:val="21"/>
        </w:rPr>
        <w:t xml:space="preserve">Opracował: </w:t>
      </w:r>
      <w:r w:rsidR="0026087F" w:rsidRPr="003A6A29">
        <w:rPr>
          <w:rFonts w:ascii="Cambria" w:hAnsi="Cambria" w:cs="Calibri"/>
          <w:sz w:val="21"/>
          <w:szCs w:val="21"/>
        </w:rPr>
        <w:t>Sławomir Steinborn</w:t>
      </w:r>
    </w:p>
    <w:sectPr w:rsidR="0026087F" w:rsidRPr="003A6A29" w:rsidSect="00B36C72">
      <w:footerReference w:type="even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9276F" w14:textId="77777777" w:rsidR="001E6649" w:rsidRDefault="001E6649" w:rsidP="00691D67">
      <w:pPr>
        <w:spacing w:after="0" w:line="240" w:lineRule="auto"/>
      </w:pPr>
      <w:r>
        <w:separator/>
      </w:r>
    </w:p>
  </w:endnote>
  <w:endnote w:type="continuationSeparator" w:id="0">
    <w:p w14:paraId="33C8D341" w14:textId="77777777" w:rsidR="001E6649" w:rsidRDefault="001E6649" w:rsidP="00691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514853518"/>
      <w:docPartObj>
        <w:docPartGallery w:val="Page Numbers (Bottom of Page)"/>
        <w:docPartUnique/>
      </w:docPartObj>
    </w:sdtPr>
    <w:sdtContent>
      <w:p w14:paraId="65AACE33" w14:textId="1BC8A7F1" w:rsidR="00691D67" w:rsidRDefault="00691D67" w:rsidP="004A19DF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75C019CD" w14:textId="77777777" w:rsidR="00691D67" w:rsidRDefault="00691D6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633605753"/>
      <w:docPartObj>
        <w:docPartGallery w:val="Page Numbers (Bottom of Page)"/>
        <w:docPartUnique/>
      </w:docPartObj>
    </w:sdtPr>
    <w:sdtContent>
      <w:p w14:paraId="78A8062D" w14:textId="0C9D6301" w:rsidR="00691D67" w:rsidRDefault="00691D67" w:rsidP="004A19DF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10ED3F74" w14:textId="77777777" w:rsidR="00691D67" w:rsidRDefault="00691D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ADE50" w14:textId="77777777" w:rsidR="001E6649" w:rsidRDefault="001E6649" w:rsidP="00691D67">
      <w:pPr>
        <w:spacing w:after="0" w:line="240" w:lineRule="auto"/>
      </w:pPr>
      <w:r>
        <w:separator/>
      </w:r>
    </w:p>
  </w:footnote>
  <w:footnote w:type="continuationSeparator" w:id="0">
    <w:p w14:paraId="76157985" w14:textId="77777777" w:rsidR="001E6649" w:rsidRDefault="001E6649" w:rsidP="00691D67">
      <w:pPr>
        <w:spacing w:after="0" w:line="240" w:lineRule="auto"/>
      </w:pPr>
      <w:r>
        <w:continuationSeparator/>
      </w:r>
    </w:p>
  </w:footnote>
  <w:footnote w:id="1">
    <w:p w14:paraId="538635E3" w14:textId="7A863D41" w:rsidR="00A261B1" w:rsidRPr="00A261B1" w:rsidRDefault="00A261B1" w:rsidP="00A261B1">
      <w:pPr>
        <w:pStyle w:val="Tekstprzypisudolnego"/>
        <w:jc w:val="both"/>
        <w:rPr>
          <w:rFonts w:ascii="Cambria" w:hAnsi="Cambria"/>
        </w:rPr>
      </w:pPr>
      <w:r w:rsidRPr="00A261B1">
        <w:rPr>
          <w:rStyle w:val="Odwoanieprzypisudolnego"/>
          <w:rFonts w:ascii="Cambria" w:hAnsi="Cambria"/>
        </w:rPr>
        <w:footnoteRef/>
      </w:r>
      <w:r w:rsidRPr="00A261B1">
        <w:rPr>
          <w:rFonts w:ascii="Cambria" w:hAnsi="Cambria"/>
        </w:rPr>
        <w:t xml:space="preserve"> Por. J. Kasiński (w:) T. Grzegorczyk, D. Świecki (red.), </w:t>
      </w:r>
      <w:r w:rsidRPr="00A261B1">
        <w:rPr>
          <w:rFonts w:ascii="Cambria" w:hAnsi="Cambria"/>
          <w:i/>
          <w:iCs/>
        </w:rPr>
        <w:t>System prawa karnego procesowego. Tom</w:t>
      </w:r>
      <w:r>
        <w:rPr>
          <w:rFonts w:ascii="Cambria" w:hAnsi="Cambria"/>
          <w:i/>
          <w:iCs/>
        </w:rPr>
        <w:t xml:space="preserve"> </w:t>
      </w:r>
      <w:r w:rsidRPr="00A261B1">
        <w:rPr>
          <w:rFonts w:ascii="Cambria" w:hAnsi="Cambria"/>
          <w:i/>
          <w:iCs/>
        </w:rPr>
        <w:t>IX. Środki przymusu</w:t>
      </w:r>
      <w:r w:rsidRPr="00A261B1">
        <w:rPr>
          <w:rFonts w:ascii="Cambria" w:hAnsi="Cambria"/>
        </w:rPr>
        <w:t>, Warszawa 2021, s. 1045-1046.</w:t>
      </w:r>
    </w:p>
  </w:footnote>
  <w:footnote w:id="2">
    <w:p w14:paraId="65C46BB1" w14:textId="4B8E27C2" w:rsidR="009E44D5" w:rsidRPr="009E44D5" w:rsidRDefault="009E44D5" w:rsidP="009E44D5">
      <w:pPr>
        <w:pStyle w:val="Tekstprzypisudolnego"/>
        <w:jc w:val="both"/>
        <w:rPr>
          <w:rFonts w:ascii="Cambria" w:hAnsi="Cambria"/>
        </w:rPr>
      </w:pPr>
      <w:r w:rsidRPr="009E44D5">
        <w:rPr>
          <w:rStyle w:val="Odwoanieprzypisudolnego"/>
          <w:rFonts w:ascii="Cambria" w:hAnsi="Cambria"/>
        </w:rPr>
        <w:footnoteRef/>
      </w:r>
      <w:r w:rsidRPr="009E44D5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Zob. J. </w:t>
      </w:r>
      <w:proofErr w:type="spellStart"/>
      <w:r>
        <w:rPr>
          <w:rFonts w:ascii="Cambria" w:hAnsi="Cambria"/>
        </w:rPr>
        <w:t>Bednarzak</w:t>
      </w:r>
      <w:proofErr w:type="spellEnd"/>
      <w:r>
        <w:rPr>
          <w:rFonts w:ascii="Cambria" w:hAnsi="Cambria"/>
        </w:rPr>
        <w:t xml:space="preserve">, </w:t>
      </w:r>
      <w:r w:rsidRPr="009E44D5">
        <w:rPr>
          <w:rFonts w:ascii="Cambria" w:hAnsi="Cambria"/>
          <w:i/>
          <w:iCs/>
        </w:rPr>
        <w:t>Środki zapobiegawcze</w:t>
      </w:r>
      <w:r>
        <w:rPr>
          <w:rFonts w:ascii="Cambria" w:hAnsi="Cambria"/>
        </w:rPr>
        <w:t xml:space="preserve">, Warszawa 1970, s. 37; </w:t>
      </w:r>
      <w:r w:rsidR="003A6A29">
        <w:rPr>
          <w:rFonts w:ascii="Cambria" w:hAnsi="Cambria"/>
        </w:rPr>
        <w:t xml:space="preserve">T. </w:t>
      </w:r>
      <w:proofErr w:type="spellStart"/>
      <w:r w:rsidR="003A6A29">
        <w:rPr>
          <w:rFonts w:ascii="Cambria" w:hAnsi="Cambria"/>
        </w:rPr>
        <w:t>Zbański</w:t>
      </w:r>
      <w:proofErr w:type="spellEnd"/>
      <w:r w:rsidR="003A6A29">
        <w:rPr>
          <w:rFonts w:ascii="Cambria" w:hAnsi="Cambria"/>
        </w:rPr>
        <w:t xml:space="preserve">, </w:t>
      </w:r>
      <w:r w:rsidR="003A6A29" w:rsidRPr="003A6A29">
        <w:rPr>
          <w:rFonts w:ascii="Cambria" w:hAnsi="Cambria"/>
          <w:i/>
          <w:iCs/>
        </w:rPr>
        <w:t>Środki zapobiegawcze</w:t>
      </w:r>
      <w:r w:rsidR="003A6A29">
        <w:rPr>
          <w:rFonts w:ascii="Cambria" w:hAnsi="Cambria"/>
        </w:rPr>
        <w:t xml:space="preserve">, Warszawa 1974, s. 113; </w:t>
      </w:r>
      <w:r>
        <w:rPr>
          <w:rFonts w:ascii="Cambria" w:hAnsi="Cambria"/>
        </w:rPr>
        <w:t xml:space="preserve">R.A. Stefański (w:) R.A. Stefański, S. Zabłocki, </w:t>
      </w:r>
      <w:r w:rsidRPr="009E44D5">
        <w:rPr>
          <w:rFonts w:ascii="Cambria" w:hAnsi="Cambria"/>
          <w:i/>
          <w:iCs/>
        </w:rPr>
        <w:t>Kodeks postępowania karnego. Tom II. Komentarz do art. 167-296</w:t>
      </w:r>
      <w:r>
        <w:rPr>
          <w:rFonts w:ascii="Cambria" w:hAnsi="Cambria"/>
        </w:rPr>
        <w:t>, Warszawa 2019, s. 1200.</w:t>
      </w:r>
    </w:p>
  </w:footnote>
  <w:footnote w:id="3">
    <w:p w14:paraId="2A069FAC" w14:textId="45BA7C79" w:rsidR="00554011" w:rsidRPr="00554011" w:rsidRDefault="00554011" w:rsidP="00554011">
      <w:pPr>
        <w:pStyle w:val="Tekstprzypisudolnego"/>
        <w:jc w:val="both"/>
        <w:rPr>
          <w:rFonts w:ascii="Cambria" w:hAnsi="Cambria"/>
        </w:rPr>
      </w:pPr>
      <w:r w:rsidRPr="00554011">
        <w:rPr>
          <w:rStyle w:val="Odwoanieprzypisudolnego"/>
          <w:rFonts w:ascii="Cambria" w:hAnsi="Cambria"/>
        </w:rPr>
        <w:footnoteRef/>
      </w:r>
      <w:r w:rsidRPr="00554011">
        <w:rPr>
          <w:rFonts w:ascii="Cambria" w:hAnsi="Cambria"/>
        </w:rPr>
        <w:t xml:space="preserve"> Dz. U</w:t>
      </w:r>
      <w:r>
        <w:rPr>
          <w:rFonts w:ascii="Cambria" w:hAnsi="Cambria"/>
        </w:rPr>
        <w:t>rz</w:t>
      </w:r>
      <w:r w:rsidRPr="00554011">
        <w:rPr>
          <w:rFonts w:ascii="Cambria" w:hAnsi="Cambria"/>
        </w:rPr>
        <w:t xml:space="preserve">. UE. L z </w:t>
      </w:r>
      <w:r>
        <w:rPr>
          <w:rFonts w:ascii="Cambria" w:hAnsi="Cambria"/>
        </w:rPr>
        <w:t xml:space="preserve">14 listopada </w:t>
      </w:r>
      <w:r w:rsidRPr="00554011">
        <w:rPr>
          <w:rFonts w:ascii="Cambria" w:hAnsi="Cambria"/>
        </w:rPr>
        <w:t>2012 r.</w:t>
      </w:r>
      <w:r>
        <w:rPr>
          <w:rFonts w:ascii="Cambria" w:hAnsi="Cambria"/>
        </w:rPr>
        <w:t>,</w:t>
      </w:r>
      <w:r w:rsidRPr="00554011">
        <w:rPr>
          <w:rFonts w:ascii="Cambria" w:hAnsi="Cambria"/>
        </w:rPr>
        <w:t xml:space="preserve"> Nr 315, s. 57</w:t>
      </w:r>
      <w:r>
        <w:rPr>
          <w:rFonts w:ascii="Cambria" w:hAnsi="Cambria"/>
        </w:rPr>
        <w:t>.</w:t>
      </w:r>
    </w:p>
  </w:footnote>
  <w:footnote w:id="4">
    <w:p w14:paraId="708C10E4" w14:textId="73379131" w:rsidR="003A6A29" w:rsidRPr="003A6A29" w:rsidRDefault="003A6A29" w:rsidP="003A6A29">
      <w:pPr>
        <w:pStyle w:val="Tekstprzypisudolnego"/>
        <w:jc w:val="both"/>
        <w:rPr>
          <w:rFonts w:ascii="Cambria" w:hAnsi="Cambria"/>
        </w:rPr>
      </w:pPr>
      <w:r w:rsidRPr="003A6A29">
        <w:rPr>
          <w:rStyle w:val="Odwoanieprzypisudolnego"/>
          <w:rFonts w:ascii="Cambria" w:hAnsi="Cambria"/>
        </w:rPr>
        <w:footnoteRef/>
      </w:r>
      <w:r w:rsidRPr="003A6A29">
        <w:rPr>
          <w:rFonts w:ascii="Cambria" w:hAnsi="Cambria"/>
        </w:rPr>
        <w:t xml:space="preserve"> K. Dudka (w:) K. Dudka (red.), </w:t>
      </w:r>
      <w:r w:rsidRPr="003A6A29">
        <w:rPr>
          <w:rFonts w:ascii="Cambria" w:hAnsi="Cambria"/>
          <w:i/>
          <w:iCs/>
        </w:rPr>
        <w:t>Kodeks postępowania karnego. Komentarz</w:t>
      </w:r>
      <w:r w:rsidRPr="003A6A29">
        <w:rPr>
          <w:rFonts w:ascii="Cambria" w:hAnsi="Cambria"/>
        </w:rPr>
        <w:t>, Warszawa 2023, s. 567.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A79E0"/>
    <w:multiLevelType w:val="hybridMultilevel"/>
    <w:tmpl w:val="8A16EA32"/>
    <w:lvl w:ilvl="0" w:tplc="17A2E15E">
      <w:start w:val="1"/>
      <w:numFmt w:val="decimal"/>
      <w:lvlText w:val="%1."/>
      <w:lvlJc w:val="left"/>
      <w:pPr>
        <w:ind w:left="360" w:hanging="360"/>
      </w:pPr>
      <w:rPr>
        <w:rFonts w:ascii="Calibri" w:eastAsiaTheme="minorHAnsi" w:hAnsi="Calibri" w:cs="Calibri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770887"/>
    <w:multiLevelType w:val="hybridMultilevel"/>
    <w:tmpl w:val="BFF6EC9A"/>
    <w:lvl w:ilvl="0" w:tplc="799E1F4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945789">
    <w:abstractNumId w:val="1"/>
  </w:num>
  <w:num w:numId="2" w16cid:durableId="1365061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92B"/>
    <w:rsid w:val="0001234B"/>
    <w:rsid w:val="00013328"/>
    <w:rsid w:val="00017365"/>
    <w:rsid w:val="0001763A"/>
    <w:rsid w:val="00017EA2"/>
    <w:rsid w:val="0002331E"/>
    <w:rsid w:val="00034E7E"/>
    <w:rsid w:val="00040DC3"/>
    <w:rsid w:val="000427F5"/>
    <w:rsid w:val="00042F05"/>
    <w:rsid w:val="00044E15"/>
    <w:rsid w:val="000506F1"/>
    <w:rsid w:val="00052933"/>
    <w:rsid w:val="0005299D"/>
    <w:rsid w:val="0006522F"/>
    <w:rsid w:val="00085911"/>
    <w:rsid w:val="00091724"/>
    <w:rsid w:val="000963E9"/>
    <w:rsid w:val="000C7AF8"/>
    <w:rsid w:val="000D2B39"/>
    <w:rsid w:val="000E1F96"/>
    <w:rsid w:val="000E3F8D"/>
    <w:rsid w:val="000E4706"/>
    <w:rsid w:val="000E5024"/>
    <w:rsid w:val="000F3EE9"/>
    <w:rsid w:val="000F7A26"/>
    <w:rsid w:val="00107FAA"/>
    <w:rsid w:val="0012034F"/>
    <w:rsid w:val="00125113"/>
    <w:rsid w:val="00145A7B"/>
    <w:rsid w:val="00162D39"/>
    <w:rsid w:val="00187785"/>
    <w:rsid w:val="00193314"/>
    <w:rsid w:val="001B0A40"/>
    <w:rsid w:val="001C628F"/>
    <w:rsid w:val="001D1F13"/>
    <w:rsid w:val="001D2CAE"/>
    <w:rsid w:val="001D4A99"/>
    <w:rsid w:val="001E6649"/>
    <w:rsid w:val="002031F6"/>
    <w:rsid w:val="002140BB"/>
    <w:rsid w:val="002164BB"/>
    <w:rsid w:val="00222560"/>
    <w:rsid w:val="00224C20"/>
    <w:rsid w:val="00232AB4"/>
    <w:rsid w:val="002341F2"/>
    <w:rsid w:val="0024543B"/>
    <w:rsid w:val="00246899"/>
    <w:rsid w:val="0026087F"/>
    <w:rsid w:val="0029392B"/>
    <w:rsid w:val="00294459"/>
    <w:rsid w:val="002979A5"/>
    <w:rsid w:val="002A7E9D"/>
    <w:rsid w:val="002B69B6"/>
    <w:rsid w:val="002B7C61"/>
    <w:rsid w:val="002C17C8"/>
    <w:rsid w:val="002D4BD7"/>
    <w:rsid w:val="002E0FC9"/>
    <w:rsid w:val="002E2AFE"/>
    <w:rsid w:val="002E305E"/>
    <w:rsid w:val="002E6B00"/>
    <w:rsid w:val="00302F5E"/>
    <w:rsid w:val="00314FA0"/>
    <w:rsid w:val="00333509"/>
    <w:rsid w:val="003375BB"/>
    <w:rsid w:val="00340129"/>
    <w:rsid w:val="00390BFB"/>
    <w:rsid w:val="0039502C"/>
    <w:rsid w:val="003A6A29"/>
    <w:rsid w:val="003B24B9"/>
    <w:rsid w:val="003C6ECC"/>
    <w:rsid w:val="003F2D76"/>
    <w:rsid w:val="003F3F57"/>
    <w:rsid w:val="003F7395"/>
    <w:rsid w:val="00415226"/>
    <w:rsid w:val="004311EE"/>
    <w:rsid w:val="004447B9"/>
    <w:rsid w:val="00452AF7"/>
    <w:rsid w:val="00455547"/>
    <w:rsid w:val="00461F13"/>
    <w:rsid w:val="004949BA"/>
    <w:rsid w:val="004B576A"/>
    <w:rsid w:val="004F28FC"/>
    <w:rsid w:val="004F38EC"/>
    <w:rsid w:val="004F4C23"/>
    <w:rsid w:val="004F630C"/>
    <w:rsid w:val="00501113"/>
    <w:rsid w:val="00507234"/>
    <w:rsid w:val="00531B52"/>
    <w:rsid w:val="0053724E"/>
    <w:rsid w:val="005477C7"/>
    <w:rsid w:val="00554011"/>
    <w:rsid w:val="00556D3E"/>
    <w:rsid w:val="00557BDE"/>
    <w:rsid w:val="005610E0"/>
    <w:rsid w:val="00562944"/>
    <w:rsid w:val="00565E78"/>
    <w:rsid w:val="00582B1D"/>
    <w:rsid w:val="005866EE"/>
    <w:rsid w:val="005874B6"/>
    <w:rsid w:val="005953C6"/>
    <w:rsid w:val="005A49F8"/>
    <w:rsid w:val="005B1062"/>
    <w:rsid w:val="005F06F1"/>
    <w:rsid w:val="005F2087"/>
    <w:rsid w:val="00603BBA"/>
    <w:rsid w:val="0060515F"/>
    <w:rsid w:val="0060659F"/>
    <w:rsid w:val="00613240"/>
    <w:rsid w:val="0062735D"/>
    <w:rsid w:val="00634548"/>
    <w:rsid w:val="006557AB"/>
    <w:rsid w:val="006729D5"/>
    <w:rsid w:val="00691D67"/>
    <w:rsid w:val="006A15C3"/>
    <w:rsid w:val="006B3D40"/>
    <w:rsid w:val="006C4D29"/>
    <w:rsid w:val="006E1D67"/>
    <w:rsid w:val="006E5136"/>
    <w:rsid w:val="006F1B50"/>
    <w:rsid w:val="00702F1A"/>
    <w:rsid w:val="007049E4"/>
    <w:rsid w:val="00705D2A"/>
    <w:rsid w:val="0071103C"/>
    <w:rsid w:val="0071348A"/>
    <w:rsid w:val="00722032"/>
    <w:rsid w:val="0072334F"/>
    <w:rsid w:val="00723AFB"/>
    <w:rsid w:val="00746C73"/>
    <w:rsid w:val="00770B2D"/>
    <w:rsid w:val="007766E3"/>
    <w:rsid w:val="0078454A"/>
    <w:rsid w:val="007A44C7"/>
    <w:rsid w:val="007A71C4"/>
    <w:rsid w:val="007B5AB9"/>
    <w:rsid w:val="007C7B26"/>
    <w:rsid w:val="007F2309"/>
    <w:rsid w:val="007F791E"/>
    <w:rsid w:val="00800787"/>
    <w:rsid w:val="00805993"/>
    <w:rsid w:val="008212DD"/>
    <w:rsid w:val="00822AC9"/>
    <w:rsid w:val="00833AD6"/>
    <w:rsid w:val="00845E04"/>
    <w:rsid w:val="00850A6C"/>
    <w:rsid w:val="00855126"/>
    <w:rsid w:val="00863A21"/>
    <w:rsid w:val="0089208E"/>
    <w:rsid w:val="008A6603"/>
    <w:rsid w:val="008D2638"/>
    <w:rsid w:val="008F1157"/>
    <w:rsid w:val="008F32B4"/>
    <w:rsid w:val="0090097F"/>
    <w:rsid w:val="009069C8"/>
    <w:rsid w:val="0091505B"/>
    <w:rsid w:val="00921271"/>
    <w:rsid w:val="009245A7"/>
    <w:rsid w:val="00931C94"/>
    <w:rsid w:val="00934E36"/>
    <w:rsid w:val="00955389"/>
    <w:rsid w:val="00971A6C"/>
    <w:rsid w:val="0098118B"/>
    <w:rsid w:val="00982780"/>
    <w:rsid w:val="0098512F"/>
    <w:rsid w:val="009B5C62"/>
    <w:rsid w:val="009C3DA1"/>
    <w:rsid w:val="009C6ADE"/>
    <w:rsid w:val="009E3BC5"/>
    <w:rsid w:val="009E44D5"/>
    <w:rsid w:val="009F27C6"/>
    <w:rsid w:val="00A0756C"/>
    <w:rsid w:val="00A10923"/>
    <w:rsid w:val="00A261B1"/>
    <w:rsid w:val="00A41DC8"/>
    <w:rsid w:val="00A46355"/>
    <w:rsid w:val="00A47BDA"/>
    <w:rsid w:val="00A56111"/>
    <w:rsid w:val="00A57853"/>
    <w:rsid w:val="00A65137"/>
    <w:rsid w:val="00A700D8"/>
    <w:rsid w:val="00AA677B"/>
    <w:rsid w:val="00AB0C0C"/>
    <w:rsid w:val="00AB1DA7"/>
    <w:rsid w:val="00AB34B1"/>
    <w:rsid w:val="00AC14C1"/>
    <w:rsid w:val="00AC6D43"/>
    <w:rsid w:val="00AD0AF7"/>
    <w:rsid w:val="00AE6512"/>
    <w:rsid w:val="00B00BF3"/>
    <w:rsid w:val="00B03F1C"/>
    <w:rsid w:val="00B107DD"/>
    <w:rsid w:val="00B20E85"/>
    <w:rsid w:val="00B34437"/>
    <w:rsid w:val="00B34B63"/>
    <w:rsid w:val="00B36C72"/>
    <w:rsid w:val="00B53598"/>
    <w:rsid w:val="00B5553D"/>
    <w:rsid w:val="00B609B8"/>
    <w:rsid w:val="00B70444"/>
    <w:rsid w:val="00B72A68"/>
    <w:rsid w:val="00B770E6"/>
    <w:rsid w:val="00B837B5"/>
    <w:rsid w:val="00B867C6"/>
    <w:rsid w:val="00BB3210"/>
    <w:rsid w:val="00BD4C23"/>
    <w:rsid w:val="00BD6DED"/>
    <w:rsid w:val="00BE7C5E"/>
    <w:rsid w:val="00C1311C"/>
    <w:rsid w:val="00C14179"/>
    <w:rsid w:val="00C159D5"/>
    <w:rsid w:val="00C27702"/>
    <w:rsid w:val="00C404BA"/>
    <w:rsid w:val="00C55BDD"/>
    <w:rsid w:val="00C65856"/>
    <w:rsid w:val="00C66CF3"/>
    <w:rsid w:val="00C66D2B"/>
    <w:rsid w:val="00C75F30"/>
    <w:rsid w:val="00CB0070"/>
    <w:rsid w:val="00CB347B"/>
    <w:rsid w:val="00CD2743"/>
    <w:rsid w:val="00D13312"/>
    <w:rsid w:val="00D166DF"/>
    <w:rsid w:val="00D2658D"/>
    <w:rsid w:val="00D37A48"/>
    <w:rsid w:val="00D37BFC"/>
    <w:rsid w:val="00D51F53"/>
    <w:rsid w:val="00D9308E"/>
    <w:rsid w:val="00D931E0"/>
    <w:rsid w:val="00D9339B"/>
    <w:rsid w:val="00D96F3D"/>
    <w:rsid w:val="00DA0AFA"/>
    <w:rsid w:val="00DA34DC"/>
    <w:rsid w:val="00DD4745"/>
    <w:rsid w:val="00DD4AF1"/>
    <w:rsid w:val="00DD4D4F"/>
    <w:rsid w:val="00DD5348"/>
    <w:rsid w:val="00DE2832"/>
    <w:rsid w:val="00DE6DC4"/>
    <w:rsid w:val="00DE7D2D"/>
    <w:rsid w:val="00DF230F"/>
    <w:rsid w:val="00E2570E"/>
    <w:rsid w:val="00E70C67"/>
    <w:rsid w:val="00E70E2A"/>
    <w:rsid w:val="00E80C89"/>
    <w:rsid w:val="00E929F8"/>
    <w:rsid w:val="00EA1C0F"/>
    <w:rsid w:val="00EB5362"/>
    <w:rsid w:val="00EC03FA"/>
    <w:rsid w:val="00EE654D"/>
    <w:rsid w:val="00EF6CC3"/>
    <w:rsid w:val="00F1374D"/>
    <w:rsid w:val="00F14BA9"/>
    <w:rsid w:val="00F62551"/>
    <w:rsid w:val="00F83493"/>
    <w:rsid w:val="00F94D0B"/>
    <w:rsid w:val="00FA1E96"/>
    <w:rsid w:val="00FB7F8C"/>
    <w:rsid w:val="00FC51A9"/>
    <w:rsid w:val="00FC7D31"/>
    <w:rsid w:val="00FD7DA7"/>
    <w:rsid w:val="00FE39B9"/>
    <w:rsid w:val="00FF04E3"/>
    <w:rsid w:val="00FF2F07"/>
    <w:rsid w:val="00FF45BB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DB8D7"/>
  <w15:chartTrackingRefBased/>
  <w15:docId w15:val="{27124B51-81DC-F14D-9ED2-CCC87324A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="Times New Roman"/>
        <w:color w:val="000000"/>
        <w:kern w:val="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4E15"/>
    <w:pPr>
      <w:spacing w:after="160" w:line="259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9392B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392B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392B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9392B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9392B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0"/>
      <w:szCs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9392B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9392B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9392B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9392B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39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939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9392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9392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9392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9392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9392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9392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9392B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939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9392B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9392B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9392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9392B"/>
    <w:pPr>
      <w:spacing w:before="160" w:line="240" w:lineRule="auto"/>
      <w:jc w:val="center"/>
    </w:pPr>
    <w:rPr>
      <w:rFonts w:ascii="Cambria" w:hAnsi="Cambria" w:cs="Times New Roman"/>
      <w:i/>
      <w:iCs/>
      <w:color w:val="404040" w:themeColor="text1" w:themeTint="BF"/>
      <w:sz w:val="20"/>
      <w:szCs w:val="20"/>
    </w:rPr>
  </w:style>
  <w:style w:type="character" w:customStyle="1" w:styleId="CytatZnak">
    <w:name w:val="Cytat Znak"/>
    <w:basedOn w:val="Domylnaczcionkaakapitu"/>
    <w:link w:val="Cytat"/>
    <w:uiPriority w:val="29"/>
    <w:rsid w:val="0029392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9392B"/>
    <w:pPr>
      <w:spacing w:after="0" w:line="240" w:lineRule="auto"/>
      <w:ind w:left="720"/>
      <w:contextualSpacing/>
    </w:pPr>
    <w:rPr>
      <w:rFonts w:ascii="Cambria" w:hAnsi="Cambria" w:cs="Times New Roman"/>
      <w:color w:val="000000"/>
      <w:sz w:val="20"/>
      <w:szCs w:val="20"/>
    </w:rPr>
  </w:style>
  <w:style w:type="character" w:styleId="Wyrnienieintensywne">
    <w:name w:val="Intense Emphasis"/>
    <w:basedOn w:val="Domylnaczcionkaakapitu"/>
    <w:uiPriority w:val="21"/>
    <w:qFormat/>
    <w:rsid w:val="0029392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39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="Cambria" w:hAnsi="Cambria" w:cs="Times New Roman"/>
      <w:i/>
      <w:iCs/>
      <w:color w:val="0F4761" w:themeColor="accent1" w:themeShade="BF"/>
      <w:sz w:val="20"/>
      <w:szCs w:val="2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9392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9392B"/>
    <w:rPr>
      <w:b/>
      <w:bCs/>
      <w:smallCaps/>
      <w:color w:val="0F4761" w:themeColor="accent1" w:themeShade="BF"/>
      <w:spacing w:val="5"/>
    </w:rPr>
  </w:style>
  <w:style w:type="character" w:customStyle="1" w:styleId="IGindeksgrny">
    <w:name w:val="_IG_ – indeks górny"/>
    <w:basedOn w:val="Domylnaczcionkaakapitu"/>
    <w:uiPriority w:val="2"/>
    <w:qFormat/>
    <w:rsid w:val="0029392B"/>
    <w:rPr>
      <w:b w:val="0"/>
      <w:i w:val="0"/>
      <w:vanish w:val="0"/>
      <w:spacing w:val="0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691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1D67"/>
    <w:rPr>
      <w:rFonts w:asciiTheme="minorHAnsi" w:hAnsiTheme="minorHAnsi" w:cstheme="minorBidi"/>
      <w:color w:val="auto"/>
      <w:sz w:val="22"/>
      <w:szCs w:val="22"/>
    </w:rPr>
  </w:style>
  <w:style w:type="character" w:styleId="Numerstrony">
    <w:name w:val="page number"/>
    <w:basedOn w:val="Domylnaczcionkaakapitu"/>
    <w:uiPriority w:val="99"/>
    <w:semiHidden/>
    <w:unhideWhenUsed/>
    <w:rsid w:val="00691D67"/>
  </w:style>
  <w:style w:type="character" w:styleId="Hipercze">
    <w:name w:val="Hyperlink"/>
    <w:basedOn w:val="Domylnaczcionkaakapitu"/>
    <w:uiPriority w:val="99"/>
    <w:unhideWhenUsed/>
    <w:rsid w:val="008212D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12DD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1D6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1D67"/>
    <w:rPr>
      <w:rFonts w:asciiTheme="minorHAnsi" w:hAnsiTheme="minorHAnsi" w:cstheme="minorBidi"/>
      <w:color w:val="auto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1D67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56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62944"/>
    <w:rPr>
      <w:rFonts w:asciiTheme="minorHAnsi" w:hAnsiTheme="minorHAnsi" w:cstheme="minorBidi"/>
      <w:color w:val="auto"/>
      <w:sz w:val="22"/>
      <w:szCs w:val="22"/>
    </w:rPr>
  </w:style>
  <w:style w:type="paragraph" w:styleId="Bezodstpw">
    <w:name w:val="No Spacing"/>
    <w:uiPriority w:val="1"/>
    <w:qFormat/>
    <w:rsid w:val="00224C20"/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189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672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4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6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60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2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86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9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8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02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1252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Steinborn</dc:creator>
  <cp:keywords/>
  <dc:description/>
  <cp:lastModifiedBy>Wiraszka-Bereza Beata  (DPK)</cp:lastModifiedBy>
  <cp:revision>2</cp:revision>
  <cp:lastPrinted>2026-02-08T22:08:00Z</cp:lastPrinted>
  <dcterms:created xsi:type="dcterms:W3CDTF">2026-02-10T14:40:00Z</dcterms:created>
  <dcterms:modified xsi:type="dcterms:W3CDTF">2026-02-10T14:40:00Z</dcterms:modified>
</cp:coreProperties>
</file>