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8A073E" w:rsidRPr="00624F5E">
        <w:rPr>
          <w:rFonts w:ascii="Times New Roman" w:hAnsi="Times New Roman" w:cs="Times New Roman"/>
          <w:b/>
          <w:sz w:val="24"/>
          <w:szCs w:val="24"/>
        </w:rPr>
        <w:t>4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624F5E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4F5E">
        <w:rPr>
          <w:rFonts w:ascii="Times New Roman" w:hAnsi="Times New Roman" w:cs="Times New Roman"/>
          <w:b/>
          <w:sz w:val="24"/>
          <w:szCs w:val="24"/>
        </w:rPr>
        <w:t>Zakup urządzeń do prowadzenia gospodarki wędrownej</w:t>
      </w:r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ramach mechanizmu WPR „Wsparcie rynku produktów pszczelich” na lata 2020-2022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Bialogrodzka Magdalena</cp:lastModifiedBy>
  <cp:revision>2</cp:revision>
  <cp:lastPrinted>2021-02-03T06:50:00Z</cp:lastPrinted>
  <dcterms:created xsi:type="dcterms:W3CDTF">2021-02-03T10:53:00Z</dcterms:created>
  <dcterms:modified xsi:type="dcterms:W3CDTF">2021-02-03T10:53:00Z</dcterms:modified>
</cp:coreProperties>
</file>