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30C" w:rsidRDefault="009368B5" w:rsidP="006F030A">
      <w:pPr>
        <w:tabs>
          <w:tab w:val="left" w:pos="6645"/>
        </w:tabs>
        <w:ind w:firstLine="6118"/>
        <w:jc w:val="right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8255</wp:posOffset>
                </wp:positionV>
                <wp:extent cx="1737360" cy="716915"/>
                <wp:effectExtent l="0" t="0" r="15240" b="698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330C" w:rsidRDefault="009368B5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525145" cy="546100"/>
                                  <wp:effectExtent l="0" t="0" r="8255" b="6350"/>
                                  <wp:docPr id="299196921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5145" cy="546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B330C" w:rsidRDefault="009368B5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  <w:p w:rsidR="003B330C" w:rsidRDefault="009368B5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B330C" w:rsidRDefault="009368B5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B330C" w:rsidRDefault="009368B5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B330C" w:rsidRDefault="009368B5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B330C" w:rsidRDefault="009368B5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B330C" w:rsidRDefault="009368B5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B330C" w:rsidRDefault="009368B5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left:0;text-align:left;margin-left:0;margin-top:.65pt;width:136.8pt;height:56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" filled="f" fillcolor="#bbe0e3" stroked="f">
                <v:textbox inset="0,0,0,0">
                  <w:txbxContent>
                    <w:p w:rsidR="003B330C" w:rsidRDefault="009368B5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525145" cy="546100"/>
                            <wp:effectExtent l="0" t="0" r="8255" b="6350"/>
                            <wp:docPr id="299196921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5145" cy="546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B330C" w:rsidRDefault="009368B5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Arial"/>
                          <w:b/>
                          <w:color w:val="000000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000000"/>
                        </w:rPr>
                        <w:t>WOJEWODA MAZOWIECKI</w:t>
                      </w:r>
                    </w:p>
                    <w:p w:rsidR="003B330C" w:rsidRDefault="009368B5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B330C" w:rsidRDefault="009368B5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B330C" w:rsidRDefault="009368B5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B330C" w:rsidRDefault="009368B5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B330C" w:rsidRDefault="009368B5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B330C" w:rsidRDefault="009368B5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B330C" w:rsidRDefault="009368B5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asciiTheme="minorHAnsi" w:hAnsiTheme="minorHAnsi" w:cstheme="minorHAnsi"/>
        </w:rPr>
        <w:t xml:space="preserve">Warszawa, </w:t>
      </w:r>
      <w:bookmarkStart w:id="0" w:name="ezdDataPodpisu"/>
      <w:r>
        <w:rPr>
          <w:rFonts w:asciiTheme="minorHAnsi" w:hAnsiTheme="minorHAnsi" w:cstheme="minorHAnsi"/>
        </w:rPr>
        <w:t>30 listopada 2020 r.</w:t>
      </w:r>
      <w:bookmarkEnd w:id="0"/>
    </w:p>
    <w:p w:rsidR="003B330C" w:rsidRDefault="009368B5" w:rsidP="003B330C"/>
    <w:p w:rsidR="003B330C" w:rsidRDefault="009368B5" w:rsidP="003B330C"/>
    <w:p w:rsidR="003B330C" w:rsidRDefault="009368B5" w:rsidP="003B330C">
      <w:pPr>
        <w:tabs>
          <w:tab w:val="left" w:pos="2340"/>
          <w:tab w:val="left" w:pos="4500"/>
        </w:tabs>
        <w:ind w:right="5137"/>
        <w:jc w:val="center"/>
      </w:pPr>
    </w:p>
    <w:p w:rsidR="003B330C" w:rsidRDefault="009368B5" w:rsidP="003B330C">
      <w:pPr>
        <w:tabs>
          <w:tab w:val="left" w:pos="3735"/>
          <w:tab w:val="left" w:pos="4095"/>
        </w:tabs>
      </w:pPr>
    </w:p>
    <w:p w:rsidR="003B330C" w:rsidRDefault="009368B5" w:rsidP="003B330C">
      <w:pPr>
        <w:tabs>
          <w:tab w:val="left" w:pos="4095"/>
        </w:tabs>
        <w:rPr>
          <w:rFonts w:ascii="Calibri" w:hAnsi="Calibri"/>
        </w:rPr>
      </w:pPr>
      <w:bookmarkStart w:id="1" w:name="_GoBack"/>
      <w:r>
        <w:rPr>
          <w:rFonts w:ascii="Calibri" w:hAnsi="Calibri"/>
        </w:rPr>
        <w:t xml:space="preserve"> </w:t>
      </w:r>
      <w:r>
        <w:rPr>
          <w:rFonts w:ascii="Calibri" w:hAnsi="Calibri"/>
        </w:rPr>
        <w:t>WNP-I.4131.208</w:t>
      </w:r>
      <w:r>
        <w:rPr>
          <w:rFonts w:ascii="Calibri" w:hAnsi="Calibri"/>
        </w:rPr>
        <w:t>.2020</w:t>
      </w:r>
      <w:r>
        <w:rPr>
          <w:rFonts w:ascii="Calibri" w:hAnsi="Calibri"/>
        </w:rPr>
        <w:t>.MW</w:t>
      </w:r>
    </w:p>
    <w:bookmarkEnd w:id="1"/>
    <w:p w:rsidR="00DA0D2D" w:rsidRDefault="009368B5" w:rsidP="00DA0D2D">
      <w:pPr>
        <w:tabs>
          <w:tab w:val="left" w:pos="426"/>
          <w:tab w:val="left" w:pos="1276"/>
        </w:tabs>
        <w:ind w:firstLine="4962"/>
        <w:rPr>
          <w:rFonts w:ascii="Calibri" w:hAnsi="Calibri" w:cs="Calibri"/>
          <w:b/>
          <w:sz w:val="28"/>
        </w:rPr>
      </w:pPr>
    </w:p>
    <w:p w:rsidR="00DA0D2D" w:rsidRPr="00E16E11" w:rsidRDefault="009368B5" w:rsidP="00DA0D2D">
      <w:pPr>
        <w:tabs>
          <w:tab w:val="left" w:pos="426"/>
          <w:tab w:val="left" w:pos="1276"/>
        </w:tabs>
        <w:ind w:firstLine="4962"/>
        <w:rPr>
          <w:rFonts w:ascii="Calibri" w:hAnsi="Calibri" w:cs="Calibri"/>
          <w:b/>
        </w:rPr>
      </w:pPr>
      <w:r w:rsidRPr="00E16E11">
        <w:rPr>
          <w:rFonts w:ascii="Calibri" w:hAnsi="Calibri" w:cs="Calibri"/>
          <w:b/>
        </w:rPr>
        <w:t>Rada Gminy Pokrzywnica</w:t>
      </w:r>
    </w:p>
    <w:p w:rsidR="00DA0D2D" w:rsidRPr="00E16E11" w:rsidRDefault="009368B5" w:rsidP="00DA0D2D">
      <w:pPr>
        <w:tabs>
          <w:tab w:val="left" w:pos="426"/>
          <w:tab w:val="left" w:pos="1276"/>
        </w:tabs>
        <w:ind w:firstLine="4962"/>
        <w:rPr>
          <w:rFonts w:ascii="Calibri" w:hAnsi="Calibri" w:cs="Calibri"/>
          <w:b/>
        </w:rPr>
      </w:pPr>
      <w:r w:rsidRPr="00E16E11">
        <w:rPr>
          <w:rFonts w:ascii="Calibri" w:hAnsi="Calibri" w:cs="Calibri"/>
          <w:b/>
        </w:rPr>
        <w:t>Aleja Jana Pawła II nr 1</w:t>
      </w:r>
    </w:p>
    <w:p w:rsidR="00DA0D2D" w:rsidRPr="00E16E11" w:rsidRDefault="009368B5" w:rsidP="00DA0D2D">
      <w:pPr>
        <w:ind w:firstLine="4962"/>
        <w:rPr>
          <w:szCs w:val="28"/>
        </w:rPr>
      </w:pPr>
      <w:r w:rsidRPr="00E16E11">
        <w:rPr>
          <w:rFonts w:ascii="Calibri" w:hAnsi="Calibri" w:cs="Calibri"/>
          <w:b/>
        </w:rPr>
        <w:t>06-121 Pokrzywnica</w:t>
      </w:r>
    </w:p>
    <w:p w:rsidR="00DA0D2D" w:rsidRPr="002E050E" w:rsidRDefault="009368B5" w:rsidP="00DA0D2D">
      <w:pPr>
        <w:ind w:firstLine="4962"/>
        <w:jc w:val="both"/>
        <w:rPr>
          <w:rFonts w:cstheme="minorHAnsi"/>
          <w:sz w:val="28"/>
          <w:szCs w:val="28"/>
        </w:rPr>
      </w:pPr>
    </w:p>
    <w:p w:rsidR="00DA0D2D" w:rsidRDefault="009368B5" w:rsidP="00DA0D2D">
      <w:pPr>
        <w:autoSpaceDE w:val="0"/>
        <w:autoSpaceDN w:val="0"/>
        <w:adjustRightInd w:val="0"/>
        <w:ind w:firstLine="4962"/>
        <w:rPr>
          <w:rFonts w:ascii="Calibri" w:hAnsi="Calibri" w:cs="Arial"/>
        </w:rPr>
      </w:pPr>
    </w:p>
    <w:p w:rsidR="00E8304C" w:rsidRPr="005560EE" w:rsidRDefault="009368B5" w:rsidP="00E8304C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560EE">
        <w:rPr>
          <w:rFonts w:asciiTheme="minorHAnsi" w:hAnsiTheme="minorHAnsi" w:cstheme="minorHAnsi"/>
          <w:b/>
        </w:rPr>
        <w:t>Rozstrzygnięcie nadzorcze</w:t>
      </w:r>
    </w:p>
    <w:p w:rsidR="00E8304C" w:rsidRPr="005560EE" w:rsidRDefault="009368B5" w:rsidP="00E8304C">
      <w:pPr>
        <w:spacing w:after="200" w:line="360" w:lineRule="auto"/>
        <w:jc w:val="both"/>
        <w:rPr>
          <w:rFonts w:asciiTheme="minorHAnsi" w:hAnsiTheme="minorHAnsi" w:cstheme="minorHAnsi"/>
        </w:rPr>
      </w:pPr>
      <w:r w:rsidRPr="005560EE">
        <w:rPr>
          <w:rFonts w:asciiTheme="minorHAnsi" w:hAnsiTheme="minorHAnsi" w:cstheme="minorHAnsi"/>
        </w:rPr>
        <w:t xml:space="preserve">Działając na podstawie art. 91 ust. 1, w związku z art. 86 ustawy z dnia 8 marca 1990 r. </w:t>
      </w:r>
      <w:r w:rsidRPr="005560EE">
        <w:rPr>
          <w:rFonts w:asciiTheme="minorHAnsi" w:hAnsiTheme="minorHAnsi" w:cstheme="minorHAnsi"/>
        </w:rPr>
        <w:br/>
        <w:t>o samorządzie gminnym (Dz. U. z 2020 r. poz. 713</w:t>
      </w:r>
      <w:r>
        <w:rPr>
          <w:rFonts w:asciiTheme="minorHAnsi" w:hAnsiTheme="minorHAnsi" w:cstheme="minorHAnsi"/>
        </w:rPr>
        <w:t>, z późn. zm.</w:t>
      </w:r>
      <w:r w:rsidRPr="005560EE">
        <w:rPr>
          <w:rFonts w:asciiTheme="minorHAnsi" w:hAnsiTheme="minorHAnsi" w:cstheme="minorHAnsi"/>
        </w:rPr>
        <w:t>)</w:t>
      </w:r>
    </w:p>
    <w:p w:rsidR="00E8304C" w:rsidRPr="005560EE" w:rsidRDefault="009368B5" w:rsidP="00E8304C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560EE">
        <w:rPr>
          <w:rFonts w:asciiTheme="minorHAnsi" w:hAnsiTheme="minorHAnsi" w:cstheme="minorHAnsi"/>
          <w:b/>
        </w:rPr>
        <w:t>stwierdzam nieważność</w:t>
      </w:r>
    </w:p>
    <w:p w:rsidR="00670CA3" w:rsidRDefault="009368B5" w:rsidP="00670CA3">
      <w:pPr>
        <w:spacing w:line="360" w:lineRule="auto"/>
        <w:jc w:val="both"/>
        <w:rPr>
          <w:rFonts w:asciiTheme="minorHAnsi" w:hAnsiTheme="minorHAnsi" w:cstheme="minorHAnsi"/>
        </w:rPr>
      </w:pPr>
      <w:r w:rsidRPr="008D4167">
        <w:rPr>
          <w:rFonts w:asciiTheme="minorHAnsi" w:hAnsiTheme="minorHAnsi" w:cstheme="minorHAnsi"/>
        </w:rPr>
        <w:t>uchwał</w:t>
      </w:r>
      <w:r>
        <w:rPr>
          <w:rFonts w:asciiTheme="minorHAnsi" w:hAnsiTheme="minorHAnsi" w:cstheme="minorHAnsi"/>
        </w:rPr>
        <w:t>y R</w:t>
      </w:r>
      <w:r>
        <w:rPr>
          <w:rFonts w:asciiTheme="minorHAnsi" w:hAnsiTheme="minorHAnsi" w:cstheme="minorHAnsi"/>
        </w:rPr>
        <w:t>ady Gminy Pokrzywnica Nr XIX/135</w:t>
      </w:r>
      <w:r>
        <w:rPr>
          <w:rFonts w:asciiTheme="minorHAnsi" w:hAnsiTheme="minorHAnsi" w:cstheme="minorHAnsi"/>
        </w:rPr>
        <w:t xml:space="preserve">/2020 z dnia 12 listopada 2020 r. </w:t>
      </w:r>
      <w:r>
        <w:rPr>
          <w:rFonts w:asciiTheme="minorHAnsi" w:hAnsiTheme="minorHAnsi" w:cstheme="minorHAnsi"/>
          <w:i/>
        </w:rPr>
        <w:t>w </w:t>
      </w:r>
      <w:r w:rsidRPr="006F77EE">
        <w:rPr>
          <w:rFonts w:asciiTheme="minorHAnsi" w:hAnsiTheme="minorHAnsi" w:cstheme="minorHAnsi"/>
          <w:i/>
        </w:rPr>
        <w:t>spra</w:t>
      </w:r>
      <w:r w:rsidRPr="006F77EE">
        <w:rPr>
          <w:rFonts w:asciiTheme="minorHAnsi" w:hAnsiTheme="minorHAnsi" w:cstheme="minorHAnsi"/>
          <w:i/>
        </w:rPr>
        <w:t>wie</w:t>
      </w:r>
      <w:r>
        <w:rPr>
          <w:rFonts w:asciiTheme="minorHAnsi" w:hAnsiTheme="minorHAnsi" w:cstheme="minorHAnsi"/>
          <w:i/>
        </w:rPr>
        <w:t xml:space="preserve"> ustalenia zasad i wysokości przysługujących diet oraz zwrotu kosztów podróży służbowych dla sołtysów Gminy Pokrzywnica</w:t>
      </w:r>
      <w:r>
        <w:rPr>
          <w:rFonts w:asciiTheme="minorHAnsi" w:hAnsiTheme="minorHAnsi" w:cstheme="minorHAnsi"/>
          <w:i/>
        </w:rPr>
        <w:t xml:space="preserve">, </w:t>
      </w:r>
      <w:r w:rsidRPr="00836618">
        <w:rPr>
          <w:rFonts w:asciiTheme="minorHAnsi" w:hAnsiTheme="minorHAnsi" w:cstheme="minorHAnsi"/>
          <w:b/>
        </w:rPr>
        <w:t>w części</w:t>
      </w:r>
      <w:r w:rsidRPr="00836618">
        <w:rPr>
          <w:rFonts w:asciiTheme="minorHAnsi" w:hAnsiTheme="minorHAnsi" w:cstheme="minorHAnsi"/>
        </w:rPr>
        <w:t>, w zakresie ustaleń: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</w:rPr>
        <w:t>§ 1, w odniesieniu do słowa „</w:t>
      </w:r>
      <w:r w:rsidRPr="004E62B4">
        <w:rPr>
          <w:rFonts w:asciiTheme="minorHAnsi" w:hAnsiTheme="minorHAnsi" w:cstheme="minorHAnsi"/>
          <w:i/>
        </w:rPr>
        <w:t>zryczałtowaną</w:t>
      </w:r>
      <w:r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 xml:space="preserve"> oraz </w:t>
      </w:r>
      <w:r>
        <w:rPr>
          <w:rFonts w:asciiTheme="minorHAnsi" w:hAnsiTheme="minorHAnsi" w:cstheme="minorHAnsi"/>
        </w:rPr>
        <w:t>§ 3 ust. </w:t>
      </w:r>
      <w:r>
        <w:rPr>
          <w:rFonts w:asciiTheme="minorHAnsi" w:hAnsiTheme="minorHAnsi" w:cstheme="minorHAnsi"/>
        </w:rPr>
        <w:t xml:space="preserve">1 </w:t>
      </w:r>
      <w:r>
        <w:rPr>
          <w:rFonts w:asciiTheme="minorHAnsi" w:hAnsiTheme="minorHAnsi" w:cstheme="minorHAnsi"/>
        </w:rPr>
        <w:t xml:space="preserve">pkt 1 </w:t>
      </w:r>
      <w:r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3</w:t>
      </w:r>
      <w:r>
        <w:rPr>
          <w:rFonts w:asciiTheme="minorHAnsi" w:hAnsiTheme="minorHAnsi" w:cstheme="minorHAnsi"/>
        </w:rPr>
        <w:t>.</w:t>
      </w:r>
    </w:p>
    <w:p w:rsidR="00670CA3" w:rsidRPr="00670CA3" w:rsidRDefault="009368B5" w:rsidP="00E8304C">
      <w:pPr>
        <w:spacing w:line="360" w:lineRule="auto"/>
        <w:jc w:val="both"/>
        <w:rPr>
          <w:rFonts w:asciiTheme="minorHAnsi" w:hAnsiTheme="minorHAnsi" w:cstheme="minorHAnsi"/>
        </w:rPr>
      </w:pPr>
    </w:p>
    <w:p w:rsidR="00E8304C" w:rsidRPr="00D7631A" w:rsidRDefault="009368B5" w:rsidP="00E8304C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D7631A">
        <w:rPr>
          <w:rFonts w:asciiTheme="minorHAnsi" w:hAnsiTheme="minorHAnsi" w:cstheme="minorHAnsi"/>
          <w:b/>
        </w:rPr>
        <w:t>Uzasadnienie</w:t>
      </w:r>
    </w:p>
    <w:p w:rsidR="00ED117C" w:rsidRDefault="009368B5" w:rsidP="00E16E11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dniu 12 listopada 2020 r. Rada Gminy Pokrzywnica podjęła uchwałę Nr XIX/135/2020 </w:t>
      </w:r>
      <w:r>
        <w:rPr>
          <w:rFonts w:asciiTheme="minorHAnsi" w:hAnsiTheme="minorHAnsi" w:cstheme="minorHAnsi"/>
          <w:i/>
        </w:rPr>
        <w:t>w </w:t>
      </w:r>
      <w:r w:rsidRPr="006F77EE">
        <w:rPr>
          <w:rFonts w:asciiTheme="minorHAnsi" w:hAnsiTheme="minorHAnsi" w:cstheme="minorHAnsi"/>
          <w:i/>
        </w:rPr>
        <w:t>sprawie</w:t>
      </w:r>
      <w:r>
        <w:rPr>
          <w:rFonts w:asciiTheme="minorHAnsi" w:hAnsiTheme="minorHAnsi" w:cstheme="minorHAnsi"/>
          <w:i/>
        </w:rPr>
        <w:t xml:space="preserve"> ustalenia zasad i wysokości przysługujących diet oraz zwrotu kosztów podróży służbowych dla sołtysów Gminy Pokrzywnica.</w:t>
      </w:r>
    </w:p>
    <w:p w:rsidR="00FD17B6" w:rsidRPr="005D3311" w:rsidRDefault="009368B5" w:rsidP="00E16E11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670CA3">
        <w:rPr>
          <w:rFonts w:asciiTheme="minorHAnsi" w:hAnsiTheme="minorHAnsi" w:cstheme="minorHAnsi"/>
        </w:rPr>
        <w:t xml:space="preserve">Jako podstawę prawną uchwały </w:t>
      </w:r>
      <w:r>
        <w:rPr>
          <w:rFonts w:asciiTheme="minorHAnsi" w:hAnsiTheme="minorHAnsi" w:cstheme="minorHAnsi"/>
        </w:rPr>
        <w:t>Rada Gminy wsk</w:t>
      </w:r>
      <w:r>
        <w:rPr>
          <w:rFonts w:asciiTheme="minorHAnsi" w:hAnsiTheme="minorHAnsi" w:cstheme="minorHAnsi"/>
        </w:rPr>
        <w:t xml:space="preserve">azała </w:t>
      </w:r>
      <w:r>
        <w:rPr>
          <w:rFonts w:asciiTheme="minorHAnsi" w:hAnsiTheme="minorHAnsi" w:cstheme="minorHAnsi"/>
        </w:rPr>
        <w:t xml:space="preserve">art. </w:t>
      </w:r>
      <w:r>
        <w:rPr>
          <w:rFonts w:asciiTheme="minorHAnsi" w:hAnsiTheme="minorHAnsi" w:cstheme="minorHAnsi"/>
        </w:rPr>
        <w:t>37b ust. 1</w:t>
      </w:r>
      <w:r>
        <w:rPr>
          <w:rFonts w:asciiTheme="minorHAnsi" w:hAnsiTheme="minorHAnsi" w:cstheme="minorHAnsi"/>
        </w:rPr>
        <w:t xml:space="preserve"> ustawy o </w:t>
      </w:r>
      <w:r>
        <w:rPr>
          <w:rFonts w:asciiTheme="minorHAnsi" w:hAnsiTheme="minorHAnsi" w:cstheme="minorHAnsi"/>
        </w:rPr>
        <w:t>samorządzie gminnym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zwanej dalej: „u.s.g</w:t>
      </w:r>
      <w:r>
        <w:rPr>
          <w:rFonts w:asciiTheme="minorHAnsi" w:hAnsiTheme="minorHAnsi" w:cstheme="minorHAnsi"/>
        </w:rPr>
        <w:t xml:space="preserve">.”, </w:t>
      </w:r>
      <w:r>
        <w:rPr>
          <w:rFonts w:asciiTheme="minorHAnsi" w:hAnsiTheme="minorHAnsi" w:cstheme="minorHAnsi"/>
        </w:rPr>
        <w:t>zgodnie z </w:t>
      </w:r>
      <w:r>
        <w:rPr>
          <w:rFonts w:asciiTheme="minorHAnsi" w:hAnsiTheme="minorHAnsi" w:cstheme="minorHAnsi"/>
        </w:rPr>
        <w:t>którym</w:t>
      </w:r>
      <w:r>
        <w:rPr>
          <w:rFonts w:asciiTheme="minorHAnsi" w:hAnsiTheme="minorHAnsi" w:cstheme="minorHAnsi"/>
        </w:rPr>
        <w:t xml:space="preserve"> r</w:t>
      </w:r>
      <w:r w:rsidRPr="005D3311">
        <w:rPr>
          <w:rFonts w:asciiTheme="minorHAnsi" w:hAnsiTheme="minorHAnsi" w:cstheme="minorHAnsi"/>
        </w:rPr>
        <w:t>ada gminy może ustanowić zasady, na jakich przewodniczącemu organu wykonawczego jednostki pomocniczej będzie przysługiwała dieta oraz zwrot kosztów podróży służbo</w:t>
      </w:r>
      <w:r w:rsidRPr="005D3311">
        <w:rPr>
          <w:rFonts w:asciiTheme="minorHAnsi" w:hAnsiTheme="minorHAnsi" w:cstheme="minorHAnsi"/>
        </w:rPr>
        <w:t>wej</w:t>
      </w:r>
      <w:r>
        <w:rPr>
          <w:rFonts w:asciiTheme="minorHAnsi" w:hAnsiTheme="minorHAnsi" w:cstheme="minorHAnsi"/>
        </w:rPr>
        <w:t>.</w:t>
      </w:r>
    </w:p>
    <w:p w:rsidR="00FD17B6" w:rsidRDefault="009368B5" w:rsidP="005D3311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Ponadto na podstawie art. 37b ust. 2 u.s.g. r</w:t>
      </w:r>
      <w:r w:rsidRPr="005D3311">
        <w:rPr>
          <w:rFonts w:asciiTheme="minorHAnsi" w:hAnsiTheme="minorHAnsi" w:cstheme="minorHAnsi"/>
        </w:rPr>
        <w:t xml:space="preserve">ada gminy może ustanowić zasady, na jakich członkom organu wykonawczego jednostki pomocniczej oraz członkom rady dzielnicy (osiedla), rady sołeckiej, będzie przysługiwała dieta lub zwrot kosztów podróży </w:t>
      </w:r>
      <w:r w:rsidRPr="005D3311">
        <w:rPr>
          <w:rFonts w:asciiTheme="minorHAnsi" w:hAnsiTheme="minorHAnsi" w:cstheme="minorHAnsi"/>
        </w:rPr>
        <w:t>służbowej.</w:t>
      </w:r>
    </w:p>
    <w:p w:rsidR="00494992" w:rsidRPr="00494992" w:rsidRDefault="009368B5" w:rsidP="00494992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Innymi słowy, powołany art. 37b u.s.g. </w:t>
      </w:r>
      <w:r w:rsidRPr="00494992">
        <w:rPr>
          <w:rFonts w:asciiTheme="minorHAnsi" w:hAnsiTheme="minorHAnsi" w:cstheme="minorHAnsi"/>
        </w:rPr>
        <w:t>daje radzie gminy możliwość ustanowienia zasad rekompensaty wydatków wskazanym osobom, w postaci diety i zwrotu kosztów podróży służbowej.</w:t>
      </w:r>
    </w:p>
    <w:p w:rsidR="005D3311" w:rsidRDefault="009368B5" w:rsidP="005D3311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 xml:space="preserve">§ 1 uchwały Rada ustaliła miesięczną zryczałtowaną dietę dla sołtysów za realizację zadań sołtysa, wynikających ze statutu sołectw, stanowiącą rekompensatę czasu poświęconego na udział </w:t>
      </w:r>
      <w:r>
        <w:rPr>
          <w:rFonts w:asciiTheme="minorHAnsi" w:hAnsiTheme="minorHAnsi" w:cstheme="minorHAnsi"/>
        </w:rPr>
        <w:lastRenderedPageBreak/>
        <w:t>w sesjach Rady Gminy, naradach z Wójtem Gminy, zebraniach sołeckich ora</w:t>
      </w:r>
      <w:r>
        <w:rPr>
          <w:rFonts w:asciiTheme="minorHAnsi" w:hAnsiTheme="minorHAnsi" w:cstheme="minorHAnsi"/>
        </w:rPr>
        <w:t xml:space="preserve">z rekompensatę za inne czynności związane z wykonywaniem funkcji sołtysa, w wysokości 100 zł. </w:t>
      </w:r>
    </w:p>
    <w:p w:rsidR="002A0685" w:rsidRDefault="009368B5" w:rsidP="00B106E1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ocenie organu nadzoru Rada Gminy u</w:t>
      </w:r>
      <w:r w:rsidRPr="00B106E1">
        <w:rPr>
          <w:rFonts w:asciiTheme="minorHAnsi" w:hAnsiTheme="minorHAnsi" w:cstheme="minorHAnsi"/>
        </w:rPr>
        <w:t xml:space="preserve">stanawiając zryczałtowaną dietę dla sołtysów </w:t>
      </w:r>
      <w:r>
        <w:rPr>
          <w:rFonts w:asciiTheme="minorHAnsi" w:hAnsiTheme="minorHAnsi" w:cstheme="minorHAnsi"/>
        </w:rPr>
        <w:br/>
      </w:r>
      <w:r w:rsidRPr="00B106E1">
        <w:rPr>
          <w:rFonts w:asciiTheme="minorHAnsi" w:hAnsiTheme="minorHAnsi" w:cstheme="minorHAnsi"/>
        </w:rPr>
        <w:t xml:space="preserve">w sposób rażący naruszyła zakres </w:t>
      </w:r>
      <w:hyperlink r:id="rId9" w:anchor="/document/16793509?unitId=art(37(b))ust(1)&amp;cm=DOCUMENT" w:tgtFrame="_blank" w:history="1">
        <w:r w:rsidRPr="00B106E1">
          <w:rPr>
            <w:rStyle w:val="Hipercze"/>
            <w:rFonts w:asciiTheme="minorHAnsi" w:hAnsiTheme="minorHAnsi" w:cstheme="minorHAnsi"/>
            <w:color w:val="auto"/>
            <w:u w:val="none"/>
          </w:rPr>
          <w:t>art. 37b ust. 1</w:t>
        </w:r>
      </w:hyperlink>
      <w:r w:rsidRPr="00B106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u.s.g.</w:t>
      </w:r>
      <w:r w:rsidRPr="00B106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Organ nadzoru zaznacza, że </w:t>
      </w:r>
      <w:r w:rsidRPr="00B106E1">
        <w:rPr>
          <w:rFonts w:asciiTheme="minorHAnsi" w:hAnsiTheme="minorHAnsi" w:cstheme="minorHAnsi"/>
        </w:rPr>
        <w:t xml:space="preserve">dieta </w:t>
      </w:r>
      <w:r>
        <w:rPr>
          <w:rFonts w:asciiTheme="minorHAnsi" w:hAnsiTheme="minorHAnsi" w:cstheme="minorHAnsi"/>
        </w:rPr>
        <w:t>u</w:t>
      </w:r>
      <w:r w:rsidRPr="00B106E1">
        <w:rPr>
          <w:rFonts w:asciiTheme="minorHAnsi" w:hAnsiTheme="minorHAnsi" w:cstheme="minorHAnsi"/>
        </w:rPr>
        <w:t>stalona w</w:t>
      </w:r>
      <w:r>
        <w:rPr>
          <w:rFonts w:asciiTheme="minorHAnsi" w:hAnsiTheme="minorHAnsi" w:cstheme="minorHAnsi"/>
        </w:rPr>
        <w:t> </w:t>
      </w:r>
      <w:r w:rsidRPr="00B106E1">
        <w:rPr>
          <w:rFonts w:asciiTheme="minorHAnsi" w:hAnsiTheme="minorHAnsi" w:cstheme="minorHAnsi"/>
        </w:rPr>
        <w:t>stałej kwocie w formie ryczałtu miesięcznego traci charakter rekompensacyjny, a przyjmuje charakter stałego, miesięcznego wynag</w:t>
      </w:r>
      <w:r w:rsidRPr="00B106E1">
        <w:rPr>
          <w:rFonts w:asciiTheme="minorHAnsi" w:hAnsiTheme="minorHAnsi" w:cstheme="minorHAnsi"/>
        </w:rPr>
        <w:t xml:space="preserve">rodzenia, niezależnego od kosztów </w:t>
      </w:r>
      <w:r>
        <w:rPr>
          <w:rFonts w:asciiTheme="minorHAnsi" w:hAnsiTheme="minorHAnsi" w:cstheme="minorHAnsi"/>
        </w:rPr>
        <w:t xml:space="preserve">związanych z pełnieniem funkcji (wyrok </w:t>
      </w:r>
      <w:r>
        <w:rPr>
          <w:rFonts w:asciiTheme="minorHAnsi" w:hAnsiTheme="minorHAnsi"/>
        </w:rPr>
        <w:t xml:space="preserve">NSA z 26 czerwca 2014 r. sygn. akt II OSK 406/14). </w:t>
      </w:r>
    </w:p>
    <w:p w:rsidR="002A3A7F" w:rsidRDefault="009368B5" w:rsidP="002A3A7F">
      <w:pPr>
        <w:spacing w:line="360" w:lineRule="auto"/>
        <w:ind w:firstLine="709"/>
        <w:jc w:val="both"/>
        <w:rPr>
          <w:rFonts w:asciiTheme="minorHAnsi" w:hAnsiTheme="minorHAnsi"/>
        </w:rPr>
      </w:pPr>
      <w:r>
        <w:rPr>
          <w:rStyle w:val="info-list-value-uzasadnienie"/>
          <w:rFonts w:asciiTheme="minorHAnsi" w:hAnsiTheme="minorHAnsi"/>
        </w:rPr>
        <w:t>Nadto, pod pojęciem „</w:t>
      </w:r>
      <w:r w:rsidRPr="002A3A7F">
        <w:rPr>
          <w:rStyle w:val="info-list-value-uzasadnienie"/>
          <w:rFonts w:asciiTheme="minorHAnsi" w:hAnsiTheme="minorHAnsi"/>
          <w:i/>
        </w:rPr>
        <w:t>dieta</w:t>
      </w:r>
      <w:r>
        <w:rPr>
          <w:rStyle w:val="info-list-value-uzasadnienie"/>
          <w:rFonts w:asciiTheme="minorHAnsi" w:hAnsiTheme="minorHAnsi"/>
        </w:rPr>
        <w:t>”, którym posłużył się ustawodawca w art. 37b ust. 1 u.s.g. rozumieć należy zwrot kosztów związanych z pe</w:t>
      </w:r>
      <w:r>
        <w:rPr>
          <w:rStyle w:val="info-list-value-uzasadnienie"/>
          <w:rFonts w:asciiTheme="minorHAnsi" w:hAnsiTheme="minorHAnsi"/>
        </w:rPr>
        <w:t xml:space="preserve">łnieniem funkcji, zaś jego istota sprowadza się do wyrównania wydatków i strat związanych z wykonywaniem funkcji przewodniczącego organu wykonawczego jednostki pomocniczej. </w:t>
      </w:r>
    </w:p>
    <w:p w:rsidR="002A3A7F" w:rsidRDefault="009368B5" w:rsidP="002A3A7F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Zgodnie z przyjętym orzecznictwem sądów administracyjnych zakresem regulacji uchwały powinna być objęta sytuacja, </w:t>
      </w:r>
      <w:r>
        <w:rPr>
          <w:rFonts w:asciiTheme="minorHAnsi" w:hAnsiTheme="minorHAnsi"/>
        </w:rPr>
        <w:t>w której</w:t>
      </w:r>
      <w:r>
        <w:rPr>
          <w:rFonts w:asciiTheme="minorHAnsi" w:hAnsiTheme="minorHAnsi"/>
        </w:rPr>
        <w:t xml:space="preserve"> przewodniczący </w:t>
      </w:r>
      <w:r>
        <w:rPr>
          <w:rStyle w:val="info-list-value-uzasadnienie"/>
          <w:rFonts w:asciiTheme="minorHAnsi" w:hAnsiTheme="minorHAnsi"/>
        </w:rPr>
        <w:t>organu wykonawczego jednostki pomocniczej</w:t>
      </w:r>
      <w:r>
        <w:rPr>
          <w:rFonts w:asciiTheme="minorHAnsi" w:hAnsiTheme="minorHAnsi"/>
        </w:rPr>
        <w:t xml:space="preserve"> nie wykonuje, przez dłuższy czas, obowiązków wynikających z pełnionej funkcj</w:t>
      </w:r>
      <w:r>
        <w:rPr>
          <w:rFonts w:asciiTheme="minorHAnsi" w:hAnsiTheme="minorHAnsi"/>
        </w:rPr>
        <w:t>i, tym samym nie ponosi żadnych kosztów związanych z pełnieniem wskazanej wyżej funkcji.</w:t>
      </w:r>
    </w:p>
    <w:p w:rsidR="00FB4C06" w:rsidRDefault="009368B5" w:rsidP="002C0A58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B106E1">
        <w:rPr>
          <w:rFonts w:asciiTheme="minorHAnsi" w:hAnsiTheme="minorHAnsi" w:cstheme="minorHAnsi"/>
        </w:rPr>
        <w:t xml:space="preserve">stota </w:t>
      </w:r>
      <w:r>
        <w:rPr>
          <w:rFonts w:asciiTheme="minorHAnsi" w:hAnsiTheme="minorHAnsi" w:cstheme="minorHAnsi"/>
        </w:rPr>
        <w:t xml:space="preserve">diety </w:t>
      </w:r>
      <w:r w:rsidRPr="00B106E1">
        <w:rPr>
          <w:rFonts w:asciiTheme="minorHAnsi" w:hAnsiTheme="minorHAnsi" w:cstheme="minorHAnsi"/>
        </w:rPr>
        <w:t>sprowadza się do wyrównywania wydatków i strat spowodowanych</w:t>
      </w:r>
      <w:r>
        <w:rPr>
          <w:rFonts w:asciiTheme="minorHAnsi" w:hAnsiTheme="minorHAnsi" w:cstheme="minorHAnsi"/>
        </w:rPr>
        <w:t xml:space="preserve"> pełnieniem funkcji sołtysa, zatem </w:t>
      </w:r>
      <w:r w:rsidRPr="00B106E1">
        <w:rPr>
          <w:rFonts w:asciiTheme="minorHAnsi" w:hAnsiTheme="minorHAnsi" w:cstheme="minorHAnsi"/>
        </w:rPr>
        <w:t>osoba pełniąca funkcję sołtysa zach</w:t>
      </w:r>
      <w:r>
        <w:rPr>
          <w:rFonts w:asciiTheme="minorHAnsi" w:hAnsiTheme="minorHAnsi" w:cstheme="minorHAnsi"/>
        </w:rPr>
        <w:t>owuje prawo do zwrotu ko</w:t>
      </w:r>
      <w:r>
        <w:rPr>
          <w:rFonts w:asciiTheme="minorHAnsi" w:hAnsiTheme="minorHAnsi" w:cstheme="minorHAnsi"/>
        </w:rPr>
        <w:t>sztów i </w:t>
      </w:r>
      <w:r w:rsidRPr="00B106E1">
        <w:rPr>
          <w:rFonts w:asciiTheme="minorHAnsi" w:hAnsiTheme="minorHAnsi" w:cstheme="minorHAnsi"/>
        </w:rPr>
        <w:t xml:space="preserve">wydatków poniesionych w związku ze sprawowaniem tej funkcji, a nie z </w:t>
      </w:r>
      <w:r>
        <w:rPr>
          <w:rFonts w:asciiTheme="minorHAnsi" w:hAnsiTheme="minorHAnsi" w:cstheme="minorHAnsi"/>
        </w:rPr>
        <w:t>tytułu samego bycia taką osobą (</w:t>
      </w:r>
      <w:r>
        <w:rPr>
          <w:rFonts w:asciiTheme="minorHAnsi" w:hAnsiTheme="minorHAnsi" w:cstheme="minorHAnsi"/>
        </w:rPr>
        <w:t xml:space="preserve">por. </w:t>
      </w:r>
      <w:r>
        <w:rPr>
          <w:rFonts w:asciiTheme="minorHAnsi" w:hAnsiTheme="minorHAnsi" w:cstheme="minorHAnsi"/>
        </w:rPr>
        <w:t xml:space="preserve">wyrok: WSA w Poznaniu z 23 października 2019 r. sygn. akt II SA/Po 555/19, WSA w Opolu </w:t>
      </w:r>
      <w:r w:rsidRPr="00B106E1">
        <w:rPr>
          <w:rFonts w:asciiTheme="minorHAnsi" w:hAnsiTheme="minorHAnsi" w:cstheme="minorHAnsi"/>
        </w:rPr>
        <w:t xml:space="preserve">z </w:t>
      </w:r>
      <w:r>
        <w:rPr>
          <w:rFonts w:asciiTheme="minorHAnsi" w:hAnsiTheme="minorHAnsi" w:cstheme="minorHAnsi"/>
        </w:rPr>
        <w:t xml:space="preserve">11 października 2012 r., sygn. akt </w:t>
      </w:r>
      <w:hyperlink r:id="rId10" w:anchor="/document/521328136?cm=DOCUMENT" w:tgtFrame="_blank" w:history="1">
        <w:r w:rsidRPr="00B106E1">
          <w:rPr>
            <w:rStyle w:val="Hipercze"/>
            <w:rFonts w:asciiTheme="minorHAnsi" w:hAnsiTheme="minorHAnsi" w:cstheme="minorHAnsi"/>
            <w:color w:val="auto"/>
            <w:u w:val="none"/>
          </w:rPr>
          <w:t>II SA/</w:t>
        </w:r>
        <w:proofErr w:type="spellStart"/>
        <w:r w:rsidRPr="00B106E1">
          <w:rPr>
            <w:rStyle w:val="Hipercze"/>
            <w:rFonts w:asciiTheme="minorHAnsi" w:hAnsiTheme="minorHAnsi" w:cstheme="minorHAnsi"/>
            <w:color w:val="auto"/>
            <w:u w:val="none"/>
          </w:rPr>
          <w:t>Op</w:t>
        </w:r>
        <w:proofErr w:type="spellEnd"/>
        <w:r w:rsidRPr="00B106E1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387/12</w:t>
        </w:r>
      </w:hyperlink>
      <w:r>
        <w:rPr>
          <w:rFonts w:asciiTheme="minorHAnsi" w:hAnsiTheme="minorHAnsi" w:cstheme="minorHAnsi"/>
        </w:rPr>
        <w:t>).</w:t>
      </w:r>
    </w:p>
    <w:p w:rsidR="00E4063C" w:rsidRPr="00E4063C" w:rsidRDefault="009368B5" w:rsidP="00E4063C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E4063C">
        <w:rPr>
          <w:rFonts w:asciiTheme="minorHAnsi" w:hAnsiTheme="minorHAnsi" w:cstheme="minorHAnsi"/>
        </w:rPr>
        <w:t xml:space="preserve">regulowanie </w:t>
      </w:r>
      <w:r>
        <w:rPr>
          <w:rFonts w:asciiTheme="minorHAnsi" w:hAnsiTheme="minorHAnsi" w:cstheme="minorHAnsi"/>
        </w:rPr>
        <w:t xml:space="preserve">zawarte w § 1 uchwały </w:t>
      </w:r>
      <w:r w:rsidRPr="00E4063C">
        <w:rPr>
          <w:rFonts w:asciiTheme="minorHAnsi" w:hAnsiTheme="minorHAnsi" w:cstheme="minorHAnsi"/>
        </w:rPr>
        <w:t>godzi w istotę diety, która ma stanowić wyłącznie ekwiwalent utraconych korzyści, których sołtys nie uzyskuje w związku z wykonyw</w:t>
      </w:r>
      <w:r>
        <w:rPr>
          <w:rFonts w:asciiTheme="minorHAnsi" w:hAnsiTheme="minorHAnsi" w:cstheme="minorHAnsi"/>
        </w:rPr>
        <w:t>aniem s</w:t>
      </w:r>
      <w:r>
        <w:rPr>
          <w:rFonts w:asciiTheme="minorHAnsi" w:hAnsiTheme="minorHAnsi" w:cstheme="minorHAnsi"/>
        </w:rPr>
        <w:t>wojej funkcji</w:t>
      </w:r>
      <w:r w:rsidRPr="00E4063C">
        <w:rPr>
          <w:rFonts w:asciiTheme="minorHAnsi" w:hAnsiTheme="minorHAnsi" w:cstheme="minorHAnsi"/>
        </w:rPr>
        <w:t>.</w:t>
      </w:r>
    </w:p>
    <w:p w:rsidR="00B005B9" w:rsidRDefault="009368B5" w:rsidP="00A362D5">
      <w:pPr>
        <w:pStyle w:val="Teksttreci20"/>
        <w:shd w:val="clear" w:color="auto" w:fill="auto"/>
        <w:spacing w:before="0" w:after="0" w:line="360" w:lineRule="auto"/>
        <w:ind w:firstLine="740"/>
        <w:jc w:val="both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 xml:space="preserve">W § 3 ust. 1 uchwały Rada </w:t>
      </w:r>
      <w:r>
        <w:rPr>
          <w:color w:val="000000"/>
          <w:sz w:val="24"/>
          <w:szCs w:val="24"/>
          <w:lang w:eastAsia="pl-PL" w:bidi="pl-PL"/>
        </w:rPr>
        <w:t>ustaliła, że wysokość diety ulega obniżeniu:</w:t>
      </w:r>
    </w:p>
    <w:p w:rsidR="00397905" w:rsidRPr="00362858" w:rsidRDefault="009368B5" w:rsidP="00362858">
      <w:pPr>
        <w:spacing w:line="360" w:lineRule="auto"/>
        <w:ind w:left="426" w:hanging="426"/>
        <w:jc w:val="both"/>
        <w:rPr>
          <w:rFonts w:asciiTheme="minorHAnsi" w:eastAsiaTheme="minorHAnsi" w:hAnsiTheme="minorHAnsi" w:cstheme="minorHAnsi"/>
          <w:i/>
        </w:rPr>
      </w:pPr>
      <w:r w:rsidRPr="00362858">
        <w:rPr>
          <w:rFonts w:asciiTheme="minorHAnsi" w:eastAsiaTheme="minorHAnsi" w:hAnsiTheme="minorHAnsi" w:cstheme="minorHAnsi"/>
          <w:i/>
        </w:rPr>
        <w:t>„</w:t>
      </w:r>
      <w:r>
        <w:rPr>
          <w:rFonts w:asciiTheme="minorHAnsi" w:eastAsiaTheme="minorHAnsi" w:hAnsiTheme="minorHAnsi" w:cstheme="minorHAnsi"/>
          <w:i/>
        </w:rPr>
        <w:t>1)</w:t>
      </w:r>
      <w:r>
        <w:rPr>
          <w:rFonts w:asciiTheme="minorHAnsi" w:eastAsiaTheme="minorHAnsi" w:hAnsiTheme="minorHAnsi" w:cstheme="minorHAnsi"/>
          <w:i/>
        </w:rPr>
        <w:tab/>
      </w:r>
      <w:r w:rsidRPr="00362858">
        <w:rPr>
          <w:rFonts w:asciiTheme="minorHAnsi" w:eastAsiaTheme="minorHAnsi" w:hAnsiTheme="minorHAnsi" w:cstheme="minorHAnsi"/>
          <w:i/>
        </w:rPr>
        <w:t>w przypadku nieobecności na sesji Rady Gminy - o 10 %;</w:t>
      </w:r>
    </w:p>
    <w:p w:rsidR="00397905" w:rsidRPr="00362858" w:rsidRDefault="009368B5" w:rsidP="00362858">
      <w:pPr>
        <w:spacing w:line="360" w:lineRule="auto"/>
        <w:ind w:left="426" w:hanging="426"/>
        <w:jc w:val="both"/>
        <w:rPr>
          <w:rFonts w:asciiTheme="minorHAnsi" w:eastAsiaTheme="minorHAnsi" w:hAnsiTheme="minorHAnsi" w:cstheme="minorHAnsi"/>
          <w:i/>
        </w:rPr>
      </w:pPr>
      <w:r>
        <w:rPr>
          <w:rFonts w:asciiTheme="minorHAnsi" w:eastAsiaTheme="minorHAnsi" w:hAnsiTheme="minorHAnsi" w:cstheme="minorHAnsi"/>
          <w:i/>
        </w:rPr>
        <w:t>2)</w:t>
      </w:r>
      <w:r>
        <w:rPr>
          <w:rFonts w:asciiTheme="minorHAnsi" w:eastAsiaTheme="minorHAnsi" w:hAnsiTheme="minorHAnsi" w:cstheme="minorHAnsi"/>
          <w:i/>
        </w:rPr>
        <w:tab/>
      </w:r>
      <w:r w:rsidRPr="00362858">
        <w:rPr>
          <w:rFonts w:asciiTheme="minorHAnsi" w:eastAsiaTheme="minorHAnsi" w:hAnsiTheme="minorHAnsi" w:cstheme="minorHAnsi"/>
          <w:i/>
        </w:rPr>
        <w:t>w przypadku nieobecności na zebraniu sołtysów zwołanego przez Wójta Gminy - o 10%;</w:t>
      </w:r>
    </w:p>
    <w:p w:rsidR="00397905" w:rsidRPr="00362858" w:rsidRDefault="009368B5" w:rsidP="00362858">
      <w:pPr>
        <w:spacing w:line="360" w:lineRule="auto"/>
        <w:ind w:left="426" w:hanging="426"/>
        <w:jc w:val="both"/>
        <w:rPr>
          <w:rFonts w:asciiTheme="minorHAnsi" w:eastAsiaTheme="minorHAnsi" w:hAnsiTheme="minorHAnsi" w:cstheme="minorHAnsi"/>
          <w:i/>
        </w:rPr>
      </w:pPr>
      <w:r>
        <w:rPr>
          <w:rFonts w:asciiTheme="minorHAnsi" w:eastAsiaTheme="minorHAnsi" w:hAnsiTheme="minorHAnsi" w:cstheme="minorHAnsi"/>
          <w:i/>
        </w:rPr>
        <w:t>3)</w:t>
      </w:r>
      <w:r>
        <w:rPr>
          <w:rFonts w:asciiTheme="minorHAnsi" w:eastAsiaTheme="minorHAnsi" w:hAnsiTheme="minorHAnsi" w:cstheme="minorHAnsi"/>
          <w:i/>
        </w:rPr>
        <w:tab/>
      </w:r>
      <w:r w:rsidRPr="00362858">
        <w:rPr>
          <w:rFonts w:asciiTheme="minorHAnsi" w:eastAsiaTheme="minorHAnsi" w:hAnsiTheme="minorHAnsi" w:cstheme="minorHAnsi"/>
          <w:i/>
        </w:rPr>
        <w:t xml:space="preserve">w przypadku </w:t>
      </w:r>
      <w:r w:rsidRPr="00362858">
        <w:rPr>
          <w:rFonts w:asciiTheme="minorHAnsi" w:eastAsiaTheme="minorHAnsi" w:hAnsiTheme="minorHAnsi" w:cstheme="minorHAnsi"/>
          <w:i/>
        </w:rPr>
        <w:t>długotrwałej niemożności wykonywania o</w:t>
      </w:r>
      <w:r>
        <w:rPr>
          <w:rFonts w:asciiTheme="minorHAnsi" w:eastAsiaTheme="minorHAnsi" w:hAnsiTheme="minorHAnsi" w:cstheme="minorHAnsi"/>
          <w:i/>
        </w:rPr>
        <w:t>bowiązków sołtysa, trwającej co </w:t>
      </w:r>
      <w:r w:rsidRPr="00362858">
        <w:rPr>
          <w:rFonts w:asciiTheme="minorHAnsi" w:eastAsiaTheme="minorHAnsi" w:hAnsiTheme="minorHAnsi" w:cstheme="minorHAnsi"/>
          <w:i/>
        </w:rPr>
        <w:t>najmniej</w:t>
      </w:r>
      <w:r>
        <w:rPr>
          <w:rFonts w:asciiTheme="minorHAnsi" w:eastAsiaTheme="minorHAnsi" w:hAnsiTheme="minorHAnsi" w:cstheme="minorHAnsi"/>
          <w:i/>
        </w:rPr>
        <w:t xml:space="preserve"> </w:t>
      </w:r>
      <w:r w:rsidRPr="00362858">
        <w:rPr>
          <w:rFonts w:asciiTheme="minorHAnsi" w:eastAsiaTheme="minorHAnsi" w:hAnsiTheme="minorHAnsi" w:cstheme="minorHAnsi"/>
          <w:i/>
        </w:rPr>
        <w:t>czternaście dni - o 25 %;</w:t>
      </w:r>
    </w:p>
    <w:p w:rsidR="00397905" w:rsidRPr="00397905" w:rsidRDefault="009368B5" w:rsidP="00362858">
      <w:p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  <w:i/>
        </w:rPr>
        <w:t>4)</w:t>
      </w:r>
      <w:r>
        <w:rPr>
          <w:rFonts w:asciiTheme="minorHAnsi" w:eastAsiaTheme="minorHAnsi" w:hAnsiTheme="minorHAnsi" w:cstheme="minorHAnsi"/>
          <w:i/>
        </w:rPr>
        <w:tab/>
      </w:r>
      <w:r w:rsidRPr="00362858">
        <w:rPr>
          <w:rFonts w:asciiTheme="minorHAnsi" w:eastAsiaTheme="minorHAnsi" w:hAnsiTheme="minorHAnsi" w:cstheme="minorHAnsi"/>
          <w:i/>
        </w:rPr>
        <w:t>w przypadku niemożności wykonywania obowiązków sołtysa obejmującej pełny miesiąc kalendarzowy -</w:t>
      </w:r>
      <w:r w:rsidRPr="00362858">
        <w:rPr>
          <w:rFonts w:asciiTheme="minorHAnsi" w:eastAsiaTheme="minorHAnsi" w:hAnsiTheme="minorHAnsi" w:cstheme="minorHAnsi"/>
          <w:i/>
        </w:rPr>
        <w:t xml:space="preserve"> </w:t>
      </w:r>
      <w:r w:rsidRPr="00362858">
        <w:rPr>
          <w:rFonts w:asciiTheme="minorHAnsi" w:eastAsiaTheme="minorHAnsi" w:hAnsiTheme="minorHAnsi" w:cstheme="minorHAnsi"/>
          <w:i/>
        </w:rPr>
        <w:t>o 100 %</w:t>
      </w:r>
      <w:r>
        <w:rPr>
          <w:rFonts w:asciiTheme="minorHAnsi" w:eastAsiaTheme="minorHAnsi" w:hAnsiTheme="minorHAnsi" w:cstheme="minorHAnsi"/>
        </w:rPr>
        <w:t>”</w:t>
      </w:r>
      <w:r w:rsidRPr="00397905">
        <w:rPr>
          <w:rFonts w:asciiTheme="minorHAnsi" w:eastAsiaTheme="minorHAnsi" w:hAnsiTheme="minorHAnsi" w:cstheme="minorHAnsi"/>
        </w:rPr>
        <w:t>.</w:t>
      </w:r>
    </w:p>
    <w:p w:rsidR="00B005B9" w:rsidRDefault="009368B5" w:rsidP="00A362D5">
      <w:pPr>
        <w:pStyle w:val="Teksttreci20"/>
        <w:shd w:val="clear" w:color="auto" w:fill="auto"/>
        <w:spacing w:before="0" w:after="0" w:line="360" w:lineRule="auto"/>
        <w:ind w:firstLine="740"/>
        <w:jc w:val="both"/>
        <w:rPr>
          <w:color w:val="000000"/>
          <w:sz w:val="24"/>
          <w:szCs w:val="24"/>
          <w:lang w:eastAsia="pl-PL" w:bidi="pl-PL"/>
        </w:rPr>
      </w:pPr>
      <w:r w:rsidRPr="00A362D5">
        <w:rPr>
          <w:color w:val="000000"/>
          <w:sz w:val="24"/>
          <w:szCs w:val="24"/>
          <w:lang w:eastAsia="pl-PL" w:bidi="pl-PL"/>
        </w:rPr>
        <w:t xml:space="preserve">Skoro </w:t>
      </w:r>
      <w:r>
        <w:rPr>
          <w:color w:val="000000"/>
          <w:sz w:val="24"/>
          <w:szCs w:val="24"/>
          <w:lang w:eastAsia="pl-PL" w:bidi="pl-PL"/>
        </w:rPr>
        <w:t xml:space="preserve">zatem </w:t>
      </w:r>
      <w:r w:rsidRPr="00A362D5">
        <w:rPr>
          <w:color w:val="000000"/>
          <w:sz w:val="24"/>
          <w:szCs w:val="24"/>
          <w:lang w:eastAsia="pl-PL" w:bidi="pl-PL"/>
        </w:rPr>
        <w:t xml:space="preserve">dieta ma w założeniu stanowić </w:t>
      </w:r>
      <w:r w:rsidRPr="00A362D5">
        <w:rPr>
          <w:color w:val="000000"/>
          <w:sz w:val="24"/>
          <w:szCs w:val="24"/>
          <w:lang w:eastAsia="pl-PL" w:bidi="pl-PL"/>
        </w:rPr>
        <w:t>rekompensatę</w:t>
      </w:r>
      <w:r>
        <w:rPr>
          <w:color w:val="000000"/>
          <w:sz w:val="24"/>
          <w:szCs w:val="24"/>
          <w:lang w:eastAsia="pl-PL" w:bidi="pl-PL"/>
        </w:rPr>
        <w:t xml:space="preserve"> za utracone zarobki związane z </w:t>
      </w:r>
      <w:r w:rsidRPr="00A362D5">
        <w:rPr>
          <w:color w:val="000000"/>
          <w:sz w:val="24"/>
          <w:szCs w:val="24"/>
          <w:lang w:eastAsia="pl-PL" w:bidi="pl-PL"/>
        </w:rPr>
        <w:t xml:space="preserve">pełnieniem funkcji </w:t>
      </w:r>
      <w:r>
        <w:rPr>
          <w:color w:val="000000"/>
          <w:sz w:val="24"/>
          <w:szCs w:val="24"/>
          <w:lang w:eastAsia="pl-PL" w:bidi="pl-PL"/>
        </w:rPr>
        <w:t>sołtysa, ustalenia zawarte w uchwale</w:t>
      </w:r>
      <w:r w:rsidRPr="00A362D5">
        <w:rPr>
          <w:color w:val="000000"/>
          <w:sz w:val="24"/>
          <w:szCs w:val="24"/>
          <w:lang w:eastAsia="pl-PL" w:bidi="pl-PL"/>
        </w:rPr>
        <w:t xml:space="preserve"> </w:t>
      </w:r>
      <w:r>
        <w:rPr>
          <w:color w:val="000000"/>
          <w:sz w:val="24"/>
          <w:szCs w:val="24"/>
          <w:lang w:eastAsia="pl-PL" w:bidi="pl-PL"/>
        </w:rPr>
        <w:t>prowadzą do konkluzji</w:t>
      </w:r>
      <w:r w:rsidRPr="00A362D5">
        <w:rPr>
          <w:color w:val="000000"/>
          <w:sz w:val="24"/>
          <w:szCs w:val="24"/>
          <w:lang w:eastAsia="pl-PL" w:bidi="pl-PL"/>
        </w:rPr>
        <w:t>, że w przypadku braku w danym</w:t>
      </w:r>
      <w:r w:rsidRPr="00A362D5">
        <w:rPr>
          <w:sz w:val="24"/>
          <w:szCs w:val="24"/>
        </w:rPr>
        <w:t xml:space="preserve"> </w:t>
      </w:r>
      <w:r w:rsidRPr="00A362D5">
        <w:rPr>
          <w:color w:val="000000"/>
          <w:sz w:val="24"/>
          <w:szCs w:val="24"/>
          <w:lang w:eastAsia="pl-PL" w:bidi="pl-PL"/>
        </w:rPr>
        <w:t>miesiącu posiedzenia sesji</w:t>
      </w:r>
      <w:r>
        <w:rPr>
          <w:color w:val="000000"/>
          <w:sz w:val="24"/>
          <w:szCs w:val="24"/>
          <w:lang w:eastAsia="pl-PL" w:bidi="pl-PL"/>
        </w:rPr>
        <w:t xml:space="preserve"> rady lub zebrania sołtysów, dieta będzie wypłacona </w:t>
      </w:r>
      <w:r>
        <w:rPr>
          <w:color w:val="000000"/>
          <w:sz w:val="24"/>
          <w:szCs w:val="24"/>
          <w:lang w:eastAsia="pl-PL" w:bidi="pl-PL"/>
        </w:rPr>
        <w:lastRenderedPageBreak/>
        <w:t>w </w:t>
      </w:r>
      <w:r>
        <w:rPr>
          <w:color w:val="000000"/>
          <w:sz w:val="24"/>
          <w:szCs w:val="24"/>
          <w:lang w:eastAsia="pl-PL" w:bidi="pl-PL"/>
        </w:rPr>
        <w:t>kwocie</w:t>
      </w:r>
      <w:r w:rsidRPr="00A362D5">
        <w:rPr>
          <w:color w:val="000000"/>
          <w:sz w:val="24"/>
          <w:szCs w:val="24"/>
          <w:lang w:eastAsia="pl-PL" w:bidi="pl-PL"/>
        </w:rPr>
        <w:t xml:space="preserve"> wynikającej z postano</w:t>
      </w:r>
      <w:r>
        <w:rPr>
          <w:color w:val="000000"/>
          <w:sz w:val="24"/>
          <w:szCs w:val="24"/>
          <w:lang w:eastAsia="pl-PL" w:bidi="pl-PL"/>
        </w:rPr>
        <w:t xml:space="preserve">wienia przewidzianego w </w:t>
      </w:r>
      <w:r>
        <w:rPr>
          <w:color w:val="000000"/>
          <w:sz w:val="24"/>
          <w:szCs w:val="24"/>
          <w:lang w:eastAsia="pl-PL" w:bidi="pl-PL"/>
        </w:rPr>
        <w:t>§ 1 uchwały, tj. w wysokości 100 zł</w:t>
      </w:r>
      <w:r>
        <w:rPr>
          <w:color w:val="000000"/>
          <w:sz w:val="24"/>
          <w:szCs w:val="24"/>
          <w:lang w:eastAsia="pl-PL" w:bidi="pl-PL"/>
        </w:rPr>
        <w:t>.</w:t>
      </w:r>
    </w:p>
    <w:p w:rsidR="00A362D5" w:rsidRDefault="009368B5" w:rsidP="00A362D5">
      <w:pPr>
        <w:pStyle w:val="Teksttreci20"/>
        <w:shd w:val="clear" w:color="auto" w:fill="auto"/>
        <w:spacing w:before="0" w:after="0" w:line="360" w:lineRule="auto"/>
        <w:ind w:firstLine="740"/>
        <w:jc w:val="both"/>
        <w:rPr>
          <w:color w:val="000000"/>
          <w:sz w:val="24"/>
          <w:szCs w:val="24"/>
          <w:lang w:eastAsia="pl-PL" w:bidi="pl-PL"/>
        </w:rPr>
      </w:pPr>
      <w:r w:rsidRPr="00A362D5">
        <w:rPr>
          <w:color w:val="000000"/>
          <w:sz w:val="24"/>
          <w:szCs w:val="24"/>
          <w:lang w:eastAsia="pl-PL" w:bidi="pl-PL"/>
        </w:rPr>
        <w:t xml:space="preserve">Pomimo, iż w treści uchwały wskazano przypadki potrąceń w stosunku do miesięcznej wypłaty diety, to jednak nie zmienia to faktu, iż nadal wypłata dokonywana jest w formie ryczałtu niezależnie od faktycznej obecności </w:t>
      </w:r>
      <w:r>
        <w:rPr>
          <w:color w:val="000000"/>
          <w:sz w:val="24"/>
          <w:szCs w:val="24"/>
          <w:lang w:eastAsia="pl-PL" w:bidi="pl-PL"/>
        </w:rPr>
        <w:t>sołtysów na s</w:t>
      </w:r>
      <w:r w:rsidRPr="00A362D5">
        <w:rPr>
          <w:color w:val="000000"/>
          <w:sz w:val="24"/>
          <w:szCs w:val="24"/>
          <w:lang w:eastAsia="pl-PL" w:bidi="pl-PL"/>
        </w:rPr>
        <w:t xml:space="preserve">esji </w:t>
      </w:r>
      <w:r>
        <w:rPr>
          <w:color w:val="000000"/>
          <w:sz w:val="24"/>
          <w:szCs w:val="24"/>
          <w:lang w:eastAsia="pl-PL" w:bidi="pl-PL"/>
        </w:rPr>
        <w:t xml:space="preserve">Rady albo </w:t>
      </w:r>
      <w:r>
        <w:rPr>
          <w:color w:val="000000"/>
          <w:sz w:val="24"/>
          <w:szCs w:val="24"/>
          <w:lang w:eastAsia="pl-PL" w:bidi="pl-PL"/>
        </w:rPr>
        <w:t>zebraniu</w:t>
      </w:r>
      <w:r>
        <w:rPr>
          <w:color w:val="000000"/>
          <w:sz w:val="24"/>
          <w:szCs w:val="24"/>
          <w:lang w:eastAsia="pl-PL" w:bidi="pl-PL"/>
        </w:rPr>
        <w:t xml:space="preserve"> </w:t>
      </w:r>
      <w:r>
        <w:rPr>
          <w:color w:val="000000"/>
          <w:sz w:val="24"/>
          <w:szCs w:val="24"/>
          <w:lang w:eastAsia="pl-PL" w:bidi="pl-PL"/>
        </w:rPr>
        <w:t>soł</w:t>
      </w:r>
      <w:r>
        <w:rPr>
          <w:color w:val="000000"/>
          <w:sz w:val="24"/>
          <w:szCs w:val="24"/>
          <w:lang w:eastAsia="pl-PL" w:bidi="pl-PL"/>
        </w:rPr>
        <w:t>tysów zwołanym</w:t>
      </w:r>
      <w:r>
        <w:rPr>
          <w:color w:val="000000"/>
          <w:sz w:val="24"/>
          <w:szCs w:val="24"/>
          <w:lang w:eastAsia="pl-PL" w:bidi="pl-PL"/>
        </w:rPr>
        <w:t xml:space="preserve"> przez Wójta Gminy</w:t>
      </w:r>
      <w:r w:rsidRPr="00A362D5">
        <w:rPr>
          <w:color w:val="000000"/>
          <w:sz w:val="24"/>
          <w:szCs w:val="24"/>
          <w:lang w:eastAsia="pl-PL" w:bidi="pl-PL"/>
        </w:rPr>
        <w:t xml:space="preserve">. Świadczy o tym bowiem ustalenie wysokości diety bez względu na ilość zwołanych </w:t>
      </w:r>
      <w:r>
        <w:rPr>
          <w:color w:val="000000"/>
          <w:sz w:val="24"/>
          <w:szCs w:val="24"/>
          <w:lang w:eastAsia="pl-PL" w:bidi="pl-PL"/>
        </w:rPr>
        <w:t>s</w:t>
      </w:r>
      <w:r w:rsidRPr="00A362D5">
        <w:rPr>
          <w:color w:val="000000"/>
          <w:sz w:val="24"/>
          <w:szCs w:val="24"/>
          <w:lang w:eastAsia="pl-PL" w:bidi="pl-PL"/>
        </w:rPr>
        <w:t xml:space="preserve">esji oraz </w:t>
      </w:r>
      <w:r>
        <w:rPr>
          <w:color w:val="000000"/>
          <w:sz w:val="24"/>
          <w:szCs w:val="24"/>
          <w:lang w:eastAsia="pl-PL" w:bidi="pl-PL"/>
        </w:rPr>
        <w:t>zebrań</w:t>
      </w:r>
      <w:r w:rsidRPr="00A362D5">
        <w:rPr>
          <w:color w:val="000000"/>
          <w:sz w:val="24"/>
          <w:szCs w:val="24"/>
          <w:lang w:eastAsia="pl-PL" w:bidi="pl-PL"/>
        </w:rPr>
        <w:t xml:space="preserve">. </w:t>
      </w:r>
    </w:p>
    <w:p w:rsidR="005B4A9E" w:rsidRDefault="009368B5" w:rsidP="00A362D5">
      <w:pPr>
        <w:pStyle w:val="Teksttreci20"/>
        <w:shd w:val="clear" w:color="auto" w:fill="auto"/>
        <w:spacing w:before="0" w:after="0" w:line="360" w:lineRule="auto"/>
        <w:ind w:firstLine="740"/>
        <w:jc w:val="both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Ponadto zaznaczyć należy, że §</w:t>
      </w:r>
      <w:r>
        <w:rPr>
          <w:color w:val="000000"/>
          <w:sz w:val="24"/>
          <w:szCs w:val="24"/>
          <w:lang w:eastAsia="pl-PL" w:bidi="pl-PL"/>
        </w:rPr>
        <w:t> 3</w:t>
      </w:r>
      <w:r>
        <w:rPr>
          <w:color w:val="000000"/>
          <w:sz w:val="24"/>
          <w:szCs w:val="24"/>
          <w:lang w:eastAsia="pl-PL" w:bidi="pl-PL"/>
        </w:rPr>
        <w:t xml:space="preserve"> ust. 1 pkt 3 uchwały pozostaje w sprzeczności z §</w:t>
      </w:r>
      <w:r>
        <w:rPr>
          <w:color w:val="000000"/>
          <w:sz w:val="24"/>
          <w:szCs w:val="24"/>
          <w:lang w:eastAsia="pl-PL" w:bidi="pl-PL"/>
        </w:rPr>
        <w:t> 3</w:t>
      </w:r>
      <w:r>
        <w:rPr>
          <w:color w:val="000000"/>
          <w:sz w:val="24"/>
          <w:szCs w:val="24"/>
          <w:lang w:eastAsia="pl-PL" w:bidi="pl-PL"/>
        </w:rPr>
        <w:t xml:space="preserve"> ust. 2 tegoż </w:t>
      </w:r>
      <w:r>
        <w:rPr>
          <w:color w:val="000000"/>
          <w:sz w:val="24"/>
          <w:szCs w:val="24"/>
          <w:lang w:eastAsia="pl-PL" w:bidi="pl-PL"/>
        </w:rPr>
        <w:t xml:space="preserve">samego </w:t>
      </w:r>
      <w:r>
        <w:rPr>
          <w:color w:val="000000"/>
          <w:sz w:val="24"/>
          <w:szCs w:val="24"/>
          <w:lang w:eastAsia="pl-PL" w:bidi="pl-PL"/>
        </w:rPr>
        <w:t>aktu prawa miejsco</w:t>
      </w:r>
      <w:r>
        <w:rPr>
          <w:color w:val="000000"/>
          <w:sz w:val="24"/>
          <w:szCs w:val="24"/>
          <w:lang w:eastAsia="pl-PL" w:bidi="pl-PL"/>
        </w:rPr>
        <w:t xml:space="preserve">wego. </w:t>
      </w:r>
      <w:r>
        <w:rPr>
          <w:color w:val="000000"/>
          <w:sz w:val="24"/>
          <w:szCs w:val="24"/>
          <w:lang w:eastAsia="pl-PL" w:bidi="pl-PL"/>
        </w:rPr>
        <w:t>Skoro zatem w przypadku długotrwałej niemożności wykonywania obowiązków sołtysa, trwającej co najmniej czternaście dn</w:t>
      </w:r>
      <w:r>
        <w:rPr>
          <w:color w:val="000000"/>
          <w:sz w:val="24"/>
          <w:szCs w:val="24"/>
          <w:lang w:eastAsia="pl-PL" w:bidi="pl-PL"/>
        </w:rPr>
        <w:t xml:space="preserve">i, dieta ulega obniżeniu </w:t>
      </w:r>
      <w:r>
        <w:rPr>
          <w:color w:val="000000"/>
          <w:sz w:val="24"/>
          <w:szCs w:val="24"/>
          <w:lang w:eastAsia="pl-PL" w:bidi="pl-PL"/>
        </w:rPr>
        <w:br/>
        <w:t xml:space="preserve">o 25 % (§ 3 ust. 1 pkt 3 uchwały), zaś w okresie krótszym niż miesiąc wykonywania funkcji sołtysa wysokość </w:t>
      </w:r>
      <w:r>
        <w:rPr>
          <w:color w:val="000000"/>
          <w:sz w:val="24"/>
          <w:szCs w:val="24"/>
          <w:lang w:eastAsia="pl-PL" w:bidi="pl-PL"/>
        </w:rPr>
        <w:t>diety obliczana jest proporcjonalnie do liczby dni sprawowania funkcji (§ 3 ust. 2 uchwały), to należy wnioskować, że w zależności od wyboru metody obliczenia tej diety, jej wysokość w sytuacji wykonywania obowiązków sołtysa, np. przez 10 dni będzie różna.</w:t>
      </w:r>
    </w:p>
    <w:p w:rsidR="00A362D5" w:rsidRPr="00A362D5" w:rsidRDefault="009368B5" w:rsidP="00A362D5">
      <w:pPr>
        <w:pStyle w:val="Teksttreci20"/>
        <w:shd w:val="clear" w:color="auto" w:fill="auto"/>
        <w:spacing w:before="0" w:after="0" w:line="360" w:lineRule="auto"/>
        <w:ind w:firstLine="7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pl-PL" w:bidi="pl-PL"/>
        </w:rPr>
        <w:t>Mając na uwadze</w:t>
      </w:r>
      <w:r w:rsidRPr="00A362D5">
        <w:rPr>
          <w:color w:val="000000"/>
          <w:sz w:val="24"/>
          <w:szCs w:val="24"/>
          <w:lang w:eastAsia="pl-PL" w:bidi="pl-PL"/>
        </w:rPr>
        <w:t xml:space="preserve"> powyższy wywód oraz postanowienia zawarte w przedmiotowej uchwale, należałoby stwierdzić, iż wysokość należnej diety, winna ulec proporcjonalnemu obniżeniu z</w:t>
      </w:r>
      <w:r>
        <w:rPr>
          <w:color w:val="000000"/>
          <w:sz w:val="24"/>
          <w:szCs w:val="24"/>
          <w:lang w:eastAsia="pl-PL" w:bidi="pl-PL"/>
        </w:rPr>
        <w:t> </w:t>
      </w:r>
      <w:r w:rsidRPr="00A362D5">
        <w:rPr>
          <w:color w:val="000000"/>
          <w:sz w:val="24"/>
          <w:szCs w:val="24"/>
          <w:lang w:eastAsia="pl-PL" w:bidi="pl-PL"/>
        </w:rPr>
        <w:t>uwzględnieniem wszystkich dni w miesiącu kalendarzowym za każdy dzień nie wykonyw</w:t>
      </w:r>
      <w:r w:rsidRPr="00A362D5">
        <w:rPr>
          <w:color w:val="000000"/>
          <w:sz w:val="24"/>
          <w:szCs w:val="24"/>
          <w:lang w:eastAsia="pl-PL" w:bidi="pl-PL"/>
        </w:rPr>
        <w:t>ani</w:t>
      </w:r>
      <w:r>
        <w:rPr>
          <w:color w:val="000000"/>
          <w:sz w:val="24"/>
          <w:szCs w:val="24"/>
          <w:lang w:eastAsia="pl-PL" w:bidi="pl-PL"/>
        </w:rPr>
        <w:t xml:space="preserve">a funkcji określonej w uchwale, nie tylko zaś w sytuacji pełnienia funkcji sołtysa w okresie krótszym niż miesiąc, tj. w sposób określony w § 3 ust. 2 uchwały. </w:t>
      </w:r>
    </w:p>
    <w:p w:rsidR="00031F49" w:rsidRDefault="009368B5" w:rsidP="00075A9B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Stosownie do brzmienia art. 87 ust. 2 Konstytucji Rzeczypospolitej Polskiej akty prawa </w:t>
      </w:r>
      <w:r>
        <w:rPr>
          <w:rFonts w:asciiTheme="minorHAnsi" w:hAnsiTheme="minorHAnsi"/>
        </w:rPr>
        <w:t>miejscowego są wskazane jako źródła prawa powszechnie obowiązującego na obszarze działania organów, które tego typu akty ustanowiły. Organy samorządu terytorialnego ustanawiają tego typu akty na podstawie i w granicach upoważnień nadanych przez ustawy. Już</w:t>
      </w:r>
      <w:r>
        <w:rPr>
          <w:rFonts w:asciiTheme="minorHAnsi" w:hAnsiTheme="minorHAnsi"/>
        </w:rPr>
        <w:t xml:space="preserve"> sam fakt zaliczenia aktu prawa miejscowego do źródeł prawa powszechnie obowiązującego niesie ze sobą skutek w postaci konieczności odniesienia do tego typu aktu wszystkich zasad charakteryzujących tworzenie i obowiązywanie systemu źródeł prawa powszechnie</w:t>
      </w:r>
      <w:r>
        <w:rPr>
          <w:rFonts w:asciiTheme="minorHAnsi" w:hAnsiTheme="minorHAnsi"/>
        </w:rPr>
        <w:t xml:space="preserve"> obowiązującego, o których mowa w Konstytucji RP.</w:t>
      </w:r>
    </w:p>
    <w:p w:rsidR="00DE437C" w:rsidRPr="00DE437C" w:rsidRDefault="009368B5" w:rsidP="00075A9B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DE437C">
        <w:rPr>
          <w:rFonts w:asciiTheme="minorHAnsi" w:hAnsiTheme="minorHAnsi" w:cstheme="minorHAnsi"/>
        </w:rPr>
        <w:t>Rada Gminy przy opracowywaniu aktów prawa miejscowego powinna przestrzegać podstawowych zasad działalności organów administrac</w:t>
      </w:r>
      <w:r>
        <w:rPr>
          <w:rFonts w:asciiTheme="minorHAnsi" w:hAnsiTheme="minorHAnsi" w:cstheme="minorHAnsi"/>
        </w:rPr>
        <w:t>ji publicznej w tym zakresie</w:t>
      </w:r>
      <w:r w:rsidRPr="00DE437C">
        <w:rPr>
          <w:rFonts w:asciiTheme="minorHAnsi" w:hAnsiTheme="minorHAnsi" w:cstheme="minorHAnsi"/>
        </w:rPr>
        <w:t xml:space="preserve">: akt prawny </w:t>
      </w:r>
      <w:r>
        <w:rPr>
          <w:rFonts w:asciiTheme="minorHAnsi" w:hAnsiTheme="minorHAnsi" w:cstheme="minorHAnsi"/>
        </w:rPr>
        <w:t xml:space="preserve">nie tylko </w:t>
      </w:r>
      <w:r w:rsidRPr="00DE437C">
        <w:rPr>
          <w:rFonts w:asciiTheme="minorHAnsi" w:hAnsiTheme="minorHAnsi" w:cstheme="minorHAnsi"/>
        </w:rPr>
        <w:t>nie może zawierać postanowień</w:t>
      </w:r>
      <w:r w:rsidRPr="00DE437C">
        <w:rPr>
          <w:rFonts w:asciiTheme="minorHAnsi" w:hAnsiTheme="minorHAnsi" w:cstheme="minorHAnsi"/>
        </w:rPr>
        <w:t xml:space="preserve"> wykraczających poza granice upoważnienia ustawowego, </w:t>
      </w:r>
      <w:r>
        <w:rPr>
          <w:rFonts w:asciiTheme="minorHAnsi" w:hAnsiTheme="minorHAnsi" w:cstheme="minorHAnsi"/>
        </w:rPr>
        <w:t xml:space="preserve">lecz </w:t>
      </w:r>
      <w:r w:rsidRPr="00DE437C">
        <w:rPr>
          <w:rFonts w:asciiTheme="minorHAnsi" w:hAnsiTheme="minorHAnsi" w:cstheme="minorHAnsi"/>
        </w:rPr>
        <w:t>także nie może wkraczać w sferę spraw zastrzeżonych</w:t>
      </w:r>
      <w:r>
        <w:rPr>
          <w:rFonts w:asciiTheme="minorHAnsi" w:hAnsiTheme="minorHAnsi" w:cstheme="minorHAnsi"/>
        </w:rPr>
        <w:t xml:space="preserve"> do kompetencji innych organów.</w:t>
      </w:r>
    </w:p>
    <w:p w:rsidR="00A11105" w:rsidRDefault="009368B5" w:rsidP="00A11105">
      <w:pPr>
        <w:spacing w:line="324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Dochodząc do konkluzji, wobec podniesionych wyżej zarzutów uznać należy, </w:t>
      </w:r>
      <w:r>
        <w:rPr>
          <w:rFonts w:ascii="Calibri" w:hAnsi="Calibri" w:cs="Calibri"/>
        </w:rPr>
        <w:t>że zgodnie z </w:t>
      </w:r>
      <w:r w:rsidRPr="00F82005">
        <w:rPr>
          <w:rFonts w:ascii="Calibri" w:hAnsi="Calibri" w:cs="Calibri"/>
        </w:rPr>
        <w:t>art. 94 Konstytucji RP organ</w:t>
      </w:r>
      <w:r w:rsidRPr="00F82005">
        <w:rPr>
          <w:rFonts w:ascii="Calibri" w:hAnsi="Calibri" w:cs="Calibri"/>
        </w:rPr>
        <w:t>y samorządu terytorialnego wydają akty prawa miejscowego obowiązujące na</w:t>
      </w:r>
      <w:r>
        <w:rPr>
          <w:rFonts w:ascii="Calibri" w:hAnsi="Calibri" w:cs="Calibri"/>
        </w:rPr>
        <w:t> </w:t>
      </w:r>
      <w:r w:rsidRPr="00F82005">
        <w:rPr>
          <w:rFonts w:ascii="Calibri" w:hAnsi="Calibri" w:cs="Calibri"/>
        </w:rPr>
        <w:t>obszarze działania tych organów, na podstawie i w g</w:t>
      </w:r>
      <w:r>
        <w:rPr>
          <w:rFonts w:ascii="Calibri" w:hAnsi="Calibri" w:cs="Calibri"/>
        </w:rPr>
        <w:t xml:space="preserve">ranicach upoważnień </w:t>
      </w:r>
      <w:r>
        <w:rPr>
          <w:rFonts w:ascii="Calibri" w:hAnsi="Calibri" w:cs="Calibri"/>
        </w:rPr>
        <w:lastRenderedPageBreak/>
        <w:t>zawartych w </w:t>
      </w:r>
      <w:r w:rsidRPr="00F82005">
        <w:rPr>
          <w:rFonts w:ascii="Calibri" w:hAnsi="Calibri" w:cs="Calibri"/>
        </w:rPr>
        <w:t xml:space="preserve">ustawie. </w:t>
      </w:r>
      <w:r>
        <w:rPr>
          <w:rFonts w:ascii="Calibri" w:hAnsi="Calibri" w:cs="Calibri"/>
        </w:rPr>
        <w:t>Innymi słowy</w:t>
      </w:r>
      <w:r w:rsidRPr="00F82005">
        <w:rPr>
          <w:rFonts w:ascii="Calibri" w:hAnsi="Calibri" w:cs="Calibri"/>
        </w:rPr>
        <w:t xml:space="preserve"> do wydania aktu prawa miej</w:t>
      </w:r>
      <w:r>
        <w:rPr>
          <w:rFonts w:ascii="Calibri" w:hAnsi="Calibri" w:cs="Calibri"/>
        </w:rPr>
        <w:t>scowego wymagane jest zawarte w </w:t>
      </w:r>
      <w:r w:rsidRPr="00F82005">
        <w:rPr>
          <w:rFonts w:ascii="Calibri" w:hAnsi="Calibri" w:cs="Calibri"/>
        </w:rPr>
        <w:t>ustawie odrębne upow</w:t>
      </w:r>
      <w:r w:rsidRPr="00F82005">
        <w:rPr>
          <w:rFonts w:ascii="Calibri" w:hAnsi="Calibri" w:cs="Calibri"/>
        </w:rPr>
        <w:t>ażnienie ko</w:t>
      </w:r>
      <w:r>
        <w:rPr>
          <w:rFonts w:ascii="Calibri" w:hAnsi="Calibri" w:cs="Calibri"/>
        </w:rPr>
        <w:t>nkretnego organu do </w:t>
      </w:r>
      <w:r w:rsidRPr="00F82005">
        <w:rPr>
          <w:rFonts w:ascii="Calibri" w:hAnsi="Calibri" w:cs="Calibri"/>
        </w:rPr>
        <w:t>uregulowania w określonej formie danego zakresu spraw. Jednocześnie konstytucyjna zasada</w:t>
      </w:r>
      <w:r>
        <w:rPr>
          <w:rFonts w:ascii="Calibri" w:hAnsi="Calibri" w:cs="Calibri"/>
        </w:rPr>
        <w:t xml:space="preserve"> praworządności wyrażona w art. </w:t>
      </w:r>
      <w:r w:rsidRPr="00F82005">
        <w:rPr>
          <w:rFonts w:ascii="Calibri" w:hAnsi="Calibri" w:cs="Calibri"/>
        </w:rPr>
        <w:t>7 Konstytucji RP wymaga, żeby materia regulowana wydanym aktem normatywnym wynikała z</w:t>
      </w:r>
      <w:r>
        <w:rPr>
          <w:rFonts w:ascii="Calibri" w:hAnsi="Calibri" w:cs="Calibri"/>
        </w:rPr>
        <w:t xml:space="preserve">  </w:t>
      </w:r>
      <w:r w:rsidRPr="00F82005">
        <w:rPr>
          <w:rFonts w:ascii="Calibri" w:hAnsi="Calibri" w:cs="Calibri"/>
        </w:rPr>
        <w:t>poważnie</w:t>
      </w:r>
      <w:r>
        <w:rPr>
          <w:rFonts w:ascii="Calibri" w:hAnsi="Calibri" w:cs="Calibri"/>
        </w:rPr>
        <w:t>nia ustawo</w:t>
      </w:r>
      <w:r>
        <w:rPr>
          <w:rFonts w:ascii="Calibri" w:hAnsi="Calibri" w:cs="Calibri"/>
        </w:rPr>
        <w:t>wego i mieściła się w </w:t>
      </w:r>
      <w:r w:rsidRPr="00F82005">
        <w:rPr>
          <w:rFonts w:ascii="Calibri" w:hAnsi="Calibri" w:cs="Calibri"/>
        </w:rPr>
        <w:t>granicach prawa. Wynika to również wprost z</w:t>
      </w:r>
      <w:r>
        <w:rPr>
          <w:rFonts w:ascii="Calibri" w:hAnsi="Calibri" w:cs="Calibri"/>
        </w:rPr>
        <w:t xml:space="preserve"> </w:t>
      </w:r>
      <w:r w:rsidRPr="00F82005">
        <w:rPr>
          <w:rFonts w:ascii="Calibri" w:hAnsi="Calibri" w:cs="Calibri"/>
        </w:rPr>
        <w:t>przepisów ustawy o samorządzie gminnym,</w:t>
      </w:r>
      <w:r>
        <w:rPr>
          <w:rFonts w:ascii="Calibri" w:hAnsi="Calibri" w:cs="Calibri"/>
        </w:rPr>
        <w:t xml:space="preserve"> </w:t>
      </w:r>
      <w:r w:rsidRPr="00F82005">
        <w:rPr>
          <w:rFonts w:ascii="Calibri" w:hAnsi="Calibri" w:cs="Calibri"/>
        </w:rPr>
        <w:t>a zwłaszcza z art. 40 tej ustawy, zgodnie z</w:t>
      </w:r>
      <w:r>
        <w:rPr>
          <w:rFonts w:ascii="Calibri" w:hAnsi="Calibri" w:cs="Calibri"/>
        </w:rPr>
        <w:t> </w:t>
      </w:r>
      <w:r w:rsidRPr="00F82005">
        <w:rPr>
          <w:rFonts w:ascii="Calibri" w:hAnsi="Calibri" w:cs="Calibri"/>
        </w:rPr>
        <w:t>którym gminie przysługuje prawo stanowienia aktów prawa miejscowego obow</w:t>
      </w:r>
      <w:r>
        <w:rPr>
          <w:rFonts w:ascii="Calibri" w:hAnsi="Calibri" w:cs="Calibri"/>
        </w:rPr>
        <w:t>iązujących na obszarze gminy na </w:t>
      </w:r>
      <w:r w:rsidRPr="00F82005">
        <w:rPr>
          <w:rFonts w:ascii="Calibri" w:hAnsi="Calibri" w:cs="Calibri"/>
        </w:rPr>
        <w:t>po</w:t>
      </w:r>
      <w:r w:rsidRPr="00F82005">
        <w:rPr>
          <w:rFonts w:ascii="Calibri" w:hAnsi="Calibri" w:cs="Calibri"/>
        </w:rPr>
        <w:t xml:space="preserve">dstawie upoważnień ustawowych. </w:t>
      </w:r>
      <w:r>
        <w:rPr>
          <w:rFonts w:ascii="Calibri" w:hAnsi="Calibri" w:cs="Calibri"/>
        </w:rPr>
        <w:t>W</w:t>
      </w:r>
      <w:r w:rsidRPr="00F82005">
        <w:rPr>
          <w:rFonts w:ascii="Calibri" w:hAnsi="Calibri" w:cs="Calibri"/>
        </w:rPr>
        <w:t xml:space="preserve">szelkie </w:t>
      </w:r>
      <w:r>
        <w:rPr>
          <w:rFonts w:ascii="Calibri" w:hAnsi="Calibri" w:cs="Calibri"/>
        </w:rPr>
        <w:t xml:space="preserve">zatem </w:t>
      </w:r>
      <w:r w:rsidRPr="00F82005">
        <w:rPr>
          <w:rFonts w:ascii="Calibri" w:hAnsi="Calibri" w:cs="Calibri"/>
        </w:rPr>
        <w:t xml:space="preserve">uchwały podejmowane przez </w:t>
      </w:r>
      <w:r w:rsidRPr="00F82005">
        <w:rPr>
          <w:rFonts w:ascii="Calibri" w:hAnsi="Calibri" w:cs="Calibri"/>
        </w:rPr>
        <w:t xml:space="preserve">Radę Gminy </w:t>
      </w:r>
      <w:r w:rsidRPr="00F82005">
        <w:rPr>
          <w:rFonts w:ascii="Calibri" w:hAnsi="Calibri" w:cs="Calibri"/>
        </w:rPr>
        <w:t>muszą nie tylko mieć umocowanie w</w:t>
      </w:r>
      <w:r>
        <w:rPr>
          <w:rFonts w:ascii="Calibri" w:hAnsi="Calibri" w:cs="Calibri"/>
        </w:rPr>
        <w:t> </w:t>
      </w:r>
      <w:r w:rsidRPr="00F82005">
        <w:rPr>
          <w:rFonts w:ascii="Calibri" w:hAnsi="Calibri" w:cs="Calibri"/>
        </w:rPr>
        <w:t xml:space="preserve">obowiązujących przepisach </w:t>
      </w:r>
      <w:r>
        <w:rPr>
          <w:rFonts w:ascii="Calibri" w:hAnsi="Calibri" w:cs="Calibri"/>
        </w:rPr>
        <w:t>prawa, ale też zapisy zawarte w </w:t>
      </w:r>
      <w:r w:rsidRPr="00F82005">
        <w:rPr>
          <w:rFonts w:ascii="Calibri" w:hAnsi="Calibri" w:cs="Calibri"/>
        </w:rPr>
        <w:t>uchwałach nie mogą przepisów tych naruszać. Ustawodawca, fo</w:t>
      </w:r>
      <w:r>
        <w:rPr>
          <w:rFonts w:ascii="Calibri" w:hAnsi="Calibri" w:cs="Calibri"/>
        </w:rPr>
        <w:t xml:space="preserve">rmułując określoną </w:t>
      </w:r>
      <w:r>
        <w:rPr>
          <w:rFonts w:ascii="Calibri" w:hAnsi="Calibri" w:cs="Calibri"/>
        </w:rPr>
        <w:t>delegację do </w:t>
      </w:r>
      <w:r w:rsidRPr="00F82005">
        <w:rPr>
          <w:rFonts w:ascii="Calibri" w:hAnsi="Calibri" w:cs="Calibri"/>
        </w:rPr>
        <w:t>wydania aktu wykonawczego, przekazuje upoważnienie do uregulowania w</w:t>
      </w:r>
      <w:r>
        <w:rPr>
          <w:rFonts w:ascii="Calibri" w:hAnsi="Calibri" w:cs="Calibri"/>
        </w:rPr>
        <w:t xml:space="preserve">yłącznie kwestii wynikających z </w:t>
      </w:r>
      <w:r w:rsidRPr="00F82005">
        <w:rPr>
          <w:rFonts w:ascii="Calibri" w:hAnsi="Calibri" w:cs="Calibri"/>
        </w:rPr>
        <w:t>upoważnienia. Niedopuszczalna jest zatem realizacja upoważnienia ustawowego regulująca kwestie nie przekazane do uregulowania w upoważnieniu. T</w:t>
      </w:r>
      <w:r w:rsidRPr="00F82005">
        <w:rPr>
          <w:rFonts w:ascii="Calibri" w:hAnsi="Calibri" w:cs="Calibri"/>
        </w:rPr>
        <w:t>akie działanie Rady n</w:t>
      </w:r>
      <w:r>
        <w:rPr>
          <w:rFonts w:ascii="Calibri" w:hAnsi="Calibri" w:cs="Calibri"/>
        </w:rPr>
        <w:t>ależy rozumieć jako działanie z </w:t>
      </w:r>
      <w:r w:rsidRPr="00F82005">
        <w:rPr>
          <w:rFonts w:ascii="Calibri" w:hAnsi="Calibri" w:cs="Calibri"/>
        </w:rPr>
        <w:t>przekrocze</w:t>
      </w:r>
      <w:r>
        <w:rPr>
          <w:rFonts w:ascii="Calibri" w:hAnsi="Calibri" w:cs="Calibri"/>
        </w:rPr>
        <w:t>niem upoważnienia ustawowego, a </w:t>
      </w:r>
      <w:r w:rsidRPr="00F82005">
        <w:rPr>
          <w:rFonts w:ascii="Calibri" w:hAnsi="Calibri" w:cs="Calibri"/>
        </w:rPr>
        <w:t>w konsekwencji, wobec zawarcia w uchwale przepisów wykraczających poza delegację ustawową, powoduje konieczność przywrócenia stanu zgodnego z prawem</w:t>
      </w:r>
      <w:r>
        <w:rPr>
          <w:rFonts w:ascii="Calibri" w:hAnsi="Calibri" w:cs="Calibri"/>
        </w:rPr>
        <w:t xml:space="preserve"> (</w:t>
      </w:r>
      <w:r w:rsidRPr="00F82005">
        <w:rPr>
          <w:rFonts w:ascii="Calibri" w:hAnsi="Calibri" w:cs="Calibri"/>
        </w:rPr>
        <w:t>por. u</w:t>
      </w:r>
      <w:r>
        <w:rPr>
          <w:rFonts w:ascii="Calibri" w:hAnsi="Calibri" w:cs="Calibri"/>
        </w:rPr>
        <w:t>zasad</w:t>
      </w:r>
      <w:r>
        <w:rPr>
          <w:rFonts w:ascii="Calibri" w:hAnsi="Calibri" w:cs="Calibri"/>
        </w:rPr>
        <w:t>nienie do Wyroku WSA w </w:t>
      </w:r>
      <w:r w:rsidRPr="00F82005">
        <w:rPr>
          <w:rFonts w:ascii="Calibri" w:hAnsi="Calibri" w:cs="Calibri"/>
        </w:rPr>
        <w:t xml:space="preserve">Olsztynie </w:t>
      </w:r>
      <w:r>
        <w:rPr>
          <w:rFonts w:ascii="Calibri" w:hAnsi="Calibri" w:cs="Calibri"/>
        </w:rPr>
        <w:br/>
      </w:r>
      <w:r w:rsidRPr="00F82005">
        <w:rPr>
          <w:rFonts w:ascii="Calibri" w:hAnsi="Calibri" w:cs="Calibri"/>
        </w:rPr>
        <w:t>z 12 st</w:t>
      </w:r>
      <w:r>
        <w:rPr>
          <w:rFonts w:ascii="Calibri" w:hAnsi="Calibri" w:cs="Calibri"/>
        </w:rPr>
        <w:t>ycznia 2016 </w:t>
      </w:r>
      <w:r>
        <w:rPr>
          <w:rFonts w:ascii="Calibri" w:hAnsi="Calibri" w:cs="Calibri"/>
        </w:rPr>
        <w:t>r., sygn. akt II </w:t>
      </w:r>
      <w:r w:rsidRPr="00F82005">
        <w:rPr>
          <w:rFonts w:ascii="Calibri" w:hAnsi="Calibri" w:cs="Calibri"/>
        </w:rPr>
        <w:t>SA/OI 1269/15).</w:t>
      </w:r>
    </w:p>
    <w:p w:rsidR="00327C7D" w:rsidRDefault="009368B5" w:rsidP="009E24E0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Ponadto w</w:t>
      </w:r>
      <w:r w:rsidRPr="002F0DED">
        <w:rPr>
          <w:rFonts w:ascii="Calibri" w:hAnsi="Calibri" w:cs="Calibri"/>
        </w:rPr>
        <w:t xml:space="preserve"> wyroku z 11 kwietnia 2018 r. sygn. akt IV SA/Po 166/18Z </w:t>
      </w:r>
      <w:r>
        <w:rPr>
          <w:rFonts w:ascii="Calibri" w:hAnsi="Calibri" w:cs="Calibri"/>
        </w:rPr>
        <w:t>WSA</w:t>
      </w:r>
      <w:r w:rsidRPr="002F0DED">
        <w:rPr>
          <w:rFonts w:ascii="Calibri" w:hAnsi="Calibri" w:cs="Calibri"/>
        </w:rPr>
        <w:t xml:space="preserve"> w Poznaniu wskazał, że „</w:t>
      </w:r>
      <w:r w:rsidRPr="002F0DED">
        <w:rPr>
          <w:rFonts w:ascii="Calibri" w:hAnsi="Calibri" w:cs="Calibri"/>
          <w:i/>
        </w:rPr>
        <w:t>przekroczenie upoważnienia ustawowego stanowi istotne naruszenie prawa, stan</w:t>
      </w:r>
      <w:r w:rsidRPr="002F0DED">
        <w:rPr>
          <w:rFonts w:ascii="Calibri" w:hAnsi="Calibri" w:cs="Calibri"/>
          <w:i/>
        </w:rPr>
        <w:t>owiące podstawę do stwierdzenia nieważności podjętego aktu. Zgodnie bowiem z art. 91 ust. 1 zdanie 1 ustawy z dnia 8 marca 1990 r. o samorządzie gminnym (t.j. Dz.U. z 2017 r. poz. 1875 ze zm.), uchwała lub zarządzenie organu gminy sprzeczne z prawem są nie</w:t>
      </w:r>
      <w:r w:rsidRPr="002F0DED">
        <w:rPr>
          <w:rFonts w:ascii="Calibri" w:hAnsi="Calibri" w:cs="Calibri"/>
          <w:i/>
        </w:rPr>
        <w:t>ważne</w:t>
      </w:r>
      <w:r w:rsidRPr="002F0DED">
        <w:rPr>
          <w:rFonts w:ascii="Calibri" w:hAnsi="Calibri" w:cs="Calibri"/>
        </w:rPr>
        <w:t>.”</w:t>
      </w:r>
    </w:p>
    <w:p w:rsidR="002B0751" w:rsidRPr="00473F8B" w:rsidRDefault="009368B5" w:rsidP="002B0751">
      <w:pPr>
        <w:spacing w:line="360" w:lineRule="auto"/>
        <w:ind w:firstLine="709"/>
        <w:jc w:val="both"/>
      </w:pPr>
      <w:r w:rsidRPr="008271DB">
        <w:rPr>
          <w:rFonts w:asciiTheme="minorHAnsi" w:hAnsiTheme="minorHAnsi" w:cstheme="minorHAnsi"/>
        </w:rPr>
        <w:t>Mając na uwadze powyższe, stwierdzenie nieważności przedmiotowej uchwały</w:t>
      </w:r>
      <w:r>
        <w:rPr>
          <w:rFonts w:asciiTheme="minorHAnsi" w:hAnsiTheme="minorHAnsi" w:cstheme="minorHAnsi"/>
        </w:rPr>
        <w:t>, we </w:t>
      </w:r>
      <w:r w:rsidRPr="008271DB">
        <w:rPr>
          <w:rFonts w:asciiTheme="minorHAnsi" w:hAnsiTheme="minorHAnsi" w:cstheme="minorHAnsi"/>
        </w:rPr>
        <w:t>wskazanej w petitum części, jest w pełni uzasadnione.</w:t>
      </w:r>
    </w:p>
    <w:p w:rsidR="002B0751" w:rsidRPr="00C17B48" w:rsidRDefault="009368B5" w:rsidP="002B0751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C17B48">
        <w:rPr>
          <w:rFonts w:asciiTheme="minorHAnsi" w:hAnsiTheme="minorHAnsi" w:cstheme="minorHAnsi"/>
        </w:rPr>
        <w:t xml:space="preserve">Na niniejsze rozstrzygnięcie nadzorcze </w:t>
      </w:r>
      <w:r>
        <w:rPr>
          <w:rFonts w:asciiTheme="minorHAnsi" w:hAnsiTheme="minorHAnsi" w:cstheme="minorHAnsi"/>
        </w:rPr>
        <w:t>Gminie</w:t>
      </w:r>
      <w:r w:rsidRPr="00C17B48">
        <w:rPr>
          <w:rFonts w:asciiTheme="minorHAnsi" w:hAnsiTheme="minorHAnsi" w:cstheme="minorHAnsi"/>
        </w:rPr>
        <w:t xml:space="preserve"> przysługuje skarga do Wojewódzkiego Sądu Administracyjnego w Warszawie w terminie 30 dni od daty doręczenia, wnoszona za pośrednictwem organu, który skarżone orzeczenie wydał.</w:t>
      </w:r>
    </w:p>
    <w:p w:rsidR="002B0751" w:rsidRDefault="009368B5" w:rsidP="002B0751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C17B48">
        <w:rPr>
          <w:rFonts w:asciiTheme="minorHAnsi" w:hAnsiTheme="minorHAnsi" w:cstheme="minorHAnsi"/>
        </w:rPr>
        <w:t>Informuję, że rozstrzygnięcie nadzorcze wstrzymuje wykonanie uchwał</w:t>
      </w:r>
      <w:r>
        <w:rPr>
          <w:rFonts w:asciiTheme="minorHAnsi" w:hAnsiTheme="minorHAnsi" w:cstheme="minorHAnsi"/>
        </w:rPr>
        <w:t>y z mocy pra</w:t>
      </w:r>
      <w:r>
        <w:rPr>
          <w:rFonts w:asciiTheme="minorHAnsi" w:hAnsiTheme="minorHAnsi" w:cstheme="minorHAnsi"/>
        </w:rPr>
        <w:t>wa, w zakresie objętym orzeczeniem, z </w:t>
      </w:r>
      <w:r w:rsidRPr="00C17B48">
        <w:rPr>
          <w:rFonts w:asciiTheme="minorHAnsi" w:hAnsiTheme="minorHAnsi" w:cstheme="minorHAnsi"/>
        </w:rPr>
        <w:t>dniem jego doręczenia.</w:t>
      </w:r>
    </w:p>
    <w:p w:rsidR="00DC5208" w:rsidRDefault="009368B5" w:rsidP="008D4167">
      <w:pPr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25EC2" w:rsidTr="004C48E4">
        <w:tc>
          <w:tcPr>
            <w:tcW w:w="4814" w:type="dxa"/>
          </w:tcPr>
          <w:p w:rsidR="009D50A1" w:rsidRDefault="009368B5" w:rsidP="004C48E4">
            <w:pPr>
              <w:pStyle w:val="Teksttreci40"/>
              <w:shd w:val="clear" w:color="auto" w:fill="auto"/>
              <w:spacing w:line="360" w:lineRule="auto"/>
              <w:ind w:right="-2" w:firstLine="0"/>
              <w:jc w:val="center"/>
              <w:rPr>
                <w:b w:val="0"/>
                <w:sz w:val="24"/>
                <w:szCs w:val="24"/>
              </w:rPr>
            </w:pPr>
          </w:p>
          <w:p w:rsidR="009D50A1" w:rsidRDefault="009368B5" w:rsidP="004C48E4">
            <w:pPr>
              <w:pStyle w:val="Teksttreci40"/>
              <w:shd w:val="clear" w:color="auto" w:fill="auto"/>
              <w:spacing w:line="360" w:lineRule="auto"/>
              <w:ind w:right="-2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814" w:type="dxa"/>
            <w:hideMark/>
          </w:tcPr>
          <w:p w:rsidR="009D50A1" w:rsidRDefault="009368B5" w:rsidP="004C48E4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</w:rPr>
            </w:pPr>
            <w:r>
              <w:rPr>
                <w:b w:val="0"/>
                <w:i/>
                <w:sz w:val="24"/>
              </w:rPr>
              <w:t>Konstanty Radziwiłł</w:t>
            </w:r>
          </w:p>
          <w:p w:rsidR="009D50A1" w:rsidRDefault="009368B5" w:rsidP="004C48E4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</w:rPr>
            </w:pPr>
            <w:r w:rsidRPr="00F10D15">
              <w:rPr>
                <w:b w:val="0"/>
                <w:i/>
                <w:sz w:val="24"/>
              </w:rPr>
              <w:t>Wojewoda Mazow</w:t>
            </w:r>
            <w:r>
              <w:rPr>
                <w:b w:val="0"/>
                <w:i/>
                <w:sz w:val="24"/>
              </w:rPr>
              <w:t xml:space="preserve">iecki </w:t>
            </w:r>
          </w:p>
          <w:p w:rsidR="009D50A1" w:rsidRPr="00F10D15" w:rsidRDefault="009368B5" w:rsidP="004C48E4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</w:rPr>
              <w:t>/</w:t>
            </w:r>
            <w:r w:rsidRPr="00F10D15">
              <w:rPr>
                <w:b w:val="0"/>
                <w:i/>
                <w:sz w:val="24"/>
              </w:rPr>
              <w:t>podpisano elektronicznie/</w:t>
            </w:r>
          </w:p>
        </w:tc>
      </w:tr>
    </w:tbl>
    <w:p w:rsidR="002960B0" w:rsidRPr="00096F3B" w:rsidRDefault="009368B5" w:rsidP="00ED117C">
      <w:pPr>
        <w:pStyle w:val="Teksttreci40"/>
        <w:shd w:val="clear" w:color="auto" w:fill="auto"/>
        <w:spacing w:line="360" w:lineRule="auto"/>
        <w:ind w:right="-2"/>
        <w:rPr>
          <w:b w:val="0"/>
          <w:sz w:val="24"/>
          <w:szCs w:val="24"/>
        </w:rPr>
      </w:pPr>
    </w:p>
    <w:sectPr w:rsidR="002960B0" w:rsidRPr="00096F3B" w:rsidSect="00AA77C0"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8B5" w:rsidRDefault="009368B5">
      <w:r>
        <w:separator/>
      </w:r>
    </w:p>
  </w:endnote>
  <w:endnote w:type="continuationSeparator" w:id="0">
    <w:p w:rsidR="009368B5" w:rsidRDefault="0093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2949310"/>
      <w:docPartObj>
        <w:docPartGallery w:val="Page Numbers (Bottom of Page)"/>
        <w:docPartUnique/>
      </w:docPartObj>
    </w:sdtPr>
    <w:sdtEndPr/>
    <w:sdtContent>
      <w:p w:rsidR="00AA77C0" w:rsidRDefault="009368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AA77C0" w:rsidRDefault="009368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8B5" w:rsidRDefault="009368B5">
      <w:r>
        <w:separator/>
      </w:r>
    </w:p>
  </w:footnote>
  <w:footnote w:type="continuationSeparator" w:id="0">
    <w:p w:rsidR="009368B5" w:rsidRDefault="00936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110C"/>
    <w:multiLevelType w:val="hybridMultilevel"/>
    <w:tmpl w:val="A4EEB186"/>
    <w:lvl w:ilvl="0" w:tplc="FFD2AB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A6BA98" w:tentative="1">
      <w:start w:val="1"/>
      <w:numFmt w:val="lowerLetter"/>
      <w:lvlText w:val="%2."/>
      <w:lvlJc w:val="left"/>
      <w:pPr>
        <w:ind w:left="1440" w:hanging="360"/>
      </w:pPr>
    </w:lvl>
    <w:lvl w:ilvl="2" w:tplc="ED30DB10" w:tentative="1">
      <w:start w:val="1"/>
      <w:numFmt w:val="lowerRoman"/>
      <w:lvlText w:val="%3."/>
      <w:lvlJc w:val="right"/>
      <w:pPr>
        <w:ind w:left="2160" w:hanging="180"/>
      </w:pPr>
    </w:lvl>
    <w:lvl w:ilvl="3" w:tplc="9D6CD262" w:tentative="1">
      <w:start w:val="1"/>
      <w:numFmt w:val="decimal"/>
      <w:lvlText w:val="%4."/>
      <w:lvlJc w:val="left"/>
      <w:pPr>
        <w:ind w:left="2880" w:hanging="360"/>
      </w:pPr>
    </w:lvl>
    <w:lvl w:ilvl="4" w:tplc="7884D978" w:tentative="1">
      <w:start w:val="1"/>
      <w:numFmt w:val="lowerLetter"/>
      <w:lvlText w:val="%5."/>
      <w:lvlJc w:val="left"/>
      <w:pPr>
        <w:ind w:left="3600" w:hanging="360"/>
      </w:pPr>
    </w:lvl>
    <w:lvl w:ilvl="5" w:tplc="758AC590" w:tentative="1">
      <w:start w:val="1"/>
      <w:numFmt w:val="lowerRoman"/>
      <w:lvlText w:val="%6."/>
      <w:lvlJc w:val="right"/>
      <w:pPr>
        <w:ind w:left="4320" w:hanging="180"/>
      </w:pPr>
    </w:lvl>
    <w:lvl w:ilvl="6" w:tplc="C6C290C6" w:tentative="1">
      <w:start w:val="1"/>
      <w:numFmt w:val="decimal"/>
      <w:lvlText w:val="%7."/>
      <w:lvlJc w:val="left"/>
      <w:pPr>
        <w:ind w:left="5040" w:hanging="360"/>
      </w:pPr>
    </w:lvl>
    <w:lvl w:ilvl="7" w:tplc="A7A4EF82" w:tentative="1">
      <w:start w:val="1"/>
      <w:numFmt w:val="lowerLetter"/>
      <w:lvlText w:val="%8."/>
      <w:lvlJc w:val="left"/>
      <w:pPr>
        <w:ind w:left="5760" w:hanging="360"/>
      </w:pPr>
    </w:lvl>
    <w:lvl w:ilvl="8" w:tplc="FE6400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5196D"/>
    <w:multiLevelType w:val="multilevel"/>
    <w:tmpl w:val="35602C5E"/>
    <w:lvl w:ilvl="0">
      <w:start w:val="5"/>
      <w:numFmt w:val="decimalZero"/>
      <w:lvlText w:val="%1"/>
      <w:lvlJc w:val="left"/>
      <w:pPr>
        <w:ind w:left="840" w:hanging="840"/>
      </w:pPr>
    </w:lvl>
    <w:lvl w:ilvl="1">
      <w:start w:val="816"/>
      <w:numFmt w:val="decimal"/>
      <w:lvlText w:val="%1-%2"/>
      <w:lvlJc w:val="left"/>
      <w:pPr>
        <w:ind w:left="840" w:hanging="840"/>
      </w:pPr>
    </w:lvl>
    <w:lvl w:ilvl="2">
      <w:start w:val="1"/>
      <w:numFmt w:val="decimal"/>
      <w:lvlText w:val="%1-%2.%3"/>
      <w:lvlJc w:val="left"/>
      <w:pPr>
        <w:ind w:left="840" w:hanging="84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2" w15:restartNumberingAfterBreak="0">
    <w:nsid w:val="7F6A5942"/>
    <w:multiLevelType w:val="multilevel"/>
    <w:tmpl w:val="160AC26E"/>
    <w:lvl w:ilvl="0">
      <w:start w:val="5"/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start w:val="816"/>
      <w:numFmt w:val="decimal"/>
      <w:lvlText w:val="%1-%2"/>
      <w:lvlJc w:val="left"/>
      <w:pPr>
        <w:ind w:left="5910" w:hanging="8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80" w:hanging="8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50" w:hanging="8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3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4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8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60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317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5"/>
    </w:lvlOverride>
    <w:lvlOverride w:ilvl="1">
      <w:startOverride w:val="8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EC2"/>
    <w:rsid w:val="00425EC2"/>
    <w:rsid w:val="009368B5"/>
    <w:rsid w:val="00A2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271B3-5435-4D25-B657-98FC9285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2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link w:val="Teksttreci40"/>
    <w:locked/>
    <w:rsid w:val="008B2515"/>
    <w:rPr>
      <w:rFonts w:ascii="Calibri" w:hAnsi="Calibri"/>
      <w:b/>
      <w:sz w:val="2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8B2515"/>
    <w:pPr>
      <w:widowControl w:val="0"/>
      <w:shd w:val="clear" w:color="auto" w:fill="FFFFFF"/>
      <w:spacing w:line="338" w:lineRule="exact"/>
      <w:ind w:firstLine="709"/>
      <w:jc w:val="both"/>
    </w:pPr>
    <w:rPr>
      <w:rFonts w:ascii="Calibri" w:eastAsiaTheme="minorHAnsi" w:hAnsi="Calibri" w:cstheme="minorBidi"/>
      <w:b/>
      <w:sz w:val="28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C811FC"/>
    <w:rPr>
      <w:i/>
      <w:iCs/>
    </w:rPr>
  </w:style>
  <w:style w:type="character" w:styleId="Hipercze">
    <w:name w:val="Hyperlink"/>
    <w:basedOn w:val="Domylnaczcionkaakapitu"/>
    <w:uiPriority w:val="99"/>
    <w:unhideWhenUsed/>
    <w:rsid w:val="00C811F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11FC"/>
    <w:pPr>
      <w:ind w:left="720"/>
      <w:contextualSpacing/>
    </w:pPr>
  </w:style>
  <w:style w:type="character" w:customStyle="1" w:styleId="alb">
    <w:name w:val="a_lb"/>
    <w:basedOn w:val="Domylnaczcionkaakapitu"/>
    <w:rsid w:val="00F27F5C"/>
  </w:style>
  <w:style w:type="character" w:customStyle="1" w:styleId="alb-s">
    <w:name w:val="a_lb-s"/>
    <w:basedOn w:val="Domylnaczcionkaakapitu"/>
    <w:rsid w:val="00F27F5C"/>
  </w:style>
  <w:style w:type="paragraph" w:styleId="NormalnyWeb">
    <w:name w:val="Normal (Web)"/>
    <w:basedOn w:val="Normalny"/>
    <w:uiPriority w:val="99"/>
    <w:semiHidden/>
    <w:unhideWhenUsed/>
    <w:rsid w:val="00F27F5C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47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4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6474"/>
    <w:rPr>
      <w:vertAlign w:val="superscript"/>
    </w:rPr>
  </w:style>
  <w:style w:type="table" w:styleId="Tabela-Siatka">
    <w:name w:val="Table Grid"/>
    <w:basedOn w:val="Standardowy"/>
    <w:uiPriority w:val="39"/>
    <w:rsid w:val="00296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6B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B2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rzxr">
    <w:name w:val="lrzxr"/>
    <w:rsid w:val="007C1BD0"/>
  </w:style>
  <w:style w:type="paragraph" w:customStyle="1" w:styleId="Default">
    <w:name w:val="Default"/>
    <w:rsid w:val="006054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A77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77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77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77C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44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44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44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4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4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2A3A7F"/>
  </w:style>
  <w:style w:type="character" w:customStyle="1" w:styleId="Teksttreci2">
    <w:name w:val="Tekst treści (2)_"/>
    <w:basedOn w:val="Domylnaczcionkaakapitu"/>
    <w:link w:val="Teksttreci20"/>
    <w:rsid w:val="00A362D5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362D5"/>
    <w:pPr>
      <w:widowControl w:val="0"/>
      <w:shd w:val="clear" w:color="auto" w:fill="FFFFFF"/>
      <w:spacing w:before="240" w:after="60" w:line="0" w:lineRule="atLeas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g-scope">
    <w:name w:val="ng-scope"/>
    <w:basedOn w:val="Normalny"/>
    <w:rsid w:val="00FB4C06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B4C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31B00-B3D6-4340-A188-5123065AB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1403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Sioch-Suchecka</dc:creator>
  <cp:lastModifiedBy>Beata Darnowska</cp:lastModifiedBy>
  <cp:revision>2</cp:revision>
  <cp:lastPrinted>2020-06-29T12:55:00Z</cp:lastPrinted>
  <dcterms:created xsi:type="dcterms:W3CDTF">2020-11-30T14:51:00Z</dcterms:created>
  <dcterms:modified xsi:type="dcterms:W3CDTF">2020-11-30T14:51:00Z</dcterms:modified>
</cp:coreProperties>
</file>