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A7C4" w14:textId="77777777" w:rsidR="00582A76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proofErr w:type="gramStart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12</w:t>
      </w:r>
      <w:proofErr w:type="gramEnd"/>
      <w:r w:rsidRPr="007A2AF9">
        <w:rPr>
          <w:rFonts w:asciiTheme="minorHAnsi" w:hAnsiTheme="minorHAnsi"/>
          <w:sz w:val="24"/>
          <w:szCs w:val="24"/>
        </w:rPr>
        <w:t xml:space="preserve"> lutego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02DC399" w14:textId="77777777" w:rsidR="00582A76" w:rsidRPr="000F0711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0F0711">
        <w:rPr>
          <w:rFonts w:asciiTheme="minorHAnsi" w:hAnsiTheme="minorHAnsi"/>
          <w:b/>
          <w:bCs/>
          <w:sz w:val="24"/>
          <w:szCs w:val="24"/>
        </w:rPr>
        <w:t>NSP-III.7570.714.2023</w:t>
      </w:r>
      <w:bookmarkEnd w:id="2"/>
      <w:r w:rsidRPr="000F0711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0F0711">
        <w:rPr>
          <w:rFonts w:asciiTheme="minorHAnsi" w:hAnsiTheme="minorHAnsi"/>
          <w:b/>
          <w:bCs/>
          <w:sz w:val="24"/>
          <w:szCs w:val="24"/>
        </w:rPr>
        <w:t>PM</w:t>
      </w:r>
      <w:bookmarkEnd w:id="3"/>
    </w:p>
    <w:p w14:paraId="66B5A3AA" w14:textId="77777777" w:rsidR="00582A76" w:rsidRPr="00991381" w:rsidRDefault="00582A76" w:rsidP="000F0711">
      <w:pPr>
        <w:suppressAutoHyphens/>
        <w:spacing w:before="80" w:after="80"/>
        <w:rPr>
          <w:rFonts w:asciiTheme="minorHAnsi" w:hAnsiTheme="minorHAnsi"/>
          <w:sz w:val="28"/>
          <w:szCs w:val="28"/>
        </w:rPr>
      </w:pPr>
    </w:p>
    <w:p w14:paraId="61549DDA" w14:textId="77777777" w:rsidR="00582A76" w:rsidRDefault="00582A76" w:rsidP="00F94036">
      <w:pPr>
        <w:suppressAutoHyphens/>
        <w:spacing w:before="80" w:after="80"/>
        <w:jc w:val="center"/>
        <w:rPr>
          <w:rFonts w:asciiTheme="minorHAnsi" w:hAnsiTheme="minorHAnsi"/>
          <w:b/>
          <w:sz w:val="28"/>
          <w:szCs w:val="28"/>
        </w:rPr>
      </w:pPr>
    </w:p>
    <w:p w14:paraId="0638A005" w14:textId="77777777" w:rsidR="00582A76" w:rsidRPr="00991381" w:rsidRDefault="00000000" w:rsidP="00F94036">
      <w:pPr>
        <w:suppressAutoHyphens/>
        <w:spacing w:before="80" w:after="80"/>
        <w:jc w:val="center"/>
        <w:rPr>
          <w:rFonts w:asciiTheme="minorHAnsi" w:hAnsiTheme="minorHAnsi"/>
          <w:b/>
          <w:sz w:val="28"/>
          <w:szCs w:val="28"/>
        </w:rPr>
      </w:pPr>
      <w:r w:rsidRPr="00991381">
        <w:rPr>
          <w:rFonts w:asciiTheme="minorHAnsi" w:hAnsiTheme="minorHAnsi"/>
          <w:b/>
          <w:sz w:val="28"/>
          <w:szCs w:val="28"/>
        </w:rPr>
        <w:t>OBWIESZCZENIE</w:t>
      </w:r>
    </w:p>
    <w:p w14:paraId="455FA1E7" w14:textId="77777777" w:rsidR="00582A76" w:rsidRPr="000F0711" w:rsidRDefault="00582A76" w:rsidP="00F94036">
      <w:pPr>
        <w:suppressAutoHyphens/>
        <w:spacing w:before="80" w:after="80"/>
        <w:jc w:val="both"/>
        <w:rPr>
          <w:rFonts w:asciiTheme="minorHAnsi" w:hAnsiTheme="minorHAnsi"/>
          <w:sz w:val="24"/>
          <w:szCs w:val="24"/>
        </w:rPr>
      </w:pPr>
    </w:p>
    <w:p w14:paraId="00D2FCB4" w14:textId="77777777" w:rsidR="00582A76" w:rsidRPr="000F0711" w:rsidRDefault="00000000" w:rsidP="00F94036">
      <w:pPr>
        <w:suppressAutoHyphens/>
        <w:spacing w:before="80" w:after="80"/>
        <w:jc w:val="both"/>
        <w:rPr>
          <w:rFonts w:asciiTheme="minorHAnsi" w:hAnsiTheme="minorHAnsi"/>
          <w:sz w:val="24"/>
          <w:szCs w:val="24"/>
        </w:rPr>
      </w:pPr>
      <w:r w:rsidRPr="000F0711">
        <w:rPr>
          <w:rFonts w:asciiTheme="minorHAnsi" w:hAnsiTheme="minorHAnsi"/>
          <w:sz w:val="24"/>
          <w:szCs w:val="24"/>
        </w:rPr>
        <w:t>Wojewoda Pomorski, działając na podstawie art. 49 ustawy z dnia 14 czerwca 1960 r. - Kodeks postępowania administracyjnego (j.t. Dz. U. z 2025 r., poz. 1691), a także art. 8 ustawy z dnia 21 sierpnia 1997 r. o gospodarce nieruchomościami (j.t. Dz. U. z 2024 r., poz.</w:t>
      </w:r>
      <w:r>
        <w:rPr>
          <w:rFonts w:asciiTheme="minorHAnsi" w:hAnsiTheme="minorHAnsi"/>
          <w:sz w:val="24"/>
          <w:szCs w:val="24"/>
        </w:rPr>
        <w:t> </w:t>
      </w:r>
      <w:r w:rsidRPr="000F0711">
        <w:rPr>
          <w:rFonts w:asciiTheme="minorHAnsi" w:hAnsiTheme="minorHAnsi"/>
          <w:sz w:val="24"/>
          <w:szCs w:val="24"/>
        </w:rPr>
        <w:t>1145 ze zm.) oraz art. 23 i art. 12 ust. 4a ustawy z dnia 10 kwietnia 2003 r. o</w:t>
      </w:r>
      <w:r>
        <w:rPr>
          <w:rFonts w:asciiTheme="minorHAnsi" w:hAnsiTheme="minorHAnsi"/>
          <w:sz w:val="24"/>
          <w:szCs w:val="24"/>
        </w:rPr>
        <w:t> </w:t>
      </w:r>
      <w:r w:rsidRPr="000F0711">
        <w:rPr>
          <w:rFonts w:asciiTheme="minorHAnsi" w:hAnsiTheme="minorHAnsi"/>
          <w:sz w:val="24"/>
          <w:szCs w:val="24"/>
        </w:rPr>
        <w:t xml:space="preserve">szczególnych zasadach przygotowania i realizacji inwestycji w zakresie dróg publicznych </w:t>
      </w:r>
      <w:r>
        <w:rPr>
          <w:rFonts w:asciiTheme="minorHAnsi" w:hAnsiTheme="minorHAnsi"/>
          <w:sz w:val="24"/>
          <w:szCs w:val="24"/>
        </w:rPr>
        <w:t xml:space="preserve"> </w:t>
      </w:r>
      <w:r w:rsidRPr="000F0711">
        <w:rPr>
          <w:rFonts w:asciiTheme="minorHAnsi" w:hAnsiTheme="minorHAnsi"/>
          <w:iCs/>
          <w:sz w:val="24"/>
          <w:szCs w:val="24"/>
        </w:rPr>
        <w:t>(j.t. Dz. U. z 2024 r., poz. 311</w:t>
      </w:r>
      <w:r w:rsidRPr="000F0711">
        <w:rPr>
          <w:rFonts w:asciiTheme="minorHAnsi" w:hAnsiTheme="minorHAnsi"/>
          <w:sz w:val="24"/>
          <w:szCs w:val="24"/>
        </w:rPr>
        <w:t xml:space="preserve">), podaje do publicznej wiadomości, że w dniu </w:t>
      </w:r>
      <w:r>
        <w:rPr>
          <w:rFonts w:asciiTheme="minorHAnsi" w:hAnsiTheme="minorHAnsi"/>
          <w:sz w:val="24"/>
          <w:szCs w:val="24"/>
        </w:rPr>
        <w:t>12 lutego</w:t>
      </w:r>
      <w:r w:rsidRPr="000F0711">
        <w:rPr>
          <w:rFonts w:asciiTheme="minorHAnsi" w:hAnsiTheme="minorHAnsi"/>
          <w:sz w:val="24"/>
          <w:szCs w:val="24"/>
        </w:rPr>
        <w:t xml:space="preserve"> 202</w:t>
      </w:r>
      <w:r>
        <w:rPr>
          <w:rFonts w:asciiTheme="minorHAnsi" w:hAnsiTheme="minorHAnsi"/>
          <w:sz w:val="24"/>
          <w:szCs w:val="24"/>
        </w:rPr>
        <w:t>6</w:t>
      </w:r>
      <w:r w:rsidRPr="000F0711">
        <w:rPr>
          <w:rFonts w:asciiTheme="minorHAnsi" w:hAnsiTheme="minorHAnsi"/>
          <w:sz w:val="24"/>
          <w:szCs w:val="24"/>
        </w:rPr>
        <w:t xml:space="preserve"> r. wydał decyzję administracyjną nr NSP-III.7570.714.2023.PM</w:t>
      </w:r>
      <w:r>
        <w:rPr>
          <w:rFonts w:asciiTheme="minorHAnsi" w:hAnsiTheme="minorHAnsi"/>
          <w:sz w:val="24"/>
          <w:szCs w:val="24"/>
        </w:rPr>
        <w:t xml:space="preserve"> </w:t>
      </w:r>
      <w:r w:rsidRPr="000F0711">
        <w:rPr>
          <w:rFonts w:asciiTheme="minorHAnsi" w:hAnsiTheme="minorHAnsi"/>
          <w:sz w:val="24"/>
          <w:szCs w:val="24"/>
        </w:rPr>
        <w:t>w sprawie ustalenia odszkodowania</w:t>
      </w:r>
      <w:r w:rsidRPr="00991381">
        <w:rPr>
          <w:rFonts w:asciiTheme="minorHAnsi" w:hAnsiTheme="minorHAnsi"/>
          <w:color w:val="EE0000"/>
          <w:sz w:val="24"/>
          <w:szCs w:val="24"/>
        </w:rPr>
        <w:t xml:space="preserve"> </w:t>
      </w:r>
      <w:r w:rsidRPr="00A72CF7">
        <w:rPr>
          <w:rFonts w:asciiTheme="minorHAnsi" w:hAnsiTheme="minorHAnsi"/>
          <w:color w:val="000000" w:themeColor="text1"/>
          <w:sz w:val="24"/>
          <w:szCs w:val="24"/>
        </w:rPr>
        <w:t xml:space="preserve">za nieruchomość </w:t>
      </w:r>
      <w:r w:rsidRPr="00394081">
        <w:rPr>
          <w:rFonts w:asciiTheme="minorHAnsi" w:hAnsiTheme="minorHAnsi"/>
          <w:sz w:val="24"/>
          <w:szCs w:val="24"/>
        </w:rPr>
        <w:t xml:space="preserve">oznaczoną jako </w:t>
      </w:r>
      <w:r w:rsidRPr="00E36C27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działka </w:t>
      </w:r>
      <w:r w:rsidRPr="00E36C27"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nr 133/58 o pow. 0,0091 ha</w:t>
      </w:r>
      <w:r w:rsidRPr="00E36C27">
        <w:rPr>
          <w:rFonts w:asciiTheme="minorHAnsi" w:eastAsia="Arial Unicode MS" w:hAnsiTheme="minorHAnsi" w:cstheme="minorHAnsi"/>
          <w:bCs/>
          <w:kern w:val="1"/>
          <w:sz w:val="24"/>
          <w:szCs w:val="24"/>
          <w:lang w:eastAsia="ar-SA"/>
        </w:rPr>
        <w:t>,</w:t>
      </w:r>
      <w:r w:rsidRPr="00E36C27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 która powstała z podziału działki </w:t>
      </w:r>
      <w:r w:rsidRPr="00E36C27"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nr</w:t>
      </w:r>
      <w:r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 </w:t>
      </w:r>
      <w:r w:rsidRPr="00E36C27"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133/7</w:t>
      </w:r>
      <w:r w:rsidRPr="00E36C27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, położoną w gminie </w:t>
      </w:r>
      <w:r w:rsidRPr="00E36C27">
        <w:rPr>
          <w:rFonts w:asciiTheme="minorHAnsi" w:eastAsia="Arial Unicode MS" w:hAnsiTheme="minorHAnsi" w:cstheme="minorHAnsi"/>
          <w:b/>
          <w:bCs/>
          <w:kern w:val="1"/>
          <w:sz w:val="24"/>
          <w:szCs w:val="24"/>
          <w:lang w:eastAsia="ar-SA"/>
        </w:rPr>
        <w:t>Żukowo</w:t>
      </w:r>
      <w:r w:rsidRPr="00E36C27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, obręb </w:t>
      </w:r>
      <w:proofErr w:type="spellStart"/>
      <w:r w:rsidRPr="00E36C27">
        <w:rPr>
          <w:rFonts w:asciiTheme="minorHAnsi" w:eastAsia="Arial Unicode MS" w:hAnsiTheme="minorHAnsi" w:cstheme="minorHAnsi"/>
          <w:b/>
          <w:bCs/>
          <w:kern w:val="1"/>
          <w:sz w:val="24"/>
          <w:szCs w:val="24"/>
          <w:lang w:eastAsia="ar-SA"/>
        </w:rPr>
        <w:t>Glincz</w:t>
      </w:r>
      <w:proofErr w:type="spellEnd"/>
      <w:r w:rsidRPr="00E36C27">
        <w:rPr>
          <w:rFonts w:asciiTheme="minorHAnsi" w:eastAsia="Arial Unicode MS" w:hAnsiTheme="minorHAnsi" w:cstheme="minorHAnsi"/>
          <w:b/>
          <w:bCs/>
          <w:kern w:val="1"/>
          <w:sz w:val="24"/>
          <w:szCs w:val="24"/>
          <w:lang w:eastAsia="ar-SA"/>
        </w:rPr>
        <w:t xml:space="preserve"> (nr 0012)</w:t>
      </w:r>
      <w:r w:rsidRPr="00E36C27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, powiat kartuski, </w:t>
      </w:r>
      <w:r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>której własność przeszła z mocy prawa na rzecz Skarbu Państwa na podstawie ostatecznej decyzji</w:t>
      </w:r>
      <w:r w:rsidRPr="00E36C27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 Wojewody Pomorskiego z dnia 28 marca 2023 r. nr WI-III.7820.3.2022.MKH o zezwoleniu na</w:t>
      </w:r>
      <w:r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> </w:t>
      </w:r>
      <w:r w:rsidRPr="00E36C27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realizację inwestycji drogowej pn. </w:t>
      </w:r>
      <w:r w:rsidRPr="00E36C27">
        <w:rPr>
          <w:rFonts w:asciiTheme="minorHAnsi" w:eastAsia="Arial Unicode MS" w:hAnsiTheme="minorHAnsi" w:cstheme="minorHAnsi"/>
          <w:i/>
          <w:iCs/>
          <w:kern w:val="1"/>
          <w:sz w:val="24"/>
          <w:szCs w:val="24"/>
          <w:lang w:eastAsia="ar-SA"/>
        </w:rPr>
        <w:t xml:space="preserve">"Budowa Obwodnicy Metropolii Trójmiejskiej. </w:t>
      </w:r>
      <w:r w:rsidRPr="00E36C27">
        <w:rPr>
          <w:rFonts w:asciiTheme="minorHAnsi" w:hAnsiTheme="minorHAnsi" w:cstheme="minorHAnsi"/>
          <w:i/>
          <w:iCs/>
          <w:sz w:val="24"/>
          <w:szCs w:val="24"/>
        </w:rPr>
        <w:t>Zadanie 2: węzeł Żukowo (z węzłem) – węzeł Gdańsk Południe (z</w:t>
      </w:r>
      <w:r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Pr="00E36C27">
        <w:rPr>
          <w:rFonts w:asciiTheme="minorHAnsi" w:hAnsiTheme="minorHAnsi" w:cstheme="minorHAnsi"/>
          <w:i/>
          <w:iCs/>
          <w:sz w:val="24"/>
          <w:szCs w:val="24"/>
        </w:rPr>
        <w:t>węzłem)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36C27">
        <w:rPr>
          <w:rFonts w:asciiTheme="minorHAnsi" w:hAnsiTheme="minorHAnsi" w:cstheme="minorHAnsi"/>
          <w:i/>
          <w:iCs/>
          <w:sz w:val="24"/>
          <w:szCs w:val="24"/>
        </w:rPr>
        <w:t>– Odcinek A od km 17+606,73 do km 30+874,09</w:t>
      </w:r>
      <w:r w:rsidRPr="000F0711">
        <w:rPr>
          <w:rFonts w:asciiTheme="minorHAnsi" w:hAnsiTheme="minorHAnsi"/>
          <w:i/>
          <w:iCs/>
          <w:sz w:val="24"/>
          <w:szCs w:val="24"/>
        </w:rPr>
        <w:t>"</w:t>
      </w:r>
      <w:r w:rsidRPr="000F0711">
        <w:rPr>
          <w:rFonts w:asciiTheme="minorHAnsi" w:hAnsiTheme="minorHAnsi"/>
          <w:sz w:val="24"/>
          <w:szCs w:val="24"/>
        </w:rPr>
        <w:t>.</w:t>
      </w:r>
    </w:p>
    <w:p w14:paraId="39353A71" w14:textId="6D991A90" w:rsidR="00582A76" w:rsidRPr="000F0711" w:rsidRDefault="00000000" w:rsidP="00F94036">
      <w:pPr>
        <w:suppressAutoHyphens/>
        <w:spacing w:before="80" w:after="80"/>
        <w:jc w:val="both"/>
        <w:rPr>
          <w:rFonts w:asciiTheme="minorHAnsi" w:hAnsiTheme="minorHAnsi"/>
          <w:sz w:val="24"/>
          <w:szCs w:val="24"/>
        </w:rPr>
      </w:pPr>
      <w:r w:rsidRPr="000F0711">
        <w:rPr>
          <w:rFonts w:asciiTheme="minorHAnsi" w:hAnsiTheme="minorHAnsi"/>
          <w:sz w:val="24"/>
          <w:szCs w:val="24"/>
        </w:rPr>
        <w:t>Informuję, że w toku prowadzonego postępowania nie udało się ustalić adres</w:t>
      </w:r>
      <w:r>
        <w:rPr>
          <w:rFonts w:asciiTheme="minorHAnsi" w:hAnsiTheme="minorHAnsi"/>
          <w:sz w:val="24"/>
          <w:szCs w:val="24"/>
        </w:rPr>
        <w:t>u</w:t>
      </w:r>
      <w:r w:rsidRPr="000F0711">
        <w:rPr>
          <w:rFonts w:asciiTheme="minorHAnsi" w:hAnsiTheme="minorHAnsi"/>
          <w:sz w:val="24"/>
          <w:szCs w:val="24"/>
        </w:rPr>
        <w:t xml:space="preserve"> zamieszkania lub miejsc</w:t>
      </w:r>
      <w:r>
        <w:rPr>
          <w:rFonts w:asciiTheme="minorHAnsi" w:hAnsiTheme="minorHAnsi"/>
          <w:sz w:val="24"/>
          <w:szCs w:val="24"/>
        </w:rPr>
        <w:t>a</w:t>
      </w:r>
      <w:r w:rsidRPr="000F0711">
        <w:rPr>
          <w:rFonts w:asciiTheme="minorHAnsi" w:hAnsiTheme="minorHAnsi"/>
          <w:sz w:val="24"/>
          <w:szCs w:val="24"/>
        </w:rPr>
        <w:t xml:space="preserve"> pobytu </w:t>
      </w:r>
      <w:r>
        <w:rPr>
          <w:rFonts w:asciiTheme="minorHAnsi" w:hAnsiTheme="minorHAnsi"/>
          <w:b/>
          <w:bCs/>
          <w:sz w:val="24"/>
          <w:szCs w:val="24"/>
        </w:rPr>
        <w:t>Pana Michała Kamińskiego</w:t>
      </w:r>
      <w:r w:rsidRPr="00991381">
        <w:rPr>
          <w:rFonts w:asciiTheme="minorHAnsi" w:hAnsiTheme="minorHAnsi"/>
          <w:sz w:val="24"/>
          <w:szCs w:val="24"/>
        </w:rPr>
        <w:t>,</w:t>
      </w:r>
      <w:r w:rsidRPr="000F0711">
        <w:rPr>
          <w:rFonts w:asciiTheme="minorHAnsi" w:hAnsiTheme="minorHAnsi"/>
          <w:sz w:val="24"/>
          <w:szCs w:val="24"/>
        </w:rPr>
        <w:t xml:space="preserve"> któr</w:t>
      </w:r>
      <w:r>
        <w:rPr>
          <w:rFonts w:asciiTheme="minorHAnsi" w:hAnsiTheme="minorHAnsi"/>
          <w:sz w:val="24"/>
          <w:szCs w:val="24"/>
        </w:rPr>
        <w:t>emu</w:t>
      </w:r>
      <w:r w:rsidRPr="000F0711">
        <w:rPr>
          <w:rFonts w:asciiTheme="minorHAnsi" w:hAnsiTheme="minorHAnsi"/>
          <w:sz w:val="24"/>
          <w:szCs w:val="24"/>
        </w:rPr>
        <w:t xml:space="preserve"> w niniejszym postępowaniu przysługiwał status stron</w:t>
      </w:r>
      <w:r>
        <w:rPr>
          <w:rFonts w:asciiTheme="minorHAnsi" w:hAnsiTheme="minorHAnsi"/>
          <w:sz w:val="24"/>
          <w:szCs w:val="24"/>
        </w:rPr>
        <w:t>y</w:t>
      </w:r>
      <w:r w:rsidRPr="000F0711">
        <w:rPr>
          <w:rFonts w:asciiTheme="minorHAnsi" w:hAnsiTheme="minorHAnsi"/>
          <w:sz w:val="24"/>
          <w:szCs w:val="24"/>
        </w:rPr>
        <w:t>.</w:t>
      </w:r>
    </w:p>
    <w:p w14:paraId="4A0FCB9B" w14:textId="77777777" w:rsidR="00582A76" w:rsidRPr="00586A32" w:rsidRDefault="00000000" w:rsidP="00F94036">
      <w:pPr>
        <w:suppressAutoHyphens/>
        <w:spacing w:before="80" w:after="80"/>
        <w:jc w:val="both"/>
        <w:rPr>
          <w:rFonts w:asciiTheme="minorHAnsi" w:hAnsiTheme="minorHAnsi"/>
          <w:sz w:val="24"/>
          <w:szCs w:val="24"/>
        </w:rPr>
      </w:pPr>
      <w:r w:rsidRPr="000F0711">
        <w:rPr>
          <w:rFonts w:asciiTheme="minorHAnsi" w:hAnsiTheme="minorHAnsi"/>
          <w:sz w:val="24"/>
          <w:szCs w:val="24"/>
        </w:rPr>
        <w:t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(pokój nr 4</w:t>
      </w:r>
      <w:r>
        <w:rPr>
          <w:rFonts w:asciiTheme="minorHAnsi" w:hAnsiTheme="minorHAnsi"/>
          <w:sz w:val="24"/>
          <w:szCs w:val="24"/>
        </w:rPr>
        <w:t>40</w:t>
      </w:r>
      <w:r w:rsidRPr="000F0711">
        <w:rPr>
          <w:rFonts w:asciiTheme="minorHAnsi" w:hAnsiTheme="minorHAnsi"/>
          <w:sz w:val="24"/>
          <w:szCs w:val="24"/>
        </w:rPr>
        <w:t>, IV piętro) w godzinach urzędowan</w:t>
      </w:r>
      <w:r w:rsidRPr="008325B1">
        <w:rPr>
          <w:rFonts w:asciiTheme="minorHAnsi" w:hAnsiTheme="minorHAnsi"/>
          <w:sz w:val="24"/>
          <w:szCs w:val="24"/>
        </w:rPr>
        <w:t xml:space="preserve">ia: 9:00-14:00, </w:t>
      </w:r>
      <w:r w:rsidRPr="000F0711">
        <w:rPr>
          <w:rFonts w:asciiTheme="minorHAnsi" w:hAnsiTheme="minorHAnsi"/>
          <w:sz w:val="24"/>
          <w:szCs w:val="24"/>
        </w:rPr>
        <w:br/>
        <w:t>po uprzednim uzgodnieniu terminu, numer telefonu (58) 30 77 57</w:t>
      </w:r>
      <w:r>
        <w:rPr>
          <w:rFonts w:asciiTheme="minorHAnsi" w:hAnsiTheme="minorHAnsi"/>
          <w:sz w:val="24"/>
          <w:szCs w:val="24"/>
        </w:rPr>
        <w:t>0</w:t>
      </w:r>
      <w:r w:rsidRPr="000F0711">
        <w:rPr>
          <w:rFonts w:asciiTheme="minorHAnsi" w:hAnsiTheme="minorHAnsi"/>
          <w:sz w:val="24"/>
          <w:szCs w:val="24"/>
        </w:rPr>
        <w:t xml:space="preserve"> oraz po wykazaniu tytułu prawnego do nieruchomości.</w:t>
      </w:r>
    </w:p>
    <w:p w14:paraId="5B02D458" w14:textId="77777777" w:rsidR="00582A76" w:rsidRDefault="00000000" w:rsidP="00F94036">
      <w:pPr>
        <w:suppressAutoHyphens/>
        <w:spacing w:before="80" w:after="80"/>
        <w:jc w:val="both"/>
        <w:rPr>
          <w:rFonts w:asciiTheme="minorHAnsi" w:hAnsiTheme="minorHAnsi"/>
          <w:b/>
          <w:bCs/>
          <w:sz w:val="20"/>
          <w:szCs w:val="20"/>
        </w:rPr>
      </w:pPr>
      <w:r w:rsidRPr="000F0711">
        <w:rPr>
          <w:rFonts w:asciiTheme="minorHAnsi" w:hAnsiTheme="minorHAnsi"/>
          <w:b/>
          <w:bCs/>
          <w:sz w:val="24"/>
          <w:szCs w:val="24"/>
        </w:rPr>
        <w:br/>
      </w:r>
    </w:p>
    <w:p w14:paraId="16992869" w14:textId="77777777" w:rsidR="00582A76" w:rsidRDefault="00000000" w:rsidP="00F94036">
      <w:pPr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br w:type="page"/>
      </w:r>
    </w:p>
    <w:p w14:paraId="0CB001F7" w14:textId="77777777" w:rsidR="00582A76" w:rsidRPr="00586A32" w:rsidRDefault="00000000" w:rsidP="00F94036">
      <w:pPr>
        <w:suppressAutoHyphens/>
        <w:spacing w:before="80" w:after="80"/>
        <w:jc w:val="both"/>
        <w:rPr>
          <w:rFonts w:asciiTheme="minorHAnsi" w:hAnsiTheme="minorHAnsi"/>
          <w:b/>
          <w:bCs/>
          <w:sz w:val="20"/>
          <w:szCs w:val="20"/>
        </w:rPr>
      </w:pPr>
      <w:r w:rsidRPr="00586A32">
        <w:rPr>
          <w:rFonts w:asciiTheme="minorHAnsi" w:hAnsiTheme="minorHAnsi"/>
          <w:b/>
          <w:bCs/>
          <w:sz w:val="20"/>
          <w:szCs w:val="20"/>
        </w:rPr>
        <w:lastRenderedPageBreak/>
        <w:t>Pouczenie:</w:t>
      </w:r>
    </w:p>
    <w:p w14:paraId="57480E96" w14:textId="77777777" w:rsidR="00582A76" w:rsidRPr="00586A32" w:rsidRDefault="00000000" w:rsidP="00F94036">
      <w:pPr>
        <w:suppressAutoHyphens/>
        <w:spacing w:before="80" w:after="80"/>
        <w:jc w:val="both"/>
        <w:rPr>
          <w:rFonts w:asciiTheme="minorHAnsi" w:hAnsiTheme="minorHAnsi"/>
          <w:sz w:val="20"/>
          <w:szCs w:val="20"/>
        </w:rPr>
      </w:pPr>
      <w:r w:rsidRPr="00586A32">
        <w:rPr>
          <w:rFonts w:asciiTheme="minorHAnsi" w:hAnsiTheme="minorHAnsi"/>
          <w:bCs/>
          <w:sz w:val="20"/>
          <w:szCs w:val="20"/>
        </w:rPr>
        <w:t xml:space="preserve">Stronom przysługuje prawo wniesienia odwołania od decyzji Wojewody Pomorskiego z </w:t>
      </w:r>
      <w:r w:rsidRPr="008325B1">
        <w:rPr>
          <w:rFonts w:asciiTheme="minorHAnsi" w:hAnsiTheme="minorHAnsi"/>
          <w:bCs/>
          <w:sz w:val="20"/>
          <w:szCs w:val="20"/>
        </w:rPr>
        <w:t>dnia 12 lutego 2026 r. nr NSP-III.7570.714.2023.PM do Ministra Finansów i Gospodarki za pośrednictwem Wojewody Pomorskiego w terminie 14 dni od daty jej doręczenia</w:t>
      </w:r>
      <w:r w:rsidRPr="00586A32">
        <w:rPr>
          <w:rFonts w:asciiTheme="minorHAnsi" w:hAnsiTheme="minorHAnsi"/>
          <w:bCs/>
          <w:sz w:val="20"/>
          <w:szCs w:val="20"/>
        </w:rPr>
        <w:t xml:space="preserve">, które w tym wypadku uważa się za dokonane po upływie 14 dni od dnia ukazania się obwieszczenia </w:t>
      </w:r>
      <w:r w:rsidRPr="00586A32">
        <w:rPr>
          <w:rFonts w:asciiTheme="minorHAnsi" w:hAnsiTheme="minorHAnsi"/>
          <w:bCs/>
          <w:i/>
          <w:sz w:val="20"/>
          <w:szCs w:val="20"/>
        </w:rPr>
        <w:t>(art. 127 § 2, art. 129 § 1 i 2 oraz art. 49 ustawy z dnia 14 czerwca 1960 r. Kodeks postępowania administracyjnego; j.t. Dz.U. z 2025 r., poz. 1691).</w:t>
      </w:r>
    </w:p>
    <w:p w14:paraId="026470A1" w14:textId="77777777" w:rsidR="00582A76" w:rsidRPr="007A2AF9" w:rsidRDefault="00582A76" w:rsidP="00F94036">
      <w:pPr>
        <w:suppressAutoHyphens/>
        <w:spacing w:before="80" w:after="80"/>
        <w:jc w:val="center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CA794E" w14:paraId="06B2896F" w14:textId="77777777" w:rsidTr="007A2AF9">
        <w:trPr>
          <w:trHeight w:val="474"/>
        </w:trPr>
        <w:tc>
          <w:tcPr>
            <w:tcW w:w="4587" w:type="dxa"/>
          </w:tcPr>
          <w:p w14:paraId="624185B0" w14:textId="77777777" w:rsidR="00582A76" w:rsidRPr="007A2AF9" w:rsidRDefault="00000000" w:rsidP="00F9403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CA794E" w14:paraId="4F82B5C5" w14:textId="77777777" w:rsidTr="007A2AF9">
        <w:trPr>
          <w:trHeight w:val="1148"/>
        </w:trPr>
        <w:tc>
          <w:tcPr>
            <w:tcW w:w="4587" w:type="dxa"/>
          </w:tcPr>
          <w:p w14:paraId="0A4F1F4D" w14:textId="77777777" w:rsidR="00582A76" w:rsidRDefault="00000000" w:rsidP="00F9403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4"/>
          </w:p>
          <w:p w14:paraId="18707463" w14:textId="77777777" w:rsidR="00582A76" w:rsidRPr="007A2AF9" w:rsidRDefault="00000000" w:rsidP="00F9403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2D2DC246" w14:textId="77777777" w:rsidR="00582A76" w:rsidRPr="007A2AF9" w:rsidRDefault="00000000" w:rsidP="00F9403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 xml:space="preserve">Dorota </w:t>
            </w:r>
            <w:proofErr w:type="spellStart"/>
            <w:r w:rsidRPr="007A2AF9">
              <w:rPr>
                <w:rFonts w:asciiTheme="minorHAnsi" w:hAnsiTheme="minorHAnsi"/>
                <w:sz w:val="24"/>
                <w:szCs w:val="24"/>
              </w:rPr>
              <w:t>Dambek</w:t>
            </w:r>
            <w:proofErr w:type="spellEnd"/>
            <w:r w:rsidRPr="007A2AF9">
              <w:rPr>
                <w:rFonts w:asciiTheme="minorHAnsi" w:hAnsiTheme="minorHAnsi"/>
                <w:sz w:val="24"/>
                <w:szCs w:val="24"/>
              </w:rPr>
              <w:t>-Duda</w:t>
            </w:r>
            <w:bookmarkEnd w:id="6"/>
          </w:p>
        </w:tc>
      </w:tr>
      <w:tr w:rsidR="00CA794E" w14:paraId="3C93FF2D" w14:textId="77777777" w:rsidTr="007A2AF9">
        <w:trPr>
          <w:trHeight w:val="401"/>
        </w:trPr>
        <w:tc>
          <w:tcPr>
            <w:tcW w:w="4587" w:type="dxa"/>
          </w:tcPr>
          <w:p w14:paraId="64842533" w14:textId="77777777" w:rsidR="00582A76" w:rsidRPr="007A2AF9" w:rsidRDefault="00000000" w:rsidP="00F9403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14B13F89" w14:textId="77777777" w:rsidR="00582A76" w:rsidRPr="007A2AF9" w:rsidRDefault="00582A76" w:rsidP="00F94036">
      <w:pPr>
        <w:suppressAutoHyphens/>
        <w:spacing w:before="80" w:after="80"/>
        <w:jc w:val="center"/>
        <w:rPr>
          <w:rFonts w:asciiTheme="minorHAnsi" w:hAnsiTheme="minorHAnsi"/>
          <w:sz w:val="24"/>
          <w:szCs w:val="24"/>
        </w:rPr>
      </w:pPr>
    </w:p>
    <w:p w14:paraId="6EDF2A9B" w14:textId="77777777" w:rsidR="00582A76" w:rsidRPr="003A3C1C" w:rsidRDefault="00000000" w:rsidP="00F94036">
      <w:pPr>
        <w:suppressAutoHyphens/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3A3C1C">
        <w:rPr>
          <w:rFonts w:asciiTheme="minorHAnsi" w:hAnsiTheme="minorHAnsi"/>
          <w:b/>
          <w:sz w:val="16"/>
          <w:szCs w:val="16"/>
        </w:rPr>
        <w:t>Egzemplarze:</w:t>
      </w:r>
    </w:p>
    <w:p w14:paraId="02727339" w14:textId="77777777" w:rsidR="00582A76" w:rsidRPr="003A3C1C" w:rsidRDefault="00000000" w:rsidP="00F94036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Theme="minorHAnsi" w:hAnsiTheme="minorHAnsi"/>
          <w:b/>
          <w:bCs/>
          <w:sz w:val="16"/>
          <w:szCs w:val="16"/>
        </w:rPr>
      </w:pPr>
      <w:r w:rsidRPr="003A3C1C">
        <w:rPr>
          <w:rFonts w:asciiTheme="minorHAnsi" w:hAnsiTheme="minorHAnsi"/>
          <w:b/>
          <w:bCs/>
          <w:sz w:val="16"/>
          <w:szCs w:val="16"/>
        </w:rPr>
        <w:t>Strona BIP Pomorskiego Urzędu Wojewódzkiego w Gdańsku</w:t>
      </w:r>
    </w:p>
    <w:p w14:paraId="7BBB0F5F" w14:textId="77777777" w:rsidR="00582A76" w:rsidRPr="003A3C1C" w:rsidRDefault="00000000" w:rsidP="00F94036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Theme="minorHAnsi" w:hAnsiTheme="minorHAnsi"/>
          <w:b/>
          <w:bCs/>
          <w:sz w:val="16"/>
          <w:szCs w:val="16"/>
        </w:rPr>
      </w:pPr>
      <w:r w:rsidRPr="003A3C1C">
        <w:rPr>
          <w:rFonts w:asciiTheme="minorHAnsi" w:hAnsiTheme="minorHAnsi"/>
          <w:b/>
          <w:bCs/>
          <w:sz w:val="16"/>
          <w:szCs w:val="16"/>
        </w:rPr>
        <w:t>aa.</w:t>
      </w:r>
    </w:p>
    <w:p w14:paraId="52499C29" w14:textId="77777777" w:rsidR="00582A76" w:rsidRPr="007A2AF9" w:rsidRDefault="00582A76" w:rsidP="00F94036">
      <w:pPr>
        <w:suppressAutoHyphens/>
        <w:spacing w:before="80" w:after="80"/>
        <w:jc w:val="center"/>
        <w:rPr>
          <w:rFonts w:asciiTheme="minorHAnsi" w:hAnsiTheme="minorHAnsi"/>
          <w:sz w:val="24"/>
          <w:szCs w:val="24"/>
        </w:rPr>
      </w:pPr>
    </w:p>
    <w:p w14:paraId="6CF8A9FB" w14:textId="77777777" w:rsidR="00582A76" w:rsidRPr="007A2AF9" w:rsidRDefault="00582A76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A9E0144" w14:textId="77777777" w:rsidR="00582A76" w:rsidRDefault="00582A76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AA34394" w14:textId="77777777" w:rsidR="00582A76" w:rsidRDefault="00582A76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24644F3F" w14:textId="77777777" w:rsidR="00582A76" w:rsidRPr="007A2AF9" w:rsidRDefault="00582A76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582A76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3B75" w14:textId="77777777" w:rsidR="00DB670F" w:rsidRDefault="00DB670F">
      <w:pPr>
        <w:spacing w:after="0" w:line="240" w:lineRule="auto"/>
      </w:pPr>
      <w:r>
        <w:separator/>
      </w:r>
    </w:p>
  </w:endnote>
  <w:endnote w:type="continuationSeparator" w:id="0">
    <w:p w14:paraId="08494BDF" w14:textId="77777777" w:rsidR="00DB670F" w:rsidRDefault="00DB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CAA0" w14:textId="77777777" w:rsidR="00582A7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D95A8B2">
        <v:rect id="_x0000_i1025" style="width:0;height:1.5pt" o:hralign="center" o:bullet="t" o:hrstd="t" o:hr="t" fillcolor="#a0a0a0" stroked="f"/>
      </w:pict>
    </w:r>
  </w:p>
  <w:p w14:paraId="6187579B" w14:textId="77777777" w:rsidR="00582A7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2038BC56" w14:textId="77777777" w:rsidR="00582A7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B9DFFB7" w14:textId="77777777" w:rsidR="00582A7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767EC78" w14:textId="77777777" w:rsidR="00582A7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28E77B08" w14:textId="77777777" w:rsidR="00582A7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5367A7AA" w14:textId="77777777" w:rsidR="00582A76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FDE8" w14:textId="77777777" w:rsidR="00582A76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60E1ADC">
        <v:rect id="_x0000_i1027" style="width:0;height:1.5pt" o:hralign="center" o:bullet="t" o:hrstd="t" o:hr="t" fillcolor="#a0a0a0" stroked="f"/>
      </w:pict>
    </w:r>
  </w:p>
  <w:p w14:paraId="7E016480" w14:textId="77777777" w:rsidR="00582A7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66290DBC" wp14:editId="5000DEC1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97DAF" w14:textId="77777777" w:rsidR="00582A7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4DD76DBA" w14:textId="77777777" w:rsidR="00582A7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C995987" w14:textId="77777777" w:rsidR="00582A7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20C6B89" w14:textId="77777777" w:rsidR="00582A7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318611EE" w14:textId="77777777" w:rsidR="00582A7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EF21" w14:textId="77777777" w:rsidR="00DB670F" w:rsidRDefault="00DB670F">
      <w:pPr>
        <w:spacing w:after="0" w:line="240" w:lineRule="auto"/>
      </w:pPr>
      <w:r>
        <w:separator/>
      </w:r>
    </w:p>
  </w:footnote>
  <w:footnote w:type="continuationSeparator" w:id="0">
    <w:p w14:paraId="19A2A4A3" w14:textId="77777777" w:rsidR="00DB670F" w:rsidRDefault="00DB6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F327" w14:textId="77777777" w:rsidR="00582A76" w:rsidRDefault="00582A76">
    <w:pPr>
      <w:pStyle w:val="Nagwek"/>
    </w:pPr>
  </w:p>
  <w:p w14:paraId="1B70F2B7" w14:textId="77777777" w:rsidR="00582A76" w:rsidRDefault="00582A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1E24" w14:textId="77777777" w:rsidR="00582A76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06A27FD" w14:textId="77777777" w:rsidR="00582A76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1758F7A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8546639C"/>
    <w:lvl w:ilvl="0" w:tplc="649293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E234AA" w:tentative="1">
      <w:start w:val="1"/>
      <w:numFmt w:val="lowerLetter"/>
      <w:lvlText w:val="%2."/>
      <w:lvlJc w:val="left"/>
      <w:pPr>
        <w:ind w:left="1440" w:hanging="360"/>
      </w:pPr>
    </w:lvl>
    <w:lvl w:ilvl="2" w:tplc="D322363A" w:tentative="1">
      <w:start w:val="1"/>
      <w:numFmt w:val="lowerRoman"/>
      <w:lvlText w:val="%3."/>
      <w:lvlJc w:val="right"/>
      <w:pPr>
        <w:ind w:left="2160" w:hanging="180"/>
      </w:pPr>
    </w:lvl>
    <w:lvl w:ilvl="3" w:tplc="9DB00EFA" w:tentative="1">
      <w:start w:val="1"/>
      <w:numFmt w:val="decimal"/>
      <w:lvlText w:val="%4."/>
      <w:lvlJc w:val="left"/>
      <w:pPr>
        <w:ind w:left="2880" w:hanging="360"/>
      </w:pPr>
    </w:lvl>
    <w:lvl w:ilvl="4" w:tplc="F66C4B00" w:tentative="1">
      <w:start w:val="1"/>
      <w:numFmt w:val="lowerLetter"/>
      <w:lvlText w:val="%5."/>
      <w:lvlJc w:val="left"/>
      <w:pPr>
        <w:ind w:left="3600" w:hanging="360"/>
      </w:pPr>
    </w:lvl>
    <w:lvl w:ilvl="5" w:tplc="8C1A5C38" w:tentative="1">
      <w:start w:val="1"/>
      <w:numFmt w:val="lowerRoman"/>
      <w:lvlText w:val="%6."/>
      <w:lvlJc w:val="right"/>
      <w:pPr>
        <w:ind w:left="4320" w:hanging="180"/>
      </w:pPr>
    </w:lvl>
    <w:lvl w:ilvl="6" w:tplc="54887FAA" w:tentative="1">
      <w:start w:val="1"/>
      <w:numFmt w:val="decimal"/>
      <w:lvlText w:val="%7."/>
      <w:lvlJc w:val="left"/>
      <w:pPr>
        <w:ind w:left="5040" w:hanging="360"/>
      </w:pPr>
    </w:lvl>
    <w:lvl w:ilvl="7" w:tplc="0F349068" w:tentative="1">
      <w:start w:val="1"/>
      <w:numFmt w:val="lowerLetter"/>
      <w:lvlText w:val="%8."/>
      <w:lvlJc w:val="left"/>
      <w:pPr>
        <w:ind w:left="5760" w:hanging="360"/>
      </w:pPr>
    </w:lvl>
    <w:lvl w:ilvl="8" w:tplc="5FD605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1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4E"/>
    <w:rsid w:val="00322558"/>
    <w:rsid w:val="0046528A"/>
    <w:rsid w:val="004B26D1"/>
    <w:rsid w:val="00582A76"/>
    <w:rsid w:val="00CA794E"/>
    <w:rsid w:val="00DB670F"/>
    <w:rsid w:val="00F9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B70437"/>
  <w15:docId w15:val="{9F7B4BBB-4A79-40A6-B92B-F7584F4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Paulina Mierzejewska</cp:lastModifiedBy>
  <cp:revision>3</cp:revision>
  <cp:lastPrinted>2012-09-10T07:00:00Z</cp:lastPrinted>
  <dcterms:created xsi:type="dcterms:W3CDTF">2026-02-13T06:30:00Z</dcterms:created>
  <dcterms:modified xsi:type="dcterms:W3CDTF">2026-02-13T06:33:00Z</dcterms:modified>
</cp:coreProperties>
</file>