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AB3DB" w14:textId="77777777" w:rsidR="006812EE" w:rsidRDefault="006812EE" w:rsidP="006812EE">
      <w:pPr>
        <w:spacing w:line="360" w:lineRule="auto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 xml:space="preserve"> </w:t>
      </w:r>
      <w:r w:rsidRPr="008444F7">
        <w:rPr>
          <w:b/>
          <w:bCs/>
          <w:i/>
          <w:sz w:val="26"/>
          <w:szCs w:val="26"/>
        </w:rPr>
        <w:t xml:space="preserve"> </w:t>
      </w:r>
      <w:r w:rsidRPr="00CA2B42">
        <w:rPr>
          <w:b/>
          <w:bCs/>
          <w:i/>
          <w:sz w:val="26"/>
          <w:szCs w:val="26"/>
        </w:rPr>
        <w:t>Zabezpieczenia majątkowe</w:t>
      </w:r>
    </w:p>
    <w:p w14:paraId="76C2D529" w14:textId="77777777" w:rsidR="006812EE" w:rsidRPr="006812EE" w:rsidRDefault="006812EE" w:rsidP="006812EE">
      <w:pPr>
        <w:spacing w:line="360" w:lineRule="auto"/>
        <w:jc w:val="both"/>
        <w:rPr>
          <w:b/>
          <w:bCs/>
          <w:i/>
          <w:sz w:val="26"/>
          <w:szCs w:val="26"/>
        </w:rPr>
      </w:pPr>
    </w:p>
    <w:p w14:paraId="2B7888CC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 prawidłowe  należy  uznać  wyniki  podejmowanych  przez  prokuratorów  </w:t>
      </w:r>
      <w:r>
        <w:rPr>
          <w:sz w:val="26"/>
          <w:szCs w:val="26"/>
        </w:rPr>
        <w:br/>
        <w:t>w ostatnich latach działań zmierzających do kompensacji szkód  wyrządzonych przez sprawców przestępstw.</w:t>
      </w:r>
    </w:p>
    <w:p w14:paraId="4A24BA2C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</w:p>
    <w:p w14:paraId="7E070F6F" w14:textId="77777777" w:rsidR="006812EE" w:rsidRDefault="006812EE" w:rsidP="006812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21DA4">
        <w:rPr>
          <w:sz w:val="26"/>
          <w:szCs w:val="26"/>
        </w:rPr>
        <w:t xml:space="preserve">Z danych statystycznych wynika, iż liczba wydanych w 2019 r. decyzji </w:t>
      </w:r>
      <w:r>
        <w:rPr>
          <w:sz w:val="26"/>
          <w:szCs w:val="26"/>
        </w:rPr>
        <w:br/>
      </w:r>
      <w:r w:rsidRPr="00A21DA4">
        <w:rPr>
          <w:sz w:val="26"/>
          <w:szCs w:val="26"/>
        </w:rPr>
        <w:t xml:space="preserve">o zabezpieczeniu majątkowym </w:t>
      </w:r>
      <w:r>
        <w:rPr>
          <w:sz w:val="26"/>
          <w:szCs w:val="26"/>
        </w:rPr>
        <w:t xml:space="preserve">we wszystkich sprawach </w:t>
      </w:r>
      <w:r w:rsidRPr="00A21DA4">
        <w:rPr>
          <w:sz w:val="26"/>
          <w:szCs w:val="26"/>
        </w:rPr>
        <w:t>wzrosła o 4 933 i wynosiła 50</w:t>
      </w:r>
      <w:r>
        <w:rPr>
          <w:sz w:val="26"/>
          <w:szCs w:val="26"/>
        </w:rPr>
        <w:t> </w:t>
      </w:r>
      <w:r w:rsidRPr="00A21DA4">
        <w:rPr>
          <w:sz w:val="26"/>
          <w:szCs w:val="26"/>
        </w:rPr>
        <w:t>289</w:t>
      </w:r>
      <w:r>
        <w:rPr>
          <w:sz w:val="26"/>
          <w:szCs w:val="26"/>
        </w:rPr>
        <w:t>, przy wskaźniku dynamiki wynoszącym 110,9%</w:t>
      </w:r>
      <w:r w:rsidRPr="00A21DA4">
        <w:rPr>
          <w:sz w:val="26"/>
          <w:szCs w:val="26"/>
        </w:rPr>
        <w:t>.</w:t>
      </w:r>
      <w:r>
        <w:rPr>
          <w:sz w:val="26"/>
          <w:szCs w:val="26"/>
        </w:rPr>
        <w:t xml:space="preserve"> Również liczba podejrzanych wobec których zastosowano środek zapobiegawczy w postaci zabezpieczenia majątkowego zwiększyła się o 4 577 i wynosiła w 2019 r. - 48 743. Wskaźnik dynamiki obliczono na 110,4%. </w:t>
      </w:r>
    </w:p>
    <w:p w14:paraId="6FE81347" w14:textId="77777777" w:rsidR="006812EE" w:rsidRDefault="006812EE" w:rsidP="006812EE">
      <w:pPr>
        <w:spacing w:line="360" w:lineRule="auto"/>
        <w:jc w:val="both"/>
        <w:rPr>
          <w:sz w:val="26"/>
          <w:szCs w:val="26"/>
        </w:rPr>
      </w:pPr>
    </w:p>
    <w:p w14:paraId="353871AC" w14:textId="77777777" w:rsidR="006812EE" w:rsidRDefault="006812EE" w:rsidP="006812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Wartość faktycznie zabezpieczonego mienia w sprawach prowadzonych </w:t>
      </w:r>
      <w:r>
        <w:rPr>
          <w:sz w:val="26"/>
          <w:szCs w:val="26"/>
        </w:rPr>
        <w:br/>
        <w:t>i w toku wynosiła w 2019 r. - 3 946 898 905,71 zł, podczas gdy w analogicznym okresie roku ubiegłego 1 103 774 474,89 zł., czyli o 2 843 124 430,82 zł więcej. Dodać przy tym należy, że wartość zabezpieczonego mienia średnio na jednego podejrzanego wynosiła 80 973,66 zł, a w 2018 r. - 24 991,50 zł.</w:t>
      </w:r>
    </w:p>
    <w:p w14:paraId="516D9618" w14:textId="77777777" w:rsidR="006812EE" w:rsidRDefault="006812EE" w:rsidP="006812EE">
      <w:pPr>
        <w:spacing w:line="360" w:lineRule="auto"/>
        <w:jc w:val="both"/>
        <w:rPr>
          <w:sz w:val="26"/>
          <w:szCs w:val="26"/>
        </w:rPr>
      </w:pPr>
    </w:p>
    <w:p w14:paraId="742402EA" w14:textId="77777777" w:rsidR="006812EE" w:rsidRDefault="006812EE" w:rsidP="006812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Od kwietnia 2019 r. weszła w życie modyfikacja systemu SIP Libra, w której istnieje możliwość rejestracji tzw. konfiskaty rozszerzonej (domniemanie). Prokuratorzy wydali 1 030 takich postanowień, a wartość faktycznie zabezpieczonego mienia wynosiła 1 687 514 757,52 zł.</w:t>
      </w:r>
    </w:p>
    <w:p w14:paraId="2490AFF0" w14:textId="77777777" w:rsidR="006812EE" w:rsidRPr="00CA2B42" w:rsidRDefault="006812EE" w:rsidP="006812EE">
      <w:pPr>
        <w:spacing w:line="360" w:lineRule="auto"/>
        <w:jc w:val="both"/>
        <w:rPr>
          <w:sz w:val="26"/>
          <w:szCs w:val="26"/>
        </w:rPr>
      </w:pPr>
    </w:p>
    <w:p w14:paraId="5DBA5770" w14:textId="77777777" w:rsidR="006812EE" w:rsidRDefault="006812EE" w:rsidP="006812EE">
      <w:pPr>
        <w:spacing w:line="360" w:lineRule="auto"/>
        <w:jc w:val="both"/>
        <w:rPr>
          <w:sz w:val="26"/>
          <w:szCs w:val="26"/>
        </w:rPr>
      </w:pPr>
      <w:r w:rsidRPr="00CA2B42">
        <w:rPr>
          <w:sz w:val="26"/>
          <w:szCs w:val="26"/>
        </w:rPr>
        <w:tab/>
        <w:t>Z danych statystycznych za okres od</w:t>
      </w:r>
      <w:r w:rsidRPr="00CA2B42">
        <w:rPr>
          <w:i/>
          <w:sz w:val="26"/>
          <w:szCs w:val="26"/>
        </w:rPr>
        <w:t xml:space="preserve"> </w:t>
      </w:r>
      <w:r w:rsidRPr="00CA2B42">
        <w:rPr>
          <w:sz w:val="26"/>
          <w:szCs w:val="26"/>
        </w:rPr>
        <w:t>2016 r. do 2019 r. wynika, że liczba zabezpieczeń majątkowych stosowanych wobec osób</w:t>
      </w:r>
      <w:r>
        <w:rPr>
          <w:sz w:val="26"/>
          <w:szCs w:val="26"/>
        </w:rPr>
        <w:t>, w sprawach skierowanych do sądu</w:t>
      </w:r>
      <w:r w:rsidRPr="00CA2B42">
        <w:rPr>
          <w:sz w:val="26"/>
          <w:szCs w:val="26"/>
        </w:rPr>
        <w:t xml:space="preserve"> sukcesywnie rośnie. </w:t>
      </w:r>
    </w:p>
    <w:p w14:paraId="50B947F1" w14:textId="77777777" w:rsidR="006812EE" w:rsidRDefault="006812EE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F09C3BC" w14:textId="77777777" w:rsidR="006812EE" w:rsidRPr="00CA2B42" w:rsidRDefault="006812EE" w:rsidP="006812EE">
      <w:pPr>
        <w:spacing w:line="360" w:lineRule="auto"/>
        <w:jc w:val="both"/>
        <w:rPr>
          <w:sz w:val="26"/>
          <w:szCs w:val="26"/>
        </w:rPr>
      </w:pPr>
    </w:p>
    <w:p w14:paraId="64A705AC" w14:textId="77777777" w:rsidR="006812EE" w:rsidRPr="00B0309A" w:rsidRDefault="006812EE" w:rsidP="006812EE">
      <w:pPr>
        <w:spacing w:line="360" w:lineRule="auto"/>
        <w:jc w:val="both"/>
        <w:rPr>
          <w:i/>
          <w:sz w:val="26"/>
          <w:szCs w:val="26"/>
        </w:rPr>
      </w:pPr>
      <w:r w:rsidRPr="00CA2B42">
        <w:rPr>
          <w:i/>
          <w:sz w:val="26"/>
          <w:szCs w:val="26"/>
        </w:rPr>
        <w:t>Poniższy wykres przedstawia dane w tym zakresie.</w:t>
      </w:r>
    </w:p>
    <w:p w14:paraId="7691736B" w14:textId="77777777" w:rsidR="006812EE" w:rsidRDefault="006812EE" w:rsidP="006812EE">
      <w:pPr>
        <w:spacing w:line="360" w:lineRule="auto"/>
        <w:jc w:val="both"/>
        <w:rPr>
          <w:szCs w:val="24"/>
        </w:rPr>
      </w:pPr>
      <w:r w:rsidRPr="004471EA">
        <w:rPr>
          <w:noProof/>
        </w:rPr>
        <w:drawing>
          <wp:inline distT="0" distB="0" distL="0" distR="0" wp14:anchorId="06C00300" wp14:editId="0F3FDB90">
            <wp:extent cx="4392000" cy="2390400"/>
            <wp:effectExtent l="0" t="0" r="8890" b="10160"/>
            <wp:docPr id="1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505CB34" w14:textId="77777777" w:rsidR="006812EE" w:rsidRPr="00B0309A" w:rsidRDefault="006812EE" w:rsidP="006812EE">
      <w:pPr>
        <w:spacing w:line="360" w:lineRule="auto"/>
        <w:jc w:val="both"/>
        <w:rPr>
          <w:szCs w:val="24"/>
        </w:rPr>
      </w:pPr>
    </w:p>
    <w:p w14:paraId="0A516322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 w:rsidRPr="00B0309A">
        <w:rPr>
          <w:sz w:val="26"/>
          <w:szCs w:val="26"/>
        </w:rPr>
        <w:t xml:space="preserve">W 2019 r. - w porównaniu z 2018 r. - odnotowano kolejne zwiększenie - </w:t>
      </w:r>
      <w:r w:rsidRPr="00B0309A">
        <w:rPr>
          <w:sz w:val="26"/>
          <w:szCs w:val="26"/>
        </w:rPr>
        <w:br/>
        <w:t xml:space="preserve">o </w:t>
      </w:r>
      <w:r>
        <w:rPr>
          <w:sz w:val="26"/>
          <w:szCs w:val="26"/>
        </w:rPr>
        <w:t>3 887</w:t>
      </w:r>
      <w:r w:rsidRPr="00B0309A">
        <w:rPr>
          <w:sz w:val="26"/>
          <w:szCs w:val="26"/>
        </w:rPr>
        <w:t xml:space="preserve"> - z </w:t>
      </w:r>
      <w:r>
        <w:rPr>
          <w:sz w:val="26"/>
          <w:szCs w:val="26"/>
        </w:rPr>
        <w:t>40 881</w:t>
      </w:r>
      <w:r w:rsidRPr="00B0309A">
        <w:rPr>
          <w:sz w:val="26"/>
          <w:szCs w:val="26"/>
        </w:rPr>
        <w:t xml:space="preserve"> do </w:t>
      </w:r>
      <w:r>
        <w:rPr>
          <w:sz w:val="26"/>
          <w:szCs w:val="26"/>
        </w:rPr>
        <w:t>44 768</w:t>
      </w:r>
      <w:r w:rsidRPr="00B0309A">
        <w:rPr>
          <w:sz w:val="26"/>
          <w:szCs w:val="26"/>
        </w:rPr>
        <w:t xml:space="preserve"> liczby osób co do których wydano postanowienie </w:t>
      </w:r>
      <w:r w:rsidRPr="00B0309A">
        <w:rPr>
          <w:sz w:val="26"/>
          <w:szCs w:val="26"/>
        </w:rPr>
        <w:br/>
        <w:t>o zabezpieczeniu majątkowym</w:t>
      </w:r>
      <w:r>
        <w:rPr>
          <w:sz w:val="26"/>
          <w:szCs w:val="26"/>
        </w:rPr>
        <w:t>, w sprawach skierowanych do sądu z aktem oskarżenia, wnioskiem w trybie art. 335 § 1 k.p.k., wnioskiem o warunkowe umorzenie postępowania karnego i wnioskiem o rozpoznanie sprawy w postępowaniu przyspieszonym</w:t>
      </w:r>
      <w:r w:rsidRPr="00B0309A">
        <w:rPr>
          <w:sz w:val="26"/>
          <w:szCs w:val="26"/>
        </w:rPr>
        <w:t xml:space="preserve">. </w:t>
      </w:r>
    </w:p>
    <w:p w14:paraId="6F54CFA3" w14:textId="77777777" w:rsidR="006812EE" w:rsidRPr="00B0309A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</w:p>
    <w:p w14:paraId="23AE9A93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 w:rsidRPr="00B0309A">
        <w:rPr>
          <w:sz w:val="26"/>
          <w:szCs w:val="26"/>
        </w:rPr>
        <w:t xml:space="preserve">Średni wskaźnik dynamiki </w:t>
      </w:r>
      <w:r>
        <w:rPr>
          <w:sz w:val="26"/>
          <w:szCs w:val="26"/>
        </w:rPr>
        <w:t>-</w:t>
      </w:r>
      <w:r w:rsidRPr="00B0309A">
        <w:rPr>
          <w:sz w:val="26"/>
          <w:szCs w:val="26"/>
        </w:rPr>
        <w:t xml:space="preserve"> 10</w:t>
      </w:r>
      <w:r>
        <w:rPr>
          <w:sz w:val="26"/>
          <w:szCs w:val="26"/>
        </w:rPr>
        <w:t>9,5</w:t>
      </w:r>
      <w:r w:rsidRPr="00B0309A">
        <w:rPr>
          <w:sz w:val="26"/>
          <w:szCs w:val="26"/>
        </w:rPr>
        <w:t>% - osiągnęł</w:t>
      </w:r>
      <w:r>
        <w:rPr>
          <w:sz w:val="26"/>
          <w:szCs w:val="26"/>
        </w:rPr>
        <w:t>o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  <w:r w:rsidRPr="00B0309A">
        <w:rPr>
          <w:sz w:val="26"/>
          <w:szCs w:val="26"/>
        </w:rPr>
        <w:t xml:space="preserve"> okręg</w:t>
      </w:r>
      <w:r>
        <w:rPr>
          <w:sz w:val="26"/>
          <w:szCs w:val="26"/>
        </w:rPr>
        <w:t>ów</w:t>
      </w:r>
      <w:r w:rsidRPr="00B0309A">
        <w:rPr>
          <w:sz w:val="26"/>
          <w:szCs w:val="26"/>
        </w:rPr>
        <w:t xml:space="preserve"> Prokuratur Regionalnych</w:t>
      </w:r>
      <w:r>
        <w:rPr>
          <w:sz w:val="26"/>
          <w:szCs w:val="26"/>
        </w:rPr>
        <w:t>:</w:t>
      </w:r>
      <w:r w:rsidRPr="00B0309A">
        <w:rPr>
          <w:sz w:val="26"/>
          <w:szCs w:val="26"/>
        </w:rPr>
        <w:t xml:space="preserve"> w Białymstoku (1</w:t>
      </w:r>
      <w:r>
        <w:rPr>
          <w:sz w:val="26"/>
          <w:szCs w:val="26"/>
        </w:rPr>
        <w:t>30,1</w:t>
      </w:r>
      <w:r w:rsidRPr="00B0309A">
        <w:rPr>
          <w:sz w:val="26"/>
          <w:szCs w:val="26"/>
        </w:rPr>
        <w:t>%)</w:t>
      </w:r>
      <w:r>
        <w:rPr>
          <w:sz w:val="26"/>
          <w:szCs w:val="26"/>
        </w:rPr>
        <w:t xml:space="preserve">, w Lublinie (128,4%), w Szczecinie (123,1%), w Poznaniu (119,3%), w Warszawie (114,5%) </w:t>
      </w:r>
      <w:r w:rsidRPr="00B0309A">
        <w:rPr>
          <w:sz w:val="26"/>
          <w:szCs w:val="26"/>
        </w:rPr>
        <w:t>oraz w Katowicach (</w:t>
      </w:r>
      <w:r>
        <w:rPr>
          <w:sz w:val="26"/>
          <w:szCs w:val="26"/>
        </w:rPr>
        <w:t>113,7</w:t>
      </w:r>
      <w:r w:rsidRPr="00B0309A">
        <w:rPr>
          <w:sz w:val="26"/>
          <w:szCs w:val="26"/>
        </w:rPr>
        <w:t>%).</w:t>
      </w:r>
    </w:p>
    <w:p w14:paraId="7C6CC4B4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</w:p>
    <w:p w14:paraId="73C31C48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 w:rsidRPr="00B0309A">
        <w:rPr>
          <w:sz w:val="26"/>
          <w:szCs w:val="26"/>
        </w:rPr>
        <w:t>Najniższ</w:t>
      </w:r>
      <w:r>
        <w:rPr>
          <w:sz w:val="26"/>
          <w:szCs w:val="26"/>
        </w:rPr>
        <w:t>e</w:t>
      </w:r>
      <w:r w:rsidRPr="00B0309A">
        <w:rPr>
          <w:sz w:val="26"/>
          <w:szCs w:val="26"/>
        </w:rPr>
        <w:t xml:space="preserve"> wskaźnik</w:t>
      </w:r>
      <w:r>
        <w:rPr>
          <w:sz w:val="26"/>
          <w:szCs w:val="26"/>
        </w:rPr>
        <w:t>i</w:t>
      </w:r>
      <w:r w:rsidRPr="00B0309A">
        <w:rPr>
          <w:sz w:val="26"/>
          <w:szCs w:val="26"/>
        </w:rPr>
        <w:t xml:space="preserve"> odnotowano w okręgach Prokuratur Regionalnych </w:t>
      </w:r>
      <w:r>
        <w:rPr>
          <w:sz w:val="26"/>
          <w:szCs w:val="26"/>
        </w:rPr>
        <w:br/>
        <w:t xml:space="preserve">w Łodzi (97,1% z 6 756 do 6 562), </w:t>
      </w:r>
      <w:r w:rsidRPr="00B0309A">
        <w:rPr>
          <w:sz w:val="26"/>
          <w:szCs w:val="26"/>
        </w:rPr>
        <w:t>w Rzeszowie (</w:t>
      </w:r>
      <w:r>
        <w:rPr>
          <w:sz w:val="26"/>
          <w:szCs w:val="26"/>
        </w:rPr>
        <w:t>94,2</w:t>
      </w:r>
      <w:r w:rsidRPr="00B0309A">
        <w:rPr>
          <w:sz w:val="26"/>
          <w:szCs w:val="26"/>
        </w:rPr>
        <w:t xml:space="preserve">%, z </w:t>
      </w:r>
      <w:r>
        <w:rPr>
          <w:sz w:val="26"/>
          <w:szCs w:val="26"/>
        </w:rPr>
        <w:t>2 591</w:t>
      </w:r>
      <w:r w:rsidRPr="00B0309A">
        <w:rPr>
          <w:sz w:val="26"/>
          <w:szCs w:val="26"/>
        </w:rPr>
        <w:t xml:space="preserve"> do 2 </w:t>
      </w:r>
      <w:r>
        <w:rPr>
          <w:sz w:val="26"/>
          <w:szCs w:val="26"/>
        </w:rPr>
        <w:t>442</w:t>
      </w:r>
      <w:r w:rsidRPr="00B0309A">
        <w:rPr>
          <w:sz w:val="26"/>
          <w:szCs w:val="26"/>
        </w:rPr>
        <w:t xml:space="preserve">) </w:t>
      </w:r>
      <w:r>
        <w:rPr>
          <w:sz w:val="26"/>
          <w:szCs w:val="26"/>
        </w:rPr>
        <w:br/>
      </w:r>
      <w:r w:rsidRPr="00B0309A">
        <w:rPr>
          <w:sz w:val="26"/>
          <w:szCs w:val="26"/>
        </w:rPr>
        <w:t xml:space="preserve">i w </w:t>
      </w:r>
      <w:r>
        <w:rPr>
          <w:sz w:val="26"/>
          <w:szCs w:val="26"/>
        </w:rPr>
        <w:t>Krakowie</w:t>
      </w:r>
      <w:r w:rsidRPr="00B0309A">
        <w:rPr>
          <w:sz w:val="26"/>
          <w:szCs w:val="26"/>
        </w:rPr>
        <w:t xml:space="preserve"> (</w:t>
      </w:r>
      <w:r>
        <w:rPr>
          <w:sz w:val="26"/>
          <w:szCs w:val="26"/>
        </w:rPr>
        <w:t>93</w:t>
      </w:r>
      <w:r w:rsidRPr="00B0309A">
        <w:rPr>
          <w:sz w:val="26"/>
          <w:szCs w:val="26"/>
        </w:rPr>
        <w:t xml:space="preserve">%, z </w:t>
      </w:r>
      <w:r>
        <w:rPr>
          <w:sz w:val="26"/>
          <w:szCs w:val="26"/>
        </w:rPr>
        <w:t>4 456</w:t>
      </w:r>
      <w:r w:rsidRPr="00B0309A">
        <w:rPr>
          <w:sz w:val="26"/>
          <w:szCs w:val="26"/>
        </w:rPr>
        <w:t xml:space="preserve"> do </w:t>
      </w:r>
      <w:r>
        <w:rPr>
          <w:sz w:val="26"/>
          <w:szCs w:val="26"/>
        </w:rPr>
        <w:t>4 146</w:t>
      </w:r>
      <w:r w:rsidRPr="00B0309A">
        <w:rPr>
          <w:sz w:val="26"/>
          <w:szCs w:val="26"/>
        </w:rPr>
        <w:t>).</w:t>
      </w:r>
    </w:p>
    <w:p w14:paraId="1F20EFC4" w14:textId="77777777" w:rsidR="006812EE" w:rsidRPr="00B0309A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</w:p>
    <w:p w14:paraId="4D9B048C" w14:textId="77777777" w:rsidR="006812EE" w:rsidRPr="00B0309A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 w:rsidRPr="00B0309A">
        <w:rPr>
          <w:sz w:val="26"/>
          <w:szCs w:val="26"/>
        </w:rPr>
        <w:t>Łączna wartość faktycznie zabezpieczonego mienia</w:t>
      </w:r>
      <w:r>
        <w:rPr>
          <w:sz w:val="26"/>
          <w:szCs w:val="26"/>
        </w:rPr>
        <w:t xml:space="preserve"> </w:t>
      </w:r>
      <w:r w:rsidRPr="00B0309A">
        <w:rPr>
          <w:sz w:val="26"/>
          <w:szCs w:val="26"/>
        </w:rPr>
        <w:t>na poczet kar majątkowych i roszczeń odszkodowawczych</w:t>
      </w:r>
      <w:r>
        <w:rPr>
          <w:sz w:val="26"/>
          <w:szCs w:val="26"/>
        </w:rPr>
        <w:t>, w sprawach skierowanych do sądu,</w:t>
      </w:r>
      <w:r w:rsidRPr="00B0309A">
        <w:rPr>
          <w:sz w:val="26"/>
          <w:szCs w:val="26"/>
        </w:rPr>
        <w:t xml:space="preserve">  była wyższa niż w 2018 r. (o </w:t>
      </w:r>
      <w:r>
        <w:rPr>
          <w:sz w:val="26"/>
          <w:szCs w:val="26"/>
        </w:rPr>
        <w:t>9 001 066</w:t>
      </w:r>
      <w:r w:rsidRPr="00B0309A">
        <w:rPr>
          <w:sz w:val="26"/>
          <w:szCs w:val="26"/>
        </w:rPr>
        <w:t xml:space="preserve"> zł) i wyniosła 1</w:t>
      </w:r>
      <w:r>
        <w:rPr>
          <w:sz w:val="26"/>
          <w:szCs w:val="26"/>
        </w:rPr>
        <w:t> 058 807 657</w:t>
      </w:r>
      <w:r w:rsidRPr="00B0309A">
        <w:rPr>
          <w:sz w:val="26"/>
          <w:szCs w:val="26"/>
        </w:rPr>
        <w:t xml:space="preserve"> zł.</w:t>
      </w:r>
      <w:r>
        <w:rPr>
          <w:sz w:val="26"/>
          <w:szCs w:val="26"/>
        </w:rPr>
        <w:t>,</w:t>
      </w:r>
      <w:r w:rsidRPr="00A07E12">
        <w:rPr>
          <w:sz w:val="26"/>
          <w:szCs w:val="26"/>
        </w:rPr>
        <w:t xml:space="preserve"> </w:t>
      </w:r>
      <w:r>
        <w:rPr>
          <w:sz w:val="26"/>
          <w:szCs w:val="26"/>
        </w:rPr>
        <w:t>wskaźnik dynamiki wynosił 100,9%.</w:t>
      </w:r>
    </w:p>
    <w:p w14:paraId="4F0A609A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 w:rsidRPr="00B0309A">
        <w:rPr>
          <w:sz w:val="26"/>
          <w:szCs w:val="26"/>
        </w:rPr>
        <w:lastRenderedPageBreak/>
        <w:t xml:space="preserve">Najwyższą wartość zabezpieczonego z tego tytułu mienia odnotowano </w:t>
      </w:r>
      <w:r w:rsidRPr="00B0309A">
        <w:rPr>
          <w:sz w:val="26"/>
          <w:szCs w:val="26"/>
        </w:rPr>
        <w:br/>
        <w:t xml:space="preserve">w 2019 r. w okręgu Prokuratury Regionalnej w </w:t>
      </w:r>
      <w:r>
        <w:rPr>
          <w:sz w:val="26"/>
          <w:szCs w:val="26"/>
        </w:rPr>
        <w:t>Szczecinie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187 702 279</w:t>
      </w:r>
      <w:r w:rsidRPr="00B0309A">
        <w:rPr>
          <w:sz w:val="26"/>
          <w:szCs w:val="26"/>
        </w:rPr>
        <w:t xml:space="preserve"> zł, </w:t>
      </w:r>
      <w:r w:rsidRPr="00B0309A">
        <w:rPr>
          <w:sz w:val="26"/>
          <w:szCs w:val="26"/>
        </w:rPr>
        <w:br/>
        <w:t xml:space="preserve">a następnie w okręgach Prokuratur Regionalnych </w:t>
      </w:r>
      <w:r>
        <w:rPr>
          <w:sz w:val="26"/>
          <w:szCs w:val="26"/>
        </w:rPr>
        <w:t xml:space="preserve">w Łodzi - 138 718 994 zł, </w:t>
      </w:r>
      <w:r>
        <w:rPr>
          <w:sz w:val="26"/>
          <w:szCs w:val="26"/>
        </w:rPr>
        <w:br/>
      </w:r>
      <w:r w:rsidRPr="00B0309A">
        <w:rPr>
          <w:sz w:val="26"/>
          <w:szCs w:val="26"/>
        </w:rPr>
        <w:t xml:space="preserve">w Warszawie </w:t>
      </w:r>
      <w:r>
        <w:rPr>
          <w:sz w:val="26"/>
          <w:szCs w:val="26"/>
        </w:rPr>
        <w:t>-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128 203 083</w:t>
      </w:r>
      <w:r w:rsidRPr="00B0309A">
        <w:rPr>
          <w:sz w:val="26"/>
          <w:szCs w:val="26"/>
        </w:rPr>
        <w:t xml:space="preserve"> z</w:t>
      </w:r>
      <w:r>
        <w:rPr>
          <w:sz w:val="26"/>
          <w:szCs w:val="26"/>
        </w:rPr>
        <w:t>ł oraz</w:t>
      </w:r>
      <w:r w:rsidRPr="00B0309A">
        <w:rPr>
          <w:sz w:val="26"/>
          <w:szCs w:val="26"/>
        </w:rPr>
        <w:t xml:space="preserve"> w</w:t>
      </w:r>
      <w:r>
        <w:rPr>
          <w:sz w:val="26"/>
          <w:szCs w:val="26"/>
        </w:rPr>
        <w:t>e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Wrocławiu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105 773 388</w:t>
      </w:r>
      <w:r w:rsidRPr="00B0309A">
        <w:rPr>
          <w:sz w:val="26"/>
          <w:szCs w:val="26"/>
        </w:rPr>
        <w:t xml:space="preserve"> zł.</w:t>
      </w:r>
    </w:p>
    <w:p w14:paraId="5C28C371" w14:textId="77777777" w:rsidR="006812EE" w:rsidRPr="00B0309A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</w:p>
    <w:p w14:paraId="22DEBB8A" w14:textId="77777777" w:rsidR="006812EE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 w:rsidRPr="00B0309A">
        <w:rPr>
          <w:sz w:val="26"/>
          <w:szCs w:val="26"/>
        </w:rPr>
        <w:t xml:space="preserve"> W pozostałych okręgach Prokuratur Regionalnych wartość zabezpieczonego mienia wynosiła od </w:t>
      </w:r>
      <w:r>
        <w:rPr>
          <w:sz w:val="26"/>
          <w:szCs w:val="26"/>
        </w:rPr>
        <w:t>71 543 570</w:t>
      </w:r>
      <w:r w:rsidRPr="00B0309A">
        <w:rPr>
          <w:sz w:val="26"/>
          <w:szCs w:val="26"/>
        </w:rPr>
        <w:t xml:space="preserve"> zł w regionie </w:t>
      </w:r>
      <w:r>
        <w:rPr>
          <w:sz w:val="26"/>
          <w:szCs w:val="26"/>
        </w:rPr>
        <w:t>gdańskim</w:t>
      </w:r>
      <w:r w:rsidRPr="00B0309A">
        <w:rPr>
          <w:sz w:val="26"/>
          <w:szCs w:val="26"/>
        </w:rPr>
        <w:t xml:space="preserve"> do </w:t>
      </w:r>
      <w:r>
        <w:rPr>
          <w:sz w:val="26"/>
          <w:szCs w:val="26"/>
        </w:rPr>
        <w:t>34 871 135</w:t>
      </w:r>
      <w:r w:rsidRPr="00B0309A">
        <w:rPr>
          <w:sz w:val="26"/>
          <w:szCs w:val="26"/>
        </w:rPr>
        <w:t xml:space="preserve"> zł </w:t>
      </w:r>
      <w:r w:rsidRPr="00B0309A">
        <w:rPr>
          <w:sz w:val="26"/>
          <w:szCs w:val="26"/>
        </w:rPr>
        <w:br/>
        <w:t xml:space="preserve">w regionie </w:t>
      </w:r>
      <w:r>
        <w:rPr>
          <w:sz w:val="26"/>
          <w:szCs w:val="26"/>
        </w:rPr>
        <w:t>białostockim</w:t>
      </w:r>
      <w:r w:rsidRPr="00B0309A">
        <w:rPr>
          <w:sz w:val="26"/>
          <w:szCs w:val="26"/>
        </w:rPr>
        <w:t xml:space="preserve">. Natomiast najniższą wartość zabezpieczonego mienia wykazał okręg Prokuratury Regionalnej w Rzeszowie </w:t>
      </w:r>
      <w:r>
        <w:rPr>
          <w:sz w:val="26"/>
          <w:szCs w:val="26"/>
        </w:rPr>
        <w:t>-</w:t>
      </w:r>
      <w:r w:rsidRPr="00B0309A">
        <w:rPr>
          <w:sz w:val="26"/>
          <w:szCs w:val="26"/>
        </w:rPr>
        <w:t xml:space="preserve"> </w:t>
      </w:r>
      <w:r>
        <w:rPr>
          <w:sz w:val="26"/>
          <w:szCs w:val="26"/>
        </w:rPr>
        <w:t>19 342 692</w:t>
      </w:r>
      <w:r w:rsidRPr="00B0309A">
        <w:rPr>
          <w:sz w:val="26"/>
          <w:szCs w:val="26"/>
        </w:rPr>
        <w:t xml:space="preserve"> zł.</w:t>
      </w:r>
    </w:p>
    <w:p w14:paraId="55CD6FC7" w14:textId="77777777" w:rsidR="006812EE" w:rsidRPr="00B0309A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</w:p>
    <w:p w14:paraId="45460C8B" w14:textId="77777777" w:rsidR="006812EE" w:rsidRPr="00B0309A" w:rsidRDefault="006812EE" w:rsidP="006812EE">
      <w:pPr>
        <w:spacing w:line="360" w:lineRule="auto"/>
        <w:ind w:firstLine="708"/>
        <w:jc w:val="both"/>
        <w:rPr>
          <w:sz w:val="26"/>
          <w:szCs w:val="26"/>
        </w:rPr>
      </w:pPr>
      <w:r w:rsidRPr="0044649B">
        <w:rPr>
          <w:sz w:val="26"/>
          <w:szCs w:val="26"/>
        </w:rPr>
        <w:t>Wartość zabezpieczonego mienia średnio na jednego podejrzanego</w:t>
      </w:r>
      <w:r>
        <w:rPr>
          <w:sz w:val="26"/>
          <w:szCs w:val="26"/>
        </w:rPr>
        <w:t>, w sprawach skierowanych do sądu,</w:t>
      </w:r>
      <w:r w:rsidRPr="0044649B">
        <w:rPr>
          <w:sz w:val="26"/>
          <w:szCs w:val="26"/>
        </w:rPr>
        <w:t xml:space="preserve"> wynosiła 23 651 zł.</w:t>
      </w:r>
    </w:p>
    <w:p w14:paraId="2B5C15E0" w14:textId="77777777" w:rsidR="00392377" w:rsidRDefault="00392377"/>
    <w:sectPr w:rsidR="0039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03162"/>
    <w:multiLevelType w:val="hybridMultilevel"/>
    <w:tmpl w:val="1BEA5E34"/>
    <w:lvl w:ilvl="0" w:tplc="197E3C3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EE"/>
    <w:rsid w:val="00392377"/>
    <w:rsid w:val="00656C2D"/>
    <w:rsid w:val="006812EE"/>
    <w:rsid w:val="00D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705F"/>
  <w15:chartTrackingRefBased/>
  <w15:docId w15:val="{6DE3D04D-2136-4131-B6C5-6285E65E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czywas\Desktop\2019%20-%20sprawozdawczo&#347;&#263;\2018%20do%20pracy%20bie&#380;&#261;cej%20Wykresy%20do%20informacji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50000"/>
          </a:schemeClr>
        </a:solidFill>
        <a:ln>
          <a:noFill/>
        </a:ln>
        <a:effectLst/>
        <a:sp3d/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6287508722958828E-2"/>
          <c:y val="8.5790884718498661E-2"/>
          <c:w val="0.93859036985345434"/>
          <c:h val="0.80669354668468052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9BBF-41CA-8302-1A3D25924609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9BBF-41CA-8302-1A3D2592460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9BBF-41CA-8302-1A3D25924609}"/>
              </c:ext>
            </c:extLst>
          </c:dPt>
          <c:dLbls>
            <c:dLbl>
              <c:idx val="0"/>
              <c:layout>
                <c:manualLayout>
                  <c:x val="1.6666666666666666E-2"/>
                  <c:y val="-0.236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BF-41CA-8302-1A3D25924609}"/>
                </c:ext>
              </c:extLst>
            </c:dLbl>
            <c:dLbl>
              <c:idx val="1"/>
              <c:layout>
                <c:manualLayout>
                  <c:x val="1.1111111111111059E-2"/>
                  <c:y val="-0.240740740740740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BF-41CA-8302-1A3D25924609}"/>
                </c:ext>
              </c:extLst>
            </c:dLbl>
            <c:dLbl>
              <c:idx val="2"/>
              <c:layout>
                <c:manualLayout>
                  <c:x val="3.0555555555555555E-2"/>
                  <c:y val="-0.430555555555555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BF-41CA-8302-1A3D25924609}"/>
                </c:ext>
              </c:extLst>
            </c:dLbl>
            <c:dLbl>
              <c:idx val="3"/>
              <c:layout>
                <c:manualLayout>
                  <c:x val="4.7222222222222325E-2"/>
                  <c:y val="-0.458333333333333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BBF-41CA-8302-1A3D25924609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'ZM 2010 - 2014'!$B$78:$E$78</c:f>
              <c:strCache>
                <c:ptCount val="4"/>
                <c:pt idx="0">
                  <c:v>2016 r.</c:v>
                </c:pt>
                <c:pt idx="1">
                  <c:v>2017 r.</c:v>
                </c:pt>
                <c:pt idx="2">
                  <c:v>2018 r.</c:v>
                </c:pt>
                <c:pt idx="3">
                  <c:v>2019 r.</c:v>
                </c:pt>
              </c:strCache>
            </c:strRef>
          </c:cat>
          <c:val>
            <c:numRef>
              <c:f>'ZM 2010 - 2014'!$B$79:$E$79</c:f>
              <c:numCache>
                <c:formatCode>#,##0</c:formatCode>
                <c:ptCount val="4"/>
                <c:pt idx="0">
                  <c:v>251889855</c:v>
                </c:pt>
                <c:pt idx="1">
                  <c:v>474873197</c:v>
                </c:pt>
                <c:pt idx="2">
                  <c:v>1049806591</c:v>
                </c:pt>
                <c:pt idx="3">
                  <c:v>1058807657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BBF-41CA-8302-1A3D259246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0692496"/>
        <c:axId val="1"/>
        <c:axId val="0"/>
      </c:bar3DChart>
      <c:catAx>
        <c:axId val="41069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4106924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Koczywąs Barbara  (PR)</dc:creator>
  <cp:keywords/>
  <dc:description/>
  <cp:lastModifiedBy>Krasnopolska Weronika  (PR)</cp:lastModifiedBy>
  <cp:revision>2</cp:revision>
  <dcterms:created xsi:type="dcterms:W3CDTF">2021-07-14T10:36:00Z</dcterms:created>
  <dcterms:modified xsi:type="dcterms:W3CDTF">2021-07-14T10:36:00Z</dcterms:modified>
</cp:coreProperties>
</file>