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BED2" w14:textId="685ED2F4" w:rsidR="00DB32B6" w:rsidRPr="00DB32B6" w:rsidRDefault="00DB32B6" w:rsidP="00DB32B6">
      <w:pPr>
        <w:jc w:val="right"/>
        <w:rPr>
          <w:u w:val="single"/>
        </w:rPr>
      </w:pPr>
      <w:bookmarkStart w:id="0" w:name="_Hlk207611018"/>
      <w:bookmarkStart w:id="1" w:name="_Hlk207692631"/>
      <w:r w:rsidRPr="00DB32B6">
        <w:rPr>
          <w:u w:val="single"/>
        </w:rPr>
        <w:t xml:space="preserve">Załącznik nr </w:t>
      </w:r>
      <w:r w:rsidR="003646B3">
        <w:rPr>
          <w:u w:val="single"/>
        </w:rPr>
        <w:t>2</w:t>
      </w:r>
      <w:r w:rsidRPr="00DB32B6">
        <w:rPr>
          <w:u w:val="single"/>
        </w:rPr>
        <w:t xml:space="preserve"> </w:t>
      </w:r>
    </w:p>
    <w:p w14:paraId="12743F66" w14:textId="2F36664E" w:rsidR="00DB32B6" w:rsidRDefault="00DB32B6" w:rsidP="00DB32B6">
      <w:pPr>
        <w:jc w:val="right"/>
      </w:pPr>
      <w:r w:rsidRPr="00DB32B6">
        <w:t>do umowy</w:t>
      </w:r>
      <w:r>
        <w:t xml:space="preserve"> Nr ….                        </w:t>
      </w:r>
      <w:r w:rsidRPr="00A058D2">
        <w:rPr>
          <w:color w:val="FFFFFF" w:themeColor="background1"/>
        </w:rPr>
        <w:t>.</w:t>
      </w:r>
      <w:r w:rsidRPr="00DB32B6">
        <w:t xml:space="preserve"> </w:t>
      </w:r>
    </w:p>
    <w:p w14:paraId="6B6B225D" w14:textId="77777777" w:rsidR="00DB32B6" w:rsidRDefault="00DB32B6"/>
    <w:bookmarkEnd w:id="0"/>
    <w:p w14:paraId="09049D55" w14:textId="77777777" w:rsidR="00A058D2" w:rsidRDefault="00A058D2" w:rsidP="00A058D2">
      <w:pPr>
        <w:jc w:val="center"/>
        <w:rPr>
          <w:b/>
          <w:bCs/>
        </w:rPr>
      </w:pPr>
      <w:r w:rsidRPr="00A058D2">
        <w:rPr>
          <w:b/>
          <w:bCs/>
        </w:rPr>
        <w:t>HARMONOGRAM CZYNNOŚCI OBSŁUGOWO–SERWISOWYCH</w:t>
      </w:r>
    </w:p>
    <w:p w14:paraId="3F679ABF" w14:textId="77777777" w:rsidR="00A058D2" w:rsidRPr="00A058D2" w:rsidRDefault="00A058D2" w:rsidP="00A058D2">
      <w:pPr>
        <w:jc w:val="center"/>
        <w:rPr>
          <w:b/>
          <w:bCs/>
        </w:rPr>
      </w:pPr>
    </w:p>
    <w:p w14:paraId="4C825D9A" w14:textId="77777777" w:rsidR="00A058D2" w:rsidRDefault="00A058D2" w:rsidP="00A058D2">
      <w:pPr>
        <w:rPr>
          <w:i/>
          <w:iCs/>
        </w:rPr>
      </w:pPr>
    </w:p>
    <w:p w14:paraId="11147DEE" w14:textId="04A86DA1" w:rsidR="00A058D2" w:rsidRPr="00A058D2" w:rsidRDefault="00A058D2" w:rsidP="00A058D2">
      <w:r w:rsidRPr="00A058D2">
        <w:rPr>
          <w:i/>
          <w:iCs/>
        </w:rPr>
        <w:t>Zakres czynności wskazany w Harmonogramie ma charakter ogólny. Szczegółowe czynności obsługowe dla każdej grupy sprzętu zostały określone w Załączniku nr 3 do umowy.</w:t>
      </w:r>
    </w:p>
    <w:p w14:paraId="69104FD4" w14:textId="095BCFE6" w:rsidR="0011482B" w:rsidRPr="0011482B" w:rsidRDefault="0011482B" w:rsidP="0011482B">
      <w:pPr>
        <w:rPr>
          <w:b/>
          <w:bCs/>
        </w:rPr>
      </w:pPr>
    </w:p>
    <w:tbl>
      <w:tblPr>
        <w:tblStyle w:val="Tabela-Siatka"/>
        <w:tblW w:w="9128" w:type="dxa"/>
        <w:tblLook w:val="04A0" w:firstRow="1" w:lastRow="0" w:firstColumn="1" w:lastColumn="0" w:noHBand="0" w:noVBand="1"/>
      </w:tblPr>
      <w:tblGrid>
        <w:gridCol w:w="512"/>
        <w:gridCol w:w="1955"/>
        <w:gridCol w:w="1574"/>
        <w:gridCol w:w="1672"/>
        <w:gridCol w:w="3415"/>
      </w:tblGrid>
      <w:tr w:rsidR="006B6414" w:rsidRPr="0011482B" w14:paraId="3BC3A712" w14:textId="77777777" w:rsidTr="001528CE">
        <w:tc>
          <w:tcPr>
            <w:tcW w:w="381" w:type="dxa"/>
            <w:hideMark/>
          </w:tcPr>
          <w:p w14:paraId="31D36CD4" w14:textId="77777777" w:rsidR="0011482B" w:rsidRPr="0011482B" w:rsidRDefault="0011482B" w:rsidP="006027DC">
            <w:pPr>
              <w:jc w:val="center"/>
              <w:rPr>
                <w:b/>
                <w:bCs/>
              </w:rPr>
            </w:pPr>
            <w:r w:rsidRPr="0011482B">
              <w:rPr>
                <w:b/>
                <w:bCs/>
              </w:rPr>
              <w:t>Lp.</w:t>
            </w:r>
          </w:p>
        </w:tc>
        <w:tc>
          <w:tcPr>
            <w:tcW w:w="1954" w:type="dxa"/>
            <w:hideMark/>
          </w:tcPr>
          <w:p w14:paraId="1702E1AD" w14:textId="77777777" w:rsidR="0011482B" w:rsidRPr="0011482B" w:rsidRDefault="0011482B" w:rsidP="006B6414">
            <w:pPr>
              <w:jc w:val="center"/>
              <w:rPr>
                <w:b/>
                <w:bCs/>
              </w:rPr>
            </w:pPr>
            <w:r w:rsidRPr="0011482B">
              <w:rPr>
                <w:b/>
                <w:bCs/>
              </w:rPr>
              <w:t>Grupa / Kategoria sprzętu</w:t>
            </w:r>
          </w:p>
        </w:tc>
        <w:tc>
          <w:tcPr>
            <w:tcW w:w="1529" w:type="dxa"/>
            <w:hideMark/>
          </w:tcPr>
          <w:p w14:paraId="64986976" w14:textId="77777777" w:rsidR="0011482B" w:rsidRPr="0011482B" w:rsidRDefault="0011482B" w:rsidP="006B6414">
            <w:pPr>
              <w:jc w:val="center"/>
              <w:rPr>
                <w:b/>
                <w:bCs/>
              </w:rPr>
            </w:pPr>
            <w:r w:rsidRPr="0011482B">
              <w:rPr>
                <w:b/>
                <w:bCs/>
              </w:rPr>
              <w:t>Częstotliwość obsługi</w:t>
            </w:r>
          </w:p>
        </w:tc>
        <w:tc>
          <w:tcPr>
            <w:tcW w:w="1671" w:type="dxa"/>
            <w:hideMark/>
          </w:tcPr>
          <w:p w14:paraId="4612B5E0" w14:textId="77777777" w:rsidR="0011482B" w:rsidRPr="0011482B" w:rsidRDefault="0011482B" w:rsidP="006B6414">
            <w:pPr>
              <w:jc w:val="center"/>
              <w:rPr>
                <w:b/>
                <w:bCs/>
              </w:rPr>
            </w:pPr>
            <w:r w:rsidRPr="0011482B">
              <w:rPr>
                <w:b/>
                <w:bCs/>
              </w:rPr>
              <w:t>Termin realizacji</w:t>
            </w:r>
          </w:p>
        </w:tc>
        <w:tc>
          <w:tcPr>
            <w:tcW w:w="3413" w:type="dxa"/>
            <w:hideMark/>
          </w:tcPr>
          <w:p w14:paraId="56D81C54" w14:textId="77777777" w:rsidR="0011482B" w:rsidRPr="0011482B" w:rsidRDefault="0011482B" w:rsidP="006B6414">
            <w:pPr>
              <w:jc w:val="center"/>
              <w:rPr>
                <w:b/>
                <w:bCs/>
              </w:rPr>
            </w:pPr>
            <w:r w:rsidRPr="0011482B">
              <w:rPr>
                <w:b/>
                <w:bCs/>
              </w:rPr>
              <w:t>Zakres czynności / Uwagi</w:t>
            </w:r>
          </w:p>
        </w:tc>
      </w:tr>
      <w:tr w:rsidR="006B6414" w:rsidRPr="0011482B" w14:paraId="70D59338" w14:textId="77777777" w:rsidTr="001528CE">
        <w:tc>
          <w:tcPr>
            <w:tcW w:w="381" w:type="dxa"/>
          </w:tcPr>
          <w:p w14:paraId="5BED2E3C" w14:textId="56B2BBB6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  <w:hideMark/>
          </w:tcPr>
          <w:p w14:paraId="3513A5B0" w14:textId="703386BD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A. Agregaty prądotwórcze</w:t>
            </w:r>
          </w:p>
        </w:tc>
        <w:tc>
          <w:tcPr>
            <w:tcW w:w="1529" w:type="dxa"/>
            <w:hideMark/>
          </w:tcPr>
          <w:p w14:paraId="4DC82E5F" w14:textId="37715EFD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Kwartalnie</w:t>
            </w:r>
          </w:p>
        </w:tc>
        <w:tc>
          <w:tcPr>
            <w:tcW w:w="1671" w:type="dxa"/>
            <w:hideMark/>
          </w:tcPr>
          <w:p w14:paraId="13A7DFC3" w14:textId="3300495C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 xml:space="preserve">Do 31 marca, </w:t>
            </w:r>
            <w:r>
              <w:rPr>
                <w:kern w:val="2"/>
                <w:lang w:eastAsia="en-US"/>
                <w14:ligatures w14:val="standardContextual"/>
              </w:rPr>
              <w:br/>
              <w:t xml:space="preserve">30 czerwca, </w:t>
            </w:r>
            <w:r>
              <w:rPr>
                <w:kern w:val="2"/>
                <w:lang w:eastAsia="en-US"/>
                <w14:ligatures w14:val="standardContextual"/>
              </w:rPr>
              <w:br/>
              <w:t xml:space="preserve">30 września, </w:t>
            </w:r>
            <w:r>
              <w:rPr>
                <w:kern w:val="2"/>
                <w:lang w:eastAsia="en-US"/>
                <w14:ligatures w14:val="standardContextual"/>
              </w:rPr>
              <w:br/>
              <w:t>15 grudnia</w:t>
            </w:r>
          </w:p>
        </w:tc>
        <w:tc>
          <w:tcPr>
            <w:tcW w:w="3413" w:type="dxa"/>
            <w:hideMark/>
          </w:tcPr>
          <w:p w14:paraId="2A3FE8E0" w14:textId="654BB066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Obsługa zgodnie z wykazem w Załączniku nr 3 (m.in. uruchomienie testowe, kontrola zasilania, przegląd techniczny)</w:t>
            </w:r>
          </w:p>
        </w:tc>
      </w:tr>
      <w:tr w:rsidR="006B6414" w:rsidRPr="0011482B" w14:paraId="7CE58E07" w14:textId="77777777" w:rsidTr="001528CE">
        <w:tc>
          <w:tcPr>
            <w:tcW w:w="381" w:type="dxa"/>
          </w:tcPr>
          <w:p w14:paraId="4C7DADE0" w14:textId="21D80AC3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  <w:hideMark/>
          </w:tcPr>
          <w:p w14:paraId="0C843ED3" w14:textId="67B1E466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B. Pompy wodne (przewoźne, motopompy, zatapialne, specjalne)</w:t>
            </w:r>
          </w:p>
        </w:tc>
        <w:tc>
          <w:tcPr>
            <w:tcW w:w="1529" w:type="dxa"/>
            <w:hideMark/>
          </w:tcPr>
          <w:p w14:paraId="486ACCF7" w14:textId="0036A10E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Kwartalnie</w:t>
            </w:r>
          </w:p>
        </w:tc>
        <w:tc>
          <w:tcPr>
            <w:tcW w:w="1671" w:type="dxa"/>
            <w:hideMark/>
          </w:tcPr>
          <w:p w14:paraId="4445EEEE" w14:textId="3E0807F5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jw.</w:t>
            </w:r>
          </w:p>
        </w:tc>
        <w:tc>
          <w:tcPr>
            <w:tcW w:w="3413" w:type="dxa"/>
            <w:hideMark/>
          </w:tcPr>
          <w:p w14:paraId="49EBFA13" w14:textId="5CEFF46B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Obsługa zgodnie z wykazem w Załączniku nr 3 (m.in. test pracy, kontrola filtrów i węży, przegląd ogólny)</w:t>
            </w:r>
          </w:p>
        </w:tc>
      </w:tr>
      <w:tr w:rsidR="006B6414" w:rsidRPr="0011482B" w14:paraId="678E98FC" w14:textId="77777777" w:rsidTr="001528CE">
        <w:tc>
          <w:tcPr>
            <w:tcW w:w="381" w:type="dxa"/>
          </w:tcPr>
          <w:p w14:paraId="0D86AEAA" w14:textId="7821A5EA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  <w:hideMark/>
          </w:tcPr>
          <w:p w14:paraId="02E756A6" w14:textId="0F106B35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C. Nagrzewnice (olejowe, elektryczne)</w:t>
            </w:r>
          </w:p>
        </w:tc>
        <w:tc>
          <w:tcPr>
            <w:tcW w:w="1529" w:type="dxa"/>
            <w:hideMark/>
          </w:tcPr>
          <w:p w14:paraId="7FF3DC31" w14:textId="4D75857B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Rocznie</w:t>
            </w:r>
          </w:p>
        </w:tc>
        <w:tc>
          <w:tcPr>
            <w:tcW w:w="1671" w:type="dxa"/>
            <w:hideMark/>
          </w:tcPr>
          <w:p w14:paraId="4953455B" w14:textId="68A786BB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Do 15 grudnia</w:t>
            </w:r>
          </w:p>
        </w:tc>
        <w:tc>
          <w:tcPr>
            <w:tcW w:w="3413" w:type="dxa"/>
            <w:hideMark/>
          </w:tcPr>
          <w:p w14:paraId="1A9880B6" w14:textId="6DADB865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Obsługa zgodnie z wykazem w Załączniku nr 3 (m.in. test grzania, kontrola przewodów, czyszczenie)</w:t>
            </w:r>
          </w:p>
        </w:tc>
      </w:tr>
      <w:tr w:rsidR="006B6414" w:rsidRPr="0011482B" w14:paraId="4DE9611A" w14:textId="77777777" w:rsidTr="001528CE">
        <w:tc>
          <w:tcPr>
            <w:tcW w:w="381" w:type="dxa"/>
          </w:tcPr>
          <w:p w14:paraId="648FF7B3" w14:textId="3DE7025C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  <w:hideMark/>
          </w:tcPr>
          <w:p w14:paraId="021E8D69" w14:textId="060B7E4C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D. Silniki zaburtowe</w:t>
            </w:r>
          </w:p>
        </w:tc>
        <w:tc>
          <w:tcPr>
            <w:tcW w:w="1529" w:type="dxa"/>
            <w:hideMark/>
          </w:tcPr>
          <w:p w14:paraId="6923A087" w14:textId="429FAE2A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Rocznie</w:t>
            </w:r>
          </w:p>
        </w:tc>
        <w:tc>
          <w:tcPr>
            <w:tcW w:w="1671" w:type="dxa"/>
            <w:hideMark/>
          </w:tcPr>
          <w:p w14:paraId="16D23B68" w14:textId="4E9AA846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Do 30 listopada</w:t>
            </w:r>
          </w:p>
        </w:tc>
        <w:tc>
          <w:tcPr>
            <w:tcW w:w="3413" w:type="dxa"/>
            <w:hideMark/>
          </w:tcPr>
          <w:p w14:paraId="1A3DBF87" w14:textId="4394E446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Obsługa zgodnie z wykazem w Załączniku nr 3 (m.in. uruchomienie testowe, kontrola układu paliwowego, przegląd ogólny)</w:t>
            </w:r>
          </w:p>
        </w:tc>
      </w:tr>
      <w:tr w:rsidR="006B6414" w:rsidRPr="0011482B" w14:paraId="30CD2E5D" w14:textId="77777777" w:rsidTr="001528CE">
        <w:tc>
          <w:tcPr>
            <w:tcW w:w="381" w:type="dxa"/>
          </w:tcPr>
          <w:p w14:paraId="0D3F1218" w14:textId="6252631B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  <w:hideMark/>
          </w:tcPr>
          <w:p w14:paraId="47A5C88F" w14:textId="105A2F64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E. Urządzenia elektryczne</w:t>
            </w:r>
          </w:p>
        </w:tc>
        <w:tc>
          <w:tcPr>
            <w:tcW w:w="1529" w:type="dxa"/>
            <w:hideMark/>
          </w:tcPr>
          <w:p w14:paraId="3E0BE560" w14:textId="0B51BA8C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Rocznie</w:t>
            </w:r>
          </w:p>
        </w:tc>
        <w:tc>
          <w:tcPr>
            <w:tcW w:w="1671" w:type="dxa"/>
            <w:hideMark/>
          </w:tcPr>
          <w:p w14:paraId="696B5C07" w14:textId="7772E038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Do 15 listopada</w:t>
            </w:r>
          </w:p>
        </w:tc>
        <w:tc>
          <w:tcPr>
            <w:tcW w:w="3413" w:type="dxa"/>
            <w:hideMark/>
          </w:tcPr>
          <w:p w14:paraId="56B675AC" w14:textId="7EC2C9BF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Obsługa zgodnie z wykazem w Załączniku nr 3 (m.in. test działania, kontrola przewodów, czyszczenie)</w:t>
            </w:r>
          </w:p>
        </w:tc>
      </w:tr>
      <w:tr w:rsidR="006B6414" w:rsidRPr="0011482B" w14:paraId="3728543A" w14:textId="77777777" w:rsidTr="001528CE">
        <w:tc>
          <w:tcPr>
            <w:tcW w:w="381" w:type="dxa"/>
          </w:tcPr>
          <w:p w14:paraId="4A786852" w14:textId="0DB0DAED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  <w:hideMark/>
          </w:tcPr>
          <w:p w14:paraId="0846F705" w14:textId="5E50E78B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F. Przedłużacze / oświetlenie</w:t>
            </w:r>
          </w:p>
        </w:tc>
        <w:tc>
          <w:tcPr>
            <w:tcW w:w="1529" w:type="dxa"/>
            <w:hideMark/>
          </w:tcPr>
          <w:p w14:paraId="257F3D81" w14:textId="1742E987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Rocznie</w:t>
            </w:r>
          </w:p>
        </w:tc>
        <w:tc>
          <w:tcPr>
            <w:tcW w:w="1671" w:type="dxa"/>
            <w:hideMark/>
          </w:tcPr>
          <w:p w14:paraId="1D674AAB" w14:textId="5DCD5AE3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Do 15 listopada</w:t>
            </w:r>
          </w:p>
        </w:tc>
        <w:tc>
          <w:tcPr>
            <w:tcW w:w="3413" w:type="dxa"/>
            <w:hideMark/>
          </w:tcPr>
          <w:p w14:paraId="1EA83C91" w14:textId="749296C4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Obsługa zgodnie z wykazem w Załączniku nr 3 (m.in. test ciągłości, kontrola wtyczek, sprawdzenie funkcjonalności)</w:t>
            </w:r>
          </w:p>
        </w:tc>
      </w:tr>
      <w:tr w:rsidR="006B6414" w:rsidRPr="0011482B" w14:paraId="58789BCE" w14:textId="77777777" w:rsidTr="001528CE">
        <w:tc>
          <w:tcPr>
            <w:tcW w:w="381" w:type="dxa"/>
          </w:tcPr>
          <w:p w14:paraId="21340ED6" w14:textId="54CB80F3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  <w:hideMark/>
          </w:tcPr>
          <w:p w14:paraId="6529F272" w14:textId="30C4A26F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G. Urządzenia elektryczne do użytku magazynu</w:t>
            </w:r>
          </w:p>
        </w:tc>
        <w:tc>
          <w:tcPr>
            <w:tcW w:w="1529" w:type="dxa"/>
            <w:hideMark/>
          </w:tcPr>
          <w:p w14:paraId="1546DCED" w14:textId="27B2EC01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Rocznie</w:t>
            </w:r>
          </w:p>
        </w:tc>
        <w:tc>
          <w:tcPr>
            <w:tcW w:w="1671" w:type="dxa"/>
            <w:hideMark/>
          </w:tcPr>
          <w:p w14:paraId="5A963DF2" w14:textId="2FBC76A9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Do 15 listopada</w:t>
            </w:r>
          </w:p>
        </w:tc>
        <w:tc>
          <w:tcPr>
            <w:tcW w:w="3413" w:type="dxa"/>
            <w:hideMark/>
          </w:tcPr>
          <w:p w14:paraId="50D3628D" w14:textId="6E3CC76B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Obsługa zgodnie z wykazem w Załączniku nr 3 (m.in. ładowarki, mierniki – test działania i przegląd techniczny)</w:t>
            </w:r>
          </w:p>
        </w:tc>
      </w:tr>
      <w:tr w:rsidR="006B6414" w:rsidRPr="0011482B" w14:paraId="3F5224B6" w14:textId="77777777" w:rsidTr="001528CE">
        <w:tc>
          <w:tcPr>
            <w:tcW w:w="381" w:type="dxa"/>
          </w:tcPr>
          <w:p w14:paraId="25FE0CD9" w14:textId="1E1ED5BA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  <w:hideMark/>
          </w:tcPr>
          <w:p w14:paraId="1E3FA099" w14:textId="4555433D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 xml:space="preserve">H. Wyposażenie namiotów pneumatycznych </w:t>
            </w:r>
            <w:r w:rsidR="006027DC">
              <w:rPr>
                <w:kern w:val="2"/>
                <w:lang w:eastAsia="en-US"/>
                <w14:ligatures w14:val="standardContextual"/>
              </w:rPr>
              <w:br/>
            </w:r>
            <w:r>
              <w:rPr>
                <w:kern w:val="2"/>
                <w:lang w:eastAsia="en-US"/>
                <w14:ligatures w14:val="standardContextual"/>
              </w:rPr>
              <w:t>(6 szt.)</w:t>
            </w:r>
          </w:p>
        </w:tc>
        <w:tc>
          <w:tcPr>
            <w:tcW w:w="1529" w:type="dxa"/>
            <w:hideMark/>
          </w:tcPr>
          <w:p w14:paraId="0A00D72A" w14:textId="32D0A80D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Rocznie</w:t>
            </w:r>
          </w:p>
        </w:tc>
        <w:tc>
          <w:tcPr>
            <w:tcW w:w="1671" w:type="dxa"/>
            <w:hideMark/>
          </w:tcPr>
          <w:p w14:paraId="5D4B27F8" w14:textId="6B44AE61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Do 30 listopada</w:t>
            </w:r>
          </w:p>
        </w:tc>
        <w:tc>
          <w:tcPr>
            <w:tcW w:w="3413" w:type="dxa"/>
            <w:hideMark/>
          </w:tcPr>
          <w:p w14:paraId="27493A66" w14:textId="27FFE0F6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Obsługa zgodnie z wykazem w Załączniku nr 3 (m.in. test pompek, masztów, instalacji oświetleniowej)</w:t>
            </w:r>
          </w:p>
        </w:tc>
      </w:tr>
      <w:tr w:rsidR="006B6414" w:rsidRPr="0011482B" w14:paraId="434B213F" w14:textId="77777777" w:rsidTr="001528CE">
        <w:tc>
          <w:tcPr>
            <w:tcW w:w="381" w:type="dxa"/>
          </w:tcPr>
          <w:p w14:paraId="4D5722CC" w14:textId="1FFA062E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  <w:hideMark/>
          </w:tcPr>
          <w:p w14:paraId="22DECD4B" w14:textId="79BB0563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I. Piły i pilarki</w:t>
            </w:r>
          </w:p>
        </w:tc>
        <w:tc>
          <w:tcPr>
            <w:tcW w:w="1529" w:type="dxa"/>
            <w:hideMark/>
          </w:tcPr>
          <w:p w14:paraId="58768046" w14:textId="74CCED33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Rocznie</w:t>
            </w:r>
          </w:p>
        </w:tc>
        <w:tc>
          <w:tcPr>
            <w:tcW w:w="1671" w:type="dxa"/>
            <w:hideMark/>
          </w:tcPr>
          <w:p w14:paraId="5523E8F3" w14:textId="52EE3721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Do 15 listopada</w:t>
            </w:r>
          </w:p>
        </w:tc>
        <w:tc>
          <w:tcPr>
            <w:tcW w:w="3413" w:type="dxa"/>
            <w:hideMark/>
          </w:tcPr>
          <w:p w14:paraId="5DACA537" w14:textId="4AB25F2A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Obsługa zgodnie z wykazem w Załączniku nr 3 (m.in. kontrola prowadnic, test zapłonu, czyszczenie i smarowanie)</w:t>
            </w:r>
          </w:p>
        </w:tc>
      </w:tr>
      <w:tr w:rsidR="006B6414" w:rsidRPr="0011482B" w14:paraId="5ED8371B" w14:textId="77777777" w:rsidTr="001528CE">
        <w:tc>
          <w:tcPr>
            <w:tcW w:w="381" w:type="dxa"/>
          </w:tcPr>
          <w:p w14:paraId="344747CD" w14:textId="55CBE2BC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  <w:hideMark/>
          </w:tcPr>
          <w:p w14:paraId="2D9A5C1D" w14:textId="3791B741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J. Kosy i kosiarki</w:t>
            </w:r>
          </w:p>
        </w:tc>
        <w:tc>
          <w:tcPr>
            <w:tcW w:w="1529" w:type="dxa"/>
            <w:hideMark/>
          </w:tcPr>
          <w:p w14:paraId="15CC99CE" w14:textId="08C85A45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Rocznie</w:t>
            </w:r>
          </w:p>
        </w:tc>
        <w:tc>
          <w:tcPr>
            <w:tcW w:w="1671" w:type="dxa"/>
            <w:hideMark/>
          </w:tcPr>
          <w:p w14:paraId="6535426F" w14:textId="51950AFF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Do 15 listopada</w:t>
            </w:r>
          </w:p>
        </w:tc>
        <w:tc>
          <w:tcPr>
            <w:tcW w:w="3413" w:type="dxa"/>
            <w:hideMark/>
          </w:tcPr>
          <w:p w14:paraId="47428AEB" w14:textId="7D5F9385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Obsługa zgodnie z wykazem w Załączniku nr 3 (m.in. test pracy, kontrola ostrzy, przegląd silnika)</w:t>
            </w:r>
          </w:p>
        </w:tc>
      </w:tr>
      <w:tr w:rsidR="006B6414" w:rsidRPr="0011482B" w14:paraId="2118155B" w14:textId="77777777" w:rsidTr="001528CE">
        <w:tc>
          <w:tcPr>
            <w:tcW w:w="381" w:type="dxa"/>
          </w:tcPr>
          <w:p w14:paraId="63EE5E12" w14:textId="77777777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</w:tcPr>
          <w:p w14:paraId="4A9BD79E" w14:textId="1933A255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Szkolenie pracowników</w:t>
            </w:r>
          </w:p>
        </w:tc>
        <w:tc>
          <w:tcPr>
            <w:tcW w:w="1529" w:type="dxa"/>
          </w:tcPr>
          <w:p w14:paraId="57ABA4A2" w14:textId="6CE767A6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Raz w roku lub wg potrzeb</w:t>
            </w:r>
          </w:p>
        </w:tc>
        <w:tc>
          <w:tcPr>
            <w:tcW w:w="1671" w:type="dxa"/>
          </w:tcPr>
          <w:p w14:paraId="6ED7CBB1" w14:textId="0480442B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Do 15 listopada lub wg ustaleń Stron</w:t>
            </w:r>
          </w:p>
        </w:tc>
        <w:tc>
          <w:tcPr>
            <w:tcW w:w="3413" w:type="dxa"/>
          </w:tcPr>
          <w:p w14:paraId="67AE3444" w14:textId="07473245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Zakres ustalany każdorazowo; możliwe szkolenie okresowe lub na wniosek Zamawiającego</w:t>
            </w:r>
          </w:p>
        </w:tc>
      </w:tr>
      <w:tr w:rsidR="006B6414" w:rsidRPr="0011482B" w14:paraId="6B65BD59" w14:textId="77777777" w:rsidTr="001528CE">
        <w:tc>
          <w:tcPr>
            <w:tcW w:w="381" w:type="dxa"/>
          </w:tcPr>
          <w:p w14:paraId="523182D1" w14:textId="77777777" w:rsidR="006B6414" w:rsidRPr="0011482B" w:rsidRDefault="006B6414" w:rsidP="006027DC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954" w:type="dxa"/>
          </w:tcPr>
          <w:p w14:paraId="50745F65" w14:textId="3F5B2688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Inne czynności dodatkowe lub interwencyjne</w:t>
            </w:r>
          </w:p>
        </w:tc>
        <w:tc>
          <w:tcPr>
            <w:tcW w:w="1529" w:type="dxa"/>
          </w:tcPr>
          <w:p w14:paraId="1B7C8CDF" w14:textId="26E1FB29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Dodatkowo wg potrzeb</w:t>
            </w:r>
          </w:p>
        </w:tc>
        <w:tc>
          <w:tcPr>
            <w:tcW w:w="1671" w:type="dxa"/>
          </w:tcPr>
          <w:p w14:paraId="1434FF10" w14:textId="466D1FDF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Terminy uzgadniane każdorazowo</w:t>
            </w:r>
          </w:p>
        </w:tc>
        <w:tc>
          <w:tcPr>
            <w:tcW w:w="3413" w:type="dxa"/>
          </w:tcPr>
          <w:p w14:paraId="5029B731" w14:textId="72C9AA4B" w:rsidR="006B6414" w:rsidRPr="0011482B" w:rsidRDefault="006B6414" w:rsidP="006B6414">
            <w:r>
              <w:rPr>
                <w:kern w:val="2"/>
                <w:lang w:eastAsia="en-US"/>
                <w14:ligatures w14:val="standardContextual"/>
              </w:rPr>
              <w:t>Na pisemne zlecenie Zamawiającego; mogą dotyczyć sprzętu spoza powyższych grup</w:t>
            </w:r>
          </w:p>
        </w:tc>
      </w:tr>
    </w:tbl>
    <w:p w14:paraId="27C6E991" w14:textId="76EB4A89" w:rsidR="0011482B" w:rsidRPr="0011482B" w:rsidRDefault="0011482B" w:rsidP="0011482B"/>
    <w:p w14:paraId="14FB2297" w14:textId="77777777" w:rsidR="0011482B" w:rsidRPr="0011482B" w:rsidRDefault="0011482B" w:rsidP="0011482B">
      <w:pPr>
        <w:rPr>
          <w:b/>
          <w:bCs/>
        </w:rPr>
      </w:pPr>
      <w:r w:rsidRPr="0011482B">
        <w:rPr>
          <w:b/>
          <w:bCs/>
        </w:rPr>
        <w:t>Uwagi:</w:t>
      </w:r>
    </w:p>
    <w:p w14:paraId="016AB634" w14:textId="77777777" w:rsidR="0011482B" w:rsidRPr="0011482B" w:rsidRDefault="0011482B" w:rsidP="0011482B">
      <w:pPr>
        <w:numPr>
          <w:ilvl w:val="0"/>
          <w:numId w:val="10"/>
        </w:numPr>
      </w:pPr>
      <w:r w:rsidRPr="0011482B">
        <w:t>Harmonogram może być modyfikowany po uzgodnieniu Stron – szczególnie w przypadku zmian stanu technicznego sprzętu, decyzji organizacyjnych lub sytuacji losowych.</w:t>
      </w:r>
    </w:p>
    <w:p w14:paraId="3F13BA5B" w14:textId="5D43AC4F" w:rsidR="0011482B" w:rsidRPr="0011482B" w:rsidRDefault="0011482B" w:rsidP="00DB32B6">
      <w:pPr>
        <w:numPr>
          <w:ilvl w:val="0"/>
          <w:numId w:val="10"/>
        </w:numPr>
      </w:pPr>
      <w:r w:rsidRPr="0011482B">
        <w:t xml:space="preserve">Wszelkie zmiany wymagają formy </w:t>
      </w:r>
      <w:r w:rsidR="001528CE">
        <w:t>pisemnego aneksu do umowy</w:t>
      </w:r>
    </w:p>
    <w:bookmarkEnd w:id="1"/>
    <w:p w14:paraId="67AB5EE6" w14:textId="77777777" w:rsidR="0011482B" w:rsidRPr="0011482B" w:rsidRDefault="0011482B" w:rsidP="00DB32B6"/>
    <w:sectPr w:rsidR="0011482B" w:rsidRPr="0011482B" w:rsidSect="00A058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BCF5" w14:textId="77777777" w:rsidR="00DB32B6" w:rsidRDefault="00DB32B6" w:rsidP="00DB32B6">
      <w:r>
        <w:separator/>
      </w:r>
    </w:p>
  </w:endnote>
  <w:endnote w:type="continuationSeparator" w:id="0">
    <w:p w14:paraId="24ABB972" w14:textId="77777777" w:rsidR="00DB32B6" w:rsidRDefault="00DB32B6" w:rsidP="00DB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663520"/>
      <w:docPartObj>
        <w:docPartGallery w:val="Page Numbers (Bottom of Page)"/>
        <w:docPartUnique/>
      </w:docPartObj>
    </w:sdtPr>
    <w:sdtEndPr/>
    <w:sdtContent>
      <w:p w14:paraId="78A2056E" w14:textId="4E79F2BB" w:rsidR="006027DC" w:rsidRDefault="006027DC">
        <w:pPr>
          <w:pStyle w:val="Stopka"/>
          <w:jc w:val="right"/>
        </w:pPr>
        <w:r w:rsidRPr="006027DC">
          <w:rPr>
            <w:sz w:val="20"/>
            <w:szCs w:val="16"/>
          </w:rPr>
          <w:fldChar w:fldCharType="begin"/>
        </w:r>
        <w:r w:rsidRPr="006027DC">
          <w:rPr>
            <w:sz w:val="20"/>
            <w:szCs w:val="16"/>
          </w:rPr>
          <w:instrText>PAGE   \* MERGEFORMAT</w:instrText>
        </w:r>
        <w:r w:rsidRPr="006027DC">
          <w:rPr>
            <w:sz w:val="20"/>
            <w:szCs w:val="16"/>
          </w:rPr>
          <w:fldChar w:fldCharType="separate"/>
        </w:r>
        <w:r w:rsidRPr="006027DC">
          <w:rPr>
            <w:sz w:val="20"/>
            <w:szCs w:val="16"/>
          </w:rPr>
          <w:t>2</w:t>
        </w:r>
        <w:r w:rsidRPr="006027DC">
          <w:rPr>
            <w:sz w:val="20"/>
            <w:szCs w:val="16"/>
          </w:rPr>
          <w:fldChar w:fldCharType="end"/>
        </w:r>
      </w:p>
    </w:sdtContent>
  </w:sdt>
  <w:p w14:paraId="3265CEBA" w14:textId="77777777" w:rsidR="006027DC" w:rsidRDefault="00602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A827" w14:textId="77777777" w:rsidR="00DB32B6" w:rsidRDefault="00DB32B6" w:rsidP="00DB32B6">
      <w:r>
        <w:separator/>
      </w:r>
    </w:p>
  </w:footnote>
  <w:footnote w:type="continuationSeparator" w:id="0">
    <w:p w14:paraId="6B1D2C12" w14:textId="77777777" w:rsidR="00DB32B6" w:rsidRDefault="00DB32B6" w:rsidP="00DB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BFA"/>
    <w:multiLevelType w:val="multilevel"/>
    <w:tmpl w:val="E08AA024"/>
    <w:styleLink w:val="Styl4"/>
    <w:lvl w:ilvl="0">
      <w:start w:val="1"/>
      <w:numFmt w:val="decimal"/>
      <w:lvlText w:val="%1. "/>
      <w:lvlJc w:val="left"/>
      <w:pPr>
        <w:ind w:left="284" w:hanging="284"/>
      </w:pPr>
      <w:rPr>
        <w:b w:val="0"/>
        <w:i w:val="0"/>
        <w:sz w:val="24"/>
      </w:rPr>
    </w:lvl>
    <w:lvl w:ilvl="1">
      <w:start w:val="1"/>
      <w:numFmt w:val="decimal"/>
      <w:lvlText w:val="%2) "/>
      <w:lvlJc w:val="left"/>
      <w:pPr>
        <w:ind w:left="737" w:hanging="377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 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EB1566"/>
    <w:multiLevelType w:val="hybridMultilevel"/>
    <w:tmpl w:val="26B432D4"/>
    <w:lvl w:ilvl="0" w:tplc="5ACCA3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E30CC"/>
    <w:multiLevelType w:val="multilevel"/>
    <w:tmpl w:val="91D66004"/>
    <w:styleLink w:val="Styl7"/>
    <w:lvl w:ilvl="0">
      <w:start w:val="1"/>
      <w:numFmt w:val="decimal"/>
      <w:lvlText w:val="%1)    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B8513F"/>
    <w:multiLevelType w:val="multilevel"/>
    <w:tmpl w:val="E4FE6122"/>
    <w:styleLink w:val="Styl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D248A6"/>
    <w:multiLevelType w:val="multilevel"/>
    <w:tmpl w:val="80DC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F3D7A"/>
    <w:multiLevelType w:val="multilevel"/>
    <w:tmpl w:val="3ECC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970B0"/>
    <w:multiLevelType w:val="hybridMultilevel"/>
    <w:tmpl w:val="CA3E3248"/>
    <w:lvl w:ilvl="0" w:tplc="BEC66A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32C66"/>
    <w:multiLevelType w:val="multilevel"/>
    <w:tmpl w:val="11C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425F1"/>
    <w:multiLevelType w:val="multilevel"/>
    <w:tmpl w:val="67D255B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4AF162F"/>
    <w:multiLevelType w:val="multilevel"/>
    <w:tmpl w:val="C0D2DC22"/>
    <w:lvl w:ilvl="0">
      <w:start w:val="1"/>
      <w:numFmt w:val="decimal"/>
      <w:lvlText w:val="%1."/>
      <w:lvlJc w:val="left"/>
      <w:pPr>
        <w:ind w:left="0" w:firstLine="57"/>
      </w:pPr>
      <w:rPr>
        <w:rFonts w:asciiTheme="minorHAnsi" w:hAnsiTheme="minorHAnsi" w:cstheme="minorHAnsi" w:hint="default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F18456A"/>
    <w:multiLevelType w:val="multilevel"/>
    <w:tmpl w:val="67A6D390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3610787">
    <w:abstractNumId w:val="8"/>
  </w:num>
  <w:num w:numId="2" w16cid:durableId="543369400">
    <w:abstractNumId w:val="0"/>
  </w:num>
  <w:num w:numId="3" w16cid:durableId="1751004803">
    <w:abstractNumId w:val="10"/>
  </w:num>
  <w:num w:numId="4" w16cid:durableId="170532186">
    <w:abstractNumId w:val="3"/>
  </w:num>
  <w:num w:numId="5" w16cid:durableId="543562251">
    <w:abstractNumId w:val="2"/>
  </w:num>
  <w:num w:numId="6" w16cid:durableId="1399207793">
    <w:abstractNumId w:val="1"/>
  </w:num>
  <w:num w:numId="7" w16cid:durableId="1155102844">
    <w:abstractNumId w:val="6"/>
  </w:num>
  <w:num w:numId="8" w16cid:durableId="514349036">
    <w:abstractNumId w:val="7"/>
  </w:num>
  <w:num w:numId="9" w16cid:durableId="1959485016">
    <w:abstractNumId w:val="5"/>
  </w:num>
  <w:num w:numId="10" w16cid:durableId="876161444">
    <w:abstractNumId w:val="4"/>
  </w:num>
  <w:num w:numId="11" w16cid:durableId="1022123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E2"/>
    <w:rsid w:val="00030579"/>
    <w:rsid w:val="000C32C8"/>
    <w:rsid w:val="0011482B"/>
    <w:rsid w:val="001528CE"/>
    <w:rsid w:val="001B1734"/>
    <w:rsid w:val="001D47E4"/>
    <w:rsid w:val="00207BE2"/>
    <w:rsid w:val="00326CA3"/>
    <w:rsid w:val="003646B3"/>
    <w:rsid w:val="00417703"/>
    <w:rsid w:val="00430018"/>
    <w:rsid w:val="00432B46"/>
    <w:rsid w:val="004B0E0F"/>
    <w:rsid w:val="00575640"/>
    <w:rsid w:val="005D3BDE"/>
    <w:rsid w:val="006027DC"/>
    <w:rsid w:val="00640BB2"/>
    <w:rsid w:val="0064473C"/>
    <w:rsid w:val="006B6414"/>
    <w:rsid w:val="00725315"/>
    <w:rsid w:val="0085438B"/>
    <w:rsid w:val="00862FC8"/>
    <w:rsid w:val="00872D8A"/>
    <w:rsid w:val="00A058D2"/>
    <w:rsid w:val="00A40151"/>
    <w:rsid w:val="00BB461D"/>
    <w:rsid w:val="00BF1663"/>
    <w:rsid w:val="00C802EE"/>
    <w:rsid w:val="00DB32B6"/>
    <w:rsid w:val="00F61CD8"/>
    <w:rsid w:val="00F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E039"/>
  <w15:chartTrackingRefBased/>
  <w15:docId w15:val="{C460DA61-34DA-436E-9FA0-75B11872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BB2"/>
    <w:pPr>
      <w:spacing w:after="0" w:line="240" w:lineRule="auto"/>
    </w:pPr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B46"/>
    <w:pPr>
      <w:keepNext/>
      <w:keepLines/>
      <w:tabs>
        <w:tab w:val="left" w:leader="dot" w:pos="284"/>
        <w:tab w:val="left" w:leader="hyphen" w:pos="567"/>
        <w:tab w:val="left" w:leader="underscore" w:pos="851"/>
      </w:tabs>
      <w:spacing w:before="120" w:line="264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B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B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B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B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B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B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B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BB461D"/>
    <w:pPr>
      <w:numPr>
        <w:numId w:val="1"/>
      </w:numPr>
    </w:pPr>
  </w:style>
  <w:style w:type="paragraph" w:styleId="Tekstpodstawowy">
    <w:name w:val="Body Text"/>
    <w:aliases w:val="Calibri"/>
    <w:basedOn w:val="Normalny"/>
    <w:link w:val="TekstpodstawowyZnak"/>
    <w:semiHidden/>
    <w:qFormat/>
    <w:rsid w:val="00BF1663"/>
    <w:pPr>
      <w:framePr w:wrap="around" w:hAnchor="text"/>
      <w:jc w:val="center"/>
    </w:pPr>
  </w:style>
  <w:style w:type="character" w:customStyle="1" w:styleId="TekstpodstawowyZnak">
    <w:name w:val="Tekst podstawowy Znak"/>
    <w:aliases w:val="Calibri Znak"/>
    <w:basedOn w:val="Domylnaczcionkaakapitu"/>
    <w:link w:val="Tekstpodstawowy"/>
    <w:semiHidden/>
    <w:rsid w:val="00BF1663"/>
    <w:rPr>
      <w:rFonts w:ascii="Calibri" w:eastAsia="Times New Roman" w:hAnsi="Calibri" w:cs="Times New Roman"/>
      <w:sz w:val="24"/>
      <w:szCs w:val="20"/>
      <w:lang w:eastAsia="pl-PL"/>
    </w:rPr>
  </w:style>
  <w:style w:type="numbering" w:customStyle="1" w:styleId="Styl4">
    <w:name w:val="Styl4"/>
    <w:uiPriority w:val="99"/>
    <w:rsid w:val="00725315"/>
    <w:pPr>
      <w:numPr>
        <w:numId w:val="2"/>
      </w:numPr>
    </w:pPr>
  </w:style>
  <w:style w:type="numbering" w:customStyle="1" w:styleId="Styl5">
    <w:name w:val="Styl5"/>
    <w:uiPriority w:val="99"/>
    <w:rsid w:val="00725315"/>
    <w:pPr>
      <w:numPr>
        <w:numId w:val="3"/>
      </w:numPr>
    </w:pPr>
  </w:style>
  <w:style w:type="numbering" w:customStyle="1" w:styleId="Styl6">
    <w:name w:val="Styl6"/>
    <w:uiPriority w:val="99"/>
    <w:rsid w:val="00725315"/>
    <w:pPr>
      <w:numPr>
        <w:numId w:val="4"/>
      </w:numPr>
    </w:pPr>
  </w:style>
  <w:style w:type="numbering" w:customStyle="1" w:styleId="Styl7">
    <w:name w:val="Styl7"/>
    <w:uiPriority w:val="99"/>
    <w:rsid w:val="00725315"/>
    <w:pPr>
      <w:numPr>
        <w:numId w:val="5"/>
      </w:numPr>
    </w:pPr>
  </w:style>
  <w:style w:type="character" w:customStyle="1" w:styleId="Styl1Znak">
    <w:name w:val="Styl1 Znak"/>
    <w:basedOn w:val="Domylnaczcionkaakapitu"/>
    <w:rsid w:val="001B1734"/>
    <w:rPr>
      <w:rFonts w:ascii="Calibri" w:eastAsiaTheme="minorEastAsia" w:hAnsi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B46"/>
    <w:rPr>
      <w:rFonts w:eastAsiaTheme="majorEastAsia" w:cstheme="majorBidi"/>
      <w:bCs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B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BE2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BE2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BE2"/>
    <w:rPr>
      <w:rFonts w:eastAsiaTheme="majorEastAsia" w:cstheme="majorBidi"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BE2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BE2"/>
    <w:rPr>
      <w:rFonts w:eastAsiaTheme="majorEastAsia" w:cstheme="majorBidi"/>
      <w:color w:val="595959" w:themeColor="text1" w:themeTint="A6"/>
      <w:kern w:val="0"/>
      <w:sz w:val="24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BE2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BE2"/>
    <w:rPr>
      <w:rFonts w:eastAsiaTheme="majorEastAsia" w:cstheme="majorBidi"/>
      <w:color w:val="272727" w:themeColor="text1" w:themeTint="D8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07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BE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B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BE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207B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BE2"/>
    <w:rPr>
      <w:rFonts w:ascii="Calibri" w:hAnsi="Calibri" w:cs="Times New Roman"/>
      <w:i/>
      <w:iCs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07B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B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BE2"/>
    <w:rPr>
      <w:rFonts w:ascii="Calibri" w:hAnsi="Calibri" w:cs="Times New Roman"/>
      <w:i/>
      <w:iCs/>
      <w:color w:val="2F5496" w:themeColor="accent1" w:themeShade="BF"/>
      <w:kern w:val="0"/>
      <w:sz w:val="24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207BE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32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2B6"/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32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2B6"/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152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Andrzej Lorenc</cp:lastModifiedBy>
  <cp:revision>2</cp:revision>
  <cp:lastPrinted>2025-12-01T08:22:00Z</cp:lastPrinted>
  <dcterms:created xsi:type="dcterms:W3CDTF">2025-12-01T08:22:00Z</dcterms:created>
  <dcterms:modified xsi:type="dcterms:W3CDTF">2025-12-01T08:22:00Z</dcterms:modified>
</cp:coreProperties>
</file>