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DBED2" w14:textId="685ED2F4" w:rsidR="00DB32B6" w:rsidRPr="00DB32B6" w:rsidRDefault="00DB32B6" w:rsidP="00DB32B6">
      <w:pPr>
        <w:jc w:val="right"/>
        <w:rPr>
          <w:u w:val="single"/>
        </w:rPr>
      </w:pPr>
      <w:bookmarkStart w:id="0" w:name="_Hlk207611018"/>
      <w:bookmarkStart w:id="1" w:name="_Hlk207692631"/>
      <w:r w:rsidRPr="00DB32B6">
        <w:rPr>
          <w:u w:val="single"/>
        </w:rPr>
        <w:t xml:space="preserve">Załącznik nr </w:t>
      </w:r>
      <w:r w:rsidR="003646B3">
        <w:rPr>
          <w:u w:val="single"/>
        </w:rPr>
        <w:t>2</w:t>
      </w:r>
      <w:r w:rsidRPr="00DB32B6">
        <w:rPr>
          <w:u w:val="single"/>
        </w:rPr>
        <w:t xml:space="preserve"> </w:t>
      </w:r>
    </w:p>
    <w:p w14:paraId="12743F66" w14:textId="2F36664E" w:rsidR="00DB32B6" w:rsidRDefault="00DB32B6" w:rsidP="00DB32B6">
      <w:pPr>
        <w:jc w:val="right"/>
      </w:pPr>
      <w:r w:rsidRPr="00DB32B6">
        <w:t>do umowy</w:t>
      </w:r>
      <w:r>
        <w:t xml:space="preserve"> Nr ….                        </w:t>
      </w:r>
      <w:r w:rsidRPr="00A058D2">
        <w:rPr>
          <w:color w:val="FFFFFF" w:themeColor="background1"/>
        </w:rPr>
        <w:t>.</w:t>
      </w:r>
      <w:r w:rsidRPr="00DB32B6">
        <w:t xml:space="preserve"> </w:t>
      </w:r>
    </w:p>
    <w:p w14:paraId="6B6B225D" w14:textId="77777777" w:rsidR="00DB32B6" w:rsidRDefault="00DB32B6"/>
    <w:bookmarkEnd w:id="0"/>
    <w:p w14:paraId="09049D55" w14:textId="77777777" w:rsidR="00A058D2" w:rsidRDefault="00A058D2" w:rsidP="00A058D2">
      <w:pPr>
        <w:jc w:val="center"/>
        <w:rPr>
          <w:b/>
          <w:bCs/>
        </w:rPr>
      </w:pPr>
      <w:r w:rsidRPr="00A058D2">
        <w:rPr>
          <w:b/>
          <w:bCs/>
        </w:rPr>
        <w:t>HARMONOGRAM CZYNNOŚCI OBSŁUGOWO–SERWISOWYCH</w:t>
      </w:r>
    </w:p>
    <w:p w14:paraId="3F679ABF" w14:textId="77777777" w:rsidR="00A058D2" w:rsidRPr="00A058D2" w:rsidRDefault="00A058D2" w:rsidP="00A058D2">
      <w:pPr>
        <w:jc w:val="center"/>
        <w:rPr>
          <w:b/>
          <w:bCs/>
        </w:rPr>
      </w:pPr>
    </w:p>
    <w:p w14:paraId="4C825D9A" w14:textId="77777777" w:rsidR="00A058D2" w:rsidRDefault="00A058D2" w:rsidP="00A058D2">
      <w:pPr>
        <w:rPr>
          <w:i/>
          <w:iCs/>
        </w:rPr>
      </w:pPr>
    </w:p>
    <w:p w14:paraId="11147DEE" w14:textId="04A86DA1" w:rsidR="00A058D2" w:rsidRPr="00A058D2" w:rsidRDefault="00A058D2" w:rsidP="00A058D2">
      <w:r w:rsidRPr="00A058D2">
        <w:rPr>
          <w:i/>
          <w:iCs/>
        </w:rPr>
        <w:t>Zakres czynności wskazany w Harmonogramie ma charakter ogólny. Szczegółowe czynności obsługowe dla każdej grupy sprzętu zostały określone w Załączniku nr 3 do umowy.</w:t>
      </w:r>
    </w:p>
    <w:p w14:paraId="69104FD4" w14:textId="095BCFE6" w:rsidR="0011482B" w:rsidRPr="0011482B" w:rsidRDefault="0011482B" w:rsidP="0011482B">
      <w:pPr>
        <w:rPr>
          <w:b/>
          <w:bCs/>
        </w:rPr>
      </w:pPr>
    </w:p>
    <w:tbl>
      <w:tblPr>
        <w:tblStyle w:val="Tabela-Siatka"/>
        <w:tblW w:w="9128" w:type="dxa"/>
        <w:tblLook w:val="04A0" w:firstRow="1" w:lastRow="0" w:firstColumn="1" w:lastColumn="0" w:noHBand="0" w:noVBand="1"/>
      </w:tblPr>
      <w:tblGrid>
        <w:gridCol w:w="512"/>
        <w:gridCol w:w="1955"/>
        <w:gridCol w:w="1574"/>
        <w:gridCol w:w="1672"/>
        <w:gridCol w:w="3415"/>
      </w:tblGrid>
      <w:tr w:rsidR="006B6414" w:rsidRPr="0011482B" w14:paraId="3BC3A712" w14:textId="77777777" w:rsidTr="001528CE">
        <w:tc>
          <w:tcPr>
            <w:tcW w:w="381" w:type="dxa"/>
            <w:hideMark/>
          </w:tcPr>
          <w:p w14:paraId="31D36CD4" w14:textId="77777777" w:rsidR="0011482B" w:rsidRPr="0011482B" w:rsidRDefault="0011482B" w:rsidP="006027DC">
            <w:pPr>
              <w:jc w:val="center"/>
              <w:rPr>
                <w:b/>
                <w:bCs/>
              </w:rPr>
            </w:pPr>
            <w:r w:rsidRPr="0011482B">
              <w:rPr>
                <w:b/>
                <w:bCs/>
              </w:rPr>
              <w:t>Lp.</w:t>
            </w:r>
          </w:p>
        </w:tc>
        <w:tc>
          <w:tcPr>
            <w:tcW w:w="1954" w:type="dxa"/>
            <w:hideMark/>
          </w:tcPr>
          <w:p w14:paraId="1702E1AD" w14:textId="77777777" w:rsidR="0011482B" w:rsidRPr="0011482B" w:rsidRDefault="0011482B" w:rsidP="006B6414">
            <w:pPr>
              <w:jc w:val="center"/>
              <w:rPr>
                <w:b/>
                <w:bCs/>
              </w:rPr>
            </w:pPr>
            <w:r w:rsidRPr="0011482B">
              <w:rPr>
                <w:b/>
                <w:bCs/>
              </w:rPr>
              <w:t>Grupa / Kategoria sprzętu</w:t>
            </w:r>
          </w:p>
        </w:tc>
        <w:tc>
          <w:tcPr>
            <w:tcW w:w="1529" w:type="dxa"/>
            <w:hideMark/>
          </w:tcPr>
          <w:p w14:paraId="64986976" w14:textId="77777777" w:rsidR="0011482B" w:rsidRPr="0011482B" w:rsidRDefault="0011482B" w:rsidP="006B6414">
            <w:pPr>
              <w:jc w:val="center"/>
              <w:rPr>
                <w:b/>
                <w:bCs/>
              </w:rPr>
            </w:pPr>
            <w:r w:rsidRPr="0011482B">
              <w:rPr>
                <w:b/>
                <w:bCs/>
              </w:rPr>
              <w:t>Częstotliwość obsługi</w:t>
            </w:r>
          </w:p>
        </w:tc>
        <w:tc>
          <w:tcPr>
            <w:tcW w:w="1671" w:type="dxa"/>
            <w:hideMark/>
          </w:tcPr>
          <w:p w14:paraId="4612B5E0" w14:textId="77777777" w:rsidR="0011482B" w:rsidRPr="0011482B" w:rsidRDefault="0011482B" w:rsidP="006B6414">
            <w:pPr>
              <w:jc w:val="center"/>
              <w:rPr>
                <w:b/>
                <w:bCs/>
              </w:rPr>
            </w:pPr>
            <w:r w:rsidRPr="0011482B">
              <w:rPr>
                <w:b/>
                <w:bCs/>
              </w:rPr>
              <w:t>Termin realizacji</w:t>
            </w:r>
          </w:p>
        </w:tc>
        <w:tc>
          <w:tcPr>
            <w:tcW w:w="3413" w:type="dxa"/>
            <w:hideMark/>
          </w:tcPr>
          <w:p w14:paraId="56D81C54" w14:textId="77777777" w:rsidR="0011482B" w:rsidRPr="0011482B" w:rsidRDefault="0011482B" w:rsidP="006B6414">
            <w:pPr>
              <w:jc w:val="center"/>
              <w:rPr>
                <w:b/>
                <w:bCs/>
              </w:rPr>
            </w:pPr>
            <w:r w:rsidRPr="0011482B">
              <w:rPr>
                <w:b/>
                <w:bCs/>
              </w:rPr>
              <w:t>Zakres czynności / Uwagi</w:t>
            </w:r>
          </w:p>
        </w:tc>
      </w:tr>
      <w:tr w:rsidR="006B6414" w:rsidRPr="0011482B" w14:paraId="70D59338" w14:textId="77777777" w:rsidTr="001528CE">
        <w:tc>
          <w:tcPr>
            <w:tcW w:w="381" w:type="dxa"/>
          </w:tcPr>
          <w:p w14:paraId="5BED2E3C" w14:textId="56B2BBB6" w:rsidR="006B6414" w:rsidRPr="0011482B" w:rsidRDefault="006B6414" w:rsidP="006027DC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954" w:type="dxa"/>
            <w:hideMark/>
          </w:tcPr>
          <w:p w14:paraId="3513A5B0" w14:textId="703386BD" w:rsidR="006B6414" w:rsidRPr="0011482B" w:rsidRDefault="006B6414" w:rsidP="006B6414">
            <w:r>
              <w:rPr>
                <w:kern w:val="2"/>
                <w:lang w:eastAsia="en-US"/>
                <w14:ligatures w14:val="standardContextual"/>
              </w:rPr>
              <w:t>A. Agregaty prądotwórcze</w:t>
            </w:r>
          </w:p>
        </w:tc>
        <w:tc>
          <w:tcPr>
            <w:tcW w:w="1529" w:type="dxa"/>
            <w:hideMark/>
          </w:tcPr>
          <w:p w14:paraId="4DC82E5F" w14:textId="37715EFD" w:rsidR="006B6414" w:rsidRPr="0011482B" w:rsidRDefault="006B6414" w:rsidP="006B6414">
            <w:r>
              <w:rPr>
                <w:kern w:val="2"/>
                <w:lang w:eastAsia="en-US"/>
                <w14:ligatures w14:val="standardContextual"/>
              </w:rPr>
              <w:t>Kwartalnie</w:t>
            </w:r>
          </w:p>
        </w:tc>
        <w:tc>
          <w:tcPr>
            <w:tcW w:w="1671" w:type="dxa"/>
            <w:hideMark/>
          </w:tcPr>
          <w:p w14:paraId="13A7DFC3" w14:textId="3300495C" w:rsidR="006B6414" w:rsidRPr="0011482B" w:rsidRDefault="006B6414" w:rsidP="006B6414">
            <w:r>
              <w:rPr>
                <w:kern w:val="2"/>
                <w:lang w:eastAsia="en-US"/>
                <w14:ligatures w14:val="standardContextual"/>
              </w:rPr>
              <w:t xml:space="preserve">Do 31 marca, </w:t>
            </w:r>
            <w:r>
              <w:rPr>
                <w:kern w:val="2"/>
                <w:lang w:eastAsia="en-US"/>
                <w14:ligatures w14:val="standardContextual"/>
              </w:rPr>
              <w:br/>
              <w:t xml:space="preserve">30 czerwca, </w:t>
            </w:r>
            <w:r>
              <w:rPr>
                <w:kern w:val="2"/>
                <w:lang w:eastAsia="en-US"/>
                <w14:ligatures w14:val="standardContextual"/>
              </w:rPr>
              <w:br/>
              <w:t xml:space="preserve">30 września, </w:t>
            </w:r>
            <w:r>
              <w:rPr>
                <w:kern w:val="2"/>
                <w:lang w:eastAsia="en-US"/>
                <w14:ligatures w14:val="standardContextual"/>
              </w:rPr>
              <w:br/>
              <w:t>15 grudnia</w:t>
            </w:r>
          </w:p>
        </w:tc>
        <w:tc>
          <w:tcPr>
            <w:tcW w:w="3413" w:type="dxa"/>
            <w:hideMark/>
          </w:tcPr>
          <w:p w14:paraId="2A3FE8E0" w14:textId="654BB066" w:rsidR="006B6414" w:rsidRPr="0011482B" w:rsidRDefault="006B6414" w:rsidP="006B6414">
            <w:r>
              <w:rPr>
                <w:kern w:val="2"/>
                <w:lang w:eastAsia="en-US"/>
                <w14:ligatures w14:val="standardContextual"/>
              </w:rPr>
              <w:t>Obsługa zgodnie z wykazem w Załączniku nr 3 (m.in. uruchomienie testowe, kontrola zasilania, przegląd techniczny)</w:t>
            </w:r>
          </w:p>
        </w:tc>
      </w:tr>
      <w:tr w:rsidR="006B6414" w:rsidRPr="0011482B" w14:paraId="7CE58E07" w14:textId="77777777" w:rsidTr="001528CE">
        <w:tc>
          <w:tcPr>
            <w:tcW w:w="381" w:type="dxa"/>
          </w:tcPr>
          <w:p w14:paraId="4C7DADE0" w14:textId="21D80AC3" w:rsidR="006B6414" w:rsidRPr="0011482B" w:rsidRDefault="006B6414" w:rsidP="006027DC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954" w:type="dxa"/>
            <w:hideMark/>
          </w:tcPr>
          <w:p w14:paraId="0C843ED3" w14:textId="67B1E466" w:rsidR="006B6414" w:rsidRPr="0011482B" w:rsidRDefault="006B6414" w:rsidP="006B6414">
            <w:r>
              <w:rPr>
                <w:kern w:val="2"/>
                <w:lang w:eastAsia="en-US"/>
                <w14:ligatures w14:val="standardContextual"/>
              </w:rPr>
              <w:t>B. Pompy wodne (przewoźne, motopompy, zatapialne, specjalne)</w:t>
            </w:r>
          </w:p>
        </w:tc>
        <w:tc>
          <w:tcPr>
            <w:tcW w:w="1529" w:type="dxa"/>
            <w:hideMark/>
          </w:tcPr>
          <w:p w14:paraId="486ACCF7" w14:textId="0036A10E" w:rsidR="006B6414" w:rsidRPr="0011482B" w:rsidRDefault="006B6414" w:rsidP="006B6414">
            <w:r>
              <w:rPr>
                <w:kern w:val="2"/>
                <w:lang w:eastAsia="en-US"/>
                <w14:ligatures w14:val="standardContextual"/>
              </w:rPr>
              <w:t>Kwartalnie</w:t>
            </w:r>
          </w:p>
        </w:tc>
        <w:tc>
          <w:tcPr>
            <w:tcW w:w="1671" w:type="dxa"/>
            <w:hideMark/>
          </w:tcPr>
          <w:p w14:paraId="4445EEEE" w14:textId="3E0807F5" w:rsidR="006B6414" w:rsidRPr="0011482B" w:rsidRDefault="006B6414" w:rsidP="006B6414">
            <w:r>
              <w:rPr>
                <w:kern w:val="2"/>
                <w:lang w:eastAsia="en-US"/>
                <w14:ligatures w14:val="standardContextual"/>
              </w:rPr>
              <w:t>jw.</w:t>
            </w:r>
          </w:p>
        </w:tc>
        <w:tc>
          <w:tcPr>
            <w:tcW w:w="3413" w:type="dxa"/>
            <w:hideMark/>
          </w:tcPr>
          <w:p w14:paraId="49EBFA13" w14:textId="5CEFF46B" w:rsidR="006B6414" w:rsidRPr="0011482B" w:rsidRDefault="006B6414" w:rsidP="006B6414">
            <w:r>
              <w:rPr>
                <w:kern w:val="2"/>
                <w:lang w:eastAsia="en-US"/>
                <w14:ligatures w14:val="standardContextual"/>
              </w:rPr>
              <w:t>Obsługa zgodnie z wykazem w Załączniku nr 3 (m.in. test pracy, kontrola filtrów i węży, przegląd ogólny)</w:t>
            </w:r>
          </w:p>
        </w:tc>
      </w:tr>
      <w:tr w:rsidR="006B6414" w:rsidRPr="0011482B" w14:paraId="678E98FC" w14:textId="77777777" w:rsidTr="001528CE">
        <w:tc>
          <w:tcPr>
            <w:tcW w:w="381" w:type="dxa"/>
          </w:tcPr>
          <w:p w14:paraId="0D86AEAA" w14:textId="7821A5EA" w:rsidR="006B6414" w:rsidRPr="0011482B" w:rsidRDefault="006B6414" w:rsidP="006027DC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954" w:type="dxa"/>
            <w:hideMark/>
          </w:tcPr>
          <w:p w14:paraId="02E756A6" w14:textId="0F106B35" w:rsidR="006B6414" w:rsidRPr="0011482B" w:rsidRDefault="006B6414" w:rsidP="006B6414">
            <w:r>
              <w:rPr>
                <w:kern w:val="2"/>
                <w:lang w:eastAsia="en-US"/>
                <w14:ligatures w14:val="standardContextual"/>
              </w:rPr>
              <w:t>C. Nagrzewnice (olejowe, elektryczne)</w:t>
            </w:r>
          </w:p>
        </w:tc>
        <w:tc>
          <w:tcPr>
            <w:tcW w:w="1529" w:type="dxa"/>
            <w:hideMark/>
          </w:tcPr>
          <w:p w14:paraId="7FF3DC31" w14:textId="4D75857B" w:rsidR="006B6414" w:rsidRPr="0011482B" w:rsidRDefault="006B6414" w:rsidP="006B6414">
            <w:r>
              <w:rPr>
                <w:kern w:val="2"/>
                <w:lang w:eastAsia="en-US"/>
                <w14:ligatures w14:val="standardContextual"/>
              </w:rPr>
              <w:t>Rocznie</w:t>
            </w:r>
          </w:p>
        </w:tc>
        <w:tc>
          <w:tcPr>
            <w:tcW w:w="1671" w:type="dxa"/>
            <w:hideMark/>
          </w:tcPr>
          <w:p w14:paraId="4953455B" w14:textId="68A786BB" w:rsidR="006B6414" w:rsidRPr="0011482B" w:rsidRDefault="006B6414" w:rsidP="006B6414">
            <w:r>
              <w:rPr>
                <w:kern w:val="2"/>
                <w:lang w:eastAsia="en-US"/>
                <w14:ligatures w14:val="standardContextual"/>
              </w:rPr>
              <w:t>Do 15 grudnia</w:t>
            </w:r>
          </w:p>
        </w:tc>
        <w:tc>
          <w:tcPr>
            <w:tcW w:w="3413" w:type="dxa"/>
            <w:hideMark/>
          </w:tcPr>
          <w:p w14:paraId="1A9880B6" w14:textId="6DADB865" w:rsidR="006B6414" w:rsidRPr="0011482B" w:rsidRDefault="006B6414" w:rsidP="006B6414">
            <w:r>
              <w:rPr>
                <w:kern w:val="2"/>
                <w:lang w:eastAsia="en-US"/>
                <w14:ligatures w14:val="standardContextual"/>
              </w:rPr>
              <w:t>Obsługa zgodnie z wykazem w Załączniku nr 3 (m.in. test grzania, kontrola przewodów, czyszczenie)</w:t>
            </w:r>
          </w:p>
        </w:tc>
      </w:tr>
      <w:tr w:rsidR="006B6414" w:rsidRPr="0011482B" w14:paraId="4DE9611A" w14:textId="77777777" w:rsidTr="001528CE">
        <w:tc>
          <w:tcPr>
            <w:tcW w:w="381" w:type="dxa"/>
          </w:tcPr>
          <w:p w14:paraId="648FF7B3" w14:textId="3DE7025C" w:rsidR="006B6414" w:rsidRPr="0011482B" w:rsidRDefault="006B6414" w:rsidP="006027DC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954" w:type="dxa"/>
            <w:hideMark/>
          </w:tcPr>
          <w:p w14:paraId="021E8D69" w14:textId="060B7E4C" w:rsidR="006B6414" w:rsidRPr="0011482B" w:rsidRDefault="006B6414" w:rsidP="006B6414">
            <w:r>
              <w:rPr>
                <w:kern w:val="2"/>
                <w:lang w:eastAsia="en-US"/>
                <w14:ligatures w14:val="standardContextual"/>
              </w:rPr>
              <w:t>D. Silniki zaburtowe</w:t>
            </w:r>
          </w:p>
        </w:tc>
        <w:tc>
          <w:tcPr>
            <w:tcW w:w="1529" w:type="dxa"/>
            <w:hideMark/>
          </w:tcPr>
          <w:p w14:paraId="6923A087" w14:textId="429FAE2A" w:rsidR="006B6414" w:rsidRPr="0011482B" w:rsidRDefault="006B6414" w:rsidP="006B6414">
            <w:r>
              <w:rPr>
                <w:kern w:val="2"/>
                <w:lang w:eastAsia="en-US"/>
                <w14:ligatures w14:val="standardContextual"/>
              </w:rPr>
              <w:t>Rocznie</w:t>
            </w:r>
          </w:p>
        </w:tc>
        <w:tc>
          <w:tcPr>
            <w:tcW w:w="1671" w:type="dxa"/>
            <w:hideMark/>
          </w:tcPr>
          <w:p w14:paraId="16D23B68" w14:textId="4E9AA846" w:rsidR="006B6414" w:rsidRPr="0011482B" w:rsidRDefault="006B6414" w:rsidP="006B6414">
            <w:r>
              <w:rPr>
                <w:kern w:val="2"/>
                <w:lang w:eastAsia="en-US"/>
                <w14:ligatures w14:val="standardContextual"/>
              </w:rPr>
              <w:t>Do 30 listopada</w:t>
            </w:r>
          </w:p>
        </w:tc>
        <w:tc>
          <w:tcPr>
            <w:tcW w:w="3413" w:type="dxa"/>
            <w:hideMark/>
          </w:tcPr>
          <w:p w14:paraId="1A3DBF87" w14:textId="4394E446" w:rsidR="006B6414" w:rsidRPr="0011482B" w:rsidRDefault="006B6414" w:rsidP="006B6414">
            <w:r>
              <w:rPr>
                <w:kern w:val="2"/>
                <w:lang w:eastAsia="en-US"/>
                <w14:ligatures w14:val="standardContextual"/>
              </w:rPr>
              <w:t>Obsługa zgodnie z wykazem w Załączniku nr 3 (m.in. uruchomienie testowe, kontrola układu paliwowego, przegląd ogólny)</w:t>
            </w:r>
          </w:p>
        </w:tc>
      </w:tr>
      <w:tr w:rsidR="006B6414" w:rsidRPr="0011482B" w14:paraId="30CD2E5D" w14:textId="77777777" w:rsidTr="001528CE">
        <w:tc>
          <w:tcPr>
            <w:tcW w:w="381" w:type="dxa"/>
          </w:tcPr>
          <w:p w14:paraId="0D3F1218" w14:textId="6252631B" w:rsidR="006B6414" w:rsidRPr="0011482B" w:rsidRDefault="006B6414" w:rsidP="006027DC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954" w:type="dxa"/>
            <w:hideMark/>
          </w:tcPr>
          <w:p w14:paraId="47A5C88F" w14:textId="105A2F64" w:rsidR="006B6414" w:rsidRPr="0011482B" w:rsidRDefault="006B6414" w:rsidP="006B6414">
            <w:r>
              <w:rPr>
                <w:kern w:val="2"/>
                <w:lang w:eastAsia="en-US"/>
                <w14:ligatures w14:val="standardContextual"/>
              </w:rPr>
              <w:t>E. Urządzenia elektryczne</w:t>
            </w:r>
          </w:p>
        </w:tc>
        <w:tc>
          <w:tcPr>
            <w:tcW w:w="1529" w:type="dxa"/>
            <w:hideMark/>
          </w:tcPr>
          <w:p w14:paraId="3E0BE560" w14:textId="0B51BA8C" w:rsidR="006B6414" w:rsidRPr="0011482B" w:rsidRDefault="006B6414" w:rsidP="006B6414">
            <w:r>
              <w:rPr>
                <w:kern w:val="2"/>
                <w:lang w:eastAsia="en-US"/>
                <w14:ligatures w14:val="standardContextual"/>
              </w:rPr>
              <w:t>Rocznie</w:t>
            </w:r>
          </w:p>
        </w:tc>
        <w:tc>
          <w:tcPr>
            <w:tcW w:w="1671" w:type="dxa"/>
            <w:hideMark/>
          </w:tcPr>
          <w:p w14:paraId="696B5C07" w14:textId="7772E038" w:rsidR="006B6414" w:rsidRPr="0011482B" w:rsidRDefault="006B6414" w:rsidP="006B6414">
            <w:r>
              <w:rPr>
                <w:kern w:val="2"/>
                <w:lang w:eastAsia="en-US"/>
                <w14:ligatures w14:val="standardContextual"/>
              </w:rPr>
              <w:t>Do 15 listopada</w:t>
            </w:r>
          </w:p>
        </w:tc>
        <w:tc>
          <w:tcPr>
            <w:tcW w:w="3413" w:type="dxa"/>
            <w:hideMark/>
          </w:tcPr>
          <w:p w14:paraId="56B675AC" w14:textId="7EC2C9BF" w:rsidR="006B6414" w:rsidRPr="0011482B" w:rsidRDefault="006B6414" w:rsidP="006B6414">
            <w:r>
              <w:rPr>
                <w:kern w:val="2"/>
                <w:lang w:eastAsia="en-US"/>
                <w14:ligatures w14:val="standardContextual"/>
              </w:rPr>
              <w:t>Obsługa zgodnie z wykazem w Załączniku nr 3 (m.in. test działania, kontrola przewodów, czyszczenie)</w:t>
            </w:r>
          </w:p>
        </w:tc>
      </w:tr>
      <w:tr w:rsidR="006B6414" w:rsidRPr="0011482B" w14:paraId="3728543A" w14:textId="77777777" w:rsidTr="001528CE">
        <w:tc>
          <w:tcPr>
            <w:tcW w:w="381" w:type="dxa"/>
          </w:tcPr>
          <w:p w14:paraId="4A786852" w14:textId="0DB0DAED" w:rsidR="006B6414" w:rsidRPr="0011482B" w:rsidRDefault="006B6414" w:rsidP="006027DC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954" w:type="dxa"/>
            <w:hideMark/>
          </w:tcPr>
          <w:p w14:paraId="0846F705" w14:textId="5E50E78B" w:rsidR="006B6414" w:rsidRPr="0011482B" w:rsidRDefault="006B6414" w:rsidP="006B6414">
            <w:r>
              <w:rPr>
                <w:kern w:val="2"/>
                <w:lang w:eastAsia="en-US"/>
                <w14:ligatures w14:val="standardContextual"/>
              </w:rPr>
              <w:t>F. Przedłużacze / oświetlenie</w:t>
            </w:r>
          </w:p>
        </w:tc>
        <w:tc>
          <w:tcPr>
            <w:tcW w:w="1529" w:type="dxa"/>
            <w:hideMark/>
          </w:tcPr>
          <w:p w14:paraId="257F3D81" w14:textId="1742E987" w:rsidR="006B6414" w:rsidRPr="0011482B" w:rsidRDefault="006B6414" w:rsidP="006B6414">
            <w:r>
              <w:rPr>
                <w:kern w:val="2"/>
                <w:lang w:eastAsia="en-US"/>
                <w14:ligatures w14:val="standardContextual"/>
              </w:rPr>
              <w:t>Rocznie</w:t>
            </w:r>
          </w:p>
        </w:tc>
        <w:tc>
          <w:tcPr>
            <w:tcW w:w="1671" w:type="dxa"/>
            <w:hideMark/>
          </w:tcPr>
          <w:p w14:paraId="1D674AAB" w14:textId="5DCD5AE3" w:rsidR="006B6414" w:rsidRPr="0011482B" w:rsidRDefault="006B6414" w:rsidP="006B6414">
            <w:r>
              <w:rPr>
                <w:kern w:val="2"/>
                <w:lang w:eastAsia="en-US"/>
                <w14:ligatures w14:val="standardContextual"/>
              </w:rPr>
              <w:t>Do 15 listopada</w:t>
            </w:r>
          </w:p>
        </w:tc>
        <w:tc>
          <w:tcPr>
            <w:tcW w:w="3413" w:type="dxa"/>
            <w:hideMark/>
          </w:tcPr>
          <w:p w14:paraId="1EA83C91" w14:textId="749296C4" w:rsidR="006B6414" w:rsidRPr="0011482B" w:rsidRDefault="006B6414" w:rsidP="006B6414">
            <w:r>
              <w:rPr>
                <w:kern w:val="2"/>
                <w:lang w:eastAsia="en-US"/>
                <w14:ligatures w14:val="standardContextual"/>
              </w:rPr>
              <w:t>Obsługa zgodnie z wykazem w Załączniku nr 3 (m.in. test ciągłości, kontrola wtyczek, sprawdzenie funkcjonalności)</w:t>
            </w:r>
          </w:p>
        </w:tc>
      </w:tr>
      <w:tr w:rsidR="006B6414" w:rsidRPr="0011482B" w14:paraId="58789BCE" w14:textId="77777777" w:rsidTr="001528CE">
        <w:tc>
          <w:tcPr>
            <w:tcW w:w="381" w:type="dxa"/>
          </w:tcPr>
          <w:p w14:paraId="21340ED6" w14:textId="54CB80F3" w:rsidR="006B6414" w:rsidRPr="0011482B" w:rsidRDefault="006B6414" w:rsidP="006027DC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954" w:type="dxa"/>
            <w:hideMark/>
          </w:tcPr>
          <w:p w14:paraId="6529F272" w14:textId="30C4A26F" w:rsidR="006B6414" w:rsidRPr="0011482B" w:rsidRDefault="006B6414" w:rsidP="006B6414">
            <w:r>
              <w:rPr>
                <w:kern w:val="2"/>
                <w:lang w:eastAsia="en-US"/>
                <w14:ligatures w14:val="standardContextual"/>
              </w:rPr>
              <w:t>G. Urządzenia elektryczne do użytku magazynu</w:t>
            </w:r>
          </w:p>
        </w:tc>
        <w:tc>
          <w:tcPr>
            <w:tcW w:w="1529" w:type="dxa"/>
            <w:hideMark/>
          </w:tcPr>
          <w:p w14:paraId="1546DCED" w14:textId="27B2EC01" w:rsidR="006B6414" w:rsidRPr="0011482B" w:rsidRDefault="006B6414" w:rsidP="006B6414">
            <w:r>
              <w:rPr>
                <w:kern w:val="2"/>
                <w:lang w:eastAsia="en-US"/>
                <w14:ligatures w14:val="standardContextual"/>
              </w:rPr>
              <w:t>Rocznie</w:t>
            </w:r>
          </w:p>
        </w:tc>
        <w:tc>
          <w:tcPr>
            <w:tcW w:w="1671" w:type="dxa"/>
            <w:hideMark/>
          </w:tcPr>
          <w:p w14:paraId="5A963DF2" w14:textId="2FBC76A9" w:rsidR="006B6414" w:rsidRPr="0011482B" w:rsidRDefault="006B6414" w:rsidP="006B6414">
            <w:r>
              <w:rPr>
                <w:kern w:val="2"/>
                <w:lang w:eastAsia="en-US"/>
                <w14:ligatures w14:val="standardContextual"/>
              </w:rPr>
              <w:t>Do 15 listopada</w:t>
            </w:r>
          </w:p>
        </w:tc>
        <w:tc>
          <w:tcPr>
            <w:tcW w:w="3413" w:type="dxa"/>
            <w:hideMark/>
          </w:tcPr>
          <w:p w14:paraId="50D3628D" w14:textId="6E3CC76B" w:rsidR="006B6414" w:rsidRPr="0011482B" w:rsidRDefault="006B6414" w:rsidP="006B6414">
            <w:r>
              <w:rPr>
                <w:kern w:val="2"/>
                <w:lang w:eastAsia="en-US"/>
                <w14:ligatures w14:val="standardContextual"/>
              </w:rPr>
              <w:t>Obsługa zgodnie z wykazem w Załączniku nr 3 (m.in. ładowarki, mierniki – test działania i przegląd techniczny)</w:t>
            </w:r>
          </w:p>
        </w:tc>
      </w:tr>
      <w:tr w:rsidR="006B6414" w:rsidRPr="0011482B" w14:paraId="3F5224B6" w14:textId="77777777" w:rsidTr="001528CE">
        <w:tc>
          <w:tcPr>
            <w:tcW w:w="381" w:type="dxa"/>
          </w:tcPr>
          <w:p w14:paraId="25FE0CD9" w14:textId="1E1ED5BA" w:rsidR="006B6414" w:rsidRPr="0011482B" w:rsidRDefault="006B6414" w:rsidP="006027DC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954" w:type="dxa"/>
            <w:hideMark/>
          </w:tcPr>
          <w:p w14:paraId="1E3FA099" w14:textId="4555433D" w:rsidR="006B6414" w:rsidRPr="0011482B" w:rsidRDefault="006B6414" w:rsidP="006B6414">
            <w:r>
              <w:rPr>
                <w:kern w:val="2"/>
                <w:lang w:eastAsia="en-US"/>
                <w14:ligatures w14:val="standardContextual"/>
              </w:rPr>
              <w:t xml:space="preserve">H. Wyposażenie namiotów pneumatycznych </w:t>
            </w:r>
            <w:r w:rsidR="006027DC">
              <w:rPr>
                <w:kern w:val="2"/>
                <w:lang w:eastAsia="en-US"/>
                <w14:ligatures w14:val="standardContextual"/>
              </w:rPr>
              <w:br/>
            </w:r>
            <w:r>
              <w:rPr>
                <w:kern w:val="2"/>
                <w:lang w:eastAsia="en-US"/>
                <w14:ligatures w14:val="standardContextual"/>
              </w:rPr>
              <w:t>(6 szt.)</w:t>
            </w:r>
          </w:p>
        </w:tc>
        <w:tc>
          <w:tcPr>
            <w:tcW w:w="1529" w:type="dxa"/>
            <w:hideMark/>
          </w:tcPr>
          <w:p w14:paraId="0A00D72A" w14:textId="32D0A80D" w:rsidR="006B6414" w:rsidRPr="0011482B" w:rsidRDefault="006B6414" w:rsidP="006B6414">
            <w:r>
              <w:rPr>
                <w:kern w:val="2"/>
                <w:lang w:eastAsia="en-US"/>
                <w14:ligatures w14:val="standardContextual"/>
              </w:rPr>
              <w:t>Rocznie</w:t>
            </w:r>
          </w:p>
        </w:tc>
        <w:tc>
          <w:tcPr>
            <w:tcW w:w="1671" w:type="dxa"/>
            <w:hideMark/>
          </w:tcPr>
          <w:p w14:paraId="5D4B27F8" w14:textId="6B44AE61" w:rsidR="006B6414" w:rsidRPr="0011482B" w:rsidRDefault="006B6414" w:rsidP="006B6414">
            <w:r>
              <w:rPr>
                <w:kern w:val="2"/>
                <w:lang w:eastAsia="en-US"/>
                <w14:ligatures w14:val="standardContextual"/>
              </w:rPr>
              <w:t>Do 30 listopada</w:t>
            </w:r>
          </w:p>
        </w:tc>
        <w:tc>
          <w:tcPr>
            <w:tcW w:w="3413" w:type="dxa"/>
            <w:hideMark/>
          </w:tcPr>
          <w:p w14:paraId="27493A66" w14:textId="27FFE0F6" w:rsidR="006B6414" w:rsidRPr="0011482B" w:rsidRDefault="006B6414" w:rsidP="006B6414">
            <w:r>
              <w:rPr>
                <w:kern w:val="2"/>
                <w:lang w:eastAsia="en-US"/>
                <w14:ligatures w14:val="standardContextual"/>
              </w:rPr>
              <w:t>Obsługa zgodnie z wykazem w Załączniku nr 3 (m.in. test pompek, masztów, instalacji oświetleniowej)</w:t>
            </w:r>
          </w:p>
        </w:tc>
      </w:tr>
      <w:tr w:rsidR="006B6414" w:rsidRPr="0011482B" w14:paraId="434B213F" w14:textId="77777777" w:rsidTr="001528CE">
        <w:tc>
          <w:tcPr>
            <w:tcW w:w="381" w:type="dxa"/>
          </w:tcPr>
          <w:p w14:paraId="4D5722CC" w14:textId="1FFA062E" w:rsidR="006B6414" w:rsidRPr="0011482B" w:rsidRDefault="006B6414" w:rsidP="006027DC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954" w:type="dxa"/>
            <w:hideMark/>
          </w:tcPr>
          <w:p w14:paraId="22DECD4B" w14:textId="79BB0563" w:rsidR="006B6414" w:rsidRPr="0011482B" w:rsidRDefault="006B6414" w:rsidP="006B6414">
            <w:r>
              <w:rPr>
                <w:kern w:val="2"/>
                <w:lang w:eastAsia="en-US"/>
                <w14:ligatures w14:val="standardContextual"/>
              </w:rPr>
              <w:t>I. Piły i pilarki</w:t>
            </w:r>
          </w:p>
        </w:tc>
        <w:tc>
          <w:tcPr>
            <w:tcW w:w="1529" w:type="dxa"/>
            <w:hideMark/>
          </w:tcPr>
          <w:p w14:paraId="58768046" w14:textId="74CCED33" w:rsidR="006B6414" w:rsidRPr="0011482B" w:rsidRDefault="006B6414" w:rsidP="006B6414">
            <w:r>
              <w:rPr>
                <w:kern w:val="2"/>
                <w:lang w:eastAsia="en-US"/>
                <w14:ligatures w14:val="standardContextual"/>
              </w:rPr>
              <w:t>Rocznie</w:t>
            </w:r>
          </w:p>
        </w:tc>
        <w:tc>
          <w:tcPr>
            <w:tcW w:w="1671" w:type="dxa"/>
            <w:hideMark/>
          </w:tcPr>
          <w:p w14:paraId="5523E8F3" w14:textId="52EE3721" w:rsidR="006B6414" w:rsidRPr="0011482B" w:rsidRDefault="006B6414" w:rsidP="006B6414">
            <w:r>
              <w:rPr>
                <w:kern w:val="2"/>
                <w:lang w:eastAsia="en-US"/>
                <w14:ligatures w14:val="standardContextual"/>
              </w:rPr>
              <w:t>Do 15 listopada</w:t>
            </w:r>
          </w:p>
        </w:tc>
        <w:tc>
          <w:tcPr>
            <w:tcW w:w="3413" w:type="dxa"/>
            <w:hideMark/>
          </w:tcPr>
          <w:p w14:paraId="5DACA537" w14:textId="4AB25F2A" w:rsidR="006B6414" w:rsidRPr="0011482B" w:rsidRDefault="006B6414" w:rsidP="006B6414">
            <w:r>
              <w:rPr>
                <w:kern w:val="2"/>
                <w:lang w:eastAsia="en-US"/>
                <w14:ligatures w14:val="standardContextual"/>
              </w:rPr>
              <w:t>Obsługa zgodnie z wykazem w Załączniku nr 3 (m.in. kontrola prowadnic, test zapłonu, czyszczenie i smarowanie)</w:t>
            </w:r>
          </w:p>
        </w:tc>
      </w:tr>
      <w:tr w:rsidR="006B6414" w:rsidRPr="0011482B" w14:paraId="5ED8371B" w14:textId="77777777" w:rsidTr="001528CE">
        <w:tc>
          <w:tcPr>
            <w:tcW w:w="381" w:type="dxa"/>
          </w:tcPr>
          <w:p w14:paraId="344747CD" w14:textId="55CBE2BC" w:rsidR="006B6414" w:rsidRPr="0011482B" w:rsidRDefault="006B6414" w:rsidP="006027DC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954" w:type="dxa"/>
            <w:hideMark/>
          </w:tcPr>
          <w:p w14:paraId="2D9A5C1D" w14:textId="3791B741" w:rsidR="006B6414" w:rsidRPr="0011482B" w:rsidRDefault="006B6414" w:rsidP="006B6414">
            <w:r>
              <w:rPr>
                <w:kern w:val="2"/>
                <w:lang w:eastAsia="en-US"/>
                <w14:ligatures w14:val="standardContextual"/>
              </w:rPr>
              <w:t>J. Kosy i kosiarki</w:t>
            </w:r>
          </w:p>
        </w:tc>
        <w:tc>
          <w:tcPr>
            <w:tcW w:w="1529" w:type="dxa"/>
            <w:hideMark/>
          </w:tcPr>
          <w:p w14:paraId="15CC99CE" w14:textId="08C85A45" w:rsidR="006B6414" w:rsidRPr="0011482B" w:rsidRDefault="006B6414" w:rsidP="006B6414">
            <w:r>
              <w:rPr>
                <w:kern w:val="2"/>
                <w:lang w:eastAsia="en-US"/>
                <w14:ligatures w14:val="standardContextual"/>
              </w:rPr>
              <w:t>Rocznie</w:t>
            </w:r>
          </w:p>
        </w:tc>
        <w:tc>
          <w:tcPr>
            <w:tcW w:w="1671" w:type="dxa"/>
            <w:hideMark/>
          </w:tcPr>
          <w:p w14:paraId="6535426F" w14:textId="51950AFF" w:rsidR="006B6414" w:rsidRPr="0011482B" w:rsidRDefault="006B6414" w:rsidP="006B6414">
            <w:r>
              <w:rPr>
                <w:kern w:val="2"/>
                <w:lang w:eastAsia="en-US"/>
                <w14:ligatures w14:val="standardContextual"/>
              </w:rPr>
              <w:t>Do 15 listopada</w:t>
            </w:r>
          </w:p>
        </w:tc>
        <w:tc>
          <w:tcPr>
            <w:tcW w:w="3413" w:type="dxa"/>
            <w:hideMark/>
          </w:tcPr>
          <w:p w14:paraId="47428AEB" w14:textId="7D5F9385" w:rsidR="006B6414" w:rsidRPr="0011482B" w:rsidRDefault="006B6414" w:rsidP="006B6414">
            <w:r>
              <w:rPr>
                <w:kern w:val="2"/>
                <w:lang w:eastAsia="en-US"/>
                <w14:ligatures w14:val="standardContextual"/>
              </w:rPr>
              <w:t>Obsługa zgodnie z wykazem w Załączniku nr 3 (m.in. test pracy, kontrola ostrzy, przegląd silnika)</w:t>
            </w:r>
          </w:p>
        </w:tc>
      </w:tr>
      <w:tr w:rsidR="006B6414" w:rsidRPr="0011482B" w14:paraId="2118155B" w14:textId="77777777" w:rsidTr="001528CE">
        <w:tc>
          <w:tcPr>
            <w:tcW w:w="381" w:type="dxa"/>
          </w:tcPr>
          <w:p w14:paraId="63EE5E12" w14:textId="77777777" w:rsidR="006B6414" w:rsidRPr="0011482B" w:rsidRDefault="006B6414" w:rsidP="006027DC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954" w:type="dxa"/>
          </w:tcPr>
          <w:p w14:paraId="4A9BD79E" w14:textId="1933A255" w:rsidR="006B6414" w:rsidRPr="0011482B" w:rsidRDefault="006B6414" w:rsidP="006B6414">
            <w:r>
              <w:rPr>
                <w:kern w:val="2"/>
                <w:lang w:eastAsia="en-US"/>
                <w14:ligatures w14:val="standardContextual"/>
              </w:rPr>
              <w:t>Szkolenie pracowników</w:t>
            </w:r>
          </w:p>
        </w:tc>
        <w:tc>
          <w:tcPr>
            <w:tcW w:w="1529" w:type="dxa"/>
          </w:tcPr>
          <w:p w14:paraId="57ABA4A2" w14:textId="6CE767A6" w:rsidR="006B6414" w:rsidRPr="0011482B" w:rsidRDefault="006B6414" w:rsidP="006B6414">
            <w:r>
              <w:rPr>
                <w:kern w:val="2"/>
                <w:lang w:eastAsia="en-US"/>
                <w14:ligatures w14:val="standardContextual"/>
              </w:rPr>
              <w:t>Raz w roku lub wg potrzeb</w:t>
            </w:r>
          </w:p>
        </w:tc>
        <w:tc>
          <w:tcPr>
            <w:tcW w:w="1671" w:type="dxa"/>
          </w:tcPr>
          <w:p w14:paraId="6ED7CBB1" w14:textId="0480442B" w:rsidR="006B6414" w:rsidRPr="0011482B" w:rsidRDefault="006B6414" w:rsidP="006B6414">
            <w:r>
              <w:rPr>
                <w:kern w:val="2"/>
                <w:lang w:eastAsia="en-US"/>
                <w14:ligatures w14:val="standardContextual"/>
              </w:rPr>
              <w:t>Do 15 listopada lub wg ustaleń Stron</w:t>
            </w:r>
          </w:p>
        </w:tc>
        <w:tc>
          <w:tcPr>
            <w:tcW w:w="3413" w:type="dxa"/>
          </w:tcPr>
          <w:p w14:paraId="67AE3444" w14:textId="07473245" w:rsidR="006B6414" w:rsidRPr="0011482B" w:rsidRDefault="006B6414" w:rsidP="006B6414">
            <w:r>
              <w:rPr>
                <w:kern w:val="2"/>
                <w:lang w:eastAsia="en-US"/>
                <w14:ligatures w14:val="standardContextual"/>
              </w:rPr>
              <w:t>Zakres ustalany każdorazowo; możliwe szkolenie okresowe lub na wniosek Zamawiającego</w:t>
            </w:r>
          </w:p>
        </w:tc>
      </w:tr>
      <w:tr w:rsidR="006B6414" w:rsidRPr="0011482B" w14:paraId="6B65BD59" w14:textId="77777777" w:rsidTr="001528CE">
        <w:tc>
          <w:tcPr>
            <w:tcW w:w="381" w:type="dxa"/>
          </w:tcPr>
          <w:p w14:paraId="523182D1" w14:textId="77777777" w:rsidR="006B6414" w:rsidRPr="0011482B" w:rsidRDefault="006B6414" w:rsidP="006027DC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954" w:type="dxa"/>
          </w:tcPr>
          <w:p w14:paraId="50745F65" w14:textId="3F5B2688" w:rsidR="006B6414" w:rsidRPr="0011482B" w:rsidRDefault="006B6414" w:rsidP="006B6414">
            <w:r>
              <w:rPr>
                <w:kern w:val="2"/>
                <w:lang w:eastAsia="en-US"/>
                <w14:ligatures w14:val="standardContextual"/>
              </w:rPr>
              <w:t>Inne czynności dodatkowe lub interwencyjne</w:t>
            </w:r>
          </w:p>
        </w:tc>
        <w:tc>
          <w:tcPr>
            <w:tcW w:w="1529" w:type="dxa"/>
          </w:tcPr>
          <w:p w14:paraId="1B7C8CDF" w14:textId="26E1FB29" w:rsidR="006B6414" w:rsidRPr="0011482B" w:rsidRDefault="006B6414" w:rsidP="006B6414">
            <w:r>
              <w:rPr>
                <w:kern w:val="2"/>
                <w:lang w:eastAsia="en-US"/>
                <w14:ligatures w14:val="standardContextual"/>
              </w:rPr>
              <w:t>Dodatkowo wg potrzeb</w:t>
            </w:r>
          </w:p>
        </w:tc>
        <w:tc>
          <w:tcPr>
            <w:tcW w:w="1671" w:type="dxa"/>
          </w:tcPr>
          <w:p w14:paraId="1434FF10" w14:textId="466D1FDF" w:rsidR="006B6414" w:rsidRPr="0011482B" w:rsidRDefault="006B6414" w:rsidP="006B6414">
            <w:r>
              <w:rPr>
                <w:kern w:val="2"/>
                <w:lang w:eastAsia="en-US"/>
                <w14:ligatures w14:val="standardContextual"/>
              </w:rPr>
              <w:t>Terminy uzgadniane każdorazowo</w:t>
            </w:r>
          </w:p>
        </w:tc>
        <w:tc>
          <w:tcPr>
            <w:tcW w:w="3413" w:type="dxa"/>
          </w:tcPr>
          <w:p w14:paraId="5029B731" w14:textId="72C9AA4B" w:rsidR="006B6414" w:rsidRPr="0011482B" w:rsidRDefault="006B6414" w:rsidP="006B6414">
            <w:r>
              <w:rPr>
                <w:kern w:val="2"/>
                <w:lang w:eastAsia="en-US"/>
                <w14:ligatures w14:val="standardContextual"/>
              </w:rPr>
              <w:t>Na pisemne zlecenie Zamawiającego; mogą dotyczyć sprzętu spoza powyższych grup</w:t>
            </w:r>
          </w:p>
        </w:tc>
      </w:tr>
    </w:tbl>
    <w:p w14:paraId="27C6E991" w14:textId="76EB4A89" w:rsidR="0011482B" w:rsidRPr="0011482B" w:rsidRDefault="0011482B" w:rsidP="0011482B"/>
    <w:p w14:paraId="14FB2297" w14:textId="77777777" w:rsidR="0011482B" w:rsidRPr="0011482B" w:rsidRDefault="0011482B" w:rsidP="0011482B">
      <w:pPr>
        <w:rPr>
          <w:b/>
          <w:bCs/>
        </w:rPr>
      </w:pPr>
      <w:r w:rsidRPr="0011482B">
        <w:rPr>
          <w:b/>
          <w:bCs/>
        </w:rPr>
        <w:t>Uwagi:</w:t>
      </w:r>
    </w:p>
    <w:p w14:paraId="016AB634" w14:textId="77777777" w:rsidR="0011482B" w:rsidRPr="0011482B" w:rsidRDefault="0011482B" w:rsidP="0011482B">
      <w:pPr>
        <w:numPr>
          <w:ilvl w:val="0"/>
          <w:numId w:val="10"/>
        </w:numPr>
      </w:pPr>
      <w:r w:rsidRPr="0011482B">
        <w:t>Harmonogram może być modyfikowany po uzgodnieniu Stron – szczególnie w przypadku zmian stanu technicznego sprzętu, decyzji organizacyjnych lub sytuacji losowych.</w:t>
      </w:r>
    </w:p>
    <w:p w14:paraId="3F13BA5B" w14:textId="5D43AC4F" w:rsidR="0011482B" w:rsidRPr="0011482B" w:rsidRDefault="0011482B" w:rsidP="00DB32B6">
      <w:pPr>
        <w:numPr>
          <w:ilvl w:val="0"/>
          <w:numId w:val="10"/>
        </w:numPr>
      </w:pPr>
      <w:r w:rsidRPr="0011482B">
        <w:t xml:space="preserve">Wszelkie zmiany wymagają formy </w:t>
      </w:r>
      <w:r w:rsidR="001528CE">
        <w:t>pisemnego aneksu do umowy</w:t>
      </w:r>
    </w:p>
    <w:bookmarkEnd w:id="1"/>
    <w:p w14:paraId="67AB5EE6" w14:textId="77777777" w:rsidR="0011482B" w:rsidRPr="0011482B" w:rsidRDefault="0011482B" w:rsidP="00DB32B6"/>
    <w:sectPr w:rsidR="0011482B" w:rsidRPr="0011482B" w:rsidSect="00A058D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CBCF5" w14:textId="77777777" w:rsidR="00DB32B6" w:rsidRDefault="00DB32B6" w:rsidP="00DB32B6">
      <w:r>
        <w:separator/>
      </w:r>
    </w:p>
  </w:endnote>
  <w:endnote w:type="continuationSeparator" w:id="0">
    <w:p w14:paraId="24ABB972" w14:textId="77777777" w:rsidR="00DB32B6" w:rsidRDefault="00DB32B6" w:rsidP="00DB3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6663520"/>
      <w:docPartObj>
        <w:docPartGallery w:val="Page Numbers (Bottom of Page)"/>
        <w:docPartUnique/>
      </w:docPartObj>
    </w:sdtPr>
    <w:sdtEndPr/>
    <w:sdtContent>
      <w:p w14:paraId="78A2056E" w14:textId="4E79F2BB" w:rsidR="006027DC" w:rsidRDefault="006027DC">
        <w:pPr>
          <w:pStyle w:val="Stopka"/>
          <w:jc w:val="right"/>
        </w:pPr>
        <w:r w:rsidRPr="006027DC">
          <w:rPr>
            <w:sz w:val="20"/>
            <w:szCs w:val="16"/>
          </w:rPr>
          <w:fldChar w:fldCharType="begin"/>
        </w:r>
        <w:r w:rsidRPr="006027DC">
          <w:rPr>
            <w:sz w:val="20"/>
            <w:szCs w:val="16"/>
          </w:rPr>
          <w:instrText>PAGE   \* MERGEFORMAT</w:instrText>
        </w:r>
        <w:r w:rsidRPr="006027DC">
          <w:rPr>
            <w:sz w:val="20"/>
            <w:szCs w:val="16"/>
          </w:rPr>
          <w:fldChar w:fldCharType="separate"/>
        </w:r>
        <w:r w:rsidRPr="006027DC">
          <w:rPr>
            <w:sz w:val="20"/>
            <w:szCs w:val="16"/>
          </w:rPr>
          <w:t>2</w:t>
        </w:r>
        <w:r w:rsidRPr="006027DC">
          <w:rPr>
            <w:sz w:val="20"/>
            <w:szCs w:val="16"/>
          </w:rPr>
          <w:fldChar w:fldCharType="end"/>
        </w:r>
      </w:p>
    </w:sdtContent>
  </w:sdt>
  <w:p w14:paraId="3265CEBA" w14:textId="77777777" w:rsidR="006027DC" w:rsidRDefault="006027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6A827" w14:textId="77777777" w:rsidR="00DB32B6" w:rsidRDefault="00DB32B6" w:rsidP="00DB32B6">
      <w:r>
        <w:separator/>
      </w:r>
    </w:p>
  </w:footnote>
  <w:footnote w:type="continuationSeparator" w:id="0">
    <w:p w14:paraId="6B1D2C12" w14:textId="77777777" w:rsidR="00DB32B6" w:rsidRDefault="00DB32B6" w:rsidP="00DB32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31BFA"/>
    <w:multiLevelType w:val="multilevel"/>
    <w:tmpl w:val="E08AA024"/>
    <w:styleLink w:val="Styl4"/>
    <w:lvl w:ilvl="0">
      <w:start w:val="1"/>
      <w:numFmt w:val="decimal"/>
      <w:lvlText w:val="%1. "/>
      <w:lvlJc w:val="left"/>
      <w:pPr>
        <w:ind w:left="284" w:hanging="284"/>
      </w:pPr>
      <w:rPr>
        <w:b w:val="0"/>
        <w:i w:val="0"/>
        <w:sz w:val="24"/>
      </w:rPr>
    </w:lvl>
    <w:lvl w:ilvl="1">
      <w:start w:val="1"/>
      <w:numFmt w:val="decimal"/>
      <w:lvlText w:val="%2) "/>
      <w:lvlJc w:val="left"/>
      <w:pPr>
        <w:ind w:left="737" w:hanging="377"/>
      </w:pPr>
      <w:rPr>
        <w:rFonts w:hint="default"/>
        <w:b w:val="0"/>
        <w:i w:val="0"/>
        <w:sz w:val="24"/>
      </w:rPr>
    </w:lvl>
    <w:lvl w:ilvl="2">
      <w:start w:val="1"/>
      <w:numFmt w:val="lowerLetter"/>
      <w:lvlText w:val="%3. "/>
      <w:lvlJc w:val="left"/>
      <w:pPr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lowerLetter"/>
      <w:lvlText w:val="%4) "/>
      <w:lvlJc w:val="left"/>
      <w:pPr>
        <w:ind w:left="1440" w:hanging="360"/>
      </w:pPr>
      <w:rPr>
        <w:rFonts w:hint="default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b w:val="0"/>
        <w:i w:val="0"/>
        <w:sz w:val="2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3EB1566"/>
    <w:multiLevelType w:val="hybridMultilevel"/>
    <w:tmpl w:val="26B432D4"/>
    <w:lvl w:ilvl="0" w:tplc="5ACCA3D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E30CC"/>
    <w:multiLevelType w:val="multilevel"/>
    <w:tmpl w:val="91D66004"/>
    <w:styleLink w:val="Styl7"/>
    <w:lvl w:ilvl="0">
      <w:start w:val="1"/>
      <w:numFmt w:val="decimal"/>
      <w:lvlText w:val="%1)    "/>
      <w:lvlJc w:val="left"/>
      <w:pPr>
        <w:ind w:left="0" w:firstLine="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8B8513F"/>
    <w:multiLevelType w:val="multilevel"/>
    <w:tmpl w:val="E4FE6122"/>
    <w:styleLink w:val="Styl6"/>
    <w:lvl w:ilvl="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FD248A6"/>
    <w:multiLevelType w:val="multilevel"/>
    <w:tmpl w:val="80DC1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BF3D7A"/>
    <w:multiLevelType w:val="multilevel"/>
    <w:tmpl w:val="3ECC9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F970B0"/>
    <w:multiLevelType w:val="hybridMultilevel"/>
    <w:tmpl w:val="CA3E3248"/>
    <w:lvl w:ilvl="0" w:tplc="BEC66A1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832C66"/>
    <w:multiLevelType w:val="multilevel"/>
    <w:tmpl w:val="11C41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D425F1"/>
    <w:multiLevelType w:val="multilevel"/>
    <w:tmpl w:val="67D255B2"/>
    <w:styleLink w:val="Styl1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sz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54AF162F"/>
    <w:multiLevelType w:val="multilevel"/>
    <w:tmpl w:val="C0D2DC22"/>
    <w:lvl w:ilvl="0">
      <w:start w:val="1"/>
      <w:numFmt w:val="decimal"/>
      <w:lvlText w:val="%1."/>
      <w:lvlJc w:val="left"/>
      <w:pPr>
        <w:ind w:left="0" w:firstLine="57"/>
      </w:pPr>
      <w:rPr>
        <w:rFonts w:asciiTheme="minorHAnsi" w:hAnsiTheme="minorHAnsi" w:cstheme="minorHAnsi" w:hint="default"/>
        <w:sz w:val="22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6F18456A"/>
    <w:multiLevelType w:val="multilevel"/>
    <w:tmpl w:val="67A6D390"/>
    <w:styleLink w:val="Styl5"/>
    <w:lvl w:ilvl="0">
      <w:start w:val="1"/>
      <w:numFmt w:val="decimal"/>
      <w:lvlText w:val="%1)"/>
      <w:lvlJc w:val="left"/>
      <w:pPr>
        <w:ind w:left="0" w:firstLine="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943610787">
    <w:abstractNumId w:val="8"/>
  </w:num>
  <w:num w:numId="2" w16cid:durableId="543369400">
    <w:abstractNumId w:val="0"/>
  </w:num>
  <w:num w:numId="3" w16cid:durableId="1751004803">
    <w:abstractNumId w:val="10"/>
  </w:num>
  <w:num w:numId="4" w16cid:durableId="170532186">
    <w:abstractNumId w:val="3"/>
  </w:num>
  <w:num w:numId="5" w16cid:durableId="543562251">
    <w:abstractNumId w:val="2"/>
  </w:num>
  <w:num w:numId="6" w16cid:durableId="1399207793">
    <w:abstractNumId w:val="1"/>
  </w:num>
  <w:num w:numId="7" w16cid:durableId="1155102844">
    <w:abstractNumId w:val="6"/>
  </w:num>
  <w:num w:numId="8" w16cid:durableId="514349036">
    <w:abstractNumId w:val="7"/>
  </w:num>
  <w:num w:numId="9" w16cid:durableId="1959485016">
    <w:abstractNumId w:val="5"/>
  </w:num>
  <w:num w:numId="10" w16cid:durableId="876161444">
    <w:abstractNumId w:val="4"/>
  </w:num>
  <w:num w:numId="11" w16cid:durableId="10221231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BE2"/>
    <w:rsid w:val="00030579"/>
    <w:rsid w:val="000C32C8"/>
    <w:rsid w:val="0011482B"/>
    <w:rsid w:val="001528CE"/>
    <w:rsid w:val="001B1734"/>
    <w:rsid w:val="001D47E4"/>
    <w:rsid w:val="00207BE2"/>
    <w:rsid w:val="00326CA3"/>
    <w:rsid w:val="003646B3"/>
    <w:rsid w:val="00417703"/>
    <w:rsid w:val="00430018"/>
    <w:rsid w:val="00432B46"/>
    <w:rsid w:val="004B0E0F"/>
    <w:rsid w:val="00575640"/>
    <w:rsid w:val="005D3BDE"/>
    <w:rsid w:val="006027DC"/>
    <w:rsid w:val="00640BB2"/>
    <w:rsid w:val="0064473C"/>
    <w:rsid w:val="006B6414"/>
    <w:rsid w:val="00725315"/>
    <w:rsid w:val="0085438B"/>
    <w:rsid w:val="00862FC8"/>
    <w:rsid w:val="00872D8A"/>
    <w:rsid w:val="00A058D2"/>
    <w:rsid w:val="00A40151"/>
    <w:rsid w:val="00BB461D"/>
    <w:rsid w:val="00BF1663"/>
    <w:rsid w:val="00C802EE"/>
    <w:rsid w:val="00DB32B6"/>
    <w:rsid w:val="00F61CD8"/>
    <w:rsid w:val="00FA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8E039"/>
  <w15:chartTrackingRefBased/>
  <w15:docId w15:val="{C460DA61-34DA-436E-9FA0-75B11872A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0BB2"/>
    <w:pPr>
      <w:spacing w:after="0" w:line="240" w:lineRule="auto"/>
    </w:pPr>
    <w:rPr>
      <w:rFonts w:ascii="Calibri" w:hAnsi="Calibri" w:cs="Times New Roman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32B46"/>
    <w:pPr>
      <w:keepNext/>
      <w:keepLines/>
      <w:tabs>
        <w:tab w:val="left" w:leader="dot" w:pos="284"/>
        <w:tab w:val="left" w:leader="hyphen" w:pos="567"/>
        <w:tab w:val="left" w:leader="underscore" w:pos="851"/>
      </w:tabs>
      <w:spacing w:before="120" w:line="264" w:lineRule="auto"/>
      <w:outlineLvl w:val="0"/>
    </w:pPr>
    <w:rPr>
      <w:rFonts w:eastAsiaTheme="majorEastAsia" w:cstheme="majorBidi"/>
      <w:b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7B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7BE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7BE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7BE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7BE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07BE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7BE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7BE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uiPriority w:val="99"/>
    <w:rsid w:val="00BB461D"/>
    <w:pPr>
      <w:numPr>
        <w:numId w:val="1"/>
      </w:numPr>
    </w:pPr>
  </w:style>
  <w:style w:type="paragraph" w:styleId="Tekstpodstawowy">
    <w:name w:val="Body Text"/>
    <w:aliases w:val="Calibri"/>
    <w:basedOn w:val="Normalny"/>
    <w:link w:val="TekstpodstawowyZnak"/>
    <w:semiHidden/>
    <w:qFormat/>
    <w:rsid w:val="00BF1663"/>
    <w:pPr>
      <w:framePr w:wrap="around" w:hAnchor="text"/>
      <w:jc w:val="center"/>
    </w:pPr>
  </w:style>
  <w:style w:type="character" w:customStyle="1" w:styleId="TekstpodstawowyZnak">
    <w:name w:val="Tekst podstawowy Znak"/>
    <w:aliases w:val="Calibri Znak"/>
    <w:basedOn w:val="Domylnaczcionkaakapitu"/>
    <w:link w:val="Tekstpodstawowy"/>
    <w:semiHidden/>
    <w:rsid w:val="00BF1663"/>
    <w:rPr>
      <w:rFonts w:ascii="Calibri" w:eastAsia="Times New Roman" w:hAnsi="Calibri" w:cs="Times New Roman"/>
      <w:sz w:val="24"/>
      <w:szCs w:val="20"/>
      <w:lang w:eastAsia="pl-PL"/>
    </w:rPr>
  </w:style>
  <w:style w:type="numbering" w:customStyle="1" w:styleId="Styl4">
    <w:name w:val="Styl4"/>
    <w:uiPriority w:val="99"/>
    <w:rsid w:val="00725315"/>
    <w:pPr>
      <w:numPr>
        <w:numId w:val="2"/>
      </w:numPr>
    </w:pPr>
  </w:style>
  <w:style w:type="numbering" w:customStyle="1" w:styleId="Styl5">
    <w:name w:val="Styl5"/>
    <w:uiPriority w:val="99"/>
    <w:rsid w:val="00725315"/>
    <w:pPr>
      <w:numPr>
        <w:numId w:val="3"/>
      </w:numPr>
    </w:pPr>
  </w:style>
  <w:style w:type="numbering" w:customStyle="1" w:styleId="Styl6">
    <w:name w:val="Styl6"/>
    <w:uiPriority w:val="99"/>
    <w:rsid w:val="00725315"/>
    <w:pPr>
      <w:numPr>
        <w:numId w:val="4"/>
      </w:numPr>
    </w:pPr>
  </w:style>
  <w:style w:type="numbering" w:customStyle="1" w:styleId="Styl7">
    <w:name w:val="Styl7"/>
    <w:uiPriority w:val="99"/>
    <w:rsid w:val="00725315"/>
    <w:pPr>
      <w:numPr>
        <w:numId w:val="5"/>
      </w:numPr>
    </w:pPr>
  </w:style>
  <w:style w:type="character" w:customStyle="1" w:styleId="Styl1Znak">
    <w:name w:val="Styl1 Znak"/>
    <w:basedOn w:val="Domylnaczcionkaakapitu"/>
    <w:rsid w:val="001B1734"/>
    <w:rPr>
      <w:rFonts w:ascii="Calibri" w:eastAsiaTheme="minorEastAsia" w:hAnsi="Calibri"/>
      <w:sz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32B46"/>
    <w:rPr>
      <w:rFonts w:eastAsiaTheme="majorEastAsia" w:cstheme="majorBidi"/>
      <w:bCs/>
      <w:kern w:val="0"/>
      <w:sz w:val="24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7BE2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7BE2"/>
    <w:rPr>
      <w:rFonts w:eastAsiaTheme="majorEastAsia" w:cstheme="majorBidi"/>
      <w:color w:val="2F5496" w:themeColor="accent1" w:themeShade="BF"/>
      <w:kern w:val="0"/>
      <w:sz w:val="28"/>
      <w:szCs w:val="28"/>
      <w:lang w:eastAsia="pl-PL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7BE2"/>
    <w:rPr>
      <w:rFonts w:eastAsiaTheme="majorEastAsia" w:cstheme="majorBidi"/>
      <w:i/>
      <w:iCs/>
      <w:color w:val="2F5496" w:themeColor="accent1" w:themeShade="BF"/>
      <w:kern w:val="0"/>
      <w:sz w:val="24"/>
      <w:szCs w:val="20"/>
      <w:lang w:eastAsia="pl-PL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7BE2"/>
    <w:rPr>
      <w:rFonts w:eastAsiaTheme="majorEastAsia" w:cstheme="majorBidi"/>
      <w:color w:val="2F5496" w:themeColor="accent1" w:themeShade="BF"/>
      <w:kern w:val="0"/>
      <w:sz w:val="24"/>
      <w:szCs w:val="20"/>
      <w:lang w:eastAsia="pl-PL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7BE2"/>
    <w:rPr>
      <w:rFonts w:eastAsiaTheme="majorEastAsia" w:cstheme="majorBidi"/>
      <w:i/>
      <w:iCs/>
      <w:color w:val="595959" w:themeColor="text1" w:themeTint="A6"/>
      <w:kern w:val="0"/>
      <w:sz w:val="24"/>
      <w:szCs w:val="20"/>
      <w:lang w:eastAsia="pl-PL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07BE2"/>
    <w:rPr>
      <w:rFonts w:eastAsiaTheme="majorEastAsia" w:cstheme="majorBidi"/>
      <w:color w:val="595959" w:themeColor="text1" w:themeTint="A6"/>
      <w:kern w:val="0"/>
      <w:sz w:val="24"/>
      <w:szCs w:val="20"/>
      <w:lang w:eastAsia="pl-PL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7BE2"/>
    <w:rPr>
      <w:rFonts w:eastAsiaTheme="majorEastAsia" w:cstheme="majorBidi"/>
      <w:i/>
      <w:iCs/>
      <w:color w:val="272727" w:themeColor="text1" w:themeTint="D8"/>
      <w:kern w:val="0"/>
      <w:sz w:val="24"/>
      <w:szCs w:val="20"/>
      <w:lang w:eastAsia="pl-PL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7BE2"/>
    <w:rPr>
      <w:rFonts w:eastAsiaTheme="majorEastAsia" w:cstheme="majorBidi"/>
      <w:color w:val="272727" w:themeColor="text1" w:themeTint="D8"/>
      <w:kern w:val="0"/>
      <w:sz w:val="24"/>
      <w:szCs w:val="20"/>
      <w:lang w:eastAsia="pl-PL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207B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07BE2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07BE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07BE2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pl-PL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207B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07BE2"/>
    <w:rPr>
      <w:rFonts w:ascii="Calibri" w:hAnsi="Calibri" w:cs="Times New Roman"/>
      <w:i/>
      <w:iCs/>
      <w:color w:val="404040" w:themeColor="text1" w:themeTint="BF"/>
      <w:kern w:val="0"/>
      <w:sz w:val="24"/>
      <w:szCs w:val="20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207BE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07BE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07B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07BE2"/>
    <w:rPr>
      <w:rFonts w:ascii="Calibri" w:hAnsi="Calibri" w:cs="Times New Roman"/>
      <w:i/>
      <w:iCs/>
      <w:color w:val="2F5496" w:themeColor="accent1" w:themeShade="BF"/>
      <w:kern w:val="0"/>
      <w:sz w:val="24"/>
      <w:szCs w:val="20"/>
      <w:lang w:eastAsia="pl-PL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207BE2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B32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32B6"/>
    <w:rPr>
      <w:rFonts w:ascii="Calibri" w:hAnsi="Calibri" w:cs="Times New Roman"/>
      <w:kern w:val="0"/>
      <w:sz w:val="24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B32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32B6"/>
    <w:rPr>
      <w:rFonts w:ascii="Calibri" w:hAnsi="Calibri" w:cs="Times New Roman"/>
      <w:kern w:val="0"/>
      <w:sz w:val="24"/>
      <w:szCs w:val="20"/>
      <w:lang w:eastAsia="pl-PL"/>
      <w14:ligatures w14:val="none"/>
    </w:rPr>
  </w:style>
  <w:style w:type="table" w:styleId="Tabela-Siatka">
    <w:name w:val="Table Grid"/>
    <w:basedOn w:val="Standardowy"/>
    <w:uiPriority w:val="39"/>
    <w:rsid w:val="001528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376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Lorenc</dc:creator>
  <cp:keywords/>
  <dc:description/>
  <cp:lastModifiedBy>Andrzej Lorenc</cp:lastModifiedBy>
  <cp:revision>2</cp:revision>
  <cp:lastPrinted>2025-12-01T08:22:00Z</cp:lastPrinted>
  <dcterms:created xsi:type="dcterms:W3CDTF">2025-12-01T08:22:00Z</dcterms:created>
  <dcterms:modified xsi:type="dcterms:W3CDTF">2025-12-01T08:22:00Z</dcterms:modified>
</cp:coreProperties>
</file>