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4AA" w:rsidRPr="00CC5465" w:rsidRDefault="00E214AA" w:rsidP="00E214AA">
      <w:pPr>
        <w:shd w:val="clear" w:color="auto" w:fill="D9D9D9"/>
        <w:spacing w:before="120" w:after="0" w:line="240" w:lineRule="auto"/>
        <w:ind w:firstLine="708"/>
        <w:rPr>
          <w:rFonts w:cstheme="minorHAnsi"/>
          <w:b/>
          <w:sz w:val="24"/>
          <w:szCs w:val="24"/>
        </w:rPr>
      </w:pPr>
      <w:r w:rsidRPr="00CC5465">
        <w:rPr>
          <w:rFonts w:cstheme="minorHAnsi"/>
          <w:b/>
          <w:sz w:val="24"/>
          <w:szCs w:val="24"/>
        </w:rPr>
        <w:t xml:space="preserve">                        PEŁNOMOCNICTWO W POSTĘPOWANIU SKARGOWYM</w:t>
      </w:r>
    </w:p>
    <w:p w:rsidR="00E214AA" w:rsidRPr="000E0A9B" w:rsidRDefault="00E214AA" w:rsidP="00E214AA">
      <w:pPr>
        <w:shd w:val="clear" w:color="auto" w:fill="D9D9D9"/>
        <w:spacing w:before="120" w:after="0" w:line="240" w:lineRule="auto"/>
        <w:jc w:val="both"/>
        <w:rPr>
          <w:rFonts w:cstheme="minorHAnsi"/>
          <w:i/>
          <w:u w:val="single"/>
        </w:rPr>
      </w:pPr>
      <w:r w:rsidRPr="00E214AA">
        <w:rPr>
          <w:rFonts w:cstheme="minorHAnsi"/>
        </w:rPr>
        <w:t>Pełnomocnictwo w postępowaniu skargowym jest pełnomocnictwem procesowym.</w:t>
      </w:r>
      <w:r w:rsidRPr="00E214AA">
        <w:rPr>
          <w:rFonts w:cstheme="minorHAnsi"/>
          <w:i/>
        </w:rPr>
        <w:t xml:space="preserve"> </w:t>
      </w:r>
      <w:r w:rsidRPr="00E214AA">
        <w:rPr>
          <w:rFonts w:cstheme="minorHAnsi"/>
        </w:rPr>
        <w:t>Pełnomocnictwo jest jednostronnym oświadczeniem mocodawcy, na podstawie którego osoba trzecia (pełnomocnik) staje się upoważniona do działania w imieniu mocodawcy. Pełnomocnictwo procesowe oparte jest na oświadczeniu woli strony, która upoważnia dany podmiot do wykonywania czynności procesowych w jej imieniu i na jej rzecz. Zgodnie z treścią art. 86 KPC</w:t>
      </w:r>
      <w:r w:rsidRPr="00E214AA">
        <w:rPr>
          <w:rStyle w:val="Odwoanieprzypisudolnego"/>
          <w:rFonts w:cstheme="minorHAnsi"/>
        </w:rPr>
        <w:footnoteReference w:id="1"/>
      </w:r>
      <w:r w:rsidRPr="00E214AA">
        <w:rPr>
          <w:rFonts w:cstheme="minorHAnsi"/>
        </w:rPr>
        <w:t xml:space="preserve"> strony i ich organy lub przedstawiciele ustawowi mogą działać przed </w:t>
      </w:r>
      <w:r w:rsidRPr="00EA5EF2">
        <w:rPr>
          <w:rFonts w:cstheme="minorHAnsi"/>
        </w:rPr>
        <w:t>sądem osobiście lub przez pełnomocników.</w:t>
      </w:r>
    </w:p>
    <w:p w:rsidR="00E214AA" w:rsidRPr="000E0A9B" w:rsidRDefault="000E0A9B" w:rsidP="00E214AA">
      <w:pPr>
        <w:shd w:val="clear" w:color="auto" w:fill="D9D9D9"/>
        <w:spacing w:before="120" w:after="0" w:line="240" w:lineRule="auto"/>
        <w:jc w:val="both"/>
      </w:pPr>
      <w:r w:rsidRPr="000E0A9B">
        <w:rPr>
          <w:rFonts w:cstheme="minorHAnsi"/>
          <w:i/>
          <w:u w:val="single"/>
        </w:rPr>
        <w:t>Kto może być pełnomocnikiem w postępowaniu skargowym?</w:t>
      </w:r>
      <w:r w:rsidRPr="000E0A9B">
        <w:rPr>
          <w:rFonts w:cstheme="minorHAnsi"/>
        </w:rPr>
        <w:t xml:space="preserve"> W sprawach tych zasadniczo pełnomocnikiem może być adwokat lub radca prawny, a ponadto osoba sprawująca zarząd majątkiem lub interesami strony oraz osoba pozostająca ze stroną w stałym stosunku zlecenia, jeżeli przedmiot sprawy wchodzi w zakres tego zlecenia, współuczestnik sporu. Pełnomocnikiem osoby prawnej lub przedsiębiorcy, w tym nieposiadającego osobowości prawnej, może być również pracownik tej jednostki albo jej organu nadrzędnego. Osoba prawna prowadząca, na podstawie odrębnych przepisów, obsługę prawną przedsiębiorcy, osoby prawnej lub innej jednostki organizacyjnej może udzielić pełnomocnictwa proceso</w:t>
      </w:r>
      <w:r>
        <w:rPr>
          <w:rFonts w:cstheme="minorHAnsi"/>
        </w:rPr>
        <w:t xml:space="preserve">wego </w:t>
      </w:r>
      <w:r w:rsidRPr="00E214AA">
        <w:rPr>
          <w:rFonts w:cstheme="minorHAnsi"/>
        </w:rPr>
        <w:t>–</w:t>
      </w:r>
      <w:r w:rsidRPr="000E0A9B">
        <w:rPr>
          <w:rFonts w:cstheme="minorHAnsi"/>
        </w:rPr>
        <w:t xml:space="preserve"> w imieniu podmiotu, k</w:t>
      </w:r>
      <w:r>
        <w:rPr>
          <w:rFonts w:cstheme="minorHAnsi"/>
        </w:rPr>
        <w:t xml:space="preserve">tórego obsługę prawną prowadzi </w:t>
      </w:r>
      <w:r w:rsidRPr="00E214AA">
        <w:rPr>
          <w:rFonts w:cstheme="minorHAnsi"/>
        </w:rPr>
        <w:t>–</w:t>
      </w:r>
      <w:r>
        <w:rPr>
          <w:rFonts w:cstheme="minorHAnsi"/>
        </w:rPr>
        <w:t xml:space="preserve"> </w:t>
      </w:r>
      <w:r w:rsidRPr="000E0A9B">
        <w:rPr>
          <w:rFonts w:cstheme="minorHAnsi"/>
        </w:rPr>
        <w:t>adwokatowi lub radcy prawnemu, jeżeli została do tego upoważniona przez ten podmiot</w:t>
      </w:r>
      <w:r w:rsidR="00E214AA" w:rsidRPr="00E214AA">
        <w:rPr>
          <w:rStyle w:val="Odwoanieprzypisudolnego"/>
          <w:rFonts w:cstheme="minorHAnsi"/>
        </w:rPr>
        <w:footnoteReference w:id="2"/>
      </w:r>
      <w:r w:rsidR="00E214AA" w:rsidRPr="00E214AA">
        <w:rPr>
          <w:rFonts w:cstheme="minorHAnsi"/>
        </w:rPr>
        <w:t xml:space="preserve">. </w:t>
      </w:r>
    </w:p>
    <w:p w:rsidR="00E214AA" w:rsidRPr="00E214AA" w:rsidRDefault="00E214AA" w:rsidP="00E214AA">
      <w:pPr>
        <w:shd w:val="clear" w:color="auto" w:fill="D9D9D9"/>
        <w:spacing w:before="120" w:after="0" w:line="240" w:lineRule="auto"/>
        <w:jc w:val="both"/>
        <w:rPr>
          <w:rFonts w:cstheme="minorHAnsi"/>
        </w:rPr>
      </w:pPr>
      <w:r w:rsidRPr="00E214AA">
        <w:rPr>
          <w:rFonts w:cstheme="minorHAnsi"/>
          <w:i/>
          <w:u w:val="single"/>
        </w:rPr>
        <w:t>Jakie są rodzaje pełnomocnictwa?</w:t>
      </w:r>
      <w:r w:rsidRPr="00E214AA">
        <w:rPr>
          <w:rFonts w:cstheme="minorHAnsi"/>
        </w:rPr>
        <w:t xml:space="preserve"> Wyróżnia się dwa rodzaje pełnomocnictwa procesowego: pełnomocnictwo procesowe ogólne i pełnomocnictwo procesowe do prowadzenia poszczególnych spraw. Istnieje jeszcze pełnomocnictwo do niektórych czynności procesowych. Pełnomocnictwo procesowe ogólne oznacza umocowanie do prowadzenia wszystkich spraw w imieniu strony procesowej. Pełnomocnictwo procesowe do prowadzenia poszczególnych spraw oznacza umocowanie do prowadzenia konkretnej sprawy. Pełnomocnictwo do niektórych tylko czynności procesowych stanowi umocowanie wyłącznie do wyszczególnionych w treści pełnomocnictwa czynności (np. pełnomocnictwo do zgłoszenia wniosków dowodowych). </w:t>
      </w:r>
    </w:p>
    <w:p w:rsidR="00E214AA" w:rsidRPr="00E214AA" w:rsidRDefault="00E214AA" w:rsidP="00E214AA">
      <w:pPr>
        <w:shd w:val="clear" w:color="auto" w:fill="D9D9D9"/>
        <w:spacing w:before="120" w:after="0" w:line="240" w:lineRule="auto"/>
        <w:jc w:val="both"/>
        <w:rPr>
          <w:rFonts w:cstheme="minorHAnsi"/>
          <w:i/>
        </w:rPr>
      </w:pPr>
      <w:r w:rsidRPr="00E214AA">
        <w:rPr>
          <w:rFonts w:cstheme="minorHAnsi"/>
          <w:i/>
          <w:u w:val="single"/>
        </w:rPr>
        <w:t>Co powinno zawierać pełnomocnictwo?</w:t>
      </w:r>
      <w:r w:rsidRPr="00E214AA">
        <w:rPr>
          <w:rFonts w:cstheme="minorHAnsi"/>
          <w:i/>
        </w:rPr>
        <w:t xml:space="preserve"> </w:t>
      </w:r>
      <w:r w:rsidRPr="00E214AA">
        <w:rPr>
          <w:rFonts w:cstheme="minorHAnsi"/>
        </w:rPr>
        <w:t>Należy mieć na uwadze, aby pełnomocnictwo było sformułowane w sposób jasny i niebudzący wątpliwości, wskazywało udzielającego pełnomocnictwa i pełnomocnika oraz szczegółowy zakres umocowania.</w:t>
      </w:r>
    </w:p>
    <w:p w:rsidR="00E214AA" w:rsidRPr="00E214AA" w:rsidRDefault="00E214AA" w:rsidP="00E214AA">
      <w:pPr>
        <w:shd w:val="clear" w:color="auto" w:fill="D9D9D9"/>
        <w:spacing w:before="120" w:after="0" w:line="240" w:lineRule="auto"/>
        <w:jc w:val="both"/>
        <w:rPr>
          <w:rFonts w:cstheme="minorHAnsi"/>
        </w:rPr>
      </w:pPr>
      <w:r w:rsidRPr="00E214AA">
        <w:rPr>
          <w:rFonts w:cstheme="minorHAnsi"/>
        </w:rPr>
        <w:t xml:space="preserve">Mocodawca decyduje jakiego pełnomocnictwa udziela i w jakim zakresie (do jakich czynności). Co do zasady – jeśli mocodawca nie postanowi inaczej – z mocy prawa pełnomocnik procesowy jest umocowany do wszystkich łączących się ze sprawą czynności procesowych, udzielenia dalszego pełnomocnictwa procesowego adwokatowi lub radcy prawnemu, odbioru kosztów procesu od strony przeciwnej. </w:t>
      </w:r>
    </w:p>
    <w:p w:rsidR="00E214AA" w:rsidRPr="000E0A9B" w:rsidRDefault="00E214AA" w:rsidP="00E214AA">
      <w:pPr>
        <w:shd w:val="clear" w:color="auto" w:fill="D9D9D9"/>
        <w:spacing w:before="120" w:after="0" w:line="240" w:lineRule="auto"/>
        <w:jc w:val="both"/>
        <w:rPr>
          <w:rFonts w:cstheme="minorHAnsi"/>
        </w:rPr>
      </w:pPr>
      <w:r w:rsidRPr="00E214AA">
        <w:rPr>
          <w:rFonts w:cstheme="minorHAnsi"/>
          <w:i/>
          <w:u w:val="single"/>
        </w:rPr>
        <w:t>Kwestie formalne</w:t>
      </w:r>
      <w:r w:rsidR="000E0A9B">
        <w:rPr>
          <w:rFonts w:cstheme="minorHAnsi"/>
          <w:i/>
          <w:u w:val="single"/>
        </w:rPr>
        <w:t xml:space="preserve">: </w:t>
      </w:r>
      <w:r w:rsidR="000E0A9B" w:rsidRPr="000E0A9B">
        <w:rPr>
          <w:rFonts w:cstheme="minorHAnsi"/>
        </w:rPr>
        <w:t>Pełnomocnik jest obowiązany przy pierwszej czynności procesowej dołączyć do akt sprawy pełnomocnictwo z podpisem mocodawcy lub wierzytelny odpis pełnomocnictwa wraz z odpisem dla strony prz</w:t>
      </w:r>
      <w:r w:rsidR="000E0A9B">
        <w:rPr>
          <w:rFonts w:cstheme="minorHAnsi"/>
        </w:rPr>
        <w:t xml:space="preserve">eciwnej. Adwokat, radca prawny </w:t>
      </w:r>
      <w:r w:rsidR="000E0A9B" w:rsidRPr="000E0A9B">
        <w:rPr>
          <w:rFonts w:cstheme="minorHAnsi"/>
        </w:rPr>
        <w:t>mogą sami uwierzytelnić odpis udzielonego im pełnomocnictwa oraz odpisy innych dokumentów wykazujących ich umocowanie. Złożenie dokumentu wykazującego umocowanie lub jego uwierzytelnionego odpisu nie jest wymagane, jeżeli stwierdzenie przez sąd umocowania jest możliwe na podstawie wykazu lub innego rejestru, do którego sąd ma dostęp drogą elektroniczną</w:t>
      </w:r>
      <w:r w:rsidR="000E0A9B" w:rsidRPr="000E0A9B">
        <w:rPr>
          <w:vertAlign w:val="superscript"/>
        </w:rPr>
        <w:footnoteReference w:id="3"/>
      </w:r>
      <w:r w:rsidR="000E0A9B">
        <w:rPr>
          <w:rFonts w:cstheme="minorHAnsi"/>
        </w:rPr>
        <w:t xml:space="preserve">. </w:t>
      </w:r>
    </w:p>
    <w:p w:rsidR="00E214AA" w:rsidRPr="00E214AA" w:rsidRDefault="00E214AA" w:rsidP="00E214AA">
      <w:pPr>
        <w:shd w:val="clear" w:color="auto" w:fill="D9D9D9"/>
        <w:spacing w:before="120" w:after="0" w:line="240" w:lineRule="auto"/>
        <w:jc w:val="both"/>
        <w:rPr>
          <w:rFonts w:cstheme="minorHAnsi"/>
        </w:rPr>
      </w:pPr>
      <w:r w:rsidRPr="00E214AA">
        <w:rPr>
          <w:rFonts w:cstheme="minorHAnsi"/>
        </w:rPr>
        <w:t xml:space="preserve">Pełnomocnictwo podlega opłacie skarbowej. Należy dołączyć dowód uiszczenia opłaty skarbowej od pełnomocnictwa. </w:t>
      </w:r>
    </w:p>
    <w:p w:rsidR="00E214AA" w:rsidRPr="00E214AA" w:rsidRDefault="00E214AA" w:rsidP="00E214AA">
      <w:pPr>
        <w:shd w:val="clear" w:color="auto" w:fill="D9D9D9"/>
        <w:spacing w:before="120" w:after="0" w:line="240" w:lineRule="auto"/>
        <w:jc w:val="both"/>
        <w:rPr>
          <w:rFonts w:cstheme="minorHAnsi"/>
        </w:rPr>
      </w:pPr>
      <w:r w:rsidRPr="00E214AA">
        <w:rPr>
          <w:rFonts w:cstheme="minorHAnsi"/>
        </w:rPr>
        <w:t xml:space="preserve">W postępowaniu skargowym można ustanowić więcej niż jednego pełnomocnika. </w:t>
      </w:r>
    </w:p>
    <w:p w:rsidR="00E214AA" w:rsidRPr="00E214AA" w:rsidRDefault="00E214AA" w:rsidP="00E214AA">
      <w:pPr>
        <w:shd w:val="clear" w:color="auto" w:fill="D9D9D9"/>
        <w:spacing w:before="120" w:after="0" w:line="240" w:lineRule="auto"/>
        <w:jc w:val="both"/>
        <w:rPr>
          <w:rFonts w:cstheme="minorHAnsi"/>
          <w:i/>
        </w:rPr>
      </w:pPr>
      <w:r w:rsidRPr="00E214AA">
        <w:rPr>
          <w:rFonts w:cstheme="minorHAnsi"/>
          <w:i/>
        </w:rPr>
        <w:lastRenderedPageBreak/>
        <w:t xml:space="preserve">Dokument ma charakter przykładowy i dotyczy sytuacji w której mocodawca udziela pełnomocnictwa do wniesienia skargi i reprezentowania w postępowaniu skargowym. </w:t>
      </w:r>
    </w:p>
    <w:p w:rsidR="00565A87" w:rsidRPr="00E214AA" w:rsidRDefault="00565A87" w:rsidP="00E214AA">
      <w:pPr>
        <w:shd w:val="clear" w:color="auto" w:fill="D9D9D9"/>
        <w:spacing w:before="120" w:after="0" w:line="240" w:lineRule="auto"/>
        <w:jc w:val="both"/>
        <w:rPr>
          <w:rFonts w:cstheme="minorHAnsi"/>
          <w:i/>
        </w:rPr>
      </w:pPr>
      <w:r w:rsidRPr="00E214AA">
        <w:rPr>
          <w:rFonts w:cstheme="minorHAnsi"/>
          <w:i/>
        </w:rPr>
        <w:t xml:space="preserve">Dokument został opracowany według stanu prawnego na dzień </w:t>
      </w:r>
      <w:r w:rsidR="000E0A9B">
        <w:rPr>
          <w:rFonts w:cstheme="minorHAnsi"/>
          <w:i/>
        </w:rPr>
        <w:t xml:space="preserve">21 października </w:t>
      </w:r>
      <w:r w:rsidRPr="00E214AA">
        <w:rPr>
          <w:rFonts w:cstheme="minorHAnsi"/>
          <w:i/>
        </w:rPr>
        <w:t xml:space="preserve">2022 r. </w:t>
      </w:r>
    </w:p>
    <w:p w:rsidR="00E214AA" w:rsidRDefault="00E214AA" w:rsidP="00E214AA">
      <w:pPr>
        <w:spacing w:after="0" w:line="360" w:lineRule="auto"/>
        <w:jc w:val="right"/>
        <w:rPr>
          <w:rFonts w:ascii="Arial" w:eastAsia="Times New Roman" w:hAnsi="Arial" w:cs="Arial"/>
          <w:sz w:val="21"/>
          <w:szCs w:val="21"/>
          <w:lang w:eastAsia="pl-PL"/>
        </w:rPr>
      </w:pPr>
    </w:p>
    <w:p w:rsidR="00E214AA" w:rsidRDefault="00E214AA" w:rsidP="00E214AA">
      <w:pPr>
        <w:spacing w:after="0" w:line="360" w:lineRule="auto"/>
        <w:jc w:val="right"/>
        <w:rPr>
          <w:rFonts w:eastAsia="Times New Roman" w:cstheme="minorHAnsi"/>
          <w:lang w:eastAsia="pl-PL"/>
        </w:rPr>
      </w:pPr>
    </w:p>
    <w:p w:rsidR="00E214AA" w:rsidRDefault="00E214AA" w:rsidP="00E214AA">
      <w:pPr>
        <w:spacing w:after="0" w:line="360" w:lineRule="auto"/>
        <w:jc w:val="right"/>
        <w:rPr>
          <w:rFonts w:eastAsia="Times New Roman" w:cstheme="minorHAnsi"/>
          <w:lang w:eastAsia="pl-PL"/>
        </w:rPr>
      </w:pPr>
    </w:p>
    <w:p w:rsidR="00E214AA" w:rsidRPr="00E214AA" w:rsidRDefault="00E214AA" w:rsidP="00E214AA">
      <w:pPr>
        <w:spacing w:after="0" w:line="360" w:lineRule="auto"/>
        <w:jc w:val="right"/>
        <w:rPr>
          <w:rFonts w:eastAsia="Times New Roman" w:cstheme="minorHAnsi"/>
          <w:lang w:eastAsia="pl-PL"/>
        </w:rPr>
      </w:pPr>
      <w:r w:rsidRPr="00E214AA">
        <w:rPr>
          <w:rFonts w:eastAsia="Times New Roman" w:cstheme="minorHAnsi"/>
          <w:lang w:eastAsia="pl-PL"/>
        </w:rPr>
        <w:t>…………, dnia………………………… r.</w:t>
      </w:r>
      <w:r w:rsidRPr="00E214AA">
        <w:rPr>
          <w:rStyle w:val="Odwoanieprzypisudolnego"/>
          <w:rFonts w:eastAsia="Times New Roman" w:cstheme="minorHAnsi"/>
          <w:lang w:eastAsia="pl-PL"/>
        </w:rPr>
        <w:footnoteReference w:id="4"/>
      </w:r>
    </w:p>
    <w:p w:rsidR="00E214AA" w:rsidRPr="00E214AA" w:rsidRDefault="00E214AA" w:rsidP="00E214AA">
      <w:pPr>
        <w:spacing w:line="360" w:lineRule="auto"/>
        <w:rPr>
          <w:rFonts w:cstheme="minorHAnsi"/>
          <w:b/>
        </w:rPr>
      </w:pPr>
    </w:p>
    <w:p w:rsidR="00E214AA" w:rsidRPr="00E214AA" w:rsidRDefault="00E214AA" w:rsidP="00E214AA">
      <w:pPr>
        <w:spacing w:line="360" w:lineRule="auto"/>
        <w:jc w:val="center"/>
        <w:rPr>
          <w:rFonts w:cstheme="minorHAnsi"/>
          <w:b/>
        </w:rPr>
      </w:pPr>
      <w:r w:rsidRPr="00E214AA">
        <w:rPr>
          <w:rFonts w:cstheme="minorHAnsi"/>
          <w:b/>
        </w:rPr>
        <w:t>PEŁNOMOCNICTWO</w:t>
      </w:r>
    </w:p>
    <w:p w:rsidR="00E214AA" w:rsidRPr="00E214AA" w:rsidRDefault="00E214AA" w:rsidP="00E214AA">
      <w:pPr>
        <w:pStyle w:val="tytakt"/>
        <w:spacing w:line="360" w:lineRule="auto"/>
        <w:jc w:val="left"/>
        <w:rPr>
          <w:rFonts w:asciiTheme="minorHAnsi" w:hAnsiTheme="minorHAnsi" w:cstheme="minorHAnsi"/>
          <w:b w:val="0"/>
          <w:bCs w:val="0"/>
          <w:color w:val="auto"/>
          <w:sz w:val="22"/>
          <w:szCs w:val="22"/>
        </w:rPr>
      </w:pPr>
    </w:p>
    <w:p w:rsidR="00E214AA" w:rsidRPr="00E214AA" w:rsidRDefault="00E214AA" w:rsidP="00E214AA">
      <w:pPr>
        <w:spacing w:before="360" w:after="360" w:line="360" w:lineRule="auto"/>
        <w:ind w:firstLine="708"/>
        <w:jc w:val="both"/>
        <w:rPr>
          <w:rFonts w:cstheme="minorHAnsi"/>
        </w:rPr>
      </w:pPr>
      <w:r w:rsidRPr="00E214AA">
        <w:rPr>
          <w:rFonts w:cstheme="minorHAnsi"/>
        </w:rPr>
        <w:t xml:space="preserve">Na podstawie art. 86 w zw. z art. 91 ustawy z dnia 17 listopada 1964 r. Kodeks postępowania cywilnego </w:t>
      </w:r>
      <w:hyperlink r:id="rId8" w:history="1">
        <w:r w:rsidRPr="00E214AA">
          <w:rPr>
            <w:rStyle w:val="Hipercze"/>
            <w:rFonts w:cstheme="minorHAnsi"/>
            <w:color w:val="auto"/>
            <w:u w:val="none"/>
          </w:rPr>
          <w:t>(</w:t>
        </w:r>
        <w:r>
          <w:rPr>
            <w:rStyle w:val="Hipercze"/>
            <w:rFonts w:cstheme="minorHAnsi"/>
            <w:bCs/>
            <w:color w:val="auto"/>
            <w:u w:val="none"/>
          </w:rPr>
          <w:t>Dz. U. z 2021</w:t>
        </w:r>
        <w:r w:rsidRPr="00E214AA">
          <w:rPr>
            <w:rStyle w:val="Hipercze"/>
            <w:rFonts w:cstheme="minorHAnsi"/>
            <w:bCs/>
            <w:color w:val="auto"/>
            <w:u w:val="none"/>
          </w:rPr>
          <w:t xml:space="preserve"> r., poz. </w:t>
        </w:r>
        <w:r>
          <w:rPr>
            <w:rStyle w:val="Hipercze"/>
            <w:rFonts w:cstheme="minorHAnsi"/>
            <w:bCs/>
            <w:color w:val="auto"/>
            <w:u w:val="none"/>
          </w:rPr>
          <w:t>1805</w:t>
        </w:r>
        <w:r w:rsidRPr="00E214AA">
          <w:rPr>
            <w:rStyle w:val="Hipercze"/>
            <w:rFonts w:cstheme="minorHAnsi"/>
            <w:bCs/>
            <w:color w:val="auto"/>
            <w:u w:val="none"/>
          </w:rPr>
          <w:t xml:space="preserve"> </w:t>
        </w:r>
        <w:r w:rsidRPr="00E214AA">
          <w:rPr>
            <w:rStyle w:val="Hipercze"/>
            <w:rFonts w:cstheme="minorHAnsi"/>
            <w:color w:val="auto"/>
            <w:u w:val="none"/>
          </w:rPr>
          <w:t>ze zm.)</w:t>
        </w:r>
      </w:hyperlink>
      <w:r w:rsidRPr="00E214AA">
        <w:rPr>
          <w:rFonts w:cstheme="minorHAnsi"/>
        </w:rPr>
        <w:t xml:space="preserve"> niniejszym udzielam pełnomocnictwa procesowego ……………………….</w:t>
      </w:r>
      <w:r w:rsidRPr="00E214AA">
        <w:rPr>
          <w:rStyle w:val="Odwoanieprzypisudolnego"/>
          <w:rFonts w:cstheme="minorHAnsi"/>
        </w:rPr>
        <w:footnoteReference w:id="5"/>
      </w:r>
      <w:r w:rsidRPr="00E214AA">
        <w:rPr>
          <w:rFonts w:cstheme="minorHAnsi"/>
        </w:rPr>
        <w:t xml:space="preserve"> do wniesienia skargi na wyrok</w:t>
      </w:r>
      <w:r w:rsidR="000E0A9B" w:rsidRPr="000E0A9B">
        <w:rPr>
          <w:rFonts w:cstheme="minorHAnsi"/>
        </w:rPr>
        <w:t xml:space="preserve"> </w:t>
      </w:r>
      <w:r w:rsidR="000E0A9B" w:rsidRPr="00E214AA">
        <w:rPr>
          <w:rFonts w:cstheme="minorHAnsi"/>
        </w:rPr>
        <w:t>Krajowej Izby Odwoławczej</w:t>
      </w:r>
      <w:r w:rsidRPr="00E214AA">
        <w:rPr>
          <w:rFonts w:cstheme="minorHAnsi"/>
        </w:rPr>
        <w:t>/postanowienie Krajowej Izby Odwoławczej</w:t>
      </w:r>
      <w:r>
        <w:rPr>
          <w:rFonts w:cstheme="minorHAnsi"/>
        </w:rPr>
        <w:t>/postanowienie Prezesa Krajowej Izby Odwoławczej</w:t>
      </w:r>
      <w:r w:rsidRPr="00E214AA">
        <w:rPr>
          <w:rFonts w:cstheme="minorHAnsi"/>
        </w:rPr>
        <w:t xml:space="preserve"> </w:t>
      </w:r>
      <w:r w:rsidRPr="00E214AA">
        <w:rPr>
          <w:rStyle w:val="Odwoanieprzypisudolnego"/>
          <w:rFonts w:cstheme="minorHAnsi"/>
        </w:rPr>
        <w:footnoteReference w:id="6"/>
      </w:r>
      <w:r w:rsidRPr="00E214AA">
        <w:rPr>
          <w:rFonts w:cstheme="minorHAnsi"/>
        </w:rPr>
        <w:t xml:space="preserve"> z dnia ………………….. r. (sygn. akt: KIO       /    </w:t>
      </w:r>
      <w:r>
        <w:rPr>
          <w:rFonts w:cstheme="minorHAnsi"/>
        </w:rPr>
        <w:t xml:space="preserve">   </w:t>
      </w:r>
      <w:r w:rsidRPr="00E214AA">
        <w:rPr>
          <w:rFonts w:cstheme="minorHAnsi"/>
        </w:rPr>
        <w:t>)</w:t>
      </w:r>
      <w:r w:rsidRPr="00E214AA">
        <w:rPr>
          <w:rStyle w:val="Odwoanieprzypisudolnego"/>
          <w:rFonts w:cstheme="minorHAnsi"/>
        </w:rPr>
        <w:footnoteReference w:id="7"/>
      </w:r>
      <w:r w:rsidRPr="00E214AA">
        <w:rPr>
          <w:rFonts w:cstheme="minorHAnsi"/>
        </w:rPr>
        <w:t xml:space="preserve"> oraz do reprezentowania ………………</w:t>
      </w:r>
      <w:r w:rsidRPr="00E214AA">
        <w:rPr>
          <w:rStyle w:val="Odwoanieprzypisudolnego"/>
          <w:rFonts w:cstheme="minorHAnsi"/>
        </w:rPr>
        <w:footnoteReference w:id="8"/>
      </w:r>
      <w:r w:rsidRPr="00E214AA">
        <w:rPr>
          <w:rFonts w:cstheme="minorHAnsi"/>
        </w:rPr>
        <w:t xml:space="preserve"> w postępowaniu s</w:t>
      </w:r>
      <w:r>
        <w:rPr>
          <w:rFonts w:cstheme="minorHAnsi"/>
        </w:rPr>
        <w:t>kargowym</w:t>
      </w:r>
      <w:r w:rsidRPr="00E214AA">
        <w:rPr>
          <w:rFonts w:cstheme="minorHAnsi"/>
        </w:rPr>
        <w:t>.</w:t>
      </w:r>
    </w:p>
    <w:p w:rsidR="00E214AA" w:rsidRDefault="00E214AA" w:rsidP="00E214AA">
      <w:pPr>
        <w:spacing w:before="360" w:after="360" w:line="360" w:lineRule="auto"/>
        <w:ind w:firstLine="708"/>
        <w:jc w:val="both"/>
        <w:rPr>
          <w:rFonts w:cstheme="minorHAnsi"/>
        </w:rPr>
      </w:pPr>
    </w:p>
    <w:p w:rsidR="000E0A9B" w:rsidRPr="00E214AA" w:rsidRDefault="000E0A9B" w:rsidP="00E214AA">
      <w:pPr>
        <w:spacing w:before="360" w:after="360" w:line="360" w:lineRule="auto"/>
        <w:ind w:firstLine="708"/>
        <w:jc w:val="both"/>
        <w:rPr>
          <w:rFonts w:cstheme="minorHAnsi"/>
        </w:rPr>
      </w:pPr>
    </w:p>
    <w:p w:rsidR="000E0A9B" w:rsidRDefault="000E0A9B" w:rsidP="000E0A9B">
      <w:pPr>
        <w:spacing w:after="0" w:line="360" w:lineRule="auto"/>
        <w:ind w:left="4248" w:firstLine="708"/>
        <w:jc w:val="center"/>
        <w:rPr>
          <w:rFonts w:cstheme="minorHAnsi"/>
          <w:i/>
        </w:rPr>
      </w:pPr>
      <w:r>
        <w:rPr>
          <w:rFonts w:cstheme="minorHAnsi"/>
          <w:i/>
        </w:rPr>
        <w:t>……………………………………….</w:t>
      </w:r>
    </w:p>
    <w:p w:rsidR="00565A87" w:rsidRPr="000E0A9B" w:rsidRDefault="000E0A9B" w:rsidP="000E0A9B">
      <w:pPr>
        <w:spacing w:after="0" w:line="360" w:lineRule="auto"/>
        <w:ind w:left="4248" w:firstLine="708"/>
        <w:jc w:val="center"/>
        <w:rPr>
          <w:rFonts w:cstheme="minorHAnsi"/>
          <w:i/>
        </w:rPr>
      </w:pPr>
      <w:r w:rsidRPr="000E0A9B">
        <w:rPr>
          <w:rFonts w:cstheme="minorHAnsi"/>
          <w:i/>
        </w:rPr>
        <w:t>Podpis mocodawcy</w:t>
      </w:r>
    </w:p>
    <w:sectPr w:rsidR="00565A87" w:rsidRPr="000E0A9B" w:rsidSect="00773E31">
      <w:headerReference w:type="default" r:id="rId9"/>
      <w:footerReference w:type="default" r:id="rId10"/>
      <w:pgSz w:w="11906" w:h="16838"/>
      <w:pgMar w:top="2127" w:right="851"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369" w:rsidRDefault="00817369" w:rsidP="000309AE">
      <w:pPr>
        <w:spacing w:after="0" w:line="240" w:lineRule="auto"/>
      </w:pPr>
      <w:r>
        <w:separator/>
      </w:r>
    </w:p>
  </w:endnote>
  <w:endnote w:type="continuationSeparator" w:id="0">
    <w:p w:rsidR="00817369" w:rsidRDefault="00817369" w:rsidP="0003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708632"/>
      <w:docPartObj>
        <w:docPartGallery w:val="Page Numbers (Bottom of Page)"/>
        <w:docPartUnique/>
      </w:docPartObj>
    </w:sdtPr>
    <w:sdtEndPr/>
    <w:sdtContent>
      <w:p w:rsidR="006958F7" w:rsidRDefault="006958F7">
        <w:pPr>
          <w:pStyle w:val="Stopka"/>
          <w:jc w:val="right"/>
        </w:pPr>
        <w:r>
          <w:fldChar w:fldCharType="begin"/>
        </w:r>
        <w:r>
          <w:instrText>PAGE   \* MERGEFORMAT</w:instrText>
        </w:r>
        <w:r>
          <w:fldChar w:fldCharType="separate"/>
        </w:r>
        <w:r w:rsidR="00EA5EF2">
          <w:rPr>
            <w:noProof/>
          </w:rPr>
          <w:t>2</w:t>
        </w:r>
        <w:r>
          <w:fldChar w:fldCharType="end"/>
        </w:r>
      </w:p>
    </w:sdtContent>
  </w:sdt>
  <w:p w:rsidR="006958F7" w:rsidRDefault="006958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369" w:rsidRDefault="00817369" w:rsidP="000309AE">
      <w:pPr>
        <w:spacing w:after="0" w:line="240" w:lineRule="auto"/>
      </w:pPr>
      <w:r>
        <w:separator/>
      </w:r>
    </w:p>
  </w:footnote>
  <w:footnote w:type="continuationSeparator" w:id="0">
    <w:p w:rsidR="00817369" w:rsidRDefault="00817369" w:rsidP="000309AE">
      <w:pPr>
        <w:spacing w:after="0" w:line="240" w:lineRule="auto"/>
      </w:pPr>
      <w:r>
        <w:continuationSeparator/>
      </w:r>
    </w:p>
  </w:footnote>
  <w:footnote w:id="1">
    <w:p w:rsidR="00E214AA" w:rsidRPr="00EA5EF2" w:rsidRDefault="00E214AA" w:rsidP="00E214AA">
      <w:pPr>
        <w:pStyle w:val="Tekstprzypisudolnego"/>
        <w:jc w:val="both"/>
        <w:rPr>
          <w:rFonts w:cstheme="minorHAnsi"/>
          <w:sz w:val="18"/>
          <w:szCs w:val="18"/>
        </w:rPr>
      </w:pPr>
      <w:r w:rsidRPr="00EA5EF2">
        <w:rPr>
          <w:rStyle w:val="Odwoanieprzypisudolnego"/>
          <w:rFonts w:cstheme="minorHAnsi"/>
          <w:sz w:val="18"/>
          <w:szCs w:val="18"/>
        </w:rPr>
        <w:footnoteRef/>
      </w:r>
      <w:r w:rsidRPr="00EA5EF2">
        <w:rPr>
          <w:rFonts w:cstheme="minorHAnsi"/>
          <w:sz w:val="18"/>
          <w:szCs w:val="18"/>
        </w:rPr>
        <w:t xml:space="preserve"> Ustawa z dnia z dnia 17 listopada 1964 r. Kodeks postępowania cywilnego (Dz. U. z 2021 r., poz. 1805 ze zm.), zwana dalej „KPC”. </w:t>
      </w:r>
    </w:p>
  </w:footnote>
  <w:footnote w:id="2">
    <w:p w:rsidR="00E214AA" w:rsidRPr="00EA5EF2" w:rsidRDefault="00E214AA" w:rsidP="00E214AA">
      <w:pPr>
        <w:pStyle w:val="Tekstprzypisudolnego"/>
        <w:jc w:val="both"/>
        <w:rPr>
          <w:rFonts w:cstheme="minorHAnsi"/>
          <w:sz w:val="18"/>
          <w:szCs w:val="18"/>
        </w:rPr>
      </w:pPr>
      <w:r w:rsidRPr="00EA5EF2">
        <w:rPr>
          <w:rStyle w:val="Odwoanieprzypisudolnego"/>
          <w:rFonts w:cstheme="minorHAnsi"/>
          <w:sz w:val="18"/>
          <w:szCs w:val="18"/>
        </w:rPr>
        <w:footnoteRef/>
      </w:r>
      <w:r w:rsidRPr="00EA5EF2">
        <w:rPr>
          <w:rFonts w:cstheme="minorHAnsi"/>
          <w:sz w:val="18"/>
          <w:szCs w:val="18"/>
        </w:rPr>
        <w:t xml:space="preserve"> por. art. 87 § 1 i 2 KPC w zw. z art. 391 § 1 zd. 1 KPC w zw. z art. 579 ust. 2</w:t>
      </w:r>
      <w:r w:rsidR="00CC5465" w:rsidRPr="00EA5EF2">
        <w:rPr>
          <w:rFonts w:cstheme="minorHAnsi"/>
          <w:sz w:val="18"/>
          <w:szCs w:val="18"/>
        </w:rPr>
        <w:t xml:space="preserve"> ustawy</w:t>
      </w:r>
      <w:r w:rsidRPr="00EA5EF2">
        <w:rPr>
          <w:rFonts w:cstheme="minorHAnsi"/>
          <w:sz w:val="18"/>
          <w:szCs w:val="18"/>
        </w:rPr>
        <w:t xml:space="preserve"> z dnia 11 września 2019 r. Prawo zamów</w:t>
      </w:r>
      <w:r w:rsidR="000E0A9B" w:rsidRPr="00EA5EF2">
        <w:rPr>
          <w:rFonts w:cstheme="minorHAnsi"/>
          <w:sz w:val="18"/>
          <w:szCs w:val="18"/>
        </w:rPr>
        <w:t>ień publicznych (Dz. U. z 2022 r., poz. 1710</w:t>
      </w:r>
      <w:r w:rsidRPr="00EA5EF2">
        <w:rPr>
          <w:rFonts w:cstheme="minorHAnsi"/>
          <w:sz w:val="18"/>
          <w:szCs w:val="18"/>
        </w:rPr>
        <w:t xml:space="preserve"> ze zm.), </w:t>
      </w:r>
      <w:r w:rsidR="00CC5465" w:rsidRPr="00EA5EF2">
        <w:rPr>
          <w:rFonts w:cstheme="minorHAnsi"/>
          <w:sz w:val="18"/>
          <w:szCs w:val="18"/>
        </w:rPr>
        <w:t>zwanej</w:t>
      </w:r>
      <w:r w:rsidRPr="00EA5EF2">
        <w:rPr>
          <w:rFonts w:cstheme="minorHAnsi"/>
          <w:sz w:val="18"/>
          <w:szCs w:val="18"/>
        </w:rPr>
        <w:t xml:space="preserve"> dalej „ustawą Pzp”.</w:t>
      </w:r>
    </w:p>
  </w:footnote>
  <w:footnote w:id="3">
    <w:p w:rsidR="000E0A9B" w:rsidRPr="00EA5EF2" w:rsidRDefault="000E0A9B" w:rsidP="000E0A9B">
      <w:pPr>
        <w:pStyle w:val="Tekstprzypisudolnego"/>
        <w:jc w:val="both"/>
        <w:rPr>
          <w:rFonts w:cstheme="minorHAnsi"/>
          <w:sz w:val="18"/>
          <w:szCs w:val="18"/>
        </w:rPr>
      </w:pPr>
      <w:r w:rsidRPr="00EA5EF2">
        <w:rPr>
          <w:rStyle w:val="Odwoanieprzypisudolnego"/>
          <w:sz w:val="18"/>
          <w:szCs w:val="18"/>
        </w:rPr>
        <w:footnoteRef/>
      </w:r>
      <w:r w:rsidRPr="00EA5EF2">
        <w:rPr>
          <w:sz w:val="18"/>
          <w:szCs w:val="18"/>
        </w:rPr>
        <w:t xml:space="preserve"> por.</w:t>
      </w:r>
      <w:bookmarkStart w:id="0" w:name="_GoBack"/>
      <w:bookmarkEnd w:id="0"/>
      <w:r w:rsidRPr="00EA5EF2">
        <w:rPr>
          <w:sz w:val="18"/>
          <w:szCs w:val="18"/>
        </w:rPr>
        <w:t xml:space="preserve"> </w:t>
      </w:r>
      <w:r w:rsidRPr="00EA5EF2">
        <w:rPr>
          <w:rFonts w:cstheme="minorHAnsi"/>
          <w:sz w:val="18"/>
          <w:szCs w:val="18"/>
        </w:rPr>
        <w:t>art. 89 § 1 KPC w zw. z art. 391 § 1 zd. 1 KPC w zw. z art. 579 ust. 2 ustawy Pzp.</w:t>
      </w:r>
    </w:p>
    <w:p w:rsidR="000E0A9B" w:rsidRDefault="000E0A9B">
      <w:pPr>
        <w:pStyle w:val="Tekstprzypisudolnego"/>
      </w:pPr>
    </w:p>
  </w:footnote>
  <w:footnote w:id="4">
    <w:p w:rsidR="00E214AA" w:rsidRPr="00EA5EF2" w:rsidRDefault="00E214AA" w:rsidP="00E214AA">
      <w:pPr>
        <w:pStyle w:val="Tekstprzypisudolnego"/>
        <w:jc w:val="both"/>
        <w:rPr>
          <w:rFonts w:cstheme="minorHAnsi"/>
          <w:sz w:val="18"/>
          <w:szCs w:val="18"/>
        </w:rPr>
      </w:pPr>
      <w:r w:rsidRPr="00EA5EF2">
        <w:rPr>
          <w:rStyle w:val="Odwoanieprzypisudolnego"/>
          <w:rFonts w:cstheme="minorHAnsi"/>
          <w:sz w:val="18"/>
          <w:szCs w:val="18"/>
        </w:rPr>
        <w:footnoteRef/>
      </w:r>
      <w:r w:rsidRPr="00EA5EF2">
        <w:rPr>
          <w:rFonts w:cstheme="minorHAnsi"/>
          <w:sz w:val="18"/>
          <w:szCs w:val="18"/>
        </w:rPr>
        <w:t xml:space="preserve"> Oznaczyć miejsce i datę udzielenia pełnomocnictwa. </w:t>
      </w:r>
    </w:p>
  </w:footnote>
  <w:footnote w:id="5">
    <w:p w:rsidR="00E214AA" w:rsidRPr="00EA5EF2" w:rsidRDefault="00E214AA" w:rsidP="00E214AA">
      <w:pPr>
        <w:pStyle w:val="Tekstprzypisudolnego"/>
        <w:jc w:val="both"/>
        <w:rPr>
          <w:rFonts w:cstheme="minorHAnsi"/>
          <w:sz w:val="18"/>
          <w:szCs w:val="18"/>
        </w:rPr>
      </w:pPr>
      <w:r w:rsidRPr="00EA5EF2">
        <w:rPr>
          <w:rStyle w:val="Odwoanieprzypisudolnego"/>
          <w:rFonts w:cstheme="minorHAnsi"/>
          <w:sz w:val="18"/>
          <w:szCs w:val="18"/>
        </w:rPr>
        <w:footnoteRef/>
      </w:r>
      <w:r w:rsidRPr="00EA5EF2">
        <w:rPr>
          <w:rFonts w:cstheme="minorHAnsi"/>
          <w:sz w:val="18"/>
          <w:szCs w:val="18"/>
        </w:rPr>
        <w:t xml:space="preserve"> Wskazać dane identyfikujące pełnomocnika. </w:t>
      </w:r>
    </w:p>
  </w:footnote>
  <w:footnote w:id="6">
    <w:p w:rsidR="00E214AA" w:rsidRPr="00EA5EF2" w:rsidRDefault="00E214AA" w:rsidP="00E214AA">
      <w:pPr>
        <w:pStyle w:val="Tekstprzypisudolnego"/>
        <w:jc w:val="both"/>
        <w:rPr>
          <w:rFonts w:cstheme="minorHAnsi"/>
          <w:sz w:val="18"/>
          <w:szCs w:val="18"/>
        </w:rPr>
      </w:pPr>
      <w:r w:rsidRPr="00EA5EF2">
        <w:rPr>
          <w:rStyle w:val="Odwoanieprzypisudolnego"/>
          <w:rFonts w:cstheme="minorHAnsi"/>
          <w:sz w:val="18"/>
          <w:szCs w:val="18"/>
        </w:rPr>
        <w:footnoteRef/>
      </w:r>
      <w:r w:rsidRPr="00EA5EF2">
        <w:rPr>
          <w:rFonts w:cstheme="minorHAnsi"/>
          <w:sz w:val="18"/>
          <w:szCs w:val="18"/>
        </w:rPr>
        <w:t xml:space="preserve"> Wybrać odpowiednie.</w:t>
      </w:r>
    </w:p>
  </w:footnote>
  <w:footnote w:id="7">
    <w:p w:rsidR="00E214AA" w:rsidRPr="00EA5EF2" w:rsidRDefault="00E214AA" w:rsidP="00E214AA">
      <w:pPr>
        <w:pStyle w:val="Tekstprzypisudolnego"/>
        <w:jc w:val="both"/>
        <w:rPr>
          <w:rFonts w:cstheme="minorHAnsi"/>
          <w:sz w:val="18"/>
          <w:szCs w:val="18"/>
        </w:rPr>
      </w:pPr>
      <w:r w:rsidRPr="00EA5EF2">
        <w:rPr>
          <w:rStyle w:val="Odwoanieprzypisudolnego"/>
          <w:rFonts w:cstheme="minorHAnsi"/>
          <w:sz w:val="18"/>
          <w:szCs w:val="18"/>
        </w:rPr>
        <w:footnoteRef/>
      </w:r>
      <w:r w:rsidRPr="00EA5EF2">
        <w:rPr>
          <w:rFonts w:cstheme="minorHAnsi"/>
          <w:sz w:val="18"/>
          <w:szCs w:val="18"/>
        </w:rPr>
        <w:t xml:space="preserve"> Oznaczyć orzeczenie poprzez wskazanie daty wydania i sygnatury. </w:t>
      </w:r>
    </w:p>
  </w:footnote>
  <w:footnote w:id="8">
    <w:p w:rsidR="00E214AA" w:rsidRDefault="00E214AA" w:rsidP="00E214AA">
      <w:pPr>
        <w:pStyle w:val="Tekstprzypisudolnego"/>
        <w:jc w:val="both"/>
      </w:pPr>
      <w:r w:rsidRPr="00EA5EF2">
        <w:rPr>
          <w:rStyle w:val="Odwoanieprzypisudolnego"/>
          <w:rFonts w:cstheme="minorHAnsi"/>
          <w:sz w:val="18"/>
          <w:szCs w:val="18"/>
        </w:rPr>
        <w:footnoteRef/>
      </w:r>
      <w:r w:rsidRPr="00EA5EF2">
        <w:rPr>
          <w:rFonts w:cstheme="minorHAnsi"/>
          <w:sz w:val="18"/>
          <w:szCs w:val="18"/>
        </w:rPr>
        <w:t xml:space="preserve"> Wskazać mocodawcę.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AE" w:rsidRDefault="00904B3C" w:rsidP="000309AE">
    <w:pPr>
      <w:pStyle w:val="Nagwek"/>
      <w:tabs>
        <w:tab w:val="clear" w:pos="4536"/>
        <w:tab w:val="clear" w:pos="9072"/>
      </w:tabs>
    </w:pPr>
    <w:r>
      <w:rPr>
        <w:noProof/>
        <w:lang w:eastAsia="pl-PL"/>
      </w:rPr>
      <w:drawing>
        <wp:anchor distT="0" distB="0" distL="114300" distR="114300" simplePos="0" relativeHeight="251658240" behindDoc="0" locked="0" layoutInCell="1" allowOverlap="1">
          <wp:simplePos x="0" y="0"/>
          <wp:positionH relativeFrom="page">
            <wp:posOffset>361950</wp:posOffset>
          </wp:positionH>
          <wp:positionV relativeFrom="page">
            <wp:posOffset>105397</wp:posOffset>
          </wp:positionV>
          <wp:extent cx="6861600" cy="1204755"/>
          <wp:effectExtent l="0" t="0" r="0" b="0"/>
          <wp:wrapNone/>
          <wp:docPr id="18" name="Obraz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POWER\! LOGOTYPY PROJEKTU\Logotypy z nazwą.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61600" cy="1204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262"/>
    <w:multiLevelType w:val="hybridMultilevel"/>
    <w:tmpl w:val="8C5E9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F35A6"/>
    <w:multiLevelType w:val="hybridMultilevel"/>
    <w:tmpl w:val="E6841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82CED"/>
    <w:multiLevelType w:val="hybridMultilevel"/>
    <w:tmpl w:val="3EC8EEB8"/>
    <w:lvl w:ilvl="0" w:tplc="A504361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CF0530"/>
    <w:multiLevelType w:val="hybridMultilevel"/>
    <w:tmpl w:val="EE5CF874"/>
    <w:lvl w:ilvl="0" w:tplc="C05041F6">
      <w:start w:val="1"/>
      <w:numFmt w:val="decimal"/>
      <w:lvlText w:val="%1."/>
      <w:lvlJc w:val="left"/>
      <w:pPr>
        <w:ind w:left="1068" w:hanging="708"/>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7BC0BAA"/>
    <w:multiLevelType w:val="hybridMultilevel"/>
    <w:tmpl w:val="4F500FEA"/>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2F1F63C7"/>
    <w:multiLevelType w:val="hybridMultilevel"/>
    <w:tmpl w:val="FD426F6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6077039"/>
    <w:multiLevelType w:val="hybridMultilevel"/>
    <w:tmpl w:val="DFCAF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166A00"/>
    <w:multiLevelType w:val="hybridMultilevel"/>
    <w:tmpl w:val="74429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845641"/>
    <w:multiLevelType w:val="hybridMultilevel"/>
    <w:tmpl w:val="01F8C6B4"/>
    <w:lvl w:ilvl="0" w:tplc="A5E0EF2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C0B3888"/>
    <w:multiLevelType w:val="hybridMultilevel"/>
    <w:tmpl w:val="7E40F3BE"/>
    <w:lvl w:ilvl="0" w:tplc="26E0B176">
      <w:start w:val="1"/>
      <w:numFmt w:val="upperRoman"/>
      <w:lvlText w:val="%1."/>
      <w:lvlJc w:val="left"/>
      <w:pPr>
        <w:ind w:left="725" w:hanging="720"/>
      </w:pPr>
      <w:rPr>
        <w:strike w:val="0"/>
        <w:dstrike w:val="0"/>
        <w:u w:val="none"/>
        <w:effect w:val="none"/>
      </w:rPr>
    </w:lvl>
    <w:lvl w:ilvl="1" w:tplc="04150019">
      <w:start w:val="1"/>
      <w:numFmt w:val="lowerLetter"/>
      <w:lvlText w:val="%2."/>
      <w:lvlJc w:val="left"/>
      <w:pPr>
        <w:ind w:left="1085" w:hanging="360"/>
      </w:pPr>
    </w:lvl>
    <w:lvl w:ilvl="2" w:tplc="0415001B">
      <w:start w:val="1"/>
      <w:numFmt w:val="lowerRoman"/>
      <w:lvlText w:val="%3."/>
      <w:lvlJc w:val="right"/>
      <w:pPr>
        <w:ind w:left="1805" w:hanging="180"/>
      </w:pPr>
    </w:lvl>
    <w:lvl w:ilvl="3" w:tplc="0415000F">
      <w:start w:val="1"/>
      <w:numFmt w:val="decimal"/>
      <w:lvlText w:val="%4."/>
      <w:lvlJc w:val="left"/>
      <w:pPr>
        <w:ind w:left="2525" w:hanging="360"/>
      </w:pPr>
    </w:lvl>
    <w:lvl w:ilvl="4" w:tplc="04150019">
      <w:start w:val="1"/>
      <w:numFmt w:val="lowerLetter"/>
      <w:lvlText w:val="%5."/>
      <w:lvlJc w:val="left"/>
      <w:pPr>
        <w:ind w:left="3245" w:hanging="360"/>
      </w:pPr>
    </w:lvl>
    <w:lvl w:ilvl="5" w:tplc="0415001B">
      <w:start w:val="1"/>
      <w:numFmt w:val="lowerRoman"/>
      <w:lvlText w:val="%6."/>
      <w:lvlJc w:val="right"/>
      <w:pPr>
        <w:ind w:left="3965" w:hanging="180"/>
      </w:pPr>
    </w:lvl>
    <w:lvl w:ilvl="6" w:tplc="0415000F">
      <w:start w:val="1"/>
      <w:numFmt w:val="decimal"/>
      <w:lvlText w:val="%7."/>
      <w:lvlJc w:val="left"/>
      <w:pPr>
        <w:ind w:left="4685" w:hanging="360"/>
      </w:pPr>
    </w:lvl>
    <w:lvl w:ilvl="7" w:tplc="04150019">
      <w:start w:val="1"/>
      <w:numFmt w:val="lowerLetter"/>
      <w:lvlText w:val="%8."/>
      <w:lvlJc w:val="left"/>
      <w:pPr>
        <w:ind w:left="5405" w:hanging="360"/>
      </w:pPr>
    </w:lvl>
    <w:lvl w:ilvl="8" w:tplc="0415001B">
      <w:start w:val="1"/>
      <w:numFmt w:val="lowerRoman"/>
      <w:lvlText w:val="%9."/>
      <w:lvlJc w:val="right"/>
      <w:pPr>
        <w:ind w:left="6125" w:hanging="180"/>
      </w:pPr>
    </w:lvl>
  </w:abstractNum>
  <w:abstractNum w:abstractNumId="10" w15:restartNumberingAfterBreak="0">
    <w:nsid w:val="4FFB258B"/>
    <w:multiLevelType w:val="hybridMultilevel"/>
    <w:tmpl w:val="0018E8C8"/>
    <w:lvl w:ilvl="0" w:tplc="A9CEEC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EB045B"/>
    <w:multiLevelType w:val="hybridMultilevel"/>
    <w:tmpl w:val="1D14F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5020B8"/>
    <w:multiLevelType w:val="hybridMultilevel"/>
    <w:tmpl w:val="8E861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063831"/>
    <w:multiLevelType w:val="hybridMultilevel"/>
    <w:tmpl w:val="DD9C25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D292DA6"/>
    <w:multiLevelType w:val="hybridMultilevel"/>
    <w:tmpl w:val="970C4E34"/>
    <w:lvl w:ilvl="0" w:tplc="A6C0B1D0">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5DCF0669"/>
    <w:multiLevelType w:val="hybridMultilevel"/>
    <w:tmpl w:val="49B28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366CEE"/>
    <w:multiLevelType w:val="hybridMultilevel"/>
    <w:tmpl w:val="08AAA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163EB7"/>
    <w:multiLevelType w:val="hybridMultilevel"/>
    <w:tmpl w:val="58D8A8E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B584D07"/>
    <w:multiLevelType w:val="hybridMultilevel"/>
    <w:tmpl w:val="AB2EB5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F45705C"/>
    <w:multiLevelType w:val="hybridMultilevel"/>
    <w:tmpl w:val="76E80F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FCF2F1A"/>
    <w:multiLevelType w:val="hybridMultilevel"/>
    <w:tmpl w:val="25FC91B6"/>
    <w:lvl w:ilvl="0" w:tplc="029214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00059E"/>
    <w:multiLevelType w:val="hybridMultilevel"/>
    <w:tmpl w:val="E0247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76369D"/>
    <w:multiLevelType w:val="hybridMultilevel"/>
    <w:tmpl w:val="4B2098D6"/>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20"/>
  </w:num>
  <w:num w:numId="2">
    <w:abstractNumId w:val="10"/>
  </w:num>
  <w:num w:numId="3">
    <w:abstractNumId w:val="2"/>
  </w:num>
  <w:num w:numId="4">
    <w:abstractNumId w:val="8"/>
  </w:num>
  <w:num w:numId="5">
    <w:abstractNumId w:val="21"/>
  </w:num>
  <w:num w:numId="6">
    <w:abstractNumId w:val="1"/>
  </w:num>
  <w:num w:numId="7">
    <w:abstractNumId w:val="12"/>
  </w:num>
  <w:num w:numId="8">
    <w:abstractNumId w:val="15"/>
  </w:num>
  <w:num w:numId="9">
    <w:abstractNumId w:val="7"/>
  </w:num>
  <w:num w:numId="10">
    <w:abstractNumId w:val="19"/>
  </w:num>
  <w:num w:numId="11">
    <w:abstractNumId w:val="6"/>
  </w:num>
  <w:num w:numId="12">
    <w:abstractNumId w:val="13"/>
  </w:num>
  <w:num w:numId="13">
    <w:abstractNumId w:val="16"/>
  </w:num>
  <w:num w:numId="14">
    <w:abstractNumId w:val="0"/>
  </w:num>
  <w:num w:numId="15">
    <w:abstractNumId w:val="22"/>
  </w:num>
  <w:num w:numId="16">
    <w:abstractNumId w:val="4"/>
  </w:num>
  <w:num w:numId="17">
    <w:abstractNumId w:val="5"/>
  </w:num>
  <w:num w:numId="18">
    <w:abstractNumId w:val="17"/>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AE"/>
    <w:rsid w:val="000304DF"/>
    <w:rsid w:val="000309AE"/>
    <w:rsid w:val="0003107D"/>
    <w:rsid w:val="000328CF"/>
    <w:rsid w:val="000A3988"/>
    <w:rsid w:val="000C32F9"/>
    <w:rsid w:val="000C4B50"/>
    <w:rsid w:val="000C7A85"/>
    <w:rsid w:val="000E0A9B"/>
    <w:rsid w:val="000F53D9"/>
    <w:rsid w:val="000F64F5"/>
    <w:rsid w:val="000F7B58"/>
    <w:rsid w:val="00121617"/>
    <w:rsid w:val="00122125"/>
    <w:rsid w:val="00153E5C"/>
    <w:rsid w:val="00182BDD"/>
    <w:rsid w:val="001F12B5"/>
    <w:rsid w:val="00214587"/>
    <w:rsid w:val="0023302D"/>
    <w:rsid w:val="0024315A"/>
    <w:rsid w:val="002B0F49"/>
    <w:rsid w:val="002B65AC"/>
    <w:rsid w:val="002E4C2F"/>
    <w:rsid w:val="002F00CE"/>
    <w:rsid w:val="002F312A"/>
    <w:rsid w:val="00331236"/>
    <w:rsid w:val="0033248A"/>
    <w:rsid w:val="00343E65"/>
    <w:rsid w:val="00351F45"/>
    <w:rsid w:val="00367798"/>
    <w:rsid w:val="00385D1E"/>
    <w:rsid w:val="00391794"/>
    <w:rsid w:val="003B0550"/>
    <w:rsid w:val="003D3650"/>
    <w:rsid w:val="003F4092"/>
    <w:rsid w:val="004068A4"/>
    <w:rsid w:val="004112BB"/>
    <w:rsid w:val="0041159F"/>
    <w:rsid w:val="00416BE9"/>
    <w:rsid w:val="00426F7A"/>
    <w:rsid w:val="00453166"/>
    <w:rsid w:val="00485A2C"/>
    <w:rsid w:val="004B22CB"/>
    <w:rsid w:val="00502D92"/>
    <w:rsid w:val="0050393C"/>
    <w:rsid w:val="00506BCA"/>
    <w:rsid w:val="0050724F"/>
    <w:rsid w:val="00521159"/>
    <w:rsid w:val="005221D7"/>
    <w:rsid w:val="0053336D"/>
    <w:rsid w:val="00537699"/>
    <w:rsid w:val="00551E41"/>
    <w:rsid w:val="00562E34"/>
    <w:rsid w:val="00565A87"/>
    <w:rsid w:val="00571465"/>
    <w:rsid w:val="00571FB5"/>
    <w:rsid w:val="00581061"/>
    <w:rsid w:val="00597BEC"/>
    <w:rsid w:val="005B31D7"/>
    <w:rsid w:val="005D4768"/>
    <w:rsid w:val="00610F4E"/>
    <w:rsid w:val="006210A6"/>
    <w:rsid w:val="00622043"/>
    <w:rsid w:val="00681FB0"/>
    <w:rsid w:val="00694FCE"/>
    <w:rsid w:val="006958F7"/>
    <w:rsid w:val="006C2F8C"/>
    <w:rsid w:val="006D5C20"/>
    <w:rsid w:val="00753EDC"/>
    <w:rsid w:val="00771ACE"/>
    <w:rsid w:val="0077218E"/>
    <w:rsid w:val="00773E31"/>
    <w:rsid w:val="007A0EFE"/>
    <w:rsid w:val="007C1D46"/>
    <w:rsid w:val="007D1995"/>
    <w:rsid w:val="007E0739"/>
    <w:rsid w:val="007F055C"/>
    <w:rsid w:val="007F4FA0"/>
    <w:rsid w:val="00814440"/>
    <w:rsid w:val="008152B4"/>
    <w:rsid w:val="00817369"/>
    <w:rsid w:val="00844994"/>
    <w:rsid w:val="008500A0"/>
    <w:rsid w:val="00856A12"/>
    <w:rsid w:val="008658CC"/>
    <w:rsid w:val="00882DB9"/>
    <w:rsid w:val="00883F84"/>
    <w:rsid w:val="00896080"/>
    <w:rsid w:val="008968D4"/>
    <w:rsid w:val="008B6E27"/>
    <w:rsid w:val="008C6F93"/>
    <w:rsid w:val="00904B3C"/>
    <w:rsid w:val="00914960"/>
    <w:rsid w:val="00917C49"/>
    <w:rsid w:val="00923CD9"/>
    <w:rsid w:val="00925728"/>
    <w:rsid w:val="0093672A"/>
    <w:rsid w:val="009401D5"/>
    <w:rsid w:val="00987C4E"/>
    <w:rsid w:val="0099672A"/>
    <w:rsid w:val="009D68AF"/>
    <w:rsid w:val="009E6F55"/>
    <w:rsid w:val="009F451D"/>
    <w:rsid w:val="00A0315F"/>
    <w:rsid w:val="00A6159B"/>
    <w:rsid w:val="00A7591B"/>
    <w:rsid w:val="00A8567F"/>
    <w:rsid w:val="00A91F6A"/>
    <w:rsid w:val="00AB0EBE"/>
    <w:rsid w:val="00AD0E2C"/>
    <w:rsid w:val="00AE5173"/>
    <w:rsid w:val="00AF7B04"/>
    <w:rsid w:val="00B648A5"/>
    <w:rsid w:val="00B80DCC"/>
    <w:rsid w:val="00B949D8"/>
    <w:rsid w:val="00BB4CC5"/>
    <w:rsid w:val="00BC7B1E"/>
    <w:rsid w:val="00BD14E5"/>
    <w:rsid w:val="00BE0B1F"/>
    <w:rsid w:val="00C10C0A"/>
    <w:rsid w:val="00C12059"/>
    <w:rsid w:val="00C31ED3"/>
    <w:rsid w:val="00C7115B"/>
    <w:rsid w:val="00C7540A"/>
    <w:rsid w:val="00CA517C"/>
    <w:rsid w:val="00CB1995"/>
    <w:rsid w:val="00CC5465"/>
    <w:rsid w:val="00CC6258"/>
    <w:rsid w:val="00CF0E1C"/>
    <w:rsid w:val="00D0087B"/>
    <w:rsid w:val="00D2476F"/>
    <w:rsid w:val="00D31DAC"/>
    <w:rsid w:val="00D344A4"/>
    <w:rsid w:val="00D344ED"/>
    <w:rsid w:val="00D401F8"/>
    <w:rsid w:val="00D4429E"/>
    <w:rsid w:val="00D67E2E"/>
    <w:rsid w:val="00E112F9"/>
    <w:rsid w:val="00E20D59"/>
    <w:rsid w:val="00E214AA"/>
    <w:rsid w:val="00EA2F10"/>
    <w:rsid w:val="00EA33CF"/>
    <w:rsid w:val="00EA5EF2"/>
    <w:rsid w:val="00EB0E77"/>
    <w:rsid w:val="00F02649"/>
    <w:rsid w:val="00F02BB6"/>
    <w:rsid w:val="00F274D3"/>
    <w:rsid w:val="00F30FDC"/>
    <w:rsid w:val="00F4520E"/>
    <w:rsid w:val="00F52829"/>
    <w:rsid w:val="00F52918"/>
    <w:rsid w:val="00F54D14"/>
    <w:rsid w:val="00F82A04"/>
    <w:rsid w:val="00F9192D"/>
    <w:rsid w:val="00F92858"/>
    <w:rsid w:val="00FD45BF"/>
    <w:rsid w:val="00FD6D71"/>
    <w:rsid w:val="00FE32F4"/>
    <w:rsid w:val="00FE6B0F"/>
    <w:rsid w:val="00FF7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B8DD55-F502-40E3-B09E-2117251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1D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0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09AE"/>
  </w:style>
  <w:style w:type="paragraph" w:styleId="Stopka">
    <w:name w:val="footer"/>
    <w:basedOn w:val="Normalny"/>
    <w:link w:val="StopkaZnak"/>
    <w:uiPriority w:val="99"/>
    <w:unhideWhenUsed/>
    <w:rsid w:val="000309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9AE"/>
  </w:style>
  <w:style w:type="paragraph" w:styleId="Tekstdymka">
    <w:name w:val="Balloon Text"/>
    <w:basedOn w:val="Normalny"/>
    <w:link w:val="TekstdymkaZnak"/>
    <w:uiPriority w:val="99"/>
    <w:semiHidden/>
    <w:unhideWhenUsed/>
    <w:rsid w:val="00F82A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A04"/>
    <w:rPr>
      <w:rFonts w:ascii="Segoe UI" w:hAnsi="Segoe UI" w:cs="Segoe UI"/>
      <w:sz w:val="18"/>
      <w:szCs w:val="18"/>
    </w:rPr>
  </w:style>
  <w:style w:type="paragraph" w:styleId="Akapitzlist">
    <w:name w:val="List Paragraph"/>
    <w:basedOn w:val="Normalny"/>
    <w:uiPriority w:val="34"/>
    <w:qFormat/>
    <w:rsid w:val="00D2476F"/>
    <w:pPr>
      <w:ind w:left="720"/>
      <w:contextualSpacing/>
    </w:pPr>
  </w:style>
  <w:style w:type="paragraph" w:styleId="Tekstprzypisukocowego">
    <w:name w:val="endnote text"/>
    <w:basedOn w:val="Normalny"/>
    <w:link w:val="TekstprzypisukocowegoZnak"/>
    <w:uiPriority w:val="99"/>
    <w:semiHidden/>
    <w:unhideWhenUsed/>
    <w:rsid w:val="008152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52B4"/>
    <w:rPr>
      <w:sz w:val="20"/>
      <w:szCs w:val="20"/>
    </w:rPr>
  </w:style>
  <w:style w:type="character" w:styleId="Odwoanieprzypisukocowego">
    <w:name w:val="endnote reference"/>
    <w:basedOn w:val="Domylnaczcionkaakapitu"/>
    <w:uiPriority w:val="99"/>
    <w:semiHidden/>
    <w:unhideWhenUsed/>
    <w:rsid w:val="008152B4"/>
    <w:rPr>
      <w:vertAlign w:val="superscript"/>
    </w:rPr>
  </w:style>
  <w:style w:type="paragraph" w:styleId="Tekstprzypisudolnego">
    <w:name w:val="footnote text"/>
    <w:basedOn w:val="Normalny"/>
    <w:link w:val="TekstprzypisudolnegoZnak"/>
    <w:uiPriority w:val="99"/>
    <w:semiHidden/>
    <w:unhideWhenUsed/>
    <w:rsid w:val="00D31D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31DAC"/>
    <w:rPr>
      <w:sz w:val="20"/>
      <w:szCs w:val="20"/>
    </w:rPr>
  </w:style>
  <w:style w:type="character" w:styleId="Odwoanieprzypisudolnego">
    <w:name w:val="footnote reference"/>
    <w:aliases w:val="Footnote Reference Number,Footnote reference number,Footnote symbol,note TESI,SUPERS,EN Footnote Reference,Footnote number"/>
    <w:basedOn w:val="Domylnaczcionkaakapitu"/>
    <w:uiPriority w:val="99"/>
    <w:unhideWhenUsed/>
    <w:rsid w:val="00D31DAC"/>
    <w:rPr>
      <w:vertAlign w:val="superscript"/>
    </w:rPr>
  </w:style>
  <w:style w:type="character" w:styleId="Hipercze">
    <w:name w:val="Hyperlink"/>
    <w:uiPriority w:val="99"/>
    <w:unhideWhenUsed/>
    <w:rsid w:val="00E214AA"/>
    <w:rPr>
      <w:color w:val="0563C1"/>
      <w:u w:val="single"/>
    </w:rPr>
  </w:style>
  <w:style w:type="paragraph" w:customStyle="1" w:styleId="tytakt">
    <w:name w:val="tytakt"/>
    <w:basedOn w:val="Normalny"/>
    <w:rsid w:val="00E214AA"/>
    <w:pPr>
      <w:spacing w:before="150" w:after="150" w:line="240" w:lineRule="auto"/>
      <w:jc w:val="center"/>
    </w:pPr>
    <w:rPr>
      <w:rFonts w:ascii="Times New Roman" w:eastAsia="Times New Roman" w:hAnsi="Times New Roman" w:cs="Times New Roman"/>
      <w:b/>
      <w:bCs/>
      <w:color w:val="150A59"/>
      <w:sz w:val="29"/>
      <w:szCs w:val="2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06864">
      <w:bodyDiv w:val="1"/>
      <w:marLeft w:val="0"/>
      <w:marRight w:val="0"/>
      <w:marTop w:val="0"/>
      <w:marBottom w:val="0"/>
      <w:divBdr>
        <w:top w:val="none" w:sz="0" w:space="0" w:color="auto"/>
        <w:left w:val="none" w:sz="0" w:space="0" w:color="auto"/>
        <w:bottom w:val="none" w:sz="0" w:space="0" w:color="auto"/>
        <w:right w:val="none" w:sz="0" w:space="0" w:color="auto"/>
      </w:divBdr>
      <w:divsChild>
        <w:div w:id="2070422593">
          <w:marLeft w:val="0"/>
          <w:marRight w:val="0"/>
          <w:marTop w:val="105"/>
          <w:marBottom w:val="0"/>
          <w:divBdr>
            <w:top w:val="none" w:sz="0" w:space="0" w:color="auto"/>
            <w:left w:val="none" w:sz="0" w:space="0" w:color="auto"/>
            <w:bottom w:val="none" w:sz="0" w:space="0" w:color="auto"/>
            <w:right w:val="none" w:sz="0" w:space="0" w:color="auto"/>
          </w:divBdr>
        </w:div>
        <w:div w:id="1901747721">
          <w:marLeft w:val="0"/>
          <w:marRight w:val="0"/>
          <w:marTop w:val="105"/>
          <w:marBottom w:val="0"/>
          <w:divBdr>
            <w:top w:val="none" w:sz="0" w:space="0" w:color="auto"/>
            <w:left w:val="none" w:sz="0" w:space="0" w:color="auto"/>
            <w:bottom w:val="none" w:sz="0" w:space="0" w:color="auto"/>
            <w:right w:val="none" w:sz="0" w:space="0" w:color="auto"/>
          </w:divBdr>
        </w:div>
      </w:divsChild>
    </w:div>
    <w:div w:id="672992825">
      <w:bodyDiv w:val="1"/>
      <w:marLeft w:val="0"/>
      <w:marRight w:val="0"/>
      <w:marTop w:val="0"/>
      <w:marBottom w:val="0"/>
      <w:divBdr>
        <w:top w:val="none" w:sz="0" w:space="0" w:color="auto"/>
        <w:left w:val="none" w:sz="0" w:space="0" w:color="auto"/>
        <w:bottom w:val="none" w:sz="0" w:space="0" w:color="auto"/>
        <w:right w:val="none" w:sz="0" w:space="0" w:color="auto"/>
      </w:divBdr>
    </w:div>
    <w:div w:id="1654065936">
      <w:bodyDiv w:val="1"/>
      <w:marLeft w:val="0"/>
      <w:marRight w:val="0"/>
      <w:marTop w:val="0"/>
      <w:marBottom w:val="0"/>
      <w:divBdr>
        <w:top w:val="none" w:sz="0" w:space="0" w:color="auto"/>
        <w:left w:val="none" w:sz="0" w:space="0" w:color="auto"/>
        <w:bottom w:val="none" w:sz="0" w:space="0" w:color="auto"/>
        <w:right w:val="none" w:sz="0" w:space="0" w:color="auto"/>
      </w:divBdr>
      <w:divsChild>
        <w:div w:id="1487747524">
          <w:marLeft w:val="0"/>
          <w:marRight w:val="0"/>
          <w:marTop w:val="0"/>
          <w:marBottom w:val="0"/>
          <w:divBdr>
            <w:top w:val="none" w:sz="0" w:space="0" w:color="auto"/>
            <w:left w:val="none" w:sz="0" w:space="0" w:color="auto"/>
            <w:bottom w:val="none" w:sz="0" w:space="0" w:color="auto"/>
            <w:right w:val="none" w:sz="0" w:space="0" w:color="auto"/>
          </w:divBdr>
        </w:div>
        <w:div w:id="656958596">
          <w:marLeft w:val="0"/>
          <w:marRight w:val="0"/>
          <w:marTop w:val="0"/>
          <w:marBottom w:val="0"/>
          <w:divBdr>
            <w:top w:val="none" w:sz="0" w:space="0" w:color="auto"/>
            <w:left w:val="none" w:sz="0" w:space="0" w:color="auto"/>
            <w:bottom w:val="none" w:sz="0" w:space="0" w:color="auto"/>
            <w:right w:val="none" w:sz="0" w:space="0" w:color="auto"/>
          </w:divBdr>
        </w:div>
        <w:div w:id="1269894463">
          <w:marLeft w:val="0"/>
          <w:marRight w:val="0"/>
          <w:marTop w:val="0"/>
          <w:marBottom w:val="0"/>
          <w:divBdr>
            <w:top w:val="none" w:sz="0" w:space="0" w:color="auto"/>
            <w:left w:val="none" w:sz="0" w:space="0" w:color="auto"/>
            <w:bottom w:val="none" w:sz="0" w:space="0" w:color="auto"/>
            <w:right w:val="none" w:sz="0" w:space="0" w:color="auto"/>
          </w:divBdr>
        </w:div>
        <w:div w:id="1057975796">
          <w:marLeft w:val="0"/>
          <w:marRight w:val="0"/>
          <w:marTop w:val="0"/>
          <w:marBottom w:val="0"/>
          <w:divBdr>
            <w:top w:val="none" w:sz="0" w:space="0" w:color="auto"/>
            <w:left w:val="none" w:sz="0" w:space="0" w:color="auto"/>
            <w:bottom w:val="none" w:sz="0" w:space="0" w:color="auto"/>
            <w:right w:val="none" w:sz="0" w:space="0" w:color="auto"/>
          </w:divBdr>
        </w:div>
        <w:div w:id="1107896151">
          <w:marLeft w:val="0"/>
          <w:marRight w:val="0"/>
          <w:marTop w:val="0"/>
          <w:marBottom w:val="0"/>
          <w:divBdr>
            <w:top w:val="none" w:sz="0" w:space="0" w:color="auto"/>
            <w:left w:val="none" w:sz="0" w:space="0" w:color="auto"/>
            <w:bottom w:val="none" w:sz="0" w:space="0" w:color="auto"/>
            <w:right w:val="none" w:sz="0" w:space="0" w:color="auto"/>
          </w:divBdr>
        </w:div>
        <w:div w:id="918056370">
          <w:marLeft w:val="0"/>
          <w:marRight w:val="0"/>
          <w:marTop w:val="0"/>
          <w:marBottom w:val="0"/>
          <w:divBdr>
            <w:top w:val="none" w:sz="0" w:space="0" w:color="auto"/>
            <w:left w:val="none" w:sz="0" w:space="0" w:color="auto"/>
            <w:bottom w:val="none" w:sz="0" w:space="0" w:color="auto"/>
            <w:right w:val="none" w:sz="0" w:space="0" w:color="auto"/>
          </w:divBdr>
        </w:div>
        <w:div w:id="1604067403">
          <w:marLeft w:val="0"/>
          <w:marRight w:val="0"/>
          <w:marTop w:val="0"/>
          <w:marBottom w:val="0"/>
          <w:divBdr>
            <w:top w:val="none" w:sz="0" w:space="0" w:color="auto"/>
            <w:left w:val="none" w:sz="0" w:space="0" w:color="auto"/>
            <w:bottom w:val="none" w:sz="0" w:space="0" w:color="auto"/>
            <w:right w:val="none" w:sz="0" w:space="0" w:color="auto"/>
          </w:divBdr>
        </w:div>
      </w:divsChild>
    </w:div>
    <w:div w:id="17728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uzp.gov.pl.int/akt.do?link=AKT%5b%5dLOCK.239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C667C-22A2-47CF-80DE-C28E43CF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621</Words>
  <Characters>3728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Łącki Sylwester</dc:creator>
  <cp:keywords/>
  <dc:description/>
  <cp:lastModifiedBy>Starzyk Olga</cp:lastModifiedBy>
  <cp:revision>6</cp:revision>
  <cp:lastPrinted>2022-10-24T08:19:00Z</cp:lastPrinted>
  <dcterms:created xsi:type="dcterms:W3CDTF">2022-02-28T15:50:00Z</dcterms:created>
  <dcterms:modified xsi:type="dcterms:W3CDTF">2022-10-24T09:06:00Z</dcterms:modified>
</cp:coreProperties>
</file>