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878E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79A30742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7E5A636A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6CA4D4C3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20 stycznia 2025</w:t>
      </w:r>
      <w:bookmarkEnd w:id="0"/>
      <w:r w:rsidRPr="00E53A80">
        <w:rPr>
          <w:rFonts w:cs="Arial"/>
          <w:szCs w:val="24"/>
        </w:rPr>
        <w:t xml:space="preserve"> r.</w:t>
      </w:r>
    </w:p>
    <w:p w14:paraId="0A833567" w14:textId="77777777" w:rsidR="00000000" w:rsidRPr="00422E40" w:rsidRDefault="00000000" w:rsidP="00575A6B">
      <w:pPr>
        <w:pStyle w:val="Nagwek2"/>
      </w:pPr>
      <w:r w:rsidRPr="00422E40">
        <w:t>zmieniające zarządzenie w sprawie</w:t>
      </w:r>
      <w:r>
        <w:t xml:space="preserve"> ustalenia regulaminu organizacyjnego Zespołu ds. Ochrony Informacji Niejawnych</w:t>
      </w:r>
    </w:p>
    <w:p w14:paraId="66A46DEF" w14:textId="77777777" w:rsidR="00000000" w:rsidRPr="00E53A80" w:rsidRDefault="00000000" w:rsidP="00E53A80">
      <w:pPr>
        <w:spacing w:after="360"/>
      </w:pPr>
      <w:r w:rsidRPr="00E53A80">
        <w:t xml:space="preserve">Na podstawie </w:t>
      </w:r>
      <w:r w:rsidRPr="00575A6B">
        <w:t>art. 25 ust. 4 pkt 1 lit. d ustawy z dnia 21 listopada 2008</w:t>
      </w:r>
      <w:r>
        <w:t> </w:t>
      </w:r>
      <w:r w:rsidRPr="00575A6B">
        <w:t>r. o</w:t>
      </w:r>
      <w:r>
        <w:t> </w:t>
      </w:r>
      <w:r w:rsidRPr="00575A6B">
        <w:t>służbie cywilnej (Dz. U. z 2024</w:t>
      </w:r>
      <w:r>
        <w:t> </w:t>
      </w:r>
      <w:r w:rsidRPr="00575A6B">
        <w:t>r. poz.</w:t>
      </w:r>
      <w:r>
        <w:t xml:space="preserve"> </w:t>
      </w:r>
      <w:r w:rsidRPr="00575A6B">
        <w:t>409) oraz § 12 ust. 3</w:t>
      </w:r>
      <w:r>
        <w:t xml:space="preserve"> i 5</w:t>
      </w:r>
      <w:r w:rsidRPr="00575A6B">
        <w:t xml:space="preserve"> regulaminu Pomorskiego Urzędu Wojewódzkiego w Gdańsku, stanowiącego załącznik do zarządzenia Wojewody Pomorskiego z dnia 30 września 2021</w:t>
      </w:r>
      <w:r>
        <w:t> </w:t>
      </w:r>
      <w:r w:rsidRPr="00575A6B">
        <w:t>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575A6B">
        <w:t xml:space="preserve"> </w:t>
      </w:r>
      <w:r w:rsidRPr="00E53A80">
        <w:t>zarządza się, co następuje:</w:t>
      </w:r>
    </w:p>
    <w:p w14:paraId="4D1A4888" w14:textId="77777777" w:rsidR="00000000" w:rsidRPr="00E53A80" w:rsidRDefault="00000000" w:rsidP="00F2167F">
      <w:bookmarkStart w:id="1" w:name="_Hlk71116339"/>
      <w:r w:rsidRPr="00340D39">
        <w:rPr>
          <w:b/>
          <w:bCs/>
        </w:rPr>
        <w:t>§ 1.</w:t>
      </w:r>
      <w:r w:rsidRPr="00575A6B">
        <w:t xml:space="preserve"> W regulaminie organizacyjnym</w:t>
      </w:r>
      <w:r>
        <w:t xml:space="preserve"> </w:t>
      </w:r>
      <w:r w:rsidRPr="00575A6B">
        <w:t>Zespołu ds. Ochrony Informacji Niejawnych</w:t>
      </w:r>
      <w:r>
        <w:t xml:space="preserve">, stanowiącym załącznik do Zarządzenia Dyrektora Generalnego z dnia 31 sierpnia 2018 r. w sprawie ustalenia regulaminu organizacyjnego </w:t>
      </w:r>
      <w:r w:rsidRPr="00575A6B">
        <w:t>Zespołu ds. Ochrony Informacji Niejawnych</w:t>
      </w:r>
      <w:r>
        <w:t xml:space="preserve"> wprowadza się następujące zmiany:</w:t>
      </w:r>
    </w:p>
    <w:bookmarkEnd w:id="1"/>
    <w:p w14:paraId="045D7A07" w14:textId="77777777" w:rsidR="00000000" w:rsidRDefault="00000000" w:rsidP="000E57D9">
      <w:pPr>
        <w:pStyle w:val="Akapitzlist"/>
        <w:numPr>
          <w:ilvl w:val="0"/>
          <w:numId w:val="1"/>
        </w:numPr>
        <w:ind w:left="397" w:hanging="397"/>
        <w:rPr>
          <w:rFonts w:cs="Arial"/>
          <w:color w:val="000000" w:themeColor="text1"/>
        </w:rPr>
      </w:pPr>
      <w:r w:rsidRPr="00514D74">
        <w:rPr>
          <w:rFonts w:cs="Arial"/>
          <w:color w:val="000000" w:themeColor="text1"/>
        </w:rPr>
        <w:t>§</w:t>
      </w:r>
      <w:r>
        <w:rPr>
          <w:rFonts w:cs="Arial"/>
          <w:color w:val="000000" w:themeColor="text1"/>
        </w:rPr>
        <w:t xml:space="preserve"> 3 otrzymuje brzmienie: </w:t>
      </w:r>
    </w:p>
    <w:p w14:paraId="111F123F" w14:textId="77777777" w:rsidR="00000000" w:rsidRDefault="00000000" w:rsidP="007D557F">
      <w:pPr>
        <w:pStyle w:val="Akapitzlist"/>
        <w:ind w:left="397" w:firstLine="596"/>
        <w:rPr>
          <w:rFonts w:cs="Arial"/>
        </w:rPr>
      </w:pPr>
      <w:r>
        <w:rPr>
          <w:rFonts w:cs="Arial"/>
        </w:rPr>
        <w:t>„</w:t>
      </w:r>
      <w:r>
        <w:rPr>
          <w:rFonts w:cs="Arial"/>
        </w:rPr>
        <w:t>§ 3. 1.</w:t>
      </w:r>
      <w:r>
        <w:rPr>
          <w:rFonts w:cs="Arial"/>
        </w:rPr>
        <w:t xml:space="preserve"> </w:t>
      </w:r>
      <w:r w:rsidRPr="000A727E">
        <w:rPr>
          <w:rFonts w:cs="Arial"/>
        </w:rPr>
        <w:t>W skład zespołu wchodzą następujące komórki organizacyjne</w:t>
      </w:r>
      <w:r>
        <w:rPr>
          <w:rFonts w:cs="Arial"/>
        </w:rPr>
        <w:t xml:space="preserve"> </w:t>
      </w:r>
      <w:r w:rsidRPr="000A727E">
        <w:rPr>
          <w:rFonts w:cs="Arial"/>
        </w:rPr>
        <w:t>i</w:t>
      </w:r>
      <w:r>
        <w:rPr>
          <w:rFonts w:cs="Arial"/>
        </w:rPr>
        <w:t> </w:t>
      </w:r>
      <w:r>
        <w:rPr>
          <w:rFonts w:cs="Arial"/>
        </w:rPr>
        <w:t>wieloosobowe samodzielne</w:t>
      </w:r>
      <w:r w:rsidRPr="000A727E">
        <w:rPr>
          <w:rFonts w:cs="Arial"/>
        </w:rPr>
        <w:t xml:space="preserve"> stanowiska pracy posługujące się przy znakowaniu spraw i akt symbolami:</w:t>
      </w:r>
      <w:r>
        <w:rPr>
          <w:rFonts w:cs="Arial"/>
        </w:rPr>
        <w:t xml:space="preserve"> </w:t>
      </w:r>
    </w:p>
    <w:p w14:paraId="700BBB19" w14:textId="77777777" w:rsidR="00000000" w:rsidRDefault="00000000" w:rsidP="00D073ED">
      <w:pPr>
        <w:pStyle w:val="Akapitzlist"/>
        <w:numPr>
          <w:ilvl w:val="0"/>
          <w:numId w:val="2"/>
        </w:numPr>
        <w:spacing w:after="120"/>
        <w:ind w:left="851"/>
        <w:contextualSpacing w:val="0"/>
        <w:rPr>
          <w:rFonts w:cs="Arial"/>
          <w:color w:val="000000" w:themeColor="text1"/>
        </w:rPr>
      </w:pPr>
      <w:r w:rsidRPr="00514D74">
        <w:rPr>
          <w:rFonts w:cs="Arial"/>
          <w:color w:val="000000" w:themeColor="text1"/>
        </w:rPr>
        <w:t>Kancelaria Tajna, jako wyodrębniona komórka organizacyjna, którą kieruje kierownik Kancelarii Tajnej: IN-I;</w:t>
      </w:r>
    </w:p>
    <w:p w14:paraId="0D15A17A" w14:textId="77777777" w:rsidR="00000000" w:rsidRDefault="00000000" w:rsidP="00D073ED">
      <w:pPr>
        <w:pStyle w:val="Akapitzlist"/>
        <w:numPr>
          <w:ilvl w:val="0"/>
          <w:numId w:val="2"/>
        </w:numPr>
        <w:spacing w:after="120"/>
        <w:ind w:left="851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wieloosobowe samodzielne s</w:t>
      </w:r>
      <w:r w:rsidRPr="00514D74">
        <w:rPr>
          <w:rFonts w:cs="Arial"/>
          <w:color w:val="000000" w:themeColor="text1"/>
        </w:rPr>
        <w:t>tanowisk</w:t>
      </w:r>
      <w:r>
        <w:rPr>
          <w:rFonts w:cs="Arial"/>
          <w:color w:val="000000" w:themeColor="text1"/>
        </w:rPr>
        <w:t>o</w:t>
      </w:r>
      <w:r w:rsidRPr="00514D74">
        <w:rPr>
          <w:rFonts w:cs="Arial"/>
          <w:color w:val="000000" w:themeColor="text1"/>
        </w:rPr>
        <w:t xml:space="preserve"> pracy ds. oświadczeń majątkowych </w:t>
      </w:r>
      <w:r>
        <w:rPr>
          <w:rFonts w:cs="Arial"/>
          <w:color w:val="000000" w:themeColor="text1"/>
        </w:rPr>
        <w:br/>
      </w:r>
      <w:r w:rsidRPr="00514D74">
        <w:rPr>
          <w:rFonts w:cs="Arial"/>
          <w:color w:val="000000" w:themeColor="text1"/>
        </w:rPr>
        <w:t>i lustracyjnych: IN-II;</w:t>
      </w:r>
    </w:p>
    <w:p w14:paraId="11E06E4F" w14:textId="77777777" w:rsidR="00000000" w:rsidRDefault="00000000" w:rsidP="00D073ED">
      <w:pPr>
        <w:pStyle w:val="Akapitzlist"/>
        <w:numPr>
          <w:ilvl w:val="0"/>
          <w:numId w:val="2"/>
        </w:numPr>
        <w:spacing w:after="120"/>
        <w:ind w:left="851"/>
        <w:contextualSpacing w:val="0"/>
        <w:rPr>
          <w:rFonts w:cs="Arial"/>
          <w:color w:val="000000" w:themeColor="text1"/>
        </w:rPr>
      </w:pPr>
      <w:r w:rsidRPr="000F1C6F">
        <w:rPr>
          <w:rFonts w:cs="Arial"/>
          <w:color w:val="000000" w:themeColor="text1"/>
        </w:rPr>
        <w:t>wieloosobowe samodzielne stanowisko</w:t>
      </w:r>
      <w:r w:rsidRPr="00514D74">
        <w:rPr>
          <w:rFonts w:cs="Arial"/>
          <w:color w:val="000000" w:themeColor="text1"/>
        </w:rPr>
        <w:t xml:space="preserve"> pracy ds. ochrony danych osobowych: IN-III;</w:t>
      </w:r>
    </w:p>
    <w:p w14:paraId="69F48DE2" w14:textId="77777777" w:rsidR="00000000" w:rsidRDefault="00000000" w:rsidP="00D073ED">
      <w:pPr>
        <w:pStyle w:val="Akapitzlist"/>
        <w:numPr>
          <w:ilvl w:val="0"/>
          <w:numId w:val="2"/>
        </w:numPr>
        <w:spacing w:after="120"/>
        <w:ind w:left="851"/>
        <w:contextualSpacing w:val="0"/>
        <w:rPr>
          <w:rFonts w:cs="Arial"/>
          <w:color w:val="000000" w:themeColor="text1"/>
        </w:rPr>
      </w:pPr>
      <w:r w:rsidRPr="00514D74">
        <w:rPr>
          <w:rFonts w:cs="Arial"/>
          <w:color w:val="000000" w:themeColor="text1"/>
        </w:rPr>
        <w:t>Administrator System</w:t>
      </w:r>
      <w:r>
        <w:rPr>
          <w:rFonts w:cs="Arial"/>
          <w:color w:val="000000" w:themeColor="text1"/>
        </w:rPr>
        <w:t>u</w:t>
      </w:r>
      <w:r w:rsidRPr="00514D74">
        <w:rPr>
          <w:rFonts w:cs="Arial"/>
          <w:color w:val="000000" w:themeColor="text1"/>
        </w:rPr>
        <w:t xml:space="preserve"> Teleinformatyczn</w:t>
      </w:r>
      <w:r>
        <w:rPr>
          <w:rFonts w:cs="Arial"/>
          <w:color w:val="000000" w:themeColor="text1"/>
        </w:rPr>
        <w:t>ego</w:t>
      </w:r>
      <w:r w:rsidRPr="00514D74">
        <w:rPr>
          <w:rFonts w:cs="Arial"/>
          <w:color w:val="000000" w:themeColor="text1"/>
        </w:rPr>
        <w:t xml:space="preserve"> (ASTI).</w:t>
      </w:r>
    </w:p>
    <w:p w14:paraId="65F4185A" w14:textId="77777777" w:rsidR="00000000" w:rsidRDefault="00000000" w:rsidP="00D073ED">
      <w:pPr>
        <w:spacing w:after="120"/>
        <w:ind w:left="397" w:firstLine="59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2.</w:t>
      </w:r>
      <w:r>
        <w:rPr>
          <w:rFonts w:cs="Arial"/>
          <w:color w:val="000000" w:themeColor="text1"/>
        </w:rPr>
        <w:t> </w:t>
      </w:r>
      <w:r w:rsidRPr="00514D74">
        <w:rPr>
          <w:rFonts w:cs="Arial"/>
          <w:color w:val="000000" w:themeColor="text1"/>
        </w:rPr>
        <w:t>Pełnomocnik posługuje się przy znakowaniu spraw symbolem: IN.</w:t>
      </w:r>
    </w:p>
    <w:p w14:paraId="60571B32" w14:textId="77777777" w:rsidR="00000000" w:rsidRPr="00514D74" w:rsidRDefault="00000000" w:rsidP="00D073ED">
      <w:pPr>
        <w:spacing w:after="120"/>
        <w:ind w:left="397" w:firstLine="59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3.</w:t>
      </w:r>
      <w:r>
        <w:rPr>
          <w:rFonts w:cs="Arial"/>
          <w:color w:val="000000" w:themeColor="text1"/>
        </w:rPr>
        <w:t> </w:t>
      </w:r>
      <w:r w:rsidRPr="00514D74">
        <w:rPr>
          <w:rFonts w:cs="Arial"/>
          <w:color w:val="000000" w:themeColor="text1"/>
        </w:rPr>
        <w:t>Strukturę organizacyjną zespołu określa schemat, stanowiący załącznik do regulaminu organizacyjnego.</w:t>
      </w:r>
      <w:r>
        <w:rPr>
          <w:rFonts w:cs="Arial"/>
          <w:color w:val="000000" w:themeColor="text1"/>
        </w:rPr>
        <w:t>”</w:t>
      </w:r>
      <w:r>
        <w:rPr>
          <w:rFonts w:cs="Arial"/>
          <w:color w:val="000000" w:themeColor="text1"/>
        </w:rPr>
        <w:t>;</w:t>
      </w:r>
    </w:p>
    <w:p w14:paraId="08BB3997" w14:textId="77777777" w:rsidR="00000000" w:rsidRDefault="00000000" w:rsidP="00D073ED">
      <w:pPr>
        <w:pStyle w:val="Akapitzlist"/>
        <w:numPr>
          <w:ilvl w:val="0"/>
          <w:numId w:val="1"/>
        </w:numPr>
        <w:spacing w:before="360" w:after="120"/>
        <w:ind w:left="397" w:hanging="397"/>
        <w:contextualSpacing w:val="0"/>
        <w:rPr>
          <w:rFonts w:cs="Arial"/>
          <w:color w:val="000000" w:themeColor="text1"/>
        </w:rPr>
      </w:pPr>
      <w:r>
        <w:rPr>
          <w:rFonts w:cs="Arial"/>
        </w:rPr>
        <w:lastRenderedPageBreak/>
        <w:t xml:space="preserve">w </w:t>
      </w:r>
      <w:r w:rsidRPr="00514D74">
        <w:rPr>
          <w:rFonts w:cs="Arial"/>
          <w:color w:val="000000" w:themeColor="text1"/>
        </w:rPr>
        <w:t xml:space="preserve">§ </w:t>
      </w:r>
      <w:r>
        <w:rPr>
          <w:rFonts w:cs="Arial"/>
          <w:color w:val="000000" w:themeColor="text1"/>
        </w:rPr>
        <w:t xml:space="preserve">4 </w:t>
      </w:r>
      <w:r>
        <w:rPr>
          <w:rFonts w:cs="Arial"/>
          <w:color w:val="000000" w:themeColor="text1"/>
        </w:rPr>
        <w:t>ust. 2 otrzymuje brzmienie:</w:t>
      </w:r>
    </w:p>
    <w:p w14:paraId="119D02F7" w14:textId="77777777" w:rsidR="00000000" w:rsidRDefault="00000000" w:rsidP="007D557F">
      <w:pPr>
        <w:pStyle w:val="Akapitzlist"/>
        <w:ind w:left="397" w:firstLine="59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>
        <w:rPr>
          <w:rFonts w:cs="Arial"/>
          <w:color w:val="000000" w:themeColor="text1"/>
        </w:rPr>
        <w:t xml:space="preserve">2. </w:t>
      </w:r>
      <w:r w:rsidRPr="00881CA3">
        <w:rPr>
          <w:rFonts w:cs="Arial"/>
          <w:color w:val="000000" w:themeColor="text1"/>
        </w:rPr>
        <w:t xml:space="preserve">Podczas nieobecności pełnomocnika zespołem kieruje </w:t>
      </w:r>
      <w:r>
        <w:rPr>
          <w:rFonts w:cs="Arial"/>
          <w:color w:val="000000" w:themeColor="text1"/>
        </w:rPr>
        <w:t>pisemnie wskazany przez pełnomocnika pracownik zespołu</w:t>
      </w:r>
      <w:r w:rsidRPr="00881CA3">
        <w:rPr>
          <w:rFonts w:cs="Arial"/>
          <w:color w:val="000000" w:themeColor="text1"/>
        </w:rPr>
        <w:t xml:space="preserve"> (z wyłączeniem zadań dotyczących postępowań sprawdzających</w:t>
      </w:r>
      <w:r>
        <w:rPr>
          <w:rFonts w:cs="Arial"/>
          <w:color w:val="000000" w:themeColor="text1"/>
        </w:rPr>
        <w:t>, które należą do wyłącznej kompetencji pełnomocnika</w:t>
      </w:r>
      <w:r w:rsidRPr="00881CA3">
        <w:rPr>
          <w:rFonts w:cs="Arial"/>
          <w:color w:val="000000" w:themeColor="text1"/>
        </w:rPr>
        <w:t>).</w:t>
      </w:r>
      <w:r>
        <w:rPr>
          <w:rFonts w:cs="Arial"/>
          <w:color w:val="000000" w:themeColor="text1"/>
        </w:rPr>
        <w:t>”</w:t>
      </w:r>
      <w:r>
        <w:rPr>
          <w:rFonts w:cs="Arial"/>
          <w:color w:val="000000" w:themeColor="text1"/>
        </w:rPr>
        <w:t>;</w:t>
      </w:r>
    </w:p>
    <w:p w14:paraId="4F877E8B" w14:textId="77777777" w:rsidR="00000000" w:rsidRDefault="00000000" w:rsidP="000E57D9">
      <w:pPr>
        <w:pStyle w:val="Akapitzlist"/>
        <w:numPr>
          <w:ilvl w:val="0"/>
          <w:numId w:val="1"/>
        </w:numPr>
        <w:ind w:left="397" w:hanging="397"/>
        <w:rPr>
          <w:rFonts w:cs="Arial"/>
          <w:color w:val="000000" w:themeColor="text1"/>
        </w:rPr>
      </w:pPr>
      <w:r w:rsidRPr="00340D39">
        <w:rPr>
          <w:rFonts w:cs="Arial"/>
        </w:rPr>
        <w:t xml:space="preserve">w </w:t>
      </w:r>
      <w:r w:rsidRPr="00340D39">
        <w:rPr>
          <w:rFonts w:cs="Arial"/>
          <w:color w:val="000000" w:themeColor="text1"/>
        </w:rPr>
        <w:t>§ 6</w:t>
      </w:r>
      <w:r>
        <w:rPr>
          <w:rFonts w:cs="Arial"/>
          <w:color w:val="000000" w:themeColor="text1"/>
        </w:rPr>
        <w:t>:</w:t>
      </w:r>
    </w:p>
    <w:p w14:paraId="1C0E78E9" w14:textId="77777777" w:rsidR="00000000" w:rsidRDefault="00000000" w:rsidP="00F76FC6">
      <w:pPr>
        <w:pStyle w:val="Akapitzlist"/>
        <w:numPr>
          <w:ilvl w:val="1"/>
          <w:numId w:val="1"/>
        </w:numPr>
        <w:ind w:left="709"/>
        <w:rPr>
          <w:rFonts w:cs="Arial"/>
          <w:color w:val="000000" w:themeColor="text1"/>
        </w:rPr>
      </w:pPr>
      <w:r w:rsidRPr="00340D39">
        <w:rPr>
          <w:rFonts w:cs="Arial"/>
          <w:color w:val="000000" w:themeColor="text1"/>
        </w:rPr>
        <w:t>pkt 1</w:t>
      </w:r>
      <w:r>
        <w:rPr>
          <w:rFonts w:cs="Arial"/>
          <w:color w:val="000000" w:themeColor="text1"/>
        </w:rPr>
        <w:t xml:space="preserve"> otrzymuje brzmienie:</w:t>
      </w:r>
    </w:p>
    <w:p w14:paraId="72413106" w14:textId="77777777" w:rsidR="00000000" w:rsidRDefault="00000000" w:rsidP="00F76FC6">
      <w:pPr>
        <w:pStyle w:val="Akapitzlist"/>
        <w:ind w:left="993" w:hanging="284"/>
        <w:rPr>
          <w:rFonts w:cs="Arial"/>
          <w:color w:val="000000" w:themeColor="text1"/>
        </w:rPr>
      </w:pPr>
      <w:r>
        <w:rPr>
          <w:rFonts w:cs="Arial"/>
        </w:rPr>
        <w:t>„1) </w:t>
      </w:r>
      <w:r w:rsidRPr="000A727E">
        <w:rPr>
          <w:rFonts w:cs="Arial"/>
        </w:rPr>
        <w:t>realizacja zadań, określonych w §</w:t>
      </w:r>
      <w:r>
        <w:rPr>
          <w:rFonts w:cs="Arial"/>
        </w:rPr>
        <w:t> </w:t>
      </w:r>
      <w:r w:rsidRPr="000A727E">
        <w:rPr>
          <w:rFonts w:cs="Arial"/>
        </w:rPr>
        <w:t>73 regulaminu urzędu, zgodnie z zakresem działania;</w:t>
      </w:r>
      <w:r>
        <w:rPr>
          <w:rFonts w:cs="Arial"/>
        </w:rPr>
        <w:t>”,</w:t>
      </w:r>
    </w:p>
    <w:p w14:paraId="4A029DBA" w14:textId="77777777" w:rsidR="00000000" w:rsidRDefault="00000000" w:rsidP="00F76FC6">
      <w:pPr>
        <w:pStyle w:val="Akapitzlist"/>
        <w:numPr>
          <w:ilvl w:val="1"/>
          <w:numId w:val="1"/>
        </w:numPr>
        <w:ind w:left="709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pkt 6 i 7 </w:t>
      </w:r>
      <w:r w:rsidRPr="00340D39">
        <w:rPr>
          <w:rFonts w:cs="Arial"/>
          <w:color w:val="000000" w:themeColor="text1"/>
        </w:rPr>
        <w:t>otrzymują brzmienie:</w:t>
      </w:r>
    </w:p>
    <w:p w14:paraId="6169CDCC" w14:textId="77777777" w:rsidR="00000000" w:rsidRDefault="00000000" w:rsidP="00F76FC6">
      <w:pPr>
        <w:pStyle w:val="Akapitzlist"/>
        <w:ind w:left="1134" w:hanging="425"/>
        <w:rPr>
          <w:rFonts w:cs="Arial"/>
        </w:rPr>
      </w:pPr>
      <w:r>
        <w:rPr>
          <w:rFonts w:cs="Arial"/>
        </w:rPr>
        <w:t xml:space="preserve">„6) </w:t>
      </w:r>
      <w:r w:rsidRPr="000A727E">
        <w:rPr>
          <w:rFonts w:cs="Arial"/>
        </w:rPr>
        <w:t>opracowywanie rocznych sprawozdań dla wojewody z wykonywanych zadań zespołu oraz sprawozdań o stanie ochrony informacji niejawnych w urzędzie;</w:t>
      </w:r>
    </w:p>
    <w:p w14:paraId="3308F429" w14:textId="77777777" w:rsidR="00000000" w:rsidRPr="00881CA3" w:rsidRDefault="00000000" w:rsidP="00F76FC6">
      <w:pPr>
        <w:pStyle w:val="Akapitzlist"/>
        <w:spacing w:after="0"/>
        <w:ind w:left="1134" w:hanging="425"/>
        <w:rPr>
          <w:rFonts w:cs="Arial"/>
          <w:color w:val="000000" w:themeColor="text1"/>
        </w:rPr>
      </w:pPr>
      <w:r>
        <w:rPr>
          <w:rFonts w:cs="Arial"/>
        </w:rPr>
        <w:t xml:space="preserve">„7) </w:t>
      </w:r>
      <w:r w:rsidRPr="000A727E">
        <w:rPr>
          <w:rFonts w:cs="Arial"/>
        </w:rPr>
        <w:t>stała współpraca z Delegaturą Agencji Bezpieczeństwa Wewnętrznego w</w:t>
      </w:r>
      <w:r>
        <w:rPr>
          <w:rFonts w:cs="Arial"/>
        </w:rPr>
        <w:t> </w:t>
      </w:r>
      <w:r w:rsidRPr="000A727E">
        <w:rPr>
          <w:rFonts w:cs="Arial"/>
        </w:rPr>
        <w:t>Gdańsku w zakresie organizacji ochrony informacji niejawnych;</w:t>
      </w:r>
      <w:r>
        <w:rPr>
          <w:rFonts w:cs="Arial"/>
        </w:rPr>
        <w:t>”</w:t>
      </w:r>
      <w:r>
        <w:rPr>
          <w:rFonts w:cs="Arial"/>
        </w:rPr>
        <w:t>;</w:t>
      </w:r>
    </w:p>
    <w:p w14:paraId="798B95B1" w14:textId="77777777" w:rsidR="00000000" w:rsidRDefault="00000000" w:rsidP="000E57D9">
      <w:pPr>
        <w:pStyle w:val="Akapitzlist"/>
        <w:numPr>
          <w:ilvl w:val="0"/>
          <w:numId w:val="1"/>
        </w:numPr>
        <w:ind w:left="397" w:hanging="397"/>
        <w:rPr>
          <w:rFonts w:cs="Arial"/>
          <w:color w:val="000000" w:themeColor="text1"/>
        </w:rPr>
      </w:pPr>
      <w:r>
        <w:rPr>
          <w:rFonts w:cs="Arial"/>
        </w:rPr>
        <w:t xml:space="preserve">w </w:t>
      </w:r>
      <w:r w:rsidRPr="00514D74">
        <w:rPr>
          <w:rFonts w:cs="Arial"/>
          <w:color w:val="000000" w:themeColor="text1"/>
        </w:rPr>
        <w:t xml:space="preserve">§ </w:t>
      </w:r>
      <w:r>
        <w:rPr>
          <w:rFonts w:cs="Arial"/>
          <w:color w:val="000000" w:themeColor="text1"/>
        </w:rPr>
        <w:t>7:</w:t>
      </w:r>
    </w:p>
    <w:p w14:paraId="7AFAAE78" w14:textId="77777777" w:rsidR="00000000" w:rsidRDefault="00000000" w:rsidP="00D073ED">
      <w:pPr>
        <w:pStyle w:val="Akapitzlist"/>
        <w:numPr>
          <w:ilvl w:val="1"/>
          <w:numId w:val="1"/>
        </w:numPr>
        <w:tabs>
          <w:tab w:val="left" w:pos="709"/>
        </w:tabs>
        <w:spacing w:before="120" w:after="120"/>
        <w:ind w:left="851" w:hanging="56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pkt 2 otrzymuje brzmienie:</w:t>
      </w:r>
    </w:p>
    <w:p w14:paraId="7E042581" w14:textId="77777777" w:rsidR="00000000" w:rsidRDefault="00000000" w:rsidP="00D073ED">
      <w:pPr>
        <w:pStyle w:val="Akapitzlist"/>
        <w:spacing w:before="120" w:after="120"/>
        <w:ind w:left="993" w:hanging="284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„2) </w:t>
      </w:r>
      <w:r w:rsidRPr="000A727E">
        <w:rPr>
          <w:rFonts w:cs="Arial"/>
        </w:rPr>
        <w:t>nadzorowanie pracy kierownika Kancelarii Tajnej i samodzielnych stanowisk pracy;</w:t>
      </w:r>
      <w:r>
        <w:rPr>
          <w:rFonts w:cs="Arial"/>
        </w:rPr>
        <w:t>”,</w:t>
      </w:r>
    </w:p>
    <w:p w14:paraId="001FC612" w14:textId="77777777" w:rsidR="00000000" w:rsidRDefault="00000000" w:rsidP="00D073ED">
      <w:pPr>
        <w:pStyle w:val="Akapitzlist"/>
        <w:numPr>
          <w:ilvl w:val="1"/>
          <w:numId w:val="1"/>
        </w:numPr>
        <w:spacing w:after="120"/>
        <w:ind w:left="709" w:hanging="35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pkt</w:t>
      </w:r>
      <w:r>
        <w:rPr>
          <w:rFonts w:cs="Arial"/>
          <w:color w:val="000000" w:themeColor="text1"/>
        </w:rPr>
        <w:t xml:space="preserve"> 6 otrzymuje brzmienie:</w:t>
      </w:r>
    </w:p>
    <w:p w14:paraId="5DFE4BEC" w14:textId="77777777" w:rsidR="00000000" w:rsidRPr="00A06999" w:rsidRDefault="00000000" w:rsidP="00F76FC6">
      <w:pPr>
        <w:pStyle w:val="Akapitzlist"/>
        <w:tabs>
          <w:tab w:val="left" w:pos="993"/>
        </w:tabs>
        <w:ind w:left="1134" w:hanging="425"/>
        <w:rPr>
          <w:rFonts w:cs="Arial"/>
        </w:rPr>
      </w:pPr>
      <w:r>
        <w:rPr>
          <w:rFonts w:cs="Arial"/>
        </w:rPr>
        <w:t xml:space="preserve">„6) </w:t>
      </w:r>
      <w:r w:rsidRPr="00A06999">
        <w:rPr>
          <w:rFonts w:cs="Arial"/>
        </w:rPr>
        <w:t>zapewnienie ochrony systemu teleinformatycznego, w którym przetwarzane są informacje niejawne:</w:t>
      </w:r>
    </w:p>
    <w:p w14:paraId="7FB37D17" w14:textId="77777777" w:rsidR="00000000" w:rsidRPr="000A727E" w:rsidRDefault="00000000" w:rsidP="00D073ED">
      <w:pPr>
        <w:pStyle w:val="Akapitzlist"/>
        <w:numPr>
          <w:ilvl w:val="0"/>
          <w:numId w:val="4"/>
        </w:numPr>
        <w:spacing w:before="120" w:after="120"/>
        <w:ind w:left="1418" w:hanging="425"/>
        <w:contextualSpacing w:val="0"/>
        <w:rPr>
          <w:rFonts w:cs="Arial"/>
        </w:rPr>
      </w:pPr>
      <w:r w:rsidRPr="000A727E">
        <w:rPr>
          <w:rFonts w:cs="Arial"/>
        </w:rPr>
        <w:t xml:space="preserve">wykonywanie zadań Inspektora Bezpieczeństwa Teleinformatycznego (IBTI) związanych z utrzymaniem ciągłości pracy Systemu Teleinformatycznego „STI-PUW”, </w:t>
      </w:r>
    </w:p>
    <w:p w14:paraId="23D2DA36" w14:textId="77777777" w:rsidR="00000000" w:rsidRPr="000A727E" w:rsidRDefault="00000000" w:rsidP="00D073ED">
      <w:pPr>
        <w:pStyle w:val="Akapitzlist"/>
        <w:numPr>
          <w:ilvl w:val="0"/>
          <w:numId w:val="4"/>
        </w:numPr>
        <w:spacing w:before="120" w:after="120"/>
        <w:ind w:left="1418" w:hanging="425"/>
        <w:contextualSpacing w:val="0"/>
        <w:rPr>
          <w:rFonts w:cs="Arial"/>
        </w:rPr>
      </w:pPr>
      <w:r w:rsidRPr="000A727E">
        <w:rPr>
          <w:rFonts w:cs="Arial"/>
        </w:rPr>
        <w:t>opracowywanie i aktualizowanie dokumentacji określającej poziom zagrożeń związanych z nieuprawnionym dostępem do informacji niejawnych przetwarzanych w systemie teleinformatycznym,</w:t>
      </w:r>
    </w:p>
    <w:p w14:paraId="6B0A1106" w14:textId="77777777" w:rsidR="00000000" w:rsidRPr="000A727E" w:rsidRDefault="00000000" w:rsidP="00D073ED">
      <w:pPr>
        <w:pStyle w:val="Akapitzlist"/>
        <w:numPr>
          <w:ilvl w:val="0"/>
          <w:numId w:val="4"/>
        </w:numPr>
        <w:spacing w:before="120" w:after="120"/>
        <w:ind w:left="1418" w:hanging="425"/>
        <w:contextualSpacing w:val="0"/>
        <w:rPr>
          <w:rFonts w:cs="Arial"/>
        </w:rPr>
      </w:pPr>
      <w:r w:rsidRPr="000A727E">
        <w:rPr>
          <w:rFonts w:cs="Arial"/>
        </w:rPr>
        <w:t>opracowywanie i aktualizowanie dokumentacji bezpieczeństwa (Szczególne Wymagania Bezpieczeństwa, Procedury Bezpiecznej Eksploatacji) systemu teleinformatycznego przetwarzającego informacje niejawne,</w:t>
      </w:r>
    </w:p>
    <w:p w14:paraId="7C3BF0FD" w14:textId="77777777" w:rsidR="00000000" w:rsidRDefault="00000000" w:rsidP="00D073ED">
      <w:pPr>
        <w:pStyle w:val="Akapitzlist"/>
        <w:numPr>
          <w:ilvl w:val="0"/>
          <w:numId w:val="4"/>
        </w:numPr>
        <w:spacing w:before="120" w:after="120"/>
        <w:ind w:left="1418" w:hanging="425"/>
        <w:contextualSpacing w:val="0"/>
        <w:rPr>
          <w:rFonts w:cs="Arial"/>
        </w:rPr>
      </w:pPr>
      <w:r w:rsidRPr="000A727E">
        <w:rPr>
          <w:rFonts w:cs="Arial"/>
        </w:rPr>
        <w:t>prowadzenie szkoleń dla użytkowników systemu teleinformatycznego oraz wykazu osób upoważnionych do pracy przy tym systemie,</w:t>
      </w:r>
    </w:p>
    <w:p w14:paraId="229903A3" w14:textId="77777777" w:rsidR="00000000" w:rsidRDefault="00000000" w:rsidP="00D073ED">
      <w:pPr>
        <w:pStyle w:val="Akapitzlist"/>
        <w:numPr>
          <w:ilvl w:val="0"/>
          <w:numId w:val="4"/>
        </w:numPr>
        <w:spacing w:before="120" w:after="120"/>
        <w:ind w:left="1418" w:hanging="425"/>
        <w:contextualSpacing w:val="0"/>
        <w:rPr>
          <w:rFonts w:cs="Arial"/>
        </w:rPr>
      </w:pPr>
      <w:r w:rsidRPr="00A06999">
        <w:rPr>
          <w:rFonts w:cs="Arial"/>
        </w:rPr>
        <w:t>nadawanie uprawnień dostępu do systemu teleinformatycznego przeszkolonym użytkownikom,</w:t>
      </w:r>
    </w:p>
    <w:p w14:paraId="632D4314" w14:textId="77777777" w:rsidR="00000000" w:rsidRDefault="00000000" w:rsidP="00D073ED">
      <w:pPr>
        <w:pStyle w:val="Akapitzlist"/>
        <w:numPr>
          <w:ilvl w:val="0"/>
          <w:numId w:val="4"/>
        </w:numPr>
        <w:spacing w:before="120" w:after="120"/>
        <w:ind w:left="1418" w:hanging="425"/>
        <w:contextualSpacing w:val="0"/>
        <w:rPr>
          <w:rFonts w:cs="Arial"/>
        </w:rPr>
      </w:pPr>
      <w:r w:rsidRPr="00A06999">
        <w:rPr>
          <w:rFonts w:cs="Arial"/>
          <w:spacing w:val="-2"/>
        </w:rPr>
        <w:t>kontrola przestrzegania Procedur Bezpiecznej Eksploatacji Systemu Teleinformatycznego oraz Szczególnych Wymagań Bezpieczeństwa przez użytkowników systemu</w:t>
      </w:r>
      <w:r w:rsidRPr="00A06999">
        <w:rPr>
          <w:rFonts w:cs="Arial"/>
        </w:rPr>
        <w:t>,</w:t>
      </w:r>
    </w:p>
    <w:p w14:paraId="5A733F50" w14:textId="77777777" w:rsidR="00000000" w:rsidRDefault="00000000" w:rsidP="00D073ED">
      <w:pPr>
        <w:pStyle w:val="Akapitzlist"/>
        <w:numPr>
          <w:ilvl w:val="0"/>
          <w:numId w:val="4"/>
        </w:numPr>
        <w:spacing w:before="120" w:after="120"/>
        <w:ind w:left="1417" w:hanging="425"/>
        <w:contextualSpacing w:val="0"/>
        <w:rPr>
          <w:rFonts w:cs="Arial"/>
        </w:rPr>
      </w:pPr>
      <w:r w:rsidRPr="00A06999">
        <w:rPr>
          <w:rFonts w:cs="Arial"/>
        </w:rPr>
        <w:lastRenderedPageBreak/>
        <w:t>nadzór i bieżąca kontrola zgodności funkcjonowania systemu teleinformatycznego</w:t>
      </w:r>
      <w:r>
        <w:rPr>
          <w:rFonts w:cs="Arial"/>
        </w:rPr>
        <w:t xml:space="preserve"> </w:t>
      </w:r>
      <w:r w:rsidRPr="00A06999">
        <w:rPr>
          <w:rFonts w:cs="Arial"/>
        </w:rPr>
        <w:t>z</w:t>
      </w:r>
      <w:r>
        <w:rPr>
          <w:rFonts w:cs="Arial"/>
        </w:rPr>
        <w:t xml:space="preserve"> </w:t>
      </w:r>
      <w:r w:rsidRPr="00A06999">
        <w:rPr>
          <w:rFonts w:cs="Arial"/>
        </w:rPr>
        <w:t>dokumentacją</w:t>
      </w:r>
      <w:r>
        <w:rPr>
          <w:rFonts w:cs="Arial"/>
        </w:rPr>
        <w:t xml:space="preserve"> </w:t>
      </w:r>
      <w:r w:rsidRPr="00A06999">
        <w:rPr>
          <w:rFonts w:cs="Arial"/>
        </w:rPr>
        <w:t>bezpieczeństwa</w:t>
      </w:r>
      <w:r>
        <w:rPr>
          <w:rFonts w:cs="Arial"/>
        </w:rPr>
        <w:t xml:space="preserve"> </w:t>
      </w:r>
      <w:r w:rsidRPr="00A06999">
        <w:rPr>
          <w:rFonts w:cs="Arial"/>
        </w:rPr>
        <w:t>teleinformatycznego;</w:t>
      </w:r>
      <w:r>
        <w:rPr>
          <w:rFonts w:cs="Arial"/>
        </w:rPr>
        <w:t>”</w:t>
      </w:r>
      <w:r>
        <w:rPr>
          <w:rFonts w:cs="Arial"/>
        </w:rPr>
        <w:t>,</w:t>
      </w:r>
    </w:p>
    <w:p w14:paraId="1250D33B" w14:textId="77777777" w:rsidR="00000000" w:rsidRDefault="00000000" w:rsidP="00D073ED">
      <w:pPr>
        <w:pStyle w:val="Akapitzlist"/>
        <w:numPr>
          <w:ilvl w:val="1"/>
          <w:numId w:val="1"/>
        </w:numPr>
        <w:spacing w:after="120"/>
        <w:ind w:left="709" w:hanging="35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pkt</w:t>
      </w:r>
      <w:r>
        <w:rPr>
          <w:rFonts w:cs="Arial"/>
          <w:color w:val="000000" w:themeColor="text1"/>
        </w:rPr>
        <w:t xml:space="preserve"> 9 otrzymuje</w:t>
      </w:r>
      <w:r>
        <w:rPr>
          <w:rFonts w:cs="Arial"/>
          <w:color w:val="000000" w:themeColor="text1"/>
        </w:rPr>
        <w:t xml:space="preserve"> brzmienie:</w:t>
      </w:r>
    </w:p>
    <w:p w14:paraId="41C438E1" w14:textId="77777777" w:rsidR="00000000" w:rsidRDefault="00000000" w:rsidP="00F76FC6">
      <w:pPr>
        <w:pStyle w:val="Akapitzlist"/>
        <w:tabs>
          <w:tab w:val="left" w:pos="992"/>
          <w:tab w:val="left" w:pos="1134"/>
        </w:tabs>
        <w:spacing w:after="0"/>
        <w:ind w:left="1276" w:hanging="426"/>
        <w:contextualSpacing w:val="0"/>
        <w:rPr>
          <w:rFonts w:cs="Arial"/>
        </w:rPr>
      </w:pPr>
      <w:r>
        <w:rPr>
          <w:rFonts w:cs="Arial"/>
        </w:rPr>
        <w:t xml:space="preserve">„9) </w:t>
      </w:r>
      <w:r w:rsidRPr="000A727E">
        <w:rPr>
          <w:rFonts w:cs="Arial"/>
        </w:rPr>
        <w:t>opracowywanie i aktualizowanie, wymagającego akceptacji wojewody, planu ochrony informacji niejawnych urzędu, w tym w razie wprowadzenia stanu nadzwyczajnego</w:t>
      </w:r>
      <w:r>
        <w:rPr>
          <w:rFonts w:cs="Arial"/>
        </w:rPr>
        <w:t>, oraz</w:t>
      </w:r>
      <w:r w:rsidRPr="000A727E">
        <w:rPr>
          <w:rFonts w:cs="Arial"/>
        </w:rPr>
        <w:t xml:space="preserve"> nadzorowanie jego realizacji;</w:t>
      </w:r>
      <w:r>
        <w:rPr>
          <w:rFonts w:cs="Arial"/>
        </w:rPr>
        <w:t>”</w:t>
      </w:r>
      <w:r>
        <w:rPr>
          <w:rFonts w:cs="Arial"/>
        </w:rPr>
        <w:t>,</w:t>
      </w:r>
    </w:p>
    <w:p w14:paraId="1FC6DD4B" w14:textId="77777777" w:rsidR="00000000" w:rsidRDefault="00000000" w:rsidP="00F76FC6">
      <w:pPr>
        <w:pStyle w:val="Akapitzlist"/>
        <w:numPr>
          <w:ilvl w:val="1"/>
          <w:numId w:val="1"/>
        </w:numPr>
        <w:tabs>
          <w:tab w:val="left" w:pos="720"/>
          <w:tab w:val="left" w:pos="851"/>
        </w:tabs>
        <w:spacing w:after="0"/>
        <w:ind w:hanging="796"/>
        <w:contextualSpacing w:val="0"/>
        <w:rPr>
          <w:rFonts w:cs="Arial"/>
        </w:rPr>
      </w:pPr>
      <w:r>
        <w:rPr>
          <w:rFonts w:cs="Arial"/>
        </w:rPr>
        <w:t>uchyla się pkt 11 i 16,</w:t>
      </w:r>
    </w:p>
    <w:p w14:paraId="2B2439A6" w14:textId="77777777" w:rsidR="00000000" w:rsidRPr="000A727E" w:rsidRDefault="00000000" w:rsidP="00F76FC6">
      <w:pPr>
        <w:pStyle w:val="Akapitzlist"/>
        <w:numPr>
          <w:ilvl w:val="1"/>
          <w:numId w:val="1"/>
        </w:numPr>
        <w:tabs>
          <w:tab w:val="left" w:pos="720"/>
          <w:tab w:val="left" w:pos="851"/>
        </w:tabs>
        <w:spacing w:after="0"/>
        <w:ind w:hanging="796"/>
        <w:contextualSpacing w:val="0"/>
        <w:rPr>
          <w:rFonts w:cs="Arial"/>
        </w:rPr>
      </w:pPr>
      <w:r>
        <w:rPr>
          <w:rFonts w:cs="Arial"/>
          <w:color w:val="000000" w:themeColor="text1"/>
        </w:rPr>
        <w:t>pkt 29 i 30 otrzymują brzmienie:</w:t>
      </w:r>
    </w:p>
    <w:p w14:paraId="27C46003" w14:textId="77777777" w:rsidR="00000000" w:rsidRDefault="00000000" w:rsidP="00F76FC6">
      <w:pPr>
        <w:pStyle w:val="Akapitzlist"/>
        <w:ind w:left="1134" w:hanging="42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„29) </w:t>
      </w:r>
      <w:r w:rsidRPr="00130B11">
        <w:rPr>
          <w:rFonts w:cs="Arial"/>
          <w:color w:val="000000" w:themeColor="text1"/>
        </w:rPr>
        <w:t>realizacja obowiązków ustawowych wynikających z regulacji przepisów prawa dotyczących oświadczeń majątkowych i oświadczeń o stanie majątkowym;</w:t>
      </w:r>
    </w:p>
    <w:p w14:paraId="33A40A3D" w14:textId="77777777" w:rsidR="00000000" w:rsidRPr="00A06999" w:rsidRDefault="00000000" w:rsidP="002C5739">
      <w:pPr>
        <w:pStyle w:val="Akapitzlist"/>
        <w:spacing w:after="120"/>
        <w:ind w:left="1134" w:hanging="425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„30) </w:t>
      </w:r>
      <w:r w:rsidRPr="00130B11">
        <w:rPr>
          <w:rFonts w:cs="Arial"/>
          <w:color w:val="000000" w:themeColor="text1"/>
        </w:rPr>
        <w:t>realizacja obowiązków wynikających z regulacji przepisów prawa w zakresie ustawy o ujawnianiu informacji o dokumentach organów bezpieczeństwa państwa z lat 1944 – 1990 oraz treści tych dokumentów, w części dotyczącej składanych oświadczeń lustracyjnych do wojewody i dyrektora generalnego.</w:t>
      </w:r>
      <w:r>
        <w:rPr>
          <w:rFonts w:cs="Arial"/>
          <w:color w:val="000000" w:themeColor="text1"/>
        </w:rPr>
        <w:t>”</w:t>
      </w:r>
      <w:r>
        <w:rPr>
          <w:rFonts w:cs="Arial"/>
          <w:color w:val="000000" w:themeColor="text1"/>
        </w:rPr>
        <w:t>;</w:t>
      </w:r>
    </w:p>
    <w:p w14:paraId="37299403" w14:textId="77777777" w:rsidR="00000000" w:rsidRPr="00AC635D" w:rsidRDefault="00000000" w:rsidP="00D073ED">
      <w:pPr>
        <w:pStyle w:val="Akapitzlist"/>
        <w:numPr>
          <w:ilvl w:val="0"/>
          <w:numId w:val="1"/>
        </w:numPr>
        <w:spacing w:after="120"/>
        <w:ind w:left="397" w:hanging="397"/>
        <w:contextualSpacing w:val="0"/>
        <w:rPr>
          <w:rFonts w:cs="Arial"/>
          <w:color w:val="000000" w:themeColor="text1"/>
        </w:rPr>
      </w:pPr>
      <w:r w:rsidRPr="00AA5D43">
        <w:rPr>
          <w:rFonts w:cs="Arial"/>
        </w:rPr>
        <w:t xml:space="preserve">w § </w:t>
      </w:r>
      <w:r>
        <w:rPr>
          <w:rFonts w:cs="Arial"/>
        </w:rPr>
        <w:t>8:</w:t>
      </w:r>
    </w:p>
    <w:p w14:paraId="5120065D" w14:textId="77777777" w:rsidR="00000000" w:rsidRDefault="00000000" w:rsidP="00D073ED">
      <w:pPr>
        <w:pStyle w:val="Akapitzlist"/>
        <w:numPr>
          <w:ilvl w:val="1"/>
          <w:numId w:val="1"/>
        </w:numPr>
        <w:spacing w:after="120"/>
        <w:ind w:left="709"/>
        <w:contextualSpacing w:val="0"/>
        <w:rPr>
          <w:rFonts w:cs="Arial"/>
        </w:rPr>
      </w:pPr>
      <w:r>
        <w:rPr>
          <w:rFonts w:cs="Arial"/>
        </w:rPr>
        <w:t>w</w:t>
      </w:r>
      <w:r w:rsidRPr="00AA5D43">
        <w:rPr>
          <w:rFonts w:cs="Arial"/>
        </w:rPr>
        <w:t xml:space="preserve"> pkt </w:t>
      </w:r>
      <w:r>
        <w:rPr>
          <w:rFonts w:cs="Arial"/>
        </w:rPr>
        <w:t>1</w:t>
      </w:r>
      <w:r w:rsidRPr="00AA5D43">
        <w:rPr>
          <w:rFonts w:cs="Arial"/>
        </w:rPr>
        <w:t xml:space="preserve"> </w:t>
      </w:r>
      <w:r>
        <w:rPr>
          <w:rFonts w:cs="Arial"/>
        </w:rPr>
        <w:t xml:space="preserve">wyraz </w:t>
      </w:r>
      <w:r>
        <w:rPr>
          <w:rFonts w:cs="Arial"/>
        </w:rPr>
        <w:t>„sprawowanie” zastępuje się wyrazem „prowadzenie”,</w:t>
      </w:r>
    </w:p>
    <w:p w14:paraId="54A0FE5E" w14:textId="77777777" w:rsidR="00000000" w:rsidRPr="00AC635D" w:rsidRDefault="00000000" w:rsidP="00D073ED">
      <w:pPr>
        <w:pStyle w:val="Akapitzlist"/>
        <w:numPr>
          <w:ilvl w:val="1"/>
          <w:numId w:val="1"/>
        </w:numPr>
        <w:spacing w:after="120"/>
        <w:ind w:left="709"/>
        <w:contextualSpacing w:val="0"/>
        <w:rPr>
          <w:rFonts w:cs="Arial"/>
          <w:color w:val="000000" w:themeColor="text1"/>
        </w:rPr>
      </w:pPr>
      <w:r>
        <w:rPr>
          <w:rFonts w:cs="Arial"/>
        </w:rPr>
        <w:t>pkt 5 otrzymuje brzmienie:</w:t>
      </w:r>
    </w:p>
    <w:p w14:paraId="3F4B3B28" w14:textId="77777777" w:rsidR="00000000" w:rsidRDefault="00000000" w:rsidP="00D073ED">
      <w:pPr>
        <w:pStyle w:val="Akapitzlist"/>
        <w:spacing w:after="120"/>
        <w:ind w:left="993" w:hanging="426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„5</w:t>
      </w:r>
      <w:r w:rsidRPr="00AA5D43">
        <w:rPr>
          <w:rFonts w:cs="Arial"/>
          <w:color w:val="000000" w:themeColor="text1"/>
        </w:rPr>
        <w:t>)</w:t>
      </w:r>
      <w:r>
        <w:rPr>
          <w:rFonts w:cs="Arial"/>
          <w:color w:val="000000" w:themeColor="text1"/>
        </w:rPr>
        <w:t xml:space="preserve"> przetwarzanie </w:t>
      </w:r>
      <w:r w:rsidRPr="00AA5D43">
        <w:rPr>
          <w:rFonts w:cs="Arial"/>
          <w:color w:val="000000" w:themeColor="text1"/>
        </w:rPr>
        <w:t>informacji niejawnych o klauzuli „tajne”, „poufne”</w:t>
      </w:r>
      <w:r>
        <w:rPr>
          <w:rFonts w:cs="Arial"/>
          <w:color w:val="000000" w:themeColor="text1"/>
        </w:rPr>
        <w:t xml:space="preserve"> i </w:t>
      </w:r>
      <w:r w:rsidRPr="00AA5D43">
        <w:rPr>
          <w:rFonts w:cs="Arial"/>
          <w:color w:val="000000" w:themeColor="text1"/>
        </w:rPr>
        <w:t>„zastrzeżone” z poszczególnych komórek organizacyjnych urzędu oraz należących do Kancelarii Tajnej;</w:t>
      </w:r>
      <w:r>
        <w:rPr>
          <w:rFonts w:cs="Arial"/>
          <w:color w:val="000000" w:themeColor="text1"/>
        </w:rPr>
        <w:t>”,</w:t>
      </w:r>
    </w:p>
    <w:p w14:paraId="442953A9" w14:textId="77777777" w:rsidR="00000000" w:rsidRPr="00AA5D43" w:rsidRDefault="00000000" w:rsidP="00D073ED">
      <w:pPr>
        <w:pStyle w:val="Akapitzlist"/>
        <w:numPr>
          <w:ilvl w:val="1"/>
          <w:numId w:val="1"/>
        </w:numPr>
        <w:spacing w:after="120"/>
        <w:ind w:left="709"/>
        <w:contextualSpacing w:val="0"/>
        <w:rPr>
          <w:rFonts w:cs="Arial"/>
          <w:color w:val="000000" w:themeColor="text1"/>
        </w:rPr>
      </w:pPr>
      <w:r>
        <w:rPr>
          <w:rFonts w:cs="Arial"/>
        </w:rPr>
        <w:t>pkt 7 otrzymuje brzmienie:</w:t>
      </w:r>
    </w:p>
    <w:p w14:paraId="007B43FA" w14:textId="77777777" w:rsidR="00000000" w:rsidRDefault="00000000" w:rsidP="00D073ED">
      <w:pPr>
        <w:pStyle w:val="Akapitzlist"/>
        <w:spacing w:after="120"/>
        <w:ind w:left="993" w:hanging="425"/>
        <w:contextualSpacing w:val="0"/>
        <w:rPr>
          <w:rFonts w:cs="Arial"/>
          <w:color w:val="000000" w:themeColor="text1"/>
          <w:spacing w:val="-2"/>
        </w:rPr>
      </w:pPr>
      <w:r>
        <w:rPr>
          <w:rFonts w:cs="Arial"/>
          <w:color w:val="000000" w:themeColor="text1"/>
        </w:rPr>
        <w:t>„</w:t>
      </w:r>
      <w:r w:rsidRPr="00AA5D43">
        <w:rPr>
          <w:rFonts w:cs="Arial"/>
          <w:color w:val="000000" w:themeColor="text1"/>
        </w:rPr>
        <w:t>7)</w:t>
      </w:r>
      <w:r>
        <w:rPr>
          <w:rFonts w:cs="Arial"/>
          <w:color w:val="000000" w:themeColor="text1"/>
        </w:rPr>
        <w:t> </w:t>
      </w:r>
      <w:r w:rsidRPr="00AA5D43">
        <w:rPr>
          <w:rFonts w:cs="Arial"/>
          <w:color w:val="000000" w:themeColor="text1"/>
        </w:rPr>
        <w:t xml:space="preserve">udostępnianie do wglądu w czytelni Kancelarii Tajnej dokumentów niejawnych o klauzuli „tajne”, „poufne”, „zastrzeżone” lub wydawanie dokumentów niejawnych o klauzuli „zastrzeżone” pracownikom urzędu posiadającym stosowne </w:t>
      </w:r>
      <w:r w:rsidRPr="009B3389">
        <w:rPr>
          <w:rFonts w:cs="Arial"/>
          <w:color w:val="000000" w:themeColor="text1"/>
          <w:spacing w:val="-2"/>
        </w:rPr>
        <w:t>upoważnienia lub poświadczenia bezpieczeństwa oraz egzekwowanie ich zwrotu;”</w:t>
      </w:r>
      <w:r>
        <w:rPr>
          <w:rFonts w:cs="Arial"/>
          <w:color w:val="000000" w:themeColor="text1"/>
          <w:spacing w:val="-2"/>
        </w:rPr>
        <w:t>,</w:t>
      </w:r>
    </w:p>
    <w:p w14:paraId="13EB8F89" w14:textId="77777777" w:rsidR="00000000" w:rsidRPr="00A06999" w:rsidRDefault="00000000" w:rsidP="00D073ED">
      <w:pPr>
        <w:pStyle w:val="Akapitzlist"/>
        <w:numPr>
          <w:ilvl w:val="1"/>
          <w:numId w:val="1"/>
        </w:numPr>
        <w:spacing w:after="120"/>
        <w:ind w:left="709" w:hanging="35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  <w:spacing w:val="-2"/>
        </w:rPr>
        <w:t>uchyla się pkt 12;</w:t>
      </w:r>
    </w:p>
    <w:p w14:paraId="4EEE39B6" w14:textId="77777777" w:rsidR="00000000" w:rsidRDefault="00000000" w:rsidP="00D073ED">
      <w:pPr>
        <w:pStyle w:val="Akapitzlist"/>
        <w:numPr>
          <w:ilvl w:val="0"/>
          <w:numId w:val="1"/>
        </w:numPr>
        <w:spacing w:after="120"/>
        <w:ind w:left="397" w:hanging="39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 </w:t>
      </w:r>
      <w:r w:rsidRPr="00514D74">
        <w:rPr>
          <w:rFonts w:cs="Arial"/>
          <w:color w:val="000000" w:themeColor="text1"/>
        </w:rPr>
        <w:t>§</w:t>
      </w:r>
      <w:r>
        <w:rPr>
          <w:rFonts w:cs="Arial"/>
          <w:color w:val="000000" w:themeColor="text1"/>
        </w:rPr>
        <w:t> 9:</w:t>
      </w:r>
    </w:p>
    <w:p w14:paraId="2428D046" w14:textId="77777777" w:rsidR="00000000" w:rsidRDefault="00000000" w:rsidP="00F76FC6">
      <w:pPr>
        <w:pStyle w:val="Akapitzlist"/>
        <w:numPr>
          <w:ilvl w:val="1"/>
          <w:numId w:val="1"/>
        </w:numPr>
        <w:ind w:left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</w:t>
      </w:r>
      <w:r>
        <w:rPr>
          <w:rFonts w:cs="Arial"/>
          <w:color w:val="000000" w:themeColor="text1"/>
        </w:rPr>
        <w:t>prowadzenie do wyliczenia otrzymuje brzmienie:</w:t>
      </w:r>
      <w:r>
        <w:rPr>
          <w:rFonts w:cs="Arial"/>
          <w:color w:val="000000" w:themeColor="text1"/>
        </w:rPr>
        <w:t xml:space="preserve"> </w:t>
      </w:r>
    </w:p>
    <w:p w14:paraId="4CCAE4CC" w14:textId="77777777" w:rsidR="00000000" w:rsidRDefault="00000000" w:rsidP="00F76FC6">
      <w:pPr>
        <w:pStyle w:val="Akapitzlist"/>
        <w:ind w:left="709" w:firstLine="567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 w:rsidRPr="00514D74">
        <w:rPr>
          <w:rFonts w:cs="Arial"/>
          <w:color w:val="000000" w:themeColor="text1"/>
        </w:rPr>
        <w:t>§</w:t>
      </w:r>
      <w:r>
        <w:rPr>
          <w:rFonts w:cs="Arial"/>
          <w:color w:val="000000" w:themeColor="text1"/>
        </w:rPr>
        <w:t xml:space="preserve"> 9. </w:t>
      </w:r>
      <w:r w:rsidRPr="00C524B0">
        <w:rPr>
          <w:rFonts w:cs="Arial"/>
          <w:color w:val="000000" w:themeColor="text1"/>
        </w:rPr>
        <w:t>Do zakresu działania samodzielnego stanowiska pracy ds. oświadczeń majątkowych i lustracyjnych należą w szczególności zadania określone w</w:t>
      </w:r>
      <w:r>
        <w:rPr>
          <w:rFonts w:cs="Arial"/>
          <w:color w:val="000000" w:themeColor="text1"/>
        </w:rPr>
        <w:t> </w:t>
      </w:r>
      <w:r w:rsidRPr="00C524B0">
        <w:rPr>
          <w:rFonts w:cs="Arial"/>
          <w:color w:val="000000" w:themeColor="text1"/>
        </w:rPr>
        <w:t xml:space="preserve">zarządzeniu Wojewody Pomorskiego z 4 grudnia 2017 r. w sprawie ustalenia zasad postępowania w zakresie realizacji </w:t>
      </w:r>
      <w:r>
        <w:rPr>
          <w:rFonts w:cs="Arial"/>
          <w:color w:val="000000" w:themeColor="text1"/>
        </w:rPr>
        <w:t xml:space="preserve">obowiązku </w:t>
      </w:r>
      <w:r w:rsidRPr="00C524B0">
        <w:rPr>
          <w:rFonts w:cs="Arial"/>
          <w:color w:val="000000" w:themeColor="text1"/>
        </w:rPr>
        <w:t>składania i przetwarzania oświadczeń o</w:t>
      </w:r>
      <w:r>
        <w:rPr>
          <w:rFonts w:cs="Arial"/>
          <w:color w:val="000000" w:themeColor="text1"/>
        </w:rPr>
        <w:t> </w:t>
      </w:r>
      <w:r w:rsidRPr="00C524B0">
        <w:rPr>
          <w:rFonts w:cs="Arial"/>
          <w:color w:val="000000" w:themeColor="text1"/>
        </w:rPr>
        <w:t>stanie majątkowym w Pomorskim Urzędzie Wojewódzkim w Gdańsku, z późn. zm.</w:t>
      </w:r>
      <w:r>
        <w:rPr>
          <w:rFonts w:cs="Arial"/>
          <w:color w:val="000000" w:themeColor="text1"/>
        </w:rPr>
        <w:t>,</w:t>
      </w:r>
      <w:r w:rsidRPr="00C524B0">
        <w:rPr>
          <w:rFonts w:cs="Arial"/>
          <w:color w:val="000000" w:themeColor="text1"/>
        </w:rPr>
        <w:t xml:space="preserve"> ustaw</w:t>
      </w:r>
      <w:r>
        <w:rPr>
          <w:rFonts w:cs="Arial"/>
          <w:color w:val="000000" w:themeColor="text1"/>
        </w:rPr>
        <w:t>ach</w:t>
      </w:r>
      <w:r w:rsidRPr="00C524B0">
        <w:rPr>
          <w:rFonts w:cs="Arial"/>
          <w:color w:val="000000" w:themeColor="text1"/>
        </w:rPr>
        <w:t xml:space="preserve"> regulujących funkcjonowanie samorządu terytorialnego oraz ustaw</w:t>
      </w:r>
      <w:r>
        <w:rPr>
          <w:rFonts w:cs="Arial"/>
          <w:color w:val="000000" w:themeColor="text1"/>
        </w:rPr>
        <w:t>ie</w:t>
      </w:r>
      <w:r w:rsidRPr="00C524B0">
        <w:rPr>
          <w:rFonts w:cs="Arial"/>
          <w:color w:val="000000" w:themeColor="text1"/>
        </w:rPr>
        <w:t xml:space="preserve"> „lustracyjnej”, w tym:</w:t>
      </w:r>
      <w:r>
        <w:rPr>
          <w:rFonts w:cs="Arial"/>
          <w:color w:val="000000" w:themeColor="text1"/>
        </w:rPr>
        <w:t>”,</w:t>
      </w:r>
    </w:p>
    <w:p w14:paraId="1EB83802" w14:textId="77777777" w:rsidR="00000000" w:rsidRDefault="00000000" w:rsidP="002C5739">
      <w:pPr>
        <w:pStyle w:val="Akapitzlist"/>
        <w:numPr>
          <w:ilvl w:val="1"/>
          <w:numId w:val="1"/>
        </w:numPr>
        <w:spacing w:before="600" w:after="120"/>
        <w:ind w:left="709" w:hanging="35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pkt 1 otrzymuje brzmienie:</w:t>
      </w:r>
    </w:p>
    <w:p w14:paraId="1C496CA9" w14:textId="77777777" w:rsidR="00000000" w:rsidRDefault="00000000" w:rsidP="00D073ED">
      <w:pPr>
        <w:pStyle w:val="Akapitzlist"/>
        <w:spacing w:after="120"/>
        <w:ind w:left="993" w:hanging="425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 w:rsidRPr="00C524B0">
        <w:rPr>
          <w:rFonts w:cs="Arial"/>
          <w:color w:val="000000" w:themeColor="text1"/>
        </w:rPr>
        <w:t>1)</w:t>
      </w:r>
      <w:r w:rsidRPr="00C524B0">
        <w:rPr>
          <w:rFonts w:cs="Arial"/>
          <w:color w:val="000000" w:themeColor="text1"/>
        </w:rPr>
        <w:tab/>
        <w:t>opracowywanie i bieżąca aktualizacja wykazu kierowników służb i inspekcji administracji zespolonej i ich zastępców (z wyłączeniem komendantów Państwowej Straży Pożarnej i Komendy Wojewódzkiej Policji), zobowiązanych do złożenia wojewodzie oświadczeń o stanie majątkowym zgodnie z przepisami ustawy o ograniczeniu prowadzenia działalności gospodarczej przez osoby pełniące funkcje publiczne oraz pisemne ich informowanie o obowiązku złożenia oświadczenia o stanie majątkowym;</w:t>
      </w:r>
      <w:r>
        <w:rPr>
          <w:rFonts w:cs="Arial"/>
          <w:color w:val="000000" w:themeColor="text1"/>
        </w:rPr>
        <w:t>”,</w:t>
      </w:r>
    </w:p>
    <w:p w14:paraId="47DA5142" w14:textId="77777777" w:rsidR="00000000" w:rsidRDefault="00000000" w:rsidP="00D073ED">
      <w:pPr>
        <w:pStyle w:val="Akapitzlist"/>
        <w:numPr>
          <w:ilvl w:val="1"/>
          <w:numId w:val="1"/>
        </w:numPr>
        <w:spacing w:after="120"/>
        <w:ind w:left="709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pkt 8 otrzymuje brzmienie:</w:t>
      </w:r>
    </w:p>
    <w:p w14:paraId="1D6C1DDB" w14:textId="77777777" w:rsidR="00000000" w:rsidRPr="00AC635D" w:rsidRDefault="00000000" w:rsidP="00D073ED">
      <w:pPr>
        <w:spacing w:after="120"/>
        <w:ind w:left="993" w:hanging="425"/>
        <w:rPr>
          <w:rFonts w:cs="Arial"/>
          <w:color w:val="000000" w:themeColor="text1"/>
        </w:rPr>
      </w:pPr>
      <w:r w:rsidRPr="00AC635D">
        <w:rPr>
          <w:rFonts w:cs="Arial"/>
          <w:color w:val="000000" w:themeColor="text1"/>
        </w:rPr>
        <w:t>„8) dokonywanie analizy oświadczeń majątkowych przedstawicieli organów jednostek samorządu terytorialnego poprzez porównanie treś</w:t>
      </w:r>
      <w:r>
        <w:rPr>
          <w:rFonts w:cs="Arial"/>
          <w:color w:val="000000" w:themeColor="text1"/>
        </w:rPr>
        <w:t>ci</w:t>
      </w:r>
      <w:r w:rsidRPr="00AC635D">
        <w:rPr>
          <w:rFonts w:cs="Arial"/>
          <w:color w:val="000000" w:themeColor="text1"/>
        </w:rPr>
        <w:t xml:space="preserve"> analizowanego oświadczenia majątkowego oraz załączonej kopii zeznania o wysokości osiągniętego dochodu w roku podatkowym (PIT) z treścią uprzednio złożonych oświadczeń majątkowych oraz dołączonymi do nich kopiami zeznań o wysokości osiągniętego dochodu w roku podatkowym (PIT);”</w:t>
      </w:r>
      <w:r>
        <w:rPr>
          <w:rFonts w:cs="Arial"/>
          <w:color w:val="000000" w:themeColor="text1"/>
        </w:rPr>
        <w:t>,</w:t>
      </w:r>
    </w:p>
    <w:p w14:paraId="57C21BF8" w14:textId="77777777" w:rsidR="00000000" w:rsidRPr="00AA5D43" w:rsidRDefault="00000000" w:rsidP="00D073ED">
      <w:pPr>
        <w:pStyle w:val="Akapitzlist"/>
        <w:numPr>
          <w:ilvl w:val="1"/>
          <w:numId w:val="1"/>
        </w:numPr>
        <w:spacing w:after="120"/>
        <w:ind w:left="709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pkt 10 otrzymuje brzmienie:</w:t>
      </w:r>
    </w:p>
    <w:p w14:paraId="4CB7E8E3" w14:textId="77777777" w:rsidR="00000000" w:rsidRDefault="00000000" w:rsidP="00D073ED">
      <w:pPr>
        <w:pStyle w:val="Akapitzlist"/>
        <w:spacing w:after="120"/>
        <w:ind w:left="993" w:hanging="425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 w:rsidRPr="00431D5B">
        <w:rPr>
          <w:rFonts w:cs="Arial"/>
          <w:color w:val="000000" w:themeColor="text1"/>
        </w:rPr>
        <w:t>10)</w:t>
      </w:r>
      <w:r>
        <w:rPr>
          <w:rFonts w:cs="Arial"/>
          <w:color w:val="000000" w:themeColor="text1"/>
        </w:rPr>
        <w:t> </w:t>
      </w:r>
      <w:r w:rsidRPr="00431D5B">
        <w:rPr>
          <w:rFonts w:cs="Arial"/>
          <w:color w:val="000000" w:themeColor="text1"/>
        </w:rPr>
        <w:t>przygotowywanie wniosków do Centralnego Biura Antykorupcyjnego o</w:t>
      </w:r>
      <w:r>
        <w:rPr>
          <w:rFonts w:cs="Arial"/>
          <w:color w:val="000000" w:themeColor="text1"/>
        </w:rPr>
        <w:t> </w:t>
      </w:r>
      <w:r w:rsidRPr="00431D5B">
        <w:rPr>
          <w:rFonts w:cs="Arial"/>
          <w:color w:val="000000" w:themeColor="text1"/>
        </w:rPr>
        <w:t>kontrolę oświadczenia majątkowego, w przypadku podejrzenia, że osoba składająca oświadczenie majątkowe podała w nim nieprawdę lub zataiła prawdę;</w:t>
      </w:r>
      <w:r>
        <w:rPr>
          <w:rFonts w:cs="Arial"/>
          <w:color w:val="000000" w:themeColor="text1"/>
        </w:rPr>
        <w:t>”</w:t>
      </w:r>
      <w:r>
        <w:rPr>
          <w:rFonts w:cs="Arial"/>
          <w:color w:val="000000" w:themeColor="text1"/>
        </w:rPr>
        <w:t>,</w:t>
      </w:r>
    </w:p>
    <w:p w14:paraId="466E269A" w14:textId="77777777" w:rsidR="00000000" w:rsidRPr="00AC635D" w:rsidRDefault="00000000" w:rsidP="00D073ED">
      <w:pPr>
        <w:pStyle w:val="Akapitzlist"/>
        <w:numPr>
          <w:ilvl w:val="1"/>
          <w:numId w:val="1"/>
        </w:numPr>
        <w:spacing w:after="120"/>
        <w:ind w:left="709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 pkt 11 </w:t>
      </w:r>
      <w:r>
        <w:rPr>
          <w:rFonts w:cs="Arial"/>
        </w:rPr>
        <w:t>wyraz „półrocznych” zastępuje się wyrazem „rocznych”,</w:t>
      </w:r>
    </w:p>
    <w:p w14:paraId="0ACBCF7E" w14:textId="77777777" w:rsidR="00000000" w:rsidRPr="00AA5D43" w:rsidRDefault="00000000" w:rsidP="00503EFC">
      <w:pPr>
        <w:pStyle w:val="Akapitzlist"/>
        <w:numPr>
          <w:ilvl w:val="1"/>
          <w:numId w:val="1"/>
        </w:numPr>
        <w:spacing w:after="120"/>
        <w:ind w:left="709" w:hanging="357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dodaje się pkt 12 w brzmieniu:</w:t>
      </w:r>
    </w:p>
    <w:p w14:paraId="47E3DDAE" w14:textId="77777777" w:rsidR="00000000" w:rsidRPr="00431D5B" w:rsidRDefault="00000000" w:rsidP="00503EFC">
      <w:pPr>
        <w:pStyle w:val="Akapitzlist"/>
        <w:ind w:left="992" w:hanging="425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 w:rsidRPr="00431D5B">
        <w:rPr>
          <w:rFonts w:cs="Arial"/>
          <w:color w:val="000000" w:themeColor="text1"/>
        </w:rPr>
        <w:t>12)</w:t>
      </w:r>
      <w:r>
        <w:rPr>
          <w:rFonts w:cs="Arial"/>
          <w:color w:val="000000" w:themeColor="text1"/>
        </w:rPr>
        <w:t> </w:t>
      </w:r>
      <w:r w:rsidRPr="00431D5B">
        <w:rPr>
          <w:rFonts w:cs="Arial"/>
          <w:color w:val="000000" w:themeColor="text1"/>
        </w:rPr>
        <w:t>w zakresie obowiązków wynikających z ustawy o ujawnianiu informacji o</w:t>
      </w:r>
      <w:r>
        <w:rPr>
          <w:rFonts w:cs="Arial"/>
          <w:color w:val="000000" w:themeColor="text1"/>
        </w:rPr>
        <w:t> </w:t>
      </w:r>
      <w:r w:rsidRPr="00431D5B">
        <w:rPr>
          <w:rFonts w:cs="Arial"/>
          <w:color w:val="000000" w:themeColor="text1"/>
        </w:rPr>
        <w:t>dokumentach organów bezpieczeństwa państwa z lat 1944 - 1990 oraz treści tych dokumentów:</w:t>
      </w:r>
    </w:p>
    <w:p w14:paraId="0BBC2BF0" w14:textId="77777777" w:rsidR="00000000" w:rsidRPr="00431D5B" w:rsidRDefault="00000000" w:rsidP="00D073ED">
      <w:pPr>
        <w:pStyle w:val="Akapitzlist"/>
        <w:numPr>
          <w:ilvl w:val="0"/>
          <w:numId w:val="5"/>
        </w:numPr>
        <w:spacing w:after="120"/>
        <w:ind w:left="1276"/>
        <w:contextualSpacing w:val="0"/>
        <w:rPr>
          <w:rFonts w:cs="Arial"/>
          <w:color w:val="000000" w:themeColor="text1"/>
        </w:rPr>
      </w:pPr>
      <w:r w:rsidRPr="00431D5B">
        <w:rPr>
          <w:rFonts w:cs="Arial"/>
          <w:color w:val="000000" w:themeColor="text1"/>
        </w:rPr>
        <w:t>rejestrowanie i przekazywanie do Biura Lustracyjnego Instytutu Pamięci Narodowej oświadczeń lustracyjnych oraz informacji o złożeniu oświadczeń lustracyjnych wojewodzie i dyrektorowi generalnemu w podziale na osoby pełniące funkcje publiczne, w rozumieniu ustawy „lustracyjnej”,</w:t>
      </w:r>
    </w:p>
    <w:p w14:paraId="4CEE53DA" w14:textId="77777777" w:rsidR="00000000" w:rsidRPr="00431D5B" w:rsidRDefault="00000000" w:rsidP="00D073ED">
      <w:pPr>
        <w:pStyle w:val="Akapitzlist"/>
        <w:numPr>
          <w:ilvl w:val="0"/>
          <w:numId w:val="5"/>
        </w:numPr>
        <w:spacing w:after="120"/>
        <w:ind w:left="1276" w:hanging="357"/>
        <w:contextualSpacing w:val="0"/>
        <w:rPr>
          <w:rFonts w:cs="Arial"/>
          <w:color w:val="000000" w:themeColor="text1"/>
        </w:rPr>
      </w:pPr>
      <w:r w:rsidRPr="00431D5B">
        <w:rPr>
          <w:rFonts w:cs="Arial"/>
          <w:color w:val="000000" w:themeColor="text1"/>
        </w:rPr>
        <w:t>stała współpraca z Instytutem Pamięci Narodowej wynikająca z ujawniania informacji o dokumentach organów bezpieczeństwa państwa oraz treści tych dokumentów.</w:t>
      </w:r>
      <w:r>
        <w:rPr>
          <w:rFonts w:cs="Arial"/>
          <w:color w:val="000000" w:themeColor="text1"/>
        </w:rPr>
        <w:t>”</w:t>
      </w:r>
      <w:r>
        <w:rPr>
          <w:rFonts w:cs="Arial"/>
          <w:color w:val="000000" w:themeColor="text1"/>
        </w:rPr>
        <w:t>;</w:t>
      </w:r>
    </w:p>
    <w:p w14:paraId="6E13BED7" w14:textId="77777777" w:rsidR="00000000" w:rsidRDefault="00000000" w:rsidP="00503EFC">
      <w:pPr>
        <w:pStyle w:val="Akapitzlist"/>
        <w:numPr>
          <w:ilvl w:val="0"/>
          <w:numId w:val="1"/>
        </w:numPr>
        <w:spacing w:after="120"/>
        <w:ind w:left="397" w:hanging="397"/>
        <w:contextualSpacing w:val="0"/>
        <w:rPr>
          <w:rFonts w:cs="Arial"/>
        </w:rPr>
      </w:pPr>
      <w:r>
        <w:rPr>
          <w:rFonts w:cs="Arial"/>
        </w:rPr>
        <w:t>p</w:t>
      </w:r>
      <w:r w:rsidRPr="00056CB9">
        <w:rPr>
          <w:rFonts w:cs="Arial"/>
        </w:rPr>
        <w:t xml:space="preserve">o § </w:t>
      </w:r>
      <w:r>
        <w:rPr>
          <w:rFonts w:cs="Arial"/>
        </w:rPr>
        <w:t>9</w:t>
      </w:r>
      <w:r w:rsidRPr="00056CB9">
        <w:rPr>
          <w:rFonts w:cs="Arial"/>
        </w:rPr>
        <w:t xml:space="preserve"> dodaje się § </w:t>
      </w:r>
      <w:r>
        <w:rPr>
          <w:rFonts w:cs="Arial"/>
        </w:rPr>
        <w:t>9</w:t>
      </w:r>
      <w:r w:rsidRPr="00056CB9">
        <w:rPr>
          <w:rFonts w:cs="Arial"/>
        </w:rPr>
        <w:t>a w brzmieniu:</w:t>
      </w:r>
    </w:p>
    <w:p w14:paraId="068D267C" w14:textId="77777777" w:rsidR="00000000" w:rsidRPr="00056CB9" w:rsidRDefault="00000000" w:rsidP="00D073ED">
      <w:pPr>
        <w:pStyle w:val="Akapitzlist"/>
        <w:spacing w:after="960"/>
        <w:ind w:left="397" w:firstLine="595"/>
        <w:contextualSpacing w:val="0"/>
        <w:rPr>
          <w:rFonts w:cs="Arial"/>
        </w:rPr>
      </w:pPr>
      <w:r>
        <w:rPr>
          <w:rFonts w:cs="Arial"/>
        </w:rPr>
        <w:t>„</w:t>
      </w:r>
      <w:r w:rsidRPr="00056CB9">
        <w:rPr>
          <w:rFonts w:cs="Arial"/>
        </w:rPr>
        <w:t>§</w:t>
      </w:r>
      <w:r>
        <w:rPr>
          <w:rFonts w:cs="Arial"/>
        </w:rPr>
        <w:t> 9a</w:t>
      </w:r>
      <w:r w:rsidRPr="00056CB9">
        <w:rPr>
          <w:rFonts w:cs="Arial"/>
        </w:rPr>
        <w:t>. Do zakresu działania stanowisk pracy ds. ochrony danych osobowych należy w szczególności:</w:t>
      </w:r>
    </w:p>
    <w:p w14:paraId="700A1792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lastRenderedPageBreak/>
        <w:t>wsparcie inspektora ochrony danych w zakresie zadań wynikających z</w:t>
      </w:r>
      <w:r>
        <w:rPr>
          <w:rFonts w:cs="Arial"/>
        </w:rPr>
        <w:t> </w:t>
      </w:r>
      <w:r w:rsidRPr="00056CB9">
        <w:rPr>
          <w:rFonts w:cs="Arial"/>
        </w:rPr>
        <w:t>przepisów Rozporządzenia Parlamentu Europejskiego i Rady (UE) z dnia 27 kwietnia 2016</w:t>
      </w:r>
      <w:r>
        <w:rPr>
          <w:rFonts w:cs="Arial"/>
        </w:rPr>
        <w:t> </w:t>
      </w:r>
      <w:r w:rsidRPr="00056CB9">
        <w:rPr>
          <w:rFonts w:cs="Arial"/>
        </w:rPr>
        <w:t>r. w sprawie ochrony osób fizycznych w związku z</w:t>
      </w:r>
      <w:r>
        <w:rPr>
          <w:rFonts w:cs="Arial"/>
        </w:rPr>
        <w:t> </w:t>
      </w:r>
      <w:r w:rsidRPr="00056CB9">
        <w:rPr>
          <w:rFonts w:cs="Arial"/>
        </w:rPr>
        <w:t xml:space="preserve">przetwarzaniem danych osobowych i w sprawie swobodnego przepływu takich danych (RODO), w tym prowadzenie szkoleń i konsultacji mających na celu zapoznanie osób upoważnionych i pracowników </w:t>
      </w:r>
      <w:r>
        <w:rPr>
          <w:rFonts w:cs="Arial"/>
        </w:rPr>
        <w:t>u</w:t>
      </w:r>
      <w:r w:rsidRPr="00056CB9">
        <w:rPr>
          <w:rFonts w:cs="Arial"/>
        </w:rPr>
        <w:t xml:space="preserve">rzędu do przetwarzania danych osobowych zgodnie z przepisami RODO, procedurami ustalonymi w </w:t>
      </w:r>
      <w:r>
        <w:rPr>
          <w:rFonts w:cs="Arial"/>
        </w:rPr>
        <w:t>R</w:t>
      </w:r>
      <w:r w:rsidRPr="00056CB9">
        <w:rPr>
          <w:rFonts w:cs="Arial"/>
        </w:rPr>
        <w:t>ODO i ustawy o ochronie danych osobowych;</w:t>
      </w:r>
    </w:p>
    <w:p w14:paraId="4E37228A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współpraca z inspektorem ochrony danych oraz komórkami organizacyjnymi urzędu w zakresie monitorowania procesów realizacji praw podmiotów danych wynikających z RODO;</w:t>
      </w:r>
    </w:p>
    <w:p w14:paraId="3434F48E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realizacja wniosków o upoważnienia do przetwarzania danych osobowych  oraz na ich podstawie prowadzenie i aktualizowanie ewidencji osób upoważnionych do przetwarzania danych osobowych;</w:t>
      </w:r>
    </w:p>
    <w:p w14:paraId="6E96BF0E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prowadzenie i aktualizowanie na podstawie wydziałowych rejestrów czynności przetwarzania danych, Urzędowego Rejestru Czynności Przetwarzania danych osobowych, za który odpowiada administrator danych;</w:t>
      </w:r>
    </w:p>
    <w:p w14:paraId="282C6344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prowadzenie i aktualizowanie na podstawie wydziałowych rejestrów kategorii czynności przetwarzania danych dokonywanych w imieniu administratora, Urzędowego Rejestru Kategorii Czynności Przetwarzania danych osobowych;</w:t>
      </w:r>
    </w:p>
    <w:p w14:paraId="49E8DFD3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zgłaszanie naruszeń ochrony danych osobowych inspektorowi danych osobowych i administratorowi danych oraz prowadzenie ewidencji naruszeń oraz realizacja procedury związanej z naruszeniem ochrony danych osobowych w urzędzie;</w:t>
      </w:r>
    </w:p>
    <w:p w14:paraId="05DF7D5E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współpraca z komórkami organizacyjnymi urzędu w zakresie zawiadamiania osoby, której dane dotyczą, o naruszeniu ochrony danych osobowych  jeśli naruszenie ochrony danych może powodować wysokie ryzyko naruszenia praw i wolności osób fizycznych;</w:t>
      </w:r>
    </w:p>
    <w:p w14:paraId="69D93F36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wsparcie w ww. zakresie inspektora ochrony danych i administratora danych w zgłaszaniu naruszenia ochrony danych osobowych organowi nadzorczemu;</w:t>
      </w:r>
    </w:p>
    <w:p w14:paraId="4E5AE012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/>
        <w:contextualSpacing w:val="0"/>
        <w:rPr>
          <w:rFonts w:cs="Arial"/>
        </w:rPr>
      </w:pPr>
      <w:r w:rsidRPr="00056CB9">
        <w:rPr>
          <w:rFonts w:cs="Arial"/>
        </w:rPr>
        <w:t>współpraca z komórkami organizacyjnymi urzędu i wsparcie inspektora ochrony danych w zakresie oceny skutków dla ochrony danych, monitorowanie przeprowadzania  analizy ryzyka zastosowanych środków bezpieczeństwa dla ochrony danych;</w:t>
      </w:r>
    </w:p>
    <w:p w14:paraId="0F52EA22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 w:hanging="397"/>
        <w:contextualSpacing w:val="0"/>
        <w:rPr>
          <w:rFonts w:cs="Arial"/>
        </w:rPr>
      </w:pPr>
      <w:r w:rsidRPr="00056CB9">
        <w:rPr>
          <w:rFonts w:cs="Arial"/>
        </w:rPr>
        <w:t>współpraca z komórkami organizacyjnymi urzędu i wsparcie Inspektora Ochrony Danych w zakresie zgodnego z prawem przetwarzania danych osobowych w realizacji umów powierzenia danych, prowadzenie ewidencji umów powierzenia;</w:t>
      </w:r>
    </w:p>
    <w:p w14:paraId="7AECDAC9" w14:textId="77777777" w:rsidR="00000000" w:rsidRPr="00056CB9" w:rsidRDefault="00000000" w:rsidP="00D073ED">
      <w:pPr>
        <w:pStyle w:val="Akapitzlist"/>
        <w:numPr>
          <w:ilvl w:val="0"/>
          <w:numId w:val="6"/>
        </w:numPr>
        <w:spacing w:after="120"/>
        <w:ind w:left="709" w:hanging="397"/>
        <w:contextualSpacing w:val="0"/>
        <w:rPr>
          <w:rFonts w:cs="Arial"/>
        </w:rPr>
      </w:pPr>
      <w:r w:rsidRPr="00056CB9">
        <w:rPr>
          <w:rFonts w:cs="Arial"/>
        </w:rPr>
        <w:t>współpraca z komórkami urzędu w zakresie stosowania wprowadzanych oraz obowiązujących przepisów i regulacji w zakresie RODO.</w:t>
      </w:r>
      <w:r>
        <w:rPr>
          <w:rFonts w:cs="Arial"/>
        </w:rPr>
        <w:t>”</w:t>
      </w:r>
      <w:r>
        <w:rPr>
          <w:rFonts w:cs="Arial"/>
        </w:rPr>
        <w:t>;</w:t>
      </w:r>
    </w:p>
    <w:p w14:paraId="6B925950" w14:textId="77777777" w:rsidR="00000000" w:rsidRPr="00A353B3" w:rsidRDefault="00000000" w:rsidP="000E57D9">
      <w:pPr>
        <w:pStyle w:val="Akapitzlist"/>
        <w:numPr>
          <w:ilvl w:val="0"/>
          <w:numId w:val="1"/>
        </w:numPr>
        <w:ind w:left="397" w:hanging="397"/>
        <w:rPr>
          <w:rFonts w:cs="Arial"/>
          <w:color w:val="000000" w:themeColor="text1"/>
        </w:rPr>
      </w:pPr>
      <w:r>
        <w:rPr>
          <w:rFonts w:cs="Arial"/>
        </w:rPr>
        <w:lastRenderedPageBreak/>
        <w:t xml:space="preserve">w </w:t>
      </w:r>
      <w:r w:rsidRPr="00A353B3">
        <w:rPr>
          <w:rFonts w:cs="Arial"/>
        </w:rPr>
        <w:t>§</w:t>
      </w:r>
      <w:r>
        <w:rPr>
          <w:rFonts w:cs="Arial"/>
        </w:rPr>
        <w:t xml:space="preserve"> 1</w:t>
      </w:r>
      <w:r>
        <w:rPr>
          <w:rFonts w:cs="Arial"/>
        </w:rPr>
        <w:t>0</w:t>
      </w:r>
      <w:r>
        <w:rPr>
          <w:rFonts w:cs="Arial"/>
        </w:rPr>
        <w:t xml:space="preserve"> w ust. 1 pkt 2 otrzymuje brzmienie:</w:t>
      </w:r>
    </w:p>
    <w:p w14:paraId="68793B7C" w14:textId="77777777" w:rsidR="00000000" w:rsidRPr="00431D5B" w:rsidRDefault="00000000" w:rsidP="008268EC">
      <w:pPr>
        <w:pStyle w:val="Akapitzlist"/>
        <w:ind w:left="397" w:firstLine="0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 w:rsidRPr="00A353B3">
        <w:rPr>
          <w:rFonts w:cs="Arial"/>
          <w:color w:val="000000" w:themeColor="text1"/>
        </w:rPr>
        <w:t>2)</w:t>
      </w:r>
      <w:r>
        <w:rPr>
          <w:rFonts w:cs="Arial"/>
          <w:color w:val="000000" w:themeColor="text1"/>
        </w:rPr>
        <w:t xml:space="preserve"> </w:t>
      </w:r>
      <w:r w:rsidRPr="00A353B3">
        <w:rPr>
          <w:rFonts w:cs="Arial"/>
          <w:color w:val="000000" w:themeColor="text1"/>
        </w:rPr>
        <w:t>trybu i sposobu postępowania z dokumentami o klauzuli „zastrzeżone”;</w:t>
      </w:r>
      <w:r>
        <w:rPr>
          <w:rFonts w:cs="Arial"/>
          <w:color w:val="000000" w:themeColor="text1"/>
        </w:rPr>
        <w:t xml:space="preserve"> </w:t>
      </w:r>
    </w:p>
    <w:p w14:paraId="0DEBF3C5" w14:textId="77777777" w:rsidR="00000000" w:rsidRPr="00340D39" w:rsidRDefault="00000000" w:rsidP="00D073ED">
      <w:pPr>
        <w:pStyle w:val="Akapitzlist"/>
        <w:numPr>
          <w:ilvl w:val="0"/>
          <w:numId w:val="1"/>
        </w:numPr>
        <w:spacing w:after="120"/>
        <w:ind w:left="397" w:hanging="397"/>
        <w:contextualSpacing w:val="0"/>
        <w:rPr>
          <w:rFonts w:cs="Arial"/>
          <w:color w:val="000000" w:themeColor="text1"/>
        </w:rPr>
      </w:pPr>
      <w:r w:rsidRPr="00A353B3">
        <w:rPr>
          <w:rFonts w:cs="Arial"/>
        </w:rPr>
        <w:t>§</w:t>
      </w:r>
      <w:r>
        <w:rPr>
          <w:rFonts w:cs="Arial"/>
        </w:rPr>
        <w:t xml:space="preserve"> 12 otrzymuje brzmienie: </w:t>
      </w:r>
    </w:p>
    <w:p w14:paraId="2FF37960" w14:textId="77777777" w:rsidR="00000000" w:rsidRPr="00431D5B" w:rsidRDefault="00000000" w:rsidP="008268EC">
      <w:pPr>
        <w:pStyle w:val="Akapitzlist"/>
        <w:ind w:left="397" w:firstLine="59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„</w:t>
      </w:r>
      <w:r w:rsidRPr="00A353B3">
        <w:rPr>
          <w:rFonts w:cs="Arial"/>
        </w:rPr>
        <w:t>§</w:t>
      </w:r>
      <w:r>
        <w:rPr>
          <w:rFonts w:cs="Arial"/>
        </w:rPr>
        <w:t> 12. </w:t>
      </w:r>
      <w:r w:rsidRPr="00340D39">
        <w:rPr>
          <w:rFonts w:cs="Arial"/>
          <w:color w:val="000000" w:themeColor="text1"/>
        </w:rPr>
        <w:t>Wyznaczenie inspektora ochrony danych (IOD) oraz wskazanie zadań IOD określone zostało w zarządzeniu Wojewody Pomorskiego z dnia 23 sierpnia 2018</w:t>
      </w:r>
      <w:r>
        <w:rPr>
          <w:rFonts w:cs="Arial"/>
          <w:color w:val="000000" w:themeColor="text1"/>
        </w:rPr>
        <w:t> </w:t>
      </w:r>
      <w:r w:rsidRPr="00340D39">
        <w:rPr>
          <w:rFonts w:cs="Arial"/>
          <w:color w:val="000000" w:themeColor="text1"/>
        </w:rPr>
        <w:t>r.</w:t>
      </w:r>
      <w:r>
        <w:rPr>
          <w:rFonts w:cs="Arial"/>
          <w:color w:val="000000" w:themeColor="text1"/>
        </w:rPr>
        <w:t xml:space="preserve"> w sprawie wyznaczenia Inspektora ochrony danych w Pomorskim Urzędzie Wojewódzkim w Gdańsku</w:t>
      </w:r>
      <w:r w:rsidRPr="00340D39">
        <w:rPr>
          <w:rFonts w:cs="Arial"/>
          <w:color w:val="000000" w:themeColor="text1"/>
        </w:rPr>
        <w:t xml:space="preserve"> oraz w §</w:t>
      </w:r>
      <w:r>
        <w:rPr>
          <w:rFonts w:cs="Arial"/>
          <w:color w:val="000000" w:themeColor="text1"/>
        </w:rPr>
        <w:t> </w:t>
      </w:r>
      <w:r w:rsidRPr="00340D39">
        <w:rPr>
          <w:rFonts w:cs="Arial"/>
          <w:color w:val="000000" w:themeColor="text1"/>
        </w:rPr>
        <w:t>74 ust. 1 regulaminu Pomorskiego Urzędu Wojewódzkiego w</w:t>
      </w:r>
      <w:r>
        <w:rPr>
          <w:rFonts w:cs="Arial"/>
          <w:color w:val="000000" w:themeColor="text1"/>
        </w:rPr>
        <w:t> </w:t>
      </w:r>
      <w:r w:rsidRPr="00340D39">
        <w:rPr>
          <w:rFonts w:cs="Arial"/>
          <w:color w:val="000000" w:themeColor="text1"/>
        </w:rPr>
        <w:t>Gdańsku.</w:t>
      </w:r>
      <w:r>
        <w:rPr>
          <w:rFonts w:cs="Arial"/>
          <w:color w:val="000000" w:themeColor="text1"/>
        </w:rPr>
        <w:t>”</w:t>
      </w:r>
      <w:r>
        <w:rPr>
          <w:rFonts w:cs="Arial"/>
          <w:color w:val="000000" w:themeColor="text1"/>
        </w:rPr>
        <w:t>.</w:t>
      </w:r>
    </w:p>
    <w:p w14:paraId="698071C4" w14:textId="6E70C020" w:rsidR="00000000" w:rsidRPr="00D073ED" w:rsidRDefault="00000000" w:rsidP="00D073ED">
      <w:pPr>
        <w:spacing w:after="720"/>
      </w:pPr>
      <w:r w:rsidRPr="00340D39">
        <w:rPr>
          <w:b/>
          <w:bCs/>
        </w:rPr>
        <w:t xml:space="preserve">§ </w:t>
      </w:r>
      <w:r w:rsidRPr="00340D39">
        <w:rPr>
          <w:b/>
          <w:bCs/>
        </w:rPr>
        <w:t>2.</w:t>
      </w:r>
      <w:r>
        <w:t xml:space="preserve"> </w:t>
      </w:r>
      <w:r w:rsidRPr="00340D39">
        <w:t>Zarządzenie wchodzi w życie z dniem podpisania.</w:t>
      </w:r>
    </w:p>
    <w:p w14:paraId="7F9964D6" w14:textId="77777777" w:rsidR="00000000" w:rsidRDefault="00000000" w:rsidP="00F2167F">
      <w:pPr>
        <w:rPr>
          <w:rFonts w:ascii="Times New Roman" w:hAnsi="Times New Roman"/>
        </w:rPr>
      </w:pPr>
    </w:p>
    <w:p w14:paraId="396DF4D8" w14:textId="01950B0C" w:rsidR="00D073ED" w:rsidRPr="00F2167F" w:rsidRDefault="00D073ED" w:rsidP="00D073ED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4A56CE39" w14:textId="1313820C" w:rsidR="00D073ED" w:rsidRPr="00F2167F" w:rsidRDefault="00D073ED" w:rsidP="00D073ED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14:paraId="3223ABA6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</w:rPr>
        <w:sectPr w:rsidR="00F76FC6" w:rsidSect="00F76FC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D7CD506" w14:textId="77777777" w:rsidR="00000000" w:rsidRDefault="00000000" w:rsidP="00F76FC6">
      <w:pPr>
        <w:spacing w:after="160" w:line="259" w:lineRule="auto"/>
        <w:ind w:firstLine="0"/>
        <w:jc w:val="left"/>
        <w:rPr>
          <w:rFonts w:ascii="Times New Roman" w:hAnsi="Times New Roman"/>
        </w:rPr>
        <w:sectPr w:rsidR="000D3AE9" w:rsidSect="00F76FC6">
          <w:pgSz w:w="16838" w:h="11906" w:orient="landscape"/>
          <w:pgMar w:top="851" w:right="1417" w:bottom="426" w:left="1417" w:header="708" w:footer="708" w:gutter="0"/>
          <w:cols w:space="708"/>
          <w:docGrid w:linePitch="360"/>
        </w:sectPr>
      </w:pPr>
      <w:bookmarkStart w:id="2" w:name="_Hlk188440248"/>
    </w:p>
    <w:bookmarkEnd w:id="2"/>
    <w:p w14:paraId="6BE65AAC" w14:textId="21D7A4B0" w:rsidR="00000000" w:rsidRPr="00F2167F" w:rsidRDefault="00000000" w:rsidP="000D3AE9">
      <w:pPr>
        <w:ind w:firstLine="0"/>
        <w:rPr>
          <w:rFonts w:ascii="Times New Roman" w:hAnsi="Times New Roman"/>
        </w:rPr>
      </w:pPr>
    </w:p>
    <w:sectPr w:rsidR="000D3AE9" w:rsidRPr="00F2167F" w:rsidSect="00F76FC6">
      <w:type w:val="continuous"/>
      <w:pgSz w:w="16838" w:h="11906" w:orient="landscape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7911" w14:textId="77777777" w:rsidR="00867A69" w:rsidRDefault="00867A69">
      <w:pPr>
        <w:spacing w:after="0" w:line="240" w:lineRule="auto"/>
      </w:pPr>
      <w:r>
        <w:separator/>
      </w:r>
    </w:p>
  </w:endnote>
  <w:endnote w:type="continuationSeparator" w:id="0">
    <w:p w14:paraId="55410A46" w14:textId="77777777" w:rsidR="00867A69" w:rsidRDefault="0086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5A41" w14:textId="77777777" w:rsidR="00867A69" w:rsidRDefault="00867A69" w:rsidP="00C141CC">
      <w:pPr>
        <w:spacing w:after="0" w:line="240" w:lineRule="auto"/>
      </w:pPr>
      <w:r>
        <w:separator/>
      </w:r>
    </w:p>
  </w:footnote>
  <w:footnote w:type="continuationSeparator" w:id="0">
    <w:p w14:paraId="416DEBCF" w14:textId="77777777" w:rsidR="00867A69" w:rsidRDefault="00867A69" w:rsidP="00C141CC">
      <w:pPr>
        <w:spacing w:after="0" w:line="240" w:lineRule="auto"/>
      </w:pPr>
      <w:r>
        <w:continuationSeparator/>
      </w:r>
    </w:p>
  </w:footnote>
  <w:footnote w:id="1">
    <w:p w14:paraId="0BC20BD7" w14:textId="77777777" w:rsidR="00000000" w:rsidRPr="002C0A93" w:rsidRDefault="00000000" w:rsidP="00C141CC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C0A93">
        <w:rPr>
          <w:sz w:val="18"/>
          <w:szCs w:val="18"/>
        </w:rPr>
        <w:t xml:space="preserve">zmieniony zarządzeniami Wojewody Pomorskiego z dnia 23 grudnia 2021 r., z dnia 23 grudnia 2022 r., z dnia 29 czerwca 2023 r., z dnia 13 października 2023 r., z dnia 6 grudnia 2023 r., z dnia 14 stycznia 2024 r., </w:t>
      </w:r>
      <w:r w:rsidRPr="002C0A93">
        <w:rPr>
          <w:sz w:val="18"/>
          <w:szCs w:val="18"/>
        </w:rPr>
        <w:br/>
        <w:t>z dnia 22 lutego 2024 r., z dnia 26 marca 2024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 xml:space="preserve"> z dnia 29 kwietnia 2024 r.</w:t>
      </w:r>
      <w:r>
        <w:rPr>
          <w:sz w:val="18"/>
          <w:szCs w:val="18"/>
        </w:rPr>
        <w:t>, z dnia 28 sierpnia 2024 r. i z dnia 31 grudnia 2024 r.</w:t>
      </w:r>
    </w:p>
    <w:p w14:paraId="2E4CE650" w14:textId="77777777" w:rsidR="00000000" w:rsidRDefault="0000000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5A"/>
    <w:multiLevelType w:val="hybridMultilevel"/>
    <w:tmpl w:val="06264F0C"/>
    <w:lvl w:ilvl="0" w:tplc="B77A4AC4">
      <w:start w:val="1"/>
      <w:numFmt w:val="lowerLetter"/>
      <w:lvlText w:val="%1)"/>
      <w:lvlJc w:val="left"/>
      <w:pPr>
        <w:ind w:left="1637" w:hanging="360"/>
      </w:pPr>
    </w:lvl>
    <w:lvl w:ilvl="1" w:tplc="C2E2E28A" w:tentative="1">
      <w:start w:val="1"/>
      <w:numFmt w:val="lowerLetter"/>
      <w:lvlText w:val="%2."/>
      <w:lvlJc w:val="left"/>
      <w:pPr>
        <w:ind w:left="2357" w:hanging="360"/>
      </w:pPr>
    </w:lvl>
    <w:lvl w:ilvl="2" w:tplc="62E0BFCA" w:tentative="1">
      <w:start w:val="1"/>
      <w:numFmt w:val="lowerRoman"/>
      <w:lvlText w:val="%3."/>
      <w:lvlJc w:val="right"/>
      <w:pPr>
        <w:ind w:left="3077" w:hanging="180"/>
      </w:pPr>
    </w:lvl>
    <w:lvl w:ilvl="3" w:tplc="1F52E48E" w:tentative="1">
      <w:start w:val="1"/>
      <w:numFmt w:val="decimal"/>
      <w:lvlText w:val="%4."/>
      <w:lvlJc w:val="left"/>
      <w:pPr>
        <w:ind w:left="3797" w:hanging="360"/>
      </w:pPr>
    </w:lvl>
    <w:lvl w:ilvl="4" w:tplc="9A36861A" w:tentative="1">
      <w:start w:val="1"/>
      <w:numFmt w:val="lowerLetter"/>
      <w:lvlText w:val="%5."/>
      <w:lvlJc w:val="left"/>
      <w:pPr>
        <w:ind w:left="4517" w:hanging="360"/>
      </w:pPr>
    </w:lvl>
    <w:lvl w:ilvl="5" w:tplc="3BDA7A76" w:tentative="1">
      <w:start w:val="1"/>
      <w:numFmt w:val="lowerRoman"/>
      <w:lvlText w:val="%6."/>
      <w:lvlJc w:val="right"/>
      <w:pPr>
        <w:ind w:left="5237" w:hanging="180"/>
      </w:pPr>
    </w:lvl>
    <w:lvl w:ilvl="6" w:tplc="97005E42" w:tentative="1">
      <w:start w:val="1"/>
      <w:numFmt w:val="decimal"/>
      <w:lvlText w:val="%7."/>
      <w:lvlJc w:val="left"/>
      <w:pPr>
        <w:ind w:left="5957" w:hanging="360"/>
      </w:pPr>
    </w:lvl>
    <w:lvl w:ilvl="7" w:tplc="A52AB818" w:tentative="1">
      <w:start w:val="1"/>
      <w:numFmt w:val="lowerLetter"/>
      <w:lvlText w:val="%8."/>
      <w:lvlJc w:val="left"/>
      <w:pPr>
        <w:ind w:left="6677" w:hanging="360"/>
      </w:pPr>
    </w:lvl>
    <w:lvl w:ilvl="8" w:tplc="1B18EB86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4BC6A73"/>
    <w:multiLevelType w:val="hybridMultilevel"/>
    <w:tmpl w:val="E3327118"/>
    <w:lvl w:ilvl="0" w:tplc="E2382CA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D26DE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82828EA" w:tentative="1">
      <w:start w:val="1"/>
      <w:numFmt w:val="lowerRoman"/>
      <w:lvlText w:val="%3."/>
      <w:lvlJc w:val="right"/>
      <w:pPr>
        <w:ind w:left="1800" w:hanging="180"/>
      </w:pPr>
    </w:lvl>
    <w:lvl w:ilvl="3" w:tplc="10F6EB42" w:tentative="1">
      <w:start w:val="1"/>
      <w:numFmt w:val="decimal"/>
      <w:lvlText w:val="%4."/>
      <w:lvlJc w:val="left"/>
      <w:pPr>
        <w:ind w:left="2520" w:hanging="360"/>
      </w:pPr>
    </w:lvl>
    <w:lvl w:ilvl="4" w:tplc="E452E456" w:tentative="1">
      <w:start w:val="1"/>
      <w:numFmt w:val="lowerLetter"/>
      <w:lvlText w:val="%5."/>
      <w:lvlJc w:val="left"/>
      <w:pPr>
        <w:ind w:left="3240" w:hanging="360"/>
      </w:pPr>
    </w:lvl>
    <w:lvl w:ilvl="5" w:tplc="73B2DCA8" w:tentative="1">
      <w:start w:val="1"/>
      <w:numFmt w:val="lowerRoman"/>
      <w:lvlText w:val="%6."/>
      <w:lvlJc w:val="right"/>
      <w:pPr>
        <w:ind w:left="3960" w:hanging="180"/>
      </w:pPr>
    </w:lvl>
    <w:lvl w:ilvl="6" w:tplc="9DE839A4" w:tentative="1">
      <w:start w:val="1"/>
      <w:numFmt w:val="decimal"/>
      <w:lvlText w:val="%7."/>
      <w:lvlJc w:val="left"/>
      <w:pPr>
        <w:ind w:left="4680" w:hanging="360"/>
      </w:pPr>
    </w:lvl>
    <w:lvl w:ilvl="7" w:tplc="BC967DAE" w:tentative="1">
      <w:start w:val="1"/>
      <w:numFmt w:val="lowerLetter"/>
      <w:lvlText w:val="%8."/>
      <w:lvlJc w:val="left"/>
      <w:pPr>
        <w:ind w:left="5400" w:hanging="360"/>
      </w:pPr>
    </w:lvl>
    <w:lvl w:ilvl="8" w:tplc="02A4A5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432D"/>
    <w:multiLevelType w:val="hybridMultilevel"/>
    <w:tmpl w:val="2A463A8E"/>
    <w:lvl w:ilvl="0" w:tplc="012ADF62">
      <w:start w:val="1"/>
      <w:numFmt w:val="decimal"/>
      <w:lvlText w:val="%1)"/>
      <w:lvlJc w:val="left"/>
      <w:pPr>
        <w:ind w:left="1117" w:hanging="360"/>
      </w:pPr>
    </w:lvl>
    <w:lvl w:ilvl="1" w:tplc="42A4DF3C">
      <w:start w:val="1"/>
      <w:numFmt w:val="lowerLetter"/>
      <w:lvlText w:val="%2."/>
      <w:lvlJc w:val="left"/>
      <w:pPr>
        <w:ind w:left="1837" w:hanging="360"/>
      </w:pPr>
    </w:lvl>
    <w:lvl w:ilvl="2" w:tplc="A0C89372">
      <w:start w:val="1"/>
      <w:numFmt w:val="lowerRoman"/>
      <w:lvlText w:val="%3."/>
      <w:lvlJc w:val="right"/>
      <w:pPr>
        <w:ind w:left="2557" w:hanging="180"/>
      </w:pPr>
    </w:lvl>
    <w:lvl w:ilvl="3" w:tplc="27BE28C0" w:tentative="1">
      <w:start w:val="1"/>
      <w:numFmt w:val="decimal"/>
      <w:lvlText w:val="%4."/>
      <w:lvlJc w:val="left"/>
      <w:pPr>
        <w:ind w:left="3277" w:hanging="360"/>
      </w:pPr>
    </w:lvl>
    <w:lvl w:ilvl="4" w:tplc="C99C0564" w:tentative="1">
      <w:start w:val="1"/>
      <w:numFmt w:val="lowerLetter"/>
      <w:lvlText w:val="%5."/>
      <w:lvlJc w:val="left"/>
      <w:pPr>
        <w:ind w:left="3997" w:hanging="360"/>
      </w:pPr>
    </w:lvl>
    <w:lvl w:ilvl="5" w:tplc="12C0D570" w:tentative="1">
      <w:start w:val="1"/>
      <w:numFmt w:val="lowerRoman"/>
      <w:lvlText w:val="%6."/>
      <w:lvlJc w:val="right"/>
      <w:pPr>
        <w:ind w:left="4717" w:hanging="180"/>
      </w:pPr>
    </w:lvl>
    <w:lvl w:ilvl="6" w:tplc="C144D402" w:tentative="1">
      <w:start w:val="1"/>
      <w:numFmt w:val="decimal"/>
      <w:lvlText w:val="%7."/>
      <w:lvlJc w:val="left"/>
      <w:pPr>
        <w:ind w:left="5437" w:hanging="360"/>
      </w:pPr>
    </w:lvl>
    <w:lvl w:ilvl="7" w:tplc="09AC52F6" w:tentative="1">
      <w:start w:val="1"/>
      <w:numFmt w:val="lowerLetter"/>
      <w:lvlText w:val="%8."/>
      <w:lvlJc w:val="left"/>
      <w:pPr>
        <w:ind w:left="6157" w:hanging="360"/>
      </w:pPr>
    </w:lvl>
    <w:lvl w:ilvl="8" w:tplc="2A5EBFAE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1491D10"/>
    <w:multiLevelType w:val="hybridMultilevel"/>
    <w:tmpl w:val="470AC0CE"/>
    <w:lvl w:ilvl="0" w:tplc="22AEEE74">
      <w:start w:val="1"/>
      <w:numFmt w:val="decimal"/>
      <w:lvlText w:val="%1)"/>
      <w:lvlJc w:val="left"/>
      <w:pPr>
        <w:ind w:left="1429" w:hanging="360"/>
      </w:pPr>
    </w:lvl>
    <w:lvl w:ilvl="1" w:tplc="6A0EF1C0" w:tentative="1">
      <w:start w:val="1"/>
      <w:numFmt w:val="lowerLetter"/>
      <w:lvlText w:val="%2."/>
      <w:lvlJc w:val="left"/>
      <w:pPr>
        <w:ind w:left="2149" w:hanging="360"/>
      </w:pPr>
    </w:lvl>
    <w:lvl w:ilvl="2" w:tplc="DDEA166C" w:tentative="1">
      <w:start w:val="1"/>
      <w:numFmt w:val="lowerRoman"/>
      <w:lvlText w:val="%3."/>
      <w:lvlJc w:val="right"/>
      <w:pPr>
        <w:ind w:left="2869" w:hanging="180"/>
      </w:pPr>
    </w:lvl>
    <w:lvl w:ilvl="3" w:tplc="8FD42B8C" w:tentative="1">
      <w:start w:val="1"/>
      <w:numFmt w:val="decimal"/>
      <w:lvlText w:val="%4."/>
      <w:lvlJc w:val="left"/>
      <w:pPr>
        <w:ind w:left="3589" w:hanging="360"/>
      </w:pPr>
    </w:lvl>
    <w:lvl w:ilvl="4" w:tplc="04B61A6A" w:tentative="1">
      <w:start w:val="1"/>
      <w:numFmt w:val="lowerLetter"/>
      <w:lvlText w:val="%5."/>
      <w:lvlJc w:val="left"/>
      <w:pPr>
        <w:ind w:left="4309" w:hanging="360"/>
      </w:pPr>
    </w:lvl>
    <w:lvl w:ilvl="5" w:tplc="B0728AFC" w:tentative="1">
      <w:start w:val="1"/>
      <w:numFmt w:val="lowerRoman"/>
      <w:lvlText w:val="%6."/>
      <w:lvlJc w:val="right"/>
      <w:pPr>
        <w:ind w:left="5029" w:hanging="180"/>
      </w:pPr>
    </w:lvl>
    <w:lvl w:ilvl="6" w:tplc="888E1D9E" w:tentative="1">
      <w:start w:val="1"/>
      <w:numFmt w:val="decimal"/>
      <w:lvlText w:val="%7."/>
      <w:lvlJc w:val="left"/>
      <w:pPr>
        <w:ind w:left="5749" w:hanging="360"/>
      </w:pPr>
    </w:lvl>
    <w:lvl w:ilvl="7" w:tplc="AE16F0A0" w:tentative="1">
      <w:start w:val="1"/>
      <w:numFmt w:val="lowerLetter"/>
      <w:lvlText w:val="%8."/>
      <w:lvlJc w:val="left"/>
      <w:pPr>
        <w:ind w:left="6469" w:hanging="360"/>
      </w:pPr>
    </w:lvl>
    <w:lvl w:ilvl="8" w:tplc="BF00E0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816BC3"/>
    <w:multiLevelType w:val="hybridMultilevel"/>
    <w:tmpl w:val="EF5AE290"/>
    <w:lvl w:ilvl="0" w:tplc="E39C67B4">
      <w:start w:val="1"/>
      <w:numFmt w:val="decimal"/>
      <w:lvlText w:val="%1)"/>
      <w:lvlJc w:val="left"/>
      <w:pPr>
        <w:ind w:left="1080" w:hanging="360"/>
      </w:pPr>
    </w:lvl>
    <w:lvl w:ilvl="1" w:tplc="BDF84CEE" w:tentative="1">
      <w:start w:val="1"/>
      <w:numFmt w:val="lowerLetter"/>
      <w:lvlText w:val="%2."/>
      <w:lvlJc w:val="left"/>
      <w:pPr>
        <w:ind w:left="1800" w:hanging="360"/>
      </w:pPr>
    </w:lvl>
    <w:lvl w:ilvl="2" w:tplc="BD56077E" w:tentative="1">
      <w:start w:val="1"/>
      <w:numFmt w:val="lowerRoman"/>
      <w:lvlText w:val="%3."/>
      <w:lvlJc w:val="right"/>
      <w:pPr>
        <w:ind w:left="2520" w:hanging="180"/>
      </w:pPr>
    </w:lvl>
    <w:lvl w:ilvl="3" w:tplc="A904AC9E" w:tentative="1">
      <w:start w:val="1"/>
      <w:numFmt w:val="decimal"/>
      <w:lvlText w:val="%4."/>
      <w:lvlJc w:val="left"/>
      <w:pPr>
        <w:ind w:left="3240" w:hanging="360"/>
      </w:pPr>
    </w:lvl>
    <w:lvl w:ilvl="4" w:tplc="C1AA147A" w:tentative="1">
      <w:start w:val="1"/>
      <w:numFmt w:val="lowerLetter"/>
      <w:lvlText w:val="%5."/>
      <w:lvlJc w:val="left"/>
      <w:pPr>
        <w:ind w:left="3960" w:hanging="360"/>
      </w:pPr>
    </w:lvl>
    <w:lvl w:ilvl="5" w:tplc="F2068A12" w:tentative="1">
      <w:start w:val="1"/>
      <w:numFmt w:val="lowerRoman"/>
      <w:lvlText w:val="%6."/>
      <w:lvlJc w:val="right"/>
      <w:pPr>
        <w:ind w:left="4680" w:hanging="180"/>
      </w:pPr>
    </w:lvl>
    <w:lvl w:ilvl="6" w:tplc="3D2C3370" w:tentative="1">
      <w:start w:val="1"/>
      <w:numFmt w:val="decimal"/>
      <w:lvlText w:val="%7."/>
      <w:lvlJc w:val="left"/>
      <w:pPr>
        <w:ind w:left="5400" w:hanging="360"/>
      </w:pPr>
    </w:lvl>
    <w:lvl w:ilvl="7" w:tplc="AD7CF33C" w:tentative="1">
      <w:start w:val="1"/>
      <w:numFmt w:val="lowerLetter"/>
      <w:lvlText w:val="%8."/>
      <w:lvlJc w:val="left"/>
      <w:pPr>
        <w:ind w:left="6120" w:hanging="360"/>
      </w:pPr>
    </w:lvl>
    <w:lvl w:ilvl="8" w:tplc="051A1C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70D01"/>
    <w:multiLevelType w:val="hybridMultilevel"/>
    <w:tmpl w:val="692059E2"/>
    <w:lvl w:ilvl="0" w:tplc="144605D8">
      <w:start w:val="1"/>
      <w:numFmt w:val="lowerLetter"/>
      <w:lvlText w:val="%1)"/>
      <w:lvlJc w:val="left"/>
      <w:pPr>
        <w:ind w:left="1080" w:hanging="360"/>
      </w:pPr>
    </w:lvl>
    <w:lvl w:ilvl="1" w:tplc="9FF29554">
      <w:start w:val="1"/>
      <w:numFmt w:val="lowerLetter"/>
      <w:lvlText w:val="%2)"/>
      <w:lvlJc w:val="left"/>
      <w:pPr>
        <w:ind w:left="1800" w:hanging="360"/>
      </w:pPr>
    </w:lvl>
    <w:lvl w:ilvl="2" w:tplc="398063F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280A70C6" w:tentative="1">
      <w:start w:val="1"/>
      <w:numFmt w:val="decimal"/>
      <w:lvlText w:val="%4."/>
      <w:lvlJc w:val="left"/>
      <w:pPr>
        <w:ind w:left="3240" w:hanging="360"/>
      </w:pPr>
    </w:lvl>
    <w:lvl w:ilvl="4" w:tplc="F47026DE" w:tentative="1">
      <w:start w:val="1"/>
      <w:numFmt w:val="lowerLetter"/>
      <w:lvlText w:val="%5."/>
      <w:lvlJc w:val="left"/>
      <w:pPr>
        <w:ind w:left="3960" w:hanging="360"/>
      </w:pPr>
    </w:lvl>
    <w:lvl w:ilvl="5" w:tplc="8C3A2FFC" w:tentative="1">
      <w:start w:val="1"/>
      <w:numFmt w:val="lowerRoman"/>
      <w:lvlText w:val="%6."/>
      <w:lvlJc w:val="right"/>
      <w:pPr>
        <w:ind w:left="4680" w:hanging="180"/>
      </w:pPr>
    </w:lvl>
    <w:lvl w:ilvl="6" w:tplc="1F5441DA" w:tentative="1">
      <w:start w:val="1"/>
      <w:numFmt w:val="decimal"/>
      <w:lvlText w:val="%7."/>
      <w:lvlJc w:val="left"/>
      <w:pPr>
        <w:ind w:left="5400" w:hanging="360"/>
      </w:pPr>
    </w:lvl>
    <w:lvl w:ilvl="7" w:tplc="C1A67286" w:tentative="1">
      <w:start w:val="1"/>
      <w:numFmt w:val="lowerLetter"/>
      <w:lvlText w:val="%8."/>
      <w:lvlJc w:val="left"/>
      <w:pPr>
        <w:ind w:left="6120" w:hanging="360"/>
      </w:pPr>
    </w:lvl>
    <w:lvl w:ilvl="8" w:tplc="1F36B92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34805">
    <w:abstractNumId w:val="1"/>
  </w:num>
  <w:num w:numId="2" w16cid:durableId="562181070">
    <w:abstractNumId w:val="4"/>
  </w:num>
  <w:num w:numId="3" w16cid:durableId="1708600096">
    <w:abstractNumId w:val="3"/>
  </w:num>
  <w:num w:numId="4" w16cid:durableId="558135058">
    <w:abstractNumId w:val="0"/>
  </w:num>
  <w:num w:numId="5" w16cid:durableId="491409629">
    <w:abstractNumId w:val="5"/>
  </w:num>
  <w:num w:numId="6" w16cid:durableId="110345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A0"/>
    <w:rsid w:val="0023571F"/>
    <w:rsid w:val="002C5739"/>
    <w:rsid w:val="00341543"/>
    <w:rsid w:val="00462AA0"/>
    <w:rsid w:val="00503EFC"/>
    <w:rsid w:val="005857C4"/>
    <w:rsid w:val="00624A6B"/>
    <w:rsid w:val="00736D5E"/>
    <w:rsid w:val="00867A69"/>
    <w:rsid w:val="00D073ED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AF29"/>
  <w15:docId w15:val="{F5358ABC-C235-4688-ABF0-75B98D48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99"/>
    <w:qFormat/>
    <w:rsid w:val="00514D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99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1CC"/>
    <w:rPr>
      <w:vertAlign w:val="superscript"/>
    </w:rPr>
  </w:style>
  <w:style w:type="paragraph" w:styleId="Poprawka">
    <w:name w:val="Revision"/>
    <w:hidden/>
    <w:uiPriority w:val="99"/>
    <w:semiHidden/>
    <w:rsid w:val="000B347A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6EF1-2E5E-4F09-822C-E5D36231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20 stycznia 2025 roku zmieniające zarządzenie w sprawie ustalenia regulaminu organizacyjnego Zespołu ds. Ochrony Informacji Niejawnych</dc:title>
  <dc:creator>Maria Leszczyńska</dc:creator>
  <cp:lastModifiedBy>Monika Giedrojć</cp:lastModifiedBy>
  <cp:revision>30</cp:revision>
  <cp:lastPrinted>2024-12-10T12:32:00Z</cp:lastPrinted>
  <dcterms:created xsi:type="dcterms:W3CDTF">2021-05-10T11:41:00Z</dcterms:created>
  <dcterms:modified xsi:type="dcterms:W3CDTF">2025-01-22T13:38:00Z</dcterms:modified>
</cp:coreProperties>
</file>